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25242" w:rsidRPr="00625242" w:rsidP="00625242">
      <w:pPr>
        <w:pStyle w:val="NormalIndent"/>
        <w:ind w:left="0"/>
        <w:jc w:val="center"/>
        <w:rPr>
          <w:caps/>
          <w:sz w:val="36"/>
        </w:rPr>
      </w:pPr>
      <w:bookmarkStart w:id="0" w:name="_GoBack"/>
      <w:bookmarkEnd w:id="0"/>
      <w:r w:rsidRPr="00625242">
        <w:rPr>
          <w:b/>
          <w:caps/>
          <w:sz w:val="36"/>
        </w:rPr>
        <w:t xml:space="preserve">IN THE SUPREME COURT OF </w:t>
      </w:r>
      <w:r>
        <w:rPr>
          <w:b/>
          <w:caps/>
          <w:sz w:val="36"/>
        </w:rPr>
        <w:br/>
      </w:r>
      <w:r w:rsidRPr="00625242">
        <w:rPr>
          <w:b/>
          <w:caps/>
          <w:sz w:val="36"/>
        </w:rPr>
        <w:t>CALIFORNIA</w:t>
      </w:r>
    </w:p>
    <w:p w:rsidR="004F724D" w:rsidRPr="004F724D" w:rsidP="00117453">
      <w:pPr>
        <w:tabs>
          <w:tab w:val="left" w:pos="1440"/>
          <w:tab w:val="left" w:pos="4680"/>
          <w:tab w:val="center" w:pos="7200"/>
        </w:tabs>
        <w:spacing w:line="400" w:lineRule="exact"/>
        <w:jc w:val="center"/>
        <w:rPr>
          <w:rFonts w:ascii="Century Schoolbook" w:hAnsi="Century Schoolbook"/>
          <w:sz w:val="27"/>
          <w:szCs w:val="27"/>
        </w:rPr>
      </w:pPr>
      <w:bookmarkStart w:id="1" w:name="MarkDocLoc"/>
      <w:bookmarkEnd w:id="1"/>
    </w:p>
    <w:p w:rsidR="00117453" w:rsidP="00B17FB3">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THE PEOPLE</w:t>
      </w:r>
      <w:r w:rsidR="00E13368">
        <w:rPr>
          <w:rFonts w:ascii="Century Schoolbook" w:hAnsi="Century Schoolbook"/>
          <w:sz w:val="27"/>
          <w:szCs w:val="27"/>
        </w:rPr>
        <w:t>,</w:t>
      </w:r>
    </w:p>
    <w:p w:rsidR="00117453" w:rsidP="00B17FB3">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Plaintiff and Respondent,</w:t>
      </w:r>
    </w:p>
    <w:p w:rsidR="00117453" w:rsidP="00117453">
      <w:pPr>
        <w:tabs>
          <w:tab w:val="left" w:pos="1440"/>
          <w:tab w:val="left" w:pos="4680"/>
          <w:tab w:val="center" w:pos="7200"/>
        </w:tabs>
        <w:jc w:val="center"/>
        <w:rPr>
          <w:rFonts w:ascii="Century Schoolbook" w:hAnsi="Century Schoolbook"/>
          <w:sz w:val="27"/>
          <w:szCs w:val="27"/>
        </w:rPr>
      </w:pPr>
      <w:r w:rsidRPr="004F724D">
        <w:rPr>
          <w:rFonts w:ascii="Century Schoolbook" w:hAnsi="Century Schoolbook"/>
          <w:sz w:val="27"/>
          <w:szCs w:val="27"/>
        </w:rPr>
        <w:t>v.</w:t>
      </w:r>
    </w:p>
    <w:p w:rsidR="00117453"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ROBERT BOYD RHOADES,</w:t>
      </w:r>
    </w:p>
    <w:p w:rsidR="00117453" w:rsidRPr="004F724D"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Defendant and Appellant.</w:t>
      </w:r>
    </w:p>
    <w:p w:rsidR="00117453" w:rsidRPr="004F724D" w:rsidP="00117453">
      <w:pPr>
        <w:tabs>
          <w:tab w:val="left" w:pos="1440"/>
          <w:tab w:val="left" w:pos="4680"/>
          <w:tab w:val="center" w:pos="7200"/>
        </w:tabs>
        <w:jc w:val="center"/>
        <w:rPr>
          <w:rFonts w:ascii="Century Schoolbook" w:hAnsi="Century Schoolbook"/>
          <w:sz w:val="27"/>
          <w:szCs w:val="27"/>
        </w:rPr>
      </w:pPr>
    </w:p>
    <w:p w:rsidR="00117453" w:rsidRPr="004F724D" w:rsidP="00117453">
      <w:pPr>
        <w:tabs>
          <w:tab w:val="left" w:pos="1440"/>
          <w:tab w:val="left" w:pos="4680"/>
          <w:tab w:val="center" w:pos="7200"/>
        </w:tabs>
        <w:jc w:val="center"/>
        <w:rPr>
          <w:rFonts w:ascii="Century Schoolbook" w:hAnsi="Century Schoolbook"/>
          <w:sz w:val="27"/>
          <w:szCs w:val="27"/>
        </w:rPr>
      </w:pPr>
      <w:r w:rsidRPr="004F724D">
        <w:rPr>
          <w:rFonts w:ascii="Century Schoolbook" w:hAnsi="Century Schoolbook"/>
          <w:sz w:val="27"/>
          <w:szCs w:val="27"/>
        </w:rPr>
        <w:t>S082101</w:t>
      </w:r>
    </w:p>
    <w:p w:rsidR="004F724D" w:rsidRPr="004F724D" w:rsidP="00117453">
      <w:pPr>
        <w:tabs>
          <w:tab w:val="left" w:pos="1440"/>
          <w:tab w:val="left" w:pos="4680"/>
          <w:tab w:val="center" w:pos="7200"/>
        </w:tabs>
        <w:jc w:val="center"/>
        <w:rPr>
          <w:rFonts w:ascii="Century Schoolbook" w:hAnsi="Century Schoolbook"/>
          <w:sz w:val="27"/>
          <w:szCs w:val="27"/>
        </w:rPr>
      </w:pPr>
    </w:p>
    <w:p w:rsidR="00117453" w:rsidRPr="004F724D"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Sacramento County Superior Court</w:t>
      </w:r>
    </w:p>
    <w:p w:rsidR="00117453" w:rsidRPr="004F724D"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98F00230</w:t>
      </w:r>
    </w:p>
    <w:p w:rsidR="004F724D" w:rsidRPr="004F724D" w:rsidP="00117453">
      <w:pPr>
        <w:tabs>
          <w:tab w:val="left" w:pos="1440"/>
          <w:tab w:val="left" w:pos="4680"/>
          <w:tab w:val="center" w:pos="7200"/>
        </w:tabs>
        <w:jc w:val="center"/>
        <w:rPr>
          <w:rFonts w:ascii="Century Schoolbook" w:hAnsi="Century Schoolbook"/>
          <w:sz w:val="27"/>
          <w:szCs w:val="27"/>
        </w:rPr>
      </w:pPr>
    </w:p>
    <w:p w:rsidR="00117453" w:rsidRPr="004F724D" w:rsidP="00117453">
      <w:pPr>
        <w:tabs>
          <w:tab w:val="left" w:pos="1440"/>
          <w:tab w:val="left" w:pos="4680"/>
          <w:tab w:val="center" w:pos="7200"/>
        </w:tabs>
        <w:jc w:val="center"/>
        <w:rPr>
          <w:rFonts w:ascii="Century Schoolbook" w:hAnsi="Century Schoolbook"/>
          <w:sz w:val="27"/>
          <w:szCs w:val="27"/>
        </w:rPr>
      </w:pPr>
      <w:r w:rsidRPr="004F724D">
        <w:rPr>
          <w:rFonts w:ascii="Century Schoolbook" w:hAnsi="Century Schoolbook"/>
          <w:sz w:val="27"/>
          <w:szCs w:val="27"/>
        </w:rPr>
        <w:t>__________________________________________________________</w:t>
      </w:r>
    </w:p>
    <w:p w:rsidR="00117453" w:rsidRPr="004F724D" w:rsidP="00117453">
      <w:pPr>
        <w:tabs>
          <w:tab w:val="left" w:pos="1440"/>
          <w:tab w:val="left" w:pos="4680"/>
          <w:tab w:val="center" w:pos="7200"/>
        </w:tabs>
        <w:jc w:val="center"/>
        <w:rPr>
          <w:rFonts w:ascii="Century Schoolbook" w:hAnsi="Century Schoolbook"/>
          <w:sz w:val="27"/>
          <w:szCs w:val="27"/>
        </w:rPr>
      </w:pPr>
    </w:p>
    <w:p w:rsidR="00117453" w:rsidRPr="004F724D" w:rsidP="00117453">
      <w:pPr>
        <w:tabs>
          <w:tab w:val="left" w:pos="1440"/>
          <w:tab w:val="left" w:pos="4680"/>
          <w:tab w:val="center" w:pos="7200"/>
        </w:tabs>
        <w:jc w:val="center"/>
        <w:rPr>
          <w:rFonts w:ascii="Century Schoolbook" w:hAnsi="Century Schoolbook"/>
          <w:sz w:val="27"/>
          <w:szCs w:val="27"/>
        </w:rPr>
      </w:pPr>
      <w:r>
        <w:rPr>
          <w:rFonts w:ascii="Century Schoolbook" w:hAnsi="Century Schoolbook"/>
          <w:sz w:val="27"/>
          <w:szCs w:val="27"/>
        </w:rPr>
        <w:t>November 25</w:t>
      </w:r>
      <w:r w:rsidRPr="004F724D">
        <w:rPr>
          <w:rFonts w:ascii="Century Schoolbook" w:hAnsi="Century Schoolbook"/>
          <w:sz w:val="27"/>
          <w:szCs w:val="27"/>
        </w:rPr>
        <w:t>, 2019</w:t>
      </w:r>
    </w:p>
    <w:p w:rsidR="00117453" w:rsidRPr="004F724D" w:rsidP="00117453">
      <w:pPr>
        <w:tabs>
          <w:tab w:val="left" w:pos="1440"/>
          <w:tab w:val="left" w:pos="4680"/>
          <w:tab w:val="center" w:pos="7200"/>
        </w:tabs>
        <w:jc w:val="center"/>
        <w:rPr>
          <w:rFonts w:ascii="Century Schoolbook" w:hAnsi="Century Schoolbook"/>
          <w:sz w:val="27"/>
          <w:szCs w:val="27"/>
        </w:rPr>
      </w:pPr>
    </w:p>
    <w:p w:rsidR="00117453" w:rsidP="00117453">
      <w:pPr>
        <w:tabs>
          <w:tab w:val="left" w:pos="1440"/>
          <w:tab w:val="left" w:pos="4680"/>
          <w:tab w:val="center" w:pos="7200"/>
        </w:tabs>
        <w:rPr>
          <w:rFonts w:ascii="Century Schoolbook" w:hAnsi="Century Schoolbook"/>
          <w:sz w:val="27"/>
          <w:szCs w:val="27"/>
        </w:rPr>
      </w:pPr>
      <w:r w:rsidRPr="004F724D">
        <w:rPr>
          <w:rFonts w:ascii="Century Schoolbook" w:hAnsi="Century Schoolbook"/>
          <w:sz w:val="27"/>
          <w:szCs w:val="27"/>
        </w:rPr>
        <w:t xml:space="preserve">Justice Kruger authored the opinion of the </w:t>
      </w:r>
      <w:r w:rsidR="009F4F24">
        <w:rPr>
          <w:rFonts w:ascii="Century Schoolbook" w:hAnsi="Century Schoolbook"/>
          <w:sz w:val="27"/>
          <w:szCs w:val="27"/>
        </w:rPr>
        <w:t>C</w:t>
      </w:r>
      <w:r w:rsidRPr="004F724D">
        <w:rPr>
          <w:rFonts w:ascii="Century Schoolbook" w:hAnsi="Century Schoolbook"/>
          <w:sz w:val="27"/>
          <w:szCs w:val="27"/>
        </w:rPr>
        <w:t xml:space="preserve">ourt, in which </w:t>
      </w:r>
      <w:r w:rsidR="008F4EFC">
        <w:rPr>
          <w:rFonts w:ascii="Century Schoolbook" w:hAnsi="Century Schoolbook"/>
          <w:sz w:val="27"/>
          <w:szCs w:val="27"/>
        </w:rPr>
        <w:t>Chief Justice Cantil-Sakauye, Justices Chin, Corrigan, Cuéllar, and Groban</w:t>
      </w:r>
      <w:r w:rsidRPr="004F724D">
        <w:rPr>
          <w:rFonts w:ascii="Century Schoolbook" w:hAnsi="Century Schoolbook"/>
          <w:sz w:val="27"/>
          <w:szCs w:val="27"/>
        </w:rPr>
        <w:t xml:space="preserve"> concurred.</w:t>
      </w:r>
    </w:p>
    <w:p w:rsidR="0058223C" w:rsidP="00117453">
      <w:pPr>
        <w:tabs>
          <w:tab w:val="left" w:pos="1440"/>
          <w:tab w:val="left" w:pos="4680"/>
          <w:tab w:val="center" w:pos="7200"/>
        </w:tabs>
        <w:rPr>
          <w:rFonts w:ascii="Century Schoolbook" w:hAnsi="Century Schoolbook"/>
          <w:sz w:val="27"/>
          <w:szCs w:val="27"/>
        </w:rPr>
      </w:pPr>
    </w:p>
    <w:p w:rsidR="0058223C" w:rsidRPr="004F724D" w:rsidP="00117453">
      <w:pPr>
        <w:tabs>
          <w:tab w:val="left" w:pos="1440"/>
          <w:tab w:val="left" w:pos="4680"/>
          <w:tab w:val="center" w:pos="7200"/>
        </w:tabs>
        <w:rPr>
          <w:rFonts w:ascii="Century Schoolbook" w:hAnsi="Century Schoolbook"/>
          <w:sz w:val="27"/>
          <w:szCs w:val="27"/>
        </w:rPr>
      </w:pPr>
      <w:r>
        <w:rPr>
          <w:rFonts w:ascii="Century Schoolbook" w:hAnsi="Century Schoolbook"/>
          <w:sz w:val="27"/>
          <w:szCs w:val="27"/>
        </w:rPr>
        <w:t>Justice Liu filed a dissenting opinion.</w:t>
      </w:r>
    </w:p>
    <w:p w:rsidR="00117453" w:rsidRPr="004F724D" w:rsidP="00117453">
      <w:pPr>
        <w:tabs>
          <w:tab w:val="left" w:pos="1440"/>
          <w:tab w:val="left" w:pos="4680"/>
          <w:tab w:val="center" w:pos="7200"/>
        </w:tabs>
        <w:rPr>
          <w:rFonts w:ascii="Century Schoolbook" w:hAnsi="Century Schoolbook"/>
          <w:sz w:val="27"/>
          <w:szCs w:val="27"/>
        </w:rPr>
      </w:pPr>
    </w:p>
    <w:p w:rsidR="00117453" w:rsidP="00117453">
      <w:pPr>
        <w:tabs>
          <w:tab w:val="left" w:pos="1440"/>
          <w:tab w:val="left" w:pos="4680"/>
          <w:tab w:val="center" w:pos="7200"/>
        </w:tabs>
        <w:sectPr w:rsidSect="0082603D">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r w:rsidRPr="004F724D">
        <w:rPr>
          <w:rFonts w:ascii="Century Schoolbook" w:hAnsi="Century Schoolbook"/>
          <w:sz w:val="27"/>
          <w:szCs w:val="27"/>
        </w:rPr>
        <w:t>__________________________________________________________</w:t>
      </w:r>
      <w:r w:rsidRPr="004F724D">
        <w:rPr>
          <w:rFonts w:ascii="Century Schoolbook" w:hAnsi="Century Schoolbook"/>
          <w:sz w:val="27"/>
          <w:szCs w:val="27"/>
        </w:rPr>
        <w:br/>
      </w:r>
    </w:p>
    <w:p w:rsidR="00117453" w:rsidRPr="004F724D"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PEOPLE v. RHOADES</w:t>
      </w:r>
    </w:p>
    <w:p w:rsidR="00117453" w:rsidRPr="004F724D" w:rsidP="00625242">
      <w:pPr>
        <w:tabs>
          <w:tab w:val="left" w:pos="1440"/>
          <w:tab w:val="left" w:pos="4680"/>
          <w:tab w:val="center" w:pos="7200"/>
        </w:tabs>
        <w:spacing w:line="400" w:lineRule="exact"/>
        <w:jc w:val="center"/>
        <w:rPr>
          <w:rFonts w:ascii="Century Schoolbook" w:hAnsi="Century Schoolbook"/>
          <w:sz w:val="27"/>
          <w:szCs w:val="27"/>
        </w:rPr>
      </w:pPr>
      <w:r w:rsidRPr="004F724D">
        <w:rPr>
          <w:rFonts w:ascii="Century Schoolbook" w:hAnsi="Century Schoolbook"/>
          <w:sz w:val="27"/>
          <w:szCs w:val="27"/>
        </w:rPr>
        <w:t>S082101</w:t>
      </w:r>
    </w:p>
    <w:p w:rsidR="00117453" w:rsidRPr="004F724D" w:rsidP="00117453">
      <w:pPr>
        <w:tabs>
          <w:tab w:val="left" w:pos="1440"/>
          <w:tab w:val="left" w:pos="4680"/>
          <w:tab w:val="center" w:pos="7200"/>
        </w:tabs>
        <w:jc w:val="center"/>
        <w:rPr>
          <w:rFonts w:ascii="Century Schoolbook" w:hAnsi="Century Schoolbook"/>
          <w:sz w:val="27"/>
          <w:szCs w:val="27"/>
        </w:rPr>
      </w:pPr>
    </w:p>
    <w:p w:rsidR="00117453" w:rsidRPr="004F724D" w:rsidP="00117453">
      <w:pPr>
        <w:tabs>
          <w:tab w:val="left" w:pos="1440"/>
          <w:tab w:val="left" w:pos="4680"/>
          <w:tab w:val="center" w:pos="7200"/>
        </w:tabs>
        <w:jc w:val="center"/>
        <w:rPr>
          <w:rFonts w:ascii="Century Schoolbook" w:hAnsi="Century Schoolbook"/>
          <w:sz w:val="27"/>
          <w:szCs w:val="27"/>
        </w:rPr>
      </w:pPr>
      <w:r w:rsidRPr="004F724D">
        <w:rPr>
          <w:rFonts w:ascii="Century Schoolbook" w:hAnsi="Century Schoolbook"/>
          <w:sz w:val="27"/>
          <w:szCs w:val="27"/>
        </w:rPr>
        <w:t>Opinion of the Court by Kruger, J.</w:t>
      </w:r>
    </w:p>
    <w:p w:rsidR="009D5D3A" w:rsidP="009D5D3A">
      <w:pPr>
        <w:jc w:val="center"/>
        <w:rPr>
          <w:rFonts w:ascii="Century Schoolbook" w:hAnsi="Century Schoolbook"/>
          <w:sz w:val="27"/>
          <w:szCs w:val="27"/>
        </w:rPr>
      </w:pPr>
    </w:p>
    <w:p w:rsidR="00731643" w:rsidP="009D5D3A">
      <w:pPr>
        <w:jc w:val="center"/>
        <w:rPr>
          <w:rFonts w:ascii="Century Schoolbook" w:hAnsi="Century Schoolbook"/>
          <w:sz w:val="27"/>
          <w:szCs w:val="27"/>
        </w:rPr>
      </w:pPr>
    </w:p>
    <w:p w:rsidR="00731643" w:rsidP="009D5D3A">
      <w:pPr>
        <w:jc w:val="center"/>
        <w:rPr>
          <w:rFonts w:ascii="Century Schoolbook" w:hAnsi="Century Schoolbook"/>
          <w:sz w:val="27"/>
          <w:szCs w:val="27"/>
        </w:rPr>
      </w:pPr>
    </w:p>
    <w:p w:rsidR="00731643" w:rsidRPr="004F724D" w:rsidP="009D5D3A">
      <w:pPr>
        <w:jc w:val="center"/>
        <w:rPr>
          <w:rFonts w:ascii="Century Schoolbook" w:hAnsi="Century Schoolbook"/>
          <w:sz w:val="27"/>
          <w:szCs w:val="27"/>
        </w:rPr>
      </w:pPr>
    </w:p>
    <w:p w:rsidR="009D5D3A" w:rsidRPr="004F724D" w:rsidP="009D5D3A">
      <w:pPr>
        <w:jc w:val="center"/>
        <w:rPr>
          <w:rFonts w:ascii="Century Schoolbook" w:hAnsi="Century Schoolbook"/>
          <w:sz w:val="27"/>
          <w:szCs w:val="27"/>
        </w:rPr>
      </w:pPr>
    </w:p>
    <w:p w:rsidR="009D5D3A" w:rsidP="009D5D3A">
      <w:pPr>
        <w:jc w:val="center"/>
      </w:pPr>
    </w:p>
    <w:p w:rsidR="0071685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Robert Boyd Rhoades</w:t>
      </w:r>
      <w:r w:rsidRPr="009252C3">
        <w:rPr>
          <w:rFonts w:ascii="Century Schoolbook" w:hAnsi="Century Schoolbook"/>
          <w:sz w:val="27"/>
          <w:szCs w:val="27"/>
        </w:rPr>
        <w:t xml:space="preserve"> was convicted of </w:t>
      </w:r>
      <w:r w:rsidRPr="009252C3" w:rsidR="002E50A8">
        <w:rPr>
          <w:rFonts w:ascii="Century Schoolbook" w:hAnsi="Century Schoolbook"/>
          <w:sz w:val="27"/>
          <w:szCs w:val="27"/>
        </w:rPr>
        <w:t xml:space="preserve">the </w:t>
      </w:r>
      <w:r w:rsidRPr="009252C3">
        <w:rPr>
          <w:rFonts w:ascii="Century Schoolbook" w:hAnsi="Century Schoolbook"/>
          <w:sz w:val="27"/>
          <w:szCs w:val="27"/>
        </w:rPr>
        <w:t xml:space="preserve">first degree murder </w:t>
      </w:r>
      <w:r w:rsidRPr="009252C3" w:rsidR="004A685C">
        <w:rPr>
          <w:rFonts w:ascii="Century Schoolbook" w:hAnsi="Century Schoolbook"/>
          <w:sz w:val="27"/>
          <w:szCs w:val="27"/>
        </w:rPr>
        <w:t xml:space="preserve">of Michael Lyons, </w:t>
      </w:r>
      <w:r w:rsidRPr="009252C3">
        <w:rPr>
          <w:rFonts w:ascii="Century Schoolbook" w:hAnsi="Century Schoolbook"/>
          <w:sz w:val="27"/>
          <w:szCs w:val="27"/>
        </w:rPr>
        <w:t>with special circumstances of murder in the commission of forcible sodomy</w:t>
      </w:r>
      <w:r w:rsidRPr="009252C3" w:rsidR="004D18A1">
        <w:rPr>
          <w:rFonts w:ascii="Century Schoolbook" w:hAnsi="Century Schoolbook"/>
          <w:sz w:val="27"/>
          <w:szCs w:val="27"/>
        </w:rPr>
        <w:t xml:space="preserve">, murder in the commission of a </w:t>
      </w:r>
      <w:r w:rsidRPr="009252C3">
        <w:rPr>
          <w:rFonts w:ascii="Century Schoolbook" w:hAnsi="Century Schoolbook"/>
          <w:sz w:val="27"/>
          <w:szCs w:val="27"/>
        </w:rPr>
        <w:t>lewd act on a child</w:t>
      </w:r>
      <w:r w:rsidRPr="009252C3" w:rsidR="004D18A1">
        <w:rPr>
          <w:rFonts w:ascii="Century Schoolbook" w:hAnsi="Century Schoolbook"/>
          <w:sz w:val="27"/>
          <w:szCs w:val="27"/>
        </w:rPr>
        <w:t>,</w:t>
      </w:r>
      <w:r w:rsidRPr="009252C3">
        <w:rPr>
          <w:rFonts w:ascii="Century Schoolbook" w:hAnsi="Century Schoolbook"/>
          <w:sz w:val="27"/>
          <w:szCs w:val="27"/>
        </w:rPr>
        <w:t xml:space="preserve"> and murder by torture</w:t>
      </w:r>
      <w:r w:rsidRPr="009252C3" w:rsidR="002E50A8">
        <w:rPr>
          <w:rFonts w:ascii="Century Schoolbook" w:hAnsi="Century Schoolbook"/>
          <w:sz w:val="27"/>
          <w:szCs w:val="27"/>
        </w:rPr>
        <w:t>.  He</w:t>
      </w:r>
      <w:r w:rsidRPr="009252C3">
        <w:rPr>
          <w:rFonts w:ascii="Century Schoolbook" w:hAnsi="Century Schoolbook"/>
          <w:sz w:val="27"/>
          <w:szCs w:val="27"/>
        </w:rPr>
        <w:t xml:space="preserve"> was sentenced to death for the crime.  </w:t>
      </w:r>
      <w:r w:rsidRPr="009252C3" w:rsidR="00DD7BEC">
        <w:rPr>
          <w:rFonts w:ascii="Century Schoolbook" w:hAnsi="Century Schoolbook"/>
          <w:sz w:val="27"/>
          <w:szCs w:val="27"/>
        </w:rPr>
        <w:t xml:space="preserve">In </w:t>
      </w:r>
      <w:r w:rsidRPr="009252C3">
        <w:rPr>
          <w:rFonts w:ascii="Century Schoolbook" w:hAnsi="Century Schoolbook"/>
          <w:sz w:val="27"/>
          <w:szCs w:val="27"/>
        </w:rPr>
        <w:t>this automatic appeal</w:t>
      </w:r>
      <w:r w:rsidRPr="009252C3" w:rsidR="00DD7BEC">
        <w:rPr>
          <w:rFonts w:ascii="Century Schoolbook" w:hAnsi="Century Schoolbook"/>
          <w:sz w:val="27"/>
          <w:szCs w:val="27"/>
        </w:rPr>
        <w:t xml:space="preserve"> (Cal. Const., art. VI, § 11, subd. (a); Pen. Code, § 1239, subd. (b)), </w:t>
      </w:r>
      <w:r w:rsidRPr="009252C3" w:rsidR="0094246F">
        <w:rPr>
          <w:rFonts w:ascii="Century Schoolbook" w:hAnsi="Century Schoolbook"/>
          <w:sz w:val="27"/>
          <w:szCs w:val="27"/>
        </w:rPr>
        <w:t>we</w:t>
      </w:r>
      <w:r w:rsidRPr="009252C3">
        <w:rPr>
          <w:rFonts w:ascii="Century Schoolbook" w:hAnsi="Century Schoolbook"/>
          <w:sz w:val="27"/>
          <w:szCs w:val="27"/>
        </w:rPr>
        <w:t xml:space="preserve"> </w:t>
      </w:r>
      <w:r w:rsidRPr="009252C3" w:rsidR="00DD7BEC">
        <w:rPr>
          <w:rFonts w:ascii="Century Schoolbook" w:hAnsi="Century Schoolbook"/>
          <w:sz w:val="27"/>
          <w:szCs w:val="27"/>
        </w:rPr>
        <w:t xml:space="preserve">now </w:t>
      </w:r>
      <w:r w:rsidRPr="009252C3" w:rsidR="007B7E99">
        <w:rPr>
          <w:rFonts w:ascii="Century Schoolbook" w:hAnsi="Century Schoolbook"/>
          <w:sz w:val="27"/>
          <w:szCs w:val="27"/>
        </w:rPr>
        <w:t>affirm the judgment.</w:t>
      </w:r>
    </w:p>
    <w:p w:rsidR="00716850" w:rsidRPr="009252C3" w:rsidP="009252C3">
      <w:pPr>
        <w:pStyle w:val="Heading1"/>
        <w:spacing w:before="100" w:line="400" w:lineRule="exact"/>
        <w:rPr>
          <w:rFonts w:ascii="Century Schoolbook" w:hAnsi="Century Schoolbook"/>
          <w:sz w:val="27"/>
          <w:szCs w:val="27"/>
        </w:rPr>
      </w:pPr>
      <w:bookmarkStart w:id="2" w:name="_Toc3365803"/>
      <w:r w:rsidRPr="009252C3">
        <w:rPr>
          <w:rFonts w:ascii="Century Schoolbook" w:hAnsi="Century Schoolbook"/>
          <w:sz w:val="27"/>
          <w:szCs w:val="27"/>
        </w:rPr>
        <w:t>Background</w:t>
      </w:r>
      <w:bookmarkEnd w:id="2"/>
    </w:p>
    <w:p w:rsidR="00AA2495"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May 16, 1996, e</w:t>
      </w:r>
      <w:r w:rsidRPr="009252C3" w:rsidR="004D08F8">
        <w:rPr>
          <w:rFonts w:ascii="Century Schoolbook" w:hAnsi="Century Schoolbook"/>
          <w:sz w:val="27"/>
          <w:szCs w:val="27"/>
        </w:rPr>
        <w:t xml:space="preserve">ight-year-old </w:t>
      </w:r>
      <w:r w:rsidRPr="009252C3" w:rsidR="003B072D">
        <w:rPr>
          <w:rFonts w:ascii="Century Schoolbook" w:hAnsi="Century Schoolbook"/>
          <w:sz w:val="27"/>
          <w:szCs w:val="27"/>
        </w:rPr>
        <w:t xml:space="preserve">Michael Lyons went missing after </w:t>
      </w:r>
      <w:r w:rsidR="00C45E90">
        <w:rPr>
          <w:rFonts w:ascii="Century Schoolbook" w:hAnsi="Century Schoolbook"/>
          <w:sz w:val="27"/>
          <w:szCs w:val="27"/>
        </w:rPr>
        <w:t xml:space="preserve">attending </w:t>
      </w:r>
      <w:r w:rsidRPr="009252C3" w:rsidR="003B072D">
        <w:rPr>
          <w:rFonts w:ascii="Century Schoolbook" w:hAnsi="Century Schoolbook"/>
          <w:sz w:val="27"/>
          <w:szCs w:val="27"/>
        </w:rPr>
        <w:t>school in Yuba City</w:t>
      </w:r>
      <w:r w:rsidRPr="009252C3" w:rsidR="00D21982">
        <w:rPr>
          <w:rFonts w:ascii="Century Schoolbook" w:hAnsi="Century Schoolbook"/>
          <w:sz w:val="27"/>
          <w:szCs w:val="27"/>
        </w:rPr>
        <w:t>.  H</w:t>
      </w:r>
      <w:r w:rsidRPr="009252C3" w:rsidR="003B072D">
        <w:rPr>
          <w:rFonts w:ascii="Century Schoolbook" w:hAnsi="Century Schoolbook"/>
          <w:sz w:val="27"/>
          <w:szCs w:val="27"/>
        </w:rPr>
        <w:t>is body was found the next day on the banks of the Feather River</w:t>
      </w:r>
      <w:r w:rsidRPr="009252C3">
        <w:rPr>
          <w:rFonts w:ascii="Century Schoolbook" w:hAnsi="Century Schoolbook"/>
          <w:sz w:val="27"/>
          <w:szCs w:val="27"/>
        </w:rPr>
        <w:t>.</w:t>
      </w:r>
      <w:r w:rsidRPr="009252C3" w:rsidR="00D21982">
        <w:rPr>
          <w:rFonts w:ascii="Century Schoolbook" w:hAnsi="Century Schoolbook"/>
          <w:sz w:val="27"/>
          <w:szCs w:val="27"/>
        </w:rPr>
        <w:t xml:space="preserve"> </w:t>
      </w:r>
      <w:r w:rsidRPr="009252C3">
        <w:rPr>
          <w:rFonts w:ascii="Century Schoolbook" w:hAnsi="Century Schoolbook"/>
          <w:sz w:val="27"/>
          <w:szCs w:val="27"/>
        </w:rPr>
        <w:t xml:space="preserve"> H</w:t>
      </w:r>
      <w:r w:rsidRPr="009252C3" w:rsidR="00D21982">
        <w:rPr>
          <w:rFonts w:ascii="Century Schoolbook" w:hAnsi="Century Schoolbook"/>
          <w:sz w:val="27"/>
          <w:szCs w:val="27"/>
        </w:rPr>
        <w:t>e had been</w:t>
      </w:r>
      <w:r w:rsidRPr="009252C3" w:rsidR="003B072D">
        <w:rPr>
          <w:rFonts w:ascii="Century Schoolbook" w:hAnsi="Century Schoolbook"/>
          <w:sz w:val="27"/>
          <w:szCs w:val="27"/>
        </w:rPr>
        <w:t xml:space="preserve"> </w:t>
      </w:r>
      <w:r w:rsidRPr="009252C3" w:rsidR="00D21982">
        <w:rPr>
          <w:rFonts w:ascii="Century Schoolbook" w:hAnsi="Century Schoolbook"/>
          <w:sz w:val="27"/>
          <w:szCs w:val="27"/>
        </w:rPr>
        <w:t>stabbed to death sometime between the late afternoon of May 16 and the early morning of May 17</w:t>
      </w:r>
      <w:r w:rsidRPr="009252C3" w:rsidR="003B072D">
        <w:rPr>
          <w:rFonts w:ascii="Century Schoolbook" w:hAnsi="Century Schoolbook"/>
          <w:sz w:val="27"/>
          <w:szCs w:val="27"/>
        </w:rPr>
        <w:t>.</w:t>
      </w:r>
      <w:r w:rsidRPr="009252C3" w:rsidR="00D329F1">
        <w:rPr>
          <w:rFonts w:ascii="Century Schoolbook" w:hAnsi="Century Schoolbook"/>
          <w:sz w:val="27"/>
          <w:szCs w:val="27"/>
        </w:rPr>
        <w:t xml:space="preserve">  </w:t>
      </w:r>
      <w:r w:rsidRPr="009252C3" w:rsidR="003B072D">
        <w:rPr>
          <w:rFonts w:ascii="Century Schoolbook" w:hAnsi="Century Schoolbook"/>
          <w:sz w:val="27"/>
          <w:szCs w:val="27"/>
        </w:rPr>
        <w:t xml:space="preserve">Defendant was tied to </w:t>
      </w:r>
      <w:r w:rsidRPr="009252C3" w:rsidR="004A685C">
        <w:rPr>
          <w:rFonts w:ascii="Century Schoolbook" w:hAnsi="Century Schoolbook"/>
          <w:sz w:val="27"/>
          <w:szCs w:val="27"/>
        </w:rPr>
        <w:t xml:space="preserve">the crime mainly by physical evidence indicating that </w:t>
      </w:r>
      <w:r w:rsidRPr="009252C3" w:rsidR="00CD624E">
        <w:rPr>
          <w:rFonts w:ascii="Century Schoolbook" w:hAnsi="Century Schoolbook"/>
          <w:sz w:val="27"/>
          <w:szCs w:val="27"/>
        </w:rPr>
        <w:t>Michael</w:t>
      </w:r>
      <w:r w:rsidRPr="009252C3" w:rsidR="004A685C">
        <w:rPr>
          <w:rFonts w:ascii="Century Schoolbook" w:hAnsi="Century Schoolbook"/>
          <w:sz w:val="27"/>
          <w:szCs w:val="27"/>
        </w:rPr>
        <w:t xml:space="preserve"> was </w:t>
      </w:r>
      <w:r w:rsidRPr="009252C3" w:rsidR="004C22CF">
        <w:rPr>
          <w:rFonts w:ascii="Century Schoolbook" w:hAnsi="Century Schoolbook"/>
          <w:sz w:val="27"/>
          <w:szCs w:val="27"/>
        </w:rPr>
        <w:t>attacked</w:t>
      </w:r>
      <w:r w:rsidRPr="009252C3" w:rsidR="004A685C">
        <w:rPr>
          <w:rFonts w:ascii="Century Schoolbook" w:hAnsi="Century Schoolbook"/>
          <w:sz w:val="27"/>
          <w:szCs w:val="27"/>
        </w:rPr>
        <w:t xml:space="preserve"> in defendant’s pickup truck, which was found stuck in the muddy river banks on May 17</w:t>
      </w:r>
      <w:r w:rsidRPr="009252C3" w:rsidR="00D21982">
        <w:rPr>
          <w:rFonts w:ascii="Century Schoolbook" w:hAnsi="Century Schoolbook"/>
          <w:sz w:val="27"/>
          <w:szCs w:val="27"/>
        </w:rPr>
        <w:t>,</w:t>
      </w:r>
      <w:r w:rsidRPr="009252C3" w:rsidR="004A685C">
        <w:rPr>
          <w:rFonts w:ascii="Century Schoolbook" w:hAnsi="Century Schoolbook"/>
          <w:sz w:val="27"/>
          <w:szCs w:val="27"/>
        </w:rPr>
        <w:t xml:space="preserve"> and that the murder weapon was a fishing knife defendant kept in the back of his truck.</w:t>
      </w:r>
      <w:r w:rsidRPr="009252C3" w:rsidR="00F646E0">
        <w:rPr>
          <w:rFonts w:ascii="Century Schoolbook" w:hAnsi="Century Schoolbook"/>
          <w:sz w:val="27"/>
          <w:szCs w:val="27"/>
        </w:rPr>
        <w:t xml:space="preserve">  </w:t>
      </w:r>
    </w:p>
    <w:p w:rsidR="00AA249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was charged in Sutter County with first degree murder (count 1; Pen. Code, § 187) with special circumstances of murder in the commission of kidnapping, murder in the commission of sodomy, murder in the commission of a lewd act on a child, and intentional murder involving the infliction of </w:t>
      </w:r>
      <w:r w:rsidRPr="009252C3">
        <w:rPr>
          <w:rFonts w:ascii="Century Schoolbook" w:hAnsi="Century Schoolbook"/>
          <w:sz w:val="27"/>
          <w:szCs w:val="27"/>
        </w:rPr>
        <w:t>torture (</w:t>
      </w:r>
      <w:r w:rsidRPr="009252C3">
        <w:rPr>
          <w:rFonts w:ascii="Century Schoolbook" w:hAnsi="Century Schoolbook"/>
          <w:i/>
          <w:sz w:val="27"/>
          <w:szCs w:val="27"/>
        </w:rPr>
        <w:t>id.</w:t>
      </w:r>
      <w:r w:rsidRPr="009252C3">
        <w:rPr>
          <w:rFonts w:ascii="Century Schoolbook" w:hAnsi="Century Schoolbook"/>
          <w:sz w:val="27"/>
          <w:szCs w:val="27"/>
        </w:rPr>
        <w:t xml:space="preserve">, § 190.2, subd. (a)(17)(B), (a)(17)(D), (a)(17)(E), (a)(18)); kidnapping (count 2; </w:t>
      </w:r>
      <w:r w:rsidRPr="009252C3">
        <w:rPr>
          <w:rFonts w:ascii="Century Schoolbook" w:hAnsi="Century Schoolbook"/>
          <w:i/>
          <w:sz w:val="27"/>
          <w:szCs w:val="27"/>
        </w:rPr>
        <w:t>id.</w:t>
      </w:r>
      <w:r w:rsidRPr="009252C3">
        <w:rPr>
          <w:rFonts w:ascii="Century Schoolbook" w:hAnsi="Century Schoolbook"/>
          <w:sz w:val="27"/>
          <w:szCs w:val="27"/>
        </w:rPr>
        <w:t xml:space="preserve">, § 207, subd. (a)); kidnapping for the purpose of committing a lewd act with a child (count 3; </w:t>
      </w:r>
      <w:r w:rsidRPr="009252C3">
        <w:rPr>
          <w:rFonts w:ascii="Century Schoolbook" w:hAnsi="Century Schoolbook"/>
          <w:i/>
          <w:sz w:val="27"/>
          <w:szCs w:val="27"/>
        </w:rPr>
        <w:t>id.</w:t>
      </w:r>
      <w:r w:rsidRPr="009252C3">
        <w:rPr>
          <w:rFonts w:ascii="Century Schoolbook" w:hAnsi="Century Schoolbook"/>
          <w:sz w:val="27"/>
          <w:szCs w:val="27"/>
        </w:rPr>
        <w:t xml:space="preserve">, § 207, subd. (b)); torture (count 4; </w:t>
      </w:r>
      <w:r w:rsidRPr="009252C3">
        <w:rPr>
          <w:rFonts w:ascii="Century Schoolbook" w:hAnsi="Century Schoolbook"/>
          <w:i/>
          <w:sz w:val="27"/>
          <w:szCs w:val="27"/>
        </w:rPr>
        <w:t>id.</w:t>
      </w:r>
      <w:r w:rsidRPr="009252C3">
        <w:rPr>
          <w:rFonts w:ascii="Century Schoolbook" w:hAnsi="Century Schoolbook"/>
          <w:sz w:val="27"/>
          <w:szCs w:val="27"/>
        </w:rPr>
        <w:t xml:space="preserve">, § 206); sodomy by force or with a person under 14 years of age and more than 10 years younger than the perpetrator (count 5; </w:t>
      </w:r>
      <w:r w:rsidRPr="009252C3">
        <w:rPr>
          <w:rFonts w:ascii="Century Schoolbook" w:hAnsi="Century Schoolbook"/>
          <w:i/>
          <w:sz w:val="27"/>
          <w:szCs w:val="27"/>
        </w:rPr>
        <w:t>id.</w:t>
      </w:r>
      <w:r w:rsidRPr="009252C3">
        <w:rPr>
          <w:rFonts w:ascii="Century Schoolbook" w:hAnsi="Century Schoolbook"/>
          <w:sz w:val="27"/>
          <w:szCs w:val="27"/>
        </w:rPr>
        <w:t xml:space="preserve">, § 286, subd. (c)); a lewd or lascivious act on a child under the age of 14 (count 6; </w:t>
      </w:r>
      <w:r w:rsidRPr="009252C3">
        <w:rPr>
          <w:rFonts w:ascii="Century Schoolbook" w:hAnsi="Century Schoolbook"/>
          <w:i/>
          <w:sz w:val="27"/>
          <w:szCs w:val="27"/>
        </w:rPr>
        <w:t>id.</w:t>
      </w:r>
      <w:r w:rsidRPr="009252C3">
        <w:rPr>
          <w:rFonts w:ascii="Century Schoolbook" w:hAnsi="Century Schoolbook"/>
          <w:sz w:val="27"/>
          <w:szCs w:val="27"/>
        </w:rPr>
        <w:t xml:space="preserve">, § 288, subd. (a)); a lewd or lascivious act on a child under the age of 14 by force or duress (count 7; </w:t>
      </w:r>
      <w:r w:rsidRPr="009252C3">
        <w:rPr>
          <w:rFonts w:ascii="Century Schoolbook" w:hAnsi="Century Schoolbook"/>
          <w:i/>
          <w:sz w:val="27"/>
          <w:szCs w:val="27"/>
        </w:rPr>
        <w:t>id.</w:t>
      </w:r>
      <w:r w:rsidRPr="009252C3">
        <w:rPr>
          <w:rFonts w:ascii="Century Schoolbook" w:hAnsi="Century Schoolbook"/>
          <w:sz w:val="27"/>
          <w:szCs w:val="27"/>
        </w:rPr>
        <w:t xml:space="preserve">, § 288, subd. (b)(1)); oral copulation by force or with a person under 14 years of age and more than 10 years younger than the perpetrator (count 8; </w:t>
      </w:r>
      <w:r w:rsidRPr="009252C3">
        <w:rPr>
          <w:rFonts w:ascii="Century Schoolbook" w:hAnsi="Century Schoolbook"/>
          <w:i/>
          <w:sz w:val="27"/>
          <w:szCs w:val="27"/>
        </w:rPr>
        <w:t>id.</w:t>
      </w:r>
      <w:r w:rsidRPr="009252C3">
        <w:rPr>
          <w:rFonts w:ascii="Century Schoolbook" w:hAnsi="Century Schoolbook"/>
          <w:sz w:val="27"/>
          <w:szCs w:val="27"/>
        </w:rPr>
        <w:t>, former § 288a, subd. (c)</w:t>
      </w:r>
      <w:r>
        <w:rPr>
          <w:rStyle w:val="FootnoteReference"/>
          <w:rFonts w:ascii="Century Schoolbook" w:hAnsi="Century Schoolbook"/>
          <w:sz w:val="27"/>
          <w:szCs w:val="27"/>
          <w:vertAlign w:val="superscript"/>
        </w:rPr>
        <w:footnoteReference w:id="3"/>
      </w:r>
      <w:r w:rsidRPr="009252C3">
        <w:rPr>
          <w:rFonts w:ascii="Century Schoolbook" w:hAnsi="Century Schoolbook"/>
          <w:sz w:val="27"/>
          <w:szCs w:val="27"/>
        </w:rPr>
        <w:t xml:space="preserve">); and possession of methamphetamine (count 9; Health &amp; Saf. Code, § 11377, subd. (a)).  The information also alleged prior convictions and prison terms for purposes of sentence enhancements and sentencing under the “Three Strikes” law (Pen. Code, §§ 667, 667.5, 1170.12) and a misdemeanor charge of possessing a hypodermic needle or syringe (count 10; Bus. &amp; Prof. Code, </w:t>
      </w:r>
      <w:r w:rsidR="00E13368">
        <w:rPr>
          <w:rFonts w:ascii="Century Schoolbook" w:hAnsi="Century Schoolbook"/>
          <w:sz w:val="27"/>
          <w:szCs w:val="27"/>
        </w:rPr>
        <w:t xml:space="preserve">former </w:t>
      </w:r>
      <w:r w:rsidRPr="009252C3">
        <w:rPr>
          <w:rFonts w:ascii="Century Schoolbook" w:hAnsi="Century Schoolbook"/>
          <w:sz w:val="27"/>
          <w:szCs w:val="27"/>
        </w:rPr>
        <w:t>§ 4140</w:t>
      </w:r>
      <w:r w:rsidR="00E13368">
        <w:rPr>
          <w:rFonts w:ascii="Century Schoolbook" w:hAnsi="Century Schoolbook"/>
          <w:sz w:val="27"/>
          <w:szCs w:val="27"/>
        </w:rPr>
        <w:t>, added by Stats. 1996, ch. 890, § 3 and repealed by Stats. 2011, ch. 738, § 2, eff. Jan. 1, 2012</w:t>
      </w:r>
      <w:r w:rsidRPr="009252C3">
        <w:rPr>
          <w:rFonts w:ascii="Century Schoolbook" w:hAnsi="Century Schoolbook"/>
          <w:sz w:val="27"/>
          <w:szCs w:val="27"/>
        </w:rPr>
        <w:t>).</w:t>
      </w:r>
    </w:p>
    <w:p w:rsidR="00AA249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After the Sutter County court granted a motion for change of venue, the case was tried in Sacramento County.  The guilt trial began on April 14, 1998, and concluded with jury verdicts on June 17, 1998.  The jury convicted on all counts except those charging kidnapping (counts 2 and 3) and forcible oral copulation (count 8), as to which it could not reach a verdict, and found true the special circumstances, except that for murder in </w:t>
      </w:r>
      <w:r w:rsidRPr="009252C3">
        <w:rPr>
          <w:rFonts w:ascii="Century Schoolbook" w:hAnsi="Century Schoolbook"/>
          <w:sz w:val="27"/>
          <w:szCs w:val="27"/>
        </w:rPr>
        <w:t xml:space="preserve">the commission of kidnapping, as to which it could not reach a verdict.  A mistrial was declared on the counts and allegation as to which the jury was deadlocked, and </w:t>
      </w:r>
      <w:r w:rsidR="00E13368">
        <w:rPr>
          <w:rFonts w:ascii="Century Schoolbook" w:hAnsi="Century Schoolbook"/>
          <w:sz w:val="27"/>
          <w:szCs w:val="27"/>
        </w:rPr>
        <w:t>those cou</w:t>
      </w:r>
      <w:r w:rsidR="002A305C">
        <w:rPr>
          <w:rFonts w:ascii="Century Schoolbook" w:hAnsi="Century Schoolbook"/>
          <w:sz w:val="27"/>
          <w:szCs w:val="27"/>
        </w:rPr>
        <w:t>n</w:t>
      </w:r>
      <w:r w:rsidR="00E13368">
        <w:rPr>
          <w:rFonts w:ascii="Century Schoolbook" w:hAnsi="Century Schoolbook"/>
          <w:sz w:val="27"/>
          <w:szCs w:val="27"/>
        </w:rPr>
        <w:t>ts</w:t>
      </w:r>
      <w:r w:rsidRPr="009252C3">
        <w:rPr>
          <w:rFonts w:ascii="Century Schoolbook" w:hAnsi="Century Schoolbook"/>
          <w:sz w:val="27"/>
          <w:szCs w:val="27"/>
        </w:rPr>
        <w:t xml:space="preserve"> were dismissed on the prosecutor’s motion.</w:t>
      </w:r>
    </w:p>
    <w:p w:rsidR="00AA249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first penalty trial ended in a mistrial on July 9, 1998, when the jury was unable to reach a verdict.  The penalty retrial began on December 1, 1998, with selection of a new penalty jury and concluded with a verdict of death on March 19, 1999.  On September 10, 1999, the Sacramento County Superior Court sentenced defendant to death for first degree murder with special circumstances, to life terms (stayed under Pen. Code, § 654) for sodomy, lewd act with a child</w:t>
      </w:r>
      <w:r w:rsidR="00E13368">
        <w:rPr>
          <w:rFonts w:ascii="Century Schoolbook" w:hAnsi="Century Schoolbook"/>
          <w:sz w:val="27"/>
          <w:szCs w:val="27"/>
        </w:rPr>
        <w:t>,</w:t>
      </w:r>
      <w:r w:rsidRPr="009252C3">
        <w:rPr>
          <w:rFonts w:ascii="Century Schoolbook" w:hAnsi="Century Schoolbook"/>
          <w:sz w:val="27"/>
          <w:szCs w:val="27"/>
        </w:rPr>
        <w:t xml:space="preserve"> and torture, and to a determinate term for his prior convictions and prison terms.  Defendant’s automatic appeal was noticed the same day.</w:t>
      </w:r>
    </w:p>
    <w:p w:rsidR="00826485" w:rsidRPr="009252C3" w:rsidP="009252C3">
      <w:pPr>
        <w:pStyle w:val="Heading2"/>
        <w:spacing w:before="100" w:line="400" w:lineRule="exact"/>
        <w:ind w:left="0" w:firstLine="720"/>
        <w:jc w:val="both"/>
        <w:rPr>
          <w:rFonts w:ascii="Century Schoolbook" w:hAnsi="Century Schoolbook"/>
          <w:sz w:val="27"/>
          <w:szCs w:val="27"/>
        </w:rPr>
      </w:pPr>
      <w:bookmarkStart w:id="3" w:name="_Toc3365804"/>
      <w:r w:rsidRPr="009252C3">
        <w:rPr>
          <w:rFonts w:ascii="Century Schoolbook" w:hAnsi="Century Schoolbook"/>
          <w:sz w:val="27"/>
          <w:szCs w:val="27"/>
        </w:rPr>
        <w:t>Guilt Phase Evidence</w:t>
      </w:r>
      <w:bookmarkEnd w:id="3"/>
    </w:p>
    <w:p w:rsidR="00A42303"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Michael </w:t>
      </w:r>
      <w:r w:rsidRPr="009252C3" w:rsidR="00D21982">
        <w:rPr>
          <w:rFonts w:ascii="Century Schoolbook" w:hAnsi="Century Schoolbook"/>
          <w:sz w:val="27"/>
          <w:szCs w:val="27"/>
        </w:rPr>
        <w:t xml:space="preserve">Lyons lived </w:t>
      </w:r>
      <w:r w:rsidRPr="009252C3" w:rsidR="005444FC">
        <w:rPr>
          <w:rFonts w:ascii="Century Schoolbook" w:hAnsi="Century Schoolbook"/>
          <w:sz w:val="27"/>
          <w:szCs w:val="27"/>
        </w:rPr>
        <w:t xml:space="preserve">in Yuba City </w:t>
      </w:r>
      <w:r w:rsidRPr="009252C3" w:rsidR="00D21982">
        <w:rPr>
          <w:rFonts w:ascii="Century Schoolbook" w:hAnsi="Century Schoolbook"/>
          <w:sz w:val="27"/>
          <w:szCs w:val="27"/>
        </w:rPr>
        <w:t>with his mother, stepfather</w:t>
      </w:r>
      <w:r w:rsidRPr="009252C3" w:rsidR="00D329F1">
        <w:rPr>
          <w:rFonts w:ascii="Century Schoolbook" w:hAnsi="Century Schoolbook"/>
          <w:sz w:val="27"/>
          <w:szCs w:val="27"/>
        </w:rPr>
        <w:t>,</w:t>
      </w:r>
      <w:r w:rsidRPr="009252C3" w:rsidR="00D21982">
        <w:rPr>
          <w:rFonts w:ascii="Century Schoolbook" w:hAnsi="Century Schoolbook"/>
          <w:sz w:val="27"/>
          <w:szCs w:val="27"/>
        </w:rPr>
        <w:t xml:space="preserve"> a</w:t>
      </w:r>
      <w:r w:rsidRPr="009252C3">
        <w:rPr>
          <w:rFonts w:ascii="Century Schoolbook" w:hAnsi="Century Schoolbook"/>
          <w:sz w:val="27"/>
          <w:szCs w:val="27"/>
        </w:rPr>
        <w:t>nd two younger sisters</w:t>
      </w:r>
      <w:r w:rsidRPr="009252C3" w:rsidR="005444FC">
        <w:rPr>
          <w:rFonts w:ascii="Century Schoolbook" w:hAnsi="Century Schoolbook"/>
          <w:sz w:val="27"/>
          <w:szCs w:val="27"/>
        </w:rPr>
        <w:t xml:space="preserve">.  He </w:t>
      </w:r>
      <w:r w:rsidRPr="009252C3">
        <w:rPr>
          <w:rFonts w:ascii="Century Schoolbook" w:hAnsi="Century Schoolbook"/>
          <w:sz w:val="27"/>
          <w:szCs w:val="27"/>
        </w:rPr>
        <w:t xml:space="preserve">attended third grade </w:t>
      </w:r>
      <w:r w:rsidRPr="009252C3" w:rsidR="005444FC">
        <w:rPr>
          <w:rFonts w:ascii="Century Schoolbook" w:hAnsi="Century Schoolbook"/>
          <w:sz w:val="27"/>
          <w:szCs w:val="27"/>
        </w:rPr>
        <w:t>at a school in their neighborhood</w:t>
      </w:r>
      <w:r w:rsidRPr="009252C3">
        <w:rPr>
          <w:rFonts w:ascii="Century Schoolbook" w:hAnsi="Century Schoolbook"/>
          <w:sz w:val="27"/>
          <w:szCs w:val="27"/>
        </w:rPr>
        <w:t xml:space="preserve">.  </w:t>
      </w:r>
      <w:r w:rsidRPr="009252C3" w:rsidR="00115593">
        <w:rPr>
          <w:rFonts w:ascii="Century Schoolbook" w:hAnsi="Century Schoolbook"/>
          <w:sz w:val="27"/>
          <w:szCs w:val="27"/>
        </w:rPr>
        <w:t xml:space="preserve">Various witnesses saw him leave school on the afternoon of May 16, 1996.  </w:t>
      </w:r>
      <w:r w:rsidRPr="009252C3" w:rsidR="00CD624E">
        <w:rPr>
          <w:rFonts w:ascii="Century Schoolbook" w:hAnsi="Century Schoolbook"/>
          <w:sz w:val="27"/>
          <w:szCs w:val="27"/>
        </w:rPr>
        <w:t xml:space="preserve">Michael’s teacher testified that Michael left the classroom </w:t>
      </w:r>
      <w:r w:rsidRPr="009252C3" w:rsidR="007C16D5">
        <w:rPr>
          <w:rFonts w:ascii="Century Schoolbook" w:hAnsi="Century Schoolbook"/>
          <w:sz w:val="27"/>
          <w:szCs w:val="27"/>
        </w:rPr>
        <w:t xml:space="preserve">when </w:t>
      </w:r>
      <w:r w:rsidRPr="009252C3" w:rsidR="00252EB3">
        <w:rPr>
          <w:rFonts w:ascii="Century Schoolbook" w:hAnsi="Century Schoolbook"/>
          <w:sz w:val="27"/>
          <w:szCs w:val="27"/>
        </w:rPr>
        <w:t xml:space="preserve">his last class </w:t>
      </w:r>
      <w:r w:rsidRPr="009252C3" w:rsidR="00BD256A">
        <w:rPr>
          <w:rFonts w:ascii="Century Schoolbook" w:hAnsi="Century Schoolbook"/>
          <w:sz w:val="27"/>
          <w:szCs w:val="27"/>
        </w:rPr>
        <w:t xml:space="preserve">ended </w:t>
      </w:r>
      <w:r w:rsidRPr="009252C3" w:rsidR="00CD624E">
        <w:rPr>
          <w:rFonts w:ascii="Century Schoolbook" w:hAnsi="Century Schoolbook"/>
          <w:sz w:val="27"/>
          <w:szCs w:val="27"/>
        </w:rPr>
        <w:t>at 2:50 p</w:t>
      </w:r>
      <w:r w:rsidRPr="009252C3" w:rsidR="005A7577">
        <w:rPr>
          <w:rFonts w:ascii="Century Schoolbook" w:hAnsi="Century Schoolbook"/>
          <w:sz w:val="27"/>
          <w:szCs w:val="27"/>
        </w:rPr>
        <w:t>.</w:t>
      </w:r>
      <w:r w:rsidRPr="009252C3" w:rsidR="00CD624E">
        <w:rPr>
          <w:rFonts w:ascii="Century Schoolbook" w:hAnsi="Century Schoolbook"/>
          <w:sz w:val="27"/>
          <w:szCs w:val="27"/>
        </w:rPr>
        <w:t>m</w:t>
      </w:r>
      <w:r w:rsidRPr="009252C3" w:rsidR="005A7577">
        <w:rPr>
          <w:rFonts w:ascii="Century Schoolbook" w:hAnsi="Century Schoolbook"/>
          <w:sz w:val="27"/>
          <w:szCs w:val="27"/>
        </w:rPr>
        <w:t>.</w:t>
      </w:r>
      <w:r w:rsidRPr="009252C3" w:rsidR="00045E74">
        <w:rPr>
          <w:rFonts w:ascii="Century Schoolbook" w:hAnsi="Century Schoolbook"/>
          <w:sz w:val="27"/>
          <w:szCs w:val="27"/>
        </w:rPr>
        <w:t xml:space="preserve"> </w:t>
      </w:r>
      <w:r w:rsidRPr="009252C3" w:rsidR="00BD256A">
        <w:rPr>
          <w:rFonts w:ascii="Century Schoolbook" w:hAnsi="Century Schoolbook"/>
          <w:sz w:val="27"/>
          <w:szCs w:val="27"/>
        </w:rPr>
        <w:t xml:space="preserve"> </w:t>
      </w:r>
      <w:r w:rsidRPr="009252C3" w:rsidR="00E94313">
        <w:rPr>
          <w:rFonts w:ascii="Century Schoolbook" w:hAnsi="Century Schoolbook"/>
          <w:sz w:val="27"/>
          <w:szCs w:val="27"/>
        </w:rPr>
        <w:t>Another</w:t>
      </w:r>
      <w:r w:rsidRPr="009252C3" w:rsidR="00045E74">
        <w:rPr>
          <w:rFonts w:ascii="Century Schoolbook" w:hAnsi="Century Schoolbook"/>
          <w:sz w:val="27"/>
          <w:szCs w:val="27"/>
        </w:rPr>
        <w:t xml:space="preserve"> teacher</w:t>
      </w:r>
      <w:r w:rsidRPr="009252C3" w:rsidR="00E94313">
        <w:rPr>
          <w:rFonts w:ascii="Century Schoolbook" w:hAnsi="Century Schoolbook"/>
          <w:sz w:val="27"/>
          <w:szCs w:val="27"/>
        </w:rPr>
        <w:t>, who was</w:t>
      </w:r>
      <w:r w:rsidRPr="009252C3" w:rsidR="00045E74">
        <w:rPr>
          <w:rFonts w:ascii="Century Schoolbook" w:hAnsi="Century Schoolbook"/>
          <w:sz w:val="27"/>
          <w:szCs w:val="27"/>
        </w:rPr>
        <w:t xml:space="preserve"> on </w:t>
      </w:r>
      <w:r w:rsidRPr="009252C3" w:rsidR="00E94313">
        <w:rPr>
          <w:rFonts w:ascii="Century Schoolbook" w:hAnsi="Century Schoolbook"/>
          <w:sz w:val="27"/>
          <w:szCs w:val="27"/>
        </w:rPr>
        <w:t>gate duty that day</w:t>
      </w:r>
      <w:r w:rsidRPr="009252C3" w:rsidR="00CD624E">
        <w:rPr>
          <w:rFonts w:ascii="Century Schoolbook" w:hAnsi="Century Schoolbook"/>
          <w:sz w:val="27"/>
          <w:szCs w:val="27"/>
        </w:rPr>
        <w:t xml:space="preserve">, testified </w:t>
      </w:r>
      <w:r w:rsidRPr="009252C3" w:rsidR="00E2111A">
        <w:rPr>
          <w:rFonts w:ascii="Century Schoolbook" w:hAnsi="Century Schoolbook"/>
          <w:sz w:val="27"/>
          <w:szCs w:val="27"/>
        </w:rPr>
        <w:t xml:space="preserve">that </w:t>
      </w:r>
      <w:r w:rsidRPr="009252C3" w:rsidR="00A71A7A">
        <w:rPr>
          <w:rFonts w:ascii="Century Schoolbook" w:hAnsi="Century Schoolbook"/>
          <w:sz w:val="27"/>
          <w:szCs w:val="27"/>
        </w:rPr>
        <w:t xml:space="preserve">Michael left the school at 3:05 p.m.  </w:t>
      </w:r>
      <w:r w:rsidRPr="009252C3" w:rsidR="004338B7">
        <w:rPr>
          <w:rFonts w:ascii="Century Schoolbook" w:hAnsi="Century Schoolbook"/>
          <w:sz w:val="27"/>
          <w:szCs w:val="27"/>
        </w:rPr>
        <w:t xml:space="preserve">The teacher noted the time because </w:t>
      </w:r>
      <w:r w:rsidRPr="009252C3" w:rsidR="00A71A7A">
        <w:rPr>
          <w:rFonts w:ascii="Century Schoolbook" w:hAnsi="Century Schoolbook"/>
          <w:sz w:val="27"/>
          <w:szCs w:val="27"/>
        </w:rPr>
        <w:t xml:space="preserve">Michael was the last student to leave, and </w:t>
      </w:r>
      <w:r w:rsidRPr="009252C3" w:rsidR="007B4B4E">
        <w:rPr>
          <w:rFonts w:ascii="Century Schoolbook" w:hAnsi="Century Schoolbook"/>
          <w:sz w:val="27"/>
          <w:szCs w:val="27"/>
        </w:rPr>
        <w:t xml:space="preserve">she was </w:t>
      </w:r>
      <w:r w:rsidRPr="009252C3" w:rsidR="00A71A7A">
        <w:rPr>
          <w:rFonts w:ascii="Century Schoolbook" w:hAnsi="Century Schoolbook"/>
          <w:sz w:val="27"/>
          <w:szCs w:val="27"/>
        </w:rPr>
        <w:t xml:space="preserve">anxious to get inside </w:t>
      </w:r>
      <w:r w:rsidRPr="009252C3" w:rsidR="00D7796E">
        <w:rPr>
          <w:rFonts w:ascii="Century Schoolbook" w:hAnsi="Century Schoolbook"/>
          <w:sz w:val="27"/>
          <w:szCs w:val="27"/>
        </w:rPr>
        <w:t>out of the rain</w:t>
      </w:r>
      <w:r w:rsidRPr="009252C3" w:rsidR="00A71A7A">
        <w:rPr>
          <w:rFonts w:ascii="Century Schoolbook" w:hAnsi="Century Schoolbook"/>
          <w:sz w:val="27"/>
          <w:szCs w:val="27"/>
        </w:rPr>
        <w:t xml:space="preserve">.  </w:t>
      </w:r>
      <w:r w:rsidR="00945425">
        <w:rPr>
          <w:rFonts w:ascii="Century Schoolbook" w:hAnsi="Century Schoolbook"/>
          <w:sz w:val="27"/>
          <w:szCs w:val="27"/>
        </w:rPr>
        <w:t>Sometime after 3:00 p.m., a</w:t>
      </w:r>
      <w:r w:rsidRPr="009252C3" w:rsidR="00826485">
        <w:rPr>
          <w:rFonts w:ascii="Century Schoolbook" w:hAnsi="Century Schoolbook"/>
          <w:sz w:val="27"/>
          <w:szCs w:val="27"/>
        </w:rPr>
        <w:t xml:space="preserve"> neighbor of Michael</w:t>
      </w:r>
      <w:r w:rsidR="00945425">
        <w:rPr>
          <w:rFonts w:ascii="Century Schoolbook" w:hAnsi="Century Schoolbook"/>
          <w:sz w:val="27"/>
          <w:szCs w:val="27"/>
        </w:rPr>
        <w:t xml:space="preserve">’s </w:t>
      </w:r>
      <w:r w:rsidRPr="009252C3" w:rsidR="00826485">
        <w:rPr>
          <w:rFonts w:ascii="Century Schoolbook" w:hAnsi="Century Schoolbook"/>
          <w:sz w:val="27"/>
          <w:szCs w:val="27"/>
        </w:rPr>
        <w:t xml:space="preserve">saw </w:t>
      </w:r>
      <w:r w:rsidR="00945425">
        <w:rPr>
          <w:rFonts w:ascii="Century Schoolbook" w:hAnsi="Century Schoolbook"/>
          <w:sz w:val="27"/>
          <w:szCs w:val="27"/>
        </w:rPr>
        <w:t>him</w:t>
      </w:r>
      <w:r w:rsidRPr="009252C3" w:rsidR="00191494">
        <w:rPr>
          <w:rFonts w:ascii="Century Schoolbook" w:hAnsi="Century Schoolbook"/>
          <w:sz w:val="27"/>
          <w:szCs w:val="27"/>
        </w:rPr>
        <w:t xml:space="preserve"> </w:t>
      </w:r>
      <w:r w:rsidRPr="009252C3" w:rsidR="00826485">
        <w:rPr>
          <w:rFonts w:ascii="Century Schoolbook" w:hAnsi="Century Schoolbook"/>
          <w:sz w:val="27"/>
          <w:szCs w:val="27"/>
        </w:rPr>
        <w:t>walking by himself</w:t>
      </w:r>
      <w:r w:rsidRPr="009252C3" w:rsidR="001804EC">
        <w:rPr>
          <w:rFonts w:ascii="Century Schoolbook" w:hAnsi="Century Schoolbook"/>
          <w:sz w:val="27"/>
          <w:szCs w:val="27"/>
        </w:rPr>
        <w:t xml:space="preserve">, carrying a stick, </w:t>
      </w:r>
      <w:r w:rsidRPr="009252C3" w:rsidR="00654A02">
        <w:rPr>
          <w:rFonts w:ascii="Century Schoolbook" w:hAnsi="Century Schoolbook"/>
          <w:sz w:val="27"/>
          <w:szCs w:val="27"/>
        </w:rPr>
        <w:t>along C Street in Yuba City</w:t>
      </w:r>
      <w:r w:rsidRPr="009252C3" w:rsidR="00826485">
        <w:rPr>
          <w:rFonts w:ascii="Century Schoolbook" w:hAnsi="Century Schoolbook"/>
          <w:sz w:val="27"/>
          <w:szCs w:val="27"/>
        </w:rPr>
        <w:t>.</w:t>
      </w:r>
    </w:p>
    <w:p w:rsidR="00A4230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Two witnesses testified to a possible child abduction </w:t>
      </w:r>
      <w:r w:rsidRPr="009252C3" w:rsidR="00654A02">
        <w:rPr>
          <w:rFonts w:ascii="Century Schoolbook" w:hAnsi="Century Schoolbook"/>
          <w:sz w:val="27"/>
          <w:szCs w:val="27"/>
        </w:rPr>
        <w:t>o</w:t>
      </w:r>
      <w:r w:rsidRPr="009252C3">
        <w:rPr>
          <w:rFonts w:ascii="Century Schoolbook" w:hAnsi="Century Schoolbook"/>
          <w:sz w:val="27"/>
          <w:szCs w:val="27"/>
        </w:rPr>
        <w:t xml:space="preserve">n the afternoon of May 16.  Raymie Clark was standing on an apartment balcony </w:t>
      </w:r>
      <w:r w:rsidRPr="009252C3" w:rsidR="00654A02">
        <w:rPr>
          <w:rFonts w:ascii="Century Schoolbook" w:hAnsi="Century Schoolbook"/>
          <w:sz w:val="27"/>
          <w:szCs w:val="27"/>
        </w:rPr>
        <w:t xml:space="preserve">overlooking C </w:t>
      </w:r>
      <w:r w:rsidRPr="009252C3" w:rsidR="00A831B0">
        <w:rPr>
          <w:rFonts w:ascii="Century Schoolbook" w:hAnsi="Century Schoolbook"/>
          <w:sz w:val="27"/>
          <w:szCs w:val="27"/>
        </w:rPr>
        <w:t xml:space="preserve">and Boyd </w:t>
      </w:r>
      <w:r w:rsidRPr="009252C3" w:rsidR="00654A02">
        <w:rPr>
          <w:rFonts w:ascii="Century Schoolbook" w:hAnsi="Century Schoolbook"/>
          <w:sz w:val="27"/>
          <w:szCs w:val="27"/>
        </w:rPr>
        <w:t>Street</w:t>
      </w:r>
      <w:r w:rsidRPr="009252C3" w:rsidR="00A831B0">
        <w:rPr>
          <w:rFonts w:ascii="Century Schoolbook" w:hAnsi="Century Schoolbook"/>
          <w:sz w:val="27"/>
          <w:szCs w:val="27"/>
        </w:rPr>
        <w:t>s</w:t>
      </w:r>
      <w:r w:rsidRPr="009252C3">
        <w:rPr>
          <w:rFonts w:ascii="Century Schoolbook" w:hAnsi="Century Schoolbook"/>
          <w:sz w:val="27"/>
          <w:szCs w:val="27"/>
        </w:rPr>
        <w:t xml:space="preserve">.  From a </w:t>
      </w:r>
      <w:r w:rsidRPr="009252C3">
        <w:rPr>
          <w:rFonts w:ascii="Century Schoolbook" w:hAnsi="Century Schoolbook"/>
          <w:sz w:val="27"/>
          <w:szCs w:val="27"/>
        </w:rPr>
        <w:t xml:space="preserve">distance of about 400 yards, Clark saw a boy walking and playing with a stick.  A pickup truck with a camper </w:t>
      </w:r>
      <w:r w:rsidRPr="009252C3" w:rsidR="0007010C">
        <w:rPr>
          <w:rFonts w:ascii="Century Schoolbook" w:hAnsi="Century Schoolbook"/>
          <w:sz w:val="27"/>
          <w:szCs w:val="27"/>
        </w:rPr>
        <w:t xml:space="preserve">shell </w:t>
      </w:r>
      <w:r w:rsidRPr="009252C3">
        <w:rPr>
          <w:rFonts w:ascii="Century Schoolbook" w:hAnsi="Century Schoolbook"/>
          <w:sz w:val="27"/>
          <w:szCs w:val="27"/>
        </w:rPr>
        <w:t>stopped and the boy ran up to the truck, then backed up and started pointing, then went back toward the truck.  When the truck pulled awa</w:t>
      </w:r>
      <w:r w:rsidRPr="009252C3" w:rsidR="00045E74">
        <w:rPr>
          <w:rFonts w:ascii="Century Schoolbook" w:hAnsi="Century Schoolbook"/>
          <w:sz w:val="27"/>
          <w:szCs w:val="27"/>
        </w:rPr>
        <w:t>y, the boy was no longer there, and a</w:t>
      </w:r>
      <w:r w:rsidRPr="009252C3">
        <w:rPr>
          <w:rFonts w:ascii="Century Schoolbook" w:hAnsi="Century Schoolbook"/>
          <w:sz w:val="27"/>
          <w:szCs w:val="27"/>
        </w:rPr>
        <w:t xml:space="preserve">s the truck drove away, the passenger door opened and </w:t>
      </w:r>
      <w:r w:rsidRPr="009252C3" w:rsidR="00A831B0">
        <w:rPr>
          <w:rFonts w:ascii="Century Schoolbook" w:hAnsi="Century Schoolbook"/>
          <w:sz w:val="27"/>
          <w:szCs w:val="27"/>
        </w:rPr>
        <w:t>then “slammed shut</w:t>
      </w:r>
      <w:r w:rsidRPr="009252C3">
        <w:rPr>
          <w:rFonts w:ascii="Century Schoolbook" w:hAnsi="Century Schoolbook"/>
          <w:sz w:val="27"/>
          <w:szCs w:val="27"/>
        </w:rPr>
        <w:t>.</w:t>
      </w:r>
      <w:r w:rsidRPr="009252C3" w:rsidR="00A831B0">
        <w:rPr>
          <w:rFonts w:ascii="Century Schoolbook" w:hAnsi="Century Schoolbook"/>
          <w:sz w:val="27"/>
          <w:szCs w:val="27"/>
        </w:rPr>
        <w:t>”</w:t>
      </w:r>
      <w:r w:rsidRPr="009252C3">
        <w:rPr>
          <w:rFonts w:ascii="Century Schoolbook" w:hAnsi="Century Schoolbook"/>
          <w:sz w:val="27"/>
          <w:szCs w:val="27"/>
        </w:rPr>
        <w:t xml:space="preserve">  Charlie Wilbur</w:t>
      </w:r>
      <w:r w:rsidRPr="009252C3" w:rsidR="00557B41">
        <w:rPr>
          <w:rFonts w:ascii="Century Schoolbook" w:hAnsi="Century Schoolbook"/>
          <w:sz w:val="27"/>
          <w:szCs w:val="27"/>
        </w:rPr>
        <w:t>, who was Clark’s cousin,</w:t>
      </w:r>
      <w:r w:rsidRPr="009252C3">
        <w:rPr>
          <w:rFonts w:ascii="Century Schoolbook" w:hAnsi="Century Schoolbook"/>
          <w:sz w:val="27"/>
          <w:szCs w:val="27"/>
        </w:rPr>
        <w:t xml:space="preserve"> came out to the balcony as the truck drove away</w:t>
      </w:r>
      <w:r w:rsidRPr="009252C3" w:rsidR="00045E74">
        <w:rPr>
          <w:rFonts w:ascii="Century Schoolbook" w:hAnsi="Century Schoolbook"/>
          <w:sz w:val="27"/>
          <w:szCs w:val="27"/>
        </w:rPr>
        <w:t xml:space="preserve"> and Clark drew his attention to it</w:t>
      </w:r>
      <w:r w:rsidRPr="009252C3">
        <w:rPr>
          <w:rFonts w:ascii="Century Schoolbook" w:hAnsi="Century Schoolbook"/>
          <w:sz w:val="27"/>
          <w:szCs w:val="27"/>
        </w:rPr>
        <w:t xml:space="preserve">.  Wilbur described the truck as a creamy white, while Clark saw it as a shiny gold color.  (Although it </w:t>
      </w:r>
      <w:r w:rsidRPr="009252C3" w:rsidR="00045E74">
        <w:rPr>
          <w:rFonts w:ascii="Century Schoolbook" w:hAnsi="Century Schoolbook"/>
          <w:sz w:val="27"/>
          <w:szCs w:val="27"/>
        </w:rPr>
        <w:t>was raining at the time, the sun</w:t>
      </w:r>
      <w:r w:rsidRPr="009252C3">
        <w:rPr>
          <w:rFonts w:ascii="Century Schoolbook" w:hAnsi="Century Schoolbook"/>
          <w:sz w:val="27"/>
          <w:szCs w:val="27"/>
        </w:rPr>
        <w:t xml:space="preserve"> was also shining brightly.)  </w:t>
      </w:r>
      <w:r w:rsidRPr="009252C3" w:rsidR="00045E74">
        <w:rPr>
          <w:rFonts w:ascii="Century Schoolbook" w:hAnsi="Century Schoolbook"/>
          <w:sz w:val="27"/>
          <w:szCs w:val="27"/>
        </w:rPr>
        <w:t>Clark</w:t>
      </w:r>
      <w:r w:rsidRPr="009252C3" w:rsidR="00C166D7">
        <w:rPr>
          <w:rFonts w:ascii="Century Schoolbook" w:hAnsi="Century Schoolbook"/>
          <w:sz w:val="27"/>
          <w:szCs w:val="27"/>
        </w:rPr>
        <w:t>’s</w:t>
      </w:r>
      <w:r w:rsidRPr="009252C3" w:rsidR="00045E74">
        <w:rPr>
          <w:rFonts w:ascii="Century Schoolbook" w:hAnsi="Century Schoolbook"/>
          <w:sz w:val="27"/>
          <w:szCs w:val="27"/>
        </w:rPr>
        <w:t xml:space="preserve"> and Wilbur’s</w:t>
      </w:r>
      <w:r w:rsidRPr="009252C3">
        <w:rPr>
          <w:rFonts w:ascii="Century Schoolbook" w:hAnsi="Century Schoolbook"/>
          <w:sz w:val="27"/>
          <w:szCs w:val="27"/>
        </w:rPr>
        <w:t xml:space="preserve"> time estimates for this occurrence varied between 2:45 p</w:t>
      </w:r>
      <w:r w:rsidRPr="009252C3" w:rsidR="00E822C9">
        <w:rPr>
          <w:rFonts w:ascii="Century Schoolbook" w:hAnsi="Century Schoolbook"/>
          <w:sz w:val="27"/>
          <w:szCs w:val="27"/>
        </w:rPr>
        <w:t>.</w:t>
      </w:r>
      <w:r w:rsidRPr="009252C3">
        <w:rPr>
          <w:rFonts w:ascii="Century Schoolbook" w:hAnsi="Century Schoolbook"/>
          <w:sz w:val="27"/>
          <w:szCs w:val="27"/>
        </w:rPr>
        <w:t>m</w:t>
      </w:r>
      <w:r w:rsidRPr="009252C3" w:rsidR="00E822C9">
        <w:rPr>
          <w:rFonts w:ascii="Century Schoolbook" w:hAnsi="Century Schoolbook"/>
          <w:sz w:val="27"/>
          <w:szCs w:val="27"/>
        </w:rPr>
        <w:t>.</w:t>
      </w:r>
      <w:r w:rsidRPr="009252C3">
        <w:rPr>
          <w:rFonts w:ascii="Century Schoolbook" w:hAnsi="Century Schoolbook"/>
          <w:sz w:val="27"/>
          <w:szCs w:val="27"/>
        </w:rPr>
        <w:t xml:space="preserve"> and </w:t>
      </w:r>
      <w:r w:rsidRPr="009252C3" w:rsidR="00A831B0">
        <w:rPr>
          <w:rFonts w:ascii="Century Schoolbook" w:hAnsi="Century Schoolbook"/>
          <w:sz w:val="27"/>
          <w:szCs w:val="27"/>
        </w:rPr>
        <w:t>3:30 or 4:00</w:t>
      </w:r>
      <w:r w:rsidRPr="009252C3" w:rsidR="00E3785B">
        <w:rPr>
          <w:rFonts w:ascii="Century Schoolbook" w:hAnsi="Century Schoolbook"/>
          <w:sz w:val="27"/>
          <w:szCs w:val="27"/>
        </w:rPr>
        <w:t xml:space="preserve"> p</w:t>
      </w:r>
      <w:r w:rsidRPr="009252C3" w:rsidR="00E822C9">
        <w:rPr>
          <w:rFonts w:ascii="Century Schoolbook" w:hAnsi="Century Schoolbook"/>
          <w:sz w:val="27"/>
          <w:szCs w:val="27"/>
        </w:rPr>
        <w:t>.</w:t>
      </w:r>
      <w:r w:rsidRPr="009252C3" w:rsidR="00E3785B">
        <w:rPr>
          <w:rFonts w:ascii="Century Schoolbook" w:hAnsi="Century Schoolbook"/>
          <w:sz w:val="27"/>
          <w:szCs w:val="27"/>
        </w:rPr>
        <w:t xml:space="preserve">m.  </w:t>
      </w:r>
    </w:p>
    <w:p w:rsidR="00D21982"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After school, </w:t>
      </w:r>
      <w:r w:rsidRPr="009252C3" w:rsidR="003D0C59">
        <w:rPr>
          <w:rFonts w:ascii="Century Schoolbook" w:hAnsi="Century Schoolbook"/>
          <w:sz w:val="27"/>
          <w:szCs w:val="27"/>
        </w:rPr>
        <w:t xml:space="preserve">Michael </w:t>
      </w:r>
      <w:r w:rsidRPr="009252C3">
        <w:rPr>
          <w:rFonts w:ascii="Century Schoolbook" w:hAnsi="Century Schoolbook"/>
          <w:sz w:val="27"/>
          <w:szCs w:val="27"/>
        </w:rPr>
        <w:t xml:space="preserve">sometimes went to stay with his grandmother, who lived close to the school; otherwise, he was </w:t>
      </w:r>
      <w:r w:rsidRPr="009252C3" w:rsidR="003A2D44">
        <w:rPr>
          <w:rFonts w:ascii="Century Schoolbook" w:hAnsi="Century Schoolbook"/>
          <w:sz w:val="27"/>
          <w:szCs w:val="27"/>
        </w:rPr>
        <w:t xml:space="preserve">supposed </w:t>
      </w:r>
      <w:r w:rsidRPr="009252C3">
        <w:rPr>
          <w:rFonts w:ascii="Century Schoolbook" w:hAnsi="Century Schoolbook"/>
          <w:sz w:val="27"/>
          <w:szCs w:val="27"/>
        </w:rPr>
        <w:t xml:space="preserve">to walk home.  On May 16, </w:t>
      </w:r>
      <w:r w:rsidRPr="009252C3" w:rsidR="00870787">
        <w:rPr>
          <w:rFonts w:ascii="Century Schoolbook" w:hAnsi="Century Schoolbook"/>
          <w:sz w:val="27"/>
          <w:szCs w:val="27"/>
        </w:rPr>
        <w:t xml:space="preserve">Michael’s </w:t>
      </w:r>
      <w:r w:rsidRPr="009252C3">
        <w:rPr>
          <w:rFonts w:ascii="Century Schoolbook" w:hAnsi="Century Schoolbook"/>
          <w:sz w:val="27"/>
          <w:szCs w:val="27"/>
        </w:rPr>
        <w:t>grandmother was working late and never saw</w:t>
      </w:r>
      <w:r w:rsidRPr="009252C3" w:rsidR="00870787">
        <w:rPr>
          <w:rFonts w:ascii="Century Schoolbook" w:hAnsi="Century Schoolbook"/>
          <w:sz w:val="27"/>
          <w:szCs w:val="27"/>
        </w:rPr>
        <w:t xml:space="preserve"> </w:t>
      </w:r>
      <w:r w:rsidRPr="009252C3" w:rsidR="00C166D7">
        <w:rPr>
          <w:rFonts w:ascii="Century Schoolbook" w:hAnsi="Century Schoolbook"/>
          <w:sz w:val="27"/>
          <w:szCs w:val="27"/>
        </w:rPr>
        <w:t>Michael</w:t>
      </w:r>
      <w:r w:rsidRPr="009252C3">
        <w:rPr>
          <w:rFonts w:ascii="Century Schoolbook" w:hAnsi="Century Schoolbook"/>
          <w:sz w:val="27"/>
          <w:szCs w:val="27"/>
        </w:rPr>
        <w:t xml:space="preserve">, and he never arrived at home.  </w:t>
      </w:r>
      <w:r w:rsidRPr="009252C3" w:rsidR="00E7298C">
        <w:rPr>
          <w:rFonts w:ascii="Century Schoolbook" w:hAnsi="Century Schoolbook"/>
          <w:sz w:val="27"/>
          <w:szCs w:val="27"/>
        </w:rPr>
        <w:t>A police-organized search for Michael began on the night of May 16, around 8</w:t>
      </w:r>
      <w:r w:rsidRPr="009252C3" w:rsidR="00DE7729">
        <w:rPr>
          <w:rFonts w:ascii="Century Schoolbook" w:hAnsi="Century Schoolbook"/>
          <w:sz w:val="27"/>
          <w:szCs w:val="27"/>
        </w:rPr>
        <w:t>:00</w:t>
      </w:r>
      <w:r w:rsidRPr="009252C3" w:rsidR="0086780E">
        <w:rPr>
          <w:rFonts w:ascii="Century Schoolbook" w:hAnsi="Century Schoolbook"/>
          <w:sz w:val="27"/>
          <w:szCs w:val="27"/>
        </w:rPr>
        <w:t xml:space="preserve"> </w:t>
      </w:r>
      <w:r w:rsidRPr="009252C3" w:rsidR="00E7298C">
        <w:rPr>
          <w:rFonts w:ascii="Century Schoolbook" w:hAnsi="Century Schoolbook"/>
          <w:sz w:val="27"/>
          <w:szCs w:val="27"/>
        </w:rPr>
        <w:t>p</w:t>
      </w:r>
      <w:r w:rsidRPr="009252C3" w:rsidR="0086780E">
        <w:rPr>
          <w:rFonts w:ascii="Century Schoolbook" w:hAnsi="Century Schoolbook"/>
          <w:sz w:val="27"/>
          <w:szCs w:val="27"/>
        </w:rPr>
        <w:t>.</w:t>
      </w:r>
      <w:r w:rsidRPr="009252C3" w:rsidR="00E7298C">
        <w:rPr>
          <w:rFonts w:ascii="Century Schoolbook" w:hAnsi="Century Schoolbook"/>
          <w:sz w:val="27"/>
          <w:szCs w:val="27"/>
        </w:rPr>
        <w:t>m</w:t>
      </w:r>
      <w:r w:rsidRPr="009252C3" w:rsidR="0086780E">
        <w:rPr>
          <w:rFonts w:ascii="Century Schoolbook" w:hAnsi="Century Schoolbook"/>
          <w:sz w:val="27"/>
          <w:szCs w:val="27"/>
        </w:rPr>
        <w:t>.</w:t>
      </w:r>
      <w:r w:rsidRPr="009252C3" w:rsidR="00E7298C">
        <w:rPr>
          <w:rFonts w:ascii="Century Schoolbook" w:hAnsi="Century Schoolbook"/>
          <w:sz w:val="27"/>
          <w:szCs w:val="27"/>
        </w:rPr>
        <w:t>, was suspended later that night</w:t>
      </w:r>
      <w:r w:rsidRPr="009252C3" w:rsidR="00C166D7">
        <w:rPr>
          <w:rFonts w:ascii="Century Schoolbook" w:hAnsi="Century Schoolbook"/>
          <w:sz w:val="27"/>
          <w:szCs w:val="27"/>
        </w:rPr>
        <w:t>,</w:t>
      </w:r>
      <w:r w:rsidRPr="009252C3" w:rsidR="00E7298C">
        <w:rPr>
          <w:rFonts w:ascii="Century Schoolbook" w:hAnsi="Century Schoolbook"/>
          <w:sz w:val="27"/>
          <w:szCs w:val="27"/>
        </w:rPr>
        <w:t xml:space="preserve"> and res</w:t>
      </w:r>
      <w:r w:rsidRPr="009252C3" w:rsidR="0094246F">
        <w:rPr>
          <w:rFonts w:ascii="Century Schoolbook" w:hAnsi="Century Schoolbook"/>
          <w:sz w:val="27"/>
          <w:szCs w:val="27"/>
        </w:rPr>
        <w:t>umed on the morning of May 17.</w:t>
      </w:r>
    </w:p>
    <w:p w:rsidR="005A7577"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At around 11</w:t>
      </w:r>
      <w:r w:rsidRPr="009252C3" w:rsidR="00784D75">
        <w:rPr>
          <w:rFonts w:ascii="Century Schoolbook" w:hAnsi="Century Schoolbook"/>
          <w:sz w:val="27"/>
          <w:szCs w:val="27"/>
        </w:rPr>
        <w:t>:00</w:t>
      </w:r>
      <w:r w:rsidRPr="009252C3">
        <w:rPr>
          <w:rFonts w:ascii="Century Schoolbook" w:hAnsi="Century Schoolbook"/>
          <w:sz w:val="27"/>
          <w:szCs w:val="27"/>
        </w:rPr>
        <w:t xml:space="preserve"> a.m. on May 17, a search team found Michael’s body in the “river bottoms” along the banks of the Feather River.  </w:t>
      </w:r>
      <w:r w:rsidRPr="009252C3" w:rsidR="00E2111A">
        <w:rPr>
          <w:rFonts w:ascii="Century Schoolbook" w:hAnsi="Century Schoolbook"/>
          <w:sz w:val="27"/>
          <w:szCs w:val="27"/>
        </w:rPr>
        <w:t xml:space="preserve">The body was </w:t>
      </w:r>
      <w:r w:rsidRPr="009252C3" w:rsidR="00012BD6">
        <w:rPr>
          <w:rFonts w:ascii="Century Schoolbook" w:hAnsi="Century Schoolbook"/>
          <w:sz w:val="27"/>
          <w:szCs w:val="27"/>
        </w:rPr>
        <w:t xml:space="preserve">lying </w:t>
      </w:r>
      <w:r w:rsidRPr="009252C3" w:rsidR="00E2111A">
        <w:rPr>
          <w:rFonts w:ascii="Century Schoolbook" w:hAnsi="Century Schoolbook"/>
          <w:sz w:val="27"/>
          <w:szCs w:val="27"/>
        </w:rPr>
        <w:t>under some bushes in a</w:t>
      </w:r>
      <w:r w:rsidRPr="009252C3" w:rsidR="00012BD6">
        <w:rPr>
          <w:rFonts w:ascii="Century Schoolbook" w:hAnsi="Century Schoolbook"/>
          <w:sz w:val="27"/>
          <w:szCs w:val="27"/>
        </w:rPr>
        <w:t xml:space="preserve"> wet, muddy area near the river</w:t>
      </w:r>
      <w:r w:rsidRPr="009252C3" w:rsidR="00C166D7">
        <w:rPr>
          <w:rFonts w:ascii="Century Schoolbook" w:hAnsi="Century Schoolbook"/>
          <w:sz w:val="27"/>
          <w:szCs w:val="27"/>
        </w:rPr>
        <w:t xml:space="preserve">.  </w:t>
      </w:r>
      <w:r w:rsidRPr="009252C3" w:rsidR="00313019">
        <w:rPr>
          <w:rFonts w:ascii="Century Schoolbook" w:hAnsi="Century Schoolbook"/>
          <w:sz w:val="27"/>
          <w:szCs w:val="27"/>
        </w:rPr>
        <w:t xml:space="preserve">He </w:t>
      </w:r>
      <w:r w:rsidRPr="009252C3" w:rsidR="00C166D7">
        <w:rPr>
          <w:rFonts w:ascii="Century Schoolbook" w:hAnsi="Century Schoolbook"/>
          <w:sz w:val="27"/>
          <w:szCs w:val="27"/>
        </w:rPr>
        <w:t>was found</w:t>
      </w:r>
      <w:r w:rsidRPr="009252C3" w:rsidR="00012BD6">
        <w:rPr>
          <w:rFonts w:ascii="Century Schoolbook" w:hAnsi="Century Schoolbook"/>
          <w:sz w:val="27"/>
          <w:szCs w:val="27"/>
        </w:rPr>
        <w:t xml:space="preserve"> naked from the waist down and with a dark green sweater pulled up over </w:t>
      </w:r>
      <w:r w:rsidRPr="009252C3" w:rsidR="00870787">
        <w:rPr>
          <w:rFonts w:ascii="Century Schoolbook" w:hAnsi="Century Schoolbook"/>
          <w:sz w:val="27"/>
          <w:szCs w:val="27"/>
        </w:rPr>
        <w:t>his</w:t>
      </w:r>
      <w:r w:rsidRPr="009252C3" w:rsidR="00012BD6">
        <w:rPr>
          <w:rFonts w:ascii="Century Schoolbook" w:hAnsi="Century Schoolbook"/>
          <w:sz w:val="27"/>
          <w:szCs w:val="27"/>
        </w:rPr>
        <w:t xml:space="preserve"> head.</w:t>
      </w:r>
      <w:r w:rsidRPr="009252C3" w:rsidR="00E2111A">
        <w:rPr>
          <w:rFonts w:ascii="Century Schoolbook" w:hAnsi="Century Schoolbook"/>
          <w:sz w:val="27"/>
          <w:szCs w:val="27"/>
        </w:rPr>
        <w:t xml:space="preserve">  </w:t>
      </w:r>
    </w:p>
    <w:p w:rsidR="009B762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Between Michael’s body and the river, which was </w:t>
      </w:r>
      <w:r w:rsidRPr="009252C3" w:rsidR="00784D75">
        <w:rPr>
          <w:rFonts w:ascii="Century Schoolbook" w:hAnsi="Century Schoolbook"/>
          <w:sz w:val="27"/>
          <w:szCs w:val="27"/>
        </w:rPr>
        <w:t xml:space="preserve">10 </w:t>
      </w:r>
      <w:r w:rsidRPr="009252C3" w:rsidR="00C84F83">
        <w:rPr>
          <w:rFonts w:ascii="Century Schoolbook" w:hAnsi="Century Schoolbook"/>
          <w:sz w:val="27"/>
          <w:szCs w:val="27"/>
        </w:rPr>
        <w:t xml:space="preserve">to </w:t>
      </w:r>
      <w:r w:rsidRPr="009252C3" w:rsidR="00784D75">
        <w:rPr>
          <w:rFonts w:ascii="Century Schoolbook" w:hAnsi="Century Schoolbook"/>
          <w:sz w:val="27"/>
          <w:szCs w:val="27"/>
        </w:rPr>
        <w:t>15</w:t>
      </w:r>
      <w:r w:rsidRPr="009252C3" w:rsidR="00C84F83">
        <w:rPr>
          <w:rFonts w:ascii="Century Schoolbook" w:hAnsi="Century Schoolbook"/>
          <w:sz w:val="27"/>
          <w:szCs w:val="27"/>
        </w:rPr>
        <w:t xml:space="preserve"> feet away, was a bloodstained blanket</w:t>
      </w:r>
      <w:r w:rsidRPr="009252C3" w:rsidR="00606488">
        <w:rPr>
          <w:rFonts w:ascii="Century Schoolbook" w:hAnsi="Century Schoolbook"/>
          <w:sz w:val="27"/>
          <w:szCs w:val="27"/>
        </w:rPr>
        <w:t>.  D</w:t>
      </w:r>
      <w:r w:rsidRPr="009252C3" w:rsidR="00C84F83">
        <w:rPr>
          <w:rFonts w:ascii="Century Schoolbook" w:hAnsi="Century Schoolbook"/>
          <w:sz w:val="27"/>
          <w:szCs w:val="27"/>
        </w:rPr>
        <w:t xml:space="preserve">efendant’s wife </w:t>
      </w:r>
      <w:r w:rsidRPr="009252C3" w:rsidR="00045E74">
        <w:rPr>
          <w:rFonts w:ascii="Century Schoolbook" w:hAnsi="Century Schoolbook"/>
          <w:sz w:val="27"/>
          <w:szCs w:val="27"/>
        </w:rPr>
        <w:t xml:space="preserve">later </w:t>
      </w:r>
      <w:r w:rsidRPr="009252C3" w:rsidR="00C84F83">
        <w:rPr>
          <w:rFonts w:ascii="Century Schoolbook" w:hAnsi="Century Schoolbook"/>
          <w:sz w:val="27"/>
          <w:szCs w:val="27"/>
        </w:rPr>
        <w:t xml:space="preserve">told police </w:t>
      </w:r>
      <w:r w:rsidRPr="009252C3" w:rsidR="00313019">
        <w:rPr>
          <w:rFonts w:ascii="Century Schoolbook" w:hAnsi="Century Schoolbook"/>
          <w:sz w:val="27"/>
          <w:szCs w:val="27"/>
        </w:rPr>
        <w:t xml:space="preserve">the blanket </w:t>
      </w:r>
      <w:r w:rsidRPr="009252C3" w:rsidR="00C84F83">
        <w:rPr>
          <w:rFonts w:ascii="Century Schoolbook" w:hAnsi="Century Schoolbook"/>
          <w:sz w:val="27"/>
          <w:szCs w:val="27"/>
        </w:rPr>
        <w:t>appeared to be one defendant kept in his pickup truck.  Under the body</w:t>
      </w:r>
      <w:r w:rsidRPr="009252C3" w:rsidR="0076736E">
        <w:rPr>
          <w:rFonts w:ascii="Century Schoolbook" w:hAnsi="Century Schoolbook"/>
          <w:sz w:val="27"/>
          <w:szCs w:val="27"/>
        </w:rPr>
        <w:t>,</w:t>
      </w:r>
      <w:r w:rsidRPr="009252C3" w:rsidR="00C84F83">
        <w:rPr>
          <w:rFonts w:ascii="Century Schoolbook" w:hAnsi="Century Schoolbook"/>
          <w:sz w:val="27"/>
          <w:szCs w:val="27"/>
        </w:rPr>
        <w:t xml:space="preserve"> police found a silver bracelet</w:t>
      </w:r>
      <w:r w:rsidRPr="009252C3" w:rsidR="00313019">
        <w:rPr>
          <w:rFonts w:ascii="Century Schoolbook" w:hAnsi="Century Schoolbook"/>
          <w:sz w:val="27"/>
          <w:szCs w:val="27"/>
        </w:rPr>
        <w:t xml:space="preserve">.  Both defendant’s wife and the owner of the bracelet later </w:t>
      </w:r>
      <w:r w:rsidRPr="009252C3" w:rsidR="00313019">
        <w:rPr>
          <w:rFonts w:ascii="Century Schoolbook" w:hAnsi="Century Schoolbook"/>
          <w:sz w:val="27"/>
          <w:szCs w:val="27"/>
        </w:rPr>
        <w:t xml:space="preserve">identified the bracelet as </w:t>
      </w:r>
      <w:r w:rsidRPr="009252C3" w:rsidR="0076736E">
        <w:rPr>
          <w:rFonts w:ascii="Century Schoolbook" w:hAnsi="Century Schoolbook"/>
          <w:sz w:val="27"/>
          <w:szCs w:val="27"/>
        </w:rPr>
        <w:t xml:space="preserve">having recently been in </w:t>
      </w:r>
      <w:r w:rsidRPr="009252C3" w:rsidR="00870787">
        <w:rPr>
          <w:rFonts w:ascii="Century Schoolbook" w:hAnsi="Century Schoolbook"/>
          <w:sz w:val="27"/>
          <w:szCs w:val="27"/>
        </w:rPr>
        <w:t>defendant’s</w:t>
      </w:r>
      <w:r w:rsidRPr="009252C3" w:rsidR="0076736E">
        <w:rPr>
          <w:rFonts w:ascii="Century Schoolbook" w:hAnsi="Century Schoolbook"/>
          <w:sz w:val="27"/>
          <w:szCs w:val="27"/>
        </w:rPr>
        <w:t xml:space="preserve"> truck.</w:t>
      </w:r>
      <w:r w:rsidRPr="009252C3" w:rsidR="00C84F83">
        <w:rPr>
          <w:rFonts w:ascii="Century Schoolbook" w:hAnsi="Century Schoolbook"/>
          <w:sz w:val="27"/>
          <w:szCs w:val="27"/>
        </w:rPr>
        <w:t xml:space="preserve"> </w:t>
      </w:r>
      <w:r w:rsidRPr="009252C3" w:rsidR="00045E74">
        <w:rPr>
          <w:rFonts w:ascii="Century Schoolbook" w:hAnsi="Century Schoolbook"/>
          <w:sz w:val="27"/>
          <w:szCs w:val="27"/>
        </w:rPr>
        <w:t xml:space="preserve"> </w:t>
      </w:r>
      <w:r w:rsidRPr="009252C3" w:rsidR="009D4731">
        <w:rPr>
          <w:rFonts w:ascii="Century Schoolbook" w:hAnsi="Century Schoolbook"/>
          <w:sz w:val="27"/>
          <w:szCs w:val="27"/>
        </w:rPr>
        <w:t>About 12 to 15 feet from the body, in the dirt and sand by the river, were footprint</w:t>
      </w:r>
      <w:r w:rsidRPr="009252C3" w:rsidR="00D04677">
        <w:rPr>
          <w:rFonts w:ascii="Century Schoolbook" w:hAnsi="Century Schoolbook"/>
          <w:sz w:val="27"/>
          <w:szCs w:val="27"/>
        </w:rPr>
        <w:t>s</w:t>
      </w:r>
      <w:r w:rsidRPr="009252C3" w:rsidR="009D4731">
        <w:rPr>
          <w:rFonts w:ascii="Century Schoolbook" w:hAnsi="Century Schoolbook"/>
          <w:sz w:val="27"/>
          <w:szCs w:val="27"/>
        </w:rPr>
        <w:t xml:space="preserve">, of which castings were made.  The impressions were later found to match defendant’s feet in overall size, shape and </w:t>
      </w:r>
      <w:r w:rsidRPr="009252C3" w:rsidR="00045E74">
        <w:rPr>
          <w:rFonts w:ascii="Century Schoolbook" w:hAnsi="Century Schoolbook"/>
          <w:sz w:val="27"/>
          <w:szCs w:val="27"/>
        </w:rPr>
        <w:t>toe form</w:t>
      </w:r>
      <w:r w:rsidRPr="009252C3" w:rsidR="0094246F">
        <w:rPr>
          <w:rFonts w:ascii="Century Schoolbook" w:hAnsi="Century Schoolbook"/>
          <w:sz w:val="27"/>
          <w:szCs w:val="27"/>
        </w:rPr>
        <w:t>.</w:t>
      </w:r>
    </w:p>
    <w:p w:rsidR="00007AB2"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Dr.</w:t>
      </w:r>
      <w:r w:rsidRPr="009252C3" w:rsidR="00E822C9">
        <w:rPr>
          <w:rFonts w:ascii="Century Schoolbook" w:hAnsi="Century Schoolbook"/>
          <w:sz w:val="27"/>
          <w:szCs w:val="27"/>
        </w:rPr>
        <w:t> </w:t>
      </w:r>
      <w:r w:rsidRPr="009252C3">
        <w:rPr>
          <w:rFonts w:ascii="Century Schoolbook" w:hAnsi="Century Schoolbook"/>
          <w:sz w:val="27"/>
          <w:szCs w:val="27"/>
        </w:rPr>
        <w:t>James Dibdin performed Michael’s autopsy.  Micha</w:t>
      </w:r>
      <w:r w:rsidRPr="009252C3" w:rsidR="00870787">
        <w:rPr>
          <w:rFonts w:ascii="Century Schoolbook" w:hAnsi="Century Schoolbook"/>
          <w:sz w:val="27"/>
          <w:szCs w:val="27"/>
        </w:rPr>
        <w:t>el</w:t>
      </w:r>
      <w:r w:rsidRPr="009252C3">
        <w:rPr>
          <w:rFonts w:ascii="Century Schoolbook" w:hAnsi="Century Schoolbook"/>
          <w:sz w:val="27"/>
          <w:szCs w:val="27"/>
        </w:rPr>
        <w:t xml:space="preserve"> had suffered</w:t>
      </w:r>
      <w:r w:rsidRPr="009252C3" w:rsidR="00870787">
        <w:rPr>
          <w:rFonts w:ascii="Century Schoolbook" w:hAnsi="Century Schoolbook"/>
          <w:sz w:val="27"/>
          <w:szCs w:val="27"/>
        </w:rPr>
        <w:t xml:space="preserve"> a pair of deep cuts with a knife to the left side of his neck, one superimposed on the other, which would in themselves have been </w:t>
      </w:r>
      <w:r w:rsidRPr="009252C3" w:rsidR="00D04677">
        <w:rPr>
          <w:rFonts w:ascii="Century Schoolbook" w:hAnsi="Century Schoolbook"/>
          <w:sz w:val="27"/>
          <w:szCs w:val="27"/>
        </w:rPr>
        <w:t>fatal</w:t>
      </w:r>
      <w:r w:rsidRPr="009252C3" w:rsidR="00870787">
        <w:rPr>
          <w:rFonts w:ascii="Century Schoolbook" w:hAnsi="Century Schoolbook"/>
          <w:sz w:val="27"/>
          <w:szCs w:val="27"/>
        </w:rPr>
        <w:t>.  In addition, he had been cut across the right side of his neck</w:t>
      </w:r>
      <w:r w:rsidRPr="009252C3" w:rsidR="00925102">
        <w:rPr>
          <w:rFonts w:ascii="Century Schoolbook" w:hAnsi="Century Schoolbook"/>
          <w:sz w:val="27"/>
          <w:szCs w:val="27"/>
        </w:rPr>
        <w:t xml:space="preserve"> and</w:t>
      </w:r>
      <w:r w:rsidRPr="009252C3" w:rsidR="00870787">
        <w:rPr>
          <w:rFonts w:ascii="Century Schoolbook" w:hAnsi="Century Schoolbook"/>
          <w:sz w:val="27"/>
          <w:szCs w:val="27"/>
        </w:rPr>
        <w:t xml:space="preserve"> stabbed on the left side of his chest, puncturing his lung, and on the left abdomen </w:t>
      </w:r>
      <w:r w:rsidRPr="009252C3" w:rsidR="00D0620E">
        <w:rPr>
          <w:rFonts w:ascii="Century Schoolbook" w:hAnsi="Century Schoolbook"/>
          <w:sz w:val="27"/>
          <w:szCs w:val="27"/>
        </w:rPr>
        <w:t xml:space="preserve">through to his back </w:t>
      </w:r>
      <w:r w:rsidRPr="009252C3" w:rsidR="00870787">
        <w:rPr>
          <w:rFonts w:ascii="Century Schoolbook" w:hAnsi="Century Schoolbook"/>
          <w:sz w:val="27"/>
          <w:szCs w:val="27"/>
        </w:rPr>
        <w:t>(</w:t>
      </w:r>
      <w:r w:rsidRPr="009252C3" w:rsidR="00045E74">
        <w:rPr>
          <w:rFonts w:ascii="Century Schoolbook" w:hAnsi="Century Schoolbook"/>
          <w:sz w:val="27"/>
          <w:szCs w:val="27"/>
        </w:rPr>
        <w:t xml:space="preserve">the latter two </w:t>
      </w:r>
      <w:r w:rsidRPr="009252C3" w:rsidR="00D0620E">
        <w:rPr>
          <w:rFonts w:ascii="Century Schoolbook" w:hAnsi="Century Schoolbook"/>
          <w:sz w:val="27"/>
          <w:szCs w:val="27"/>
        </w:rPr>
        <w:t xml:space="preserve">both </w:t>
      </w:r>
      <w:r w:rsidRPr="009252C3" w:rsidR="00870787">
        <w:rPr>
          <w:rFonts w:ascii="Century Schoolbook" w:hAnsi="Century Schoolbook"/>
          <w:sz w:val="27"/>
          <w:szCs w:val="27"/>
        </w:rPr>
        <w:t>deadly wound</w:t>
      </w:r>
      <w:r w:rsidRPr="009252C3" w:rsidR="00D0620E">
        <w:rPr>
          <w:rFonts w:ascii="Century Schoolbook" w:hAnsi="Century Schoolbook"/>
          <w:sz w:val="27"/>
          <w:szCs w:val="27"/>
        </w:rPr>
        <w:t>s)</w:t>
      </w:r>
      <w:r w:rsidRPr="009252C3" w:rsidR="00925102">
        <w:rPr>
          <w:rFonts w:ascii="Century Schoolbook" w:hAnsi="Century Schoolbook"/>
          <w:sz w:val="27"/>
          <w:szCs w:val="27"/>
        </w:rPr>
        <w:t xml:space="preserve">.  He also </w:t>
      </w:r>
      <w:r w:rsidRPr="009252C3" w:rsidR="00D0620E">
        <w:rPr>
          <w:rFonts w:ascii="Century Schoolbook" w:hAnsi="Century Schoolbook"/>
          <w:sz w:val="27"/>
          <w:szCs w:val="27"/>
        </w:rPr>
        <w:t>suffer</w:t>
      </w:r>
      <w:r w:rsidRPr="009252C3" w:rsidR="00925102">
        <w:rPr>
          <w:rFonts w:ascii="Century Schoolbook" w:hAnsi="Century Schoolbook"/>
          <w:sz w:val="27"/>
          <w:szCs w:val="27"/>
        </w:rPr>
        <w:t>ed</w:t>
      </w:r>
      <w:r w:rsidRPr="009252C3" w:rsidR="00D0620E">
        <w:rPr>
          <w:rFonts w:ascii="Century Schoolbook" w:hAnsi="Century Schoolbook"/>
          <w:sz w:val="27"/>
          <w:szCs w:val="27"/>
        </w:rPr>
        <w:t xml:space="preserve"> defensive wounds to his hands</w:t>
      </w:r>
      <w:r w:rsidRPr="009252C3" w:rsidR="00563B84">
        <w:rPr>
          <w:rFonts w:ascii="Century Schoolbook" w:hAnsi="Century Schoolbook"/>
          <w:sz w:val="27"/>
          <w:szCs w:val="27"/>
        </w:rPr>
        <w:t xml:space="preserve">.  </w:t>
      </w:r>
      <w:r w:rsidRPr="009252C3" w:rsidR="00D0620E">
        <w:rPr>
          <w:rFonts w:ascii="Century Schoolbook" w:hAnsi="Century Schoolbook"/>
          <w:sz w:val="27"/>
          <w:szCs w:val="27"/>
        </w:rPr>
        <w:t>Dr.</w:t>
      </w:r>
      <w:r w:rsidRPr="009252C3" w:rsidR="00E822C9">
        <w:rPr>
          <w:rFonts w:ascii="Century Schoolbook" w:hAnsi="Century Schoolbook"/>
          <w:sz w:val="27"/>
          <w:szCs w:val="27"/>
        </w:rPr>
        <w:t> </w:t>
      </w:r>
      <w:r w:rsidRPr="009252C3" w:rsidR="00D0620E">
        <w:rPr>
          <w:rFonts w:ascii="Century Schoolbook" w:hAnsi="Century Schoolbook"/>
          <w:sz w:val="27"/>
          <w:szCs w:val="27"/>
        </w:rPr>
        <w:t>Dibdin found multiple lacerations to Michael’</w:t>
      </w:r>
      <w:r w:rsidRPr="009252C3" w:rsidR="00563B84">
        <w:rPr>
          <w:rFonts w:ascii="Century Schoolbook" w:hAnsi="Century Schoolbook"/>
          <w:sz w:val="27"/>
          <w:szCs w:val="27"/>
        </w:rPr>
        <w:t xml:space="preserve">s anus, one an inch long, internal bleeding associated with these lacerations, and abrasions and bruising on the buttocks.  </w:t>
      </w:r>
      <w:r w:rsidRPr="009252C3" w:rsidR="00C35699">
        <w:rPr>
          <w:rFonts w:ascii="Century Schoolbook" w:hAnsi="Century Schoolbook"/>
          <w:sz w:val="27"/>
          <w:szCs w:val="27"/>
        </w:rPr>
        <w:t>Dr.</w:t>
      </w:r>
      <w:r w:rsidRPr="009252C3" w:rsidR="00860073">
        <w:rPr>
          <w:rFonts w:ascii="Century Schoolbook" w:hAnsi="Century Schoolbook"/>
          <w:sz w:val="27"/>
          <w:szCs w:val="27"/>
        </w:rPr>
        <w:t> </w:t>
      </w:r>
      <w:r w:rsidRPr="009252C3" w:rsidR="00C35699">
        <w:rPr>
          <w:rFonts w:ascii="Century Schoolbook" w:hAnsi="Century Schoolbook"/>
          <w:sz w:val="27"/>
          <w:szCs w:val="27"/>
        </w:rPr>
        <w:t xml:space="preserve">Dibdin </w:t>
      </w:r>
      <w:r w:rsidRPr="009252C3" w:rsidR="00563B84">
        <w:rPr>
          <w:rFonts w:ascii="Century Schoolbook" w:hAnsi="Century Schoolbook"/>
          <w:sz w:val="27"/>
          <w:szCs w:val="27"/>
        </w:rPr>
        <w:t xml:space="preserve">opined </w:t>
      </w:r>
      <w:r w:rsidRPr="009252C3" w:rsidR="00C35699">
        <w:rPr>
          <w:rFonts w:ascii="Century Schoolbook" w:hAnsi="Century Schoolbook"/>
          <w:sz w:val="27"/>
          <w:szCs w:val="27"/>
        </w:rPr>
        <w:t xml:space="preserve">that </w:t>
      </w:r>
      <w:r w:rsidRPr="009252C3" w:rsidR="00563B84">
        <w:rPr>
          <w:rFonts w:ascii="Century Schoolbook" w:hAnsi="Century Schoolbook"/>
          <w:sz w:val="27"/>
          <w:szCs w:val="27"/>
        </w:rPr>
        <w:t xml:space="preserve">the cause of all these injuries was forcible sodomization with a penis. </w:t>
      </w:r>
      <w:r w:rsidRPr="009252C3" w:rsidR="00883C62">
        <w:rPr>
          <w:rFonts w:ascii="Century Schoolbook" w:hAnsi="Century Schoolbook"/>
          <w:sz w:val="27"/>
          <w:szCs w:val="27"/>
        </w:rPr>
        <w:t xml:space="preserve"> Rectal swabs and smears showed the presence of semen. </w:t>
      </w:r>
      <w:r w:rsidRPr="009252C3" w:rsidR="00563B84">
        <w:rPr>
          <w:rFonts w:ascii="Century Schoolbook" w:hAnsi="Century Schoolbook"/>
          <w:sz w:val="27"/>
          <w:szCs w:val="27"/>
        </w:rPr>
        <w:t xml:space="preserve"> Michael’s lips were also bruised on the inside, having been forced against his teeth.  The cause could have been a penis being pushed into his mouth, a hand placed hard over his mouth, or both.  </w:t>
      </w:r>
      <w:r w:rsidRPr="009252C3" w:rsidR="006F0DF9">
        <w:rPr>
          <w:rFonts w:ascii="Century Schoolbook" w:hAnsi="Century Schoolbook"/>
          <w:sz w:val="27"/>
          <w:szCs w:val="27"/>
        </w:rPr>
        <w:t>Finally, Dr.</w:t>
      </w:r>
      <w:r w:rsidRPr="009252C3" w:rsidR="00E822C9">
        <w:rPr>
          <w:rFonts w:ascii="Century Schoolbook" w:hAnsi="Century Schoolbook"/>
          <w:sz w:val="27"/>
          <w:szCs w:val="27"/>
        </w:rPr>
        <w:t> </w:t>
      </w:r>
      <w:r w:rsidRPr="009252C3" w:rsidR="006F0DF9">
        <w:rPr>
          <w:rFonts w:ascii="Century Schoolbook" w:hAnsi="Century Schoolbook"/>
          <w:sz w:val="27"/>
          <w:szCs w:val="27"/>
        </w:rPr>
        <w:t xml:space="preserve">Dibdin described a group of shallow stab wounds below Michael’s chin, caused by repeatedly jabbing with the tip of a knife, a set of straight line abrasions on Michael’s face and buttocks, suggesting a serrated knife being scraped across the skin, and four stab wounds to </w:t>
      </w:r>
      <w:r w:rsidRPr="009252C3" w:rsidR="00C65117">
        <w:rPr>
          <w:rFonts w:ascii="Century Schoolbook" w:hAnsi="Century Schoolbook"/>
          <w:sz w:val="27"/>
          <w:szCs w:val="27"/>
        </w:rPr>
        <w:t xml:space="preserve">Michael’s </w:t>
      </w:r>
      <w:r w:rsidRPr="009252C3" w:rsidR="006F0DF9">
        <w:rPr>
          <w:rFonts w:ascii="Century Schoolbook" w:hAnsi="Century Schoolbook"/>
          <w:sz w:val="27"/>
          <w:szCs w:val="27"/>
        </w:rPr>
        <w:t xml:space="preserve">buttocks and hip, one three and </w:t>
      </w:r>
      <w:r w:rsidRPr="009252C3" w:rsidR="00784D75">
        <w:rPr>
          <w:rFonts w:ascii="Century Schoolbook" w:hAnsi="Century Schoolbook"/>
          <w:sz w:val="27"/>
          <w:szCs w:val="27"/>
        </w:rPr>
        <w:t>one-</w:t>
      </w:r>
      <w:r w:rsidRPr="009252C3" w:rsidR="0094246F">
        <w:rPr>
          <w:rFonts w:ascii="Century Schoolbook" w:hAnsi="Century Schoolbook"/>
          <w:sz w:val="27"/>
          <w:szCs w:val="27"/>
        </w:rPr>
        <w:t>half inches deep.</w:t>
      </w:r>
    </w:p>
    <w:p w:rsidR="002B5DC4"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cause of death was multiple stab and incised wounds with contributing factors of anal penetration and repetitive minor injuries.  From the degree of rigor</w:t>
      </w:r>
      <w:r w:rsidRPr="009252C3" w:rsidR="00883C62">
        <w:rPr>
          <w:rFonts w:ascii="Century Schoolbook" w:hAnsi="Century Schoolbook"/>
          <w:sz w:val="27"/>
          <w:szCs w:val="27"/>
        </w:rPr>
        <w:t xml:space="preserve"> </w:t>
      </w:r>
      <w:r w:rsidRPr="009252C3">
        <w:rPr>
          <w:rFonts w:ascii="Century Schoolbook" w:hAnsi="Century Schoolbook"/>
          <w:sz w:val="27"/>
          <w:szCs w:val="27"/>
        </w:rPr>
        <w:t>mortis, Dr.</w:t>
      </w:r>
      <w:r w:rsidRPr="009252C3" w:rsidR="00E822C9">
        <w:rPr>
          <w:rFonts w:ascii="Century Schoolbook" w:hAnsi="Century Schoolbook"/>
          <w:sz w:val="27"/>
          <w:szCs w:val="27"/>
        </w:rPr>
        <w:t> </w:t>
      </w:r>
      <w:r w:rsidRPr="009252C3">
        <w:rPr>
          <w:rFonts w:ascii="Century Schoolbook" w:hAnsi="Century Schoolbook"/>
          <w:sz w:val="27"/>
          <w:szCs w:val="27"/>
        </w:rPr>
        <w:t xml:space="preserve">Dibdin estimated Michael died 12 to 24 hours before </w:t>
      </w:r>
      <w:r w:rsidR="00C45E90">
        <w:rPr>
          <w:rFonts w:ascii="Century Schoolbook" w:hAnsi="Century Schoolbook"/>
          <w:sz w:val="27"/>
          <w:szCs w:val="27"/>
        </w:rPr>
        <w:t>the</w:t>
      </w:r>
      <w:r w:rsidRPr="009252C3" w:rsidR="00C45E90">
        <w:rPr>
          <w:rFonts w:ascii="Century Schoolbook" w:hAnsi="Century Schoolbook"/>
          <w:sz w:val="27"/>
          <w:szCs w:val="27"/>
        </w:rPr>
        <w:t xml:space="preserve"> </w:t>
      </w:r>
      <w:r w:rsidR="00C45E90">
        <w:rPr>
          <w:rFonts w:ascii="Century Schoolbook" w:hAnsi="Century Schoolbook"/>
          <w:sz w:val="27"/>
          <w:szCs w:val="27"/>
        </w:rPr>
        <w:t>autopsy</w:t>
      </w:r>
      <w:r w:rsidRPr="009252C3">
        <w:rPr>
          <w:rFonts w:ascii="Century Schoolbook" w:hAnsi="Century Schoolbook"/>
          <w:sz w:val="27"/>
          <w:szCs w:val="27"/>
        </w:rPr>
        <w:t>, or between 4</w:t>
      </w:r>
      <w:r w:rsidRPr="009252C3" w:rsidR="00045E74">
        <w:rPr>
          <w:rFonts w:ascii="Century Schoolbook" w:hAnsi="Century Schoolbook"/>
          <w:sz w:val="27"/>
          <w:szCs w:val="27"/>
        </w:rPr>
        <w:t>:00</w:t>
      </w:r>
      <w:r w:rsidRPr="009252C3">
        <w:rPr>
          <w:rFonts w:ascii="Century Schoolbook" w:hAnsi="Century Schoolbook"/>
          <w:sz w:val="27"/>
          <w:szCs w:val="27"/>
        </w:rPr>
        <w:t xml:space="preserve"> p.m. on May 16 and 4</w:t>
      </w:r>
      <w:r w:rsidRPr="009252C3" w:rsidR="00045E74">
        <w:rPr>
          <w:rFonts w:ascii="Century Schoolbook" w:hAnsi="Century Schoolbook"/>
          <w:sz w:val="27"/>
          <w:szCs w:val="27"/>
        </w:rPr>
        <w:t>:00</w:t>
      </w:r>
      <w:r w:rsidRPr="009252C3">
        <w:rPr>
          <w:rFonts w:ascii="Century Schoolbook" w:hAnsi="Century Schoolbook"/>
          <w:sz w:val="27"/>
          <w:szCs w:val="27"/>
        </w:rPr>
        <w:t xml:space="preserve"> a.m. on May 17.  </w:t>
      </w:r>
    </w:p>
    <w:p w:rsidR="007A1961"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w:t>
      </w:r>
      <w:r w:rsidRPr="009252C3" w:rsidR="00BB5864">
        <w:rPr>
          <w:rFonts w:ascii="Century Schoolbook" w:hAnsi="Century Schoolbook"/>
          <w:sz w:val="27"/>
          <w:szCs w:val="27"/>
        </w:rPr>
        <w:t xml:space="preserve"> the morning of </w:t>
      </w:r>
      <w:r w:rsidRPr="009252C3" w:rsidR="00162C4E">
        <w:rPr>
          <w:rFonts w:ascii="Century Schoolbook" w:hAnsi="Century Schoolbook"/>
          <w:sz w:val="27"/>
          <w:szCs w:val="27"/>
        </w:rPr>
        <w:t xml:space="preserve">May 17, </w:t>
      </w:r>
      <w:r w:rsidRPr="009252C3" w:rsidR="00BB5864">
        <w:rPr>
          <w:rFonts w:ascii="Century Schoolbook" w:hAnsi="Century Schoolbook"/>
          <w:sz w:val="27"/>
          <w:szCs w:val="27"/>
        </w:rPr>
        <w:t xml:space="preserve">1996, </w:t>
      </w:r>
      <w:r w:rsidRPr="009252C3">
        <w:rPr>
          <w:rFonts w:ascii="Century Schoolbook" w:hAnsi="Century Schoolbook"/>
          <w:sz w:val="27"/>
          <w:szCs w:val="27"/>
        </w:rPr>
        <w:t xml:space="preserve">a party </w:t>
      </w:r>
      <w:r w:rsidRPr="009252C3" w:rsidR="00BB5864">
        <w:rPr>
          <w:rFonts w:ascii="Century Schoolbook" w:hAnsi="Century Schoolbook"/>
          <w:sz w:val="27"/>
          <w:szCs w:val="27"/>
        </w:rPr>
        <w:t xml:space="preserve">of volunteers searching the river bottoms for Michael </w:t>
      </w:r>
      <w:r w:rsidRPr="009252C3" w:rsidR="00A00488">
        <w:rPr>
          <w:rFonts w:ascii="Century Schoolbook" w:hAnsi="Century Schoolbook"/>
          <w:sz w:val="27"/>
          <w:szCs w:val="27"/>
        </w:rPr>
        <w:t xml:space="preserve">had </w:t>
      </w:r>
      <w:r w:rsidRPr="009252C3" w:rsidR="00BB5864">
        <w:rPr>
          <w:rFonts w:ascii="Century Schoolbook" w:hAnsi="Century Schoolbook"/>
          <w:sz w:val="27"/>
          <w:szCs w:val="27"/>
        </w:rPr>
        <w:t xml:space="preserve">encountered defendant, who was wearing pants and no shirt and seemed nervous or shocked.  Defendant asked for help getting his truck out, saying he was in a hurry to leave town.  The volunteers </w:t>
      </w:r>
      <w:r w:rsidRPr="009252C3" w:rsidR="0094246F">
        <w:rPr>
          <w:rFonts w:ascii="Century Schoolbook" w:hAnsi="Century Schoolbook"/>
          <w:sz w:val="27"/>
          <w:szCs w:val="27"/>
        </w:rPr>
        <w:t>continued their search.</w:t>
      </w:r>
    </w:p>
    <w:p w:rsidR="00A5392E"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Later that morning, a Sutter County Sheriff’s Department </w:t>
      </w:r>
      <w:r w:rsidRPr="009252C3" w:rsidR="007A1961">
        <w:rPr>
          <w:rFonts w:ascii="Century Schoolbook" w:hAnsi="Century Schoolbook"/>
          <w:sz w:val="27"/>
          <w:szCs w:val="27"/>
        </w:rPr>
        <w:t xml:space="preserve">patrol </w:t>
      </w:r>
      <w:r w:rsidRPr="009252C3">
        <w:rPr>
          <w:rFonts w:ascii="Century Schoolbook" w:hAnsi="Century Schoolbook"/>
          <w:sz w:val="27"/>
          <w:szCs w:val="27"/>
        </w:rPr>
        <w:t>boat went to the site where Michael’s body had been found</w:t>
      </w:r>
      <w:r w:rsidRPr="009252C3" w:rsidR="007A1961">
        <w:rPr>
          <w:rFonts w:ascii="Century Schoolbook" w:hAnsi="Century Schoolbook"/>
          <w:sz w:val="27"/>
          <w:szCs w:val="27"/>
        </w:rPr>
        <w:t>,</w:t>
      </w:r>
      <w:r w:rsidRPr="009252C3">
        <w:rPr>
          <w:rFonts w:ascii="Century Schoolbook" w:hAnsi="Century Schoolbook"/>
          <w:sz w:val="27"/>
          <w:szCs w:val="27"/>
        </w:rPr>
        <w:t xml:space="preserve"> and </w:t>
      </w:r>
      <w:r w:rsidRPr="009252C3" w:rsidR="007A1961">
        <w:rPr>
          <w:rFonts w:ascii="Century Schoolbook" w:hAnsi="Century Schoolbook"/>
          <w:sz w:val="27"/>
          <w:szCs w:val="27"/>
        </w:rPr>
        <w:t xml:space="preserve">from there </w:t>
      </w:r>
      <w:r w:rsidRPr="009252C3">
        <w:rPr>
          <w:rFonts w:ascii="Century Schoolbook" w:hAnsi="Century Schoolbook"/>
          <w:sz w:val="27"/>
          <w:szCs w:val="27"/>
        </w:rPr>
        <w:t xml:space="preserve">proceeded </w:t>
      </w:r>
      <w:r w:rsidR="00E13368">
        <w:rPr>
          <w:rFonts w:ascii="Century Schoolbook" w:hAnsi="Century Schoolbook"/>
          <w:sz w:val="27"/>
          <w:szCs w:val="27"/>
        </w:rPr>
        <w:t xml:space="preserve">south </w:t>
      </w:r>
      <w:r w:rsidRPr="009252C3">
        <w:rPr>
          <w:rFonts w:ascii="Century Schoolbook" w:hAnsi="Century Schoolbook"/>
          <w:sz w:val="27"/>
          <w:szCs w:val="27"/>
        </w:rPr>
        <w:t xml:space="preserve">downstream </w:t>
      </w:r>
      <w:r w:rsidRPr="009252C3" w:rsidR="007A1961">
        <w:rPr>
          <w:rFonts w:ascii="Century Schoolbook" w:hAnsi="Century Schoolbook"/>
          <w:sz w:val="27"/>
          <w:szCs w:val="27"/>
        </w:rPr>
        <w:t xml:space="preserve">looking </w:t>
      </w:r>
      <w:r w:rsidRPr="009252C3">
        <w:rPr>
          <w:rFonts w:ascii="Century Schoolbook" w:hAnsi="Century Schoolbook"/>
          <w:sz w:val="27"/>
          <w:szCs w:val="27"/>
        </w:rPr>
        <w:t xml:space="preserve">for evidence or </w:t>
      </w:r>
      <w:r w:rsidRPr="009252C3" w:rsidR="00150ADC">
        <w:rPr>
          <w:rFonts w:ascii="Century Schoolbook" w:hAnsi="Century Schoolbook"/>
          <w:sz w:val="27"/>
          <w:szCs w:val="27"/>
        </w:rPr>
        <w:t xml:space="preserve">for </w:t>
      </w:r>
      <w:r w:rsidRPr="009252C3">
        <w:rPr>
          <w:rFonts w:ascii="Century Schoolbook" w:hAnsi="Century Schoolbook"/>
          <w:sz w:val="27"/>
          <w:szCs w:val="27"/>
        </w:rPr>
        <w:t xml:space="preserve">other people in the area.  </w:t>
      </w:r>
      <w:r w:rsidRPr="009252C3" w:rsidR="007A1961">
        <w:rPr>
          <w:rFonts w:ascii="Century Schoolbook" w:hAnsi="Century Schoolbook"/>
          <w:sz w:val="27"/>
          <w:szCs w:val="27"/>
        </w:rPr>
        <w:t>Between a quarter-</w:t>
      </w:r>
      <w:r w:rsidRPr="009252C3" w:rsidR="00150ADC">
        <w:rPr>
          <w:rFonts w:ascii="Century Schoolbook" w:hAnsi="Century Schoolbook"/>
          <w:sz w:val="27"/>
          <w:szCs w:val="27"/>
        </w:rPr>
        <w:t xml:space="preserve">mile </w:t>
      </w:r>
      <w:r w:rsidRPr="009252C3" w:rsidR="007A1961">
        <w:rPr>
          <w:rFonts w:ascii="Century Schoolbook" w:hAnsi="Century Schoolbook"/>
          <w:sz w:val="27"/>
          <w:szCs w:val="27"/>
        </w:rPr>
        <w:t xml:space="preserve">and a half-mile from where the body was found, the sheriff’s patrol came </w:t>
      </w:r>
      <w:r w:rsidRPr="009252C3" w:rsidR="00A76684">
        <w:rPr>
          <w:rFonts w:ascii="Century Schoolbook" w:hAnsi="Century Schoolbook"/>
          <w:sz w:val="27"/>
          <w:szCs w:val="27"/>
        </w:rPr>
        <w:t>up</w:t>
      </w:r>
      <w:r w:rsidRPr="009252C3" w:rsidR="007A1961">
        <w:rPr>
          <w:rFonts w:ascii="Century Schoolbook" w:hAnsi="Century Schoolbook"/>
          <w:sz w:val="27"/>
          <w:szCs w:val="27"/>
        </w:rPr>
        <w:t>on defendant’s truck</w:t>
      </w:r>
      <w:r w:rsidRPr="009252C3" w:rsidR="00CC10B8">
        <w:rPr>
          <w:rFonts w:ascii="Century Schoolbook" w:hAnsi="Century Schoolbook"/>
          <w:sz w:val="27"/>
          <w:szCs w:val="27"/>
        </w:rPr>
        <w:t xml:space="preserve">, a white or beige pickup with a camper shell, </w:t>
      </w:r>
      <w:r w:rsidRPr="009252C3" w:rsidR="007A1961">
        <w:rPr>
          <w:rFonts w:ascii="Century Schoolbook" w:hAnsi="Century Schoolbook"/>
          <w:sz w:val="27"/>
          <w:szCs w:val="27"/>
        </w:rPr>
        <w:t>stuck in the mud right at the river’s edge.  Despite the loud noise of the boat’s exhaust system</w:t>
      </w:r>
      <w:r w:rsidRPr="009252C3" w:rsidR="00BD01E1">
        <w:rPr>
          <w:rFonts w:ascii="Century Schoolbook" w:hAnsi="Century Schoolbook"/>
          <w:sz w:val="27"/>
          <w:szCs w:val="27"/>
        </w:rPr>
        <w:t xml:space="preserve"> and its official markings, defendant, who was sitting motionless in the driver’s seat, did not react to its presence until the boat came closer</w:t>
      </w:r>
      <w:r w:rsidRPr="009252C3" w:rsidR="00937B9A">
        <w:rPr>
          <w:rFonts w:ascii="Century Schoolbook" w:hAnsi="Century Schoolbook"/>
          <w:sz w:val="27"/>
          <w:szCs w:val="27"/>
        </w:rPr>
        <w:t xml:space="preserve">.  Defendant </w:t>
      </w:r>
      <w:r w:rsidRPr="009252C3" w:rsidR="00BD01E1">
        <w:rPr>
          <w:rFonts w:ascii="Century Schoolbook" w:hAnsi="Century Schoolbook"/>
          <w:sz w:val="27"/>
          <w:szCs w:val="27"/>
        </w:rPr>
        <w:t xml:space="preserve">made eye contact with the patrol sergeant, at which point he got out of the truck and stood on the bank.  </w:t>
      </w:r>
      <w:r w:rsidRPr="009252C3">
        <w:rPr>
          <w:rFonts w:ascii="Century Schoolbook" w:hAnsi="Century Schoolbook"/>
          <w:sz w:val="27"/>
          <w:szCs w:val="27"/>
        </w:rPr>
        <w:t>Defendant was wearing only a pair of wet blue jeans; despite the cold, breezy and intermittently wet weather he was shirtless, barefoot</w:t>
      </w:r>
      <w:r w:rsidRPr="009252C3" w:rsidR="00F72159">
        <w:rPr>
          <w:rFonts w:ascii="Century Schoolbook" w:hAnsi="Century Schoolbook"/>
          <w:sz w:val="27"/>
          <w:szCs w:val="27"/>
        </w:rPr>
        <w:t>,</w:t>
      </w:r>
      <w:r w:rsidRPr="009252C3">
        <w:rPr>
          <w:rFonts w:ascii="Century Schoolbook" w:hAnsi="Century Schoolbook"/>
          <w:sz w:val="27"/>
          <w:szCs w:val="27"/>
        </w:rPr>
        <w:t xml:space="preserve"> and</w:t>
      </w:r>
      <w:r w:rsidRPr="009252C3" w:rsidR="000D7F73">
        <w:rPr>
          <w:rFonts w:ascii="Century Schoolbook" w:hAnsi="Century Schoolbook"/>
          <w:sz w:val="27"/>
          <w:szCs w:val="27"/>
        </w:rPr>
        <w:t xml:space="preserve"> (</w:t>
      </w:r>
      <w:r w:rsidRPr="009252C3">
        <w:rPr>
          <w:rFonts w:ascii="Century Schoolbook" w:hAnsi="Century Schoolbook"/>
          <w:sz w:val="27"/>
          <w:szCs w:val="27"/>
        </w:rPr>
        <w:t xml:space="preserve">it was later </w:t>
      </w:r>
      <w:r w:rsidRPr="009252C3" w:rsidR="00150ADC">
        <w:rPr>
          <w:rFonts w:ascii="Century Schoolbook" w:hAnsi="Century Schoolbook"/>
          <w:sz w:val="27"/>
          <w:szCs w:val="27"/>
        </w:rPr>
        <w:t>discovered</w:t>
      </w:r>
      <w:r w:rsidRPr="009252C3" w:rsidR="000D7F73">
        <w:rPr>
          <w:rFonts w:ascii="Century Schoolbook" w:hAnsi="Century Schoolbook"/>
          <w:sz w:val="27"/>
          <w:szCs w:val="27"/>
        </w:rPr>
        <w:t>)</w:t>
      </w:r>
      <w:r w:rsidRPr="009252C3">
        <w:rPr>
          <w:rFonts w:ascii="Century Schoolbook" w:hAnsi="Century Schoolbook"/>
          <w:sz w:val="27"/>
          <w:szCs w:val="27"/>
        </w:rPr>
        <w:t xml:space="preserve"> wore no underwear. </w:t>
      </w:r>
      <w:r w:rsidRPr="009252C3" w:rsidR="00E822C9">
        <w:rPr>
          <w:rFonts w:ascii="Century Schoolbook" w:hAnsi="Century Schoolbook"/>
          <w:sz w:val="27"/>
          <w:szCs w:val="27"/>
        </w:rPr>
        <w:t xml:space="preserve"> </w:t>
      </w:r>
      <w:r w:rsidRPr="009252C3">
        <w:rPr>
          <w:rFonts w:ascii="Century Schoolbook" w:hAnsi="Century Schoolbook"/>
          <w:sz w:val="27"/>
          <w:szCs w:val="27"/>
        </w:rPr>
        <w:t xml:space="preserve">According to the </w:t>
      </w:r>
      <w:r w:rsidRPr="009252C3" w:rsidR="001F3BB0">
        <w:rPr>
          <w:rFonts w:ascii="Century Schoolbook" w:hAnsi="Century Schoolbook"/>
          <w:sz w:val="27"/>
          <w:szCs w:val="27"/>
        </w:rPr>
        <w:t xml:space="preserve">sheriff’s </w:t>
      </w:r>
      <w:r w:rsidRPr="009252C3">
        <w:rPr>
          <w:rFonts w:ascii="Century Schoolbook" w:hAnsi="Century Schoolbook"/>
          <w:sz w:val="27"/>
          <w:szCs w:val="27"/>
        </w:rPr>
        <w:t>sergeant, defendant also appeared unenthusiastic about encountering the sheriff’s boat, even though his situatio</w:t>
      </w:r>
      <w:r w:rsidRPr="009252C3" w:rsidR="0094246F">
        <w:rPr>
          <w:rFonts w:ascii="Century Schoolbook" w:hAnsi="Century Schoolbook"/>
          <w:sz w:val="27"/>
          <w:szCs w:val="27"/>
        </w:rPr>
        <w:t>n appeared somewhat perilous.</w:t>
      </w:r>
    </w:p>
    <w:p w:rsidR="00607C7E"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was brought aboard the boat and handcuffed.  </w:t>
      </w:r>
      <w:r w:rsidRPr="009252C3" w:rsidR="00F6267D">
        <w:rPr>
          <w:rFonts w:ascii="Century Schoolbook" w:hAnsi="Century Schoolbook"/>
          <w:sz w:val="27"/>
          <w:szCs w:val="27"/>
        </w:rPr>
        <w:t xml:space="preserve">As officers took </w:t>
      </w:r>
      <w:r w:rsidRPr="009252C3" w:rsidR="00BC7C8A">
        <w:rPr>
          <w:rFonts w:ascii="Century Schoolbook" w:hAnsi="Century Schoolbook"/>
          <w:sz w:val="27"/>
          <w:szCs w:val="27"/>
        </w:rPr>
        <w:t xml:space="preserve">defendant north to the Yuba City boat ramp, they passed the scene of the body’s discovery, where several people in white coveralls were now working.  Defendant stared straight ahead and did not look at the scene.  </w:t>
      </w:r>
    </w:p>
    <w:p w:rsidR="009D4731" w:rsidRPr="009252C3" w:rsidP="009252C3">
      <w:pPr>
        <w:tabs>
          <w:tab w:val="left" w:pos="1440"/>
        </w:tabs>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Defendant’s truck</w:t>
      </w:r>
      <w:r w:rsidRPr="009252C3" w:rsidR="00CC10B8">
        <w:rPr>
          <w:rFonts w:ascii="Century Schoolbook" w:hAnsi="Century Schoolbook"/>
          <w:sz w:val="27"/>
          <w:szCs w:val="27"/>
        </w:rPr>
        <w:t xml:space="preserve"> </w:t>
      </w:r>
      <w:r w:rsidRPr="009252C3">
        <w:rPr>
          <w:rFonts w:ascii="Century Schoolbook" w:hAnsi="Century Schoolbook"/>
          <w:sz w:val="27"/>
          <w:szCs w:val="27"/>
        </w:rPr>
        <w:t xml:space="preserve">was at the river’s edge, partly in the water.  The cable of a small come-along </w:t>
      </w:r>
      <w:r w:rsidRPr="009252C3" w:rsidR="0092651D">
        <w:rPr>
          <w:rFonts w:ascii="Century Schoolbook" w:hAnsi="Century Schoolbook"/>
          <w:sz w:val="27"/>
          <w:szCs w:val="27"/>
        </w:rPr>
        <w:t xml:space="preserve">winch </w:t>
      </w:r>
      <w:r w:rsidRPr="009252C3">
        <w:rPr>
          <w:rFonts w:ascii="Century Schoolbook" w:hAnsi="Century Schoolbook"/>
          <w:sz w:val="27"/>
          <w:szCs w:val="27"/>
        </w:rPr>
        <w:t xml:space="preserve">was wrapped at one end around the rear axle and at the other </w:t>
      </w:r>
      <w:r w:rsidRPr="009252C3" w:rsidR="00180EBF">
        <w:rPr>
          <w:rFonts w:ascii="Century Schoolbook" w:hAnsi="Century Schoolbook"/>
          <w:sz w:val="27"/>
          <w:szCs w:val="27"/>
        </w:rPr>
        <w:t xml:space="preserve">around a tree.  On the open tailgate, there was a fishing knife, a thin bladed fillet knife with a serrated edge.  </w:t>
      </w:r>
      <w:r w:rsidRPr="009252C3">
        <w:rPr>
          <w:rFonts w:ascii="Century Schoolbook" w:hAnsi="Century Schoolbook"/>
          <w:sz w:val="27"/>
          <w:szCs w:val="27"/>
        </w:rPr>
        <w:t xml:space="preserve">The knife had blood </w:t>
      </w:r>
      <w:r w:rsidRPr="009252C3" w:rsidR="00D04677">
        <w:rPr>
          <w:rFonts w:ascii="Century Schoolbook" w:hAnsi="Century Schoolbook"/>
          <w:sz w:val="27"/>
          <w:szCs w:val="27"/>
        </w:rPr>
        <w:t xml:space="preserve">underneath some sandy river soil </w:t>
      </w:r>
      <w:r w:rsidRPr="009252C3">
        <w:rPr>
          <w:rFonts w:ascii="Century Schoolbook" w:hAnsi="Century Schoolbook"/>
          <w:sz w:val="27"/>
          <w:szCs w:val="27"/>
        </w:rPr>
        <w:t>in corners where the blade met the handle; DNA testing s</w:t>
      </w:r>
      <w:r w:rsidRPr="009252C3" w:rsidR="0094246F">
        <w:rPr>
          <w:rFonts w:ascii="Century Schoolbook" w:hAnsi="Century Schoolbook"/>
          <w:sz w:val="27"/>
          <w:szCs w:val="27"/>
        </w:rPr>
        <w:t>howed the blood was Michael’s.</w:t>
      </w:r>
    </w:p>
    <w:p w:rsidR="0092651D"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Footprints matching Michael’s were found o</w:t>
      </w:r>
      <w:r w:rsidRPr="009252C3" w:rsidR="009D4731">
        <w:rPr>
          <w:rFonts w:ascii="Century Schoolbook" w:hAnsi="Century Schoolbook"/>
          <w:sz w:val="27"/>
          <w:szCs w:val="27"/>
        </w:rPr>
        <w:t xml:space="preserve">n the inside of the truck’s windshield.  Pubic hairs found on Michael’s clothing </w:t>
      </w:r>
      <w:r w:rsidRPr="009252C3" w:rsidR="00882BA9">
        <w:rPr>
          <w:rFonts w:ascii="Century Schoolbook" w:hAnsi="Century Schoolbook"/>
          <w:sz w:val="27"/>
          <w:szCs w:val="27"/>
        </w:rPr>
        <w:t xml:space="preserve">(which could not have belonged to the eight-year-old victim) </w:t>
      </w:r>
      <w:r w:rsidRPr="009252C3" w:rsidR="009D4731">
        <w:rPr>
          <w:rFonts w:ascii="Century Schoolbook" w:hAnsi="Century Schoolbook"/>
          <w:sz w:val="27"/>
          <w:szCs w:val="27"/>
        </w:rPr>
        <w:t>were consistent in color, shape</w:t>
      </w:r>
      <w:r w:rsidR="00E13368">
        <w:rPr>
          <w:rFonts w:ascii="Century Schoolbook" w:hAnsi="Century Schoolbook"/>
          <w:sz w:val="27"/>
          <w:szCs w:val="27"/>
        </w:rPr>
        <w:t>,</w:t>
      </w:r>
      <w:r w:rsidRPr="009252C3" w:rsidR="009D4731">
        <w:rPr>
          <w:rFonts w:ascii="Century Schoolbook" w:hAnsi="Century Schoolbook"/>
          <w:sz w:val="27"/>
          <w:szCs w:val="27"/>
        </w:rPr>
        <w:t xml:space="preserve"> and structure with samples taken from defendant.  On </w:t>
      </w:r>
      <w:r w:rsidRPr="009252C3" w:rsidR="00636918">
        <w:rPr>
          <w:rFonts w:ascii="Century Schoolbook" w:hAnsi="Century Schoolbook"/>
          <w:sz w:val="27"/>
          <w:szCs w:val="27"/>
        </w:rPr>
        <w:t>brushing</w:t>
      </w:r>
      <w:r w:rsidRPr="009252C3" w:rsidR="009D4731">
        <w:rPr>
          <w:rFonts w:ascii="Century Schoolbook" w:hAnsi="Century Schoolbook"/>
          <w:sz w:val="27"/>
          <w:szCs w:val="27"/>
        </w:rPr>
        <w:t xml:space="preserve"> defendant’s pubic </w:t>
      </w:r>
      <w:r w:rsidRPr="009252C3" w:rsidR="00883C62">
        <w:rPr>
          <w:rFonts w:ascii="Century Schoolbook" w:hAnsi="Century Schoolbook"/>
          <w:sz w:val="27"/>
          <w:szCs w:val="27"/>
        </w:rPr>
        <w:t>area</w:t>
      </w:r>
      <w:r w:rsidRPr="009252C3" w:rsidR="009D4731">
        <w:rPr>
          <w:rFonts w:ascii="Century Schoolbook" w:hAnsi="Century Schoolbook"/>
          <w:sz w:val="27"/>
          <w:szCs w:val="27"/>
        </w:rPr>
        <w:t xml:space="preserve">, </w:t>
      </w:r>
      <w:r w:rsidRPr="009252C3">
        <w:rPr>
          <w:rFonts w:ascii="Century Schoolbook" w:hAnsi="Century Schoolbook"/>
          <w:sz w:val="27"/>
          <w:szCs w:val="27"/>
        </w:rPr>
        <w:t>a</w:t>
      </w:r>
      <w:r w:rsidRPr="009252C3" w:rsidR="009D4731">
        <w:rPr>
          <w:rFonts w:ascii="Century Schoolbook" w:hAnsi="Century Schoolbook"/>
          <w:sz w:val="27"/>
          <w:szCs w:val="27"/>
        </w:rPr>
        <w:t xml:space="preserve"> criminalist found silty river-bottom soil and a green polyester fiber.  The fiber matched</w:t>
      </w:r>
      <w:r w:rsidRPr="009252C3" w:rsidR="00636918">
        <w:rPr>
          <w:rFonts w:ascii="Century Schoolbook" w:hAnsi="Century Schoolbook"/>
          <w:sz w:val="27"/>
          <w:szCs w:val="27"/>
        </w:rPr>
        <w:t xml:space="preserve"> a</w:t>
      </w:r>
      <w:r w:rsidRPr="009252C3" w:rsidR="009D4731">
        <w:rPr>
          <w:rFonts w:ascii="Century Schoolbook" w:hAnsi="Century Schoolbook"/>
          <w:sz w:val="27"/>
          <w:szCs w:val="27"/>
        </w:rPr>
        <w:t xml:space="preserve"> fiber from Michael’s sweat</w:t>
      </w:r>
      <w:r w:rsidRPr="009252C3" w:rsidR="00882BA9">
        <w:rPr>
          <w:rFonts w:ascii="Century Schoolbook" w:hAnsi="Century Schoolbook"/>
          <w:sz w:val="27"/>
          <w:szCs w:val="27"/>
        </w:rPr>
        <w:t>er</w:t>
      </w:r>
      <w:r w:rsidRPr="009252C3" w:rsidR="009D4731">
        <w:rPr>
          <w:rFonts w:ascii="Century Schoolbook" w:hAnsi="Century Schoolbook"/>
          <w:sz w:val="27"/>
          <w:szCs w:val="27"/>
        </w:rPr>
        <w:t xml:space="preserve"> in color, shape, diameter, fiber type</w:t>
      </w:r>
      <w:r w:rsidRPr="009252C3" w:rsidR="00E83BBD">
        <w:rPr>
          <w:rFonts w:ascii="Century Schoolbook" w:hAnsi="Century Schoolbook"/>
          <w:sz w:val="27"/>
          <w:szCs w:val="27"/>
        </w:rPr>
        <w:t>,</w:t>
      </w:r>
      <w:r w:rsidRPr="009252C3" w:rsidR="009D4731">
        <w:rPr>
          <w:rFonts w:ascii="Century Schoolbook" w:hAnsi="Century Schoolbook"/>
          <w:sz w:val="27"/>
          <w:szCs w:val="27"/>
        </w:rPr>
        <w:t xml:space="preserve"> and internal structure.  There was blood on </w:t>
      </w:r>
      <w:r w:rsidRPr="009252C3" w:rsidR="00882BA9">
        <w:rPr>
          <w:rFonts w:ascii="Century Schoolbook" w:hAnsi="Century Schoolbook"/>
          <w:sz w:val="27"/>
          <w:szCs w:val="27"/>
        </w:rPr>
        <w:t xml:space="preserve">Michael’s sweater and on </w:t>
      </w:r>
      <w:r w:rsidRPr="009252C3" w:rsidR="009D4731">
        <w:rPr>
          <w:rFonts w:ascii="Century Schoolbook" w:hAnsi="Century Schoolbook"/>
          <w:sz w:val="27"/>
          <w:szCs w:val="27"/>
        </w:rPr>
        <w:t>defendant’s jeans and underwear</w:t>
      </w:r>
      <w:r w:rsidRPr="009252C3" w:rsidR="00E83BBD">
        <w:rPr>
          <w:rFonts w:ascii="Century Schoolbook" w:hAnsi="Century Schoolbook"/>
          <w:sz w:val="27"/>
          <w:szCs w:val="27"/>
        </w:rPr>
        <w:t xml:space="preserve">.  There was also </w:t>
      </w:r>
      <w:r w:rsidRPr="009252C3" w:rsidR="009D4731">
        <w:rPr>
          <w:rFonts w:ascii="Century Schoolbook" w:hAnsi="Century Schoolbook"/>
          <w:sz w:val="27"/>
          <w:szCs w:val="27"/>
        </w:rPr>
        <w:t xml:space="preserve">a large bloodstain on </w:t>
      </w:r>
      <w:r w:rsidRPr="009252C3" w:rsidR="00E83BBD">
        <w:rPr>
          <w:rFonts w:ascii="Century Schoolbook" w:hAnsi="Century Schoolbook"/>
          <w:sz w:val="27"/>
          <w:szCs w:val="27"/>
        </w:rPr>
        <w:t xml:space="preserve">defendant’s </w:t>
      </w:r>
      <w:r w:rsidRPr="009252C3" w:rsidR="009D4731">
        <w:rPr>
          <w:rFonts w:ascii="Century Schoolbook" w:hAnsi="Century Schoolbook"/>
          <w:sz w:val="27"/>
          <w:szCs w:val="27"/>
        </w:rPr>
        <w:t>shirt</w:t>
      </w:r>
      <w:r w:rsidRPr="009252C3" w:rsidR="00E83BBD">
        <w:rPr>
          <w:rFonts w:ascii="Century Schoolbook" w:hAnsi="Century Schoolbook"/>
          <w:sz w:val="27"/>
          <w:szCs w:val="27"/>
        </w:rPr>
        <w:t>.  T</w:t>
      </w:r>
      <w:r w:rsidRPr="009252C3" w:rsidR="00882BA9">
        <w:rPr>
          <w:rFonts w:ascii="Century Schoolbook" w:hAnsi="Century Schoolbook"/>
          <w:sz w:val="27"/>
          <w:szCs w:val="27"/>
        </w:rPr>
        <w:t>he blood on defendant’s</w:t>
      </w:r>
      <w:r w:rsidRPr="009252C3" w:rsidR="00EE082C">
        <w:rPr>
          <w:rFonts w:ascii="Century Schoolbook" w:hAnsi="Century Schoolbook"/>
          <w:sz w:val="27"/>
          <w:szCs w:val="27"/>
        </w:rPr>
        <w:t xml:space="preserve"> underwear and shirt</w:t>
      </w:r>
      <w:r w:rsidRPr="009252C3" w:rsidR="00882BA9">
        <w:rPr>
          <w:rFonts w:ascii="Century Schoolbook" w:hAnsi="Century Schoolbook"/>
          <w:sz w:val="27"/>
          <w:szCs w:val="27"/>
        </w:rPr>
        <w:t>, which</w:t>
      </w:r>
      <w:r w:rsidRPr="009252C3" w:rsidR="00EE082C">
        <w:rPr>
          <w:rFonts w:ascii="Century Schoolbook" w:hAnsi="Century Schoolbook"/>
          <w:sz w:val="27"/>
          <w:szCs w:val="27"/>
        </w:rPr>
        <w:t xml:space="preserve"> were found in his truck</w:t>
      </w:r>
      <w:r w:rsidRPr="009252C3" w:rsidR="00882BA9">
        <w:rPr>
          <w:rFonts w:ascii="Century Schoolbook" w:hAnsi="Century Schoolbook"/>
          <w:sz w:val="27"/>
          <w:szCs w:val="27"/>
        </w:rPr>
        <w:t>, was dilute</w:t>
      </w:r>
      <w:r w:rsidRPr="009252C3" w:rsidR="00EE082C">
        <w:rPr>
          <w:rFonts w:ascii="Century Schoolbook" w:hAnsi="Century Schoolbook"/>
          <w:sz w:val="27"/>
          <w:szCs w:val="27"/>
        </w:rPr>
        <w:t xml:space="preserve">.  </w:t>
      </w:r>
      <w:r w:rsidRPr="009252C3">
        <w:rPr>
          <w:rFonts w:ascii="Century Schoolbook" w:hAnsi="Century Schoolbook"/>
          <w:sz w:val="27"/>
          <w:szCs w:val="27"/>
        </w:rPr>
        <w:t>Examination of defendant’s body after his arrest showed he had abrasions and scratches on his</w:t>
      </w:r>
      <w:r w:rsidRPr="009252C3" w:rsidR="009343AD">
        <w:rPr>
          <w:rFonts w:ascii="Century Schoolbook" w:hAnsi="Century Schoolbook"/>
          <w:sz w:val="27"/>
          <w:szCs w:val="27"/>
        </w:rPr>
        <w:t xml:space="preserve"> arm,</w:t>
      </w:r>
      <w:r w:rsidRPr="009252C3">
        <w:rPr>
          <w:rFonts w:ascii="Century Schoolbook" w:hAnsi="Century Schoolbook"/>
          <w:sz w:val="27"/>
          <w:szCs w:val="27"/>
        </w:rPr>
        <w:t xml:space="preserve"> hips</w:t>
      </w:r>
      <w:r w:rsidRPr="009252C3" w:rsidR="00E83BBD">
        <w:rPr>
          <w:rFonts w:ascii="Century Schoolbook" w:hAnsi="Century Schoolbook"/>
          <w:sz w:val="27"/>
          <w:szCs w:val="27"/>
        </w:rPr>
        <w:t>,</w:t>
      </w:r>
      <w:r w:rsidRPr="009252C3">
        <w:rPr>
          <w:rFonts w:ascii="Century Schoolbook" w:hAnsi="Century Schoolbook"/>
          <w:sz w:val="27"/>
          <w:szCs w:val="27"/>
        </w:rPr>
        <w:t xml:space="preserve"> and inner thigh</w:t>
      </w:r>
      <w:r w:rsidRPr="009252C3" w:rsidR="00E83BBD">
        <w:rPr>
          <w:rFonts w:ascii="Century Schoolbook" w:hAnsi="Century Schoolbook"/>
          <w:sz w:val="27"/>
          <w:szCs w:val="27"/>
        </w:rPr>
        <w:t>,</w:t>
      </w:r>
      <w:r w:rsidRPr="009252C3">
        <w:rPr>
          <w:rFonts w:ascii="Century Schoolbook" w:hAnsi="Century Schoolbook"/>
          <w:sz w:val="27"/>
          <w:szCs w:val="27"/>
        </w:rPr>
        <w:t xml:space="preserve"> and a possible bruise on his penis.  </w:t>
      </w:r>
      <w:r w:rsidRPr="009252C3" w:rsidR="009343AD">
        <w:rPr>
          <w:rFonts w:ascii="Century Schoolbook" w:hAnsi="Century Schoolbook"/>
          <w:sz w:val="27"/>
          <w:szCs w:val="27"/>
        </w:rPr>
        <w:t>Methamphetamine and a syringe wer</w:t>
      </w:r>
      <w:r w:rsidRPr="009252C3" w:rsidR="0094246F">
        <w:rPr>
          <w:rFonts w:ascii="Century Schoolbook" w:hAnsi="Century Schoolbook"/>
          <w:sz w:val="27"/>
          <w:szCs w:val="27"/>
        </w:rPr>
        <w:t>e found in defendant’s truck</w:t>
      </w:r>
      <w:r w:rsidRPr="009252C3" w:rsidR="00D1743B">
        <w:rPr>
          <w:rFonts w:ascii="Century Schoolbook" w:hAnsi="Century Schoolbook"/>
          <w:sz w:val="27"/>
          <w:szCs w:val="27"/>
        </w:rPr>
        <w:t xml:space="preserve">; defendant’s blood tested positive for methamphetamine. </w:t>
      </w:r>
    </w:p>
    <w:p w:rsidR="00E3785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prosecution presented witnesses to show defendant’s </w:t>
      </w:r>
      <w:r w:rsidRPr="009252C3" w:rsidR="00E478B0">
        <w:rPr>
          <w:rFonts w:ascii="Century Schoolbook" w:hAnsi="Century Schoolbook"/>
          <w:sz w:val="27"/>
          <w:szCs w:val="27"/>
        </w:rPr>
        <w:t>whereabouts</w:t>
      </w:r>
      <w:r w:rsidRPr="009252C3">
        <w:rPr>
          <w:rFonts w:ascii="Century Schoolbook" w:hAnsi="Century Schoolbook"/>
          <w:sz w:val="27"/>
          <w:szCs w:val="27"/>
        </w:rPr>
        <w:t xml:space="preserve"> on the afternoon of May 16, 1996.  </w:t>
      </w:r>
      <w:r w:rsidRPr="009252C3" w:rsidR="00E478B0">
        <w:rPr>
          <w:rFonts w:ascii="Century Schoolbook" w:hAnsi="Century Schoolbook"/>
          <w:sz w:val="27"/>
          <w:szCs w:val="27"/>
        </w:rPr>
        <w:t xml:space="preserve">Defendant’s father, </w:t>
      </w:r>
      <w:r w:rsidRPr="009252C3" w:rsidR="00DE7729">
        <w:rPr>
          <w:rFonts w:ascii="Century Schoolbook" w:hAnsi="Century Schoolbook"/>
          <w:sz w:val="27"/>
          <w:szCs w:val="27"/>
        </w:rPr>
        <w:t xml:space="preserve">who ran a barbershop where </w:t>
      </w:r>
      <w:r w:rsidRPr="009252C3" w:rsidR="00E478B0">
        <w:rPr>
          <w:rFonts w:ascii="Century Schoolbook" w:hAnsi="Century Schoolbook"/>
          <w:sz w:val="27"/>
          <w:szCs w:val="27"/>
        </w:rPr>
        <w:t>defendant worked, testified defendant left the shop at around 11:00 a.m., saying he was taking his truck to Sears for a repair</w:t>
      </w:r>
      <w:r w:rsidRPr="009252C3" w:rsidR="00DE7729">
        <w:rPr>
          <w:rFonts w:ascii="Century Schoolbook" w:hAnsi="Century Schoolbook"/>
          <w:sz w:val="27"/>
          <w:szCs w:val="27"/>
        </w:rPr>
        <w:t>.  Defendant</w:t>
      </w:r>
      <w:r w:rsidRPr="009252C3" w:rsidR="00E478B0">
        <w:rPr>
          <w:rFonts w:ascii="Century Schoolbook" w:hAnsi="Century Schoolbook"/>
          <w:sz w:val="27"/>
          <w:szCs w:val="27"/>
        </w:rPr>
        <w:t xml:space="preserve"> called </w:t>
      </w:r>
      <w:r w:rsidRPr="009252C3" w:rsidR="00DE7729">
        <w:rPr>
          <w:rFonts w:ascii="Century Schoolbook" w:hAnsi="Century Schoolbook"/>
          <w:sz w:val="27"/>
          <w:szCs w:val="27"/>
        </w:rPr>
        <w:t xml:space="preserve">at </w:t>
      </w:r>
      <w:r w:rsidRPr="009252C3" w:rsidR="00E478B0">
        <w:rPr>
          <w:rFonts w:ascii="Century Schoolbook" w:hAnsi="Century Schoolbook"/>
          <w:sz w:val="27"/>
          <w:szCs w:val="27"/>
        </w:rPr>
        <w:t>about 1:00 p.m. to say the repair was not finished yet but he would come in when it was.</w:t>
      </w:r>
      <w:r>
        <w:rPr>
          <w:rStyle w:val="FootnoteReference"/>
          <w:rFonts w:ascii="Century Schoolbook" w:hAnsi="Century Schoolbook"/>
          <w:sz w:val="27"/>
          <w:szCs w:val="27"/>
          <w:vertAlign w:val="superscript"/>
        </w:rPr>
        <w:footnoteReference w:id="4"/>
      </w:r>
      <w:r w:rsidRPr="009252C3" w:rsidR="00E478B0">
        <w:rPr>
          <w:rFonts w:ascii="Century Schoolbook" w:hAnsi="Century Schoolbook"/>
          <w:sz w:val="27"/>
          <w:szCs w:val="27"/>
        </w:rPr>
        <w:t xml:space="preserve">  The father did not hear from defendant </w:t>
      </w:r>
      <w:r w:rsidRPr="009252C3" w:rsidR="00DE7729">
        <w:rPr>
          <w:rFonts w:ascii="Century Schoolbook" w:hAnsi="Century Schoolbook"/>
          <w:sz w:val="27"/>
          <w:szCs w:val="27"/>
        </w:rPr>
        <w:t xml:space="preserve">again </w:t>
      </w:r>
      <w:r w:rsidRPr="009252C3" w:rsidR="00E478B0">
        <w:rPr>
          <w:rFonts w:ascii="Century Schoolbook" w:hAnsi="Century Schoolbook"/>
          <w:sz w:val="27"/>
          <w:szCs w:val="27"/>
        </w:rPr>
        <w:t xml:space="preserve">until </w:t>
      </w:r>
      <w:r w:rsidRPr="009252C3" w:rsidR="008A684A">
        <w:rPr>
          <w:rFonts w:ascii="Century Schoolbook" w:hAnsi="Century Schoolbook"/>
          <w:sz w:val="27"/>
          <w:szCs w:val="27"/>
        </w:rPr>
        <w:t xml:space="preserve">defendant </w:t>
      </w:r>
      <w:r w:rsidRPr="009252C3" w:rsidR="00E478B0">
        <w:rPr>
          <w:rFonts w:ascii="Century Schoolbook" w:hAnsi="Century Schoolbook"/>
          <w:sz w:val="27"/>
          <w:szCs w:val="27"/>
        </w:rPr>
        <w:t xml:space="preserve">called from jail the next day.  </w:t>
      </w:r>
      <w:r w:rsidRPr="009252C3" w:rsidR="004632DD">
        <w:rPr>
          <w:rFonts w:ascii="Century Schoolbook" w:hAnsi="Century Schoolbook"/>
          <w:sz w:val="27"/>
          <w:szCs w:val="27"/>
        </w:rPr>
        <w:t xml:space="preserve">Employees </w:t>
      </w:r>
      <w:r w:rsidRPr="009252C3" w:rsidR="00D148C4">
        <w:rPr>
          <w:rFonts w:ascii="Century Schoolbook" w:hAnsi="Century Schoolbook"/>
          <w:sz w:val="27"/>
          <w:szCs w:val="27"/>
        </w:rPr>
        <w:t xml:space="preserve">and a fellow card player at </w:t>
      </w:r>
      <w:r w:rsidRPr="009252C3" w:rsidR="004632DD">
        <w:rPr>
          <w:rFonts w:ascii="Century Schoolbook" w:hAnsi="Century Schoolbook"/>
          <w:sz w:val="27"/>
          <w:szCs w:val="27"/>
        </w:rPr>
        <w:t xml:space="preserve">Rooney’s Card Room in Marysville testified </w:t>
      </w:r>
      <w:r w:rsidRPr="009252C3" w:rsidR="00D148C4">
        <w:rPr>
          <w:rFonts w:ascii="Century Schoolbook" w:hAnsi="Century Schoolbook"/>
          <w:sz w:val="27"/>
          <w:szCs w:val="27"/>
        </w:rPr>
        <w:t xml:space="preserve">that </w:t>
      </w:r>
      <w:r w:rsidRPr="009252C3" w:rsidR="004632DD">
        <w:rPr>
          <w:rFonts w:ascii="Century Schoolbook" w:hAnsi="Century Schoolbook"/>
          <w:sz w:val="27"/>
          <w:szCs w:val="27"/>
        </w:rPr>
        <w:t xml:space="preserve">defendant played </w:t>
      </w:r>
      <w:r w:rsidRPr="009252C3" w:rsidR="00986B48">
        <w:rPr>
          <w:rFonts w:ascii="Century Schoolbook" w:hAnsi="Century Schoolbook"/>
          <w:sz w:val="27"/>
          <w:szCs w:val="27"/>
        </w:rPr>
        <w:t>cards</w:t>
      </w:r>
      <w:r w:rsidRPr="009252C3" w:rsidR="004632DD">
        <w:rPr>
          <w:rFonts w:ascii="Century Schoolbook" w:hAnsi="Century Schoolbook"/>
          <w:sz w:val="27"/>
          <w:szCs w:val="27"/>
        </w:rPr>
        <w:t xml:space="preserve"> there from 1:00 p.m. until </w:t>
      </w:r>
      <w:r w:rsidRPr="009252C3" w:rsidR="00555212">
        <w:rPr>
          <w:rFonts w:ascii="Century Schoolbook" w:hAnsi="Century Schoolbook"/>
          <w:sz w:val="27"/>
          <w:szCs w:val="27"/>
        </w:rPr>
        <w:t>sometime after</w:t>
      </w:r>
      <w:r w:rsidRPr="009252C3" w:rsidR="004632DD">
        <w:rPr>
          <w:rFonts w:ascii="Century Schoolbook" w:hAnsi="Century Schoolbook"/>
          <w:sz w:val="27"/>
          <w:szCs w:val="27"/>
        </w:rPr>
        <w:t xml:space="preserve"> 3:00 p.m.; </w:t>
      </w:r>
      <w:r w:rsidRPr="009252C3" w:rsidR="00986B48">
        <w:rPr>
          <w:rFonts w:ascii="Century Schoolbook" w:hAnsi="Century Schoolbook"/>
          <w:sz w:val="27"/>
          <w:szCs w:val="27"/>
        </w:rPr>
        <w:t>he tried to quit at 2:15 p.m., but</w:t>
      </w:r>
      <w:r w:rsidRPr="009252C3" w:rsidR="00555212">
        <w:rPr>
          <w:rFonts w:ascii="Century Schoolbook" w:hAnsi="Century Schoolbook"/>
          <w:sz w:val="27"/>
          <w:szCs w:val="27"/>
        </w:rPr>
        <w:t xml:space="preserve"> because</w:t>
      </w:r>
      <w:r w:rsidRPr="009252C3" w:rsidR="00986B48">
        <w:rPr>
          <w:rFonts w:ascii="Century Schoolbook" w:hAnsi="Century Schoolbook"/>
          <w:sz w:val="27"/>
          <w:szCs w:val="27"/>
        </w:rPr>
        <w:t xml:space="preserve"> </w:t>
      </w:r>
      <w:r w:rsidRPr="009252C3" w:rsidR="004632DD">
        <w:rPr>
          <w:rFonts w:ascii="Century Schoolbook" w:hAnsi="Century Schoolbook"/>
          <w:sz w:val="27"/>
          <w:szCs w:val="27"/>
        </w:rPr>
        <w:t>the house</w:t>
      </w:r>
      <w:r w:rsidRPr="009252C3" w:rsidR="00986B48">
        <w:rPr>
          <w:rFonts w:ascii="Century Schoolbook" w:hAnsi="Century Schoolbook"/>
          <w:sz w:val="27"/>
          <w:szCs w:val="27"/>
        </w:rPr>
        <w:t xml:space="preserve"> had</w:t>
      </w:r>
      <w:r w:rsidRPr="009252C3" w:rsidR="004632DD">
        <w:rPr>
          <w:rFonts w:ascii="Century Schoolbook" w:hAnsi="Century Schoolbook"/>
          <w:sz w:val="27"/>
          <w:szCs w:val="27"/>
        </w:rPr>
        <w:t xml:space="preserve"> staked him some money when he started playing, he had to play for at least two hours or share his winnings with the house.  Defendant left Rooney’s </w:t>
      </w:r>
      <w:r w:rsidRPr="009252C3" w:rsidR="00986B48">
        <w:rPr>
          <w:rFonts w:ascii="Century Schoolbook" w:hAnsi="Century Schoolbook"/>
          <w:sz w:val="27"/>
          <w:szCs w:val="27"/>
        </w:rPr>
        <w:t>sometime between</w:t>
      </w:r>
      <w:r w:rsidRPr="009252C3" w:rsidR="004632DD">
        <w:rPr>
          <w:rFonts w:ascii="Century Schoolbook" w:hAnsi="Century Schoolbook"/>
          <w:sz w:val="27"/>
          <w:szCs w:val="27"/>
        </w:rPr>
        <w:t xml:space="preserve"> 3:00 p.m.</w:t>
      </w:r>
      <w:r w:rsidRPr="009252C3" w:rsidR="00986B48">
        <w:rPr>
          <w:rFonts w:ascii="Century Schoolbook" w:hAnsi="Century Schoolbook"/>
          <w:sz w:val="27"/>
          <w:szCs w:val="27"/>
        </w:rPr>
        <w:t xml:space="preserve"> and 3:30 p.m.</w:t>
      </w:r>
      <w:r w:rsidRPr="009252C3" w:rsidR="004632DD">
        <w:rPr>
          <w:rFonts w:ascii="Century Schoolbook" w:hAnsi="Century Schoolbook"/>
          <w:sz w:val="27"/>
          <w:szCs w:val="27"/>
        </w:rPr>
        <w:t>; the other card player</w:t>
      </w:r>
      <w:r w:rsidRPr="009252C3" w:rsidR="00986B48">
        <w:rPr>
          <w:rFonts w:ascii="Century Schoolbook" w:hAnsi="Century Schoolbook"/>
          <w:sz w:val="27"/>
          <w:szCs w:val="27"/>
        </w:rPr>
        <w:t>, who saw the clock when defendant left,</w:t>
      </w:r>
      <w:r w:rsidRPr="009252C3" w:rsidR="004632DD">
        <w:rPr>
          <w:rFonts w:ascii="Century Schoolbook" w:hAnsi="Century Schoolbook"/>
          <w:sz w:val="27"/>
          <w:szCs w:val="27"/>
        </w:rPr>
        <w:t xml:space="preserve"> </w:t>
      </w:r>
      <w:r w:rsidRPr="009252C3" w:rsidR="00986B48">
        <w:rPr>
          <w:rFonts w:ascii="Century Schoolbook" w:hAnsi="Century Schoolbook"/>
          <w:sz w:val="27"/>
          <w:szCs w:val="27"/>
        </w:rPr>
        <w:t>remembered the time</w:t>
      </w:r>
      <w:r w:rsidRPr="009252C3" w:rsidR="004632DD">
        <w:rPr>
          <w:rFonts w:ascii="Century Schoolbook" w:hAnsi="Century Schoolbook"/>
          <w:sz w:val="27"/>
          <w:szCs w:val="27"/>
        </w:rPr>
        <w:t xml:space="preserve"> as 3:15 p.m. or 3:17 p.m.  A police investigator timed the drive from Rooney’</w:t>
      </w:r>
      <w:r w:rsidRPr="009252C3" w:rsidR="00986B48">
        <w:rPr>
          <w:rFonts w:ascii="Century Schoolbook" w:hAnsi="Century Schoolbook"/>
          <w:sz w:val="27"/>
          <w:szCs w:val="27"/>
        </w:rPr>
        <w:t xml:space="preserve">s to the intersection of C and Boyd Streets in Yuba City (where Clark saw the possible child abduction) at under four minutes.  </w:t>
      </w:r>
    </w:p>
    <w:p w:rsidR="0094246F"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prosecution introduced no statements by defendant to the police, but a </w:t>
      </w:r>
      <w:r w:rsidRPr="009252C3" w:rsidR="00047840">
        <w:rPr>
          <w:rFonts w:ascii="Century Schoolbook" w:hAnsi="Century Schoolbook"/>
          <w:sz w:val="27"/>
          <w:szCs w:val="27"/>
        </w:rPr>
        <w:t>Sutter County d</w:t>
      </w:r>
      <w:r w:rsidRPr="009252C3">
        <w:rPr>
          <w:rFonts w:ascii="Century Schoolbook" w:hAnsi="Century Schoolbook"/>
          <w:sz w:val="27"/>
          <w:szCs w:val="27"/>
        </w:rPr>
        <w:t xml:space="preserve">eputy sheriff testified </w:t>
      </w:r>
      <w:r w:rsidRPr="009252C3" w:rsidR="00D148C4">
        <w:rPr>
          <w:rFonts w:ascii="Century Schoolbook" w:hAnsi="Century Schoolbook"/>
          <w:sz w:val="27"/>
          <w:szCs w:val="27"/>
        </w:rPr>
        <w:t xml:space="preserve">to a statement defendant made </w:t>
      </w:r>
      <w:r w:rsidRPr="009252C3">
        <w:rPr>
          <w:rFonts w:ascii="Century Schoolbook" w:hAnsi="Century Schoolbook"/>
          <w:sz w:val="27"/>
          <w:szCs w:val="27"/>
        </w:rPr>
        <w:t xml:space="preserve">during a recess in </w:t>
      </w:r>
      <w:r w:rsidRPr="009252C3" w:rsidR="00D148C4">
        <w:rPr>
          <w:rFonts w:ascii="Century Schoolbook" w:hAnsi="Century Schoolbook"/>
          <w:sz w:val="27"/>
          <w:szCs w:val="27"/>
        </w:rPr>
        <w:t xml:space="preserve">the </w:t>
      </w:r>
      <w:r w:rsidRPr="009252C3">
        <w:rPr>
          <w:rFonts w:ascii="Century Schoolbook" w:hAnsi="Century Schoolbook"/>
          <w:sz w:val="27"/>
          <w:szCs w:val="27"/>
        </w:rPr>
        <w:t>preliminary hearing</w:t>
      </w:r>
      <w:r w:rsidRPr="009252C3" w:rsidR="00D148C4">
        <w:rPr>
          <w:rFonts w:ascii="Century Schoolbook" w:hAnsi="Century Schoolbook"/>
          <w:sz w:val="27"/>
          <w:szCs w:val="27"/>
        </w:rPr>
        <w:t>.  A</w:t>
      </w:r>
      <w:r w:rsidRPr="009252C3">
        <w:rPr>
          <w:rFonts w:ascii="Century Schoolbook" w:hAnsi="Century Schoolbook"/>
          <w:sz w:val="27"/>
          <w:szCs w:val="27"/>
        </w:rPr>
        <w:t xml:space="preserve">fter the time of death had been discussed in the proceedings, </w:t>
      </w:r>
      <w:r w:rsidRPr="009252C3" w:rsidR="00D148C4">
        <w:rPr>
          <w:rFonts w:ascii="Century Schoolbook" w:hAnsi="Century Schoolbook"/>
          <w:sz w:val="27"/>
          <w:szCs w:val="27"/>
        </w:rPr>
        <w:t xml:space="preserve">the deputy sheriff </w:t>
      </w:r>
      <w:r w:rsidRPr="009252C3">
        <w:rPr>
          <w:rFonts w:ascii="Century Schoolbook" w:hAnsi="Century Schoolbook"/>
          <w:sz w:val="27"/>
          <w:szCs w:val="27"/>
        </w:rPr>
        <w:t xml:space="preserve">overheard defendant tell his attorney, “I can give them a better time of death than what they have.”  </w:t>
      </w:r>
    </w:p>
    <w:p w:rsidR="00986B4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prosecution also presented two witnesses to </w:t>
      </w:r>
      <w:r w:rsidRPr="009252C3" w:rsidR="00D607DF">
        <w:rPr>
          <w:rFonts w:ascii="Century Schoolbook" w:hAnsi="Century Schoolbook"/>
          <w:sz w:val="27"/>
          <w:szCs w:val="27"/>
        </w:rPr>
        <w:t xml:space="preserve">describe </w:t>
      </w:r>
      <w:r w:rsidRPr="009252C3">
        <w:rPr>
          <w:rFonts w:ascii="Century Schoolbook" w:hAnsi="Century Schoolbook"/>
          <w:sz w:val="27"/>
          <w:szCs w:val="27"/>
        </w:rPr>
        <w:t xml:space="preserve">defendant’s behavior on a </w:t>
      </w:r>
      <w:r w:rsidRPr="009252C3" w:rsidR="00403691">
        <w:rPr>
          <w:rFonts w:ascii="Century Schoolbook" w:hAnsi="Century Schoolbook"/>
          <w:sz w:val="27"/>
          <w:szCs w:val="27"/>
        </w:rPr>
        <w:t xml:space="preserve">Yuba City </w:t>
      </w:r>
      <w:r w:rsidRPr="009252C3">
        <w:rPr>
          <w:rFonts w:ascii="Century Schoolbook" w:hAnsi="Century Schoolbook"/>
          <w:sz w:val="27"/>
          <w:szCs w:val="27"/>
        </w:rPr>
        <w:t xml:space="preserve">public bus on May 14, 1996, two days before Michael’s killing.  </w:t>
      </w:r>
      <w:r w:rsidRPr="009252C3" w:rsidR="003A2D44">
        <w:rPr>
          <w:rFonts w:ascii="Century Schoolbook" w:hAnsi="Century Schoolbook"/>
          <w:sz w:val="27"/>
          <w:szCs w:val="27"/>
        </w:rPr>
        <w:t xml:space="preserve">Alicia Tapia testified she saw an unkempt, dirty man, whom she later identified as defendant, get on the bus wearing a long knife in a </w:t>
      </w:r>
      <w:r w:rsidRPr="009252C3" w:rsidR="00B15B48">
        <w:rPr>
          <w:rFonts w:ascii="Century Schoolbook" w:hAnsi="Century Schoolbook"/>
          <w:sz w:val="27"/>
          <w:szCs w:val="27"/>
        </w:rPr>
        <w:t>sheath</w:t>
      </w:r>
      <w:r w:rsidRPr="009252C3" w:rsidR="00D607DF">
        <w:rPr>
          <w:rFonts w:ascii="Century Schoolbook" w:hAnsi="Century Schoolbook"/>
          <w:sz w:val="27"/>
          <w:szCs w:val="27"/>
        </w:rPr>
        <w:t xml:space="preserve">.  The man then had </w:t>
      </w:r>
      <w:r w:rsidRPr="009252C3" w:rsidR="00B15B48">
        <w:rPr>
          <w:rFonts w:ascii="Century Schoolbook" w:hAnsi="Century Schoolbook"/>
          <w:sz w:val="27"/>
          <w:szCs w:val="27"/>
        </w:rPr>
        <w:t xml:space="preserve">a conversation </w:t>
      </w:r>
      <w:r w:rsidRPr="009252C3" w:rsidR="003A2D44">
        <w:rPr>
          <w:rFonts w:ascii="Century Schoolbook" w:hAnsi="Century Schoolbook"/>
          <w:sz w:val="27"/>
          <w:szCs w:val="27"/>
        </w:rPr>
        <w:t>with another man</w:t>
      </w:r>
      <w:r w:rsidRPr="009252C3" w:rsidR="00D607DF">
        <w:rPr>
          <w:rFonts w:ascii="Century Schoolbook" w:hAnsi="Century Schoolbook"/>
          <w:sz w:val="27"/>
          <w:szCs w:val="27"/>
        </w:rPr>
        <w:t xml:space="preserve"> about child abuse</w:t>
      </w:r>
      <w:r w:rsidRPr="009252C3" w:rsidR="00A517D7">
        <w:rPr>
          <w:rFonts w:ascii="Century Schoolbook" w:hAnsi="Century Schoolbook"/>
          <w:sz w:val="27"/>
          <w:szCs w:val="27"/>
        </w:rPr>
        <w:t xml:space="preserve"> and molestation</w:t>
      </w:r>
      <w:r w:rsidRPr="009252C3" w:rsidR="003A2D44">
        <w:rPr>
          <w:rFonts w:ascii="Century Schoolbook" w:hAnsi="Century Schoolbook"/>
          <w:sz w:val="27"/>
          <w:szCs w:val="27"/>
        </w:rPr>
        <w:t>.  Tapia complained to the bus driver and the driver told defendant to</w:t>
      </w:r>
      <w:r w:rsidRPr="009252C3" w:rsidR="00D5486D">
        <w:rPr>
          <w:rFonts w:ascii="Century Schoolbook" w:hAnsi="Century Schoolbook"/>
          <w:sz w:val="27"/>
          <w:szCs w:val="27"/>
        </w:rPr>
        <w:t xml:space="preserve"> change the subject</w:t>
      </w:r>
      <w:r w:rsidRPr="009252C3" w:rsidR="00DE7729">
        <w:rPr>
          <w:rFonts w:ascii="Century Schoolbook" w:hAnsi="Century Schoolbook"/>
          <w:sz w:val="27"/>
          <w:szCs w:val="27"/>
        </w:rPr>
        <w:t xml:space="preserve"> </w:t>
      </w:r>
      <w:r w:rsidRPr="009252C3" w:rsidR="00D5486D">
        <w:rPr>
          <w:rFonts w:ascii="Century Schoolbook" w:hAnsi="Century Schoolbook"/>
          <w:sz w:val="27"/>
          <w:szCs w:val="27"/>
        </w:rPr>
        <w:t>and</w:t>
      </w:r>
      <w:r w:rsidRPr="009252C3" w:rsidR="003A2D44">
        <w:rPr>
          <w:rFonts w:ascii="Century Schoolbook" w:hAnsi="Century Schoolbook"/>
          <w:sz w:val="27"/>
          <w:szCs w:val="27"/>
        </w:rPr>
        <w:t xml:space="preserve"> stop upsetting the passengers.  Kevin Buchanan testified to a conversation he had on the bus that day with a man with a knife</w:t>
      </w:r>
      <w:r w:rsidRPr="009252C3" w:rsidR="00DE7729">
        <w:rPr>
          <w:rFonts w:ascii="Century Schoolbook" w:hAnsi="Century Schoolbook"/>
          <w:sz w:val="27"/>
          <w:szCs w:val="27"/>
        </w:rPr>
        <w:t>,</w:t>
      </w:r>
      <w:r w:rsidRPr="009252C3" w:rsidR="003A2D44">
        <w:rPr>
          <w:rFonts w:ascii="Century Schoolbook" w:hAnsi="Century Schoolbook"/>
          <w:sz w:val="27"/>
          <w:szCs w:val="27"/>
        </w:rPr>
        <w:t xml:space="preserve"> whom he identified at trial as defendant.  After they saw a woman on the street striking a child, the conversation turned to child abuse and child molestation</w:t>
      </w:r>
      <w:r w:rsidRPr="009252C3" w:rsidR="00D5486D">
        <w:rPr>
          <w:rFonts w:ascii="Century Schoolbook" w:hAnsi="Century Schoolbook"/>
          <w:sz w:val="27"/>
          <w:szCs w:val="27"/>
        </w:rPr>
        <w:t>.  When Buchanan said he disliked molesters and would beat them up, defendant admitted he had been in prison for molesting a child and sometimes thought he would do it again</w:t>
      </w:r>
      <w:r w:rsidRPr="009252C3" w:rsidR="00A517D7">
        <w:rPr>
          <w:rFonts w:ascii="Century Schoolbook" w:hAnsi="Century Schoolbook"/>
          <w:sz w:val="27"/>
          <w:szCs w:val="27"/>
        </w:rPr>
        <w:t xml:space="preserve">.  If he did, defendant said, </w:t>
      </w:r>
      <w:r w:rsidRPr="009252C3" w:rsidR="00D5486D">
        <w:rPr>
          <w:rFonts w:ascii="Century Schoolbook" w:hAnsi="Century Schoolbook"/>
          <w:sz w:val="27"/>
          <w:szCs w:val="27"/>
        </w:rPr>
        <w:t>he would kill the child.  To Buchanan’s further questions about how he would do it, defendant said he would take the child to the river bottoms and kill the child with his knife</w:t>
      </w:r>
      <w:r w:rsidRPr="009252C3" w:rsidR="005616C9">
        <w:rPr>
          <w:rFonts w:ascii="Century Schoolbook" w:hAnsi="Century Schoolbook"/>
          <w:sz w:val="27"/>
          <w:szCs w:val="27"/>
        </w:rPr>
        <w:t>, which he displayed to Buchana</w:t>
      </w:r>
      <w:r w:rsidRPr="009252C3" w:rsidR="00165F31">
        <w:rPr>
          <w:rFonts w:ascii="Century Schoolbook" w:hAnsi="Century Schoolbook"/>
          <w:sz w:val="27"/>
          <w:szCs w:val="27"/>
        </w:rPr>
        <w:t>n</w:t>
      </w:r>
      <w:r w:rsidRPr="009252C3" w:rsidR="00D5486D">
        <w:rPr>
          <w:rFonts w:ascii="Century Schoolbook" w:hAnsi="Century Schoolbook"/>
          <w:sz w:val="27"/>
          <w:szCs w:val="27"/>
        </w:rPr>
        <w:t xml:space="preserve">.  A </w:t>
      </w:r>
      <w:r w:rsidRPr="009252C3" w:rsidR="00F0687E">
        <w:rPr>
          <w:rFonts w:ascii="Century Schoolbook" w:hAnsi="Century Schoolbook"/>
          <w:sz w:val="27"/>
          <w:szCs w:val="27"/>
        </w:rPr>
        <w:t xml:space="preserve">woman Buchanan described as a </w:t>
      </w:r>
      <w:r w:rsidRPr="009252C3" w:rsidR="00D5486D">
        <w:rPr>
          <w:rFonts w:ascii="Century Schoolbook" w:hAnsi="Century Schoolbook"/>
          <w:sz w:val="27"/>
          <w:szCs w:val="27"/>
        </w:rPr>
        <w:t xml:space="preserve">“Mexican lady” told them to change the subject because they were scaring her children.  </w:t>
      </w:r>
    </w:p>
    <w:p w:rsidR="00986B4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Finally, the prosecution presented evidence of defendant’s two prior sex offenses</w:t>
      </w:r>
      <w:r w:rsidRPr="009252C3" w:rsidR="002D5357">
        <w:rPr>
          <w:rFonts w:ascii="Century Schoolbook" w:hAnsi="Century Schoolbook"/>
          <w:sz w:val="27"/>
          <w:szCs w:val="27"/>
        </w:rPr>
        <w:t xml:space="preserve"> through the testimony of the victims</w:t>
      </w:r>
      <w:r w:rsidRPr="009252C3">
        <w:rPr>
          <w:rFonts w:ascii="Century Schoolbook" w:hAnsi="Century Schoolbook"/>
          <w:sz w:val="27"/>
          <w:szCs w:val="27"/>
        </w:rPr>
        <w:t xml:space="preserve">.  </w:t>
      </w:r>
      <w:r w:rsidRPr="009252C3" w:rsidR="002D5357">
        <w:rPr>
          <w:rFonts w:ascii="Century Schoolbook" w:hAnsi="Century Schoolbook"/>
          <w:sz w:val="27"/>
          <w:szCs w:val="27"/>
        </w:rPr>
        <w:t>Sharon T</w:t>
      </w:r>
      <w:r w:rsidRPr="009252C3" w:rsidR="00AD167C">
        <w:rPr>
          <w:rFonts w:ascii="Century Schoolbook" w:hAnsi="Century Schoolbook"/>
          <w:sz w:val="27"/>
          <w:szCs w:val="27"/>
        </w:rPr>
        <w:t>.</w:t>
      </w:r>
      <w:r w:rsidRPr="009252C3" w:rsidR="002D5357">
        <w:rPr>
          <w:rFonts w:ascii="Century Schoolbook" w:hAnsi="Century Schoolbook"/>
          <w:sz w:val="27"/>
          <w:szCs w:val="27"/>
        </w:rPr>
        <w:t xml:space="preserve"> testified that in 1985, she became acquainted with defendant </w:t>
      </w:r>
      <w:r w:rsidRPr="009252C3" w:rsidR="00403691">
        <w:rPr>
          <w:rFonts w:ascii="Century Schoolbook" w:hAnsi="Century Schoolbook"/>
          <w:sz w:val="27"/>
          <w:szCs w:val="27"/>
        </w:rPr>
        <w:t>at</w:t>
      </w:r>
      <w:r w:rsidRPr="009252C3" w:rsidR="002D5357">
        <w:rPr>
          <w:rFonts w:ascii="Century Schoolbook" w:hAnsi="Century Schoolbook"/>
          <w:sz w:val="27"/>
          <w:szCs w:val="27"/>
        </w:rPr>
        <w:t xml:space="preserve"> the restaurant where she worked.  After gaining entry to her apartment on a pretext, defendant put a large hunting knife to her throat, demanded money, handcuffed her</w:t>
      </w:r>
      <w:r w:rsidRPr="009252C3" w:rsidR="000C1B18">
        <w:rPr>
          <w:rFonts w:ascii="Century Schoolbook" w:hAnsi="Century Schoolbook"/>
          <w:sz w:val="27"/>
          <w:szCs w:val="27"/>
        </w:rPr>
        <w:t>,</w:t>
      </w:r>
      <w:r w:rsidRPr="009252C3" w:rsidR="002D5357">
        <w:rPr>
          <w:rFonts w:ascii="Century Schoolbook" w:hAnsi="Century Schoolbook"/>
          <w:sz w:val="27"/>
          <w:szCs w:val="27"/>
        </w:rPr>
        <w:t xml:space="preserve"> and forced her to orally copulate him.  He then said he was taking her down to the river where he had to meet some people.  As defendant drove her toward the river, he started laughing and said, “This is </w:t>
      </w:r>
      <w:r w:rsidRPr="009252C3" w:rsidR="00686004">
        <w:rPr>
          <w:rFonts w:ascii="Century Schoolbook" w:hAnsi="Century Schoolbook"/>
          <w:sz w:val="27"/>
          <w:szCs w:val="27"/>
        </w:rPr>
        <w:t xml:space="preserve">just </w:t>
      </w:r>
      <w:r w:rsidRPr="009252C3" w:rsidR="002D5357">
        <w:rPr>
          <w:rFonts w:ascii="Century Schoolbook" w:hAnsi="Century Schoolbook"/>
          <w:sz w:val="27"/>
          <w:szCs w:val="27"/>
        </w:rPr>
        <w:t xml:space="preserve">like Bonnie and Clyde, but Bonnie’s not going to make it.”  </w:t>
      </w:r>
      <w:r w:rsidRPr="009252C3" w:rsidR="00990F05">
        <w:rPr>
          <w:rFonts w:ascii="Century Schoolbook" w:hAnsi="Century Schoolbook"/>
          <w:sz w:val="27"/>
          <w:szCs w:val="27"/>
        </w:rPr>
        <w:t xml:space="preserve">When they neared the levee, </w:t>
      </w:r>
      <w:r w:rsidRPr="009252C3" w:rsidR="00AD167C">
        <w:rPr>
          <w:rFonts w:ascii="Century Schoolbook" w:hAnsi="Century Schoolbook"/>
          <w:sz w:val="27"/>
          <w:szCs w:val="27"/>
        </w:rPr>
        <w:t xml:space="preserve">Sharon </w:t>
      </w:r>
      <w:r w:rsidRPr="009252C3" w:rsidR="00990F05">
        <w:rPr>
          <w:rFonts w:ascii="Century Schoolbook" w:hAnsi="Century Schoolbook"/>
          <w:sz w:val="27"/>
          <w:szCs w:val="27"/>
        </w:rPr>
        <w:t>opened the passenger door and</w:t>
      </w:r>
      <w:r w:rsidRPr="009252C3" w:rsidR="003572B8">
        <w:rPr>
          <w:rFonts w:ascii="Century Schoolbook" w:hAnsi="Century Schoolbook"/>
          <w:sz w:val="27"/>
          <w:szCs w:val="27"/>
        </w:rPr>
        <w:t>, after a struggle,</w:t>
      </w:r>
      <w:r w:rsidRPr="009252C3" w:rsidR="00990F05">
        <w:rPr>
          <w:rFonts w:ascii="Century Schoolbook" w:hAnsi="Century Schoolbook"/>
          <w:sz w:val="27"/>
          <w:szCs w:val="27"/>
        </w:rPr>
        <w:t xml:space="preserve"> jumped from the moving car.  Defendant backed up toward her, but she rolled under the open door, then ran to a nearby public building.  </w:t>
      </w:r>
      <w:r w:rsidRPr="009252C3" w:rsidR="006767FB">
        <w:rPr>
          <w:rFonts w:ascii="Century Schoolbook" w:hAnsi="Century Schoolbook"/>
          <w:sz w:val="27"/>
          <w:szCs w:val="27"/>
        </w:rPr>
        <w:t>Based on this incident, d</w:t>
      </w:r>
      <w:r w:rsidRPr="009252C3" w:rsidR="00990F05">
        <w:rPr>
          <w:rFonts w:ascii="Century Schoolbook" w:hAnsi="Century Schoolbook"/>
          <w:sz w:val="27"/>
          <w:szCs w:val="27"/>
        </w:rPr>
        <w:t>efendant was convicted of kidnapping, forcible oral copulation</w:t>
      </w:r>
      <w:r w:rsidRPr="009252C3" w:rsidR="006767FB">
        <w:rPr>
          <w:rFonts w:ascii="Century Schoolbook" w:hAnsi="Century Schoolbook"/>
          <w:sz w:val="27"/>
          <w:szCs w:val="27"/>
        </w:rPr>
        <w:t>,</w:t>
      </w:r>
      <w:r w:rsidRPr="009252C3" w:rsidR="00990F05">
        <w:rPr>
          <w:rFonts w:ascii="Century Schoolbook" w:hAnsi="Century Schoolbook"/>
          <w:sz w:val="27"/>
          <w:szCs w:val="27"/>
        </w:rPr>
        <w:t xml:space="preserve"> and robbery.  </w:t>
      </w:r>
    </w:p>
    <w:p w:rsidR="00986B48" w:rsidRPr="009252C3" w:rsidP="009252C3">
      <w:pPr>
        <w:pStyle w:val="Text"/>
        <w:spacing w:before="100" w:line="400" w:lineRule="exact"/>
        <w:ind w:firstLine="720"/>
        <w:jc w:val="both"/>
        <w:rPr>
          <w:rFonts w:ascii="Century Schoolbook" w:hAnsi="Century Schoolbook"/>
          <w:b/>
          <w:sz w:val="27"/>
          <w:szCs w:val="27"/>
        </w:rPr>
      </w:pPr>
      <w:r w:rsidRPr="009252C3">
        <w:rPr>
          <w:rFonts w:ascii="Century Schoolbook" w:hAnsi="Century Schoolbook"/>
          <w:sz w:val="27"/>
          <w:szCs w:val="27"/>
        </w:rPr>
        <w:t>The other victim, Crystal T., testified that in 1993, when she was four years old, defendant</w:t>
      </w:r>
      <w:r w:rsidRPr="009252C3" w:rsidR="006028F5">
        <w:rPr>
          <w:rFonts w:ascii="Century Schoolbook" w:hAnsi="Century Schoolbook"/>
          <w:sz w:val="27"/>
          <w:szCs w:val="27"/>
        </w:rPr>
        <w:t>—</w:t>
      </w:r>
      <w:r w:rsidRPr="009252C3">
        <w:rPr>
          <w:rFonts w:ascii="Century Schoolbook" w:hAnsi="Century Schoolbook"/>
          <w:sz w:val="27"/>
          <w:szCs w:val="27"/>
        </w:rPr>
        <w:t>w</w:t>
      </w:r>
      <w:r w:rsidRPr="009252C3" w:rsidR="00740486">
        <w:rPr>
          <w:rFonts w:ascii="Century Schoolbook" w:hAnsi="Century Schoolbook"/>
          <w:sz w:val="27"/>
          <w:szCs w:val="27"/>
        </w:rPr>
        <w:t>ho was married to Crystal’s grandmother</w:t>
      </w:r>
      <w:r w:rsidRPr="009252C3" w:rsidR="0055556F">
        <w:rPr>
          <w:rFonts w:ascii="Century Schoolbook" w:hAnsi="Century Schoolbook"/>
          <w:sz w:val="27"/>
          <w:szCs w:val="27"/>
        </w:rPr>
        <w:t>—</w:t>
      </w:r>
      <w:r w:rsidRPr="009252C3" w:rsidR="00740486">
        <w:rPr>
          <w:rFonts w:ascii="Century Schoolbook" w:hAnsi="Century Schoolbook"/>
          <w:sz w:val="27"/>
          <w:szCs w:val="27"/>
        </w:rPr>
        <w:t xml:space="preserve">touched her vagina and put his penis in her mouth.  Defendant </w:t>
      </w:r>
      <w:r w:rsidRPr="009252C3" w:rsidR="00686004">
        <w:rPr>
          <w:rFonts w:ascii="Century Schoolbook" w:hAnsi="Century Schoolbook"/>
          <w:sz w:val="27"/>
          <w:szCs w:val="27"/>
        </w:rPr>
        <w:t>was convicted of</w:t>
      </w:r>
      <w:r w:rsidRPr="009252C3" w:rsidR="00740486">
        <w:rPr>
          <w:rFonts w:ascii="Century Schoolbook" w:hAnsi="Century Schoolbook"/>
          <w:sz w:val="27"/>
          <w:szCs w:val="27"/>
        </w:rPr>
        <w:t xml:space="preserve"> a lewd act with a child.  </w:t>
      </w:r>
    </w:p>
    <w:p w:rsidR="00535E6C" w:rsidRPr="009252C3" w:rsidP="009252C3">
      <w:pPr>
        <w:pStyle w:val="Text"/>
        <w:spacing w:before="100" w:line="400" w:lineRule="exact"/>
        <w:ind w:firstLine="720"/>
        <w:jc w:val="both"/>
        <w:rPr>
          <w:rFonts w:ascii="Century Schoolbook" w:hAnsi="Century Schoolbook"/>
          <w:b/>
          <w:sz w:val="27"/>
          <w:szCs w:val="27"/>
        </w:rPr>
      </w:pPr>
      <w:r w:rsidRPr="009252C3">
        <w:rPr>
          <w:rFonts w:ascii="Century Schoolbook" w:hAnsi="Century Schoolbook"/>
          <w:sz w:val="27"/>
          <w:szCs w:val="27"/>
        </w:rPr>
        <w:t>Defendant testified in his own defense</w:t>
      </w:r>
      <w:r w:rsidRPr="009252C3" w:rsidR="006767FB">
        <w:rPr>
          <w:rFonts w:ascii="Century Schoolbook" w:hAnsi="Century Schoolbook"/>
          <w:sz w:val="27"/>
          <w:szCs w:val="27"/>
        </w:rPr>
        <w:t xml:space="preserve">.  He denied </w:t>
      </w:r>
      <w:r w:rsidRPr="009252C3" w:rsidR="00266BDA">
        <w:rPr>
          <w:rFonts w:ascii="Century Schoolbook" w:hAnsi="Century Schoolbook"/>
          <w:sz w:val="27"/>
          <w:szCs w:val="27"/>
        </w:rPr>
        <w:t>any</w:t>
      </w:r>
      <w:r w:rsidRPr="009252C3" w:rsidR="003F6403">
        <w:rPr>
          <w:rFonts w:ascii="Century Schoolbook" w:hAnsi="Century Schoolbook"/>
          <w:sz w:val="27"/>
          <w:szCs w:val="27"/>
        </w:rPr>
        <w:t xml:space="preserve"> contact with Michael Lyons</w:t>
      </w:r>
      <w:r w:rsidRPr="009252C3">
        <w:rPr>
          <w:rFonts w:ascii="Century Schoolbook" w:hAnsi="Century Schoolbook"/>
          <w:sz w:val="27"/>
          <w:szCs w:val="27"/>
        </w:rPr>
        <w:t xml:space="preserve">.  </w:t>
      </w:r>
      <w:r w:rsidRPr="009252C3" w:rsidR="00300A49">
        <w:rPr>
          <w:rFonts w:ascii="Century Schoolbook" w:hAnsi="Century Schoolbook"/>
          <w:sz w:val="27"/>
          <w:szCs w:val="27"/>
        </w:rPr>
        <w:t>On May 16, 1996, he went to work at his father’s barbershop but left before noon so that his father, who needed the money, could have more work.  Instead of having his truck repaired as he had intended</w:t>
      </w:r>
      <w:r w:rsidRPr="009252C3" w:rsidR="00266BDA">
        <w:rPr>
          <w:rFonts w:ascii="Century Schoolbook" w:hAnsi="Century Schoolbook"/>
          <w:sz w:val="27"/>
          <w:szCs w:val="27"/>
        </w:rPr>
        <w:t>,</w:t>
      </w:r>
      <w:r w:rsidRPr="009252C3" w:rsidR="00300A49">
        <w:rPr>
          <w:rFonts w:ascii="Century Schoolbook" w:hAnsi="Century Schoolbook"/>
          <w:sz w:val="27"/>
          <w:szCs w:val="27"/>
        </w:rPr>
        <w:t xml:space="preserve"> he </w:t>
      </w:r>
      <w:r w:rsidRPr="009252C3" w:rsidR="00266BDA">
        <w:rPr>
          <w:rFonts w:ascii="Century Schoolbook" w:hAnsi="Century Schoolbook"/>
          <w:sz w:val="27"/>
          <w:szCs w:val="27"/>
        </w:rPr>
        <w:t xml:space="preserve">bought $60 worth of methamphetamine from </w:t>
      </w:r>
      <w:r w:rsidRPr="009252C3" w:rsidR="00300A49">
        <w:rPr>
          <w:rFonts w:ascii="Century Schoolbook" w:hAnsi="Century Schoolbook"/>
          <w:sz w:val="27"/>
          <w:szCs w:val="27"/>
        </w:rPr>
        <w:t>a friend</w:t>
      </w:r>
      <w:r w:rsidRPr="009252C3" w:rsidR="00266BDA">
        <w:rPr>
          <w:rFonts w:ascii="Century Schoolbook" w:hAnsi="Century Schoolbook"/>
          <w:sz w:val="27"/>
          <w:szCs w:val="27"/>
        </w:rPr>
        <w:t xml:space="preserve"> and, a</w:t>
      </w:r>
      <w:r w:rsidRPr="009252C3" w:rsidR="00300A49">
        <w:rPr>
          <w:rFonts w:ascii="Century Schoolbook" w:hAnsi="Century Schoolbook"/>
          <w:sz w:val="27"/>
          <w:szCs w:val="27"/>
        </w:rPr>
        <w:t>fter injecting a small amount</w:t>
      </w:r>
      <w:r w:rsidRPr="009252C3" w:rsidR="00266BDA">
        <w:rPr>
          <w:rFonts w:ascii="Century Schoolbook" w:hAnsi="Century Schoolbook"/>
          <w:sz w:val="27"/>
          <w:szCs w:val="27"/>
        </w:rPr>
        <w:t xml:space="preserve">, went to Rooney’s Card Room.  He </w:t>
      </w:r>
      <w:r w:rsidRPr="009252C3" w:rsidR="00300A49">
        <w:rPr>
          <w:rFonts w:ascii="Century Schoolbook" w:hAnsi="Century Schoolbook"/>
          <w:sz w:val="27"/>
          <w:szCs w:val="27"/>
        </w:rPr>
        <w:t>arriv</w:t>
      </w:r>
      <w:r w:rsidRPr="009252C3" w:rsidR="00266BDA">
        <w:rPr>
          <w:rFonts w:ascii="Century Schoolbook" w:hAnsi="Century Schoolbook"/>
          <w:sz w:val="27"/>
          <w:szCs w:val="27"/>
        </w:rPr>
        <w:t xml:space="preserve">ed </w:t>
      </w:r>
      <w:r w:rsidRPr="009252C3" w:rsidR="00300A49">
        <w:rPr>
          <w:rFonts w:ascii="Century Schoolbook" w:hAnsi="Century Schoolbook"/>
          <w:sz w:val="27"/>
          <w:szCs w:val="27"/>
        </w:rPr>
        <w:t>at 1:00 p.m.</w:t>
      </w:r>
      <w:r w:rsidRPr="009252C3" w:rsidR="00266BDA">
        <w:rPr>
          <w:rFonts w:ascii="Century Schoolbook" w:hAnsi="Century Schoolbook"/>
          <w:sz w:val="27"/>
          <w:szCs w:val="27"/>
        </w:rPr>
        <w:t xml:space="preserve">, </w:t>
      </w:r>
      <w:r w:rsidRPr="009252C3" w:rsidR="00300A49">
        <w:rPr>
          <w:rFonts w:ascii="Century Schoolbook" w:hAnsi="Century Schoolbook"/>
          <w:sz w:val="27"/>
          <w:szCs w:val="27"/>
        </w:rPr>
        <w:t xml:space="preserve">played poker for two and a half hours and left around 3:30 p.m.  </w:t>
      </w:r>
      <w:r w:rsidRPr="009252C3" w:rsidR="00331297">
        <w:rPr>
          <w:rFonts w:ascii="Century Schoolbook" w:hAnsi="Century Schoolbook"/>
          <w:sz w:val="27"/>
          <w:szCs w:val="27"/>
        </w:rPr>
        <w:t>He then drove to various places in Yuba City and Marysville looking for a</w:t>
      </w:r>
      <w:r w:rsidRPr="009252C3" w:rsidR="00266BDA">
        <w:rPr>
          <w:rFonts w:ascii="Century Schoolbook" w:hAnsi="Century Schoolbook"/>
          <w:sz w:val="27"/>
          <w:szCs w:val="27"/>
        </w:rPr>
        <w:t>nother</w:t>
      </w:r>
      <w:r w:rsidRPr="009252C3" w:rsidR="00331297">
        <w:rPr>
          <w:rFonts w:ascii="Century Schoolbook" w:hAnsi="Century Schoolbook"/>
          <w:sz w:val="27"/>
          <w:szCs w:val="27"/>
        </w:rPr>
        <w:t xml:space="preserve"> friend who had told him she needed a ride, but did not find her.  Defendant drove home to the town of Sutter and stayed there about an hour, then </w:t>
      </w:r>
      <w:r w:rsidRPr="009252C3" w:rsidR="00266BDA">
        <w:rPr>
          <w:rFonts w:ascii="Century Schoolbook" w:hAnsi="Century Schoolbook"/>
          <w:sz w:val="27"/>
          <w:szCs w:val="27"/>
        </w:rPr>
        <w:t xml:space="preserve">came </w:t>
      </w:r>
      <w:r w:rsidRPr="009252C3" w:rsidR="00331297">
        <w:rPr>
          <w:rFonts w:ascii="Century Schoolbook" w:hAnsi="Century Schoolbook"/>
          <w:sz w:val="27"/>
          <w:szCs w:val="27"/>
        </w:rPr>
        <w:t xml:space="preserve">back to Yuba City and down to the river bottoms, where he could </w:t>
      </w:r>
      <w:r w:rsidRPr="009252C3" w:rsidR="00403691">
        <w:rPr>
          <w:rFonts w:ascii="Century Schoolbook" w:hAnsi="Century Schoolbook"/>
          <w:sz w:val="27"/>
          <w:szCs w:val="27"/>
        </w:rPr>
        <w:t>use</w:t>
      </w:r>
      <w:r w:rsidRPr="009252C3" w:rsidR="00331297">
        <w:rPr>
          <w:rFonts w:ascii="Century Schoolbook" w:hAnsi="Century Schoolbook"/>
          <w:sz w:val="27"/>
          <w:szCs w:val="27"/>
        </w:rPr>
        <w:t xml:space="preserve"> drugs without fear of encountering his family, the police</w:t>
      </w:r>
      <w:r w:rsidRPr="009252C3" w:rsidR="006767FB">
        <w:rPr>
          <w:rFonts w:ascii="Century Schoolbook" w:hAnsi="Century Schoolbook"/>
          <w:sz w:val="27"/>
          <w:szCs w:val="27"/>
        </w:rPr>
        <w:t>,</w:t>
      </w:r>
      <w:r w:rsidRPr="009252C3" w:rsidR="00331297">
        <w:rPr>
          <w:rFonts w:ascii="Century Schoolbook" w:hAnsi="Century Schoolbook"/>
          <w:sz w:val="27"/>
          <w:szCs w:val="27"/>
        </w:rPr>
        <w:t xml:space="preserve"> or his parole officer.</w:t>
      </w:r>
    </w:p>
    <w:p w:rsidR="00535E6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After </w:t>
      </w:r>
      <w:r w:rsidRPr="009252C3" w:rsidR="002C50FB">
        <w:rPr>
          <w:rFonts w:ascii="Century Schoolbook" w:hAnsi="Century Schoolbook"/>
          <w:sz w:val="27"/>
          <w:szCs w:val="27"/>
        </w:rPr>
        <w:t xml:space="preserve">defendant </w:t>
      </w:r>
      <w:r w:rsidRPr="009252C3">
        <w:rPr>
          <w:rFonts w:ascii="Century Schoolbook" w:hAnsi="Century Schoolbook"/>
          <w:sz w:val="27"/>
          <w:szCs w:val="27"/>
        </w:rPr>
        <w:t>dr</w:t>
      </w:r>
      <w:r w:rsidRPr="009252C3" w:rsidR="002C50FB">
        <w:rPr>
          <w:rFonts w:ascii="Century Schoolbook" w:hAnsi="Century Schoolbook"/>
          <w:sz w:val="27"/>
          <w:szCs w:val="27"/>
        </w:rPr>
        <w:t>o</w:t>
      </w:r>
      <w:r w:rsidRPr="009252C3">
        <w:rPr>
          <w:rFonts w:ascii="Century Schoolbook" w:hAnsi="Century Schoolbook"/>
          <w:sz w:val="27"/>
          <w:szCs w:val="27"/>
        </w:rPr>
        <w:t>v</w:t>
      </w:r>
      <w:r w:rsidRPr="009252C3" w:rsidR="002C50FB">
        <w:rPr>
          <w:rFonts w:ascii="Century Schoolbook" w:hAnsi="Century Schoolbook"/>
          <w:sz w:val="27"/>
          <w:szCs w:val="27"/>
        </w:rPr>
        <w:t>e</w:t>
      </w:r>
      <w:r w:rsidRPr="009252C3">
        <w:rPr>
          <w:rFonts w:ascii="Century Schoolbook" w:hAnsi="Century Schoolbook"/>
          <w:sz w:val="27"/>
          <w:szCs w:val="27"/>
        </w:rPr>
        <w:t xml:space="preserve"> around</w:t>
      </w:r>
      <w:r w:rsidRPr="009252C3" w:rsidR="006767FB">
        <w:rPr>
          <w:rFonts w:ascii="Century Schoolbook" w:hAnsi="Century Schoolbook"/>
          <w:sz w:val="27"/>
          <w:szCs w:val="27"/>
        </w:rPr>
        <w:t xml:space="preserve"> the river bottoms</w:t>
      </w:r>
      <w:r w:rsidRPr="009252C3" w:rsidR="00E73498">
        <w:rPr>
          <w:rFonts w:ascii="Century Schoolbook" w:hAnsi="Century Schoolbook"/>
          <w:sz w:val="27"/>
          <w:szCs w:val="27"/>
        </w:rPr>
        <w:t>, fish</w:t>
      </w:r>
      <w:r w:rsidRPr="009252C3" w:rsidR="002C50FB">
        <w:rPr>
          <w:rFonts w:ascii="Century Schoolbook" w:hAnsi="Century Schoolbook"/>
          <w:sz w:val="27"/>
          <w:szCs w:val="27"/>
        </w:rPr>
        <w:t>ed</w:t>
      </w:r>
      <w:r w:rsidRPr="009252C3" w:rsidR="006767FB">
        <w:rPr>
          <w:rFonts w:ascii="Century Schoolbook" w:hAnsi="Century Schoolbook"/>
          <w:sz w:val="27"/>
          <w:szCs w:val="27"/>
        </w:rPr>
        <w:t>,</w:t>
      </w:r>
      <w:r w:rsidRPr="009252C3" w:rsidR="00E73498">
        <w:rPr>
          <w:rFonts w:ascii="Century Schoolbook" w:hAnsi="Century Schoolbook"/>
          <w:sz w:val="27"/>
          <w:szCs w:val="27"/>
        </w:rPr>
        <w:t xml:space="preserve"> </w:t>
      </w:r>
      <w:r w:rsidRPr="009252C3">
        <w:rPr>
          <w:rFonts w:ascii="Century Schoolbook" w:hAnsi="Century Schoolbook"/>
          <w:sz w:val="27"/>
          <w:szCs w:val="27"/>
        </w:rPr>
        <w:t>and d</w:t>
      </w:r>
      <w:r w:rsidRPr="009252C3" w:rsidR="002C50FB">
        <w:rPr>
          <w:rFonts w:ascii="Century Schoolbook" w:hAnsi="Century Schoolbook"/>
          <w:sz w:val="27"/>
          <w:szCs w:val="27"/>
        </w:rPr>
        <w:t>id</w:t>
      </w:r>
      <w:r w:rsidRPr="009252C3">
        <w:rPr>
          <w:rFonts w:ascii="Century Schoolbook" w:hAnsi="Century Schoolbook"/>
          <w:sz w:val="27"/>
          <w:szCs w:val="27"/>
        </w:rPr>
        <w:t xml:space="preserve"> some dope, defendant</w:t>
      </w:r>
      <w:r w:rsidRPr="009252C3" w:rsidR="002C50FB">
        <w:rPr>
          <w:rFonts w:ascii="Century Schoolbook" w:hAnsi="Century Schoolbook"/>
          <w:sz w:val="27"/>
          <w:szCs w:val="27"/>
        </w:rPr>
        <w:t>’s</w:t>
      </w:r>
      <w:r w:rsidRPr="009252C3">
        <w:rPr>
          <w:rFonts w:ascii="Century Schoolbook" w:hAnsi="Century Schoolbook"/>
          <w:sz w:val="27"/>
          <w:szCs w:val="27"/>
        </w:rPr>
        <w:t xml:space="preserve"> </w:t>
      </w:r>
      <w:r w:rsidRPr="009252C3" w:rsidR="002C50FB">
        <w:rPr>
          <w:rFonts w:ascii="Century Schoolbook" w:hAnsi="Century Schoolbook"/>
          <w:sz w:val="27"/>
          <w:szCs w:val="27"/>
        </w:rPr>
        <w:t xml:space="preserve">truck </w:t>
      </w:r>
      <w:r w:rsidRPr="009252C3">
        <w:rPr>
          <w:rFonts w:ascii="Century Schoolbook" w:hAnsi="Century Schoolbook"/>
          <w:sz w:val="27"/>
          <w:szCs w:val="27"/>
        </w:rPr>
        <w:t xml:space="preserve">got stuck sometime around 8:00 or 8:30 p.m.  </w:t>
      </w:r>
      <w:r w:rsidRPr="009252C3" w:rsidR="00336A8C">
        <w:rPr>
          <w:rFonts w:ascii="Century Schoolbook" w:hAnsi="Century Schoolbook"/>
          <w:sz w:val="27"/>
          <w:szCs w:val="27"/>
        </w:rPr>
        <w:t>H</w:t>
      </w:r>
      <w:r w:rsidRPr="009252C3" w:rsidR="00266BDA">
        <w:rPr>
          <w:rFonts w:ascii="Century Schoolbook" w:hAnsi="Century Schoolbook"/>
          <w:sz w:val="27"/>
          <w:szCs w:val="27"/>
        </w:rPr>
        <w:t xml:space="preserve">e tried </w:t>
      </w:r>
      <w:r w:rsidRPr="009252C3" w:rsidR="00336A8C">
        <w:rPr>
          <w:rFonts w:ascii="Century Schoolbook" w:hAnsi="Century Schoolbook"/>
          <w:sz w:val="27"/>
          <w:szCs w:val="27"/>
        </w:rPr>
        <w:t xml:space="preserve">unsuccessfully </w:t>
      </w:r>
      <w:r w:rsidRPr="009252C3" w:rsidR="00266BDA">
        <w:rPr>
          <w:rFonts w:ascii="Century Schoolbook" w:hAnsi="Century Schoolbook"/>
          <w:sz w:val="27"/>
          <w:szCs w:val="27"/>
        </w:rPr>
        <w:t>to free his truck</w:t>
      </w:r>
      <w:r w:rsidRPr="009252C3" w:rsidR="00336A8C">
        <w:rPr>
          <w:rFonts w:ascii="Century Schoolbook" w:hAnsi="Century Schoolbook"/>
          <w:sz w:val="27"/>
          <w:szCs w:val="27"/>
        </w:rPr>
        <w:t xml:space="preserve"> for a couple of hours,</w:t>
      </w:r>
      <w:r w:rsidRPr="009252C3" w:rsidR="00266BDA">
        <w:rPr>
          <w:rFonts w:ascii="Century Schoolbook" w:hAnsi="Century Schoolbook"/>
          <w:sz w:val="27"/>
          <w:szCs w:val="27"/>
        </w:rPr>
        <w:t xml:space="preserve"> but realized he needed his come</w:t>
      </w:r>
      <w:r w:rsidRPr="009252C3" w:rsidR="006767FB">
        <w:rPr>
          <w:rFonts w:ascii="Century Schoolbook" w:hAnsi="Century Schoolbook"/>
          <w:sz w:val="27"/>
          <w:szCs w:val="27"/>
        </w:rPr>
        <w:t>-</w:t>
      </w:r>
      <w:r w:rsidRPr="009252C3" w:rsidR="00266BDA">
        <w:rPr>
          <w:rFonts w:ascii="Century Schoolbook" w:hAnsi="Century Schoolbook"/>
          <w:sz w:val="27"/>
          <w:szCs w:val="27"/>
        </w:rPr>
        <w:t>along</w:t>
      </w:r>
      <w:r w:rsidRPr="009252C3" w:rsidR="002C50FB">
        <w:rPr>
          <w:rFonts w:ascii="Century Schoolbook" w:hAnsi="Century Schoolbook"/>
          <w:sz w:val="27"/>
          <w:szCs w:val="27"/>
        </w:rPr>
        <w:t xml:space="preserve"> winch</w:t>
      </w:r>
      <w:r w:rsidRPr="009252C3" w:rsidR="00266BDA">
        <w:rPr>
          <w:rFonts w:ascii="Century Schoolbook" w:hAnsi="Century Schoolbook"/>
          <w:sz w:val="27"/>
          <w:szCs w:val="27"/>
        </w:rPr>
        <w:t xml:space="preserve">, which was back at his house.  </w:t>
      </w:r>
      <w:r w:rsidRPr="009252C3" w:rsidR="0067154D">
        <w:rPr>
          <w:rFonts w:ascii="Century Schoolbook" w:hAnsi="Century Schoolbook"/>
          <w:sz w:val="27"/>
          <w:szCs w:val="27"/>
        </w:rPr>
        <w:t>During the night, he walked out of the river bottoms to his father’s barbershop, stopped there to inject more methamphetamine, then walked and hitchhiked to his house in Sutte</w:t>
      </w:r>
      <w:r w:rsidRPr="009252C3" w:rsidR="0086780E">
        <w:rPr>
          <w:rFonts w:ascii="Century Schoolbook" w:hAnsi="Century Schoolbook"/>
          <w:sz w:val="27"/>
          <w:szCs w:val="27"/>
        </w:rPr>
        <w:t>r</w:t>
      </w:r>
      <w:r w:rsidRPr="009252C3" w:rsidR="002C50FB">
        <w:rPr>
          <w:rFonts w:ascii="Century Schoolbook" w:hAnsi="Century Schoolbook"/>
          <w:sz w:val="27"/>
          <w:szCs w:val="27"/>
        </w:rPr>
        <w:t xml:space="preserve">.  After </w:t>
      </w:r>
      <w:r w:rsidRPr="009252C3" w:rsidR="0067154D">
        <w:rPr>
          <w:rFonts w:ascii="Century Schoolbook" w:hAnsi="Century Schoolbook"/>
          <w:sz w:val="27"/>
          <w:szCs w:val="27"/>
        </w:rPr>
        <w:t>retriev</w:t>
      </w:r>
      <w:r w:rsidRPr="009252C3" w:rsidR="002C50FB">
        <w:rPr>
          <w:rFonts w:ascii="Century Schoolbook" w:hAnsi="Century Schoolbook"/>
          <w:sz w:val="27"/>
          <w:szCs w:val="27"/>
        </w:rPr>
        <w:t>ing</w:t>
      </w:r>
      <w:r w:rsidRPr="009252C3" w:rsidR="0067154D">
        <w:rPr>
          <w:rFonts w:ascii="Century Schoolbook" w:hAnsi="Century Schoolbook"/>
          <w:sz w:val="27"/>
          <w:szCs w:val="27"/>
        </w:rPr>
        <w:t xml:space="preserve"> the come</w:t>
      </w:r>
      <w:r w:rsidRPr="009252C3" w:rsidR="006767FB">
        <w:rPr>
          <w:rFonts w:ascii="Century Schoolbook" w:hAnsi="Century Schoolbook"/>
          <w:sz w:val="27"/>
          <w:szCs w:val="27"/>
        </w:rPr>
        <w:t>-</w:t>
      </w:r>
      <w:r w:rsidRPr="009252C3" w:rsidR="0067154D">
        <w:rPr>
          <w:rFonts w:ascii="Century Schoolbook" w:hAnsi="Century Schoolbook"/>
          <w:sz w:val="27"/>
          <w:szCs w:val="27"/>
        </w:rPr>
        <w:t>along</w:t>
      </w:r>
      <w:r w:rsidRPr="009252C3" w:rsidR="002C50FB">
        <w:rPr>
          <w:rFonts w:ascii="Century Schoolbook" w:hAnsi="Century Schoolbook"/>
          <w:sz w:val="27"/>
          <w:szCs w:val="27"/>
        </w:rPr>
        <w:t xml:space="preserve">, he </w:t>
      </w:r>
      <w:r w:rsidRPr="009252C3" w:rsidR="0067154D">
        <w:rPr>
          <w:rFonts w:ascii="Century Schoolbook" w:hAnsi="Century Schoolbook"/>
          <w:sz w:val="27"/>
          <w:szCs w:val="27"/>
        </w:rPr>
        <w:t xml:space="preserve">walked and hitchhiked back to Yuba City and </w:t>
      </w:r>
      <w:r w:rsidRPr="009252C3" w:rsidR="002C50FB">
        <w:rPr>
          <w:rFonts w:ascii="Century Schoolbook" w:hAnsi="Century Schoolbook"/>
          <w:sz w:val="27"/>
          <w:szCs w:val="27"/>
        </w:rPr>
        <w:t xml:space="preserve">returned </w:t>
      </w:r>
      <w:r w:rsidRPr="009252C3" w:rsidR="0067154D">
        <w:rPr>
          <w:rFonts w:ascii="Century Schoolbook" w:hAnsi="Century Schoolbook"/>
          <w:sz w:val="27"/>
          <w:szCs w:val="27"/>
        </w:rPr>
        <w:t xml:space="preserve">to his truck in the river bottoms.  He probably walked </w:t>
      </w:r>
      <w:r w:rsidRPr="009252C3" w:rsidR="00945725">
        <w:rPr>
          <w:rFonts w:ascii="Century Schoolbook" w:hAnsi="Century Schoolbook"/>
          <w:sz w:val="27"/>
          <w:szCs w:val="27"/>
        </w:rPr>
        <w:t>10</w:t>
      </w:r>
      <w:r w:rsidRPr="009252C3" w:rsidR="0067154D">
        <w:rPr>
          <w:rFonts w:ascii="Century Schoolbook" w:hAnsi="Century Schoolbook"/>
          <w:sz w:val="27"/>
          <w:szCs w:val="27"/>
        </w:rPr>
        <w:t xml:space="preserve"> miles during the night.</w:t>
      </w:r>
      <w:r w:rsidRPr="009252C3" w:rsidR="00E94E0C">
        <w:rPr>
          <w:rFonts w:ascii="Century Schoolbook" w:hAnsi="Century Schoolbook"/>
          <w:sz w:val="27"/>
          <w:szCs w:val="27"/>
        </w:rPr>
        <w:t xml:space="preserve">  Defendant testified that when the deputy sheriff overheard him talking about the time of Michael’s death, he meant only that Michael must have been killed during this period when he was away from his truck.</w:t>
      </w:r>
    </w:p>
    <w:p w:rsidR="00331297"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Arriving back at his truck </w:t>
      </w:r>
      <w:r w:rsidRPr="009252C3" w:rsidR="00FA22C1">
        <w:rPr>
          <w:rFonts w:ascii="Century Schoolbook" w:hAnsi="Century Schoolbook"/>
          <w:sz w:val="27"/>
          <w:szCs w:val="27"/>
        </w:rPr>
        <w:t>between 3:00 and</w:t>
      </w:r>
      <w:r w:rsidRPr="009252C3">
        <w:rPr>
          <w:rFonts w:ascii="Century Schoolbook" w:hAnsi="Century Schoolbook"/>
          <w:sz w:val="27"/>
          <w:szCs w:val="27"/>
        </w:rPr>
        <w:t xml:space="preserve"> 4:00 a.m. on May 17, </w:t>
      </w:r>
      <w:r w:rsidRPr="009252C3" w:rsidR="00FA22C1">
        <w:rPr>
          <w:rFonts w:ascii="Century Schoolbook" w:hAnsi="Century Schoolbook"/>
          <w:sz w:val="27"/>
          <w:szCs w:val="27"/>
        </w:rPr>
        <w:t xml:space="preserve">defendant testified, he found it ransacked, with papers and tools strewn about.  Though he thought he had locked the cab when he left, the camper shell did not lock and he found the sliding windows between the cab and the camper open.  After freeing his truck with the </w:t>
      </w:r>
      <w:r w:rsidRPr="009252C3" w:rsidR="00AF293B">
        <w:rPr>
          <w:rFonts w:ascii="Century Schoolbook" w:hAnsi="Century Schoolbook"/>
          <w:sz w:val="27"/>
          <w:szCs w:val="27"/>
        </w:rPr>
        <w:t>c</w:t>
      </w:r>
      <w:r w:rsidRPr="009252C3" w:rsidR="00FA22C1">
        <w:rPr>
          <w:rFonts w:ascii="Century Schoolbook" w:hAnsi="Century Schoolbook"/>
          <w:sz w:val="27"/>
          <w:szCs w:val="27"/>
        </w:rPr>
        <w:t>ome</w:t>
      </w:r>
      <w:r w:rsidRPr="009252C3" w:rsidR="00E94E0C">
        <w:rPr>
          <w:rFonts w:ascii="Century Schoolbook" w:hAnsi="Century Schoolbook"/>
          <w:sz w:val="27"/>
          <w:szCs w:val="27"/>
        </w:rPr>
        <w:t>-</w:t>
      </w:r>
      <w:r w:rsidRPr="009252C3" w:rsidR="00FA22C1">
        <w:rPr>
          <w:rFonts w:ascii="Century Schoolbook" w:hAnsi="Century Schoolbook"/>
          <w:sz w:val="27"/>
          <w:szCs w:val="27"/>
        </w:rPr>
        <w:t>along, defendant decided to head to the Shanghai Bend area</w:t>
      </w:r>
      <w:r w:rsidRPr="009252C3" w:rsidR="00AF293B">
        <w:rPr>
          <w:rFonts w:ascii="Century Schoolbook" w:hAnsi="Century Schoolbook"/>
          <w:sz w:val="27"/>
          <w:szCs w:val="27"/>
        </w:rPr>
        <w:t xml:space="preserve"> of the river bottoms because he</w:t>
      </w:r>
      <w:r w:rsidRPr="009252C3" w:rsidR="00FA22C1">
        <w:rPr>
          <w:rFonts w:ascii="Century Schoolbook" w:hAnsi="Century Schoolbook"/>
          <w:sz w:val="27"/>
          <w:szCs w:val="27"/>
        </w:rPr>
        <w:t xml:space="preserve"> knew </w:t>
      </w:r>
      <w:r w:rsidRPr="009252C3" w:rsidR="00AF293B">
        <w:rPr>
          <w:rFonts w:ascii="Century Schoolbook" w:hAnsi="Century Schoolbook"/>
          <w:sz w:val="27"/>
          <w:szCs w:val="27"/>
        </w:rPr>
        <w:t>some people who stayed there.  On the way there</w:t>
      </w:r>
      <w:r w:rsidRPr="009252C3" w:rsidR="00C76F53">
        <w:rPr>
          <w:rFonts w:ascii="Century Schoolbook" w:hAnsi="Century Schoolbook"/>
          <w:sz w:val="27"/>
          <w:szCs w:val="27"/>
        </w:rPr>
        <w:t>,</w:t>
      </w:r>
      <w:r w:rsidRPr="009252C3" w:rsidR="00AF293B">
        <w:rPr>
          <w:rFonts w:ascii="Century Schoolbook" w:hAnsi="Century Schoolbook"/>
          <w:sz w:val="27"/>
          <w:szCs w:val="27"/>
        </w:rPr>
        <w:t xml:space="preserve"> his truck </w:t>
      </w:r>
      <w:r w:rsidRPr="009252C3" w:rsidR="00336A8C">
        <w:rPr>
          <w:rFonts w:ascii="Century Schoolbook" w:hAnsi="Century Schoolbook"/>
          <w:sz w:val="27"/>
          <w:szCs w:val="27"/>
        </w:rPr>
        <w:t xml:space="preserve">again </w:t>
      </w:r>
      <w:r w:rsidRPr="009252C3" w:rsidR="00AF293B">
        <w:rPr>
          <w:rFonts w:ascii="Century Schoolbook" w:hAnsi="Century Schoolbook"/>
          <w:sz w:val="27"/>
          <w:szCs w:val="27"/>
        </w:rPr>
        <w:t xml:space="preserve">became stuck in the mud.  For the next eight hours, defendant tried but failed to </w:t>
      </w:r>
      <w:r w:rsidRPr="009252C3" w:rsidR="00336A8C">
        <w:rPr>
          <w:rFonts w:ascii="Century Schoolbook" w:hAnsi="Century Schoolbook"/>
          <w:sz w:val="27"/>
          <w:szCs w:val="27"/>
        </w:rPr>
        <w:t>free it</w:t>
      </w:r>
      <w:r w:rsidRPr="009252C3" w:rsidR="00AF293B">
        <w:rPr>
          <w:rFonts w:ascii="Century Schoolbook" w:hAnsi="Century Schoolbook"/>
          <w:sz w:val="27"/>
          <w:szCs w:val="27"/>
        </w:rPr>
        <w:t>.  He did not seek help from his father because his father would have been angry at him for using drugs</w:t>
      </w:r>
      <w:r w:rsidRPr="009252C3" w:rsidR="00C066EF">
        <w:rPr>
          <w:rFonts w:ascii="Century Schoolbook" w:hAnsi="Century Schoolbook"/>
          <w:sz w:val="27"/>
          <w:szCs w:val="27"/>
        </w:rPr>
        <w:t>; he had</w:t>
      </w:r>
      <w:r w:rsidRPr="009252C3" w:rsidR="00AF293B">
        <w:rPr>
          <w:rFonts w:ascii="Century Schoolbook" w:hAnsi="Century Schoolbook"/>
          <w:sz w:val="27"/>
          <w:szCs w:val="27"/>
        </w:rPr>
        <w:t xml:space="preserve"> </w:t>
      </w:r>
      <w:r w:rsidRPr="009252C3" w:rsidR="00C066EF">
        <w:rPr>
          <w:rFonts w:ascii="Century Schoolbook" w:hAnsi="Century Schoolbook"/>
          <w:sz w:val="27"/>
          <w:szCs w:val="27"/>
        </w:rPr>
        <w:t xml:space="preserve">various reasons </w:t>
      </w:r>
      <w:r w:rsidRPr="009252C3" w:rsidR="00AF293B">
        <w:rPr>
          <w:rFonts w:ascii="Century Schoolbook" w:hAnsi="Century Schoolbook"/>
          <w:sz w:val="27"/>
          <w:szCs w:val="27"/>
        </w:rPr>
        <w:t xml:space="preserve">not </w:t>
      </w:r>
      <w:r w:rsidRPr="009252C3" w:rsidR="00C066EF">
        <w:rPr>
          <w:rFonts w:ascii="Century Schoolbook" w:hAnsi="Century Schoolbook"/>
          <w:sz w:val="27"/>
          <w:szCs w:val="27"/>
        </w:rPr>
        <w:t xml:space="preserve">to </w:t>
      </w:r>
      <w:r w:rsidRPr="009252C3" w:rsidR="00AF293B">
        <w:rPr>
          <w:rFonts w:ascii="Century Schoolbook" w:hAnsi="Century Schoolbook"/>
          <w:sz w:val="27"/>
          <w:szCs w:val="27"/>
        </w:rPr>
        <w:t xml:space="preserve">contact other relatives or acquaintances.  </w:t>
      </w:r>
      <w:r w:rsidRPr="009252C3" w:rsidR="00C066EF">
        <w:rPr>
          <w:rFonts w:ascii="Century Schoolbook" w:hAnsi="Century Schoolbook"/>
          <w:sz w:val="27"/>
          <w:szCs w:val="27"/>
        </w:rPr>
        <w:t xml:space="preserve">Though his truck was quite stuck, he believed </w:t>
      </w:r>
      <w:r w:rsidRPr="009252C3" w:rsidR="0059668A">
        <w:rPr>
          <w:rFonts w:ascii="Century Schoolbook" w:hAnsi="Century Schoolbook"/>
          <w:sz w:val="27"/>
          <w:szCs w:val="27"/>
        </w:rPr>
        <w:t xml:space="preserve">he </w:t>
      </w:r>
      <w:r w:rsidRPr="009252C3" w:rsidR="00C066EF">
        <w:rPr>
          <w:rFonts w:ascii="Century Schoolbook" w:hAnsi="Century Schoolbook"/>
          <w:sz w:val="27"/>
          <w:szCs w:val="27"/>
        </w:rPr>
        <w:t xml:space="preserve">would </w:t>
      </w:r>
      <w:r w:rsidRPr="009252C3" w:rsidR="00336A8C">
        <w:rPr>
          <w:rFonts w:ascii="Century Schoolbook" w:hAnsi="Century Schoolbook"/>
          <w:sz w:val="27"/>
          <w:szCs w:val="27"/>
        </w:rPr>
        <w:t xml:space="preserve">eventually </w:t>
      </w:r>
      <w:r w:rsidRPr="009252C3" w:rsidR="00C066EF">
        <w:rPr>
          <w:rFonts w:ascii="Century Schoolbook" w:hAnsi="Century Schoolbook"/>
          <w:sz w:val="27"/>
          <w:szCs w:val="27"/>
        </w:rPr>
        <w:t>get it out by himself.</w:t>
      </w:r>
    </w:p>
    <w:p w:rsidR="00990F0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was not pleased to see the sheriff’s patrol boat because he had drugs in his truck.  On the boat, defendant saw the people </w:t>
      </w:r>
      <w:r w:rsidRPr="009252C3" w:rsidR="002743CD">
        <w:rPr>
          <w:rFonts w:ascii="Century Schoolbook" w:hAnsi="Century Schoolbook"/>
          <w:sz w:val="27"/>
          <w:szCs w:val="27"/>
        </w:rPr>
        <w:t>who looked like astronauts</w:t>
      </w:r>
      <w:r w:rsidRPr="009252C3">
        <w:rPr>
          <w:rFonts w:ascii="Century Schoolbook" w:hAnsi="Century Schoolbook"/>
          <w:sz w:val="27"/>
          <w:szCs w:val="27"/>
        </w:rPr>
        <w:t xml:space="preserve"> working on the shore but was not concerned by it.  He did not know why he was being arrested.</w:t>
      </w:r>
    </w:p>
    <w:p w:rsidR="00986B4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denied being on a bus on May 14 or behaving on the bus at any time as Tapia had described.  That day, he was occupied with returning a boat to his father and getting his wife’s car repaired.</w:t>
      </w:r>
    </w:p>
    <w:p w:rsidR="005962E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testified that t</w:t>
      </w:r>
      <w:r w:rsidRPr="009252C3" w:rsidR="00375D38">
        <w:rPr>
          <w:rFonts w:ascii="Century Schoolbook" w:hAnsi="Century Schoolbook"/>
          <w:sz w:val="27"/>
          <w:szCs w:val="27"/>
        </w:rPr>
        <w:t xml:space="preserve">he scratches on </w:t>
      </w:r>
      <w:r w:rsidRPr="009252C3">
        <w:rPr>
          <w:rFonts w:ascii="Century Schoolbook" w:hAnsi="Century Schoolbook"/>
          <w:sz w:val="27"/>
          <w:szCs w:val="27"/>
        </w:rPr>
        <w:t xml:space="preserve">his </w:t>
      </w:r>
      <w:r w:rsidRPr="009252C3" w:rsidR="00375D38">
        <w:rPr>
          <w:rFonts w:ascii="Century Schoolbook" w:hAnsi="Century Schoolbook"/>
          <w:sz w:val="27"/>
          <w:szCs w:val="27"/>
        </w:rPr>
        <w:t xml:space="preserve">body and the blood on his </w:t>
      </w:r>
      <w:r w:rsidRPr="009252C3">
        <w:rPr>
          <w:rFonts w:ascii="Century Schoolbook" w:hAnsi="Century Schoolbook"/>
          <w:sz w:val="27"/>
          <w:szCs w:val="27"/>
        </w:rPr>
        <w:t>shirt</w:t>
      </w:r>
      <w:r w:rsidRPr="009252C3" w:rsidR="00375D38">
        <w:rPr>
          <w:rFonts w:ascii="Century Schoolbook" w:hAnsi="Century Schoolbook"/>
          <w:sz w:val="27"/>
          <w:szCs w:val="27"/>
        </w:rPr>
        <w:t xml:space="preserve"> were from dragging logs while trying to free his truck from the mud. </w:t>
      </w:r>
      <w:r w:rsidRPr="009252C3" w:rsidR="00C6660F">
        <w:rPr>
          <w:rFonts w:ascii="Century Schoolbook" w:hAnsi="Century Schoolbook"/>
          <w:sz w:val="27"/>
          <w:szCs w:val="27"/>
        </w:rPr>
        <w:t xml:space="preserve"> </w:t>
      </w:r>
      <w:r w:rsidRPr="009252C3" w:rsidR="00375D38">
        <w:rPr>
          <w:rFonts w:ascii="Century Schoolbook" w:hAnsi="Century Schoolbook"/>
          <w:sz w:val="27"/>
          <w:szCs w:val="27"/>
        </w:rPr>
        <w:t xml:space="preserve">He did not know how much he was bleeding or how his shirt got a large bloodstain </w:t>
      </w:r>
      <w:r w:rsidRPr="009252C3">
        <w:rPr>
          <w:rFonts w:ascii="Century Schoolbook" w:hAnsi="Century Schoolbook"/>
          <w:sz w:val="27"/>
          <w:szCs w:val="27"/>
        </w:rPr>
        <w:t>running from one</w:t>
      </w:r>
      <w:r w:rsidRPr="009252C3" w:rsidR="00375D38">
        <w:rPr>
          <w:rFonts w:ascii="Century Schoolbook" w:hAnsi="Century Schoolbook"/>
          <w:sz w:val="27"/>
          <w:szCs w:val="27"/>
        </w:rPr>
        <w:t xml:space="preserve"> shoulder </w:t>
      </w:r>
      <w:r w:rsidRPr="009252C3">
        <w:rPr>
          <w:rFonts w:ascii="Century Schoolbook" w:hAnsi="Century Schoolbook"/>
          <w:sz w:val="27"/>
          <w:szCs w:val="27"/>
        </w:rPr>
        <w:t>to the opposite armpit area</w:t>
      </w:r>
      <w:r w:rsidRPr="009252C3" w:rsidR="00375D38">
        <w:rPr>
          <w:rFonts w:ascii="Century Schoolbook" w:hAnsi="Century Schoolbook"/>
          <w:sz w:val="27"/>
          <w:szCs w:val="27"/>
        </w:rPr>
        <w:t>.</w:t>
      </w:r>
    </w:p>
    <w:p w:rsidR="005D6349"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addition to</w:t>
      </w:r>
      <w:r w:rsidRPr="009252C3" w:rsidR="00C64407">
        <w:rPr>
          <w:rFonts w:ascii="Century Schoolbook" w:hAnsi="Century Schoolbook"/>
          <w:sz w:val="27"/>
          <w:szCs w:val="27"/>
        </w:rPr>
        <w:t xml:space="preserve"> presenting</w:t>
      </w:r>
      <w:r w:rsidRPr="009252C3">
        <w:rPr>
          <w:rFonts w:ascii="Century Schoolbook" w:hAnsi="Century Schoolbook"/>
          <w:sz w:val="27"/>
          <w:szCs w:val="27"/>
        </w:rPr>
        <w:t xml:space="preserve"> defendant’s testimony, t</w:t>
      </w:r>
      <w:r w:rsidRPr="009252C3" w:rsidR="005962E4">
        <w:rPr>
          <w:rFonts w:ascii="Century Schoolbook" w:hAnsi="Century Schoolbook"/>
          <w:sz w:val="27"/>
          <w:szCs w:val="27"/>
        </w:rPr>
        <w:t xml:space="preserve">he defense </w:t>
      </w:r>
      <w:r w:rsidRPr="009252C3" w:rsidR="006960FB">
        <w:rPr>
          <w:rFonts w:ascii="Century Schoolbook" w:hAnsi="Century Schoolbook"/>
          <w:sz w:val="27"/>
          <w:szCs w:val="27"/>
        </w:rPr>
        <w:t>presented evidence</w:t>
      </w:r>
      <w:r w:rsidRPr="009252C3" w:rsidR="005962E4">
        <w:rPr>
          <w:rFonts w:ascii="Century Schoolbook" w:hAnsi="Century Schoolbook"/>
          <w:sz w:val="27"/>
          <w:szCs w:val="27"/>
        </w:rPr>
        <w:t xml:space="preserve"> to </w:t>
      </w:r>
      <w:r w:rsidRPr="009252C3" w:rsidR="00336A8C">
        <w:rPr>
          <w:rFonts w:ascii="Century Schoolbook" w:hAnsi="Century Schoolbook"/>
          <w:sz w:val="27"/>
          <w:szCs w:val="27"/>
        </w:rPr>
        <w:t xml:space="preserve">discredit the testimony </w:t>
      </w:r>
      <w:r w:rsidRPr="009252C3" w:rsidR="002C50FB">
        <w:rPr>
          <w:rFonts w:ascii="Century Schoolbook" w:hAnsi="Century Schoolbook"/>
          <w:sz w:val="27"/>
          <w:szCs w:val="27"/>
        </w:rPr>
        <w:t>about</w:t>
      </w:r>
      <w:r w:rsidRPr="009252C3" w:rsidR="005962E4">
        <w:rPr>
          <w:rFonts w:ascii="Century Schoolbook" w:hAnsi="Century Schoolbook"/>
          <w:sz w:val="27"/>
          <w:szCs w:val="27"/>
        </w:rPr>
        <w:t xml:space="preserve"> the</w:t>
      </w:r>
      <w:r w:rsidRPr="009252C3" w:rsidR="009E220A">
        <w:rPr>
          <w:rFonts w:ascii="Century Schoolbook" w:hAnsi="Century Schoolbook"/>
          <w:sz w:val="27"/>
          <w:szCs w:val="27"/>
        </w:rPr>
        <w:t xml:space="preserve"> May 14</w:t>
      </w:r>
      <w:r w:rsidRPr="009252C3" w:rsidR="005962E4">
        <w:rPr>
          <w:rFonts w:ascii="Century Schoolbook" w:hAnsi="Century Schoolbook"/>
          <w:sz w:val="27"/>
          <w:szCs w:val="27"/>
        </w:rPr>
        <w:t xml:space="preserve"> bus</w:t>
      </w:r>
      <w:r w:rsidRPr="009252C3" w:rsidR="00751D56">
        <w:rPr>
          <w:rFonts w:ascii="Century Schoolbook" w:hAnsi="Century Schoolbook"/>
          <w:sz w:val="27"/>
          <w:szCs w:val="27"/>
        </w:rPr>
        <w:t xml:space="preserve"> incident and</w:t>
      </w:r>
      <w:r w:rsidRPr="009252C3" w:rsidR="006960FB">
        <w:rPr>
          <w:rFonts w:ascii="Century Schoolbook" w:hAnsi="Century Schoolbook"/>
          <w:sz w:val="27"/>
          <w:szCs w:val="27"/>
        </w:rPr>
        <w:t xml:space="preserve"> </w:t>
      </w:r>
      <w:r w:rsidRPr="009252C3" w:rsidR="005962E4">
        <w:rPr>
          <w:rFonts w:ascii="Century Schoolbook" w:hAnsi="Century Schoolbook"/>
          <w:sz w:val="27"/>
          <w:szCs w:val="27"/>
        </w:rPr>
        <w:t xml:space="preserve">to suggest </w:t>
      </w:r>
      <w:r w:rsidRPr="009252C3" w:rsidR="006960FB">
        <w:rPr>
          <w:rFonts w:ascii="Century Schoolbook" w:hAnsi="Century Schoolbook"/>
          <w:sz w:val="27"/>
          <w:szCs w:val="27"/>
        </w:rPr>
        <w:t xml:space="preserve">that </w:t>
      </w:r>
      <w:r w:rsidRPr="009252C3" w:rsidR="00C64407">
        <w:rPr>
          <w:rFonts w:ascii="Century Schoolbook" w:hAnsi="Century Schoolbook"/>
          <w:sz w:val="27"/>
          <w:szCs w:val="27"/>
        </w:rPr>
        <w:t xml:space="preserve">another person </w:t>
      </w:r>
      <w:r w:rsidRPr="009252C3" w:rsidR="005962E4">
        <w:rPr>
          <w:rFonts w:ascii="Century Schoolbook" w:hAnsi="Century Schoolbook"/>
          <w:sz w:val="27"/>
          <w:szCs w:val="27"/>
        </w:rPr>
        <w:t>living in the river bottoms</w:t>
      </w:r>
      <w:r w:rsidRPr="009252C3" w:rsidR="006960FB">
        <w:rPr>
          <w:rFonts w:ascii="Century Schoolbook" w:hAnsi="Century Schoolbook"/>
          <w:sz w:val="27"/>
          <w:szCs w:val="27"/>
        </w:rPr>
        <w:t xml:space="preserve"> was involved in Michael’s death.  </w:t>
      </w:r>
      <w:r w:rsidRPr="009252C3" w:rsidR="009E220A">
        <w:rPr>
          <w:rFonts w:ascii="Century Schoolbook" w:hAnsi="Century Schoolbook"/>
          <w:sz w:val="27"/>
          <w:szCs w:val="27"/>
        </w:rPr>
        <w:t xml:space="preserve">Defendant’s father corroborated </w:t>
      </w:r>
      <w:r w:rsidRPr="009252C3" w:rsidR="00C64407">
        <w:rPr>
          <w:rFonts w:ascii="Century Schoolbook" w:hAnsi="Century Schoolbook"/>
          <w:sz w:val="27"/>
          <w:szCs w:val="27"/>
        </w:rPr>
        <w:t xml:space="preserve">defendant’s </w:t>
      </w:r>
      <w:r w:rsidRPr="009252C3" w:rsidR="009E220A">
        <w:rPr>
          <w:rFonts w:ascii="Century Schoolbook" w:hAnsi="Century Schoolbook"/>
          <w:sz w:val="27"/>
          <w:szCs w:val="27"/>
        </w:rPr>
        <w:t>account of his activities on</w:t>
      </w:r>
      <w:r w:rsidRPr="009252C3">
        <w:rPr>
          <w:rFonts w:ascii="Century Schoolbook" w:hAnsi="Century Schoolbook"/>
          <w:sz w:val="27"/>
          <w:szCs w:val="27"/>
        </w:rPr>
        <w:t xml:space="preserve"> May 14, and the bus driver testified that had a passenger displayed a knife in a threatening manner she would have immediately reported the event to the police. </w:t>
      </w:r>
      <w:r w:rsidRPr="009252C3" w:rsidR="009E220A">
        <w:rPr>
          <w:rFonts w:ascii="Century Schoolbook" w:hAnsi="Century Schoolbook"/>
          <w:sz w:val="27"/>
          <w:szCs w:val="27"/>
        </w:rPr>
        <w:t xml:space="preserve"> </w:t>
      </w:r>
      <w:r w:rsidRPr="009252C3">
        <w:rPr>
          <w:rFonts w:ascii="Century Schoolbook" w:hAnsi="Century Schoolbook"/>
          <w:sz w:val="27"/>
          <w:szCs w:val="27"/>
        </w:rPr>
        <w:t xml:space="preserve">The driver knew both Tapia and Buchanan and did not recall the events they </w:t>
      </w:r>
      <w:r w:rsidRPr="009252C3" w:rsidR="0036215A">
        <w:rPr>
          <w:rFonts w:ascii="Century Schoolbook" w:hAnsi="Century Schoolbook"/>
          <w:sz w:val="27"/>
          <w:szCs w:val="27"/>
        </w:rPr>
        <w:t>described</w:t>
      </w:r>
      <w:r w:rsidRPr="009252C3">
        <w:rPr>
          <w:rFonts w:ascii="Century Schoolbook" w:hAnsi="Century Schoolbook"/>
          <w:sz w:val="27"/>
          <w:szCs w:val="27"/>
        </w:rPr>
        <w:t>.</w:t>
      </w:r>
      <w:r w:rsidRPr="009252C3" w:rsidR="0036215A">
        <w:rPr>
          <w:rFonts w:ascii="Century Schoolbook" w:hAnsi="Century Schoolbook"/>
          <w:sz w:val="27"/>
          <w:szCs w:val="27"/>
        </w:rPr>
        <w:t xml:space="preserve">  </w:t>
      </w:r>
      <w:r w:rsidRPr="009252C3" w:rsidR="003959BC">
        <w:rPr>
          <w:rFonts w:ascii="Century Schoolbook" w:hAnsi="Century Schoolbook"/>
          <w:sz w:val="27"/>
          <w:szCs w:val="27"/>
        </w:rPr>
        <w:t>Donald Dugger, who lived in a trailer in the river bottoms, testified that a couple of days after Michael</w:t>
      </w:r>
      <w:r w:rsidRPr="009252C3" w:rsidR="00154706">
        <w:rPr>
          <w:rFonts w:ascii="Century Schoolbook" w:hAnsi="Century Schoolbook"/>
          <w:sz w:val="27"/>
          <w:szCs w:val="27"/>
        </w:rPr>
        <w:t>’</w:t>
      </w:r>
      <w:r w:rsidRPr="009252C3" w:rsidR="003959BC">
        <w:rPr>
          <w:rFonts w:ascii="Century Schoolbook" w:hAnsi="Century Schoolbook"/>
          <w:sz w:val="27"/>
          <w:szCs w:val="27"/>
        </w:rPr>
        <w:t>s disappearance, Bo</w:t>
      </w:r>
      <w:r w:rsidRPr="009252C3" w:rsidR="003F7DF4">
        <w:rPr>
          <w:rFonts w:ascii="Century Schoolbook" w:hAnsi="Century Schoolbook"/>
          <w:sz w:val="27"/>
          <w:szCs w:val="27"/>
        </w:rPr>
        <w:t>bbie Lem</w:t>
      </w:r>
      <w:r w:rsidRPr="009252C3" w:rsidR="009B6605">
        <w:rPr>
          <w:rFonts w:ascii="Century Schoolbook" w:hAnsi="Century Schoolbook"/>
          <w:sz w:val="27"/>
          <w:szCs w:val="27"/>
        </w:rPr>
        <w:t>m</w:t>
      </w:r>
      <w:r w:rsidRPr="009252C3" w:rsidR="003F7DF4">
        <w:rPr>
          <w:rFonts w:ascii="Century Schoolbook" w:hAnsi="Century Schoolbook"/>
          <w:sz w:val="27"/>
          <w:szCs w:val="27"/>
        </w:rPr>
        <w:t xml:space="preserve">ons—another bottoms resident, who had found </w:t>
      </w:r>
      <w:r w:rsidRPr="009252C3" w:rsidR="00F136D5">
        <w:rPr>
          <w:rFonts w:ascii="Century Schoolbook" w:hAnsi="Century Schoolbook"/>
          <w:sz w:val="27"/>
          <w:szCs w:val="27"/>
        </w:rPr>
        <w:t>Michael’s</w:t>
      </w:r>
      <w:r w:rsidRPr="009252C3" w:rsidR="003F7DF4">
        <w:rPr>
          <w:rFonts w:ascii="Century Schoolbook" w:hAnsi="Century Schoolbook"/>
          <w:sz w:val="27"/>
          <w:szCs w:val="27"/>
        </w:rPr>
        <w:t xml:space="preserve"> shoes and pants </w:t>
      </w:r>
      <w:r w:rsidRPr="009252C3" w:rsidR="006960FB">
        <w:rPr>
          <w:rFonts w:ascii="Century Schoolbook" w:hAnsi="Century Schoolbook"/>
          <w:sz w:val="27"/>
          <w:szCs w:val="27"/>
        </w:rPr>
        <w:t>while scavenging in the area</w:t>
      </w:r>
      <w:r w:rsidRPr="009252C3" w:rsidR="003F7DF4">
        <w:rPr>
          <w:rFonts w:ascii="Century Schoolbook" w:hAnsi="Century Schoolbook"/>
          <w:sz w:val="27"/>
          <w:szCs w:val="27"/>
        </w:rPr>
        <w:t>—</w:t>
      </w:r>
      <w:r w:rsidRPr="009252C3" w:rsidR="004726B3">
        <w:rPr>
          <w:rFonts w:ascii="Century Schoolbook" w:hAnsi="Century Schoolbook"/>
          <w:sz w:val="27"/>
          <w:szCs w:val="27"/>
        </w:rPr>
        <w:t xml:space="preserve">asked Dugger to provide him with an alibi for the night of May 16. </w:t>
      </w:r>
      <w:r w:rsidRPr="009252C3" w:rsidR="003F7DF4">
        <w:rPr>
          <w:rFonts w:ascii="Century Schoolbook" w:hAnsi="Century Schoolbook"/>
          <w:sz w:val="27"/>
          <w:szCs w:val="27"/>
        </w:rPr>
        <w:t xml:space="preserve"> </w:t>
      </w:r>
      <w:r w:rsidRPr="009252C3" w:rsidR="00F136D5">
        <w:rPr>
          <w:rFonts w:ascii="Century Schoolbook" w:hAnsi="Century Schoolbook"/>
          <w:sz w:val="27"/>
          <w:szCs w:val="27"/>
        </w:rPr>
        <w:t>Police found a</w:t>
      </w:r>
      <w:r w:rsidRPr="009252C3" w:rsidR="006960FB">
        <w:rPr>
          <w:rFonts w:ascii="Century Schoolbook" w:hAnsi="Century Schoolbook"/>
          <w:sz w:val="27"/>
          <w:szCs w:val="27"/>
        </w:rPr>
        <w:t xml:space="preserve"> pocket</w:t>
      </w:r>
      <w:r w:rsidRPr="009252C3" w:rsidR="00A820CE">
        <w:rPr>
          <w:rFonts w:ascii="Century Schoolbook" w:hAnsi="Century Schoolbook"/>
          <w:sz w:val="27"/>
          <w:szCs w:val="27"/>
        </w:rPr>
        <w:t xml:space="preserve"> knife with “L” and “R”</w:t>
      </w:r>
      <w:r w:rsidRPr="009252C3" w:rsidR="006960FB">
        <w:rPr>
          <w:rFonts w:ascii="Century Schoolbook" w:hAnsi="Century Schoolbook"/>
          <w:sz w:val="27"/>
          <w:szCs w:val="27"/>
        </w:rPr>
        <w:t xml:space="preserve"> (defendant’s wife’s initials)</w:t>
      </w:r>
      <w:r w:rsidRPr="009252C3" w:rsidR="00A820CE">
        <w:rPr>
          <w:rFonts w:ascii="Century Schoolbook" w:hAnsi="Century Schoolbook"/>
          <w:sz w:val="27"/>
          <w:szCs w:val="27"/>
        </w:rPr>
        <w:t xml:space="preserve"> engraved on its two sides in Lem</w:t>
      </w:r>
      <w:r w:rsidRPr="009252C3" w:rsidR="009B6605">
        <w:rPr>
          <w:rFonts w:ascii="Century Schoolbook" w:hAnsi="Century Schoolbook"/>
          <w:sz w:val="27"/>
          <w:szCs w:val="27"/>
        </w:rPr>
        <w:t>m</w:t>
      </w:r>
      <w:r w:rsidRPr="009252C3" w:rsidR="00A820CE">
        <w:rPr>
          <w:rFonts w:ascii="Century Schoolbook" w:hAnsi="Century Schoolbook"/>
          <w:sz w:val="27"/>
          <w:szCs w:val="27"/>
        </w:rPr>
        <w:t>ons’s storage locker; he did not recall where he had gotten i</w:t>
      </w:r>
      <w:r w:rsidRPr="009252C3" w:rsidR="00B1438B">
        <w:rPr>
          <w:rFonts w:ascii="Century Schoolbook" w:hAnsi="Century Schoolbook"/>
          <w:sz w:val="27"/>
          <w:szCs w:val="27"/>
        </w:rPr>
        <w:t>t</w:t>
      </w:r>
      <w:r w:rsidRPr="009252C3" w:rsidR="00A820CE">
        <w:rPr>
          <w:rFonts w:ascii="Century Schoolbook" w:hAnsi="Century Schoolbook"/>
          <w:sz w:val="27"/>
          <w:szCs w:val="27"/>
        </w:rPr>
        <w:t xml:space="preserve">. </w:t>
      </w:r>
      <w:r w:rsidRPr="009252C3" w:rsidR="00B1438B">
        <w:rPr>
          <w:rFonts w:ascii="Century Schoolbook" w:hAnsi="Century Schoolbook"/>
          <w:sz w:val="27"/>
          <w:szCs w:val="27"/>
        </w:rPr>
        <w:t xml:space="preserve"> Defendant identified the knife as his wife’s and a fishing pole found in the locker as</w:t>
      </w:r>
      <w:r w:rsidRPr="009252C3" w:rsidR="006960FB">
        <w:rPr>
          <w:rFonts w:ascii="Century Schoolbook" w:hAnsi="Century Schoolbook"/>
          <w:sz w:val="27"/>
          <w:szCs w:val="27"/>
        </w:rPr>
        <w:t xml:space="preserve"> one that had been in his truck. </w:t>
      </w:r>
      <w:r w:rsidRPr="009252C3" w:rsidR="00A820CE">
        <w:rPr>
          <w:rFonts w:ascii="Century Schoolbook" w:hAnsi="Century Schoolbook"/>
          <w:sz w:val="27"/>
          <w:szCs w:val="27"/>
        </w:rPr>
        <w:t xml:space="preserve"> </w:t>
      </w:r>
      <w:r w:rsidRPr="009252C3" w:rsidR="00835F1C">
        <w:rPr>
          <w:rFonts w:ascii="Century Schoolbook" w:hAnsi="Century Schoolbook"/>
          <w:sz w:val="27"/>
          <w:szCs w:val="27"/>
        </w:rPr>
        <w:t>A man walking on the river bank around 4:15</w:t>
      </w:r>
      <w:r w:rsidRPr="009252C3" w:rsidR="00945725">
        <w:rPr>
          <w:rFonts w:ascii="Century Schoolbook" w:hAnsi="Century Schoolbook"/>
          <w:sz w:val="27"/>
          <w:szCs w:val="27"/>
        </w:rPr>
        <w:t> </w:t>
      </w:r>
      <w:r w:rsidRPr="009252C3" w:rsidR="00835F1C">
        <w:rPr>
          <w:rFonts w:ascii="Century Schoolbook" w:hAnsi="Century Schoolbook"/>
          <w:sz w:val="27"/>
          <w:szCs w:val="27"/>
        </w:rPr>
        <w:t>p.m. on May 16 testified</w:t>
      </w:r>
      <w:r w:rsidRPr="009252C3" w:rsidR="00B87B04">
        <w:rPr>
          <w:rFonts w:ascii="Century Schoolbook" w:hAnsi="Century Schoolbook"/>
          <w:sz w:val="27"/>
          <w:szCs w:val="27"/>
        </w:rPr>
        <w:t xml:space="preserve"> that</w:t>
      </w:r>
      <w:r w:rsidRPr="009252C3" w:rsidR="00835F1C">
        <w:rPr>
          <w:rFonts w:ascii="Century Schoolbook" w:hAnsi="Century Schoolbook"/>
          <w:sz w:val="27"/>
          <w:szCs w:val="27"/>
        </w:rPr>
        <w:t xml:space="preserve"> he saw Michael (whom </w:t>
      </w:r>
      <w:r w:rsidRPr="009252C3" w:rsidR="0086780E">
        <w:rPr>
          <w:rFonts w:ascii="Century Schoolbook" w:hAnsi="Century Schoolbook"/>
          <w:sz w:val="27"/>
          <w:szCs w:val="27"/>
        </w:rPr>
        <w:t xml:space="preserve">he </w:t>
      </w:r>
      <w:r w:rsidRPr="009252C3" w:rsidR="00835F1C">
        <w:rPr>
          <w:rFonts w:ascii="Century Schoolbook" w:hAnsi="Century Schoolbook"/>
          <w:sz w:val="27"/>
          <w:szCs w:val="27"/>
        </w:rPr>
        <w:t>did not know but later recognized from a photograph in the newspaper) playing there with another boy his age, and a</w:t>
      </w:r>
      <w:r w:rsidRPr="009252C3" w:rsidR="00751D56">
        <w:rPr>
          <w:rFonts w:ascii="Century Schoolbook" w:hAnsi="Century Schoolbook"/>
          <w:sz w:val="27"/>
          <w:szCs w:val="27"/>
        </w:rPr>
        <w:t xml:space="preserve"> woman who was fishing on the Marysville side of the river on May 16 </w:t>
      </w:r>
      <w:r w:rsidRPr="009252C3" w:rsidR="00F136D5">
        <w:rPr>
          <w:rFonts w:ascii="Century Schoolbook" w:hAnsi="Century Schoolbook"/>
          <w:sz w:val="27"/>
          <w:szCs w:val="27"/>
        </w:rPr>
        <w:t xml:space="preserve">(who also later recognized Michael from a photograph in the newspaper) </w:t>
      </w:r>
      <w:r w:rsidRPr="009252C3" w:rsidR="00751D56">
        <w:rPr>
          <w:rFonts w:ascii="Century Schoolbook" w:hAnsi="Century Schoolbook"/>
          <w:sz w:val="27"/>
          <w:szCs w:val="27"/>
        </w:rPr>
        <w:t xml:space="preserve">testified she saw </w:t>
      </w:r>
      <w:r w:rsidRPr="009252C3" w:rsidR="00F136D5">
        <w:rPr>
          <w:rFonts w:ascii="Century Schoolbook" w:hAnsi="Century Schoolbook"/>
          <w:sz w:val="27"/>
          <w:szCs w:val="27"/>
        </w:rPr>
        <w:t>him</w:t>
      </w:r>
      <w:r w:rsidRPr="009252C3" w:rsidR="00751D56">
        <w:rPr>
          <w:rFonts w:ascii="Century Schoolbook" w:hAnsi="Century Schoolbook"/>
          <w:sz w:val="27"/>
          <w:szCs w:val="27"/>
        </w:rPr>
        <w:t xml:space="preserve"> with </w:t>
      </w:r>
      <w:r w:rsidRPr="009252C3" w:rsidR="00751D56">
        <w:rPr>
          <w:rFonts w:ascii="Century Schoolbook" w:hAnsi="Century Schoolbook"/>
          <w:i/>
          <w:sz w:val="27"/>
          <w:szCs w:val="27"/>
        </w:rPr>
        <w:t>two</w:t>
      </w:r>
      <w:r w:rsidRPr="009252C3" w:rsidR="00751D56">
        <w:rPr>
          <w:rFonts w:ascii="Century Schoolbook" w:hAnsi="Century Schoolbook"/>
          <w:sz w:val="27"/>
          <w:szCs w:val="27"/>
        </w:rPr>
        <w:t xml:space="preserve"> men, one of whom she thought was defendant, on the Yuba City bank in the late afternoon.</w:t>
      </w:r>
    </w:p>
    <w:p w:rsidR="00835F1C" w:rsidRPr="009252C3" w:rsidP="009252C3">
      <w:pPr>
        <w:pStyle w:val="Heading2"/>
        <w:spacing w:before="100" w:line="400" w:lineRule="exact"/>
        <w:ind w:left="0" w:firstLine="720"/>
        <w:jc w:val="both"/>
        <w:rPr>
          <w:rFonts w:ascii="Century Schoolbook" w:hAnsi="Century Schoolbook"/>
          <w:sz w:val="27"/>
          <w:szCs w:val="27"/>
        </w:rPr>
      </w:pPr>
      <w:bookmarkStart w:id="4" w:name="_Toc3365805"/>
      <w:r w:rsidRPr="009252C3">
        <w:rPr>
          <w:rFonts w:ascii="Century Schoolbook" w:hAnsi="Century Schoolbook"/>
          <w:sz w:val="27"/>
          <w:szCs w:val="27"/>
        </w:rPr>
        <w:t xml:space="preserve">Penalty </w:t>
      </w:r>
      <w:r w:rsidRPr="009252C3" w:rsidR="00336A8C">
        <w:rPr>
          <w:rFonts w:ascii="Century Schoolbook" w:hAnsi="Century Schoolbook"/>
          <w:sz w:val="27"/>
          <w:szCs w:val="27"/>
        </w:rPr>
        <w:t>Retrial Evidence</w:t>
      </w:r>
      <w:bookmarkEnd w:id="4"/>
    </w:p>
    <w:p w:rsidR="00835F1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On retrial of penalty after the first jury hung, the </w:t>
      </w:r>
      <w:r w:rsidRPr="009252C3" w:rsidR="00FB0F78">
        <w:rPr>
          <w:rFonts w:ascii="Century Schoolbook" w:hAnsi="Century Schoolbook"/>
          <w:sz w:val="27"/>
          <w:szCs w:val="27"/>
        </w:rPr>
        <w:t>parties</w:t>
      </w:r>
      <w:r w:rsidRPr="009252C3">
        <w:rPr>
          <w:rFonts w:ascii="Century Schoolbook" w:hAnsi="Century Schoolbook"/>
          <w:sz w:val="27"/>
          <w:szCs w:val="27"/>
        </w:rPr>
        <w:t xml:space="preserve"> presented extensive evidence replicating that given at the guilt phase.  </w:t>
      </w:r>
      <w:r w:rsidRPr="009252C3" w:rsidR="00191B23">
        <w:rPr>
          <w:rFonts w:ascii="Century Schoolbook" w:hAnsi="Century Schoolbook"/>
          <w:sz w:val="27"/>
          <w:szCs w:val="27"/>
        </w:rPr>
        <w:t xml:space="preserve">In addition, </w:t>
      </w:r>
      <w:r w:rsidRPr="009252C3" w:rsidR="00F136D5">
        <w:rPr>
          <w:rFonts w:ascii="Century Schoolbook" w:hAnsi="Century Schoolbook"/>
          <w:sz w:val="27"/>
          <w:szCs w:val="27"/>
        </w:rPr>
        <w:t xml:space="preserve">Michael’s aunt testified to the impact of </w:t>
      </w:r>
      <w:r w:rsidRPr="009252C3" w:rsidR="00AC74EE">
        <w:rPr>
          <w:rFonts w:ascii="Century Schoolbook" w:hAnsi="Century Schoolbook"/>
          <w:sz w:val="27"/>
          <w:szCs w:val="27"/>
        </w:rPr>
        <w:t xml:space="preserve">Michael’s </w:t>
      </w:r>
      <w:r w:rsidRPr="009252C3" w:rsidR="00F136D5">
        <w:rPr>
          <w:rFonts w:ascii="Century Schoolbook" w:hAnsi="Century Schoolbook"/>
          <w:sz w:val="27"/>
          <w:szCs w:val="27"/>
        </w:rPr>
        <w:t>death on her</w:t>
      </w:r>
      <w:r w:rsidRPr="009252C3">
        <w:rPr>
          <w:rFonts w:ascii="Century Schoolbook" w:hAnsi="Century Schoolbook"/>
          <w:sz w:val="27"/>
          <w:szCs w:val="27"/>
        </w:rPr>
        <w:t xml:space="preserve"> and on M</w:t>
      </w:r>
      <w:r w:rsidRPr="009252C3" w:rsidR="00F136D5">
        <w:rPr>
          <w:rFonts w:ascii="Century Schoolbook" w:hAnsi="Century Schoolbook"/>
          <w:sz w:val="27"/>
          <w:szCs w:val="27"/>
        </w:rPr>
        <w:t xml:space="preserve">ichael’s mother and sister.  </w:t>
      </w:r>
      <w:r w:rsidRPr="009252C3" w:rsidR="00191B23">
        <w:rPr>
          <w:rFonts w:ascii="Century Schoolbook" w:hAnsi="Century Schoolbook"/>
          <w:sz w:val="27"/>
          <w:szCs w:val="27"/>
        </w:rPr>
        <w:t>The prosecution also presented evidence that d</w:t>
      </w:r>
      <w:r w:rsidRPr="009252C3" w:rsidR="00AC74EE">
        <w:rPr>
          <w:rFonts w:ascii="Century Schoolbook" w:hAnsi="Century Schoolbook"/>
          <w:sz w:val="27"/>
          <w:szCs w:val="27"/>
        </w:rPr>
        <w:t xml:space="preserve">efendant had suffered convictions for check forgery in the 1980’s, in addition to his convictions for the crimes </w:t>
      </w:r>
      <w:r w:rsidRPr="009252C3" w:rsidR="005616C9">
        <w:rPr>
          <w:rFonts w:ascii="Century Schoolbook" w:hAnsi="Century Schoolbook"/>
          <w:sz w:val="27"/>
          <w:szCs w:val="27"/>
        </w:rPr>
        <w:t>against Sharon T</w:t>
      </w:r>
      <w:r w:rsidRPr="009252C3" w:rsidR="00AD167C">
        <w:rPr>
          <w:rFonts w:ascii="Century Schoolbook" w:hAnsi="Century Schoolbook"/>
          <w:sz w:val="27"/>
          <w:szCs w:val="27"/>
        </w:rPr>
        <w:t>.</w:t>
      </w:r>
      <w:r w:rsidRPr="009252C3" w:rsidR="005D1864">
        <w:rPr>
          <w:rFonts w:ascii="Century Schoolbook" w:hAnsi="Century Schoolbook"/>
          <w:sz w:val="27"/>
          <w:szCs w:val="27"/>
        </w:rPr>
        <w:t xml:space="preserve"> </w:t>
      </w:r>
      <w:r w:rsidRPr="009252C3" w:rsidR="005616C9">
        <w:rPr>
          <w:rFonts w:ascii="Century Schoolbook" w:hAnsi="Century Schoolbook"/>
          <w:sz w:val="27"/>
          <w:szCs w:val="27"/>
        </w:rPr>
        <w:t>and Crystal T.</w:t>
      </w:r>
    </w:p>
    <w:p w:rsidR="00835F1C" w:rsidRPr="009252C3" w:rsidP="009252C3">
      <w:pPr>
        <w:pStyle w:val="Text"/>
        <w:spacing w:before="100" w:line="400" w:lineRule="exact"/>
        <w:ind w:firstLine="720"/>
        <w:jc w:val="both"/>
        <w:rPr>
          <w:rFonts w:ascii="Century Schoolbook" w:hAnsi="Century Schoolbook"/>
          <w:b/>
          <w:sz w:val="27"/>
          <w:szCs w:val="27"/>
        </w:rPr>
      </w:pPr>
      <w:r w:rsidRPr="009252C3">
        <w:rPr>
          <w:rFonts w:ascii="Century Schoolbook" w:hAnsi="Century Schoolbook"/>
          <w:sz w:val="27"/>
          <w:szCs w:val="27"/>
        </w:rPr>
        <w:t>The defense presented three witnesses to support defendant’s claim he had gone to a house looking for his friend on the afternoon of May 16, 1996</w:t>
      </w:r>
      <w:r w:rsidRPr="009252C3" w:rsidR="00336A8C">
        <w:rPr>
          <w:rFonts w:ascii="Century Schoolbook" w:hAnsi="Century Schoolbook"/>
          <w:sz w:val="27"/>
          <w:szCs w:val="27"/>
        </w:rPr>
        <w:t xml:space="preserve">. </w:t>
      </w:r>
      <w:r w:rsidRPr="009252C3" w:rsidR="004A24A4">
        <w:rPr>
          <w:rFonts w:ascii="Century Schoolbook" w:hAnsi="Century Schoolbook"/>
          <w:sz w:val="27"/>
          <w:szCs w:val="27"/>
        </w:rPr>
        <w:t xml:space="preserve"> But of these witnesses, the only one </w:t>
      </w:r>
      <w:r w:rsidRPr="009252C3">
        <w:rPr>
          <w:rFonts w:ascii="Century Schoolbook" w:hAnsi="Century Schoolbook"/>
          <w:sz w:val="27"/>
          <w:szCs w:val="27"/>
        </w:rPr>
        <w:t>who remembered seeing a man resembling defendant</w:t>
      </w:r>
      <w:r w:rsidRPr="009252C3" w:rsidR="005940EE">
        <w:rPr>
          <w:rFonts w:ascii="Century Schoolbook" w:hAnsi="Century Schoolbook"/>
          <w:sz w:val="27"/>
          <w:szCs w:val="27"/>
        </w:rPr>
        <w:t xml:space="preserve"> </w:t>
      </w:r>
      <w:r w:rsidRPr="009252C3" w:rsidR="00154706">
        <w:rPr>
          <w:rFonts w:ascii="Century Schoolbook" w:hAnsi="Century Schoolbook"/>
          <w:sz w:val="27"/>
          <w:szCs w:val="27"/>
        </w:rPr>
        <w:t>at the house</w:t>
      </w:r>
      <w:r w:rsidRPr="009252C3" w:rsidR="00336A8C">
        <w:rPr>
          <w:rFonts w:ascii="Century Schoolbook" w:hAnsi="Century Schoolbook"/>
          <w:sz w:val="27"/>
          <w:szCs w:val="27"/>
        </w:rPr>
        <w:t xml:space="preserve"> </w:t>
      </w:r>
      <w:r w:rsidRPr="009252C3" w:rsidR="005940EE">
        <w:rPr>
          <w:rFonts w:ascii="Century Schoolbook" w:hAnsi="Century Schoolbook"/>
          <w:sz w:val="27"/>
          <w:szCs w:val="27"/>
        </w:rPr>
        <w:t>was using drugs heavily at the time and</w:t>
      </w:r>
      <w:r w:rsidRPr="009252C3">
        <w:rPr>
          <w:rFonts w:ascii="Century Schoolbook" w:hAnsi="Century Schoolbook"/>
          <w:sz w:val="27"/>
          <w:szCs w:val="27"/>
        </w:rPr>
        <w:t xml:space="preserve"> had told the </w:t>
      </w:r>
      <w:r w:rsidRPr="009252C3" w:rsidR="005940EE">
        <w:rPr>
          <w:rFonts w:ascii="Century Schoolbook" w:hAnsi="Century Schoolbook"/>
          <w:sz w:val="27"/>
          <w:szCs w:val="27"/>
        </w:rPr>
        <w:t>prosecution investigator</w:t>
      </w:r>
      <w:r w:rsidRPr="009252C3">
        <w:rPr>
          <w:rFonts w:ascii="Century Schoolbook" w:hAnsi="Century Schoolbook"/>
          <w:sz w:val="27"/>
          <w:szCs w:val="27"/>
        </w:rPr>
        <w:t xml:space="preserve"> she could not identify the man and did not really know what day he was there.  </w:t>
      </w:r>
      <w:r w:rsidRPr="009252C3" w:rsidR="005940EE">
        <w:rPr>
          <w:rFonts w:ascii="Century Schoolbook" w:hAnsi="Century Schoolbook"/>
          <w:sz w:val="27"/>
          <w:szCs w:val="27"/>
        </w:rPr>
        <w:t xml:space="preserve">The </w:t>
      </w:r>
      <w:r w:rsidRPr="009252C3" w:rsidR="003454F0">
        <w:rPr>
          <w:rFonts w:ascii="Century Schoolbook" w:hAnsi="Century Schoolbook"/>
          <w:sz w:val="27"/>
          <w:szCs w:val="27"/>
        </w:rPr>
        <w:t xml:space="preserve">defense also presented evidence </w:t>
      </w:r>
      <w:r w:rsidRPr="009252C3" w:rsidR="00154706">
        <w:rPr>
          <w:rFonts w:ascii="Century Schoolbook" w:hAnsi="Century Schoolbook"/>
          <w:sz w:val="27"/>
          <w:szCs w:val="27"/>
        </w:rPr>
        <w:t xml:space="preserve">that </w:t>
      </w:r>
      <w:r w:rsidRPr="009252C3" w:rsidR="003454F0">
        <w:rPr>
          <w:rFonts w:ascii="Century Schoolbook" w:hAnsi="Century Schoolbook"/>
          <w:sz w:val="27"/>
          <w:szCs w:val="27"/>
        </w:rPr>
        <w:t xml:space="preserve">Michael’s stepfather had been convicted in 1995 of spousal abuse of Michael’s mother and of evading a police officer, </w:t>
      </w:r>
      <w:r w:rsidRPr="009252C3" w:rsidR="00191B23">
        <w:rPr>
          <w:rFonts w:ascii="Century Schoolbook" w:hAnsi="Century Schoolbook"/>
          <w:sz w:val="27"/>
          <w:szCs w:val="27"/>
        </w:rPr>
        <w:t xml:space="preserve">as well as </w:t>
      </w:r>
      <w:r w:rsidRPr="009252C3" w:rsidR="003454F0">
        <w:rPr>
          <w:rFonts w:ascii="Century Schoolbook" w:hAnsi="Century Schoolbook"/>
          <w:sz w:val="27"/>
          <w:szCs w:val="27"/>
        </w:rPr>
        <w:t>the testimony of a forensic pathologist who disagreed with Dr.</w:t>
      </w:r>
      <w:r w:rsidRPr="009252C3" w:rsidR="00945725">
        <w:rPr>
          <w:rFonts w:ascii="Century Schoolbook" w:hAnsi="Century Schoolbook"/>
          <w:sz w:val="27"/>
          <w:szCs w:val="27"/>
        </w:rPr>
        <w:t> </w:t>
      </w:r>
      <w:r w:rsidRPr="009252C3" w:rsidR="003454F0">
        <w:rPr>
          <w:rFonts w:ascii="Century Schoolbook" w:hAnsi="Century Schoolbook"/>
          <w:sz w:val="27"/>
          <w:szCs w:val="27"/>
        </w:rPr>
        <w:t xml:space="preserve">Dibdin’s </w:t>
      </w:r>
      <w:r w:rsidRPr="009252C3" w:rsidR="00336A8C">
        <w:rPr>
          <w:rFonts w:ascii="Century Schoolbook" w:hAnsi="Century Schoolbook"/>
          <w:sz w:val="27"/>
          <w:szCs w:val="27"/>
        </w:rPr>
        <w:t>opinions in</w:t>
      </w:r>
      <w:r w:rsidRPr="009252C3" w:rsidR="003454F0">
        <w:rPr>
          <w:rFonts w:ascii="Century Schoolbook" w:hAnsi="Century Schoolbook"/>
          <w:sz w:val="27"/>
          <w:szCs w:val="27"/>
        </w:rPr>
        <w:t xml:space="preserve"> other cases but </w:t>
      </w:r>
      <w:r w:rsidRPr="009252C3" w:rsidR="00336A8C">
        <w:rPr>
          <w:rFonts w:ascii="Century Schoolbook" w:hAnsi="Century Schoolbook"/>
          <w:sz w:val="27"/>
          <w:szCs w:val="27"/>
        </w:rPr>
        <w:t xml:space="preserve">who </w:t>
      </w:r>
      <w:r w:rsidRPr="009252C3" w:rsidR="003454F0">
        <w:rPr>
          <w:rFonts w:ascii="Century Schoolbook" w:hAnsi="Century Schoolbook"/>
          <w:sz w:val="27"/>
          <w:szCs w:val="27"/>
        </w:rPr>
        <w:t>had not reviewed any materials relating to Michael’s death.</w:t>
      </w:r>
    </w:p>
    <w:p w:rsidR="00375D3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Defendant’s father, mother, aunt</w:t>
      </w:r>
      <w:r w:rsidRPr="009252C3" w:rsidR="001504D7">
        <w:rPr>
          <w:rFonts w:ascii="Century Schoolbook" w:hAnsi="Century Schoolbook"/>
          <w:sz w:val="27"/>
          <w:szCs w:val="27"/>
        </w:rPr>
        <w:t>,</w:t>
      </w:r>
      <w:r w:rsidRPr="009252C3">
        <w:rPr>
          <w:rFonts w:ascii="Century Schoolbook" w:hAnsi="Century Schoolbook"/>
          <w:sz w:val="27"/>
          <w:szCs w:val="27"/>
        </w:rPr>
        <w:t xml:space="preserve"> and sister testified </w:t>
      </w:r>
      <w:r w:rsidRPr="009252C3" w:rsidR="001504D7">
        <w:rPr>
          <w:rFonts w:ascii="Century Schoolbook" w:hAnsi="Century Schoolbook"/>
          <w:sz w:val="27"/>
          <w:szCs w:val="27"/>
        </w:rPr>
        <w:t>about</w:t>
      </w:r>
      <w:r w:rsidRPr="009252C3">
        <w:rPr>
          <w:rFonts w:ascii="Century Schoolbook" w:hAnsi="Century Schoolbook"/>
          <w:sz w:val="27"/>
          <w:szCs w:val="27"/>
        </w:rPr>
        <w:t xml:space="preserve"> </w:t>
      </w:r>
      <w:r w:rsidRPr="009252C3" w:rsidR="004B378C">
        <w:rPr>
          <w:rFonts w:ascii="Century Schoolbook" w:hAnsi="Century Schoolbook"/>
          <w:sz w:val="27"/>
          <w:szCs w:val="27"/>
        </w:rPr>
        <w:t xml:space="preserve">defendant’s childhood and </w:t>
      </w:r>
      <w:r w:rsidRPr="009252C3">
        <w:rPr>
          <w:rFonts w:ascii="Century Schoolbook" w:hAnsi="Century Schoolbook"/>
          <w:sz w:val="27"/>
          <w:szCs w:val="27"/>
        </w:rPr>
        <w:t>family life.  Until defendant was about 10, his father gambled, drank</w:t>
      </w:r>
      <w:r w:rsidRPr="009252C3" w:rsidR="004B378C">
        <w:rPr>
          <w:rFonts w:ascii="Century Schoolbook" w:hAnsi="Century Schoolbook"/>
          <w:sz w:val="27"/>
          <w:szCs w:val="27"/>
        </w:rPr>
        <w:t>,</w:t>
      </w:r>
      <w:r w:rsidRPr="009252C3">
        <w:rPr>
          <w:rFonts w:ascii="Century Schoolbook" w:hAnsi="Century Schoolbook"/>
          <w:sz w:val="27"/>
          <w:szCs w:val="27"/>
        </w:rPr>
        <w:t xml:space="preserve"> and cheated on defendant’s mother, which caused a lot of turmoil in the family.  After that, </w:t>
      </w:r>
      <w:r w:rsidRPr="009252C3" w:rsidR="001504D7">
        <w:rPr>
          <w:rFonts w:ascii="Century Schoolbook" w:hAnsi="Century Schoolbook"/>
          <w:sz w:val="27"/>
          <w:szCs w:val="27"/>
        </w:rPr>
        <w:t>defendant’s</w:t>
      </w:r>
      <w:r w:rsidRPr="009252C3">
        <w:rPr>
          <w:rFonts w:ascii="Century Schoolbook" w:hAnsi="Century Schoolbook"/>
          <w:sz w:val="27"/>
          <w:szCs w:val="27"/>
        </w:rPr>
        <w:t xml:space="preserve"> father returned to his religion, Seventh Day Adventism</w:t>
      </w:r>
      <w:r w:rsidRPr="009252C3" w:rsidR="00446A6E">
        <w:rPr>
          <w:rFonts w:ascii="Century Schoolbook" w:hAnsi="Century Schoolbook"/>
          <w:sz w:val="27"/>
          <w:szCs w:val="27"/>
        </w:rPr>
        <w:t>, and d</w:t>
      </w:r>
      <w:r w:rsidRPr="009252C3">
        <w:rPr>
          <w:rFonts w:ascii="Century Schoolbook" w:hAnsi="Century Schoolbook"/>
          <w:sz w:val="27"/>
          <w:szCs w:val="27"/>
        </w:rPr>
        <w:t>efendant was sent to a church school and was restricted in his activities</w:t>
      </w:r>
      <w:r w:rsidRPr="009252C3" w:rsidR="00446A6E">
        <w:rPr>
          <w:rFonts w:ascii="Century Schoolbook" w:hAnsi="Century Schoolbook"/>
          <w:sz w:val="27"/>
          <w:szCs w:val="27"/>
        </w:rPr>
        <w:t>.  I</w:t>
      </w:r>
      <w:r w:rsidRPr="009252C3" w:rsidR="000619C2">
        <w:rPr>
          <w:rFonts w:ascii="Century Schoolbook" w:hAnsi="Century Schoolbook"/>
          <w:sz w:val="27"/>
          <w:szCs w:val="27"/>
        </w:rPr>
        <w:t xml:space="preserve">n his teens </w:t>
      </w:r>
      <w:r w:rsidRPr="009252C3" w:rsidR="00446A6E">
        <w:rPr>
          <w:rFonts w:ascii="Century Schoolbook" w:hAnsi="Century Schoolbook"/>
          <w:sz w:val="27"/>
          <w:szCs w:val="27"/>
        </w:rPr>
        <w:t xml:space="preserve">defendant </w:t>
      </w:r>
      <w:r w:rsidRPr="009252C3" w:rsidR="000619C2">
        <w:rPr>
          <w:rFonts w:ascii="Century Schoolbook" w:hAnsi="Century Schoolbook"/>
          <w:sz w:val="27"/>
          <w:szCs w:val="27"/>
        </w:rPr>
        <w:t xml:space="preserve">fought with his father over </w:t>
      </w:r>
      <w:r w:rsidRPr="009252C3" w:rsidR="00C2096D">
        <w:rPr>
          <w:rFonts w:ascii="Century Schoolbook" w:hAnsi="Century Schoolbook"/>
          <w:sz w:val="27"/>
          <w:szCs w:val="27"/>
        </w:rPr>
        <w:t>the strict rules of their religion, over going to church</w:t>
      </w:r>
      <w:r w:rsidRPr="009252C3" w:rsidR="00446A6E">
        <w:rPr>
          <w:rFonts w:ascii="Century Schoolbook" w:hAnsi="Century Schoolbook"/>
          <w:sz w:val="27"/>
          <w:szCs w:val="27"/>
        </w:rPr>
        <w:t>,</w:t>
      </w:r>
      <w:r w:rsidRPr="009252C3" w:rsidR="00C2096D">
        <w:rPr>
          <w:rFonts w:ascii="Century Schoolbook" w:hAnsi="Century Schoolbook"/>
          <w:sz w:val="27"/>
          <w:szCs w:val="27"/>
        </w:rPr>
        <w:t xml:space="preserve"> and over </w:t>
      </w:r>
      <w:r w:rsidRPr="009252C3" w:rsidR="000619C2">
        <w:rPr>
          <w:rFonts w:ascii="Century Schoolbook" w:hAnsi="Century Schoolbook"/>
          <w:sz w:val="27"/>
          <w:szCs w:val="27"/>
        </w:rPr>
        <w:t>a boarding school he was sent t</w:t>
      </w:r>
      <w:r w:rsidRPr="009252C3" w:rsidR="00C2096D">
        <w:rPr>
          <w:rFonts w:ascii="Century Schoolbook" w:hAnsi="Century Schoolbook"/>
          <w:sz w:val="27"/>
          <w:szCs w:val="27"/>
        </w:rPr>
        <w:t>o</w:t>
      </w:r>
      <w:r w:rsidRPr="009252C3" w:rsidR="000619C2">
        <w:rPr>
          <w:rFonts w:ascii="Century Schoolbook" w:hAnsi="Century Schoolbook"/>
          <w:sz w:val="27"/>
          <w:szCs w:val="27"/>
        </w:rPr>
        <w:t>.</w:t>
      </w:r>
      <w:r w:rsidRPr="009252C3">
        <w:rPr>
          <w:rFonts w:ascii="Century Schoolbook" w:hAnsi="Century Schoolbook"/>
          <w:sz w:val="27"/>
          <w:szCs w:val="27"/>
        </w:rPr>
        <w:t xml:space="preserve">  </w:t>
      </w:r>
      <w:r w:rsidRPr="009252C3" w:rsidR="000619C2">
        <w:rPr>
          <w:rFonts w:ascii="Century Schoolbook" w:hAnsi="Century Schoolbook"/>
          <w:sz w:val="27"/>
          <w:szCs w:val="27"/>
        </w:rPr>
        <w:t xml:space="preserve">Defendant’s sister thought </w:t>
      </w:r>
      <w:r w:rsidRPr="009252C3" w:rsidR="00336A8C">
        <w:rPr>
          <w:rFonts w:ascii="Century Schoolbook" w:hAnsi="Century Schoolbook"/>
          <w:sz w:val="27"/>
          <w:szCs w:val="27"/>
        </w:rPr>
        <w:t>their</w:t>
      </w:r>
      <w:r w:rsidRPr="009252C3" w:rsidR="000619C2">
        <w:rPr>
          <w:rFonts w:ascii="Century Schoolbook" w:hAnsi="Century Schoolbook"/>
          <w:sz w:val="27"/>
          <w:szCs w:val="27"/>
        </w:rPr>
        <w:t xml:space="preserve"> father was overly strict and critical with </w:t>
      </w:r>
      <w:r w:rsidRPr="009252C3" w:rsidR="00F235CE">
        <w:rPr>
          <w:rFonts w:ascii="Century Schoolbook" w:hAnsi="Century Schoolbook"/>
          <w:sz w:val="27"/>
          <w:szCs w:val="27"/>
        </w:rPr>
        <w:t>defendant</w:t>
      </w:r>
      <w:r w:rsidRPr="009252C3" w:rsidR="000619C2">
        <w:rPr>
          <w:rFonts w:ascii="Century Schoolbook" w:hAnsi="Century Schoolbook"/>
          <w:sz w:val="27"/>
          <w:szCs w:val="27"/>
        </w:rPr>
        <w:t xml:space="preserve">.  </w:t>
      </w:r>
      <w:r w:rsidRPr="009252C3" w:rsidR="00446A6E">
        <w:rPr>
          <w:rFonts w:ascii="Century Schoolbook" w:hAnsi="Century Schoolbook"/>
          <w:sz w:val="27"/>
          <w:szCs w:val="27"/>
        </w:rPr>
        <w:t xml:space="preserve">Defendant’s </w:t>
      </w:r>
      <w:r w:rsidRPr="009252C3" w:rsidR="000619C2">
        <w:rPr>
          <w:rFonts w:ascii="Century Schoolbook" w:hAnsi="Century Schoolbook"/>
          <w:sz w:val="27"/>
          <w:szCs w:val="27"/>
        </w:rPr>
        <w:t>family kn</w:t>
      </w:r>
      <w:r w:rsidRPr="009252C3" w:rsidR="009D4F3E">
        <w:rPr>
          <w:rFonts w:ascii="Century Schoolbook" w:hAnsi="Century Schoolbook"/>
          <w:sz w:val="27"/>
          <w:szCs w:val="27"/>
        </w:rPr>
        <w:t>e</w:t>
      </w:r>
      <w:r w:rsidRPr="009252C3" w:rsidR="000619C2">
        <w:rPr>
          <w:rFonts w:ascii="Century Schoolbook" w:hAnsi="Century Schoolbook"/>
          <w:sz w:val="27"/>
          <w:szCs w:val="27"/>
        </w:rPr>
        <w:t xml:space="preserve">w he had a drug problem, </w:t>
      </w:r>
      <w:r w:rsidRPr="009252C3" w:rsidR="000D421F">
        <w:rPr>
          <w:rFonts w:ascii="Century Schoolbook" w:hAnsi="Century Schoolbook"/>
          <w:sz w:val="27"/>
          <w:szCs w:val="27"/>
        </w:rPr>
        <w:t xml:space="preserve">which began at the end of his high school years, </w:t>
      </w:r>
      <w:r w:rsidRPr="009252C3" w:rsidR="000619C2">
        <w:rPr>
          <w:rFonts w:ascii="Century Schoolbook" w:hAnsi="Century Schoolbook"/>
          <w:sz w:val="27"/>
          <w:szCs w:val="27"/>
        </w:rPr>
        <w:t>but they loved him.</w:t>
      </w:r>
    </w:p>
    <w:p w:rsidR="0049383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J</w:t>
      </w:r>
      <w:r w:rsidRPr="009252C3" w:rsidR="00A213F4">
        <w:rPr>
          <w:rFonts w:ascii="Century Schoolbook" w:hAnsi="Century Schoolbook"/>
          <w:sz w:val="27"/>
          <w:szCs w:val="27"/>
        </w:rPr>
        <w:t>ames Park, a</w:t>
      </w:r>
      <w:r w:rsidRPr="009252C3" w:rsidR="00C2096D">
        <w:rPr>
          <w:rFonts w:ascii="Century Schoolbook" w:hAnsi="Century Schoolbook"/>
          <w:sz w:val="27"/>
          <w:szCs w:val="27"/>
        </w:rPr>
        <w:t xml:space="preserve"> consultant on adult </w:t>
      </w:r>
      <w:r w:rsidRPr="009252C3" w:rsidR="00A213F4">
        <w:rPr>
          <w:rFonts w:ascii="Century Schoolbook" w:hAnsi="Century Schoolbook"/>
          <w:sz w:val="27"/>
          <w:szCs w:val="27"/>
        </w:rPr>
        <w:t xml:space="preserve">prison operations and prisoner classification, reviewed the records of defendant’s prior imprisonments, from 1986 to 1990 and 1993 to 1994.  Although defendant had four disciplinary actions, there were also work reports indicating he was productive, did not cause trouble, and could </w:t>
      </w:r>
      <w:r w:rsidRPr="009252C3" w:rsidR="00B6307B">
        <w:rPr>
          <w:rFonts w:ascii="Century Schoolbook" w:hAnsi="Century Schoolbook"/>
          <w:sz w:val="27"/>
          <w:szCs w:val="27"/>
        </w:rPr>
        <w:t xml:space="preserve">help train </w:t>
      </w:r>
      <w:r w:rsidRPr="009252C3" w:rsidR="00A213F4">
        <w:rPr>
          <w:rFonts w:ascii="Century Schoolbook" w:hAnsi="Century Schoolbook"/>
          <w:sz w:val="27"/>
          <w:szCs w:val="27"/>
        </w:rPr>
        <w:t>other inmates</w:t>
      </w:r>
      <w:r w:rsidRPr="009252C3" w:rsidR="00F322F5">
        <w:rPr>
          <w:rFonts w:ascii="Century Schoolbook" w:hAnsi="Century Schoolbook"/>
          <w:sz w:val="27"/>
          <w:szCs w:val="27"/>
        </w:rPr>
        <w:t xml:space="preserve"> and assist the employee-supervisor</w:t>
      </w:r>
      <w:r w:rsidRPr="009252C3" w:rsidR="00A213F4">
        <w:rPr>
          <w:rFonts w:ascii="Century Schoolbook" w:hAnsi="Century Schoolbook"/>
          <w:sz w:val="27"/>
          <w:szCs w:val="27"/>
        </w:rPr>
        <w:t>.  Park opined that defendant would make a positive adjustment to state prison confinement.</w:t>
      </w:r>
    </w:p>
    <w:p w:rsidR="00B76506" w:rsidRPr="009252C3" w:rsidP="00F7276C">
      <w:pPr>
        <w:pStyle w:val="Heading1"/>
        <w:spacing w:before="100" w:line="400" w:lineRule="exact"/>
        <w:rPr>
          <w:rFonts w:ascii="Century Schoolbook" w:hAnsi="Century Schoolbook"/>
          <w:sz w:val="27"/>
          <w:szCs w:val="27"/>
        </w:rPr>
      </w:pPr>
      <w:bookmarkStart w:id="5" w:name="_Toc3365807"/>
      <w:r w:rsidRPr="009252C3">
        <w:rPr>
          <w:rFonts w:ascii="Century Schoolbook" w:hAnsi="Century Schoolbook"/>
          <w:sz w:val="27"/>
          <w:szCs w:val="27"/>
        </w:rPr>
        <w:t>Discussion</w:t>
      </w:r>
      <w:bookmarkEnd w:id="5"/>
    </w:p>
    <w:p w:rsidR="00202C57" w:rsidRPr="009252C3" w:rsidP="009252C3">
      <w:pPr>
        <w:pStyle w:val="Heading2"/>
        <w:spacing w:before="100" w:line="400" w:lineRule="exact"/>
        <w:ind w:left="0" w:firstLine="720"/>
        <w:jc w:val="both"/>
        <w:rPr>
          <w:rFonts w:ascii="Century Schoolbook" w:hAnsi="Century Schoolbook"/>
          <w:sz w:val="27"/>
          <w:szCs w:val="27"/>
        </w:rPr>
      </w:pPr>
      <w:bookmarkStart w:id="6" w:name="_Toc3365808"/>
      <w:r w:rsidRPr="009252C3">
        <w:rPr>
          <w:rFonts w:ascii="Century Schoolbook" w:hAnsi="Century Schoolbook"/>
          <w:sz w:val="27"/>
          <w:szCs w:val="27"/>
        </w:rPr>
        <w:t>Guilt Phase Issues</w:t>
      </w:r>
      <w:bookmarkEnd w:id="6"/>
    </w:p>
    <w:p w:rsidR="00202C57" w:rsidRPr="009252C3" w:rsidP="009252C3">
      <w:pPr>
        <w:pStyle w:val="Heading3"/>
        <w:spacing w:before="100" w:line="400" w:lineRule="exact"/>
        <w:ind w:left="0" w:firstLine="720"/>
        <w:jc w:val="both"/>
        <w:rPr>
          <w:rFonts w:ascii="Century Schoolbook" w:hAnsi="Century Schoolbook"/>
          <w:b/>
          <w:i w:val="0"/>
          <w:sz w:val="27"/>
          <w:szCs w:val="27"/>
        </w:rPr>
      </w:pPr>
      <w:bookmarkStart w:id="7" w:name="_Toc3365809"/>
      <w:r w:rsidRPr="009252C3">
        <w:rPr>
          <w:rFonts w:ascii="Century Schoolbook" w:hAnsi="Century Schoolbook"/>
          <w:b/>
          <w:i w:val="0"/>
          <w:sz w:val="27"/>
          <w:szCs w:val="27"/>
        </w:rPr>
        <w:t xml:space="preserve">I.  In Camera Review of Medical and Psychological </w:t>
      </w:r>
      <w:r w:rsidR="00F7276C">
        <w:rPr>
          <w:rFonts w:ascii="Century Schoolbook" w:hAnsi="Century Schoolbook"/>
          <w:b/>
          <w:i w:val="0"/>
          <w:sz w:val="27"/>
          <w:szCs w:val="27"/>
        </w:rPr>
        <w:br/>
        <w:t xml:space="preserve">              </w:t>
      </w:r>
      <w:r w:rsidRPr="009252C3">
        <w:rPr>
          <w:rFonts w:ascii="Century Schoolbook" w:hAnsi="Century Schoolbook"/>
          <w:b/>
          <w:i w:val="0"/>
          <w:sz w:val="27"/>
          <w:szCs w:val="27"/>
        </w:rPr>
        <w:t>Records</w:t>
      </w:r>
      <w:bookmarkEnd w:id="7"/>
    </w:p>
    <w:p w:rsidR="00202C57"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Federal Bureau of Investigation (FBI) conducted part of the investigation into Michael’s death.  Certain FBI interview reports</w:t>
      </w:r>
      <w:r w:rsidRPr="009252C3" w:rsidR="005B54D6">
        <w:rPr>
          <w:rFonts w:ascii="Century Schoolbook" w:hAnsi="Century Schoolbook"/>
          <w:sz w:val="27"/>
          <w:szCs w:val="27"/>
        </w:rPr>
        <w:t xml:space="preserve"> produced before trial indicated that Michael had previously been molested by a </w:t>
      </w:r>
      <w:r w:rsidRPr="009252C3" w:rsidR="00C21DE7">
        <w:rPr>
          <w:rFonts w:ascii="Century Schoolbook" w:hAnsi="Century Schoolbook"/>
          <w:sz w:val="27"/>
          <w:szCs w:val="27"/>
        </w:rPr>
        <w:t>relative</w:t>
      </w:r>
      <w:r w:rsidRPr="009252C3" w:rsidR="005B54D6">
        <w:rPr>
          <w:rFonts w:ascii="Century Schoolbook" w:hAnsi="Century Schoolbook"/>
          <w:sz w:val="27"/>
          <w:szCs w:val="27"/>
        </w:rPr>
        <w:t>.</w:t>
      </w:r>
      <w:r w:rsidRPr="009252C3" w:rsidR="00B178E3">
        <w:rPr>
          <w:rFonts w:ascii="Century Schoolbook" w:hAnsi="Century Schoolbook"/>
          <w:sz w:val="27"/>
          <w:szCs w:val="27"/>
        </w:rPr>
        <w:t xml:space="preserve">  </w:t>
      </w:r>
      <w:r w:rsidRPr="009252C3" w:rsidR="003A7E4A">
        <w:rPr>
          <w:rFonts w:ascii="Century Schoolbook" w:hAnsi="Century Schoolbook"/>
          <w:sz w:val="27"/>
          <w:szCs w:val="27"/>
        </w:rPr>
        <w:t xml:space="preserve">On several occasions </w:t>
      </w:r>
      <w:r w:rsidRPr="009252C3" w:rsidR="005B54D6">
        <w:rPr>
          <w:rFonts w:ascii="Century Schoolbook" w:hAnsi="Century Schoolbook"/>
          <w:sz w:val="27"/>
          <w:szCs w:val="27"/>
        </w:rPr>
        <w:t xml:space="preserve">both </w:t>
      </w:r>
      <w:r w:rsidRPr="009252C3" w:rsidR="003A7E4A">
        <w:rPr>
          <w:rFonts w:ascii="Century Schoolbook" w:hAnsi="Century Schoolbook"/>
          <w:sz w:val="27"/>
          <w:szCs w:val="27"/>
        </w:rPr>
        <w:t xml:space="preserve">before and during trial, defendant subpoenaed and sought to compel production of </w:t>
      </w:r>
      <w:r w:rsidRPr="009252C3" w:rsidR="003E182F">
        <w:rPr>
          <w:rFonts w:ascii="Century Schoolbook" w:hAnsi="Century Schoolbook"/>
          <w:sz w:val="27"/>
          <w:szCs w:val="27"/>
        </w:rPr>
        <w:t xml:space="preserve">various </w:t>
      </w:r>
      <w:r w:rsidRPr="009252C3" w:rsidR="003A7E4A">
        <w:rPr>
          <w:rFonts w:ascii="Century Schoolbook" w:hAnsi="Century Schoolbook"/>
          <w:sz w:val="27"/>
          <w:szCs w:val="27"/>
        </w:rPr>
        <w:t xml:space="preserve">medical and psychological records </w:t>
      </w:r>
      <w:r w:rsidRPr="009252C3" w:rsidR="006F55E7">
        <w:rPr>
          <w:rFonts w:ascii="Century Schoolbook" w:hAnsi="Century Schoolbook"/>
          <w:sz w:val="27"/>
          <w:szCs w:val="27"/>
        </w:rPr>
        <w:t xml:space="preserve">concerning </w:t>
      </w:r>
      <w:r w:rsidRPr="009252C3" w:rsidR="00B178E3">
        <w:rPr>
          <w:rFonts w:ascii="Century Schoolbook" w:hAnsi="Century Schoolbook"/>
          <w:sz w:val="27"/>
          <w:szCs w:val="27"/>
        </w:rPr>
        <w:t>the prior molestation.  On the basis of the FBI interview report</w:t>
      </w:r>
      <w:r w:rsidRPr="009252C3" w:rsidR="005B54D6">
        <w:rPr>
          <w:rFonts w:ascii="Century Schoolbook" w:hAnsi="Century Schoolbook"/>
          <w:sz w:val="27"/>
          <w:szCs w:val="27"/>
        </w:rPr>
        <w:t>s</w:t>
      </w:r>
      <w:r w:rsidRPr="009252C3" w:rsidR="00B178E3">
        <w:rPr>
          <w:rFonts w:ascii="Century Schoolbook" w:hAnsi="Century Schoolbook"/>
          <w:sz w:val="27"/>
          <w:szCs w:val="27"/>
        </w:rPr>
        <w:t>, defense counsel asserted the molestation may have continued to the time of Michael’s death</w:t>
      </w:r>
      <w:r w:rsidRPr="009252C3" w:rsidR="006F55E7">
        <w:rPr>
          <w:rFonts w:ascii="Century Schoolbook" w:hAnsi="Century Schoolbook"/>
          <w:sz w:val="27"/>
          <w:szCs w:val="27"/>
        </w:rPr>
        <w:t>;</w:t>
      </w:r>
      <w:r w:rsidRPr="009252C3" w:rsidR="00B178E3">
        <w:rPr>
          <w:rFonts w:ascii="Century Schoolbook" w:hAnsi="Century Schoolbook"/>
          <w:sz w:val="27"/>
          <w:szCs w:val="27"/>
        </w:rPr>
        <w:t xml:space="preserve"> </w:t>
      </w:r>
      <w:r w:rsidRPr="009252C3" w:rsidR="0077667F">
        <w:rPr>
          <w:rFonts w:ascii="Century Schoolbook" w:hAnsi="Century Schoolbook"/>
          <w:sz w:val="27"/>
          <w:szCs w:val="27"/>
        </w:rPr>
        <w:t xml:space="preserve">counsel </w:t>
      </w:r>
      <w:r w:rsidRPr="009252C3" w:rsidR="003E182F">
        <w:rPr>
          <w:rFonts w:ascii="Century Schoolbook" w:hAnsi="Century Schoolbook"/>
          <w:sz w:val="27"/>
          <w:szCs w:val="27"/>
        </w:rPr>
        <w:t xml:space="preserve">further </w:t>
      </w:r>
      <w:r w:rsidRPr="009252C3" w:rsidR="0077667F">
        <w:rPr>
          <w:rFonts w:ascii="Century Schoolbook" w:hAnsi="Century Schoolbook"/>
          <w:sz w:val="27"/>
          <w:szCs w:val="27"/>
        </w:rPr>
        <w:t xml:space="preserve">argued that </w:t>
      </w:r>
      <w:r w:rsidRPr="009252C3" w:rsidR="006F55E7">
        <w:rPr>
          <w:rFonts w:ascii="Century Schoolbook" w:hAnsi="Century Schoolbook"/>
          <w:sz w:val="27"/>
          <w:szCs w:val="27"/>
        </w:rPr>
        <w:t xml:space="preserve">defendant had a due process right to the </w:t>
      </w:r>
      <w:r w:rsidRPr="009252C3" w:rsidR="00B178E3">
        <w:rPr>
          <w:rFonts w:ascii="Century Schoolbook" w:hAnsi="Century Schoolbook"/>
          <w:sz w:val="27"/>
          <w:szCs w:val="27"/>
        </w:rPr>
        <w:t xml:space="preserve">disclosure of the records </w:t>
      </w:r>
      <w:r w:rsidRPr="009252C3" w:rsidR="006F55E7">
        <w:rPr>
          <w:rFonts w:ascii="Century Schoolbook" w:hAnsi="Century Schoolbook"/>
          <w:sz w:val="27"/>
          <w:szCs w:val="27"/>
        </w:rPr>
        <w:t xml:space="preserve">because they </w:t>
      </w:r>
      <w:r w:rsidRPr="009252C3" w:rsidR="00B178E3">
        <w:rPr>
          <w:rFonts w:ascii="Century Schoolbook" w:hAnsi="Century Schoolbook"/>
          <w:sz w:val="27"/>
          <w:szCs w:val="27"/>
        </w:rPr>
        <w:t>might lead to development of exculpatory evidence</w:t>
      </w:r>
      <w:r w:rsidRPr="009252C3" w:rsidR="006F55E7">
        <w:rPr>
          <w:rFonts w:ascii="Century Schoolbook" w:hAnsi="Century Schoolbook"/>
          <w:sz w:val="27"/>
          <w:szCs w:val="27"/>
        </w:rPr>
        <w:t xml:space="preserve">. </w:t>
      </w:r>
      <w:r w:rsidRPr="009252C3" w:rsidR="00B178E3">
        <w:rPr>
          <w:rFonts w:ascii="Century Schoolbook" w:hAnsi="Century Schoolbook"/>
          <w:sz w:val="27"/>
          <w:szCs w:val="27"/>
        </w:rPr>
        <w:t xml:space="preserve"> </w:t>
      </w:r>
      <w:r w:rsidRPr="009252C3" w:rsidR="0095349D">
        <w:rPr>
          <w:rFonts w:ascii="Century Schoolbook" w:hAnsi="Century Schoolbook"/>
          <w:sz w:val="27"/>
          <w:szCs w:val="27"/>
        </w:rPr>
        <w:t xml:space="preserve">Seeking the records again </w:t>
      </w:r>
      <w:r w:rsidRPr="009252C3" w:rsidR="00CC718E">
        <w:rPr>
          <w:rFonts w:ascii="Century Schoolbook" w:hAnsi="Century Schoolbook"/>
          <w:sz w:val="27"/>
          <w:szCs w:val="27"/>
        </w:rPr>
        <w:t>before</w:t>
      </w:r>
      <w:r w:rsidRPr="009252C3" w:rsidR="0095349D">
        <w:rPr>
          <w:rFonts w:ascii="Century Schoolbook" w:hAnsi="Century Schoolbook"/>
          <w:sz w:val="27"/>
          <w:szCs w:val="27"/>
        </w:rPr>
        <w:t xml:space="preserve"> the second penalty trial, counsel also argued they were potentially relevant to impeach Dr.</w:t>
      </w:r>
      <w:r w:rsidRPr="009252C3" w:rsidR="002B468B">
        <w:rPr>
          <w:rFonts w:ascii="Century Schoolbook" w:hAnsi="Century Schoolbook"/>
          <w:sz w:val="27"/>
          <w:szCs w:val="27"/>
        </w:rPr>
        <w:t> </w:t>
      </w:r>
      <w:r w:rsidRPr="009252C3" w:rsidR="0095349D">
        <w:rPr>
          <w:rFonts w:ascii="Century Schoolbook" w:hAnsi="Century Schoolbook"/>
          <w:sz w:val="27"/>
          <w:szCs w:val="27"/>
        </w:rPr>
        <w:t>Dib</w:t>
      </w:r>
      <w:r w:rsidRPr="009252C3" w:rsidR="00242A5B">
        <w:rPr>
          <w:rFonts w:ascii="Century Schoolbook" w:hAnsi="Century Schoolbook"/>
          <w:sz w:val="27"/>
          <w:szCs w:val="27"/>
        </w:rPr>
        <w:t>d</w:t>
      </w:r>
      <w:r w:rsidRPr="009252C3" w:rsidR="0095349D">
        <w:rPr>
          <w:rFonts w:ascii="Century Schoolbook" w:hAnsi="Century Schoolbook"/>
          <w:sz w:val="27"/>
          <w:szCs w:val="27"/>
        </w:rPr>
        <w:t>in</w:t>
      </w:r>
      <w:r w:rsidRPr="009252C3" w:rsidR="00CC309C">
        <w:rPr>
          <w:rFonts w:ascii="Century Schoolbook" w:hAnsi="Century Schoolbook"/>
          <w:sz w:val="27"/>
          <w:szCs w:val="27"/>
        </w:rPr>
        <w:t>, the autopsy physician,</w:t>
      </w:r>
      <w:r w:rsidRPr="009252C3" w:rsidR="0095349D">
        <w:rPr>
          <w:rFonts w:ascii="Century Schoolbook" w:hAnsi="Century Schoolbook"/>
          <w:sz w:val="27"/>
          <w:szCs w:val="27"/>
        </w:rPr>
        <w:t xml:space="preserve"> and Tina Lyons, Michael’s aunt, </w:t>
      </w:r>
      <w:r w:rsidRPr="009252C3" w:rsidR="00CC309C">
        <w:rPr>
          <w:rFonts w:ascii="Century Schoolbook" w:hAnsi="Century Schoolbook"/>
          <w:sz w:val="27"/>
          <w:szCs w:val="27"/>
        </w:rPr>
        <w:t xml:space="preserve">a </w:t>
      </w:r>
      <w:r w:rsidRPr="009252C3" w:rsidR="0095349D">
        <w:rPr>
          <w:rFonts w:ascii="Century Schoolbook" w:hAnsi="Century Schoolbook"/>
          <w:sz w:val="27"/>
          <w:szCs w:val="27"/>
        </w:rPr>
        <w:t xml:space="preserve">penalty phase </w:t>
      </w:r>
      <w:r w:rsidRPr="009252C3" w:rsidR="00336A8C">
        <w:rPr>
          <w:rFonts w:ascii="Century Schoolbook" w:hAnsi="Century Schoolbook"/>
          <w:sz w:val="27"/>
          <w:szCs w:val="27"/>
        </w:rPr>
        <w:t xml:space="preserve">victim impact </w:t>
      </w:r>
      <w:r w:rsidRPr="009252C3" w:rsidR="0095349D">
        <w:rPr>
          <w:rFonts w:ascii="Century Schoolbook" w:hAnsi="Century Schoolbook"/>
          <w:sz w:val="27"/>
          <w:szCs w:val="27"/>
        </w:rPr>
        <w:t>witness.</w:t>
      </w:r>
    </w:p>
    <w:p w:rsidR="00202C57"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Before trial, the Sutter County Superior Court reviewed the records in camera, weighed </w:t>
      </w:r>
      <w:r w:rsidRPr="009252C3" w:rsidR="00255148">
        <w:rPr>
          <w:rFonts w:ascii="Century Schoolbook" w:hAnsi="Century Schoolbook"/>
          <w:sz w:val="27"/>
          <w:szCs w:val="27"/>
        </w:rPr>
        <w:t>their</w:t>
      </w:r>
      <w:r w:rsidRPr="009252C3">
        <w:rPr>
          <w:rFonts w:ascii="Century Schoolbook" w:hAnsi="Century Schoolbook"/>
          <w:sz w:val="27"/>
          <w:szCs w:val="27"/>
        </w:rPr>
        <w:t xml:space="preserve"> value to defendant’s exercise of his constitutional rights against the various evidentiary privileges </w:t>
      </w:r>
      <w:r w:rsidRPr="009252C3" w:rsidR="00287CA9">
        <w:rPr>
          <w:rFonts w:ascii="Century Schoolbook" w:hAnsi="Century Schoolbook"/>
          <w:sz w:val="27"/>
          <w:szCs w:val="27"/>
        </w:rPr>
        <w:t xml:space="preserve">and privacy interests </w:t>
      </w:r>
      <w:r w:rsidRPr="009252C3">
        <w:rPr>
          <w:rFonts w:ascii="Century Schoolbook" w:hAnsi="Century Schoolbook"/>
          <w:sz w:val="27"/>
          <w:szCs w:val="27"/>
        </w:rPr>
        <w:t>asserted, including the psychotherapist</w:t>
      </w:r>
      <w:r w:rsidRPr="009252C3" w:rsidR="006F55E7">
        <w:rPr>
          <w:rFonts w:ascii="Century Schoolbook" w:hAnsi="Century Schoolbook"/>
          <w:sz w:val="27"/>
          <w:szCs w:val="27"/>
        </w:rPr>
        <w:noBreakHyphen/>
      </w:r>
      <w:r w:rsidRPr="009252C3">
        <w:rPr>
          <w:rFonts w:ascii="Century Schoolbook" w:hAnsi="Century Schoolbook"/>
          <w:sz w:val="27"/>
          <w:szCs w:val="27"/>
        </w:rPr>
        <w:t xml:space="preserve">patient privilege, and </w:t>
      </w:r>
      <w:r w:rsidRPr="009252C3" w:rsidR="00C21DE7">
        <w:rPr>
          <w:rFonts w:ascii="Century Schoolbook" w:hAnsi="Century Schoolbook"/>
          <w:sz w:val="27"/>
          <w:szCs w:val="27"/>
        </w:rPr>
        <w:t xml:space="preserve">denied </w:t>
      </w:r>
      <w:r w:rsidRPr="009252C3" w:rsidR="00C63284">
        <w:rPr>
          <w:rFonts w:ascii="Century Schoolbook" w:hAnsi="Century Schoolbook"/>
          <w:sz w:val="27"/>
          <w:szCs w:val="27"/>
        </w:rPr>
        <w:t xml:space="preserve">defendant’s request to compel discovery of the records.  Noting the documents were remote in time from Michael’s murder, the court </w:t>
      </w:r>
      <w:r w:rsidRPr="009252C3">
        <w:rPr>
          <w:rFonts w:ascii="Century Schoolbook" w:hAnsi="Century Schoolbook"/>
          <w:sz w:val="27"/>
          <w:szCs w:val="27"/>
        </w:rPr>
        <w:t>found nothing that would assist defendant in his presentation of a defense</w:t>
      </w:r>
      <w:r w:rsidRPr="009252C3" w:rsidR="00086C71">
        <w:rPr>
          <w:rFonts w:ascii="Century Schoolbook" w:hAnsi="Century Schoolbook"/>
          <w:sz w:val="27"/>
          <w:szCs w:val="27"/>
        </w:rPr>
        <w:t xml:space="preserve"> or confrontation of witnesses</w:t>
      </w:r>
      <w:r w:rsidRPr="009252C3" w:rsidR="00CC718E">
        <w:rPr>
          <w:rFonts w:ascii="Century Schoolbook" w:hAnsi="Century Schoolbook"/>
          <w:sz w:val="27"/>
          <w:szCs w:val="27"/>
        </w:rPr>
        <w:t xml:space="preserve">. </w:t>
      </w:r>
      <w:r w:rsidRPr="009252C3" w:rsidR="00086C71">
        <w:rPr>
          <w:rFonts w:ascii="Century Schoolbook" w:hAnsi="Century Schoolbook"/>
          <w:sz w:val="27"/>
          <w:szCs w:val="27"/>
        </w:rPr>
        <w:t xml:space="preserve"> The court denied the motion subject to renewal during trial if the material became relevant</w:t>
      </w:r>
      <w:r w:rsidRPr="009252C3" w:rsidR="00C63284">
        <w:rPr>
          <w:rFonts w:ascii="Century Schoolbook" w:hAnsi="Century Schoolbook"/>
          <w:sz w:val="27"/>
          <w:szCs w:val="27"/>
        </w:rPr>
        <w:t>, however</w:t>
      </w:r>
      <w:r w:rsidRPr="009252C3" w:rsidR="00086C71">
        <w:rPr>
          <w:rFonts w:ascii="Century Schoolbook" w:hAnsi="Century Schoolbook"/>
          <w:sz w:val="27"/>
          <w:szCs w:val="27"/>
        </w:rPr>
        <w:t xml:space="preserve">.  </w:t>
      </w:r>
      <w:r w:rsidRPr="009252C3" w:rsidR="0095349D">
        <w:rPr>
          <w:rFonts w:ascii="Century Schoolbook" w:hAnsi="Century Schoolbook"/>
          <w:sz w:val="27"/>
          <w:szCs w:val="27"/>
        </w:rPr>
        <w:t xml:space="preserve">During trial, the Sacramento County Superior Court also reviewed the materials and, on two occasions, </w:t>
      </w:r>
      <w:r w:rsidRPr="009252C3" w:rsidR="00287CA9">
        <w:rPr>
          <w:rFonts w:ascii="Century Schoolbook" w:hAnsi="Century Schoolbook"/>
          <w:sz w:val="27"/>
          <w:szCs w:val="27"/>
        </w:rPr>
        <w:t xml:space="preserve">again </w:t>
      </w:r>
      <w:r w:rsidRPr="009252C3" w:rsidR="0095349D">
        <w:rPr>
          <w:rFonts w:ascii="Century Schoolbook" w:hAnsi="Century Schoolbook"/>
          <w:sz w:val="27"/>
          <w:szCs w:val="27"/>
        </w:rPr>
        <w:t>denied defense motions to compel their discovery</w:t>
      </w:r>
      <w:r w:rsidRPr="009252C3" w:rsidR="00AF170A">
        <w:rPr>
          <w:rFonts w:ascii="Century Schoolbook" w:hAnsi="Century Schoolbook"/>
          <w:sz w:val="27"/>
          <w:szCs w:val="27"/>
        </w:rPr>
        <w:t xml:space="preserve"> on the ground that nothing in the records would assist the defense</w:t>
      </w:r>
      <w:r w:rsidRPr="009252C3" w:rsidR="0095349D">
        <w:rPr>
          <w:rFonts w:ascii="Century Schoolbook" w:hAnsi="Century Schoolbook"/>
          <w:sz w:val="27"/>
          <w:szCs w:val="27"/>
        </w:rPr>
        <w:t>.</w:t>
      </w:r>
    </w:p>
    <w:p w:rsidR="00B431CE"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the </w:t>
      </w:r>
      <w:r w:rsidRPr="009252C3" w:rsidR="00924D1B">
        <w:rPr>
          <w:rFonts w:ascii="Century Schoolbook" w:hAnsi="Century Schoolbook"/>
          <w:sz w:val="27"/>
          <w:szCs w:val="27"/>
        </w:rPr>
        <w:t xml:space="preserve">trial court’s refusal to order production of the medical and psychological records deprived him of </w:t>
      </w:r>
      <w:r w:rsidRPr="009252C3" w:rsidR="00336A8C">
        <w:rPr>
          <w:rFonts w:ascii="Century Schoolbook" w:hAnsi="Century Schoolbook"/>
          <w:sz w:val="27"/>
          <w:szCs w:val="27"/>
        </w:rPr>
        <w:t xml:space="preserve">his rights to </w:t>
      </w:r>
      <w:r w:rsidRPr="009252C3" w:rsidR="00924D1B">
        <w:rPr>
          <w:rFonts w:ascii="Century Schoolbook" w:hAnsi="Century Schoolbook"/>
          <w:sz w:val="27"/>
          <w:szCs w:val="27"/>
        </w:rPr>
        <w:t>due process</w:t>
      </w:r>
      <w:r w:rsidRPr="009252C3" w:rsidR="0086121C">
        <w:rPr>
          <w:rFonts w:ascii="Century Schoolbook" w:hAnsi="Century Schoolbook"/>
          <w:sz w:val="27"/>
          <w:szCs w:val="27"/>
        </w:rPr>
        <w:t xml:space="preserve">, </w:t>
      </w:r>
      <w:r w:rsidRPr="009252C3" w:rsidR="00336A8C">
        <w:rPr>
          <w:rFonts w:ascii="Century Schoolbook" w:hAnsi="Century Schoolbook"/>
          <w:sz w:val="27"/>
          <w:szCs w:val="27"/>
        </w:rPr>
        <w:t xml:space="preserve">to confront </w:t>
      </w:r>
      <w:r w:rsidRPr="009252C3" w:rsidR="00924D1B">
        <w:rPr>
          <w:rFonts w:ascii="Century Schoolbook" w:hAnsi="Century Schoolbook"/>
          <w:sz w:val="27"/>
          <w:szCs w:val="27"/>
        </w:rPr>
        <w:t>witness</w:t>
      </w:r>
      <w:r w:rsidRPr="009252C3" w:rsidR="00336A8C">
        <w:rPr>
          <w:rFonts w:ascii="Century Schoolbook" w:hAnsi="Century Schoolbook"/>
          <w:sz w:val="27"/>
          <w:szCs w:val="27"/>
        </w:rPr>
        <w:t>es</w:t>
      </w:r>
      <w:r w:rsidRPr="009252C3" w:rsidR="00C63284">
        <w:rPr>
          <w:rFonts w:ascii="Century Schoolbook" w:hAnsi="Century Schoolbook"/>
          <w:sz w:val="27"/>
          <w:szCs w:val="27"/>
        </w:rPr>
        <w:t>,</w:t>
      </w:r>
      <w:r w:rsidRPr="009252C3" w:rsidR="00336A8C">
        <w:rPr>
          <w:rFonts w:ascii="Century Schoolbook" w:hAnsi="Century Schoolbook"/>
          <w:sz w:val="27"/>
          <w:szCs w:val="27"/>
        </w:rPr>
        <w:t xml:space="preserve"> and to </w:t>
      </w:r>
      <w:r w:rsidRPr="009252C3" w:rsidR="00924D1B">
        <w:rPr>
          <w:rFonts w:ascii="Century Schoolbook" w:hAnsi="Century Schoolbook"/>
          <w:sz w:val="27"/>
          <w:szCs w:val="27"/>
        </w:rPr>
        <w:t xml:space="preserve">present a defense.  Without access to the materials, defendant </w:t>
      </w:r>
      <w:r w:rsidRPr="009252C3" w:rsidR="0003075A">
        <w:rPr>
          <w:rFonts w:ascii="Century Schoolbook" w:hAnsi="Century Schoolbook"/>
          <w:sz w:val="27"/>
          <w:szCs w:val="27"/>
        </w:rPr>
        <w:t xml:space="preserve">acknowledges he </w:t>
      </w:r>
      <w:r w:rsidRPr="009252C3" w:rsidR="00924D1B">
        <w:rPr>
          <w:rFonts w:ascii="Century Schoolbook" w:hAnsi="Century Schoolbook"/>
          <w:sz w:val="27"/>
          <w:szCs w:val="27"/>
        </w:rPr>
        <w:t xml:space="preserve">cannot argue their specific relevance, but </w:t>
      </w:r>
      <w:r w:rsidRPr="009252C3" w:rsidR="003B176F">
        <w:rPr>
          <w:rFonts w:ascii="Century Schoolbook" w:hAnsi="Century Schoolbook"/>
          <w:sz w:val="27"/>
          <w:szCs w:val="27"/>
        </w:rPr>
        <w:t xml:space="preserve">he </w:t>
      </w:r>
      <w:r w:rsidRPr="009252C3" w:rsidR="00924D1B">
        <w:rPr>
          <w:rFonts w:ascii="Century Schoolbook" w:hAnsi="Century Schoolbook"/>
          <w:sz w:val="27"/>
          <w:szCs w:val="27"/>
        </w:rPr>
        <w:t xml:space="preserve">asserts they </w:t>
      </w:r>
      <w:r w:rsidRPr="009252C3" w:rsidR="0003075A">
        <w:rPr>
          <w:rFonts w:ascii="Century Schoolbook" w:hAnsi="Century Schoolbook"/>
          <w:sz w:val="27"/>
          <w:szCs w:val="27"/>
        </w:rPr>
        <w:t>may</w:t>
      </w:r>
      <w:r w:rsidRPr="009252C3" w:rsidR="00924D1B">
        <w:rPr>
          <w:rFonts w:ascii="Century Schoolbook" w:hAnsi="Century Schoolbook"/>
          <w:sz w:val="27"/>
          <w:szCs w:val="27"/>
        </w:rPr>
        <w:t xml:space="preserve"> have been relevant to show the existence of </w:t>
      </w:r>
      <w:r w:rsidRPr="009252C3" w:rsidR="0003075A">
        <w:rPr>
          <w:rFonts w:ascii="Century Schoolbook" w:hAnsi="Century Schoolbook"/>
          <w:sz w:val="27"/>
          <w:szCs w:val="27"/>
        </w:rPr>
        <w:t xml:space="preserve"> </w:t>
      </w:r>
      <w:r w:rsidRPr="009252C3" w:rsidR="00924D1B">
        <w:rPr>
          <w:rFonts w:ascii="Century Schoolbook" w:hAnsi="Century Schoolbook"/>
          <w:sz w:val="27"/>
          <w:szCs w:val="27"/>
        </w:rPr>
        <w:t xml:space="preserve">“other molestations and suspects” and to impeach “the rosy picture painted of Michael and his family in the victim impact portion of the penalty phase.”  </w:t>
      </w:r>
      <w:r w:rsidRPr="009252C3" w:rsidR="00576251">
        <w:rPr>
          <w:rFonts w:ascii="Century Schoolbook" w:hAnsi="Century Schoolbook"/>
          <w:sz w:val="27"/>
          <w:szCs w:val="27"/>
        </w:rPr>
        <w:t>He requests</w:t>
      </w:r>
      <w:r w:rsidRPr="009252C3">
        <w:rPr>
          <w:rFonts w:ascii="Century Schoolbook" w:hAnsi="Century Schoolbook"/>
          <w:sz w:val="27"/>
          <w:szCs w:val="27"/>
        </w:rPr>
        <w:t xml:space="preserve"> that this court review the materials, which are under seal, to determine if any of them should have been produced.  </w:t>
      </w:r>
      <w:r w:rsidRPr="009252C3" w:rsidR="00576251">
        <w:rPr>
          <w:rFonts w:ascii="Century Schoolbook" w:hAnsi="Century Schoolbook"/>
          <w:sz w:val="27"/>
          <w:szCs w:val="27"/>
        </w:rPr>
        <w:t>The Attorney General does not oppose the reques</w:t>
      </w:r>
      <w:r w:rsidRPr="009252C3" w:rsidR="002408B2">
        <w:rPr>
          <w:rFonts w:ascii="Century Schoolbook" w:hAnsi="Century Schoolbook"/>
          <w:sz w:val="27"/>
          <w:szCs w:val="27"/>
        </w:rPr>
        <w:t>t</w:t>
      </w:r>
      <w:r w:rsidRPr="009252C3" w:rsidR="0086121C">
        <w:rPr>
          <w:rFonts w:ascii="Century Schoolbook" w:hAnsi="Century Schoolbook"/>
          <w:sz w:val="27"/>
          <w:szCs w:val="27"/>
        </w:rPr>
        <w:t>, and we agree that review of the sealed materials is appropriate to determine what relevance, if any, they bear to the posited defenses or impeachment.</w:t>
      </w:r>
      <w:r w:rsidRPr="009252C3" w:rsidR="00576251">
        <w:rPr>
          <w:rFonts w:ascii="Century Schoolbook" w:hAnsi="Century Schoolbook"/>
          <w:sz w:val="27"/>
          <w:szCs w:val="27"/>
        </w:rPr>
        <w:t xml:space="preserve">  </w:t>
      </w:r>
      <w:r w:rsidRPr="009252C3">
        <w:rPr>
          <w:rFonts w:ascii="Century Schoolbook" w:hAnsi="Century Schoolbook"/>
          <w:sz w:val="27"/>
          <w:szCs w:val="27"/>
        </w:rPr>
        <w:t xml:space="preserve">(See </w:t>
      </w:r>
      <w:r w:rsidRPr="009252C3">
        <w:rPr>
          <w:rFonts w:ascii="Century Schoolbook" w:hAnsi="Century Schoolbook"/>
          <w:i/>
          <w:iCs/>
          <w:sz w:val="27"/>
          <w:szCs w:val="27"/>
        </w:rPr>
        <w:t xml:space="preserve">People </w:t>
      </w:r>
      <w:r w:rsidRPr="009252C3">
        <w:rPr>
          <w:rFonts w:ascii="Century Schoolbook" w:hAnsi="Century Schoolbook"/>
          <w:i/>
          <w:sz w:val="27"/>
          <w:szCs w:val="27"/>
        </w:rPr>
        <w:t>v.</w:t>
      </w:r>
      <w:r w:rsidRPr="009252C3">
        <w:rPr>
          <w:rFonts w:ascii="Century Schoolbook" w:hAnsi="Century Schoolbook"/>
          <w:sz w:val="27"/>
          <w:szCs w:val="27"/>
        </w:rPr>
        <w:t xml:space="preserve"> </w:t>
      </w:r>
      <w:r w:rsidRPr="009252C3">
        <w:rPr>
          <w:rFonts w:ascii="Century Schoolbook" w:hAnsi="Century Schoolbook"/>
          <w:i/>
          <w:iCs/>
          <w:sz w:val="27"/>
          <w:szCs w:val="27"/>
        </w:rPr>
        <w:t xml:space="preserve">Gurule </w:t>
      </w:r>
      <w:r w:rsidRPr="009252C3">
        <w:rPr>
          <w:rFonts w:ascii="Century Schoolbook" w:hAnsi="Century Schoolbook"/>
          <w:sz w:val="27"/>
          <w:szCs w:val="27"/>
        </w:rPr>
        <w:t>(2002) 28 Ca</w:t>
      </w:r>
      <w:r w:rsidRPr="009252C3" w:rsidR="00242A5B">
        <w:rPr>
          <w:rFonts w:ascii="Century Schoolbook" w:hAnsi="Century Schoolbook"/>
          <w:sz w:val="27"/>
          <w:szCs w:val="27"/>
        </w:rPr>
        <w:t>l</w:t>
      </w:r>
      <w:r w:rsidRPr="009252C3">
        <w:rPr>
          <w:rFonts w:ascii="Century Schoolbook" w:hAnsi="Century Schoolbook"/>
          <w:sz w:val="27"/>
          <w:szCs w:val="27"/>
        </w:rPr>
        <w:t xml:space="preserve">.4th 557, </w:t>
      </w:r>
      <w:r w:rsidRPr="009252C3" w:rsidR="00CC309C">
        <w:rPr>
          <w:rFonts w:ascii="Century Schoolbook" w:hAnsi="Century Schoolbook"/>
          <w:sz w:val="27"/>
          <w:szCs w:val="27"/>
        </w:rPr>
        <w:t>592</w:t>
      </w:r>
      <w:r w:rsidRPr="009252C3" w:rsidR="002B468B">
        <w:rPr>
          <w:rFonts w:ascii="Century Schoolbook" w:hAnsi="Century Schoolbook"/>
          <w:sz w:val="27"/>
          <w:szCs w:val="27"/>
        </w:rPr>
        <w:t>–</w:t>
      </w:r>
      <w:r w:rsidRPr="009252C3">
        <w:rPr>
          <w:rFonts w:ascii="Century Schoolbook" w:hAnsi="Century Schoolbook"/>
          <w:sz w:val="27"/>
          <w:szCs w:val="27"/>
        </w:rPr>
        <w:t xml:space="preserve">595; </w:t>
      </w:r>
      <w:r w:rsidRPr="009252C3">
        <w:rPr>
          <w:rFonts w:ascii="Century Schoolbook" w:hAnsi="Century Schoolbook"/>
          <w:i/>
          <w:iCs/>
          <w:sz w:val="27"/>
          <w:szCs w:val="27"/>
        </w:rPr>
        <w:t xml:space="preserve">People v. Hammon </w:t>
      </w:r>
      <w:r w:rsidRPr="009252C3">
        <w:rPr>
          <w:rFonts w:ascii="Century Schoolbook" w:hAnsi="Century Schoolbook"/>
          <w:sz w:val="27"/>
          <w:szCs w:val="27"/>
        </w:rPr>
        <w:t xml:space="preserve">(1997) 15 Cal.4th 1117, </w:t>
      </w:r>
      <w:r w:rsidRPr="009252C3">
        <w:rPr>
          <w:rFonts w:ascii="Century Schoolbook" w:hAnsi="Century Schoolbook"/>
          <w:sz w:val="27"/>
          <w:szCs w:val="27"/>
        </w:rPr>
        <w:t>1122</w:t>
      </w:r>
      <w:r w:rsidRPr="009252C3" w:rsidR="002B468B">
        <w:rPr>
          <w:rFonts w:ascii="Century Schoolbook" w:hAnsi="Century Schoolbook"/>
          <w:sz w:val="27"/>
          <w:szCs w:val="27"/>
        </w:rPr>
        <w:t>–</w:t>
      </w:r>
      <w:r w:rsidRPr="009252C3">
        <w:rPr>
          <w:rFonts w:ascii="Century Schoolbook" w:hAnsi="Century Schoolbook"/>
          <w:sz w:val="27"/>
          <w:szCs w:val="27"/>
        </w:rPr>
        <w:t>1128;</w:t>
      </w:r>
      <w:r w:rsidRPr="009252C3">
        <w:rPr>
          <w:rFonts w:ascii="Century Schoolbook" w:hAnsi="Century Schoolbook"/>
          <w:sz w:val="27"/>
          <w:szCs w:val="27"/>
        </w:rPr>
        <w:t xml:space="preserve"> </w:t>
      </w:r>
      <w:r w:rsidRPr="009252C3">
        <w:rPr>
          <w:rFonts w:ascii="Century Schoolbook" w:hAnsi="Century Schoolbook"/>
          <w:i/>
          <w:iCs/>
          <w:sz w:val="27"/>
          <w:szCs w:val="27"/>
        </w:rPr>
        <w:t xml:space="preserve">People </w:t>
      </w:r>
      <w:r w:rsidRPr="009252C3">
        <w:rPr>
          <w:rFonts w:ascii="Century Schoolbook" w:hAnsi="Century Schoolbook"/>
          <w:i/>
          <w:sz w:val="27"/>
          <w:szCs w:val="27"/>
        </w:rPr>
        <w:t>v.</w:t>
      </w:r>
      <w:r w:rsidRPr="009252C3">
        <w:rPr>
          <w:rFonts w:ascii="Century Schoolbook" w:hAnsi="Century Schoolbook"/>
          <w:sz w:val="27"/>
          <w:szCs w:val="27"/>
        </w:rPr>
        <w:t xml:space="preserve"> </w:t>
      </w:r>
      <w:r w:rsidRPr="009252C3">
        <w:rPr>
          <w:rFonts w:ascii="Century Schoolbook" w:hAnsi="Century Schoolbook"/>
          <w:i/>
          <w:iCs/>
          <w:sz w:val="27"/>
          <w:szCs w:val="27"/>
        </w:rPr>
        <w:t xml:space="preserve">Webb </w:t>
      </w:r>
      <w:r w:rsidRPr="009252C3">
        <w:rPr>
          <w:rFonts w:ascii="Century Schoolbook" w:hAnsi="Century Schoolbook"/>
          <w:sz w:val="27"/>
          <w:szCs w:val="27"/>
        </w:rPr>
        <w:t>(1993) 6 Ca</w:t>
      </w:r>
      <w:r w:rsidRPr="009252C3" w:rsidR="00242A5B">
        <w:rPr>
          <w:rFonts w:ascii="Century Schoolbook" w:hAnsi="Century Schoolbook"/>
          <w:sz w:val="27"/>
          <w:szCs w:val="27"/>
        </w:rPr>
        <w:t>l</w:t>
      </w:r>
      <w:r w:rsidRPr="009252C3">
        <w:rPr>
          <w:rFonts w:ascii="Century Schoolbook" w:hAnsi="Century Schoolbook"/>
          <w:sz w:val="27"/>
          <w:szCs w:val="27"/>
        </w:rPr>
        <w:t xml:space="preserve">.4th 494, </w:t>
      </w:r>
      <w:r w:rsidRPr="009252C3">
        <w:rPr>
          <w:rFonts w:ascii="Century Schoolbook" w:hAnsi="Century Schoolbook"/>
          <w:sz w:val="27"/>
          <w:szCs w:val="27"/>
        </w:rPr>
        <w:t>517</w:t>
      </w:r>
      <w:r w:rsidRPr="009252C3" w:rsidR="002B468B">
        <w:rPr>
          <w:rFonts w:ascii="Century Schoolbook" w:hAnsi="Century Schoolbook"/>
          <w:sz w:val="27"/>
          <w:szCs w:val="27"/>
        </w:rPr>
        <w:t>–</w:t>
      </w:r>
      <w:r w:rsidRPr="009252C3">
        <w:rPr>
          <w:rFonts w:ascii="Century Schoolbook" w:hAnsi="Century Schoolbook"/>
          <w:sz w:val="27"/>
          <w:szCs w:val="27"/>
        </w:rPr>
        <w:t>518</w:t>
      </w:r>
      <w:r w:rsidRPr="009252C3">
        <w:rPr>
          <w:rFonts w:ascii="Century Schoolbook" w:hAnsi="Century Schoolbook"/>
          <w:sz w:val="27"/>
          <w:szCs w:val="27"/>
        </w:rPr>
        <w:t>.)</w:t>
      </w:r>
      <w:r>
        <w:rPr>
          <w:rStyle w:val="FootnoteReference"/>
          <w:rFonts w:ascii="Century Schoolbook" w:hAnsi="Century Schoolbook"/>
          <w:sz w:val="27"/>
          <w:szCs w:val="27"/>
          <w:vertAlign w:val="superscript"/>
        </w:rPr>
        <w:footnoteReference w:id="5"/>
      </w:r>
    </w:p>
    <w:p w:rsidR="0003075A"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After our own review of the sealed records, we </w:t>
      </w:r>
      <w:r w:rsidRPr="009252C3" w:rsidR="00F27111">
        <w:rPr>
          <w:rFonts w:ascii="Century Schoolbook" w:hAnsi="Century Schoolbook"/>
          <w:sz w:val="27"/>
          <w:szCs w:val="27"/>
        </w:rPr>
        <w:t>agree with the</w:t>
      </w:r>
      <w:r w:rsidRPr="009252C3" w:rsidR="00135FBB">
        <w:rPr>
          <w:rFonts w:ascii="Century Schoolbook" w:hAnsi="Century Schoolbook"/>
          <w:sz w:val="27"/>
          <w:szCs w:val="27"/>
        </w:rPr>
        <w:t xml:space="preserve"> two</w:t>
      </w:r>
      <w:r w:rsidRPr="009252C3" w:rsidR="00F27111">
        <w:rPr>
          <w:rFonts w:ascii="Century Schoolbook" w:hAnsi="Century Schoolbook"/>
          <w:sz w:val="27"/>
          <w:szCs w:val="27"/>
        </w:rPr>
        <w:t xml:space="preserve"> </w:t>
      </w:r>
      <w:r w:rsidRPr="009252C3" w:rsidR="00154706">
        <w:rPr>
          <w:rFonts w:ascii="Century Schoolbook" w:hAnsi="Century Schoolbook"/>
          <w:sz w:val="27"/>
          <w:szCs w:val="27"/>
        </w:rPr>
        <w:t>superior</w:t>
      </w:r>
      <w:r w:rsidRPr="009252C3" w:rsidR="00F27111">
        <w:rPr>
          <w:rFonts w:ascii="Century Schoolbook" w:hAnsi="Century Schoolbook"/>
          <w:sz w:val="27"/>
          <w:szCs w:val="27"/>
        </w:rPr>
        <w:t xml:space="preserve"> court</w:t>
      </w:r>
      <w:r w:rsidRPr="009252C3" w:rsidR="00154706">
        <w:rPr>
          <w:rFonts w:ascii="Century Schoolbook" w:hAnsi="Century Schoolbook"/>
          <w:sz w:val="27"/>
          <w:szCs w:val="27"/>
        </w:rPr>
        <w:t xml:space="preserve">s </w:t>
      </w:r>
      <w:r w:rsidRPr="009252C3" w:rsidR="00135FBB">
        <w:rPr>
          <w:rFonts w:ascii="Century Schoolbook" w:hAnsi="Century Schoolbook"/>
          <w:sz w:val="27"/>
          <w:szCs w:val="27"/>
        </w:rPr>
        <w:t>that considered the issue</w:t>
      </w:r>
      <w:r w:rsidR="00E13368">
        <w:rPr>
          <w:rFonts w:ascii="Century Schoolbook" w:hAnsi="Century Schoolbook"/>
          <w:sz w:val="27"/>
          <w:szCs w:val="27"/>
        </w:rPr>
        <w:t>:</w:t>
      </w:r>
      <w:r w:rsidRPr="009252C3" w:rsidR="00135FBB">
        <w:rPr>
          <w:rFonts w:ascii="Century Schoolbook" w:hAnsi="Century Schoolbook"/>
          <w:sz w:val="27"/>
          <w:szCs w:val="27"/>
        </w:rPr>
        <w:t xml:space="preserve"> </w:t>
      </w:r>
      <w:r w:rsidRPr="009252C3" w:rsidR="00F27111">
        <w:rPr>
          <w:rFonts w:ascii="Century Schoolbook" w:hAnsi="Century Schoolbook"/>
          <w:sz w:val="27"/>
          <w:szCs w:val="27"/>
        </w:rPr>
        <w:t xml:space="preserve"> </w:t>
      </w:r>
      <w:r w:rsidRPr="009252C3" w:rsidR="00135FBB">
        <w:rPr>
          <w:rFonts w:ascii="Century Schoolbook" w:hAnsi="Century Schoolbook"/>
          <w:sz w:val="27"/>
          <w:szCs w:val="27"/>
        </w:rPr>
        <w:t xml:space="preserve">the records </w:t>
      </w:r>
      <w:r w:rsidRPr="009252C3" w:rsidR="00F27111">
        <w:rPr>
          <w:rFonts w:ascii="Century Schoolbook" w:hAnsi="Century Schoolbook"/>
          <w:sz w:val="27"/>
          <w:szCs w:val="27"/>
        </w:rPr>
        <w:t xml:space="preserve">contain nothing of significance to the defense.  </w:t>
      </w:r>
      <w:r w:rsidRPr="009252C3" w:rsidR="00C65202">
        <w:rPr>
          <w:rFonts w:ascii="Century Schoolbook" w:hAnsi="Century Schoolbook"/>
          <w:sz w:val="27"/>
          <w:szCs w:val="27"/>
        </w:rPr>
        <w:t xml:space="preserve">As </w:t>
      </w:r>
      <w:r w:rsidRPr="009252C3" w:rsidR="00154706">
        <w:rPr>
          <w:rFonts w:ascii="Century Schoolbook" w:hAnsi="Century Schoolbook"/>
          <w:sz w:val="27"/>
          <w:szCs w:val="27"/>
        </w:rPr>
        <w:t>the lower courts</w:t>
      </w:r>
      <w:r w:rsidRPr="009252C3" w:rsidR="00C65202">
        <w:rPr>
          <w:rFonts w:ascii="Century Schoolbook" w:hAnsi="Century Schoolbook"/>
          <w:sz w:val="27"/>
          <w:szCs w:val="27"/>
        </w:rPr>
        <w:t xml:space="preserve"> observed, most of the materials relate to events remote</w:t>
      </w:r>
      <w:r w:rsidRPr="009252C3" w:rsidR="0098147E">
        <w:rPr>
          <w:rFonts w:ascii="Century Schoolbook" w:hAnsi="Century Schoolbook"/>
          <w:sz w:val="27"/>
          <w:szCs w:val="27"/>
        </w:rPr>
        <w:t xml:space="preserve"> in time</w:t>
      </w:r>
      <w:r w:rsidRPr="009252C3" w:rsidR="00C65202">
        <w:rPr>
          <w:rFonts w:ascii="Century Schoolbook" w:hAnsi="Century Schoolbook"/>
          <w:sz w:val="27"/>
          <w:szCs w:val="27"/>
        </w:rPr>
        <w:t xml:space="preserve"> from Michael’s murder, and nothing in them casts suspicion for that crime on any </w:t>
      </w:r>
      <w:r w:rsidRPr="009252C3" w:rsidR="0098147E">
        <w:rPr>
          <w:rFonts w:ascii="Century Schoolbook" w:hAnsi="Century Schoolbook"/>
          <w:sz w:val="27"/>
          <w:szCs w:val="27"/>
        </w:rPr>
        <w:t>person.  Nor do the materials contradict Dr.</w:t>
      </w:r>
      <w:r w:rsidRPr="009252C3" w:rsidR="002B468B">
        <w:rPr>
          <w:rFonts w:ascii="Century Schoolbook" w:hAnsi="Century Schoolbook"/>
          <w:sz w:val="27"/>
          <w:szCs w:val="27"/>
        </w:rPr>
        <w:t> </w:t>
      </w:r>
      <w:r w:rsidRPr="009252C3" w:rsidR="0098147E">
        <w:rPr>
          <w:rFonts w:ascii="Century Schoolbook" w:hAnsi="Century Schoolbook"/>
          <w:sz w:val="27"/>
          <w:szCs w:val="27"/>
        </w:rPr>
        <w:t>Dib</w:t>
      </w:r>
      <w:r w:rsidRPr="009252C3" w:rsidR="00242A5B">
        <w:rPr>
          <w:rFonts w:ascii="Century Schoolbook" w:hAnsi="Century Schoolbook"/>
          <w:sz w:val="27"/>
          <w:szCs w:val="27"/>
        </w:rPr>
        <w:t>d</w:t>
      </w:r>
      <w:r w:rsidRPr="009252C3" w:rsidR="0098147E">
        <w:rPr>
          <w:rFonts w:ascii="Century Schoolbook" w:hAnsi="Century Schoolbook"/>
          <w:sz w:val="27"/>
          <w:szCs w:val="27"/>
        </w:rPr>
        <w:t xml:space="preserve">in’s testimony </w:t>
      </w:r>
      <w:r w:rsidRPr="009252C3" w:rsidR="006C54FD">
        <w:rPr>
          <w:rFonts w:ascii="Century Schoolbook" w:hAnsi="Century Schoolbook"/>
          <w:sz w:val="27"/>
          <w:szCs w:val="27"/>
        </w:rPr>
        <w:t xml:space="preserve">that he found no indications on Michael’s anus or rectum of scarring from a previous molestation, or Tina Lyons’s testimony that Michael’s murder had taken away a part of </w:t>
      </w:r>
      <w:r w:rsidR="00E13368">
        <w:rPr>
          <w:rFonts w:ascii="Century Schoolbook" w:hAnsi="Century Schoolbook"/>
          <w:sz w:val="27"/>
          <w:szCs w:val="27"/>
        </w:rPr>
        <w:t>Michael’s mother</w:t>
      </w:r>
      <w:r w:rsidR="00006C66">
        <w:rPr>
          <w:rFonts w:ascii="Century Schoolbook" w:hAnsi="Century Schoolbook"/>
          <w:sz w:val="27"/>
          <w:szCs w:val="27"/>
        </w:rPr>
        <w:t>, Sandra,</w:t>
      </w:r>
      <w:r w:rsidRPr="009252C3" w:rsidR="006C54FD">
        <w:rPr>
          <w:rFonts w:ascii="Century Schoolbook" w:hAnsi="Century Schoolbook"/>
          <w:sz w:val="27"/>
          <w:szCs w:val="27"/>
        </w:rPr>
        <w:t xml:space="preserve"> and rendered her “lifeless,” no longer carefree and happy as she had been</w:t>
      </w:r>
      <w:r w:rsidRPr="009252C3" w:rsidR="00154706">
        <w:rPr>
          <w:rFonts w:ascii="Century Schoolbook" w:hAnsi="Century Schoolbook"/>
          <w:sz w:val="27"/>
          <w:szCs w:val="27"/>
        </w:rPr>
        <w:t xml:space="preserve"> before</w:t>
      </w:r>
      <w:r w:rsidRPr="009252C3" w:rsidR="006C54FD">
        <w:rPr>
          <w:rFonts w:ascii="Century Schoolbook" w:hAnsi="Century Schoolbook"/>
          <w:sz w:val="27"/>
          <w:szCs w:val="27"/>
        </w:rPr>
        <w:t xml:space="preserve">.  </w:t>
      </w:r>
      <w:r w:rsidRPr="009252C3" w:rsidR="00F27111">
        <w:rPr>
          <w:rFonts w:ascii="Century Schoolbook" w:hAnsi="Century Schoolbook"/>
          <w:sz w:val="27"/>
          <w:szCs w:val="27"/>
        </w:rPr>
        <w:t>We therefore find no error in denial of defendant’s motions to compel discovery.  (</w:t>
      </w:r>
      <w:r w:rsidRPr="009252C3" w:rsidR="00F27111">
        <w:rPr>
          <w:rFonts w:ascii="Century Schoolbook" w:hAnsi="Century Schoolbook"/>
          <w:i/>
          <w:sz w:val="27"/>
          <w:szCs w:val="27"/>
        </w:rPr>
        <w:t>People v. Webb</w:t>
      </w:r>
      <w:r w:rsidRPr="009252C3" w:rsidR="00F27111">
        <w:rPr>
          <w:rFonts w:ascii="Century Schoolbook" w:hAnsi="Century Schoolbook"/>
          <w:sz w:val="27"/>
          <w:szCs w:val="27"/>
        </w:rPr>
        <w:t xml:space="preserve">, </w:t>
      </w:r>
      <w:r w:rsidRPr="009252C3" w:rsidR="00F27111">
        <w:rPr>
          <w:rFonts w:ascii="Century Schoolbook" w:hAnsi="Century Schoolbook"/>
          <w:i/>
          <w:sz w:val="27"/>
          <w:szCs w:val="27"/>
        </w:rPr>
        <w:t>supra</w:t>
      </w:r>
      <w:r w:rsidRPr="009252C3" w:rsidR="00F27111">
        <w:rPr>
          <w:rFonts w:ascii="Century Schoolbook" w:hAnsi="Century Schoolbook"/>
          <w:sz w:val="27"/>
          <w:szCs w:val="27"/>
        </w:rPr>
        <w:t>, 6 Cal.4th at p.</w:t>
      </w:r>
      <w:r w:rsidRPr="009252C3" w:rsidR="002B468B">
        <w:rPr>
          <w:rFonts w:ascii="Century Schoolbook" w:hAnsi="Century Schoolbook"/>
          <w:sz w:val="27"/>
          <w:szCs w:val="27"/>
        </w:rPr>
        <w:t> </w:t>
      </w:r>
      <w:r w:rsidRPr="009252C3" w:rsidR="00F27111">
        <w:rPr>
          <w:rFonts w:ascii="Century Schoolbook" w:hAnsi="Century Schoolbook"/>
          <w:sz w:val="27"/>
          <w:szCs w:val="27"/>
        </w:rPr>
        <w:t>518.)</w:t>
      </w:r>
    </w:p>
    <w:p w:rsidR="004508EF" w:rsidRPr="009252C3" w:rsidP="009252C3">
      <w:pPr>
        <w:pStyle w:val="Heading3"/>
        <w:spacing w:before="100" w:line="400" w:lineRule="exact"/>
        <w:ind w:left="0" w:firstLine="720"/>
        <w:jc w:val="both"/>
        <w:rPr>
          <w:rFonts w:ascii="Century Schoolbook" w:hAnsi="Century Schoolbook"/>
          <w:b/>
          <w:i w:val="0"/>
          <w:sz w:val="27"/>
          <w:szCs w:val="27"/>
        </w:rPr>
      </w:pPr>
      <w:bookmarkStart w:id="8" w:name="_Toc3365810"/>
      <w:r w:rsidRPr="009252C3">
        <w:rPr>
          <w:rFonts w:ascii="Century Schoolbook" w:hAnsi="Century Schoolbook"/>
          <w:b/>
          <w:i w:val="0"/>
          <w:sz w:val="27"/>
          <w:szCs w:val="27"/>
        </w:rPr>
        <w:t xml:space="preserve">II.  Admission of </w:t>
      </w:r>
      <w:r w:rsidRPr="009252C3" w:rsidR="00481988">
        <w:rPr>
          <w:rFonts w:ascii="Century Schoolbook" w:hAnsi="Century Schoolbook"/>
          <w:b/>
          <w:i w:val="0"/>
          <w:sz w:val="27"/>
          <w:szCs w:val="27"/>
        </w:rPr>
        <w:t xml:space="preserve">Hearsay Statements Made by </w:t>
      </w:r>
      <w:r w:rsidR="00F7276C">
        <w:rPr>
          <w:rFonts w:ascii="Century Schoolbook" w:hAnsi="Century Schoolbook"/>
          <w:b/>
          <w:i w:val="0"/>
          <w:sz w:val="27"/>
          <w:szCs w:val="27"/>
        </w:rPr>
        <w:br/>
        <w:t xml:space="preserve">                  </w:t>
      </w:r>
      <w:r w:rsidRPr="009252C3" w:rsidR="00481988">
        <w:rPr>
          <w:rFonts w:ascii="Century Schoolbook" w:hAnsi="Century Schoolbook"/>
          <w:b/>
          <w:i w:val="0"/>
          <w:sz w:val="27"/>
          <w:szCs w:val="27"/>
        </w:rPr>
        <w:t>Defendant’s Wife</w:t>
      </w:r>
      <w:bookmarkEnd w:id="8"/>
      <w:r w:rsidRPr="009252C3" w:rsidR="00481988">
        <w:rPr>
          <w:rFonts w:ascii="Century Schoolbook" w:hAnsi="Century Schoolbook"/>
          <w:b/>
          <w:i w:val="0"/>
          <w:sz w:val="27"/>
          <w:szCs w:val="27"/>
        </w:rPr>
        <w:t xml:space="preserve"> </w:t>
      </w:r>
    </w:p>
    <w:p w:rsidR="0086121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Defendant’s wife, </w:t>
      </w:r>
      <w:r w:rsidR="00ED3E82">
        <w:rPr>
          <w:rFonts w:ascii="Century Schoolbook" w:hAnsi="Century Schoolbook"/>
          <w:sz w:val="27"/>
          <w:szCs w:val="27"/>
        </w:rPr>
        <w:t>Lynnette</w:t>
      </w:r>
      <w:r w:rsidRPr="009252C3">
        <w:rPr>
          <w:rFonts w:ascii="Century Schoolbook" w:hAnsi="Century Schoolbook"/>
          <w:sz w:val="27"/>
          <w:szCs w:val="27"/>
        </w:rPr>
        <w:t xml:space="preserve"> Rhoades, invoked her marital privilege not to be called as a witness against her spouse.</w:t>
      </w:r>
      <w:r w:rsidR="008374EF">
        <w:rPr>
          <w:rFonts w:ascii="Century Schoolbook" w:hAnsi="Century Schoolbook"/>
          <w:sz w:val="27"/>
          <w:szCs w:val="27"/>
        </w:rPr>
        <w:t xml:space="preserve">  </w:t>
      </w:r>
      <w:r w:rsidRPr="009252C3">
        <w:rPr>
          <w:rFonts w:ascii="Century Schoolbook" w:hAnsi="Century Schoolbook"/>
          <w:sz w:val="27"/>
          <w:szCs w:val="27"/>
        </w:rPr>
        <w:t xml:space="preserve">(Evid. Code, § 971.)  </w:t>
      </w:r>
      <w:r w:rsidRPr="009252C3" w:rsidR="005D6053">
        <w:rPr>
          <w:rFonts w:ascii="Century Schoolbook" w:hAnsi="Century Schoolbook"/>
          <w:sz w:val="27"/>
          <w:szCs w:val="27"/>
        </w:rPr>
        <w:t xml:space="preserve">Over defendant’s hearsay objection, </w:t>
      </w:r>
      <w:r w:rsidRPr="009252C3" w:rsidR="00DE5D1A">
        <w:rPr>
          <w:rFonts w:ascii="Century Schoolbook" w:hAnsi="Century Schoolbook"/>
          <w:sz w:val="27"/>
          <w:szCs w:val="27"/>
        </w:rPr>
        <w:t>the court admit</w:t>
      </w:r>
      <w:r w:rsidRPr="009252C3" w:rsidR="00F64843">
        <w:rPr>
          <w:rFonts w:ascii="Century Schoolbook" w:hAnsi="Century Schoolbook"/>
          <w:sz w:val="27"/>
          <w:szCs w:val="27"/>
        </w:rPr>
        <w:t>ted</w:t>
      </w:r>
      <w:r w:rsidRPr="009252C3" w:rsidR="005C316E">
        <w:rPr>
          <w:rFonts w:ascii="Century Schoolbook" w:hAnsi="Century Schoolbook"/>
          <w:sz w:val="27"/>
          <w:szCs w:val="27"/>
        </w:rPr>
        <w:t xml:space="preserve"> the testimony of</w:t>
      </w:r>
      <w:r w:rsidRPr="009252C3" w:rsidR="00DE5D1A">
        <w:rPr>
          <w:rFonts w:ascii="Century Schoolbook" w:hAnsi="Century Schoolbook"/>
          <w:sz w:val="27"/>
          <w:szCs w:val="27"/>
        </w:rPr>
        <w:t xml:space="preserve"> </w:t>
      </w:r>
      <w:r w:rsidRPr="009252C3" w:rsidR="005D6053">
        <w:rPr>
          <w:rFonts w:ascii="Century Schoolbook" w:hAnsi="Century Schoolbook"/>
          <w:sz w:val="27"/>
          <w:szCs w:val="27"/>
        </w:rPr>
        <w:t xml:space="preserve">Yuba City Police </w:t>
      </w:r>
      <w:r w:rsidRPr="009252C3" w:rsidR="00DE7B26">
        <w:rPr>
          <w:rFonts w:ascii="Century Schoolbook" w:hAnsi="Century Schoolbook"/>
          <w:sz w:val="27"/>
          <w:szCs w:val="27"/>
        </w:rPr>
        <w:t>Sergeant</w:t>
      </w:r>
      <w:r w:rsidRPr="009252C3" w:rsidR="005D6053">
        <w:rPr>
          <w:rFonts w:ascii="Century Schoolbook" w:hAnsi="Century Schoolbook"/>
          <w:sz w:val="27"/>
          <w:szCs w:val="27"/>
        </w:rPr>
        <w:t xml:space="preserve"> Michael Johnson</w:t>
      </w:r>
      <w:r w:rsidRPr="009252C3" w:rsidR="00DE5D1A">
        <w:rPr>
          <w:rFonts w:ascii="Century Schoolbook" w:hAnsi="Century Schoolbook"/>
          <w:sz w:val="27"/>
          <w:szCs w:val="27"/>
        </w:rPr>
        <w:t xml:space="preserve"> </w:t>
      </w:r>
      <w:r w:rsidRPr="009252C3" w:rsidR="005D6053">
        <w:rPr>
          <w:rFonts w:ascii="Century Schoolbook" w:hAnsi="Century Schoolbook"/>
          <w:sz w:val="27"/>
          <w:szCs w:val="27"/>
        </w:rPr>
        <w:t xml:space="preserve">that on May 20, 1996 (three days after defendant’s arrest), </w:t>
      </w:r>
      <w:r w:rsidR="00ED3E82">
        <w:rPr>
          <w:rFonts w:ascii="Century Schoolbook" w:hAnsi="Century Schoolbook"/>
          <w:sz w:val="27"/>
          <w:szCs w:val="27"/>
        </w:rPr>
        <w:t>Lynnette</w:t>
      </w:r>
      <w:r w:rsidRPr="009252C3">
        <w:rPr>
          <w:rFonts w:ascii="Century Schoolbook" w:hAnsi="Century Schoolbook"/>
          <w:sz w:val="27"/>
          <w:szCs w:val="27"/>
        </w:rPr>
        <w:t xml:space="preserve"> </w:t>
      </w:r>
      <w:r w:rsidRPr="009252C3" w:rsidR="005D6053">
        <w:rPr>
          <w:rFonts w:ascii="Century Schoolbook" w:hAnsi="Century Schoolbook"/>
          <w:sz w:val="27"/>
          <w:szCs w:val="27"/>
        </w:rPr>
        <w:t>identified from photographs the blanket found near Michael’s body and the bracelet fo</w:t>
      </w:r>
      <w:r w:rsidRPr="009252C3" w:rsidR="00DE5D1A">
        <w:rPr>
          <w:rFonts w:ascii="Century Schoolbook" w:hAnsi="Century Schoolbook"/>
          <w:sz w:val="27"/>
          <w:szCs w:val="27"/>
        </w:rPr>
        <w:t>und under the body.</w:t>
      </w:r>
      <w:r w:rsidRPr="009252C3" w:rsidR="00F64843">
        <w:rPr>
          <w:rFonts w:ascii="Century Schoolbook" w:hAnsi="Century Schoolbook"/>
          <w:sz w:val="27"/>
          <w:szCs w:val="27"/>
        </w:rPr>
        <w:t xml:space="preserve"> </w:t>
      </w:r>
      <w:r w:rsidRPr="009252C3" w:rsidR="00DE5D1A">
        <w:rPr>
          <w:rFonts w:ascii="Century Schoolbook" w:hAnsi="Century Schoolbook"/>
          <w:sz w:val="27"/>
          <w:szCs w:val="27"/>
        </w:rPr>
        <w:t xml:space="preserve"> According to Johnson, </w:t>
      </w:r>
      <w:r w:rsidRPr="009252C3" w:rsidR="00AD167C">
        <w:rPr>
          <w:rFonts w:ascii="Century Schoolbook" w:hAnsi="Century Schoolbook"/>
          <w:sz w:val="27"/>
          <w:szCs w:val="27"/>
        </w:rPr>
        <w:t xml:space="preserve">during an interview he conducted with her, </w:t>
      </w:r>
      <w:r w:rsidR="00ED3E82">
        <w:rPr>
          <w:rFonts w:ascii="Century Schoolbook" w:hAnsi="Century Schoolbook"/>
          <w:sz w:val="27"/>
          <w:szCs w:val="27"/>
        </w:rPr>
        <w:t>Lynnette</w:t>
      </w:r>
      <w:r w:rsidRPr="009252C3" w:rsidR="00AD167C">
        <w:rPr>
          <w:rFonts w:ascii="Century Schoolbook" w:hAnsi="Century Schoolbook"/>
          <w:sz w:val="27"/>
          <w:szCs w:val="27"/>
        </w:rPr>
        <w:t xml:space="preserve"> said </w:t>
      </w:r>
      <w:r w:rsidRPr="009252C3" w:rsidR="00CB5D1D">
        <w:rPr>
          <w:rFonts w:ascii="Century Schoolbook" w:hAnsi="Century Schoolbook"/>
          <w:sz w:val="27"/>
          <w:szCs w:val="27"/>
        </w:rPr>
        <w:t xml:space="preserve">the blanket appeared to be one defendant kept in the back of his pickup truck and that </w:t>
      </w:r>
      <w:r w:rsidRPr="009252C3" w:rsidR="00DE5D1A">
        <w:rPr>
          <w:rFonts w:ascii="Century Schoolbook" w:hAnsi="Century Schoolbook"/>
          <w:sz w:val="27"/>
          <w:szCs w:val="27"/>
        </w:rPr>
        <w:t>she had seen the bracelet in the truck a few days before Michael’s murder</w:t>
      </w:r>
      <w:r w:rsidRPr="009252C3" w:rsidR="005D6053">
        <w:rPr>
          <w:rFonts w:ascii="Century Schoolbook" w:hAnsi="Century Schoolbook"/>
          <w:sz w:val="27"/>
          <w:szCs w:val="27"/>
        </w:rPr>
        <w:t>.</w:t>
      </w:r>
      <w:r w:rsidRPr="009252C3" w:rsidR="00F64843">
        <w:rPr>
          <w:rFonts w:ascii="Century Schoolbook" w:hAnsi="Century Schoolbook"/>
          <w:sz w:val="27"/>
          <w:szCs w:val="27"/>
        </w:rPr>
        <w:t xml:space="preserve"> </w:t>
      </w:r>
      <w:r w:rsidRPr="009252C3" w:rsidR="005D6053">
        <w:rPr>
          <w:rFonts w:ascii="Century Schoolbook" w:hAnsi="Century Schoolbook"/>
          <w:sz w:val="27"/>
          <w:szCs w:val="27"/>
        </w:rPr>
        <w:t xml:space="preserve"> </w:t>
      </w:r>
    </w:p>
    <w:p w:rsidR="005E13E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On appeal, defendant contends admission of the hearsay statements violated his federal confrontation and due process rights.  He argues that neither of the hearsay exceptions cited by the trial court </w:t>
      </w:r>
      <w:r w:rsidRPr="009252C3" w:rsidR="00824609">
        <w:rPr>
          <w:rFonts w:ascii="Century Schoolbook" w:hAnsi="Century Schoolbook"/>
          <w:sz w:val="27"/>
          <w:szCs w:val="27"/>
        </w:rPr>
        <w:t xml:space="preserve">as a basis </w:t>
      </w:r>
      <w:r w:rsidRPr="009252C3">
        <w:rPr>
          <w:rFonts w:ascii="Century Schoolbook" w:hAnsi="Century Schoolbook"/>
          <w:sz w:val="27"/>
          <w:szCs w:val="27"/>
        </w:rPr>
        <w:t>for admission</w:t>
      </w:r>
      <w:r w:rsidRPr="009252C3" w:rsidR="000E407F">
        <w:rPr>
          <w:rFonts w:ascii="Century Schoolbook" w:hAnsi="Century Schoolbook"/>
          <w:sz w:val="27"/>
          <w:szCs w:val="27"/>
        </w:rPr>
        <w:t xml:space="preserve"> (</w:t>
      </w:r>
      <w:r w:rsidRPr="009252C3" w:rsidR="00824609">
        <w:rPr>
          <w:rFonts w:ascii="Century Schoolbook" w:hAnsi="Century Schoolbook"/>
          <w:sz w:val="27"/>
          <w:szCs w:val="27"/>
        </w:rPr>
        <w:t xml:space="preserve">namely, </w:t>
      </w:r>
      <w:r w:rsidRPr="009252C3">
        <w:rPr>
          <w:rFonts w:ascii="Century Schoolbook" w:hAnsi="Century Schoolbook"/>
          <w:sz w:val="27"/>
          <w:szCs w:val="27"/>
        </w:rPr>
        <w:t>spontaneous statement (</w:t>
      </w:r>
      <w:r w:rsidRPr="009252C3" w:rsidR="004F2A38">
        <w:rPr>
          <w:rFonts w:ascii="Century Schoolbook" w:hAnsi="Century Schoolbook"/>
          <w:sz w:val="27"/>
          <w:szCs w:val="27"/>
        </w:rPr>
        <w:t>Evid. Code, §</w:t>
      </w:r>
      <w:r w:rsidRPr="009252C3" w:rsidR="002B468B">
        <w:rPr>
          <w:rFonts w:ascii="Century Schoolbook" w:hAnsi="Century Schoolbook"/>
          <w:sz w:val="27"/>
          <w:szCs w:val="27"/>
        </w:rPr>
        <w:t> </w:t>
      </w:r>
      <w:r w:rsidRPr="009252C3" w:rsidR="004F2A38">
        <w:rPr>
          <w:rFonts w:ascii="Century Schoolbook" w:hAnsi="Century Schoolbook"/>
          <w:sz w:val="27"/>
          <w:szCs w:val="27"/>
        </w:rPr>
        <w:t>1240)</w:t>
      </w:r>
      <w:r w:rsidRPr="009252C3">
        <w:rPr>
          <w:rFonts w:ascii="Century Schoolbook" w:hAnsi="Century Schoolbook"/>
          <w:sz w:val="27"/>
          <w:szCs w:val="27"/>
        </w:rPr>
        <w:t xml:space="preserve"> and statement against social interest (</w:t>
      </w:r>
      <w:r w:rsidRPr="009252C3" w:rsidR="004F2A38">
        <w:rPr>
          <w:rFonts w:ascii="Century Schoolbook" w:hAnsi="Century Schoolbook"/>
          <w:i/>
          <w:sz w:val="27"/>
          <w:szCs w:val="27"/>
        </w:rPr>
        <w:t>id.</w:t>
      </w:r>
      <w:r w:rsidRPr="009252C3" w:rsidR="004F2A38">
        <w:rPr>
          <w:rFonts w:ascii="Century Schoolbook" w:hAnsi="Century Schoolbook"/>
          <w:sz w:val="27"/>
          <w:szCs w:val="27"/>
        </w:rPr>
        <w:t>, §</w:t>
      </w:r>
      <w:r w:rsidRPr="009252C3" w:rsidR="002B468B">
        <w:rPr>
          <w:rFonts w:ascii="Century Schoolbook" w:hAnsi="Century Schoolbook"/>
          <w:sz w:val="27"/>
          <w:szCs w:val="27"/>
        </w:rPr>
        <w:t> </w:t>
      </w:r>
      <w:r w:rsidRPr="009252C3" w:rsidR="004F2A38">
        <w:rPr>
          <w:rFonts w:ascii="Century Schoolbook" w:hAnsi="Century Schoolbook"/>
          <w:sz w:val="27"/>
          <w:szCs w:val="27"/>
        </w:rPr>
        <w:t>1230)</w:t>
      </w:r>
      <w:r w:rsidRPr="009252C3" w:rsidR="000E407F">
        <w:rPr>
          <w:rFonts w:ascii="Century Schoolbook" w:hAnsi="Century Schoolbook"/>
          <w:sz w:val="27"/>
          <w:szCs w:val="27"/>
        </w:rPr>
        <w:t>)</w:t>
      </w:r>
      <w:r w:rsidRPr="009252C3">
        <w:rPr>
          <w:rFonts w:ascii="Century Schoolbook" w:hAnsi="Century Schoolbook"/>
          <w:sz w:val="27"/>
          <w:szCs w:val="27"/>
        </w:rPr>
        <w:t xml:space="preserve"> applies</w:t>
      </w:r>
      <w:r w:rsidRPr="009252C3" w:rsidR="00824609">
        <w:rPr>
          <w:rFonts w:ascii="Century Schoolbook" w:hAnsi="Century Schoolbook"/>
          <w:sz w:val="27"/>
          <w:szCs w:val="27"/>
        </w:rPr>
        <w:t xml:space="preserve">.  He also argues that </w:t>
      </w:r>
      <w:r w:rsidRPr="009252C3" w:rsidR="00CC718E">
        <w:rPr>
          <w:rFonts w:ascii="Century Schoolbook" w:hAnsi="Century Schoolbook"/>
          <w:sz w:val="27"/>
          <w:szCs w:val="27"/>
        </w:rPr>
        <w:t>admission of</w:t>
      </w:r>
      <w:r w:rsidRPr="009252C3">
        <w:rPr>
          <w:rFonts w:ascii="Century Schoolbook" w:hAnsi="Century Schoolbook"/>
          <w:sz w:val="27"/>
          <w:szCs w:val="27"/>
        </w:rPr>
        <w:t xml:space="preserve"> the statements violated his right of confrontation under the Sixth and Fourteenth Amendments to the United States Constitution.  </w:t>
      </w:r>
      <w:r w:rsidRPr="009252C3" w:rsidR="003C419B">
        <w:rPr>
          <w:rFonts w:ascii="Century Schoolbook" w:hAnsi="Century Schoolbook"/>
          <w:sz w:val="27"/>
          <w:szCs w:val="27"/>
        </w:rPr>
        <w:t xml:space="preserve">(See </w:t>
      </w:r>
      <w:r w:rsidRPr="009252C3" w:rsidR="00CC718E">
        <w:rPr>
          <w:rFonts w:ascii="Century Schoolbook" w:hAnsi="Century Schoolbook"/>
          <w:i/>
          <w:sz w:val="27"/>
          <w:szCs w:val="27"/>
        </w:rPr>
        <w:t>Crawford v. Washington</w:t>
      </w:r>
      <w:r w:rsidRPr="009252C3" w:rsidR="00CC718E">
        <w:rPr>
          <w:rFonts w:ascii="Century Schoolbook" w:hAnsi="Century Schoolbook"/>
          <w:sz w:val="27"/>
          <w:szCs w:val="27"/>
        </w:rPr>
        <w:t xml:space="preserve"> (2004) 541 U.S. 36, 53</w:t>
      </w:r>
      <w:r w:rsidRPr="009252C3" w:rsidR="00E95D0D">
        <w:rPr>
          <w:rFonts w:ascii="Century Schoolbook" w:hAnsi="Century Schoolbook"/>
          <w:sz w:val="27"/>
          <w:szCs w:val="27"/>
        </w:rPr>
        <w:t>–</w:t>
      </w:r>
      <w:r w:rsidRPr="009252C3" w:rsidR="00CC718E">
        <w:rPr>
          <w:rFonts w:ascii="Century Schoolbook" w:hAnsi="Century Schoolbook"/>
          <w:sz w:val="27"/>
          <w:szCs w:val="27"/>
        </w:rPr>
        <w:t xml:space="preserve">55, 68 </w:t>
      </w:r>
      <w:r w:rsidRPr="009252C3" w:rsidR="000E3FAE">
        <w:rPr>
          <w:rFonts w:ascii="Century Schoolbook" w:hAnsi="Century Schoolbook"/>
          <w:sz w:val="27"/>
          <w:szCs w:val="27"/>
        </w:rPr>
        <w:t>(</w:t>
      </w:r>
      <w:r w:rsidRPr="009252C3" w:rsidR="000E3FAE">
        <w:rPr>
          <w:rFonts w:ascii="Century Schoolbook" w:hAnsi="Century Schoolbook"/>
          <w:i/>
          <w:sz w:val="27"/>
          <w:szCs w:val="27"/>
        </w:rPr>
        <w:t>Crawford</w:t>
      </w:r>
      <w:r w:rsidRPr="009252C3" w:rsidR="000E3FAE">
        <w:rPr>
          <w:rFonts w:ascii="Century Schoolbook" w:hAnsi="Century Schoolbook"/>
          <w:sz w:val="27"/>
          <w:szCs w:val="27"/>
        </w:rPr>
        <w:t xml:space="preserve">) </w:t>
      </w:r>
      <w:r w:rsidRPr="009252C3">
        <w:rPr>
          <w:rFonts w:ascii="Century Schoolbook" w:hAnsi="Century Schoolbook"/>
          <w:sz w:val="27"/>
          <w:szCs w:val="27"/>
        </w:rPr>
        <w:t xml:space="preserve">[testimonial </w:t>
      </w:r>
      <w:r w:rsidRPr="009252C3" w:rsidR="006E698F">
        <w:rPr>
          <w:rFonts w:ascii="Century Schoolbook" w:hAnsi="Century Schoolbook"/>
          <w:sz w:val="27"/>
          <w:szCs w:val="27"/>
        </w:rPr>
        <w:t xml:space="preserve">hearsay </w:t>
      </w:r>
      <w:r w:rsidRPr="009252C3">
        <w:rPr>
          <w:rFonts w:ascii="Century Schoolbook" w:hAnsi="Century Schoolbook"/>
          <w:sz w:val="27"/>
          <w:szCs w:val="27"/>
        </w:rPr>
        <w:t>inadmissible under</w:t>
      </w:r>
      <w:r w:rsidRPr="009252C3" w:rsidR="0059668A">
        <w:rPr>
          <w:rFonts w:ascii="Century Schoolbook" w:hAnsi="Century Schoolbook"/>
          <w:sz w:val="27"/>
          <w:szCs w:val="27"/>
        </w:rPr>
        <w:t xml:space="preserve"> 6th</w:t>
      </w:r>
      <w:r w:rsidRPr="009252C3">
        <w:rPr>
          <w:rFonts w:ascii="Century Schoolbook" w:hAnsi="Century Schoolbook"/>
          <w:sz w:val="27"/>
          <w:szCs w:val="27"/>
        </w:rPr>
        <w:t xml:space="preserve"> Amend</w:t>
      </w:r>
      <w:r w:rsidR="0076546E">
        <w:rPr>
          <w:rFonts w:ascii="Century Schoolbook" w:hAnsi="Century Schoolbook"/>
          <w:sz w:val="27"/>
          <w:szCs w:val="27"/>
        </w:rPr>
        <w:t>.</w:t>
      </w:r>
      <w:r w:rsidRPr="009252C3">
        <w:rPr>
          <w:rFonts w:ascii="Century Schoolbook" w:hAnsi="Century Schoolbook"/>
          <w:sz w:val="27"/>
          <w:szCs w:val="27"/>
        </w:rPr>
        <w:t xml:space="preserve"> unless declarant is unavailable and there has been a prior opportunity for cross-examination].</w:t>
      </w:r>
      <w:r w:rsidRPr="009252C3" w:rsidR="000E407F">
        <w:rPr>
          <w:rFonts w:ascii="Century Schoolbook" w:hAnsi="Century Schoolbook"/>
          <w:sz w:val="27"/>
          <w:szCs w:val="27"/>
        </w:rPr>
        <w:t>)</w:t>
      </w:r>
    </w:p>
    <w:p w:rsidR="00F6484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Attorney General defends </w:t>
      </w:r>
      <w:r w:rsidRPr="009252C3" w:rsidR="005E13EB">
        <w:rPr>
          <w:rFonts w:ascii="Century Schoolbook" w:hAnsi="Century Schoolbook"/>
          <w:sz w:val="27"/>
          <w:szCs w:val="27"/>
        </w:rPr>
        <w:t xml:space="preserve">the application of </w:t>
      </w:r>
      <w:r w:rsidRPr="009252C3">
        <w:rPr>
          <w:rFonts w:ascii="Century Schoolbook" w:hAnsi="Century Schoolbook"/>
          <w:sz w:val="27"/>
          <w:szCs w:val="27"/>
        </w:rPr>
        <w:t>both hearsay exceptions but concedes</w:t>
      </w:r>
      <w:r w:rsidRPr="009252C3" w:rsidR="000B0178">
        <w:rPr>
          <w:rFonts w:ascii="Century Schoolbook" w:hAnsi="Century Schoolbook"/>
          <w:sz w:val="27"/>
          <w:szCs w:val="27"/>
        </w:rPr>
        <w:t xml:space="preserve"> that</w:t>
      </w:r>
      <w:r w:rsidRPr="009252C3">
        <w:rPr>
          <w:rFonts w:ascii="Century Schoolbook" w:hAnsi="Century Schoolbook"/>
          <w:sz w:val="27"/>
          <w:szCs w:val="27"/>
        </w:rPr>
        <w:t xml:space="preserve"> the statements</w:t>
      </w:r>
      <w:r w:rsidRPr="009252C3" w:rsidR="002B468B">
        <w:rPr>
          <w:rFonts w:ascii="Century Schoolbook" w:hAnsi="Century Schoolbook"/>
          <w:sz w:val="27"/>
          <w:szCs w:val="27"/>
        </w:rPr>
        <w:t>—</w:t>
      </w:r>
      <w:r w:rsidRPr="009252C3" w:rsidR="00824609">
        <w:rPr>
          <w:rFonts w:ascii="Century Schoolbook" w:hAnsi="Century Schoolbook"/>
          <w:sz w:val="27"/>
          <w:szCs w:val="27"/>
        </w:rPr>
        <w:t xml:space="preserve">which were </w:t>
      </w:r>
      <w:r w:rsidRPr="009252C3">
        <w:rPr>
          <w:rFonts w:ascii="Century Schoolbook" w:hAnsi="Century Schoolbook"/>
          <w:sz w:val="27"/>
          <w:szCs w:val="27"/>
        </w:rPr>
        <w:t>made in response to questioning by law enforcement officers seeking information to be used at a criminal trial</w:t>
      </w:r>
      <w:r w:rsidRPr="009252C3" w:rsidR="002B468B">
        <w:rPr>
          <w:rFonts w:ascii="Century Schoolbook" w:hAnsi="Century Schoolbook"/>
          <w:sz w:val="27"/>
          <w:szCs w:val="27"/>
        </w:rPr>
        <w:t>—</w:t>
      </w:r>
      <w:r w:rsidRPr="009252C3">
        <w:rPr>
          <w:rFonts w:ascii="Century Schoolbook" w:hAnsi="Century Schoolbook"/>
          <w:sz w:val="27"/>
          <w:szCs w:val="27"/>
        </w:rPr>
        <w:t xml:space="preserve">were testimonial and therefore barred under </w:t>
      </w:r>
      <w:r w:rsidRPr="009252C3">
        <w:rPr>
          <w:rFonts w:ascii="Century Schoolbook" w:hAnsi="Century Schoolbook"/>
          <w:i/>
          <w:sz w:val="27"/>
          <w:szCs w:val="27"/>
        </w:rPr>
        <w:t>Crawford</w:t>
      </w:r>
      <w:r w:rsidRPr="009252C3">
        <w:rPr>
          <w:rFonts w:ascii="Century Schoolbook" w:hAnsi="Century Schoolbook"/>
          <w:sz w:val="27"/>
          <w:szCs w:val="27"/>
        </w:rPr>
        <w:t xml:space="preserve">.  </w:t>
      </w:r>
      <w:r w:rsidRPr="009252C3" w:rsidR="00E56A78">
        <w:rPr>
          <w:rFonts w:ascii="Century Schoolbook" w:hAnsi="Century Schoolbook"/>
          <w:sz w:val="27"/>
          <w:szCs w:val="27"/>
        </w:rPr>
        <w:t xml:space="preserve">The Attorney General maintains, however, that defendant forfeited his confrontation clause claim by failing to object on that ground </w:t>
      </w:r>
      <w:r w:rsidR="00E13368">
        <w:rPr>
          <w:rFonts w:ascii="Century Schoolbook" w:hAnsi="Century Schoolbook"/>
          <w:sz w:val="27"/>
          <w:szCs w:val="27"/>
        </w:rPr>
        <w:t xml:space="preserve">at trial </w:t>
      </w:r>
      <w:r w:rsidRPr="009252C3" w:rsidR="00E56A78">
        <w:rPr>
          <w:rFonts w:ascii="Century Schoolbook" w:hAnsi="Century Schoolbook"/>
          <w:sz w:val="27"/>
          <w:szCs w:val="27"/>
        </w:rPr>
        <w:t>and that</w:t>
      </w:r>
      <w:r w:rsidRPr="009252C3" w:rsidR="001C58C7">
        <w:rPr>
          <w:rFonts w:ascii="Century Schoolbook" w:hAnsi="Century Schoolbook"/>
          <w:sz w:val="27"/>
          <w:szCs w:val="27"/>
        </w:rPr>
        <w:t>, in any event,</w:t>
      </w:r>
      <w:r w:rsidRPr="009252C3" w:rsidR="00E56A78">
        <w:rPr>
          <w:rFonts w:ascii="Century Schoolbook" w:hAnsi="Century Schoolbook"/>
          <w:sz w:val="27"/>
          <w:szCs w:val="27"/>
        </w:rPr>
        <w:t xml:space="preserve"> admission of </w:t>
      </w:r>
      <w:r w:rsidR="00ED3E82">
        <w:rPr>
          <w:rFonts w:ascii="Century Schoolbook" w:hAnsi="Century Schoolbook"/>
          <w:sz w:val="27"/>
          <w:szCs w:val="27"/>
        </w:rPr>
        <w:t>Lynnette</w:t>
      </w:r>
      <w:r w:rsidRPr="009252C3" w:rsidR="00E56A78">
        <w:rPr>
          <w:rFonts w:ascii="Century Schoolbook" w:hAnsi="Century Schoolbook"/>
          <w:sz w:val="27"/>
          <w:szCs w:val="27"/>
        </w:rPr>
        <w:t>’s statements was harmless beyond a reasonable doubt.</w:t>
      </w:r>
    </w:p>
    <w:p w:rsidR="000E407F" w:rsidRPr="009252C3" w:rsidP="009252C3">
      <w:pPr>
        <w:pStyle w:val="Text"/>
        <w:spacing w:before="100" w:line="400" w:lineRule="exact"/>
        <w:ind w:firstLine="720"/>
        <w:jc w:val="both"/>
        <w:rPr>
          <w:rFonts w:ascii="Century Schoolbook" w:hAnsi="Century Schoolbook"/>
          <w:iCs/>
          <w:sz w:val="27"/>
          <w:szCs w:val="27"/>
        </w:rPr>
      </w:pPr>
      <w:r w:rsidRPr="009252C3">
        <w:rPr>
          <w:rFonts w:ascii="Century Schoolbook" w:hAnsi="Century Schoolbook"/>
          <w:sz w:val="27"/>
          <w:szCs w:val="27"/>
        </w:rPr>
        <w:t xml:space="preserve">We reject the Attorney General’s forfeiture argument.  Because </w:t>
      </w:r>
      <w:r w:rsidRPr="009252C3" w:rsidR="003E6591">
        <w:rPr>
          <w:rFonts w:ascii="Century Schoolbook" w:hAnsi="Century Schoolbook"/>
          <w:sz w:val="27"/>
          <w:szCs w:val="27"/>
        </w:rPr>
        <w:t xml:space="preserve">defendant’s </w:t>
      </w:r>
      <w:r w:rsidRPr="009252C3" w:rsidR="0055556F">
        <w:rPr>
          <w:rFonts w:ascii="Century Schoolbook" w:hAnsi="Century Schoolbook"/>
          <w:sz w:val="27"/>
          <w:szCs w:val="27"/>
        </w:rPr>
        <w:t xml:space="preserve">trial preceded </w:t>
      </w:r>
      <w:r w:rsidRPr="009252C3" w:rsidR="009E0A55">
        <w:rPr>
          <w:rFonts w:ascii="Century Schoolbook" w:hAnsi="Century Schoolbook"/>
          <w:sz w:val="27"/>
          <w:szCs w:val="27"/>
        </w:rPr>
        <w:t xml:space="preserve">the decision in </w:t>
      </w:r>
      <w:r w:rsidRPr="009252C3" w:rsidR="009E0A55">
        <w:rPr>
          <w:rFonts w:ascii="Century Schoolbook" w:hAnsi="Century Schoolbook"/>
          <w:i/>
          <w:sz w:val="27"/>
          <w:szCs w:val="27"/>
        </w:rPr>
        <w:t>Crawford</w:t>
      </w:r>
      <w:r w:rsidRPr="009252C3" w:rsidR="009E0A55">
        <w:rPr>
          <w:rFonts w:ascii="Century Schoolbook" w:hAnsi="Century Schoolbook"/>
          <w:sz w:val="27"/>
          <w:szCs w:val="27"/>
        </w:rPr>
        <w:t>, his claim of a confrontation clause violation</w:t>
      </w:r>
      <w:r w:rsidRPr="009252C3" w:rsidR="0055556F">
        <w:rPr>
          <w:rFonts w:ascii="Century Schoolbook" w:hAnsi="Century Schoolbook"/>
          <w:sz w:val="27"/>
          <w:szCs w:val="27"/>
        </w:rPr>
        <w:t xml:space="preserve"> was preserved despite the absence of an objection on that ground</w:t>
      </w:r>
      <w:r w:rsidRPr="009252C3" w:rsidR="009E0A55">
        <w:rPr>
          <w:rFonts w:ascii="Century Schoolbook" w:hAnsi="Century Schoolbook"/>
          <w:sz w:val="27"/>
          <w:szCs w:val="27"/>
        </w:rPr>
        <w:t>.  (</w:t>
      </w:r>
      <w:r w:rsidRPr="009252C3" w:rsidR="00F166E2">
        <w:rPr>
          <w:rFonts w:ascii="Century Schoolbook" w:hAnsi="Century Schoolbook"/>
          <w:i/>
          <w:iCs/>
          <w:sz w:val="27"/>
          <w:szCs w:val="27"/>
        </w:rPr>
        <w:t>People v. Rangel </w:t>
      </w:r>
      <w:r w:rsidRPr="009252C3" w:rsidR="00CC718E">
        <w:rPr>
          <w:rFonts w:ascii="Century Schoolbook" w:hAnsi="Century Schoolbook"/>
          <w:iCs/>
          <w:sz w:val="27"/>
          <w:szCs w:val="27"/>
        </w:rPr>
        <w:t>(</w:t>
      </w:r>
      <w:r w:rsidRPr="009252C3" w:rsidR="00F166E2">
        <w:rPr>
          <w:rFonts w:ascii="Century Schoolbook" w:hAnsi="Century Schoolbook"/>
          <w:iCs/>
          <w:sz w:val="27"/>
          <w:szCs w:val="27"/>
        </w:rPr>
        <w:t>2016) 62 Cal.4th 1192, 1215</w:t>
      </w:r>
      <w:r w:rsidRPr="009252C3" w:rsidR="00F166E2">
        <w:rPr>
          <w:rFonts w:ascii="Century Schoolbook" w:hAnsi="Century Schoolbook"/>
          <w:i/>
          <w:iCs/>
          <w:sz w:val="27"/>
          <w:szCs w:val="27"/>
        </w:rPr>
        <w:t xml:space="preserve"> </w:t>
      </w:r>
      <w:r w:rsidRPr="009252C3" w:rsidR="00F166E2">
        <w:rPr>
          <w:rFonts w:ascii="Century Schoolbook" w:hAnsi="Century Schoolbook"/>
          <w:iCs/>
          <w:sz w:val="27"/>
          <w:szCs w:val="27"/>
        </w:rPr>
        <w:t>[concluding that “in a case tried before</w:t>
      </w:r>
      <w:r w:rsidRPr="009252C3" w:rsidR="00CC718E">
        <w:rPr>
          <w:rFonts w:ascii="Century Schoolbook" w:hAnsi="Century Schoolbook"/>
          <w:iCs/>
          <w:sz w:val="27"/>
          <w:szCs w:val="27"/>
        </w:rPr>
        <w:t xml:space="preserve"> </w:t>
      </w:r>
      <w:r w:rsidRPr="009252C3" w:rsidR="00F166E2">
        <w:rPr>
          <w:rFonts w:ascii="Century Schoolbook" w:hAnsi="Century Schoolbook"/>
          <w:i/>
          <w:iCs/>
          <w:sz w:val="27"/>
          <w:szCs w:val="27"/>
        </w:rPr>
        <w:t>Crawford</w:t>
      </w:r>
      <w:r w:rsidRPr="009252C3" w:rsidR="00F166E2">
        <w:rPr>
          <w:rFonts w:ascii="Century Schoolbook" w:hAnsi="Century Schoolbook"/>
          <w:iCs/>
          <w:sz w:val="27"/>
          <w:szCs w:val="27"/>
        </w:rPr>
        <w:t>,</w:t>
      </w:r>
      <w:r w:rsidRPr="009252C3" w:rsidR="00CC718E">
        <w:rPr>
          <w:rFonts w:ascii="Century Schoolbook" w:hAnsi="Century Schoolbook"/>
          <w:iCs/>
          <w:sz w:val="27"/>
          <w:szCs w:val="27"/>
        </w:rPr>
        <w:t xml:space="preserve"> </w:t>
      </w:r>
      <w:r w:rsidRPr="009252C3" w:rsidR="00F166E2">
        <w:rPr>
          <w:rFonts w:ascii="Century Schoolbook" w:hAnsi="Century Schoolbook"/>
          <w:iCs/>
          <w:sz w:val="27"/>
          <w:szCs w:val="27"/>
        </w:rPr>
        <w:t>a defendant does not forfeit a</w:t>
      </w:r>
      <w:r w:rsidRPr="009252C3" w:rsidR="00860073">
        <w:rPr>
          <w:rFonts w:ascii="Century Schoolbook" w:hAnsi="Century Schoolbook"/>
          <w:iCs/>
          <w:sz w:val="27"/>
          <w:szCs w:val="27"/>
        </w:rPr>
        <w:t xml:space="preserve"> </w:t>
      </w:r>
      <w:r w:rsidRPr="009252C3" w:rsidR="00F166E2">
        <w:rPr>
          <w:rFonts w:ascii="Century Schoolbook" w:hAnsi="Century Schoolbook"/>
          <w:i/>
          <w:iCs/>
          <w:sz w:val="27"/>
          <w:szCs w:val="27"/>
        </w:rPr>
        <w:t>Crawford</w:t>
      </w:r>
      <w:r w:rsidRPr="009252C3" w:rsidR="00860073">
        <w:rPr>
          <w:rFonts w:ascii="Century Schoolbook" w:hAnsi="Century Schoolbook"/>
          <w:i/>
          <w:iCs/>
          <w:sz w:val="27"/>
          <w:szCs w:val="27"/>
        </w:rPr>
        <w:t xml:space="preserve"> </w:t>
      </w:r>
      <w:r w:rsidRPr="009252C3" w:rsidR="00F166E2">
        <w:rPr>
          <w:rFonts w:ascii="Century Schoolbook" w:hAnsi="Century Schoolbook"/>
          <w:iCs/>
          <w:sz w:val="27"/>
          <w:szCs w:val="27"/>
        </w:rPr>
        <w:t>challenge by failing to raise a confrontation clause objection at trial</w:t>
      </w:r>
      <w:r w:rsidRPr="009252C3" w:rsidR="003C419B">
        <w:rPr>
          <w:rFonts w:ascii="Century Schoolbook" w:hAnsi="Century Schoolbook"/>
          <w:iCs/>
          <w:sz w:val="27"/>
          <w:szCs w:val="27"/>
        </w:rPr>
        <w:t>”</w:t>
      </w:r>
      <w:r w:rsidRPr="009252C3" w:rsidR="00F166E2">
        <w:rPr>
          <w:rFonts w:ascii="Century Schoolbook" w:hAnsi="Century Schoolbook"/>
          <w:iCs/>
          <w:sz w:val="27"/>
          <w:szCs w:val="27"/>
        </w:rPr>
        <w:t xml:space="preserve">]; </w:t>
      </w:r>
      <w:r w:rsidRPr="009252C3" w:rsidR="00CC35D4">
        <w:rPr>
          <w:rFonts w:ascii="Century Schoolbook" w:hAnsi="Century Schoolbook"/>
          <w:i/>
          <w:iCs/>
          <w:sz w:val="27"/>
          <w:szCs w:val="27"/>
        </w:rPr>
        <w:t>People v. Chism</w:t>
      </w:r>
      <w:r w:rsidRPr="009252C3" w:rsidR="00860073">
        <w:rPr>
          <w:rFonts w:ascii="Century Schoolbook" w:hAnsi="Century Schoolbook"/>
          <w:i/>
          <w:iCs/>
          <w:sz w:val="27"/>
          <w:szCs w:val="27"/>
        </w:rPr>
        <w:t xml:space="preserve"> </w:t>
      </w:r>
      <w:r w:rsidRPr="009252C3" w:rsidR="00CC35D4">
        <w:rPr>
          <w:rFonts w:ascii="Century Schoolbook" w:hAnsi="Century Schoolbook"/>
          <w:iCs/>
          <w:sz w:val="27"/>
          <w:szCs w:val="27"/>
        </w:rPr>
        <w:t>(2014) 58 Cal.4th 1266, 1288, fn. 8</w:t>
      </w:r>
      <w:r w:rsidRPr="009252C3" w:rsidR="002B468B">
        <w:rPr>
          <w:rFonts w:ascii="Century Schoolbook" w:hAnsi="Century Schoolbook"/>
          <w:iCs/>
          <w:sz w:val="27"/>
          <w:szCs w:val="27"/>
        </w:rPr>
        <w:t xml:space="preserve"> </w:t>
      </w:r>
      <w:r w:rsidRPr="009252C3" w:rsidR="003C419B">
        <w:rPr>
          <w:rFonts w:ascii="Century Schoolbook" w:hAnsi="Century Schoolbook"/>
          <w:iCs/>
          <w:sz w:val="27"/>
          <w:szCs w:val="27"/>
        </w:rPr>
        <w:t>[“[B]ecause defendant’</w:t>
      </w:r>
      <w:r w:rsidRPr="009252C3" w:rsidR="00CC35D4">
        <w:rPr>
          <w:rFonts w:ascii="Century Schoolbook" w:hAnsi="Century Schoolbook"/>
          <w:iCs/>
          <w:sz w:val="27"/>
          <w:szCs w:val="27"/>
        </w:rPr>
        <w:t>s counsel could not have anticipated </w:t>
      </w:r>
      <w:r w:rsidRPr="009252C3" w:rsidR="000E2594">
        <w:rPr>
          <w:rFonts w:ascii="Century Schoolbook" w:hAnsi="Century Schoolbook"/>
          <w:i/>
          <w:iCs/>
          <w:sz w:val="27"/>
          <w:szCs w:val="27"/>
        </w:rPr>
        <w:t>Crawford</w:t>
      </w:r>
      <w:r w:rsidRPr="009252C3" w:rsidR="000E2594">
        <w:rPr>
          <w:rFonts w:ascii="Century Schoolbook" w:hAnsi="Century Schoolbook"/>
          <w:iCs/>
          <w:sz w:val="27"/>
          <w:szCs w:val="27"/>
        </w:rPr>
        <w:t>’s</w:t>
      </w:r>
      <w:r w:rsidRPr="009252C3" w:rsidR="000E2594">
        <w:rPr>
          <w:rFonts w:ascii="Century Schoolbook" w:hAnsi="Century Schoolbook"/>
          <w:i/>
          <w:iCs/>
          <w:sz w:val="27"/>
          <w:szCs w:val="27"/>
        </w:rPr>
        <w:t xml:space="preserve"> </w:t>
      </w:r>
      <w:r w:rsidRPr="009252C3" w:rsidR="00CC35D4">
        <w:rPr>
          <w:rFonts w:ascii="Century Schoolbook" w:hAnsi="Century Schoolbook"/>
          <w:iCs/>
          <w:sz w:val="27"/>
          <w:szCs w:val="27"/>
        </w:rPr>
        <w:t>sweeping changes to federal confrontation clause case law, he did not forfeit this claim by failing to object to the admission of [the] statements on federal constitutional grounds</w:t>
      </w:r>
      <w:r w:rsidRPr="009252C3" w:rsidR="000E2594">
        <w:rPr>
          <w:rFonts w:ascii="Century Schoolbook" w:hAnsi="Century Schoolbook"/>
          <w:iCs/>
          <w:sz w:val="27"/>
          <w:szCs w:val="27"/>
        </w:rPr>
        <w:t>.”].)</w:t>
      </w:r>
    </w:p>
    <w:p w:rsidR="00F166E2" w:rsidRPr="009252C3" w:rsidP="009252C3">
      <w:pPr>
        <w:pStyle w:val="Text"/>
        <w:spacing w:before="100" w:line="400" w:lineRule="exact"/>
        <w:ind w:firstLine="720"/>
        <w:jc w:val="both"/>
        <w:rPr>
          <w:rFonts w:ascii="Century Schoolbook" w:hAnsi="Century Schoolbook"/>
          <w:iCs/>
          <w:sz w:val="27"/>
          <w:szCs w:val="27"/>
        </w:rPr>
      </w:pPr>
      <w:r w:rsidRPr="009252C3">
        <w:rPr>
          <w:rFonts w:ascii="Century Schoolbook" w:hAnsi="Century Schoolbook"/>
          <w:iCs/>
          <w:sz w:val="27"/>
          <w:szCs w:val="27"/>
        </w:rPr>
        <w:t>W</w:t>
      </w:r>
      <w:r w:rsidRPr="009252C3" w:rsidR="003C419B">
        <w:rPr>
          <w:rFonts w:ascii="Century Schoolbook" w:hAnsi="Century Schoolbook"/>
          <w:iCs/>
          <w:sz w:val="27"/>
          <w:szCs w:val="27"/>
        </w:rPr>
        <w:t xml:space="preserve">e </w:t>
      </w:r>
      <w:r w:rsidRPr="009252C3" w:rsidR="008D514D">
        <w:rPr>
          <w:rFonts w:ascii="Century Schoolbook" w:hAnsi="Century Schoolbook"/>
          <w:iCs/>
          <w:sz w:val="27"/>
          <w:szCs w:val="27"/>
        </w:rPr>
        <w:t xml:space="preserve">further </w:t>
      </w:r>
      <w:r w:rsidRPr="009252C3" w:rsidR="003C419B">
        <w:rPr>
          <w:rFonts w:ascii="Century Schoolbook" w:hAnsi="Century Schoolbook"/>
          <w:iCs/>
          <w:sz w:val="27"/>
          <w:szCs w:val="27"/>
        </w:rPr>
        <w:t xml:space="preserve">agree with both parties that </w:t>
      </w:r>
      <w:r w:rsidR="00ED3E82">
        <w:rPr>
          <w:rFonts w:ascii="Century Schoolbook" w:hAnsi="Century Schoolbook"/>
          <w:iCs/>
          <w:sz w:val="27"/>
          <w:szCs w:val="27"/>
        </w:rPr>
        <w:t>Lynnette</w:t>
      </w:r>
      <w:r w:rsidRPr="009252C3" w:rsidR="003C419B">
        <w:rPr>
          <w:rFonts w:ascii="Century Schoolbook" w:hAnsi="Century Schoolbook"/>
          <w:iCs/>
          <w:sz w:val="27"/>
          <w:szCs w:val="27"/>
        </w:rPr>
        <w:t xml:space="preserve"> Rhoades’s statements were testimonial and</w:t>
      </w:r>
      <w:r w:rsidRPr="009252C3" w:rsidR="00FB0810">
        <w:rPr>
          <w:rFonts w:ascii="Century Schoolbook" w:hAnsi="Century Schoolbook"/>
          <w:iCs/>
          <w:sz w:val="27"/>
          <w:szCs w:val="27"/>
        </w:rPr>
        <w:t xml:space="preserve"> were</w:t>
      </w:r>
      <w:r w:rsidRPr="009252C3" w:rsidR="003C419B">
        <w:rPr>
          <w:rFonts w:ascii="Century Schoolbook" w:hAnsi="Century Schoolbook"/>
          <w:iCs/>
          <w:sz w:val="27"/>
          <w:szCs w:val="27"/>
        </w:rPr>
        <w:t xml:space="preserve"> </w:t>
      </w:r>
      <w:r w:rsidRPr="009252C3">
        <w:rPr>
          <w:rFonts w:ascii="Century Schoolbook" w:hAnsi="Century Schoolbook"/>
          <w:iCs/>
          <w:sz w:val="27"/>
          <w:szCs w:val="27"/>
        </w:rPr>
        <w:t>inadmissible</w:t>
      </w:r>
      <w:r w:rsidRPr="009252C3" w:rsidR="003C419B">
        <w:rPr>
          <w:rFonts w:ascii="Century Schoolbook" w:hAnsi="Century Schoolbook"/>
          <w:iCs/>
          <w:sz w:val="27"/>
          <w:szCs w:val="27"/>
        </w:rPr>
        <w:t xml:space="preserve"> under </w:t>
      </w:r>
      <w:r w:rsidRPr="009252C3" w:rsidR="003C419B">
        <w:rPr>
          <w:rFonts w:ascii="Century Schoolbook" w:hAnsi="Century Schoolbook"/>
          <w:i/>
          <w:iCs/>
          <w:sz w:val="27"/>
          <w:szCs w:val="27"/>
        </w:rPr>
        <w:t>Crawford</w:t>
      </w:r>
      <w:r w:rsidRPr="009252C3" w:rsidR="003C419B">
        <w:rPr>
          <w:rFonts w:ascii="Century Schoolbook" w:hAnsi="Century Schoolbook"/>
          <w:iCs/>
          <w:sz w:val="27"/>
          <w:szCs w:val="27"/>
        </w:rPr>
        <w:t xml:space="preserve">.  </w:t>
      </w:r>
      <w:r w:rsidRPr="009252C3">
        <w:rPr>
          <w:rFonts w:ascii="Century Schoolbook" w:hAnsi="Century Schoolbook"/>
          <w:iCs/>
          <w:sz w:val="27"/>
          <w:szCs w:val="27"/>
        </w:rPr>
        <w:t xml:space="preserve">At an in limine hearing on their admissibility, </w:t>
      </w:r>
      <w:r w:rsidRPr="009252C3" w:rsidR="00DE7B26">
        <w:rPr>
          <w:rFonts w:ascii="Century Schoolbook" w:hAnsi="Century Schoolbook"/>
          <w:iCs/>
          <w:sz w:val="27"/>
          <w:szCs w:val="27"/>
        </w:rPr>
        <w:t>Sergeant</w:t>
      </w:r>
      <w:r w:rsidRPr="009252C3">
        <w:rPr>
          <w:rFonts w:ascii="Century Schoolbook" w:hAnsi="Century Schoolbook"/>
          <w:iCs/>
          <w:sz w:val="27"/>
          <w:szCs w:val="27"/>
        </w:rPr>
        <w:t xml:space="preserve"> Johnson testified that he and an FBI agent </w:t>
      </w:r>
      <w:r w:rsidRPr="009252C3" w:rsidR="00DE7B26">
        <w:rPr>
          <w:rFonts w:ascii="Century Schoolbook" w:hAnsi="Century Schoolbook"/>
          <w:iCs/>
          <w:sz w:val="27"/>
          <w:szCs w:val="27"/>
        </w:rPr>
        <w:t xml:space="preserve">interviewed </w:t>
      </w:r>
      <w:r w:rsidR="00ED3E82">
        <w:rPr>
          <w:rFonts w:ascii="Century Schoolbook" w:hAnsi="Century Schoolbook"/>
          <w:iCs/>
          <w:sz w:val="27"/>
          <w:szCs w:val="27"/>
        </w:rPr>
        <w:t>Lynnette</w:t>
      </w:r>
      <w:r w:rsidRPr="009252C3" w:rsidR="00DE7B26">
        <w:rPr>
          <w:rFonts w:ascii="Century Schoolbook" w:hAnsi="Century Schoolbook"/>
          <w:iCs/>
          <w:sz w:val="27"/>
          <w:szCs w:val="27"/>
        </w:rPr>
        <w:t xml:space="preserve"> at her family home</w:t>
      </w:r>
      <w:r w:rsidRPr="009252C3">
        <w:rPr>
          <w:rFonts w:ascii="Century Schoolbook" w:hAnsi="Century Schoolbook"/>
          <w:iCs/>
          <w:sz w:val="27"/>
          <w:szCs w:val="27"/>
        </w:rPr>
        <w:t xml:space="preserve"> in Stockton on May 20, 1996.  She told them she had just spoken to defendant’s attorney and would not talk to them unless they could show her that defendant had committed a crime.  They told her the victim’s footprints had been found inside defendant’s truck.  </w:t>
      </w:r>
      <w:r w:rsidRPr="009252C3" w:rsidR="001B2499">
        <w:rPr>
          <w:rFonts w:ascii="Century Schoolbook" w:hAnsi="Century Schoolbook"/>
          <w:iCs/>
          <w:sz w:val="27"/>
          <w:szCs w:val="27"/>
        </w:rPr>
        <w:t>She became extremely upset, crying, hyperventilating</w:t>
      </w:r>
      <w:r w:rsidRPr="009252C3" w:rsidR="001429BF">
        <w:rPr>
          <w:rFonts w:ascii="Century Schoolbook" w:hAnsi="Century Schoolbook"/>
          <w:iCs/>
          <w:sz w:val="27"/>
          <w:szCs w:val="27"/>
        </w:rPr>
        <w:t>,</w:t>
      </w:r>
      <w:r w:rsidRPr="009252C3" w:rsidR="001B2499">
        <w:rPr>
          <w:rFonts w:ascii="Century Schoolbook" w:hAnsi="Century Schoolbook"/>
          <w:iCs/>
          <w:sz w:val="27"/>
          <w:szCs w:val="27"/>
        </w:rPr>
        <w:t xml:space="preserve"> and even vomiting.  After about five minutes, she calmed down </w:t>
      </w:r>
      <w:r w:rsidRPr="009252C3" w:rsidR="003D1797">
        <w:rPr>
          <w:rFonts w:ascii="Century Schoolbook" w:hAnsi="Century Schoolbook"/>
          <w:iCs/>
          <w:sz w:val="27"/>
          <w:szCs w:val="27"/>
        </w:rPr>
        <w:t xml:space="preserve">somewhat, </w:t>
      </w:r>
      <w:r w:rsidRPr="009252C3" w:rsidR="001B2499">
        <w:rPr>
          <w:rFonts w:ascii="Century Schoolbook" w:hAnsi="Century Schoolbook"/>
          <w:iCs/>
          <w:sz w:val="27"/>
          <w:szCs w:val="27"/>
        </w:rPr>
        <w:t>though s</w:t>
      </w:r>
      <w:r w:rsidRPr="009252C3" w:rsidR="003D1797">
        <w:rPr>
          <w:rFonts w:ascii="Century Schoolbook" w:hAnsi="Century Schoolbook"/>
          <w:iCs/>
          <w:sz w:val="27"/>
          <w:szCs w:val="27"/>
        </w:rPr>
        <w:t>he was still crying,</w:t>
      </w:r>
      <w:r w:rsidRPr="009252C3" w:rsidR="001B2499">
        <w:rPr>
          <w:rFonts w:ascii="Century Schoolbook" w:hAnsi="Century Schoolbook"/>
          <w:iCs/>
          <w:sz w:val="27"/>
          <w:szCs w:val="27"/>
        </w:rPr>
        <w:t xml:space="preserve"> and agreed to talk with them.  She then answered their questions in detail, including identifying the bracelet and blanket, and signed a written statement.  Statements made to law enforcement officers in an interview primarily designed to obtain evidence of a past crime are considered testimonial.  </w:t>
      </w:r>
      <w:r w:rsidRPr="009252C3" w:rsidR="003C419B">
        <w:rPr>
          <w:rFonts w:ascii="Century Schoolbook" w:hAnsi="Century Schoolbook"/>
          <w:iCs/>
          <w:sz w:val="27"/>
          <w:szCs w:val="27"/>
        </w:rPr>
        <w:t>(</w:t>
      </w:r>
      <w:r w:rsidRPr="009252C3" w:rsidR="003C419B">
        <w:rPr>
          <w:rFonts w:ascii="Century Schoolbook" w:hAnsi="Century Schoolbook"/>
          <w:i/>
          <w:iCs/>
          <w:sz w:val="27"/>
          <w:szCs w:val="27"/>
        </w:rPr>
        <w:t>Davis v. Washington</w:t>
      </w:r>
      <w:r w:rsidRPr="009252C3" w:rsidR="003C419B">
        <w:rPr>
          <w:rFonts w:ascii="Century Schoolbook" w:hAnsi="Century Schoolbook"/>
          <w:iCs/>
          <w:sz w:val="27"/>
          <w:szCs w:val="27"/>
        </w:rPr>
        <w:t xml:space="preserve"> (2006) 547 U.S. 813, 829</w:t>
      </w:r>
      <w:r w:rsidRPr="009252C3" w:rsidR="002B468B">
        <w:rPr>
          <w:rFonts w:ascii="Century Schoolbook" w:hAnsi="Century Schoolbook"/>
          <w:sz w:val="27"/>
          <w:szCs w:val="27"/>
        </w:rPr>
        <w:t>–</w:t>
      </w:r>
      <w:r w:rsidRPr="009252C3" w:rsidR="003C419B">
        <w:rPr>
          <w:rFonts w:ascii="Century Schoolbook" w:hAnsi="Century Schoolbook"/>
          <w:iCs/>
          <w:sz w:val="27"/>
          <w:szCs w:val="27"/>
        </w:rPr>
        <w:t>831;</w:t>
      </w:r>
      <w:r w:rsidRPr="009252C3" w:rsidR="005E13EB">
        <w:rPr>
          <w:rFonts w:ascii="Century Schoolbook" w:hAnsi="Century Schoolbook"/>
          <w:iCs/>
          <w:sz w:val="27"/>
          <w:szCs w:val="27"/>
        </w:rPr>
        <w:t xml:space="preserve"> </w:t>
      </w:r>
      <w:r w:rsidRPr="009252C3" w:rsidR="005E13EB">
        <w:rPr>
          <w:rFonts w:ascii="Century Schoolbook" w:hAnsi="Century Schoolbook"/>
          <w:i/>
          <w:iCs/>
          <w:sz w:val="27"/>
          <w:szCs w:val="27"/>
        </w:rPr>
        <w:t>Crawford</w:t>
      </w:r>
      <w:r w:rsidRPr="009252C3" w:rsidR="005E13EB">
        <w:rPr>
          <w:rFonts w:ascii="Century Schoolbook" w:hAnsi="Century Schoolbook"/>
          <w:iCs/>
          <w:sz w:val="27"/>
          <w:szCs w:val="27"/>
        </w:rPr>
        <w:t xml:space="preserve">, </w:t>
      </w:r>
      <w:r w:rsidRPr="009252C3" w:rsidR="005E13EB">
        <w:rPr>
          <w:rFonts w:ascii="Century Schoolbook" w:hAnsi="Century Schoolbook"/>
          <w:i/>
          <w:iCs/>
          <w:sz w:val="27"/>
          <w:szCs w:val="27"/>
        </w:rPr>
        <w:t>supra</w:t>
      </w:r>
      <w:r w:rsidRPr="009252C3" w:rsidR="005E13EB">
        <w:rPr>
          <w:rFonts w:ascii="Century Schoolbook" w:hAnsi="Century Schoolbook"/>
          <w:iCs/>
          <w:sz w:val="27"/>
          <w:szCs w:val="27"/>
        </w:rPr>
        <w:t>, 541 U.S. at p.</w:t>
      </w:r>
      <w:r w:rsidRPr="009252C3" w:rsidR="002B468B">
        <w:rPr>
          <w:rFonts w:ascii="Century Schoolbook" w:hAnsi="Century Schoolbook"/>
          <w:iCs/>
          <w:sz w:val="27"/>
          <w:szCs w:val="27"/>
        </w:rPr>
        <w:t> </w:t>
      </w:r>
      <w:r w:rsidRPr="009252C3" w:rsidR="005E13EB">
        <w:rPr>
          <w:rFonts w:ascii="Century Schoolbook" w:hAnsi="Century Schoolbook"/>
          <w:iCs/>
          <w:sz w:val="27"/>
          <w:szCs w:val="27"/>
        </w:rPr>
        <w:t xml:space="preserve">53, fn. 4; </w:t>
      </w:r>
      <w:r w:rsidRPr="009252C3" w:rsidR="003C419B">
        <w:rPr>
          <w:rFonts w:ascii="Century Schoolbook" w:hAnsi="Century Schoolbook"/>
          <w:i/>
          <w:iCs/>
          <w:sz w:val="27"/>
          <w:szCs w:val="27"/>
        </w:rPr>
        <w:t>People v. Cage</w:t>
      </w:r>
      <w:r w:rsidRPr="009252C3" w:rsidR="003C419B">
        <w:rPr>
          <w:rFonts w:ascii="Century Schoolbook" w:hAnsi="Century Schoolbook"/>
          <w:iCs/>
          <w:sz w:val="27"/>
          <w:szCs w:val="27"/>
        </w:rPr>
        <w:t xml:space="preserve"> (2007) 40 Cal.4th 965, 984.)</w:t>
      </w:r>
      <w:r w:rsidRPr="009252C3" w:rsidR="00F1759B">
        <w:rPr>
          <w:rFonts w:ascii="Century Schoolbook" w:hAnsi="Century Schoolbook"/>
          <w:iCs/>
          <w:sz w:val="27"/>
          <w:szCs w:val="27"/>
        </w:rPr>
        <w:t xml:space="preserve">  As defendant had no opportunity to cross</w:t>
      </w:r>
      <w:r w:rsidRPr="009252C3" w:rsidR="00F1759B">
        <w:rPr>
          <w:rFonts w:ascii="Century Schoolbook" w:hAnsi="Century Schoolbook"/>
          <w:iCs/>
          <w:sz w:val="27"/>
          <w:szCs w:val="27"/>
        </w:rPr>
        <w:noBreakHyphen/>
        <w:t xml:space="preserve">examine the declarant, </w:t>
      </w:r>
      <w:r w:rsidR="00E13368">
        <w:rPr>
          <w:rFonts w:ascii="Century Schoolbook" w:hAnsi="Century Schoolbook"/>
          <w:iCs/>
          <w:sz w:val="27"/>
          <w:szCs w:val="27"/>
        </w:rPr>
        <w:t>Lynnette</w:t>
      </w:r>
      <w:r w:rsidR="0088121D">
        <w:rPr>
          <w:rFonts w:ascii="Century Schoolbook" w:hAnsi="Century Schoolbook"/>
          <w:iCs/>
          <w:sz w:val="27"/>
          <w:szCs w:val="27"/>
        </w:rPr>
        <w:t>’s</w:t>
      </w:r>
      <w:r w:rsidRPr="009252C3" w:rsidR="00F1759B">
        <w:rPr>
          <w:rFonts w:ascii="Century Schoolbook" w:hAnsi="Century Schoolbook"/>
          <w:iCs/>
          <w:sz w:val="27"/>
          <w:szCs w:val="27"/>
        </w:rPr>
        <w:t xml:space="preserve"> statements were inadmissible under the rule of </w:t>
      </w:r>
      <w:r w:rsidRPr="009252C3" w:rsidR="00F1759B">
        <w:rPr>
          <w:rFonts w:ascii="Century Schoolbook" w:hAnsi="Century Schoolbook"/>
          <w:i/>
          <w:iCs/>
          <w:sz w:val="27"/>
          <w:szCs w:val="27"/>
        </w:rPr>
        <w:t>Crawford</w:t>
      </w:r>
      <w:r w:rsidRPr="009252C3" w:rsidR="00F1759B">
        <w:rPr>
          <w:rFonts w:ascii="Century Schoolbook" w:hAnsi="Century Schoolbook"/>
          <w:iCs/>
          <w:sz w:val="27"/>
          <w:szCs w:val="27"/>
        </w:rPr>
        <w:t>.</w:t>
      </w:r>
    </w:p>
    <w:p w:rsidR="001429BF" w:rsidRPr="009252C3" w:rsidP="009252C3">
      <w:pPr>
        <w:pStyle w:val="Text"/>
        <w:spacing w:before="100" w:line="400" w:lineRule="exact"/>
        <w:ind w:firstLine="720"/>
        <w:jc w:val="both"/>
        <w:rPr>
          <w:rFonts w:ascii="Century Schoolbook" w:hAnsi="Century Schoolbook"/>
          <w:iCs/>
          <w:sz w:val="27"/>
          <w:szCs w:val="27"/>
        </w:rPr>
      </w:pPr>
      <w:r w:rsidRPr="009252C3">
        <w:rPr>
          <w:rFonts w:ascii="Century Schoolbook" w:hAnsi="Century Schoolbook"/>
          <w:iCs/>
          <w:sz w:val="27"/>
          <w:szCs w:val="27"/>
        </w:rPr>
        <w:t>We are</w:t>
      </w:r>
      <w:r w:rsidRPr="009252C3">
        <w:rPr>
          <w:rFonts w:ascii="Century Schoolbook" w:hAnsi="Century Schoolbook"/>
          <w:iCs/>
          <w:sz w:val="27"/>
          <w:szCs w:val="27"/>
        </w:rPr>
        <w:t>, however,</w:t>
      </w:r>
      <w:r w:rsidRPr="009252C3">
        <w:rPr>
          <w:rFonts w:ascii="Century Schoolbook" w:hAnsi="Century Schoolbook"/>
          <w:iCs/>
          <w:sz w:val="27"/>
          <w:szCs w:val="27"/>
        </w:rPr>
        <w:t xml:space="preserve"> convinced beyond a reasonable doubt</w:t>
      </w:r>
      <w:r w:rsidRPr="009252C3">
        <w:rPr>
          <w:rFonts w:ascii="Century Schoolbook" w:hAnsi="Century Schoolbook"/>
          <w:iCs/>
          <w:sz w:val="27"/>
          <w:szCs w:val="27"/>
        </w:rPr>
        <w:t xml:space="preserve"> </w:t>
      </w:r>
      <w:r w:rsidRPr="009252C3">
        <w:rPr>
          <w:rFonts w:ascii="Century Schoolbook" w:hAnsi="Century Schoolbook"/>
          <w:iCs/>
          <w:sz w:val="27"/>
          <w:szCs w:val="27"/>
        </w:rPr>
        <w:t xml:space="preserve">that </w:t>
      </w:r>
      <w:r w:rsidRPr="009252C3" w:rsidR="001B2499">
        <w:rPr>
          <w:rFonts w:ascii="Century Schoolbook" w:hAnsi="Century Schoolbook"/>
          <w:iCs/>
          <w:sz w:val="27"/>
          <w:szCs w:val="27"/>
        </w:rPr>
        <w:t>this federal constitutional violation did not affect the jury’s verdict</w:t>
      </w:r>
      <w:r w:rsidRPr="009252C3">
        <w:rPr>
          <w:rFonts w:ascii="Century Schoolbook" w:hAnsi="Century Schoolbook"/>
          <w:iCs/>
          <w:sz w:val="27"/>
          <w:szCs w:val="27"/>
        </w:rPr>
        <w:t>.</w:t>
      </w:r>
      <w:r w:rsidRPr="009252C3" w:rsidR="001B2499">
        <w:rPr>
          <w:rFonts w:ascii="Century Schoolbook" w:hAnsi="Century Schoolbook"/>
          <w:iCs/>
          <w:sz w:val="27"/>
          <w:szCs w:val="27"/>
        </w:rPr>
        <w:t xml:space="preserve"> </w:t>
      </w:r>
      <w:r w:rsidRPr="009252C3">
        <w:rPr>
          <w:rFonts w:ascii="Century Schoolbook" w:hAnsi="Century Schoolbook"/>
          <w:iCs/>
          <w:sz w:val="27"/>
          <w:szCs w:val="27"/>
        </w:rPr>
        <w:t xml:space="preserve"> </w:t>
      </w:r>
      <w:r w:rsidRPr="009252C3" w:rsidR="00231AEC">
        <w:rPr>
          <w:rFonts w:ascii="Century Schoolbook" w:hAnsi="Century Schoolbook"/>
          <w:iCs/>
          <w:sz w:val="27"/>
          <w:szCs w:val="27"/>
        </w:rPr>
        <w:t>(</w:t>
      </w:r>
      <w:r w:rsidRPr="009252C3" w:rsidR="00231AEC">
        <w:rPr>
          <w:rFonts w:ascii="Century Schoolbook" w:hAnsi="Century Schoolbook"/>
          <w:i/>
          <w:iCs/>
          <w:sz w:val="27"/>
          <w:szCs w:val="27"/>
        </w:rPr>
        <w:t>Chapman v.</w:t>
      </w:r>
      <w:r w:rsidRPr="009252C3" w:rsidR="00231AEC">
        <w:rPr>
          <w:rFonts w:ascii="Century Schoolbook" w:hAnsi="Century Schoolbook"/>
          <w:iCs/>
          <w:sz w:val="27"/>
          <w:szCs w:val="27"/>
        </w:rPr>
        <w:t xml:space="preserve"> </w:t>
      </w:r>
      <w:r w:rsidRPr="009252C3" w:rsidR="00231AEC">
        <w:rPr>
          <w:rFonts w:ascii="Century Schoolbook" w:hAnsi="Century Schoolbook"/>
          <w:i/>
          <w:iCs/>
          <w:sz w:val="27"/>
          <w:szCs w:val="27"/>
        </w:rPr>
        <w:t xml:space="preserve">California </w:t>
      </w:r>
      <w:r w:rsidRPr="009252C3" w:rsidR="00231AEC">
        <w:rPr>
          <w:rFonts w:ascii="Century Schoolbook" w:hAnsi="Century Schoolbook"/>
          <w:iCs/>
          <w:sz w:val="27"/>
          <w:szCs w:val="27"/>
        </w:rPr>
        <w:t>(1967) 386 U.S. 18, 24</w:t>
      </w:r>
      <w:r w:rsidR="00ED3E82">
        <w:rPr>
          <w:rFonts w:ascii="Century Schoolbook" w:hAnsi="Century Schoolbook"/>
          <w:iCs/>
          <w:sz w:val="27"/>
          <w:szCs w:val="27"/>
        </w:rPr>
        <w:t>.</w:t>
      </w:r>
      <w:r w:rsidRPr="009252C3" w:rsidR="00231AEC">
        <w:rPr>
          <w:rFonts w:ascii="Century Schoolbook" w:hAnsi="Century Schoolbook"/>
          <w:iCs/>
          <w:sz w:val="27"/>
          <w:szCs w:val="27"/>
        </w:rPr>
        <w:t>)</w:t>
      </w:r>
      <w:r w:rsidR="00ED3E82">
        <w:rPr>
          <w:rFonts w:ascii="Century Schoolbook" w:hAnsi="Century Schoolbook"/>
          <w:iCs/>
          <w:sz w:val="27"/>
          <w:szCs w:val="27"/>
        </w:rPr>
        <w:t xml:space="preserve">  B</w:t>
      </w:r>
      <w:r w:rsidRPr="009252C3">
        <w:rPr>
          <w:rFonts w:ascii="Century Schoolbook" w:hAnsi="Century Schoolbook"/>
          <w:iCs/>
          <w:sz w:val="27"/>
          <w:szCs w:val="27"/>
        </w:rPr>
        <w:t xml:space="preserve">ecause this harmlessness standard is more demanding than that applicable to errors under California evidence law </w:t>
      </w:r>
      <w:r w:rsidRPr="009252C3" w:rsidR="00231AEC">
        <w:rPr>
          <w:rFonts w:ascii="Century Schoolbook" w:hAnsi="Century Schoolbook"/>
          <w:iCs/>
          <w:sz w:val="27"/>
          <w:szCs w:val="27"/>
        </w:rPr>
        <w:t>(</w:t>
      </w:r>
      <w:r w:rsidRPr="009252C3" w:rsidR="00231AEC">
        <w:rPr>
          <w:rFonts w:ascii="Century Schoolbook" w:hAnsi="Century Schoolbook"/>
          <w:i/>
          <w:iCs/>
          <w:sz w:val="27"/>
          <w:szCs w:val="27"/>
        </w:rPr>
        <w:t xml:space="preserve">People v. Watson </w:t>
      </w:r>
      <w:r w:rsidRPr="009252C3" w:rsidR="00231AEC">
        <w:rPr>
          <w:rFonts w:ascii="Century Schoolbook" w:hAnsi="Century Schoolbook"/>
          <w:iCs/>
          <w:sz w:val="27"/>
          <w:szCs w:val="27"/>
        </w:rPr>
        <w:t xml:space="preserve">(1956) 46 </w:t>
      </w:r>
      <w:r w:rsidRPr="009252C3" w:rsidR="00242A5B">
        <w:rPr>
          <w:rFonts w:ascii="Century Schoolbook" w:hAnsi="Century Schoolbook"/>
          <w:iCs/>
          <w:sz w:val="27"/>
          <w:szCs w:val="27"/>
        </w:rPr>
        <w:t>Cal.2d</w:t>
      </w:r>
      <w:r w:rsidRPr="009252C3" w:rsidR="00231AEC">
        <w:rPr>
          <w:rFonts w:ascii="Century Schoolbook" w:hAnsi="Century Schoolbook"/>
          <w:iCs/>
          <w:sz w:val="27"/>
          <w:szCs w:val="27"/>
        </w:rPr>
        <w:t xml:space="preserve"> 818, 836)</w:t>
      </w:r>
      <w:r w:rsidRPr="009252C3">
        <w:rPr>
          <w:rFonts w:ascii="Century Schoolbook" w:hAnsi="Century Schoolbook"/>
          <w:iCs/>
          <w:sz w:val="27"/>
          <w:szCs w:val="27"/>
        </w:rPr>
        <w:t xml:space="preserve">, we need not decide whether the trial court erred in finding either of the posited hearsay exceptions applicable.  </w:t>
      </w:r>
      <w:r w:rsidRPr="009252C3" w:rsidR="00FA056D">
        <w:rPr>
          <w:rFonts w:ascii="Century Schoolbook" w:hAnsi="Century Schoolbook"/>
          <w:iCs/>
          <w:sz w:val="27"/>
          <w:szCs w:val="27"/>
        </w:rPr>
        <w:t xml:space="preserve">Other evidence more strongly tied the murder to defendant’s truck, especially Michael’s footprints on the inside of the windshield and </w:t>
      </w:r>
      <w:r w:rsidRPr="009252C3" w:rsidR="00DC6E9D">
        <w:rPr>
          <w:rFonts w:ascii="Century Schoolbook" w:hAnsi="Century Schoolbook"/>
          <w:iCs/>
          <w:sz w:val="27"/>
          <w:szCs w:val="27"/>
        </w:rPr>
        <w:t xml:space="preserve">his </w:t>
      </w:r>
      <w:r w:rsidRPr="009252C3" w:rsidR="00FA056D">
        <w:rPr>
          <w:rFonts w:ascii="Century Schoolbook" w:hAnsi="Century Schoolbook"/>
          <w:iCs/>
          <w:sz w:val="27"/>
          <w:szCs w:val="27"/>
        </w:rPr>
        <w:t xml:space="preserve">blood on defendant’s knife, which police found on the </w:t>
      </w:r>
      <w:r w:rsidRPr="009252C3" w:rsidR="00DC6E9D">
        <w:rPr>
          <w:rFonts w:ascii="Century Schoolbook" w:hAnsi="Century Schoolbook"/>
          <w:iCs/>
          <w:sz w:val="27"/>
          <w:szCs w:val="27"/>
        </w:rPr>
        <w:t xml:space="preserve">truck </w:t>
      </w:r>
      <w:r w:rsidRPr="009252C3" w:rsidR="00FA056D">
        <w:rPr>
          <w:rFonts w:ascii="Century Schoolbook" w:hAnsi="Century Schoolbook"/>
          <w:iCs/>
          <w:sz w:val="27"/>
          <w:szCs w:val="27"/>
        </w:rPr>
        <w:t xml:space="preserve">tailgate.  Moreover, the </w:t>
      </w:r>
      <w:r w:rsidRPr="009252C3" w:rsidR="00DC6E9D">
        <w:rPr>
          <w:rFonts w:ascii="Century Schoolbook" w:hAnsi="Century Schoolbook"/>
          <w:iCs/>
          <w:sz w:val="27"/>
          <w:szCs w:val="27"/>
        </w:rPr>
        <w:t xml:space="preserve">bracelet’s </w:t>
      </w:r>
      <w:r w:rsidRPr="009252C3" w:rsidR="00FA056D">
        <w:rPr>
          <w:rFonts w:ascii="Century Schoolbook" w:hAnsi="Century Schoolbook"/>
          <w:iCs/>
          <w:sz w:val="27"/>
          <w:szCs w:val="27"/>
        </w:rPr>
        <w:t xml:space="preserve">owner identified it as one she had </w:t>
      </w:r>
      <w:r w:rsidRPr="009252C3" w:rsidR="00F1759B">
        <w:rPr>
          <w:rFonts w:ascii="Century Schoolbook" w:hAnsi="Century Schoolbook"/>
          <w:iCs/>
          <w:sz w:val="27"/>
          <w:szCs w:val="27"/>
        </w:rPr>
        <w:t xml:space="preserve">recently </w:t>
      </w:r>
      <w:r w:rsidRPr="009252C3" w:rsidR="00FA056D">
        <w:rPr>
          <w:rFonts w:ascii="Century Schoolbook" w:hAnsi="Century Schoolbook"/>
          <w:iCs/>
          <w:sz w:val="27"/>
          <w:szCs w:val="27"/>
        </w:rPr>
        <w:t xml:space="preserve">placed with other belongings in </w:t>
      </w:r>
      <w:r w:rsidRPr="009252C3" w:rsidR="00F1759B">
        <w:rPr>
          <w:rFonts w:ascii="Century Schoolbook" w:hAnsi="Century Schoolbook"/>
          <w:iCs/>
          <w:sz w:val="27"/>
          <w:szCs w:val="27"/>
        </w:rPr>
        <w:t>the</w:t>
      </w:r>
      <w:r w:rsidRPr="009252C3" w:rsidR="00FA056D">
        <w:rPr>
          <w:rFonts w:ascii="Century Schoolbook" w:hAnsi="Century Schoolbook"/>
          <w:iCs/>
          <w:sz w:val="27"/>
          <w:szCs w:val="27"/>
        </w:rPr>
        <w:t xml:space="preserve"> truck.  </w:t>
      </w:r>
      <w:r w:rsidRPr="009252C3" w:rsidR="00182267">
        <w:rPr>
          <w:rFonts w:ascii="Century Schoolbook" w:hAnsi="Century Schoolbook"/>
          <w:iCs/>
          <w:sz w:val="27"/>
          <w:szCs w:val="27"/>
        </w:rPr>
        <w:t xml:space="preserve">And </w:t>
      </w:r>
      <w:r w:rsidRPr="009252C3" w:rsidR="00DC6E9D">
        <w:rPr>
          <w:rFonts w:ascii="Century Schoolbook" w:hAnsi="Century Schoolbook"/>
          <w:iCs/>
          <w:sz w:val="27"/>
          <w:szCs w:val="27"/>
        </w:rPr>
        <w:t xml:space="preserve">defendant was linked to the murder by </w:t>
      </w:r>
      <w:r w:rsidRPr="009252C3" w:rsidR="00182267">
        <w:rPr>
          <w:rFonts w:ascii="Century Schoolbook" w:hAnsi="Century Schoolbook"/>
          <w:iCs/>
          <w:sz w:val="27"/>
          <w:szCs w:val="27"/>
        </w:rPr>
        <w:t xml:space="preserve">other physical evidence, including the blood on </w:t>
      </w:r>
      <w:r w:rsidRPr="009252C3" w:rsidR="002408B2">
        <w:rPr>
          <w:rFonts w:ascii="Century Schoolbook" w:hAnsi="Century Schoolbook"/>
          <w:iCs/>
          <w:sz w:val="27"/>
          <w:szCs w:val="27"/>
        </w:rPr>
        <w:t>his</w:t>
      </w:r>
      <w:r w:rsidRPr="009252C3" w:rsidR="00182267">
        <w:rPr>
          <w:rFonts w:ascii="Century Schoolbook" w:hAnsi="Century Schoolbook"/>
          <w:iCs/>
          <w:sz w:val="27"/>
          <w:szCs w:val="27"/>
        </w:rPr>
        <w:t xml:space="preserve"> clothing, </w:t>
      </w:r>
      <w:r w:rsidRPr="009252C3" w:rsidR="00F1759B">
        <w:rPr>
          <w:rFonts w:ascii="Century Schoolbook" w:hAnsi="Century Schoolbook"/>
          <w:iCs/>
          <w:sz w:val="27"/>
          <w:szCs w:val="27"/>
        </w:rPr>
        <w:t xml:space="preserve">the fiber found in his pubic area, </w:t>
      </w:r>
      <w:r w:rsidRPr="009252C3" w:rsidR="00CC718E">
        <w:rPr>
          <w:rFonts w:ascii="Century Schoolbook" w:hAnsi="Century Schoolbook"/>
          <w:iCs/>
          <w:sz w:val="27"/>
          <w:szCs w:val="27"/>
        </w:rPr>
        <w:t xml:space="preserve">and </w:t>
      </w:r>
      <w:r w:rsidRPr="009252C3" w:rsidR="00182267">
        <w:rPr>
          <w:rFonts w:ascii="Century Schoolbook" w:hAnsi="Century Schoolbook"/>
          <w:iCs/>
          <w:sz w:val="27"/>
          <w:szCs w:val="27"/>
        </w:rPr>
        <w:t>the pubic hairs on Michael’s clothing</w:t>
      </w:r>
      <w:r w:rsidRPr="009252C3" w:rsidR="00DC6E9D">
        <w:rPr>
          <w:rFonts w:ascii="Century Schoolbook" w:hAnsi="Century Schoolbook"/>
          <w:iCs/>
          <w:sz w:val="27"/>
          <w:szCs w:val="27"/>
        </w:rPr>
        <w:t xml:space="preserve"> </w:t>
      </w:r>
      <w:r w:rsidRPr="009252C3" w:rsidR="00182267">
        <w:rPr>
          <w:rFonts w:ascii="Century Schoolbook" w:hAnsi="Century Schoolbook"/>
          <w:iCs/>
          <w:sz w:val="27"/>
          <w:szCs w:val="27"/>
        </w:rPr>
        <w:t>and the footprints in the mud near Michael’s body</w:t>
      </w:r>
      <w:r w:rsidRPr="009252C3" w:rsidR="00DC6E9D">
        <w:rPr>
          <w:rFonts w:ascii="Century Schoolbook" w:hAnsi="Century Schoolbook"/>
          <w:iCs/>
          <w:sz w:val="27"/>
          <w:szCs w:val="27"/>
        </w:rPr>
        <w:t>, both</w:t>
      </w:r>
      <w:r w:rsidRPr="009252C3" w:rsidR="00CC718E">
        <w:rPr>
          <w:rFonts w:ascii="Century Schoolbook" w:hAnsi="Century Schoolbook"/>
          <w:iCs/>
          <w:sz w:val="27"/>
          <w:szCs w:val="27"/>
        </w:rPr>
        <w:t xml:space="preserve"> of which were</w:t>
      </w:r>
      <w:r w:rsidRPr="009252C3" w:rsidR="00DC6E9D">
        <w:rPr>
          <w:rFonts w:ascii="Century Schoolbook" w:hAnsi="Century Schoolbook"/>
          <w:iCs/>
          <w:sz w:val="27"/>
          <w:szCs w:val="27"/>
        </w:rPr>
        <w:t xml:space="preserve"> consistent with defendant’s.</w:t>
      </w:r>
    </w:p>
    <w:p w:rsidR="00F166E2" w:rsidRPr="009252C3" w:rsidP="009252C3">
      <w:pPr>
        <w:pStyle w:val="Text"/>
        <w:spacing w:before="100" w:line="400" w:lineRule="exact"/>
        <w:ind w:firstLine="720"/>
        <w:jc w:val="both"/>
        <w:rPr>
          <w:rFonts w:ascii="Century Schoolbook" w:hAnsi="Century Schoolbook"/>
          <w:iCs/>
          <w:sz w:val="27"/>
          <w:szCs w:val="27"/>
        </w:rPr>
      </w:pPr>
      <w:r w:rsidRPr="009252C3">
        <w:rPr>
          <w:rFonts w:ascii="Century Schoolbook" w:hAnsi="Century Schoolbook"/>
          <w:iCs/>
          <w:sz w:val="27"/>
          <w:szCs w:val="27"/>
        </w:rPr>
        <w:t xml:space="preserve">Defendant argues the hearsay statements </w:t>
      </w:r>
      <w:r w:rsidRPr="009252C3" w:rsidR="001429BF">
        <w:rPr>
          <w:rFonts w:ascii="Century Schoolbook" w:hAnsi="Century Schoolbook"/>
          <w:iCs/>
          <w:sz w:val="27"/>
          <w:szCs w:val="27"/>
        </w:rPr>
        <w:t xml:space="preserve">were particularly damaging in that they </w:t>
      </w:r>
      <w:r w:rsidRPr="009252C3">
        <w:rPr>
          <w:rFonts w:ascii="Century Schoolbook" w:hAnsi="Century Schoolbook"/>
          <w:iCs/>
          <w:sz w:val="27"/>
          <w:szCs w:val="27"/>
        </w:rPr>
        <w:t xml:space="preserve">tended to show </w:t>
      </w:r>
      <w:r w:rsidR="00ED3E82">
        <w:rPr>
          <w:rFonts w:ascii="Century Schoolbook" w:hAnsi="Century Schoolbook"/>
          <w:iCs/>
          <w:sz w:val="27"/>
          <w:szCs w:val="27"/>
        </w:rPr>
        <w:t>Lynnette</w:t>
      </w:r>
      <w:r w:rsidRPr="009252C3" w:rsidR="001429BF">
        <w:rPr>
          <w:rFonts w:ascii="Century Schoolbook" w:hAnsi="Century Schoolbook"/>
          <w:iCs/>
          <w:sz w:val="27"/>
          <w:szCs w:val="27"/>
        </w:rPr>
        <w:t xml:space="preserve"> </w:t>
      </w:r>
      <w:r w:rsidRPr="009252C3">
        <w:rPr>
          <w:rFonts w:ascii="Century Schoolbook" w:hAnsi="Century Schoolbook"/>
          <w:iCs/>
          <w:sz w:val="27"/>
          <w:szCs w:val="27"/>
        </w:rPr>
        <w:t>had “turned on” defendant and believed him guilty, but in comparison to the physical evidence tying the murder to defendant such an implication bore little if any significance.</w:t>
      </w:r>
      <w:r w:rsidRPr="009252C3" w:rsidR="00F1759B">
        <w:rPr>
          <w:rFonts w:ascii="Century Schoolbook" w:hAnsi="Century Schoolbook"/>
          <w:iCs/>
          <w:sz w:val="27"/>
          <w:szCs w:val="27"/>
        </w:rPr>
        <w:t xml:space="preserve">  Admission of </w:t>
      </w:r>
      <w:r w:rsidR="00ED3E82">
        <w:rPr>
          <w:rFonts w:ascii="Century Schoolbook" w:hAnsi="Century Schoolbook"/>
          <w:iCs/>
          <w:sz w:val="27"/>
          <w:szCs w:val="27"/>
        </w:rPr>
        <w:t>Lynnette</w:t>
      </w:r>
      <w:r w:rsidRPr="009252C3" w:rsidR="002B3E8E">
        <w:rPr>
          <w:rFonts w:ascii="Century Schoolbook" w:hAnsi="Century Schoolbook"/>
          <w:iCs/>
          <w:sz w:val="27"/>
          <w:szCs w:val="27"/>
        </w:rPr>
        <w:t>’s</w:t>
      </w:r>
      <w:r w:rsidRPr="009252C3" w:rsidR="00F1759B">
        <w:rPr>
          <w:rFonts w:ascii="Century Schoolbook" w:hAnsi="Century Schoolbook"/>
          <w:iCs/>
          <w:sz w:val="27"/>
          <w:szCs w:val="27"/>
        </w:rPr>
        <w:t xml:space="preserve"> statements, though error under the confrontation clause, was harmless beyond a reasonable doubt.</w:t>
      </w:r>
    </w:p>
    <w:p w:rsidR="00F166E2" w:rsidRPr="009252C3" w:rsidP="009252C3">
      <w:pPr>
        <w:pStyle w:val="Heading3"/>
        <w:spacing w:before="100" w:line="400" w:lineRule="exact"/>
        <w:ind w:left="0" w:firstLine="720"/>
        <w:jc w:val="both"/>
        <w:rPr>
          <w:rFonts w:ascii="Century Schoolbook" w:hAnsi="Century Schoolbook"/>
          <w:b/>
          <w:i w:val="0"/>
          <w:sz w:val="27"/>
          <w:szCs w:val="27"/>
        </w:rPr>
      </w:pPr>
      <w:bookmarkStart w:id="9" w:name="_Toc3365811"/>
      <w:r w:rsidRPr="009252C3">
        <w:rPr>
          <w:rFonts w:ascii="Century Schoolbook" w:hAnsi="Century Schoolbook"/>
          <w:b/>
          <w:i w:val="0"/>
          <w:sz w:val="27"/>
          <w:szCs w:val="27"/>
        </w:rPr>
        <w:t xml:space="preserve">III.  Admission of Defendant’s Remark Overheard </w:t>
      </w:r>
      <w:r w:rsidR="00F7276C">
        <w:rPr>
          <w:rFonts w:ascii="Century Schoolbook" w:hAnsi="Century Schoolbook"/>
          <w:b/>
          <w:i w:val="0"/>
          <w:sz w:val="27"/>
          <w:szCs w:val="27"/>
        </w:rPr>
        <w:br/>
        <w:t xml:space="preserve">                  </w:t>
      </w:r>
      <w:r w:rsidRPr="009252C3">
        <w:rPr>
          <w:rFonts w:ascii="Century Schoolbook" w:hAnsi="Century Schoolbook"/>
          <w:b/>
          <w:i w:val="0"/>
          <w:sz w:val="27"/>
          <w:szCs w:val="27"/>
        </w:rPr>
        <w:t xml:space="preserve">by </w:t>
      </w:r>
      <w:r w:rsidRPr="009252C3" w:rsidR="009B675C">
        <w:rPr>
          <w:rFonts w:ascii="Century Schoolbook" w:hAnsi="Century Schoolbook"/>
          <w:b/>
          <w:i w:val="0"/>
          <w:sz w:val="27"/>
          <w:szCs w:val="27"/>
        </w:rPr>
        <w:t>Deputy</w:t>
      </w:r>
      <w:bookmarkEnd w:id="9"/>
    </w:p>
    <w:p w:rsidR="000B017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As noted, </w:t>
      </w:r>
      <w:r w:rsidRPr="009252C3" w:rsidR="00C95688">
        <w:rPr>
          <w:rFonts w:ascii="Century Schoolbook" w:hAnsi="Century Schoolbook"/>
          <w:sz w:val="27"/>
          <w:szCs w:val="27"/>
        </w:rPr>
        <w:t>Sheriff’s Deputy Carlton Dinwiddie testif</w:t>
      </w:r>
      <w:r w:rsidRPr="009252C3" w:rsidR="00DC6E9D">
        <w:rPr>
          <w:rFonts w:ascii="Century Schoolbook" w:hAnsi="Century Schoolbook"/>
          <w:sz w:val="27"/>
          <w:szCs w:val="27"/>
        </w:rPr>
        <w:t>ied</w:t>
      </w:r>
      <w:r w:rsidRPr="009252C3" w:rsidR="00C95688">
        <w:rPr>
          <w:rFonts w:ascii="Century Schoolbook" w:hAnsi="Century Schoolbook"/>
          <w:sz w:val="27"/>
          <w:szCs w:val="27"/>
        </w:rPr>
        <w:t xml:space="preserve"> that during a recess in the preliminary hearing, he overheard defendant </w:t>
      </w:r>
      <w:r w:rsidRPr="009252C3" w:rsidR="002B0019">
        <w:rPr>
          <w:rFonts w:ascii="Century Schoolbook" w:hAnsi="Century Schoolbook"/>
          <w:sz w:val="27"/>
          <w:szCs w:val="27"/>
        </w:rPr>
        <w:t>say to</w:t>
      </w:r>
      <w:r w:rsidRPr="009252C3" w:rsidR="00C95688">
        <w:rPr>
          <w:rFonts w:ascii="Century Schoolbook" w:hAnsi="Century Schoolbook"/>
          <w:sz w:val="27"/>
          <w:szCs w:val="27"/>
        </w:rPr>
        <w:t xml:space="preserve"> his attorney, “I can give them a better time of death than what they have.”  Defendant </w:t>
      </w:r>
      <w:r w:rsidRPr="009252C3">
        <w:rPr>
          <w:rFonts w:ascii="Century Schoolbook" w:hAnsi="Century Schoolbook"/>
          <w:sz w:val="27"/>
          <w:szCs w:val="27"/>
        </w:rPr>
        <w:t xml:space="preserve">renews his </w:t>
      </w:r>
      <w:r w:rsidRPr="009252C3" w:rsidR="00117AFF">
        <w:rPr>
          <w:rFonts w:ascii="Century Schoolbook" w:hAnsi="Century Schoolbook"/>
          <w:sz w:val="27"/>
          <w:szCs w:val="27"/>
        </w:rPr>
        <w:t xml:space="preserve">contention that the statement was within the attorney-client privilege and therefore should have been excluded </w:t>
      </w:r>
      <w:r w:rsidRPr="009252C3" w:rsidR="00C95688">
        <w:rPr>
          <w:rFonts w:ascii="Century Schoolbook" w:hAnsi="Century Schoolbook"/>
          <w:sz w:val="27"/>
          <w:szCs w:val="27"/>
        </w:rPr>
        <w:t>under Evidence Code sections 952 and 954</w:t>
      </w:r>
      <w:r w:rsidRPr="009252C3" w:rsidR="00117AFF">
        <w:rPr>
          <w:rFonts w:ascii="Century Schoolbook" w:hAnsi="Century Schoolbook"/>
          <w:sz w:val="27"/>
          <w:szCs w:val="27"/>
        </w:rPr>
        <w:t>.  He also argues the admission of the statement</w:t>
      </w:r>
      <w:r w:rsidRPr="009252C3" w:rsidR="00C95688">
        <w:rPr>
          <w:rFonts w:ascii="Century Schoolbook" w:hAnsi="Century Schoolbook"/>
          <w:sz w:val="27"/>
          <w:szCs w:val="27"/>
        </w:rPr>
        <w:t xml:space="preserve"> deprived him of his rights to counsel and to a fair trial.  </w:t>
      </w:r>
      <w:r w:rsidRPr="009252C3" w:rsidR="002B0019">
        <w:rPr>
          <w:rFonts w:ascii="Century Schoolbook" w:hAnsi="Century Schoolbook"/>
          <w:sz w:val="27"/>
          <w:szCs w:val="27"/>
        </w:rPr>
        <w:t>We find no error.</w:t>
      </w:r>
    </w:p>
    <w:p w:rsidR="00AC5C91"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Deputy Dinwiddie testified at an in limine hearing to the circumstances in which he overheard the remark:  Dinwiddie and another deputy were assigned to transport and guard defendant at the preliminary hearing.  During a recess after testimony about the time of Michael’s death, defendant, his attorney</w:t>
      </w:r>
      <w:r w:rsidRPr="009252C3" w:rsidR="00CC718E">
        <w:rPr>
          <w:rFonts w:ascii="Century Schoolbook" w:hAnsi="Century Schoolbook"/>
          <w:sz w:val="27"/>
          <w:szCs w:val="27"/>
        </w:rPr>
        <w:t>,</w:t>
      </w:r>
      <w:r w:rsidRPr="009252C3">
        <w:rPr>
          <w:rFonts w:ascii="Century Schoolbook" w:hAnsi="Century Schoolbook"/>
          <w:sz w:val="27"/>
          <w:szCs w:val="27"/>
        </w:rPr>
        <w:t xml:space="preserve"> and the defense investigator went into the jury room to confer.  Each </w:t>
      </w:r>
      <w:r w:rsidRPr="009252C3" w:rsidR="000B3142">
        <w:rPr>
          <w:rFonts w:ascii="Century Schoolbook" w:hAnsi="Century Schoolbook"/>
          <w:sz w:val="27"/>
          <w:szCs w:val="27"/>
        </w:rPr>
        <w:t xml:space="preserve">sheriff’s </w:t>
      </w:r>
      <w:r w:rsidRPr="009252C3">
        <w:rPr>
          <w:rFonts w:ascii="Century Schoolbook" w:hAnsi="Century Schoolbook"/>
          <w:sz w:val="27"/>
          <w:szCs w:val="27"/>
        </w:rPr>
        <w:t xml:space="preserve">deputy sat </w:t>
      </w:r>
      <w:r w:rsidRPr="009252C3" w:rsidR="006F193C">
        <w:rPr>
          <w:rFonts w:ascii="Century Schoolbook" w:hAnsi="Century Schoolbook"/>
          <w:sz w:val="27"/>
          <w:szCs w:val="27"/>
        </w:rPr>
        <w:t>by</w:t>
      </w:r>
      <w:r w:rsidRPr="009252C3">
        <w:rPr>
          <w:rFonts w:ascii="Century Schoolbook" w:hAnsi="Century Schoolbook"/>
          <w:sz w:val="27"/>
          <w:szCs w:val="27"/>
        </w:rPr>
        <w:t xml:space="preserve"> one of the two open doors of the room; Dinwiddie was </w:t>
      </w:r>
      <w:r w:rsidRPr="009252C3" w:rsidR="005E790A">
        <w:rPr>
          <w:rFonts w:ascii="Century Schoolbook" w:hAnsi="Century Schoolbook"/>
          <w:sz w:val="27"/>
          <w:szCs w:val="27"/>
        </w:rPr>
        <w:t xml:space="preserve">about 10 or 15 feet from defendant.  </w:t>
      </w:r>
      <w:r w:rsidRPr="009252C3" w:rsidR="000B3142">
        <w:rPr>
          <w:rFonts w:ascii="Century Schoolbook" w:hAnsi="Century Schoolbook"/>
          <w:sz w:val="27"/>
          <w:szCs w:val="27"/>
        </w:rPr>
        <w:t xml:space="preserve">At first, Dinwiddie could not hear what defendant or the others were saying, but at some point defendant stood up, raised his voice and said, “I can give them a better time of death than what they have.”  Defendant’s attorney told him to be quiet, noting that the walls, or in this case the doors, have ears.  </w:t>
      </w:r>
      <w:r w:rsidRPr="009252C3" w:rsidR="00115980">
        <w:rPr>
          <w:rFonts w:ascii="Century Schoolbook" w:hAnsi="Century Schoolbook"/>
          <w:sz w:val="27"/>
          <w:szCs w:val="27"/>
        </w:rPr>
        <w:t xml:space="preserve">The three men continued their conversation, but Dinwiddie could not hear what </w:t>
      </w:r>
      <w:r w:rsidRPr="009252C3" w:rsidR="00E84EA1">
        <w:rPr>
          <w:rFonts w:ascii="Century Schoolbook" w:hAnsi="Century Schoolbook"/>
          <w:sz w:val="27"/>
          <w:szCs w:val="27"/>
        </w:rPr>
        <w:t xml:space="preserve">more </w:t>
      </w:r>
      <w:r w:rsidRPr="009252C3" w:rsidR="00115980">
        <w:rPr>
          <w:rFonts w:ascii="Century Schoolbook" w:hAnsi="Century Schoolbook"/>
          <w:sz w:val="27"/>
          <w:szCs w:val="27"/>
        </w:rPr>
        <w:t>they said.</w:t>
      </w:r>
    </w:p>
    <w:p w:rsidR="006F193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w:t>
      </w:r>
      <w:r w:rsidRPr="009252C3" w:rsidR="003E37F5">
        <w:rPr>
          <w:rFonts w:ascii="Century Schoolbook" w:hAnsi="Century Schoolbook"/>
          <w:sz w:val="27"/>
          <w:szCs w:val="27"/>
        </w:rPr>
        <w:t>efendant’s statement was not a confidential communication protected by the attorney-client privilege.  (Evid. Code, §</w:t>
      </w:r>
      <w:r w:rsidRPr="009252C3" w:rsidR="002B468B">
        <w:rPr>
          <w:rFonts w:ascii="Century Schoolbook" w:hAnsi="Century Schoolbook"/>
          <w:sz w:val="27"/>
          <w:szCs w:val="27"/>
        </w:rPr>
        <w:t> </w:t>
      </w:r>
      <w:r w:rsidRPr="009252C3" w:rsidR="003E37F5">
        <w:rPr>
          <w:rFonts w:ascii="Century Schoolbook" w:hAnsi="Century Schoolbook"/>
          <w:sz w:val="27"/>
          <w:szCs w:val="27"/>
        </w:rPr>
        <w:t>954.)  Only communications made</w:t>
      </w:r>
      <w:r w:rsidRPr="009252C3" w:rsidR="0077538A">
        <w:rPr>
          <w:rFonts w:ascii="Century Schoolbook" w:hAnsi="Century Schoolbook"/>
          <w:sz w:val="27"/>
          <w:szCs w:val="27"/>
        </w:rPr>
        <w:t xml:space="preserve"> “in confidence by a means which, so far as the client is aware,</w:t>
      </w:r>
      <w:r w:rsidRPr="009252C3" w:rsidR="002B468B">
        <w:rPr>
          <w:rFonts w:ascii="Century Schoolbook" w:hAnsi="Century Schoolbook"/>
          <w:sz w:val="27"/>
          <w:szCs w:val="27"/>
        </w:rPr>
        <w:t xml:space="preserve"> </w:t>
      </w:r>
      <w:r w:rsidRPr="009252C3" w:rsidR="0077538A">
        <w:rPr>
          <w:rFonts w:ascii="Century Schoolbook" w:hAnsi="Century Schoolbook"/>
          <w:sz w:val="27"/>
          <w:szCs w:val="27"/>
        </w:rPr>
        <w:t>discloses the information to no third persons other than those who are present to further the interest of the client in the consultation or those to whom disclosure is reasonably necessary .</w:t>
      </w:r>
      <w:r w:rsidRPr="009252C3" w:rsidR="002B468B">
        <w:rPr>
          <w:rFonts w:ascii="Century Schoolbook" w:hAnsi="Century Schoolbook"/>
          <w:sz w:val="27"/>
          <w:szCs w:val="27"/>
        </w:rPr>
        <w:t> </w:t>
      </w:r>
      <w:r w:rsidRPr="009252C3" w:rsidR="0077538A">
        <w:rPr>
          <w:rFonts w:ascii="Century Schoolbook" w:hAnsi="Century Schoolbook"/>
          <w:sz w:val="27"/>
          <w:szCs w:val="27"/>
        </w:rPr>
        <w:t>.</w:t>
      </w:r>
      <w:r w:rsidRPr="009252C3" w:rsidR="002B468B">
        <w:rPr>
          <w:rFonts w:ascii="Century Schoolbook" w:hAnsi="Century Schoolbook"/>
          <w:sz w:val="27"/>
          <w:szCs w:val="27"/>
        </w:rPr>
        <w:t> </w:t>
      </w:r>
      <w:r w:rsidRPr="009252C3" w:rsidR="0077538A">
        <w:rPr>
          <w:rFonts w:ascii="Century Schoolbook" w:hAnsi="Century Schoolbook"/>
          <w:sz w:val="27"/>
          <w:szCs w:val="27"/>
        </w:rPr>
        <w:t>.”</w:t>
      </w:r>
      <w:r w:rsidRPr="009252C3" w:rsidR="003E37F5">
        <w:rPr>
          <w:rFonts w:ascii="Century Schoolbook" w:hAnsi="Century Schoolbook"/>
          <w:sz w:val="27"/>
          <w:szCs w:val="27"/>
        </w:rPr>
        <w:t xml:space="preserve"> </w:t>
      </w:r>
      <w:r w:rsidRPr="009252C3" w:rsidR="0008492D">
        <w:rPr>
          <w:rFonts w:ascii="Century Schoolbook" w:hAnsi="Century Schoolbook"/>
          <w:sz w:val="27"/>
          <w:szCs w:val="27"/>
        </w:rPr>
        <w:t>(</w:t>
      </w:r>
      <w:r w:rsidRPr="009252C3" w:rsidR="0008492D">
        <w:rPr>
          <w:rFonts w:ascii="Century Schoolbook" w:hAnsi="Century Schoolbook"/>
          <w:i/>
          <w:sz w:val="27"/>
          <w:szCs w:val="27"/>
        </w:rPr>
        <w:t>id.</w:t>
      </w:r>
      <w:r w:rsidRPr="009252C3" w:rsidR="0008492D">
        <w:rPr>
          <w:rFonts w:ascii="Century Schoolbook" w:hAnsi="Century Schoolbook"/>
          <w:sz w:val="27"/>
          <w:szCs w:val="27"/>
        </w:rPr>
        <w:t>, §</w:t>
      </w:r>
      <w:r w:rsidRPr="009252C3" w:rsidR="002B468B">
        <w:rPr>
          <w:rFonts w:ascii="Century Schoolbook" w:hAnsi="Century Schoolbook"/>
          <w:sz w:val="27"/>
          <w:szCs w:val="27"/>
        </w:rPr>
        <w:t> </w:t>
      </w:r>
      <w:r w:rsidRPr="009252C3" w:rsidR="0008492D">
        <w:rPr>
          <w:rFonts w:ascii="Century Schoolbook" w:hAnsi="Century Schoolbook"/>
          <w:sz w:val="27"/>
          <w:szCs w:val="27"/>
        </w:rPr>
        <w:t xml:space="preserve">952) </w:t>
      </w:r>
      <w:r w:rsidRPr="009252C3" w:rsidR="003E37F5">
        <w:rPr>
          <w:rFonts w:ascii="Century Schoolbook" w:hAnsi="Century Schoolbook"/>
          <w:sz w:val="27"/>
          <w:szCs w:val="27"/>
        </w:rPr>
        <w:t xml:space="preserve">qualify as confidential.  </w:t>
      </w:r>
      <w:r w:rsidRPr="009252C3" w:rsidR="008B1511">
        <w:rPr>
          <w:rFonts w:ascii="Century Schoolbook" w:hAnsi="Century Schoolbook"/>
          <w:sz w:val="27"/>
          <w:szCs w:val="27"/>
        </w:rPr>
        <w:t>“Thus, where the client communicates with his attorney in the presence of other persons who have no interest in the matter .</w:t>
      </w:r>
      <w:r w:rsidRPr="009252C3" w:rsidR="002B468B">
        <w:rPr>
          <w:rFonts w:ascii="Century Schoolbook" w:hAnsi="Century Schoolbook"/>
          <w:sz w:val="27"/>
          <w:szCs w:val="27"/>
        </w:rPr>
        <w:t> </w:t>
      </w:r>
      <w:r w:rsidRPr="009252C3" w:rsidR="008B1511">
        <w:rPr>
          <w:rFonts w:ascii="Century Schoolbook" w:hAnsi="Century Schoolbook"/>
          <w:sz w:val="27"/>
          <w:szCs w:val="27"/>
        </w:rPr>
        <w:t>.</w:t>
      </w:r>
      <w:r w:rsidRPr="009252C3" w:rsidR="002B468B">
        <w:rPr>
          <w:rFonts w:ascii="Century Schoolbook" w:hAnsi="Century Schoolbook"/>
          <w:sz w:val="27"/>
          <w:szCs w:val="27"/>
        </w:rPr>
        <w:t> </w:t>
      </w:r>
      <w:r w:rsidRPr="009252C3" w:rsidR="008B1511">
        <w:rPr>
          <w:rFonts w:ascii="Century Schoolbook" w:hAnsi="Century Schoolbook"/>
          <w:sz w:val="27"/>
          <w:szCs w:val="27"/>
        </w:rPr>
        <w:t>. he is held to have waived the privilege.”  (</w:t>
      </w:r>
      <w:r w:rsidRPr="009252C3" w:rsidR="008B1511">
        <w:rPr>
          <w:rFonts w:ascii="Century Schoolbook" w:hAnsi="Century Schoolbook"/>
          <w:i/>
          <w:iCs/>
          <w:sz w:val="27"/>
          <w:szCs w:val="27"/>
        </w:rPr>
        <w:t>D. I. Chadbourne, Inc. v. Superior Court</w:t>
      </w:r>
      <w:r w:rsidRPr="009252C3" w:rsidR="000E3FAE">
        <w:rPr>
          <w:rFonts w:ascii="Century Schoolbook" w:hAnsi="Century Schoolbook"/>
          <w:i/>
          <w:iCs/>
          <w:sz w:val="27"/>
          <w:szCs w:val="27"/>
        </w:rPr>
        <w:t xml:space="preserve"> </w:t>
      </w:r>
      <w:r w:rsidRPr="009252C3" w:rsidR="008B1511">
        <w:rPr>
          <w:rFonts w:ascii="Century Schoolbook" w:hAnsi="Century Schoolbook"/>
          <w:sz w:val="27"/>
          <w:szCs w:val="27"/>
        </w:rPr>
        <w:t xml:space="preserve">(1964) 60 Cal.2d 723, 735.)  </w:t>
      </w:r>
      <w:r w:rsidRPr="009252C3" w:rsidR="003E37F5">
        <w:rPr>
          <w:rFonts w:ascii="Century Schoolbook" w:hAnsi="Century Schoolbook"/>
          <w:sz w:val="27"/>
          <w:szCs w:val="27"/>
        </w:rPr>
        <w:t xml:space="preserve">In circumstances similar to those here, California courts have applied these principles to hold </w:t>
      </w:r>
      <w:r w:rsidRPr="009252C3" w:rsidR="0008492D">
        <w:rPr>
          <w:rFonts w:ascii="Century Schoolbook" w:hAnsi="Century Schoolbook"/>
          <w:sz w:val="27"/>
          <w:szCs w:val="27"/>
        </w:rPr>
        <w:t xml:space="preserve">that </w:t>
      </w:r>
      <w:r w:rsidRPr="009252C3" w:rsidR="003E37F5">
        <w:rPr>
          <w:rFonts w:ascii="Century Schoolbook" w:hAnsi="Century Schoolbook"/>
          <w:sz w:val="27"/>
          <w:szCs w:val="27"/>
        </w:rPr>
        <w:t>clients’ oral communications to their lawyers during court proceedings or recesses</w:t>
      </w:r>
      <w:r w:rsidRPr="009252C3" w:rsidR="00E84EA1">
        <w:rPr>
          <w:rFonts w:ascii="Century Schoolbook" w:hAnsi="Century Schoolbook"/>
          <w:sz w:val="27"/>
          <w:szCs w:val="27"/>
        </w:rPr>
        <w:t xml:space="preserve"> </w:t>
      </w:r>
      <w:r w:rsidRPr="009252C3" w:rsidR="0008492D">
        <w:rPr>
          <w:rFonts w:ascii="Century Schoolbook" w:hAnsi="Century Schoolbook"/>
          <w:sz w:val="27"/>
          <w:szCs w:val="27"/>
        </w:rPr>
        <w:t>were</w:t>
      </w:r>
      <w:r w:rsidRPr="009252C3" w:rsidR="00E84EA1">
        <w:rPr>
          <w:rFonts w:ascii="Century Schoolbook" w:hAnsi="Century Schoolbook"/>
          <w:sz w:val="27"/>
          <w:szCs w:val="27"/>
        </w:rPr>
        <w:t xml:space="preserve"> unprivileged</w:t>
      </w:r>
      <w:r w:rsidRPr="009252C3" w:rsidR="003E37F5">
        <w:rPr>
          <w:rFonts w:ascii="Century Schoolbook" w:hAnsi="Century Schoolbook"/>
          <w:sz w:val="27"/>
          <w:szCs w:val="27"/>
        </w:rPr>
        <w:t xml:space="preserve"> </w:t>
      </w:r>
      <w:r w:rsidRPr="009252C3" w:rsidR="00A92C9B">
        <w:rPr>
          <w:rFonts w:ascii="Century Schoolbook" w:hAnsi="Century Schoolbook"/>
          <w:sz w:val="27"/>
          <w:szCs w:val="27"/>
        </w:rPr>
        <w:t>because they were</w:t>
      </w:r>
      <w:r w:rsidRPr="009252C3" w:rsidR="003E37F5">
        <w:rPr>
          <w:rFonts w:ascii="Century Schoolbook" w:hAnsi="Century Schoolbook"/>
          <w:sz w:val="27"/>
          <w:szCs w:val="27"/>
        </w:rPr>
        <w:t xml:space="preserve"> made so loudly as to be overheard by others who </w:t>
      </w:r>
      <w:r w:rsidRPr="009252C3" w:rsidR="006E698F">
        <w:rPr>
          <w:rFonts w:ascii="Century Schoolbook" w:hAnsi="Century Schoolbook"/>
          <w:sz w:val="27"/>
          <w:szCs w:val="27"/>
        </w:rPr>
        <w:t>were</w:t>
      </w:r>
      <w:r w:rsidRPr="009252C3" w:rsidR="003E37F5">
        <w:rPr>
          <w:rFonts w:ascii="Century Schoolbook" w:hAnsi="Century Schoolbook"/>
          <w:sz w:val="27"/>
          <w:szCs w:val="27"/>
        </w:rPr>
        <w:t xml:space="preserve"> openly and permissibly present.</w:t>
      </w:r>
      <w:r w:rsidRPr="009252C3" w:rsidR="00E84EA1">
        <w:rPr>
          <w:rFonts w:ascii="Century Schoolbook" w:hAnsi="Century Schoolbook"/>
          <w:sz w:val="27"/>
          <w:szCs w:val="27"/>
        </w:rPr>
        <w:t xml:space="preserve">  (</w:t>
      </w:r>
      <w:r w:rsidRPr="009252C3" w:rsidR="00E84EA1">
        <w:rPr>
          <w:rFonts w:ascii="Century Schoolbook" w:hAnsi="Century Schoolbook"/>
          <w:i/>
          <w:sz w:val="27"/>
          <w:szCs w:val="27"/>
        </w:rPr>
        <w:t>People v. Urbano</w:t>
      </w:r>
      <w:r w:rsidRPr="009252C3" w:rsidR="00E84EA1">
        <w:rPr>
          <w:rFonts w:ascii="Century Schoolbook" w:hAnsi="Century Schoolbook"/>
          <w:sz w:val="27"/>
          <w:szCs w:val="27"/>
        </w:rPr>
        <w:t xml:space="preserve"> (2005) 128 Cal.App.4th 396, 402</w:t>
      </w:r>
      <w:r w:rsidRPr="009252C3" w:rsidR="007A2A7B">
        <w:rPr>
          <w:rFonts w:ascii="Century Schoolbook" w:hAnsi="Century Schoolbook"/>
          <w:sz w:val="27"/>
          <w:szCs w:val="27"/>
        </w:rPr>
        <w:t>–</w:t>
      </w:r>
      <w:r w:rsidRPr="009252C3" w:rsidR="00E84EA1">
        <w:rPr>
          <w:rFonts w:ascii="Century Schoolbook" w:hAnsi="Century Schoolbook"/>
          <w:sz w:val="27"/>
          <w:szCs w:val="27"/>
        </w:rPr>
        <w:t>403;</w:t>
      </w:r>
      <w:r w:rsidRPr="009252C3" w:rsidR="009B675C">
        <w:rPr>
          <w:rFonts w:ascii="Century Schoolbook" w:hAnsi="Century Schoolbook"/>
          <w:sz w:val="27"/>
          <w:szCs w:val="27"/>
        </w:rPr>
        <w:t xml:space="preserve"> </w:t>
      </w:r>
      <w:r w:rsidRPr="009252C3" w:rsidR="009B675C">
        <w:rPr>
          <w:rFonts w:ascii="Century Schoolbook" w:hAnsi="Century Schoolbook"/>
          <w:i/>
          <w:sz w:val="27"/>
          <w:szCs w:val="27"/>
        </w:rPr>
        <w:t>People v. Poulin</w:t>
      </w:r>
      <w:r w:rsidRPr="009252C3" w:rsidR="009B675C">
        <w:rPr>
          <w:rFonts w:ascii="Century Schoolbook" w:hAnsi="Century Schoolbook"/>
          <w:sz w:val="27"/>
          <w:szCs w:val="27"/>
        </w:rPr>
        <w:t xml:space="preserve"> (1972) 27 Cal.App.3d 54, 64;</w:t>
      </w:r>
      <w:r w:rsidRPr="009252C3" w:rsidR="00E84EA1">
        <w:rPr>
          <w:rFonts w:ascii="Century Schoolbook" w:hAnsi="Century Schoolbook"/>
          <w:sz w:val="27"/>
          <w:szCs w:val="27"/>
        </w:rPr>
        <w:t xml:space="preserve"> </w:t>
      </w:r>
      <w:r w:rsidRPr="009252C3" w:rsidR="00E84EA1">
        <w:rPr>
          <w:rFonts w:ascii="Century Schoolbook" w:hAnsi="Century Schoolbook"/>
          <w:i/>
          <w:sz w:val="27"/>
          <w:szCs w:val="27"/>
        </w:rPr>
        <w:t xml:space="preserve">People v. Castiel </w:t>
      </w:r>
      <w:r w:rsidRPr="009252C3" w:rsidR="00E84EA1">
        <w:rPr>
          <w:rFonts w:ascii="Century Schoolbook" w:hAnsi="Century Schoolbook"/>
          <w:sz w:val="27"/>
          <w:szCs w:val="27"/>
        </w:rPr>
        <w:t xml:space="preserve">(1957) 153 Cal.App.2d 653, </w:t>
      </w:r>
      <w:r w:rsidRPr="009252C3" w:rsidR="009B675C">
        <w:rPr>
          <w:rFonts w:ascii="Century Schoolbook" w:hAnsi="Century Schoolbook"/>
          <w:sz w:val="27"/>
          <w:szCs w:val="27"/>
        </w:rPr>
        <w:t>659.)</w:t>
      </w:r>
      <w:r w:rsidRPr="009252C3" w:rsidR="00CB4C4E">
        <w:rPr>
          <w:rFonts w:ascii="Century Schoolbook" w:hAnsi="Century Schoolbook"/>
          <w:sz w:val="27"/>
          <w:szCs w:val="27"/>
        </w:rPr>
        <w:t xml:space="preserve">  </w:t>
      </w:r>
    </w:p>
    <w:p w:rsidR="008B1511"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While defendant may be correct </w:t>
      </w:r>
      <w:r w:rsidRPr="009252C3" w:rsidR="005974EA">
        <w:rPr>
          <w:rFonts w:ascii="Century Schoolbook" w:hAnsi="Century Schoolbook"/>
          <w:sz w:val="27"/>
          <w:szCs w:val="27"/>
        </w:rPr>
        <w:t xml:space="preserve">that </w:t>
      </w:r>
      <w:r w:rsidRPr="009252C3">
        <w:rPr>
          <w:rFonts w:ascii="Century Schoolbook" w:hAnsi="Century Schoolbook"/>
          <w:sz w:val="27"/>
          <w:szCs w:val="27"/>
        </w:rPr>
        <w:t xml:space="preserve">he had no choice of locations for consulting with his attorney, he </w:t>
      </w:r>
      <w:r w:rsidRPr="009252C3" w:rsidR="005974EA">
        <w:rPr>
          <w:rFonts w:ascii="Century Schoolbook" w:hAnsi="Century Schoolbook"/>
          <w:sz w:val="27"/>
          <w:szCs w:val="27"/>
        </w:rPr>
        <w:t xml:space="preserve">did have </w:t>
      </w:r>
      <w:r w:rsidRPr="009252C3">
        <w:rPr>
          <w:rFonts w:ascii="Century Schoolbook" w:hAnsi="Century Schoolbook"/>
          <w:sz w:val="27"/>
          <w:szCs w:val="27"/>
        </w:rPr>
        <w:t xml:space="preserve">a choice </w:t>
      </w:r>
      <w:r w:rsidRPr="009252C3" w:rsidR="005974EA">
        <w:rPr>
          <w:rFonts w:ascii="Century Schoolbook" w:hAnsi="Century Schoolbook"/>
          <w:sz w:val="27"/>
          <w:szCs w:val="27"/>
        </w:rPr>
        <w:t xml:space="preserve">about </w:t>
      </w:r>
      <w:r w:rsidRPr="009252C3">
        <w:rPr>
          <w:rFonts w:ascii="Century Schoolbook" w:hAnsi="Century Schoolbook"/>
          <w:sz w:val="27"/>
          <w:szCs w:val="27"/>
        </w:rPr>
        <w:t>how loudly to speak</w:t>
      </w:r>
      <w:r w:rsidRPr="009252C3" w:rsidR="00B543AE">
        <w:rPr>
          <w:rFonts w:ascii="Century Schoolbook" w:hAnsi="Century Schoolbook"/>
          <w:sz w:val="27"/>
          <w:szCs w:val="27"/>
        </w:rPr>
        <w:t xml:space="preserve">.  He </w:t>
      </w:r>
      <w:r w:rsidRPr="009252C3">
        <w:rPr>
          <w:rFonts w:ascii="Century Schoolbook" w:hAnsi="Century Schoolbook"/>
          <w:sz w:val="27"/>
          <w:szCs w:val="27"/>
        </w:rPr>
        <w:t xml:space="preserve">chose to do so in </w:t>
      </w:r>
      <w:r w:rsidRPr="009252C3" w:rsidR="00B543AE">
        <w:rPr>
          <w:rFonts w:ascii="Century Schoolbook" w:hAnsi="Century Schoolbook"/>
          <w:sz w:val="27"/>
          <w:szCs w:val="27"/>
        </w:rPr>
        <w:t xml:space="preserve">a </w:t>
      </w:r>
      <w:r w:rsidRPr="009252C3">
        <w:rPr>
          <w:rFonts w:ascii="Century Schoolbook" w:hAnsi="Century Schoolbook"/>
          <w:sz w:val="27"/>
          <w:szCs w:val="27"/>
        </w:rPr>
        <w:t xml:space="preserve">manner that the deputy, </w:t>
      </w:r>
      <w:r w:rsidRPr="009252C3" w:rsidR="00B542A5">
        <w:rPr>
          <w:rFonts w:ascii="Century Schoolbook" w:hAnsi="Century Schoolbook"/>
          <w:sz w:val="27"/>
          <w:szCs w:val="27"/>
        </w:rPr>
        <w:t xml:space="preserve">who was </w:t>
      </w:r>
      <w:r w:rsidRPr="009252C3">
        <w:rPr>
          <w:rFonts w:ascii="Century Schoolbook" w:hAnsi="Century Schoolbook"/>
          <w:sz w:val="27"/>
          <w:szCs w:val="27"/>
        </w:rPr>
        <w:t xml:space="preserve">openly and permissibly present, could overhear.  </w:t>
      </w:r>
      <w:r w:rsidRPr="009252C3" w:rsidR="000D6946">
        <w:rPr>
          <w:rFonts w:ascii="Century Schoolbook" w:hAnsi="Century Schoolbook"/>
          <w:sz w:val="27"/>
          <w:szCs w:val="27"/>
        </w:rPr>
        <w:t>The facts show there was no need for the defendant to make the reported remark so loudly:  F</w:t>
      </w:r>
      <w:r w:rsidRPr="009252C3">
        <w:rPr>
          <w:rFonts w:ascii="Century Schoolbook" w:hAnsi="Century Schoolbook"/>
          <w:sz w:val="27"/>
          <w:szCs w:val="27"/>
        </w:rPr>
        <w:t xml:space="preserve">or most of the </w:t>
      </w:r>
      <w:r w:rsidRPr="009252C3" w:rsidR="000D6946">
        <w:rPr>
          <w:rFonts w:ascii="Century Schoolbook" w:hAnsi="Century Schoolbook"/>
          <w:sz w:val="27"/>
          <w:szCs w:val="27"/>
        </w:rPr>
        <w:t xml:space="preserve">remainder of the </w:t>
      </w:r>
      <w:r w:rsidRPr="009252C3">
        <w:rPr>
          <w:rFonts w:ascii="Century Schoolbook" w:hAnsi="Century Schoolbook"/>
          <w:sz w:val="27"/>
          <w:szCs w:val="27"/>
        </w:rPr>
        <w:t>conversation</w:t>
      </w:r>
      <w:r w:rsidRPr="009252C3" w:rsidR="000D6946">
        <w:rPr>
          <w:rFonts w:ascii="Century Schoolbook" w:hAnsi="Century Schoolbook"/>
          <w:sz w:val="27"/>
          <w:szCs w:val="27"/>
        </w:rPr>
        <w:t xml:space="preserve">, </w:t>
      </w:r>
      <w:r w:rsidRPr="009252C3">
        <w:rPr>
          <w:rFonts w:ascii="Century Schoolbook" w:hAnsi="Century Schoolbook"/>
          <w:sz w:val="27"/>
          <w:szCs w:val="27"/>
        </w:rPr>
        <w:t xml:space="preserve">the parties </w:t>
      </w:r>
      <w:r w:rsidRPr="009252C3" w:rsidR="000D6946">
        <w:rPr>
          <w:rFonts w:ascii="Century Schoolbook" w:hAnsi="Century Schoolbook"/>
          <w:sz w:val="27"/>
          <w:szCs w:val="27"/>
        </w:rPr>
        <w:t xml:space="preserve">had </w:t>
      </w:r>
      <w:r w:rsidRPr="009252C3">
        <w:rPr>
          <w:rFonts w:ascii="Century Schoolbook" w:hAnsi="Century Schoolbook"/>
          <w:sz w:val="27"/>
          <w:szCs w:val="27"/>
        </w:rPr>
        <w:t>spoke</w:t>
      </w:r>
      <w:r w:rsidRPr="009252C3" w:rsidR="000D6946">
        <w:rPr>
          <w:rFonts w:ascii="Century Schoolbook" w:hAnsi="Century Schoolbook"/>
          <w:sz w:val="27"/>
          <w:szCs w:val="27"/>
        </w:rPr>
        <w:t>n</w:t>
      </w:r>
      <w:r w:rsidRPr="009252C3">
        <w:rPr>
          <w:rFonts w:ascii="Century Schoolbook" w:hAnsi="Century Schoolbook"/>
          <w:sz w:val="27"/>
          <w:szCs w:val="27"/>
        </w:rPr>
        <w:t xml:space="preserve"> </w:t>
      </w:r>
      <w:r w:rsidRPr="009252C3" w:rsidR="00A92C9B">
        <w:rPr>
          <w:rFonts w:ascii="Century Schoolbook" w:hAnsi="Century Schoolbook"/>
          <w:sz w:val="27"/>
          <w:szCs w:val="27"/>
        </w:rPr>
        <w:t xml:space="preserve">so </w:t>
      </w:r>
      <w:r w:rsidRPr="009252C3">
        <w:rPr>
          <w:rFonts w:ascii="Century Schoolbook" w:hAnsi="Century Schoolbook"/>
          <w:sz w:val="27"/>
          <w:szCs w:val="27"/>
        </w:rPr>
        <w:t>quietly that Dinwiddie was unable to hear their words</w:t>
      </w:r>
      <w:r w:rsidRPr="009252C3" w:rsidR="000D6946">
        <w:rPr>
          <w:rFonts w:ascii="Century Schoolbook" w:hAnsi="Century Schoolbook"/>
          <w:sz w:val="27"/>
          <w:szCs w:val="27"/>
        </w:rPr>
        <w:t xml:space="preserve">, and </w:t>
      </w:r>
      <w:r w:rsidRPr="009252C3" w:rsidR="00BB2A46">
        <w:rPr>
          <w:rFonts w:ascii="Century Schoolbook" w:hAnsi="Century Schoolbook"/>
          <w:sz w:val="27"/>
          <w:szCs w:val="27"/>
        </w:rPr>
        <w:t xml:space="preserve">after </w:t>
      </w:r>
      <w:r w:rsidRPr="009252C3" w:rsidR="000D6946">
        <w:rPr>
          <w:rFonts w:ascii="Century Schoolbook" w:hAnsi="Century Schoolbook"/>
          <w:sz w:val="27"/>
          <w:szCs w:val="27"/>
        </w:rPr>
        <w:t xml:space="preserve">defendant </w:t>
      </w:r>
      <w:r w:rsidRPr="009252C3" w:rsidR="00BB2A46">
        <w:rPr>
          <w:rFonts w:ascii="Century Schoolbook" w:hAnsi="Century Schoolbook"/>
          <w:sz w:val="27"/>
          <w:szCs w:val="27"/>
        </w:rPr>
        <w:t>made the overheard remark his attorney told him to speak more quietly</w:t>
      </w:r>
      <w:r w:rsidRPr="009252C3" w:rsidR="000D6946">
        <w:rPr>
          <w:rFonts w:ascii="Century Schoolbook" w:hAnsi="Century Schoolbook"/>
          <w:sz w:val="27"/>
          <w:szCs w:val="27"/>
        </w:rPr>
        <w:t>.</w:t>
      </w:r>
      <w:r w:rsidRPr="009252C3">
        <w:rPr>
          <w:rFonts w:ascii="Century Schoolbook" w:hAnsi="Century Schoolbook"/>
          <w:sz w:val="27"/>
          <w:szCs w:val="27"/>
        </w:rPr>
        <w:t xml:space="preserve"> </w:t>
      </w:r>
      <w:r w:rsidRPr="009252C3" w:rsidR="000D6946">
        <w:rPr>
          <w:rFonts w:ascii="Century Schoolbook" w:hAnsi="Century Schoolbook"/>
          <w:sz w:val="27"/>
          <w:szCs w:val="27"/>
        </w:rPr>
        <w:t xml:space="preserve"> </w:t>
      </w:r>
      <w:r w:rsidRPr="009252C3">
        <w:rPr>
          <w:rFonts w:ascii="Century Schoolbook" w:hAnsi="Century Schoolbook"/>
          <w:sz w:val="27"/>
          <w:szCs w:val="27"/>
        </w:rPr>
        <w:t xml:space="preserve">(See </w:t>
      </w:r>
      <w:r w:rsidRPr="009252C3">
        <w:rPr>
          <w:rFonts w:ascii="Century Schoolbook" w:hAnsi="Century Schoolbook"/>
          <w:i/>
          <w:sz w:val="27"/>
          <w:szCs w:val="27"/>
        </w:rPr>
        <w:t>People v. Urbano</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128 Cal.App.4th at pp.</w:t>
      </w:r>
      <w:r w:rsidRPr="009252C3" w:rsidR="007A2A7B">
        <w:rPr>
          <w:rFonts w:ascii="Century Schoolbook" w:hAnsi="Century Schoolbook"/>
          <w:sz w:val="27"/>
          <w:szCs w:val="27"/>
        </w:rPr>
        <w:t> </w:t>
      </w:r>
      <w:r w:rsidRPr="009252C3">
        <w:rPr>
          <w:rFonts w:ascii="Century Schoolbook" w:hAnsi="Century Schoolbook"/>
          <w:sz w:val="27"/>
          <w:szCs w:val="27"/>
        </w:rPr>
        <w:t>402</w:t>
      </w:r>
      <w:bookmarkStart w:id="10" w:name="_Hlk20494134"/>
      <w:r w:rsidRPr="009252C3" w:rsidR="007A2A7B">
        <w:rPr>
          <w:rFonts w:ascii="Century Schoolbook" w:hAnsi="Century Schoolbook"/>
          <w:sz w:val="27"/>
          <w:szCs w:val="27"/>
        </w:rPr>
        <w:t>–</w:t>
      </w:r>
      <w:bookmarkEnd w:id="10"/>
      <w:r w:rsidRPr="009252C3">
        <w:rPr>
          <w:rFonts w:ascii="Century Schoolbook" w:hAnsi="Century Schoolbook"/>
          <w:sz w:val="27"/>
          <w:szCs w:val="27"/>
        </w:rPr>
        <w:t>403 [trial court “found that</w:t>
      </w:r>
      <w:r w:rsidR="00014261">
        <w:rPr>
          <w:rFonts w:ascii="Century Schoolbook" w:hAnsi="Century Schoolbook"/>
          <w:sz w:val="27"/>
          <w:szCs w:val="27"/>
        </w:rPr>
        <w:t xml:space="preserve"> </w:t>
      </w:r>
      <w:r w:rsidRPr="009252C3">
        <w:rPr>
          <w:rFonts w:ascii="Century Schoolbook" w:hAnsi="Century Schoolbook"/>
          <w:sz w:val="27"/>
          <w:szCs w:val="27"/>
        </w:rPr>
        <w:t xml:space="preserve">Urbano had no need to speak in a voice ‘loud enough for individuals in the audience to hear,’ as his attorney was sitting right next to him in the jury box, but nevertheless made his communication in a way that ‘clearly disclose[d] it to third persons’ ”].)  </w:t>
      </w:r>
      <w:r w:rsidRPr="009252C3" w:rsidR="001403DF">
        <w:rPr>
          <w:rFonts w:ascii="Century Schoolbook" w:hAnsi="Century Schoolbook"/>
          <w:sz w:val="27"/>
          <w:szCs w:val="27"/>
        </w:rPr>
        <w:t xml:space="preserve">And while defendant </w:t>
      </w:r>
      <w:r w:rsidRPr="009252C3" w:rsidR="002B664A">
        <w:rPr>
          <w:rFonts w:ascii="Century Schoolbook" w:hAnsi="Century Schoolbook"/>
          <w:sz w:val="27"/>
          <w:szCs w:val="27"/>
        </w:rPr>
        <w:t>alludes</w:t>
      </w:r>
      <w:r w:rsidRPr="009252C3" w:rsidR="001403DF">
        <w:rPr>
          <w:rFonts w:ascii="Century Schoolbook" w:hAnsi="Century Schoolbook"/>
          <w:sz w:val="27"/>
          <w:szCs w:val="27"/>
        </w:rPr>
        <w:t xml:space="preserve"> to the deputies’ “unnecessary proximity” and argues they were “essentially spying” on him, </w:t>
      </w:r>
      <w:r w:rsidRPr="009252C3" w:rsidR="00B543AE">
        <w:rPr>
          <w:rFonts w:ascii="Century Schoolbook" w:hAnsi="Century Schoolbook"/>
          <w:sz w:val="27"/>
          <w:szCs w:val="27"/>
        </w:rPr>
        <w:t>he refers to</w:t>
      </w:r>
      <w:r w:rsidRPr="009252C3" w:rsidR="001403DF">
        <w:rPr>
          <w:rFonts w:ascii="Century Schoolbook" w:hAnsi="Century Schoolbook"/>
          <w:sz w:val="27"/>
          <w:szCs w:val="27"/>
        </w:rPr>
        <w:t xml:space="preserve"> no evidence to support those characterizations.  </w:t>
      </w:r>
      <w:r w:rsidRPr="009252C3" w:rsidR="00BB2A46">
        <w:rPr>
          <w:rFonts w:ascii="Century Schoolbook" w:hAnsi="Century Schoolbook"/>
          <w:sz w:val="27"/>
          <w:szCs w:val="27"/>
        </w:rPr>
        <w:t xml:space="preserve">The deputies were 10 to 15 feet away </w:t>
      </w:r>
      <w:r w:rsidRPr="009252C3" w:rsidR="002F325D">
        <w:rPr>
          <w:rFonts w:ascii="Century Schoolbook" w:hAnsi="Century Schoolbook"/>
          <w:sz w:val="27"/>
          <w:szCs w:val="27"/>
        </w:rPr>
        <w:t>by</w:t>
      </w:r>
      <w:r w:rsidRPr="009252C3" w:rsidR="00BB2A46">
        <w:rPr>
          <w:rFonts w:ascii="Century Schoolbook" w:hAnsi="Century Schoolbook"/>
          <w:sz w:val="27"/>
          <w:szCs w:val="27"/>
        </w:rPr>
        <w:t xml:space="preserve"> the </w:t>
      </w:r>
      <w:r w:rsidRPr="009252C3" w:rsidR="002F325D">
        <w:rPr>
          <w:rFonts w:ascii="Century Schoolbook" w:hAnsi="Century Schoolbook"/>
          <w:sz w:val="27"/>
          <w:szCs w:val="27"/>
        </w:rPr>
        <w:t xml:space="preserve">open </w:t>
      </w:r>
      <w:r w:rsidRPr="009252C3" w:rsidR="00BB2A46">
        <w:rPr>
          <w:rFonts w:ascii="Century Schoolbook" w:hAnsi="Century Schoolbook"/>
          <w:sz w:val="27"/>
          <w:szCs w:val="27"/>
        </w:rPr>
        <w:t>doors of the jury room; the record does not suggest the</w:t>
      </w:r>
      <w:r w:rsidRPr="009252C3" w:rsidR="002F325D">
        <w:rPr>
          <w:rFonts w:ascii="Century Schoolbook" w:hAnsi="Century Schoolbook"/>
          <w:sz w:val="27"/>
          <w:szCs w:val="27"/>
        </w:rPr>
        <w:t>y</w:t>
      </w:r>
      <w:r w:rsidRPr="009252C3" w:rsidR="00BB2A46">
        <w:rPr>
          <w:rFonts w:ascii="Century Schoolbook" w:hAnsi="Century Schoolbook"/>
          <w:sz w:val="27"/>
          <w:szCs w:val="27"/>
        </w:rPr>
        <w:t xml:space="preserve"> deliberately positioned themselves </w:t>
      </w:r>
      <w:r w:rsidRPr="009252C3" w:rsidR="002F325D">
        <w:rPr>
          <w:rFonts w:ascii="Century Schoolbook" w:hAnsi="Century Schoolbook"/>
          <w:sz w:val="27"/>
          <w:szCs w:val="27"/>
        </w:rPr>
        <w:t xml:space="preserve">so as </w:t>
      </w:r>
      <w:r w:rsidRPr="009252C3" w:rsidR="00BB2A46">
        <w:rPr>
          <w:rFonts w:ascii="Century Schoolbook" w:hAnsi="Century Schoolbook"/>
          <w:sz w:val="27"/>
          <w:szCs w:val="27"/>
        </w:rPr>
        <w:t>to overhear defendant or his attorney.</w:t>
      </w:r>
    </w:p>
    <w:p w:rsidR="009B675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trial court </w:t>
      </w:r>
      <w:r w:rsidRPr="009252C3" w:rsidR="00C5738B">
        <w:rPr>
          <w:rFonts w:ascii="Century Schoolbook" w:hAnsi="Century Schoolbook"/>
          <w:sz w:val="27"/>
          <w:szCs w:val="27"/>
        </w:rPr>
        <w:t xml:space="preserve">properly overruled defendant’s </w:t>
      </w:r>
      <w:r w:rsidRPr="009252C3" w:rsidR="00A92C9B">
        <w:rPr>
          <w:rFonts w:ascii="Century Schoolbook" w:hAnsi="Century Schoolbook"/>
          <w:sz w:val="27"/>
          <w:szCs w:val="27"/>
        </w:rPr>
        <w:t xml:space="preserve">attorney-client privilege </w:t>
      </w:r>
      <w:r w:rsidRPr="009252C3" w:rsidR="00C5738B">
        <w:rPr>
          <w:rFonts w:ascii="Century Schoolbook" w:hAnsi="Century Schoolbook"/>
          <w:sz w:val="27"/>
          <w:szCs w:val="27"/>
        </w:rPr>
        <w:t xml:space="preserve">objection.  Although on appeal defendant claims admission of the statement violated his federal constitutional rights, he makes no argument for such </w:t>
      </w:r>
      <w:r w:rsidRPr="009252C3" w:rsidR="00BB5E09">
        <w:rPr>
          <w:rFonts w:ascii="Century Schoolbook" w:hAnsi="Century Schoolbook"/>
          <w:sz w:val="27"/>
          <w:szCs w:val="27"/>
        </w:rPr>
        <w:t>violation other than that the communication was privileged</w:t>
      </w:r>
      <w:r w:rsidRPr="009252C3" w:rsidR="00C5738B">
        <w:rPr>
          <w:rFonts w:ascii="Century Schoolbook" w:hAnsi="Century Schoolbook"/>
          <w:sz w:val="27"/>
          <w:szCs w:val="27"/>
        </w:rPr>
        <w:t xml:space="preserve">.  </w:t>
      </w:r>
      <w:r w:rsidRPr="009252C3" w:rsidR="00BB5E09">
        <w:rPr>
          <w:rFonts w:ascii="Century Schoolbook" w:hAnsi="Century Schoolbook"/>
          <w:sz w:val="27"/>
          <w:szCs w:val="27"/>
        </w:rPr>
        <w:t>Defendant’s</w:t>
      </w:r>
      <w:r w:rsidRPr="009252C3" w:rsidR="00C5738B">
        <w:rPr>
          <w:rFonts w:ascii="Century Schoolbook" w:hAnsi="Century Schoolbook"/>
          <w:sz w:val="27"/>
          <w:szCs w:val="27"/>
        </w:rPr>
        <w:t xml:space="preserve"> constitutional claim therefore fail</w:t>
      </w:r>
      <w:r w:rsidRPr="009252C3" w:rsidR="00871E58">
        <w:rPr>
          <w:rFonts w:ascii="Century Schoolbook" w:hAnsi="Century Schoolbook"/>
          <w:sz w:val="27"/>
          <w:szCs w:val="27"/>
        </w:rPr>
        <w:t>s</w:t>
      </w:r>
      <w:r w:rsidRPr="009252C3" w:rsidR="00C5738B">
        <w:rPr>
          <w:rFonts w:ascii="Century Schoolbook" w:hAnsi="Century Schoolbook"/>
          <w:sz w:val="27"/>
          <w:szCs w:val="27"/>
        </w:rPr>
        <w:t xml:space="preserve"> along with the Evidence Code claim.</w:t>
      </w:r>
    </w:p>
    <w:p w:rsidR="00FA226C" w:rsidRPr="009252C3" w:rsidP="009252C3">
      <w:pPr>
        <w:pStyle w:val="Heading3"/>
        <w:spacing w:before="100" w:line="400" w:lineRule="exact"/>
        <w:ind w:left="0" w:firstLine="720"/>
        <w:jc w:val="both"/>
        <w:rPr>
          <w:rFonts w:ascii="Century Schoolbook" w:hAnsi="Century Schoolbook"/>
          <w:b/>
          <w:i w:val="0"/>
          <w:sz w:val="27"/>
          <w:szCs w:val="27"/>
        </w:rPr>
      </w:pPr>
      <w:bookmarkStart w:id="11" w:name="_Toc3365812"/>
      <w:r w:rsidRPr="009252C3">
        <w:rPr>
          <w:rFonts w:ascii="Century Schoolbook" w:hAnsi="Century Schoolbook"/>
          <w:b/>
          <w:i w:val="0"/>
          <w:sz w:val="27"/>
          <w:szCs w:val="27"/>
        </w:rPr>
        <w:t>IV.  Admission of Evidence of Defendant’s Prior</w:t>
      </w:r>
      <w:r w:rsidRPr="009252C3" w:rsidR="00041DC6">
        <w:rPr>
          <w:rFonts w:ascii="Century Schoolbook" w:hAnsi="Century Schoolbook"/>
          <w:b/>
          <w:i w:val="0"/>
          <w:sz w:val="27"/>
          <w:szCs w:val="27"/>
        </w:rPr>
        <w:t xml:space="preserve"> </w:t>
      </w:r>
      <w:r w:rsidR="00F7276C">
        <w:rPr>
          <w:rFonts w:ascii="Century Schoolbook" w:hAnsi="Century Schoolbook"/>
          <w:b/>
          <w:i w:val="0"/>
          <w:sz w:val="27"/>
          <w:szCs w:val="27"/>
        </w:rPr>
        <w:br/>
        <w:t xml:space="preserve">                  </w:t>
      </w:r>
      <w:r w:rsidRPr="009252C3">
        <w:rPr>
          <w:rFonts w:ascii="Century Schoolbook" w:hAnsi="Century Schoolbook"/>
          <w:b/>
          <w:i w:val="0"/>
          <w:sz w:val="27"/>
          <w:szCs w:val="27"/>
        </w:rPr>
        <w:t>Offenses</w:t>
      </w:r>
      <w:bookmarkEnd w:id="11"/>
    </w:p>
    <w:p w:rsidR="00C5738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Through i</w:t>
      </w:r>
      <w:r w:rsidRPr="009252C3" w:rsidR="00BB5E09">
        <w:rPr>
          <w:rFonts w:ascii="Century Schoolbook" w:hAnsi="Century Schoolbook"/>
          <w:sz w:val="27"/>
          <w:szCs w:val="27"/>
        </w:rPr>
        <w:t xml:space="preserve">n limine motions, </w:t>
      </w:r>
      <w:r w:rsidRPr="009252C3">
        <w:rPr>
          <w:rFonts w:ascii="Century Schoolbook" w:hAnsi="Century Schoolbook"/>
          <w:sz w:val="27"/>
          <w:szCs w:val="27"/>
        </w:rPr>
        <w:t xml:space="preserve">defendant </w:t>
      </w:r>
      <w:r w:rsidRPr="009252C3" w:rsidR="00BB5E09">
        <w:rPr>
          <w:rFonts w:ascii="Century Schoolbook" w:hAnsi="Century Schoolbook"/>
          <w:sz w:val="27"/>
          <w:szCs w:val="27"/>
        </w:rPr>
        <w:t xml:space="preserve">contested the admissibility of defendant’s prior crimes against Sharon </w:t>
      </w:r>
      <w:r w:rsidRPr="009252C3" w:rsidR="00D430E1">
        <w:rPr>
          <w:rFonts w:ascii="Century Schoolbook" w:hAnsi="Century Schoolbook"/>
          <w:sz w:val="27"/>
          <w:szCs w:val="27"/>
        </w:rPr>
        <w:t>T.</w:t>
      </w:r>
      <w:r w:rsidRPr="009252C3" w:rsidR="00BB5E09">
        <w:rPr>
          <w:rFonts w:ascii="Century Schoolbook" w:hAnsi="Century Schoolbook"/>
          <w:sz w:val="27"/>
          <w:szCs w:val="27"/>
        </w:rPr>
        <w:t>, the acquaintance who</w:t>
      </w:r>
      <w:r w:rsidRPr="009252C3" w:rsidR="00A7768D">
        <w:rPr>
          <w:rFonts w:ascii="Century Schoolbook" w:hAnsi="Century Schoolbook"/>
          <w:sz w:val="27"/>
          <w:szCs w:val="27"/>
        </w:rPr>
        <w:t>m</w:t>
      </w:r>
      <w:r w:rsidRPr="009252C3" w:rsidR="006F193C">
        <w:rPr>
          <w:rFonts w:ascii="Century Schoolbook" w:hAnsi="Century Schoolbook"/>
          <w:sz w:val="27"/>
          <w:szCs w:val="27"/>
        </w:rPr>
        <w:t xml:space="preserve"> </w:t>
      </w:r>
      <w:r w:rsidRPr="009252C3" w:rsidR="00BB5E09">
        <w:rPr>
          <w:rFonts w:ascii="Century Schoolbook" w:hAnsi="Century Schoolbook"/>
          <w:sz w:val="27"/>
          <w:szCs w:val="27"/>
        </w:rPr>
        <w:t>defendant sexually assaulted</w:t>
      </w:r>
      <w:r w:rsidRPr="009252C3" w:rsidR="00A7768D">
        <w:rPr>
          <w:rFonts w:ascii="Century Schoolbook" w:hAnsi="Century Schoolbook"/>
          <w:sz w:val="27"/>
          <w:szCs w:val="27"/>
        </w:rPr>
        <w:t xml:space="preserve"> in her home</w:t>
      </w:r>
      <w:r w:rsidRPr="009252C3" w:rsidR="00BB5E09">
        <w:rPr>
          <w:rFonts w:ascii="Century Schoolbook" w:hAnsi="Century Schoolbook"/>
          <w:sz w:val="27"/>
          <w:szCs w:val="27"/>
        </w:rPr>
        <w:t>, robbed</w:t>
      </w:r>
      <w:r w:rsidRPr="009252C3" w:rsidR="00AD167C">
        <w:rPr>
          <w:rFonts w:ascii="Century Schoolbook" w:hAnsi="Century Schoolbook"/>
          <w:sz w:val="27"/>
          <w:szCs w:val="27"/>
        </w:rPr>
        <w:t>,</w:t>
      </w:r>
      <w:r w:rsidRPr="009252C3" w:rsidR="00BB5E09">
        <w:rPr>
          <w:rFonts w:ascii="Century Schoolbook" w:hAnsi="Century Schoolbook"/>
          <w:sz w:val="27"/>
          <w:szCs w:val="27"/>
        </w:rPr>
        <w:t xml:space="preserve"> and drove toward the river bottoms, and Crystal T., the four-year-old </w:t>
      </w:r>
      <w:r w:rsidRPr="009252C3" w:rsidR="006F193C">
        <w:rPr>
          <w:rFonts w:ascii="Century Schoolbook" w:hAnsi="Century Schoolbook"/>
          <w:sz w:val="27"/>
          <w:szCs w:val="27"/>
        </w:rPr>
        <w:t>relative</w:t>
      </w:r>
      <w:r w:rsidRPr="009252C3" w:rsidR="00BB5E09">
        <w:rPr>
          <w:rFonts w:ascii="Century Schoolbook" w:hAnsi="Century Schoolbook"/>
          <w:sz w:val="27"/>
          <w:szCs w:val="27"/>
        </w:rPr>
        <w:t xml:space="preserve"> whom</w:t>
      </w:r>
      <w:r w:rsidRPr="009252C3" w:rsidR="006F193C">
        <w:rPr>
          <w:rFonts w:ascii="Century Schoolbook" w:hAnsi="Century Schoolbook"/>
          <w:sz w:val="27"/>
          <w:szCs w:val="27"/>
        </w:rPr>
        <w:t xml:space="preserve"> </w:t>
      </w:r>
      <w:r w:rsidRPr="009252C3" w:rsidR="00A7768D">
        <w:rPr>
          <w:rFonts w:ascii="Century Schoolbook" w:hAnsi="Century Schoolbook"/>
          <w:sz w:val="27"/>
          <w:szCs w:val="27"/>
        </w:rPr>
        <w:t xml:space="preserve">defendant </w:t>
      </w:r>
      <w:r w:rsidRPr="009252C3" w:rsidR="006F193C">
        <w:rPr>
          <w:rFonts w:ascii="Century Schoolbook" w:hAnsi="Century Schoolbook"/>
          <w:sz w:val="27"/>
          <w:szCs w:val="27"/>
        </w:rPr>
        <w:t>molested</w:t>
      </w:r>
      <w:r w:rsidRPr="009252C3" w:rsidR="00A7768D">
        <w:rPr>
          <w:rFonts w:ascii="Century Schoolbook" w:hAnsi="Century Schoolbook"/>
          <w:sz w:val="27"/>
          <w:szCs w:val="27"/>
        </w:rPr>
        <w:t xml:space="preserve">.  The trial court ruled </w:t>
      </w:r>
      <w:r w:rsidRPr="009252C3" w:rsidR="00E62B3D">
        <w:rPr>
          <w:rFonts w:ascii="Century Schoolbook" w:hAnsi="Century Schoolbook"/>
          <w:sz w:val="27"/>
          <w:szCs w:val="27"/>
        </w:rPr>
        <w:t xml:space="preserve">evidence of both </w:t>
      </w:r>
      <w:r w:rsidRPr="009252C3" w:rsidR="00134AE3">
        <w:rPr>
          <w:rFonts w:ascii="Century Schoolbook" w:hAnsi="Century Schoolbook"/>
          <w:sz w:val="27"/>
          <w:szCs w:val="27"/>
        </w:rPr>
        <w:t>crimes</w:t>
      </w:r>
      <w:r w:rsidRPr="009252C3" w:rsidR="00A7768D">
        <w:rPr>
          <w:rFonts w:ascii="Century Schoolbook" w:hAnsi="Century Schoolbook"/>
          <w:sz w:val="27"/>
          <w:szCs w:val="27"/>
        </w:rPr>
        <w:t xml:space="preserve"> admissible under Evidence Code section</w:t>
      </w:r>
      <w:r w:rsidRPr="009252C3" w:rsidR="00B543AE">
        <w:rPr>
          <w:rFonts w:ascii="Century Schoolbook" w:hAnsi="Century Schoolbook"/>
          <w:sz w:val="27"/>
          <w:szCs w:val="27"/>
        </w:rPr>
        <w:t>s</w:t>
      </w:r>
      <w:r w:rsidRPr="009252C3" w:rsidR="00A7768D">
        <w:rPr>
          <w:rFonts w:ascii="Century Schoolbook" w:hAnsi="Century Schoolbook"/>
          <w:sz w:val="27"/>
          <w:szCs w:val="27"/>
        </w:rPr>
        <w:t xml:space="preserve"> 1101</w:t>
      </w:r>
      <w:r w:rsidRPr="009252C3" w:rsidR="00B307EB">
        <w:rPr>
          <w:rFonts w:ascii="Century Schoolbook" w:hAnsi="Century Schoolbook"/>
          <w:sz w:val="27"/>
          <w:szCs w:val="27"/>
        </w:rPr>
        <w:t xml:space="preserve">, subdivision (b), and </w:t>
      </w:r>
      <w:r w:rsidRPr="009252C3" w:rsidR="00A7768D">
        <w:rPr>
          <w:rFonts w:ascii="Century Schoolbook" w:hAnsi="Century Schoolbook"/>
          <w:sz w:val="27"/>
          <w:szCs w:val="27"/>
        </w:rPr>
        <w:t>1108</w:t>
      </w:r>
      <w:r w:rsidRPr="009252C3" w:rsidR="0021586A">
        <w:rPr>
          <w:rFonts w:ascii="Century Schoolbook" w:hAnsi="Century Schoolbook"/>
          <w:sz w:val="27"/>
          <w:szCs w:val="27"/>
        </w:rPr>
        <w:t>,</w:t>
      </w:r>
      <w:r w:rsidRPr="009252C3" w:rsidR="002B664A">
        <w:rPr>
          <w:rFonts w:ascii="Century Schoolbook" w:hAnsi="Century Schoolbook"/>
          <w:sz w:val="27"/>
          <w:szCs w:val="27"/>
        </w:rPr>
        <w:t xml:space="preserve"> and declined to exclude </w:t>
      </w:r>
      <w:r w:rsidRPr="009252C3" w:rsidR="00E62B3D">
        <w:rPr>
          <w:rFonts w:ascii="Century Schoolbook" w:hAnsi="Century Schoolbook"/>
          <w:sz w:val="27"/>
          <w:szCs w:val="27"/>
        </w:rPr>
        <w:t xml:space="preserve">the evidence </w:t>
      </w:r>
      <w:r w:rsidRPr="009252C3" w:rsidR="002B664A">
        <w:rPr>
          <w:rFonts w:ascii="Century Schoolbook" w:hAnsi="Century Schoolbook"/>
          <w:sz w:val="27"/>
          <w:szCs w:val="27"/>
        </w:rPr>
        <w:t>under Evidence Code section 352</w:t>
      </w:r>
      <w:r w:rsidRPr="009252C3" w:rsidR="00651AA2">
        <w:rPr>
          <w:rFonts w:ascii="Century Schoolbook" w:hAnsi="Century Schoolbook"/>
          <w:sz w:val="27"/>
          <w:szCs w:val="27"/>
        </w:rPr>
        <w:t xml:space="preserve">, though </w:t>
      </w:r>
      <w:r w:rsidR="00E13368">
        <w:rPr>
          <w:rFonts w:ascii="Century Schoolbook" w:hAnsi="Century Schoolbook"/>
          <w:sz w:val="27"/>
          <w:szCs w:val="27"/>
        </w:rPr>
        <w:t>the court</w:t>
      </w:r>
      <w:r w:rsidRPr="009252C3" w:rsidR="00651AA2">
        <w:rPr>
          <w:rFonts w:ascii="Century Schoolbook" w:hAnsi="Century Schoolbook"/>
          <w:sz w:val="27"/>
          <w:szCs w:val="27"/>
        </w:rPr>
        <w:t xml:space="preserve"> </w:t>
      </w:r>
      <w:r w:rsidRPr="009252C3" w:rsidR="0021586A">
        <w:rPr>
          <w:rFonts w:ascii="Century Schoolbook" w:hAnsi="Century Schoolbook"/>
          <w:sz w:val="27"/>
          <w:szCs w:val="27"/>
        </w:rPr>
        <w:t xml:space="preserve">excluded </w:t>
      </w:r>
      <w:r w:rsidRPr="009252C3" w:rsidR="00E62B3D">
        <w:rPr>
          <w:rFonts w:ascii="Century Schoolbook" w:hAnsi="Century Schoolbook"/>
          <w:sz w:val="27"/>
          <w:szCs w:val="27"/>
        </w:rPr>
        <w:t xml:space="preserve">evidence of </w:t>
      </w:r>
      <w:r w:rsidRPr="009252C3" w:rsidR="0021586A">
        <w:rPr>
          <w:rFonts w:ascii="Century Schoolbook" w:hAnsi="Century Schoolbook"/>
          <w:sz w:val="27"/>
          <w:szCs w:val="27"/>
        </w:rPr>
        <w:t>a third prior incident as more prejudicial than probative</w:t>
      </w:r>
      <w:r w:rsidRPr="009252C3" w:rsidR="00A7768D">
        <w:rPr>
          <w:rFonts w:ascii="Century Schoolbook" w:hAnsi="Century Schoolbook"/>
          <w:sz w:val="27"/>
          <w:szCs w:val="27"/>
        </w:rPr>
        <w:t xml:space="preserve">.  </w:t>
      </w:r>
      <w:r w:rsidRPr="009252C3" w:rsidR="00A662BA">
        <w:rPr>
          <w:rFonts w:ascii="Century Schoolbook" w:hAnsi="Century Schoolbook"/>
          <w:sz w:val="27"/>
          <w:szCs w:val="27"/>
        </w:rPr>
        <w:t xml:space="preserve">On appeal, defendant contends the court abused its discretion under Evidence Code section 352 </w:t>
      </w:r>
      <w:r w:rsidRPr="009252C3" w:rsidR="00B307EB">
        <w:rPr>
          <w:rFonts w:ascii="Century Schoolbook" w:hAnsi="Century Schoolbook"/>
          <w:sz w:val="27"/>
          <w:szCs w:val="27"/>
        </w:rPr>
        <w:t xml:space="preserve">in admitting the </w:t>
      </w:r>
      <w:r w:rsidRPr="009252C3" w:rsidR="00C315D5">
        <w:rPr>
          <w:rFonts w:ascii="Century Schoolbook" w:hAnsi="Century Schoolbook"/>
          <w:sz w:val="27"/>
          <w:szCs w:val="27"/>
        </w:rPr>
        <w:t xml:space="preserve">Sharon T. and Crystal T. </w:t>
      </w:r>
      <w:r w:rsidRPr="009252C3" w:rsidR="00B307EB">
        <w:rPr>
          <w:rFonts w:ascii="Century Schoolbook" w:hAnsi="Century Schoolbook"/>
          <w:sz w:val="27"/>
          <w:szCs w:val="27"/>
        </w:rPr>
        <w:t>evidence</w:t>
      </w:r>
      <w:r w:rsidRPr="009252C3" w:rsidR="007418EB">
        <w:rPr>
          <w:rFonts w:ascii="Century Schoolbook" w:hAnsi="Century Schoolbook"/>
          <w:sz w:val="27"/>
          <w:szCs w:val="27"/>
        </w:rPr>
        <w:t xml:space="preserve">.  He also argues that the admission of the evidence violated his </w:t>
      </w:r>
      <w:r w:rsidRPr="009252C3" w:rsidR="00A662BA">
        <w:rPr>
          <w:rFonts w:ascii="Century Schoolbook" w:hAnsi="Century Schoolbook"/>
          <w:sz w:val="27"/>
          <w:szCs w:val="27"/>
        </w:rPr>
        <w:t xml:space="preserve">federal constitutional rights </w:t>
      </w:r>
      <w:r w:rsidRPr="009252C3" w:rsidR="007418EB">
        <w:rPr>
          <w:rFonts w:ascii="Century Schoolbook" w:hAnsi="Century Schoolbook"/>
          <w:sz w:val="27"/>
          <w:szCs w:val="27"/>
        </w:rPr>
        <w:t xml:space="preserve">to </w:t>
      </w:r>
      <w:r w:rsidRPr="009252C3" w:rsidR="00A662BA">
        <w:rPr>
          <w:rFonts w:ascii="Century Schoolbook" w:hAnsi="Century Schoolbook"/>
          <w:sz w:val="27"/>
          <w:szCs w:val="27"/>
        </w:rPr>
        <w:t>due process and a fair jury trial</w:t>
      </w:r>
      <w:r w:rsidRPr="009252C3" w:rsidR="007418EB">
        <w:rPr>
          <w:rFonts w:ascii="Century Schoolbook" w:hAnsi="Century Schoolbook"/>
          <w:sz w:val="27"/>
          <w:szCs w:val="27"/>
        </w:rPr>
        <w:t>.</w:t>
      </w:r>
      <w:r w:rsidRPr="009252C3" w:rsidR="00A662BA">
        <w:rPr>
          <w:rFonts w:ascii="Century Schoolbook" w:hAnsi="Century Schoolbook"/>
          <w:sz w:val="27"/>
          <w:szCs w:val="27"/>
        </w:rPr>
        <w:t xml:space="preserve"> </w:t>
      </w:r>
      <w:r w:rsidRPr="009252C3" w:rsidR="00B543AE">
        <w:rPr>
          <w:rFonts w:ascii="Century Schoolbook" w:hAnsi="Century Schoolbook"/>
          <w:sz w:val="27"/>
          <w:szCs w:val="27"/>
        </w:rPr>
        <w:t xml:space="preserve"> We find no statutory or constitutional error.</w:t>
      </w:r>
    </w:p>
    <w:p w:rsidR="00281B8E"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facts of the Sharon T</w:t>
      </w:r>
      <w:r w:rsidRPr="009252C3" w:rsidR="00D430E1">
        <w:rPr>
          <w:rFonts w:ascii="Century Schoolbook" w:hAnsi="Century Schoolbook"/>
          <w:sz w:val="27"/>
          <w:szCs w:val="27"/>
        </w:rPr>
        <w:t>.</w:t>
      </w:r>
      <w:r w:rsidRPr="009252C3">
        <w:rPr>
          <w:rFonts w:ascii="Century Schoolbook" w:hAnsi="Century Schoolbook"/>
          <w:sz w:val="27"/>
          <w:szCs w:val="27"/>
        </w:rPr>
        <w:t xml:space="preserve"> and Crystal T. incidents, as outlined in the Pe</w:t>
      </w:r>
      <w:r w:rsidRPr="009252C3" w:rsidR="00B543AE">
        <w:rPr>
          <w:rFonts w:ascii="Century Schoolbook" w:hAnsi="Century Schoolbook"/>
          <w:sz w:val="27"/>
          <w:szCs w:val="27"/>
        </w:rPr>
        <w:t xml:space="preserve">ople’s motion papers </w:t>
      </w:r>
      <w:r w:rsidRPr="009252C3" w:rsidR="004848D0">
        <w:rPr>
          <w:rFonts w:ascii="Century Schoolbook" w:hAnsi="Century Schoolbook"/>
          <w:sz w:val="27"/>
          <w:szCs w:val="27"/>
        </w:rPr>
        <w:t>arguing for</w:t>
      </w:r>
      <w:r w:rsidRPr="009252C3" w:rsidR="00951ACF">
        <w:rPr>
          <w:rFonts w:ascii="Century Schoolbook" w:hAnsi="Century Schoolbook"/>
          <w:sz w:val="27"/>
          <w:szCs w:val="27"/>
        </w:rPr>
        <w:t xml:space="preserve"> </w:t>
      </w:r>
      <w:r w:rsidRPr="009252C3" w:rsidR="00B543AE">
        <w:rPr>
          <w:rFonts w:ascii="Century Schoolbook" w:hAnsi="Century Schoolbook"/>
          <w:sz w:val="27"/>
          <w:szCs w:val="27"/>
        </w:rPr>
        <w:t xml:space="preserve">their admissibility, were as follows:  </w:t>
      </w:r>
      <w:r w:rsidRPr="009252C3" w:rsidR="00AB451D">
        <w:rPr>
          <w:rFonts w:ascii="Century Schoolbook" w:hAnsi="Century Schoolbook"/>
          <w:sz w:val="27"/>
          <w:szCs w:val="27"/>
        </w:rPr>
        <w:t>In 1985, d</w:t>
      </w:r>
      <w:r w:rsidRPr="009252C3">
        <w:rPr>
          <w:rFonts w:ascii="Century Schoolbook" w:hAnsi="Century Schoolbook"/>
          <w:sz w:val="27"/>
          <w:szCs w:val="27"/>
        </w:rPr>
        <w:t xml:space="preserve">efendant telephoned </w:t>
      </w:r>
      <w:r w:rsidRPr="009252C3" w:rsidR="00D430E1">
        <w:rPr>
          <w:rFonts w:ascii="Century Schoolbook" w:hAnsi="Century Schoolbook"/>
          <w:sz w:val="27"/>
          <w:szCs w:val="27"/>
        </w:rPr>
        <w:t>Sharon</w:t>
      </w:r>
      <w:r w:rsidRPr="009252C3">
        <w:rPr>
          <w:rFonts w:ascii="Century Schoolbook" w:hAnsi="Century Schoolbook"/>
          <w:sz w:val="27"/>
          <w:szCs w:val="27"/>
        </w:rPr>
        <w:t xml:space="preserve"> and said he wanted to discuss a piece of real estate with her.  He came to her Marysville apartment and she let him in.  After they talked for a while in her living room, he moved to sit beside her, pulled out a six- or seven-inch knife and put it to her neck, pulling back her head by her hair.  Defendant told </w:t>
      </w:r>
      <w:r w:rsidRPr="009252C3" w:rsidR="00D430E1">
        <w:rPr>
          <w:rFonts w:ascii="Century Schoolbook" w:hAnsi="Century Schoolbook"/>
          <w:sz w:val="27"/>
          <w:szCs w:val="27"/>
        </w:rPr>
        <w:t>Sharon</w:t>
      </w:r>
      <w:r w:rsidRPr="009252C3">
        <w:rPr>
          <w:rFonts w:ascii="Century Schoolbook" w:hAnsi="Century Schoolbook"/>
          <w:sz w:val="27"/>
          <w:szCs w:val="27"/>
        </w:rPr>
        <w:t xml:space="preserve"> he was wanted for armed robbery and needed to stay with her for 24 hours, then demanded </w:t>
      </w:r>
      <w:r w:rsidRPr="009252C3" w:rsidR="0083365C">
        <w:rPr>
          <w:rFonts w:ascii="Century Schoolbook" w:hAnsi="Century Schoolbook"/>
          <w:sz w:val="27"/>
          <w:szCs w:val="27"/>
        </w:rPr>
        <w:t>money</w:t>
      </w:r>
      <w:r w:rsidRPr="009252C3">
        <w:rPr>
          <w:rFonts w:ascii="Century Schoolbook" w:hAnsi="Century Schoolbook"/>
          <w:sz w:val="27"/>
          <w:szCs w:val="27"/>
        </w:rPr>
        <w:t xml:space="preserve">, taking $50 in cash and her ATM card.  </w:t>
      </w:r>
    </w:p>
    <w:p w:rsidR="00AB451D"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handcuffed </w:t>
      </w:r>
      <w:r w:rsidRPr="009252C3" w:rsidR="00D430E1">
        <w:rPr>
          <w:rFonts w:ascii="Century Schoolbook" w:hAnsi="Century Schoolbook"/>
          <w:sz w:val="27"/>
          <w:szCs w:val="27"/>
        </w:rPr>
        <w:t>Sharon</w:t>
      </w:r>
      <w:r w:rsidRPr="009252C3">
        <w:rPr>
          <w:rFonts w:ascii="Century Schoolbook" w:hAnsi="Century Schoolbook"/>
          <w:sz w:val="27"/>
          <w:szCs w:val="27"/>
        </w:rPr>
        <w:t>, ordered her into the bedroom, took off her clothes</w:t>
      </w:r>
      <w:r w:rsidRPr="009252C3" w:rsidR="004848D0">
        <w:rPr>
          <w:rFonts w:ascii="Century Schoolbook" w:hAnsi="Century Schoolbook"/>
          <w:sz w:val="27"/>
          <w:szCs w:val="27"/>
        </w:rPr>
        <w:t>,</w:t>
      </w:r>
      <w:r w:rsidRPr="009252C3">
        <w:rPr>
          <w:rFonts w:ascii="Century Schoolbook" w:hAnsi="Century Schoolbook"/>
          <w:sz w:val="27"/>
          <w:szCs w:val="27"/>
        </w:rPr>
        <w:t xml:space="preserve"> and forced her to orally copulate him until he ejaculated.  </w:t>
      </w:r>
      <w:r w:rsidRPr="009252C3">
        <w:rPr>
          <w:rFonts w:ascii="Century Schoolbook" w:hAnsi="Century Schoolbook"/>
          <w:sz w:val="27"/>
          <w:szCs w:val="27"/>
        </w:rPr>
        <w:t>Then</w:t>
      </w:r>
      <w:r w:rsidRPr="009252C3" w:rsidR="00AF5A1E">
        <w:rPr>
          <w:rFonts w:ascii="Century Schoolbook" w:hAnsi="Century Schoolbook"/>
          <w:sz w:val="27"/>
          <w:szCs w:val="27"/>
        </w:rPr>
        <w:t xml:space="preserve">, after loosening one of the handcuffs, </w:t>
      </w:r>
      <w:r w:rsidRPr="009252C3">
        <w:rPr>
          <w:rFonts w:ascii="Century Schoolbook" w:hAnsi="Century Schoolbook"/>
          <w:sz w:val="27"/>
          <w:szCs w:val="27"/>
        </w:rPr>
        <w:t>he told her to get dressed, saying they were going for a ride to Riverfront Park</w:t>
      </w:r>
      <w:r w:rsidRPr="009252C3" w:rsidR="0055556F">
        <w:rPr>
          <w:rFonts w:ascii="Century Schoolbook" w:hAnsi="Century Schoolbook"/>
          <w:sz w:val="27"/>
          <w:szCs w:val="27"/>
        </w:rPr>
        <w:t>.  He</w:t>
      </w:r>
      <w:r w:rsidRPr="009252C3">
        <w:rPr>
          <w:rFonts w:ascii="Century Schoolbook" w:hAnsi="Century Schoolbook"/>
          <w:sz w:val="27"/>
          <w:szCs w:val="27"/>
        </w:rPr>
        <w:t xml:space="preserve"> wiped down surfaces in the apartment, remarking that “people who make mistakes get caught.”  Taking her car keys, he told </w:t>
      </w:r>
      <w:r w:rsidRPr="009252C3" w:rsidR="00AF5A1E">
        <w:rPr>
          <w:rFonts w:ascii="Century Schoolbook" w:hAnsi="Century Schoolbook"/>
          <w:sz w:val="27"/>
          <w:szCs w:val="27"/>
        </w:rPr>
        <w:t xml:space="preserve">Sharon </w:t>
      </w:r>
      <w:r w:rsidRPr="009252C3">
        <w:rPr>
          <w:rFonts w:ascii="Century Schoolbook" w:hAnsi="Century Schoolbook"/>
          <w:sz w:val="27"/>
          <w:szCs w:val="27"/>
        </w:rPr>
        <w:t xml:space="preserve">he had a gun and would kill her if she tried to run.  During the ride down to the river, he compared the two of them to Bonnie and Clyde, but noted that Bonnie “isn’t going to make it.”  </w:t>
      </w:r>
      <w:r w:rsidRPr="009252C3" w:rsidR="00AF5A1E">
        <w:rPr>
          <w:rFonts w:ascii="Century Schoolbook" w:hAnsi="Century Schoolbook"/>
          <w:sz w:val="27"/>
          <w:szCs w:val="27"/>
        </w:rPr>
        <w:t>Sharon, b</w:t>
      </w:r>
      <w:r w:rsidRPr="009252C3">
        <w:rPr>
          <w:rFonts w:ascii="Century Schoolbook" w:hAnsi="Century Schoolbook"/>
          <w:sz w:val="27"/>
          <w:szCs w:val="27"/>
        </w:rPr>
        <w:t xml:space="preserve">elieving defendant would kill her if they got to the river, jumped from the moving car.  After evading defendant’s attempt to recapture her, she ran to a nearby building for help.  </w:t>
      </w:r>
    </w:p>
    <w:p w:rsidR="00AB451D"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1993</w:t>
      </w:r>
      <w:r w:rsidRPr="009252C3" w:rsidR="00B741A5">
        <w:rPr>
          <w:rFonts w:ascii="Century Schoolbook" w:hAnsi="Century Schoolbook"/>
          <w:sz w:val="27"/>
          <w:szCs w:val="27"/>
        </w:rPr>
        <w:t>, defendant molested Crystal T., the granddaughter of his wife, Lynnette</w:t>
      </w:r>
      <w:r w:rsidRPr="009252C3" w:rsidR="00B607FD">
        <w:rPr>
          <w:rFonts w:ascii="Century Schoolbook" w:hAnsi="Century Schoolbook"/>
          <w:sz w:val="27"/>
          <w:szCs w:val="27"/>
        </w:rPr>
        <w:t xml:space="preserve">.  Crystal and her mother (Lynnette’s daughter) lived in the same </w:t>
      </w:r>
      <w:r w:rsidRPr="009252C3" w:rsidR="00B741A5">
        <w:rPr>
          <w:rFonts w:ascii="Century Schoolbook" w:hAnsi="Century Schoolbook"/>
          <w:sz w:val="27"/>
          <w:szCs w:val="27"/>
        </w:rPr>
        <w:t xml:space="preserve">trailer park as </w:t>
      </w:r>
      <w:r w:rsidRPr="009252C3" w:rsidR="00B607FD">
        <w:rPr>
          <w:rFonts w:ascii="Century Schoolbook" w:hAnsi="Century Schoolbook"/>
          <w:sz w:val="27"/>
          <w:szCs w:val="27"/>
        </w:rPr>
        <w:t>defendant and Lynnette</w:t>
      </w:r>
      <w:r w:rsidRPr="009252C3" w:rsidR="00B741A5">
        <w:rPr>
          <w:rFonts w:ascii="Century Schoolbook" w:hAnsi="Century Schoolbook"/>
          <w:sz w:val="27"/>
          <w:szCs w:val="27"/>
        </w:rPr>
        <w:t xml:space="preserve">.  After Crystal’s mother left her with a babysitter in the </w:t>
      </w:r>
      <w:r w:rsidR="00E13368">
        <w:rPr>
          <w:rFonts w:ascii="Century Schoolbook" w:hAnsi="Century Schoolbook"/>
          <w:sz w:val="27"/>
          <w:szCs w:val="27"/>
        </w:rPr>
        <w:t>trailer</w:t>
      </w:r>
      <w:r w:rsidRPr="009252C3" w:rsidR="00B741A5">
        <w:rPr>
          <w:rFonts w:ascii="Century Schoolbook" w:hAnsi="Century Schoolbook"/>
          <w:sz w:val="27"/>
          <w:szCs w:val="27"/>
        </w:rPr>
        <w:t xml:space="preserve"> park, defendant telephoned the sitter and told her to send Crystal to his trailer.  When the mother came home, Crystal was still in defendant’s trailer.  That evening, Crystal said that “Grandpa made me put his pee in my mouth and it was yucky.”  The same evening, she repeated the report to a police detective, adding that defendant “rubbed his pee on my pee and butt.”</w:t>
      </w:r>
    </w:p>
    <w:p w:rsidR="00C8488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trial court </w:t>
      </w:r>
      <w:r w:rsidRPr="009252C3" w:rsidR="001E53E2">
        <w:rPr>
          <w:rFonts w:ascii="Century Schoolbook" w:hAnsi="Century Schoolbook"/>
          <w:sz w:val="27"/>
          <w:szCs w:val="27"/>
        </w:rPr>
        <w:t xml:space="preserve">properly </w:t>
      </w:r>
      <w:r w:rsidRPr="009252C3">
        <w:rPr>
          <w:rFonts w:ascii="Century Schoolbook" w:hAnsi="Century Schoolbook"/>
          <w:sz w:val="27"/>
          <w:szCs w:val="27"/>
        </w:rPr>
        <w:t>admitt</w:t>
      </w:r>
      <w:r w:rsidRPr="009252C3" w:rsidR="001E53E2">
        <w:rPr>
          <w:rFonts w:ascii="Century Schoolbook" w:hAnsi="Century Schoolbook"/>
          <w:sz w:val="27"/>
          <w:szCs w:val="27"/>
        </w:rPr>
        <w:t>ed</w:t>
      </w:r>
      <w:r w:rsidRPr="009252C3">
        <w:rPr>
          <w:rFonts w:ascii="Century Schoolbook" w:hAnsi="Century Schoolbook"/>
          <w:sz w:val="27"/>
          <w:szCs w:val="27"/>
        </w:rPr>
        <w:t xml:space="preserve"> d</w:t>
      </w:r>
      <w:r w:rsidRPr="009252C3" w:rsidR="00E274AA">
        <w:rPr>
          <w:rFonts w:ascii="Century Schoolbook" w:hAnsi="Century Schoolbook"/>
          <w:sz w:val="27"/>
          <w:szCs w:val="27"/>
        </w:rPr>
        <w:t xml:space="preserve">efendant’s sexual offenses against </w:t>
      </w:r>
      <w:r w:rsidRPr="009252C3" w:rsidR="00D430E1">
        <w:rPr>
          <w:rFonts w:ascii="Century Schoolbook" w:hAnsi="Century Schoolbook"/>
          <w:sz w:val="27"/>
          <w:szCs w:val="27"/>
        </w:rPr>
        <w:t>Sharon</w:t>
      </w:r>
      <w:r w:rsidRPr="009252C3">
        <w:rPr>
          <w:rFonts w:ascii="Century Schoolbook" w:hAnsi="Century Schoolbook"/>
          <w:sz w:val="27"/>
          <w:szCs w:val="27"/>
        </w:rPr>
        <w:t xml:space="preserve"> </w:t>
      </w:r>
      <w:r w:rsidRPr="009252C3" w:rsidR="0096791C">
        <w:rPr>
          <w:rFonts w:ascii="Century Schoolbook" w:hAnsi="Century Schoolbook"/>
          <w:sz w:val="27"/>
          <w:szCs w:val="27"/>
        </w:rPr>
        <w:t>and Crystal</w:t>
      </w:r>
      <w:r w:rsidRPr="009252C3" w:rsidR="00C46086">
        <w:rPr>
          <w:rFonts w:ascii="Century Schoolbook" w:hAnsi="Century Schoolbook"/>
          <w:sz w:val="27"/>
          <w:szCs w:val="27"/>
        </w:rPr>
        <w:t xml:space="preserve"> under Evidence Code section 1108, subdivision (</w:t>
      </w:r>
      <w:r w:rsidRPr="009252C3" w:rsidR="001E53E2">
        <w:rPr>
          <w:rFonts w:ascii="Century Schoolbook" w:hAnsi="Century Schoolbook"/>
          <w:sz w:val="27"/>
          <w:szCs w:val="27"/>
        </w:rPr>
        <w:t>a).  That provision states</w:t>
      </w:r>
      <w:r w:rsidRPr="009252C3" w:rsidR="00C46086">
        <w:rPr>
          <w:rFonts w:ascii="Century Schoolbook" w:hAnsi="Century Schoolbook"/>
          <w:sz w:val="27"/>
          <w:szCs w:val="27"/>
        </w:rPr>
        <w:t xml:space="preserve">:  </w:t>
      </w:r>
      <w:r w:rsidRPr="009252C3" w:rsidR="0096791C">
        <w:rPr>
          <w:rFonts w:ascii="Century Schoolbook" w:hAnsi="Century Schoolbook"/>
          <w:sz w:val="27"/>
          <w:szCs w:val="27"/>
        </w:rPr>
        <w:t>“</w:t>
      </w:r>
      <w:r w:rsidRPr="009252C3" w:rsidR="00C46086">
        <w:rPr>
          <w:rFonts w:ascii="Century Schoolbook" w:hAnsi="Century Schoolbook"/>
          <w:sz w:val="27"/>
          <w:szCs w:val="27"/>
        </w:rPr>
        <w:t>I</w:t>
      </w:r>
      <w:r w:rsidRPr="009252C3" w:rsidR="0096791C">
        <w:rPr>
          <w:rFonts w:ascii="Century Schoolbook" w:hAnsi="Century Schoolbook"/>
          <w:sz w:val="27"/>
          <w:szCs w:val="27"/>
        </w:rPr>
        <w:t>n a criminal action in which the defendant is accused of a sexual offense, evidence of the defendant’s commission of another sexual offense or offenses is not made inadmissible by Section 1101, if the evidence is not inadmissible pursuant to Section 352.”  (</w:t>
      </w:r>
      <w:r w:rsidRPr="009252C3" w:rsidR="0059668A">
        <w:rPr>
          <w:rFonts w:ascii="Century Schoolbook" w:hAnsi="Century Schoolbook"/>
          <w:i/>
          <w:sz w:val="27"/>
          <w:szCs w:val="27"/>
        </w:rPr>
        <w:t>Id.</w:t>
      </w:r>
      <w:r w:rsidRPr="009252C3" w:rsidR="0059668A">
        <w:rPr>
          <w:rFonts w:ascii="Century Schoolbook" w:hAnsi="Century Schoolbook"/>
          <w:sz w:val="27"/>
          <w:szCs w:val="27"/>
        </w:rPr>
        <w:t xml:space="preserve">, </w:t>
      </w:r>
      <w:r w:rsidRPr="009252C3" w:rsidR="0096791C">
        <w:rPr>
          <w:rFonts w:ascii="Century Schoolbook" w:hAnsi="Century Schoolbook"/>
          <w:sz w:val="27"/>
          <w:szCs w:val="27"/>
        </w:rPr>
        <w:t xml:space="preserve">§ 1108, subd. (a).)  </w:t>
      </w:r>
      <w:r w:rsidRPr="009252C3" w:rsidR="00C46086">
        <w:rPr>
          <w:rFonts w:ascii="Century Schoolbook" w:hAnsi="Century Schoolbook"/>
          <w:sz w:val="27"/>
          <w:szCs w:val="27"/>
        </w:rPr>
        <w:t xml:space="preserve">The first of the two referenced provisions, Evidence Code section 1101, sets out a general rule against using propensity evidence to prove </w:t>
      </w:r>
      <w:r w:rsidRPr="009252C3" w:rsidR="0053203C">
        <w:rPr>
          <w:rFonts w:ascii="Century Schoolbook" w:hAnsi="Century Schoolbook"/>
          <w:sz w:val="27"/>
          <w:szCs w:val="27"/>
        </w:rPr>
        <w:t xml:space="preserve">a person’s </w:t>
      </w:r>
      <w:r w:rsidRPr="009252C3" w:rsidR="00C46086">
        <w:rPr>
          <w:rFonts w:ascii="Century Schoolbook" w:hAnsi="Century Schoolbook"/>
          <w:sz w:val="27"/>
          <w:szCs w:val="27"/>
        </w:rPr>
        <w:t>conduct on a particular occasion.  (</w:t>
      </w:r>
      <w:r w:rsidRPr="009252C3" w:rsidR="0059668A">
        <w:rPr>
          <w:rFonts w:ascii="Century Schoolbook" w:hAnsi="Century Schoolbook"/>
          <w:i/>
          <w:sz w:val="27"/>
          <w:szCs w:val="27"/>
        </w:rPr>
        <w:t>Id.</w:t>
      </w:r>
      <w:r w:rsidRPr="009252C3" w:rsidR="0059668A">
        <w:rPr>
          <w:rFonts w:ascii="Century Schoolbook" w:hAnsi="Century Schoolbook"/>
          <w:sz w:val="27"/>
          <w:szCs w:val="27"/>
        </w:rPr>
        <w:t xml:space="preserve">, </w:t>
      </w:r>
      <w:r w:rsidRPr="009252C3" w:rsidR="00C46086">
        <w:rPr>
          <w:rFonts w:ascii="Century Schoolbook" w:hAnsi="Century Schoolbook"/>
          <w:sz w:val="27"/>
          <w:szCs w:val="27"/>
        </w:rPr>
        <w:t>§</w:t>
      </w:r>
      <w:r w:rsidRPr="009252C3" w:rsidR="00A276C9">
        <w:rPr>
          <w:rFonts w:ascii="Century Schoolbook" w:hAnsi="Century Schoolbook"/>
          <w:sz w:val="27"/>
          <w:szCs w:val="27"/>
        </w:rPr>
        <w:t> </w:t>
      </w:r>
      <w:r w:rsidRPr="009252C3" w:rsidR="00C46086">
        <w:rPr>
          <w:rFonts w:ascii="Century Schoolbook" w:hAnsi="Century Schoolbook"/>
          <w:sz w:val="27"/>
          <w:szCs w:val="27"/>
        </w:rPr>
        <w:t>1101</w:t>
      </w:r>
      <w:r w:rsidRPr="009252C3" w:rsidR="0059668A">
        <w:rPr>
          <w:rFonts w:ascii="Century Schoolbook" w:hAnsi="Century Schoolbook"/>
          <w:sz w:val="27"/>
          <w:szCs w:val="27"/>
        </w:rPr>
        <w:t>, subd. (a)</w:t>
      </w:r>
      <w:r w:rsidRPr="009252C3" w:rsidR="00C46086">
        <w:rPr>
          <w:rFonts w:ascii="Century Schoolbook" w:hAnsi="Century Schoolbook"/>
          <w:sz w:val="27"/>
          <w:szCs w:val="27"/>
        </w:rPr>
        <w:t>.)  The second, Evidence Code s</w:t>
      </w:r>
      <w:r w:rsidRPr="009252C3" w:rsidR="0096791C">
        <w:rPr>
          <w:rFonts w:ascii="Century Schoolbook" w:hAnsi="Century Schoolbook"/>
          <w:sz w:val="27"/>
          <w:szCs w:val="27"/>
        </w:rPr>
        <w:t>ection 352</w:t>
      </w:r>
      <w:r w:rsidRPr="009252C3" w:rsidR="00C46086">
        <w:rPr>
          <w:rFonts w:ascii="Century Schoolbook" w:hAnsi="Century Schoolbook"/>
          <w:sz w:val="27"/>
          <w:szCs w:val="27"/>
        </w:rPr>
        <w:t xml:space="preserve">, </w:t>
      </w:r>
      <w:r w:rsidRPr="009252C3" w:rsidR="0096791C">
        <w:rPr>
          <w:rFonts w:ascii="Century Schoolbook" w:hAnsi="Century Schoolbook"/>
          <w:sz w:val="27"/>
          <w:szCs w:val="27"/>
        </w:rPr>
        <w:t>sets out the general rule that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r w:rsidRPr="009252C3" w:rsidR="001E53E2">
        <w:rPr>
          <w:rFonts w:ascii="Century Schoolbook" w:hAnsi="Century Schoolbook"/>
          <w:sz w:val="27"/>
          <w:szCs w:val="27"/>
        </w:rPr>
        <w:t xml:space="preserve">  A</w:t>
      </w:r>
      <w:r w:rsidRPr="009252C3" w:rsidR="00616CCE">
        <w:rPr>
          <w:rFonts w:ascii="Century Schoolbook" w:hAnsi="Century Schoolbook"/>
          <w:sz w:val="27"/>
          <w:szCs w:val="27"/>
        </w:rPr>
        <w:t xml:space="preserve">s we have explained, Evidence Code section 1108 </w:t>
      </w:r>
      <w:r w:rsidRPr="009252C3" w:rsidR="0018218B">
        <w:rPr>
          <w:rFonts w:ascii="Century Schoolbook" w:hAnsi="Century Schoolbook"/>
          <w:sz w:val="27"/>
          <w:szCs w:val="27"/>
        </w:rPr>
        <w:t xml:space="preserve">by its terms </w:t>
      </w:r>
      <w:r w:rsidRPr="009252C3" w:rsidR="00616CCE">
        <w:rPr>
          <w:rFonts w:ascii="Century Schoolbook" w:hAnsi="Century Schoolbook"/>
          <w:sz w:val="27"/>
          <w:szCs w:val="27"/>
        </w:rPr>
        <w:t>establishes an exception to the general rule against admitting propensity evidence, “ ‘provid[ing] the trier of fact in a sex offense case the opportunity to learn of the defendant</w:t>
      </w:r>
      <w:r w:rsidRPr="009252C3" w:rsidR="000E3FAE">
        <w:rPr>
          <w:rFonts w:ascii="Century Schoolbook" w:hAnsi="Century Schoolbook"/>
          <w:sz w:val="27"/>
          <w:szCs w:val="27"/>
        </w:rPr>
        <w:t>’</w:t>
      </w:r>
      <w:r w:rsidRPr="009252C3" w:rsidR="00616CCE">
        <w:rPr>
          <w:rFonts w:ascii="Century Schoolbook" w:hAnsi="Century Schoolbook"/>
          <w:sz w:val="27"/>
          <w:szCs w:val="27"/>
        </w:rPr>
        <w:t>s possible disposition to commit sex crimes.’ ”  (</w:t>
      </w:r>
      <w:r w:rsidRPr="009252C3" w:rsidR="00616CCE">
        <w:rPr>
          <w:rFonts w:ascii="Century Schoolbook" w:hAnsi="Century Schoolbook"/>
          <w:i/>
          <w:iCs/>
          <w:sz w:val="27"/>
          <w:szCs w:val="27"/>
        </w:rPr>
        <w:t>People v. Jones</w:t>
      </w:r>
      <w:r w:rsidRPr="009252C3" w:rsidR="00616CCE">
        <w:rPr>
          <w:rFonts w:ascii="Century Schoolbook" w:hAnsi="Century Schoolbook"/>
          <w:sz w:val="27"/>
          <w:szCs w:val="27"/>
        </w:rPr>
        <w:t> (2012) 54 Cal.4th 1, 49 (</w:t>
      </w:r>
      <w:r w:rsidRPr="009252C3" w:rsidR="00616CCE">
        <w:rPr>
          <w:rFonts w:ascii="Century Schoolbook" w:hAnsi="Century Schoolbook"/>
          <w:i/>
          <w:sz w:val="27"/>
          <w:szCs w:val="27"/>
        </w:rPr>
        <w:t>Jones</w:t>
      </w:r>
      <w:r w:rsidRPr="009252C3" w:rsidR="00616CCE">
        <w:rPr>
          <w:rFonts w:ascii="Century Schoolbook" w:hAnsi="Century Schoolbook"/>
          <w:sz w:val="27"/>
          <w:szCs w:val="27"/>
        </w:rPr>
        <w:t xml:space="preserve">), quoting </w:t>
      </w:r>
      <w:r w:rsidRPr="009252C3" w:rsidR="00616CCE">
        <w:rPr>
          <w:rFonts w:ascii="Century Schoolbook" w:hAnsi="Century Schoolbook"/>
          <w:i/>
          <w:sz w:val="27"/>
          <w:szCs w:val="27"/>
        </w:rPr>
        <w:t>People v. Falsetta</w:t>
      </w:r>
      <w:r w:rsidRPr="009252C3" w:rsidR="00616CCE">
        <w:rPr>
          <w:rFonts w:ascii="Century Schoolbook" w:hAnsi="Century Schoolbook"/>
          <w:sz w:val="27"/>
          <w:szCs w:val="27"/>
        </w:rPr>
        <w:t xml:space="preserve"> (1999) 21 Cal.4th 903, 915 (</w:t>
      </w:r>
      <w:r w:rsidRPr="009252C3" w:rsidR="00616CCE">
        <w:rPr>
          <w:rFonts w:ascii="Century Schoolbook" w:hAnsi="Century Schoolbook"/>
          <w:i/>
          <w:sz w:val="27"/>
          <w:szCs w:val="27"/>
        </w:rPr>
        <w:t>Falsetta</w:t>
      </w:r>
      <w:r w:rsidRPr="009252C3" w:rsidR="00616CCE">
        <w:rPr>
          <w:rFonts w:ascii="Century Schoolbook" w:hAnsi="Century Schoolbook"/>
          <w:sz w:val="27"/>
          <w:szCs w:val="27"/>
        </w:rPr>
        <w:t>).)  B</w:t>
      </w:r>
      <w:r w:rsidRPr="009252C3" w:rsidR="00C46086">
        <w:rPr>
          <w:rFonts w:ascii="Century Schoolbook" w:hAnsi="Century Schoolbook"/>
          <w:sz w:val="27"/>
          <w:szCs w:val="27"/>
        </w:rPr>
        <w:t xml:space="preserve">ut </w:t>
      </w:r>
      <w:r w:rsidRPr="009252C3" w:rsidR="00616CCE">
        <w:rPr>
          <w:rFonts w:ascii="Century Schoolbook" w:hAnsi="Century Schoolbook"/>
          <w:sz w:val="27"/>
          <w:szCs w:val="27"/>
        </w:rPr>
        <w:t xml:space="preserve">the statute </w:t>
      </w:r>
      <w:r w:rsidRPr="009252C3" w:rsidR="009960FE">
        <w:rPr>
          <w:rFonts w:ascii="Century Schoolbook" w:hAnsi="Century Schoolbook"/>
          <w:sz w:val="27"/>
          <w:szCs w:val="27"/>
        </w:rPr>
        <w:t xml:space="preserve">also </w:t>
      </w:r>
      <w:r w:rsidRPr="009252C3" w:rsidR="00616CCE">
        <w:rPr>
          <w:rFonts w:ascii="Century Schoolbook" w:hAnsi="Century Schoolbook"/>
          <w:sz w:val="27"/>
          <w:szCs w:val="27"/>
        </w:rPr>
        <w:t>calls for exclusion under Evidence Code section 352 if</w:t>
      </w:r>
      <w:r w:rsidRPr="009252C3">
        <w:rPr>
          <w:rFonts w:ascii="Century Schoolbook" w:hAnsi="Century Schoolbook"/>
          <w:sz w:val="27"/>
          <w:szCs w:val="27"/>
        </w:rPr>
        <w:t xml:space="preserve"> the </w:t>
      </w:r>
      <w:r w:rsidRPr="009252C3" w:rsidR="002C5292">
        <w:rPr>
          <w:rFonts w:ascii="Century Schoolbook" w:hAnsi="Century Schoolbook"/>
          <w:sz w:val="27"/>
          <w:szCs w:val="27"/>
        </w:rPr>
        <w:t xml:space="preserve">trial court, in its discretion, concludes </w:t>
      </w:r>
      <w:r w:rsidRPr="009252C3">
        <w:rPr>
          <w:rFonts w:ascii="Century Schoolbook" w:hAnsi="Century Schoolbook"/>
          <w:sz w:val="27"/>
          <w:szCs w:val="27"/>
        </w:rPr>
        <w:t>evidence of prior sex crimes is unduly prejudicial.  (</w:t>
      </w:r>
      <w:r w:rsidRPr="009252C3">
        <w:rPr>
          <w:rFonts w:ascii="Century Schoolbook" w:hAnsi="Century Schoolbook"/>
          <w:i/>
          <w:iCs/>
          <w:sz w:val="27"/>
          <w:szCs w:val="27"/>
        </w:rPr>
        <w:t>People v. Cordova</w:t>
      </w:r>
      <w:r w:rsidRPr="009252C3" w:rsidR="007A2A7B">
        <w:rPr>
          <w:rFonts w:ascii="Century Schoolbook" w:hAnsi="Century Schoolbook"/>
          <w:i/>
          <w:iCs/>
          <w:sz w:val="27"/>
          <w:szCs w:val="27"/>
        </w:rPr>
        <w:t xml:space="preserve"> </w:t>
      </w:r>
      <w:r w:rsidRPr="009252C3">
        <w:rPr>
          <w:rFonts w:ascii="Century Schoolbook" w:hAnsi="Century Schoolbook"/>
          <w:sz w:val="27"/>
          <w:szCs w:val="27"/>
        </w:rPr>
        <w:t>(2015) 62 Cal.4th 104, 132</w:t>
      </w:r>
      <w:r w:rsidRPr="009252C3" w:rsidR="002C5292">
        <w:rPr>
          <w:rFonts w:ascii="Century Schoolbook" w:hAnsi="Century Schoolbook"/>
          <w:sz w:val="27"/>
          <w:szCs w:val="27"/>
        </w:rPr>
        <w:t xml:space="preserve"> [</w:t>
      </w:r>
      <w:r w:rsidRPr="009252C3" w:rsidR="00C04E96">
        <w:rPr>
          <w:rFonts w:ascii="Century Schoolbook" w:hAnsi="Century Schoolbook"/>
          <w:sz w:val="27"/>
          <w:szCs w:val="27"/>
        </w:rPr>
        <w:t>t</w:t>
      </w:r>
      <w:r w:rsidRPr="009252C3" w:rsidR="002C5292">
        <w:rPr>
          <w:rFonts w:ascii="Century Schoolbook" w:hAnsi="Century Schoolbook"/>
          <w:sz w:val="27"/>
          <w:szCs w:val="27"/>
        </w:rPr>
        <w:t xml:space="preserve">rial court has discretion to exclude prior sex offense evidence if  “its prejudicial effect substantially outweighs its probative value in showing the defendant’s disposition to commit the charged sex offense or other relevant matters”].)  </w:t>
      </w:r>
    </w:p>
    <w:p w:rsidR="0045157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argues that the trial court abused its discretion in </w:t>
      </w:r>
      <w:r w:rsidRPr="009252C3" w:rsidR="00641B7D">
        <w:rPr>
          <w:rFonts w:ascii="Century Schoolbook" w:hAnsi="Century Schoolbook"/>
          <w:sz w:val="27"/>
          <w:szCs w:val="27"/>
        </w:rPr>
        <w:t xml:space="preserve">admitting the Sharon </w:t>
      </w:r>
      <w:r w:rsidRPr="009252C3" w:rsidR="00646832">
        <w:rPr>
          <w:rFonts w:ascii="Century Schoolbook" w:hAnsi="Century Schoolbook"/>
          <w:sz w:val="27"/>
          <w:szCs w:val="27"/>
        </w:rPr>
        <w:t xml:space="preserve">T. </w:t>
      </w:r>
      <w:r w:rsidRPr="009252C3" w:rsidR="00641B7D">
        <w:rPr>
          <w:rFonts w:ascii="Century Schoolbook" w:hAnsi="Century Schoolbook"/>
          <w:sz w:val="27"/>
          <w:szCs w:val="27"/>
        </w:rPr>
        <w:t xml:space="preserve">and Crystal </w:t>
      </w:r>
      <w:r w:rsidRPr="009252C3" w:rsidR="00646832">
        <w:rPr>
          <w:rFonts w:ascii="Century Schoolbook" w:hAnsi="Century Schoolbook"/>
          <w:sz w:val="27"/>
          <w:szCs w:val="27"/>
        </w:rPr>
        <w:t xml:space="preserve">T. </w:t>
      </w:r>
      <w:r w:rsidRPr="009252C3" w:rsidR="00641B7D">
        <w:rPr>
          <w:rFonts w:ascii="Century Schoolbook" w:hAnsi="Century Schoolbook"/>
          <w:sz w:val="27"/>
          <w:szCs w:val="27"/>
        </w:rPr>
        <w:t xml:space="preserve">incidents because they were unduly prejudicial.  We find no </w:t>
      </w:r>
      <w:r w:rsidRPr="009252C3" w:rsidR="00762436">
        <w:rPr>
          <w:rFonts w:ascii="Century Schoolbook" w:hAnsi="Century Schoolbook"/>
          <w:sz w:val="27"/>
          <w:szCs w:val="27"/>
        </w:rPr>
        <w:t>abuse of discretion</w:t>
      </w:r>
      <w:r w:rsidRPr="009252C3" w:rsidR="00641B7D">
        <w:rPr>
          <w:rFonts w:ascii="Century Schoolbook" w:hAnsi="Century Schoolbook"/>
          <w:sz w:val="27"/>
          <w:szCs w:val="27"/>
        </w:rPr>
        <w:t xml:space="preserve">. </w:t>
      </w:r>
      <w:r w:rsidRPr="009252C3" w:rsidR="00762436">
        <w:rPr>
          <w:rFonts w:ascii="Century Schoolbook" w:hAnsi="Century Schoolbook"/>
          <w:sz w:val="27"/>
          <w:szCs w:val="27"/>
        </w:rPr>
        <w:t xml:space="preserve"> The prior sex offenses were similar enough to those charged in this case that the jury could reasonably draw an inference </w:t>
      </w:r>
      <w:r w:rsidRPr="009252C3" w:rsidR="0077264A">
        <w:rPr>
          <w:rFonts w:ascii="Century Schoolbook" w:hAnsi="Century Schoolbook"/>
          <w:sz w:val="27"/>
          <w:szCs w:val="27"/>
        </w:rPr>
        <w:t xml:space="preserve">of </w:t>
      </w:r>
      <w:r w:rsidRPr="009252C3" w:rsidR="00762436">
        <w:rPr>
          <w:rFonts w:ascii="Century Schoolbook" w:hAnsi="Century Schoolbook"/>
          <w:sz w:val="27"/>
          <w:szCs w:val="27"/>
        </w:rPr>
        <w:t>propensity</w:t>
      </w:r>
      <w:r w:rsidRPr="009252C3" w:rsidR="0077264A">
        <w:rPr>
          <w:rFonts w:ascii="Century Schoolbook" w:hAnsi="Century Schoolbook"/>
          <w:sz w:val="27"/>
          <w:szCs w:val="27"/>
        </w:rPr>
        <w:t xml:space="preserve"> to commit crimes of this nature</w:t>
      </w:r>
      <w:r w:rsidRPr="009252C3" w:rsidR="00762436">
        <w:rPr>
          <w:rFonts w:ascii="Century Schoolbook" w:hAnsi="Century Schoolbook"/>
          <w:sz w:val="27"/>
          <w:szCs w:val="27"/>
        </w:rPr>
        <w:t xml:space="preserve">. </w:t>
      </w:r>
      <w:r w:rsidRPr="009252C3" w:rsidR="002C56F8">
        <w:rPr>
          <w:rFonts w:ascii="Century Schoolbook" w:hAnsi="Century Schoolbook"/>
          <w:sz w:val="27"/>
          <w:szCs w:val="27"/>
        </w:rPr>
        <w:t xml:space="preserve"> (See </w:t>
      </w:r>
      <w:r w:rsidRPr="009252C3" w:rsidR="002C56F8">
        <w:rPr>
          <w:rFonts w:ascii="Century Schoolbook" w:hAnsi="Century Schoolbook"/>
          <w:i/>
          <w:sz w:val="27"/>
          <w:szCs w:val="27"/>
        </w:rPr>
        <w:t>Falsetta</w:t>
      </w:r>
      <w:r w:rsidRPr="009252C3" w:rsidR="002C56F8">
        <w:rPr>
          <w:rFonts w:ascii="Century Schoolbook" w:hAnsi="Century Schoolbook"/>
          <w:sz w:val="27"/>
          <w:szCs w:val="27"/>
        </w:rPr>
        <w:t xml:space="preserve">, </w:t>
      </w:r>
      <w:r w:rsidRPr="009252C3" w:rsidR="002C56F8">
        <w:rPr>
          <w:rFonts w:ascii="Century Schoolbook" w:hAnsi="Century Schoolbook"/>
          <w:i/>
          <w:sz w:val="27"/>
          <w:szCs w:val="27"/>
        </w:rPr>
        <w:t>supra</w:t>
      </w:r>
      <w:r w:rsidRPr="009252C3" w:rsidR="002C56F8">
        <w:rPr>
          <w:rFonts w:ascii="Century Schoolbook" w:hAnsi="Century Schoolbook"/>
          <w:sz w:val="27"/>
          <w:szCs w:val="27"/>
        </w:rPr>
        <w:t>, 21 Cal.4th at p</w:t>
      </w:r>
      <w:r w:rsidRPr="009252C3" w:rsidR="00E506A4">
        <w:rPr>
          <w:rFonts w:ascii="Century Schoolbook" w:hAnsi="Century Schoolbook"/>
          <w:sz w:val="27"/>
          <w:szCs w:val="27"/>
        </w:rPr>
        <w:t>p</w:t>
      </w:r>
      <w:r w:rsidRPr="009252C3" w:rsidR="002C56F8">
        <w:rPr>
          <w:rFonts w:ascii="Century Schoolbook" w:hAnsi="Century Schoolbook"/>
          <w:sz w:val="27"/>
          <w:szCs w:val="27"/>
        </w:rPr>
        <w:t>.</w:t>
      </w:r>
      <w:r w:rsidRPr="009252C3" w:rsidR="007A2A7B">
        <w:rPr>
          <w:rFonts w:ascii="Century Schoolbook" w:hAnsi="Century Schoolbook"/>
          <w:sz w:val="27"/>
          <w:szCs w:val="27"/>
        </w:rPr>
        <w:t> </w:t>
      </w:r>
      <w:r w:rsidRPr="009252C3" w:rsidR="00E506A4">
        <w:rPr>
          <w:rFonts w:ascii="Century Schoolbook" w:hAnsi="Century Schoolbook"/>
          <w:sz w:val="27"/>
          <w:szCs w:val="27"/>
        </w:rPr>
        <w:t xml:space="preserve">912, 915, </w:t>
      </w:r>
      <w:r w:rsidRPr="009252C3" w:rsidR="002C56F8">
        <w:rPr>
          <w:rFonts w:ascii="Century Schoolbook" w:hAnsi="Century Schoolbook"/>
          <w:sz w:val="27"/>
          <w:szCs w:val="27"/>
        </w:rPr>
        <w:t>91</w:t>
      </w:r>
      <w:r w:rsidRPr="009252C3" w:rsidR="00E506A4">
        <w:rPr>
          <w:rFonts w:ascii="Century Schoolbook" w:hAnsi="Century Schoolbook"/>
          <w:sz w:val="27"/>
          <w:szCs w:val="27"/>
        </w:rPr>
        <w:t>7</w:t>
      </w:r>
      <w:r w:rsidRPr="009252C3" w:rsidR="002C56F8">
        <w:rPr>
          <w:rFonts w:ascii="Century Schoolbook" w:hAnsi="Century Schoolbook"/>
          <w:sz w:val="27"/>
          <w:szCs w:val="27"/>
        </w:rPr>
        <w:t xml:space="preserve"> [</w:t>
      </w:r>
      <w:r w:rsidRPr="009252C3" w:rsidR="00E506A4">
        <w:rPr>
          <w:rFonts w:ascii="Century Schoolbook" w:hAnsi="Century Schoolbook"/>
          <w:sz w:val="27"/>
          <w:szCs w:val="27"/>
        </w:rPr>
        <w:t>evidence of any prior sexual offense is considered relevant under</w:t>
      </w:r>
      <w:r w:rsidRPr="009252C3" w:rsidR="002C56F8">
        <w:rPr>
          <w:rFonts w:ascii="Century Schoolbook" w:hAnsi="Century Schoolbook"/>
          <w:sz w:val="27"/>
          <w:szCs w:val="27"/>
        </w:rPr>
        <w:t xml:space="preserve"> </w:t>
      </w:r>
      <w:r w:rsidRPr="009252C3" w:rsidR="000E3FAE">
        <w:rPr>
          <w:rFonts w:ascii="Century Schoolbook" w:hAnsi="Century Schoolbook"/>
          <w:sz w:val="27"/>
          <w:szCs w:val="27"/>
        </w:rPr>
        <w:t xml:space="preserve">Evid. Code, </w:t>
      </w:r>
      <w:r w:rsidRPr="009252C3" w:rsidR="002C56F8">
        <w:rPr>
          <w:rFonts w:ascii="Century Schoolbook" w:hAnsi="Century Schoolbook"/>
          <w:sz w:val="27"/>
          <w:szCs w:val="27"/>
        </w:rPr>
        <w:t>§</w:t>
      </w:r>
      <w:r w:rsidRPr="009252C3" w:rsidR="000E3FAE">
        <w:rPr>
          <w:rFonts w:ascii="Century Schoolbook" w:hAnsi="Century Schoolbook"/>
          <w:sz w:val="27"/>
          <w:szCs w:val="27"/>
        </w:rPr>
        <w:t> </w:t>
      </w:r>
      <w:r w:rsidRPr="009252C3" w:rsidR="002C56F8">
        <w:rPr>
          <w:rFonts w:ascii="Century Schoolbook" w:hAnsi="Century Schoolbook"/>
          <w:sz w:val="27"/>
          <w:szCs w:val="27"/>
        </w:rPr>
        <w:t xml:space="preserve">1108, but </w:t>
      </w:r>
      <w:r w:rsidRPr="009252C3" w:rsidR="00E506A4">
        <w:rPr>
          <w:rFonts w:ascii="Century Schoolbook" w:hAnsi="Century Schoolbook"/>
          <w:sz w:val="27"/>
          <w:szCs w:val="27"/>
        </w:rPr>
        <w:t>its probative value is increased by relative similarity of the crimes, among other factors</w:t>
      </w:r>
      <w:r w:rsidRPr="009252C3" w:rsidR="002C56F8">
        <w:rPr>
          <w:rFonts w:ascii="Century Schoolbook" w:hAnsi="Century Schoolbook"/>
          <w:sz w:val="27"/>
          <w:szCs w:val="27"/>
        </w:rPr>
        <w:t xml:space="preserve">].) </w:t>
      </w:r>
      <w:r w:rsidRPr="009252C3" w:rsidR="00762436">
        <w:rPr>
          <w:rFonts w:ascii="Century Schoolbook" w:hAnsi="Century Schoolbook"/>
          <w:sz w:val="27"/>
          <w:szCs w:val="27"/>
        </w:rPr>
        <w:t xml:space="preserve"> Defendant’s molestation of Crystal, like Michael Lyons a small child, involved the same acts charged in this case:  oral copulation and sodomy or attempted sodomy.</w:t>
      </w:r>
      <w:r>
        <w:rPr>
          <w:rStyle w:val="FootnoteReference"/>
          <w:rFonts w:ascii="Century Schoolbook" w:hAnsi="Century Schoolbook"/>
          <w:sz w:val="27"/>
          <w:szCs w:val="27"/>
          <w:vertAlign w:val="superscript"/>
        </w:rPr>
        <w:footnoteReference w:id="6"/>
      </w:r>
      <w:r w:rsidRPr="009252C3" w:rsidR="00762436">
        <w:rPr>
          <w:rFonts w:ascii="Century Schoolbook" w:hAnsi="Century Schoolbook"/>
          <w:sz w:val="27"/>
          <w:szCs w:val="27"/>
        </w:rPr>
        <w:t xml:space="preserve">  And defendant forc</w:t>
      </w:r>
      <w:r w:rsidRPr="009252C3" w:rsidR="00F17FA5">
        <w:rPr>
          <w:rFonts w:ascii="Century Schoolbook" w:hAnsi="Century Schoolbook"/>
          <w:sz w:val="27"/>
          <w:szCs w:val="27"/>
        </w:rPr>
        <w:t>ed</w:t>
      </w:r>
      <w:r w:rsidRPr="009252C3" w:rsidR="00762436">
        <w:rPr>
          <w:rFonts w:ascii="Century Schoolbook" w:hAnsi="Century Schoolbook"/>
          <w:sz w:val="27"/>
          <w:szCs w:val="27"/>
        </w:rPr>
        <w:t xml:space="preserve"> </w:t>
      </w:r>
      <w:r w:rsidRPr="009252C3" w:rsidR="00F17FA5">
        <w:rPr>
          <w:rFonts w:ascii="Century Schoolbook" w:hAnsi="Century Schoolbook"/>
          <w:sz w:val="27"/>
          <w:szCs w:val="27"/>
        </w:rPr>
        <w:t xml:space="preserve">Sharon to </w:t>
      </w:r>
      <w:r w:rsidRPr="009252C3" w:rsidR="00762436">
        <w:rPr>
          <w:rFonts w:ascii="Century Schoolbook" w:hAnsi="Century Schoolbook"/>
          <w:sz w:val="27"/>
          <w:szCs w:val="27"/>
        </w:rPr>
        <w:t>oral</w:t>
      </w:r>
      <w:r w:rsidRPr="009252C3" w:rsidR="00F17FA5">
        <w:rPr>
          <w:rFonts w:ascii="Century Schoolbook" w:hAnsi="Century Schoolbook"/>
          <w:sz w:val="27"/>
          <w:szCs w:val="27"/>
        </w:rPr>
        <w:t>ly</w:t>
      </w:r>
      <w:r w:rsidRPr="009252C3" w:rsidR="00762436">
        <w:rPr>
          <w:rFonts w:ascii="Century Schoolbook" w:hAnsi="Century Schoolbook"/>
          <w:sz w:val="27"/>
          <w:szCs w:val="27"/>
        </w:rPr>
        <w:t xml:space="preserve"> copulat</w:t>
      </w:r>
      <w:r w:rsidRPr="009252C3" w:rsidR="00F17FA5">
        <w:rPr>
          <w:rFonts w:ascii="Century Schoolbook" w:hAnsi="Century Schoolbook"/>
          <w:sz w:val="27"/>
          <w:szCs w:val="27"/>
        </w:rPr>
        <w:t xml:space="preserve">e him by holding a long knife to her neck, threatening force similar to that by which Michael was </w:t>
      </w:r>
      <w:r w:rsidRPr="009252C3" w:rsidR="008447C6">
        <w:rPr>
          <w:rFonts w:ascii="Century Schoolbook" w:hAnsi="Century Schoolbook"/>
          <w:sz w:val="27"/>
          <w:szCs w:val="27"/>
        </w:rPr>
        <w:t xml:space="preserve">later </w:t>
      </w:r>
      <w:r w:rsidRPr="009252C3" w:rsidR="00F17FA5">
        <w:rPr>
          <w:rFonts w:ascii="Century Schoolbook" w:hAnsi="Century Schoolbook"/>
          <w:sz w:val="27"/>
          <w:szCs w:val="27"/>
        </w:rPr>
        <w:t>killed</w:t>
      </w:r>
      <w:r w:rsidRPr="009252C3" w:rsidR="00E506A4">
        <w:rPr>
          <w:rFonts w:ascii="Century Schoolbook" w:hAnsi="Century Schoolbook"/>
          <w:sz w:val="27"/>
          <w:szCs w:val="27"/>
        </w:rPr>
        <w:t xml:space="preserve"> and, inferentially, threatened</w:t>
      </w:r>
      <w:r w:rsidRPr="009252C3" w:rsidR="00F17FA5">
        <w:rPr>
          <w:rFonts w:ascii="Century Schoolbook" w:hAnsi="Century Schoolbook"/>
          <w:sz w:val="27"/>
          <w:szCs w:val="27"/>
        </w:rPr>
        <w:t xml:space="preserve">.  </w:t>
      </w:r>
      <w:r w:rsidRPr="009252C3" w:rsidR="00E506A4">
        <w:rPr>
          <w:rFonts w:ascii="Century Schoolbook" w:hAnsi="Century Schoolbook"/>
          <w:sz w:val="27"/>
          <w:szCs w:val="27"/>
        </w:rPr>
        <w:t>Both offenses were proven</w:t>
      </w:r>
      <w:r w:rsidRPr="009252C3" w:rsidR="006E698F">
        <w:rPr>
          <w:rFonts w:ascii="Century Schoolbook" w:hAnsi="Century Schoolbook"/>
          <w:sz w:val="27"/>
          <w:szCs w:val="27"/>
        </w:rPr>
        <w:t xml:space="preserve"> by evidence </w:t>
      </w:r>
      <w:r w:rsidRPr="009252C3" w:rsidR="00E506A4">
        <w:rPr>
          <w:rFonts w:ascii="Century Schoolbook" w:hAnsi="Century Schoolbook"/>
          <w:sz w:val="27"/>
          <w:szCs w:val="27"/>
        </w:rPr>
        <w:t xml:space="preserve">independent from </w:t>
      </w:r>
      <w:r w:rsidRPr="009252C3" w:rsidR="006E698F">
        <w:rPr>
          <w:rFonts w:ascii="Century Schoolbook" w:hAnsi="Century Schoolbook"/>
          <w:sz w:val="27"/>
          <w:szCs w:val="27"/>
        </w:rPr>
        <w:t>that</w:t>
      </w:r>
      <w:r w:rsidRPr="009252C3" w:rsidR="00E506A4">
        <w:rPr>
          <w:rFonts w:ascii="Century Schoolbook" w:hAnsi="Century Schoolbook"/>
          <w:sz w:val="27"/>
          <w:szCs w:val="27"/>
        </w:rPr>
        <w:t xml:space="preserve"> implicating defendant in the </w:t>
      </w:r>
      <w:r w:rsidRPr="009252C3" w:rsidR="00915AC7">
        <w:rPr>
          <w:rFonts w:ascii="Century Schoolbook" w:hAnsi="Century Schoolbook"/>
          <w:sz w:val="27"/>
          <w:szCs w:val="27"/>
        </w:rPr>
        <w:t>assault on</w:t>
      </w:r>
      <w:r w:rsidRPr="009252C3" w:rsidR="00E506A4">
        <w:rPr>
          <w:rFonts w:ascii="Century Schoolbook" w:hAnsi="Century Schoolbook"/>
          <w:sz w:val="27"/>
          <w:szCs w:val="27"/>
        </w:rPr>
        <w:t xml:space="preserve"> Michael</w:t>
      </w:r>
      <w:r w:rsidRPr="009252C3" w:rsidR="00915AC7">
        <w:rPr>
          <w:rFonts w:ascii="Century Schoolbook" w:hAnsi="Century Schoolbook"/>
          <w:sz w:val="27"/>
          <w:szCs w:val="27"/>
        </w:rPr>
        <w:t xml:space="preserve">, and neither was very remote in time. </w:t>
      </w:r>
      <w:r w:rsidRPr="009252C3" w:rsidR="00E506A4">
        <w:rPr>
          <w:rFonts w:ascii="Century Schoolbook" w:hAnsi="Century Schoolbook"/>
          <w:sz w:val="27"/>
          <w:szCs w:val="27"/>
        </w:rPr>
        <w:t xml:space="preserve"> </w:t>
      </w:r>
      <w:r w:rsidRPr="009252C3" w:rsidR="002C56F8">
        <w:rPr>
          <w:rFonts w:ascii="Century Schoolbook" w:hAnsi="Century Schoolbook"/>
          <w:sz w:val="27"/>
          <w:szCs w:val="27"/>
        </w:rPr>
        <w:t xml:space="preserve">The prior offenses’ value </w:t>
      </w:r>
      <w:r w:rsidRPr="009252C3" w:rsidR="002B3B06">
        <w:rPr>
          <w:rFonts w:ascii="Century Schoolbook" w:hAnsi="Century Schoolbook"/>
          <w:sz w:val="27"/>
          <w:szCs w:val="27"/>
        </w:rPr>
        <w:t xml:space="preserve">in </w:t>
      </w:r>
      <w:r w:rsidRPr="009252C3" w:rsidR="002C56F8">
        <w:rPr>
          <w:rFonts w:ascii="Century Schoolbook" w:hAnsi="Century Schoolbook"/>
          <w:sz w:val="27"/>
          <w:szCs w:val="27"/>
        </w:rPr>
        <w:t xml:space="preserve">proving a propensity for crimes of the kind charged was thus substantial. </w:t>
      </w:r>
      <w:r w:rsidRPr="009252C3" w:rsidR="00762436">
        <w:rPr>
          <w:rFonts w:ascii="Century Schoolbook" w:hAnsi="Century Schoolbook"/>
          <w:sz w:val="27"/>
          <w:szCs w:val="27"/>
        </w:rPr>
        <w:t xml:space="preserve"> </w:t>
      </w:r>
      <w:r w:rsidRPr="009252C3" w:rsidR="00F94982">
        <w:rPr>
          <w:rFonts w:ascii="Century Schoolbook" w:hAnsi="Century Schoolbook"/>
          <w:sz w:val="27"/>
          <w:szCs w:val="27"/>
        </w:rPr>
        <w:t>(See</w:t>
      </w:r>
      <w:r w:rsidRPr="009252C3" w:rsidR="0015368E">
        <w:rPr>
          <w:rFonts w:ascii="Century Schoolbook" w:hAnsi="Century Schoolbook"/>
          <w:sz w:val="27"/>
          <w:szCs w:val="27"/>
        </w:rPr>
        <w:t>, e.g.,</w:t>
      </w:r>
      <w:r w:rsidRPr="009252C3" w:rsidR="00F94982">
        <w:rPr>
          <w:rFonts w:ascii="Century Schoolbook" w:hAnsi="Century Schoolbook"/>
          <w:sz w:val="27"/>
          <w:szCs w:val="27"/>
        </w:rPr>
        <w:t xml:space="preserve"> </w:t>
      </w:r>
      <w:r w:rsidRPr="009252C3" w:rsidR="009C3F3C">
        <w:rPr>
          <w:rFonts w:ascii="Century Schoolbook" w:hAnsi="Century Schoolbook"/>
          <w:i/>
          <w:iCs/>
          <w:sz w:val="27"/>
          <w:szCs w:val="27"/>
        </w:rPr>
        <w:t>People v. Daveggio and Michaud</w:t>
      </w:r>
      <w:r w:rsidRPr="009252C3" w:rsidR="007A2A7B">
        <w:rPr>
          <w:rFonts w:ascii="Century Schoolbook" w:hAnsi="Century Schoolbook"/>
          <w:i/>
          <w:iCs/>
          <w:sz w:val="27"/>
          <w:szCs w:val="27"/>
        </w:rPr>
        <w:t xml:space="preserve"> </w:t>
      </w:r>
      <w:r w:rsidRPr="009252C3" w:rsidR="009C3F3C">
        <w:rPr>
          <w:rFonts w:ascii="Century Schoolbook" w:hAnsi="Century Schoolbook"/>
          <w:sz w:val="27"/>
          <w:szCs w:val="27"/>
        </w:rPr>
        <w:t>(2018) 4 Cal.5th 790, 825</w:t>
      </w:r>
      <w:r w:rsidRPr="009252C3" w:rsidR="00014261">
        <w:rPr>
          <w:rFonts w:ascii="Century Schoolbook" w:hAnsi="Century Schoolbook"/>
          <w:sz w:val="27"/>
          <w:szCs w:val="27"/>
        </w:rPr>
        <w:t>–</w:t>
      </w:r>
      <w:r w:rsidRPr="009252C3" w:rsidR="009C3F3C">
        <w:rPr>
          <w:rFonts w:ascii="Century Schoolbook" w:hAnsi="Century Schoolbook"/>
          <w:sz w:val="27"/>
          <w:szCs w:val="27"/>
        </w:rPr>
        <w:t>826 (</w:t>
      </w:r>
      <w:r w:rsidRPr="009252C3" w:rsidR="009C3F3C">
        <w:rPr>
          <w:rFonts w:ascii="Century Schoolbook" w:hAnsi="Century Schoolbook"/>
          <w:i/>
          <w:sz w:val="27"/>
          <w:szCs w:val="27"/>
        </w:rPr>
        <w:t>Daveggio</w:t>
      </w:r>
      <w:r w:rsidRPr="009252C3" w:rsidR="009C3F3C">
        <w:rPr>
          <w:rFonts w:ascii="Century Schoolbook" w:hAnsi="Century Schoolbook"/>
          <w:sz w:val="27"/>
          <w:szCs w:val="27"/>
        </w:rPr>
        <w:t xml:space="preserve">); </w:t>
      </w:r>
      <w:r w:rsidRPr="009252C3" w:rsidR="00F94982">
        <w:rPr>
          <w:rFonts w:ascii="Century Schoolbook" w:hAnsi="Century Schoolbook"/>
          <w:i/>
          <w:iCs/>
          <w:sz w:val="27"/>
          <w:szCs w:val="27"/>
        </w:rPr>
        <w:t>People v. Williams</w:t>
      </w:r>
      <w:r w:rsidRPr="009252C3" w:rsidR="00F94982">
        <w:rPr>
          <w:rFonts w:ascii="Century Schoolbook" w:hAnsi="Century Schoolbook"/>
          <w:sz w:val="27"/>
          <w:szCs w:val="27"/>
        </w:rPr>
        <w:t> (2016) 1 Cal.5th 1166, 1196</w:t>
      </w:r>
      <w:r w:rsidRPr="009252C3" w:rsidR="0007010C">
        <w:rPr>
          <w:rFonts w:ascii="Century Schoolbook" w:hAnsi="Century Schoolbook"/>
          <w:sz w:val="27"/>
          <w:szCs w:val="27"/>
        </w:rPr>
        <w:t>–</w:t>
      </w:r>
      <w:r w:rsidRPr="009252C3" w:rsidR="00F94982">
        <w:rPr>
          <w:rFonts w:ascii="Century Schoolbook" w:hAnsi="Century Schoolbook"/>
          <w:sz w:val="27"/>
          <w:szCs w:val="27"/>
        </w:rPr>
        <w:t>1197 (</w:t>
      </w:r>
      <w:r w:rsidRPr="009252C3" w:rsidR="00F94982">
        <w:rPr>
          <w:rFonts w:ascii="Century Schoolbook" w:hAnsi="Century Schoolbook"/>
          <w:i/>
          <w:sz w:val="27"/>
          <w:szCs w:val="27"/>
        </w:rPr>
        <w:t>Williams</w:t>
      </w:r>
      <w:r w:rsidRPr="009252C3" w:rsidR="00F94982">
        <w:rPr>
          <w:rFonts w:ascii="Century Schoolbook" w:hAnsi="Century Schoolbook"/>
          <w:sz w:val="27"/>
          <w:szCs w:val="27"/>
        </w:rPr>
        <w:t xml:space="preserve">); </w:t>
      </w:r>
      <w:r w:rsidRPr="009252C3" w:rsidR="00F94982">
        <w:rPr>
          <w:rFonts w:ascii="Century Schoolbook" w:hAnsi="Century Schoolbook"/>
          <w:i/>
          <w:sz w:val="27"/>
          <w:szCs w:val="27"/>
        </w:rPr>
        <w:t>Jones</w:t>
      </w:r>
      <w:r w:rsidRPr="009252C3" w:rsidR="00F94982">
        <w:rPr>
          <w:rFonts w:ascii="Century Schoolbook" w:hAnsi="Century Schoolbook"/>
          <w:sz w:val="27"/>
          <w:szCs w:val="27"/>
        </w:rPr>
        <w:t xml:space="preserve">, </w:t>
      </w:r>
      <w:r w:rsidRPr="009252C3" w:rsidR="00F94982">
        <w:rPr>
          <w:rFonts w:ascii="Century Schoolbook" w:hAnsi="Century Schoolbook"/>
          <w:i/>
          <w:sz w:val="27"/>
          <w:szCs w:val="27"/>
        </w:rPr>
        <w:t>supra</w:t>
      </w:r>
      <w:r w:rsidRPr="009252C3" w:rsidR="00F94982">
        <w:rPr>
          <w:rFonts w:ascii="Century Schoolbook" w:hAnsi="Century Schoolbook"/>
          <w:sz w:val="27"/>
          <w:szCs w:val="27"/>
        </w:rPr>
        <w:t>, 54 Cal.4th at pp.</w:t>
      </w:r>
      <w:r w:rsidRPr="009252C3" w:rsidR="007A2A7B">
        <w:rPr>
          <w:rFonts w:ascii="Century Schoolbook" w:hAnsi="Century Schoolbook"/>
          <w:sz w:val="27"/>
          <w:szCs w:val="27"/>
        </w:rPr>
        <w:t> </w:t>
      </w:r>
      <w:r w:rsidRPr="009252C3" w:rsidR="00F94982">
        <w:rPr>
          <w:rFonts w:ascii="Century Schoolbook" w:hAnsi="Century Schoolbook"/>
          <w:sz w:val="27"/>
          <w:szCs w:val="27"/>
        </w:rPr>
        <w:t>50</w:t>
      </w:r>
      <w:r w:rsidRPr="009252C3" w:rsidR="007A2A7B">
        <w:rPr>
          <w:rFonts w:ascii="Century Schoolbook" w:hAnsi="Century Schoolbook"/>
          <w:sz w:val="27"/>
          <w:szCs w:val="27"/>
        </w:rPr>
        <w:t>–</w:t>
      </w:r>
      <w:r w:rsidRPr="009252C3" w:rsidR="00F94982">
        <w:rPr>
          <w:rFonts w:ascii="Century Schoolbook" w:hAnsi="Century Schoolbook"/>
          <w:sz w:val="27"/>
          <w:szCs w:val="27"/>
        </w:rPr>
        <w:t xml:space="preserve">51; </w:t>
      </w:r>
      <w:r w:rsidRPr="009252C3" w:rsidR="00F94982">
        <w:rPr>
          <w:rFonts w:ascii="Century Schoolbook" w:hAnsi="Century Schoolbook"/>
          <w:i/>
          <w:iCs/>
          <w:sz w:val="27"/>
          <w:szCs w:val="27"/>
        </w:rPr>
        <w:t>People v. Loy</w:t>
      </w:r>
      <w:r w:rsidRPr="009252C3" w:rsidR="00F94982">
        <w:rPr>
          <w:rFonts w:ascii="Century Schoolbook" w:hAnsi="Century Schoolbook"/>
          <w:sz w:val="27"/>
          <w:szCs w:val="27"/>
        </w:rPr>
        <w:t xml:space="preserve"> (2011) 52 Cal.4th 46, </w:t>
      </w:r>
      <w:r w:rsidRPr="009252C3" w:rsidR="00915AC7">
        <w:rPr>
          <w:rFonts w:ascii="Century Schoolbook" w:hAnsi="Century Schoolbook"/>
          <w:sz w:val="27"/>
          <w:szCs w:val="27"/>
        </w:rPr>
        <w:t>62</w:t>
      </w:r>
      <w:r w:rsidRPr="009252C3" w:rsidR="007A2A7B">
        <w:rPr>
          <w:rFonts w:ascii="Century Schoolbook" w:hAnsi="Century Schoolbook"/>
          <w:sz w:val="27"/>
          <w:szCs w:val="27"/>
        </w:rPr>
        <w:t>–</w:t>
      </w:r>
      <w:r w:rsidRPr="009252C3" w:rsidR="00F94982">
        <w:rPr>
          <w:rFonts w:ascii="Century Schoolbook" w:hAnsi="Century Schoolbook"/>
          <w:sz w:val="27"/>
          <w:szCs w:val="27"/>
        </w:rPr>
        <w:t>63 (</w:t>
      </w:r>
      <w:r w:rsidRPr="009252C3" w:rsidR="00F94982">
        <w:rPr>
          <w:rFonts w:ascii="Century Schoolbook" w:hAnsi="Century Schoolbook"/>
          <w:i/>
          <w:sz w:val="27"/>
          <w:szCs w:val="27"/>
        </w:rPr>
        <w:t>Loy</w:t>
      </w:r>
      <w:r w:rsidRPr="009252C3" w:rsidR="00F94982">
        <w:rPr>
          <w:rFonts w:ascii="Century Schoolbook" w:hAnsi="Century Schoolbook"/>
          <w:sz w:val="27"/>
          <w:szCs w:val="27"/>
        </w:rPr>
        <w:t>)</w:t>
      </w:r>
      <w:r w:rsidRPr="009252C3">
        <w:rPr>
          <w:rFonts w:ascii="Century Schoolbook" w:hAnsi="Century Schoolbook"/>
          <w:sz w:val="27"/>
          <w:szCs w:val="27"/>
        </w:rPr>
        <w:t>.)</w:t>
      </w:r>
    </w:p>
    <w:p w:rsidR="002138E1"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the</w:t>
      </w:r>
      <w:r w:rsidRPr="009252C3" w:rsidR="00451572">
        <w:rPr>
          <w:rFonts w:ascii="Century Schoolbook" w:hAnsi="Century Schoolbook"/>
          <w:sz w:val="27"/>
          <w:szCs w:val="27"/>
        </w:rPr>
        <w:t xml:space="preserve"> prejudice</w:t>
      </w:r>
      <w:r w:rsidRPr="009252C3">
        <w:rPr>
          <w:rFonts w:ascii="Century Schoolbook" w:hAnsi="Century Schoolbook"/>
          <w:sz w:val="27"/>
          <w:szCs w:val="27"/>
        </w:rPr>
        <w:t xml:space="preserve"> side of the scale</w:t>
      </w:r>
      <w:r w:rsidRPr="009252C3" w:rsidR="00451572">
        <w:rPr>
          <w:rFonts w:ascii="Century Schoolbook" w:hAnsi="Century Schoolbook"/>
          <w:sz w:val="27"/>
          <w:szCs w:val="27"/>
        </w:rPr>
        <w:t xml:space="preserve">, </w:t>
      </w:r>
      <w:r w:rsidRPr="009252C3" w:rsidR="003E7EDF">
        <w:rPr>
          <w:rFonts w:ascii="Century Schoolbook" w:hAnsi="Century Schoolbook"/>
          <w:sz w:val="27"/>
          <w:szCs w:val="27"/>
        </w:rPr>
        <w:t xml:space="preserve">although </w:t>
      </w:r>
      <w:r w:rsidRPr="009252C3" w:rsidR="00451572">
        <w:rPr>
          <w:rFonts w:ascii="Century Schoolbook" w:hAnsi="Century Schoolbook"/>
          <w:sz w:val="27"/>
          <w:szCs w:val="27"/>
        </w:rPr>
        <w:t>defendant’s prior sexual crimes</w:t>
      </w:r>
      <w:r w:rsidRPr="009252C3" w:rsidR="00EA0A8A">
        <w:rPr>
          <w:rFonts w:ascii="Century Schoolbook" w:hAnsi="Century Schoolbook"/>
          <w:sz w:val="27"/>
          <w:szCs w:val="27"/>
        </w:rPr>
        <w:t xml:space="preserve"> </w:t>
      </w:r>
      <w:r w:rsidRPr="009252C3" w:rsidR="003E7EDF">
        <w:rPr>
          <w:rFonts w:ascii="Century Schoolbook" w:hAnsi="Century Schoolbook"/>
          <w:sz w:val="27"/>
          <w:szCs w:val="27"/>
        </w:rPr>
        <w:t xml:space="preserve">were certainly </w:t>
      </w:r>
      <w:r w:rsidRPr="009252C3" w:rsidR="00EA0A8A">
        <w:rPr>
          <w:rFonts w:ascii="Century Schoolbook" w:hAnsi="Century Schoolbook"/>
          <w:sz w:val="27"/>
          <w:szCs w:val="27"/>
        </w:rPr>
        <w:t>capable in themselves of causing emotional reactions in jurors,</w:t>
      </w:r>
      <w:r w:rsidRPr="009252C3" w:rsidR="00451572">
        <w:rPr>
          <w:rFonts w:ascii="Century Schoolbook" w:hAnsi="Century Schoolbook"/>
          <w:sz w:val="27"/>
          <w:szCs w:val="27"/>
        </w:rPr>
        <w:t xml:space="preserve"> </w:t>
      </w:r>
      <w:r w:rsidRPr="009252C3" w:rsidR="003E7EDF">
        <w:rPr>
          <w:rFonts w:ascii="Century Schoolbook" w:hAnsi="Century Schoolbook"/>
          <w:sz w:val="27"/>
          <w:szCs w:val="27"/>
        </w:rPr>
        <w:t xml:space="preserve">neither was </w:t>
      </w:r>
      <w:r w:rsidRPr="009252C3" w:rsidR="00451572">
        <w:rPr>
          <w:rFonts w:ascii="Century Schoolbook" w:hAnsi="Century Schoolbook"/>
          <w:sz w:val="27"/>
          <w:szCs w:val="27"/>
        </w:rPr>
        <w:t xml:space="preserve">especially inflammatory in comparison with the charged offenses.  Because defendant had already been convicted in both incidents, </w:t>
      </w:r>
      <w:r w:rsidRPr="009252C3" w:rsidR="003E7EDF">
        <w:rPr>
          <w:rFonts w:ascii="Century Schoolbook" w:hAnsi="Century Schoolbook"/>
          <w:sz w:val="27"/>
          <w:szCs w:val="27"/>
        </w:rPr>
        <w:t xml:space="preserve">there was no danger of extensive “minitrials” on the prior incidents and </w:t>
      </w:r>
      <w:r w:rsidRPr="009252C3">
        <w:rPr>
          <w:rFonts w:ascii="Century Schoolbook" w:hAnsi="Century Schoolbook"/>
          <w:sz w:val="27"/>
          <w:szCs w:val="27"/>
        </w:rPr>
        <w:t>the jury here would not have been tempted to use this proceeding to punish him for his past acts</w:t>
      </w:r>
      <w:r w:rsidRPr="009252C3" w:rsidR="00451572">
        <w:rPr>
          <w:rFonts w:ascii="Century Schoolbook" w:hAnsi="Century Schoolbook"/>
          <w:sz w:val="27"/>
          <w:szCs w:val="27"/>
        </w:rPr>
        <w:t xml:space="preserve">.  </w:t>
      </w:r>
      <w:r w:rsidRPr="009252C3">
        <w:rPr>
          <w:rFonts w:ascii="Century Schoolbook" w:hAnsi="Century Schoolbook"/>
          <w:sz w:val="27"/>
          <w:szCs w:val="27"/>
        </w:rPr>
        <w:t>Nor was this a case in which defendant’s guilt for prior incidents was used to shore up a weak case on the current charges</w:t>
      </w:r>
      <w:r w:rsidRPr="009252C3" w:rsidR="008656F8">
        <w:rPr>
          <w:rFonts w:ascii="Century Schoolbook" w:hAnsi="Century Schoolbook"/>
          <w:sz w:val="27"/>
          <w:szCs w:val="27"/>
        </w:rPr>
        <w:t xml:space="preserve">; the evidence that defendant </w:t>
      </w:r>
      <w:r w:rsidRPr="009252C3" w:rsidR="00D75F90">
        <w:rPr>
          <w:rFonts w:ascii="Century Schoolbook" w:hAnsi="Century Schoolbook"/>
          <w:sz w:val="27"/>
          <w:szCs w:val="27"/>
        </w:rPr>
        <w:t>sexually assaulted and killed Michael was strong, if circumstantial</w:t>
      </w:r>
      <w:r w:rsidRPr="009252C3">
        <w:rPr>
          <w:rFonts w:ascii="Century Schoolbook" w:hAnsi="Century Schoolbook"/>
          <w:sz w:val="27"/>
          <w:szCs w:val="27"/>
        </w:rPr>
        <w:t xml:space="preserve">.  </w:t>
      </w:r>
      <w:r w:rsidRPr="009252C3" w:rsidR="00451572">
        <w:rPr>
          <w:rFonts w:ascii="Century Schoolbook" w:hAnsi="Century Schoolbook"/>
          <w:sz w:val="27"/>
          <w:szCs w:val="27"/>
        </w:rPr>
        <w:t xml:space="preserve">(See </w:t>
      </w:r>
      <w:r w:rsidRPr="009252C3" w:rsidR="009C3F3C">
        <w:rPr>
          <w:rFonts w:ascii="Century Schoolbook" w:hAnsi="Century Schoolbook"/>
          <w:i/>
          <w:sz w:val="27"/>
          <w:szCs w:val="27"/>
        </w:rPr>
        <w:t>Daveggio</w:t>
      </w:r>
      <w:r w:rsidRPr="009252C3" w:rsidR="009C3F3C">
        <w:rPr>
          <w:rFonts w:ascii="Century Schoolbook" w:hAnsi="Century Schoolbook"/>
          <w:sz w:val="27"/>
          <w:szCs w:val="27"/>
        </w:rPr>
        <w:t xml:space="preserve">, </w:t>
      </w:r>
      <w:r w:rsidRPr="009252C3" w:rsidR="009C3F3C">
        <w:rPr>
          <w:rFonts w:ascii="Century Schoolbook" w:hAnsi="Century Schoolbook"/>
          <w:i/>
          <w:sz w:val="27"/>
          <w:szCs w:val="27"/>
        </w:rPr>
        <w:t>supra</w:t>
      </w:r>
      <w:r w:rsidRPr="009252C3" w:rsidR="009C3F3C">
        <w:rPr>
          <w:rFonts w:ascii="Century Schoolbook" w:hAnsi="Century Schoolbook"/>
          <w:sz w:val="27"/>
          <w:szCs w:val="27"/>
        </w:rPr>
        <w:t>, 4 Cal.5th at pp.</w:t>
      </w:r>
      <w:r w:rsidRPr="009252C3" w:rsidR="007A2A7B">
        <w:rPr>
          <w:rFonts w:ascii="Century Schoolbook" w:hAnsi="Century Schoolbook"/>
          <w:sz w:val="27"/>
          <w:szCs w:val="27"/>
        </w:rPr>
        <w:t> </w:t>
      </w:r>
      <w:r w:rsidRPr="009252C3" w:rsidR="009C3F3C">
        <w:rPr>
          <w:rFonts w:ascii="Century Schoolbook" w:hAnsi="Century Schoolbook"/>
          <w:sz w:val="27"/>
          <w:szCs w:val="27"/>
        </w:rPr>
        <w:t>825</w:t>
      </w:r>
      <w:r w:rsidRPr="009252C3" w:rsidR="007A2A7B">
        <w:rPr>
          <w:rFonts w:ascii="Century Schoolbook" w:hAnsi="Century Schoolbook"/>
          <w:sz w:val="27"/>
          <w:szCs w:val="27"/>
        </w:rPr>
        <w:t>–</w:t>
      </w:r>
      <w:r w:rsidRPr="009252C3" w:rsidR="009C3F3C">
        <w:rPr>
          <w:rFonts w:ascii="Century Schoolbook" w:hAnsi="Century Schoolbook"/>
          <w:sz w:val="27"/>
          <w:szCs w:val="27"/>
        </w:rPr>
        <w:t xml:space="preserve">826; </w:t>
      </w:r>
      <w:r w:rsidRPr="009252C3" w:rsidR="00451572">
        <w:rPr>
          <w:rFonts w:ascii="Century Schoolbook" w:hAnsi="Century Schoolbook"/>
          <w:i/>
          <w:iCs/>
          <w:sz w:val="27"/>
          <w:szCs w:val="27"/>
        </w:rPr>
        <w:t>Williams</w:t>
      </w:r>
      <w:r w:rsidRPr="009252C3" w:rsidR="00451572">
        <w:rPr>
          <w:rFonts w:ascii="Century Schoolbook" w:hAnsi="Century Schoolbook"/>
          <w:iCs/>
          <w:sz w:val="27"/>
          <w:szCs w:val="27"/>
        </w:rPr>
        <w:t xml:space="preserve">, </w:t>
      </w:r>
      <w:r w:rsidRPr="009252C3" w:rsidR="00451572">
        <w:rPr>
          <w:rFonts w:ascii="Century Schoolbook" w:hAnsi="Century Schoolbook"/>
          <w:i/>
          <w:iCs/>
          <w:sz w:val="27"/>
          <w:szCs w:val="27"/>
        </w:rPr>
        <w:t>supra</w:t>
      </w:r>
      <w:r w:rsidRPr="009252C3" w:rsidR="00451572">
        <w:rPr>
          <w:rFonts w:ascii="Century Schoolbook" w:hAnsi="Century Schoolbook"/>
          <w:iCs/>
          <w:sz w:val="27"/>
          <w:szCs w:val="27"/>
        </w:rPr>
        <w:t xml:space="preserve">, </w:t>
      </w:r>
      <w:r w:rsidRPr="009252C3" w:rsidR="00451572">
        <w:rPr>
          <w:rFonts w:ascii="Century Schoolbook" w:hAnsi="Century Schoolbook"/>
          <w:sz w:val="27"/>
          <w:szCs w:val="27"/>
        </w:rPr>
        <w:t>1 Cal.5th at p.</w:t>
      </w:r>
      <w:r w:rsidRPr="009252C3" w:rsidR="007A2A7B">
        <w:rPr>
          <w:rFonts w:ascii="Century Schoolbook" w:hAnsi="Century Schoolbook"/>
          <w:sz w:val="27"/>
          <w:szCs w:val="27"/>
        </w:rPr>
        <w:t> </w:t>
      </w:r>
      <w:r w:rsidRPr="009252C3" w:rsidR="00451572">
        <w:rPr>
          <w:rFonts w:ascii="Century Schoolbook" w:hAnsi="Century Schoolbook"/>
          <w:sz w:val="27"/>
          <w:szCs w:val="27"/>
        </w:rPr>
        <w:t xml:space="preserve">1197; </w:t>
      </w:r>
      <w:r w:rsidRPr="009252C3" w:rsidR="00451572">
        <w:rPr>
          <w:rFonts w:ascii="Century Schoolbook" w:hAnsi="Century Schoolbook"/>
          <w:i/>
          <w:sz w:val="27"/>
          <w:szCs w:val="27"/>
        </w:rPr>
        <w:t>Jones</w:t>
      </w:r>
      <w:r w:rsidRPr="009252C3" w:rsidR="00451572">
        <w:rPr>
          <w:rFonts w:ascii="Century Schoolbook" w:hAnsi="Century Schoolbook"/>
          <w:sz w:val="27"/>
          <w:szCs w:val="27"/>
        </w:rPr>
        <w:t xml:space="preserve">, </w:t>
      </w:r>
      <w:r w:rsidRPr="009252C3" w:rsidR="00451572">
        <w:rPr>
          <w:rFonts w:ascii="Century Schoolbook" w:hAnsi="Century Schoolbook"/>
          <w:i/>
          <w:sz w:val="27"/>
          <w:szCs w:val="27"/>
        </w:rPr>
        <w:t>supra</w:t>
      </w:r>
      <w:r w:rsidRPr="009252C3" w:rsidR="00451572">
        <w:rPr>
          <w:rFonts w:ascii="Century Schoolbook" w:hAnsi="Century Schoolbook"/>
          <w:sz w:val="27"/>
          <w:szCs w:val="27"/>
        </w:rPr>
        <w:t>, 54 Cal.4th at p.</w:t>
      </w:r>
      <w:r w:rsidRPr="009252C3" w:rsidR="007A2A7B">
        <w:rPr>
          <w:rFonts w:ascii="Century Schoolbook" w:hAnsi="Century Schoolbook"/>
          <w:sz w:val="27"/>
          <w:szCs w:val="27"/>
        </w:rPr>
        <w:t> </w:t>
      </w:r>
      <w:r w:rsidRPr="009252C3" w:rsidR="00451572">
        <w:rPr>
          <w:rFonts w:ascii="Century Schoolbook" w:hAnsi="Century Schoolbook"/>
          <w:sz w:val="27"/>
          <w:szCs w:val="27"/>
        </w:rPr>
        <w:t xml:space="preserve">51; </w:t>
      </w:r>
      <w:r w:rsidRPr="009252C3" w:rsidR="00451572">
        <w:rPr>
          <w:rFonts w:ascii="Century Schoolbook" w:hAnsi="Century Schoolbook"/>
          <w:i/>
          <w:iCs/>
          <w:sz w:val="27"/>
          <w:szCs w:val="27"/>
        </w:rPr>
        <w:t>Loy</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w:t>
      </w:r>
      <w:r w:rsidRPr="009252C3" w:rsidR="00451572">
        <w:rPr>
          <w:rFonts w:ascii="Century Schoolbook" w:hAnsi="Century Schoolbook"/>
          <w:sz w:val="27"/>
          <w:szCs w:val="27"/>
        </w:rPr>
        <w:t xml:space="preserve"> 52 Cal.4th </w:t>
      </w:r>
      <w:r w:rsidRPr="009252C3">
        <w:rPr>
          <w:rFonts w:ascii="Century Schoolbook" w:hAnsi="Century Schoolbook"/>
          <w:sz w:val="27"/>
          <w:szCs w:val="27"/>
        </w:rPr>
        <w:t>at pp.</w:t>
      </w:r>
      <w:r w:rsidRPr="009252C3" w:rsidR="007A2A7B">
        <w:rPr>
          <w:rFonts w:ascii="Century Schoolbook" w:hAnsi="Century Schoolbook"/>
          <w:sz w:val="27"/>
          <w:szCs w:val="27"/>
        </w:rPr>
        <w:t> </w:t>
      </w:r>
      <w:r w:rsidRPr="009252C3">
        <w:rPr>
          <w:rFonts w:ascii="Century Schoolbook" w:hAnsi="Century Schoolbook"/>
          <w:sz w:val="27"/>
          <w:szCs w:val="27"/>
        </w:rPr>
        <w:t>61</w:t>
      </w:r>
      <w:r w:rsidRPr="009252C3" w:rsidR="007A2A7B">
        <w:rPr>
          <w:rFonts w:ascii="Century Schoolbook" w:hAnsi="Century Schoolbook"/>
          <w:sz w:val="27"/>
          <w:szCs w:val="27"/>
        </w:rPr>
        <w:t>–</w:t>
      </w:r>
      <w:r w:rsidRPr="009252C3">
        <w:rPr>
          <w:rFonts w:ascii="Century Schoolbook" w:hAnsi="Century Schoolbook"/>
          <w:sz w:val="27"/>
          <w:szCs w:val="27"/>
        </w:rPr>
        <w:t xml:space="preserve">62; </w:t>
      </w:r>
      <w:r w:rsidRPr="009252C3">
        <w:rPr>
          <w:rFonts w:ascii="Century Schoolbook" w:hAnsi="Century Schoolbook"/>
          <w:i/>
          <w:sz w:val="27"/>
          <w:szCs w:val="27"/>
        </w:rPr>
        <w:t>Falsetta</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21 Cal.4th at p.</w:t>
      </w:r>
      <w:r w:rsidRPr="009252C3" w:rsidR="007A2A7B">
        <w:rPr>
          <w:rFonts w:ascii="Century Schoolbook" w:hAnsi="Century Schoolbook"/>
          <w:sz w:val="27"/>
          <w:szCs w:val="27"/>
        </w:rPr>
        <w:t> </w:t>
      </w:r>
      <w:r w:rsidRPr="009252C3">
        <w:rPr>
          <w:rFonts w:ascii="Century Schoolbook" w:hAnsi="Century Schoolbook"/>
          <w:sz w:val="27"/>
          <w:szCs w:val="27"/>
        </w:rPr>
        <w:t>917.</w:t>
      </w:r>
      <w:r w:rsidRPr="009252C3" w:rsidR="00451572">
        <w:rPr>
          <w:rFonts w:ascii="Century Schoolbook" w:hAnsi="Century Schoolbook"/>
          <w:sz w:val="27"/>
          <w:szCs w:val="27"/>
        </w:rPr>
        <w:t>)</w:t>
      </w:r>
      <w:r w:rsidRPr="009252C3" w:rsidR="00D17614">
        <w:rPr>
          <w:rFonts w:ascii="Century Schoolbook" w:hAnsi="Century Schoolbook"/>
          <w:sz w:val="27"/>
          <w:szCs w:val="27"/>
        </w:rPr>
        <w:t xml:space="preserve">  </w:t>
      </w:r>
      <w:r w:rsidRPr="009252C3">
        <w:rPr>
          <w:rFonts w:ascii="Century Schoolbook" w:hAnsi="Century Schoolbook"/>
          <w:sz w:val="27"/>
          <w:szCs w:val="27"/>
        </w:rPr>
        <w:t>On balance, we cannot say the trial court abused its discretion under Evidence Code section 352 in admitting</w:t>
      </w:r>
      <w:r w:rsidRPr="009252C3" w:rsidR="00DC2C9E">
        <w:rPr>
          <w:rFonts w:ascii="Century Schoolbook" w:hAnsi="Century Schoolbook"/>
          <w:sz w:val="27"/>
          <w:szCs w:val="27"/>
        </w:rPr>
        <w:t xml:space="preserve"> </w:t>
      </w:r>
      <w:r w:rsidRPr="009252C3">
        <w:rPr>
          <w:rFonts w:ascii="Century Schoolbook" w:hAnsi="Century Schoolbook"/>
          <w:sz w:val="27"/>
          <w:szCs w:val="27"/>
        </w:rPr>
        <w:t xml:space="preserve">evidence of  defendant’s prior sexual offenses against </w:t>
      </w:r>
      <w:r w:rsidRPr="009252C3" w:rsidR="00D430E1">
        <w:rPr>
          <w:rFonts w:ascii="Century Schoolbook" w:hAnsi="Century Schoolbook"/>
          <w:sz w:val="27"/>
          <w:szCs w:val="27"/>
        </w:rPr>
        <w:t>Sharon</w:t>
      </w:r>
      <w:r w:rsidRPr="009252C3">
        <w:rPr>
          <w:rFonts w:ascii="Century Schoolbook" w:hAnsi="Century Schoolbook"/>
          <w:sz w:val="27"/>
          <w:szCs w:val="27"/>
        </w:rPr>
        <w:t xml:space="preserve"> and Crystal</w:t>
      </w:r>
      <w:r w:rsidRPr="009252C3" w:rsidR="00DC2C9E">
        <w:rPr>
          <w:rFonts w:ascii="Century Schoolbook" w:hAnsi="Century Schoolbook"/>
          <w:sz w:val="27"/>
          <w:szCs w:val="27"/>
        </w:rPr>
        <w:t xml:space="preserve"> under Evidence Code section 1108</w:t>
      </w:r>
      <w:r w:rsidRPr="009252C3">
        <w:rPr>
          <w:rFonts w:ascii="Century Schoolbook" w:hAnsi="Century Schoolbook"/>
          <w:sz w:val="27"/>
          <w:szCs w:val="27"/>
        </w:rPr>
        <w:t>.</w:t>
      </w:r>
    </w:p>
    <w:p w:rsidR="0014736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points out that his kidnapping of </w:t>
      </w:r>
      <w:r w:rsidRPr="009252C3" w:rsidR="00D430E1">
        <w:rPr>
          <w:rFonts w:ascii="Century Schoolbook" w:hAnsi="Century Schoolbook"/>
          <w:sz w:val="27"/>
          <w:szCs w:val="27"/>
        </w:rPr>
        <w:t>Sharon</w:t>
      </w:r>
      <w:r w:rsidRPr="009252C3" w:rsidR="008E276E">
        <w:rPr>
          <w:rFonts w:ascii="Century Schoolbook" w:hAnsi="Century Schoolbook"/>
          <w:sz w:val="27"/>
          <w:szCs w:val="27"/>
        </w:rPr>
        <w:t xml:space="preserve"> </w:t>
      </w:r>
      <w:r w:rsidRPr="009252C3">
        <w:rPr>
          <w:rFonts w:ascii="Century Schoolbook" w:hAnsi="Century Schoolbook"/>
          <w:sz w:val="27"/>
          <w:szCs w:val="27"/>
        </w:rPr>
        <w:t>was not itself a sexual offense as defined in Evidence Code section 1108, subdivision (d)(1)</w:t>
      </w:r>
      <w:r w:rsidRPr="009252C3" w:rsidR="008E276E">
        <w:rPr>
          <w:rFonts w:ascii="Century Schoolbook" w:hAnsi="Century Schoolbook"/>
          <w:sz w:val="27"/>
          <w:szCs w:val="27"/>
        </w:rPr>
        <w:t xml:space="preserve">, even </w:t>
      </w:r>
      <w:r w:rsidR="0091228C">
        <w:rPr>
          <w:rFonts w:ascii="Century Schoolbook" w:hAnsi="Century Schoolbook"/>
          <w:sz w:val="27"/>
          <w:szCs w:val="27"/>
        </w:rPr>
        <w:t xml:space="preserve">though </w:t>
      </w:r>
      <w:r w:rsidRPr="009252C3" w:rsidR="008E276E">
        <w:rPr>
          <w:rFonts w:ascii="Century Schoolbook" w:hAnsi="Century Schoolbook"/>
          <w:sz w:val="27"/>
          <w:szCs w:val="27"/>
        </w:rPr>
        <w:t>the kidnapping occurred immediately following the sexual assault</w:t>
      </w:r>
      <w:r w:rsidRPr="009252C3">
        <w:rPr>
          <w:rFonts w:ascii="Century Schoolbook" w:hAnsi="Century Schoolbook"/>
          <w:sz w:val="27"/>
          <w:szCs w:val="27"/>
        </w:rPr>
        <w:t>.</w:t>
      </w:r>
      <w:r w:rsidRPr="009252C3" w:rsidR="004A4F78">
        <w:rPr>
          <w:rFonts w:ascii="Century Schoolbook" w:hAnsi="Century Schoolbook"/>
          <w:sz w:val="27"/>
          <w:szCs w:val="27"/>
        </w:rPr>
        <w:t xml:space="preserve">  But evidence of the kidnapping was, in any event, properly admitted </w:t>
      </w:r>
      <w:r w:rsidRPr="009252C3">
        <w:rPr>
          <w:rFonts w:ascii="Century Schoolbook" w:hAnsi="Century Schoolbook"/>
          <w:sz w:val="27"/>
          <w:szCs w:val="27"/>
        </w:rPr>
        <w:t>under Evidence Code section 1101, subdivision (b)</w:t>
      </w:r>
      <w:r w:rsidRPr="009252C3" w:rsidR="00204E69">
        <w:rPr>
          <w:rFonts w:ascii="Century Schoolbook" w:hAnsi="Century Schoolbook"/>
          <w:sz w:val="27"/>
          <w:szCs w:val="27"/>
        </w:rPr>
        <w:t xml:space="preserve">.  </w:t>
      </w:r>
      <w:r w:rsidRPr="009252C3" w:rsidR="00ED52F0">
        <w:rPr>
          <w:rFonts w:ascii="Century Schoolbook" w:hAnsi="Century Schoolbook"/>
          <w:sz w:val="27"/>
          <w:szCs w:val="27"/>
        </w:rPr>
        <w:t xml:space="preserve">That provision clarifies that the usual prohibition on propensity evidence does not </w:t>
      </w:r>
      <w:r w:rsidRPr="009252C3" w:rsidR="00B54FF8">
        <w:rPr>
          <w:rFonts w:ascii="Century Schoolbook" w:hAnsi="Century Schoolbook"/>
          <w:sz w:val="27"/>
          <w:szCs w:val="27"/>
        </w:rPr>
        <w:t>preclude</w:t>
      </w:r>
      <w:r w:rsidRPr="009252C3" w:rsidR="00ED52F0">
        <w:rPr>
          <w:rFonts w:ascii="Century Schoolbook" w:hAnsi="Century Schoolbook"/>
          <w:sz w:val="27"/>
          <w:szCs w:val="27"/>
        </w:rPr>
        <w:t xml:space="preserve"> the admission of evidence relevant “to prove some fact . . .</w:t>
      </w:r>
      <w:r w:rsidRPr="009252C3" w:rsidR="00A276C9">
        <w:rPr>
          <w:rFonts w:ascii="Century Schoolbook" w:hAnsi="Century Schoolbook"/>
          <w:sz w:val="27"/>
          <w:szCs w:val="27"/>
        </w:rPr>
        <w:t xml:space="preserve"> </w:t>
      </w:r>
      <w:r w:rsidRPr="009252C3" w:rsidR="00ED52F0">
        <w:rPr>
          <w:rFonts w:ascii="Century Schoolbook" w:hAnsi="Century Schoolbook"/>
          <w:sz w:val="27"/>
          <w:szCs w:val="27"/>
        </w:rPr>
        <w:t>other than [the person’s] disposition to commit such an act,” such as the person’s “motive, opportunity, intent, preparation, plan, knowledge, [or] identity.”  (</w:t>
      </w:r>
      <w:r w:rsidRPr="009252C3" w:rsidR="0059668A">
        <w:rPr>
          <w:rFonts w:ascii="Century Schoolbook" w:hAnsi="Century Schoolbook"/>
          <w:i/>
          <w:sz w:val="27"/>
          <w:szCs w:val="27"/>
        </w:rPr>
        <w:t>Ibid.</w:t>
      </w:r>
      <w:r w:rsidRPr="009252C3" w:rsidR="00ED52F0">
        <w:rPr>
          <w:rFonts w:ascii="Century Schoolbook" w:hAnsi="Century Schoolbook"/>
          <w:sz w:val="27"/>
          <w:szCs w:val="27"/>
        </w:rPr>
        <w:t>)  Here, the evidence was relevant t</w:t>
      </w:r>
      <w:r w:rsidRPr="009252C3" w:rsidR="00343582">
        <w:rPr>
          <w:rFonts w:ascii="Century Schoolbook" w:hAnsi="Century Schoolbook"/>
          <w:sz w:val="27"/>
          <w:szCs w:val="27"/>
        </w:rPr>
        <w:t xml:space="preserve">o prove defendant’s </w:t>
      </w:r>
      <w:r w:rsidRPr="009252C3" w:rsidR="00944290">
        <w:rPr>
          <w:rFonts w:ascii="Century Schoolbook" w:hAnsi="Century Schoolbook"/>
          <w:sz w:val="27"/>
          <w:szCs w:val="27"/>
        </w:rPr>
        <w:t xml:space="preserve">premeditated intent to kill Michael when he abducted him and to show the existence of a common </w:t>
      </w:r>
      <w:r w:rsidRPr="009252C3" w:rsidR="00356345">
        <w:rPr>
          <w:rFonts w:ascii="Century Schoolbook" w:hAnsi="Century Schoolbook"/>
          <w:sz w:val="27"/>
          <w:szCs w:val="27"/>
        </w:rPr>
        <w:t xml:space="preserve">design or plan </w:t>
      </w:r>
      <w:r w:rsidRPr="009252C3" w:rsidR="00EB66BE">
        <w:rPr>
          <w:rFonts w:ascii="Century Schoolbook" w:hAnsi="Century Schoolbook"/>
          <w:sz w:val="27"/>
          <w:szCs w:val="27"/>
        </w:rPr>
        <w:t xml:space="preserve">involving kidnapping </w:t>
      </w:r>
      <w:r w:rsidRPr="009252C3" w:rsidR="00944290">
        <w:rPr>
          <w:rFonts w:ascii="Century Schoolbook" w:hAnsi="Century Schoolbook"/>
          <w:sz w:val="27"/>
          <w:szCs w:val="27"/>
        </w:rPr>
        <w:t xml:space="preserve">sexual assault </w:t>
      </w:r>
      <w:r w:rsidRPr="009252C3" w:rsidR="00EB66BE">
        <w:rPr>
          <w:rFonts w:ascii="Century Schoolbook" w:hAnsi="Century Schoolbook"/>
          <w:sz w:val="27"/>
          <w:szCs w:val="27"/>
        </w:rPr>
        <w:t xml:space="preserve">targets </w:t>
      </w:r>
      <w:r w:rsidRPr="009252C3" w:rsidR="00944290">
        <w:rPr>
          <w:rFonts w:ascii="Century Schoolbook" w:hAnsi="Century Schoolbook"/>
          <w:sz w:val="27"/>
          <w:szCs w:val="27"/>
        </w:rPr>
        <w:t xml:space="preserve">and taking them to the Feather </w:t>
      </w:r>
      <w:r w:rsidRPr="009252C3" w:rsidR="0045348F">
        <w:rPr>
          <w:rFonts w:ascii="Century Schoolbook" w:hAnsi="Century Schoolbook"/>
          <w:sz w:val="27"/>
          <w:szCs w:val="27"/>
        </w:rPr>
        <w:t>R</w:t>
      </w:r>
      <w:r w:rsidRPr="009252C3" w:rsidR="00944290">
        <w:rPr>
          <w:rFonts w:ascii="Century Schoolbook" w:hAnsi="Century Schoolbook"/>
          <w:sz w:val="27"/>
          <w:szCs w:val="27"/>
        </w:rPr>
        <w:t>iver bottoms area to assault and kill them</w:t>
      </w:r>
      <w:r w:rsidRPr="009252C3" w:rsidR="00356345">
        <w:rPr>
          <w:rFonts w:ascii="Century Schoolbook" w:hAnsi="Century Schoolbook"/>
          <w:sz w:val="27"/>
          <w:szCs w:val="27"/>
        </w:rPr>
        <w:t xml:space="preserve"> with a knife</w:t>
      </w:r>
      <w:r w:rsidRPr="009252C3" w:rsidR="00944290">
        <w:rPr>
          <w:rFonts w:ascii="Century Schoolbook" w:hAnsi="Century Schoolbook"/>
          <w:sz w:val="27"/>
          <w:szCs w:val="27"/>
        </w:rPr>
        <w:t>.</w:t>
      </w:r>
      <w:r>
        <w:rPr>
          <w:rStyle w:val="FootnoteReference"/>
          <w:rFonts w:ascii="Century Schoolbook" w:hAnsi="Century Schoolbook"/>
          <w:sz w:val="27"/>
          <w:szCs w:val="27"/>
          <w:vertAlign w:val="superscript"/>
        </w:rPr>
        <w:footnoteReference w:id="7"/>
      </w:r>
      <w:r w:rsidR="009B3226">
        <w:rPr>
          <w:rFonts w:ascii="Century Schoolbook" w:hAnsi="Century Schoolbook"/>
          <w:sz w:val="27"/>
          <w:szCs w:val="27"/>
        </w:rPr>
        <w:t xml:space="preserve">  </w:t>
      </w:r>
      <w:r w:rsidRPr="009252C3" w:rsidR="00944290">
        <w:rPr>
          <w:rFonts w:ascii="Century Schoolbook" w:hAnsi="Century Schoolbook"/>
          <w:sz w:val="27"/>
          <w:szCs w:val="27"/>
        </w:rPr>
        <w:t xml:space="preserve">(See </w:t>
      </w:r>
      <w:r w:rsidRPr="009252C3" w:rsidR="0045348F">
        <w:rPr>
          <w:rFonts w:ascii="Century Schoolbook" w:hAnsi="Century Schoolbook"/>
          <w:i/>
          <w:sz w:val="27"/>
          <w:szCs w:val="27"/>
        </w:rPr>
        <w:t xml:space="preserve">People v. Ewoldt </w:t>
      </w:r>
      <w:r w:rsidRPr="009252C3" w:rsidR="0045348F">
        <w:rPr>
          <w:rFonts w:ascii="Century Schoolbook" w:hAnsi="Century Schoolbook"/>
          <w:sz w:val="27"/>
          <w:szCs w:val="27"/>
        </w:rPr>
        <w:t>(1994) 7 Cal.4th 380, 402</w:t>
      </w:r>
      <w:r w:rsidRPr="009252C3" w:rsidR="007A2A7B">
        <w:rPr>
          <w:rFonts w:ascii="Century Schoolbook" w:hAnsi="Century Schoolbook"/>
          <w:sz w:val="27"/>
          <w:szCs w:val="27"/>
        </w:rPr>
        <w:t>–</w:t>
      </w:r>
      <w:r w:rsidRPr="009252C3" w:rsidR="0045348F">
        <w:rPr>
          <w:rFonts w:ascii="Century Schoolbook" w:hAnsi="Century Schoolbook"/>
          <w:sz w:val="27"/>
          <w:szCs w:val="27"/>
        </w:rPr>
        <w:t>403</w:t>
      </w:r>
      <w:r w:rsidRPr="009252C3" w:rsidR="0086780E">
        <w:rPr>
          <w:rFonts w:ascii="Century Schoolbook" w:hAnsi="Century Schoolbook"/>
          <w:sz w:val="27"/>
          <w:szCs w:val="27"/>
        </w:rPr>
        <w:t xml:space="preserve"> </w:t>
      </w:r>
      <w:r w:rsidR="00E13368">
        <w:rPr>
          <w:rFonts w:ascii="Century Schoolbook" w:hAnsi="Century Schoolbook"/>
          <w:sz w:val="27"/>
          <w:szCs w:val="27"/>
        </w:rPr>
        <w:t>(</w:t>
      </w:r>
      <w:r w:rsidRPr="00E13368" w:rsidR="00E13368">
        <w:rPr>
          <w:rFonts w:ascii="Century Schoolbook" w:hAnsi="Century Schoolbook"/>
          <w:i/>
          <w:sz w:val="27"/>
          <w:szCs w:val="27"/>
        </w:rPr>
        <w:t>Ewoldt</w:t>
      </w:r>
      <w:r w:rsidR="00E13368">
        <w:rPr>
          <w:rFonts w:ascii="Century Schoolbook" w:hAnsi="Century Schoolbook"/>
          <w:sz w:val="27"/>
          <w:szCs w:val="27"/>
        </w:rPr>
        <w:t xml:space="preserve">) </w:t>
      </w:r>
      <w:r w:rsidRPr="009252C3" w:rsidR="0045348F">
        <w:rPr>
          <w:rFonts w:ascii="Century Schoolbook" w:hAnsi="Century Schoolbook"/>
          <w:sz w:val="27"/>
          <w:szCs w:val="27"/>
        </w:rPr>
        <w:t xml:space="preserve">[outlining the degrees of similarity required for relevance on intent and common </w:t>
      </w:r>
      <w:r w:rsidRPr="009252C3" w:rsidR="00182AC1">
        <w:rPr>
          <w:rFonts w:ascii="Century Schoolbook" w:hAnsi="Century Schoolbook"/>
          <w:sz w:val="27"/>
          <w:szCs w:val="27"/>
        </w:rPr>
        <w:t xml:space="preserve">design or </w:t>
      </w:r>
      <w:r w:rsidRPr="009252C3" w:rsidR="0045348F">
        <w:rPr>
          <w:rFonts w:ascii="Century Schoolbook" w:hAnsi="Century Schoolbook"/>
          <w:sz w:val="27"/>
          <w:szCs w:val="27"/>
        </w:rPr>
        <w:t>plan</w:t>
      </w:r>
      <w:r w:rsidRPr="009252C3" w:rsidR="00182AC1">
        <w:rPr>
          <w:rFonts w:ascii="Century Schoolbook" w:hAnsi="Century Schoolbook"/>
          <w:sz w:val="27"/>
          <w:szCs w:val="27"/>
        </w:rPr>
        <w:t xml:space="preserve"> </w:t>
      </w:r>
      <w:r w:rsidRPr="009252C3" w:rsidR="0045348F">
        <w:rPr>
          <w:rFonts w:ascii="Century Schoolbook" w:hAnsi="Century Schoolbook"/>
          <w:sz w:val="27"/>
          <w:szCs w:val="27"/>
        </w:rPr>
        <w:t>under Evid. Code, §</w:t>
      </w:r>
      <w:r w:rsidRPr="009252C3" w:rsidR="007A2A7B">
        <w:rPr>
          <w:rFonts w:ascii="Century Schoolbook" w:hAnsi="Century Schoolbook"/>
          <w:sz w:val="27"/>
          <w:szCs w:val="27"/>
        </w:rPr>
        <w:t> </w:t>
      </w:r>
      <w:r w:rsidRPr="009252C3" w:rsidR="0045348F">
        <w:rPr>
          <w:rFonts w:ascii="Century Schoolbook" w:hAnsi="Century Schoolbook"/>
          <w:sz w:val="27"/>
          <w:szCs w:val="27"/>
        </w:rPr>
        <w:t>1101, subd. (b)].)</w:t>
      </w:r>
    </w:p>
    <w:p w:rsidR="00FA226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Again, the facts showed that d</w:t>
      </w:r>
      <w:r w:rsidRPr="009252C3" w:rsidR="0045348F">
        <w:rPr>
          <w:rFonts w:ascii="Century Schoolbook" w:hAnsi="Century Schoolbook"/>
          <w:sz w:val="27"/>
          <w:szCs w:val="27"/>
        </w:rPr>
        <w:t xml:space="preserve">efendant </w:t>
      </w:r>
      <w:r w:rsidRPr="009252C3" w:rsidR="00DB00F8">
        <w:rPr>
          <w:rFonts w:ascii="Century Schoolbook" w:hAnsi="Century Schoolbook"/>
          <w:sz w:val="27"/>
          <w:szCs w:val="27"/>
        </w:rPr>
        <w:t>gained control over Sharon by telling her that he wanted to talk to her about a real estate project.</w:t>
      </w:r>
      <w:r w:rsidRPr="009252C3" w:rsidR="002A5AF3">
        <w:rPr>
          <w:rFonts w:ascii="Century Schoolbook" w:hAnsi="Century Schoolbook"/>
          <w:sz w:val="27"/>
          <w:szCs w:val="27"/>
        </w:rPr>
        <w:t xml:space="preserve">  He then sexually assaulted her</w:t>
      </w:r>
      <w:r w:rsidRPr="009252C3" w:rsidR="00046A59">
        <w:rPr>
          <w:rFonts w:ascii="Century Schoolbook" w:hAnsi="Century Schoolbook"/>
          <w:sz w:val="27"/>
          <w:szCs w:val="27"/>
        </w:rPr>
        <w:t xml:space="preserve"> and kidnapped her by </w:t>
      </w:r>
      <w:r w:rsidRPr="009252C3" w:rsidR="0045348F">
        <w:rPr>
          <w:rFonts w:ascii="Century Schoolbook" w:hAnsi="Century Schoolbook"/>
          <w:sz w:val="27"/>
          <w:szCs w:val="27"/>
        </w:rPr>
        <w:t xml:space="preserve">threatening her with a </w:t>
      </w:r>
      <w:r w:rsidRPr="009252C3" w:rsidR="00EB66BE">
        <w:rPr>
          <w:rFonts w:ascii="Century Schoolbook" w:hAnsi="Century Schoolbook"/>
          <w:sz w:val="27"/>
          <w:szCs w:val="27"/>
        </w:rPr>
        <w:t xml:space="preserve">long </w:t>
      </w:r>
      <w:r w:rsidRPr="009252C3" w:rsidR="0045348F">
        <w:rPr>
          <w:rFonts w:ascii="Century Schoolbook" w:hAnsi="Century Schoolbook"/>
          <w:sz w:val="27"/>
          <w:szCs w:val="27"/>
        </w:rPr>
        <w:t>knife to her throat</w:t>
      </w:r>
      <w:r w:rsidRPr="009252C3" w:rsidR="00046A59">
        <w:rPr>
          <w:rFonts w:ascii="Century Schoolbook" w:hAnsi="Century Schoolbook"/>
          <w:sz w:val="27"/>
          <w:szCs w:val="27"/>
        </w:rPr>
        <w:t xml:space="preserve">; en route to the river, he </w:t>
      </w:r>
      <w:r w:rsidRPr="009252C3" w:rsidR="0045348F">
        <w:rPr>
          <w:rFonts w:ascii="Century Schoolbook" w:hAnsi="Century Schoolbook"/>
          <w:sz w:val="27"/>
          <w:szCs w:val="27"/>
        </w:rPr>
        <w:t>indicated he intended to kill her there</w:t>
      </w:r>
      <w:r w:rsidRPr="009252C3">
        <w:rPr>
          <w:rFonts w:ascii="Century Schoolbook" w:hAnsi="Century Schoolbook"/>
          <w:sz w:val="27"/>
          <w:szCs w:val="27"/>
        </w:rPr>
        <w:t>.</w:t>
      </w:r>
      <w:r w:rsidRPr="009252C3" w:rsidR="00DB12E9">
        <w:rPr>
          <w:rFonts w:ascii="Century Schoolbook" w:hAnsi="Century Schoolbook"/>
          <w:sz w:val="27"/>
          <w:szCs w:val="27"/>
        </w:rPr>
        <w:t xml:space="preserve">  Th</w:t>
      </w:r>
      <w:r w:rsidRPr="009252C3" w:rsidR="008A10F2">
        <w:rPr>
          <w:rFonts w:ascii="Century Schoolbook" w:hAnsi="Century Schoolbook"/>
          <w:sz w:val="27"/>
          <w:szCs w:val="27"/>
        </w:rPr>
        <w:t>is</w:t>
      </w:r>
      <w:r w:rsidRPr="009252C3" w:rsidR="00DB12E9">
        <w:rPr>
          <w:rFonts w:ascii="Century Schoolbook" w:hAnsi="Century Schoolbook"/>
          <w:sz w:val="27"/>
          <w:szCs w:val="27"/>
        </w:rPr>
        <w:t xml:space="preserve"> evidence tends to </w:t>
      </w:r>
      <w:r w:rsidRPr="009252C3" w:rsidR="0045348F">
        <w:rPr>
          <w:rFonts w:ascii="Century Schoolbook" w:hAnsi="Century Schoolbook"/>
          <w:sz w:val="27"/>
          <w:szCs w:val="27"/>
        </w:rPr>
        <w:t xml:space="preserve">prove that </w:t>
      </w:r>
      <w:r w:rsidRPr="009252C3" w:rsidR="008A10F2">
        <w:rPr>
          <w:rFonts w:ascii="Century Schoolbook" w:hAnsi="Century Schoolbook"/>
          <w:sz w:val="27"/>
          <w:szCs w:val="27"/>
        </w:rPr>
        <w:t>defendant</w:t>
      </w:r>
      <w:r w:rsidRPr="009252C3" w:rsidR="0045348F">
        <w:rPr>
          <w:rFonts w:ascii="Century Schoolbook" w:hAnsi="Century Schoolbook"/>
          <w:sz w:val="27"/>
          <w:szCs w:val="27"/>
        </w:rPr>
        <w:t xml:space="preserve"> harbored the same lethal intent when he abducted Michael, whom he later killed by cutting his throat with a </w:t>
      </w:r>
      <w:r w:rsidRPr="009252C3" w:rsidR="00EB66BE">
        <w:rPr>
          <w:rFonts w:ascii="Century Schoolbook" w:hAnsi="Century Schoolbook"/>
          <w:sz w:val="27"/>
          <w:szCs w:val="27"/>
        </w:rPr>
        <w:t xml:space="preserve">long </w:t>
      </w:r>
      <w:r w:rsidRPr="009252C3" w:rsidR="0045348F">
        <w:rPr>
          <w:rFonts w:ascii="Century Schoolbook" w:hAnsi="Century Schoolbook"/>
          <w:sz w:val="27"/>
          <w:szCs w:val="27"/>
        </w:rPr>
        <w:t>knif</w:t>
      </w:r>
      <w:r w:rsidRPr="009252C3" w:rsidR="00182AC1">
        <w:rPr>
          <w:rFonts w:ascii="Century Schoolbook" w:hAnsi="Century Schoolbook"/>
          <w:sz w:val="27"/>
          <w:szCs w:val="27"/>
        </w:rPr>
        <w:t>e.</w:t>
      </w:r>
      <w:r w:rsidRPr="009252C3" w:rsidR="009C3F3C">
        <w:rPr>
          <w:rFonts w:ascii="Century Schoolbook" w:hAnsi="Century Schoolbook"/>
          <w:sz w:val="27"/>
          <w:szCs w:val="27"/>
        </w:rPr>
        <w:t xml:space="preserve">  (See </w:t>
      </w:r>
      <w:r w:rsidRPr="009252C3" w:rsidR="009C3F3C">
        <w:rPr>
          <w:rFonts w:ascii="Century Schoolbook" w:hAnsi="Century Schoolbook"/>
          <w:i/>
          <w:sz w:val="27"/>
          <w:szCs w:val="27"/>
        </w:rPr>
        <w:t>Daveggio</w:t>
      </w:r>
      <w:r w:rsidRPr="009252C3" w:rsidR="009C3F3C">
        <w:rPr>
          <w:rFonts w:ascii="Century Schoolbook" w:hAnsi="Century Schoolbook"/>
          <w:sz w:val="27"/>
          <w:szCs w:val="27"/>
        </w:rPr>
        <w:t xml:space="preserve">, </w:t>
      </w:r>
      <w:r w:rsidRPr="009252C3" w:rsidR="009C3F3C">
        <w:rPr>
          <w:rFonts w:ascii="Century Schoolbook" w:hAnsi="Century Schoolbook"/>
          <w:i/>
          <w:sz w:val="27"/>
          <w:szCs w:val="27"/>
        </w:rPr>
        <w:t>supra</w:t>
      </w:r>
      <w:r w:rsidRPr="009252C3" w:rsidR="009C3F3C">
        <w:rPr>
          <w:rFonts w:ascii="Century Schoolbook" w:hAnsi="Century Schoolbook"/>
          <w:sz w:val="27"/>
          <w:szCs w:val="27"/>
        </w:rPr>
        <w:t>, 4 Cal.5th at p.</w:t>
      </w:r>
      <w:r w:rsidRPr="009252C3" w:rsidR="007A2A7B">
        <w:rPr>
          <w:rFonts w:ascii="Century Schoolbook" w:hAnsi="Century Schoolbook"/>
          <w:sz w:val="27"/>
          <w:szCs w:val="27"/>
        </w:rPr>
        <w:t> </w:t>
      </w:r>
      <w:r w:rsidRPr="009252C3" w:rsidR="009C3F3C">
        <w:rPr>
          <w:rFonts w:ascii="Century Schoolbook" w:hAnsi="Century Schoolbook"/>
          <w:sz w:val="27"/>
          <w:szCs w:val="27"/>
        </w:rPr>
        <w:t>827</w:t>
      </w:r>
      <w:r w:rsidRPr="009252C3" w:rsidR="00C4272A">
        <w:rPr>
          <w:rFonts w:ascii="Century Schoolbook" w:hAnsi="Century Schoolbook"/>
          <w:sz w:val="27"/>
          <w:szCs w:val="27"/>
        </w:rPr>
        <w:t xml:space="preserve">; </w:t>
      </w:r>
      <w:r w:rsidRPr="009252C3" w:rsidR="00C4272A">
        <w:rPr>
          <w:rFonts w:ascii="Century Schoolbook" w:hAnsi="Century Schoolbook"/>
          <w:i/>
          <w:iCs/>
          <w:sz w:val="27"/>
          <w:szCs w:val="27"/>
        </w:rPr>
        <w:t>People v. McCurdy</w:t>
      </w:r>
      <w:r w:rsidRPr="009252C3" w:rsidR="00C4272A">
        <w:rPr>
          <w:rFonts w:ascii="Century Schoolbook" w:hAnsi="Century Schoolbook"/>
          <w:sz w:val="27"/>
          <w:szCs w:val="27"/>
        </w:rPr>
        <w:t xml:space="preserve"> (2014) 59 Cal.4th 1063, 1098; </w:t>
      </w:r>
      <w:r w:rsidRPr="009252C3" w:rsidR="00C4272A">
        <w:rPr>
          <w:rFonts w:ascii="Century Schoolbook" w:hAnsi="Century Schoolbook"/>
          <w:i/>
          <w:iCs/>
          <w:sz w:val="27"/>
          <w:szCs w:val="27"/>
        </w:rPr>
        <w:t>People v. Soper</w:t>
      </w:r>
      <w:r w:rsidRPr="009252C3" w:rsidR="00C4272A">
        <w:rPr>
          <w:rFonts w:ascii="Century Schoolbook" w:hAnsi="Century Schoolbook"/>
          <w:sz w:val="27"/>
          <w:szCs w:val="27"/>
        </w:rPr>
        <w:t> (2009) 45 Cal.4th 759, 779, fn.</w:t>
      </w:r>
      <w:r w:rsidRPr="009252C3" w:rsidR="00A276C9">
        <w:rPr>
          <w:rFonts w:ascii="Century Schoolbook" w:hAnsi="Century Schoolbook"/>
          <w:sz w:val="27"/>
          <w:szCs w:val="27"/>
        </w:rPr>
        <w:t> </w:t>
      </w:r>
      <w:r w:rsidRPr="009252C3" w:rsidR="00C4272A">
        <w:rPr>
          <w:rFonts w:ascii="Century Schoolbook" w:hAnsi="Century Schoolbook"/>
          <w:sz w:val="27"/>
          <w:szCs w:val="27"/>
        </w:rPr>
        <w:t>15</w:t>
      </w:r>
      <w:r w:rsidRPr="009252C3" w:rsidR="009C3F3C">
        <w:rPr>
          <w:rFonts w:ascii="Century Schoolbook" w:hAnsi="Century Schoolbook"/>
          <w:sz w:val="27"/>
          <w:szCs w:val="27"/>
        </w:rPr>
        <w:t xml:space="preserve">.)  </w:t>
      </w:r>
      <w:r w:rsidRPr="009252C3" w:rsidR="0069517F">
        <w:rPr>
          <w:rFonts w:ascii="Century Schoolbook" w:hAnsi="Century Schoolbook"/>
          <w:sz w:val="27"/>
          <w:szCs w:val="27"/>
        </w:rPr>
        <w:t xml:space="preserve">In addition, </w:t>
      </w:r>
      <w:r w:rsidRPr="009252C3" w:rsidR="00182AC1">
        <w:rPr>
          <w:rFonts w:ascii="Century Schoolbook" w:hAnsi="Century Schoolbook"/>
          <w:sz w:val="27"/>
          <w:szCs w:val="27"/>
        </w:rPr>
        <w:t xml:space="preserve">the similarities </w:t>
      </w:r>
      <w:r w:rsidRPr="009252C3" w:rsidR="00356345">
        <w:rPr>
          <w:rFonts w:ascii="Century Schoolbook" w:hAnsi="Century Schoolbook"/>
          <w:sz w:val="27"/>
          <w:szCs w:val="27"/>
        </w:rPr>
        <w:t xml:space="preserve">between </w:t>
      </w:r>
      <w:r w:rsidRPr="009252C3" w:rsidR="00D430E1">
        <w:rPr>
          <w:rFonts w:ascii="Century Schoolbook" w:hAnsi="Century Schoolbook"/>
          <w:sz w:val="27"/>
          <w:szCs w:val="27"/>
        </w:rPr>
        <w:t>Sharon’s</w:t>
      </w:r>
      <w:r w:rsidRPr="009252C3" w:rsidR="00356345">
        <w:rPr>
          <w:rFonts w:ascii="Century Schoolbook" w:hAnsi="Century Schoolbook"/>
          <w:sz w:val="27"/>
          <w:szCs w:val="27"/>
        </w:rPr>
        <w:t xml:space="preserve"> kidnapping and threatened murder and Michael’s kidnapping and murder in choice of</w:t>
      </w:r>
      <w:r w:rsidRPr="009252C3" w:rsidR="00182AC1">
        <w:rPr>
          <w:rFonts w:ascii="Century Schoolbook" w:hAnsi="Century Schoolbook"/>
          <w:sz w:val="27"/>
          <w:szCs w:val="27"/>
        </w:rPr>
        <w:t xml:space="preserve"> weapon </w:t>
      </w:r>
      <w:r w:rsidRPr="009252C3" w:rsidR="00F67371">
        <w:rPr>
          <w:rFonts w:ascii="Century Schoolbook" w:hAnsi="Century Schoolbook"/>
          <w:sz w:val="27"/>
          <w:szCs w:val="27"/>
        </w:rPr>
        <w:t>(long knife)</w:t>
      </w:r>
      <w:r w:rsidRPr="009252C3" w:rsidR="00B54FF8">
        <w:rPr>
          <w:rFonts w:ascii="Century Schoolbook" w:hAnsi="Century Schoolbook"/>
          <w:sz w:val="27"/>
          <w:szCs w:val="27"/>
        </w:rPr>
        <w:t xml:space="preserve"> and </w:t>
      </w:r>
      <w:r w:rsidRPr="009252C3" w:rsidR="00182AC1">
        <w:rPr>
          <w:rFonts w:ascii="Century Schoolbook" w:hAnsi="Century Schoolbook"/>
          <w:sz w:val="27"/>
          <w:szCs w:val="27"/>
        </w:rPr>
        <w:t>location</w:t>
      </w:r>
      <w:r w:rsidRPr="009252C3" w:rsidR="00356345">
        <w:rPr>
          <w:rFonts w:ascii="Century Schoolbook" w:hAnsi="Century Schoolbook"/>
          <w:sz w:val="27"/>
          <w:szCs w:val="27"/>
        </w:rPr>
        <w:t xml:space="preserve"> (driving victim to river bottoms area)</w:t>
      </w:r>
      <w:r w:rsidRPr="009252C3" w:rsidR="00F67371">
        <w:rPr>
          <w:rFonts w:ascii="Century Schoolbook" w:hAnsi="Century Schoolbook"/>
          <w:sz w:val="27"/>
          <w:szCs w:val="27"/>
        </w:rPr>
        <w:t xml:space="preserve"> </w:t>
      </w:r>
      <w:r w:rsidRPr="009252C3" w:rsidR="00182AC1">
        <w:rPr>
          <w:rFonts w:ascii="Century Schoolbook" w:hAnsi="Century Schoolbook"/>
          <w:sz w:val="27"/>
          <w:szCs w:val="27"/>
        </w:rPr>
        <w:t>are sufficient to ma</w:t>
      </w:r>
      <w:r w:rsidRPr="009252C3" w:rsidR="0069517F">
        <w:rPr>
          <w:rFonts w:ascii="Century Schoolbook" w:hAnsi="Century Schoolbook"/>
          <w:sz w:val="27"/>
          <w:szCs w:val="27"/>
        </w:rPr>
        <w:t xml:space="preserve">ke the prior incident relevant </w:t>
      </w:r>
      <w:r w:rsidRPr="009252C3" w:rsidR="00182AC1">
        <w:rPr>
          <w:rFonts w:ascii="Century Schoolbook" w:hAnsi="Century Schoolbook"/>
          <w:sz w:val="27"/>
          <w:szCs w:val="27"/>
        </w:rPr>
        <w:t>to show a common design or plan</w:t>
      </w:r>
      <w:r w:rsidRPr="009252C3" w:rsidR="00356345">
        <w:rPr>
          <w:rFonts w:ascii="Century Schoolbook" w:hAnsi="Century Schoolbook"/>
          <w:sz w:val="27"/>
          <w:szCs w:val="27"/>
        </w:rPr>
        <w:t xml:space="preserve">, which was in turn relevant to show </w:t>
      </w:r>
      <w:r w:rsidRPr="009252C3" w:rsidR="0069517F">
        <w:rPr>
          <w:rFonts w:ascii="Century Schoolbook" w:hAnsi="Century Schoolbook"/>
          <w:sz w:val="27"/>
          <w:szCs w:val="27"/>
        </w:rPr>
        <w:t>Michael was</w:t>
      </w:r>
      <w:r w:rsidRPr="009252C3" w:rsidR="00356345">
        <w:rPr>
          <w:rFonts w:ascii="Century Schoolbook" w:hAnsi="Century Schoolbook"/>
          <w:sz w:val="27"/>
          <w:szCs w:val="27"/>
        </w:rPr>
        <w:t xml:space="preserve"> in fact kidnapped</w:t>
      </w:r>
      <w:r w:rsidRPr="009252C3" w:rsidR="00182AC1">
        <w:rPr>
          <w:rFonts w:ascii="Century Schoolbook" w:hAnsi="Century Schoolbook"/>
          <w:sz w:val="27"/>
          <w:szCs w:val="27"/>
        </w:rPr>
        <w:t xml:space="preserve">.  (See </w:t>
      </w:r>
      <w:r w:rsidRPr="009252C3" w:rsidR="00182AC1">
        <w:rPr>
          <w:rFonts w:ascii="Century Schoolbook" w:hAnsi="Century Schoolbook"/>
          <w:i/>
          <w:sz w:val="27"/>
          <w:szCs w:val="27"/>
        </w:rPr>
        <w:t>Ewoldt</w:t>
      </w:r>
      <w:r w:rsidRPr="009252C3" w:rsidR="00182AC1">
        <w:rPr>
          <w:rFonts w:ascii="Century Schoolbook" w:hAnsi="Century Schoolbook"/>
          <w:sz w:val="27"/>
          <w:szCs w:val="27"/>
        </w:rPr>
        <w:t xml:space="preserve">, </w:t>
      </w:r>
      <w:r w:rsidRPr="009252C3" w:rsidR="00182AC1">
        <w:rPr>
          <w:rFonts w:ascii="Century Schoolbook" w:hAnsi="Century Schoolbook"/>
          <w:i/>
          <w:sz w:val="27"/>
          <w:szCs w:val="27"/>
        </w:rPr>
        <w:t>supra</w:t>
      </w:r>
      <w:r w:rsidRPr="009252C3" w:rsidR="00182AC1">
        <w:rPr>
          <w:rFonts w:ascii="Century Schoolbook" w:hAnsi="Century Schoolbook"/>
          <w:sz w:val="27"/>
          <w:szCs w:val="27"/>
        </w:rPr>
        <w:t>, 7 Cal.4th at p.</w:t>
      </w:r>
      <w:r w:rsidRPr="009252C3" w:rsidR="007A2A7B">
        <w:rPr>
          <w:rFonts w:ascii="Century Schoolbook" w:hAnsi="Century Schoolbook"/>
          <w:sz w:val="27"/>
          <w:szCs w:val="27"/>
        </w:rPr>
        <w:t> </w:t>
      </w:r>
      <w:r w:rsidRPr="009252C3" w:rsidR="00182AC1">
        <w:rPr>
          <w:rFonts w:ascii="Century Schoolbook" w:hAnsi="Century Schoolbook"/>
          <w:sz w:val="27"/>
          <w:szCs w:val="27"/>
        </w:rPr>
        <w:t>403 [“To establish the existence of a common design or plan, the common features must indicate the existence of a plan rather than a series of similar spontaneous acts, but the plan thus revealed need not be distinctive or unusual.”]</w:t>
      </w:r>
      <w:r w:rsidRPr="009252C3" w:rsidR="00356345">
        <w:rPr>
          <w:rFonts w:ascii="Century Schoolbook" w:hAnsi="Century Schoolbook"/>
          <w:sz w:val="27"/>
          <w:szCs w:val="27"/>
        </w:rPr>
        <w:t xml:space="preserve">; </w:t>
      </w:r>
      <w:r w:rsidRPr="009252C3" w:rsidR="00A57B6B">
        <w:rPr>
          <w:rFonts w:ascii="Century Schoolbook" w:hAnsi="Century Schoolbook"/>
          <w:sz w:val="27"/>
          <w:szCs w:val="27"/>
        </w:rPr>
        <w:t xml:space="preserve">see also </w:t>
      </w:r>
      <w:r w:rsidRPr="009252C3" w:rsidR="00356345">
        <w:rPr>
          <w:rFonts w:ascii="Century Schoolbook" w:hAnsi="Century Schoolbook"/>
          <w:i/>
          <w:sz w:val="27"/>
          <w:szCs w:val="27"/>
        </w:rPr>
        <w:t>ibid.</w:t>
      </w:r>
      <w:r w:rsidRPr="009252C3" w:rsidR="00356345">
        <w:rPr>
          <w:rFonts w:ascii="Century Schoolbook" w:hAnsi="Century Schoolbook"/>
          <w:sz w:val="27"/>
          <w:szCs w:val="27"/>
        </w:rPr>
        <w:t xml:space="preserve"> [prior molestation of victim’s older sister relevant on common plan where molestations occurred at similar time and place and </w:t>
      </w:r>
      <w:r w:rsidRPr="009252C3" w:rsidR="003341A0">
        <w:rPr>
          <w:rFonts w:ascii="Century Schoolbook" w:hAnsi="Century Schoolbook"/>
          <w:sz w:val="27"/>
          <w:szCs w:val="27"/>
        </w:rPr>
        <w:t xml:space="preserve">the </w:t>
      </w:r>
      <w:r w:rsidRPr="009252C3" w:rsidR="00356345">
        <w:rPr>
          <w:rFonts w:ascii="Century Schoolbook" w:hAnsi="Century Schoolbook"/>
          <w:sz w:val="27"/>
          <w:szCs w:val="27"/>
        </w:rPr>
        <w:t>defendant offered a similar excuse for his actions in both cases]</w:t>
      </w:r>
      <w:r w:rsidRPr="009252C3" w:rsidR="00A57B6B">
        <w:rPr>
          <w:rFonts w:ascii="Century Schoolbook" w:hAnsi="Century Schoolbook"/>
          <w:sz w:val="27"/>
          <w:szCs w:val="27"/>
        </w:rPr>
        <w:t xml:space="preserve">; </w:t>
      </w:r>
      <w:r w:rsidRPr="009252C3" w:rsidR="00A57B6B">
        <w:rPr>
          <w:rFonts w:ascii="Century Schoolbook" w:hAnsi="Century Schoolbook"/>
          <w:i/>
          <w:iCs/>
          <w:sz w:val="27"/>
          <w:szCs w:val="27"/>
        </w:rPr>
        <w:t>People v. Jackson</w:t>
      </w:r>
      <w:r w:rsidRPr="009252C3" w:rsidR="00A57B6B">
        <w:rPr>
          <w:rFonts w:ascii="Century Schoolbook" w:hAnsi="Century Schoolbook"/>
          <w:sz w:val="27"/>
          <w:szCs w:val="27"/>
        </w:rPr>
        <w:t xml:space="preserve"> (2016) 1 Cal.5th 269, 304 [evidence tended to show </w:t>
      </w:r>
      <w:r w:rsidRPr="009252C3" w:rsidR="000E3FAE">
        <w:rPr>
          <w:rFonts w:ascii="Century Schoolbook" w:hAnsi="Century Schoolbook"/>
          <w:sz w:val="27"/>
          <w:szCs w:val="27"/>
        </w:rPr>
        <w:t xml:space="preserve">the </w:t>
      </w:r>
      <w:r w:rsidRPr="009252C3" w:rsidR="00A57B6B">
        <w:rPr>
          <w:rFonts w:ascii="Century Schoolbook" w:hAnsi="Century Schoolbook"/>
          <w:sz w:val="27"/>
          <w:szCs w:val="27"/>
        </w:rPr>
        <w:t xml:space="preserve">defendant “had a common plan of attacking elderly women late at night while they were alone in their homes in his neighborhood, with the purpose of sexually assaulting them”]; </w:t>
      </w:r>
      <w:r w:rsidRPr="009252C3" w:rsidR="00A57B6B">
        <w:rPr>
          <w:rFonts w:ascii="Century Schoolbook" w:hAnsi="Century Schoolbook"/>
          <w:i/>
          <w:iCs/>
          <w:sz w:val="27"/>
          <w:szCs w:val="27"/>
        </w:rPr>
        <w:t>People v. Davis</w:t>
      </w:r>
      <w:r w:rsidRPr="009252C3" w:rsidR="00A57B6B">
        <w:rPr>
          <w:rFonts w:ascii="Century Schoolbook" w:hAnsi="Century Schoolbook"/>
          <w:sz w:val="27"/>
          <w:szCs w:val="27"/>
        </w:rPr>
        <w:t xml:space="preserve"> (2009) 46 Cal.4th 539, 603 </w:t>
      </w:r>
      <w:r w:rsidRPr="009252C3" w:rsidR="000E3FAE">
        <w:rPr>
          <w:rFonts w:ascii="Century Schoolbook" w:hAnsi="Century Schoolbook"/>
          <w:sz w:val="27"/>
          <w:szCs w:val="27"/>
        </w:rPr>
        <w:t>(</w:t>
      </w:r>
      <w:r w:rsidRPr="009252C3" w:rsidR="000E3FAE">
        <w:rPr>
          <w:rFonts w:ascii="Century Schoolbook" w:hAnsi="Century Schoolbook"/>
          <w:i/>
          <w:sz w:val="27"/>
          <w:szCs w:val="27"/>
        </w:rPr>
        <w:t>Davis</w:t>
      </w:r>
      <w:r w:rsidRPr="009252C3" w:rsidR="000E3FAE">
        <w:rPr>
          <w:rFonts w:ascii="Century Schoolbook" w:hAnsi="Century Schoolbook"/>
          <w:sz w:val="27"/>
          <w:szCs w:val="27"/>
        </w:rPr>
        <w:t xml:space="preserve">) </w:t>
      </w:r>
      <w:r w:rsidRPr="009252C3" w:rsidR="00A57B6B">
        <w:rPr>
          <w:rFonts w:ascii="Century Schoolbook" w:hAnsi="Century Schoolbook"/>
          <w:sz w:val="27"/>
          <w:szCs w:val="27"/>
        </w:rPr>
        <w:t>[</w:t>
      </w:r>
      <w:r w:rsidRPr="009252C3" w:rsidR="00F67371">
        <w:rPr>
          <w:rFonts w:ascii="Century Schoolbook" w:hAnsi="Century Schoolbook"/>
          <w:sz w:val="27"/>
          <w:szCs w:val="27"/>
        </w:rPr>
        <w:t>in each case, “defendant abducted a stranger, a female; used a weapon; assured the victim that he would not harm her; took her to a</w:t>
      </w:r>
      <w:r w:rsidRPr="009252C3" w:rsidR="00A276C9">
        <w:rPr>
          <w:rFonts w:ascii="Century Schoolbook" w:hAnsi="Century Schoolbook"/>
          <w:sz w:val="27"/>
          <w:szCs w:val="27"/>
        </w:rPr>
        <w:t xml:space="preserve"> </w:t>
      </w:r>
      <w:r w:rsidRPr="009252C3" w:rsidR="00F67371">
        <w:rPr>
          <w:rFonts w:ascii="Century Schoolbook" w:hAnsi="Century Schoolbook"/>
          <w:sz w:val="27"/>
          <w:szCs w:val="27"/>
        </w:rPr>
        <w:t>remote location; and carried bindings with him, indicating that the behavior was planned”]</w:t>
      </w:r>
      <w:r w:rsidRPr="009252C3" w:rsidR="00182AC1">
        <w:rPr>
          <w:rFonts w:ascii="Century Schoolbook" w:hAnsi="Century Schoolbook"/>
          <w:sz w:val="27"/>
          <w:szCs w:val="27"/>
        </w:rPr>
        <w:t>.)</w:t>
      </w:r>
      <w:r w:rsidRPr="009252C3" w:rsidR="00F67371">
        <w:rPr>
          <w:rFonts w:ascii="Century Schoolbook" w:hAnsi="Century Schoolbook"/>
          <w:sz w:val="27"/>
          <w:szCs w:val="27"/>
        </w:rPr>
        <w:t xml:space="preserve">  The kidnapping evidence was thus</w:t>
      </w:r>
      <w:r w:rsidRPr="009252C3" w:rsidR="00624EBE">
        <w:rPr>
          <w:rFonts w:ascii="Century Schoolbook" w:hAnsi="Century Schoolbook"/>
          <w:sz w:val="27"/>
          <w:szCs w:val="27"/>
        </w:rPr>
        <w:t xml:space="preserve"> admissible under Evidence Code section 1101</w:t>
      </w:r>
      <w:r w:rsidRPr="009252C3" w:rsidR="0059668A">
        <w:rPr>
          <w:rFonts w:ascii="Century Schoolbook" w:hAnsi="Century Schoolbook"/>
          <w:sz w:val="27"/>
          <w:szCs w:val="27"/>
        </w:rPr>
        <w:t xml:space="preserve">, subdivision </w:t>
      </w:r>
      <w:r w:rsidRPr="009252C3" w:rsidR="00624EBE">
        <w:rPr>
          <w:rFonts w:ascii="Century Schoolbook" w:hAnsi="Century Schoolbook"/>
          <w:sz w:val="27"/>
          <w:szCs w:val="27"/>
        </w:rPr>
        <w:t xml:space="preserve">(b), </w:t>
      </w:r>
      <w:r w:rsidRPr="009252C3" w:rsidR="00F67371">
        <w:rPr>
          <w:rFonts w:ascii="Century Schoolbook" w:hAnsi="Century Schoolbook"/>
          <w:sz w:val="27"/>
          <w:szCs w:val="27"/>
        </w:rPr>
        <w:t xml:space="preserve">and, for the reasons already given, the trial court did not </w:t>
      </w:r>
      <w:r w:rsidRPr="009252C3" w:rsidR="0069517F">
        <w:rPr>
          <w:rFonts w:ascii="Century Schoolbook" w:hAnsi="Century Schoolbook"/>
          <w:sz w:val="27"/>
          <w:szCs w:val="27"/>
        </w:rPr>
        <w:t xml:space="preserve">abuse its discretion in declining to exclude </w:t>
      </w:r>
      <w:r w:rsidRPr="009252C3" w:rsidR="00624EBE">
        <w:rPr>
          <w:rFonts w:ascii="Century Schoolbook" w:hAnsi="Century Schoolbook"/>
          <w:sz w:val="27"/>
          <w:szCs w:val="27"/>
        </w:rPr>
        <w:t xml:space="preserve">the evidence </w:t>
      </w:r>
      <w:r w:rsidRPr="009252C3" w:rsidR="0069517F">
        <w:rPr>
          <w:rFonts w:ascii="Century Schoolbook" w:hAnsi="Century Schoolbook"/>
          <w:sz w:val="27"/>
          <w:szCs w:val="27"/>
        </w:rPr>
        <w:t>under Evidence Code section 352.</w:t>
      </w:r>
      <w:r>
        <w:rPr>
          <w:rStyle w:val="FootnoteReference"/>
          <w:rFonts w:ascii="Century Schoolbook" w:hAnsi="Century Schoolbook"/>
          <w:sz w:val="27"/>
          <w:szCs w:val="27"/>
          <w:vertAlign w:val="superscript"/>
        </w:rPr>
        <w:footnoteReference w:id="8"/>
      </w:r>
    </w:p>
    <w:p w:rsidR="00156A3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w:t>
      </w:r>
      <w:r w:rsidRPr="009252C3" w:rsidR="003F2F32">
        <w:rPr>
          <w:rFonts w:ascii="Century Schoolbook" w:hAnsi="Century Schoolbook"/>
          <w:sz w:val="27"/>
          <w:szCs w:val="27"/>
        </w:rPr>
        <w:t xml:space="preserve">next </w:t>
      </w:r>
      <w:r w:rsidRPr="009252C3">
        <w:rPr>
          <w:rFonts w:ascii="Century Schoolbook" w:hAnsi="Century Schoolbook"/>
          <w:sz w:val="27"/>
          <w:szCs w:val="27"/>
        </w:rPr>
        <w:t xml:space="preserve">contends the admission of his prior crimes under Evidence Code section 1108 violated his rights of due process and a fair trial under the United States Constitution.  </w:t>
      </w:r>
      <w:r w:rsidRPr="009252C3" w:rsidR="00D36A56">
        <w:rPr>
          <w:rFonts w:ascii="Century Schoolbook" w:hAnsi="Century Schoolbook"/>
          <w:sz w:val="27"/>
          <w:szCs w:val="27"/>
        </w:rPr>
        <w:t xml:space="preserve">We have </w:t>
      </w:r>
      <w:r w:rsidRPr="009252C3" w:rsidR="003F2F32">
        <w:rPr>
          <w:rFonts w:ascii="Century Schoolbook" w:hAnsi="Century Schoolbook"/>
          <w:sz w:val="27"/>
          <w:szCs w:val="27"/>
        </w:rPr>
        <w:t xml:space="preserve">previously </w:t>
      </w:r>
      <w:r w:rsidRPr="009252C3" w:rsidR="00513E0F">
        <w:rPr>
          <w:rFonts w:ascii="Century Schoolbook" w:hAnsi="Century Schoolbook"/>
          <w:sz w:val="27"/>
          <w:szCs w:val="27"/>
        </w:rPr>
        <w:t xml:space="preserve">upheld </w:t>
      </w:r>
      <w:r w:rsidRPr="009252C3" w:rsidR="00D36A56">
        <w:rPr>
          <w:rFonts w:ascii="Century Schoolbook" w:hAnsi="Century Schoolbook"/>
          <w:sz w:val="27"/>
          <w:szCs w:val="27"/>
        </w:rPr>
        <w:t xml:space="preserve">section 1108’s </w:t>
      </w:r>
      <w:r w:rsidRPr="009252C3" w:rsidR="00861233">
        <w:rPr>
          <w:rFonts w:ascii="Century Schoolbook" w:hAnsi="Century Schoolbook"/>
          <w:sz w:val="27"/>
          <w:szCs w:val="27"/>
        </w:rPr>
        <w:t xml:space="preserve">exception from the bar on propensity evidence </w:t>
      </w:r>
      <w:r w:rsidRPr="009252C3" w:rsidR="00513E0F">
        <w:rPr>
          <w:rFonts w:ascii="Century Schoolbook" w:hAnsi="Century Schoolbook"/>
          <w:sz w:val="27"/>
          <w:szCs w:val="27"/>
        </w:rPr>
        <w:t>against similar challenges</w:t>
      </w:r>
      <w:r w:rsidRPr="009252C3" w:rsidR="008570CD">
        <w:rPr>
          <w:rFonts w:ascii="Century Schoolbook" w:hAnsi="Century Schoolbook"/>
          <w:sz w:val="27"/>
          <w:szCs w:val="27"/>
        </w:rPr>
        <w:t>.</w:t>
      </w:r>
      <w:r w:rsidRPr="009252C3" w:rsidR="00861233">
        <w:rPr>
          <w:rFonts w:ascii="Century Schoolbook" w:hAnsi="Century Schoolbook"/>
          <w:sz w:val="27"/>
          <w:szCs w:val="27"/>
        </w:rPr>
        <w:t xml:space="preserve"> </w:t>
      </w:r>
      <w:r w:rsidRPr="009252C3" w:rsidR="008570CD">
        <w:rPr>
          <w:rFonts w:ascii="Century Schoolbook" w:hAnsi="Century Schoolbook"/>
          <w:sz w:val="27"/>
          <w:szCs w:val="27"/>
        </w:rPr>
        <w:t xml:space="preserve"> </w:t>
      </w:r>
      <w:r w:rsidRPr="009252C3" w:rsidR="00861233">
        <w:rPr>
          <w:rFonts w:ascii="Century Schoolbook" w:hAnsi="Century Schoolbook"/>
          <w:sz w:val="27"/>
          <w:szCs w:val="27"/>
        </w:rPr>
        <w:t>(</w:t>
      </w:r>
      <w:r w:rsidRPr="009252C3" w:rsidR="00861233">
        <w:rPr>
          <w:rFonts w:ascii="Century Schoolbook" w:hAnsi="Century Schoolbook"/>
          <w:i/>
          <w:sz w:val="27"/>
          <w:szCs w:val="27"/>
        </w:rPr>
        <w:t>Loy</w:t>
      </w:r>
      <w:r w:rsidRPr="009252C3" w:rsidR="00861233">
        <w:rPr>
          <w:rFonts w:ascii="Century Schoolbook" w:hAnsi="Century Schoolbook"/>
          <w:sz w:val="27"/>
          <w:szCs w:val="27"/>
        </w:rPr>
        <w:t xml:space="preserve">, </w:t>
      </w:r>
      <w:r w:rsidRPr="009252C3" w:rsidR="00861233">
        <w:rPr>
          <w:rFonts w:ascii="Century Schoolbook" w:hAnsi="Century Schoolbook"/>
          <w:i/>
          <w:sz w:val="27"/>
          <w:szCs w:val="27"/>
        </w:rPr>
        <w:t>supra</w:t>
      </w:r>
      <w:r w:rsidRPr="009252C3" w:rsidR="00861233">
        <w:rPr>
          <w:rFonts w:ascii="Century Schoolbook" w:hAnsi="Century Schoolbook"/>
          <w:sz w:val="27"/>
          <w:szCs w:val="27"/>
        </w:rPr>
        <w:t>, 52 Cal.4th at pp.</w:t>
      </w:r>
      <w:r w:rsidRPr="009252C3" w:rsidR="007A2A7B">
        <w:rPr>
          <w:rFonts w:ascii="Century Schoolbook" w:hAnsi="Century Schoolbook"/>
          <w:sz w:val="27"/>
          <w:szCs w:val="27"/>
        </w:rPr>
        <w:t> </w:t>
      </w:r>
      <w:r w:rsidRPr="009252C3" w:rsidR="00861233">
        <w:rPr>
          <w:rFonts w:ascii="Century Schoolbook" w:hAnsi="Century Schoolbook"/>
          <w:sz w:val="27"/>
          <w:szCs w:val="27"/>
        </w:rPr>
        <w:t>60</w:t>
      </w:r>
      <w:r w:rsidRPr="009252C3" w:rsidR="007A2A7B">
        <w:rPr>
          <w:rFonts w:ascii="Century Schoolbook" w:hAnsi="Century Schoolbook"/>
          <w:sz w:val="27"/>
          <w:szCs w:val="27"/>
        </w:rPr>
        <w:t>–</w:t>
      </w:r>
      <w:r w:rsidRPr="009252C3" w:rsidR="00861233">
        <w:rPr>
          <w:rFonts w:ascii="Century Schoolbook" w:hAnsi="Century Schoolbook"/>
          <w:sz w:val="27"/>
          <w:szCs w:val="27"/>
        </w:rPr>
        <w:t xml:space="preserve">61; </w:t>
      </w:r>
      <w:r w:rsidRPr="009252C3" w:rsidR="00861233">
        <w:rPr>
          <w:rFonts w:ascii="Century Schoolbook" w:hAnsi="Century Schoolbook"/>
          <w:i/>
          <w:sz w:val="27"/>
          <w:szCs w:val="27"/>
        </w:rPr>
        <w:t>Falsetta</w:t>
      </w:r>
      <w:r w:rsidRPr="009252C3" w:rsidR="00861233">
        <w:rPr>
          <w:rFonts w:ascii="Century Schoolbook" w:hAnsi="Century Schoolbook"/>
          <w:sz w:val="27"/>
          <w:szCs w:val="27"/>
        </w:rPr>
        <w:t xml:space="preserve">, </w:t>
      </w:r>
      <w:r w:rsidRPr="009252C3" w:rsidR="00861233">
        <w:rPr>
          <w:rFonts w:ascii="Century Schoolbook" w:hAnsi="Century Schoolbook"/>
          <w:i/>
          <w:sz w:val="27"/>
          <w:szCs w:val="27"/>
        </w:rPr>
        <w:t>supra</w:t>
      </w:r>
      <w:r w:rsidRPr="009252C3" w:rsidR="00861233">
        <w:rPr>
          <w:rFonts w:ascii="Century Schoolbook" w:hAnsi="Century Schoolbook"/>
          <w:sz w:val="27"/>
          <w:szCs w:val="27"/>
        </w:rPr>
        <w:t>, 21 Cal.4th at pp.</w:t>
      </w:r>
      <w:r w:rsidRPr="009252C3" w:rsidR="007A2A7B">
        <w:rPr>
          <w:rFonts w:ascii="Century Schoolbook" w:hAnsi="Century Schoolbook"/>
          <w:sz w:val="27"/>
          <w:szCs w:val="27"/>
        </w:rPr>
        <w:t> </w:t>
      </w:r>
      <w:r w:rsidRPr="009252C3" w:rsidR="00861233">
        <w:rPr>
          <w:rFonts w:ascii="Century Schoolbook" w:hAnsi="Century Schoolbook"/>
          <w:sz w:val="27"/>
          <w:szCs w:val="27"/>
        </w:rPr>
        <w:t>912</w:t>
      </w:r>
      <w:r w:rsidRPr="009252C3" w:rsidR="007A2A7B">
        <w:rPr>
          <w:rFonts w:ascii="Century Schoolbook" w:hAnsi="Century Schoolbook"/>
          <w:sz w:val="27"/>
          <w:szCs w:val="27"/>
        </w:rPr>
        <w:t>–</w:t>
      </w:r>
      <w:r w:rsidRPr="009252C3" w:rsidR="00861233">
        <w:rPr>
          <w:rFonts w:ascii="Century Schoolbook" w:hAnsi="Century Schoolbook"/>
          <w:sz w:val="27"/>
          <w:szCs w:val="27"/>
        </w:rPr>
        <w:t>922</w:t>
      </w:r>
      <w:r w:rsidRPr="009252C3" w:rsidR="008570CD">
        <w:rPr>
          <w:rFonts w:ascii="Century Schoolbook" w:hAnsi="Century Schoolbook"/>
          <w:sz w:val="27"/>
          <w:szCs w:val="27"/>
        </w:rPr>
        <w:t>.</w:t>
      </w:r>
      <w:r w:rsidRPr="009252C3" w:rsidR="00861233">
        <w:rPr>
          <w:rFonts w:ascii="Century Schoolbook" w:hAnsi="Century Schoolbook"/>
          <w:sz w:val="27"/>
          <w:szCs w:val="27"/>
        </w:rPr>
        <w:t xml:space="preserve">) </w:t>
      </w:r>
      <w:r w:rsidRPr="009252C3" w:rsidR="008570CD">
        <w:rPr>
          <w:rFonts w:ascii="Century Schoolbook" w:hAnsi="Century Schoolbook"/>
          <w:sz w:val="27"/>
          <w:szCs w:val="27"/>
        </w:rPr>
        <w:t xml:space="preserve"> D</w:t>
      </w:r>
      <w:r w:rsidRPr="009252C3" w:rsidR="00861233">
        <w:rPr>
          <w:rFonts w:ascii="Century Schoolbook" w:hAnsi="Century Schoolbook"/>
          <w:sz w:val="27"/>
          <w:szCs w:val="27"/>
        </w:rPr>
        <w:t xml:space="preserve">efendant makes </w:t>
      </w:r>
      <w:r w:rsidRPr="009252C3" w:rsidR="00375DC6">
        <w:rPr>
          <w:rFonts w:ascii="Century Schoolbook" w:hAnsi="Century Schoolbook"/>
          <w:sz w:val="27"/>
          <w:szCs w:val="27"/>
        </w:rPr>
        <w:t>no</w:t>
      </w:r>
      <w:r w:rsidRPr="009252C3" w:rsidR="00861233">
        <w:rPr>
          <w:rFonts w:ascii="Century Schoolbook" w:hAnsi="Century Schoolbook"/>
          <w:sz w:val="27"/>
          <w:szCs w:val="27"/>
        </w:rPr>
        <w:t xml:space="preserve"> </w:t>
      </w:r>
      <w:r w:rsidRPr="009252C3" w:rsidR="00375DC6">
        <w:rPr>
          <w:rFonts w:ascii="Century Schoolbook" w:hAnsi="Century Schoolbook"/>
          <w:sz w:val="27"/>
          <w:szCs w:val="27"/>
        </w:rPr>
        <w:t xml:space="preserve">compelling </w:t>
      </w:r>
      <w:r w:rsidRPr="009252C3" w:rsidR="00861233">
        <w:rPr>
          <w:rFonts w:ascii="Century Schoolbook" w:hAnsi="Century Schoolbook"/>
          <w:sz w:val="27"/>
          <w:szCs w:val="27"/>
        </w:rPr>
        <w:t xml:space="preserve">argument for reconsidering </w:t>
      </w:r>
      <w:r w:rsidRPr="009252C3" w:rsidR="00513E0F">
        <w:rPr>
          <w:rFonts w:ascii="Century Schoolbook" w:hAnsi="Century Schoolbook"/>
          <w:sz w:val="27"/>
          <w:szCs w:val="27"/>
        </w:rPr>
        <w:t>our prior holdings</w:t>
      </w:r>
      <w:r w:rsidRPr="009252C3" w:rsidR="00861233">
        <w:rPr>
          <w:rFonts w:ascii="Century Schoolbook" w:hAnsi="Century Schoolbook"/>
          <w:sz w:val="27"/>
          <w:szCs w:val="27"/>
        </w:rPr>
        <w:t>.</w:t>
      </w:r>
      <w:r w:rsidRPr="009252C3" w:rsidR="00401C0E">
        <w:rPr>
          <w:rFonts w:ascii="Century Schoolbook" w:hAnsi="Century Schoolbook"/>
          <w:sz w:val="27"/>
          <w:szCs w:val="27"/>
        </w:rPr>
        <w:t xml:space="preserve">  </w:t>
      </w:r>
      <w:r w:rsidRPr="009252C3" w:rsidR="00BF7C49">
        <w:rPr>
          <w:rFonts w:ascii="Century Schoolbook" w:hAnsi="Century Schoolbook"/>
          <w:sz w:val="27"/>
          <w:szCs w:val="27"/>
        </w:rPr>
        <w:t xml:space="preserve">He </w:t>
      </w:r>
      <w:r w:rsidRPr="009252C3" w:rsidR="00C17EEB">
        <w:rPr>
          <w:rFonts w:ascii="Century Schoolbook" w:hAnsi="Century Schoolbook"/>
          <w:sz w:val="27"/>
          <w:szCs w:val="27"/>
        </w:rPr>
        <w:t xml:space="preserve">relies for support on </w:t>
      </w:r>
      <w:r w:rsidRPr="009252C3" w:rsidR="00666F1C">
        <w:rPr>
          <w:rFonts w:ascii="Century Schoolbook" w:hAnsi="Century Schoolbook"/>
          <w:i/>
          <w:sz w:val="27"/>
          <w:szCs w:val="27"/>
        </w:rPr>
        <w:t xml:space="preserve">McKinney v. Rees </w:t>
      </w:r>
      <w:r w:rsidRPr="009252C3" w:rsidR="00666F1C">
        <w:rPr>
          <w:rFonts w:ascii="Century Schoolbook" w:hAnsi="Century Schoolbook"/>
          <w:sz w:val="27"/>
          <w:szCs w:val="27"/>
        </w:rPr>
        <w:t xml:space="preserve">(9th Cir. 1993) 993 F.2d 1378, </w:t>
      </w:r>
      <w:r w:rsidRPr="009252C3" w:rsidR="002847A6">
        <w:rPr>
          <w:rFonts w:ascii="Century Schoolbook" w:hAnsi="Century Schoolbook"/>
          <w:sz w:val="27"/>
          <w:szCs w:val="27"/>
        </w:rPr>
        <w:t>1384</w:t>
      </w:r>
      <w:r w:rsidRPr="009252C3" w:rsidR="007A2A7B">
        <w:rPr>
          <w:rFonts w:ascii="Century Schoolbook" w:hAnsi="Century Schoolbook"/>
          <w:sz w:val="27"/>
          <w:szCs w:val="27"/>
        </w:rPr>
        <w:t>–</w:t>
      </w:r>
      <w:r w:rsidRPr="009252C3" w:rsidR="00375DC6">
        <w:rPr>
          <w:rFonts w:ascii="Century Schoolbook" w:hAnsi="Century Schoolbook"/>
          <w:sz w:val="27"/>
          <w:szCs w:val="27"/>
        </w:rPr>
        <w:t xml:space="preserve">1386, </w:t>
      </w:r>
      <w:r w:rsidRPr="009252C3" w:rsidR="00C17EEB">
        <w:rPr>
          <w:rFonts w:ascii="Century Schoolbook" w:hAnsi="Century Schoolbook"/>
          <w:sz w:val="27"/>
          <w:szCs w:val="27"/>
        </w:rPr>
        <w:t>which found that the use of propensity evidence in that case deprived the criminal defendant of a fair trial</w:t>
      </w:r>
      <w:r w:rsidRPr="009252C3" w:rsidR="00375DC6">
        <w:rPr>
          <w:rFonts w:ascii="Century Schoolbook" w:hAnsi="Century Schoolbook"/>
          <w:sz w:val="27"/>
          <w:szCs w:val="27"/>
        </w:rPr>
        <w:t xml:space="preserve">.  But </w:t>
      </w:r>
      <w:r w:rsidRPr="009252C3" w:rsidR="00C17EEB">
        <w:rPr>
          <w:rFonts w:ascii="Century Schoolbook" w:hAnsi="Century Schoolbook"/>
          <w:sz w:val="27"/>
          <w:szCs w:val="27"/>
        </w:rPr>
        <w:t>t</w:t>
      </w:r>
      <w:r w:rsidRPr="009252C3" w:rsidR="00375DC6">
        <w:rPr>
          <w:rFonts w:ascii="Century Schoolbook" w:hAnsi="Century Schoolbook"/>
          <w:sz w:val="27"/>
          <w:szCs w:val="27"/>
        </w:rPr>
        <w:t xml:space="preserve">he Ninth Circuit </w:t>
      </w:r>
      <w:r w:rsidRPr="009252C3" w:rsidR="00BF7C49">
        <w:rPr>
          <w:rFonts w:ascii="Century Schoolbook" w:hAnsi="Century Schoolbook"/>
          <w:sz w:val="27"/>
          <w:szCs w:val="27"/>
        </w:rPr>
        <w:t xml:space="preserve">later </w:t>
      </w:r>
      <w:r w:rsidRPr="009252C3" w:rsidR="00375DC6">
        <w:rPr>
          <w:rFonts w:ascii="Century Schoolbook" w:hAnsi="Century Schoolbook"/>
          <w:sz w:val="27"/>
          <w:szCs w:val="27"/>
        </w:rPr>
        <w:t xml:space="preserve">explained in </w:t>
      </w:r>
      <w:r w:rsidRPr="009252C3" w:rsidR="00375DC6">
        <w:rPr>
          <w:rFonts w:ascii="Century Schoolbook" w:hAnsi="Century Schoolbook"/>
          <w:i/>
          <w:sz w:val="27"/>
          <w:szCs w:val="27"/>
        </w:rPr>
        <w:t>U</w:t>
      </w:r>
      <w:r w:rsidRPr="009252C3" w:rsidR="000E3FAE">
        <w:rPr>
          <w:rFonts w:ascii="Century Schoolbook" w:hAnsi="Century Schoolbook"/>
          <w:i/>
          <w:sz w:val="27"/>
          <w:szCs w:val="27"/>
        </w:rPr>
        <w:t>.S.</w:t>
      </w:r>
      <w:r w:rsidRPr="009252C3" w:rsidR="00375DC6">
        <w:rPr>
          <w:rFonts w:ascii="Century Schoolbook" w:hAnsi="Century Schoolbook"/>
          <w:i/>
          <w:sz w:val="27"/>
          <w:szCs w:val="27"/>
        </w:rPr>
        <w:t xml:space="preserve"> v. LeMay </w:t>
      </w:r>
      <w:r w:rsidRPr="009252C3" w:rsidR="00375DC6">
        <w:rPr>
          <w:rFonts w:ascii="Century Schoolbook" w:hAnsi="Century Schoolbook"/>
          <w:sz w:val="27"/>
          <w:szCs w:val="27"/>
        </w:rPr>
        <w:t xml:space="preserve">(9th Cir. 2001) </w:t>
      </w:r>
      <w:r w:rsidRPr="009252C3" w:rsidR="00DF3A39">
        <w:rPr>
          <w:rFonts w:ascii="Century Schoolbook" w:hAnsi="Century Schoolbook"/>
          <w:sz w:val="27"/>
          <w:szCs w:val="27"/>
        </w:rPr>
        <w:t xml:space="preserve">260 F.3d 1018, 1026, </w:t>
      </w:r>
      <w:r w:rsidRPr="009252C3" w:rsidR="00C17EEB">
        <w:rPr>
          <w:rFonts w:ascii="Century Schoolbook" w:hAnsi="Century Schoolbook"/>
          <w:sz w:val="27"/>
          <w:szCs w:val="27"/>
        </w:rPr>
        <w:t xml:space="preserve">that </w:t>
      </w:r>
      <w:r w:rsidRPr="009252C3" w:rsidR="00DF3A39">
        <w:rPr>
          <w:rFonts w:ascii="Century Schoolbook" w:hAnsi="Century Schoolbook"/>
          <w:sz w:val="27"/>
          <w:szCs w:val="27"/>
        </w:rPr>
        <w:t xml:space="preserve">a constitutional violation of the kind found in </w:t>
      </w:r>
      <w:r w:rsidRPr="009252C3" w:rsidR="00DF3A39">
        <w:rPr>
          <w:rFonts w:ascii="Century Schoolbook" w:hAnsi="Century Schoolbook"/>
          <w:i/>
          <w:sz w:val="27"/>
          <w:szCs w:val="27"/>
        </w:rPr>
        <w:t>McKinney</w:t>
      </w:r>
      <w:r w:rsidRPr="009252C3" w:rsidR="00DF3A39">
        <w:rPr>
          <w:rFonts w:ascii="Century Schoolbook" w:hAnsi="Century Schoolbook"/>
          <w:sz w:val="27"/>
          <w:szCs w:val="27"/>
        </w:rPr>
        <w:t xml:space="preserve"> </w:t>
      </w:r>
      <w:r w:rsidRPr="009252C3" w:rsidR="00C17EEB">
        <w:rPr>
          <w:rFonts w:ascii="Century Schoolbook" w:hAnsi="Century Schoolbook"/>
          <w:sz w:val="27"/>
          <w:szCs w:val="27"/>
        </w:rPr>
        <w:t xml:space="preserve">occurs </w:t>
      </w:r>
      <w:r w:rsidRPr="009252C3" w:rsidR="00DF3A39">
        <w:rPr>
          <w:rFonts w:ascii="Century Schoolbook" w:hAnsi="Century Schoolbook"/>
          <w:sz w:val="27"/>
          <w:szCs w:val="27"/>
        </w:rPr>
        <w:t>only whe</w:t>
      </w:r>
      <w:r w:rsidRPr="009252C3" w:rsidR="00C17EEB">
        <w:rPr>
          <w:rFonts w:ascii="Century Schoolbook" w:hAnsi="Century Schoolbook"/>
          <w:sz w:val="27"/>
          <w:szCs w:val="27"/>
        </w:rPr>
        <w:t>n</w:t>
      </w:r>
      <w:r w:rsidRPr="009252C3" w:rsidR="00DF3A39">
        <w:rPr>
          <w:rFonts w:ascii="Century Schoolbook" w:hAnsi="Century Schoolbook"/>
          <w:sz w:val="27"/>
          <w:szCs w:val="27"/>
        </w:rPr>
        <w:t xml:space="preserve"> the “prejudicial effect [of the propensity evidence] far outweighs its probative value.”</w:t>
      </w:r>
      <w:r w:rsidRPr="009252C3" w:rsidR="001F6FD3">
        <w:rPr>
          <w:rFonts w:ascii="Century Schoolbook" w:hAnsi="Century Schoolbook"/>
          <w:sz w:val="27"/>
          <w:szCs w:val="27"/>
        </w:rPr>
        <w:t xml:space="preserve">  </w:t>
      </w:r>
      <w:r w:rsidRPr="009252C3" w:rsidR="00306936">
        <w:rPr>
          <w:rFonts w:ascii="Century Schoolbook" w:hAnsi="Century Schoolbook"/>
          <w:sz w:val="27"/>
          <w:szCs w:val="27"/>
        </w:rPr>
        <w:t>R</w:t>
      </w:r>
      <w:r w:rsidRPr="009252C3" w:rsidR="001F6FD3">
        <w:rPr>
          <w:rFonts w:ascii="Century Schoolbook" w:hAnsi="Century Schoolbook"/>
          <w:sz w:val="27"/>
          <w:szCs w:val="27"/>
        </w:rPr>
        <w:t>eject</w:t>
      </w:r>
      <w:r w:rsidRPr="009252C3" w:rsidR="00306936">
        <w:rPr>
          <w:rFonts w:ascii="Century Schoolbook" w:hAnsi="Century Schoolbook"/>
          <w:sz w:val="27"/>
          <w:szCs w:val="27"/>
        </w:rPr>
        <w:t xml:space="preserve">ing </w:t>
      </w:r>
      <w:r w:rsidRPr="009252C3" w:rsidR="001F6FD3">
        <w:rPr>
          <w:rFonts w:ascii="Century Schoolbook" w:hAnsi="Century Schoolbook"/>
          <w:sz w:val="27"/>
          <w:szCs w:val="27"/>
        </w:rPr>
        <w:t xml:space="preserve">a facial challenge to </w:t>
      </w:r>
      <w:r w:rsidRPr="009252C3" w:rsidR="00306936">
        <w:rPr>
          <w:rFonts w:ascii="Century Schoolbook" w:hAnsi="Century Schoolbook"/>
          <w:sz w:val="27"/>
          <w:szCs w:val="27"/>
        </w:rPr>
        <w:t xml:space="preserve">the then-recently promulgated </w:t>
      </w:r>
      <w:r w:rsidRPr="009252C3" w:rsidR="00E87721">
        <w:rPr>
          <w:rFonts w:ascii="Century Schoolbook" w:hAnsi="Century Schoolbook"/>
          <w:sz w:val="27"/>
          <w:szCs w:val="27"/>
        </w:rPr>
        <w:t xml:space="preserve">rule 414 of the </w:t>
      </w:r>
      <w:r w:rsidRPr="009252C3" w:rsidR="001F6FD3">
        <w:rPr>
          <w:rFonts w:ascii="Century Schoolbook" w:hAnsi="Century Schoolbook"/>
          <w:sz w:val="27"/>
          <w:szCs w:val="27"/>
        </w:rPr>
        <w:t>Federal Rules of Evidence (</w:t>
      </w:r>
      <w:r w:rsidRPr="009252C3" w:rsidR="00E87721">
        <w:rPr>
          <w:rFonts w:ascii="Century Schoolbook" w:hAnsi="Century Schoolbook"/>
          <w:sz w:val="27"/>
          <w:szCs w:val="27"/>
        </w:rPr>
        <w:t xml:space="preserve">28 U.S.C.), </w:t>
      </w:r>
      <w:r w:rsidRPr="009252C3" w:rsidR="001F6FD3">
        <w:rPr>
          <w:rFonts w:ascii="Century Schoolbook" w:hAnsi="Century Schoolbook"/>
          <w:sz w:val="27"/>
          <w:szCs w:val="27"/>
        </w:rPr>
        <w:t>which allows evidence of prior child molestations when a defendant is accused of that crime</w:t>
      </w:r>
      <w:r w:rsidRPr="009252C3" w:rsidR="00306936">
        <w:rPr>
          <w:rFonts w:ascii="Century Schoolbook" w:hAnsi="Century Schoolbook"/>
          <w:sz w:val="27"/>
          <w:szCs w:val="27"/>
        </w:rPr>
        <w:t>,</w:t>
      </w:r>
      <w:r w:rsidRPr="009252C3" w:rsidR="001F6FD3">
        <w:rPr>
          <w:rFonts w:ascii="Century Schoolbook" w:hAnsi="Century Schoolbook"/>
          <w:sz w:val="27"/>
          <w:szCs w:val="27"/>
        </w:rPr>
        <w:t xml:space="preserve"> the </w:t>
      </w:r>
      <w:r w:rsidRPr="009252C3" w:rsidR="00306936">
        <w:rPr>
          <w:rFonts w:ascii="Century Schoolbook" w:hAnsi="Century Schoolbook"/>
          <w:i/>
          <w:sz w:val="27"/>
          <w:szCs w:val="27"/>
        </w:rPr>
        <w:t>LeMay</w:t>
      </w:r>
      <w:r w:rsidRPr="009252C3" w:rsidR="00306936">
        <w:rPr>
          <w:rFonts w:ascii="Century Schoolbook" w:hAnsi="Century Schoolbook"/>
          <w:sz w:val="27"/>
          <w:szCs w:val="27"/>
        </w:rPr>
        <w:t xml:space="preserve"> </w:t>
      </w:r>
      <w:r w:rsidRPr="009252C3" w:rsidR="001F6FD3">
        <w:rPr>
          <w:rFonts w:ascii="Century Schoolbook" w:hAnsi="Century Schoolbook"/>
          <w:sz w:val="27"/>
          <w:szCs w:val="27"/>
        </w:rPr>
        <w:t xml:space="preserve">court relied on </w:t>
      </w:r>
      <w:r w:rsidRPr="009252C3" w:rsidR="00E87721">
        <w:rPr>
          <w:rFonts w:ascii="Century Schoolbook" w:hAnsi="Century Schoolbook"/>
          <w:sz w:val="27"/>
          <w:szCs w:val="27"/>
        </w:rPr>
        <w:t>rule 403</w:t>
      </w:r>
      <w:r w:rsidRPr="009252C3" w:rsidR="001F6FD3">
        <w:rPr>
          <w:rFonts w:ascii="Century Schoolbook" w:hAnsi="Century Schoolbook"/>
          <w:sz w:val="27"/>
          <w:szCs w:val="27"/>
        </w:rPr>
        <w:t xml:space="preserve">, which </w:t>
      </w:r>
      <w:r w:rsidRPr="009252C3" w:rsidR="003075A2">
        <w:rPr>
          <w:rFonts w:ascii="Century Schoolbook" w:hAnsi="Century Schoolbook"/>
          <w:sz w:val="27"/>
          <w:szCs w:val="27"/>
        </w:rPr>
        <w:t>calls for</w:t>
      </w:r>
      <w:r w:rsidRPr="009252C3" w:rsidR="001F6FD3">
        <w:rPr>
          <w:rFonts w:ascii="Century Schoolbook" w:hAnsi="Century Schoolbook"/>
          <w:sz w:val="27"/>
          <w:szCs w:val="27"/>
        </w:rPr>
        <w:t xml:space="preserve"> the exclusion of unduly prejudicial evidence.  (</w:t>
      </w:r>
      <w:r w:rsidRPr="009252C3" w:rsidR="001F6FD3">
        <w:rPr>
          <w:rFonts w:ascii="Century Schoolbook" w:hAnsi="Century Schoolbook"/>
          <w:i/>
          <w:sz w:val="27"/>
          <w:szCs w:val="27"/>
        </w:rPr>
        <w:t>LeMay</w:t>
      </w:r>
      <w:r w:rsidRPr="009252C3" w:rsidR="001F6FD3">
        <w:rPr>
          <w:rFonts w:ascii="Century Schoolbook" w:hAnsi="Century Schoolbook"/>
          <w:sz w:val="27"/>
          <w:szCs w:val="27"/>
        </w:rPr>
        <w:t>, at pp.</w:t>
      </w:r>
      <w:r w:rsidRPr="009252C3" w:rsidR="007A2A7B">
        <w:rPr>
          <w:rFonts w:ascii="Century Schoolbook" w:hAnsi="Century Schoolbook"/>
          <w:sz w:val="27"/>
          <w:szCs w:val="27"/>
        </w:rPr>
        <w:t> </w:t>
      </w:r>
      <w:r w:rsidRPr="009252C3" w:rsidR="003075A2">
        <w:rPr>
          <w:rFonts w:ascii="Century Schoolbook" w:hAnsi="Century Schoolbook"/>
          <w:sz w:val="27"/>
          <w:szCs w:val="27"/>
        </w:rPr>
        <w:t>1026</w:t>
      </w:r>
      <w:r w:rsidRPr="009252C3" w:rsidR="007A2A7B">
        <w:rPr>
          <w:rFonts w:ascii="Century Schoolbook" w:hAnsi="Century Schoolbook"/>
          <w:sz w:val="27"/>
          <w:szCs w:val="27"/>
        </w:rPr>
        <w:t>–</w:t>
      </w:r>
      <w:r w:rsidRPr="009252C3" w:rsidR="003075A2">
        <w:rPr>
          <w:rFonts w:ascii="Century Schoolbook" w:hAnsi="Century Schoolbook"/>
          <w:sz w:val="27"/>
          <w:szCs w:val="27"/>
        </w:rPr>
        <w:t>1027</w:t>
      </w:r>
      <w:r w:rsidRPr="009252C3" w:rsidR="001F6FD3">
        <w:rPr>
          <w:rFonts w:ascii="Century Schoolbook" w:hAnsi="Century Schoolbook"/>
          <w:sz w:val="27"/>
          <w:szCs w:val="27"/>
        </w:rPr>
        <w:t xml:space="preserve">.)  In </w:t>
      </w:r>
      <w:r w:rsidRPr="009252C3" w:rsidR="001F6FD3">
        <w:rPr>
          <w:rFonts w:ascii="Century Schoolbook" w:hAnsi="Century Schoolbook"/>
          <w:i/>
          <w:sz w:val="27"/>
          <w:szCs w:val="27"/>
        </w:rPr>
        <w:t>Falsetta</w:t>
      </w:r>
      <w:r w:rsidRPr="009252C3" w:rsidR="001F6FD3">
        <w:rPr>
          <w:rFonts w:ascii="Century Schoolbook" w:hAnsi="Century Schoolbook"/>
          <w:sz w:val="27"/>
          <w:szCs w:val="27"/>
        </w:rPr>
        <w:t xml:space="preserve">, we similarly relied on Evidence Code section 352 to reject a facial challenge to Evidence Code section 1108, and </w:t>
      </w:r>
      <w:r w:rsidRPr="009252C3" w:rsidR="00C17EEB">
        <w:rPr>
          <w:rFonts w:ascii="Century Schoolbook" w:hAnsi="Century Schoolbook"/>
          <w:sz w:val="27"/>
          <w:szCs w:val="27"/>
        </w:rPr>
        <w:t xml:space="preserve">similarly </w:t>
      </w:r>
      <w:r w:rsidRPr="009252C3" w:rsidR="001F6FD3">
        <w:rPr>
          <w:rFonts w:ascii="Century Schoolbook" w:hAnsi="Century Schoolbook"/>
          <w:sz w:val="27"/>
          <w:szCs w:val="27"/>
        </w:rPr>
        <w:t xml:space="preserve">distinguished </w:t>
      </w:r>
      <w:r w:rsidRPr="009252C3" w:rsidR="001F6FD3">
        <w:rPr>
          <w:rFonts w:ascii="Century Schoolbook" w:hAnsi="Century Schoolbook"/>
          <w:i/>
          <w:sz w:val="27"/>
          <w:szCs w:val="27"/>
        </w:rPr>
        <w:t>McKinney</w:t>
      </w:r>
      <w:r w:rsidRPr="009252C3" w:rsidR="001F6FD3">
        <w:rPr>
          <w:rFonts w:ascii="Century Schoolbook" w:hAnsi="Century Schoolbook"/>
          <w:sz w:val="27"/>
          <w:szCs w:val="27"/>
        </w:rPr>
        <w:t xml:space="preserve"> as involving the admission of </w:t>
      </w:r>
      <w:r w:rsidRPr="009252C3" w:rsidR="003075A2">
        <w:rPr>
          <w:rFonts w:ascii="Century Schoolbook" w:hAnsi="Century Schoolbook"/>
          <w:sz w:val="27"/>
          <w:szCs w:val="27"/>
        </w:rPr>
        <w:t xml:space="preserve">inflammatory </w:t>
      </w:r>
      <w:r w:rsidRPr="009252C3" w:rsidR="001F6FD3">
        <w:rPr>
          <w:rFonts w:ascii="Century Schoolbook" w:hAnsi="Century Schoolbook"/>
          <w:sz w:val="27"/>
          <w:szCs w:val="27"/>
        </w:rPr>
        <w:t xml:space="preserve">character evidence with little </w:t>
      </w:r>
      <w:r w:rsidRPr="009252C3" w:rsidR="00E87721">
        <w:rPr>
          <w:rFonts w:ascii="Century Schoolbook" w:hAnsi="Century Schoolbook"/>
          <w:sz w:val="27"/>
          <w:szCs w:val="27"/>
        </w:rPr>
        <w:t xml:space="preserve">or no </w:t>
      </w:r>
      <w:r w:rsidRPr="009252C3" w:rsidR="001F6FD3">
        <w:rPr>
          <w:rFonts w:ascii="Century Schoolbook" w:hAnsi="Century Schoolbook"/>
          <w:sz w:val="27"/>
          <w:szCs w:val="27"/>
        </w:rPr>
        <w:t>probative value</w:t>
      </w:r>
      <w:r w:rsidR="00E13368">
        <w:rPr>
          <w:rFonts w:ascii="Century Schoolbook" w:hAnsi="Century Schoolbook"/>
          <w:sz w:val="27"/>
          <w:szCs w:val="27"/>
        </w:rPr>
        <w:t>,</w:t>
      </w:r>
      <w:r w:rsidRPr="009252C3" w:rsidR="00E87721">
        <w:rPr>
          <w:rFonts w:ascii="Century Schoolbook" w:hAnsi="Century Schoolbook"/>
          <w:sz w:val="27"/>
          <w:szCs w:val="27"/>
        </w:rPr>
        <w:t xml:space="preserve"> even </w:t>
      </w:r>
      <w:r w:rsidRPr="009252C3" w:rsidR="00306936">
        <w:rPr>
          <w:rFonts w:ascii="Century Schoolbook" w:hAnsi="Century Schoolbook"/>
          <w:sz w:val="27"/>
          <w:szCs w:val="27"/>
        </w:rPr>
        <w:t xml:space="preserve">as to the defendant’s </w:t>
      </w:r>
      <w:r w:rsidRPr="009252C3" w:rsidR="00E87721">
        <w:rPr>
          <w:rFonts w:ascii="Century Schoolbook" w:hAnsi="Century Schoolbook"/>
          <w:sz w:val="27"/>
          <w:szCs w:val="27"/>
        </w:rPr>
        <w:t>propensity</w:t>
      </w:r>
      <w:r w:rsidRPr="009252C3" w:rsidR="00306936">
        <w:rPr>
          <w:rFonts w:ascii="Century Schoolbook" w:hAnsi="Century Schoolbook"/>
          <w:sz w:val="27"/>
          <w:szCs w:val="27"/>
        </w:rPr>
        <w:t xml:space="preserve"> to commit sex</w:t>
      </w:r>
      <w:r w:rsidRPr="009252C3" w:rsidR="008E0893">
        <w:rPr>
          <w:rFonts w:ascii="Century Schoolbook" w:hAnsi="Century Schoolbook"/>
          <w:sz w:val="27"/>
          <w:szCs w:val="27"/>
        </w:rPr>
        <w:t>ual</w:t>
      </w:r>
      <w:r w:rsidRPr="009252C3" w:rsidR="00306936">
        <w:rPr>
          <w:rFonts w:ascii="Century Schoolbook" w:hAnsi="Century Schoolbook"/>
          <w:sz w:val="27"/>
          <w:szCs w:val="27"/>
        </w:rPr>
        <w:t xml:space="preserve"> offenses</w:t>
      </w:r>
      <w:r w:rsidRPr="009252C3" w:rsidR="001F6FD3">
        <w:rPr>
          <w:rFonts w:ascii="Century Schoolbook" w:hAnsi="Century Schoolbook"/>
          <w:sz w:val="27"/>
          <w:szCs w:val="27"/>
        </w:rPr>
        <w:t xml:space="preserve">. </w:t>
      </w:r>
      <w:r w:rsidRPr="009252C3" w:rsidR="003075A2">
        <w:rPr>
          <w:rFonts w:ascii="Century Schoolbook" w:hAnsi="Century Schoolbook"/>
          <w:sz w:val="27"/>
          <w:szCs w:val="27"/>
        </w:rPr>
        <w:t xml:space="preserve"> (</w:t>
      </w:r>
      <w:r w:rsidRPr="009252C3" w:rsidR="003075A2">
        <w:rPr>
          <w:rFonts w:ascii="Century Schoolbook" w:hAnsi="Century Schoolbook"/>
          <w:i/>
          <w:sz w:val="27"/>
          <w:szCs w:val="27"/>
        </w:rPr>
        <w:t>Falsetta</w:t>
      </w:r>
      <w:r w:rsidRPr="009252C3" w:rsidR="003075A2">
        <w:rPr>
          <w:rFonts w:ascii="Century Schoolbook" w:hAnsi="Century Schoolbook"/>
          <w:sz w:val="27"/>
          <w:szCs w:val="27"/>
        </w:rPr>
        <w:t>, at pp.</w:t>
      </w:r>
      <w:r w:rsidRPr="009252C3" w:rsidR="007A2A7B">
        <w:rPr>
          <w:rFonts w:ascii="Century Schoolbook" w:hAnsi="Century Schoolbook"/>
          <w:sz w:val="27"/>
          <w:szCs w:val="27"/>
        </w:rPr>
        <w:t> </w:t>
      </w:r>
      <w:r w:rsidRPr="009252C3" w:rsidR="003075A2">
        <w:rPr>
          <w:rFonts w:ascii="Century Schoolbook" w:hAnsi="Century Schoolbook"/>
          <w:sz w:val="27"/>
          <w:szCs w:val="27"/>
        </w:rPr>
        <w:t>916</w:t>
      </w:r>
      <w:r w:rsidRPr="009252C3" w:rsidR="007A2A7B">
        <w:rPr>
          <w:rFonts w:ascii="Century Schoolbook" w:hAnsi="Century Schoolbook"/>
          <w:sz w:val="27"/>
          <w:szCs w:val="27"/>
        </w:rPr>
        <w:t>–</w:t>
      </w:r>
      <w:r w:rsidRPr="009252C3" w:rsidR="003075A2">
        <w:rPr>
          <w:rFonts w:ascii="Century Schoolbook" w:hAnsi="Century Schoolbook"/>
          <w:sz w:val="27"/>
          <w:szCs w:val="27"/>
        </w:rPr>
        <w:t>918, 921</w:t>
      </w:r>
      <w:r w:rsidRPr="009252C3" w:rsidR="007A2A7B">
        <w:rPr>
          <w:rFonts w:ascii="Century Schoolbook" w:hAnsi="Century Schoolbook"/>
          <w:sz w:val="27"/>
          <w:szCs w:val="27"/>
        </w:rPr>
        <w:t>–</w:t>
      </w:r>
      <w:r w:rsidRPr="009252C3" w:rsidR="003075A2">
        <w:rPr>
          <w:rFonts w:ascii="Century Schoolbook" w:hAnsi="Century Schoolbook"/>
          <w:sz w:val="27"/>
          <w:szCs w:val="27"/>
        </w:rPr>
        <w:t xml:space="preserve">922.)  </w:t>
      </w:r>
      <w:r w:rsidRPr="009252C3">
        <w:rPr>
          <w:rFonts w:ascii="Century Schoolbook" w:hAnsi="Century Schoolbook"/>
          <w:sz w:val="27"/>
          <w:szCs w:val="27"/>
        </w:rPr>
        <w:t xml:space="preserve">Here, we have already held that </w:t>
      </w:r>
      <w:r w:rsidRPr="009252C3" w:rsidR="003075A2">
        <w:rPr>
          <w:rFonts w:ascii="Century Schoolbook" w:hAnsi="Century Schoolbook"/>
          <w:sz w:val="27"/>
          <w:szCs w:val="27"/>
        </w:rPr>
        <w:t xml:space="preserve">admission of </w:t>
      </w:r>
      <w:r w:rsidRPr="009252C3" w:rsidR="00820DC6">
        <w:rPr>
          <w:rFonts w:ascii="Century Schoolbook" w:hAnsi="Century Schoolbook"/>
          <w:sz w:val="27"/>
          <w:szCs w:val="27"/>
        </w:rPr>
        <w:t xml:space="preserve">defendant’s </w:t>
      </w:r>
      <w:r w:rsidRPr="009252C3" w:rsidR="003075A2">
        <w:rPr>
          <w:rFonts w:ascii="Century Schoolbook" w:hAnsi="Century Schoolbook"/>
          <w:sz w:val="27"/>
          <w:szCs w:val="27"/>
        </w:rPr>
        <w:t xml:space="preserve">prior crimes was not </w:t>
      </w:r>
      <w:r w:rsidRPr="009252C3" w:rsidR="00A344CE">
        <w:rPr>
          <w:rFonts w:ascii="Century Schoolbook" w:hAnsi="Century Schoolbook"/>
          <w:sz w:val="27"/>
          <w:szCs w:val="27"/>
        </w:rPr>
        <w:t xml:space="preserve">unduly prejudicial </w:t>
      </w:r>
      <w:r w:rsidRPr="009252C3" w:rsidR="003075A2">
        <w:rPr>
          <w:rFonts w:ascii="Century Schoolbook" w:hAnsi="Century Schoolbook"/>
          <w:sz w:val="27"/>
          <w:szCs w:val="27"/>
        </w:rPr>
        <w:t>under Evidence Code section 352</w:t>
      </w:r>
      <w:r w:rsidRPr="009252C3">
        <w:rPr>
          <w:rFonts w:ascii="Century Schoolbook" w:hAnsi="Century Schoolbook"/>
          <w:sz w:val="27"/>
          <w:szCs w:val="27"/>
        </w:rPr>
        <w:t xml:space="preserve">.  The admission of the evidence </w:t>
      </w:r>
      <w:r w:rsidR="00E13368">
        <w:rPr>
          <w:rFonts w:ascii="Century Schoolbook" w:hAnsi="Century Schoolbook"/>
          <w:sz w:val="27"/>
          <w:szCs w:val="27"/>
        </w:rPr>
        <w:t xml:space="preserve">thus </w:t>
      </w:r>
      <w:r w:rsidRPr="009252C3">
        <w:rPr>
          <w:rFonts w:ascii="Century Schoolbook" w:hAnsi="Century Schoolbook"/>
          <w:sz w:val="27"/>
          <w:szCs w:val="27"/>
        </w:rPr>
        <w:t>did not violate defendant’s constitutional rights.</w:t>
      </w:r>
    </w:p>
    <w:p w:rsidR="00E87721" w:rsidRPr="009252C3" w:rsidP="009252C3">
      <w:pPr>
        <w:pStyle w:val="Heading3"/>
        <w:spacing w:before="100" w:line="400" w:lineRule="exact"/>
        <w:ind w:left="0" w:firstLine="720"/>
        <w:jc w:val="both"/>
        <w:rPr>
          <w:rFonts w:ascii="Century Schoolbook" w:hAnsi="Century Schoolbook"/>
          <w:b/>
          <w:i w:val="0"/>
          <w:sz w:val="27"/>
          <w:szCs w:val="27"/>
        </w:rPr>
      </w:pPr>
      <w:bookmarkStart w:id="12" w:name="_Toc3365813"/>
      <w:r w:rsidRPr="009252C3">
        <w:rPr>
          <w:rFonts w:ascii="Century Schoolbook" w:hAnsi="Century Schoolbook"/>
          <w:b/>
          <w:i w:val="0"/>
          <w:sz w:val="27"/>
          <w:szCs w:val="27"/>
        </w:rPr>
        <w:t xml:space="preserve">V.  Exclusion of Evidence </w:t>
      </w:r>
      <w:r w:rsidRPr="009252C3" w:rsidR="00652268">
        <w:rPr>
          <w:rFonts w:ascii="Century Schoolbook" w:hAnsi="Century Schoolbook"/>
          <w:b/>
          <w:i w:val="0"/>
          <w:sz w:val="27"/>
          <w:szCs w:val="27"/>
        </w:rPr>
        <w:t xml:space="preserve">of Witness’s Prior </w:t>
      </w:r>
      <w:r w:rsidR="00F7276C">
        <w:rPr>
          <w:rFonts w:ascii="Century Schoolbook" w:hAnsi="Century Schoolbook"/>
          <w:b/>
          <w:i w:val="0"/>
          <w:sz w:val="27"/>
          <w:szCs w:val="27"/>
        </w:rPr>
        <w:br/>
        <w:t xml:space="preserve">                   </w:t>
      </w:r>
      <w:r w:rsidRPr="009252C3" w:rsidR="00652268">
        <w:rPr>
          <w:rFonts w:ascii="Century Schoolbook" w:hAnsi="Century Schoolbook"/>
          <w:b/>
          <w:i w:val="0"/>
          <w:sz w:val="27"/>
          <w:szCs w:val="27"/>
        </w:rPr>
        <w:t>Conviction</w:t>
      </w:r>
      <w:bookmarkEnd w:id="12"/>
    </w:p>
    <w:p w:rsidR="00367F16"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Defendant’s next claim of error </w:t>
      </w:r>
      <w:r w:rsidRPr="009252C3" w:rsidR="00E319D7">
        <w:rPr>
          <w:rFonts w:ascii="Century Schoolbook" w:hAnsi="Century Schoolbook"/>
          <w:sz w:val="27"/>
          <w:szCs w:val="27"/>
        </w:rPr>
        <w:t xml:space="preserve">concerns the trial court’s </w:t>
      </w:r>
      <w:r w:rsidRPr="009252C3" w:rsidR="00A86568">
        <w:rPr>
          <w:rFonts w:ascii="Century Schoolbook" w:hAnsi="Century Schoolbook"/>
          <w:sz w:val="27"/>
          <w:szCs w:val="27"/>
        </w:rPr>
        <w:t xml:space="preserve">exclusion of evidence that </w:t>
      </w:r>
      <w:r w:rsidRPr="009252C3" w:rsidR="00E319D7">
        <w:rPr>
          <w:rFonts w:ascii="Century Schoolbook" w:hAnsi="Century Schoolbook"/>
          <w:sz w:val="27"/>
          <w:szCs w:val="27"/>
        </w:rPr>
        <w:t>d</w:t>
      </w:r>
      <w:r w:rsidRPr="009252C3" w:rsidR="00703DB8">
        <w:rPr>
          <w:rFonts w:ascii="Century Schoolbook" w:hAnsi="Century Schoolbook"/>
          <w:sz w:val="27"/>
          <w:szCs w:val="27"/>
        </w:rPr>
        <w:t xml:space="preserve">efense witness </w:t>
      </w:r>
      <w:r w:rsidRPr="009252C3" w:rsidR="002C1945">
        <w:rPr>
          <w:rFonts w:ascii="Century Schoolbook" w:hAnsi="Century Schoolbook"/>
          <w:sz w:val="27"/>
          <w:szCs w:val="27"/>
        </w:rPr>
        <w:t>Bobbie Lem</w:t>
      </w:r>
      <w:r w:rsidRPr="009252C3" w:rsidR="00BD46A7">
        <w:rPr>
          <w:rFonts w:ascii="Century Schoolbook" w:hAnsi="Century Schoolbook"/>
          <w:sz w:val="27"/>
          <w:szCs w:val="27"/>
        </w:rPr>
        <w:t>m</w:t>
      </w:r>
      <w:r w:rsidRPr="009252C3" w:rsidR="002C1945">
        <w:rPr>
          <w:rFonts w:ascii="Century Schoolbook" w:hAnsi="Century Schoolbook"/>
          <w:sz w:val="27"/>
          <w:szCs w:val="27"/>
        </w:rPr>
        <w:t>ons</w:t>
      </w:r>
      <w:r w:rsidRPr="009252C3" w:rsidR="00A86568">
        <w:rPr>
          <w:rFonts w:ascii="Century Schoolbook" w:hAnsi="Century Schoolbook"/>
          <w:sz w:val="27"/>
          <w:szCs w:val="27"/>
        </w:rPr>
        <w:t xml:space="preserve"> had suffered a prior conviction</w:t>
      </w:r>
      <w:r w:rsidRPr="009252C3" w:rsidR="00A06CD1">
        <w:rPr>
          <w:rFonts w:ascii="Century Schoolbook" w:hAnsi="Century Schoolbook"/>
          <w:sz w:val="27"/>
          <w:szCs w:val="27"/>
        </w:rPr>
        <w:t>.  Lemmons</w:t>
      </w:r>
      <w:r w:rsidRPr="009252C3" w:rsidR="00E319D7">
        <w:rPr>
          <w:rFonts w:ascii="Century Schoolbook" w:hAnsi="Century Schoolbook"/>
          <w:sz w:val="27"/>
          <w:szCs w:val="27"/>
        </w:rPr>
        <w:t xml:space="preserve">, </w:t>
      </w:r>
      <w:r w:rsidRPr="009252C3" w:rsidR="002C1945">
        <w:rPr>
          <w:rFonts w:ascii="Century Schoolbook" w:hAnsi="Century Schoolbook"/>
          <w:sz w:val="27"/>
          <w:szCs w:val="27"/>
        </w:rPr>
        <w:t xml:space="preserve">a </w:t>
      </w:r>
      <w:r w:rsidRPr="009252C3" w:rsidR="001246E9">
        <w:rPr>
          <w:rFonts w:ascii="Century Schoolbook" w:hAnsi="Century Schoolbook"/>
          <w:sz w:val="27"/>
          <w:szCs w:val="27"/>
        </w:rPr>
        <w:t xml:space="preserve">river bottoms </w:t>
      </w:r>
      <w:r w:rsidRPr="009252C3" w:rsidR="002C1945">
        <w:rPr>
          <w:rFonts w:ascii="Century Schoolbook" w:hAnsi="Century Schoolbook"/>
          <w:sz w:val="27"/>
          <w:szCs w:val="27"/>
        </w:rPr>
        <w:t>resident who testified to finding the victim’s shoes and pants</w:t>
      </w:r>
      <w:r w:rsidRPr="009252C3" w:rsidR="00A06CD1">
        <w:rPr>
          <w:rFonts w:ascii="Century Schoolbook" w:hAnsi="Century Schoolbook"/>
          <w:sz w:val="27"/>
          <w:szCs w:val="27"/>
        </w:rPr>
        <w:t xml:space="preserve">, </w:t>
      </w:r>
      <w:r w:rsidRPr="009252C3" w:rsidR="002C1945">
        <w:rPr>
          <w:rFonts w:ascii="Century Schoolbook" w:hAnsi="Century Schoolbook"/>
          <w:sz w:val="27"/>
          <w:szCs w:val="27"/>
        </w:rPr>
        <w:t xml:space="preserve">had been convicted </w:t>
      </w:r>
      <w:r w:rsidRPr="009252C3" w:rsidR="004D2AFC">
        <w:rPr>
          <w:rFonts w:ascii="Century Schoolbook" w:hAnsi="Century Schoolbook"/>
          <w:sz w:val="27"/>
          <w:szCs w:val="27"/>
        </w:rPr>
        <w:t xml:space="preserve">in 1992 </w:t>
      </w:r>
      <w:r w:rsidRPr="009252C3" w:rsidR="002C1945">
        <w:rPr>
          <w:rFonts w:ascii="Century Schoolbook" w:hAnsi="Century Schoolbook"/>
          <w:sz w:val="27"/>
          <w:szCs w:val="27"/>
        </w:rPr>
        <w:t>of annoying or molesting a child</w:t>
      </w:r>
      <w:r w:rsidRPr="009252C3" w:rsidR="001246E9">
        <w:rPr>
          <w:rFonts w:ascii="Century Schoolbook" w:hAnsi="Century Schoolbook"/>
          <w:sz w:val="27"/>
          <w:szCs w:val="27"/>
        </w:rPr>
        <w:t>, a misdemeanor.  (Pen. Code, §</w:t>
      </w:r>
      <w:r w:rsidRPr="009252C3" w:rsidR="007A2A7B">
        <w:rPr>
          <w:rFonts w:ascii="Century Schoolbook" w:hAnsi="Century Schoolbook"/>
          <w:sz w:val="27"/>
          <w:szCs w:val="27"/>
        </w:rPr>
        <w:t> </w:t>
      </w:r>
      <w:r w:rsidRPr="009252C3" w:rsidR="001246E9">
        <w:rPr>
          <w:rFonts w:ascii="Century Schoolbook" w:hAnsi="Century Schoolbook"/>
          <w:sz w:val="27"/>
          <w:szCs w:val="27"/>
        </w:rPr>
        <w:t>647.6.)</w:t>
      </w:r>
      <w:r w:rsidRPr="009252C3" w:rsidR="00B06F1E">
        <w:rPr>
          <w:rFonts w:ascii="Century Schoolbook" w:hAnsi="Century Schoolbook"/>
          <w:sz w:val="27"/>
          <w:szCs w:val="27"/>
        </w:rPr>
        <w:t xml:space="preserve">  </w:t>
      </w:r>
      <w:r w:rsidRPr="009252C3" w:rsidR="00F216AD">
        <w:rPr>
          <w:rFonts w:ascii="Century Schoolbook" w:hAnsi="Century Schoolbook"/>
          <w:sz w:val="27"/>
          <w:szCs w:val="27"/>
        </w:rPr>
        <w:t xml:space="preserve">The only information in the record about the nature of the conviction </w:t>
      </w:r>
      <w:r w:rsidRPr="009252C3" w:rsidR="00710FC2">
        <w:rPr>
          <w:rFonts w:ascii="Century Schoolbook" w:hAnsi="Century Schoolbook"/>
          <w:sz w:val="27"/>
          <w:szCs w:val="27"/>
        </w:rPr>
        <w:t xml:space="preserve">comes from the prosecution’s motion in limine to exclude the conviction, which notes that the conviction stems from an incident in which Lemmons admitted </w:t>
      </w:r>
      <w:r w:rsidRPr="009252C3" w:rsidR="001246E9">
        <w:rPr>
          <w:rFonts w:ascii="Century Schoolbook" w:hAnsi="Century Schoolbook"/>
          <w:sz w:val="27"/>
          <w:szCs w:val="27"/>
        </w:rPr>
        <w:t>“to putting his hand down his daughter’s pants, and when she protested he stopped.”</w:t>
      </w:r>
    </w:p>
    <w:p w:rsidR="00E87721"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an Evidence Code section 402 hearing on admissibility</w:t>
      </w:r>
      <w:r w:rsidRPr="009252C3" w:rsidR="00703DB8">
        <w:rPr>
          <w:rFonts w:ascii="Century Schoolbook" w:hAnsi="Century Schoolbook"/>
          <w:sz w:val="27"/>
          <w:szCs w:val="27"/>
        </w:rPr>
        <w:t xml:space="preserve"> held</w:t>
      </w:r>
      <w:r w:rsidRPr="009252C3">
        <w:rPr>
          <w:rFonts w:ascii="Century Schoolbook" w:hAnsi="Century Schoolbook"/>
          <w:sz w:val="27"/>
          <w:szCs w:val="27"/>
        </w:rPr>
        <w:t xml:space="preserve"> before Lem</w:t>
      </w:r>
      <w:r w:rsidRPr="009252C3" w:rsidR="003341A0">
        <w:rPr>
          <w:rFonts w:ascii="Century Schoolbook" w:hAnsi="Century Schoolbook"/>
          <w:sz w:val="27"/>
          <w:szCs w:val="27"/>
        </w:rPr>
        <w:t>m</w:t>
      </w:r>
      <w:r w:rsidRPr="009252C3">
        <w:rPr>
          <w:rFonts w:ascii="Century Schoolbook" w:hAnsi="Century Schoolbook"/>
          <w:sz w:val="27"/>
          <w:szCs w:val="27"/>
        </w:rPr>
        <w:t xml:space="preserve">ons testified, </w:t>
      </w:r>
      <w:r w:rsidRPr="009252C3" w:rsidR="001246E9">
        <w:rPr>
          <w:rFonts w:ascii="Century Schoolbook" w:hAnsi="Century Schoolbook"/>
          <w:sz w:val="27"/>
          <w:szCs w:val="27"/>
        </w:rPr>
        <w:t>defense counsel asked Lem</w:t>
      </w:r>
      <w:r w:rsidRPr="009252C3" w:rsidR="000E3FAE">
        <w:rPr>
          <w:rFonts w:ascii="Century Schoolbook" w:hAnsi="Century Schoolbook"/>
          <w:sz w:val="27"/>
          <w:szCs w:val="27"/>
        </w:rPr>
        <w:t>m</w:t>
      </w:r>
      <w:r w:rsidRPr="009252C3" w:rsidR="001246E9">
        <w:rPr>
          <w:rFonts w:ascii="Century Schoolbook" w:hAnsi="Century Schoolbook"/>
          <w:sz w:val="27"/>
          <w:szCs w:val="27"/>
        </w:rPr>
        <w:t>ons whether he had suffered a</w:t>
      </w:r>
      <w:r w:rsidRPr="009252C3">
        <w:rPr>
          <w:rFonts w:ascii="Century Schoolbook" w:hAnsi="Century Schoolbook"/>
          <w:sz w:val="27"/>
          <w:szCs w:val="27"/>
        </w:rPr>
        <w:t xml:space="preserve"> conviction for misdemeanor child molestation.  The prosecutor objected that the prior </w:t>
      </w:r>
      <w:r w:rsidRPr="009252C3" w:rsidR="007C016C">
        <w:rPr>
          <w:rFonts w:ascii="Century Schoolbook" w:hAnsi="Century Schoolbook"/>
          <w:sz w:val="27"/>
          <w:szCs w:val="27"/>
        </w:rPr>
        <w:t xml:space="preserve">conviction </w:t>
      </w:r>
      <w:r w:rsidRPr="009252C3">
        <w:rPr>
          <w:rFonts w:ascii="Century Schoolbook" w:hAnsi="Century Schoolbook"/>
          <w:sz w:val="27"/>
          <w:szCs w:val="27"/>
        </w:rPr>
        <w:t xml:space="preserve">was inadmissible </w:t>
      </w:r>
      <w:r w:rsidRPr="009252C3" w:rsidR="00367F16">
        <w:rPr>
          <w:rFonts w:ascii="Century Schoolbook" w:hAnsi="Century Schoolbook"/>
          <w:sz w:val="27"/>
          <w:szCs w:val="27"/>
        </w:rPr>
        <w:t xml:space="preserve">either </w:t>
      </w:r>
      <w:r w:rsidRPr="009252C3">
        <w:rPr>
          <w:rFonts w:ascii="Century Schoolbook" w:hAnsi="Century Schoolbook"/>
          <w:sz w:val="27"/>
          <w:szCs w:val="27"/>
        </w:rPr>
        <w:t xml:space="preserve">as impeachment or under section 1101 or 1108 of the Evidence Code.  </w:t>
      </w:r>
      <w:r w:rsidRPr="009252C3" w:rsidR="00EE3AD5">
        <w:rPr>
          <w:rFonts w:ascii="Century Schoolbook" w:hAnsi="Century Schoolbook"/>
          <w:sz w:val="27"/>
          <w:szCs w:val="27"/>
        </w:rPr>
        <w:t>Defense counsel argued he could impeach Lem</w:t>
      </w:r>
      <w:r w:rsidRPr="009252C3" w:rsidR="003341A0">
        <w:rPr>
          <w:rFonts w:ascii="Century Schoolbook" w:hAnsi="Century Schoolbook"/>
          <w:sz w:val="27"/>
          <w:szCs w:val="27"/>
        </w:rPr>
        <w:t>m</w:t>
      </w:r>
      <w:r w:rsidRPr="009252C3" w:rsidR="00EE3AD5">
        <w:rPr>
          <w:rFonts w:ascii="Century Schoolbook" w:hAnsi="Century Schoolbook"/>
          <w:sz w:val="27"/>
          <w:szCs w:val="27"/>
        </w:rPr>
        <w:t>ons, his own witness, because Lem</w:t>
      </w:r>
      <w:r w:rsidRPr="009252C3" w:rsidR="003341A0">
        <w:rPr>
          <w:rFonts w:ascii="Century Schoolbook" w:hAnsi="Century Schoolbook"/>
          <w:sz w:val="27"/>
          <w:szCs w:val="27"/>
        </w:rPr>
        <w:t>m</w:t>
      </w:r>
      <w:r w:rsidRPr="009252C3" w:rsidR="00EE3AD5">
        <w:rPr>
          <w:rFonts w:ascii="Century Schoolbook" w:hAnsi="Century Schoolbook"/>
          <w:sz w:val="27"/>
          <w:szCs w:val="27"/>
        </w:rPr>
        <w:t>ons’s expected testimony would be adverse to defendant and because the defense theory of the case implicated Lem</w:t>
      </w:r>
      <w:r w:rsidRPr="009252C3" w:rsidR="000E3FAE">
        <w:rPr>
          <w:rFonts w:ascii="Century Schoolbook" w:hAnsi="Century Schoolbook"/>
          <w:sz w:val="27"/>
          <w:szCs w:val="27"/>
        </w:rPr>
        <w:t>m</w:t>
      </w:r>
      <w:r w:rsidRPr="009252C3" w:rsidR="00EE3AD5">
        <w:rPr>
          <w:rFonts w:ascii="Century Schoolbook" w:hAnsi="Century Schoolbook"/>
          <w:sz w:val="27"/>
          <w:szCs w:val="27"/>
        </w:rPr>
        <w:t xml:space="preserve">ons in Michael’s death. </w:t>
      </w:r>
      <w:r w:rsidRPr="009252C3" w:rsidR="007A2A7B">
        <w:rPr>
          <w:rFonts w:ascii="Century Schoolbook" w:hAnsi="Century Schoolbook"/>
          <w:sz w:val="27"/>
          <w:szCs w:val="27"/>
        </w:rPr>
        <w:t xml:space="preserve"> </w:t>
      </w:r>
      <w:r w:rsidRPr="009252C3" w:rsidR="00EE3AD5">
        <w:rPr>
          <w:rFonts w:ascii="Century Schoolbook" w:hAnsi="Century Schoolbook"/>
          <w:sz w:val="27"/>
          <w:szCs w:val="27"/>
        </w:rPr>
        <w:t>The court denied admission of the conviction as impeachment, finding that counsel had not yet demonstrated Lem</w:t>
      </w:r>
      <w:r w:rsidRPr="009252C3" w:rsidR="00BD46A7">
        <w:rPr>
          <w:rFonts w:ascii="Century Schoolbook" w:hAnsi="Century Schoolbook"/>
          <w:sz w:val="27"/>
          <w:szCs w:val="27"/>
        </w:rPr>
        <w:t>m</w:t>
      </w:r>
      <w:r w:rsidRPr="009252C3" w:rsidR="00EE3AD5">
        <w:rPr>
          <w:rFonts w:ascii="Century Schoolbook" w:hAnsi="Century Schoolbook"/>
          <w:sz w:val="27"/>
          <w:szCs w:val="27"/>
        </w:rPr>
        <w:t>ons’s testimony would be adverse to defendant.</w:t>
      </w:r>
      <w:r>
        <w:rPr>
          <w:rStyle w:val="FootnoteReference"/>
          <w:rFonts w:ascii="Century Schoolbook" w:hAnsi="Century Schoolbook"/>
          <w:sz w:val="27"/>
          <w:szCs w:val="27"/>
          <w:vertAlign w:val="superscript"/>
        </w:rPr>
        <w:footnoteReference w:id="9"/>
      </w:r>
    </w:p>
    <w:p w:rsidR="007A125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Court and counsel revisited the issue after Lem</w:t>
      </w:r>
      <w:r w:rsidRPr="009252C3" w:rsidR="00BD46A7">
        <w:rPr>
          <w:rFonts w:ascii="Century Schoolbook" w:hAnsi="Century Schoolbook"/>
          <w:sz w:val="27"/>
          <w:szCs w:val="27"/>
        </w:rPr>
        <w:t>m</w:t>
      </w:r>
      <w:r w:rsidRPr="009252C3">
        <w:rPr>
          <w:rFonts w:ascii="Century Schoolbook" w:hAnsi="Century Schoolbook"/>
          <w:sz w:val="27"/>
          <w:szCs w:val="27"/>
        </w:rPr>
        <w:t xml:space="preserve">ons’s testimony.  Defense counsel </w:t>
      </w:r>
      <w:r w:rsidRPr="009252C3" w:rsidR="00367F16">
        <w:rPr>
          <w:rFonts w:ascii="Century Schoolbook" w:hAnsi="Century Schoolbook"/>
          <w:sz w:val="27"/>
          <w:szCs w:val="27"/>
        </w:rPr>
        <w:t xml:space="preserve">now </w:t>
      </w:r>
      <w:r w:rsidRPr="009252C3">
        <w:rPr>
          <w:rFonts w:ascii="Century Schoolbook" w:hAnsi="Century Schoolbook"/>
          <w:sz w:val="27"/>
          <w:szCs w:val="27"/>
        </w:rPr>
        <w:t>argued the conviction was admissible not as impeachment but on a theory “likened to 1108 or 1101 conduct, which is relevant to show the possibility of another person committing the crime .</w:t>
      </w:r>
      <w:r w:rsidRPr="009252C3" w:rsidR="007A2A7B">
        <w:rPr>
          <w:rFonts w:ascii="Century Schoolbook" w:hAnsi="Century Schoolbook"/>
          <w:sz w:val="27"/>
          <w:szCs w:val="27"/>
        </w:rPr>
        <w:t> </w:t>
      </w:r>
      <w:r w:rsidRPr="009252C3">
        <w:rPr>
          <w:rFonts w:ascii="Century Schoolbook" w:hAnsi="Century Schoolbook"/>
          <w:sz w:val="27"/>
          <w:szCs w:val="27"/>
        </w:rPr>
        <w:t>.</w:t>
      </w:r>
      <w:r w:rsidRPr="009252C3" w:rsidR="007A2A7B">
        <w:rPr>
          <w:rFonts w:ascii="Century Schoolbook" w:hAnsi="Century Schoolbook"/>
          <w:sz w:val="27"/>
          <w:szCs w:val="27"/>
        </w:rPr>
        <w:t> </w:t>
      </w:r>
      <w:r w:rsidRPr="009252C3">
        <w:rPr>
          <w:rFonts w:ascii="Century Schoolbook" w:hAnsi="Century Schoolbook"/>
          <w:sz w:val="27"/>
          <w:szCs w:val="27"/>
        </w:rPr>
        <w:t>.</w:t>
      </w:r>
      <w:r w:rsidRPr="009252C3" w:rsidR="007A2A7B">
        <w:rPr>
          <w:rFonts w:ascii="Century Schoolbook" w:hAnsi="Century Schoolbook"/>
          <w:sz w:val="27"/>
          <w:szCs w:val="27"/>
        </w:rPr>
        <w:t> </w:t>
      </w:r>
      <w:r w:rsidRPr="009252C3">
        <w:rPr>
          <w:rFonts w:ascii="Century Schoolbook" w:hAnsi="Century Schoolbook"/>
          <w:sz w:val="27"/>
          <w:szCs w:val="27"/>
        </w:rPr>
        <w:t>.”</w:t>
      </w:r>
      <w:r w:rsidRPr="009252C3" w:rsidR="00B57E94">
        <w:rPr>
          <w:rFonts w:ascii="Century Schoolbook" w:hAnsi="Century Schoolbook"/>
          <w:sz w:val="27"/>
          <w:szCs w:val="27"/>
        </w:rPr>
        <w:t xml:space="preserve">  The trial court adhered to its exclusion ruling, explaining that Evidence Code section 1108 applied only to a criminal defendant and that the lack of demonstrated similarity between Lem</w:t>
      </w:r>
      <w:r w:rsidRPr="009252C3" w:rsidR="003341A0">
        <w:rPr>
          <w:rFonts w:ascii="Century Schoolbook" w:hAnsi="Century Schoolbook"/>
          <w:sz w:val="27"/>
          <w:szCs w:val="27"/>
        </w:rPr>
        <w:t>m</w:t>
      </w:r>
      <w:r w:rsidRPr="009252C3" w:rsidR="00B57E94">
        <w:rPr>
          <w:rFonts w:ascii="Century Schoolbook" w:hAnsi="Century Schoolbook"/>
          <w:sz w:val="27"/>
          <w:szCs w:val="27"/>
        </w:rPr>
        <w:t>ons’s past crime and the assault and murder of Michael precluded admission under Evidence Code section 1101, subdivision (b), to prove some fact in issue other than criminal disposition.</w:t>
      </w:r>
    </w:p>
    <w:p w:rsidR="00B46E1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trial court’s ruling </w:t>
      </w:r>
      <w:r w:rsidRPr="009252C3" w:rsidR="006068E8">
        <w:rPr>
          <w:rFonts w:ascii="Century Schoolbook" w:hAnsi="Century Schoolbook"/>
          <w:sz w:val="27"/>
          <w:szCs w:val="27"/>
        </w:rPr>
        <w:t>of</w:t>
      </w:r>
      <w:r w:rsidRPr="009252C3">
        <w:rPr>
          <w:rFonts w:ascii="Century Schoolbook" w:hAnsi="Century Schoolbook"/>
          <w:sz w:val="27"/>
          <w:szCs w:val="27"/>
        </w:rPr>
        <w:t xml:space="preserve"> </w:t>
      </w:r>
      <w:r w:rsidRPr="009252C3" w:rsidR="006068E8">
        <w:rPr>
          <w:rFonts w:ascii="Century Schoolbook" w:hAnsi="Century Schoolbook"/>
          <w:sz w:val="27"/>
          <w:szCs w:val="27"/>
        </w:rPr>
        <w:t>in</w:t>
      </w:r>
      <w:r w:rsidRPr="009252C3">
        <w:rPr>
          <w:rFonts w:ascii="Century Schoolbook" w:hAnsi="Century Schoolbook"/>
          <w:sz w:val="27"/>
          <w:szCs w:val="27"/>
        </w:rPr>
        <w:t xml:space="preserve">admissibility </w:t>
      </w:r>
      <w:r w:rsidRPr="009252C3" w:rsidR="002F325D">
        <w:rPr>
          <w:rFonts w:ascii="Century Schoolbook" w:hAnsi="Century Schoolbook"/>
          <w:sz w:val="27"/>
          <w:szCs w:val="27"/>
        </w:rPr>
        <w:t xml:space="preserve">was correct </w:t>
      </w:r>
      <w:r w:rsidRPr="009252C3">
        <w:rPr>
          <w:rFonts w:ascii="Century Schoolbook" w:hAnsi="Century Schoolbook"/>
          <w:sz w:val="27"/>
          <w:szCs w:val="27"/>
        </w:rPr>
        <w:t xml:space="preserve">under the Evidence Code.  </w:t>
      </w:r>
      <w:r w:rsidRPr="009252C3" w:rsidR="007C016C">
        <w:rPr>
          <w:rFonts w:ascii="Century Schoolbook" w:hAnsi="Century Schoolbook"/>
          <w:sz w:val="27"/>
          <w:szCs w:val="27"/>
        </w:rPr>
        <w:t xml:space="preserve">By its terms, </w:t>
      </w:r>
      <w:r w:rsidRPr="009252C3">
        <w:rPr>
          <w:rFonts w:ascii="Century Schoolbook" w:hAnsi="Century Schoolbook"/>
          <w:sz w:val="27"/>
          <w:szCs w:val="27"/>
        </w:rPr>
        <w:t>Evidence Code section 1108 applies only to a criminal defendant’s prior sexual offenses</w:t>
      </w:r>
      <w:r w:rsidRPr="009252C3" w:rsidR="007C016C">
        <w:rPr>
          <w:rFonts w:ascii="Century Schoolbook" w:hAnsi="Century Schoolbook"/>
          <w:sz w:val="27"/>
          <w:szCs w:val="27"/>
        </w:rPr>
        <w:t>.  (</w:t>
      </w:r>
      <w:r w:rsidRPr="009252C3" w:rsidR="0059668A">
        <w:rPr>
          <w:rFonts w:ascii="Century Schoolbook" w:hAnsi="Century Schoolbook"/>
          <w:i/>
          <w:sz w:val="27"/>
          <w:szCs w:val="27"/>
        </w:rPr>
        <w:t>Id.</w:t>
      </w:r>
      <w:r w:rsidRPr="009252C3" w:rsidR="007C016C">
        <w:rPr>
          <w:rFonts w:ascii="Century Schoolbook" w:hAnsi="Century Schoolbook"/>
          <w:sz w:val="27"/>
          <w:szCs w:val="27"/>
        </w:rPr>
        <w:t>, §</w:t>
      </w:r>
      <w:r w:rsidRPr="009252C3" w:rsidR="00780C64">
        <w:rPr>
          <w:rFonts w:ascii="Century Schoolbook" w:hAnsi="Century Schoolbook"/>
          <w:sz w:val="27"/>
          <w:szCs w:val="27"/>
        </w:rPr>
        <w:t> </w:t>
      </w:r>
      <w:r w:rsidRPr="009252C3" w:rsidR="007C016C">
        <w:rPr>
          <w:rFonts w:ascii="Century Schoolbook" w:hAnsi="Century Schoolbook"/>
          <w:sz w:val="27"/>
          <w:szCs w:val="27"/>
        </w:rPr>
        <w:t xml:space="preserve">1108, subd. (a) [“In a criminal action in which the defendant is accused of a sexual offense, </w:t>
      </w:r>
      <w:r w:rsidRPr="009252C3" w:rsidR="004726D6">
        <w:rPr>
          <w:rFonts w:ascii="Century Schoolbook" w:hAnsi="Century Schoolbook"/>
          <w:sz w:val="27"/>
          <w:szCs w:val="27"/>
        </w:rPr>
        <w:t>evidence of the defendant’s commission of another sexual offense or offenses is not made inadmissible by Section 1101 .</w:t>
      </w:r>
      <w:r w:rsidRPr="009252C3" w:rsidR="00780C64">
        <w:rPr>
          <w:rFonts w:ascii="Century Schoolbook" w:hAnsi="Century Schoolbook"/>
          <w:sz w:val="27"/>
          <w:szCs w:val="27"/>
        </w:rPr>
        <w:t> </w:t>
      </w:r>
      <w:r w:rsidRPr="009252C3" w:rsidR="004726D6">
        <w:rPr>
          <w:rFonts w:ascii="Century Schoolbook" w:hAnsi="Century Schoolbook"/>
          <w:sz w:val="27"/>
          <w:szCs w:val="27"/>
        </w:rPr>
        <w:t>.</w:t>
      </w:r>
      <w:r w:rsidRPr="009252C3" w:rsidR="00780C64">
        <w:rPr>
          <w:rFonts w:ascii="Century Schoolbook" w:hAnsi="Century Schoolbook"/>
          <w:sz w:val="27"/>
          <w:szCs w:val="27"/>
        </w:rPr>
        <w:t> </w:t>
      </w:r>
      <w:r w:rsidRPr="009252C3" w:rsidR="004726D6">
        <w:rPr>
          <w:rFonts w:ascii="Century Schoolbook" w:hAnsi="Century Schoolbook"/>
          <w:sz w:val="27"/>
          <w:szCs w:val="27"/>
        </w:rPr>
        <w:t>.</w:t>
      </w:r>
      <w:r w:rsidRPr="009252C3" w:rsidR="00780C64">
        <w:rPr>
          <w:rFonts w:ascii="Century Schoolbook" w:hAnsi="Century Schoolbook"/>
          <w:sz w:val="27"/>
          <w:szCs w:val="27"/>
        </w:rPr>
        <w:t> </w:t>
      </w:r>
      <w:r w:rsidRPr="009252C3" w:rsidR="004726D6">
        <w:rPr>
          <w:rFonts w:ascii="Century Schoolbook" w:hAnsi="Century Schoolbook"/>
          <w:sz w:val="27"/>
          <w:szCs w:val="27"/>
        </w:rPr>
        <w:t>.”].)  A</w:t>
      </w:r>
      <w:r w:rsidRPr="009252C3">
        <w:rPr>
          <w:rFonts w:ascii="Century Schoolbook" w:hAnsi="Century Schoolbook"/>
          <w:sz w:val="27"/>
          <w:szCs w:val="27"/>
        </w:rPr>
        <w:t>s Lem</w:t>
      </w:r>
      <w:r w:rsidRPr="009252C3" w:rsidR="00BD46A7">
        <w:rPr>
          <w:rFonts w:ascii="Century Schoolbook" w:hAnsi="Century Schoolbook"/>
          <w:sz w:val="27"/>
          <w:szCs w:val="27"/>
        </w:rPr>
        <w:t>m</w:t>
      </w:r>
      <w:r w:rsidRPr="009252C3">
        <w:rPr>
          <w:rFonts w:ascii="Century Schoolbook" w:hAnsi="Century Schoolbook"/>
          <w:sz w:val="27"/>
          <w:szCs w:val="27"/>
        </w:rPr>
        <w:t xml:space="preserve">ons was not on trial, his conviction could not be admitted to show a propensity to commit sexual offenses.  </w:t>
      </w:r>
      <w:r w:rsidRPr="009252C3" w:rsidR="008E0893">
        <w:rPr>
          <w:rFonts w:ascii="Century Schoolbook" w:hAnsi="Century Schoolbook"/>
          <w:sz w:val="27"/>
          <w:szCs w:val="27"/>
        </w:rPr>
        <w:t xml:space="preserve">Evidence Code section 1101, subdivision (b), </w:t>
      </w:r>
      <w:r w:rsidRPr="009252C3" w:rsidR="00682A80">
        <w:rPr>
          <w:rFonts w:ascii="Century Schoolbook" w:hAnsi="Century Schoolbook"/>
          <w:sz w:val="27"/>
          <w:szCs w:val="27"/>
        </w:rPr>
        <w:t>does not contain the same textual limitation</w:t>
      </w:r>
      <w:r w:rsidRPr="009252C3" w:rsidR="008E0893">
        <w:rPr>
          <w:rFonts w:ascii="Century Schoolbook" w:hAnsi="Century Schoolbook"/>
          <w:sz w:val="27"/>
          <w:szCs w:val="27"/>
        </w:rPr>
        <w:t xml:space="preserve">—it permits the admission of “evidence that </w:t>
      </w:r>
      <w:r w:rsidRPr="009252C3" w:rsidR="008E0893">
        <w:rPr>
          <w:rFonts w:ascii="Century Schoolbook" w:hAnsi="Century Schoolbook"/>
          <w:i/>
          <w:sz w:val="27"/>
          <w:szCs w:val="27"/>
        </w:rPr>
        <w:t>a person</w:t>
      </w:r>
      <w:r w:rsidRPr="009252C3" w:rsidR="008E0893">
        <w:rPr>
          <w:rFonts w:ascii="Century Schoolbook" w:hAnsi="Century Schoolbook"/>
          <w:sz w:val="27"/>
          <w:szCs w:val="27"/>
        </w:rPr>
        <w:t xml:space="preserve"> committed a crime” for certain purposes, including to show the person’s intent or the identity of a </w:t>
      </w:r>
      <w:r w:rsidRPr="009252C3" w:rsidR="00474916">
        <w:rPr>
          <w:rFonts w:ascii="Century Schoolbook" w:hAnsi="Century Schoolbook"/>
          <w:sz w:val="27"/>
          <w:szCs w:val="27"/>
        </w:rPr>
        <w:t xml:space="preserve">person responsible for a crime </w:t>
      </w:r>
      <w:r w:rsidRPr="009252C3" w:rsidR="008E0893">
        <w:rPr>
          <w:rFonts w:ascii="Century Schoolbook" w:hAnsi="Century Schoolbook"/>
          <w:sz w:val="27"/>
          <w:szCs w:val="27"/>
        </w:rPr>
        <w:t xml:space="preserve">(italics added)—but Lemmons’s prior conviction was not admissible for </w:t>
      </w:r>
      <w:r w:rsidRPr="009252C3" w:rsidR="00C81F80">
        <w:rPr>
          <w:rFonts w:ascii="Century Schoolbook" w:hAnsi="Century Schoolbook"/>
          <w:sz w:val="27"/>
          <w:szCs w:val="27"/>
        </w:rPr>
        <w:t xml:space="preserve">these </w:t>
      </w:r>
      <w:r w:rsidRPr="009252C3" w:rsidR="008E0893">
        <w:rPr>
          <w:rFonts w:ascii="Century Schoolbook" w:hAnsi="Century Schoolbook"/>
          <w:sz w:val="27"/>
          <w:szCs w:val="27"/>
        </w:rPr>
        <w:t>statutorily enumerated purposes.</w:t>
      </w:r>
      <w:r w:rsidRPr="009252C3" w:rsidR="005761D2">
        <w:rPr>
          <w:rFonts w:ascii="Century Schoolbook" w:hAnsi="Century Schoolbook"/>
          <w:sz w:val="27"/>
          <w:szCs w:val="27"/>
        </w:rPr>
        <w:t xml:space="preserve">  </w:t>
      </w:r>
      <w:r w:rsidRPr="009252C3" w:rsidR="00930380">
        <w:rPr>
          <w:rFonts w:ascii="Century Schoolbook" w:hAnsi="Century Schoolbook"/>
          <w:sz w:val="27"/>
          <w:szCs w:val="27"/>
        </w:rPr>
        <w:t>E</w:t>
      </w:r>
      <w:r w:rsidRPr="009252C3">
        <w:rPr>
          <w:rFonts w:ascii="Century Schoolbook" w:hAnsi="Century Schoolbook"/>
          <w:sz w:val="27"/>
          <w:szCs w:val="27"/>
        </w:rPr>
        <w:t>ven if Lem</w:t>
      </w:r>
      <w:r w:rsidRPr="009252C3" w:rsidR="00BD46A7">
        <w:rPr>
          <w:rFonts w:ascii="Century Schoolbook" w:hAnsi="Century Schoolbook"/>
          <w:sz w:val="27"/>
          <w:szCs w:val="27"/>
        </w:rPr>
        <w:t>m</w:t>
      </w:r>
      <w:r w:rsidRPr="009252C3">
        <w:rPr>
          <w:rFonts w:ascii="Century Schoolbook" w:hAnsi="Century Schoolbook"/>
          <w:sz w:val="27"/>
          <w:szCs w:val="27"/>
        </w:rPr>
        <w:t xml:space="preserve">ons’s past act with his daughter </w:t>
      </w:r>
      <w:r w:rsidRPr="009252C3" w:rsidR="008C5D7B">
        <w:rPr>
          <w:rFonts w:ascii="Century Schoolbook" w:hAnsi="Century Schoolbook"/>
          <w:sz w:val="27"/>
          <w:szCs w:val="27"/>
        </w:rPr>
        <w:t xml:space="preserve">might be thought </w:t>
      </w:r>
      <w:r w:rsidRPr="009252C3">
        <w:rPr>
          <w:rFonts w:ascii="Century Schoolbook" w:hAnsi="Century Schoolbook"/>
          <w:sz w:val="27"/>
          <w:szCs w:val="27"/>
        </w:rPr>
        <w:t xml:space="preserve">sufficiently similar to the attack on Michael </w:t>
      </w:r>
      <w:r w:rsidRPr="009252C3" w:rsidR="006068E8">
        <w:rPr>
          <w:rFonts w:ascii="Century Schoolbook" w:hAnsi="Century Schoolbook"/>
          <w:sz w:val="27"/>
          <w:szCs w:val="27"/>
        </w:rPr>
        <w:t>that it would have been</w:t>
      </w:r>
      <w:r w:rsidRPr="009252C3">
        <w:rPr>
          <w:rFonts w:ascii="Century Schoolbook" w:hAnsi="Century Schoolbook"/>
          <w:sz w:val="27"/>
          <w:szCs w:val="27"/>
        </w:rPr>
        <w:t xml:space="preserve"> relevant </w:t>
      </w:r>
      <w:r w:rsidRPr="009252C3" w:rsidR="00EE3174">
        <w:rPr>
          <w:rFonts w:ascii="Century Schoolbook" w:hAnsi="Century Schoolbook"/>
          <w:sz w:val="27"/>
          <w:szCs w:val="27"/>
        </w:rPr>
        <w:t xml:space="preserve">to </w:t>
      </w:r>
      <w:r w:rsidRPr="009252C3">
        <w:rPr>
          <w:rFonts w:ascii="Century Schoolbook" w:hAnsi="Century Schoolbook"/>
          <w:sz w:val="27"/>
          <w:szCs w:val="27"/>
        </w:rPr>
        <w:t xml:space="preserve">intent (see </w:t>
      </w:r>
      <w:r w:rsidRPr="009252C3">
        <w:rPr>
          <w:rFonts w:ascii="Century Schoolbook" w:hAnsi="Century Schoolbook"/>
          <w:i/>
          <w:sz w:val="27"/>
          <w:szCs w:val="27"/>
        </w:rPr>
        <w:t>Ewoldt</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7 Cal.4th at p.</w:t>
      </w:r>
      <w:r w:rsidRPr="009252C3" w:rsidR="007A2A7B">
        <w:rPr>
          <w:rFonts w:ascii="Century Schoolbook" w:hAnsi="Century Schoolbook"/>
          <w:sz w:val="27"/>
          <w:szCs w:val="27"/>
        </w:rPr>
        <w:t> </w:t>
      </w:r>
      <w:r w:rsidRPr="009252C3">
        <w:rPr>
          <w:rFonts w:ascii="Century Schoolbook" w:hAnsi="Century Schoolbook"/>
          <w:sz w:val="27"/>
          <w:szCs w:val="27"/>
        </w:rPr>
        <w:t>402), it was not admissible on that theory because Lem</w:t>
      </w:r>
      <w:r w:rsidRPr="009252C3" w:rsidR="00BD46A7">
        <w:rPr>
          <w:rFonts w:ascii="Century Schoolbook" w:hAnsi="Century Schoolbook"/>
          <w:sz w:val="27"/>
          <w:szCs w:val="27"/>
        </w:rPr>
        <w:t>m</w:t>
      </w:r>
      <w:r w:rsidRPr="009252C3">
        <w:rPr>
          <w:rFonts w:ascii="Century Schoolbook" w:hAnsi="Century Schoolbook"/>
          <w:sz w:val="27"/>
          <w:szCs w:val="27"/>
        </w:rPr>
        <w:t>ons</w:t>
      </w:r>
      <w:r w:rsidRPr="009252C3" w:rsidR="00C81F80">
        <w:rPr>
          <w:rFonts w:ascii="Century Schoolbook" w:hAnsi="Century Schoolbook"/>
          <w:sz w:val="27"/>
          <w:szCs w:val="27"/>
        </w:rPr>
        <w:t xml:space="preserve"> was not charged with the crimes against Michael Lyons and his </w:t>
      </w:r>
      <w:r w:rsidRPr="009252C3">
        <w:rPr>
          <w:rFonts w:ascii="Century Schoolbook" w:hAnsi="Century Schoolbook"/>
          <w:sz w:val="27"/>
          <w:szCs w:val="27"/>
        </w:rPr>
        <w:t>intent was not at issue</w:t>
      </w:r>
      <w:r w:rsidRPr="009252C3" w:rsidR="006068E8">
        <w:rPr>
          <w:rFonts w:ascii="Century Schoolbook" w:hAnsi="Century Schoolbook"/>
          <w:sz w:val="27"/>
          <w:szCs w:val="27"/>
        </w:rPr>
        <w:t xml:space="preserve"> in th</w:t>
      </w:r>
      <w:r w:rsidRPr="009252C3" w:rsidR="00B50F2C">
        <w:rPr>
          <w:rFonts w:ascii="Century Schoolbook" w:hAnsi="Century Schoolbook"/>
          <w:sz w:val="27"/>
          <w:szCs w:val="27"/>
        </w:rPr>
        <w:t>e</w:t>
      </w:r>
      <w:r w:rsidRPr="009252C3" w:rsidR="006068E8">
        <w:rPr>
          <w:rFonts w:ascii="Century Schoolbook" w:hAnsi="Century Schoolbook"/>
          <w:sz w:val="27"/>
          <w:szCs w:val="27"/>
        </w:rPr>
        <w:t xml:space="preserve"> trial</w:t>
      </w:r>
      <w:r w:rsidRPr="009252C3">
        <w:rPr>
          <w:rFonts w:ascii="Century Schoolbook" w:hAnsi="Century Schoolbook"/>
          <w:sz w:val="27"/>
          <w:szCs w:val="27"/>
        </w:rPr>
        <w:t xml:space="preserve">.  The material issue to which defense counsel argued the conviction was relevant was not </w:t>
      </w:r>
      <w:r w:rsidRPr="009252C3" w:rsidR="007A4957">
        <w:rPr>
          <w:rFonts w:ascii="Century Schoolbook" w:hAnsi="Century Schoolbook"/>
          <w:sz w:val="27"/>
          <w:szCs w:val="27"/>
        </w:rPr>
        <w:t xml:space="preserve">Lemmons’s </w:t>
      </w:r>
      <w:r w:rsidRPr="009252C3">
        <w:rPr>
          <w:rFonts w:ascii="Century Schoolbook" w:hAnsi="Century Schoolbook"/>
          <w:sz w:val="27"/>
          <w:szCs w:val="27"/>
        </w:rPr>
        <w:t xml:space="preserve">intent but </w:t>
      </w:r>
      <w:r w:rsidRPr="009252C3" w:rsidR="00975754">
        <w:rPr>
          <w:rFonts w:ascii="Century Schoolbook" w:hAnsi="Century Schoolbook"/>
          <w:sz w:val="27"/>
          <w:szCs w:val="27"/>
        </w:rPr>
        <w:t xml:space="preserve">the </w:t>
      </w:r>
      <w:r w:rsidRPr="009252C3">
        <w:rPr>
          <w:rFonts w:ascii="Century Schoolbook" w:hAnsi="Century Schoolbook"/>
          <w:sz w:val="27"/>
          <w:szCs w:val="27"/>
        </w:rPr>
        <w:t>identity</w:t>
      </w:r>
      <w:r w:rsidRPr="009252C3" w:rsidR="00975754">
        <w:rPr>
          <w:rFonts w:ascii="Century Schoolbook" w:hAnsi="Century Schoolbook"/>
          <w:sz w:val="27"/>
          <w:szCs w:val="27"/>
        </w:rPr>
        <w:t xml:space="preserve"> of the perpetrator</w:t>
      </w:r>
      <w:r w:rsidRPr="009252C3" w:rsidR="006068E8">
        <w:rPr>
          <w:rFonts w:ascii="Century Schoolbook" w:hAnsi="Century Schoolbook"/>
          <w:sz w:val="27"/>
          <w:szCs w:val="27"/>
        </w:rPr>
        <w:t xml:space="preserve">:  </w:t>
      </w:r>
      <w:r w:rsidRPr="009252C3" w:rsidR="00F80BFD">
        <w:rPr>
          <w:rFonts w:ascii="Century Schoolbook" w:hAnsi="Century Schoolbook"/>
          <w:sz w:val="27"/>
          <w:szCs w:val="27"/>
        </w:rPr>
        <w:t xml:space="preserve">counsel argued </w:t>
      </w:r>
      <w:r w:rsidRPr="009252C3" w:rsidR="006068E8">
        <w:rPr>
          <w:rFonts w:ascii="Century Schoolbook" w:hAnsi="Century Schoolbook"/>
          <w:sz w:val="27"/>
          <w:szCs w:val="27"/>
        </w:rPr>
        <w:t>the conviction would tend to show that Lem</w:t>
      </w:r>
      <w:r w:rsidRPr="009252C3" w:rsidR="00BD46A7">
        <w:rPr>
          <w:rFonts w:ascii="Century Schoolbook" w:hAnsi="Century Schoolbook"/>
          <w:sz w:val="27"/>
          <w:szCs w:val="27"/>
        </w:rPr>
        <w:t>m</w:t>
      </w:r>
      <w:r w:rsidRPr="009252C3" w:rsidR="006068E8">
        <w:rPr>
          <w:rFonts w:ascii="Century Schoolbook" w:hAnsi="Century Schoolbook"/>
          <w:sz w:val="27"/>
          <w:szCs w:val="27"/>
        </w:rPr>
        <w:t xml:space="preserve">ons, rather than defendant, </w:t>
      </w:r>
      <w:r w:rsidRPr="009252C3" w:rsidR="00640732">
        <w:rPr>
          <w:rFonts w:ascii="Century Schoolbook" w:hAnsi="Century Schoolbook"/>
          <w:sz w:val="27"/>
          <w:szCs w:val="27"/>
        </w:rPr>
        <w:t xml:space="preserve">sexually </w:t>
      </w:r>
      <w:r w:rsidRPr="009252C3" w:rsidR="006068E8">
        <w:rPr>
          <w:rFonts w:ascii="Century Schoolbook" w:hAnsi="Century Schoolbook"/>
          <w:sz w:val="27"/>
          <w:szCs w:val="27"/>
        </w:rPr>
        <w:t>assaulted and killed Michael.  But “[f]</w:t>
      </w:r>
      <w:r w:rsidRPr="009252C3">
        <w:rPr>
          <w:rFonts w:ascii="Century Schoolbook" w:hAnsi="Century Schoolbook"/>
          <w:sz w:val="27"/>
          <w:szCs w:val="27"/>
        </w:rPr>
        <w:t>or identity to be established, the uncharged misconduct and the charged offense must share common features that are sufficiently distinctive so as to support the inference that the same person committed both acts.</w:t>
      </w:r>
      <w:r w:rsidRPr="009252C3" w:rsidR="006068E8">
        <w:rPr>
          <w:rFonts w:ascii="Century Schoolbook" w:hAnsi="Century Schoolbook"/>
          <w:sz w:val="27"/>
          <w:szCs w:val="27"/>
        </w:rPr>
        <w:t>”  (</w:t>
      </w:r>
      <w:r w:rsidRPr="009252C3" w:rsidR="006068E8">
        <w:rPr>
          <w:rFonts w:ascii="Century Schoolbook" w:hAnsi="Century Schoolbook"/>
          <w:i/>
          <w:sz w:val="27"/>
          <w:szCs w:val="27"/>
        </w:rPr>
        <w:t>Id.</w:t>
      </w:r>
      <w:r w:rsidRPr="009252C3" w:rsidR="006068E8">
        <w:rPr>
          <w:rFonts w:ascii="Century Schoolbook" w:hAnsi="Century Schoolbook"/>
          <w:sz w:val="27"/>
          <w:szCs w:val="27"/>
        </w:rPr>
        <w:t xml:space="preserve"> at p.</w:t>
      </w:r>
      <w:r w:rsidRPr="009252C3" w:rsidR="007A2A7B">
        <w:rPr>
          <w:rFonts w:ascii="Century Schoolbook" w:hAnsi="Century Schoolbook"/>
          <w:sz w:val="27"/>
          <w:szCs w:val="27"/>
        </w:rPr>
        <w:t> </w:t>
      </w:r>
      <w:r w:rsidRPr="009252C3">
        <w:rPr>
          <w:rFonts w:ascii="Century Schoolbook" w:hAnsi="Century Schoolbook"/>
          <w:sz w:val="27"/>
          <w:szCs w:val="27"/>
        </w:rPr>
        <w:t>403</w:t>
      </w:r>
      <w:r w:rsidRPr="009252C3" w:rsidR="006068E8">
        <w:rPr>
          <w:rFonts w:ascii="Century Schoolbook" w:hAnsi="Century Schoolbook"/>
          <w:sz w:val="27"/>
          <w:szCs w:val="27"/>
        </w:rPr>
        <w:t xml:space="preserve">.)  Here there was virtually no resemblance between the crimes, much less the high degree of shared features needed for </w:t>
      </w:r>
      <w:r w:rsidRPr="009252C3" w:rsidR="00E45353">
        <w:rPr>
          <w:rFonts w:ascii="Century Schoolbook" w:hAnsi="Century Schoolbook"/>
          <w:sz w:val="27"/>
          <w:szCs w:val="27"/>
        </w:rPr>
        <w:t>prior crimes to be admissible</w:t>
      </w:r>
      <w:r w:rsidRPr="009252C3" w:rsidR="006068E8">
        <w:rPr>
          <w:rFonts w:ascii="Century Schoolbook" w:hAnsi="Century Schoolbook"/>
          <w:sz w:val="27"/>
          <w:szCs w:val="27"/>
        </w:rPr>
        <w:t xml:space="preserve"> on identity.</w:t>
      </w:r>
      <w:r w:rsidRPr="009252C3" w:rsidR="00C7666E">
        <w:rPr>
          <w:rFonts w:ascii="Century Schoolbook" w:hAnsi="Century Schoolbook"/>
          <w:sz w:val="27"/>
          <w:szCs w:val="27"/>
        </w:rPr>
        <w:t xml:space="preserve">  </w:t>
      </w:r>
    </w:p>
    <w:p w:rsidR="00E4535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exclusion of the conviction </w:t>
      </w:r>
      <w:r w:rsidRPr="009252C3" w:rsidR="0079781A">
        <w:rPr>
          <w:rFonts w:ascii="Century Schoolbook" w:hAnsi="Century Schoolbook"/>
          <w:sz w:val="27"/>
          <w:szCs w:val="27"/>
        </w:rPr>
        <w:t xml:space="preserve">showed judicial bias amounting to a </w:t>
      </w:r>
      <w:r w:rsidRPr="009252C3">
        <w:rPr>
          <w:rFonts w:ascii="Century Schoolbook" w:hAnsi="Century Schoolbook"/>
          <w:sz w:val="27"/>
          <w:szCs w:val="27"/>
        </w:rPr>
        <w:t xml:space="preserve"> </w:t>
      </w:r>
      <w:r w:rsidRPr="009252C3" w:rsidR="00B1517D">
        <w:rPr>
          <w:rFonts w:ascii="Century Schoolbook" w:hAnsi="Century Schoolbook"/>
          <w:sz w:val="27"/>
          <w:szCs w:val="27"/>
        </w:rPr>
        <w:t xml:space="preserve">due </w:t>
      </w:r>
      <w:r w:rsidRPr="009252C3" w:rsidR="0079781A">
        <w:rPr>
          <w:rFonts w:ascii="Century Schoolbook" w:hAnsi="Century Schoolbook"/>
          <w:sz w:val="27"/>
          <w:szCs w:val="27"/>
        </w:rPr>
        <w:t>process violation</w:t>
      </w:r>
      <w:r w:rsidR="00BF210A">
        <w:rPr>
          <w:rFonts w:ascii="Century Schoolbook" w:hAnsi="Century Schoolbook"/>
          <w:sz w:val="27"/>
          <w:szCs w:val="27"/>
        </w:rPr>
        <w:t xml:space="preserve">.  He argues it </w:t>
      </w:r>
      <w:r w:rsidRPr="009252C3">
        <w:rPr>
          <w:rFonts w:ascii="Century Schoolbook" w:hAnsi="Century Schoolbook"/>
          <w:sz w:val="27"/>
          <w:szCs w:val="27"/>
        </w:rPr>
        <w:t xml:space="preserve">was unconstitutional to admit his own convictions while excluding that of a </w:t>
      </w:r>
      <w:r w:rsidRPr="009252C3" w:rsidR="00805A44">
        <w:rPr>
          <w:rFonts w:ascii="Century Schoolbook" w:hAnsi="Century Schoolbook"/>
          <w:sz w:val="27"/>
          <w:szCs w:val="27"/>
        </w:rPr>
        <w:t xml:space="preserve">third party </w:t>
      </w:r>
      <w:r w:rsidRPr="009252C3">
        <w:rPr>
          <w:rFonts w:ascii="Century Schoolbook" w:hAnsi="Century Schoolbook"/>
          <w:sz w:val="27"/>
          <w:szCs w:val="27"/>
        </w:rPr>
        <w:t>on whom he wished to cast suspicion for the crimes:  “If propensity evidence was admissible against appellant, it violated due process to exclude the same with respect to Mr.</w:t>
      </w:r>
      <w:r w:rsidRPr="009252C3" w:rsidR="0059668A">
        <w:rPr>
          <w:rFonts w:ascii="Century Schoolbook" w:hAnsi="Century Schoolbook"/>
          <w:sz w:val="27"/>
          <w:szCs w:val="27"/>
        </w:rPr>
        <w:t> </w:t>
      </w:r>
      <w:r w:rsidRPr="009252C3">
        <w:rPr>
          <w:rFonts w:ascii="Century Schoolbook" w:hAnsi="Century Schoolbook"/>
          <w:sz w:val="27"/>
          <w:szCs w:val="27"/>
        </w:rPr>
        <w:t>Lem</w:t>
      </w:r>
      <w:r w:rsidRPr="009252C3" w:rsidR="00BD46A7">
        <w:rPr>
          <w:rFonts w:ascii="Century Schoolbook" w:hAnsi="Century Schoolbook"/>
          <w:sz w:val="27"/>
          <w:szCs w:val="27"/>
        </w:rPr>
        <w:t>m</w:t>
      </w:r>
      <w:r w:rsidRPr="009252C3">
        <w:rPr>
          <w:rFonts w:ascii="Century Schoolbook" w:hAnsi="Century Schoolbook"/>
          <w:sz w:val="27"/>
          <w:szCs w:val="27"/>
        </w:rPr>
        <w:t>ons.”</w:t>
      </w:r>
    </w:p>
    <w:p w:rsidR="005A6F97"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failed to establish the foundation for his claim of </w:t>
      </w:r>
      <w:r w:rsidRPr="009252C3" w:rsidR="00524DF7">
        <w:rPr>
          <w:rFonts w:ascii="Century Schoolbook" w:hAnsi="Century Schoolbook"/>
          <w:sz w:val="27"/>
          <w:szCs w:val="27"/>
        </w:rPr>
        <w:t xml:space="preserve">constitutionally </w:t>
      </w:r>
      <w:r w:rsidRPr="009252C3">
        <w:rPr>
          <w:rFonts w:ascii="Century Schoolbook" w:hAnsi="Century Schoolbook"/>
          <w:sz w:val="27"/>
          <w:szCs w:val="27"/>
        </w:rPr>
        <w:t>uneq</w:t>
      </w:r>
      <w:r w:rsidRPr="009252C3" w:rsidR="00524DF7">
        <w:rPr>
          <w:rFonts w:ascii="Century Schoolbook" w:hAnsi="Century Schoolbook"/>
          <w:sz w:val="27"/>
          <w:szCs w:val="27"/>
        </w:rPr>
        <w:t>ual</w:t>
      </w:r>
      <w:r w:rsidRPr="009252C3">
        <w:rPr>
          <w:rFonts w:ascii="Century Schoolbook" w:hAnsi="Century Schoolbook"/>
          <w:sz w:val="27"/>
          <w:szCs w:val="27"/>
        </w:rPr>
        <w:t xml:space="preserve"> treatment.  At trial, defendant did not argue for admission of Lemmons’s conviction on the constitutional ground he now asserts.</w:t>
      </w:r>
      <w:r>
        <w:rPr>
          <w:rStyle w:val="FootnoteReference"/>
          <w:rFonts w:ascii="Century Schoolbook" w:hAnsi="Century Schoolbook"/>
          <w:sz w:val="27"/>
          <w:szCs w:val="27"/>
          <w:vertAlign w:val="superscript"/>
        </w:rPr>
        <w:footnoteReference w:id="10"/>
      </w:r>
      <w:r w:rsidRPr="009252C3">
        <w:rPr>
          <w:rFonts w:ascii="Century Schoolbook" w:hAnsi="Century Schoolbook"/>
          <w:sz w:val="27"/>
          <w:szCs w:val="27"/>
        </w:rPr>
        <w:t xml:space="preserve">  The record therefore contains neither the full factual basis for a balancing of prejudice and probativeness under Evidence Code section 352, nor any indication that the trial court conducted such a weighing.  Nor is it clear from the limited facts available that the consumption of time and danger of confusing the issues involved in litigating the details of Lemmons’s prior offense would have been sufficiently counterbalanced by its probative value in showing his propensity to commit offenses like that committed against Michael.  But a</w:t>
      </w:r>
      <w:r w:rsidRPr="009252C3" w:rsidR="0055556F">
        <w:rPr>
          <w:rFonts w:ascii="Century Schoolbook" w:hAnsi="Century Schoolbook"/>
          <w:sz w:val="27"/>
          <w:szCs w:val="27"/>
        </w:rPr>
        <w:t>s discussed earlier (</w:t>
      </w:r>
      <w:r w:rsidRPr="009252C3" w:rsidR="0055556F">
        <w:rPr>
          <w:rFonts w:ascii="Century Schoolbook" w:hAnsi="Century Schoolbook"/>
          <w:i/>
          <w:sz w:val="27"/>
          <w:szCs w:val="27"/>
        </w:rPr>
        <w:t>ante</w:t>
      </w:r>
      <w:r w:rsidRPr="009252C3" w:rsidR="0055556F">
        <w:rPr>
          <w:rFonts w:ascii="Century Schoolbook" w:hAnsi="Century Schoolbook"/>
          <w:sz w:val="27"/>
          <w:szCs w:val="27"/>
        </w:rPr>
        <w:t>, p</w:t>
      </w:r>
      <w:r w:rsidRPr="009252C3" w:rsidR="00780C64">
        <w:rPr>
          <w:rFonts w:ascii="Century Schoolbook" w:hAnsi="Century Schoolbook"/>
          <w:sz w:val="27"/>
          <w:szCs w:val="27"/>
        </w:rPr>
        <w:t>t. </w:t>
      </w:r>
      <w:r w:rsidRPr="009252C3" w:rsidR="0055556F">
        <w:rPr>
          <w:rFonts w:ascii="Century Schoolbook" w:hAnsi="Century Schoolbook"/>
          <w:sz w:val="27"/>
          <w:szCs w:val="27"/>
        </w:rPr>
        <w:t>IV</w:t>
      </w:r>
      <w:r w:rsidR="00466A12">
        <w:rPr>
          <w:rFonts w:ascii="Century Schoolbook" w:hAnsi="Century Schoolbook"/>
          <w:sz w:val="27"/>
          <w:szCs w:val="27"/>
        </w:rPr>
        <w:t>.</w:t>
      </w:r>
      <w:r w:rsidRPr="009252C3" w:rsidR="0055556F">
        <w:rPr>
          <w:rFonts w:ascii="Century Schoolbook" w:hAnsi="Century Schoolbook"/>
          <w:sz w:val="27"/>
          <w:szCs w:val="27"/>
        </w:rPr>
        <w:t xml:space="preserve">), Evidence Code section 1108 allows a defendant’s prior sexual offenses to be introduced </w:t>
      </w:r>
      <w:r w:rsidRPr="009252C3" w:rsidR="00BF66EF">
        <w:rPr>
          <w:rFonts w:ascii="Century Schoolbook" w:hAnsi="Century Schoolbook"/>
          <w:sz w:val="27"/>
          <w:szCs w:val="27"/>
        </w:rPr>
        <w:t xml:space="preserve">as </w:t>
      </w:r>
      <w:r w:rsidRPr="009252C3" w:rsidR="0055556F">
        <w:rPr>
          <w:rFonts w:ascii="Century Schoolbook" w:hAnsi="Century Schoolbook"/>
          <w:sz w:val="27"/>
          <w:szCs w:val="27"/>
        </w:rPr>
        <w:t xml:space="preserve">propensity </w:t>
      </w:r>
      <w:r w:rsidRPr="009252C3" w:rsidR="00BF66EF">
        <w:rPr>
          <w:rFonts w:ascii="Century Schoolbook" w:hAnsi="Century Schoolbook"/>
          <w:sz w:val="27"/>
          <w:szCs w:val="27"/>
        </w:rPr>
        <w:t xml:space="preserve">evidence </w:t>
      </w:r>
      <w:r w:rsidRPr="009252C3" w:rsidR="0055556F">
        <w:rPr>
          <w:rFonts w:ascii="Century Schoolbook" w:hAnsi="Century Schoolbook"/>
          <w:sz w:val="27"/>
          <w:szCs w:val="27"/>
        </w:rPr>
        <w:t>only if the evidence is not unduly prejudicial in comparison to its probative value.</w:t>
      </w:r>
      <w:r w:rsidRPr="009252C3" w:rsidR="003341A0">
        <w:rPr>
          <w:rFonts w:ascii="Century Schoolbook" w:hAnsi="Century Schoolbook"/>
          <w:sz w:val="27"/>
          <w:szCs w:val="27"/>
        </w:rPr>
        <w:t xml:space="preserve"> </w:t>
      </w:r>
      <w:r w:rsidRPr="009252C3" w:rsidR="004A394F">
        <w:rPr>
          <w:rFonts w:ascii="Century Schoolbook" w:hAnsi="Century Schoolbook"/>
          <w:sz w:val="27"/>
          <w:szCs w:val="27"/>
        </w:rPr>
        <w:t xml:space="preserve"> Defendant has thus failed to establish that Lem</w:t>
      </w:r>
      <w:r w:rsidRPr="009252C3" w:rsidR="00BD46A7">
        <w:rPr>
          <w:rFonts w:ascii="Century Schoolbook" w:hAnsi="Century Schoolbook"/>
          <w:sz w:val="27"/>
          <w:szCs w:val="27"/>
        </w:rPr>
        <w:t>m</w:t>
      </w:r>
      <w:r w:rsidRPr="009252C3" w:rsidR="004A394F">
        <w:rPr>
          <w:rFonts w:ascii="Century Schoolbook" w:hAnsi="Century Schoolbook"/>
          <w:sz w:val="27"/>
          <w:szCs w:val="27"/>
        </w:rPr>
        <w:t>ons’s conviction would be admissible under Evidence Code section 1108 even if that statute were extended to nondefendants.</w:t>
      </w:r>
      <w:r w:rsidRPr="009252C3" w:rsidR="009742B2">
        <w:rPr>
          <w:rFonts w:ascii="Century Schoolbook" w:hAnsi="Century Schoolbook"/>
          <w:sz w:val="27"/>
          <w:szCs w:val="27"/>
        </w:rPr>
        <w:t xml:space="preserve">  His claim of unconstitutional unfairness in exclusion of the conviction therefore fails.  (See </w:t>
      </w:r>
      <w:r w:rsidRPr="009252C3" w:rsidR="009742B2">
        <w:rPr>
          <w:rFonts w:ascii="Century Schoolbook" w:hAnsi="Century Schoolbook"/>
          <w:i/>
          <w:iCs/>
          <w:sz w:val="27"/>
          <w:szCs w:val="27"/>
        </w:rPr>
        <w:t xml:space="preserve">People </w:t>
      </w:r>
      <w:r w:rsidRPr="009252C3" w:rsidR="009742B2">
        <w:rPr>
          <w:rFonts w:ascii="Century Schoolbook" w:hAnsi="Century Schoolbook"/>
          <w:i/>
          <w:sz w:val="27"/>
          <w:szCs w:val="27"/>
        </w:rPr>
        <w:t>v</w:t>
      </w:r>
      <w:r w:rsidRPr="009252C3" w:rsidR="009742B2">
        <w:rPr>
          <w:rFonts w:ascii="Century Schoolbook" w:hAnsi="Century Schoolbook"/>
          <w:sz w:val="27"/>
          <w:szCs w:val="27"/>
        </w:rPr>
        <w:t xml:space="preserve">. </w:t>
      </w:r>
      <w:r w:rsidRPr="009252C3" w:rsidR="009742B2">
        <w:rPr>
          <w:rFonts w:ascii="Century Schoolbook" w:hAnsi="Century Schoolbook"/>
          <w:i/>
          <w:iCs/>
          <w:sz w:val="27"/>
          <w:szCs w:val="27"/>
        </w:rPr>
        <w:t xml:space="preserve">Prince </w:t>
      </w:r>
      <w:r w:rsidRPr="009252C3" w:rsidR="009742B2">
        <w:rPr>
          <w:rFonts w:ascii="Century Schoolbook" w:hAnsi="Century Schoolbook"/>
          <w:sz w:val="27"/>
          <w:szCs w:val="27"/>
        </w:rPr>
        <w:t xml:space="preserve">(2007) 40 </w:t>
      </w:r>
      <w:r w:rsidRPr="009252C3" w:rsidR="002A6B1C">
        <w:rPr>
          <w:rFonts w:ascii="Century Schoolbook" w:hAnsi="Century Schoolbook"/>
          <w:sz w:val="27"/>
          <w:szCs w:val="27"/>
        </w:rPr>
        <w:t>Cal.4th</w:t>
      </w:r>
      <w:r w:rsidRPr="009252C3" w:rsidR="009742B2">
        <w:rPr>
          <w:rFonts w:ascii="Century Schoolbook" w:hAnsi="Century Schoolbook"/>
          <w:sz w:val="27"/>
          <w:szCs w:val="27"/>
        </w:rPr>
        <w:t xml:space="preserve"> 1179, 1242</w:t>
      </w:r>
      <w:r w:rsidRPr="009252C3" w:rsidR="005B2B40">
        <w:rPr>
          <w:rFonts w:ascii="Century Schoolbook" w:hAnsi="Century Schoolbook"/>
          <w:sz w:val="27"/>
          <w:szCs w:val="27"/>
        </w:rPr>
        <w:t>–</w:t>
      </w:r>
      <w:r w:rsidRPr="009252C3" w:rsidR="009742B2">
        <w:rPr>
          <w:rFonts w:ascii="Century Schoolbook" w:hAnsi="Century Schoolbook"/>
          <w:sz w:val="27"/>
          <w:szCs w:val="27"/>
        </w:rPr>
        <w:t xml:space="preserve">1243 [exclusion of third-party culpability evidence lacking significant probative value in comparison to its danger of distraction and consumption of time is not </w:t>
      </w:r>
      <w:r w:rsidRPr="009252C3" w:rsidR="006E698F">
        <w:rPr>
          <w:rFonts w:ascii="Century Schoolbook" w:hAnsi="Century Schoolbook"/>
          <w:sz w:val="27"/>
          <w:szCs w:val="27"/>
        </w:rPr>
        <w:t xml:space="preserve">a </w:t>
      </w:r>
      <w:r w:rsidRPr="009252C3" w:rsidR="009742B2">
        <w:rPr>
          <w:rFonts w:ascii="Century Schoolbook" w:hAnsi="Century Schoolbook"/>
          <w:sz w:val="27"/>
          <w:szCs w:val="27"/>
        </w:rPr>
        <w:t>constitutional violation]</w:t>
      </w:r>
      <w:r w:rsidRPr="009252C3">
        <w:rPr>
          <w:rFonts w:ascii="Century Schoolbook" w:hAnsi="Century Schoolbook"/>
          <w:sz w:val="27"/>
          <w:szCs w:val="27"/>
        </w:rPr>
        <w:t xml:space="preserve">; </w:t>
      </w:r>
      <w:r w:rsidRPr="009252C3" w:rsidR="001254CF">
        <w:rPr>
          <w:rFonts w:ascii="Century Schoolbook" w:hAnsi="Century Schoolbook"/>
          <w:i/>
          <w:iCs/>
          <w:sz w:val="27"/>
          <w:szCs w:val="27"/>
        </w:rPr>
        <w:t>People v. Hall</w:t>
      </w:r>
      <w:r w:rsidRPr="009252C3" w:rsidR="00780C64">
        <w:rPr>
          <w:rFonts w:ascii="Century Schoolbook" w:hAnsi="Century Schoolbook"/>
          <w:i/>
          <w:iCs/>
          <w:sz w:val="27"/>
          <w:szCs w:val="27"/>
        </w:rPr>
        <w:t xml:space="preserve"> </w:t>
      </w:r>
      <w:r w:rsidRPr="009252C3" w:rsidR="001254CF">
        <w:rPr>
          <w:rFonts w:ascii="Century Schoolbook" w:hAnsi="Century Schoolbook"/>
          <w:sz w:val="27"/>
          <w:szCs w:val="27"/>
        </w:rPr>
        <w:t>(1986) 41 Cal.3d 826, 834 [even where relevant to establish reasonable doubt, third-party culpability evidence is subject to exclusion under Evid</w:t>
      </w:r>
      <w:r w:rsidRPr="009252C3" w:rsidR="0059668A">
        <w:rPr>
          <w:rFonts w:ascii="Century Schoolbook" w:hAnsi="Century Schoolbook"/>
          <w:sz w:val="27"/>
          <w:szCs w:val="27"/>
        </w:rPr>
        <w:t xml:space="preserve">. </w:t>
      </w:r>
      <w:r w:rsidRPr="009252C3" w:rsidR="001254CF">
        <w:rPr>
          <w:rFonts w:ascii="Century Schoolbook" w:hAnsi="Century Schoolbook"/>
          <w:sz w:val="27"/>
          <w:szCs w:val="27"/>
        </w:rPr>
        <w:t>Code</w:t>
      </w:r>
      <w:r w:rsidRPr="009252C3" w:rsidR="0059668A">
        <w:rPr>
          <w:rFonts w:ascii="Century Schoolbook" w:hAnsi="Century Schoolbook"/>
          <w:sz w:val="27"/>
          <w:szCs w:val="27"/>
        </w:rPr>
        <w:t>, § </w:t>
      </w:r>
      <w:r w:rsidRPr="009252C3" w:rsidR="001254CF">
        <w:rPr>
          <w:rFonts w:ascii="Century Schoolbook" w:hAnsi="Century Schoolbook"/>
          <w:sz w:val="27"/>
          <w:szCs w:val="27"/>
        </w:rPr>
        <w:t>352]</w:t>
      </w:r>
      <w:r w:rsidRPr="009252C3" w:rsidR="009742B2">
        <w:rPr>
          <w:rFonts w:ascii="Century Schoolbook" w:hAnsi="Century Schoolbook"/>
          <w:sz w:val="27"/>
          <w:szCs w:val="27"/>
        </w:rPr>
        <w:t>.)</w:t>
      </w:r>
    </w:p>
    <w:p w:rsidR="00B46E1B" w:rsidRPr="009252C3" w:rsidP="009252C3">
      <w:pPr>
        <w:pStyle w:val="Heading3"/>
        <w:spacing w:before="100" w:line="400" w:lineRule="exact"/>
        <w:ind w:left="0" w:firstLine="720"/>
        <w:jc w:val="both"/>
        <w:rPr>
          <w:rFonts w:ascii="Century Schoolbook" w:hAnsi="Century Schoolbook"/>
          <w:b/>
          <w:i w:val="0"/>
          <w:sz w:val="27"/>
          <w:szCs w:val="27"/>
        </w:rPr>
      </w:pPr>
      <w:bookmarkStart w:id="13" w:name="_Toc3365814"/>
      <w:r w:rsidRPr="009252C3">
        <w:rPr>
          <w:rFonts w:ascii="Century Schoolbook" w:hAnsi="Century Schoolbook"/>
          <w:b/>
          <w:i w:val="0"/>
          <w:sz w:val="27"/>
          <w:szCs w:val="27"/>
        </w:rPr>
        <w:t>VI.  Guilt Phase Prosecutorial Misconduct</w:t>
      </w:r>
      <w:bookmarkEnd w:id="13"/>
    </w:p>
    <w:p w:rsidR="00B65CB1"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the prosecutor committed </w:t>
      </w:r>
      <w:r w:rsidRPr="009252C3" w:rsidR="00703DB8">
        <w:rPr>
          <w:rFonts w:ascii="Century Schoolbook" w:hAnsi="Century Schoolbook"/>
          <w:sz w:val="27"/>
          <w:szCs w:val="27"/>
        </w:rPr>
        <w:t xml:space="preserve">egregious </w:t>
      </w:r>
      <w:r w:rsidRPr="009252C3">
        <w:rPr>
          <w:rFonts w:ascii="Century Schoolbook" w:hAnsi="Century Schoolbook"/>
          <w:sz w:val="27"/>
          <w:szCs w:val="27"/>
        </w:rPr>
        <w:t xml:space="preserve">misconduct in examining </w:t>
      </w:r>
      <w:r w:rsidRPr="009252C3" w:rsidR="00703DB8">
        <w:rPr>
          <w:rFonts w:ascii="Century Schoolbook" w:hAnsi="Century Schoolbook"/>
          <w:sz w:val="27"/>
          <w:szCs w:val="27"/>
        </w:rPr>
        <w:t xml:space="preserve">witnesses and in closing argument, depriving defendant of </w:t>
      </w:r>
      <w:r w:rsidRPr="009252C3">
        <w:rPr>
          <w:rFonts w:ascii="Century Schoolbook" w:hAnsi="Century Schoolbook"/>
          <w:sz w:val="27"/>
          <w:szCs w:val="27"/>
        </w:rPr>
        <w:t xml:space="preserve">a fair trial in violation of his due process rights.  </w:t>
      </w:r>
    </w:p>
    <w:p w:rsidR="00604A5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Prosecutorial misbehavior “violates the federal Constitution when it comprises a pattern of conduct ‘so egregious that it infects the trial with such unfairness as to make the conviction a denial of due process.’  [Citations.]  But conduct by a prosecutor that does not render a criminal trial fundamentally unfair is prosecutorial misconduct under state law only if it involves ‘</w:t>
      </w:r>
      <w:r w:rsidRPr="009252C3" w:rsidR="00BD46A7">
        <w:rPr>
          <w:rFonts w:ascii="Century Schoolbook" w:hAnsi="Century Schoolbook"/>
          <w:sz w:val="27"/>
          <w:szCs w:val="27"/>
        </w:rPr>
        <w:t> “</w:t>
      </w:r>
      <w:r w:rsidRPr="009252C3">
        <w:rPr>
          <w:rFonts w:ascii="Century Schoolbook" w:hAnsi="Century Schoolbook"/>
          <w:sz w:val="27"/>
          <w:szCs w:val="27"/>
        </w:rPr>
        <w:t>the use of deceptive or reprehensible methods to attempt to persuade either the court or the jury.” ’</w:t>
      </w:r>
      <w:r w:rsidR="00BF210A">
        <w:rPr>
          <w:rFonts w:ascii="Century Schoolbook" w:hAnsi="Century Schoolbook"/>
          <w:sz w:val="27"/>
          <w:szCs w:val="27"/>
        </w:rPr>
        <w:t> </w:t>
      </w:r>
      <w:r w:rsidRPr="009252C3">
        <w:rPr>
          <w:rFonts w:ascii="Century Schoolbook" w:hAnsi="Century Schoolbook"/>
          <w:sz w:val="27"/>
          <w:szCs w:val="27"/>
        </w:rPr>
        <w:t>”  (</w:t>
      </w:r>
      <w:r w:rsidRPr="009252C3">
        <w:rPr>
          <w:rFonts w:ascii="Century Schoolbook" w:hAnsi="Century Schoolbook"/>
          <w:i/>
          <w:iCs/>
          <w:sz w:val="27"/>
          <w:szCs w:val="27"/>
        </w:rPr>
        <w:t>People v. Espinoza</w:t>
      </w:r>
      <w:r w:rsidRPr="009252C3" w:rsidR="00780C64">
        <w:rPr>
          <w:rFonts w:ascii="Century Schoolbook" w:hAnsi="Century Schoolbook"/>
          <w:i/>
          <w:iCs/>
          <w:sz w:val="27"/>
          <w:szCs w:val="27"/>
        </w:rPr>
        <w:t xml:space="preserve"> </w:t>
      </w:r>
      <w:r w:rsidRPr="009252C3">
        <w:rPr>
          <w:rFonts w:ascii="Century Schoolbook" w:hAnsi="Century Schoolbook"/>
          <w:sz w:val="27"/>
          <w:szCs w:val="27"/>
        </w:rPr>
        <w:t xml:space="preserve">(1992) 3 Cal.4th 806, 820; accord, </w:t>
      </w:r>
      <w:r w:rsidRPr="009252C3">
        <w:rPr>
          <w:rFonts w:ascii="Century Schoolbook" w:hAnsi="Century Schoolbook"/>
          <w:i/>
          <w:iCs/>
          <w:sz w:val="27"/>
          <w:szCs w:val="27"/>
        </w:rPr>
        <w:t>People v. Hill</w:t>
      </w:r>
      <w:r w:rsidRPr="009252C3" w:rsidR="00780C64">
        <w:rPr>
          <w:rFonts w:ascii="Century Schoolbook" w:hAnsi="Century Schoolbook"/>
          <w:i/>
          <w:iCs/>
          <w:sz w:val="27"/>
          <w:szCs w:val="27"/>
        </w:rPr>
        <w:t xml:space="preserve"> </w:t>
      </w:r>
      <w:r w:rsidRPr="009252C3">
        <w:rPr>
          <w:rFonts w:ascii="Century Schoolbook" w:hAnsi="Century Schoolbook"/>
          <w:sz w:val="27"/>
          <w:szCs w:val="27"/>
        </w:rPr>
        <w:t xml:space="preserve">(1998) 17 Cal.4th 800, 819.)  </w:t>
      </w:r>
      <w:r w:rsidRPr="009252C3" w:rsidR="009B607C">
        <w:rPr>
          <w:rFonts w:ascii="Century Schoolbook" w:hAnsi="Century Schoolbook"/>
          <w:sz w:val="27"/>
          <w:szCs w:val="27"/>
        </w:rPr>
        <w:t xml:space="preserve">We </w:t>
      </w:r>
      <w:r w:rsidRPr="009252C3" w:rsidR="00703DB8">
        <w:rPr>
          <w:rFonts w:ascii="Century Schoolbook" w:hAnsi="Century Schoolbook"/>
          <w:sz w:val="27"/>
          <w:szCs w:val="27"/>
        </w:rPr>
        <w:t>conclude there was</w:t>
      </w:r>
      <w:r w:rsidRPr="009252C3" w:rsidR="009B607C">
        <w:rPr>
          <w:rFonts w:ascii="Century Schoolbook" w:hAnsi="Century Schoolbook"/>
          <w:sz w:val="27"/>
          <w:szCs w:val="27"/>
        </w:rPr>
        <w:t xml:space="preserve"> no </w:t>
      </w:r>
      <w:r w:rsidRPr="009252C3" w:rsidR="009F1D23">
        <w:rPr>
          <w:rFonts w:ascii="Century Schoolbook" w:hAnsi="Century Schoolbook"/>
          <w:sz w:val="27"/>
          <w:szCs w:val="27"/>
        </w:rPr>
        <w:t xml:space="preserve">prejudicial </w:t>
      </w:r>
      <w:r w:rsidRPr="009252C3" w:rsidR="009B607C">
        <w:rPr>
          <w:rFonts w:ascii="Century Schoolbook" w:hAnsi="Century Schoolbook"/>
          <w:sz w:val="27"/>
          <w:szCs w:val="27"/>
        </w:rPr>
        <w:t>misconduct</w:t>
      </w:r>
      <w:r w:rsidRPr="009252C3">
        <w:rPr>
          <w:rFonts w:ascii="Century Schoolbook" w:hAnsi="Century Schoolbook"/>
          <w:sz w:val="27"/>
          <w:szCs w:val="27"/>
        </w:rPr>
        <w:t xml:space="preserve"> under either federal or state law</w:t>
      </w:r>
      <w:r w:rsidRPr="009252C3" w:rsidR="009B607C">
        <w:rPr>
          <w:rFonts w:ascii="Century Schoolbook" w:hAnsi="Century Schoolbook"/>
          <w:sz w:val="27"/>
          <w:szCs w:val="27"/>
        </w:rPr>
        <w:t>.</w:t>
      </w:r>
    </w:p>
    <w:p w:rsidR="00272BC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First, defendant asserts the prosecutor improperly insinuated </w:t>
      </w:r>
      <w:r w:rsidRPr="009252C3" w:rsidR="004809A3">
        <w:rPr>
          <w:rFonts w:ascii="Century Schoolbook" w:hAnsi="Century Schoolbook"/>
          <w:sz w:val="27"/>
          <w:szCs w:val="27"/>
        </w:rPr>
        <w:t xml:space="preserve">to the jury that </w:t>
      </w:r>
      <w:r w:rsidRPr="009252C3">
        <w:rPr>
          <w:rFonts w:ascii="Century Schoolbook" w:hAnsi="Century Schoolbook"/>
          <w:sz w:val="27"/>
          <w:szCs w:val="27"/>
        </w:rPr>
        <w:t xml:space="preserve">defendant acted immorally and created a threat to the Yuba City community </w:t>
      </w:r>
      <w:r w:rsidRPr="009252C3" w:rsidR="004809A3">
        <w:rPr>
          <w:rFonts w:ascii="Century Schoolbook" w:hAnsi="Century Schoolbook"/>
          <w:sz w:val="27"/>
          <w:szCs w:val="27"/>
        </w:rPr>
        <w:t xml:space="preserve">by </w:t>
      </w:r>
      <w:r w:rsidRPr="009252C3">
        <w:rPr>
          <w:rFonts w:ascii="Century Schoolbook" w:hAnsi="Century Schoolbook"/>
          <w:sz w:val="27"/>
          <w:szCs w:val="27"/>
        </w:rPr>
        <w:t>habitually and illegally dr</w:t>
      </w:r>
      <w:r w:rsidRPr="009252C3" w:rsidR="004809A3">
        <w:rPr>
          <w:rFonts w:ascii="Century Schoolbook" w:hAnsi="Century Schoolbook"/>
          <w:sz w:val="27"/>
          <w:szCs w:val="27"/>
        </w:rPr>
        <w:t>iving</w:t>
      </w:r>
      <w:r w:rsidRPr="009252C3">
        <w:rPr>
          <w:rFonts w:ascii="Century Schoolbook" w:hAnsi="Century Schoolbook"/>
          <w:sz w:val="27"/>
          <w:szCs w:val="27"/>
        </w:rPr>
        <w:t xml:space="preserve"> his truck </w:t>
      </w:r>
      <w:r w:rsidRPr="009252C3" w:rsidR="00E45353">
        <w:rPr>
          <w:rFonts w:ascii="Century Schoolbook" w:hAnsi="Century Schoolbook"/>
          <w:sz w:val="27"/>
          <w:szCs w:val="27"/>
        </w:rPr>
        <w:t>over</w:t>
      </w:r>
      <w:r w:rsidRPr="009252C3">
        <w:rPr>
          <w:rFonts w:ascii="Century Schoolbook" w:hAnsi="Century Schoolbook"/>
          <w:sz w:val="27"/>
          <w:szCs w:val="27"/>
        </w:rPr>
        <w:t xml:space="preserve"> the </w:t>
      </w:r>
      <w:r w:rsidRPr="009252C3" w:rsidR="00E45353">
        <w:rPr>
          <w:rFonts w:ascii="Century Schoolbook" w:hAnsi="Century Schoolbook"/>
          <w:sz w:val="27"/>
          <w:szCs w:val="27"/>
        </w:rPr>
        <w:t xml:space="preserve">river </w:t>
      </w:r>
      <w:r w:rsidRPr="009252C3">
        <w:rPr>
          <w:rFonts w:ascii="Century Schoolbook" w:hAnsi="Century Schoolbook"/>
          <w:sz w:val="27"/>
          <w:szCs w:val="27"/>
        </w:rPr>
        <w:t>levees, po</w:t>
      </w:r>
      <w:r w:rsidRPr="009252C3" w:rsidR="00E45353">
        <w:rPr>
          <w:rFonts w:ascii="Century Schoolbook" w:hAnsi="Century Schoolbook"/>
          <w:sz w:val="27"/>
          <w:szCs w:val="27"/>
        </w:rPr>
        <w:t>tentially</w:t>
      </w:r>
      <w:r w:rsidRPr="009252C3">
        <w:rPr>
          <w:rFonts w:ascii="Century Schoolbook" w:hAnsi="Century Schoolbook"/>
          <w:sz w:val="27"/>
          <w:szCs w:val="27"/>
        </w:rPr>
        <w:t xml:space="preserve"> causing them damage. </w:t>
      </w:r>
      <w:r w:rsidRPr="009252C3" w:rsidR="008C7868">
        <w:rPr>
          <w:rFonts w:ascii="Century Schoolbook" w:hAnsi="Century Schoolbook"/>
          <w:sz w:val="27"/>
          <w:szCs w:val="27"/>
        </w:rPr>
        <w:t xml:space="preserve"> </w:t>
      </w:r>
      <w:r w:rsidRPr="009252C3" w:rsidR="00793A52">
        <w:rPr>
          <w:rFonts w:ascii="Century Schoolbook" w:hAnsi="Century Schoolbook"/>
          <w:sz w:val="27"/>
          <w:szCs w:val="27"/>
        </w:rPr>
        <w:t>The relevant exchange occurred during defendant’s testimony</w:t>
      </w:r>
      <w:r w:rsidR="00BF210A">
        <w:rPr>
          <w:rFonts w:ascii="Century Schoolbook" w:hAnsi="Century Schoolbook"/>
          <w:sz w:val="27"/>
          <w:szCs w:val="27"/>
        </w:rPr>
        <w:t>.</w:t>
      </w:r>
      <w:r w:rsidRPr="009252C3" w:rsidR="00793A52">
        <w:rPr>
          <w:rFonts w:ascii="Century Schoolbook" w:hAnsi="Century Schoolbook"/>
          <w:sz w:val="27"/>
          <w:szCs w:val="27"/>
        </w:rPr>
        <w:t xml:space="preserve">  </w:t>
      </w:r>
      <w:r w:rsidRPr="009252C3" w:rsidR="008C7868">
        <w:rPr>
          <w:rFonts w:ascii="Century Schoolbook" w:hAnsi="Century Schoolbook"/>
          <w:sz w:val="27"/>
          <w:szCs w:val="27"/>
        </w:rPr>
        <w:t>After defendant agreed with the prosecutor’s supposition that going over the levees is illegal “because it tears up the levees and might cause the levees to break,” the prosecutor continued</w:t>
      </w:r>
      <w:r w:rsidR="00BF210A">
        <w:rPr>
          <w:rFonts w:ascii="Century Schoolbook" w:hAnsi="Century Schoolbook"/>
          <w:sz w:val="27"/>
          <w:szCs w:val="27"/>
        </w:rPr>
        <w:t>:</w:t>
      </w:r>
      <w:r w:rsidRPr="009252C3" w:rsidR="008C7868">
        <w:rPr>
          <w:rFonts w:ascii="Century Schoolbook" w:hAnsi="Century Schoolbook"/>
          <w:sz w:val="27"/>
          <w:szCs w:val="27"/>
        </w:rPr>
        <w:t xml:space="preserve">  “Is there some reason you persist in doing this when it’s dangerous to the whole community?”  A defense objection (“speculation”) was sustained as to the form of the question, and the prosecutor rephrased:  “Is there some reason you</w:t>
      </w:r>
      <w:r w:rsidRPr="009252C3" w:rsidR="007F75E8">
        <w:rPr>
          <w:rFonts w:ascii="Century Schoolbook" w:hAnsi="Century Schoolbook"/>
          <w:sz w:val="27"/>
          <w:szCs w:val="27"/>
        </w:rPr>
        <w:t>[,]</w:t>
      </w:r>
      <w:r w:rsidRPr="009252C3" w:rsidR="008C7868">
        <w:rPr>
          <w:rFonts w:ascii="Century Schoolbook" w:hAnsi="Century Schoolbook"/>
          <w:sz w:val="27"/>
          <w:szCs w:val="27"/>
        </w:rPr>
        <w:t xml:space="preserve"> when you know this is dangerous</w:t>
      </w:r>
      <w:r w:rsidRPr="009252C3" w:rsidR="007F75E8">
        <w:rPr>
          <w:rFonts w:ascii="Century Schoolbook" w:hAnsi="Century Schoolbook"/>
          <w:sz w:val="27"/>
          <w:szCs w:val="27"/>
        </w:rPr>
        <w:t>[,]</w:t>
      </w:r>
      <w:r w:rsidRPr="009252C3" w:rsidR="008C7868">
        <w:rPr>
          <w:rFonts w:ascii="Century Schoolbook" w:hAnsi="Century Schoolbook"/>
          <w:sz w:val="27"/>
          <w:szCs w:val="27"/>
        </w:rPr>
        <w:t xml:space="preserve"> that you continue to do it?”  Defendant answered that it is “not necessarily dangerous” and that “everybody does it.”  When the prosecutor continued with a question about a </w:t>
      </w:r>
      <w:r w:rsidRPr="009252C3" w:rsidR="00E42225">
        <w:rPr>
          <w:rFonts w:ascii="Century Schoolbook" w:hAnsi="Century Schoolbook"/>
          <w:sz w:val="27"/>
          <w:szCs w:val="27"/>
        </w:rPr>
        <w:t xml:space="preserve">levee break and </w:t>
      </w:r>
      <w:r w:rsidRPr="009252C3" w:rsidR="008C7868">
        <w:rPr>
          <w:rFonts w:ascii="Century Schoolbook" w:hAnsi="Century Schoolbook"/>
          <w:sz w:val="27"/>
          <w:szCs w:val="27"/>
        </w:rPr>
        <w:t xml:space="preserve">flood that occurred in 1996, defense counsel objected on </w:t>
      </w:r>
      <w:r w:rsidRPr="009252C3" w:rsidR="007F75E8">
        <w:rPr>
          <w:rFonts w:ascii="Century Schoolbook" w:hAnsi="Century Schoolbook"/>
          <w:sz w:val="27"/>
          <w:szCs w:val="27"/>
        </w:rPr>
        <w:t xml:space="preserve">grounds of </w:t>
      </w:r>
      <w:r w:rsidRPr="009252C3" w:rsidR="008C7868">
        <w:rPr>
          <w:rFonts w:ascii="Century Schoolbook" w:hAnsi="Century Schoolbook"/>
          <w:sz w:val="27"/>
          <w:szCs w:val="27"/>
        </w:rPr>
        <w:t>relevanc</w:t>
      </w:r>
      <w:r w:rsidRPr="009252C3" w:rsidR="007F75E8">
        <w:rPr>
          <w:rFonts w:ascii="Century Schoolbook" w:hAnsi="Century Schoolbook"/>
          <w:sz w:val="27"/>
          <w:szCs w:val="27"/>
        </w:rPr>
        <w:t>e</w:t>
      </w:r>
      <w:r w:rsidRPr="009252C3" w:rsidR="008C7868">
        <w:rPr>
          <w:rFonts w:ascii="Century Schoolbook" w:hAnsi="Century Schoolbook"/>
          <w:sz w:val="27"/>
          <w:szCs w:val="27"/>
        </w:rPr>
        <w:t>, and the prosecutor withdrew the question</w:t>
      </w:r>
      <w:r w:rsidRPr="009252C3" w:rsidR="00E42225">
        <w:rPr>
          <w:rFonts w:ascii="Century Schoolbook" w:hAnsi="Century Schoolbook"/>
          <w:sz w:val="27"/>
          <w:szCs w:val="27"/>
        </w:rPr>
        <w:t>,</w:t>
      </w:r>
      <w:r w:rsidRPr="009252C3" w:rsidR="008C7868">
        <w:rPr>
          <w:rFonts w:ascii="Century Schoolbook" w:hAnsi="Century Schoolbook"/>
          <w:sz w:val="27"/>
          <w:szCs w:val="27"/>
        </w:rPr>
        <w:t xml:space="preserve"> but went on</w:t>
      </w:r>
      <w:r w:rsidRPr="009252C3" w:rsidR="00217E33">
        <w:rPr>
          <w:rFonts w:ascii="Century Schoolbook" w:hAnsi="Century Schoolbook"/>
          <w:sz w:val="27"/>
          <w:szCs w:val="27"/>
        </w:rPr>
        <w:t xml:space="preserve"> to say</w:t>
      </w:r>
      <w:r w:rsidRPr="009252C3" w:rsidR="008C7868">
        <w:rPr>
          <w:rFonts w:ascii="Century Schoolbook" w:hAnsi="Century Schoolbook"/>
          <w:sz w:val="27"/>
          <w:szCs w:val="27"/>
        </w:rPr>
        <w:t>:  “[</w:t>
      </w:r>
      <w:r w:rsidRPr="009252C3" w:rsidR="00E42225">
        <w:rPr>
          <w:rFonts w:ascii="Century Schoolbook" w:hAnsi="Century Schoolbook"/>
          <w:sz w:val="27"/>
          <w:szCs w:val="27"/>
        </w:rPr>
        <w:t>W</w:t>
      </w:r>
      <w:r w:rsidRPr="009252C3" w:rsidR="008C7868">
        <w:rPr>
          <w:rFonts w:ascii="Century Schoolbook" w:hAnsi="Century Schoolbook"/>
          <w:sz w:val="27"/>
          <w:szCs w:val="27"/>
        </w:rPr>
        <w:t xml:space="preserve">]ell, I guess what I’m getting at </w:t>
      </w:r>
      <w:r w:rsidRPr="009252C3">
        <w:rPr>
          <w:rFonts w:ascii="Century Schoolbook" w:hAnsi="Century Schoolbook"/>
          <w:sz w:val="27"/>
          <w:szCs w:val="27"/>
        </w:rPr>
        <w:t xml:space="preserve">is you just don’t care about other people.”  The court sustained a defense objection to the form of the question and the prosecutor moved on to another topic.  </w:t>
      </w:r>
    </w:p>
    <w:p w:rsidR="00930E2A"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In this series of questions, the </w:t>
      </w:r>
      <w:r w:rsidRPr="009252C3" w:rsidR="00272BC0">
        <w:rPr>
          <w:rFonts w:ascii="Century Schoolbook" w:hAnsi="Century Schoolbook"/>
          <w:sz w:val="27"/>
          <w:szCs w:val="27"/>
        </w:rPr>
        <w:t>prosecutor explored</w:t>
      </w:r>
      <w:r w:rsidRPr="009252C3">
        <w:rPr>
          <w:rFonts w:ascii="Century Schoolbook" w:hAnsi="Century Schoolbook"/>
          <w:sz w:val="27"/>
          <w:szCs w:val="27"/>
        </w:rPr>
        <w:t xml:space="preserve"> a legitimate area </w:t>
      </w:r>
      <w:r w:rsidRPr="009252C3" w:rsidR="00233ADC">
        <w:rPr>
          <w:rFonts w:ascii="Century Schoolbook" w:hAnsi="Century Schoolbook"/>
          <w:sz w:val="27"/>
          <w:szCs w:val="27"/>
        </w:rPr>
        <w:t>for</w:t>
      </w:r>
      <w:r w:rsidRPr="009252C3">
        <w:rPr>
          <w:rFonts w:ascii="Century Schoolbook" w:hAnsi="Century Schoolbook"/>
          <w:sz w:val="27"/>
          <w:szCs w:val="27"/>
        </w:rPr>
        <w:t xml:space="preserve"> cross</w:t>
      </w:r>
      <w:r w:rsidRPr="009252C3">
        <w:rPr>
          <w:rFonts w:ascii="Century Schoolbook" w:hAnsi="Century Schoolbook"/>
          <w:sz w:val="27"/>
          <w:szCs w:val="27"/>
        </w:rPr>
        <w:noBreakHyphen/>
        <w:t xml:space="preserve">examination: </w:t>
      </w:r>
      <w:r w:rsidRPr="009252C3" w:rsidR="00272BC0">
        <w:rPr>
          <w:rFonts w:ascii="Century Schoolbook" w:hAnsi="Century Schoolbook"/>
          <w:sz w:val="27"/>
          <w:szCs w:val="27"/>
        </w:rPr>
        <w:t xml:space="preserve"> the </w:t>
      </w:r>
      <w:r w:rsidR="00945425">
        <w:rPr>
          <w:rFonts w:ascii="Century Schoolbook" w:hAnsi="Century Schoolbook"/>
          <w:sz w:val="27"/>
          <w:szCs w:val="27"/>
        </w:rPr>
        <w:t>nature</w:t>
      </w:r>
      <w:r w:rsidRPr="009252C3" w:rsidR="00272BC0">
        <w:rPr>
          <w:rFonts w:ascii="Century Schoolbook" w:hAnsi="Century Schoolbook"/>
          <w:sz w:val="27"/>
          <w:szCs w:val="27"/>
        </w:rPr>
        <w:t xml:space="preserve"> of defendant’s </w:t>
      </w:r>
      <w:r w:rsidRPr="009252C3">
        <w:rPr>
          <w:rFonts w:ascii="Century Schoolbook" w:hAnsi="Century Schoolbook"/>
          <w:sz w:val="27"/>
          <w:szCs w:val="27"/>
        </w:rPr>
        <w:t>activities in the river bottoms.</w:t>
      </w:r>
      <w:r w:rsidRPr="009252C3" w:rsidR="00272BC0">
        <w:rPr>
          <w:rFonts w:ascii="Century Schoolbook" w:hAnsi="Century Schoolbook"/>
          <w:sz w:val="27"/>
          <w:szCs w:val="27"/>
        </w:rPr>
        <w:t xml:space="preserve">  </w:t>
      </w:r>
      <w:r w:rsidRPr="009252C3">
        <w:rPr>
          <w:rFonts w:ascii="Century Schoolbook" w:hAnsi="Century Schoolbook"/>
          <w:sz w:val="27"/>
          <w:szCs w:val="27"/>
        </w:rPr>
        <w:t>On direct, defendant had testified to his affinity for the river bottoms and for driving his four</w:t>
      </w:r>
      <w:r w:rsidRPr="009252C3" w:rsidR="00BD46A7">
        <w:rPr>
          <w:rFonts w:ascii="Century Schoolbook" w:hAnsi="Century Schoolbook"/>
          <w:sz w:val="27"/>
          <w:szCs w:val="27"/>
        </w:rPr>
        <w:t>-</w:t>
      </w:r>
      <w:r w:rsidRPr="009252C3">
        <w:rPr>
          <w:rFonts w:ascii="Century Schoolbook" w:hAnsi="Century Schoolbook"/>
          <w:sz w:val="27"/>
          <w:szCs w:val="27"/>
        </w:rPr>
        <w:t>wheel</w:t>
      </w:r>
      <w:r w:rsidR="00BF210A">
        <w:rPr>
          <w:rFonts w:ascii="Century Schoolbook" w:hAnsi="Century Schoolbook"/>
          <w:sz w:val="27"/>
          <w:szCs w:val="27"/>
        </w:rPr>
        <w:t xml:space="preserve"> </w:t>
      </w:r>
      <w:r w:rsidRPr="009252C3">
        <w:rPr>
          <w:rFonts w:ascii="Century Schoolbook" w:hAnsi="Century Schoolbook"/>
          <w:sz w:val="27"/>
          <w:szCs w:val="27"/>
        </w:rPr>
        <w:t xml:space="preserve">drive truck in the area, </w:t>
      </w:r>
      <w:r w:rsidRPr="009252C3" w:rsidR="005755B4">
        <w:rPr>
          <w:rFonts w:ascii="Century Schoolbook" w:hAnsi="Century Schoolbook"/>
          <w:sz w:val="27"/>
          <w:szCs w:val="27"/>
        </w:rPr>
        <w:t>describing</w:t>
      </w:r>
      <w:r w:rsidRPr="009252C3">
        <w:rPr>
          <w:rFonts w:ascii="Century Schoolbook" w:hAnsi="Century Schoolbook"/>
          <w:sz w:val="27"/>
          <w:szCs w:val="27"/>
        </w:rPr>
        <w:t xml:space="preserve"> activities that were either innocent or</w:t>
      </w:r>
      <w:r w:rsidRPr="009252C3" w:rsidR="00821FE2">
        <w:rPr>
          <w:rFonts w:ascii="Century Schoolbook" w:hAnsi="Century Schoolbook"/>
          <w:sz w:val="27"/>
          <w:szCs w:val="27"/>
        </w:rPr>
        <w:t>, at least,</w:t>
      </w:r>
      <w:r w:rsidRPr="009252C3">
        <w:rPr>
          <w:rFonts w:ascii="Century Schoolbook" w:hAnsi="Century Schoolbook"/>
          <w:sz w:val="27"/>
          <w:szCs w:val="27"/>
        </w:rPr>
        <w:t xml:space="preserve"> </w:t>
      </w:r>
      <w:r w:rsidRPr="009252C3" w:rsidR="00233ADC">
        <w:rPr>
          <w:rFonts w:ascii="Century Schoolbook" w:hAnsi="Century Schoolbook"/>
          <w:sz w:val="27"/>
          <w:szCs w:val="27"/>
        </w:rPr>
        <w:t xml:space="preserve">had no </w:t>
      </w:r>
      <w:r w:rsidR="005D674E">
        <w:rPr>
          <w:rFonts w:ascii="Century Schoolbook" w:hAnsi="Century Schoolbook"/>
          <w:sz w:val="27"/>
          <w:szCs w:val="27"/>
        </w:rPr>
        <w:t>direct</w:t>
      </w:r>
      <w:r w:rsidRPr="009252C3" w:rsidR="00233ADC">
        <w:rPr>
          <w:rFonts w:ascii="Century Schoolbook" w:hAnsi="Century Schoolbook"/>
          <w:sz w:val="27"/>
          <w:szCs w:val="27"/>
        </w:rPr>
        <w:t xml:space="preserve"> </w:t>
      </w:r>
      <w:r w:rsidRPr="009252C3">
        <w:rPr>
          <w:rFonts w:ascii="Century Schoolbook" w:hAnsi="Century Schoolbook"/>
          <w:sz w:val="27"/>
          <w:szCs w:val="27"/>
        </w:rPr>
        <w:t>victim</w:t>
      </w:r>
      <w:r w:rsidRPr="009252C3" w:rsidR="00233ADC">
        <w:rPr>
          <w:rFonts w:ascii="Century Schoolbook" w:hAnsi="Century Schoolbook"/>
          <w:sz w:val="27"/>
          <w:szCs w:val="27"/>
        </w:rPr>
        <w:t>s</w:t>
      </w:r>
      <w:r w:rsidRPr="009252C3">
        <w:rPr>
          <w:rFonts w:ascii="Century Schoolbook" w:hAnsi="Century Schoolbook"/>
          <w:sz w:val="27"/>
          <w:szCs w:val="27"/>
        </w:rPr>
        <w:t xml:space="preserve">:  driving around on </w:t>
      </w:r>
      <w:r w:rsidRPr="009252C3" w:rsidR="005755B4">
        <w:rPr>
          <w:rFonts w:ascii="Century Schoolbook" w:hAnsi="Century Schoolbook"/>
          <w:sz w:val="27"/>
          <w:szCs w:val="27"/>
        </w:rPr>
        <w:t xml:space="preserve">the </w:t>
      </w:r>
      <w:r w:rsidRPr="009252C3">
        <w:rPr>
          <w:rFonts w:ascii="Century Schoolbook" w:hAnsi="Century Schoolbook"/>
          <w:sz w:val="27"/>
          <w:szCs w:val="27"/>
        </w:rPr>
        <w:t xml:space="preserve">challenging terrain, fishing, “goofing off” with friends or by himself, and doing drugs.  </w:t>
      </w:r>
      <w:r w:rsidRPr="009252C3" w:rsidR="002477A6">
        <w:rPr>
          <w:rFonts w:ascii="Century Schoolbook" w:hAnsi="Century Schoolbook"/>
          <w:sz w:val="27"/>
          <w:szCs w:val="27"/>
        </w:rPr>
        <w:t xml:space="preserve">The prosecutor’s questions about the </w:t>
      </w:r>
      <w:r w:rsidR="00945425">
        <w:rPr>
          <w:rFonts w:ascii="Century Schoolbook" w:hAnsi="Century Schoolbook"/>
          <w:sz w:val="27"/>
          <w:szCs w:val="27"/>
        </w:rPr>
        <w:t xml:space="preserve">antisocial nature </w:t>
      </w:r>
      <w:r w:rsidRPr="009252C3" w:rsidR="002477A6">
        <w:rPr>
          <w:rFonts w:ascii="Century Schoolbook" w:hAnsi="Century Schoolbook"/>
          <w:sz w:val="27"/>
          <w:szCs w:val="27"/>
        </w:rPr>
        <w:t xml:space="preserve"> of four</w:t>
      </w:r>
      <w:r w:rsidRPr="009252C3" w:rsidR="002477A6">
        <w:rPr>
          <w:rFonts w:ascii="Century Schoolbook" w:hAnsi="Century Schoolbook"/>
          <w:sz w:val="27"/>
          <w:szCs w:val="27"/>
        </w:rPr>
        <w:noBreakHyphen/>
        <w:t>wheel</w:t>
      </w:r>
      <w:r w:rsidR="00BF210A">
        <w:rPr>
          <w:rFonts w:ascii="Century Schoolbook" w:hAnsi="Century Schoolbook"/>
          <w:sz w:val="27"/>
          <w:szCs w:val="27"/>
        </w:rPr>
        <w:t xml:space="preserve"> </w:t>
      </w:r>
      <w:r w:rsidRPr="009252C3" w:rsidR="002477A6">
        <w:rPr>
          <w:rFonts w:ascii="Century Schoolbook" w:hAnsi="Century Schoolbook"/>
          <w:sz w:val="27"/>
          <w:szCs w:val="27"/>
        </w:rPr>
        <w:t xml:space="preserve">driving over the levees constituted </w:t>
      </w:r>
      <w:r w:rsidRPr="009252C3" w:rsidR="00454F78">
        <w:rPr>
          <w:rFonts w:ascii="Century Schoolbook" w:hAnsi="Century Schoolbook"/>
          <w:sz w:val="27"/>
          <w:szCs w:val="27"/>
        </w:rPr>
        <w:t>impeachment on this point, though its value as impeachment was very slight.</w:t>
      </w:r>
      <w:r w:rsidRPr="009252C3" w:rsidR="00233ADC">
        <w:rPr>
          <w:rFonts w:ascii="Century Schoolbook" w:hAnsi="Century Schoolbook"/>
          <w:sz w:val="27"/>
          <w:szCs w:val="27"/>
        </w:rPr>
        <w:t xml:space="preserve">  </w:t>
      </w:r>
      <w:r w:rsidRPr="009252C3" w:rsidR="00454F78">
        <w:rPr>
          <w:rFonts w:ascii="Century Schoolbook" w:hAnsi="Century Schoolbook"/>
          <w:sz w:val="27"/>
          <w:szCs w:val="27"/>
        </w:rPr>
        <w:t xml:space="preserve">The inference created by the question was </w:t>
      </w:r>
      <w:r w:rsidR="00945425">
        <w:rPr>
          <w:rFonts w:ascii="Century Schoolbook" w:hAnsi="Century Schoolbook"/>
          <w:sz w:val="27"/>
          <w:szCs w:val="27"/>
        </w:rPr>
        <w:t xml:space="preserve">also </w:t>
      </w:r>
      <w:r w:rsidRPr="009252C3" w:rsidR="00454F78">
        <w:rPr>
          <w:rFonts w:ascii="Century Schoolbook" w:hAnsi="Century Schoolbook"/>
          <w:sz w:val="27"/>
          <w:szCs w:val="27"/>
        </w:rPr>
        <w:t xml:space="preserve">weak and attenuated, but not entirely </w:t>
      </w:r>
      <w:r w:rsidRPr="009252C3" w:rsidR="002477A6">
        <w:rPr>
          <w:rFonts w:ascii="Century Schoolbook" w:hAnsi="Century Schoolbook"/>
          <w:sz w:val="27"/>
          <w:szCs w:val="27"/>
        </w:rPr>
        <w:t>illogical</w:t>
      </w:r>
      <w:r w:rsidRPr="009252C3" w:rsidR="00454F78">
        <w:rPr>
          <w:rFonts w:ascii="Century Schoolbook" w:hAnsi="Century Schoolbook"/>
          <w:sz w:val="27"/>
          <w:szCs w:val="27"/>
        </w:rPr>
        <w:t>,</w:t>
      </w:r>
      <w:r w:rsidRPr="009252C3" w:rsidR="005068E8">
        <w:rPr>
          <w:rFonts w:ascii="Century Schoolbook" w:hAnsi="Century Schoolbook"/>
          <w:sz w:val="27"/>
          <w:szCs w:val="27"/>
        </w:rPr>
        <w:t xml:space="preserve"> and the evidence produced was by no means inflammatory.  </w:t>
      </w:r>
      <w:r w:rsidRPr="009252C3" w:rsidR="00116860">
        <w:rPr>
          <w:rFonts w:ascii="Century Schoolbook" w:hAnsi="Century Schoolbook"/>
          <w:sz w:val="27"/>
          <w:szCs w:val="27"/>
        </w:rPr>
        <w:t xml:space="preserve">The cross-examination </w:t>
      </w:r>
      <w:r w:rsidRPr="009252C3" w:rsidR="009F1D23">
        <w:rPr>
          <w:rFonts w:ascii="Century Schoolbook" w:hAnsi="Century Schoolbook"/>
          <w:sz w:val="27"/>
          <w:szCs w:val="27"/>
        </w:rPr>
        <w:t xml:space="preserve">thus </w:t>
      </w:r>
      <w:r w:rsidRPr="009252C3" w:rsidR="00233ADC">
        <w:rPr>
          <w:rFonts w:ascii="Century Schoolbook" w:hAnsi="Century Schoolbook"/>
          <w:sz w:val="27"/>
          <w:szCs w:val="27"/>
        </w:rPr>
        <w:t xml:space="preserve">was </w:t>
      </w:r>
      <w:r w:rsidRPr="009252C3" w:rsidR="00116860">
        <w:rPr>
          <w:rFonts w:ascii="Century Schoolbook" w:hAnsi="Century Schoolbook"/>
          <w:sz w:val="27"/>
          <w:szCs w:val="27"/>
        </w:rPr>
        <w:t>not, as defendant asserts, irrelevant questioning intended to inflame the jury’s passions</w:t>
      </w:r>
      <w:r w:rsidRPr="009252C3" w:rsidR="00454F78">
        <w:rPr>
          <w:rFonts w:ascii="Century Schoolbook" w:hAnsi="Century Schoolbook"/>
          <w:sz w:val="27"/>
          <w:szCs w:val="27"/>
        </w:rPr>
        <w:t xml:space="preserve">, and </w:t>
      </w:r>
      <w:r w:rsidRPr="009252C3" w:rsidR="00233ADC">
        <w:rPr>
          <w:rFonts w:ascii="Century Schoolbook" w:hAnsi="Century Schoolbook"/>
          <w:sz w:val="27"/>
          <w:szCs w:val="27"/>
        </w:rPr>
        <w:t xml:space="preserve">it </w:t>
      </w:r>
      <w:r w:rsidRPr="009252C3" w:rsidR="00454F78">
        <w:rPr>
          <w:rFonts w:ascii="Century Schoolbook" w:hAnsi="Century Schoolbook"/>
          <w:sz w:val="27"/>
          <w:szCs w:val="27"/>
        </w:rPr>
        <w:t>created no</w:t>
      </w:r>
      <w:r w:rsidRPr="009252C3" w:rsidR="005068E8">
        <w:rPr>
          <w:rFonts w:ascii="Century Schoolbook" w:hAnsi="Century Schoolbook"/>
          <w:sz w:val="27"/>
          <w:szCs w:val="27"/>
        </w:rPr>
        <w:t xml:space="preserve"> fundamental unfairness</w:t>
      </w:r>
      <w:r w:rsidRPr="009252C3" w:rsidR="00454F78">
        <w:rPr>
          <w:rFonts w:ascii="Century Schoolbook" w:hAnsi="Century Schoolbook"/>
          <w:sz w:val="27"/>
          <w:szCs w:val="27"/>
        </w:rPr>
        <w:t xml:space="preserve">.  To the extent </w:t>
      </w:r>
      <w:r w:rsidRPr="009252C3" w:rsidR="00233ADC">
        <w:rPr>
          <w:rFonts w:ascii="Century Schoolbook" w:hAnsi="Century Schoolbook"/>
          <w:sz w:val="27"/>
          <w:szCs w:val="27"/>
        </w:rPr>
        <w:t xml:space="preserve">the prosecutor’s questioning </w:t>
      </w:r>
      <w:r w:rsidRPr="009252C3" w:rsidR="00231943">
        <w:rPr>
          <w:rFonts w:ascii="Century Schoolbook" w:hAnsi="Century Schoolbook"/>
          <w:sz w:val="27"/>
          <w:szCs w:val="27"/>
        </w:rPr>
        <w:t xml:space="preserve">about </w:t>
      </w:r>
      <w:r w:rsidRPr="009252C3" w:rsidR="00233ADC">
        <w:rPr>
          <w:rFonts w:ascii="Century Schoolbook" w:hAnsi="Century Schoolbook"/>
          <w:sz w:val="27"/>
          <w:szCs w:val="27"/>
        </w:rPr>
        <w:t>the levees</w:t>
      </w:r>
      <w:r w:rsidRPr="009252C3" w:rsidR="00454F78">
        <w:rPr>
          <w:rFonts w:ascii="Century Schoolbook" w:hAnsi="Century Schoolbook"/>
          <w:sz w:val="27"/>
          <w:szCs w:val="27"/>
        </w:rPr>
        <w:t xml:space="preserve"> could be deemed</w:t>
      </w:r>
      <w:r w:rsidRPr="009252C3" w:rsidR="005068E8">
        <w:rPr>
          <w:rFonts w:ascii="Century Schoolbook" w:hAnsi="Century Schoolbook"/>
          <w:sz w:val="27"/>
          <w:szCs w:val="27"/>
        </w:rPr>
        <w:t xml:space="preserve"> a deceptive or reprehensible method of cross-examination (</w:t>
      </w:r>
      <w:r w:rsidRPr="009252C3" w:rsidR="005068E8">
        <w:rPr>
          <w:rFonts w:ascii="Century Schoolbook" w:hAnsi="Century Schoolbook"/>
          <w:i/>
          <w:iCs/>
          <w:sz w:val="27"/>
          <w:szCs w:val="27"/>
        </w:rPr>
        <w:t>People v. Hill</w:t>
      </w:r>
      <w:r w:rsidRPr="009252C3" w:rsidR="005068E8">
        <w:rPr>
          <w:rFonts w:ascii="Century Schoolbook" w:hAnsi="Century Schoolbook"/>
          <w:sz w:val="27"/>
          <w:szCs w:val="27"/>
        </w:rPr>
        <w:t xml:space="preserve">, </w:t>
      </w:r>
      <w:r w:rsidRPr="009252C3" w:rsidR="005068E8">
        <w:rPr>
          <w:rFonts w:ascii="Century Schoolbook" w:hAnsi="Century Schoolbook"/>
          <w:i/>
          <w:sz w:val="27"/>
          <w:szCs w:val="27"/>
        </w:rPr>
        <w:t>supra</w:t>
      </w:r>
      <w:r w:rsidRPr="009252C3" w:rsidR="005068E8">
        <w:rPr>
          <w:rFonts w:ascii="Century Schoolbook" w:hAnsi="Century Schoolbook"/>
          <w:sz w:val="27"/>
          <w:szCs w:val="27"/>
        </w:rPr>
        <w:t>,</w:t>
      </w:r>
      <w:r w:rsidRPr="009252C3" w:rsidR="005068E8">
        <w:rPr>
          <w:rFonts w:ascii="Century Schoolbook" w:hAnsi="Century Schoolbook"/>
          <w:i/>
          <w:sz w:val="27"/>
          <w:szCs w:val="27"/>
        </w:rPr>
        <w:t xml:space="preserve"> </w:t>
      </w:r>
      <w:r w:rsidRPr="009252C3" w:rsidR="005068E8">
        <w:rPr>
          <w:rFonts w:ascii="Century Schoolbook" w:hAnsi="Century Schoolbook"/>
          <w:sz w:val="27"/>
          <w:szCs w:val="27"/>
        </w:rPr>
        <w:t>17 Cal.4th at p.</w:t>
      </w:r>
      <w:r w:rsidRPr="009252C3" w:rsidR="005B2B40">
        <w:rPr>
          <w:rFonts w:ascii="Century Schoolbook" w:hAnsi="Century Schoolbook"/>
          <w:sz w:val="27"/>
          <w:szCs w:val="27"/>
        </w:rPr>
        <w:t> </w:t>
      </w:r>
      <w:r w:rsidRPr="009252C3" w:rsidR="005068E8">
        <w:rPr>
          <w:rFonts w:ascii="Century Schoolbook" w:hAnsi="Century Schoolbook"/>
          <w:sz w:val="27"/>
          <w:szCs w:val="27"/>
        </w:rPr>
        <w:t>819)</w:t>
      </w:r>
      <w:r w:rsidRPr="009252C3" w:rsidR="00454F78">
        <w:rPr>
          <w:rFonts w:ascii="Century Schoolbook" w:hAnsi="Century Schoolbook"/>
          <w:sz w:val="27"/>
          <w:szCs w:val="27"/>
        </w:rPr>
        <w:t>, prejudice was not reasonably likely.</w:t>
      </w:r>
      <w:r w:rsidRPr="009252C3" w:rsidR="009F1D23">
        <w:rPr>
          <w:rFonts w:ascii="Century Schoolbook" w:hAnsi="Century Schoolbook"/>
          <w:sz w:val="27"/>
          <w:szCs w:val="27"/>
        </w:rPr>
        <w:t xml:space="preserve"> </w:t>
      </w:r>
      <w:r w:rsidR="008B0610">
        <w:rPr>
          <w:rFonts w:ascii="Century Schoolbook" w:hAnsi="Century Schoolbook"/>
          <w:sz w:val="27"/>
          <w:szCs w:val="27"/>
        </w:rPr>
        <w:t xml:space="preserve"> </w:t>
      </w:r>
      <w:r w:rsidRPr="009252C3" w:rsidR="009F1D23">
        <w:rPr>
          <w:rFonts w:ascii="Century Schoolbook" w:hAnsi="Century Schoolbook"/>
          <w:sz w:val="27"/>
          <w:szCs w:val="27"/>
        </w:rPr>
        <w:t>(</w:t>
      </w:r>
      <w:r w:rsidRPr="009252C3" w:rsidR="009F1D23">
        <w:rPr>
          <w:rFonts w:ascii="Century Schoolbook" w:hAnsi="Century Schoolbook"/>
          <w:i/>
          <w:iCs/>
          <w:sz w:val="27"/>
          <w:szCs w:val="27"/>
        </w:rPr>
        <w:t>People v. Watson</w:t>
      </w:r>
      <w:r w:rsidRPr="009252C3" w:rsidR="009F1D23">
        <w:rPr>
          <w:rFonts w:ascii="Century Schoolbook" w:hAnsi="Century Schoolbook"/>
          <w:iCs/>
          <w:sz w:val="27"/>
          <w:szCs w:val="27"/>
        </w:rPr>
        <w:t xml:space="preserve">, </w:t>
      </w:r>
      <w:r w:rsidRPr="009252C3" w:rsidR="009F1D23">
        <w:rPr>
          <w:rFonts w:ascii="Century Schoolbook" w:hAnsi="Century Schoolbook"/>
          <w:i/>
          <w:iCs/>
          <w:sz w:val="27"/>
          <w:szCs w:val="27"/>
        </w:rPr>
        <w:t>supra</w:t>
      </w:r>
      <w:r w:rsidRPr="009252C3" w:rsidR="009F1D23">
        <w:rPr>
          <w:rFonts w:ascii="Century Schoolbook" w:hAnsi="Century Schoolbook"/>
          <w:iCs/>
          <w:sz w:val="27"/>
          <w:szCs w:val="27"/>
        </w:rPr>
        <w:t>, 46 Cal.2d at p.</w:t>
      </w:r>
      <w:r w:rsidRPr="009252C3" w:rsidR="00BE281B">
        <w:rPr>
          <w:rFonts w:ascii="Century Schoolbook" w:hAnsi="Century Schoolbook"/>
          <w:iCs/>
          <w:sz w:val="27"/>
          <w:szCs w:val="27"/>
        </w:rPr>
        <w:t> </w:t>
      </w:r>
      <w:r w:rsidRPr="009252C3" w:rsidR="009F1D23">
        <w:rPr>
          <w:rFonts w:ascii="Century Schoolbook" w:hAnsi="Century Schoolbook"/>
          <w:iCs/>
          <w:sz w:val="27"/>
          <w:szCs w:val="27"/>
        </w:rPr>
        <w:t>836.)</w:t>
      </w:r>
    </w:p>
    <w:p w:rsidR="00C52AA6"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Second, defendant maintains the prosecutor committed misconduct </w:t>
      </w:r>
      <w:r w:rsidRPr="009252C3" w:rsidR="000F31F2">
        <w:rPr>
          <w:rFonts w:ascii="Century Schoolbook" w:hAnsi="Century Schoolbook"/>
          <w:sz w:val="27"/>
          <w:szCs w:val="27"/>
        </w:rPr>
        <w:t xml:space="preserve">by eliciting an answer from </w:t>
      </w:r>
      <w:r w:rsidRPr="009252C3" w:rsidR="005755B4">
        <w:rPr>
          <w:rFonts w:ascii="Century Schoolbook" w:hAnsi="Century Schoolbook"/>
          <w:sz w:val="27"/>
          <w:szCs w:val="27"/>
        </w:rPr>
        <w:t xml:space="preserve">Sheriff’s </w:t>
      </w:r>
      <w:r w:rsidRPr="009252C3" w:rsidR="000F31F2">
        <w:rPr>
          <w:rFonts w:ascii="Century Schoolbook" w:hAnsi="Century Schoolbook"/>
          <w:sz w:val="27"/>
          <w:szCs w:val="27"/>
        </w:rPr>
        <w:t>S</w:t>
      </w:r>
      <w:r w:rsidRPr="009252C3">
        <w:rPr>
          <w:rFonts w:ascii="Century Schoolbook" w:hAnsi="Century Schoolbook"/>
          <w:sz w:val="27"/>
          <w:szCs w:val="27"/>
        </w:rPr>
        <w:t xml:space="preserve">ergeant </w:t>
      </w:r>
      <w:r w:rsidRPr="009252C3" w:rsidR="000F31F2">
        <w:rPr>
          <w:rFonts w:ascii="Century Schoolbook" w:hAnsi="Century Schoolbook"/>
          <w:sz w:val="27"/>
          <w:szCs w:val="27"/>
        </w:rPr>
        <w:t xml:space="preserve">Harris, </w:t>
      </w:r>
      <w:r w:rsidRPr="009252C3" w:rsidR="005755B4">
        <w:rPr>
          <w:rFonts w:ascii="Century Schoolbook" w:hAnsi="Century Schoolbook"/>
          <w:sz w:val="27"/>
          <w:szCs w:val="27"/>
        </w:rPr>
        <w:t xml:space="preserve">who was </w:t>
      </w:r>
      <w:r w:rsidRPr="009252C3">
        <w:rPr>
          <w:rFonts w:ascii="Century Schoolbook" w:hAnsi="Century Schoolbook"/>
          <w:sz w:val="27"/>
          <w:szCs w:val="27"/>
        </w:rPr>
        <w:t xml:space="preserve">on the patrol boat </w:t>
      </w:r>
      <w:r w:rsidRPr="009252C3" w:rsidR="00821FE2">
        <w:rPr>
          <w:rFonts w:ascii="Century Schoolbook" w:hAnsi="Century Schoolbook"/>
          <w:sz w:val="27"/>
          <w:szCs w:val="27"/>
        </w:rPr>
        <w:t xml:space="preserve">when defendant was </w:t>
      </w:r>
      <w:r w:rsidRPr="009252C3">
        <w:rPr>
          <w:rFonts w:ascii="Century Schoolbook" w:hAnsi="Century Schoolbook"/>
          <w:sz w:val="27"/>
          <w:szCs w:val="27"/>
        </w:rPr>
        <w:t>arrested</w:t>
      </w:r>
      <w:r w:rsidRPr="009252C3" w:rsidR="000F31F2">
        <w:rPr>
          <w:rFonts w:ascii="Century Schoolbook" w:hAnsi="Century Schoolbook"/>
          <w:sz w:val="27"/>
          <w:szCs w:val="27"/>
        </w:rPr>
        <w:t>,</w:t>
      </w:r>
      <w:r w:rsidRPr="009252C3">
        <w:rPr>
          <w:rFonts w:ascii="Century Schoolbook" w:hAnsi="Century Schoolbook"/>
          <w:sz w:val="27"/>
          <w:szCs w:val="27"/>
        </w:rPr>
        <w:t xml:space="preserve"> to the effect that </w:t>
      </w:r>
      <w:r w:rsidRPr="009252C3" w:rsidR="000F31F2">
        <w:rPr>
          <w:rFonts w:ascii="Century Schoolbook" w:hAnsi="Century Schoolbook"/>
          <w:sz w:val="27"/>
          <w:szCs w:val="27"/>
        </w:rPr>
        <w:t xml:space="preserve">given defendant’s situation—stuck </w:t>
      </w:r>
      <w:r w:rsidRPr="009252C3" w:rsidR="00684C1A">
        <w:rPr>
          <w:rFonts w:ascii="Century Schoolbook" w:hAnsi="Century Schoolbook"/>
          <w:sz w:val="27"/>
          <w:szCs w:val="27"/>
        </w:rPr>
        <w:t xml:space="preserve">as he was </w:t>
      </w:r>
      <w:r w:rsidRPr="009252C3" w:rsidR="000F31F2">
        <w:rPr>
          <w:rFonts w:ascii="Century Schoolbook" w:hAnsi="Century Schoolbook"/>
          <w:sz w:val="27"/>
          <w:szCs w:val="27"/>
        </w:rPr>
        <w:t xml:space="preserve">in the mud with a rising river—Harris </w:t>
      </w:r>
      <w:r w:rsidRPr="009252C3" w:rsidR="005755B4">
        <w:rPr>
          <w:rFonts w:ascii="Century Schoolbook" w:hAnsi="Century Schoolbook"/>
          <w:sz w:val="27"/>
          <w:szCs w:val="27"/>
        </w:rPr>
        <w:t>thought</w:t>
      </w:r>
      <w:r w:rsidRPr="009252C3" w:rsidR="000F31F2">
        <w:rPr>
          <w:rFonts w:ascii="Century Schoolbook" w:hAnsi="Century Schoolbook"/>
          <w:sz w:val="27"/>
          <w:szCs w:val="27"/>
        </w:rPr>
        <w:t xml:space="preserve"> defendant </w:t>
      </w:r>
      <w:r w:rsidRPr="009252C3" w:rsidR="005755B4">
        <w:rPr>
          <w:rFonts w:ascii="Century Schoolbook" w:hAnsi="Century Schoolbook"/>
          <w:sz w:val="27"/>
          <w:szCs w:val="27"/>
        </w:rPr>
        <w:t>should have been</w:t>
      </w:r>
      <w:r w:rsidRPr="009252C3" w:rsidR="000F31F2">
        <w:rPr>
          <w:rFonts w:ascii="Century Schoolbook" w:hAnsi="Century Schoolbook"/>
          <w:sz w:val="27"/>
          <w:szCs w:val="27"/>
        </w:rPr>
        <w:t xml:space="preserve"> happy to see the patrol boat.</w:t>
      </w:r>
      <w:r w:rsidRPr="009252C3" w:rsidR="00CF7467">
        <w:rPr>
          <w:rFonts w:ascii="Century Schoolbook" w:hAnsi="Century Schoolbook"/>
          <w:sz w:val="27"/>
          <w:szCs w:val="27"/>
        </w:rPr>
        <w:t xml:space="preserve"> </w:t>
      </w:r>
      <w:r w:rsidRPr="009252C3" w:rsidR="002477A6">
        <w:rPr>
          <w:rFonts w:ascii="Century Schoolbook" w:hAnsi="Century Schoolbook"/>
          <w:sz w:val="27"/>
          <w:szCs w:val="27"/>
        </w:rPr>
        <w:t xml:space="preserve"> </w:t>
      </w:r>
      <w:r w:rsidRPr="009252C3" w:rsidR="005755B4">
        <w:rPr>
          <w:rFonts w:ascii="Century Schoolbook" w:hAnsi="Century Schoolbook"/>
          <w:sz w:val="27"/>
          <w:szCs w:val="27"/>
        </w:rPr>
        <w:t>In a</w:t>
      </w:r>
      <w:r w:rsidRPr="009252C3" w:rsidR="00992E41">
        <w:rPr>
          <w:rFonts w:ascii="Century Schoolbook" w:hAnsi="Century Schoolbook"/>
          <w:sz w:val="27"/>
          <w:szCs w:val="27"/>
        </w:rPr>
        <w:t>n earlier</w:t>
      </w:r>
      <w:r w:rsidRPr="009252C3" w:rsidR="000F31F2">
        <w:rPr>
          <w:rFonts w:ascii="Century Schoolbook" w:hAnsi="Century Schoolbook"/>
          <w:sz w:val="27"/>
          <w:szCs w:val="27"/>
        </w:rPr>
        <w:t xml:space="preserve"> hearing out of the jury’s presence</w:t>
      </w:r>
      <w:r w:rsidRPr="009252C3" w:rsidR="005755B4">
        <w:rPr>
          <w:rFonts w:ascii="Century Schoolbook" w:hAnsi="Century Schoolbook"/>
          <w:sz w:val="27"/>
          <w:szCs w:val="27"/>
        </w:rPr>
        <w:t xml:space="preserve">, </w:t>
      </w:r>
      <w:r w:rsidRPr="009252C3" w:rsidR="000F31F2">
        <w:rPr>
          <w:rFonts w:ascii="Century Schoolbook" w:hAnsi="Century Schoolbook"/>
          <w:sz w:val="27"/>
          <w:szCs w:val="27"/>
        </w:rPr>
        <w:t xml:space="preserve">the court had ruled </w:t>
      </w:r>
      <w:r w:rsidRPr="009252C3" w:rsidR="005755B4">
        <w:rPr>
          <w:rFonts w:ascii="Century Schoolbook" w:hAnsi="Century Schoolbook"/>
          <w:sz w:val="27"/>
          <w:szCs w:val="27"/>
        </w:rPr>
        <w:t xml:space="preserve">that </w:t>
      </w:r>
      <w:r w:rsidRPr="009252C3" w:rsidR="000F31F2">
        <w:rPr>
          <w:rFonts w:ascii="Century Schoolbook" w:hAnsi="Century Schoolbook"/>
          <w:sz w:val="27"/>
          <w:szCs w:val="27"/>
        </w:rPr>
        <w:t xml:space="preserve">Harris could describe defendant’s reaction to the boat’s arrival and could relate </w:t>
      </w:r>
      <w:r w:rsidRPr="009252C3" w:rsidR="005755B4">
        <w:rPr>
          <w:rFonts w:ascii="Century Schoolbook" w:hAnsi="Century Schoolbook"/>
          <w:sz w:val="27"/>
          <w:szCs w:val="27"/>
        </w:rPr>
        <w:t xml:space="preserve">his </w:t>
      </w:r>
      <w:r w:rsidRPr="009252C3" w:rsidR="000F31F2">
        <w:rPr>
          <w:rFonts w:ascii="Century Schoolbook" w:hAnsi="Century Schoolbook"/>
          <w:sz w:val="27"/>
          <w:szCs w:val="27"/>
        </w:rPr>
        <w:t>own observations about the rising water, but could not say defendant’s reaction went against his expectation</w:t>
      </w:r>
      <w:r w:rsidRPr="009252C3" w:rsidR="005755B4">
        <w:rPr>
          <w:rFonts w:ascii="Century Schoolbook" w:hAnsi="Century Schoolbook"/>
          <w:sz w:val="27"/>
          <w:szCs w:val="27"/>
        </w:rPr>
        <w:t>s</w:t>
      </w:r>
      <w:r w:rsidRPr="009252C3" w:rsidR="000F31F2">
        <w:rPr>
          <w:rFonts w:ascii="Century Schoolbook" w:hAnsi="Century Schoolbook"/>
          <w:sz w:val="27"/>
          <w:szCs w:val="27"/>
        </w:rPr>
        <w:t xml:space="preserve">.  </w:t>
      </w:r>
      <w:r w:rsidRPr="009252C3">
        <w:rPr>
          <w:rFonts w:ascii="Century Schoolbook" w:hAnsi="Century Schoolbook"/>
          <w:sz w:val="27"/>
          <w:szCs w:val="27"/>
        </w:rPr>
        <w:t>After establishing that defendant seemed to H</w:t>
      </w:r>
      <w:r w:rsidRPr="009252C3" w:rsidR="005755B4">
        <w:rPr>
          <w:rFonts w:ascii="Century Schoolbook" w:hAnsi="Century Schoolbook"/>
          <w:sz w:val="27"/>
          <w:szCs w:val="27"/>
        </w:rPr>
        <w:t>arris unenthusiastic about the</w:t>
      </w:r>
      <w:r w:rsidRPr="009252C3">
        <w:rPr>
          <w:rFonts w:ascii="Century Schoolbook" w:hAnsi="Century Schoolbook"/>
          <w:sz w:val="27"/>
          <w:szCs w:val="27"/>
        </w:rPr>
        <w:t xml:space="preserve"> boat’s arrival, t</w:t>
      </w:r>
      <w:r w:rsidRPr="009252C3" w:rsidR="000F31F2">
        <w:rPr>
          <w:rFonts w:ascii="Century Schoolbook" w:hAnsi="Century Schoolbook"/>
          <w:sz w:val="27"/>
          <w:szCs w:val="27"/>
        </w:rPr>
        <w:t xml:space="preserve">he prosecutor asked, “Did it appear to you that he was in any kind of predicament at that point?”  </w:t>
      </w:r>
      <w:r w:rsidRPr="009252C3">
        <w:rPr>
          <w:rFonts w:ascii="Century Schoolbook" w:hAnsi="Century Schoolbook"/>
          <w:sz w:val="27"/>
          <w:szCs w:val="27"/>
        </w:rPr>
        <w:t xml:space="preserve">Harris answered:  “Yes.  Under the circumstances, his lack of enthusiasm caught my attention due to the fact he was in quite some peril there and his pickup being in the location it was and the river rising and weather and the fact that he was stuck would have actually—I thought he—to the contrary, that he would be very glad to see us.”  </w:t>
      </w:r>
    </w:p>
    <w:p w:rsidR="006D1C18"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There was no prosecutorial misconduct.  </w:t>
      </w:r>
      <w:r w:rsidRPr="009252C3" w:rsidR="00C52AA6">
        <w:rPr>
          <w:rFonts w:ascii="Century Schoolbook" w:hAnsi="Century Schoolbook"/>
          <w:sz w:val="27"/>
          <w:szCs w:val="27"/>
        </w:rPr>
        <w:t xml:space="preserve">Although Harris’s answer may have gone beyond the limit set by the court, the prosecutor’s question did not call for </w:t>
      </w:r>
      <w:r w:rsidRPr="009252C3" w:rsidR="00AD764D">
        <w:rPr>
          <w:rFonts w:ascii="Century Schoolbook" w:hAnsi="Century Schoolbook"/>
          <w:sz w:val="27"/>
          <w:szCs w:val="27"/>
        </w:rPr>
        <w:t xml:space="preserve">Harris to give </w:t>
      </w:r>
      <w:r w:rsidRPr="009252C3" w:rsidR="00C52AA6">
        <w:rPr>
          <w:rFonts w:ascii="Century Schoolbook" w:hAnsi="Century Schoolbook"/>
          <w:sz w:val="27"/>
          <w:szCs w:val="27"/>
        </w:rPr>
        <w:t>such an answer</w:t>
      </w:r>
      <w:r w:rsidRPr="009252C3" w:rsidR="005755B4">
        <w:rPr>
          <w:rFonts w:ascii="Century Schoolbook" w:hAnsi="Century Schoolbook"/>
          <w:sz w:val="27"/>
          <w:szCs w:val="27"/>
        </w:rPr>
        <w:t xml:space="preserve"> and there is no indication the prosecutor </w:t>
      </w:r>
      <w:r w:rsidRPr="009252C3">
        <w:rPr>
          <w:rFonts w:ascii="Century Schoolbook" w:hAnsi="Century Schoolbook"/>
          <w:sz w:val="27"/>
          <w:szCs w:val="27"/>
        </w:rPr>
        <w:t xml:space="preserve">instructed or expected </w:t>
      </w:r>
      <w:r w:rsidRPr="009252C3" w:rsidR="005755B4">
        <w:rPr>
          <w:rFonts w:ascii="Century Schoolbook" w:hAnsi="Century Schoolbook"/>
          <w:sz w:val="27"/>
          <w:szCs w:val="27"/>
        </w:rPr>
        <w:t>Harris to give it</w:t>
      </w:r>
      <w:r w:rsidRPr="009252C3" w:rsidR="00C52AA6">
        <w:rPr>
          <w:rFonts w:ascii="Century Schoolbook" w:hAnsi="Century Schoolbook"/>
          <w:sz w:val="27"/>
          <w:szCs w:val="27"/>
        </w:rPr>
        <w:t xml:space="preserve">.  </w:t>
      </w:r>
      <w:r w:rsidRPr="009252C3">
        <w:rPr>
          <w:rFonts w:ascii="Century Schoolbook" w:hAnsi="Century Schoolbook"/>
          <w:sz w:val="27"/>
          <w:szCs w:val="27"/>
        </w:rPr>
        <w:t>(</w:t>
      </w:r>
      <w:r w:rsidRPr="009252C3" w:rsidR="006E698F">
        <w:rPr>
          <w:rFonts w:ascii="Century Schoolbook" w:hAnsi="Century Schoolbook"/>
          <w:sz w:val="27"/>
          <w:szCs w:val="27"/>
        </w:rPr>
        <w:t>Cf.</w:t>
      </w:r>
      <w:r w:rsidRPr="009252C3">
        <w:rPr>
          <w:rFonts w:ascii="Century Schoolbook" w:hAnsi="Century Schoolbook"/>
          <w:sz w:val="27"/>
          <w:szCs w:val="27"/>
        </w:rPr>
        <w:t xml:space="preserve"> </w:t>
      </w:r>
      <w:r w:rsidRPr="009252C3">
        <w:rPr>
          <w:rFonts w:ascii="Century Schoolbook" w:hAnsi="Century Schoolbook"/>
          <w:i/>
          <w:iCs/>
          <w:sz w:val="27"/>
          <w:szCs w:val="27"/>
        </w:rPr>
        <w:t>People v. Warren</w:t>
      </w:r>
      <w:r w:rsidRPr="009252C3" w:rsidR="00C86C01">
        <w:rPr>
          <w:rFonts w:ascii="Century Schoolbook" w:hAnsi="Century Schoolbook"/>
          <w:i/>
          <w:iCs/>
          <w:sz w:val="27"/>
          <w:szCs w:val="27"/>
        </w:rPr>
        <w:t xml:space="preserve"> </w:t>
      </w:r>
      <w:r w:rsidRPr="009252C3">
        <w:rPr>
          <w:rFonts w:ascii="Century Schoolbook" w:hAnsi="Century Schoolbook"/>
          <w:sz w:val="27"/>
          <w:szCs w:val="27"/>
        </w:rPr>
        <w:t xml:space="preserve">(1988) 45 Cal.3d 471, 482 [prosecutor who expects witness may give an inadmissible answer must warn witness].)  </w:t>
      </w:r>
    </w:p>
    <w:p w:rsidR="00A3044C"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Third, defendant contends the prosecutor </w:t>
      </w:r>
      <w:r w:rsidRPr="009252C3" w:rsidR="00BA5939">
        <w:rPr>
          <w:rFonts w:ascii="Century Schoolbook" w:hAnsi="Century Schoolbook"/>
          <w:sz w:val="27"/>
          <w:szCs w:val="27"/>
        </w:rPr>
        <w:t>exceeded</w:t>
      </w:r>
      <w:r w:rsidRPr="009252C3">
        <w:rPr>
          <w:rFonts w:ascii="Century Schoolbook" w:hAnsi="Century Schoolbook"/>
          <w:sz w:val="27"/>
          <w:szCs w:val="27"/>
        </w:rPr>
        <w:t xml:space="preserve"> the scope of proper rebuttal in his final argument to the jury </w:t>
      </w:r>
      <w:r w:rsidRPr="009252C3" w:rsidR="00F47F94">
        <w:rPr>
          <w:rFonts w:ascii="Century Schoolbook" w:hAnsi="Century Schoolbook"/>
          <w:sz w:val="27"/>
          <w:szCs w:val="27"/>
        </w:rPr>
        <w:t xml:space="preserve">by </w:t>
      </w:r>
      <w:r w:rsidRPr="009252C3" w:rsidR="005F04A5">
        <w:rPr>
          <w:rFonts w:ascii="Century Schoolbook" w:hAnsi="Century Schoolbook"/>
          <w:sz w:val="27"/>
          <w:szCs w:val="27"/>
        </w:rPr>
        <w:t>expressing skepticism that defendant could have walked around 10 miles in wet</w:t>
      </w:r>
      <w:r w:rsidRPr="009252C3" w:rsidR="005755B4">
        <w:rPr>
          <w:rFonts w:ascii="Century Schoolbook" w:hAnsi="Century Schoolbook"/>
          <w:sz w:val="27"/>
          <w:szCs w:val="27"/>
        </w:rPr>
        <w:t xml:space="preserve"> conditions</w:t>
      </w:r>
      <w:r w:rsidRPr="009252C3" w:rsidR="00C022A0">
        <w:rPr>
          <w:rFonts w:ascii="Century Schoolbook" w:hAnsi="Century Schoolbook"/>
          <w:sz w:val="27"/>
          <w:szCs w:val="27"/>
        </w:rPr>
        <w:t>,</w:t>
      </w:r>
      <w:r w:rsidRPr="009252C3" w:rsidR="005F04A5">
        <w:rPr>
          <w:rFonts w:ascii="Century Schoolbook" w:hAnsi="Century Schoolbook"/>
          <w:sz w:val="27"/>
          <w:szCs w:val="27"/>
        </w:rPr>
        <w:t xml:space="preserve"> wearing old, “cruddy” shoes, without getting blisters on his feet.  </w:t>
      </w:r>
      <w:r w:rsidRPr="009252C3" w:rsidR="00BA257E">
        <w:rPr>
          <w:rFonts w:ascii="Century Schoolbook" w:hAnsi="Century Schoolbook"/>
          <w:sz w:val="27"/>
          <w:szCs w:val="27"/>
        </w:rPr>
        <w:t>We disagree.  Though d</w:t>
      </w:r>
      <w:r w:rsidRPr="009252C3" w:rsidR="00D3151D">
        <w:rPr>
          <w:rFonts w:ascii="Century Schoolbook" w:hAnsi="Century Schoolbook"/>
          <w:sz w:val="27"/>
          <w:szCs w:val="27"/>
        </w:rPr>
        <w:t xml:space="preserve">efense counsel </w:t>
      </w:r>
      <w:r w:rsidRPr="009252C3" w:rsidR="00BA257E">
        <w:rPr>
          <w:rFonts w:ascii="Century Schoolbook" w:hAnsi="Century Schoolbook"/>
          <w:sz w:val="27"/>
          <w:szCs w:val="27"/>
        </w:rPr>
        <w:t xml:space="preserve">spent most of his </w:t>
      </w:r>
      <w:r w:rsidRPr="009252C3" w:rsidR="005755B4">
        <w:rPr>
          <w:rFonts w:ascii="Century Schoolbook" w:hAnsi="Century Schoolbook"/>
          <w:sz w:val="27"/>
          <w:szCs w:val="27"/>
        </w:rPr>
        <w:t>closing</w:t>
      </w:r>
      <w:r w:rsidRPr="009252C3" w:rsidR="00BA257E">
        <w:rPr>
          <w:rFonts w:ascii="Century Schoolbook" w:hAnsi="Century Schoolbook"/>
          <w:sz w:val="27"/>
          <w:szCs w:val="27"/>
        </w:rPr>
        <w:t xml:space="preserve"> argument </w:t>
      </w:r>
      <w:r w:rsidRPr="009252C3" w:rsidR="005A0A2E">
        <w:rPr>
          <w:rFonts w:ascii="Century Schoolbook" w:hAnsi="Century Schoolbook"/>
          <w:sz w:val="27"/>
          <w:szCs w:val="27"/>
        </w:rPr>
        <w:t>pointing to</w:t>
      </w:r>
      <w:r w:rsidRPr="009252C3" w:rsidR="00BA257E">
        <w:rPr>
          <w:rFonts w:ascii="Century Schoolbook" w:hAnsi="Century Schoolbook"/>
          <w:sz w:val="27"/>
          <w:szCs w:val="27"/>
        </w:rPr>
        <w:t xml:space="preserve"> purported weaknesses in the prosecution case</w:t>
      </w:r>
      <w:r w:rsidRPr="009252C3" w:rsidR="005A0A2E">
        <w:rPr>
          <w:rFonts w:ascii="Century Schoolbook" w:hAnsi="Century Schoolbook"/>
          <w:sz w:val="27"/>
          <w:szCs w:val="27"/>
        </w:rPr>
        <w:t xml:space="preserve"> and suggesting that someone else</w:t>
      </w:r>
      <w:r w:rsidRPr="009252C3" w:rsidR="00C022A0">
        <w:rPr>
          <w:rFonts w:ascii="Century Schoolbook" w:hAnsi="Century Schoolbook"/>
          <w:sz w:val="27"/>
          <w:szCs w:val="27"/>
        </w:rPr>
        <w:t xml:space="preserve"> (</w:t>
      </w:r>
      <w:r w:rsidRPr="009252C3" w:rsidR="005A0A2E">
        <w:rPr>
          <w:rFonts w:ascii="Century Schoolbook" w:hAnsi="Century Schoolbook"/>
          <w:sz w:val="27"/>
          <w:szCs w:val="27"/>
        </w:rPr>
        <w:t>for example</w:t>
      </w:r>
      <w:r w:rsidRPr="009252C3" w:rsidR="00C022A0">
        <w:rPr>
          <w:rFonts w:ascii="Century Schoolbook" w:hAnsi="Century Schoolbook"/>
          <w:sz w:val="27"/>
          <w:szCs w:val="27"/>
        </w:rPr>
        <w:t xml:space="preserve">, </w:t>
      </w:r>
      <w:r w:rsidRPr="009252C3" w:rsidR="005A0A2E">
        <w:rPr>
          <w:rFonts w:ascii="Century Schoolbook" w:hAnsi="Century Schoolbook"/>
          <w:sz w:val="27"/>
          <w:szCs w:val="27"/>
        </w:rPr>
        <w:t>Bobbie Lem</w:t>
      </w:r>
      <w:r w:rsidRPr="009252C3" w:rsidR="00BD46A7">
        <w:rPr>
          <w:rFonts w:ascii="Century Schoolbook" w:hAnsi="Century Schoolbook"/>
          <w:sz w:val="27"/>
          <w:szCs w:val="27"/>
        </w:rPr>
        <w:t>m</w:t>
      </w:r>
      <w:r w:rsidRPr="009252C3" w:rsidR="005A0A2E">
        <w:rPr>
          <w:rFonts w:ascii="Century Schoolbook" w:hAnsi="Century Schoolbook"/>
          <w:sz w:val="27"/>
          <w:szCs w:val="27"/>
        </w:rPr>
        <w:t>ons</w:t>
      </w:r>
      <w:r w:rsidRPr="009252C3" w:rsidR="00C022A0">
        <w:rPr>
          <w:rFonts w:ascii="Century Schoolbook" w:hAnsi="Century Schoolbook"/>
          <w:sz w:val="27"/>
          <w:szCs w:val="27"/>
        </w:rPr>
        <w:t>)</w:t>
      </w:r>
      <w:r w:rsidRPr="009252C3" w:rsidR="005A0A2E">
        <w:rPr>
          <w:rFonts w:ascii="Century Schoolbook" w:hAnsi="Century Schoolbook"/>
          <w:sz w:val="27"/>
          <w:szCs w:val="27"/>
        </w:rPr>
        <w:t xml:space="preserve"> might have been the killer</w:t>
      </w:r>
      <w:r w:rsidRPr="009252C3" w:rsidR="00BA257E">
        <w:rPr>
          <w:rFonts w:ascii="Century Schoolbook" w:hAnsi="Century Schoolbook"/>
          <w:sz w:val="27"/>
          <w:szCs w:val="27"/>
        </w:rPr>
        <w:t xml:space="preserve">, he also </w:t>
      </w:r>
      <w:r w:rsidRPr="009252C3" w:rsidR="00116860">
        <w:rPr>
          <w:rFonts w:ascii="Century Schoolbook" w:hAnsi="Century Schoolbook"/>
          <w:sz w:val="27"/>
          <w:szCs w:val="27"/>
        </w:rPr>
        <w:t>maintained</w:t>
      </w:r>
      <w:r w:rsidRPr="009252C3" w:rsidR="00D3151D">
        <w:rPr>
          <w:rFonts w:ascii="Century Schoolbook" w:hAnsi="Century Schoolbook"/>
          <w:sz w:val="27"/>
          <w:szCs w:val="27"/>
        </w:rPr>
        <w:t xml:space="preserve"> that defendant’s testimony was consistent and believable.  </w:t>
      </w:r>
      <w:r w:rsidRPr="009252C3" w:rsidR="005A0A2E">
        <w:rPr>
          <w:rFonts w:ascii="Century Schoolbook" w:hAnsi="Century Schoolbook"/>
          <w:sz w:val="27"/>
          <w:szCs w:val="27"/>
        </w:rPr>
        <w:t>And since defendant had no alibi for the period of Michael’s killing, the defense claim of innocence depended critically on the believability of defendant’s account of his actions during that time.  It was fair rebuttal for the prosecutor to point out implausible aspects of that account.</w:t>
      </w:r>
      <w:r>
        <w:rPr>
          <w:rStyle w:val="FootnoteReference"/>
          <w:rFonts w:ascii="Century Schoolbook" w:hAnsi="Century Schoolbook"/>
          <w:sz w:val="27"/>
          <w:szCs w:val="27"/>
          <w:vertAlign w:val="superscript"/>
        </w:rPr>
        <w:footnoteReference w:id="11"/>
      </w:r>
    </w:p>
    <w:p w:rsidR="00272BC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Finally,</w:t>
      </w:r>
      <w:r w:rsidRPr="009252C3" w:rsidR="00306C3A">
        <w:rPr>
          <w:rFonts w:ascii="Century Schoolbook" w:hAnsi="Century Schoolbook"/>
          <w:sz w:val="27"/>
          <w:szCs w:val="27"/>
        </w:rPr>
        <w:t xml:space="preserve"> defendant complains of</w:t>
      </w:r>
      <w:r w:rsidRPr="009252C3">
        <w:rPr>
          <w:rFonts w:ascii="Century Schoolbook" w:hAnsi="Century Schoolbook"/>
          <w:sz w:val="27"/>
          <w:szCs w:val="27"/>
        </w:rPr>
        <w:t xml:space="preserve"> t</w:t>
      </w:r>
      <w:r w:rsidRPr="009252C3" w:rsidR="008B20CC">
        <w:rPr>
          <w:rFonts w:ascii="Century Schoolbook" w:hAnsi="Century Schoolbook"/>
          <w:sz w:val="27"/>
          <w:szCs w:val="27"/>
        </w:rPr>
        <w:t xml:space="preserve">he prosecutor’s argument that the </w:t>
      </w:r>
      <w:r w:rsidRPr="009252C3" w:rsidR="00BA5939">
        <w:rPr>
          <w:rFonts w:ascii="Century Schoolbook" w:hAnsi="Century Schoolbook"/>
          <w:sz w:val="27"/>
          <w:szCs w:val="27"/>
        </w:rPr>
        <w:t xml:space="preserve">large, </w:t>
      </w:r>
      <w:r w:rsidRPr="009252C3" w:rsidR="008B20CC">
        <w:rPr>
          <w:rFonts w:ascii="Century Schoolbook" w:hAnsi="Century Schoolbook"/>
          <w:sz w:val="27"/>
          <w:szCs w:val="27"/>
        </w:rPr>
        <w:t xml:space="preserve">dilute bloodstain on defendant’s shirt must have come from Michael because defendant’s scratches would not have produced </w:t>
      </w:r>
      <w:r w:rsidRPr="009252C3" w:rsidR="00BA5939">
        <w:rPr>
          <w:rFonts w:ascii="Century Schoolbook" w:hAnsi="Century Schoolbook"/>
          <w:sz w:val="27"/>
          <w:szCs w:val="27"/>
        </w:rPr>
        <w:t xml:space="preserve">such a significant </w:t>
      </w:r>
      <w:r w:rsidRPr="009252C3" w:rsidR="008B20CC">
        <w:rPr>
          <w:rFonts w:ascii="Century Schoolbook" w:hAnsi="Century Schoolbook"/>
          <w:sz w:val="27"/>
          <w:szCs w:val="27"/>
        </w:rPr>
        <w:t>amount of blood</w:t>
      </w:r>
      <w:r w:rsidRPr="009252C3" w:rsidR="00306C3A">
        <w:rPr>
          <w:rFonts w:ascii="Century Schoolbook" w:hAnsi="Century Schoolbook"/>
          <w:sz w:val="27"/>
          <w:szCs w:val="27"/>
        </w:rPr>
        <w:t xml:space="preserve">. </w:t>
      </w:r>
      <w:r w:rsidRPr="009252C3" w:rsidR="008B20CC">
        <w:rPr>
          <w:rFonts w:ascii="Century Schoolbook" w:hAnsi="Century Schoolbook"/>
          <w:sz w:val="27"/>
          <w:szCs w:val="27"/>
        </w:rPr>
        <w:t xml:space="preserve"> </w:t>
      </w:r>
      <w:r w:rsidRPr="009252C3" w:rsidR="005068E8">
        <w:rPr>
          <w:rFonts w:ascii="Century Schoolbook" w:hAnsi="Century Schoolbook"/>
          <w:sz w:val="27"/>
          <w:szCs w:val="27"/>
        </w:rPr>
        <w:t>D</w:t>
      </w:r>
      <w:r w:rsidRPr="009252C3" w:rsidR="008B20CC">
        <w:rPr>
          <w:rFonts w:ascii="Century Schoolbook" w:hAnsi="Century Schoolbook"/>
          <w:sz w:val="27"/>
          <w:szCs w:val="27"/>
        </w:rPr>
        <w:t xml:space="preserve">efendant </w:t>
      </w:r>
      <w:r w:rsidRPr="009252C3" w:rsidR="00306C3A">
        <w:rPr>
          <w:rFonts w:ascii="Century Schoolbook" w:hAnsi="Century Schoolbook"/>
          <w:sz w:val="27"/>
          <w:szCs w:val="27"/>
        </w:rPr>
        <w:t>maintains</w:t>
      </w:r>
      <w:r w:rsidRPr="009252C3" w:rsidR="005068E8">
        <w:rPr>
          <w:rFonts w:ascii="Century Schoolbook" w:hAnsi="Century Schoolbook"/>
          <w:sz w:val="27"/>
          <w:szCs w:val="27"/>
        </w:rPr>
        <w:t xml:space="preserve"> this</w:t>
      </w:r>
      <w:r w:rsidRPr="009252C3" w:rsidR="008B20CC">
        <w:rPr>
          <w:rFonts w:ascii="Century Schoolbook" w:hAnsi="Century Schoolbook"/>
          <w:sz w:val="27"/>
          <w:szCs w:val="27"/>
        </w:rPr>
        <w:t xml:space="preserve"> </w:t>
      </w:r>
      <w:r w:rsidRPr="009252C3" w:rsidR="00BA5939">
        <w:rPr>
          <w:rFonts w:ascii="Century Schoolbook" w:hAnsi="Century Schoolbook"/>
          <w:sz w:val="27"/>
          <w:szCs w:val="27"/>
        </w:rPr>
        <w:t xml:space="preserve">argument </w:t>
      </w:r>
      <w:r w:rsidRPr="009252C3" w:rsidR="008B20CC">
        <w:rPr>
          <w:rFonts w:ascii="Century Schoolbook" w:hAnsi="Century Schoolbook"/>
          <w:sz w:val="27"/>
          <w:szCs w:val="27"/>
        </w:rPr>
        <w:t>contradict</w:t>
      </w:r>
      <w:r w:rsidRPr="009252C3" w:rsidR="005068E8">
        <w:rPr>
          <w:rFonts w:ascii="Century Schoolbook" w:hAnsi="Century Schoolbook"/>
          <w:sz w:val="27"/>
          <w:szCs w:val="27"/>
        </w:rPr>
        <w:t>ed</w:t>
      </w:r>
      <w:r w:rsidRPr="009252C3" w:rsidR="008B20CC">
        <w:rPr>
          <w:rFonts w:ascii="Century Schoolbook" w:hAnsi="Century Schoolbook"/>
          <w:sz w:val="27"/>
          <w:szCs w:val="27"/>
        </w:rPr>
        <w:t xml:space="preserve"> the </w:t>
      </w:r>
      <w:r w:rsidRPr="009252C3" w:rsidR="00306C3A">
        <w:rPr>
          <w:rFonts w:ascii="Century Schoolbook" w:hAnsi="Century Schoolbook"/>
          <w:sz w:val="27"/>
          <w:szCs w:val="27"/>
        </w:rPr>
        <w:t>testimony of the</w:t>
      </w:r>
      <w:r w:rsidRPr="009252C3" w:rsidR="008B20CC">
        <w:rPr>
          <w:rFonts w:ascii="Century Schoolbook" w:hAnsi="Century Schoolbook"/>
          <w:sz w:val="27"/>
          <w:szCs w:val="27"/>
        </w:rPr>
        <w:t xml:space="preserve"> prosecution DNA expert</w:t>
      </w:r>
      <w:r w:rsidRPr="009252C3" w:rsidR="00306C3A">
        <w:rPr>
          <w:rFonts w:ascii="Century Schoolbook" w:hAnsi="Century Schoolbook"/>
          <w:sz w:val="27"/>
          <w:szCs w:val="27"/>
        </w:rPr>
        <w:t xml:space="preserve">.  </w:t>
      </w:r>
      <w:r w:rsidRPr="009252C3" w:rsidR="005068E8">
        <w:rPr>
          <w:rFonts w:ascii="Century Schoolbook" w:hAnsi="Century Schoolbook"/>
          <w:sz w:val="27"/>
          <w:szCs w:val="27"/>
        </w:rPr>
        <w:t xml:space="preserve">(See </w:t>
      </w:r>
      <w:r w:rsidRPr="009252C3" w:rsidR="005068E8">
        <w:rPr>
          <w:rFonts w:ascii="Century Schoolbook" w:hAnsi="Century Schoolbook"/>
          <w:i/>
          <w:iCs/>
          <w:sz w:val="27"/>
          <w:szCs w:val="27"/>
        </w:rPr>
        <w:t>People v. Hill</w:t>
      </w:r>
      <w:r w:rsidRPr="009252C3" w:rsidR="005068E8">
        <w:rPr>
          <w:rFonts w:ascii="Century Schoolbook" w:hAnsi="Century Schoolbook"/>
          <w:sz w:val="27"/>
          <w:szCs w:val="27"/>
        </w:rPr>
        <w:t xml:space="preserve">, </w:t>
      </w:r>
      <w:r w:rsidRPr="009252C3" w:rsidR="005068E8">
        <w:rPr>
          <w:rFonts w:ascii="Century Schoolbook" w:hAnsi="Century Schoolbook"/>
          <w:i/>
          <w:sz w:val="27"/>
          <w:szCs w:val="27"/>
        </w:rPr>
        <w:t>supra</w:t>
      </w:r>
      <w:r w:rsidRPr="009252C3" w:rsidR="005068E8">
        <w:rPr>
          <w:rFonts w:ascii="Century Schoolbook" w:hAnsi="Century Schoolbook"/>
          <w:sz w:val="27"/>
          <w:szCs w:val="27"/>
        </w:rPr>
        <w:t>, 17 Cal.4th at p.</w:t>
      </w:r>
      <w:r w:rsidRPr="009252C3" w:rsidR="005B2B40">
        <w:rPr>
          <w:rFonts w:ascii="Century Schoolbook" w:hAnsi="Century Schoolbook"/>
          <w:sz w:val="27"/>
          <w:szCs w:val="27"/>
        </w:rPr>
        <w:t> </w:t>
      </w:r>
      <w:r w:rsidRPr="009252C3" w:rsidR="005068E8">
        <w:rPr>
          <w:rFonts w:ascii="Century Schoolbook" w:hAnsi="Century Schoolbook"/>
          <w:sz w:val="27"/>
          <w:szCs w:val="27"/>
        </w:rPr>
        <w:t xml:space="preserve">823 [“Although prosecutors have wide latitude to draw inferences from the evidence presented at trial, mischaracterizing the evidence is misconduct.”].)  The record does not support defendant’s claim.  </w:t>
      </w:r>
      <w:r w:rsidRPr="009252C3" w:rsidR="00306C3A">
        <w:rPr>
          <w:rFonts w:ascii="Century Schoolbook" w:hAnsi="Century Schoolbook"/>
          <w:sz w:val="27"/>
          <w:szCs w:val="27"/>
        </w:rPr>
        <w:t>The expert</w:t>
      </w:r>
      <w:r w:rsidRPr="009252C3" w:rsidR="008B20CC">
        <w:rPr>
          <w:rFonts w:ascii="Century Schoolbook" w:hAnsi="Century Schoolbook"/>
          <w:sz w:val="27"/>
          <w:szCs w:val="27"/>
        </w:rPr>
        <w:t xml:space="preserve"> testified that DNA obtained from the shirt matched defendant rather than the victim, but also made clear that the DNA did not necessarily come from the bloodstain, which was very </w:t>
      </w:r>
      <w:r w:rsidRPr="009252C3">
        <w:rPr>
          <w:rFonts w:ascii="Century Schoolbook" w:hAnsi="Century Schoolbook"/>
          <w:sz w:val="27"/>
          <w:szCs w:val="27"/>
        </w:rPr>
        <w:t xml:space="preserve">faint and appeared diluted; it could instead have come from skin cells deposited by the </w:t>
      </w:r>
      <w:r w:rsidRPr="009252C3" w:rsidR="006E44EF">
        <w:rPr>
          <w:rFonts w:ascii="Century Schoolbook" w:hAnsi="Century Schoolbook"/>
          <w:sz w:val="27"/>
          <w:szCs w:val="27"/>
        </w:rPr>
        <w:t xml:space="preserve">person wearing the </w:t>
      </w:r>
      <w:r w:rsidRPr="009252C3">
        <w:rPr>
          <w:rFonts w:ascii="Century Schoolbook" w:hAnsi="Century Schoolbook"/>
          <w:sz w:val="27"/>
          <w:szCs w:val="27"/>
        </w:rPr>
        <w:t xml:space="preserve">shirt.  The prosecutor </w:t>
      </w:r>
      <w:r w:rsidRPr="009252C3" w:rsidR="00A3044C">
        <w:rPr>
          <w:rFonts w:ascii="Century Schoolbook" w:hAnsi="Century Schoolbook"/>
          <w:sz w:val="27"/>
          <w:szCs w:val="27"/>
        </w:rPr>
        <w:t xml:space="preserve">thus </w:t>
      </w:r>
      <w:r w:rsidRPr="009252C3">
        <w:rPr>
          <w:rFonts w:ascii="Century Schoolbook" w:hAnsi="Century Schoolbook"/>
          <w:sz w:val="27"/>
          <w:szCs w:val="27"/>
        </w:rPr>
        <w:t xml:space="preserve">urged fair inferences from the </w:t>
      </w:r>
      <w:r w:rsidRPr="009252C3" w:rsidR="00A3044C">
        <w:rPr>
          <w:rFonts w:ascii="Century Schoolbook" w:hAnsi="Century Schoolbook"/>
          <w:sz w:val="27"/>
          <w:szCs w:val="27"/>
        </w:rPr>
        <w:t>evidence</w:t>
      </w:r>
      <w:r w:rsidRPr="009252C3">
        <w:rPr>
          <w:rFonts w:ascii="Century Schoolbook" w:hAnsi="Century Schoolbook"/>
          <w:sz w:val="27"/>
          <w:szCs w:val="27"/>
        </w:rPr>
        <w:t xml:space="preserve"> in arguing that </w:t>
      </w:r>
      <w:r w:rsidR="00BF210A">
        <w:rPr>
          <w:rFonts w:ascii="Century Schoolbook" w:hAnsi="Century Schoolbook"/>
          <w:sz w:val="27"/>
          <w:szCs w:val="27"/>
        </w:rPr>
        <w:t>although</w:t>
      </w:r>
      <w:r w:rsidRPr="009252C3">
        <w:rPr>
          <w:rFonts w:ascii="Century Schoolbook" w:hAnsi="Century Schoolbook"/>
          <w:sz w:val="27"/>
          <w:szCs w:val="27"/>
        </w:rPr>
        <w:t xml:space="preserve"> the DNA was defendant’s because he was wearing the shirt, the blood</w:t>
      </w:r>
      <w:r w:rsidRPr="009252C3" w:rsidR="006E44EF">
        <w:rPr>
          <w:rFonts w:ascii="Century Schoolbook" w:hAnsi="Century Schoolbook"/>
          <w:sz w:val="27"/>
          <w:szCs w:val="27"/>
        </w:rPr>
        <w:t xml:space="preserve"> (</w:t>
      </w:r>
      <w:r w:rsidRPr="009252C3">
        <w:rPr>
          <w:rFonts w:ascii="Century Schoolbook" w:hAnsi="Century Schoolbook"/>
          <w:sz w:val="27"/>
          <w:szCs w:val="27"/>
        </w:rPr>
        <w:t>which defendant had tried to wash out of the shirt</w:t>
      </w:r>
      <w:r w:rsidRPr="009252C3" w:rsidR="006E44EF">
        <w:rPr>
          <w:rFonts w:ascii="Century Schoolbook" w:hAnsi="Century Schoolbook"/>
          <w:sz w:val="27"/>
          <w:szCs w:val="27"/>
        </w:rPr>
        <w:t>)</w:t>
      </w:r>
      <w:r w:rsidRPr="009252C3">
        <w:rPr>
          <w:rFonts w:ascii="Century Schoolbook" w:hAnsi="Century Schoolbook"/>
          <w:sz w:val="27"/>
          <w:szCs w:val="27"/>
        </w:rPr>
        <w:t xml:space="preserve"> came from the victim’s many </w:t>
      </w:r>
      <w:r w:rsidRPr="009252C3" w:rsidR="00A3044C">
        <w:rPr>
          <w:rFonts w:ascii="Century Schoolbook" w:hAnsi="Century Schoolbook"/>
          <w:sz w:val="27"/>
          <w:szCs w:val="27"/>
        </w:rPr>
        <w:t>terrible</w:t>
      </w:r>
      <w:r w:rsidRPr="009252C3">
        <w:rPr>
          <w:rFonts w:ascii="Century Schoolbook" w:hAnsi="Century Schoolbook"/>
          <w:sz w:val="27"/>
          <w:szCs w:val="27"/>
        </w:rPr>
        <w:t xml:space="preserve"> wounds.</w:t>
      </w:r>
    </w:p>
    <w:p w:rsidR="006D1C18" w:rsidRPr="009252C3" w:rsidP="009252C3">
      <w:pPr>
        <w:pStyle w:val="Heading3"/>
        <w:spacing w:before="100" w:line="400" w:lineRule="exact"/>
        <w:ind w:left="0" w:firstLine="720"/>
        <w:jc w:val="both"/>
        <w:rPr>
          <w:rFonts w:ascii="Century Schoolbook" w:hAnsi="Century Schoolbook"/>
          <w:b/>
          <w:i w:val="0"/>
          <w:sz w:val="27"/>
          <w:szCs w:val="27"/>
        </w:rPr>
      </w:pPr>
      <w:bookmarkStart w:id="14" w:name="_Toc3365815"/>
      <w:r w:rsidRPr="009252C3">
        <w:rPr>
          <w:rFonts w:ascii="Century Schoolbook" w:hAnsi="Century Schoolbook"/>
          <w:b/>
          <w:i w:val="0"/>
          <w:sz w:val="27"/>
          <w:szCs w:val="27"/>
        </w:rPr>
        <w:t xml:space="preserve">VII.  </w:t>
      </w:r>
      <w:r w:rsidRPr="009252C3" w:rsidR="00485593">
        <w:rPr>
          <w:rFonts w:ascii="Century Schoolbook" w:hAnsi="Century Schoolbook"/>
          <w:b/>
          <w:i w:val="0"/>
          <w:sz w:val="27"/>
          <w:szCs w:val="27"/>
        </w:rPr>
        <w:t>Instruction on Circumstantial Evidence</w:t>
      </w:r>
      <w:bookmarkEnd w:id="14"/>
    </w:p>
    <w:p w:rsidR="0087581D"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a reference to </w:t>
      </w:r>
      <w:r w:rsidRPr="009252C3" w:rsidR="00057C73">
        <w:rPr>
          <w:rFonts w:ascii="Century Schoolbook" w:hAnsi="Century Schoolbook"/>
          <w:sz w:val="27"/>
          <w:szCs w:val="27"/>
        </w:rPr>
        <w:t>“</w:t>
      </w:r>
      <w:r w:rsidRPr="009252C3" w:rsidR="009D5D42">
        <w:rPr>
          <w:rFonts w:ascii="Century Schoolbook" w:hAnsi="Century Schoolbook"/>
          <w:sz w:val="27"/>
          <w:szCs w:val="27"/>
        </w:rPr>
        <w:t xml:space="preserve">innocence” in </w:t>
      </w:r>
      <w:r w:rsidRPr="009252C3" w:rsidR="00057C73">
        <w:rPr>
          <w:rFonts w:ascii="Century Schoolbook" w:hAnsi="Century Schoolbook"/>
          <w:sz w:val="27"/>
          <w:szCs w:val="27"/>
        </w:rPr>
        <w:t>a</w:t>
      </w:r>
      <w:r w:rsidRPr="009252C3" w:rsidR="009D5D42">
        <w:rPr>
          <w:rFonts w:ascii="Century Schoolbook" w:hAnsi="Century Schoolbook"/>
          <w:sz w:val="27"/>
          <w:szCs w:val="27"/>
        </w:rPr>
        <w:t xml:space="preserve"> standard inst</w:t>
      </w:r>
      <w:r w:rsidRPr="009252C3" w:rsidR="00057C73">
        <w:rPr>
          <w:rFonts w:ascii="Century Schoolbook" w:hAnsi="Century Schoolbook"/>
          <w:sz w:val="27"/>
          <w:szCs w:val="27"/>
        </w:rPr>
        <w:t>ruction</w:t>
      </w:r>
      <w:r w:rsidRPr="009252C3" w:rsidR="009D5D42">
        <w:rPr>
          <w:rFonts w:ascii="Century Schoolbook" w:hAnsi="Century Schoolbook"/>
          <w:sz w:val="27"/>
          <w:szCs w:val="27"/>
        </w:rPr>
        <w:t xml:space="preserve"> </w:t>
      </w:r>
      <w:r w:rsidRPr="009252C3">
        <w:rPr>
          <w:rFonts w:ascii="Century Schoolbook" w:hAnsi="Century Schoolbook"/>
          <w:sz w:val="27"/>
          <w:szCs w:val="27"/>
        </w:rPr>
        <w:t xml:space="preserve">on evaluating circumstantial evidence </w:t>
      </w:r>
      <w:r w:rsidRPr="009252C3" w:rsidR="009D5D42">
        <w:rPr>
          <w:rFonts w:ascii="Century Schoolbook" w:hAnsi="Century Schoolbook"/>
          <w:sz w:val="27"/>
          <w:szCs w:val="27"/>
        </w:rPr>
        <w:t>(CALJIC No.</w:t>
      </w:r>
      <w:r w:rsidRPr="009252C3" w:rsidR="005B2B40">
        <w:rPr>
          <w:rFonts w:ascii="Century Schoolbook" w:hAnsi="Century Schoolbook"/>
          <w:sz w:val="27"/>
          <w:szCs w:val="27"/>
        </w:rPr>
        <w:t> </w:t>
      </w:r>
      <w:r w:rsidRPr="009252C3" w:rsidR="009D5D42">
        <w:rPr>
          <w:rFonts w:ascii="Century Schoolbook" w:hAnsi="Century Schoolbook"/>
          <w:sz w:val="27"/>
          <w:szCs w:val="27"/>
        </w:rPr>
        <w:t>2.01) improperly suggested to the jury that it was his burden to prove his innocence</w:t>
      </w:r>
      <w:r w:rsidRPr="009252C3">
        <w:rPr>
          <w:rFonts w:ascii="Century Schoolbook" w:hAnsi="Century Schoolbook"/>
          <w:sz w:val="27"/>
          <w:szCs w:val="27"/>
        </w:rPr>
        <w:t xml:space="preserve"> rather than</w:t>
      </w:r>
      <w:r w:rsidRPr="009252C3" w:rsidR="00485593">
        <w:rPr>
          <w:rFonts w:ascii="Century Schoolbook" w:hAnsi="Century Schoolbook"/>
          <w:sz w:val="27"/>
          <w:szCs w:val="27"/>
        </w:rPr>
        <w:t xml:space="preserve"> the People</w:t>
      </w:r>
      <w:r w:rsidRPr="009252C3">
        <w:rPr>
          <w:rFonts w:ascii="Century Schoolbook" w:hAnsi="Century Schoolbook"/>
          <w:sz w:val="27"/>
          <w:szCs w:val="27"/>
        </w:rPr>
        <w:t xml:space="preserve">’s </w:t>
      </w:r>
      <w:r w:rsidRPr="009252C3" w:rsidR="00A66370">
        <w:rPr>
          <w:rFonts w:ascii="Century Schoolbook" w:hAnsi="Century Schoolbook"/>
          <w:sz w:val="27"/>
          <w:szCs w:val="27"/>
        </w:rPr>
        <w:t xml:space="preserve">burden </w:t>
      </w:r>
      <w:r w:rsidRPr="009252C3">
        <w:rPr>
          <w:rFonts w:ascii="Century Schoolbook" w:hAnsi="Century Schoolbook"/>
          <w:sz w:val="27"/>
          <w:szCs w:val="27"/>
        </w:rPr>
        <w:t>to prove</w:t>
      </w:r>
      <w:r w:rsidRPr="009252C3" w:rsidR="00485593">
        <w:rPr>
          <w:rFonts w:ascii="Century Schoolbook" w:hAnsi="Century Schoolbook"/>
          <w:sz w:val="27"/>
          <w:szCs w:val="27"/>
        </w:rPr>
        <w:t xml:space="preserve"> guilt beyond a reasonable doubt.</w:t>
      </w:r>
      <w:r>
        <w:rPr>
          <w:rStyle w:val="FootnoteReference"/>
          <w:rFonts w:ascii="Century Schoolbook" w:hAnsi="Century Schoolbook"/>
          <w:sz w:val="27"/>
          <w:szCs w:val="27"/>
          <w:vertAlign w:val="superscript"/>
        </w:rPr>
        <w:footnoteReference w:id="12"/>
      </w:r>
      <w:r w:rsidRPr="00F7276C">
        <w:rPr>
          <w:rFonts w:ascii="Century Schoolbook" w:hAnsi="Century Schoolbook"/>
          <w:sz w:val="27"/>
          <w:szCs w:val="27"/>
          <w:vertAlign w:val="superscript"/>
        </w:rPr>
        <w:t xml:space="preserve"> </w:t>
      </w:r>
      <w:r w:rsidRPr="009252C3">
        <w:rPr>
          <w:rFonts w:ascii="Century Schoolbook" w:hAnsi="Century Schoolbook"/>
          <w:sz w:val="27"/>
          <w:szCs w:val="27"/>
        </w:rPr>
        <w:t xml:space="preserve"> We have </w:t>
      </w:r>
      <w:r w:rsidRPr="009252C3" w:rsidR="00A66370">
        <w:rPr>
          <w:rFonts w:ascii="Century Schoolbook" w:hAnsi="Century Schoolbook"/>
          <w:sz w:val="27"/>
          <w:szCs w:val="27"/>
        </w:rPr>
        <w:t xml:space="preserve">previously </w:t>
      </w:r>
      <w:r w:rsidRPr="009252C3">
        <w:rPr>
          <w:rFonts w:ascii="Century Schoolbook" w:hAnsi="Century Schoolbook"/>
          <w:sz w:val="27"/>
          <w:szCs w:val="27"/>
        </w:rPr>
        <w:t xml:space="preserve">rejected </w:t>
      </w:r>
      <w:r w:rsidRPr="009252C3">
        <w:rPr>
          <w:rFonts w:ascii="Century Schoolbook" w:hAnsi="Century Schoolbook"/>
          <w:sz w:val="27"/>
          <w:szCs w:val="27"/>
        </w:rPr>
        <w:t>substantially identical challenges to</w:t>
      </w:r>
      <w:r w:rsidRPr="009252C3" w:rsidR="00485593">
        <w:rPr>
          <w:rFonts w:ascii="Century Schoolbook" w:hAnsi="Century Schoolbook"/>
          <w:sz w:val="27"/>
          <w:szCs w:val="27"/>
        </w:rPr>
        <w:t xml:space="preserve"> this instruction</w:t>
      </w:r>
      <w:r w:rsidRPr="009252C3">
        <w:rPr>
          <w:rFonts w:ascii="Century Schoolbook" w:hAnsi="Century Schoolbook"/>
          <w:sz w:val="27"/>
          <w:szCs w:val="27"/>
        </w:rPr>
        <w:t xml:space="preserve">, and defendant </w:t>
      </w:r>
      <w:r w:rsidRPr="009252C3" w:rsidR="00A34AC1">
        <w:rPr>
          <w:rFonts w:ascii="Century Schoolbook" w:hAnsi="Century Schoolbook"/>
          <w:sz w:val="27"/>
          <w:szCs w:val="27"/>
        </w:rPr>
        <w:t xml:space="preserve">supplies </w:t>
      </w:r>
      <w:r w:rsidRPr="009252C3">
        <w:rPr>
          <w:rFonts w:ascii="Century Schoolbook" w:hAnsi="Century Schoolbook"/>
          <w:sz w:val="27"/>
          <w:szCs w:val="27"/>
        </w:rPr>
        <w:t>no argument for reconsideration.  “CALJIC No. 2.01</w:t>
      </w:r>
      <w:r w:rsidRPr="009252C3" w:rsidR="005B2B40">
        <w:rPr>
          <w:rFonts w:ascii="Century Schoolbook" w:hAnsi="Century Schoolbook"/>
          <w:sz w:val="27"/>
          <w:szCs w:val="27"/>
        </w:rPr>
        <w:t xml:space="preserve"> </w:t>
      </w:r>
      <w:r w:rsidRPr="009252C3">
        <w:rPr>
          <w:rFonts w:ascii="Century Schoolbook" w:hAnsi="Century Schoolbook"/>
          <w:sz w:val="27"/>
          <w:szCs w:val="27"/>
        </w:rPr>
        <w:t>(concerning the sufficiency of circumstantial evidence) did not compel the jury to find defendant guilty and the special circumstance true using a standard lower than proof beyond a reasonable doubt.  (</w:t>
      </w:r>
      <w:r w:rsidRPr="009252C3" w:rsidR="00485593">
        <w:rPr>
          <w:rFonts w:ascii="Century Schoolbook" w:hAnsi="Century Schoolbook"/>
          <w:sz w:val="27"/>
          <w:szCs w:val="27"/>
        </w:rPr>
        <w:t>[</w:t>
      </w:r>
      <w:r w:rsidRPr="009252C3" w:rsidR="00485593">
        <w:rPr>
          <w:rFonts w:ascii="Century Schoolbook" w:hAnsi="Century Schoolbook"/>
          <w:i/>
          <w:sz w:val="27"/>
          <w:szCs w:val="27"/>
        </w:rPr>
        <w:t>People v.</w:t>
      </w:r>
      <w:r w:rsidRPr="009252C3" w:rsidR="00485593">
        <w:rPr>
          <w:rFonts w:ascii="Century Schoolbook" w:hAnsi="Century Schoolbook"/>
          <w:sz w:val="27"/>
          <w:szCs w:val="27"/>
        </w:rPr>
        <w:t xml:space="preserve">] </w:t>
      </w:r>
      <w:r w:rsidRPr="009252C3">
        <w:rPr>
          <w:rFonts w:ascii="Century Schoolbook" w:hAnsi="Century Schoolbook"/>
          <w:i/>
          <w:iCs/>
          <w:sz w:val="27"/>
          <w:szCs w:val="27"/>
        </w:rPr>
        <w:t>Jones</w:t>
      </w:r>
      <w:r w:rsidRPr="009252C3" w:rsidR="00485593">
        <w:rPr>
          <w:rFonts w:ascii="Century Schoolbook" w:hAnsi="Century Schoolbook"/>
          <w:i/>
          <w:iCs/>
          <w:sz w:val="27"/>
          <w:szCs w:val="27"/>
        </w:rPr>
        <w:t xml:space="preserve"> </w:t>
      </w:r>
      <w:r w:rsidRPr="009252C3" w:rsidR="00485593">
        <w:rPr>
          <w:rFonts w:ascii="Century Schoolbook" w:hAnsi="Century Schoolbook"/>
          <w:iCs/>
          <w:sz w:val="27"/>
          <w:szCs w:val="27"/>
        </w:rPr>
        <w:t>[(2013)]</w:t>
      </w:r>
      <w:r w:rsidRPr="009252C3" w:rsidR="00485593">
        <w:rPr>
          <w:rFonts w:ascii="Century Schoolbook" w:hAnsi="Century Schoolbook"/>
          <w:sz w:val="27"/>
          <w:szCs w:val="27"/>
        </w:rPr>
        <w:t> 57 Cal.4th [899,] 972</w:t>
      </w:r>
      <w:r w:rsidRPr="009252C3">
        <w:rPr>
          <w:rFonts w:ascii="Century Schoolbook" w:hAnsi="Century Schoolbook"/>
          <w:sz w:val="27"/>
          <w:szCs w:val="27"/>
        </w:rPr>
        <w:t xml:space="preserve">.)  Nor did it create an impermissible mandatory presumption by requiring the jury to draw an incriminatory inference whenever such an inference appeared </w:t>
      </w:r>
      <w:r w:rsidRPr="009252C3" w:rsidR="00AF50CF">
        <w:rPr>
          <w:rFonts w:ascii="Century Schoolbook" w:hAnsi="Century Schoolbook"/>
          <w:sz w:val="27"/>
          <w:szCs w:val="27"/>
        </w:rPr>
        <w:t>‘</w:t>
      </w:r>
      <w:r w:rsidRPr="009252C3">
        <w:rPr>
          <w:rFonts w:ascii="Century Schoolbook" w:hAnsi="Century Schoolbook"/>
          <w:sz w:val="27"/>
          <w:szCs w:val="27"/>
        </w:rPr>
        <w:t>reasonable</w:t>
      </w:r>
      <w:r w:rsidRPr="009252C3" w:rsidR="00AF50CF">
        <w:rPr>
          <w:rFonts w:ascii="Century Schoolbook" w:hAnsi="Century Schoolbook"/>
          <w:sz w:val="27"/>
          <w:szCs w:val="27"/>
        </w:rPr>
        <w:t>’</w:t>
      </w:r>
      <w:r w:rsidRPr="009252C3">
        <w:rPr>
          <w:rFonts w:ascii="Century Schoolbook" w:hAnsi="Century Schoolbook"/>
          <w:sz w:val="27"/>
          <w:szCs w:val="27"/>
        </w:rPr>
        <w:t xml:space="preserve"> unless the defense rebutted it by producing a reasonable exculpatory interpretation.”  (</w:t>
      </w:r>
      <w:r w:rsidRPr="009252C3">
        <w:rPr>
          <w:rFonts w:ascii="Century Schoolbook" w:hAnsi="Century Schoolbook"/>
          <w:i/>
          <w:iCs/>
          <w:sz w:val="27"/>
          <w:szCs w:val="27"/>
        </w:rPr>
        <w:t>People v. Casares</w:t>
      </w:r>
      <w:r w:rsidRPr="009252C3">
        <w:rPr>
          <w:rFonts w:ascii="Century Schoolbook" w:hAnsi="Century Schoolbook"/>
          <w:sz w:val="27"/>
          <w:szCs w:val="27"/>
        </w:rPr>
        <w:t xml:space="preserve"> (2016) 62 Cal.4th 808, 831; accord, </w:t>
      </w:r>
      <w:r w:rsidRPr="009252C3">
        <w:rPr>
          <w:rFonts w:ascii="Century Schoolbook" w:hAnsi="Century Schoolbook"/>
          <w:i/>
          <w:iCs/>
          <w:sz w:val="27"/>
          <w:szCs w:val="27"/>
        </w:rPr>
        <w:t>People v. Delgado</w:t>
      </w:r>
      <w:r w:rsidRPr="009252C3">
        <w:rPr>
          <w:rFonts w:ascii="Century Schoolbook" w:hAnsi="Century Schoolbook"/>
          <w:sz w:val="27"/>
          <w:szCs w:val="27"/>
        </w:rPr>
        <w:t> (2017) 2 Cal.5th 544, 572–573.)</w:t>
      </w:r>
    </w:p>
    <w:p w:rsidR="006D1C18" w:rsidRPr="009252C3" w:rsidP="009252C3">
      <w:pPr>
        <w:pStyle w:val="Heading2"/>
        <w:spacing w:before="100" w:line="400" w:lineRule="exact"/>
        <w:ind w:left="0" w:firstLine="720"/>
        <w:jc w:val="both"/>
        <w:rPr>
          <w:rFonts w:ascii="Century Schoolbook" w:hAnsi="Century Schoolbook"/>
          <w:sz w:val="27"/>
          <w:szCs w:val="27"/>
        </w:rPr>
      </w:pPr>
      <w:bookmarkStart w:id="15" w:name="_Toc3365816"/>
      <w:r w:rsidRPr="009252C3">
        <w:rPr>
          <w:rFonts w:ascii="Century Schoolbook" w:hAnsi="Century Schoolbook"/>
          <w:sz w:val="27"/>
          <w:szCs w:val="27"/>
        </w:rPr>
        <w:t>Penalty Phase Issues</w:t>
      </w:r>
      <w:bookmarkEnd w:id="15"/>
    </w:p>
    <w:p w:rsidR="0088556B" w:rsidRPr="009252C3" w:rsidP="009252C3">
      <w:pPr>
        <w:pStyle w:val="Heading3"/>
        <w:spacing w:before="100" w:line="400" w:lineRule="exact"/>
        <w:ind w:left="0" w:firstLine="720"/>
        <w:jc w:val="both"/>
        <w:rPr>
          <w:rFonts w:ascii="Century Schoolbook" w:hAnsi="Century Schoolbook"/>
          <w:b/>
          <w:i w:val="0"/>
          <w:sz w:val="27"/>
          <w:szCs w:val="27"/>
        </w:rPr>
      </w:pPr>
      <w:bookmarkStart w:id="16" w:name="_Toc3365817"/>
      <w:r w:rsidRPr="009252C3">
        <w:rPr>
          <w:rFonts w:ascii="Century Schoolbook" w:hAnsi="Century Schoolbook"/>
          <w:b/>
          <w:i w:val="0"/>
          <w:sz w:val="27"/>
          <w:szCs w:val="27"/>
        </w:rPr>
        <w:t xml:space="preserve">VIII.  Mistrial Motion after Outburst by Victim’s </w:t>
      </w:r>
      <w:r w:rsidR="00F7276C">
        <w:rPr>
          <w:rFonts w:ascii="Century Schoolbook" w:hAnsi="Century Schoolbook"/>
          <w:b/>
          <w:i w:val="0"/>
          <w:sz w:val="27"/>
          <w:szCs w:val="27"/>
        </w:rPr>
        <w:br/>
        <w:t xml:space="preserve">                     </w:t>
      </w:r>
      <w:r w:rsidRPr="009252C3">
        <w:rPr>
          <w:rFonts w:ascii="Century Schoolbook" w:hAnsi="Century Schoolbook"/>
          <w:b/>
          <w:i w:val="0"/>
          <w:sz w:val="27"/>
          <w:szCs w:val="27"/>
        </w:rPr>
        <w:t>Stepfather</w:t>
      </w:r>
      <w:bookmarkEnd w:id="16"/>
    </w:p>
    <w:p w:rsidR="002477A6"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During defendant’s testimony at the penalty phase of trial, Billy Friend, the victim’s stepfather, suddenly shouted out, “You’re going to die you slimy son of a bitch.”  The court immediately recessed, giving the jury its ordinary admonition not to form an opinion or discuss the case.  Defendant </w:t>
      </w:r>
      <w:r w:rsidRPr="009252C3" w:rsidR="00DF6D22">
        <w:rPr>
          <w:rFonts w:ascii="Century Schoolbook" w:hAnsi="Century Schoolbook"/>
          <w:sz w:val="27"/>
          <w:szCs w:val="27"/>
        </w:rPr>
        <w:t>moved for a mistrial</w:t>
      </w:r>
      <w:r w:rsidRPr="009252C3" w:rsidR="008A00A3">
        <w:rPr>
          <w:rFonts w:ascii="Century Schoolbook" w:hAnsi="Century Schoolbook"/>
          <w:sz w:val="27"/>
          <w:szCs w:val="27"/>
        </w:rPr>
        <w:t xml:space="preserve">, describing Friend’s outburst as, in effect, testimony that the defense had no opportunity to impeach with </w:t>
      </w:r>
      <w:r w:rsidRPr="009252C3" w:rsidR="00227F8A">
        <w:rPr>
          <w:rFonts w:ascii="Century Schoolbook" w:hAnsi="Century Schoolbook"/>
          <w:sz w:val="27"/>
          <w:szCs w:val="27"/>
        </w:rPr>
        <w:t xml:space="preserve">Friend’s </w:t>
      </w:r>
      <w:r w:rsidRPr="009252C3" w:rsidR="008A00A3">
        <w:rPr>
          <w:rFonts w:ascii="Century Schoolbook" w:hAnsi="Century Schoolbook"/>
          <w:sz w:val="27"/>
          <w:szCs w:val="27"/>
        </w:rPr>
        <w:t>prior convictions and evidence of “rancor” in the family before Michael’s death</w:t>
      </w:r>
      <w:r w:rsidRPr="009252C3" w:rsidR="00DF6D22">
        <w:rPr>
          <w:rFonts w:ascii="Century Schoolbook" w:hAnsi="Century Schoolbook"/>
          <w:sz w:val="27"/>
          <w:szCs w:val="27"/>
        </w:rPr>
        <w:t xml:space="preserve">.  The court found Friend in contempt, ordered him to refrain from any more untoward conduct, </w:t>
      </w:r>
      <w:r w:rsidRPr="009252C3" w:rsidR="00204B17">
        <w:rPr>
          <w:rFonts w:ascii="Century Schoolbook" w:hAnsi="Century Schoolbook"/>
          <w:sz w:val="27"/>
          <w:szCs w:val="27"/>
        </w:rPr>
        <w:t xml:space="preserve">and </w:t>
      </w:r>
      <w:r w:rsidRPr="009252C3" w:rsidR="00DF6D22">
        <w:rPr>
          <w:rFonts w:ascii="Century Schoolbook" w:hAnsi="Century Schoolbook"/>
          <w:sz w:val="27"/>
          <w:szCs w:val="27"/>
        </w:rPr>
        <w:t>denied the mistrial</w:t>
      </w:r>
      <w:r w:rsidRPr="009252C3" w:rsidR="00204B17">
        <w:rPr>
          <w:rFonts w:ascii="Century Schoolbook" w:hAnsi="Century Schoolbook"/>
          <w:sz w:val="27"/>
          <w:szCs w:val="27"/>
        </w:rPr>
        <w:t>.  W</w:t>
      </w:r>
      <w:r w:rsidRPr="009252C3" w:rsidR="00A63661">
        <w:rPr>
          <w:rFonts w:ascii="Century Schoolbook" w:hAnsi="Century Schoolbook"/>
          <w:sz w:val="27"/>
          <w:szCs w:val="27"/>
        </w:rPr>
        <w:t>hen the jurors and alternates</w:t>
      </w:r>
      <w:r w:rsidRPr="009252C3" w:rsidR="00DF6D22">
        <w:rPr>
          <w:rFonts w:ascii="Century Schoolbook" w:hAnsi="Century Schoolbook"/>
          <w:sz w:val="27"/>
          <w:szCs w:val="27"/>
        </w:rPr>
        <w:t xml:space="preserve"> reentered, </w:t>
      </w:r>
      <w:r w:rsidRPr="009252C3" w:rsidR="00204B17">
        <w:rPr>
          <w:rFonts w:ascii="Century Schoolbook" w:hAnsi="Century Schoolbook"/>
          <w:sz w:val="27"/>
          <w:szCs w:val="27"/>
        </w:rPr>
        <w:t>the court addressed them as follows</w:t>
      </w:r>
      <w:r w:rsidRPr="009252C3" w:rsidR="00DF6D22">
        <w:rPr>
          <w:rFonts w:ascii="Century Schoolbook" w:hAnsi="Century Schoolbook"/>
          <w:sz w:val="27"/>
          <w:szCs w:val="27"/>
        </w:rPr>
        <w:t>:</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“All right. </w:t>
      </w:r>
      <w:r w:rsidRPr="009252C3" w:rsidR="00A63661">
        <w:rPr>
          <w:rFonts w:ascii="Century Schoolbook" w:hAnsi="Century Schoolbook"/>
          <w:sz w:val="27"/>
          <w:szCs w:val="27"/>
        </w:rPr>
        <w:t xml:space="preserve"> </w:t>
      </w:r>
      <w:r w:rsidRPr="009252C3">
        <w:rPr>
          <w:rFonts w:ascii="Century Schoolbook" w:hAnsi="Century Schoolbook"/>
          <w:sz w:val="27"/>
          <w:szCs w:val="27"/>
        </w:rPr>
        <w:t xml:space="preserve">The Court will note for the record that all of the jurors have now entered the courtroom. </w:t>
      </w:r>
      <w:r w:rsidRPr="009252C3" w:rsidR="00A63661">
        <w:rPr>
          <w:rFonts w:ascii="Century Schoolbook" w:hAnsi="Century Schoolbook"/>
          <w:sz w:val="27"/>
          <w:szCs w:val="27"/>
        </w:rPr>
        <w:t xml:space="preserve"> </w:t>
      </w:r>
      <w:r w:rsidRPr="009252C3">
        <w:rPr>
          <w:rFonts w:ascii="Century Schoolbook" w:hAnsi="Century Schoolbook"/>
          <w:sz w:val="27"/>
          <w:szCs w:val="27"/>
        </w:rPr>
        <w:t>And first of all, the Court wants to tell you all that you heard, I</w:t>
      </w:r>
      <w:r w:rsidRPr="009252C3" w:rsidR="00FE00BB">
        <w:rPr>
          <w:rFonts w:ascii="Century Schoolbook" w:hAnsi="Century Schoolbook"/>
          <w:sz w:val="27"/>
          <w:szCs w:val="27"/>
        </w:rPr>
        <w:t>’</w:t>
      </w:r>
      <w:r w:rsidRPr="009252C3">
        <w:rPr>
          <w:rFonts w:ascii="Century Schoolbook" w:hAnsi="Century Schoolbook"/>
          <w:sz w:val="27"/>
          <w:szCs w:val="27"/>
        </w:rPr>
        <w:t>m sure, an outburst that occurred in this court just before we took the recess.</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sidR="00A63661">
        <w:rPr>
          <w:rFonts w:ascii="Century Schoolbook" w:hAnsi="Century Schoolbook"/>
          <w:sz w:val="27"/>
          <w:szCs w:val="27"/>
        </w:rPr>
        <w:t>If you’</w:t>
      </w:r>
      <w:r w:rsidRPr="009252C3">
        <w:rPr>
          <w:rFonts w:ascii="Century Schoolbook" w:hAnsi="Century Schoolbook"/>
          <w:sz w:val="27"/>
          <w:szCs w:val="27"/>
        </w:rPr>
        <w:t>ll recall both before</w:t>
      </w:r>
      <w:r w:rsidRPr="009252C3" w:rsidR="00A63661">
        <w:rPr>
          <w:rFonts w:ascii="Century Schoolbook" w:hAnsi="Century Schoolbook"/>
          <w:sz w:val="27"/>
          <w:szCs w:val="27"/>
        </w:rPr>
        <w:t>, during, et cetera, any time I’</w:t>
      </w:r>
      <w:r w:rsidRPr="009252C3">
        <w:rPr>
          <w:rFonts w:ascii="Century Schoolbook" w:hAnsi="Century Schoolbook"/>
          <w:sz w:val="27"/>
          <w:szCs w:val="27"/>
        </w:rPr>
        <w:t xml:space="preserve">ve had contact with you, </w:t>
      </w:r>
      <w:r w:rsidRPr="009252C3" w:rsidR="00A63661">
        <w:rPr>
          <w:rFonts w:ascii="Century Schoolbook" w:hAnsi="Century Schoolbook"/>
          <w:sz w:val="27"/>
          <w:szCs w:val="27"/>
        </w:rPr>
        <w:t>I’</w:t>
      </w:r>
      <w:r w:rsidRPr="009252C3">
        <w:rPr>
          <w:rFonts w:ascii="Century Schoolbook" w:hAnsi="Century Schoolbook"/>
          <w:sz w:val="27"/>
          <w:szCs w:val="27"/>
        </w:rPr>
        <w:t xml:space="preserve">ve indicated time and time again that your judgment in the case is to be based on only evidence that comes from that witness stand and such documentary or physical evidence that the Court admits into evidence. </w:t>
      </w:r>
      <w:r w:rsidRPr="009252C3" w:rsidR="00A63661">
        <w:rPr>
          <w:rFonts w:ascii="Century Schoolbook" w:hAnsi="Century Schoolbook"/>
          <w:sz w:val="27"/>
          <w:szCs w:val="27"/>
        </w:rPr>
        <w:t xml:space="preserve"> </w:t>
      </w:r>
      <w:r w:rsidRPr="009252C3">
        <w:rPr>
          <w:rFonts w:ascii="Century Schoolbook" w:hAnsi="Century Schoolbook"/>
          <w:sz w:val="27"/>
          <w:szCs w:val="27"/>
        </w:rPr>
        <w:t>Obviously I did not say that includes any outburst from somebody in the larger area of the courtroom.</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 run a public courtroom as long as I have, and so long as I can do it within my power this is going to be a public courtroom and anybody can come in. </w:t>
      </w:r>
      <w:r w:rsidRPr="009252C3" w:rsidR="00A63661">
        <w:rPr>
          <w:rFonts w:ascii="Century Schoolbook" w:hAnsi="Century Schoolbook"/>
          <w:sz w:val="27"/>
          <w:szCs w:val="27"/>
        </w:rPr>
        <w:t xml:space="preserve"> </w:t>
      </w:r>
      <w:r w:rsidRPr="009252C3">
        <w:rPr>
          <w:rFonts w:ascii="Century Schoolbook" w:hAnsi="Century Schoolbook"/>
          <w:sz w:val="27"/>
          <w:szCs w:val="27"/>
        </w:rPr>
        <w:t>And they</w:t>
      </w:r>
      <w:r w:rsidRPr="009252C3" w:rsidR="006E698F">
        <w:rPr>
          <w:rFonts w:ascii="Century Schoolbook" w:hAnsi="Century Schoolbook"/>
          <w:sz w:val="27"/>
          <w:szCs w:val="27"/>
        </w:rPr>
        <w:t>’</w:t>
      </w:r>
      <w:r w:rsidRPr="009252C3">
        <w:rPr>
          <w:rFonts w:ascii="Century Schoolbook" w:hAnsi="Century Schoolbook"/>
          <w:sz w:val="27"/>
          <w:szCs w:val="27"/>
        </w:rPr>
        <w:t>re supposed to act like ladies and gentlemen.  When they don</w:t>
      </w:r>
      <w:r w:rsidRPr="009252C3" w:rsidR="00A63661">
        <w:rPr>
          <w:rFonts w:ascii="Century Schoolbook" w:hAnsi="Century Schoolbook"/>
          <w:sz w:val="27"/>
          <w:szCs w:val="27"/>
        </w:rPr>
        <w:t>’</w:t>
      </w:r>
      <w:r w:rsidRPr="009252C3">
        <w:rPr>
          <w:rFonts w:ascii="Century Schoolbook" w:hAnsi="Century Schoolbook"/>
          <w:sz w:val="27"/>
          <w:szCs w:val="27"/>
        </w:rPr>
        <w:t>t, we have the kind of thing that occurred here today.</w:t>
      </w:r>
    </w:p>
    <w:p w:rsidR="005A3E30"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assurance I want from all 16 people in front of me is that </w:t>
      </w:r>
      <w:r w:rsidRPr="009252C3">
        <w:rPr>
          <w:rFonts w:ascii="Century Schoolbook" w:hAnsi="Century Schoolbook"/>
          <w:sz w:val="27"/>
          <w:szCs w:val="27"/>
        </w:rPr>
        <w:t>you’</w:t>
      </w:r>
      <w:r w:rsidRPr="009252C3">
        <w:rPr>
          <w:rFonts w:ascii="Century Schoolbook" w:hAnsi="Century Schoolbook"/>
          <w:sz w:val="27"/>
          <w:szCs w:val="27"/>
        </w:rPr>
        <w:t>re not going to let that matter influence your decision in any way.  And in that regard I</w:t>
      </w:r>
      <w:r w:rsidRPr="009252C3" w:rsidR="006E698F">
        <w:rPr>
          <w:rFonts w:ascii="Century Schoolbook" w:hAnsi="Century Schoolbook"/>
          <w:sz w:val="27"/>
          <w:szCs w:val="27"/>
        </w:rPr>
        <w:t>’</w:t>
      </w:r>
      <w:r w:rsidRPr="009252C3">
        <w:rPr>
          <w:rFonts w:ascii="Century Schoolbook" w:hAnsi="Century Schoolbook"/>
          <w:sz w:val="27"/>
          <w:szCs w:val="27"/>
        </w:rPr>
        <w:t>m instructing you you</w:t>
      </w:r>
      <w:r w:rsidRPr="009252C3" w:rsidR="00FE00BB">
        <w:rPr>
          <w:rFonts w:ascii="Century Schoolbook" w:hAnsi="Century Schoolbook"/>
          <w:sz w:val="27"/>
          <w:szCs w:val="27"/>
        </w:rPr>
        <w:t>’</w:t>
      </w:r>
      <w:r w:rsidRPr="009252C3">
        <w:rPr>
          <w:rFonts w:ascii="Century Schoolbook" w:hAnsi="Century Schoolbook"/>
          <w:sz w:val="27"/>
          <w:szCs w:val="27"/>
        </w:rPr>
        <w:t xml:space="preserve">re not to allow it to influence you in any way. </w:t>
      </w:r>
      <w:r w:rsidRPr="009252C3">
        <w:rPr>
          <w:rFonts w:ascii="Century Schoolbook" w:hAnsi="Century Schoolbook"/>
          <w:sz w:val="27"/>
          <w:szCs w:val="27"/>
        </w:rPr>
        <w:t xml:space="preserve"> </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Pr>
          <w:rFonts w:ascii="Century Schoolbook" w:hAnsi="Century Schoolbook"/>
          <w:sz w:val="27"/>
          <w:szCs w:val="27"/>
        </w:rPr>
        <w:t>Now any</w:t>
      </w:r>
      <w:r w:rsidRPr="009252C3" w:rsidR="00BD46A7">
        <w:rPr>
          <w:rFonts w:ascii="Century Schoolbook" w:hAnsi="Century Schoolbook"/>
          <w:sz w:val="27"/>
          <w:szCs w:val="27"/>
        </w:rPr>
        <w:t xml:space="preserve"> </w:t>
      </w:r>
      <w:r w:rsidRPr="009252C3">
        <w:rPr>
          <w:rFonts w:ascii="Century Schoolbook" w:hAnsi="Century Schoolbook"/>
          <w:sz w:val="27"/>
          <w:szCs w:val="27"/>
        </w:rPr>
        <w:t>one of the 16 of you who feel you could not follow that direction fully, I want you to please raise your right hand.</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Pr>
          <w:rFonts w:ascii="Century Schoolbook" w:hAnsi="Century Schoolbook"/>
          <w:sz w:val="27"/>
          <w:szCs w:val="27"/>
        </w:rPr>
        <w:t>Court sees no hands.</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Pr>
          <w:rFonts w:ascii="Century Schoolbook" w:hAnsi="Century Schoolbook"/>
          <w:sz w:val="27"/>
          <w:szCs w:val="27"/>
        </w:rPr>
        <w:t xml:space="preserve">Now also, this outburst can affect people in different ways.  And any of you feel that either the outburst or anything up to right now has so </w:t>
      </w:r>
      <w:r w:rsidRPr="009252C3">
        <w:rPr>
          <w:rFonts w:ascii="Century Schoolbook" w:hAnsi="Century Schoolbook"/>
          <w:sz w:val="27"/>
          <w:szCs w:val="27"/>
        </w:rPr>
        <w:t xml:space="preserve">badly affected you that you can’t </w:t>
      </w:r>
      <w:r w:rsidRPr="009252C3">
        <w:rPr>
          <w:rFonts w:ascii="Century Schoolbook" w:hAnsi="Century Schoolbook"/>
          <w:sz w:val="27"/>
          <w:szCs w:val="27"/>
        </w:rPr>
        <w:t xml:space="preserve">continue to be jurors and treat all parties to this litigation fairly? </w:t>
      </w:r>
      <w:r w:rsidRPr="009252C3">
        <w:rPr>
          <w:rFonts w:ascii="Century Schoolbook" w:hAnsi="Century Schoolbook"/>
          <w:sz w:val="27"/>
          <w:szCs w:val="27"/>
        </w:rPr>
        <w:t xml:space="preserve"> </w:t>
      </w:r>
      <w:r w:rsidRPr="009252C3">
        <w:rPr>
          <w:rFonts w:ascii="Century Schoolbook" w:hAnsi="Century Schoolbook"/>
          <w:sz w:val="27"/>
          <w:szCs w:val="27"/>
        </w:rPr>
        <w:t>If you feel anything</w:t>
      </w:r>
      <w:r w:rsidRPr="009252C3" w:rsidR="00BD46A7">
        <w:rPr>
          <w:rFonts w:ascii="Century Schoolbook" w:hAnsi="Century Schoolbook"/>
          <w:sz w:val="27"/>
          <w:szCs w:val="27"/>
        </w:rPr>
        <w:t>’</w:t>
      </w:r>
      <w:r w:rsidRPr="009252C3">
        <w:rPr>
          <w:rFonts w:ascii="Century Schoolbook" w:hAnsi="Century Schoolbook"/>
          <w:sz w:val="27"/>
          <w:szCs w:val="27"/>
        </w:rPr>
        <w:t>s happened in that regard, again please raise your hand.</w:t>
      </w:r>
    </w:p>
    <w:p w:rsidR="00DF6D22"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Pr>
          <w:rFonts w:ascii="Century Schoolbook" w:hAnsi="Century Schoolbook"/>
          <w:sz w:val="27"/>
          <w:szCs w:val="27"/>
        </w:rPr>
        <w:t xml:space="preserve">I see no hands. </w:t>
      </w:r>
      <w:r w:rsidRPr="009252C3">
        <w:rPr>
          <w:rFonts w:ascii="Century Schoolbook" w:hAnsi="Century Schoolbook"/>
          <w:sz w:val="27"/>
          <w:szCs w:val="27"/>
        </w:rPr>
        <w:t xml:space="preserve"> </w:t>
      </w:r>
      <w:r w:rsidRPr="009252C3">
        <w:rPr>
          <w:rFonts w:ascii="Century Schoolbook" w:hAnsi="Century Schoolbook"/>
          <w:sz w:val="27"/>
          <w:szCs w:val="27"/>
        </w:rPr>
        <w:t xml:space="preserve">When I ask these questions I sometimes have a feeling </w:t>
      </w:r>
      <w:r w:rsidRPr="009252C3">
        <w:rPr>
          <w:rFonts w:ascii="Century Schoolbook" w:hAnsi="Century Schoolbook"/>
          <w:sz w:val="27"/>
          <w:szCs w:val="27"/>
        </w:rPr>
        <w:t>that maybe jurors think well, I’</w:t>
      </w:r>
      <w:r w:rsidRPr="009252C3">
        <w:rPr>
          <w:rFonts w:ascii="Century Schoolbook" w:hAnsi="Century Schoolbook"/>
          <w:sz w:val="27"/>
          <w:szCs w:val="27"/>
        </w:rPr>
        <w:t xml:space="preserve">m not supposed to raise </w:t>
      </w:r>
      <w:r w:rsidRPr="009252C3" w:rsidR="00657C5E">
        <w:rPr>
          <w:rFonts w:ascii="Century Schoolbook" w:hAnsi="Century Schoolbook"/>
          <w:sz w:val="27"/>
          <w:szCs w:val="27"/>
        </w:rPr>
        <w:t>my hand, I’</w:t>
      </w:r>
      <w:r w:rsidRPr="009252C3">
        <w:rPr>
          <w:rFonts w:ascii="Century Schoolbook" w:hAnsi="Century Schoolbook"/>
          <w:sz w:val="27"/>
          <w:szCs w:val="27"/>
        </w:rPr>
        <w:t xml:space="preserve">m going to cause a big stink if I do. </w:t>
      </w:r>
      <w:r w:rsidRPr="009252C3" w:rsidR="006E698F">
        <w:rPr>
          <w:rFonts w:ascii="Century Schoolbook" w:hAnsi="Century Schoolbook"/>
          <w:sz w:val="27"/>
          <w:szCs w:val="27"/>
        </w:rPr>
        <w:t xml:space="preserve"> </w:t>
      </w:r>
      <w:r w:rsidRPr="009252C3">
        <w:rPr>
          <w:rFonts w:ascii="Century Schoolbook" w:hAnsi="Century Schoolbook"/>
          <w:sz w:val="27"/>
          <w:szCs w:val="27"/>
        </w:rPr>
        <w:t>That</w:t>
      </w:r>
      <w:r w:rsidR="00BF210A">
        <w:rPr>
          <w:rFonts w:ascii="Century Schoolbook" w:hAnsi="Century Schoolbook"/>
          <w:sz w:val="27"/>
          <w:szCs w:val="27"/>
        </w:rPr>
        <w:t>—</w:t>
      </w:r>
      <w:r w:rsidRPr="009252C3">
        <w:rPr>
          <w:rFonts w:ascii="Century Schoolbook" w:hAnsi="Century Schoolbook"/>
          <w:sz w:val="27"/>
          <w:szCs w:val="27"/>
        </w:rPr>
        <w:t xml:space="preserve">big stinks are what courtrooms are all about. </w:t>
      </w:r>
      <w:r w:rsidRPr="009252C3">
        <w:rPr>
          <w:rFonts w:ascii="Century Schoolbook" w:hAnsi="Century Schoolbook"/>
          <w:sz w:val="27"/>
          <w:szCs w:val="27"/>
        </w:rPr>
        <w:t xml:space="preserve"> </w:t>
      </w:r>
      <w:r w:rsidRPr="009252C3">
        <w:rPr>
          <w:rFonts w:ascii="Century Schoolbook" w:hAnsi="Century Schoolbook"/>
          <w:sz w:val="27"/>
          <w:szCs w:val="27"/>
        </w:rPr>
        <w:t>That</w:t>
      </w:r>
      <w:r w:rsidRPr="009252C3" w:rsidR="005B2B40">
        <w:rPr>
          <w:rFonts w:ascii="Century Schoolbook" w:hAnsi="Century Schoolbook"/>
          <w:sz w:val="27"/>
          <w:szCs w:val="27"/>
        </w:rPr>
        <w:t>’</w:t>
      </w:r>
      <w:r w:rsidRPr="009252C3">
        <w:rPr>
          <w:rFonts w:ascii="Century Schoolbook" w:hAnsi="Century Schoolbook"/>
          <w:sz w:val="27"/>
          <w:szCs w:val="27"/>
        </w:rPr>
        <w:t xml:space="preserve">s what brings matters into Court. </w:t>
      </w:r>
      <w:r w:rsidRPr="009252C3">
        <w:rPr>
          <w:rFonts w:ascii="Century Schoolbook" w:hAnsi="Century Schoolbook"/>
          <w:sz w:val="27"/>
          <w:szCs w:val="27"/>
        </w:rPr>
        <w:t xml:space="preserve"> </w:t>
      </w:r>
      <w:r w:rsidRPr="009252C3">
        <w:rPr>
          <w:rFonts w:ascii="Century Schoolbook" w:hAnsi="Century Schoolbook"/>
          <w:sz w:val="27"/>
          <w:szCs w:val="27"/>
        </w:rPr>
        <w:t>And I</w:t>
      </w:r>
      <w:r w:rsidRPr="009252C3" w:rsidR="006E698F">
        <w:rPr>
          <w:rFonts w:ascii="Century Schoolbook" w:hAnsi="Century Schoolbook"/>
          <w:sz w:val="27"/>
          <w:szCs w:val="27"/>
        </w:rPr>
        <w:t>’</w:t>
      </w:r>
      <w:r w:rsidRPr="009252C3">
        <w:rPr>
          <w:rFonts w:ascii="Century Schoolbook" w:hAnsi="Century Schoolbook"/>
          <w:sz w:val="27"/>
          <w:szCs w:val="27"/>
        </w:rPr>
        <w:t xml:space="preserve">m not afraid to face any of them. </w:t>
      </w:r>
      <w:r w:rsidRPr="009252C3">
        <w:rPr>
          <w:rFonts w:ascii="Century Schoolbook" w:hAnsi="Century Schoolbook"/>
          <w:sz w:val="27"/>
          <w:szCs w:val="27"/>
        </w:rPr>
        <w:t xml:space="preserve"> </w:t>
      </w:r>
      <w:r w:rsidRPr="009252C3">
        <w:rPr>
          <w:rFonts w:ascii="Century Schoolbook" w:hAnsi="Century Schoolbook"/>
          <w:sz w:val="27"/>
          <w:szCs w:val="27"/>
        </w:rPr>
        <w:t>So if you</w:t>
      </w:r>
      <w:r w:rsidRPr="009252C3">
        <w:rPr>
          <w:rFonts w:ascii="Century Schoolbook" w:hAnsi="Century Schoolbook"/>
          <w:sz w:val="27"/>
          <w:szCs w:val="27"/>
        </w:rPr>
        <w:t>’</w:t>
      </w:r>
      <w:r w:rsidRPr="009252C3">
        <w:rPr>
          <w:rFonts w:ascii="Century Schoolbook" w:hAnsi="Century Schoolbook"/>
          <w:sz w:val="27"/>
          <w:szCs w:val="27"/>
        </w:rPr>
        <w:t>d have answered</w:t>
      </w:r>
      <w:r w:rsidR="00BF210A">
        <w:rPr>
          <w:rFonts w:ascii="Century Schoolbook" w:hAnsi="Century Schoolbook"/>
          <w:sz w:val="27"/>
          <w:szCs w:val="27"/>
        </w:rPr>
        <w:t>—</w:t>
      </w:r>
      <w:r w:rsidRPr="009252C3">
        <w:rPr>
          <w:rFonts w:ascii="Century Schoolbook" w:hAnsi="Century Schoolbook"/>
          <w:sz w:val="27"/>
          <w:szCs w:val="27"/>
        </w:rPr>
        <w:t>if you</w:t>
      </w:r>
      <w:r w:rsidRPr="009252C3" w:rsidR="006E698F">
        <w:rPr>
          <w:rFonts w:ascii="Century Schoolbook" w:hAnsi="Century Schoolbook"/>
          <w:sz w:val="27"/>
          <w:szCs w:val="27"/>
        </w:rPr>
        <w:t>’</w:t>
      </w:r>
      <w:r w:rsidRPr="009252C3">
        <w:rPr>
          <w:rFonts w:ascii="Century Schoolbook" w:hAnsi="Century Schoolbook"/>
          <w:sz w:val="27"/>
          <w:szCs w:val="27"/>
        </w:rPr>
        <w:t>d have raised your hand to either of those questions, please do so, because I seek honest opinions when I ask you questions.</w:t>
      </w:r>
    </w:p>
    <w:p w:rsidR="00EB66BE"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sidR="00DF6D22">
        <w:rPr>
          <w:rFonts w:ascii="Century Schoolbook" w:hAnsi="Century Schoolbook"/>
          <w:sz w:val="27"/>
          <w:szCs w:val="27"/>
        </w:rPr>
        <w:t xml:space="preserve">All right. I see no hands, and I thank you very much. </w:t>
      </w:r>
      <w:r w:rsidRPr="009252C3">
        <w:rPr>
          <w:rFonts w:ascii="Century Schoolbook" w:hAnsi="Century Schoolbook"/>
          <w:sz w:val="27"/>
          <w:szCs w:val="27"/>
        </w:rPr>
        <w:t xml:space="preserve"> </w:t>
      </w:r>
      <w:r w:rsidRPr="009252C3" w:rsidR="00DF6D22">
        <w:rPr>
          <w:rFonts w:ascii="Century Schoolbook" w:hAnsi="Century Schoolbook"/>
          <w:sz w:val="27"/>
          <w:szCs w:val="27"/>
        </w:rPr>
        <w:t>And at this juncture I believe we should continue with the examination of Mr. Rhoades.”</w:t>
      </w:r>
      <w:r w:rsidRPr="009252C3">
        <w:rPr>
          <w:rFonts w:ascii="Century Schoolbook" w:hAnsi="Century Schoolbook"/>
          <w:sz w:val="27"/>
          <w:szCs w:val="27"/>
        </w:rPr>
        <w:t xml:space="preserve">  </w:t>
      </w:r>
    </w:p>
    <w:p w:rsidR="008A00A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does not maintain </w:t>
      </w:r>
      <w:r w:rsidR="00BF210A">
        <w:rPr>
          <w:rFonts w:ascii="Century Schoolbook" w:hAnsi="Century Schoolbook"/>
          <w:sz w:val="27"/>
          <w:szCs w:val="27"/>
        </w:rPr>
        <w:t xml:space="preserve">that </w:t>
      </w:r>
      <w:r w:rsidRPr="009252C3">
        <w:rPr>
          <w:rFonts w:ascii="Century Schoolbook" w:hAnsi="Century Schoolbook"/>
          <w:sz w:val="27"/>
          <w:szCs w:val="27"/>
        </w:rPr>
        <w:t>the People were responsible for Friend’s outburst.  In this circumstance</w:t>
      </w:r>
      <w:r w:rsidRPr="009252C3" w:rsidR="005B2B40">
        <w:rPr>
          <w:rFonts w:ascii="Century Schoolbook" w:hAnsi="Century Schoolbook"/>
          <w:sz w:val="27"/>
          <w:szCs w:val="27"/>
        </w:rPr>
        <w:t>—</w:t>
      </w:r>
      <w:r w:rsidRPr="009252C3" w:rsidR="00657C5E">
        <w:rPr>
          <w:rFonts w:ascii="Century Schoolbook" w:hAnsi="Century Schoolbook"/>
          <w:sz w:val="27"/>
          <w:szCs w:val="27"/>
        </w:rPr>
        <w:t xml:space="preserve">a </w:t>
      </w:r>
      <w:r w:rsidRPr="009252C3">
        <w:rPr>
          <w:rFonts w:ascii="Century Schoolbook" w:hAnsi="Century Schoolbook"/>
          <w:sz w:val="27"/>
          <w:szCs w:val="27"/>
        </w:rPr>
        <w:t>spectator outburst not attributable to either party</w:t>
      </w:r>
      <w:r w:rsidRPr="009252C3" w:rsidR="005B2B40">
        <w:rPr>
          <w:rFonts w:ascii="Century Schoolbook" w:hAnsi="Century Schoolbook"/>
          <w:sz w:val="27"/>
          <w:szCs w:val="27"/>
        </w:rPr>
        <w:t>—</w:t>
      </w:r>
      <w:r w:rsidRPr="009252C3" w:rsidR="00657C5E">
        <w:rPr>
          <w:rFonts w:ascii="Century Schoolbook" w:hAnsi="Century Schoolbook"/>
          <w:sz w:val="27"/>
          <w:szCs w:val="27"/>
        </w:rPr>
        <w:t>a mistrial is called for only if the misconduct is so inherently prejudicial as to threaten defendant’s right to a fair trial despite admonitions from the court.  Prejudice is not presumed.  (</w:t>
      </w:r>
      <w:r w:rsidRPr="009252C3" w:rsidR="00657C5E">
        <w:rPr>
          <w:rFonts w:ascii="Century Schoolbook" w:hAnsi="Century Schoolbook"/>
          <w:i/>
          <w:sz w:val="27"/>
          <w:szCs w:val="27"/>
        </w:rPr>
        <w:t xml:space="preserve">People v. Chatman </w:t>
      </w:r>
      <w:r w:rsidRPr="009252C3" w:rsidR="00657C5E">
        <w:rPr>
          <w:rFonts w:ascii="Century Schoolbook" w:hAnsi="Century Schoolbook"/>
          <w:sz w:val="27"/>
          <w:szCs w:val="27"/>
        </w:rPr>
        <w:t>(</w:t>
      </w:r>
      <w:r w:rsidRPr="009252C3" w:rsidR="00D40295">
        <w:rPr>
          <w:rFonts w:ascii="Century Schoolbook" w:hAnsi="Century Schoolbook"/>
          <w:sz w:val="27"/>
          <w:szCs w:val="27"/>
        </w:rPr>
        <w:t>2006</w:t>
      </w:r>
      <w:r w:rsidRPr="009252C3" w:rsidR="00657C5E">
        <w:rPr>
          <w:rFonts w:ascii="Century Schoolbook" w:hAnsi="Century Schoolbook"/>
          <w:sz w:val="27"/>
          <w:szCs w:val="27"/>
        </w:rPr>
        <w:t xml:space="preserve">) 38 Cal.4th </w:t>
      </w:r>
      <w:r w:rsidRPr="009252C3" w:rsidR="00D40295">
        <w:rPr>
          <w:rFonts w:ascii="Century Schoolbook" w:hAnsi="Century Schoolbook"/>
          <w:sz w:val="27"/>
          <w:szCs w:val="27"/>
        </w:rPr>
        <w:t>344</w:t>
      </w:r>
      <w:r w:rsidRPr="009252C3" w:rsidR="00657C5E">
        <w:rPr>
          <w:rFonts w:ascii="Century Schoolbook" w:hAnsi="Century Schoolbook"/>
          <w:sz w:val="27"/>
          <w:szCs w:val="27"/>
        </w:rPr>
        <w:t xml:space="preserve">, </w:t>
      </w:r>
      <w:r w:rsidRPr="009252C3" w:rsidR="00D40295">
        <w:rPr>
          <w:rFonts w:ascii="Century Schoolbook" w:hAnsi="Century Schoolbook"/>
          <w:sz w:val="27"/>
          <w:szCs w:val="27"/>
        </w:rPr>
        <w:t>368</w:t>
      </w:r>
      <w:r w:rsidRPr="009252C3" w:rsidR="005B2B40">
        <w:rPr>
          <w:rFonts w:ascii="Century Schoolbook" w:hAnsi="Century Schoolbook"/>
          <w:sz w:val="27"/>
          <w:szCs w:val="27"/>
        </w:rPr>
        <w:t>–</w:t>
      </w:r>
      <w:r w:rsidRPr="009252C3" w:rsidR="00D40295">
        <w:rPr>
          <w:rFonts w:ascii="Century Schoolbook" w:hAnsi="Century Schoolbook"/>
          <w:sz w:val="27"/>
          <w:szCs w:val="27"/>
        </w:rPr>
        <w:t>370</w:t>
      </w:r>
      <w:r w:rsidRPr="009252C3" w:rsidR="00657C5E">
        <w:rPr>
          <w:rFonts w:ascii="Century Schoolbook" w:hAnsi="Century Schoolbook"/>
          <w:sz w:val="27"/>
          <w:szCs w:val="27"/>
        </w:rPr>
        <w:t>;</w:t>
      </w:r>
      <w:r w:rsidRPr="009252C3" w:rsidR="00657C5E">
        <w:rPr>
          <w:rFonts w:ascii="Century Schoolbook" w:hAnsi="Century Schoolbook"/>
          <w:b/>
          <w:sz w:val="27"/>
          <w:szCs w:val="27"/>
        </w:rPr>
        <w:t xml:space="preserve"> </w:t>
      </w:r>
      <w:r w:rsidRPr="009252C3" w:rsidR="00657C5E">
        <w:rPr>
          <w:rFonts w:ascii="Century Schoolbook" w:hAnsi="Century Schoolbook"/>
          <w:i/>
          <w:sz w:val="27"/>
          <w:szCs w:val="27"/>
        </w:rPr>
        <w:t>People v. Cornw</w:t>
      </w:r>
      <w:r w:rsidRPr="009252C3" w:rsidR="003341A0">
        <w:rPr>
          <w:rFonts w:ascii="Century Schoolbook" w:hAnsi="Century Schoolbook"/>
          <w:i/>
          <w:sz w:val="27"/>
          <w:szCs w:val="27"/>
        </w:rPr>
        <w:t>e</w:t>
      </w:r>
      <w:r w:rsidRPr="009252C3" w:rsidR="00657C5E">
        <w:rPr>
          <w:rFonts w:ascii="Century Schoolbook" w:hAnsi="Century Schoolbook"/>
          <w:i/>
          <w:sz w:val="27"/>
          <w:szCs w:val="27"/>
        </w:rPr>
        <w:t>ll</w:t>
      </w:r>
      <w:r w:rsidRPr="009252C3" w:rsidR="00657C5E">
        <w:rPr>
          <w:rFonts w:ascii="Century Schoolbook" w:hAnsi="Century Schoolbook"/>
          <w:sz w:val="27"/>
          <w:szCs w:val="27"/>
        </w:rPr>
        <w:t xml:space="preserve"> (2005) 37 Cal.4th 50, </w:t>
      </w:r>
      <w:r w:rsidRPr="009252C3" w:rsidR="00D40295">
        <w:rPr>
          <w:rFonts w:ascii="Century Schoolbook" w:hAnsi="Century Schoolbook"/>
          <w:sz w:val="27"/>
          <w:szCs w:val="27"/>
        </w:rPr>
        <w:t>87</w:t>
      </w:r>
      <w:r w:rsidRPr="009252C3" w:rsidR="003341A0">
        <w:rPr>
          <w:rFonts w:ascii="Century Schoolbook" w:hAnsi="Century Schoolbook"/>
          <w:sz w:val="27"/>
          <w:szCs w:val="27"/>
        </w:rPr>
        <w:t>–</w:t>
      </w:r>
      <w:r w:rsidRPr="009252C3" w:rsidR="00657C5E">
        <w:rPr>
          <w:rFonts w:ascii="Century Schoolbook" w:hAnsi="Century Schoolbook"/>
          <w:sz w:val="27"/>
          <w:szCs w:val="27"/>
        </w:rPr>
        <w:t xml:space="preserve">88.)  </w:t>
      </w:r>
      <w:r w:rsidRPr="009252C3" w:rsidR="00221DDF">
        <w:rPr>
          <w:rFonts w:ascii="Century Schoolbook" w:hAnsi="Century Schoolbook"/>
          <w:sz w:val="27"/>
          <w:szCs w:val="27"/>
        </w:rPr>
        <w:t xml:space="preserve">The situation here did not call </w:t>
      </w:r>
      <w:r w:rsidRPr="009252C3" w:rsidR="00FE00BB">
        <w:rPr>
          <w:rFonts w:ascii="Century Schoolbook" w:hAnsi="Century Schoolbook"/>
          <w:sz w:val="27"/>
          <w:szCs w:val="27"/>
        </w:rPr>
        <w:t xml:space="preserve"> for a mistrial</w:t>
      </w:r>
      <w:r w:rsidRPr="009252C3" w:rsidR="00657C5E">
        <w:rPr>
          <w:rFonts w:ascii="Century Schoolbook" w:hAnsi="Century Schoolbook"/>
          <w:sz w:val="27"/>
          <w:szCs w:val="27"/>
        </w:rPr>
        <w:t xml:space="preserve">.  The hostile outburst by a family member of the victim exposed the jury to no information except </w:t>
      </w:r>
      <w:r w:rsidRPr="009252C3" w:rsidR="000E38BF">
        <w:rPr>
          <w:rFonts w:ascii="Century Schoolbook" w:hAnsi="Century Schoolbook"/>
          <w:sz w:val="27"/>
          <w:szCs w:val="27"/>
        </w:rPr>
        <w:t xml:space="preserve">the </w:t>
      </w:r>
      <w:r w:rsidRPr="009252C3" w:rsidR="00AF5841">
        <w:rPr>
          <w:rFonts w:ascii="Century Schoolbook" w:hAnsi="Century Schoolbook"/>
          <w:sz w:val="27"/>
          <w:szCs w:val="27"/>
        </w:rPr>
        <w:t xml:space="preserve">very </w:t>
      </w:r>
      <w:r w:rsidRPr="009252C3" w:rsidR="000E38BF">
        <w:rPr>
          <w:rFonts w:ascii="Century Schoolbook" w:hAnsi="Century Schoolbook"/>
          <w:sz w:val="27"/>
          <w:szCs w:val="27"/>
        </w:rPr>
        <w:t xml:space="preserve">fact of </w:t>
      </w:r>
      <w:r w:rsidRPr="009252C3" w:rsidR="00657C5E">
        <w:rPr>
          <w:rFonts w:ascii="Century Schoolbook" w:hAnsi="Century Schoolbook"/>
          <w:sz w:val="27"/>
          <w:szCs w:val="27"/>
        </w:rPr>
        <w:t>Friend’s hostility</w:t>
      </w:r>
      <w:r w:rsidRPr="009252C3" w:rsidR="00BA7D15">
        <w:rPr>
          <w:rFonts w:ascii="Century Schoolbook" w:hAnsi="Century Schoolbook"/>
          <w:sz w:val="27"/>
          <w:szCs w:val="27"/>
        </w:rPr>
        <w:t xml:space="preserve">, which </w:t>
      </w:r>
      <w:r w:rsidRPr="009252C3" w:rsidR="00CA21B8">
        <w:rPr>
          <w:rFonts w:ascii="Century Schoolbook" w:hAnsi="Century Schoolbook"/>
          <w:sz w:val="27"/>
          <w:szCs w:val="27"/>
        </w:rPr>
        <w:t>would not have been surprising in itself, and Friend’s inability to maintain the decorum of the courtroom</w:t>
      </w:r>
      <w:r w:rsidRPr="009252C3" w:rsidR="00BA7D15">
        <w:rPr>
          <w:rFonts w:ascii="Century Schoolbook" w:hAnsi="Century Schoolbook"/>
          <w:sz w:val="27"/>
          <w:szCs w:val="27"/>
        </w:rPr>
        <w:t xml:space="preserve">.  </w:t>
      </w:r>
      <w:r w:rsidRPr="009252C3" w:rsidR="00657C5E">
        <w:rPr>
          <w:rFonts w:ascii="Century Schoolbook" w:hAnsi="Century Schoolbook"/>
          <w:sz w:val="27"/>
          <w:szCs w:val="27"/>
        </w:rPr>
        <w:t xml:space="preserve">The court’s careful admonition and inquiry elicited no suggestion any jurors would be unable to set aside the event in their deliberations.  Under these circumstances, the court did not abuse its discretion in denying a mistrial.  </w:t>
      </w:r>
    </w:p>
    <w:p w:rsidR="00AF50CF" w:rsidRPr="009252C3" w:rsidP="009252C3">
      <w:pPr>
        <w:pStyle w:val="Heading3"/>
        <w:spacing w:before="100" w:line="400" w:lineRule="exact"/>
        <w:ind w:left="0" w:firstLine="720"/>
        <w:jc w:val="both"/>
        <w:rPr>
          <w:rFonts w:ascii="Century Schoolbook" w:hAnsi="Century Schoolbook"/>
          <w:b/>
          <w:i w:val="0"/>
          <w:sz w:val="27"/>
          <w:szCs w:val="27"/>
        </w:rPr>
      </w:pPr>
      <w:bookmarkStart w:id="17" w:name="_Toc3365818"/>
      <w:r w:rsidRPr="009252C3">
        <w:rPr>
          <w:rFonts w:ascii="Century Schoolbook" w:hAnsi="Century Schoolbook"/>
          <w:b/>
          <w:i w:val="0"/>
          <w:sz w:val="27"/>
          <w:szCs w:val="27"/>
        </w:rPr>
        <w:t xml:space="preserve">IX.  Racially Discriminatory Use of Peremptory </w:t>
      </w:r>
      <w:r w:rsidR="00F7276C">
        <w:rPr>
          <w:rFonts w:ascii="Century Schoolbook" w:hAnsi="Century Schoolbook"/>
          <w:b/>
          <w:i w:val="0"/>
          <w:sz w:val="27"/>
          <w:szCs w:val="27"/>
        </w:rPr>
        <w:br/>
        <w:t xml:space="preserve">                   </w:t>
      </w:r>
      <w:r w:rsidRPr="009252C3">
        <w:rPr>
          <w:rFonts w:ascii="Century Schoolbook" w:hAnsi="Century Schoolbook"/>
          <w:b/>
          <w:i w:val="0"/>
          <w:sz w:val="27"/>
          <w:szCs w:val="27"/>
        </w:rPr>
        <w:t>Challenges</w:t>
      </w:r>
      <w:bookmarkEnd w:id="17"/>
    </w:p>
    <w:p w:rsidR="00131D7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contends the prosecution intentionally used its peremptory challenges to remove all African</w:t>
      </w:r>
      <w:r w:rsidRPr="009252C3" w:rsidR="00BD3676">
        <w:rPr>
          <w:rFonts w:ascii="Century Schoolbook" w:hAnsi="Century Schoolbook"/>
          <w:sz w:val="27"/>
          <w:szCs w:val="27"/>
        </w:rPr>
        <w:t>-</w:t>
      </w:r>
      <w:r w:rsidRPr="009252C3">
        <w:rPr>
          <w:rFonts w:ascii="Century Schoolbook" w:hAnsi="Century Schoolbook"/>
          <w:sz w:val="27"/>
          <w:szCs w:val="27"/>
        </w:rPr>
        <w:t xml:space="preserve">Americans from the </w:t>
      </w:r>
      <w:r w:rsidRPr="009252C3" w:rsidR="002666CD">
        <w:rPr>
          <w:rFonts w:ascii="Century Schoolbook" w:hAnsi="Century Schoolbook"/>
          <w:sz w:val="27"/>
          <w:szCs w:val="27"/>
        </w:rPr>
        <w:t xml:space="preserve">penalty retrial </w:t>
      </w:r>
      <w:r w:rsidRPr="009252C3">
        <w:rPr>
          <w:rFonts w:ascii="Century Schoolbook" w:hAnsi="Century Schoolbook"/>
          <w:sz w:val="27"/>
          <w:szCs w:val="27"/>
        </w:rPr>
        <w:t xml:space="preserve">jury in violation of </w:t>
      </w:r>
      <w:r w:rsidRPr="009252C3" w:rsidR="00DE7729">
        <w:rPr>
          <w:rFonts w:ascii="Century Schoolbook" w:hAnsi="Century Schoolbook"/>
          <w:i/>
          <w:sz w:val="27"/>
          <w:szCs w:val="27"/>
        </w:rPr>
        <w:t xml:space="preserve">Batson v. Kentucky </w:t>
      </w:r>
      <w:r w:rsidRPr="009252C3" w:rsidR="00DE7729">
        <w:rPr>
          <w:rFonts w:ascii="Century Schoolbook" w:hAnsi="Century Schoolbook"/>
          <w:sz w:val="27"/>
          <w:szCs w:val="27"/>
        </w:rPr>
        <w:t xml:space="preserve">(1986) 476 U.S. 79 and </w:t>
      </w:r>
      <w:r w:rsidRPr="009252C3" w:rsidR="00DE7729">
        <w:rPr>
          <w:rFonts w:ascii="Century Schoolbook" w:hAnsi="Century Schoolbook"/>
          <w:i/>
          <w:sz w:val="27"/>
          <w:szCs w:val="27"/>
        </w:rPr>
        <w:t>People v. Wheeler</w:t>
      </w:r>
      <w:r w:rsidRPr="009252C3" w:rsidR="00DE7729">
        <w:rPr>
          <w:rFonts w:ascii="Century Schoolbook" w:hAnsi="Century Schoolbook"/>
          <w:sz w:val="27"/>
          <w:szCs w:val="27"/>
        </w:rPr>
        <w:t xml:space="preserve"> (1978) 22 Cal.3d 258</w:t>
      </w:r>
      <w:r w:rsidRPr="009252C3">
        <w:rPr>
          <w:rFonts w:ascii="Century Schoolbook" w:hAnsi="Century Schoolbook"/>
          <w:sz w:val="27"/>
          <w:szCs w:val="27"/>
        </w:rPr>
        <w:t xml:space="preserve">.  </w:t>
      </w:r>
      <w:r w:rsidR="003B4F66">
        <w:rPr>
          <w:rFonts w:ascii="Century Schoolbook" w:hAnsi="Century Schoolbook"/>
          <w:sz w:val="27"/>
          <w:szCs w:val="27"/>
        </w:rPr>
        <w:t xml:space="preserve">The trial court concluded defendant failed to make out a prima facie case of discrimination and thus </w:t>
      </w:r>
      <w:r w:rsidR="00EC63EF">
        <w:rPr>
          <w:rFonts w:ascii="Century Schoolbook" w:hAnsi="Century Schoolbook"/>
          <w:sz w:val="27"/>
          <w:szCs w:val="27"/>
        </w:rPr>
        <w:t xml:space="preserve">did not </w:t>
      </w:r>
      <w:r w:rsidR="003B4F66">
        <w:rPr>
          <w:rFonts w:ascii="Century Schoolbook" w:hAnsi="Century Schoolbook"/>
          <w:sz w:val="27"/>
          <w:szCs w:val="27"/>
        </w:rPr>
        <w:t>require the prosecut</w:t>
      </w:r>
      <w:r w:rsidR="00A67578">
        <w:rPr>
          <w:rFonts w:ascii="Century Schoolbook" w:hAnsi="Century Schoolbook"/>
          <w:sz w:val="27"/>
          <w:szCs w:val="27"/>
        </w:rPr>
        <w:t>ors</w:t>
      </w:r>
      <w:r w:rsidR="003B4F66">
        <w:rPr>
          <w:rFonts w:ascii="Century Schoolbook" w:hAnsi="Century Schoolbook"/>
          <w:sz w:val="27"/>
          <w:szCs w:val="27"/>
        </w:rPr>
        <w:t xml:space="preserve"> to explain </w:t>
      </w:r>
      <w:r w:rsidR="00A67578">
        <w:rPr>
          <w:rFonts w:ascii="Century Schoolbook" w:hAnsi="Century Schoolbook"/>
          <w:sz w:val="27"/>
          <w:szCs w:val="27"/>
        </w:rPr>
        <w:t xml:space="preserve">their </w:t>
      </w:r>
      <w:r w:rsidR="003B4F66">
        <w:rPr>
          <w:rFonts w:ascii="Century Schoolbook" w:hAnsi="Century Schoolbook"/>
          <w:sz w:val="27"/>
          <w:szCs w:val="27"/>
        </w:rPr>
        <w:t>reasons for the challenged strikes.  Defendant contends this was error.  And because the trial was conducted in 1999, he contends it is now too late to ask the prosecut</w:t>
      </w:r>
      <w:r w:rsidR="00A67578">
        <w:rPr>
          <w:rFonts w:ascii="Century Schoolbook" w:hAnsi="Century Schoolbook"/>
          <w:sz w:val="27"/>
          <w:szCs w:val="27"/>
        </w:rPr>
        <w:t>ors</w:t>
      </w:r>
      <w:r w:rsidR="003B4F66">
        <w:rPr>
          <w:rFonts w:ascii="Century Schoolbook" w:hAnsi="Century Schoolbook"/>
          <w:sz w:val="27"/>
          <w:szCs w:val="27"/>
        </w:rPr>
        <w:t xml:space="preserve"> to explain why </w:t>
      </w:r>
      <w:r w:rsidR="00A67578">
        <w:rPr>
          <w:rFonts w:ascii="Century Schoolbook" w:hAnsi="Century Schoolbook"/>
          <w:sz w:val="27"/>
          <w:szCs w:val="27"/>
        </w:rPr>
        <w:t xml:space="preserve">they </w:t>
      </w:r>
      <w:r w:rsidR="003B4F66">
        <w:rPr>
          <w:rFonts w:ascii="Century Schoolbook" w:hAnsi="Century Schoolbook"/>
          <w:sz w:val="27"/>
          <w:szCs w:val="27"/>
        </w:rPr>
        <w:t xml:space="preserve">struck the challenged </w:t>
      </w:r>
      <w:r w:rsidR="00EC63EF">
        <w:rPr>
          <w:rFonts w:ascii="Century Schoolbook" w:hAnsi="Century Schoolbook"/>
          <w:sz w:val="27"/>
          <w:szCs w:val="27"/>
        </w:rPr>
        <w:t xml:space="preserve">prospective </w:t>
      </w:r>
      <w:r w:rsidR="003B4F66">
        <w:rPr>
          <w:rFonts w:ascii="Century Schoolbook" w:hAnsi="Century Schoolbook"/>
          <w:sz w:val="27"/>
          <w:szCs w:val="27"/>
        </w:rPr>
        <w:t>jurors.  Defendant contends he is therefore entitled to reversal of the penalty judgment</w:t>
      </w:r>
      <w:r w:rsidR="007E6981">
        <w:rPr>
          <w:rFonts w:ascii="Century Schoolbook" w:hAnsi="Century Schoolbook"/>
          <w:sz w:val="27"/>
          <w:szCs w:val="27"/>
        </w:rPr>
        <w:t xml:space="preserve">.  </w:t>
      </w:r>
      <w:r w:rsidR="00EC63EF">
        <w:rPr>
          <w:rFonts w:ascii="Century Schoolbook" w:hAnsi="Century Schoolbook"/>
          <w:sz w:val="27"/>
          <w:szCs w:val="27"/>
        </w:rPr>
        <w:t>We conclude the contention lacks merit.</w:t>
      </w:r>
    </w:p>
    <w:p w:rsidR="005E0BCA"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t>
      </w:r>
      <w:r w:rsidRPr="009252C3" w:rsidR="00EC2AD2">
        <w:rPr>
          <w:rFonts w:ascii="Century Schoolbook" w:hAnsi="Century Schoolbook"/>
          <w:sz w:val="27"/>
          <w:szCs w:val="27"/>
        </w:rPr>
        <w:t xml:space="preserve">Both the state and federal Constitutions prohibit the use of peremptory challenges to remove prospective jurors based on group bias, such as race or ethnicity. </w:t>
      </w:r>
      <w:r w:rsidRPr="009252C3">
        <w:rPr>
          <w:rFonts w:ascii="Century Schoolbook" w:hAnsi="Century Schoolbook"/>
          <w:sz w:val="27"/>
          <w:szCs w:val="27"/>
        </w:rPr>
        <w:t xml:space="preserve"> </w:t>
      </w:r>
      <w:r w:rsidRPr="009252C3" w:rsidR="00EC2AD2">
        <w:rPr>
          <w:rFonts w:ascii="Century Schoolbook" w:hAnsi="Century Schoolbook"/>
          <w:sz w:val="27"/>
          <w:szCs w:val="27"/>
        </w:rPr>
        <w:t>(See </w:t>
      </w:r>
      <w:r w:rsidRPr="009252C3" w:rsidR="00EC2AD2">
        <w:rPr>
          <w:rFonts w:ascii="Century Schoolbook" w:hAnsi="Century Schoolbook"/>
          <w:i/>
          <w:iCs/>
          <w:sz w:val="27"/>
          <w:szCs w:val="27"/>
        </w:rPr>
        <w:t>Batson v. Kentucky</w:t>
      </w:r>
      <w:r w:rsidRPr="009252C3" w:rsidR="00BD46A7">
        <w:rPr>
          <w:rFonts w:ascii="Century Schoolbook" w:hAnsi="Century Schoolbook"/>
          <w:iCs/>
          <w:sz w:val="27"/>
          <w:szCs w:val="27"/>
        </w:rPr>
        <w:t xml:space="preserve">[, </w:t>
      </w:r>
      <w:r w:rsidRPr="009252C3" w:rsidR="00BD46A7">
        <w:rPr>
          <w:rFonts w:ascii="Century Schoolbook" w:hAnsi="Century Schoolbook"/>
          <w:i/>
          <w:iCs/>
          <w:sz w:val="27"/>
          <w:szCs w:val="27"/>
        </w:rPr>
        <w:t>supra</w:t>
      </w:r>
      <w:r w:rsidRPr="009252C3" w:rsidR="00BD46A7">
        <w:rPr>
          <w:rFonts w:ascii="Century Schoolbook" w:hAnsi="Century Schoolbook"/>
          <w:iCs/>
          <w:sz w:val="27"/>
          <w:szCs w:val="27"/>
        </w:rPr>
        <w:t xml:space="preserve">,] </w:t>
      </w:r>
      <w:r w:rsidRPr="009252C3" w:rsidR="00EC2AD2">
        <w:rPr>
          <w:rFonts w:ascii="Century Schoolbook" w:hAnsi="Century Schoolbook"/>
          <w:sz w:val="27"/>
          <w:szCs w:val="27"/>
        </w:rPr>
        <w:t>476 U.S.</w:t>
      </w:r>
      <w:r w:rsidRPr="009252C3" w:rsidR="00E95D0D">
        <w:rPr>
          <w:rFonts w:ascii="Century Schoolbook" w:hAnsi="Century Schoolbook"/>
          <w:sz w:val="27"/>
          <w:szCs w:val="27"/>
        </w:rPr>
        <w:t xml:space="preserve"> [at p.] </w:t>
      </w:r>
      <w:r w:rsidRPr="009252C3" w:rsidR="00EC2AD2">
        <w:rPr>
          <w:rFonts w:ascii="Century Schoolbook" w:hAnsi="Century Schoolbook"/>
          <w:sz w:val="27"/>
          <w:szCs w:val="27"/>
        </w:rPr>
        <w:t>97</w:t>
      </w:r>
      <w:r w:rsidRPr="009252C3" w:rsidR="00645595">
        <w:rPr>
          <w:rFonts w:ascii="Century Schoolbook" w:hAnsi="Century Schoolbook"/>
          <w:sz w:val="27"/>
          <w:szCs w:val="27"/>
        </w:rPr>
        <w:t xml:space="preserve"> [(</w:t>
      </w:r>
      <w:r w:rsidRPr="009252C3" w:rsidR="00645595">
        <w:rPr>
          <w:rFonts w:ascii="Century Schoolbook" w:hAnsi="Century Schoolbook"/>
          <w:i/>
          <w:sz w:val="27"/>
          <w:szCs w:val="27"/>
        </w:rPr>
        <w:t>Batson</w:t>
      </w:r>
      <w:r w:rsidRPr="009252C3" w:rsidR="00645595">
        <w:rPr>
          <w:rFonts w:ascii="Century Schoolbook" w:hAnsi="Century Schoolbook"/>
          <w:sz w:val="27"/>
          <w:szCs w:val="27"/>
        </w:rPr>
        <w:t>)]</w:t>
      </w:r>
      <w:r w:rsidRPr="009252C3" w:rsidR="00EC2AD2">
        <w:rPr>
          <w:rFonts w:ascii="Century Schoolbook" w:hAnsi="Century Schoolbook"/>
          <w:sz w:val="27"/>
          <w:szCs w:val="27"/>
        </w:rPr>
        <w:t>; </w:t>
      </w:r>
      <w:r w:rsidRPr="009252C3" w:rsidR="00EC2AD2">
        <w:rPr>
          <w:rFonts w:ascii="Century Schoolbook" w:hAnsi="Century Schoolbook"/>
          <w:i/>
          <w:iCs/>
          <w:sz w:val="27"/>
          <w:szCs w:val="27"/>
        </w:rPr>
        <w:t>People v. Wheeler</w:t>
      </w:r>
      <w:r w:rsidRPr="009252C3" w:rsidR="0083470E">
        <w:rPr>
          <w:rFonts w:ascii="Century Schoolbook" w:hAnsi="Century Schoolbook"/>
          <w:iCs/>
          <w:sz w:val="27"/>
          <w:szCs w:val="27"/>
        </w:rPr>
        <w:t>[,</w:t>
      </w:r>
      <w:r w:rsidRPr="009252C3" w:rsidR="0083470E">
        <w:rPr>
          <w:rFonts w:ascii="Century Schoolbook" w:hAnsi="Century Schoolbook"/>
          <w:i/>
          <w:iCs/>
          <w:sz w:val="27"/>
          <w:szCs w:val="27"/>
        </w:rPr>
        <w:t xml:space="preserve"> supra</w:t>
      </w:r>
      <w:r w:rsidRPr="009252C3" w:rsidR="0083470E">
        <w:rPr>
          <w:rFonts w:ascii="Century Schoolbook" w:hAnsi="Century Schoolbook"/>
          <w:iCs/>
          <w:sz w:val="27"/>
          <w:szCs w:val="27"/>
        </w:rPr>
        <w:t>,]</w:t>
      </w:r>
      <w:r w:rsidRPr="009252C3" w:rsidR="00EC2AD2">
        <w:rPr>
          <w:rFonts w:ascii="Century Schoolbook" w:hAnsi="Century Schoolbook"/>
          <w:sz w:val="27"/>
          <w:szCs w:val="27"/>
        </w:rPr>
        <w:t xml:space="preserve"> 22 Cal.3d </w:t>
      </w:r>
      <w:r w:rsidRPr="009252C3" w:rsidR="0083470E">
        <w:rPr>
          <w:rFonts w:ascii="Century Schoolbook" w:hAnsi="Century Schoolbook"/>
          <w:sz w:val="27"/>
          <w:szCs w:val="27"/>
        </w:rPr>
        <w:t>[at pp.]</w:t>
      </w:r>
      <w:r w:rsidRPr="009252C3" w:rsidR="003341A0">
        <w:rPr>
          <w:rFonts w:ascii="Century Schoolbook" w:hAnsi="Century Schoolbook"/>
          <w:sz w:val="27"/>
          <w:szCs w:val="27"/>
        </w:rPr>
        <w:t> </w:t>
      </w:r>
      <w:r w:rsidRPr="009252C3" w:rsidR="00EC2AD2">
        <w:rPr>
          <w:rFonts w:ascii="Century Schoolbook" w:hAnsi="Century Schoolbook"/>
          <w:sz w:val="27"/>
          <w:szCs w:val="27"/>
        </w:rPr>
        <w:t>276–277</w:t>
      </w:r>
      <w:r w:rsidRPr="009252C3" w:rsidR="0083470E">
        <w:rPr>
          <w:rFonts w:ascii="Century Schoolbook" w:hAnsi="Century Schoolbook"/>
          <w:sz w:val="27"/>
          <w:szCs w:val="27"/>
        </w:rPr>
        <w:t xml:space="preserve"> (</w:t>
      </w:r>
      <w:r w:rsidRPr="009252C3" w:rsidR="0083470E">
        <w:rPr>
          <w:rFonts w:ascii="Century Schoolbook" w:hAnsi="Century Schoolbook"/>
          <w:i/>
          <w:sz w:val="27"/>
          <w:szCs w:val="27"/>
        </w:rPr>
        <w:t>Wheeler</w:t>
      </w:r>
      <w:r w:rsidRPr="009252C3" w:rsidR="0083470E">
        <w:rPr>
          <w:rFonts w:ascii="Century Schoolbook" w:hAnsi="Century Schoolbook"/>
          <w:sz w:val="27"/>
          <w:szCs w:val="27"/>
        </w:rPr>
        <w:t>).</w:t>
      </w:r>
      <w:r w:rsidR="00BF210A">
        <w:rPr>
          <w:rFonts w:ascii="Century Schoolbook" w:hAnsi="Century Schoolbook"/>
          <w:sz w:val="27"/>
          <w:szCs w:val="27"/>
        </w:rPr>
        <w:t>)</w:t>
      </w:r>
      <w:r w:rsidRPr="009252C3" w:rsidR="00EC2AD2">
        <w:rPr>
          <w:rFonts w:ascii="Century Schoolbook" w:hAnsi="Century Schoolbook"/>
          <w:sz w:val="27"/>
          <w:szCs w:val="27"/>
        </w:rPr>
        <w:t xml:space="preserve"> </w:t>
      </w:r>
      <w:r w:rsidRPr="009252C3">
        <w:rPr>
          <w:rFonts w:ascii="Century Schoolbook" w:hAnsi="Century Schoolbook"/>
          <w:sz w:val="27"/>
          <w:szCs w:val="27"/>
        </w:rPr>
        <w:t xml:space="preserve"> </w:t>
      </w:r>
      <w:r w:rsidRPr="009252C3" w:rsidR="00EC2AD2">
        <w:rPr>
          <w:rFonts w:ascii="Century Schoolbook" w:hAnsi="Century Schoolbook"/>
          <w:sz w:val="27"/>
          <w:szCs w:val="27"/>
        </w:rPr>
        <w:t xml:space="preserve">When the defense raises such a challenge, these procedures apply: </w:t>
      </w:r>
      <w:r w:rsidRPr="009252C3" w:rsidR="005B2B40">
        <w:rPr>
          <w:rFonts w:ascii="Century Schoolbook" w:hAnsi="Century Schoolbook"/>
          <w:sz w:val="27"/>
          <w:szCs w:val="27"/>
        </w:rPr>
        <w:t xml:space="preserve"> </w:t>
      </w:r>
      <w:r w:rsidRPr="009252C3">
        <w:rPr>
          <w:rFonts w:ascii="Century Schoolbook" w:hAnsi="Century Schoolbook"/>
          <w:sz w:val="27"/>
          <w:szCs w:val="27"/>
        </w:rPr>
        <w:t>‘</w:t>
      </w:r>
      <w:r w:rsidRPr="009252C3" w:rsidR="00EC2AD2">
        <w:rPr>
          <w:rFonts w:ascii="Century Schoolbook" w:hAnsi="Century Schoolbook"/>
          <w:sz w:val="27"/>
          <w:szCs w:val="27"/>
        </w:rPr>
        <w:t xml:space="preserve">First, the defendant must make out a prima facie case </w:t>
      </w:r>
      <w:r w:rsidRPr="009252C3">
        <w:rPr>
          <w:rFonts w:ascii="Century Schoolbook" w:hAnsi="Century Schoolbook"/>
          <w:sz w:val="27"/>
          <w:szCs w:val="27"/>
        </w:rPr>
        <w:t>“</w:t>
      </w:r>
      <w:r w:rsidRPr="009252C3" w:rsidR="00EC2AD2">
        <w:rPr>
          <w:rFonts w:ascii="Century Schoolbook" w:hAnsi="Century Schoolbook"/>
          <w:sz w:val="27"/>
          <w:szCs w:val="27"/>
        </w:rPr>
        <w:t>by showing that the totality of the relevant facts gives rise to an inference of discriminatory purpose.</w:t>
      </w:r>
      <w:r w:rsidRPr="009252C3">
        <w:rPr>
          <w:rFonts w:ascii="Century Schoolbook" w:hAnsi="Century Schoolbook"/>
          <w:sz w:val="27"/>
          <w:szCs w:val="27"/>
        </w:rPr>
        <w:t>”</w:t>
      </w:r>
      <w:r w:rsidRPr="009252C3" w:rsidR="005B2B40">
        <w:rPr>
          <w:rFonts w:ascii="Century Schoolbook" w:hAnsi="Century Schoolbook"/>
          <w:sz w:val="27"/>
          <w:szCs w:val="27"/>
        </w:rPr>
        <w:t xml:space="preserve"> </w:t>
      </w:r>
      <w:r w:rsidRPr="009252C3" w:rsidR="00EC2AD2">
        <w:rPr>
          <w:rFonts w:ascii="Century Schoolbook" w:hAnsi="Century Schoolbook"/>
          <w:sz w:val="27"/>
          <w:szCs w:val="27"/>
        </w:rPr>
        <w:t xml:space="preserve"> [Citation.] </w:t>
      </w:r>
      <w:r w:rsidR="00BC33A0">
        <w:rPr>
          <w:rFonts w:ascii="Century Schoolbook" w:hAnsi="Century Schoolbook"/>
          <w:sz w:val="27"/>
          <w:szCs w:val="27"/>
        </w:rPr>
        <w:t xml:space="preserve"> </w:t>
      </w:r>
      <w:r w:rsidRPr="009252C3" w:rsidR="00EC2AD2">
        <w:rPr>
          <w:rFonts w:ascii="Century Schoolbook" w:hAnsi="Century Schoolbook"/>
          <w:sz w:val="27"/>
          <w:szCs w:val="27"/>
        </w:rPr>
        <w:t xml:space="preserve">Second, once the defendant has made out a prima facie case, the </w:t>
      </w:r>
      <w:r w:rsidRPr="009252C3">
        <w:rPr>
          <w:rFonts w:ascii="Century Schoolbook" w:hAnsi="Century Schoolbook"/>
          <w:sz w:val="27"/>
          <w:szCs w:val="27"/>
        </w:rPr>
        <w:t>“</w:t>
      </w:r>
      <w:r w:rsidRPr="009252C3" w:rsidR="00EC2AD2">
        <w:rPr>
          <w:rFonts w:ascii="Century Schoolbook" w:hAnsi="Century Schoolbook"/>
          <w:sz w:val="27"/>
          <w:szCs w:val="27"/>
        </w:rPr>
        <w:t>burden shifts to the State to explain adequately the racial exclusion</w:t>
      </w:r>
      <w:r w:rsidRPr="009252C3">
        <w:rPr>
          <w:rFonts w:ascii="Century Schoolbook" w:hAnsi="Century Schoolbook"/>
          <w:sz w:val="27"/>
          <w:szCs w:val="27"/>
        </w:rPr>
        <w:t>”</w:t>
      </w:r>
      <w:r w:rsidRPr="009252C3" w:rsidR="00EC2AD2">
        <w:rPr>
          <w:rFonts w:ascii="Century Schoolbook" w:hAnsi="Century Schoolbook"/>
          <w:sz w:val="27"/>
          <w:szCs w:val="27"/>
        </w:rPr>
        <w:t xml:space="preserve"> by offering permissible race-neutral justifications for the strikes.</w:t>
      </w:r>
      <w:r w:rsidRPr="009252C3" w:rsidR="005B2B40">
        <w:rPr>
          <w:rFonts w:ascii="Century Schoolbook" w:hAnsi="Century Schoolbook"/>
          <w:sz w:val="27"/>
          <w:szCs w:val="27"/>
        </w:rPr>
        <w:t xml:space="preserve"> </w:t>
      </w:r>
      <w:r w:rsidRPr="009252C3" w:rsidR="00EC2AD2">
        <w:rPr>
          <w:rFonts w:ascii="Century Schoolbook" w:hAnsi="Century Schoolbook"/>
          <w:sz w:val="27"/>
          <w:szCs w:val="27"/>
        </w:rPr>
        <w:t xml:space="preserve"> [Citations.] </w:t>
      </w:r>
      <w:r w:rsidRPr="009252C3">
        <w:rPr>
          <w:rFonts w:ascii="Century Schoolbook" w:hAnsi="Century Schoolbook"/>
          <w:sz w:val="27"/>
          <w:szCs w:val="27"/>
        </w:rPr>
        <w:t xml:space="preserve"> </w:t>
      </w:r>
      <w:r w:rsidRPr="009252C3" w:rsidR="00EC2AD2">
        <w:rPr>
          <w:rFonts w:ascii="Century Schoolbook" w:hAnsi="Century Schoolbook"/>
          <w:sz w:val="27"/>
          <w:szCs w:val="27"/>
        </w:rPr>
        <w:t xml:space="preserve">Third, </w:t>
      </w:r>
      <w:r w:rsidRPr="009252C3">
        <w:rPr>
          <w:rFonts w:ascii="Century Schoolbook" w:hAnsi="Century Schoolbook"/>
          <w:sz w:val="27"/>
          <w:szCs w:val="27"/>
        </w:rPr>
        <w:t>“</w:t>
      </w:r>
      <w:r w:rsidRPr="009252C3" w:rsidR="00EC2AD2">
        <w:rPr>
          <w:rFonts w:ascii="Century Schoolbook" w:hAnsi="Century Schoolbook"/>
          <w:sz w:val="27"/>
          <w:szCs w:val="27"/>
        </w:rPr>
        <w:t>[i]f a race-neutral explanation is tendered, the trial court must then decide .</w:t>
      </w:r>
      <w:r w:rsidRPr="009252C3" w:rsidR="005B2B40">
        <w:rPr>
          <w:rFonts w:ascii="Century Schoolbook" w:hAnsi="Century Schoolbook"/>
          <w:sz w:val="27"/>
          <w:szCs w:val="27"/>
        </w:rPr>
        <w:t> </w:t>
      </w:r>
      <w:r w:rsidRPr="009252C3" w:rsidR="00F71545">
        <w:rPr>
          <w:rFonts w:ascii="Century Schoolbook" w:hAnsi="Century Schoolbook"/>
          <w:sz w:val="27"/>
          <w:szCs w:val="27"/>
        </w:rPr>
        <w:t>.</w:t>
      </w:r>
      <w:r w:rsidRPr="009252C3" w:rsidR="005B2B40">
        <w:rPr>
          <w:rFonts w:ascii="Century Schoolbook" w:hAnsi="Century Schoolbook"/>
          <w:sz w:val="27"/>
          <w:szCs w:val="27"/>
        </w:rPr>
        <w:t> </w:t>
      </w:r>
      <w:r w:rsidRPr="009252C3" w:rsidR="00F71545">
        <w:rPr>
          <w:rFonts w:ascii="Century Schoolbook" w:hAnsi="Century Schoolbook"/>
          <w:sz w:val="27"/>
          <w:szCs w:val="27"/>
        </w:rPr>
        <w:t xml:space="preserve">. </w:t>
      </w:r>
      <w:r w:rsidRPr="009252C3" w:rsidR="00EC2AD2">
        <w:rPr>
          <w:rFonts w:ascii="Century Schoolbook" w:hAnsi="Century Schoolbook"/>
          <w:sz w:val="27"/>
          <w:szCs w:val="27"/>
        </w:rPr>
        <w:t>whether the opponent of the strike has proved purposeful racial discrimination.</w:t>
      </w:r>
      <w:r w:rsidRPr="009252C3">
        <w:rPr>
          <w:rFonts w:ascii="Century Schoolbook" w:hAnsi="Century Schoolbook"/>
          <w:sz w:val="27"/>
          <w:szCs w:val="27"/>
        </w:rPr>
        <w:t>”</w:t>
      </w:r>
      <w:r w:rsidRPr="009252C3" w:rsidR="00EC2AD2">
        <w:rPr>
          <w:rFonts w:ascii="Century Schoolbook" w:hAnsi="Century Schoolbook"/>
          <w:sz w:val="27"/>
          <w:szCs w:val="27"/>
        </w:rPr>
        <w:t xml:space="preserve"> </w:t>
      </w:r>
      <w:r w:rsidRPr="009252C3" w:rsidR="005B2B40">
        <w:rPr>
          <w:rFonts w:ascii="Century Schoolbook" w:hAnsi="Century Schoolbook"/>
          <w:sz w:val="27"/>
          <w:szCs w:val="27"/>
        </w:rPr>
        <w:t xml:space="preserve"> </w:t>
      </w:r>
      <w:r w:rsidRPr="009252C3" w:rsidR="00EC2AD2">
        <w:rPr>
          <w:rFonts w:ascii="Century Schoolbook" w:hAnsi="Century Schoolbook"/>
          <w:sz w:val="27"/>
          <w:szCs w:val="27"/>
        </w:rPr>
        <w:t>[Citation.]</w:t>
      </w:r>
      <w:r w:rsidRPr="009252C3">
        <w:rPr>
          <w:rFonts w:ascii="Century Schoolbook" w:hAnsi="Century Schoolbook"/>
          <w:sz w:val="27"/>
          <w:szCs w:val="27"/>
        </w:rPr>
        <w:t>’</w:t>
      </w:r>
      <w:r w:rsidRPr="009252C3" w:rsidR="005B2B40">
        <w:rPr>
          <w:rFonts w:ascii="Century Schoolbook" w:hAnsi="Century Schoolbook"/>
          <w:sz w:val="27"/>
          <w:szCs w:val="27"/>
        </w:rPr>
        <w:t xml:space="preserve">  </w:t>
      </w:r>
      <w:r w:rsidRPr="009252C3" w:rsidR="00EC2AD2">
        <w:rPr>
          <w:rFonts w:ascii="Century Schoolbook" w:hAnsi="Century Schoolbook"/>
          <w:sz w:val="27"/>
          <w:szCs w:val="27"/>
        </w:rPr>
        <w:t>(</w:t>
      </w:r>
      <w:r w:rsidRPr="009252C3" w:rsidR="00EC2AD2">
        <w:rPr>
          <w:rFonts w:ascii="Century Schoolbook" w:hAnsi="Century Schoolbook"/>
          <w:i/>
          <w:iCs/>
          <w:sz w:val="27"/>
          <w:szCs w:val="27"/>
        </w:rPr>
        <w:t>Johnson v. California</w:t>
      </w:r>
      <w:r w:rsidRPr="009252C3" w:rsidR="005B2B40">
        <w:rPr>
          <w:rFonts w:ascii="Century Schoolbook" w:hAnsi="Century Schoolbook"/>
          <w:i/>
          <w:iCs/>
          <w:sz w:val="27"/>
          <w:szCs w:val="27"/>
        </w:rPr>
        <w:t xml:space="preserve"> </w:t>
      </w:r>
      <w:r w:rsidRPr="009252C3" w:rsidR="00EC2AD2">
        <w:rPr>
          <w:rFonts w:ascii="Century Schoolbook" w:hAnsi="Century Schoolbook"/>
          <w:sz w:val="27"/>
          <w:szCs w:val="27"/>
        </w:rPr>
        <w:t>(2005) 545 U.S. 162, 168</w:t>
      </w:r>
      <w:r w:rsidRPr="009252C3">
        <w:rPr>
          <w:rFonts w:ascii="Century Schoolbook" w:hAnsi="Century Schoolbook"/>
          <w:sz w:val="27"/>
          <w:szCs w:val="27"/>
        </w:rPr>
        <w:t xml:space="preserve">, </w:t>
      </w:r>
      <w:r w:rsidRPr="009252C3" w:rsidR="00EC2AD2">
        <w:rPr>
          <w:rFonts w:ascii="Century Schoolbook" w:hAnsi="Century Schoolbook"/>
          <w:sz w:val="27"/>
          <w:szCs w:val="27"/>
        </w:rPr>
        <w:t>fn. omitted; see also</w:t>
      </w:r>
      <w:r w:rsidR="00BC33A0">
        <w:rPr>
          <w:rFonts w:ascii="Century Schoolbook" w:hAnsi="Century Schoolbook"/>
          <w:sz w:val="27"/>
          <w:szCs w:val="27"/>
        </w:rPr>
        <w:t xml:space="preserve"> </w:t>
      </w:r>
      <w:r w:rsidRPr="009252C3" w:rsidR="00EC2AD2">
        <w:rPr>
          <w:rFonts w:ascii="Century Schoolbook" w:hAnsi="Century Schoolbook"/>
          <w:i/>
          <w:iCs/>
          <w:sz w:val="27"/>
          <w:szCs w:val="27"/>
        </w:rPr>
        <w:t>People v. Lewis</w:t>
      </w:r>
      <w:r w:rsidRPr="009252C3">
        <w:rPr>
          <w:rFonts w:ascii="Century Schoolbook" w:hAnsi="Century Schoolbook"/>
          <w:i/>
          <w:iCs/>
          <w:sz w:val="27"/>
          <w:szCs w:val="27"/>
        </w:rPr>
        <w:t xml:space="preserve"> </w:t>
      </w:r>
      <w:r w:rsidRPr="009252C3">
        <w:rPr>
          <w:rFonts w:ascii="Century Schoolbook" w:hAnsi="Century Schoolbook"/>
          <w:iCs/>
          <w:sz w:val="27"/>
          <w:szCs w:val="27"/>
        </w:rPr>
        <w:t>[(2008)]</w:t>
      </w:r>
      <w:r w:rsidRPr="009252C3" w:rsidR="00EC2AD2">
        <w:rPr>
          <w:rFonts w:ascii="Century Schoolbook" w:hAnsi="Century Schoolbook"/>
          <w:sz w:val="27"/>
          <w:szCs w:val="27"/>
        </w:rPr>
        <w:t xml:space="preserve"> 43 Cal.4th </w:t>
      </w:r>
      <w:r w:rsidRPr="009252C3">
        <w:rPr>
          <w:rFonts w:ascii="Century Schoolbook" w:hAnsi="Century Schoolbook"/>
          <w:sz w:val="27"/>
          <w:szCs w:val="27"/>
        </w:rPr>
        <w:t>[415</w:t>
      </w:r>
      <w:r w:rsidR="00014261">
        <w:rPr>
          <w:rFonts w:ascii="Century Schoolbook" w:hAnsi="Century Schoolbook"/>
          <w:sz w:val="27"/>
          <w:szCs w:val="27"/>
        </w:rPr>
        <w:t>,</w:t>
      </w:r>
      <w:r w:rsidRPr="009252C3">
        <w:rPr>
          <w:rFonts w:ascii="Century Schoolbook" w:hAnsi="Century Schoolbook"/>
          <w:sz w:val="27"/>
          <w:szCs w:val="27"/>
        </w:rPr>
        <w:t>]</w:t>
      </w:r>
      <w:r w:rsidRPr="009252C3" w:rsidR="00EC2AD2">
        <w:rPr>
          <w:rFonts w:ascii="Century Schoolbook" w:hAnsi="Century Schoolbook"/>
          <w:sz w:val="27"/>
          <w:szCs w:val="27"/>
        </w:rPr>
        <w:t xml:space="preserve"> 469.)</w:t>
      </w:r>
      <w:r w:rsidRPr="009252C3">
        <w:rPr>
          <w:rFonts w:ascii="Century Schoolbook" w:hAnsi="Century Schoolbook"/>
          <w:sz w:val="27"/>
          <w:szCs w:val="27"/>
        </w:rPr>
        <w:t>”  (</w:t>
      </w:r>
      <w:r w:rsidRPr="009252C3" w:rsidR="00EC2AD2">
        <w:rPr>
          <w:rFonts w:ascii="Century Schoolbook" w:hAnsi="Century Schoolbook"/>
          <w:i/>
          <w:iCs/>
          <w:sz w:val="27"/>
          <w:szCs w:val="27"/>
        </w:rPr>
        <w:t>Davis</w:t>
      </w:r>
      <w:r w:rsidRPr="009252C3" w:rsidR="0083470E">
        <w:rPr>
          <w:rFonts w:ascii="Century Schoolbook" w:hAnsi="Century Schoolbook"/>
          <w:iCs/>
          <w:sz w:val="27"/>
          <w:szCs w:val="27"/>
        </w:rPr>
        <w:t xml:space="preserve">, </w:t>
      </w:r>
      <w:r w:rsidRPr="009252C3" w:rsidR="0083470E">
        <w:rPr>
          <w:rFonts w:ascii="Century Schoolbook" w:hAnsi="Century Schoolbook"/>
          <w:i/>
          <w:iCs/>
          <w:sz w:val="27"/>
          <w:szCs w:val="27"/>
        </w:rPr>
        <w:t>supra</w:t>
      </w:r>
      <w:r w:rsidRPr="009252C3" w:rsidR="0083470E">
        <w:rPr>
          <w:rFonts w:ascii="Century Schoolbook" w:hAnsi="Century Schoolbook"/>
          <w:iCs/>
          <w:sz w:val="27"/>
          <w:szCs w:val="27"/>
        </w:rPr>
        <w:t>,</w:t>
      </w:r>
      <w:r w:rsidRPr="009252C3" w:rsidR="00EC2AD2">
        <w:rPr>
          <w:rFonts w:ascii="Century Schoolbook" w:hAnsi="Century Schoolbook"/>
          <w:sz w:val="27"/>
          <w:szCs w:val="27"/>
        </w:rPr>
        <w:t xml:space="preserve"> 46 Cal.4th </w:t>
      </w:r>
      <w:r w:rsidRPr="009252C3" w:rsidR="0083470E">
        <w:rPr>
          <w:rFonts w:ascii="Century Schoolbook" w:hAnsi="Century Schoolbook"/>
          <w:sz w:val="27"/>
          <w:szCs w:val="27"/>
        </w:rPr>
        <w:t>at p. </w:t>
      </w:r>
      <w:r w:rsidRPr="009252C3" w:rsidR="00EC2AD2">
        <w:rPr>
          <w:rFonts w:ascii="Century Schoolbook" w:hAnsi="Century Schoolbook"/>
          <w:sz w:val="27"/>
          <w:szCs w:val="27"/>
        </w:rPr>
        <w:t>582</w:t>
      </w:r>
      <w:r w:rsidRPr="009252C3">
        <w:rPr>
          <w:rFonts w:ascii="Century Schoolbook" w:hAnsi="Century Schoolbook"/>
          <w:sz w:val="27"/>
          <w:szCs w:val="27"/>
        </w:rPr>
        <w:t>.)</w:t>
      </w:r>
    </w:p>
    <w:p w:rsidR="005E0BCA"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trial court here denied defendant’s </w:t>
      </w:r>
      <w:r w:rsidRPr="00BF210A" w:rsidR="00BF210A">
        <w:rPr>
          <w:rFonts w:ascii="Century Schoolbook" w:hAnsi="Century Schoolbook"/>
          <w:i/>
          <w:sz w:val="27"/>
          <w:szCs w:val="27"/>
        </w:rPr>
        <w:t>Batson-Wheeler</w:t>
      </w:r>
      <w:r w:rsidR="00BF210A">
        <w:rPr>
          <w:rFonts w:ascii="Century Schoolbook" w:hAnsi="Century Schoolbook"/>
          <w:sz w:val="27"/>
          <w:szCs w:val="27"/>
        </w:rPr>
        <w:t xml:space="preserve"> </w:t>
      </w:r>
      <w:r w:rsidRPr="009252C3">
        <w:rPr>
          <w:rFonts w:ascii="Century Schoolbook" w:hAnsi="Century Schoolbook"/>
          <w:sz w:val="27"/>
          <w:szCs w:val="27"/>
        </w:rPr>
        <w:t xml:space="preserve">motion at the first stage, finding he had not established a prima facie case.  “Though proof of a prima facie case may be made from any information in the record available to the trial court, we have mentioned ‘certain types of evidence that will be relevant for this purpose. </w:t>
      </w:r>
      <w:r w:rsidRPr="009252C3" w:rsidR="005B2B40">
        <w:rPr>
          <w:rFonts w:ascii="Century Schoolbook" w:hAnsi="Century Schoolbook"/>
          <w:sz w:val="27"/>
          <w:szCs w:val="27"/>
        </w:rPr>
        <w:t xml:space="preserve"> </w:t>
      </w:r>
      <w:r w:rsidRPr="009252C3">
        <w:rPr>
          <w:rFonts w:ascii="Century Schoolbook" w:hAnsi="Century Schoolbook"/>
          <w:sz w:val="27"/>
          <w:szCs w:val="27"/>
        </w:rPr>
        <w:t xml:space="preserve">Thus the party may show that his opponent has struck most or all of the members of the identified group from the venire, or has used a disproportionate number of his peremptories against the group. </w:t>
      </w:r>
      <w:r w:rsidRPr="009252C3" w:rsidR="00D81134">
        <w:rPr>
          <w:rFonts w:ascii="Century Schoolbook" w:hAnsi="Century Schoolbook"/>
          <w:sz w:val="27"/>
          <w:szCs w:val="27"/>
        </w:rPr>
        <w:t xml:space="preserve"> </w:t>
      </w:r>
      <w:r w:rsidRPr="009252C3">
        <w:rPr>
          <w:rFonts w:ascii="Century Schoolbook" w:hAnsi="Century Schoolbook"/>
          <w:sz w:val="27"/>
          <w:szCs w:val="27"/>
        </w:rPr>
        <w:t xml:space="preserve">He may also demonstrate that the jurors in question share only this one characteristic—their membership in the group—and that in all other respects they are as heterogeneous as the community as a whole. </w:t>
      </w:r>
      <w:r w:rsidRPr="009252C3" w:rsidR="005B2B40">
        <w:rPr>
          <w:rFonts w:ascii="Century Schoolbook" w:hAnsi="Century Schoolbook"/>
          <w:sz w:val="27"/>
          <w:szCs w:val="27"/>
        </w:rPr>
        <w:t xml:space="preserve"> </w:t>
      </w:r>
      <w:r w:rsidRPr="009252C3">
        <w:rPr>
          <w:rFonts w:ascii="Century Schoolbook" w:hAnsi="Century Schoolbook"/>
          <w:sz w:val="27"/>
          <w:szCs w:val="27"/>
        </w:rPr>
        <w:t xml:space="preserve">Next, the showing may be supplemented when appropriate by such circumstances as the failure of his opponent to engage these same jurors in more than desultory voir dire, or indeed to ask them any questions at all. </w:t>
      </w:r>
      <w:r w:rsidRPr="009252C3" w:rsidR="00E21D66">
        <w:rPr>
          <w:rFonts w:ascii="Century Schoolbook" w:hAnsi="Century Schoolbook"/>
          <w:sz w:val="27"/>
          <w:szCs w:val="27"/>
        </w:rPr>
        <w:t xml:space="preserve"> </w:t>
      </w:r>
      <w:r w:rsidRPr="009252C3">
        <w:rPr>
          <w:rFonts w:ascii="Century Schoolbook" w:hAnsi="Century Schoolbook"/>
          <w:sz w:val="27"/>
          <w:szCs w:val="27"/>
        </w:rPr>
        <w:t>Lastly,</w:t>
      </w:r>
      <w:r w:rsidRPr="009252C3" w:rsidR="00666A18">
        <w:rPr>
          <w:rFonts w:ascii="Century Schoolbook" w:hAnsi="Century Schoolbook"/>
          <w:sz w:val="27"/>
          <w:szCs w:val="27"/>
        </w:rPr>
        <w:t xml:space="preserve"> .</w:t>
      </w:r>
      <w:r w:rsidRPr="009252C3" w:rsidR="005B2B40">
        <w:rPr>
          <w:rFonts w:ascii="Century Schoolbook" w:hAnsi="Century Schoolbook"/>
          <w:sz w:val="27"/>
          <w:szCs w:val="27"/>
        </w:rPr>
        <w:t> </w:t>
      </w:r>
      <w:r w:rsidRPr="009252C3" w:rsidR="00666A18">
        <w:rPr>
          <w:rFonts w:ascii="Century Schoolbook" w:hAnsi="Century Schoolbook"/>
          <w:sz w:val="27"/>
          <w:szCs w:val="27"/>
        </w:rPr>
        <w:t>.</w:t>
      </w:r>
      <w:r w:rsidRPr="009252C3" w:rsidR="005B2B40">
        <w:rPr>
          <w:rFonts w:ascii="Century Schoolbook" w:hAnsi="Century Schoolbook"/>
          <w:sz w:val="27"/>
          <w:szCs w:val="27"/>
        </w:rPr>
        <w:t> </w:t>
      </w:r>
      <w:r w:rsidRPr="009252C3" w:rsidR="00666A18">
        <w:rPr>
          <w:rFonts w:ascii="Century Schoolbook" w:hAnsi="Century Schoolbook"/>
          <w:sz w:val="27"/>
          <w:szCs w:val="27"/>
        </w:rPr>
        <w:t>.</w:t>
      </w:r>
      <w:r w:rsidRPr="009252C3">
        <w:rPr>
          <w:rFonts w:ascii="Century Schoolbook" w:hAnsi="Century Schoolbook"/>
          <w:sz w:val="27"/>
          <w:szCs w:val="27"/>
        </w:rPr>
        <w:t xml:space="preserve"> the defendant need not be a member of the excluded group in order to complain of a violation of the representative cross-section rule; yet if he is, and especially if in addition his alleged victim is a member of the group to which the majority of the remaining jurors belong, these facts may also be called to the court</w:t>
      </w:r>
      <w:r w:rsidRPr="009252C3" w:rsidR="00666A18">
        <w:rPr>
          <w:rFonts w:ascii="Century Schoolbook" w:hAnsi="Century Schoolbook"/>
          <w:sz w:val="27"/>
          <w:szCs w:val="27"/>
        </w:rPr>
        <w:t>’</w:t>
      </w:r>
      <w:r w:rsidRPr="009252C3">
        <w:rPr>
          <w:rFonts w:ascii="Century Schoolbook" w:hAnsi="Century Schoolbook"/>
          <w:sz w:val="27"/>
          <w:szCs w:val="27"/>
        </w:rPr>
        <w:t xml:space="preserve">s attention.’ </w:t>
      </w:r>
      <w:r w:rsidRPr="009252C3" w:rsidR="00666A18">
        <w:rPr>
          <w:rFonts w:ascii="Century Schoolbook" w:hAnsi="Century Schoolbook"/>
          <w:sz w:val="27"/>
          <w:szCs w:val="27"/>
        </w:rPr>
        <w:t xml:space="preserve"> </w:t>
      </w:r>
      <w:r w:rsidRPr="009252C3" w:rsidR="007D5530">
        <w:rPr>
          <w:rFonts w:ascii="Century Schoolbook" w:hAnsi="Century Schoolbook"/>
          <w:sz w:val="27"/>
          <w:szCs w:val="27"/>
        </w:rPr>
        <w:t>(</w:t>
      </w:r>
      <w:r w:rsidRPr="009252C3" w:rsidR="007D5530">
        <w:rPr>
          <w:rFonts w:ascii="Century Schoolbook" w:hAnsi="Century Schoolbook"/>
          <w:i/>
          <w:iCs/>
          <w:sz w:val="27"/>
          <w:szCs w:val="27"/>
        </w:rPr>
        <w:t>Wheeler</w:t>
      </w:r>
      <w:r w:rsidRPr="009252C3" w:rsidR="007D5530">
        <w:rPr>
          <w:rFonts w:ascii="Century Schoolbook" w:hAnsi="Century Schoolbook"/>
          <w:iCs/>
          <w:sz w:val="27"/>
          <w:szCs w:val="27"/>
        </w:rPr>
        <w:t>,</w:t>
      </w:r>
      <w:r w:rsidRPr="009252C3" w:rsidR="007D5530">
        <w:rPr>
          <w:rFonts w:ascii="Century Schoolbook" w:hAnsi="Century Schoolbook"/>
          <w:i/>
          <w:iCs/>
          <w:sz w:val="27"/>
          <w:szCs w:val="27"/>
        </w:rPr>
        <w:t xml:space="preserve"> supra</w:t>
      </w:r>
      <w:r w:rsidRPr="009252C3" w:rsidR="007D5530">
        <w:rPr>
          <w:rFonts w:ascii="Century Schoolbook" w:hAnsi="Century Schoolbook"/>
          <w:iCs/>
          <w:sz w:val="27"/>
          <w:szCs w:val="27"/>
        </w:rPr>
        <w:t>,</w:t>
      </w:r>
      <w:r w:rsidRPr="009252C3" w:rsidR="007D5530">
        <w:rPr>
          <w:rFonts w:ascii="Century Schoolbook" w:hAnsi="Century Schoolbook"/>
          <w:sz w:val="27"/>
          <w:szCs w:val="27"/>
        </w:rPr>
        <w:t> 22 Cal.3d at pp.</w:t>
      </w:r>
      <w:r w:rsidRPr="009252C3" w:rsidR="005B2B40">
        <w:rPr>
          <w:rFonts w:ascii="Century Schoolbook" w:hAnsi="Century Schoolbook"/>
          <w:sz w:val="27"/>
          <w:szCs w:val="27"/>
        </w:rPr>
        <w:t> </w:t>
      </w:r>
      <w:r w:rsidRPr="009252C3" w:rsidR="007D5530">
        <w:rPr>
          <w:rFonts w:ascii="Century Schoolbook" w:hAnsi="Century Schoolbook"/>
          <w:sz w:val="27"/>
          <w:szCs w:val="27"/>
        </w:rPr>
        <w:t>280–281</w:t>
      </w:r>
      <w:r w:rsidRPr="009252C3" w:rsidR="00666A18">
        <w:rPr>
          <w:rFonts w:ascii="Century Schoolbook" w:hAnsi="Century Schoolbook"/>
          <w:sz w:val="27"/>
          <w:szCs w:val="27"/>
        </w:rPr>
        <w:t>,</w:t>
      </w:r>
      <w:r w:rsidRPr="009252C3" w:rsidR="007D5530">
        <w:rPr>
          <w:rFonts w:ascii="Century Schoolbook" w:hAnsi="Century Schoolbook"/>
          <w:sz w:val="27"/>
          <w:szCs w:val="27"/>
        </w:rPr>
        <w:t> fn. omitted; see also</w:t>
      </w:r>
      <w:r w:rsidRPr="009252C3" w:rsidR="00C86C01">
        <w:rPr>
          <w:rFonts w:ascii="Century Schoolbook" w:hAnsi="Century Schoolbook"/>
          <w:sz w:val="27"/>
          <w:szCs w:val="27"/>
        </w:rPr>
        <w:t xml:space="preserve"> </w:t>
      </w:r>
      <w:r w:rsidRPr="009252C3" w:rsidR="007D5530">
        <w:rPr>
          <w:rFonts w:ascii="Century Schoolbook" w:hAnsi="Century Schoolbook"/>
          <w:i/>
          <w:iCs/>
          <w:sz w:val="27"/>
          <w:szCs w:val="27"/>
        </w:rPr>
        <w:t>Batson</w:t>
      </w:r>
      <w:r w:rsidRPr="009252C3" w:rsidR="00E95D0D">
        <w:rPr>
          <w:rFonts w:ascii="Century Schoolbook" w:hAnsi="Century Schoolbook"/>
          <w:iCs/>
          <w:sz w:val="27"/>
          <w:szCs w:val="27"/>
        </w:rPr>
        <w:t>,</w:t>
      </w:r>
      <w:r w:rsidRPr="009252C3" w:rsidR="007D5530">
        <w:rPr>
          <w:rFonts w:ascii="Century Schoolbook" w:hAnsi="Century Schoolbook"/>
          <w:iCs/>
          <w:sz w:val="27"/>
          <w:szCs w:val="27"/>
        </w:rPr>
        <w:t xml:space="preserve"> </w:t>
      </w:r>
      <w:r w:rsidRPr="009252C3" w:rsidR="007D5530">
        <w:rPr>
          <w:rFonts w:ascii="Century Schoolbook" w:hAnsi="Century Schoolbook"/>
          <w:i/>
          <w:iCs/>
          <w:sz w:val="27"/>
          <w:szCs w:val="27"/>
        </w:rPr>
        <w:t>supra</w:t>
      </w:r>
      <w:r w:rsidRPr="009252C3" w:rsidR="007D5530">
        <w:rPr>
          <w:rFonts w:ascii="Century Schoolbook" w:hAnsi="Century Schoolbook"/>
          <w:iCs/>
          <w:sz w:val="27"/>
          <w:szCs w:val="27"/>
        </w:rPr>
        <w:t>,</w:t>
      </w:r>
      <w:r w:rsidRPr="009252C3" w:rsidR="00C86C01">
        <w:rPr>
          <w:rFonts w:ascii="Century Schoolbook" w:hAnsi="Century Schoolbook"/>
          <w:iCs/>
          <w:sz w:val="27"/>
          <w:szCs w:val="27"/>
        </w:rPr>
        <w:t xml:space="preserve"> </w:t>
      </w:r>
      <w:r w:rsidRPr="009252C3" w:rsidR="007D5530">
        <w:rPr>
          <w:rFonts w:ascii="Century Schoolbook" w:hAnsi="Century Schoolbook"/>
          <w:sz w:val="27"/>
          <w:szCs w:val="27"/>
        </w:rPr>
        <w:t>476 U.S. at pp.</w:t>
      </w:r>
      <w:r w:rsidRPr="009252C3" w:rsidR="005B2B40">
        <w:rPr>
          <w:rFonts w:ascii="Century Schoolbook" w:hAnsi="Century Schoolbook"/>
          <w:sz w:val="27"/>
          <w:szCs w:val="27"/>
        </w:rPr>
        <w:t> </w:t>
      </w:r>
      <w:r w:rsidRPr="009252C3" w:rsidR="007D5530">
        <w:rPr>
          <w:rFonts w:ascii="Century Schoolbook" w:hAnsi="Century Schoolbook"/>
          <w:sz w:val="27"/>
          <w:szCs w:val="27"/>
        </w:rPr>
        <w:t>96–97</w:t>
      </w:r>
      <w:r w:rsidRPr="009252C3" w:rsidR="00E95D0D">
        <w:rPr>
          <w:rFonts w:ascii="Century Schoolbook" w:hAnsi="Century Schoolbook"/>
          <w:sz w:val="27"/>
          <w:szCs w:val="27"/>
        </w:rPr>
        <w:t xml:space="preserve"> </w:t>
      </w:r>
      <w:r w:rsidRPr="009252C3" w:rsidR="007D5530">
        <w:rPr>
          <w:rFonts w:ascii="Century Schoolbook" w:hAnsi="Century Schoolbook"/>
          <w:sz w:val="27"/>
          <w:szCs w:val="27"/>
        </w:rPr>
        <w:t>[in assessing a prima facie case, the trial court should consider ‘all relevant circumstances,’ including ‘a “pattern” of strikes against black jurors’ and ‘the prosecuto</w:t>
      </w:r>
      <w:r w:rsidRPr="009252C3" w:rsidR="0083470E">
        <w:rPr>
          <w:rFonts w:ascii="Century Schoolbook" w:hAnsi="Century Schoolbook"/>
          <w:sz w:val="27"/>
          <w:szCs w:val="27"/>
        </w:rPr>
        <w:t>r’</w:t>
      </w:r>
      <w:r w:rsidRPr="009252C3" w:rsidR="007D5530">
        <w:rPr>
          <w:rFonts w:ascii="Century Schoolbook" w:hAnsi="Century Schoolbook"/>
          <w:sz w:val="27"/>
          <w:szCs w:val="27"/>
        </w:rPr>
        <w:t>s questions and statements during</w:t>
      </w:r>
      <w:r w:rsidRPr="009252C3" w:rsidR="006E698F">
        <w:rPr>
          <w:rFonts w:ascii="Century Schoolbook" w:hAnsi="Century Schoolbook"/>
          <w:sz w:val="27"/>
          <w:szCs w:val="27"/>
        </w:rPr>
        <w:t xml:space="preserve"> </w:t>
      </w:r>
      <w:r w:rsidRPr="009252C3" w:rsidR="007D5530">
        <w:rPr>
          <w:rFonts w:ascii="Century Schoolbook" w:hAnsi="Century Schoolbook"/>
          <w:i/>
          <w:iCs/>
          <w:sz w:val="27"/>
          <w:szCs w:val="27"/>
        </w:rPr>
        <w:t>voir dire</w:t>
      </w:r>
      <w:r w:rsidRPr="009252C3" w:rsidR="006E698F">
        <w:rPr>
          <w:rFonts w:ascii="Century Schoolbook" w:hAnsi="Century Schoolbook"/>
          <w:sz w:val="27"/>
          <w:szCs w:val="27"/>
        </w:rPr>
        <w:t xml:space="preserve"> </w:t>
      </w:r>
      <w:r w:rsidRPr="009252C3" w:rsidR="007D5530">
        <w:rPr>
          <w:rFonts w:ascii="Century Schoolbook" w:hAnsi="Century Schoolbook"/>
          <w:sz w:val="27"/>
          <w:szCs w:val="27"/>
        </w:rPr>
        <w:t>examination’]</w:t>
      </w:r>
      <w:r w:rsidRPr="009252C3" w:rsidR="006E698F">
        <w:rPr>
          <w:rFonts w:ascii="Century Schoolbook" w:hAnsi="Century Schoolbook"/>
          <w:sz w:val="27"/>
          <w:szCs w:val="27"/>
        </w:rPr>
        <w:t> </w:t>
      </w:r>
      <w:r w:rsidR="00BF210A">
        <w:rPr>
          <w:rFonts w:ascii="Century Schoolbook" w:hAnsi="Century Schoolbook"/>
          <w:sz w:val="27"/>
          <w:szCs w:val="27"/>
        </w:rPr>
        <w:t>[citations]</w:t>
      </w:r>
      <w:r w:rsidRPr="009252C3" w:rsidR="00666A18">
        <w:rPr>
          <w:rFonts w:ascii="Century Schoolbook" w:hAnsi="Century Schoolbook"/>
          <w:sz w:val="27"/>
          <w:szCs w:val="27"/>
        </w:rPr>
        <w:t>.</w:t>
      </w:r>
      <w:r w:rsidRPr="009252C3" w:rsidR="007D5530">
        <w:rPr>
          <w:rFonts w:ascii="Century Schoolbook" w:hAnsi="Century Schoolbook"/>
          <w:sz w:val="27"/>
          <w:szCs w:val="27"/>
        </w:rPr>
        <w:t>)</w:t>
      </w:r>
      <w:r w:rsidRPr="009252C3">
        <w:rPr>
          <w:rFonts w:ascii="Century Schoolbook" w:hAnsi="Century Schoolbook"/>
          <w:sz w:val="27"/>
          <w:szCs w:val="27"/>
        </w:rPr>
        <w:t>”</w:t>
      </w:r>
      <w:r w:rsidRPr="009252C3" w:rsidR="006E698F">
        <w:rPr>
          <w:rFonts w:ascii="Century Schoolbook" w:hAnsi="Century Schoolbook"/>
          <w:sz w:val="27"/>
          <w:szCs w:val="27"/>
        </w:rPr>
        <w:t xml:space="preserve"> </w:t>
      </w:r>
      <w:r w:rsidRPr="009252C3" w:rsidR="007D5530">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People v. Bell</w:t>
      </w:r>
      <w:r w:rsidRPr="009252C3" w:rsidR="00C86C01">
        <w:rPr>
          <w:rFonts w:ascii="Century Schoolbook" w:hAnsi="Century Schoolbook"/>
          <w:i/>
          <w:iCs/>
          <w:sz w:val="27"/>
          <w:szCs w:val="27"/>
        </w:rPr>
        <w:t xml:space="preserve"> </w:t>
      </w:r>
      <w:r w:rsidRPr="009252C3">
        <w:rPr>
          <w:rFonts w:ascii="Century Schoolbook" w:hAnsi="Century Schoolbook"/>
          <w:sz w:val="27"/>
          <w:szCs w:val="27"/>
        </w:rPr>
        <w:t>(2007) 40 Cal.4th 582, 597</w:t>
      </w:r>
      <w:r w:rsidRPr="009252C3" w:rsidR="00D81134">
        <w:rPr>
          <w:rFonts w:ascii="Century Schoolbook" w:hAnsi="Century Schoolbook"/>
          <w:sz w:val="27"/>
          <w:szCs w:val="27"/>
        </w:rPr>
        <w:t xml:space="preserve"> (</w:t>
      </w:r>
      <w:r w:rsidRPr="009252C3" w:rsidR="00D81134">
        <w:rPr>
          <w:rFonts w:ascii="Century Schoolbook" w:hAnsi="Century Schoolbook"/>
          <w:i/>
          <w:sz w:val="27"/>
          <w:szCs w:val="27"/>
        </w:rPr>
        <w:t>Bell</w:t>
      </w:r>
      <w:r w:rsidRPr="009252C3" w:rsidR="00D81134">
        <w:rPr>
          <w:rFonts w:ascii="Century Schoolbook" w:hAnsi="Century Schoolbook"/>
          <w:sz w:val="27"/>
          <w:szCs w:val="27"/>
        </w:rPr>
        <w:t>)</w:t>
      </w:r>
      <w:r w:rsidRPr="009252C3" w:rsidR="00932357">
        <w:rPr>
          <w:rFonts w:ascii="Century Schoolbook" w:hAnsi="Century Schoolbook"/>
          <w:sz w:val="27"/>
          <w:szCs w:val="27"/>
        </w:rPr>
        <w:t xml:space="preserve">; accord, </w:t>
      </w:r>
      <w:r w:rsidRPr="009252C3" w:rsidR="00932357">
        <w:rPr>
          <w:rFonts w:ascii="Century Schoolbook" w:hAnsi="Century Schoolbook"/>
          <w:i/>
          <w:iCs/>
          <w:sz w:val="27"/>
          <w:szCs w:val="27"/>
        </w:rPr>
        <w:t>People v. Scott</w:t>
      </w:r>
      <w:r w:rsidRPr="009252C3" w:rsidR="00C86C01">
        <w:rPr>
          <w:rFonts w:ascii="Century Schoolbook" w:hAnsi="Century Schoolbook"/>
          <w:i/>
          <w:iCs/>
          <w:sz w:val="27"/>
          <w:szCs w:val="27"/>
        </w:rPr>
        <w:t xml:space="preserve"> </w:t>
      </w:r>
      <w:r w:rsidRPr="009252C3" w:rsidR="00932357">
        <w:rPr>
          <w:rFonts w:ascii="Century Schoolbook" w:hAnsi="Century Schoolbook"/>
          <w:sz w:val="27"/>
          <w:szCs w:val="27"/>
        </w:rPr>
        <w:t>(2015) 61 Cal.4th 363, 384 (</w:t>
      </w:r>
      <w:r w:rsidRPr="009252C3" w:rsidR="00932357">
        <w:rPr>
          <w:rFonts w:ascii="Century Schoolbook" w:hAnsi="Century Schoolbook"/>
          <w:i/>
          <w:sz w:val="27"/>
          <w:szCs w:val="27"/>
        </w:rPr>
        <w:t>Scott</w:t>
      </w:r>
      <w:r w:rsidRPr="009252C3" w:rsidR="00932357">
        <w:rPr>
          <w:rFonts w:ascii="Century Schoolbook" w:hAnsi="Century Schoolbook"/>
          <w:sz w:val="27"/>
          <w:szCs w:val="27"/>
        </w:rPr>
        <w:t>)</w:t>
      </w:r>
      <w:r w:rsidRPr="009252C3">
        <w:rPr>
          <w:rFonts w:ascii="Century Schoolbook" w:hAnsi="Century Schoolbook"/>
          <w:sz w:val="27"/>
          <w:szCs w:val="27"/>
        </w:rPr>
        <w:t>.)</w:t>
      </w:r>
    </w:p>
    <w:p w:rsidR="008A7093" w:rsidRPr="009252C3" w:rsidP="000E08AF">
      <w:pPr>
        <w:pStyle w:val="Heading4"/>
        <w:tabs>
          <w:tab w:val="left" w:pos="1620"/>
          <w:tab w:val="clear" w:pos="2016"/>
        </w:tabs>
        <w:spacing w:before="100" w:line="400" w:lineRule="exact"/>
        <w:ind w:left="0" w:firstLine="720"/>
        <w:jc w:val="both"/>
        <w:rPr>
          <w:rFonts w:ascii="Century Schoolbook" w:hAnsi="Century Schoolbook"/>
          <w:sz w:val="27"/>
          <w:szCs w:val="27"/>
        </w:rPr>
      </w:pPr>
      <w:r>
        <w:rPr>
          <w:rFonts w:ascii="Century Schoolbook" w:hAnsi="Century Schoolbook"/>
          <w:sz w:val="27"/>
          <w:szCs w:val="27"/>
        </w:rPr>
        <w:tab/>
      </w:r>
      <w:r w:rsidRPr="009252C3">
        <w:rPr>
          <w:rFonts w:ascii="Century Schoolbook" w:hAnsi="Century Schoolbook"/>
          <w:sz w:val="27"/>
          <w:szCs w:val="27"/>
        </w:rPr>
        <w:t>A.  Background</w:t>
      </w:r>
    </w:p>
    <w:p w:rsidR="005E0BCA"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Each</w:t>
      </w:r>
      <w:r w:rsidRPr="009252C3" w:rsidR="007B4FAE">
        <w:rPr>
          <w:rFonts w:ascii="Century Schoolbook" w:hAnsi="Century Schoolbook"/>
          <w:sz w:val="27"/>
          <w:szCs w:val="27"/>
        </w:rPr>
        <w:t xml:space="preserve"> </w:t>
      </w:r>
      <w:r w:rsidRPr="009252C3" w:rsidR="002C6931">
        <w:rPr>
          <w:rFonts w:ascii="Century Schoolbook" w:hAnsi="Century Schoolbook"/>
          <w:sz w:val="27"/>
          <w:szCs w:val="27"/>
        </w:rPr>
        <w:t xml:space="preserve">prospective juror for the penalty retrial </w:t>
      </w:r>
      <w:r w:rsidRPr="009252C3" w:rsidR="004763C0">
        <w:rPr>
          <w:rFonts w:ascii="Century Schoolbook" w:hAnsi="Century Schoolbook"/>
          <w:sz w:val="27"/>
          <w:szCs w:val="27"/>
        </w:rPr>
        <w:t>completed</w:t>
      </w:r>
      <w:r w:rsidRPr="009252C3" w:rsidR="002C6931">
        <w:rPr>
          <w:rFonts w:ascii="Century Schoolbook" w:hAnsi="Century Schoolbook"/>
          <w:sz w:val="27"/>
          <w:szCs w:val="27"/>
        </w:rPr>
        <w:t xml:space="preserve"> a 162-question, 4</w:t>
      </w:r>
      <w:r w:rsidRPr="009252C3" w:rsidR="0083470E">
        <w:rPr>
          <w:rFonts w:ascii="Century Schoolbook" w:hAnsi="Century Schoolbook"/>
          <w:sz w:val="27"/>
          <w:szCs w:val="27"/>
        </w:rPr>
        <w:t>4</w:t>
      </w:r>
      <w:r w:rsidRPr="009252C3" w:rsidR="002C6931">
        <w:rPr>
          <w:rFonts w:ascii="Century Schoolbook" w:hAnsi="Century Schoolbook"/>
          <w:sz w:val="27"/>
          <w:szCs w:val="27"/>
        </w:rPr>
        <w:t>-page questionnaire.  On January 11, 1999, after hardship excusals, voir dire by the parties</w:t>
      </w:r>
      <w:r w:rsidRPr="009252C3" w:rsidR="00C334B6">
        <w:rPr>
          <w:rFonts w:ascii="Century Schoolbook" w:hAnsi="Century Schoolbook"/>
          <w:sz w:val="27"/>
          <w:szCs w:val="27"/>
        </w:rPr>
        <w:t>,</w:t>
      </w:r>
      <w:r w:rsidRPr="009252C3" w:rsidR="002C6931">
        <w:rPr>
          <w:rFonts w:ascii="Century Schoolbook" w:hAnsi="Century Schoolbook"/>
          <w:sz w:val="27"/>
          <w:szCs w:val="27"/>
        </w:rPr>
        <w:t xml:space="preserve"> and challenges for cause, the parties exercised peremptory challenges on prospective jurors seated in the jury box, alternating their challenges until both </w:t>
      </w:r>
      <w:r w:rsidRPr="009252C3">
        <w:rPr>
          <w:rFonts w:ascii="Century Schoolbook" w:hAnsi="Century Schoolbook"/>
          <w:sz w:val="27"/>
          <w:szCs w:val="27"/>
        </w:rPr>
        <w:t>sides</w:t>
      </w:r>
      <w:r w:rsidRPr="009252C3" w:rsidR="002C6931">
        <w:rPr>
          <w:rFonts w:ascii="Century Schoolbook" w:hAnsi="Century Schoolbook"/>
          <w:sz w:val="27"/>
          <w:szCs w:val="27"/>
        </w:rPr>
        <w:t xml:space="preserve"> accepted the jury, which was then sworn in.  </w:t>
      </w:r>
      <w:r w:rsidRPr="009252C3">
        <w:rPr>
          <w:rFonts w:ascii="Century Schoolbook" w:hAnsi="Century Schoolbook"/>
          <w:sz w:val="27"/>
          <w:szCs w:val="27"/>
        </w:rPr>
        <w:t xml:space="preserve">Attorney Michael B. Bigelow represented defendant in this process, while </w:t>
      </w:r>
      <w:r w:rsidR="00B1476A">
        <w:rPr>
          <w:rFonts w:ascii="Century Schoolbook" w:hAnsi="Century Schoolbook"/>
          <w:sz w:val="27"/>
          <w:szCs w:val="27"/>
        </w:rPr>
        <w:t>P</w:t>
      </w:r>
      <w:r w:rsidRPr="009252C3">
        <w:rPr>
          <w:rFonts w:ascii="Century Schoolbook" w:hAnsi="Century Schoolbook"/>
          <w:sz w:val="27"/>
          <w:szCs w:val="27"/>
        </w:rPr>
        <w:t>rosecutors Frederick A</w:t>
      </w:r>
      <w:r w:rsidRPr="009252C3" w:rsidR="00D479F0">
        <w:rPr>
          <w:rFonts w:ascii="Century Schoolbook" w:hAnsi="Century Schoolbook"/>
          <w:sz w:val="27"/>
          <w:szCs w:val="27"/>
        </w:rPr>
        <w:t>.</w:t>
      </w:r>
      <w:r w:rsidRPr="009252C3">
        <w:rPr>
          <w:rFonts w:ascii="Century Schoolbook" w:hAnsi="Century Schoolbook"/>
          <w:sz w:val="27"/>
          <w:szCs w:val="27"/>
        </w:rPr>
        <w:t xml:space="preserve"> Schroeder and Susan E. Nolan, both from the Sutter County District Attorney’s </w:t>
      </w:r>
      <w:r w:rsidR="00BF210A">
        <w:rPr>
          <w:rFonts w:ascii="Century Schoolbook" w:hAnsi="Century Schoolbook"/>
          <w:sz w:val="27"/>
          <w:szCs w:val="27"/>
        </w:rPr>
        <w:t>O</w:t>
      </w:r>
      <w:r w:rsidRPr="009252C3">
        <w:rPr>
          <w:rFonts w:ascii="Century Schoolbook" w:hAnsi="Century Schoolbook"/>
          <w:sz w:val="27"/>
          <w:szCs w:val="27"/>
        </w:rPr>
        <w:t>ffice, represented the People.</w:t>
      </w:r>
      <w:r>
        <w:rPr>
          <w:rStyle w:val="FootnoteReference"/>
          <w:rFonts w:ascii="Century Schoolbook" w:hAnsi="Century Schoolbook"/>
          <w:sz w:val="27"/>
          <w:szCs w:val="27"/>
          <w:vertAlign w:val="superscript"/>
        </w:rPr>
        <w:footnoteReference w:id="13"/>
      </w:r>
    </w:p>
    <w:p w:rsidR="00D85AC9"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made his first </w:t>
      </w:r>
      <w:r w:rsidRPr="009252C3">
        <w:rPr>
          <w:rFonts w:ascii="Century Schoolbook" w:hAnsi="Century Schoolbook"/>
          <w:i/>
          <w:sz w:val="27"/>
          <w:szCs w:val="27"/>
        </w:rPr>
        <w:t>Batson-Wheeler</w:t>
      </w:r>
      <w:r w:rsidRPr="009252C3">
        <w:rPr>
          <w:rFonts w:ascii="Century Schoolbook" w:hAnsi="Century Schoolbook"/>
          <w:sz w:val="27"/>
          <w:szCs w:val="27"/>
        </w:rPr>
        <w:t xml:space="preserve"> motion after the prosecutor struck three African</w:t>
      </w:r>
      <w:r w:rsidRPr="009252C3" w:rsidR="00BA12C0">
        <w:rPr>
          <w:rFonts w:ascii="Century Schoolbook" w:hAnsi="Century Schoolbook"/>
          <w:sz w:val="27"/>
          <w:szCs w:val="27"/>
        </w:rPr>
        <w:t>-</w:t>
      </w:r>
      <w:r w:rsidRPr="009252C3">
        <w:rPr>
          <w:rFonts w:ascii="Century Schoolbook" w:hAnsi="Century Schoolbook"/>
          <w:sz w:val="27"/>
          <w:szCs w:val="27"/>
        </w:rPr>
        <w:t xml:space="preserve">American </w:t>
      </w:r>
      <w:r w:rsidRPr="009252C3" w:rsidR="00707E38">
        <w:rPr>
          <w:rFonts w:ascii="Century Schoolbook" w:hAnsi="Century Schoolbook"/>
          <w:sz w:val="27"/>
          <w:szCs w:val="27"/>
        </w:rPr>
        <w:t>women</w:t>
      </w:r>
      <w:r w:rsidRPr="009252C3">
        <w:rPr>
          <w:rFonts w:ascii="Century Schoolbook" w:hAnsi="Century Schoolbook"/>
          <w:sz w:val="27"/>
          <w:szCs w:val="27"/>
        </w:rPr>
        <w:t>:  S</w:t>
      </w:r>
      <w:r w:rsidR="00300D9D">
        <w:rPr>
          <w:rFonts w:ascii="Century Schoolbook" w:hAnsi="Century Schoolbook"/>
          <w:sz w:val="27"/>
          <w:szCs w:val="27"/>
        </w:rPr>
        <w:t>hirley</w:t>
      </w:r>
      <w:r w:rsidR="004D3FC0">
        <w:rPr>
          <w:rFonts w:ascii="Century Schoolbook" w:hAnsi="Century Schoolbook"/>
          <w:sz w:val="27"/>
          <w:szCs w:val="27"/>
        </w:rPr>
        <w:t xml:space="preserve"> </w:t>
      </w:r>
      <w:r w:rsidRPr="009252C3">
        <w:rPr>
          <w:rFonts w:ascii="Century Schoolbook" w:hAnsi="Century Schoolbook"/>
          <w:sz w:val="27"/>
          <w:szCs w:val="27"/>
        </w:rPr>
        <w:t xml:space="preserve">R., </w:t>
      </w:r>
      <w:r w:rsidRPr="009252C3">
        <w:rPr>
          <w:rFonts w:ascii="Century Schoolbook" w:hAnsi="Century Schoolbook"/>
          <w:sz w:val="27"/>
          <w:szCs w:val="27"/>
        </w:rPr>
        <w:t>A</w:t>
      </w:r>
      <w:r w:rsidR="004D3FC0">
        <w:rPr>
          <w:rFonts w:ascii="Century Schoolbook" w:hAnsi="Century Schoolbook"/>
          <w:sz w:val="27"/>
          <w:szCs w:val="27"/>
        </w:rPr>
        <w:t xml:space="preserve">drienne </w:t>
      </w:r>
      <w:r w:rsidRPr="009252C3">
        <w:rPr>
          <w:rFonts w:ascii="Century Schoolbook" w:hAnsi="Century Schoolbook"/>
          <w:sz w:val="27"/>
          <w:szCs w:val="27"/>
        </w:rPr>
        <w:t>A., and A</w:t>
      </w:r>
      <w:r w:rsidR="004D3FC0">
        <w:rPr>
          <w:rFonts w:ascii="Century Schoolbook" w:hAnsi="Century Schoolbook"/>
          <w:sz w:val="27"/>
          <w:szCs w:val="27"/>
        </w:rPr>
        <w:t xml:space="preserve">lice </w:t>
      </w:r>
      <w:r w:rsidRPr="009252C3">
        <w:rPr>
          <w:rFonts w:ascii="Century Schoolbook" w:hAnsi="Century Schoolbook"/>
          <w:sz w:val="27"/>
          <w:szCs w:val="27"/>
        </w:rPr>
        <w:t xml:space="preserve">S.  </w:t>
      </w:r>
      <w:r w:rsidRPr="009252C3" w:rsidR="00A66A47">
        <w:rPr>
          <w:rFonts w:ascii="Century Schoolbook" w:hAnsi="Century Schoolbook"/>
          <w:sz w:val="27"/>
          <w:szCs w:val="27"/>
        </w:rPr>
        <w:t>Noting that the prosecution had also used peremptory challenges against two White prospective jurors and that “there are a number of other jurors in the venire in the courtroom</w:t>
      </w:r>
      <w:r w:rsidRPr="009252C3" w:rsidR="005C3953">
        <w:rPr>
          <w:rFonts w:ascii="Century Schoolbook" w:hAnsi="Century Schoolbook"/>
          <w:sz w:val="27"/>
          <w:szCs w:val="27"/>
        </w:rPr>
        <w:t xml:space="preserve">,” the court denied the motion without prejudice to its renewal.  </w:t>
      </w:r>
      <w:r w:rsidRPr="009252C3" w:rsidR="00DA1D48">
        <w:rPr>
          <w:rFonts w:ascii="Century Schoolbook" w:hAnsi="Century Schoolbook"/>
          <w:sz w:val="27"/>
          <w:szCs w:val="27"/>
        </w:rPr>
        <w:t xml:space="preserve">The prosecution then excused two more White </w:t>
      </w:r>
      <w:r w:rsidRPr="009252C3" w:rsidR="00BA12C0">
        <w:rPr>
          <w:rFonts w:ascii="Century Schoolbook" w:hAnsi="Century Schoolbook"/>
          <w:sz w:val="27"/>
          <w:szCs w:val="27"/>
        </w:rPr>
        <w:t>prospective jurors and a fourth African-American</w:t>
      </w:r>
      <w:r w:rsidRPr="009252C3" w:rsidR="00707E38">
        <w:rPr>
          <w:rFonts w:ascii="Century Schoolbook" w:hAnsi="Century Schoolbook"/>
          <w:sz w:val="27"/>
          <w:szCs w:val="27"/>
        </w:rPr>
        <w:t xml:space="preserve"> woman</w:t>
      </w:r>
      <w:r w:rsidRPr="009252C3" w:rsidR="00BA12C0">
        <w:rPr>
          <w:rFonts w:ascii="Century Schoolbook" w:hAnsi="Century Schoolbook"/>
          <w:sz w:val="27"/>
          <w:szCs w:val="27"/>
        </w:rPr>
        <w:t>, A</w:t>
      </w:r>
      <w:r w:rsidR="006C7B75">
        <w:rPr>
          <w:rFonts w:ascii="Century Schoolbook" w:hAnsi="Century Schoolbook"/>
          <w:sz w:val="27"/>
          <w:szCs w:val="27"/>
        </w:rPr>
        <w:t xml:space="preserve">licia </w:t>
      </w:r>
      <w:r w:rsidRPr="009252C3" w:rsidR="00BA12C0">
        <w:rPr>
          <w:rFonts w:ascii="Century Schoolbook" w:hAnsi="Century Schoolbook"/>
          <w:sz w:val="27"/>
          <w:szCs w:val="27"/>
        </w:rPr>
        <w:t>R.</w:t>
      </w:r>
      <w:r w:rsidR="00A67578">
        <w:rPr>
          <w:rFonts w:ascii="Century Schoolbook" w:hAnsi="Century Schoolbook"/>
          <w:sz w:val="27"/>
          <w:szCs w:val="27"/>
        </w:rPr>
        <w:t xml:space="preserve">  The strike </w:t>
      </w:r>
      <w:r w:rsidRPr="009252C3" w:rsidR="00F3237E">
        <w:rPr>
          <w:rFonts w:ascii="Century Schoolbook" w:hAnsi="Century Schoolbook"/>
          <w:sz w:val="27"/>
          <w:szCs w:val="27"/>
        </w:rPr>
        <w:t>prompted a renewed defense motion</w:t>
      </w:r>
      <w:r w:rsidRPr="009252C3" w:rsidR="00BA12C0">
        <w:rPr>
          <w:rFonts w:ascii="Century Schoolbook" w:hAnsi="Century Schoolbook"/>
          <w:sz w:val="27"/>
          <w:szCs w:val="27"/>
        </w:rPr>
        <w:t>.</w:t>
      </w:r>
    </w:p>
    <w:p w:rsidR="00416DD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Addressing</w:t>
      </w:r>
      <w:r w:rsidRPr="009252C3" w:rsidR="00AA5F72">
        <w:rPr>
          <w:rFonts w:ascii="Century Schoolbook" w:hAnsi="Century Schoolbook"/>
          <w:sz w:val="27"/>
          <w:szCs w:val="27"/>
        </w:rPr>
        <w:t xml:space="preserve"> </w:t>
      </w:r>
      <w:r w:rsidRPr="009252C3">
        <w:rPr>
          <w:rFonts w:ascii="Century Schoolbook" w:hAnsi="Century Schoolbook"/>
          <w:sz w:val="27"/>
          <w:szCs w:val="27"/>
        </w:rPr>
        <w:t xml:space="preserve">the </w:t>
      </w:r>
      <w:r w:rsidRPr="009252C3" w:rsidR="00AA5F72">
        <w:rPr>
          <w:rFonts w:ascii="Century Schoolbook" w:hAnsi="Century Schoolbook"/>
          <w:sz w:val="27"/>
          <w:szCs w:val="27"/>
        </w:rPr>
        <w:t xml:space="preserve">second </w:t>
      </w:r>
      <w:r w:rsidRPr="009252C3" w:rsidR="00AA5F72">
        <w:rPr>
          <w:rFonts w:ascii="Century Schoolbook" w:hAnsi="Century Schoolbook"/>
          <w:i/>
          <w:sz w:val="27"/>
          <w:szCs w:val="27"/>
        </w:rPr>
        <w:t xml:space="preserve">Batson-Wheeler </w:t>
      </w:r>
      <w:r w:rsidRPr="009252C3">
        <w:rPr>
          <w:rFonts w:ascii="Century Schoolbook" w:hAnsi="Century Schoolbook"/>
          <w:sz w:val="27"/>
          <w:szCs w:val="27"/>
        </w:rPr>
        <w:t xml:space="preserve">motion, the trial court noted that the prosecution had exercised </w:t>
      </w:r>
      <w:r w:rsidRPr="009252C3" w:rsidR="00D9155F">
        <w:rPr>
          <w:rFonts w:ascii="Century Schoolbook" w:hAnsi="Century Schoolbook"/>
          <w:sz w:val="27"/>
          <w:szCs w:val="27"/>
        </w:rPr>
        <w:t xml:space="preserve">four of its </w:t>
      </w:r>
      <w:r w:rsidRPr="009252C3">
        <w:rPr>
          <w:rFonts w:ascii="Century Schoolbook" w:hAnsi="Century Schoolbook"/>
          <w:sz w:val="27"/>
          <w:szCs w:val="27"/>
        </w:rPr>
        <w:t>eight peremptory challenges</w:t>
      </w:r>
      <w:r w:rsidRPr="009252C3" w:rsidR="00D9155F">
        <w:rPr>
          <w:rFonts w:ascii="Century Schoolbook" w:hAnsi="Century Schoolbook"/>
          <w:sz w:val="27"/>
          <w:szCs w:val="27"/>
        </w:rPr>
        <w:t xml:space="preserve"> </w:t>
      </w:r>
      <w:r w:rsidRPr="009252C3">
        <w:rPr>
          <w:rFonts w:ascii="Century Schoolbook" w:hAnsi="Century Schoolbook"/>
          <w:sz w:val="27"/>
          <w:szCs w:val="27"/>
        </w:rPr>
        <w:t>against African-Americans</w:t>
      </w:r>
      <w:r w:rsidRPr="009252C3" w:rsidR="004763C0">
        <w:rPr>
          <w:rFonts w:ascii="Century Schoolbook" w:hAnsi="Century Schoolbook"/>
          <w:sz w:val="27"/>
          <w:szCs w:val="27"/>
        </w:rPr>
        <w:t xml:space="preserve">. </w:t>
      </w:r>
      <w:r w:rsidR="00BC33A0">
        <w:rPr>
          <w:rFonts w:ascii="Century Schoolbook" w:hAnsi="Century Schoolbook"/>
          <w:sz w:val="27"/>
          <w:szCs w:val="27"/>
        </w:rPr>
        <w:t xml:space="preserve"> </w:t>
      </w:r>
      <w:r w:rsidRPr="009252C3" w:rsidR="004763C0">
        <w:rPr>
          <w:rFonts w:ascii="Century Schoolbook" w:hAnsi="Century Schoolbook"/>
          <w:sz w:val="27"/>
          <w:szCs w:val="27"/>
        </w:rPr>
        <w:t>T</w:t>
      </w:r>
      <w:r w:rsidRPr="009252C3">
        <w:rPr>
          <w:rFonts w:ascii="Century Schoolbook" w:hAnsi="Century Schoolbook"/>
          <w:sz w:val="27"/>
          <w:szCs w:val="27"/>
        </w:rPr>
        <w:t xml:space="preserve">he court </w:t>
      </w:r>
      <w:r w:rsidR="00BF210A">
        <w:rPr>
          <w:rFonts w:ascii="Century Schoolbook" w:hAnsi="Century Schoolbook"/>
          <w:sz w:val="27"/>
          <w:szCs w:val="27"/>
        </w:rPr>
        <w:t>asked</w:t>
      </w:r>
      <w:r w:rsidRPr="009252C3">
        <w:rPr>
          <w:rFonts w:ascii="Century Schoolbook" w:hAnsi="Century Schoolbook"/>
          <w:sz w:val="27"/>
          <w:szCs w:val="27"/>
        </w:rPr>
        <w:t xml:space="preserve"> defense counsel what other circumstances supported his motion.  </w:t>
      </w:r>
      <w:r w:rsidRPr="009252C3" w:rsidR="009F539F">
        <w:rPr>
          <w:rFonts w:ascii="Century Schoolbook" w:hAnsi="Century Schoolbook"/>
          <w:sz w:val="27"/>
          <w:szCs w:val="27"/>
        </w:rPr>
        <w:t xml:space="preserve">Counsel responded that based on the </w:t>
      </w:r>
      <w:r w:rsidR="00A67578">
        <w:rPr>
          <w:rFonts w:ascii="Century Schoolbook" w:hAnsi="Century Schoolbook"/>
          <w:sz w:val="27"/>
          <w:szCs w:val="27"/>
        </w:rPr>
        <w:t xml:space="preserve">juror </w:t>
      </w:r>
      <w:r w:rsidRPr="009252C3" w:rsidR="009F539F">
        <w:rPr>
          <w:rFonts w:ascii="Century Schoolbook" w:hAnsi="Century Schoolbook"/>
          <w:sz w:val="27"/>
          <w:szCs w:val="27"/>
        </w:rPr>
        <w:t xml:space="preserve">questionnaires and voir dire, there were “no other discernable differences” between the struck jurors and those still in the box.  </w:t>
      </w:r>
      <w:r w:rsidRPr="009252C3" w:rsidR="004763C0">
        <w:rPr>
          <w:rFonts w:ascii="Century Schoolbook" w:hAnsi="Century Schoolbook"/>
          <w:sz w:val="27"/>
          <w:szCs w:val="27"/>
        </w:rPr>
        <w:t>P</w:t>
      </w:r>
      <w:r w:rsidRPr="009252C3" w:rsidR="009F539F">
        <w:rPr>
          <w:rFonts w:ascii="Century Schoolbook" w:hAnsi="Century Schoolbook"/>
          <w:sz w:val="27"/>
          <w:szCs w:val="27"/>
        </w:rPr>
        <w:t>rosecutor</w:t>
      </w:r>
      <w:r w:rsidRPr="009252C3" w:rsidR="004763C0">
        <w:rPr>
          <w:rFonts w:ascii="Century Schoolbook" w:hAnsi="Century Schoolbook"/>
          <w:sz w:val="27"/>
          <w:szCs w:val="27"/>
        </w:rPr>
        <w:t xml:space="preserve"> Nolan</w:t>
      </w:r>
      <w:r w:rsidRPr="009252C3" w:rsidR="009F539F">
        <w:rPr>
          <w:rFonts w:ascii="Century Schoolbook" w:hAnsi="Century Schoolbook"/>
          <w:sz w:val="27"/>
          <w:szCs w:val="27"/>
        </w:rPr>
        <w:t xml:space="preserve"> replied, “Oh, I think there are significant differences,” but when the court asked her to elaborate, she declined on the ground that the defense had not yet made a prima facie case and the burden therefore had not shifted to the prosecution. </w:t>
      </w:r>
      <w:r w:rsidRPr="009252C3" w:rsidR="00BE688A">
        <w:rPr>
          <w:rFonts w:ascii="Century Schoolbook" w:hAnsi="Century Schoolbook"/>
          <w:sz w:val="27"/>
          <w:szCs w:val="27"/>
        </w:rPr>
        <w:t xml:space="preserve"> </w:t>
      </w:r>
      <w:r w:rsidRPr="009252C3" w:rsidR="009F539F">
        <w:rPr>
          <w:rFonts w:ascii="Century Schoolbook" w:hAnsi="Century Schoolbook"/>
          <w:sz w:val="27"/>
          <w:szCs w:val="27"/>
        </w:rPr>
        <w:t>Asked for specific similarities, defense counsel noted the following:  “Relatives in prison”</w:t>
      </w:r>
      <w:r w:rsidR="00BF210A">
        <w:rPr>
          <w:rFonts w:ascii="Century Schoolbook" w:hAnsi="Century Schoolbook"/>
          <w:sz w:val="27"/>
          <w:szCs w:val="27"/>
        </w:rPr>
        <w:t>;</w:t>
      </w:r>
      <w:r w:rsidRPr="009252C3" w:rsidR="009F539F">
        <w:rPr>
          <w:rFonts w:ascii="Century Schoolbook" w:hAnsi="Century Schoolbook"/>
          <w:sz w:val="27"/>
          <w:szCs w:val="27"/>
        </w:rPr>
        <w:t xml:space="preserve"> “Formerly victims of assault”</w:t>
      </w:r>
      <w:r w:rsidR="00BF210A">
        <w:rPr>
          <w:rFonts w:ascii="Century Schoolbook" w:hAnsi="Century Schoolbook"/>
          <w:sz w:val="27"/>
          <w:szCs w:val="27"/>
        </w:rPr>
        <w:t>;</w:t>
      </w:r>
      <w:r w:rsidRPr="009252C3" w:rsidR="009F539F">
        <w:rPr>
          <w:rFonts w:ascii="Century Schoolbook" w:hAnsi="Century Schoolbook"/>
          <w:sz w:val="27"/>
          <w:szCs w:val="27"/>
        </w:rPr>
        <w:t xml:space="preserve"> “Strong religious views”</w:t>
      </w:r>
      <w:r w:rsidR="00BF210A">
        <w:rPr>
          <w:rFonts w:ascii="Century Schoolbook" w:hAnsi="Century Schoolbook"/>
          <w:sz w:val="27"/>
          <w:szCs w:val="27"/>
        </w:rPr>
        <w:t>;</w:t>
      </w:r>
      <w:r w:rsidRPr="009252C3" w:rsidR="009F539F">
        <w:rPr>
          <w:rFonts w:ascii="Century Schoolbook" w:hAnsi="Century Schoolbook"/>
          <w:sz w:val="27"/>
          <w:szCs w:val="27"/>
        </w:rPr>
        <w:t xml:space="preserve"> and “Volunteers somehow related to </w:t>
      </w:r>
      <w:r w:rsidRPr="009252C3" w:rsidR="00DF1EE2">
        <w:rPr>
          <w:rFonts w:ascii="Century Schoolbook" w:hAnsi="Century Schoolbook"/>
          <w:sz w:val="27"/>
          <w:szCs w:val="27"/>
        </w:rPr>
        <w:t xml:space="preserve">WEAVE” (an organization assisting </w:t>
      </w:r>
      <w:r w:rsidRPr="009252C3" w:rsidR="004759F0">
        <w:rPr>
          <w:rFonts w:ascii="Century Schoolbook" w:hAnsi="Century Schoolbook"/>
          <w:sz w:val="27"/>
          <w:szCs w:val="27"/>
        </w:rPr>
        <w:t>survivors of domestic and sexual violence</w:t>
      </w:r>
      <w:r w:rsidRPr="009252C3" w:rsidR="00DF1EE2">
        <w:rPr>
          <w:rFonts w:ascii="Century Schoolbook" w:hAnsi="Century Schoolbook"/>
          <w:sz w:val="27"/>
          <w:szCs w:val="27"/>
        </w:rPr>
        <w:t xml:space="preserve">).  </w:t>
      </w:r>
      <w:r w:rsidRPr="009252C3" w:rsidR="007C2282">
        <w:rPr>
          <w:rFonts w:ascii="Century Schoolbook" w:hAnsi="Century Schoolbook"/>
          <w:sz w:val="27"/>
          <w:szCs w:val="27"/>
        </w:rPr>
        <w:t xml:space="preserve">The prosecutor </w:t>
      </w:r>
      <w:r w:rsidRPr="009252C3" w:rsidR="004763C0">
        <w:rPr>
          <w:rFonts w:ascii="Century Schoolbook" w:hAnsi="Century Schoolbook"/>
          <w:sz w:val="27"/>
          <w:szCs w:val="27"/>
        </w:rPr>
        <w:t>responded</w:t>
      </w:r>
      <w:r w:rsidRPr="009252C3" w:rsidR="007C2282">
        <w:rPr>
          <w:rFonts w:ascii="Century Schoolbook" w:hAnsi="Century Schoolbook"/>
          <w:sz w:val="27"/>
          <w:szCs w:val="27"/>
        </w:rPr>
        <w:t xml:space="preserve"> that the defense </w:t>
      </w:r>
      <w:r w:rsidRPr="009252C3" w:rsidR="005031AD">
        <w:rPr>
          <w:rFonts w:ascii="Century Schoolbook" w:hAnsi="Century Schoolbook"/>
          <w:sz w:val="27"/>
          <w:szCs w:val="27"/>
        </w:rPr>
        <w:t xml:space="preserve">needed </w:t>
      </w:r>
      <w:r w:rsidRPr="009252C3" w:rsidR="007C2282">
        <w:rPr>
          <w:rFonts w:ascii="Century Schoolbook" w:hAnsi="Century Schoolbook"/>
          <w:sz w:val="27"/>
          <w:szCs w:val="27"/>
        </w:rPr>
        <w:t xml:space="preserve">to point to specific questions that the struck prospective jurors had answered the same way as those </w:t>
      </w:r>
      <w:r w:rsidR="00BF210A">
        <w:rPr>
          <w:rFonts w:ascii="Century Schoolbook" w:hAnsi="Century Schoolbook"/>
          <w:sz w:val="27"/>
          <w:szCs w:val="27"/>
        </w:rPr>
        <w:t xml:space="preserve">jurors </w:t>
      </w:r>
      <w:r w:rsidRPr="009252C3" w:rsidR="007C2282">
        <w:rPr>
          <w:rFonts w:ascii="Century Schoolbook" w:hAnsi="Century Schoolbook"/>
          <w:sz w:val="27"/>
          <w:szCs w:val="27"/>
        </w:rPr>
        <w:t>the prosecutors had kept</w:t>
      </w:r>
      <w:r w:rsidRPr="009252C3" w:rsidR="005031AD">
        <w:rPr>
          <w:rFonts w:ascii="Century Schoolbook" w:hAnsi="Century Schoolbook"/>
          <w:sz w:val="27"/>
          <w:szCs w:val="27"/>
        </w:rPr>
        <w:t xml:space="preserve">, </w:t>
      </w:r>
      <w:r w:rsidR="00BF210A">
        <w:rPr>
          <w:rFonts w:ascii="Century Schoolbook" w:hAnsi="Century Schoolbook"/>
          <w:sz w:val="27"/>
          <w:szCs w:val="27"/>
        </w:rPr>
        <w:t>but</w:t>
      </w:r>
      <w:r w:rsidRPr="009252C3" w:rsidR="005031AD">
        <w:rPr>
          <w:rFonts w:ascii="Century Schoolbook" w:hAnsi="Century Schoolbook"/>
          <w:sz w:val="27"/>
          <w:szCs w:val="27"/>
        </w:rPr>
        <w:t xml:space="preserve"> had not done so</w:t>
      </w:r>
      <w:r w:rsidRPr="009252C3" w:rsidR="007C2282">
        <w:rPr>
          <w:rFonts w:ascii="Century Schoolbook" w:hAnsi="Century Schoolbook"/>
          <w:sz w:val="27"/>
          <w:szCs w:val="27"/>
        </w:rPr>
        <w:t xml:space="preserve">.  With regard to the standard for finding a prima facie </w:t>
      </w:r>
      <w:r w:rsidRPr="009252C3" w:rsidR="00533232">
        <w:rPr>
          <w:rFonts w:ascii="Century Schoolbook" w:hAnsi="Century Schoolbook"/>
          <w:sz w:val="27"/>
          <w:szCs w:val="27"/>
        </w:rPr>
        <w:t>c</w:t>
      </w:r>
      <w:r w:rsidRPr="009252C3" w:rsidR="007C2282">
        <w:rPr>
          <w:rFonts w:ascii="Century Schoolbook" w:hAnsi="Century Schoolbook"/>
          <w:sz w:val="27"/>
          <w:szCs w:val="27"/>
        </w:rPr>
        <w:t xml:space="preserve">ase, defense counsel maintained </w:t>
      </w:r>
      <w:r w:rsidR="00BF210A">
        <w:rPr>
          <w:rFonts w:ascii="Century Schoolbook" w:hAnsi="Century Schoolbook"/>
          <w:sz w:val="27"/>
          <w:szCs w:val="27"/>
        </w:rPr>
        <w:t xml:space="preserve">that </w:t>
      </w:r>
      <w:r w:rsidRPr="009252C3" w:rsidR="007C2282">
        <w:rPr>
          <w:rFonts w:ascii="Century Schoolbook" w:hAnsi="Century Schoolbook"/>
          <w:sz w:val="27"/>
          <w:szCs w:val="27"/>
        </w:rPr>
        <w:t xml:space="preserve">he needed only to show that circumstances “raise an inference” of discrimination, while the prosecutor, citing </w:t>
      </w:r>
      <w:r w:rsidRPr="009252C3" w:rsidR="007C2282">
        <w:rPr>
          <w:rFonts w:ascii="Century Schoolbook" w:hAnsi="Century Schoolbook"/>
          <w:i/>
          <w:sz w:val="27"/>
          <w:szCs w:val="27"/>
        </w:rPr>
        <w:t>People v. Howard</w:t>
      </w:r>
      <w:r w:rsidRPr="009252C3" w:rsidR="007C2282">
        <w:rPr>
          <w:rFonts w:ascii="Century Schoolbook" w:hAnsi="Century Schoolbook"/>
          <w:sz w:val="27"/>
          <w:szCs w:val="27"/>
        </w:rPr>
        <w:t xml:space="preserve"> (</w:t>
      </w:r>
      <w:r w:rsidRPr="009252C3" w:rsidR="004759F0">
        <w:rPr>
          <w:rFonts w:ascii="Century Schoolbook" w:hAnsi="Century Schoolbook"/>
          <w:sz w:val="27"/>
          <w:szCs w:val="27"/>
        </w:rPr>
        <w:t>1992</w:t>
      </w:r>
      <w:r w:rsidRPr="009252C3" w:rsidR="007C2282">
        <w:rPr>
          <w:rFonts w:ascii="Century Schoolbook" w:hAnsi="Century Schoolbook"/>
          <w:sz w:val="27"/>
          <w:szCs w:val="27"/>
        </w:rPr>
        <w:t>) 1</w:t>
      </w:r>
      <w:r w:rsidRPr="009252C3" w:rsidR="004759F0">
        <w:rPr>
          <w:rFonts w:ascii="Century Schoolbook" w:hAnsi="Century Schoolbook"/>
          <w:sz w:val="27"/>
          <w:szCs w:val="27"/>
        </w:rPr>
        <w:t> </w:t>
      </w:r>
      <w:r w:rsidRPr="009252C3" w:rsidR="007C2282">
        <w:rPr>
          <w:rFonts w:ascii="Century Schoolbook" w:hAnsi="Century Schoolbook"/>
          <w:sz w:val="27"/>
          <w:szCs w:val="27"/>
        </w:rPr>
        <w:t>Cal.4th</w:t>
      </w:r>
      <w:r w:rsidRPr="009252C3" w:rsidR="004759F0">
        <w:rPr>
          <w:rFonts w:ascii="Century Schoolbook" w:hAnsi="Century Schoolbook"/>
          <w:sz w:val="27"/>
          <w:szCs w:val="27"/>
        </w:rPr>
        <w:t> </w:t>
      </w:r>
      <w:r w:rsidRPr="009252C3" w:rsidR="007C2282">
        <w:rPr>
          <w:rFonts w:ascii="Century Schoolbook" w:hAnsi="Century Schoolbook"/>
          <w:sz w:val="27"/>
          <w:szCs w:val="27"/>
        </w:rPr>
        <w:t>1132, 1154</w:t>
      </w:r>
      <w:r w:rsidR="00341AAD">
        <w:rPr>
          <w:rFonts w:ascii="Century Schoolbook" w:hAnsi="Century Schoolbook"/>
          <w:sz w:val="27"/>
          <w:szCs w:val="27"/>
        </w:rPr>
        <w:t xml:space="preserve"> (</w:t>
      </w:r>
      <w:r w:rsidRPr="00341AAD" w:rsidR="00341AAD">
        <w:rPr>
          <w:rFonts w:ascii="Century Schoolbook" w:hAnsi="Century Schoolbook"/>
          <w:i/>
          <w:sz w:val="27"/>
          <w:szCs w:val="27"/>
        </w:rPr>
        <w:t>Howard</w:t>
      </w:r>
      <w:r w:rsidR="00341AAD">
        <w:rPr>
          <w:rFonts w:ascii="Century Schoolbook" w:hAnsi="Century Schoolbook"/>
          <w:sz w:val="27"/>
          <w:szCs w:val="27"/>
        </w:rPr>
        <w:t>)</w:t>
      </w:r>
      <w:r w:rsidR="005D674E">
        <w:rPr>
          <w:rFonts w:ascii="Century Schoolbook" w:hAnsi="Century Schoolbook"/>
          <w:sz w:val="27"/>
          <w:szCs w:val="27"/>
        </w:rPr>
        <w:t xml:space="preserve"> (italics omitted)</w:t>
      </w:r>
      <w:r w:rsidRPr="009252C3" w:rsidR="007C2282">
        <w:rPr>
          <w:rFonts w:ascii="Century Schoolbook" w:hAnsi="Century Schoolbook"/>
          <w:sz w:val="27"/>
          <w:szCs w:val="27"/>
        </w:rPr>
        <w:t>,</w:t>
      </w:r>
      <w:r w:rsidRPr="009252C3" w:rsidR="00E953D4">
        <w:rPr>
          <w:rFonts w:ascii="Century Schoolbook" w:hAnsi="Century Schoolbook"/>
          <w:sz w:val="27"/>
          <w:szCs w:val="27"/>
        </w:rPr>
        <w:t xml:space="preserve"> repeatedly</w:t>
      </w:r>
      <w:r w:rsidRPr="009252C3" w:rsidR="007C2282">
        <w:rPr>
          <w:rFonts w:ascii="Century Schoolbook" w:hAnsi="Century Schoolbook"/>
          <w:sz w:val="27"/>
          <w:szCs w:val="27"/>
        </w:rPr>
        <w:t xml:space="preserve"> </w:t>
      </w:r>
      <w:r w:rsidRPr="009252C3" w:rsidR="00E953D4">
        <w:rPr>
          <w:rFonts w:ascii="Century Schoolbook" w:hAnsi="Century Schoolbook"/>
          <w:sz w:val="27"/>
          <w:szCs w:val="27"/>
        </w:rPr>
        <w:t>argued a showing of a “</w:t>
      </w:r>
      <w:r w:rsidR="00714100">
        <w:rPr>
          <w:rFonts w:ascii="Century Schoolbook" w:hAnsi="Century Schoolbook"/>
          <w:sz w:val="27"/>
          <w:szCs w:val="27"/>
        </w:rPr>
        <w:t> ‘</w:t>
      </w:r>
      <w:r w:rsidRPr="009252C3" w:rsidR="00E953D4">
        <w:rPr>
          <w:rFonts w:ascii="Century Schoolbook" w:hAnsi="Century Schoolbook"/>
          <w:sz w:val="27"/>
          <w:szCs w:val="27"/>
        </w:rPr>
        <w:t>strong likelihood</w:t>
      </w:r>
      <w:r w:rsidR="00714100">
        <w:rPr>
          <w:rFonts w:ascii="Century Schoolbook" w:hAnsi="Century Schoolbook"/>
          <w:sz w:val="27"/>
          <w:szCs w:val="27"/>
        </w:rPr>
        <w:t>’ </w:t>
      </w:r>
      <w:r w:rsidRPr="009252C3" w:rsidR="00E953D4">
        <w:rPr>
          <w:rFonts w:ascii="Century Schoolbook" w:hAnsi="Century Schoolbook"/>
          <w:sz w:val="27"/>
          <w:szCs w:val="27"/>
        </w:rPr>
        <w:t>” was needed.</w:t>
      </w:r>
      <w:r>
        <w:rPr>
          <w:rStyle w:val="FootnoteReference"/>
          <w:rFonts w:ascii="Century Schoolbook" w:hAnsi="Century Schoolbook"/>
          <w:sz w:val="27"/>
          <w:szCs w:val="27"/>
          <w:vertAlign w:val="superscript"/>
        </w:rPr>
        <w:footnoteReference w:id="14"/>
      </w:r>
      <w:r w:rsidRPr="00F7276C" w:rsidR="00E953D4">
        <w:rPr>
          <w:rFonts w:ascii="Century Schoolbook" w:hAnsi="Century Schoolbook"/>
          <w:sz w:val="27"/>
          <w:szCs w:val="27"/>
          <w:vertAlign w:val="superscript"/>
        </w:rPr>
        <w:t xml:space="preserve"> </w:t>
      </w:r>
    </w:p>
    <w:p w:rsidR="00416DD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court denied defendant’s </w:t>
      </w:r>
      <w:r w:rsidR="00341AAD">
        <w:rPr>
          <w:rFonts w:ascii="Century Schoolbook" w:hAnsi="Century Schoolbook"/>
          <w:sz w:val="27"/>
          <w:szCs w:val="27"/>
        </w:rPr>
        <w:t xml:space="preserve">second </w:t>
      </w:r>
      <w:r w:rsidRPr="005D674E" w:rsidR="005D674E">
        <w:rPr>
          <w:rFonts w:ascii="Century Schoolbook" w:hAnsi="Century Schoolbook"/>
          <w:i/>
          <w:sz w:val="27"/>
          <w:szCs w:val="27"/>
        </w:rPr>
        <w:t>Batson-Wheeler</w:t>
      </w:r>
      <w:r w:rsidR="005D674E">
        <w:rPr>
          <w:rFonts w:ascii="Century Schoolbook" w:hAnsi="Century Schoolbook"/>
          <w:sz w:val="27"/>
          <w:szCs w:val="27"/>
        </w:rPr>
        <w:t xml:space="preserve"> </w:t>
      </w:r>
      <w:r w:rsidRPr="009252C3">
        <w:rPr>
          <w:rFonts w:ascii="Century Schoolbook" w:hAnsi="Century Schoolbook"/>
          <w:sz w:val="27"/>
          <w:szCs w:val="27"/>
        </w:rPr>
        <w:t xml:space="preserve">motion under </w:t>
      </w:r>
      <w:r w:rsidRPr="009252C3" w:rsidR="00AE2739">
        <w:rPr>
          <w:rFonts w:ascii="Century Schoolbook" w:hAnsi="Century Schoolbook"/>
          <w:sz w:val="27"/>
          <w:szCs w:val="27"/>
        </w:rPr>
        <w:t>“</w:t>
      </w:r>
      <w:r w:rsidRPr="009252C3">
        <w:rPr>
          <w:rFonts w:ascii="Century Schoolbook" w:hAnsi="Century Schoolbook"/>
          <w:sz w:val="27"/>
          <w:szCs w:val="27"/>
        </w:rPr>
        <w:t xml:space="preserve">the authority of this </w:t>
      </w:r>
      <w:r w:rsidRPr="009252C3">
        <w:rPr>
          <w:rFonts w:ascii="Century Schoolbook" w:hAnsi="Century Schoolbook"/>
          <w:i/>
          <w:sz w:val="27"/>
          <w:szCs w:val="27"/>
        </w:rPr>
        <w:t>Howard</w:t>
      </w:r>
      <w:r w:rsidRPr="009252C3">
        <w:rPr>
          <w:rFonts w:ascii="Century Schoolbook" w:hAnsi="Century Schoolbook"/>
          <w:sz w:val="27"/>
          <w:szCs w:val="27"/>
        </w:rPr>
        <w:t xml:space="preserve"> case,” but cautioned the prosecutors “that any further matters of this kind will weigh heavily on this Court.”  The court continued:  “I’m very close, I’m going with </w:t>
      </w:r>
      <w:r w:rsidRPr="009252C3">
        <w:rPr>
          <w:rFonts w:ascii="Century Schoolbook" w:hAnsi="Century Schoolbook"/>
          <w:i/>
          <w:sz w:val="27"/>
          <w:szCs w:val="27"/>
        </w:rPr>
        <w:t>Howard</w:t>
      </w:r>
      <w:r w:rsidRPr="009252C3">
        <w:rPr>
          <w:rFonts w:ascii="Century Schoolbook" w:hAnsi="Century Schoolbook"/>
          <w:sz w:val="27"/>
          <w:szCs w:val="27"/>
        </w:rPr>
        <w:t xml:space="preserve"> for the time being, but if I see very much more of this, I’m going to indicate to you, you may well have a serious problem on your hands.”  </w:t>
      </w:r>
      <w:r w:rsidRPr="009252C3">
        <w:rPr>
          <w:rFonts w:ascii="Century Schoolbook" w:hAnsi="Century Schoolbook"/>
          <w:sz w:val="27"/>
          <w:szCs w:val="27"/>
        </w:rPr>
        <w:t xml:space="preserve">After defendant’s second </w:t>
      </w:r>
      <w:r w:rsidRPr="005D674E" w:rsidR="005D674E">
        <w:rPr>
          <w:rFonts w:ascii="Century Schoolbook" w:hAnsi="Century Schoolbook"/>
          <w:i/>
          <w:sz w:val="27"/>
          <w:szCs w:val="27"/>
        </w:rPr>
        <w:t>Batson-Wheeler</w:t>
      </w:r>
      <w:r w:rsidR="005D674E">
        <w:rPr>
          <w:rFonts w:ascii="Century Schoolbook" w:hAnsi="Century Schoolbook"/>
          <w:sz w:val="27"/>
          <w:szCs w:val="27"/>
        </w:rPr>
        <w:t xml:space="preserve"> </w:t>
      </w:r>
      <w:r w:rsidRPr="009252C3">
        <w:rPr>
          <w:rFonts w:ascii="Century Schoolbook" w:hAnsi="Century Schoolbook"/>
          <w:sz w:val="27"/>
          <w:szCs w:val="27"/>
        </w:rPr>
        <w:t>motion was denied, the prosecution used three more peremptory challenges before both sides accepted the panel, with</w:t>
      </w:r>
      <w:r w:rsidRPr="009252C3" w:rsidR="0034753D">
        <w:rPr>
          <w:rFonts w:ascii="Century Schoolbook" w:hAnsi="Century Schoolbook"/>
          <w:sz w:val="27"/>
          <w:szCs w:val="27"/>
        </w:rPr>
        <w:t xml:space="preserve"> no </w:t>
      </w:r>
      <w:r w:rsidRPr="009252C3">
        <w:rPr>
          <w:rFonts w:ascii="Century Schoolbook" w:hAnsi="Century Schoolbook"/>
          <w:sz w:val="27"/>
          <w:szCs w:val="27"/>
        </w:rPr>
        <w:t>further motions by the defense and no further comment on the record as to the jury’s racial or ethnic composition.</w:t>
      </w:r>
    </w:p>
    <w:p w:rsidR="00416DD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Although the trial court did not explicitly say so, it appears from the lack of any contrary statement that at the time of defendant’s second motion no other African-Americans were seated in the jury box; the Attorney General agrees</w:t>
      </w:r>
      <w:r w:rsidRPr="009252C3" w:rsidR="00F65E45">
        <w:rPr>
          <w:rFonts w:ascii="Century Schoolbook" w:hAnsi="Century Schoolbook"/>
          <w:sz w:val="27"/>
          <w:szCs w:val="27"/>
        </w:rPr>
        <w:t xml:space="preserve"> on</w:t>
      </w:r>
      <w:r w:rsidRPr="009252C3" w:rsidR="00137730">
        <w:rPr>
          <w:rFonts w:ascii="Century Schoolbook" w:hAnsi="Century Schoolbook"/>
          <w:sz w:val="27"/>
          <w:szCs w:val="27"/>
        </w:rPr>
        <w:t xml:space="preserve"> </w:t>
      </w:r>
      <w:r w:rsidRPr="009252C3" w:rsidR="00F65E45">
        <w:rPr>
          <w:rFonts w:ascii="Century Schoolbook" w:hAnsi="Century Schoolbook"/>
          <w:sz w:val="27"/>
          <w:szCs w:val="27"/>
        </w:rPr>
        <w:t>this point</w:t>
      </w:r>
      <w:r w:rsidRPr="009252C3" w:rsidR="00137730">
        <w:rPr>
          <w:rFonts w:ascii="Century Schoolbook" w:hAnsi="Century Schoolbook"/>
          <w:sz w:val="27"/>
          <w:szCs w:val="27"/>
        </w:rPr>
        <w:t xml:space="preserve">.  </w:t>
      </w:r>
      <w:r w:rsidRPr="009252C3">
        <w:rPr>
          <w:rFonts w:ascii="Century Schoolbook" w:hAnsi="Century Schoolbook"/>
          <w:sz w:val="27"/>
          <w:szCs w:val="27"/>
        </w:rPr>
        <w:t xml:space="preserve">Beyond that, the </w:t>
      </w:r>
      <w:r w:rsidRPr="009252C3" w:rsidR="00A75CD4">
        <w:rPr>
          <w:rFonts w:ascii="Century Schoolbook" w:hAnsi="Century Schoolbook"/>
          <w:sz w:val="27"/>
          <w:szCs w:val="27"/>
        </w:rPr>
        <w:t>record does not make clear how many other African-Americans remained in the jury pool (the questionnaires do not record race or ethnicity), though the trial court’s warning to the prosecutors against engaging in “any further matters of this kind” or “very much more of this</w:t>
      </w:r>
      <w:r w:rsidR="00341AAD">
        <w:rPr>
          <w:rFonts w:ascii="Century Schoolbook" w:hAnsi="Century Schoolbook"/>
          <w:sz w:val="27"/>
          <w:szCs w:val="27"/>
        </w:rPr>
        <w:t>,</w:t>
      </w:r>
      <w:r w:rsidRPr="009252C3" w:rsidR="00A75CD4">
        <w:rPr>
          <w:rFonts w:ascii="Century Schoolbook" w:hAnsi="Century Schoolbook"/>
          <w:sz w:val="27"/>
          <w:szCs w:val="27"/>
        </w:rPr>
        <w:t>” and its earlier remark that “there are a number of other jurors in the venire in the courtroom</w:t>
      </w:r>
      <w:r w:rsidR="00341AAD">
        <w:rPr>
          <w:rFonts w:ascii="Century Schoolbook" w:hAnsi="Century Schoolbook"/>
          <w:sz w:val="27"/>
          <w:szCs w:val="27"/>
        </w:rPr>
        <w:t>,</w:t>
      </w:r>
      <w:r w:rsidRPr="009252C3" w:rsidR="00A75CD4">
        <w:rPr>
          <w:rFonts w:ascii="Century Schoolbook" w:hAnsi="Century Schoolbook"/>
          <w:sz w:val="27"/>
          <w:szCs w:val="27"/>
        </w:rPr>
        <w:t xml:space="preserve">” suggest that </w:t>
      </w:r>
      <w:r w:rsidRPr="009252C3" w:rsidR="00F02052">
        <w:rPr>
          <w:rFonts w:ascii="Century Schoolbook" w:hAnsi="Century Schoolbook"/>
          <w:sz w:val="27"/>
          <w:szCs w:val="27"/>
        </w:rPr>
        <w:t xml:space="preserve">the court </w:t>
      </w:r>
      <w:r w:rsidR="00A67578">
        <w:rPr>
          <w:rFonts w:ascii="Century Schoolbook" w:hAnsi="Century Schoolbook"/>
          <w:sz w:val="27"/>
          <w:szCs w:val="27"/>
        </w:rPr>
        <w:t xml:space="preserve">believed </w:t>
      </w:r>
      <w:r w:rsidRPr="009252C3" w:rsidR="00A75CD4">
        <w:rPr>
          <w:rFonts w:ascii="Century Schoolbook" w:hAnsi="Century Schoolbook"/>
          <w:sz w:val="27"/>
          <w:szCs w:val="27"/>
        </w:rPr>
        <w:t xml:space="preserve">some of the remaining prospective jurors </w:t>
      </w:r>
      <w:r w:rsidR="00A67578">
        <w:rPr>
          <w:rFonts w:ascii="Century Schoolbook" w:hAnsi="Century Schoolbook"/>
          <w:sz w:val="27"/>
          <w:szCs w:val="27"/>
        </w:rPr>
        <w:t xml:space="preserve">were </w:t>
      </w:r>
      <w:r w:rsidRPr="009252C3" w:rsidR="00A75CD4">
        <w:rPr>
          <w:rFonts w:ascii="Century Schoolbook" w:hAnsi="Century Schoolbook"/>
          <w:sz w:val="27"/>
          <w:szCs w:val="27"/>
        </w:rPr>
        <w:t xml:space="preserve">African-American or </w:t>
      </w:r>
      <w:r w:rsidRPr="009252C3" w:rsidR="00F02052">
        <w:rPr>
          <w:rFonts w:ascii="Century Schoolbook" w:hAnsi="Century Schoolbook"/>
          <w:sz w:val="27"/>
          <w:szCs w:val="27"/>
        </w:rPr>
        <w:t>belong</w:t>
      </w:r>
      <w:r w:rsidR="00A67578">
        <w:rPr>
          <w:rFonts w:ascii="Century Schoolbook" w:hAnsi="Century Schoolbook"/>
          <w:sz w:val="27"/>
          <w:szCs w:val="27"/>
        </w:rPr>
        <w:t>ed</w:t>
      </w:r>
      <w:r w:rsidRPr="009252C3" w:rsidR="00F02052">
        <w:rPr>
          <w:rFonts w:ascii="Century Schoolbook" w:hAnsi="Century Schoolbook"/>
          <w:sz w:val="27"/>
          <w:szCs w:val="27"/>
        </w:rPr>
        <w:t xml:space="preserve"> </w:t>
      </w:r>
      <w:r w:rsidRPr="009252C3" w:rsidR="00A75CD4">
        <w:rPr>
          <w:rFonts w:ascii="Century Schoolbook" w:hAnsi="Century Schoolbook"/>
          <w:sz w:val="27"/>
          <w:szCs w:val="27"/>
        </w:rPr>
        <w:t>to another racial or ethnic minority.</w:t>
      </w:r>
    </w:p>
    <w:p w:rsidR="00A75CD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We briefly sketch the </w:t>
      </w:r>
      <w:r w:rsidR="00A67578">
        <w:rPr>
          <w:rFonts w:ascii="Century Schoolbook" w:hAnsi="Century Schoolbook"/>
          <w:sz w:val="27"/>
          <w:szCs w:val="27"/>
        </w:rPr>
        <w:t xml:space="preserve">relevant </w:t>
      </w:r>
      <w:r w:rsidRPr="009252C3">
        <w:rPr>
          <w:rFonts w:ascii="Century Schoolbook" w:hAnsi="Century Schoolbook"/>
          <w:sz w:val="27"/>
          <w:szCs w:val="27"/>
        </w:rPr>
        <w:t>questionnaire and voir dire answers</w:t>
      </w:r>
      <w:r w:rsidRPr="009252C3" w:rsidR="00FA66FE">
        <w:rPr>
          <w:rFonts w:ascii="Century Schoolbook" w:hAnsi="Century Schoolbook"/>
          <w:sz w:val="27"/>
          <w:szCs w:val="27"/>
        </w:rPr>
        <w:t xml:space="preserve"> given by the disputed prospective jurors</w:t>
      </w:r>
      <w:r w:rsidR="00341AAD">
        <w:rPr>
          <w:rFonts w:ascii="Century Schoolbook" w:hAnsi="Century Schoolbook"/>
          <w:sz w:val="27"/>
          <w:szCs w:val="27"/>
        </w:rPr>
        <w:t>:</w:t>
      </w:r>
    </w:p>
    <w:p w:rsidR="00D9155F" w:rsidRPr="009252C3" w:rsidP="009252C3">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 xml:space="preserve">In her juror questionnaire, </w:t>
      </w:r>
      <w:r w:rsidR="006C7B75">
        <w:rPr>
          <w:rFonts w:ascii="Century Schoolbook" w:hAnsi="Century Schoolbook"/>
          <w:sz w:val="27"/>
          <w:szCs w:val="27"/>
        </w:rPr>
        <w:t>Shirley R.</w:t>
      </w:r>
      <w:r>
        <w:rPr>
          <w:rFonts w:ascii="Century Schoolbook" w:hAnsi="Century Schoolbook"/>
          <w:sz w:val="27"/>
          <w:szCs w:val="27"/>
        </w:rPr>
        <w:t xml:space="preserve">, a 60-year-old administrative assistant, </w:t>
      </w:r>
      <w:r w:rsidRPr="009252C3" w:rsidR="00C84825">
        <w:rPr>
          <w:rFonts w:ascii="Century Schoolbook" w:hAnsi="Century Schoolbook"/>
          <w:sz w:val="27"/>
          <w:szCs w:val="27"/>
        </w:rPr>
        <w:t>declined to answer several questions about the death penalty, but indicated she had strong opinions about it</w:t>
      </w:r>
      <w:r w:rsidRPr="009252C3">
        <w:rPr>
          <w:rFonts w:ascii="Century Schoolbook" w:hAnsi="Century Schoolbook"/>
          <w:sz w:val="27"/>
          <w:szCs w:val="27"/>
        </w:rPr>
        <w:t>;</w:t>
      </w:r>
      <w:r w:rsidRPr="009252C3" w:rsidR="00976B25">
        <w:rPr>
          <w:rFonts w:ascii="Century Schoolbook" w:hAnsi="Century Schoolbook"/>
          <w:sz w:val="27"/>
          <w:szCs w:val="27"/>
        </w:rPr>
        <w:t xml:space="preserve"> </w:t>
      </w:r>
      <w:r w:rsidR="00341AAD">
        <w:rPr>
          <w:rFonts w:ascii="Century Schoolbook" w:hAnsi="Century Schoolbook"/>
          <w:sz w:val="27"/>
          <w:szCs w:val="27"/>
        </w:rPr>
        <w:t xml:space="preserve">she </w:t>
      </w:r>
      <w:r w:rsidRPr="009252C3" w:rsidR="00976B25">
        <w:rPr>
          <w:rFonts w:ascii="Century Schoolbook" w:hAnsi="Century Schoolbook"/>
          <w:sz w:val="27"/>
          <w:szCs w:val="27"/>
        </w:rPr>
        <w:t>thought the Biblical verse “an eye for an eye” has been “grossly misinterpreted and misused”</w:t>
      </w:r>
      <w:r w:rsidRPr="009252C3">
        <w:rPr>
          <w:rFonts w:ascii="Century Schoolbook" w:hAnsi="Century Schoolbook"/>
          <w:sz w:val="27"/>
          <w:szCs w:val="27"/>
        </w:rPr>
        <w:t>;</w:t>
      </w:r>
      <w:r w:rsidRPr="009252C3" w:rsidR="00976B25">
        <w:rPr>
          <w:rFonts w:ascii="Century Schoolbook" w:hAnsi="Century Schoolbook"/>
          <w:sz w:val="27"/>
          <w:szCs w:val="27"/>
        </w:rPr>
        <w:t xml:space="preserve"> and</w:t>
      </w:r>
      <w:r w:rsidRPr="009252C3" w:rsidR="00C84825">
        <w:rPr>
          <w:rFonts w:ascii="Century Schoolbook" w:hAnsi="Century Schoolbook"/>
          <w:sz w:val="27"/>
          <w:szCs w:val="27"/>
        </w:rPr>
        <w:t xml:space="preserve"> </w:t>
      </w:r>
      <w:r w:rsidR="00341AAD">
        <w:rPr>
          <w:rFonts w:ascii="Century Schoolbook" w:hAnsi="Century Schoolbook"/>
          <w:sz w:val="27"/>
          <w:szCs w:val="27"/>
        </w:rPr>
        <w:t xml:space="preserve">she </w:t>
      </w:r>
      <w:r w:rsidRPr="009252C3" w:rsidR="00C84825">
        <w:rPr>
          <w:rFonts w:ascii="Century Schoolbook" w:hAnsi="Century Schoolbook"/>
          <w:sz w:val="27"/>
          <w:szCs w:val="27"/>
        </w:rPr>
        <w:t>considered life in prison without the possibility of parole to be “more of a punishment than the death penalty</w:t>
      </w:r>
      <w:r w:rsidRPr="009252C3" w:rsidR="00976B25">
        <w:rPr>
          <w:rFonts w:ascii="Century Schoolbook" w:hAnsi="Century Schoolbook"/>
          <w:sz w:val="27"/>
          <w:szCs w:val="27"/>
        </w:rPr>
        <w:t xml:space="preserve">.”  </w:t>
      </w:r>
      <w:r>
        <w:rPr>
          <w:rFonts w:ascii="Century Schoolbook" w:hAnsi="Century Schoolbook"/>
          <w:sz w:val="27"/>
          <w:szCs w:val="27"/>
        </w:rPr>
        <w:t xml:space="preserve">She responded “yes” to a question </w:t>
      </w:r>
      <w:r w:rsidRPr="009252C3" w:rsidR="00976B25">
        <w:rPr>
          <w:rFonts w:ascii="Century Schoolbook" w:hAnsi="Century Schoolbook"/>
          <w:sz w:val="27"/>
          <w:szCs w:val="27"/>
        </w:rPr>
        <w:t>asking whether, given the choice between life in prison without parole or death for a person convicted of first degree murder with special circumstances, she would always vote for life</w:t>
      </w:r>
      <w:r>
        <w:rPr>
          <w:rFonts w:ascii="Century Schoolbook" w:hAnsi="Century Schoolbook"/>
          <w:sz w:val="27"/>
          <w:szCs w:val="27"/>
        </w:rPr>
        <w:t>.</w:t>
      </w:r>
    </w:p>
    <w:p w:rsidR="00D85AC9"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Under questioning </w:t>
      </w:r>
      <w:r w:rsidRPr="009252C3" w:rsidR="00D745C4">
        <w:rPr>
          <w:rFonts w:ascii="Century Schoolbook" w:hAnsi="Century Schoolbook"/>
          <w:sz w:val="27"/>
          <w:szCs w:val="27"/>
        </w:rPr>
        <w:t xml:space="preserve">by defense counsel, </w:t>
      </w:r>
      <w:r w:rsidR="006C7B75">
        <w:rPr>
          <w:rFonts w:ascii="Century Schoolbook" w:hAnsi="Century Schoolbook"/>
          <w:sz w:val="27"/>
          <w:szCs w:val="27"/>
        </w:rPr>
        <w:t>Shirley R.</w:t>
      </w:r>
      <w:r w:rsidRPr="009252C3" w:rsidR="00D745C4">
        <w:rPr>
          <w:rFonts w:ascii="Century Schoolbook" w:hAnsi="Century Schoolbook"/>
          <w:sz w:val="27"/>
          <w:szCs w:val="27"/>
        </w:rPr>
        <w:t xml:space="preserve"> said that while she had strong opinions about the death penalty, “I would truthfully be able to consider both penalties after hearing the evidence.”  Asked by </w:t>
      </w:r>
      <w:r w:rsidR="00B1476A">
        <w:rPr>
          <w:rFonts w:ascii="Century Schoolbook" w:hAnsi="Century Schoolbook"/>
          <w:sz w:val="27"/>
          <w:szCs w:val="27"/>
        </w:rPr>
        <w:t>P</w:t>
      </w:r>
      <w:r w:rsidRPr="009252C3" w:rsidR="00D745C4">
        <w:rPr>
          <w:rFonts w:ascii="Century Schoolbook" w:hAnsi="Century Schoolbook"/>
          <w:sz w:val="27"/>
          <w:szCs w:val="27"/>
        </w:rPr>
        <w:t>rosecutor Schroeder whether she agreed that the death penalty was the appropriate punishment in some cases, she answered, “No, I can’t truthfully say that,” and explained, “I try to lead a Christian life, and my Bible says thou shalt not kill.  It doesn’t say give me any exceptions .</w:t>
      </w:r>
      <w:r w:rsidRPr="009252C3" w:rsidR="00BE688A">
        <w:rPr>
          <w:rFonts w:ascii="Century Schoolbook" w:hAnsi="Century Schoolbook"/>
          <w:sz w:val="27"/>
          <w:szCs w:val="27"/>
        </w:rPr>
        <w:t> </w:t>
      </w:r>
      <w:r w:rsidRPr="009252C3" w:rsidR="00D745C4">
        <w:rPr>
          <w:rFonts w:ascii="Century Schoolbook" w:hAnsi="Century Schoolbook"/>
          <w:sz w:val="27"/>
          <w:szCs w:val="27"/>
        </w:rPr>
        <w:t>.</w:t>
      </w:r>
      <w:r w:rsidRPr="009252C3" w:rsidR="00BE688A">
        <w:rPr>
          <w:rFonts w:ascii="Century Schoolbook" w:hAnsi="Century Schoolbook"/>
          <w:sz w:val="27"/>
          <w:szCs w:val="27"/>
        </w:rPr>
        <w:t> </w:t>
      </w:r>
      <w:r w:rsidRPr="009252C3" w:rsidR="00D745C4">
        <w:rPr>
          <w:rFonts w:ascii="Century Schoolbook" w:hAnsi="Century Schoolbook"/>
          <w:sz w:val="27"/>
          <w:szCs w:val="27"/>
        </w:rPr>
        <w:t>.</w:t>
      </w:r>
      <w:r w:rsidRPr="009252C3" w:rsidR="00BE688A">
        <w:rPr>
          <w:rFonts w:ascii="Century Schoolbook" w:hAnsi="Century Schoolbook"/>
          <w:sz w:val="27"/>
          <w:szCs w:val="27"/>
        </w:rPr>
        <w:t> </w:t>
      </w:r>
      <w:r w:rsidRPr="009252C3" w:rsidR="00D745C4">
        <w:rPr>
          <w:rFonts w:ascii="Century Schoolbook" w:hAnsi="Century Schoolbook"/>
          <w:sz w:val="27"/>
          <w:szCs w:val="27"/>
        </w:rPr>
        <w:t xml:space="preserve">.”  </w:t>
      </w:r>
      <w:r w:rsidRPr="009252C3" w:rsidR="008F7016">
        <w:rPr>
          <w:rFonts w:ascii="Century Schoolbook" w:hAnsi="Century Schoolbook"/>
          <w:sz w:val="27"/>
          <w:szCs w:val="27"/>
        </w:rPr>
        <w:t>On further questioning by the prosecutor, however, she backed off from an absolute position and agreed</w:t>
      </w:r>
      <w:r w:rsidR="00341AAD">
        <w:rPr>
          <w:rFonts w:ascii="Century Schoolbook" w:hAnsi="Century Schoolbook"/>
          <w:sz w:val="27"/>
          <w:szCs w:val="27"/>
        </w:rPr>
        <w:t xml:space="preserve"> that</w:t>
      </w:r>
      <w:r w:rsidRPr="009252C3" w:rsidR="008F7016">
        <w:rPr>
          <w:rFonts w:ascii="Century Schoolbook" w:hAnsi="Century Schoolbook"/>
          <w:sz w:val="27"/>
          <w:szCs w:val="27"/>
        </w:rPr>
        <w:t xml:space="preserve"> the death penalty might be appropriate </w:t>
      </w:r>
      <w:r w:rsidRPr="009252C3" w:rsidR="006E698F">
        <w:rPr>
          <w:rFonts w:ascii="Century Schoolbook" w:hAnsi="Century Schoolbook"/>
          <w:sz w:val="27"/>
          <w:szCs w:val="27"/>
        </w:rPr>
        <w:t>sometimes</w:t>
      </w:r>
      <w:r w:rsidRPr="009252C3" w:rsidR="008F7016">
        <w:rPr>
          <w:rFonts w:ascii="Century Schoolbook" w:hAnsi="Century Schoolbook"/>
          <w:sz w:val="27"/>
          <w:szCs w:val="27"/>
        </w:rPr>
        <w:t xml:space="preserve"> and she could impose it in what the prosecutor described as “just really a horrible case.”  Neither side challenged </w:t>
      </w:r>
      <w:r w:rsidR="006C7B75">
        <w:rPr>
          <w:rFonts w:ascii="Century Schoolbook" w:hAnsi="Century Schoolbook"/>
          <w:sz w:val="27"/>
          <w:szCs w:val="27"/>
        </w:rPr>
        <w:t>Shirley R.</w:t>
      </w:r>
      <w:r w:rsidRPr="009252C3" w:rsidR="008F7016">
        <w:rPr>
          <w:rFonts w:ascii="Century Schoolbook" w:hAnsi="Century Schoolbook"/>
          <w:sz w:val="27"/>
          <w:szCs w:val="27"/>
        </w:rPr>
        <w:t xml:space="preserve"> for cause.</w:t>
      </w:r>
    </w:p>
    <w:p w:rsidR="00D9155F" w:rsidRPr="009252C3" w:rsidP="009252C3">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Adrienne A.</w:t>
      </w:r>
      <w:r w:rsidRPr="009252C3" w:rsidR="008F7016">
        <w:rPr>
          <w:rFonts w:ascii="Century Schoolbook" w:hAnsi="Century Schoolbook"/>
          <w:sz w:val="27"/>
          <w:szCs w:val="27"/>
        </w:rPr>
        <w:t>, a 26-year-old</w:t>
      </w:r>
      <w:r w:rsidR="006F1A02">
        <w:rPr>
          <w:rFonts w:ascii="Century Schoolbook" w:hAnsi="Century Schoolbook"/>
          <w:sz w:val="27"/>
          <w:szCs w:val="27"/>
        </w:rPr>
        <w:t xml:space="preserve"> customer service representative, </w:t>
      </w:r>
      <w:r w:rsidRPr="009252C3" w:rsidR="008F7016">
        <w:rPr>
          <w:rFonts w:ascii="Century Schoolbook" w:hAnsi="Century Schoolbook"/>
          <w:sz w:val="27"/>
          <w:szCs w:val="27"/>
        </w:rPr>
        <w:t>stated she did not believe the death penalty served any purpose</w:t>
      </w:r>
      <w:r w:rsidRPr="009252C3">
        <w:rPr>
          <w:rFonts w:ascii="Century Schoolbook" w:hAnsi="Century Schoolbook"/>
          <w:sz w:val="27"/>
          <w:szCs w:val="27"/>
        </w:rPr>
        <w:t>;</w:t>
      </w:r>
      <w:r w:rsidRPr="009252C3" w:rsidR="008F7016">
        <w:rPr>
          <w:rFonts w:ascii="Century Schoolbook" w:hAnsi="Century Schoolbook"/>
          <w:sz w:val="27"/>
          <w:szCs w:val="27"/>
        </w:rPr>
        <w:t xml:space="preserve"> that in “some or most” cases it is unnecessary</w:t>
      </w:r>
      <w:r w:rsidRPr="009252C3">
        <w:rPr>
          <w:rFonts w:ascii="Century Schoolbook" w:hAnsi="Century Schoolbook"/>
          <w:sz w:val="27"/>
          <w:szCs w:val="27"/>
        </w:rPr>
        <w:t>;</w:t>
      </w:r>
      <w:r w:rsidRPr="009252C3" w:rsidR="00A270FC">
        <w:rPr>
          <w:rFonts w:ascii="Century Schoolbook" w:hAnsi="Century Schoolbook"/>
          <w:sz w:val="27"/>
          <w:szCs w:val="27"/>
        </w:rPr>
        <w:t xml:space="preserve"> that she had not supported its reinstatement because “I can’t support actions to kill a human as a sentence even if that individual has killed someone”</w:t>
      </w:r>
      <w:r w:rsidRPr="009252C3">
        <w:rPr>
          <w:rFonts w:ascii="Century Schoolbook" w:hAnsi="Century Schoolbook"/>
          <w:sz w:val="27"/>
          <w:szCs w:val="27"/>
        </w:rPr>
        <w:t>;</w:t>
      </w:r>
      <w:r w:rsidRPr="009252C3" w:rsidR="00A270FC">
        <w:rPr>
          <w:rFonts w:ascii="Century Schoolbook" w:hAnsi="Century Schoolbook"/>
          <w:sz w:val="27"/>
          <w:szCs w:val="27"/>
        </w:rPr>
        <w:t xml:space="preserve"> and that if she were making the laws, there would not be a death penalty.  She nonetheless thought the death penalty was appropriate for premeditated murders and would not always vote for life without parole (or death) for a person convicted of first degree murder with special circumstances.</w:t>
      </w:r>
    </w:p>
    <w:p w:rsidR="008F7016"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In answer to defense counsel’s questions, </w:t>
      </w:r>
      <w:r w:rsidR="006C7B75">
        <w:rPr>
          <w:rFonts w:ascii="Century Schoolbook" w:hAnsi="Century Schoolbook"/>
          <w:sz w:val="27"/>
          <w:szCs w:val="27"/>
        </w:rPr>
        <w:t>Adrienne A.</w:t>
      </w:r>
      <w:r w:rsidRPr="009252C3">
        <w:rPr>
          <w:rFonts w:ascii="Century Schoolbook" w:hAnsi="Century Schoolbook"/>
          <w:sz w:val="27"/>
          <w:szCs w:val="27"/>
        </w:rPr>
        <w:t xml:space="preserve"> explained that while she had not seen the purpose of the death penalty in cases she had heard about, if she actually heard all the evidence and found it “the just verdict,” she would vote for it.  </w:t>
      </w:r>
      <w:r w:rsidRPr="009252C3" w:rsidR="0053444B">
        <w:rPr>
          <w:rFonts w:ascii="Century Schoolbook" w:hAnsi="Century Schoolbook"/>
          <w:sz w:val="27"/>
          <w:szCs w:val="27"/>
        </w:rPr>
        <w:t>Questioned by the prosecutor, she affirmed her ability to impose death in an appropriate case, and both sides passed her for cause.</w:t>
      </w:r>
    </w:p>
    <w:p w:rsidR="0053444B" w:rsidRPr="009252C3" w:rsidP="009252C3">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Alice S.</w:t>
      </w:r>
      <w:r w:rsidR="008F338F">
        <w:rPr>
          <w:rFonts w:ascii="Century Schoolbook" w:hAnsi="Century Schoolbook"/>
          <w:sz w:val="27"/>
          <w:szCs w:val="27"/>
        </w:rPr>
        <w:t xml:space="preserve">, a </w:t>
      </w:r>
      <w:r w:rsidRPr="009252C3" w:rsidR="00C60E9D">
        <w:rPr>
          <w:rFonts w:ascii="Century Schoolbook" w:hAnsi="Century Schoolbook"/>
          <w:sz w:val="27"/>
          <w:szCs w:val="27"/>
        </w:rPr>
        <w:t>36</w:t>
      </w:r>
      <w:r w:rsidR="008F338F">
        <w:rPr>
          <w:rFonts w:ascii="Century Schoolbook" w:hAnsi="Century Schoolbook"/>
          <w:sz w:val="27"/>
          <w:szCs w:val="27"/>
        </w:rPr>
        <w:t>-</w:t>
      </w:r>
      <w:r w:rsidRPr="009252C3" w:rsidR="00C60E9D">
        <w:rPr>
          <w:rFonts w:ascii="Century Schoolbook" w:hAnsi="Century Schoolbook"/>
          <w:sz w:val="27"/>
          <w:szCs w:val="27"/>
        </w:rPr>
        <w:t>year</w:t>
      </w:r>
      <w:r w:rsidR="008F338F">
        <w:rPr>
          <w:rFonts w:ascii="Century Schoolbook" w:hAnsi="Century Schoolbook"/>
          <w:sz w:val="27"/>
          <w:szCs w:val="27"/>
        </w:rPr>
        <w:t>-</w:t>
      </w:r>
      <w:r w:rsidRPr="009252C3" w:rsidR="00C60E9D">
        <w:rPr>
          <w:rFonts w:ascii="Century Schoolbook" w:hAnsi="Century Schoolbook"/>
          <w:sz w:val="27"/>
          <w:szCs w:val="27"/>
        </w:rPr>
        <w:t>old</w:t>
      </w:r>
      <w:r w:rsidR="008F338F">
        <w:rPr>
          <w:rFonts w:ascii="Century Schoolbook" w:hAnsi="Century Schoolbook"/>
          <w:sz w:val="27"/>
          <w:szCs w:val="27"/>
        </w:rPr>
        <w:t xml:space="preserve"> budget analyst, was </w:t>
      </w:r>
      <w:r w:rsidRPr="009252C3" w:rsidR="00C60E9D">
        <w:rPr>
          <w:rFonts w:ascii="Century Schoolbook" w:hAnsi="Century Schoolbook"/>
          <w:sz w:val="27"/>
          <w:szCs w:val="27"/>
        </w:rPr>
        <w:t xml:space="preserve">the mother of a six-month-old infant. </w:t>
      </w:r>
      <w:r w:rsidR="00F73767">
        <w:rPr>
          <w:rFonts w:ascii="Century Schoolbook" w:hAnsi="Century Schoolbook"/>
          <w:sz w:val="27"/>
          <w:szCs w:val="27"/>
        </w:rPr>
        <w:t xml:space="preserve"> </w:t>
      </w:r>
      <w:r w:rsidRPr="009252C3" w:rsidR="00C60E9D">
        <w:rPr>
          <w:rFonts w:ascii="Century Schoolbook" w:hAnsi="Century Schoolbook"/>
          <w:sz w:val="27"/>
          <w:szCs w:val="27"/>
        </w:rPr>
        <w:t xml:space="preserve">She </w:t>
      </w:r>
      <w:r w:rsidRPr="009252C3" w:rsidR="00D9155F">
        <w:rPr>
          <w:rFonts w:ascii="Century Schoolbook" w:hAnsi="Century Schoolbook"/>
          <w:sz w:val="27"/>
          <w:szCs w:val="27"/>
        </w:rPr>
        <w:t xml:space="preserve">raised doubts as to </w:t>
      </w:r>
      <w:r w:rsidRPr="009252C3" w:rsidR="00C60E9D">
        <w:rPr>
          <w:rFonts w:ascii="Century Schoolbook" w:hAnsi="Century Schoolbook"/>
          <w:sz w:val="27"/>
          <w:szCs w:val="27"/>
        </w:rPr>
        <w:t>whether caring for her baby would interfere with her ability to serve, noting that her husband travels “so I get very stressed at times.”  She also thought serving in this case would touch on “a very sens</w:t>
      </w:r>
      <w:r w:rsidRPr="009252C3" w:rsidR="00AE2739">
        <w:rPr>
          <w:rFonts w:ascii="Century Schoolbook" w:hAnsi="Century Schoolbook"/>
          <w:sz w:val="27"/>
          <w:szCs w:val="27"/>
        </w:rPr>
        <w:t>itive</w:t>
      </w:r>
      <w:r w:rsidRPr="009252C3" w:rsidR="00C60E9D">
        <w:rPr>
          <w:rFonts w:ascii="Century Schoolbook" w:hAnsi="Century Schoolbook"/>
          <w:sz w:val="27"/>
          <w:szCs w:val="27"/>
        </w:rPr>
        <w:t xml:space="preserve"> area” for her because her brother </w:t>
      </w:r>
      <w:r w:rsidRPr="009252C3" w:rsidR="00DF2097">
        <w:rPr>
          <w:rFonts w:ascii="Century Schoolbook" w:hAnsi="Century Schoolbook"/>
          <w:sz w:val="27"/>
          <w:szCs w:val="27"/>
        </w:rPr>
        <w:t xml:space="preserve">had been convicted of a sexual offense; </w:t>
      </w:r>
      <w:r>
        <w:rPr>
          <w:rFonts w:ascii="Century Schoolbook" w:hAnsi="Century Schoolbook"/>
          <w:sz w:val="27"/>
          <w:szCs w:val="27"/>
        </w:rPr>
        <w:t>Alice S.</w:t>
      </w:r>
      <w:r w:rsidRPr="009252C3" w:rsidR="00DF2097">
        <w:rPr>
          <w:rFonts w:ascii="Century Schoolbook" w:hAnsi="Century Schoolbook"/>
          <w:sz w:val="27"/>
          <w:szCs w:val="27"/>
        </w:rPr>
        <w:t xml:space="preserve"> believed her brother was innocent but due to his alcoholism “had no accountability the day of the alleged crime.”  On questioning by </w:t>
      </w:r>
      <w:r w:rsidR="006951F3">
        <w:rPr>
          <w:rFonts w:ascii="Century Schoolbook" w:hAnsi="Century Schoolbook"/>
          <w:sz w:val="27"/>
          <w:szCs w:val="27"/>
        </w:rPr>
        <w:t>P</w:t>
      </w:r>
      <w:r w:rsidRPr="009252C3" w:rsidR="00DF2097">
        <w:rPr>
          <w:rFonts w:ascii="Century Schoolbook" w:hAnsi="Century Schoolbook"/>
          <w:sz w:val="27"/>
          <w:szCs w:val="27"/>
        </w:rPr>
        <w:t xml:space="preserve">rosecutor Nolan, </w:t>
      </w:r>
      <w:r>
        <w:rPr>
          <w:rFonts w:ascii="Century Schoolbook" w:hAnsi="Century Schoolbook"/>
          <w:sz w:val="27"/>
          <w:szCs w:val="27"/>
        </w:rPr>
        <w:t>Alice S.</w:t>
      </w:r>
      <w:r w:rsidRPr="009252C3" w:rsidR="00DF2097">
        <w:rPr>
          <w:rFonts w:ascii="Century Schoolbook" w:hAnsi="Century Schoolbook"/>
          <w:sz w:val="27"/>
          <w:szCs w:val="27"/>
        </w:rPr>
        <w:t xml:space="preserve"> clarified that she believed her brother had not committed the crime with which he was charged.  His alcohol use had resulted in his being “pretty much homeless,” and as a result he “basically had no accountability.”  If a person actually committed the crime, though, “they should be held responsible if there was alcohol or drugs and they’re convicted.”  Asked whether she could vote for a death sentence if she believed, after hearing all the evidence and the </w:t>
      </w:r>
      <w:r w:rsidRPr="009252C3" w:rsidR="00FA66FE">
        <w:rPr>
          <w:rFonts w:ascii="Century Schoolbook" w:hAnsi="Century Schoolbook"/>
          <w:sz w:val="27"/>
          <w:szCs w:val="27"/>
        </w:rPr>
        <w:t>instructions on the law, that it was the appropriate sentence</w:t>
      </w:r>
      <w:r w:rsidR="00341AAD">
        <w:rPr>
          <w:rFonts w:ascii="Century Schoolbook" w:hAnsi="Century Schoolbook"/>
          <w:sz w:val="27"/>
          <w:szCs w:val="27"/>
        </w:rPr>
        <w:t>,</w:t>
      </w:r>
      <w:r w:rsidRPr="009252C3" w:rsidR="00FA66FE">
        <w:rPr>
          <w:rFonts w:ascii="Century Schoolbook" w:hAnsi="Century Schoolbook"/>
          <w:sz w:val="27"/>
          <w:szCs w:val="27"/>
        </w:rPr>
        <w:t xml:space="preserve"> she first said, “I can’t really answer that.”  </w:t>
      </w:r>
      <w:r w:rsidRPr="009252C3" w:rsidR="00D9155F">
        <w:rPr>
          <w:rFonts w:ascii="Century Schoolbook" w:hAnsi="Century Schoolbook"/>
          <w:sz w:val="27"/>
          <w:szCs w:val="27"/>
        </w:rPr>
        <w:t>But w</w:t>
      </w:r>
      <w:r w:rsidRPr="009252C3" w:rsidR="00FA66FE">
        <w:rPr>
          <w:rFonts w:ascii="Century Schoolbook" w:hAnsi="Century Schoolbook"/>
          <w:sz w:val="27"/>
          <w:szCs w:val="27"/>
        </w:rPr>
        <w:t>hen the prosecutor clarified that she was not being asked whether she would</w:t>
      </w:r>
      <w:r w:rsidRPr="009252C3" w:rsidR="00FA66FE">
        <w:rPr>
          <w:rFonts w:ascii="Century Schoolbook" w:hAnsi="Century Schoolbook"/>
          <w:i/>
          <w:sz w:val="27"/>
          <w:szCs w:val="27"/>
        </w:rPr>
        <w:t xml:space="preserve"> </w:t>
      </w:r>
      <w:r w:rsidRPr="009252C3" w:rsidR="00FA66FE">
        <w:rPr>
          <w:rFonts w:ascii="Century Schoolbook" w:hAnsi="Century Schoolbook"/>
          <w:sz w:val="27"/>
          <w:szCs w:val="27"/>
        </w:rPr>
        <w:t>vote for death in this case but only whether she could in a case where she thought it was the appropriate verdict, she answered, “Yes.”  There was no challenge for cause.</w:t>
      </w:r>
    </w:p>
    <w:p w:rsidR="001061A4" w:rsidRPr="009252C3" w:rsidP="009252C3">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Alicia R.</w:t>
      </w:r>
      <w:r w:rsidRPr="009252C3">
        <w:rPr>
          <w:rFonts w:ascii="Century Schoolbook" w:hAnsi="Century Schoolbook"/>
          <w:sz w:val="27"/>
          <w:szCs w:val="27"/>
        </w:rPr>
        <w:t>, the final African-American prospective juror struck by the prosecution, was 36 years old</w:t>
      </w:r>
      <w:r w:rsidR="008F338F">
        <w:rPr>
          <w:rFonts w:ascii="Century Schoolbook" w:hAnsi="Century Schoolbook"/>
          <w:sz w:val="27"/>
          <w:szCs w:val="27"/>
        </w:rPr>
        <w:t xml:space="preserve"> and worked in </w:t>
      </w:r>
      <w:r w:rsidRPr="009252C3">
        <w:rPr>
          <w:rFonts w:ascii="Century Schoolbook" w:hAnsi="Century Schoolbook"/>
          <w:sz w:val="27"/>
          <w:szCs w:val="27"/>
        </w:rPr>
        <w:t xml:space="preserve">customer service.  In answers to the juror questionnaire, </w:t>
      </w:r>
      <w:r>
        <w:rPr>
          <w:rFonts w:ascii="Century Schoolbook" w:hAnsi="Century Schoolbook"/>
          <w:sz w:val="27"/>
          <w:szCs w:val="27"/>
        </w:rPr>
        <w:t>Alicia R.</w:t>
      </w:r>
      <w:r w:rsidRPr="009252C3">
        <w:rPr>
          <w:rFonts w:ascii="Century Schoolbook" w:hAnsi="Century Schoolbook"/>
          <w:sz w:val="27"/>
          <w:szCs w:val="27"/>
        </w:rPr>
        <w:t xml:space="preserve"> indicated that she had no strong opinions about the death penalty.  But asked about the Old Testament verse, “an eye for an eye,” she wrote she did not adhere to that view because “Christ died on the cross for everyone’s sin.”  When asked whether her views on the death penalty had changed over time and why, she wrote:  “C</w:t>
      </w:r>
      <w:r w:rsidRPr="009252C3" w:rsidR="004A7EA4">
        <w:rPr>
          <w:rFonts w:ascii="Century Schoolbook" w:hAnsi="Century Schoolbook"/>
          <w:sz w:val="27"/>
          <w:szCs w:val="27"/>
        </w:rPr>
        <w:t>lara</w:t>
      </w:r>
      <w:r w:rsidRPr="009252C3">
        <w:rPr>
          <w:rFonts w:ascii="Century Schoolbook" w:hAnsi="Century Schoolbook"/>
          <w:sz w:val="27"/>
          <w:szCs w:val="27"/>
        </w:rPr>
        <w:t xml:space="preserve"> Fay Tucker has changed my position because she proved that some people can change.”</w:t>
      </w:r>
      <w:r>
        <w:rPr>
          <w:rStyle w:val="FootnoteReference"/>
          <w:rFonts w:ascii="Century Schoolbook" w:hAnsi="Century Schoolbook"/>
          <w:sz w:val="27"/>
          <w:szCs w:val="27"/>
          <w:vertAlign w:val="superscript"/>
        </w:rPr>
        <w:footnoteReference w:id="15"/>
      </w:r>
      <w:r w:rsidRPr="009252C3">
        <w:rPr>
          <w:rFonts w:ascii="Century Schoolbook" w:hAnsi="Century Schoolbook"/>
          <w:sz w:val="27"/>
          <w:szCs w:val="27"/>
        </w:rPr>
        <w:t xml:space="preserve"> </w:t>
      </w:r>
      <w:r w:rsidR="00341AAD">
        <w:rPr>
          <w:rFonts w:ascii="Century Schoolbook" w:hAnsi="Century Schoolbook"/>
          <w:sz w:val="27"/>
          <w:szCs w:val="27"/>
        </w:rPr>
        <w:t xml:space="preserve"> </w:t>
      </w:r>
      <w:r w:rsidRPr="009252C3">
        <w:rPr>
          <w:rFonts w:ascii="Century Schoolbook" w:hAnsi="Century Schoolbook"/>
          <w:sz w:val="27"/>
          <w:szCs w:val="27"/>
        </w:rPr>
        <w:t>Asked for her views on the statement “</w:t>
      </w:r>
      <w:r w:rsidR="00341AAD">
        <w:rPr>
          <w:rFonts w:ascii="Century Schoolbook" w:hAnsi="Century Schoolbook"/>
          <w:sz w:val="27"/>
          <w:szCs w:val="27"/>
        </w:rPr>
        <w:t>[a]</w:t>
      </w:r>
      <w:r w:rsidRPr="009252C3">
        <w:rPr>
          <w:rFonts w:ascii="Century Schoolbook" w:hAnsi="Century Schoolbook"/>
          <w:sz w:val="27"/>
          <w:szCs w:val="27"/>
        </w:rPr>
        <w:t xml:space="preserve"> defendant who is convicted of sexual assault and murder of a child should receive the </w:t>
      </w:r>
      <w:r w:rsidRPr="009252C3">
        <w:rPr>
          <w:rFonts w:ascii="Century Schoolbook" w:hAnsi="Century Schoolbook"/>
          <w:i/>
          <w:sz w:val="27"/>
          <w:szCs w:val="27"/>
        </w:rPr>
        <w:t>death penalty</w:t>
      </w:r>
      <w:r w:rsidRPr="009252C3">
        <w:rPr>
          <w:rFonts w:ascii="Century Schoolbook" w:hAnsi="Century Schoolbook"/>
          <w:sz w:val="27"/>
          <w:szCs w:val="27"/>
        </w:rPr>
        <w:t xml:space="preserve"> regardless of the facts and circumstances of his background or mental state,” </w:t>
      </w:r>
      <w:r>
        <w:rPr>
          <w:rFonts w:ascii="Century Schoolbook" w:hAnsi="Century Schoolbook"/>
          <w:sz w:val="27"/>
          <w:szCs w:val="27"/>
        </w:rPr>
        <w:t>Alicia R.</w:t>
      </w:r>
      <w:r w:rsidRPr="009252C3">
        <w:rPr>
          <w:rFonts w:ascii="Century Schoolbook" w:hAnsi="Century Schoolbook"/>
          <w:sz w:val="27"/>
          <w:szCs w:val="27"/>
        </w:rPr>
        <w:t xml:space="preserve"> indicated that it “[d]epends” on the facts of the case.  But asked for her views on the statement “</w:t>
      </w:r>
      <w:r w:rsidR="00B82201">
        <w:rPr>
          <w:rFonts w:ascii="Century Schoolbook" w:hAnsi="Century Schoolbook"/>
          <w:sz w:val="27"/>
          <w:szCs w:val="27"/>
        </w:rPr>
        <w:t>[a]</w:t>
      </w:r>
      <w:r w:rsidRPr="009252C3">
        <w:rPr>
          <w:rFonts w:ascii="Century Schoolbook" w:hAnsi="Century Schoolbook"/>
          <w:sz w:val="27"/>
          <w:szCs w:val="27"/>
        </w:rPr>
        <w:t xml:space="preserve"> defendant who is convicted of sexual assault and murder of a child should receive </w:t>
      </w:r>
      <w:r w:rsidRPr="009252C3">
        <w:rPr>
          <w:rFonts w:ascii="Century Schoolbook" w:hAnsi="Century Schoolbook"/>
          <w:i/>
          <w:sz w:val="27"/>
          <w:szCs w:val="27"/>
        </w:rPr>
        <w:t>life in prison without possibility of parole</w:t>
      </w:r>
      <w:r w:rsidRPr="009252C3">
        <w:rPr>
          <w:rFonts w:ascii="Century Schoolbook" w:hAnsi="Century Schoolbook"/>
          <w:sz w:val="27"/>
          <w:szCs w:val="27"/>
        </w:rPr>
        <w:t xml:space="preserve"> regardless of the facts and circumstances of his background or mental state,” </w:t>
      </w:r>
      <w:r>
        <w:rPr>
          <w:rFonts w:ascii="Century Schoolbook" w:hAnsi="Century Schoolbook"/>
          <w:sz w:val="27"/>
          <w:szCs w:val="27"/>
        </w:rPr>
        <w:t>Alicia R.</w:t>
      </w:r>
      <w:r w:rsidRPr="009252C3">
        <w:rPr>
          <w:rFonts w:ascii="Century Schoolbook" w:hAnsi="Century Schoolbook"/>
          <w:sz w:val="27"/>
          <w:szCs w:val="27"/>
        </w:rPr>
        <w:t xml:space="preserve"> responded that she “[a]gree[d] somewhat.”</w:t>
      </w:r>
    </w:p>
    <w:p w:rsidR="001061A4" w:rsidRPr="009252C3" w:rsidP="009252C3">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 xml:space="preserve">In </w:t>
      </w:r>
      <w:r w:rsidRPr="009252C3">
        <w:rPr>
          <w:rFonts w:ascii="Century Schoolbook" w:hAnsi="Century Schoolbook"/>
          <w:sz w:val="27"/>
          <w:szCs w:val="27"/>
        </w:rPr>
        <w:t xml:space="preserve">voir dire </w:t>
      </w:r>
      <w:r>
        <w:rPr>
          <w:rFonts w:ascii="Century Schoolbook" w:hAnsi="Century Schoolbook"/>
          <w:sz w:val="27"/>
          <w:szCs w:val="27"/>
        </w:rPr>
        <w:t>P</w:t>
      </w:r>
      <w:r w:rsidRPr="009252C3">
        <w:rPr>
          <w:rFonts w:ascii="Century Schoolbook" w:hAnsi="Century Schoolbook"/>
          <w:sz w:val="27"/>
          <w:szCs w:val="27"/>
        </w:rPr>
        <w:t xml:space="preserve">rosecutor </w:t>
      </w:r>
      <w:r>
        <w:rPr>
          <w:rFonts w:ascii="Century Schoolbook" w:hAnsi="Century Schoolbook"/>
          <w:sz w:val="27"/>
          <w:szCs w:val="27"/>
        </w:rPr>
        <w:t xml:space="preserve">Schroeder </w:t>
      </w:r>
      <w:r w:rsidRPr="009252C3">
        <w:rPr>
          <w:rFonts w:ascii="Century Schoolbook" w:hAnsi="Century Schoolbook"/>
          <w:sz w:val="27"/>
          <w:szCs w:val="27"/>
        </w:rPr>
        <w:t xml:space="preserve">asked whether, if </w:t>
      </w:r>
      <w:r w:rsidR="006C7B75">
        <w:rPr>
          <w:rFonts w:ascii="Century Schoolbook" w:hAnsi="Century Schoolbook"/>
          <w:sz w:val="27"/>
          <w:szCs w:val="27"/>
        </w:rPr>
        <w:t>Alicia</w:t>
      </w:r>
      <w:r w:rsidR="00CB63F1">
        <w:rPr>
          <w:rFonts w:ascii="Century Schoolbook" w:hAnsi="Century Schoolbook"/>
          <w:sz w:val="27"/>
          <w:szCs w:val="27"/>
        </w:rPr>
        <w:t> </w:t>
      </w:r>
      <w:r w:rsidR="006C7B75">
        <w:rPr>
          <w:rFonts w:ascii="Century Schoolbook" w:hAnsi="Century Schoolbook"/>
          <w:sz w:val="27"/>
          <w:szCs w:val="27"/>
        </w:rPr>
        <w:t>R.</w:t>
      </w:r>
      <w:r w:rsidRPr="009252C3">
        <w:rPr>
          <w:rFonts w:ascii="Century Schoolbook" w:hAnsi="Century Schoolbook"/>
          <w:sz w:val="27"/>
          <w:szCs w:val="27"/>
        </w:rPr>
        <w:t xml:space="preserve"> “made that kind of mental decision that .</w:t>
      </w:r>
      <w:r w:rsidRPr="009252C3" w:rsidR="002A1554">
        <w:rPr>
          <w:rFonts w:ascii="Century Schoolbook" w:hAnsi="Century Schoolbook"/>
          <w:sz w:val="27"/>
          <w:szCs w:val="27"/>
        </w:rPr>
        <w:t> </w:t>
      </w:r>
      <w:r w:rsidRPr="009252C3">
        <w:rPr>
          <w:rFonts w:ascii="Century Schoolbook" w:hAnsi="Century Schoolbook"/>
          <w:sz w:val="27"/>
          <w:szCs w:val="27"/>
        </w:rPr>
        <w:t>.</w:t>
      </w:r>
      <w:r w:rsidRPr="009252C3" w:rsidR="002A1554">
        <w:rPr>
          <w:rFonts w:ascii="Century Schoolbook" w:hAnsi="Century Schoolbook"/>
          <w:sz w:val="27"/>
          <w:szCs w:val="27"/>
        </w:rPr>
        <w:t> </w:t>
      </w:r>
      <w:r w:rsidRPr="009252C3">
        <w:rPr>
          <w:rFonts w:ascii="Century Schoolbook" w:hAnsi="Century Schoolbook"/>
          <w:sz w:val="27"/>
          <w:szCs w:val="27"/>
        </w:rPr>
        <w:t xml:space="preserve">. the death penalty objectively appears to you to be the correct decision,” she “would” vote for it.  She replied, “I suppose.”  Neither side challenged </w:t>
      </w:r>
      <w:r w:rsidR="006C7B75">
        <w:rPr>
          <w:rFonts w:ascii="Century Schoolbook" w:hAnsi="Century Schoolbook"/>
          <w:sz w:val="27"/>
          <w:szCs w:val="27"/>
        </w:rPr>
        <w:t>Alicia R.</w:t>
      </w:r>
      <w:r w:rsidRPr="009252C3">
        <w:rPr>
          <w:rFonts w:ascii="Century Schoolbook" w:hAnsi="Century Schoolbook"/>
          <w:sz w:val="27"/>
          <w:szCs w:val="27"/>
        </w:rPr>
        <w:t xml:space="preserve"> for cause.</w:t>
      </w:r>
    </w:p>
    <w:p w:rsidR="001061A4" w:rsidRPr="009252C3" w:rsidP="000E08AF">
      <w:pPr>
        <w:pStyle w:val="Heading4"/>
        <w:tabs>
          <w:tab w:val="left" w:pos="1620"/>
          <w:tab w:val="clear" w:pos="2016"/>
        </w:tabs>
        <w:spacing w:before="100" w:line="400" w:lineRule="exact"/>
        <w:ind w:left="0" w:firstLine="720"/>
        <w:jc w:val="both"/>
        <w:rPr>
          <w:rFonts w:ascii="Century Schoolbook" w:hAnsi="Century Schoolbook"/>
          <w:sz w:val="27"/>
          <w:szCs w:val="27"/>
        </w:rPr>
      </w:pPr>
      <w:r>
        <w:rPr>
          <w:rFonts w:ascii="Century Schoolbook" w:hAnsi="Century Schoolbook"/>
          <w:sz w:val="27"/>
          <w:szCs w:val="27"/>
        </w:rPr>
        <w:tab/>
      </w:r>
      <w:r w:rsidRPr="009252C3">
        <w:rPr>
          <w:rFonts w:ascii="Century Schoolbook" w:hAnsi="Century Schoolbook"/>
          <w:sz w:val="27"/>
          <w:szCs w:val="27"/>
        </w:rPr>
        <w:t>B.  Analysis</w:t>
      </w:r>
    </w:p>
    <w:p w:rsidR="00AE5B67"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w:t>
      </w:r>
      <w:r w:rsidRPr="009252C3" w:rsidR="001061A4">
        <w:rPr>
          <w:rFonts w:ascii="Century Schoolbook" w:hAnsi="Century Schoolbook"/>
          <w:sz w:val="27"/>
          <w:szCs w:val="27"/>
        </w:rPr>
        <w:t>he trial court</w:t>
      </w:r>
      <w:r w:rsidRPr="009252C3">
        <w:rPr>
          <w:rFonts w:ascii="Century Schoolbook" w:hAnsi="Century Schoolbook"/>
          <w:sz w:val="27"/>
          <w:szCs w:val="27"/>
        </w:rPr>
        <w:t xml:space="preserve"> in this case</w:t>
      </w:r>
      <w:r w:rsidRPr="009252C3" w:rsidR="00120471">
        <w:rPr>
          <w:rFonts w:ascii="Century Schoolbook" w:hAnsi="Century Schoolbook"/>
          <w:sz w:val="27"/>
          <w:szCs w:val="27"/>
        </w:rPr>
        <w:t xml:space="preserve"> applied </w:t>
      </w:r>
      <w:r w:rsidR="006E7E27">
        <w:rPr>
          <w:rFonts w:ascii="Century Schoolbook" w:hAnsi="Century Schoolbook"/>
          <w:sz w:val="27"/>
          <w:szCs w:val="27"/>
        </w:rPr>
        <w:t>the</w:t>
      </w:r>
      <w:r w:rsidRPr="009252C3" w:rsidR="00120471">
        <w:rPr>
          <w:rFonts w:ascii="Century Schoolbook" w:hAnsi="Century Schoolbook"/>
          <w:sz w:val="27"/>
          <w:szCs w:val="27"/>
        </w:rPr>
        <w:t xml:space="preserve"> “strong likelihood” standard </w:t>
      </w:r>
      <w:r w:rsidRPr="009252C3">
        <w:rPr>
          <w:rFonts w:ascii="Century Schoolbook" w:hAnsi="Century Schoolbook"/>
          <w:sz w:val="27"/>
          <w:szCs w:val="27"/>
        </w:rPr>
        <w:t xml:space="preserve">from </w:t>
      </w:r>
      <w:r w:rsidRPr="009252C3">
        <w:rPr>
          <w:rFonts w:ascii="Century Schoolbook" w:hAnsi="Century Schoolbook"/>
          <w:i/>
          <w:sz w:val="27"/>
          <w:szCs w:val="27"/>
        </w:rPr>
        <w:t>Howard</w:t>
      </w:r>
      <w:r w:rsidRPr="009252C3">
        <w:rPr>
          <w:rFonts w:ascii="Century Schoolbook" w:hAnsi="Century Schoolbook"/>
          <w:sz w:val="27"/>
          <w:szCs w:val="27"/>
        </w:rPr>
        <w:t xml:space="preserve"> to determine </w:t>
      </w:r>
      <w:r w:rsidR="006E7E27">
        <w:rPr>
          <w:rFonts w:ascii="Century Schoolbook" w:hAnsi="Century Schoolbook"/>
          <w:sz w:val="27"/>
          <w:szCs w:val="27"/>
        </w:rPr>
        <w:t xml:space="preserve">that </w:t>
      </w:r>
      <w:r w:rsidRPr="009252C3">
        <w:rPr>
          <w:rFonts w:ascii="Century Schoolbook" w:hAnsi="Century Schoolbook"/>
          <w:sz w:val="27"/>
          <w:szCs w:val="27"/>
        </w:rPr>
        <w:t xml:space="preserve">defendant had not established a prima facie case of discrimination.  </w:t>
      </w:r>
      <w:r w:rsidRPr="009252C3" w:rsidR="00BA5193">
        <w:rPr>
          <w:rFonts w:ascii="Century Schoolbook" w:hAnsi="Century Schoolbook"/>
          <w:sz w:val="27"/>
          <w:szCs w:val="27"/>
        </w:rPr>
        <w:t xml:space="preserve">At the time the trial occurred in 1999, there was some confusion in the case law as to how, if at all, this standard differed from the “reasonable inference” standard articulated in other California cases.  </w:t>
      </w:r>
      <w:r w:rsidRPr="009252C3" w:rsidR="008B4948">
        <w:rPr>
          <w:rFonts w:ascii="Century Schoolbook" w:hAnsi="Century Schoolbook"/>
          <w:sz w:val="27"/>
          <w:szCs w:val="27"/>
        </w:rPr>
        <w:t xml:space="preserve">A few years </w:t>
      </w:r>
      <w:r w:rsidRPr="009252C3" w:rsidR="00BA5193">
        <w:rPr>
          <w:rFonts w:ascii="Century Schoolbook" w:hAnsi="Century Schoolbook"/>
          <w:sz w:val="27"/>
          <w:szCs w:val="27"/>
        </w:rPr>
        <w:t xml:space="preserve">after </w:t>
      </w:r>
      <w:r w:rsidR="006E7E27">
        <w:rPr>
          <w:rFonts w:ascii="Century Schoolbook" w:hAnsi="Century Schoolbook"/>
          <w:sz w:val="27"/>
          <w:szCs w:val="27"/>
        </w:rPr>
        <w:t xml:space="preserve">defendant’s </w:t>
      </w:r>
      <w:r w:rsidRPr="009252C3" w:rsidR="00BA5193">
        <w:rPr>
          <w:rFonts w:ascii="Century Schoolbook" w:hAnsi="Century Schoolbook"/>
          <w:sz w:val="27"/>
          <w:szCs w:val="27"/>
        </w:rPr>
        <w:t>trial, this court grant</w:t>
      </w:r>
      <w:r w:rsidR="006E7E27">
        <w:rPr>
          <w:rFonts w:ascii="Century Schoolbook" w:hAnsi="Century Schoolbook"/>
          <w:sz w:val="27"/>
          <w:szCs w:val="27"/>
        </w:rPr>
        <w:t>ed</w:t>
      </w:r>
      <w:r w:rsidRPr="009252C3" w:rsidR="00BA5193">
        <w:rPr>
          <w:rFonts w:ascii="Century Schoolbook" w:hAnsi="Century Schoolbook"/>
          <w:sz w:val="27"/>
          <w:szCs w:val="27"/>
        </w:rPr>
        <w:t xml:space="preserve"> review to resolve the issue in </w:t>
      </w:r>
      <w:r w:rsidRPr="009252C3" w:rsidR="00AD669D">
        <w:rPr>
          <w:rFonts w:ascii="Century Schoolbook" w:hAnsi="Century Schoolbook"/>
          <w:i/>
          <w:sz w:val="27"/>
          <w:szCs w:val="27"/>
        </w:rPr>
        <w:t>People v. Johnson</w:t>
      </w:r>
      <w:r w:rsidRPr="009252C3" w:rsidR="00AD669D">
        <w:rPr>
          <w:rFonts w:ascii="Century Schoolbook" w:hAnsi="Century Schoolbook"/>
          <w:sz w:val="27"/>
          <w:szCs w:val="27"/>
        </w:rPr>
        <w:t xml:space="preserve"> (2003) 30 Cal.4th 1302, 1306, 1313–1318</w:t>
      </w:r>
      <w:r w:rsidRPr="009252C3" w:rsidR="00BA5193">
        <w:rPr>
          <w:rFonts w:ascii="Century Schoolbook" w:hAnsi="Century Schoolbook"/>
          <w:sz w:val="27"/>
          <w:szCs w:val="27"/>
        </w:rPr>
        <w:t xml:space="preserve">.  In that case we ruled that </w:t>
      </w:r>
      <w:r w:rsidR="00983437">
        <w:rPr>
          <w:rFonts w:ascii="Century Schoolbook" w:hAnsi="Century Schoolbook"/>
          <w:sz w:val="27"/>
          <w:szCs w:val="27"/>
        </w:rPr>
        <w:t xml:space="preserve">both terms </w:t>
      </w:r>
      <w:r w:rsidRPr="009252C3" w:rsidR="00EA6D76">
        <w:rPr>
          <w:rFonts w:ascii="Century Schoolbook" w:hAnsi="Century Schoolbook"/>
          <w:sz w:val="27"/>
          <w:szCs w:val="27"/>
        </w:rPr>
        <w:t xml:space="preserve">“refer to the same test, and this test is consistent with </w:t>
      </w:r>
      <w:r w:rsidRPr="009252C3" w:rsidR="00EA6D76">
        <w:rPr>
          <w:rFonts w:ascii="Century Schoolbook" w:hAnsi="Century Schoolbook"/>
          <w:i/>
          <w:sz w:val="27"/>
          <w:szCs w:val="27"/>
        </w:rPr>
        <w:t>Batson</w:t>
      </w:r>
      <w:r w:rsidR="00900995">
        <w:rPr>
          <w:rFonts w:ascii="Century Schoolbook" w:hAnsi="Century Schoolbook"/>
          <w:sz w:val="27"/>
          <w:szCs w:val="27"/>
        </w:rPr>
        <w:t>.</w:t>
      </w:r>
      <w:r w:rsidRPr="009252C3" w:rsidR="00EA6D76">
        <w:rPr>
          <w:rFonts w:ascii="Century Schoolbook" w:hAnsi="Century Schoolbook"/>
          <w:sz w:val="27"/>
          <w:szCs w:val="27"/>
        </w:rPr>
        <w:t xml:space="preserve">”  </w:t>
      </w:r>
      <w:r w:rsidR="00113242">
        <w:rPr>
          <w:rFonts w:ascii="Century Schoolbook" w:hAnsi="Century Schoolbook"/>
          <w:sz w:val="27"/>
          <w:szCs w:val="27"/>
        </w:rPr>
        <w:t xml:space="preserve">We went on to elaborate:  </w:t>
      </w:r>
      <w:r w:rsidRPr="009252C3" w:rsidR="00EA6D76">
        <w:rPr>
          <w:rFonts w:ascii="Century Schoolbook" w:hAnsi="Century Schoolbook"/>
          <w:sz w:val="27"/>
          <w:szCs w:val="27"/>
        </w:rPr>
        <w:t xml:space="preserve">“Under both </w:t>
      </w:r>
      <w:r w:rsidRPr="009252C3" w:rsidR="00EA6D76">
        <w:rPr>
          <w:rFonts w:ascii="Century Schoolbook" w:hAnsi="Century Schoolbook"/>
          <w:i/>
          <w:sz w:val="27"/>
          <w:szCs w:val="27"/>
        </w:rPr>
        <w:t>Wheeler</w:t>
      </w:r>
      <w:r w:rsidRPr="009252C3" w:rsidR="00EA6D76">
        <w:rPr>
          <w:rFonts w:ascii="Century Schoolbook" w:hAnsi="Century Schoolbook"/>
          <w:sz w:val="27"/>
          <w:szCs w:val="27"/>
        </w:rPr>
        <w:t xml:space="preserve"> and </w:t>
      </w:r>
      <w:r w:rsidRPr="009252C3" w:rsidR="00EA6D76">
        <w:rPr>
          <w:rFonts w:ascii="Century Schoolbook" w:hAnsi="Century Schoolbook"/>
          <w:i/>
          <w:sz w:val="27"/>
          <w:szCs w:val="27"/>
        </w:rPr>
        <w:t>Batson</w:t>
      </w:r>
      <w:r w:rsidRPr="009252C3" w:rsidR="00EA6D76">
        <w:rPr>
          <w:rFonts w:ascii="Century Schoolbook" w:hAnsi="Century Schoolbook"/>
          <w:sz w:val="27"/>
          <w:szCs w:val="27"/>
        </w:rPr>
        <w:t>, to state a prima facie case, the objector must show that it is more likely than not the other</w:t>
      </w:r>
      <w:r w:rsidRPr="009252C3" w:rsidR="002B7E5D">
        <w:rPr>
          <w:rFonts w:ascii="Century Schoolbook" w:hAnsi="Century Schoolbook"/>
          <w:sz w:val="27"/>
          <w:szCs w:val="27"/>
        </w:rPr>
        <w:t xml:space="preserve"> party’s peremptory challenges, if unexplained, were based on impermissible group bias.”  (</w:t>
      </w:r>
      <w:r w:rsidRPr="009252C3" w:rsidR="002B7E5D">
        <w:rPr>
          <w:rFonts w:ascii="Century Schoolbook" w:hAnsi="Century Schoolbook"/>
          <w:i/>
          <w:sz w:val="27"/>
          <w:szCs w:val="27"/>
        </w:rPr>
        <w:t>Id.</w:t>
      </w:r>
      <w:r w:rsidRPr="009252C3" w:rsidR="002B7E5D">
        <w:rPr>
          <w:rFonts w:ascii="Century Schoolbook" w:hAnsi="Century Schoolbook"/>
          <w:sz w:val="27"/>
          <w:szCs w:val="27"/>
        </w:rPr>
        <w:t xml:space="preserve"> at p.</w:t>
      </w:r>
      <w:r w:rsidRPr="009252C3" w:rsidR="00B64E96">
        <w:rPr>
          <w:rFonts w:ascii="Century Schoolbook" w:hAnsi="Century Schoolbook"/>
          <w:sz w:val="27"/>
          <w:szCs w:val="27"/>
        </w:rPr>
        <w:t> </w:t>
      </w:r>
      <w:r w:rsidRPr="009252C3" w:rsidR="002B7E5D">
        <w:rPr>
          <w:rFonts w:ascii="Century Schoolbook" w:hAnsi="Century Schoolbook"/>
          <w:sz w:val="27"/>
          <w:szCs w:val="27"/>
        </w:rPr>
        <w:t>1306.)</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United States Supreme Court, in turn, granted review to consider the issue and disapproved </w:t>
      </w:r>
      <w:r w:rsidRPr="00900995" w:rsidR="00900995">
        <w:rPr>
          <w:rFonts w:ascii="Century Schoolbook" w:hAnsi="Century Schoolbook"/>
          <w:i/>
          <w:sz w:val="27"/>
          <w:szCs w:val="27"/>
        </w:rPr>
        <w:t>People v. Johnson</w:t>
      </w:r>
      <w:r w:rsidR="00900995">
        <w:rPr>
          <w:rFonts w:ascii="Century Schoolbook" w:hAnsi="Century Schoolbook"/>
          <w:sz w:val="27"/>
          <w:szCs w:val="27"/>
        </w:rPr>
        <w:t xml:space="preserve">’s </w:t>
      </w:r>
      <w:r w:rsidRPr="009252C3" w:rsidR="004D1962">
        <w:rPr>
          <w:rFonts w:ascii="Century Schoolbook" w:hAnsi="Century Schoolbook"/>
          <w:sz w:val="27"/>
          <w:szCs w:val="27"/>
        </w:rPr>
        <w:t>“</w:t>
      </w:r>
      <w:r w:rsidR="008B0610">
        <w:rPr>
          <w:rFonts w:ascii="Century Schoolbook" w:hAnsi="Century Schoolbook"/>
          <w:sz w:val="27"/>
          <w:szCs w:val="27"/>
        </w:rPr>
        <w:t> ‘</w:t>
      </w:r>
      <w:r w:rsidRPr="009252C3" w:rsidR="004D1962">
        <w:rPr>
          <w:rFonts w:ascii="Century Schoolbook" w:hAnsi="Century Schoolbook"/>
          <w:sz w:val="27"/>
          <w:szCs w:val="27"/>
        </w:rPr>
        <w:t>more likely than not</w:t>
      </w:r>
      <w:r w:rsidR="008B0610">
        <w:rPr>
          <w:rFonts w:ascii="Century Schoolbook" w:hAnsi="Century Schoolbook"/>
          <w:sz w:val="27"/>
          <w:szCs w:val="27"/>
        </w:rPr>
        <w:t>’ </w:t>
      </w:r>
      <w:r w:rsidRPr="009252C3" w:rsidR="004D1962">
        <w:rPr>
          <w:rFonts w:ascii="Century Schoolbook" w:hAnsi="Century Schoolbook"/>
          <w:sz w:val="27"/>
          <w:szCs w:val="27"/>
        </w:rPr>
        <w:t>” standard</w:t>
      </w:r>
      <w:r w:rsidRPr="009252C3">
        <w:rPr>
          <w:rFonts w:ascii="Century Schoolbook" w:hAnsi="Century Schoolbook"/>
          <w:sz w:val="27"/>
          <w:szCs w:val="27"/>
        </w:rPr>
        <w:t>.  (</w:t>
      </w:r>
      <w:r w:rsidRPr="009252C3">
        <w:rPr>
          <w:rFonts w:ascii="Century Schoolbook" w:hAnsi="Century Schoolbook"/>
          <w:i/>
          <w:iCs/>
          <w:sz w:val="27"/>
          <w:szCs w:val="27"/>
        </w:rPr>
        <w:t>Johnson v. California</w:t>
      </w:r>
      <w:r w:rsidRPr="009252C3">
        <w:rPr>
          <w:rFonts w:ascii="Century Schoolbook" w:hAnsi="Century Schoolbook"/>
          <w:iCs/>
          <w:sz w:val="27"/>
          <w:szCs w:val="27"/>
        </w:rPr>
        <w:t>,</w:t>
      </w:r>
      <w:r w:rsidRPr="009252C3">
        <w:rPr>
          <w:rFonts w:ascii="Century Schoolbook" w:hAnsi="Century Schoolbook"/>
          <w:i/>
          <w:iCs/>
          <w:sz w:val="27"/>
          <w:szCs w:val="27"/>
        </w:rPr>
        <w:t xml:space="preserve"> supra</w:t>
      </w:r>
      <w:r w:rsidRPr="009252C3">
        <w:rPr>
          <w:rFonts w:ascii="Century Schoolbook" w:hAnsi="Century Schoolbook"/>
          <w:iCs/>
          <w:sz w:val="27"/>
          <w:szCs w:val="27"/>
        </w:rPr>
        <w:t>,</w:t>
      </w:r>
      <w:r w:rsidRPr="009252C3">
        <w:rPr>
          <w:rFonts w:ascii="Century Schoolbook" w:hAnsi="Century Schoolbook"/>
          <w:sz w:val="27"/>
          <w:szCs w:val="27"/>
        </w:rPr>
        <w:t xml:space="preserve"> 545 U.S. at </w:t>
      </w:r>
      <w:r w:rsidRPr="009252C3">
        <w:rPr>
          <w:rFonts w:ascii="Century Schoolbook" w:hAnsi="Century Schoolbook"/>
          <w:sz w:val="27"/>
          <w:szCs w:val="27"/>
        </w:rPr>
        <w:t>p.</w:t>
      </w:r>
      <w:r w:rsidRPr="009252C3" w:rsidR="00B64E96">
        <w:rPr>
          <w:rFonts w:ascii="Century Schoolbook" w:hAnsi="Century Schoolbook"/>
          <w:sz w:val="27"/>
          <w:szCs w:val="27"/>
        </w:rPr>
        <w:t> </w:t>
      </w:r>
      <w:r w:rsidRPr="009252C3">
        <w:rPr>
          <w:rFonts w:ascii="Century Schoolbook" w:hAnsi="Century Schoolbook"/>
          <w:sz w:val="27"/>
          <w:szCs w:val="27"/>
        </w:rPr>
        <w:t>168.</w:t>
      </w:r>
      <w:r w:rsidRPr="009252C3">
        <w:rPr>
          <w:rFonts w:ascii="Century Schoolbook" w:hAnsi="Century Schoolbook"/>
          <w:sz w:val="27"/>
          <w:szCs w:val="27"/>
        </w:rPr>
        <w:t>)</w:t>
      </w:r>
      <w:r w:rsidRPr="009252C3">
        <w:rPr>
          <w:rFonts w:ascii="Century Schoolbook" w:hAnsi="Century Schoolbook"/>
          <w:sz w:val="27"/>
          <w:szCs w:val="27"/>
        </w:rPr>
        <w:t xml:space="preserve">  The high court explained that under </w:t>
      </w:r>
      <w:r w:rsidRPr="009252C3">
        <w:rPr>
          <w:rFonts w:ascii="Century Schoolbook" w:hAnsi="Century Schoolbook"/>
          <w:i/>
          <w:sz w:val="27"/>
          <w:szCs w:val="27"/>
        </w:rPr>
        <w:t>Batson</w:t>
      </w:r>
      <w:r w:rsidRPr="009252C3">
        <w:rPr>
          <w:rFonts w:ascii="Century Schoolbook" w:hAnsi="Century Schoolbook"/>
          <w:sz w:val="27"/>
          <w:szCs w:val="27"/>
        </w:rPr>
        <w:t>, the trial judge should “have the benefit of all relevant circumstances, including the prosecutor’s explanation, before deciding whether it was more likely than not that the challenge was improperly motivated.”  (</w:t>
      </w:r>
      <w:r w:rsidRPr="009252C3">
        <w:rPr>
          <w:rFonts w:ascii="Century Schoolbook" w:hAnsi="Century Schoolbook"/>
          <w:i/>
          <w:iCs/>
          <w:sz w:val="27"/>
          <w:szCs w:val="27"/>
        </w:rPr>
        <w:t>Johnson v. California</w:t>
      </w:r>
      <w:r w:rsidRPr="009252C3">
        <w:rPr>
          <w:rFonts w:ascii="Century Schoolbook" w:hAnsi="Century Schoolbook"/>
          <w:iCs/>
          <w:sz w:val="27"/>
          <w:szCs w:val="27"/>
        </w:rPr>
        <w:t>,</w:t>
      </w:r>
      <w:r w:rsidRPr="009252C3">
        <w:rPr>
          <w:rFonts w:ascii="Century Schoolbook" w:hAnsi="Century Schoolbook"/>
          <w:i/>
          <w:iCs/>
          <w:sz w:val="27"/>
          <w:szCs w:val="27"/>
        </w:rPr>
        <w:t xml:space="preserve"> </w:t>
      </w:r>
      <w:r w:rsidRPr="009252C3">
        <w:rPr>
          <w:rFonts w:ascii="Century Schoolbook" w:hAnsi="Century Schoolbook"/>
          <w:sz w:val="27"/>
          <w:szCs w:val="27"/>
        </w:rPr>
        <w:t>at p.</w:t>
      </w:r>
      <w:r w:rsidRPr="009252C3" w:rsidR="002A1554">
        <w:rPr>
          <w:rFonts w:ascii="Century Schoolbook" w:hAnsi="Century Schoolbook"/>
          <w:sz w:val="27"/>
          <w:szCs w:val="27"/>
        </w:rPr>
        <w:t> </w:t>
      </w:r>
      <w:r w:rsidRPr="009252C3">
        <w:rPr>
          <w:rFonts w:ascii="Century Schoolbook" w:hAnsi="Century Schoolbook"/>
          <w:sz w:val="27"/>
          <w:szCs w:val="27"/>
        </w:rPr>
        <w:t>170.)  To serve its function in the three-step process, the requirement for a prima facie case must not be “so onerous that a defendant would have to persuade the judge—on the basis of all the facts, some of which are impossible for the defendant to know with certainty—that the challenge was more likely than not the product of purposeful discrimination.</w:t>
      </w:r>
      <w:r w:rsidRPr="009252C3" w:rsidR="003341A0">
        <w:rPr>
          <w:rFonts w:ascii="Century Schoolbook" w:hAnsi="Century Schoolbook"/>
          <w:sz w:val="27"/>
          <w:szCs w:val="27"/>
        </w:rPr>
        <w:t xml:space="preserve"> </w:t>
      </w:r>
      <w:r w:rsidRPr="009252C3">
        <w:rPr>
          <w:rFonts w:ascii="Century Schoolbook" w:hAnsi="Century Schoolbook"/>
          <w:sz w:val="27"/>
          <w:szCs w:val="27"/>
        </w:rPr>
        <w:t xml:space="preserve"> Instead, a defendant satisfies the requirements of</w:t>
      </w:r>
      <w:r w:rsidRPr="009252C3" w:rsidR="00C41E74">
        <w:rPr>
          <w:rFonts w:ascii="Century Schoolbook" w:hAnsi="Century Schoolbook"/>
          <w:sz w:val="27"/>
          <w:szCs w:val="27"/>
        </w:rPr>
        <w:t xml:space="preserve"> </w:t>
      </w:r>
      <w:r w:rsidRPr="009252C3">
        <w:rPr>
          <w:rFonts w:ascii="Century Schoolbook" w:hAnsi="Century Schoolbook"/>
          <w:i/>
          <w:iCs/>
          <w:sz w:val="27"/>
          <w:szCs w:val="27"/>
        </w:rPr>
        <w:t>Batson</w:t>
      </w:r>
      <w:r w:rsidRPr="009252C3">
        <w:rPr>
          <w:rFonts w:ascii="Century Schoolbook" w:hAnsi="Century Schoolbook"/>
          <w:sz w:val="27"/>
          <w:szCs w:val="27"/>
        </w:rPr>
        <w:t>’</w:t>
      </w:r>
      <w:r w:rsidRPr="009252C3">
        <w:rPr>
          <w:rFonts w:ascii="Century Schoolbook" w:hAnsi="Century Schoolbook"/>
          <w:iCs/>
          <w:sz w:val="27"/>
          <w:szCs w:val="27"/>
        </w:rPr>
        <w:t>s</w:t>
      </w:r>
      <w:r w:rsidRPr="009252C3" w:rsidR="00C41E74">
        <w:rPr>
          <w:rFonts w:ascii="Century Schoolbook" w:hAnsi="Century Schoolbook"/>
          <w:i/>
          <w:iCs/>
          <w:sz w:val="27"/>
          <w:szCs w:val="27"/>
        </w:rPr>
        <w:t xml:space="preserve"> </w:t>
      </w:r>
      <w:r w:rsidRPr="009252C3">
        <w:rPr>
          <w:rFonts w:ascii="Century Schoolbook" w:hAnsi="Century Schoolbook"/>
          <w:sz w:val="27"/>
          <w:szCs w:val="27"/>
        </w:rPr>
        <w:t xml:space="preserve">first step </w:t>
      </w:r>
      <w:r w:rsidRPr="009252C3">
        <w:rPr>
          <w:rFonts w:ascii="Century Schoolbook" w:hAnsi="Century Schoolbook"/>
          <w:i/>
          <w:sz w:val="27"/>
          <w:szCs w:val="27"/>
        </w:rPr>
        <w:t>by producing evidence sufficient to permit the trial judge to draw an inference that discrimination has occurred</w:t>
      </w:r>
      <w:r w:rsidRPr="009252C3">
        <w:rPr>
          <w:rFonts w:ascii="Century Schoolbook" w:hAnsi="Century Schoolbook"/>
          <w:sz w:val="27"/>
          <w:szCs w:val="27"/>
        </w:rPr>
        <w:t>.”  (</w:t>
      </w:r>
      <w:r w:rsidRPr="009252C3">
        <w:rPr>
          <w:rFonts w:ascii="Century Schoolbook" w:hAnsi="Century Schoolbook"/>
          <w:i/>
          <w:iCs/>
          <w:sz w:val="27"/>
          <w:szCs w:val="27"/>
        </w:rPr>
        <w:t>Johnson v. California</w:t>
      </w:r>
      <w:r w:rsidRPr="009252C3">
        <w:rPr>
          <w:rFonts w:ascii="Century Schoolbook" w:hAnsi="Century Schoolbook"/>
          <w:iCs/>
          <w:sz w:val="27"/>
          <w:szCs w:val="27"/>
        </w:rPr>
        <w:t>,</w:t>
      </w:r>
      <w:r w:rsidRPr="009252C3">
        <w:rPr>
          <w:rFonts w:ascii="Century Schoolbook" w:hAnsi="Century Schoolbook"/>
          <w:i/>
          <w:iCs/>
          <w:sz w:val="27"/>
          <w:szCs w:val="27"/>
        </w:rPr>
        <w:t xml:space="preserve"> </w:t>
      </w:r>
      <w:r w:rsidRPr="009252C3">
        <w:rPr>
          <w:rFonts w:ascii="Century Schoolbook" w:hAnsi="Century Schoolbook"/>
          <w:sz w:val="27"/>
          <w:szCs w:val="27"/>
        </w:rPr>
        <w:t>at p.</w:t>
      </w:r>
      <w:r w:rsidRPr="009252C3" w:rsidR="00A31DC3">
        <w:rPr>
          <w:rFonts w:ascii="Century Schoolbook" w:hAnsi="Century Schoolbook"/>
          <w:sz w:val="27"/>
          <w:szCs w:val="27"/>
        </w:rPr>
        <w:t> </w:t>
      </w:r>
      <w:r w:rsidRPr="009252C3">
        <w:rPr>
          <w:rFonts w:ascii="Century Schoolbook" w:hAnsi="Century Schoolbook"/>
          <w:sz w:val="27"/>
          <w:szCs w:val="27"/>
        </w:rPr>
        <w:t xml:space="preserve">170, italics added.)  </w:t>
      </w:r>
    </w:p>
    <w:p w:rsidR="00077209" w:rsidRPr="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Because the trial in this case predated </w:t>
      </w:r>
      <w:r w:rsidRPr="009252C3" w:rsidR="0043045D">
        <w:rPr>
          <w:rFonts w:ascii="Century Schoolbook" w:hAnsi="Century Schoolbook"/>
          <w:sz w:val="27"/>
          <w:szCs w:val="27"/>
        </w:rPr>
        <w:t xml:space="preserve">this court’s </w:t>
      </w:r>
      <w:r w:rsidRPr="009252C3">
        <w:rPr>
          <w:rFonts w:ascii="Century Schoolbook" w:hAnsi="Century Schoolbook"/>
          <w:sz w:val="27"/>
          <w:szCs w:val="27"/>
        </w:rPr>
        <w:t xml:space="preserve">decision in </w:t>
      </w:r>
      <w:r w:rsidRPr="00900995" w:rsidR="00900995">
        <w:rPr>
          <w:rFonts w:ascii="Century Schoolbook" w:hAnsi="Century Schoolbook"/>
          <w:i/>
          <w:sz w:val="27"/>
          <w:szCs w:val="27"/>
        </w:rPr>
        <w:t xml:space="preserve">People v. </w:t>
      </w:r>
      <w:r w:rsidRPr="009252C3">
        <w:rPr>
          <w:rFonts w:ascii="Century Schoolbook" w:hAnsi="Century Schoolbook"/>
          <w:i/>
          <w:sz w:val="27"/>
          <w:szCs w:val="27"/>
        </w:rPr>
        <w:t>Johnson</w:t>
      </w:r>
      <w:r w:rsidRPr="009252C3">
        <w:rPr>
          <w:rFonts w:ascii="Century Schoolbook" w:hAnsi="Century Schoolbook"/>
          <w:sz w:val="27"/>
          <w:szCs w:val="27"/>
        </w:rPr>
        <w:t xml:space="preserve">, it is </w:t>
      </w:r>
      <w:r w:rsidRPr="009252C3" w:rsidR="00366F8D">
        <w:rPr>
          <w:rFonts w:ascii="Century Schoolbook" w:hAnsi="Century Schoolbook"/>
          <w:sz w:val="27"/>
          <w:szCs w:val="27"/>
        </w:rPr>
        <w:t xml:space="preserve">unclear whether </w:t>
      </w:r>
      <w:r w:rsidRPr="009252C3">
        <w:rPr>
          <w:rFonts w:ascii="Century Schoolbook" w:hAnsi="Century Schoolbook"/>
          <w:sz w:val="27"/>
          <w:szCs w:val="27"/>
        </w:rPr>
        <w:t xml:space="preserve">the </w:t>
      </w:r>
      <w:r w:rsidRPr="009252C3" w:rsidR="00366F8D">
        <w:rPr>
          <w:rFonts w:ascii="Century Schoolbook" w:hAnsi="Century Schoolbook"/>
          <w:sz w:val="27"/>
          <w:szCs w:val="27"/>
        </w:rPr>
        <w:t xml:space="preserve">trial </w:t>
      </w:r>
      <w:r w:rsidRPr="009252C3">
        <w:rPr>
          <w:rFonts w:ascii="Century Schoolbook" w:hAnsi="Century Schoolbook"/>
          <w:sz w:val="27"/>
          <w:szCs w:val="27"/>
        </w:rPr>
        <w:t>court understood the “strong likelihood” standard to mean “more likely than not</w:t>
      </w:r>
      <w:r w:rsidRPr="009252C3" w:rsidR="00366F8D">
        <w:rPr>
          <w:rFonts w:ascii="Century Schoolbook" w:hAnsi="Century Schoolbook"/>
          <w:sz w:val="27"/>
          <w:szCs w:val="27"/>
        </w:rPr>
        <w:t>.</w:t>
      </w:r>
      <w:r w:rsidRPr="009252C3">
        <w:rPr>
          <w:rFonts w:ascii="Century Schoolbook" w:hAnsi="Century Schoolbook"/>
          <w:sz w:val="27"/>
          <w:szCs w:val="27"/>
        </w:rPr>
        <w:t>”</w:t>
      </w:r>
      <w:r w:rsidRPr="009252C3" w:rsidR="00366F8D">
        <w:rPr>
          <w:rFonts w:ascii="Century Schoolbook" w:hAnsi="Century Schoolbook"/>
          <w:sz w:val="27"/>
          <w:szCs w:val="27"/>
        </w:rPr>
        <w:t xml:space="preserve">  </w:t>
      </w:r>
      <w:r w:rsidRPr="009252C3">
        <w:rPr>
          <w:rFonts w:ascii="Century Schoolbook" w:hAnsi="Century Schoolbook"/>
          <w:sz w:val="27"/>
          <w:szCs w:val="27"/>
        </w:rPr>
        <w:t xml:space="preserve">Nonetheless, </w:t>
      </w:r>
      <w:r w:rsidRPr="009252C3" w:rsidR="00366F8D">
        <w:rPr>
          <w:rFonts w:ascii="Century Schoolbook" w:hAnsi="Century Schoolbook"/>
          <w:sz w:val="27"/>
          <w:szCs w:val="27"/>
        </w:rPr>
        <w:t xml:space="preserve">the trial court </w:t>
      </w:r>
      <w:r w:rsidR="0020337B">
        <w:rPr>
          <w:rFonts w:ascii="Century Schoolbook" w:hAnsi="Century Schoolbook"/>
          <w:sz w:val="27"/>
          <w:szCs w:val="27"/>
        </w:rPr>
        <w:t>presumably</w:t>
      </w:r>
      <w:r w:rsidRPr="009252C3" w:rsidR="000F4464">
        <w:rPr>
          <w:rFonts w:ascii="Century Schoolbook" w:hAnsi="Century Schoolbook"/>
          <w:sz w:val="27"/>
          <w:szCs w:val="27"/>
        </w:rPr>
        <w:t xml:space="preserve"> </w:t>
      </w:r>
      <w:r w:rsidRPr="009252C3" w:rsidR="00366F8D">
        <w:rPr>
          <w:rFonts w:ascii="Century Schoolbook" w:hAnsi="Century Schoolbook"/>
          <w:sz w:val="27"/>
          <w:szCs w:val="27"/>
        </w:rPr>
        <w:t xml:space="preserve">understood the standard to be </w:t>
      </w:r>
      <w:r w:rsidR="00800F4E">
        <w:rPr>
          <w:rFonts w:ascii="Century Schoolbook" w:hAnsi="Century Schoolbook"/>
          <w:sz w:val="27"/>
          <w:szCs w:val="27"/>
        </w:rPr>
        <w:t xml:space="preserve">somewhat </w:t>
      </w:r>
      <w:r w:rsidRPr="009252C3" w:rsidR="00366F8D">
        <w:rPr>
          <w:rFonts w:ascii="Century Schoolbook" w:hAnsi="Century Schoolbook"/>
          <w:sz w:val="27"/>
          <w:szCs w:val="27"/>
        </w:rPr>
        <w:t>more demanding than the “reasonable inference” standard</w:t>
      </w:r>
      <w:r w:rsidRPr="009252C3" w:rsidR="000F4464">
        <w:rPr>
          <w:rFonts w:ascii="Century Schoolbook" w:hAnsi="Century Schoolbook"/>
          <w:sz w:val="27"/>
          <w:szCs w:val="27"/>
        </w:rPr>
        <w:t xml:space="preserve">, </w:t>
      </w:r>
      <w:r w:rsidRPr="009252C3" w:rsidR="00366F8D">
        <w:rPr>
          <w:rFonts w:ascii="Century Schoolbook" w:hAnsi="Century Schoolbook"/>
          <w:sz w:val="27"/>
          <w:szCs w:val="27"/>
        </w:rPr>
        <w:t xml:space="preserve">for which defendant </w:t>
      </w:r>
      <w:r w:rsidRPr="009252C3" w:rsidR="00DE4F17">
        <w:rPr>
          <w:rFonts w:ascii="Century Schoolbook" w:hAnsi="Century Schoolbook"/>
          <w:sz w:val="27"/>
          <w:szCs w:val="27"/>
        </w:rPr>
        <w:t xml:space="preserve">had </w:t>
      </w:r>
      <w:r w:rsidRPr="009252C3" w:rsidR="00366F8D">
        <w:rPr>
          <w:rFonts w:ascii="Century Schoolbook" w:hAnsi="Century Schoolbook"/>
          <w:sz w:val="27"/>
          <w:szCs w:val="27"/>
        </w:rPr>
        <w:t>argued</w:t>
      </w:r>
      <w:r w:rsidRPr="009252C3" w:rsidR="000F4464">
        <w:rPr>
          <w:rFonts w:ascii="Century Schoolbook" w:hAnsi="Century Schoolbook"/>
          <w:sz w:val="27"/>
          <w:szCs w:val="27"/>
        </w:rPr>
        <w:t xml:space="preserve">.  </w:t>
      </w:r>
      <w:r w:rsidR="00800F4E">
        <w:rPr>
          <w:rFonts w:ascii="Century Schoolbook" w:hAnsi="Century Schoolbook"/>
          <w:sz w:val="27"/>
          <w:szCs w:val="27"/>
        </w:rPr>
        <w:t xml:space="preserve">In </w:t>
      </w:r>
      <w:r w:rsidR="00982635">
        <w:rPr>
          <w:rFonts w:ascii="Century Schoolbook" w:hAnsi="Century Schoolbook"/>
          <w:sz w:val="27"/>
          <w:szCs w:val="27"/>
        </w:rPr>
        <w:t xml:space="preserve">the category of cases </w:t>
      </w:r>
      <w:r w:rsidR="00800F4E">
        <w:rPr>
          <w:rFonts w:ascii="Century Schoolbook" w:hAnsi="Century Schoolbook"/>
          <w:sz w:val="27"/>
          <w:szCs w:val="27"/>
        </w:rPr>
        <w:t xml:space="preserve">involving </w:t>
      </w:r>
      <w:r w:rsidR="00511AC0">
        <w:rPr>
          <w:rFonts w:ascii="Century Schoolbook" w:hAnsi="Century Schoolbook"/>
          <w:sz w:val="27"/>
          <w:szCs w:val="27"/>
        </w:rPr>
        <w:t xml:space="preserve">jury selection before </w:t>
      </w:r>
      <w:r w:rsidR="00EA4E31">
        <w:rPr>
          <w:rFonts w:ascii="Century Schoolbook" w:hAnsi="Century Schoolbook"/>
          <w:sz w:val="27"/>
          <w:szCs w:val="27"/>
        </w:rPr>
        <w:t xml:space="preserve">the high court clarified the prima facie case standard in </w:t>
      </w:r>
      <w:r w:rsidR="00511AC0">
        <w:rPr>
          <w:rFonts w:ascii="Century Schoolbook" w:hAnsi="Century Schoolbook"/>
          <w:i/>
          <w:sz w:val="27"/>
          <w:szCs w:val="27"/>
        </w:rPr>
        <w:t>Johnson v. California</w:t>
      </w:r>
      <w:r w:rsidR="00511AC0">
        <w:rPr>
          <w:rFonts w:ascii="Century Schoolbook" w:hAnsi="Century Schoolbook"/>
          <w:sz w:val="27"/>
          <w:szCs w:val="27"/>
        </w:rPr>
        <w:t xml:space="preserve">, </w:t>
      </w:r>
      <w:r w:rsidR="00EA4E31">
        <w:rPr>
          <w:rFonts w:ascii="Century Schoolbook" w:hAnsi="Century Schoolbook"/>
          <w:sz w:val="27"/>
          <w:szCs w:val="27"/>
        </w:rPr>
        <w:t xml:space="preserve">this court has adopted a mode of analysis under which, rather than accord the usual deference </w:t>
      </w:r>
      <w:r w:rsidR="00800F4E">
        <w:rPr>
          <w:rFonts w:ascii="Century Schoolbook" w:hAnsi="Century Schoolbook"/>
          <w:sz w:val="27"/>
          <w:szCs w:val="27"/>
        </w:rPr>
        <w:t>to the trial court’s no-prima-</w:t>
      </w:r>
      <w:r w:rsidR="00EA4E31">
        <w:rPr>
          <w:rFonts w:ascii="Century Schoolbook" w:hAnsi="Century Schoolbook"/>
          <w:sz w:val="27"/>
          <w:szCs w:val="27"/>
        </w:rPr>
        <w:t xml:space="preserve">facie </w:t>
      </w:r>
      <w:r w:rsidR="00800F4E">
        <w:rPr>
          <w:rFonts w:ascii="Century Schoolbook" w:hAnsi="Century Schoolbook"/>
          <w:sz w:val="27"/>
          <w:szCs w:val="27"/>
        </w:rPr>
        <w:t>case determination</w:t>
      </w:r>
      <w:r w:rsidR="00413936">
        <w:rPr>
          <w:rFonts w:ascii="Century Schoolbook" w:hAnsi="Century Schoolbook"/>
          <w:sz w:val="27"/>
          <w:szCs w:val="27"/>
        </w:rPr>
        <w:t>, w</w:t>
      </w:r>
      <w:r w:rsidR="00800F4E">
        <w:rPr>
          <w:rFonts w:ascii="Century Schoolbook" w:hAnsi="Century Schoolbook"/>
          <w:sz w:val="27"/>
          <w:szCs w:val="27"/>
        </w:rPr>
        <w:t>e “</w:t>
      </w:r>
      <w:r w:rsidRPr="009252C3" w:rsidR="001061A4">
        <w:rPr>
          <w:rFonts w:ascii="Century Schoolbook" w:hAnsi="Century Schoolbook"/>
          <w:sz w:val="27"/>
          <w:szCs w:val="27"/>
        </w:rPr>
        <w:t>review the record independently to determine whether the record supports an inference that the prosecutor excused a juror on a prohibited discriminatory basis.”</w:t>
      </w:r>
      <w:r w:rsidRPr="009252C3" w:rsidR="00A31DC3">
        <w:rPr>
          <w:rFonts w:ascii="Century Schoolbook" w:hAnsi="Century Schoolbook"/>
          <w:sz w:val="27"/>
          <w:szCs w:val="27"/>
        </w:rPr>
        <w:t xml:space="preserve">  </w:t>
      </w:r>
      <w:r w:rsidRPr="009252C3" w:rsidR="001061A4">
        <w:rPr>
          <w:rFonts w:ascii="Century Schoolbook" w:hAnsi="Century Schoolbook"/>
          <w:sz w:val="27"/>
          <w:szCs w:val="27"/>
        </w:rPr>
        <w:t>(</w:t>
      </w:r>
      <w:r w:rsidRPr="009252C3" w:rsidR="001061A4">
        <w:rPr>
          <w:rFonts w:ascii="Century Schoolbook" w:hAnsi="Century Schoolbook"/>
          <w:i/>
          <w:iCs/>
          <w:sz w:val="27"/>
          <w:szCs w:val="27"/>
        </w:rPr>
        <w:t xml:space="preserve">People v. Kelly </w:t>
      </w:r>
      <w:r w:rsidRPr="009252C3" w:rsidR="001061A4">
        <w:rPr>
          <w:rFonts w:ascii="Century Schoolbook" w:hAnsi="Century Schoolbook"/>
          <w:iCs/>
          <w:sz w:val="27"/>
          <w:szCs w:val="27"/>
        </w:rPr>
        <w:t>(2007)</w:t>
      </w:r>
      <w:r w:rsidRPr="009252C3" w:rsidR="00A31DC3">
        <w:rPr>
          <w:rFonts w:ascii="Century Schoolbook" w:hAnsi="Century Schoolbook"/>
          <w:iCs/>
          <w:sz w:val="27"/>
          <w:szCs w:val="27"/>
        </w:rPr>
        <w:t xml:space="preserve"> </w:t>
      </w:r>
      <w:r w:rsidRPr="009252C3" w:rsidR="001061A4">
        <w:rPr>
          <w:rFonts w:ascii="Century Schoolbook" w:hAnsi="Century Schoolbook"/>
          <w:sz w:val="27"/>
          <w:szCs w:val="27"/>
        </w:rPr>
        <w:t xml:space="preserve">42 Cal.4th 763, 779; accord, </w:t>
      </w:r>
      <w:r w:rsidRPr="009252C3" w:rsidR="001061A4">
        <w:rPr>
          <w:rFonts w:ascii="Century Schoolbook" w:hAnsi="Century Schoolbook"/>
          <w:i/>
          <w:sz w:val="27"/>
          <w:szCs w:val="27"/>
        </w:rPr>
        <w:t xml:space="preserve">People v. Reed </w:t>
      </w:r>
      <w:r w:rsidRPr="009252C3" w:rsidR="001061A4">
        <w:rPr>
          <w:rFonts w:ascii="Century Schoolbook" w:hAnsi="Century Schoolbook"/>
          <w:sz w:val="27"/>
          <w:szCs w:val="27"/>
        </w:rPr>
        <w:t>(2018) 4 Cal.5th 989, 999 (</w:t>
      </w:r>
      <w:r w:rsidRPr="009252C3" w:rsidR="001061A4">
        <w:rPr>
          <w:rFonts w:ascii="Century Schoolbook" w:hAnsi="Century Schoolbook"/>
          <w:i/>
          <w:sz w:val="27"/>
          <w:szCs w:val="27"/>
        </w:rPr>
        <w:t>Reed</w:t>
      </w:r>
      <w:r w:rsidRPr="009252C3" w:rsidR="001061A4">
        <w:rPr>
          <w:rFonts w:ascii="Century Schoolbook" w:hAnsi="Century Schoolbook"/>
          <w:sz w:val="27"/>
          <w:szCs w:val="27"/>
        </w:rPr>
        <w:t xml:space="preserve">); </w:t>
      </w:r>
      <w:r w:rsidRPr="009252C3" w:rsidR="001061A4">
        <w:rPr>
          <w:rFonts w:ascii="Century Schoolbook" w:hAnsi="Century Schoolbook"/>
          <w:i/>
          <w:iCs/>
          <w:sz w:val="27"/>
          <w:szCs w:val="27"/>
        </w:rPr>
        <w:t>Davis</w:t>
      </w:r>
      <w:r w:rsidRPr="009252C3" w:rsidR="001061A4">
        <w:rPr>
          <w:rFonts w:ascii="Century Schoolbook" w:hAnsi="Century Schoolbook"/>
          <w:sz w:val="27"/>
          <w:szCs w:val="27"/>
        </w:rPr>
        <w:t xml:space="preserve">, </w:t>
      </w:r>
      <w:r w:rsidRPr="009252C3" w:rsidR="001061A4">
        <w:rPr>
          <w:rFonts w:ascii="Century Schoolbook" w:hAnsi="Century Schoolbook"/>
          <w:i/>
          <w:sz w:val="27"/>
          <w:szCs w:val="27"/>
        </w:rPr>
        <w:t>supra</w:t>
      </w:r>
      <w:r w:rsidRPr="009252C3" w:rsidR="001061A4">
        <w:rPr>
          <w:rFonts w:ascii="Century Schoolbook" w:hAnsi="Century Schoolbook"/>
          <w:sz w:val="27"/>
          <w:szCs w:val="27"/>
        </w:rPr>
        <w:t>, 46 Cal.4th at pp.</w:t>
      </w:r>
      <w:r w:rsidRPr="009252C3" w:rsidR="00A31DC3">
        <w:rPr>
          <w:rFonts w:ascii="Century Schoolbook" w:hAnsi="Century Schoolbook"/>
          <w:sz w:val="27"/>
          <w:szCs w:val="27"/>
        </w:rPr>
        <w:t> </w:t>
      </w:r>
      <w:r w:rsidRPr="009252C3" w:rsidR="001061A4">
        <w:rPr>
          <w:rFonts w:ascii="Century Schoolbook" w:hAnsi="Century Schoolbook"/>
          <w:sz w:val="27"/>
          <w:szCs w:val="27"/>
        </w:rPr>
        <w:t>582</w:t>
      </w:r>
      <w:r w:rsidRPr="009252C3" w:rsidR="00A31DC3">
        <w:rPr>
          <w:rFonts w:ascii="Century Schoolbook" w:hAnsi="Century Schoolbook"/>
          <w:sz w:val="27"/>
          <w:szCs w:val="27"/>
        </w:rPr>
        <w:t>–</w:t>
      </w:r>
      <w:r w:rsidRPr="009252C3" w:rsidR="001061A4">
        <w:rPr>
          <w:rFonts w:ascii="Century Schoolbook" w:hAnsi="Century Schoolbook"/>
          <w:sz w:val="27"/>
          <w:szCs w:val="27"/>
        </w:rPr>
        <w:t xml:space="preserve">583; </w:t>
      </w:r>
      <w:r w:rsidRPr="009252C3" w:rsidR="001061A4">
        <w:rPr>
          <w:rFonts w:ascii="Century Schoolbook" w:hAnsi="Century Schoolbook"/>
          <w:i/>
          <w:iCs/>
          <w:sz w:val="27"/>
          <w:szCs w:val="27"/>
        </w:rPr>
        <w:t>Bell</w:t>
      </w:r>
      <w:r w:rsidRPr="009252C3" w:rsidR="001061A4">
        <w:rPr>
          <w:rFonts w:ascii="Century Schoolbook" w:hAnsi="Century Schoolbook"/>
          <w:sz w:val="27"/>
          <w:szCs w:val="27"/>
        </w:rPr>
        <w:t xml:space="preserve">, </w:t>
      </w:r>
      <w:r w:rsidRPr="009252C3" w:rsidR="001061A4">
        <w:rPr>
          <w:rFonts w:ascii="Century Schoolbook" w:hAnsi="Century Schoolbook"/>
          <w:i/>
          <w:sz w:val="27"/>
          <w:szCs w:val="27"/>
        </w:rPr>
        <w:t>supra</w:t>
      </w:r>
      <w:r w:rsidRPr="009252C3" w:rsidR="001061A4">
        <w:rPr>
          <w:rFonts w:ascii="Century Schoolbook" w:hAnsi="Century Schoolbook"/>
          <w:sz w:val="27"/>
          <w:szCs w:val="27"/>
        </w:rPr>
        <w:t>, 40 Cal.4th at p.</w:t>
      </w:r>
      <w:r w:rsidRPr="009252C3" w:rsidR="00A31DC3">
        <w:rPr>
          <w:rFonts w:ascii="Century Schoolbook" w:hAnsi="Century Schoolbook"/>
          <w:sz w:val="27"/>
          <w:szCs w:val="27"/>
        </w:rPr>
        <w:t> </w:t>
      </w:r>
      <w:r w:rsidRPr="009252C3" w:rsidR="001061A4">
        <w:rPr>
          <w:rFonts w:ascii="Century Schoolbook" w:hAnsi="Century Schoolbook"/>
          <w:sz w:val="27"/>
          <w:szCs w:val="27"/>
        </w:rPr>
        <w:t>597.)</w:t>
      </w:r>
      <w:r w:rsidR="00297E77">
        <w:rPr>
          <w:rFonts w:ascii="Century Schoolbook" w:hAnsi="Century Schoolbook"/>
          <w:sz w:val="27"/>
          <w:szCs w:val="27"/>
        </w:rPr>
        <w:t xml:space="preserve">  </w:t>
      </w:r>
      <w:r w:rsidR="00511AC0">
        <w:rPr>
          <w:rFonts w:ascii="Century Schoolbook" w:hAnsi="Century Schoolbook"/>
          <w:sz w:val="27"/>
          <w:szCs w:val="27"/>
        </w:rPr>
        <w:t xml:space="preserve"> </w:t>
      </w:r>
      <w:r w:rsidR="00297E77">
        <w:rPr>
          <w:rFonts w:ascii="Century Schoolbook" w:hAnsi="Century Schoolbook"/>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Here we consider whether the record supports an inference the prosecution excused one or more of the African-American prospective jurors because of </w:t>
      </w:r>
      <w:r w:rsidR="00900995">
        <w:rPr>
          <w:rFonts w:ascii="Century Schoolbook" w:hAnsi="Century Schoolbook"/>
          <w:sz w:val="27"/>
          <w:szCs w:val="27"/>
        </w:rPr>
        <w:t>their</w:t>
      </w:r>
      <w:r w:rsidRPr="009252C3">
        <w:rPr>
          <w:rFonts w:ascii="Century Schoolbook" w:hAnsi="Century Schoolbook"/>
          <w:sz w:val="27"/>
          <w:szCs w:val="27"/>
        </w:rPr>
        <w:t xml:space="preserve"> race.</w:t>
      </w:r>
      <w:r>
        <w:rPr>
          <w:rStyle w:val="FootnoteReference"/>
          <w:rFonts w:ascii="Century Schoolbook" w:hAnsi="Century Schoolbook"/>
          <w:sz w:val="27"/>
          <w:szCs w:val="27"/>
          <w:vertAlign w:val="superscript"/>
        </w:rPr>
        <w:footnoteReference w:id="16"/>
      </w:r>
      <w:r w:rsidRPr="0035759C" w:rsidR="00DF0C54">
        <w:rPr>
          <w:rFonts w:ascii="Century Schoolbook" w:hAnsi="Century Schoolbook"/>
          <w:sz w:val="27"/>
          <w:szCs w:val="27"/>
          <w:vertAlign w:val="superscript"/>
        </w:rPr>
        <w:t xml:space="preserve"> </w:t>
      </w:r>
      <w:r w:rsidR="008E1ECB">
        <w:rPr>
          <w:rFonts w:ascii="Century Schoolbook" w:hAnsi="Century Schoolbook"/>
          <w:sz w:val="27"/>
          <w:szCs w:val="27"/>
          <w:vertAlign w:val="superscript"/>
        </w:rPr>
        <w:t xml:space="preserve"> </w:t>
      </w:r>
      <w:r w:rsidRPr="009252C3">
        <w:rPr>
          <w:rFonts w:ascii="Century Schoolbook" w:hAnsi="Century Schoolbook"/>
          <w:sz w:val="27"/>
          <w:szCs w:val="27"/>
        </w:rPr>
        <w:t>We consider “all relevant circumstances” in making that determination.  (</w:t>
      </w:r>
      <w:r w:rsidRPr="009252C3">
        <w:rPr>
          <w:rFonts w:ascii="Century Schoolbook" w:hAnsi="Century Schoolbook"/>
          <w:i/>
          <w:sz w:val="27"/>
          <w:szCs w:val="27"/>
        </w:rPr>
        <w:t>Batson</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xml:space="preserve">, 476 U.S. at </w:t>
      </w:r>
      <w:r w:rsidR="005D674E">
        <w:rPr>
          <w:rFonts w:ascii="Century Schoolbook" w:hAnsi="Century Schoolbook"/>
          <w:sz w:val="27"/>
          <w:szCs w:val="27"/>
        </w:rPr>
        <w:t>p</w:t>
      </w:r>
      <w:r w:rsidRPr="009252C3">
        <w:rPr>
          <w:rFonts w:ascii="Century Schoolbook" w:hAnsi="Century Schoolbook"/>
          <w:sz w:val="27"/>
          <w:szCs w:val="27"/>
        </w:rPr>
        <w:t>p.</w:t>
      </w:r>
      <w:r w:rsidRPr="009252C3" w:rsidR="00A31DC3">
        <w:rPr>
          <w:rFonts w:ascii="Century Schoolbook" w:hAnsi="Century Schoolbook"/>
          <w:sz w:val="27"/>
          <w:szCs w:val="27"/>
        </w:rPr>
        <w:t> </w:t>
      </w:r>
      <w:r w:rsidRPr="009252C3">
        <w:rPr>
          <w:rFonts w:ascii="Century Schoolbook" w:hAnsi="Century Schoolbook"/>
          <w:sz w:val="27"/>
          <w:szCs w:val="27"/>
        </w:rPr>
        <w:t>96</w:t>
      </w:r>
      <w:r w:rsidR="005D674E">
        <w:t>–97</w:t>
      </w:r>
      <w:r w:rsidRPr="009252C3">
        <w:rPr>
          <w:rFonts w:ascii="Century Schoolbook" w:hAnsi="Century Schoolbook"/>
          <w:sz w:val="27"/>
          <w:szCs w:val="27"/>
        </w:rPr>
        <w:t xml:space="preserve">.)  We have identified certain types of evidence as “especially relevant,” including:  “whether a party has struck most or all of the members of </w:t>
      </w:r>
      <w:r w:rsidRPr="009252C3" w:rsidR="00C45B0C">
        <w:rPr>
          <w:rFonts w:ascii="Century Schoolbook" w:hAnsi="Century Schoolbook"/>
          <w:sz w:val="27"/>
          <w:szCs w:val="27"/>
        </w:rPr>
        <w:t xml:space="preserve">the </w:t>
      </w:r>
      <w:r w:rsidRPr="009252C3">
        <w:rPr>
          <w:rFonts w:ascii="Century Schoolbook" w:hAnsi="Century Schoolbook"/>
          <w:sz w:val="27"/>
          <w:szCs w:val="27"/>
        </w:rPr>
        <w:t xml:space="preserve">venire from an identified group, whether a party has used a disproportionate number of strikes against </w:t>
      </w:r>
      <w:r w:rsidRPr="009252C3" w:rsidR="00C45B0C">
        <w:rPr>
          <w:rFonts w:ascii="Century Schoolbook" w:hAnsi="Century Schoolbook"/>
          <w:sz w:val="27"/>
          <w:szCs w:val="27"/>
        </w:rPr>
        <w:t xml:space="preserve">members of </w:t>
      </w:r>
      <w:r w:rsidRPr="009252C3">
        <w:rPr>
          <w:rFonts w:ascii="Century Schoolbook" w:hAnsi="Century Schoolbook"/>
          <w:sz w:val="27"/>
          <w:szCs w:val="27"/>
        </w:rPr>
        <w:t xml:space="preserve">that group, whether the party has engaged those prospective jurors in only desultory voir dire, whether the defendant is a member of that group, and whether the victim is a member of the group to which a majority of remaining </w:t>
      </w:r>
      <w:r w:rsidRPr="009252C3" w:rsidR="00C45B0C">
        <w:rPr>
          <w:rFonts w:ascii="Century Schoolbook" w:hAnsi="Century Schoolbook"/>
          <w:sz w:val="27"/>
          <w:szCs w:val="27"/>
        </w:rPr>
        <w:t>jurors</w:t>
      </w:r>
      <w:r w:rsidRPr="009252C3">
        <w:rPr>
          <w:rFonts w:ascii="Century Schoolbook" w:hAnsi="Century Schoolbook"/>
          <w:sz w:val="27"/>
          <w:szCs w:val="27"/>
        </w:rPr>
        <w:t xml:space="preserve"> belong.  [Citation.]  We may also consider nondiscriminatory reasons for the peremptory strike that ‘necessarily dispel any inference of bias,’ so long as those reasons are apparent from and clearly established in the record.”  (</w:t>
      </w:r>
      <w:r w:rsidRPr="009252C3">
        <w:rPr>
          <w:rFonts w:ascii="Century Schoolbook" w:hAnsi="Century Schoolbook"/>
          <w:i/>
          <w:sz w:val="27"/>
          <w:szCs w:val="27"/>
        </w:rPr>
        <w:t>Reed</w:t>
      </w:r>
      <w:r w:rsidRPr="009252C3">
        <w:rPr>
          <w:rFonts w:ascii="Century Schoolbook" w:hAnsi="Century Schoolbook"/>
          <w:sz w:val="27"/>
          <w:szCs w:val="27"/>
        </w:rPr>
        <w:t xml:space="preserve">, </w:t>
      </w:r>
      <w:r w:rsidRPr="009252C3" w:rsidR="007B5A1B">
        <w:rPr>
          <w:rFonts w:ascii="Century Schoolbook" w:hAnsi="Century Schoolbook"/>
          <w:i/>
          <w:sz w:val="27"/>
          <w:szCs w:val="27"/>
        </w:rPr>
        <w:t>supra</w:t>
      </w:r>
      <w:r w:rsidRPr="009252C3" w:rsidR="007B5A1B">
        <w:rPr>
          <w:rFonts w:ascii="Century Schoolbook" w:hAnsi="Century Schoolbook"/>
          <w:sz w:val="27"/>
          <w:szCs w:val="27"/>
        </w:rPr>
        <w:t xml:space="preserve">, 4 Cal.5th </w:t>
      </w:r>
      <w:r w:rsidRPr="009252C3">
        <w:rPr>
          <w:rFonts w:ascii="Century Schoolbook" w:hAnsi="Century Schoolbook"/>
          <w:sz w:val="27"/>
          <w:szCs w:val="27"/>
        </w:rPr>
        <w:t>at pp.</w:t>
      </w:r>
      <w:r w:rsidRPr="009252C3" w:rsidR="00A31DC3">
        <w:rPr>
          <w:rFonts w:ascii="Century Schoolbook" w:hAnsi="Century Schoolbook"/>
          <w:sz w:val="27"/>
          <w:szCs w:val="27"/>
        </w:rPr>
        <w:t> </w:t>
      </w:r>
      <w:r w:rsidRPr="009252C3">
        <w:rPr>
          <w:rFonts w:ascii="Century Schoolbook" w:hAnsi="Century Schoolbook"/>
          <w:sz w:val="27"/>
          <w:szCs w:val="27"/>
        </w:rPr>
        <w:t>999</w:t>
      </w:r>
      <w:r w:rsidRPr="009252C3" w:rsidR="00A31DC3">
        <w:rPr>
          <w:rFonts w:ascii="Century Schoolbook" w:hAnsi="Century Schoolbook"/>
          <w:sz w:val="27"/>
          <w:szCs w:val="27"/>
        </w:rPr>
        <w:t>–</w:t>
      </w:r>
      <w:r w:rsidRPr="009252C3">
        <w:rPr>
          <w:rFonts w:ascii="Century Schoolbook" w:hAnsi="Century Schoolbook"/>
          <w:sz w:val="27"/>
          <w:szCs w:val="27"/>
        </w:rPr>
        <w:t>1000.)</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We consider the showing defendant made at his second or renewed motion, as that presents the fuller record of facts and argument.  Looking to the pattern of the prosecution’s challenges, the record shows that at the time of defendant’s renewed </w:t>
      </w:r>
      <w:r w:rsidRPr="009252C3">
        <w:rPr>
          <w:rFonts w:ascii="Century Schoolbook" w:hAnsi="Century Schoolbook"/>
          <w:i/>
          <w:sz w:val="27"/>
          <w:szCs w:val="27"/>
        </w:rPr>
        <w:t xml:space="preserve">Batson-Wheeler </w:t>
      </w:r>
      <w:r w:rsidRPr="009252C3">
        <w:rPr>
          <w:rFonts w:ascii="Century Schoolbook" w:hAnsi="Century Schoolbook"/>
          <w:sz w:val="27"/>
          <w:szCs w:val="27"/>
        </w:rPr>
        <w:t>motion the prosecutors had used four of their eight peremptory challenges to eliminate every African-American seated in the jury box.  Because the juror questionnaires did not record racial or ethnic heritage, we cannot know how many African-Americans were in the entire venire or in the pool of prospective jurors remaining after hardship and cause excusals.</w:t>
      </w:r>
      <w:r w:rsidRPr="009252C3" w:rsidR="00BA520D">
        <w:rPr>
          <w:rFonts w:ascii="Century Schoolbook" w:hAnsi="Century Schoolbook"/>
          <w:sz w:val="27"/>
          <w:szCs w:val="27"/>
        </w:rPr>
        <w:t xml:space="preserve">  </w:t>
      </w:r>
      <w:r w:rsidRPr="009252C3" w:rsidR="008E6E35">
        <w:rPr>
          <w:rFonts w:ascii="Century Schoolbook" w:hAnsi="Century Schoolbook"/>
          <w:sz w:val="27"/>
          <w:szCs w:val="27"/>
        </w:rPr>
        <w:t xml:space="preserve">We will assume with </w:t>
      </w:r>
      <w:r w:rsidRPr="009252C3" w:rsidR="005965A4">
        <w:rPr>
          <w:rFonts w:ascii="Century Schoolbook" w:hAnsi="Century Schoolbook"/>
          <w:sz w:val="27"/>
          <w:szCs w:val="27"/>
        </w:rPr>
        <w:t>defendant</w:t>
      </w:r>
      <w:r w:rsidRPr="009252C3" w:rsidR="008E6E35">
        <w:rPr>
          <w:rFonts w:ascii="Century Schoolbook" w:hAnsi="Century Schoolbook"/>
          <w:sz w:val="27"/>
          <w:szCs w:val="27"/>
        </w:rPr>
        <w:t xml:space="preserve">, however, that </w:t>
      </w:r>
      <w:r w:rsidRPr="009252C3" w:rsidR="00DA7C10">
        <w:rPr>
          <w:rFonts w:ascii="Century Schoolbook" w:hAnsi="Century Schoolbook"/>
          <w:sz w:val="27"/>
          <w:szCs w:val="27"/>
        </w:rPr>
        <w:t xml:space="preserve">the prosecutors’ use of half their strikes against </w:t>
      </w:r>
      <w:r w:rsidRPr="009252C3" w:rsidR="007F4A3A">
        <w:rPr>
          <w:rFonts w:ascii="Century Schoolbook" w:hAnsi="Century Schoolbook"/>
          <w:sz w:val="27"/>
          <w:szCs w:val="27"/>
        </w:rPr>
        <w:t xml:space="preserve">the four </w:t>
      </w:r>
      <w:r w:rsidRPr="009252C3" w:rsidR="00DA7C10">
        <w:rPr>
          <w:rFonts w:ascii="Century Schoolbook" w:hAnsi="Century Schoolbook"/>
          <w:sz w:val="27"/>
          <w:szCs w:val="27"/>
        </w:rPr>
        <w:t>African-American</w:t>
      </w:r>
      <w:r w:rsidRPr="009252C3" w:rsidR="007F4A3A">
        <w:rPr>
          <w:rFonts w:ascii="Century Schoolbook" w:hAnsi="Century Schoolbook"/>
          <w:sz w:val="27"/>
          <w:szCs w:val="27"/>
        </w:rPr>
        <w:t xml:space="preserve"> prospective jurors</w:t>
      </w:r>
      <w:r w:rsidRPr="009252C3" w:rsidR="00DA7C10">
        <w:rPr>
          <w:rFonts w:ascii="Century Schoolbook" w:hAnsi="Century Schoolbook"/>
          <w:sz w:val="27"/>
          <w:szCs w:val="27"/>
        </w:rPr>
        <w:t xml:space="preserve"> was substantially disproportionate to the representation of African-Americans in the jury pool</w:t>
      </w:r>
      <w:r w:rsidR="0082603D">
        <w:rPr>
          <w:rFonts w:ascii="Century Schoolbook" w:hAnsi="Century Schoolbook"/>
          <w:sz w:val="27"/>
          <w:szCs w:val="27"/>
        </w:rPr>
        <w:t xml:space="preserve">. </w:t>
      </w:r>
      <w:r w:rsidR="00F73767">
        <w:rPr>
          <w:rFonts w:ascii="Century Schoolbook" w:hAnsi="Century Schoolbook"/>
          <w:sz w:val="27"/>
          <w:szCs w:val="27"/>
        </w:rPr>
        <w:t xml:space="preserve"> </w:t>
      </w:r>
      <w:r w:rsidRPr="009252C3" w:rsidR="005051B8">
        <w:rPr>
          <w:rFonts w:ascii="Century Schoolbook" w:hAnsi="Century Schoolbook"/>
          <w:sz w:val="27"/>
          <w:szCs w:val="27"/>
        </w:rPr>
        <w:t>Given the demographic</w:t>
      </w:r>
      <w:r w:rsidRPr="009252C3" w:rsidR="00724D8F">
        <w:rPr>
          <w:rFonts w:ascii="Century Schoolbook" w:hAnsi="Century Schoolbook"/>
          <w:sz w:val="27"/>
          <w:szCs w:val="27"/>
        </w:rPr>
        <w:t xml:space="preserve"> makeup</w:t>
      </w:r>
      <w:r w:rsidRPr="009252C3" w:rsidR="00157472">
        <w:rPr>
          <w:rFonts w:ascii="Century Schoolbook" w:hAnsi="Century Schoolbook"/>
          <w:sz w:val="27"/>
          <w:szCs w:val="27"/>
        </w:rPr>
        <w:t xml:space="preserve"> of the community from which the jurors were drawn, </w:t>
      </w:r>
      <w:r w:rsidRPr="009252C3" w:rsidR="005051B8">
        <w:rPr>
          <w:rFonts w:ascii="Century Schoolbook" w:hAnsi="Century Schoolbook"/>
          <w:sz w:val="27"/>
          <w:szCs w:val="27"/>
        </w:rPr>
        <w:t>u</w:t>
      </w:r>
      <w:r w:rsidRPr="009252C3" w:rsidR="00BA520D">
        <w:rPr>
          <w:rFonts w:ascii="Century Schoolbook" w:hAnsi="Century Schoolbook"/>
          <w:sz w:val="27"/>
          <w:szCs w:val="27"/>
        </w:rPr>
        <w:t xml:space="preserve">nless </w:t>
      </w:r>
      <w:r w:rsidRPr="009252C3">
        <w:rPr>
          <w:rFonts w:ascii="Century Schoolbook" w:hAnsi="Century Schoolbook"/>
          <w:sz w:val="27"/>
          <w:szCs w:val="27"/>
        </w:rPr>
        <w:t xml:space="preserve">African-Americans were greatly overrepresented in the venire or received hardship and cause excusals at much lower rates than others, </w:t>
      </w:r>
      <w:r w:rsidRPr="009252C3" w:rsidR="00C92C7E">
        <w:rPr>
          <w:rFonts w:ascii="Century Schoolbook" w:hAnsi="Century Schoolbook"/>
          <w:sz w:val="27"/>
          <w:szCs w:val="27"/>
        </w:rPr>
        <w:t xml:space="preserve">it is likely that they </w:t>
      </w:r>
      <w:r w:rsidRPr="009252C3">
        <w:rPr>
          <w:rFonts w:ascii="Century Schoolbook" w:hAnsi="Century Schoolbook"/>
          <w:sz w:val="27"/>
          <w:szCs w:val="27"/>
        </w:rPr>
        <w:t>comprised substantially less than 50 percent of the pool</w:t>
      </w:r>
      <w:r w:rsidR="0035759C">
        <w:rPr>
          <w:rFonts w:ascii="Century Schoolbook" w:hAnsi="Century Schoolbook"/>
          <w:sz w:val="27"/>
          <w:szCs w:val="27"/>
        </w:rPr>
        <w:t>.</w:t>
      </w:r>
      <w:r>
        <w:rPr>
          <w:rStyle w:val="FootnoteReference"/>
          <w:rFonts w:ascii="Century Schoolbook" w:hAnsi="Century Schoolbook"/>
          <w:sz w:val="27"/>
          <w:szCs w:val="27"/>
          <w:vertAlign w:val="superscript"/>
        </w:rPr>
        <w:footnoteReference w:id="17"/>
      </w:r>
      <w:r w:rsidRPr="009252C3" w:rsidR="005965A4">
        <w:rPr>
          <w:rFonts w:ascii="Century Schoolbook" w:hAnsi="Century Schoolbook"/>
          <w:sz w:val="27"/>
          <w:szCs w:val="27"/>
        </w:rPr>
        <w:t xml:space="preserve">  </w:t>
      </w:r>
      <w:r w:rsidRPr="009252C3">
        <w:rPr>
          <w:rFonts w:ascii="Century Schoolbook" w:hAnsi="Century Schoolbook"/>
          <w:sz w:val="27"/>
          <w:szCs w:val="27"/>
        </w:rPr>
        <w:t xml:space="preserve">(See </w:t>
      </w:r>
      <w:r w:rsidRPr="009252C3">
        <w:rPr>
          <w:rFonts w:ascii="Century Schoolbook" w:hAnsi="Century Schoolbook"/>
          <w:i/>
          <w:iCs/>
          <w:sz w:val="27"/>
          <w:szCs w:val="27"/>
        </w:rPr>
        <w:t>Scott</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61 Cal.4th at p.</w:t>
      </w:r>
      <w:r w:rsidRPr="009252C3" w:rsidR="00A31DC3">
        <w:rPr>
          <w:rFonts w:ascii="Century Schoolbook" w:hAnsi="Century Schoolbook"/>
          <w:sz w:val="27"/>
          <w:szCs w:val="27"/>
        </w:rPr>
        <w:t> </w:t>
      </w:r>
      <w:r w:rsidRPr="009252C3">
        <w:rPr>
          <w:rFonts w:ascii="Century Schoolbook" w:hAnsi="Century Schoolbook"/>
          <w:sz w:val="27"/>
          <w:szCs w:val="27"/>
        </w:rPr>
        <w:t xml:space="preserve">384; </w:t>
      </w:r>
      <w:r w:rsidRPr="009252C3">
        <w:rPr>
          <w:rFonts w:ascii="Century Schoolbook" w:hAnsi="Century Schoolbook"/>
          <w:i/>
          <w:sz w:val="27"/>
          <w:szCs w:val="27"/>
        </w:rPr>
        <w:t>Bell</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40 Cal.4th at p.</w:t>
      </w:r>
      <w:r w:rsidRPr="009252C3" w:rsidR="00A31DC3">
        <w:rPr>
          <w:rFonts w:ascii="Century Schoolbook" w:hAnsi="Century Schoolbook"/>
          <w:sz w:val="27"/>
          <w:szCs w:val="27"/>
        </w:rPr>
        <w:t> </w:t>
      </w:r>
      <w:r w:rsidRPr="009252C3">
        <w:rPr>
          <w:rFonts w:ascii="Century Schoolbook" w:hAnsi="Century Schoolbook"/>
          <w:sz w:val="27"/>
          <w:szCs w:val="27"/>
        </w:rPr>
        <w:t xml:space="preserve">597.)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E</w:t>
      </w:r>
      <w:r w:rsidRPr="009252C3" w:rsidR="00661D17">
        <w:rPr>
          <w:rFonts w:ascii="Century Schoolbook" w:hAnsi="Century Schoolbook"/>
          <w:sz w:val="27"/>
          <w:szCs w:val="27"/>
        </w:rPr>
        <w:t xml:space="preserve">xercising our independent review on appeal, </w:t>
      </w:r>
      <w:r w:rsidRPr="009252C3">
        <w:rPr>
          <w:rFonts w:ascii="Century Schoolbook" w:hAnsi="Century Schoolbook"/>
          <w:sz w:val="27"/>
          <w:szCs w:val="27"/>
        </w:rPr>
        <w:t xml:space="preserve">we are nonetheless persuaded </w:t>
      </w:r>
      <w:r w:rsidRPr="009252C3" w:rsidR="00E2052A">
        <w:rPr>
          <w:rFonts w:ascii="Century Schoolbook" w:hAnsi="Century Schoolbook"/>
          <w:sz w:val="27"/>
          <w:szCs w:val="27"/>
        </w:rPr>
        <w:t xml:space="preserve">that the </w:t>
      </w:r>
      <w:r w:rsidRPr="009252C3" w:rsidR="003C1AC5">
        <w:rPr>
          <w:rFonts w:ascii="Century Schoolbook" w:hAnsi="Century Schoolbook"/>
          <w:sz w:val="27"/>
          <w:szCs w:val="27"/>
        </w:rPr>
        <w:t xml:space="preserve">totality of the circumstances surrounding the prosecution’s use of peremptory challenges </w:t>
      </w:r>
      <w:r w:rsidRPr="009252C3" w:rsidR="00661D17">
        <w:rPr>
          <w:rFonts w:ascii="Century Schoolbook" w:hAnsi="Century Schoolbook"/>
          <w:sz w:val="27"/>
          <w:szCs w:val="27"/>
        </w:rPr>
        <w:t>do</w:t>
      </w:r>
      <w:r w:rsidR="0082603D">
        <w:rPr>
          <w:rFonts w:ascii="Century Schoolbook" w:hAnsi="Century Schoolbook"/>
          <w:sz w:val="27"/>
          <w:szCs w:val="27"/>
        </w:rPr>
        <w:t>es</w:t>
      </w:r>
      <w:r w:rsidRPr="009252C3" w:rsidR="00661D17">
        <w:rPr>
          <w:rFonts w:ascii="Century Schoolbook" w:hAnsi="Century Schoolbook"/>
          <w:sz w:val="27"/>
          <w:szCs w:val="27"/>
        </w:rPr>
        <w:t xml:space="preserve"> not give rise to an inference of discrimination.  </w:t>
      </w:r>
      <w:r w:rsidRPr="009252C3" w:rsidR="00586C55">
        <w:rPr>
          <w:rFonts w:ascii="Century Schoolbook" w:hAnsi="Century Schoolbook"/>
          <w:sz w:val="27"/>
          <w:szCs w:val="27"/>
        </w:rPr>
        <w:t xml:space="preserve">As an initial matter, we note </w:t>
      </w:r>
      <w:r w:rsidRPr="009252C3">
        <w:rPr>
          <w:rFonts w:ascii="Century Schoolbook" w:hAnsi="Century Schoolbook"/>
          <w:sz w:val="27"/>
          <w:szCs w:val="27"/>
        </w:rPr>
        <w:t xml:space="preserve">that this case “did not involve a situation in which ‘[r]acial identity between the defendant and </w:t>
      </w:r>
      <w:r w:rsidRPr="009252C3" w:rsidR="00C45B0C">
        <w:rPr>
          <w:rFonts w:ascii="Century Schoolbook" w:hAnsi="Century Schoolbook"/>
          <w:sz w:val="27"/>
          <w:szCs w:val="27"/>
        </w:rPr>
        <w:t xml:space="preserve">the </w:t>
      </w:r>
      <w:r w:rsidRPr="009252C3">
        <w:rPr>
          <w:rFonts w:ascii="Century Schoolbook" w:hAnsi="Century Schoolbook"/>
          <w:sz w:val="27"/>
          <w:szCs w:val="27"/>
        </w:rPr>
        <w:t>excused person,’ or between the victim and the majority of remaining jurors, raises heightened concerns about whether the prosecutor’s challenge was racially motivated.”  (</w:t>
      </w:r>
      <w:r w:rsidRPr="009252C3">
        <w:rPr>
          <w:rFonts w:ascii="Century Schoolbook" w:hAnsi="Century Schoolbook"/>
          <w:i/>
          <w:sz w:val="27"/>
          <w:szCs w:val="27"/>
        </w:rPr>
        <w:t>People v. O’Malley</w:t>
      </w:r>
      <w:r w:rsidRPr="009252C3">
        <w:rPr>
          <w:rFonts w:ascii="Century Schoolbook" w:hAnsi="Century Schoolbook"/>
          <w:sz w:val="27"/>
          <w:szCs w:val="27"/>
        </w:rPr>
        <w:t xml:space="preserve"> (2016) 62 Cal.4th 944, 980.)</w:t>
      </w:r>
      <w:r w:rsidRPr="009252C3" w:rsidR="00DE6192">
        <w:rPr>
          <w:rFonts w:ascii="Century Schoolbook" w:hAnsi="Century Schoolbook"/>
          <w:sz w:val="27"/>
          <w:szCs w:val="27"/>
        </w:rPr>
        <w:t xml:space="preserve">  </w:t>
      </w:r>
      <w:r w:rsidRPr="009252C3" w:rsidR="000E33E2">
        <w:rPr>
          <w:rFonts w:ascii="Century Schoolbook" w:hAnsi="Century Schoolbook"/>
          <w:sz w:val="27"/>
          <w:szCs w:val="27"/>
        </w:rPr>
        <w:t>Neither defendant nor the victim were African-American</w:t>
      </w:r>
      <w:r w:rsidRPr="009252C3" w:rsidR="00BA252F">
        <w:rPr>
          <w:rFonts w:ascii="Century Schoolbook" w:hAnsi="Century Schoolbook"/>
          <w:sz w:val="27"/>
          <w:szCs w:val="27"/>
        </w:rPr>
        <w:t>—</w:t>
      </w:r>
      <w:r w:rsidRPr="009252C3" w:rsidR="000E33E2">
        <w:rPr>
          <w:rFonts w:ascii="Century Schoolbook" w:hAnsi="Century Schoolbook"/>
          <w:sz w:val="27"/>
          <w:szCs w:val="27"/>
        </w:rPr>
        <w:t>both were White</w:t>
      </w:r>
      <w:r w:rsidRPr="009252C3" w:rsidR="00BA252F">
        <w:rPr>
          <w:rFonts w:ascii="Century Schoolbook" w:hAnsi="Century Schoolbook"/>
          <w:sz w:val="27"/>
          <w:szCs w:val="27"/>
        </w:rPr>
        <w:t>—and the record reveals no other case-specific reason why a prosecutor would be motivated to exclude a particular class of jurors</w:t>
      </w:r>
      <w:r w:rsidRPr="009252C3" w:rsidR="000E33E2">
        <w:rPr>
          <w:rFonts w:ascii="Century Schoolbook" w:hAnsi="Century Schoolbook"/>
          <w:sz w:val="27"/>
          <w:szCs w:val="27"/>
        </w:rPr>
        <w:t xml:space="preserve">.  </w:t>
      </w:r>
      <w:r w:rsidRPr="009252C3" w:rsidR="0052412C">
        <w:rPr>
          <w:rFonts w:ascii="Century Schoolbook" w:hAnsi="Century Schoolbook"/>
          <w:sz w:val="27"/>
          <w:szCs w:val="27"/>
        </w:rPr>
        <w:t xml:space="preserve">We caution that </w:t>
      </w:r>
      <w:r w:rsidRPr="009252C3" w:rsidR="00DE6192">
        <w:rPr>
          <w:rFonts w:ascii="Century Schoolbook" w:hAnsi="Century Schoolbook"/>
          <w:sz w:val="27"/>
          <w:szCs w:val="27"/>
        </w:rPr>
        <w:t>s</w:t>
      </w:r>
      <w:r w:rsidRPr="009252C3">
        <w:rPr>
          <w:rFonts w:ascii="Century Schoolbook" w:hAnsi="Century Schoolbook"/>
          <w:sz w:val="27"/>
          <w:szCs w:val="27"/>
        </w:rPr>
        <w:t>tereotypes and biases can influence jury selection in any case</w:t>
      </w:r>
      <w:r w:rsidRPr="009252C3" w:rsidR="00EB3710">
        <w:rPr>
          <w:rFonts w:ascii="Century Schoolbook" w:hAnsi="Century Schoolbook"/>
          <w:sz w:val="27"/>
          <w:szCs w:val="27"/>
        </w:rPr>
        <w:t>.  But in the absence of such reasons</w:t>
      </w:r>
      <w:r w:rsidRPr="009252C3" w:rsidR="00D46145">
        <w:rPr>
          <w:rFonts w:ascii="Century Schoolbook" w:hAnsi="Century Schoolbook"/>
          <w:sz w:val="27"/>
          <w:szCs w:val="27"/>
        </w:rPr>
        <w:t xml:space="preserve">, or of </w:t>
      </w:r>
      <w:r w:rsidRPr="009252C3">
        <w:rPr>
          <w:rFonts w:ascii="Century Schoolbook" w:hAnsi="Century Schoolbook"/>
          <w:sz w:val="27"/>
          <w:szCs w:val="27"/>
        </w:rPr>
        <w:t xml:space="preserve">any indication these particular prosecutors habitually employed group bias in their selection of juries, we are less inclined to find a prima facie case based solely on </w:t>
      </w:r>
      <w:r w:rsidRPr="009252C3" w:rsidR="00B16F98">
        <w:rPr>
          <w:rFonts w:ascii="Century Schoolbook" w:hAnsi="Century Schoolbook"/>
          <w:sz w:val="27"/>
          <w:szCs w:val="27"/>
        </w:rPr>
        <w:t xml:space="preserve">the prosecutors’ </w:t>
      </w:r>
      <w:r w:rsidRPr="009252C3">
        <w:rPr>
          <w:rFonts w:ascii="Century Schoolbook" w:hAnsi="Century Schoolbook"/>
          <w:sz w:val="27"/>
          <w:szCs w:val="27"/>
        </w:rPr>
        <w:t>disproportionate use of peremptories against one group.</w:t>
      </w:r>
      <w:r w:rsidRPr="009252C3" w:rsidR="00A31DC3">
        <w:rPr>
          <w:rFonts w:ascii="Century Schoolbook" w:hAnsi="Century Schoolbook"/>
          <w:sz w:val="27"/>
          <w:szCs w:val="27"/>
        </w:rPr>
        <w:t xml:space="preserve"> </w:t>
      </w:r>
      <w:r w:rsidRPr="009252C3">
        <w:rPr>
          <w:rFonts w:ascii="Century Schoolbook" w:hAnsi="Century Schoolbook"/>
          <w:sz w:val="27"/>
          <w:szCs w:val="27"/>
        </w:rPr>
        <w:t xml:space="preserve"> (</w:t>
      </w:r>
      <w:r w:rsidRPr="009252C3">
        <w:rPr>
          <w:rFonts w:ascii="Century Schoolbook" w:hAnsi="Century Schoolbook"/>
          <w:i/>
          <w:iCs/>
          <w:sz w:val="27"/>
          <w:szCs w:val="27"/>
        </w:rPr>
        <w:t>Scott</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61 Cal.4th at p.</w:t>
      </w:r>
      <w:r w:rsidRPr="009252C3" w:rsidR="00A31DC3">
        <w:rPr>
          <w:rFonts w:ascii="Century Schoolbook" w:hAnsi="Century Schoolbook"/>
          <w:sz w:val="27"/>
          <w:szCs w:val="27"/>
        </w:rPr>
        <w:t> </w:t>
      </w:r>
      <w:r w:rsidRPr="009252C3">
        <w:rPr>
          <w:rFonts w:ascii="Century Schoolbook" w:hAnsi="Century Schoolbook"/>
          <w:sz w:val="27"/>
          <w:szCs w:val="27"/>
        </w:rPr>
        <w:t xml:space="preserve">384; </w:t>
      </w:r>
      <w:r w:rsidRPr="009252C3">
        <w:rPr>
          <w:rFonts w:ascii="Century Schoolbook" w:hAnsi="Century Schoolbook"/>
          <w:i/>
          <w:sz w:val="27"/>
          <w:szCs w:val="27"/>
        </w:rPr>
        <w:t>Bell</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40 Cal.4th at pp.</w:t>
      </w:r>
      <w:r w:rsidRPr="009252C3" w:rsidR="00A31DC3">
        <w:rPr>
          <w:rFonts w:ascii="Century Schoolbook" w:hAnsi="Century Schoolbook"/>
          <w:sz w:val="27"/>
          <w:szCs w:val="27"/>
        </w:rPr>
        <w:t> </w:t>
      </w:r>
      <w:r w:rsidRPr="009252C3">
        <w:rPr>
          <w:rFonts w:ascii="Century Schoolbook" w:hAnsi="Century Schoolbook"/>
          <w:sz w:val="27"/>
          <w:szCs w:val="27"/>
        </w:rPr>
        <w:t>597, 599.)</w:t>
      </w:r>
    </w:p>
    <w:p w:rsidR="001A7456"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Furthermore, </w:t>
      </w:r>
      <w:r w:rsidRPr="009252C3" w:rsidR="009375DE">
        <w:rPr>
          <w:rFonts w:ascii="Century Schoolbook" w:hAnsi="Century Schoolbook"/>
          <w:sz w:val="27"/>
          <w:szCs w:val="27"/>
        </w:rPr>
        <w:t xml:space="preserve">the record does not reveal </w:t>
      </w:r>
      <w:r w:rsidRPr="009252C3" w:rsidR="001061A4">
        <w:rPr>
          <w:rFonts w:ascii="Century Schoolbook" w:hAnsi="Century Schoolbook"/>
          <w:sz w:val="27"/>
          <w:szCs w:val="27"/>
        </w:rPr>
        <w:t>any apparent disparities in the nature or extent of the prosecutors’ questioning of the African-American prospective jurors</w:t>
      </w:r>
      <w:r w:rsidRPr="009252C3" w:rsidR="009375DE">
        <w:rPr>
          <w:rFonts w:ascii="Century Schoolbook" w:hAnsi="Century Schoolbook"/>
          <w:sz w:val="27"/>
          <w:szCs w:val="27"/>
        </w:rPr>
        <w:t xml:space="preserve"> versus prospective jurors of other racial and ethnic backgrounds</w:t>
      </w:r>
      <w:r w:rsidRPr="009252C3" w:rsidR="001061A4">
        <w:rPr>
          <w:rFonts w:ascii="Century Schoolbook" w:hAnsi="Century Schoolbook"/>
          <w:sz w:val="27"/>
          <w:szCs w:val="27"/>
        </w:rPr>
        <w:t>.  And</w:t>
      </w:r>
      <w:r w:rsidR="0082603D">
        <w:rPr>
          <w:rFonts w:ascii="Century Schoolbook" w:hAnsi="Century Schoolbook"/>
          <w:sz w:val="27"/>
          <w:szCs w:val="27"/>
        </w:rPr>
        <w:t>,</w:t>
      </w:r>
      <w:r w:rsidRPr="009252C3" w:rsidR="001061A4">
        <w:rPr>
          <w:rFonts w:ascii="Century Schoolbook" w:hAnsi="Century Schoolbook"/>
          <w:sz w:val="27"/>
          <w:szCs w:val="27"/>
        </w:rPr>
        <w:t xml:space="preserve"> </w:t>
      </w:r>
      <w:r w:rsidRPr="009252C3">
        <w:rPr>
          <w:rFonts w:ascii="Century Schoolbook" w:hAnsi="Century Schoolbook"/>
          <w:sz w:val="27"/>
          <w:szCs w:val="27"/>
        </w:rPr>
        <w:t>finally</w:t>
      </w:r>
      <w:r w:rsidRPr="009252C3" w:rsidR="001061A4">
        <w:rPr>
          <w:rFonts w:ascii="Century Schoolbook" w:hAnsi="Century Schoolbook"/>
          <w:sz w:val="27"/>
          <w:szCs w:val="27"/>
        </w:rPr>
        <w:t xml:space="preserve">, </w:t>
      </w:r>
      <w:r w:rsidRPr="009252C3" w:rsidR="003942CF">
        <w:rPr>
          <w:rFonts w:ascii="Century Schoolbook" w:hAnsi="Century Schoolbook"/>
          <w:sz w:val="27"/>
          <w:szCs w:val="27"/>
        </w:rPr>
        <w:t xml:space="preserve">the </w:t>
      </w:r>
      <w:r w:rsidRPr="009252C3" w:rsidR="001061A4">
        <w:rPr>
          <w:rFonts w:ascii="Century Schoolbook" w:hAnsi="Century Schoolbook"/>
          <w:sz w:val="27"/>
          <w:szCs w:val="27"/>
        </w:rPr>
        <w:t>record discloses readily apparent, race</w:t>
      </w:r>
      <w:r w:rsidRPr="009252C3" w:rsidR="001061A4">
        <w:rPr>
          <w:rFonts w:ascii="Century Schoolbook" w:hAnsi="Century Schoolbook"/>
          <w:sz w:val="27"/>
          <w:szCs w:val="27"/>
        </w:rPr>
        <w:noBreakHyphen/>
        <w:t>neutral grounds for a prosecutor to use peremptory challenges against each of the four prospective jurors at issue</w:t>
      </w:r>
      <w:r w:rsidRPr="009252C3" w:rsidR="00504DAF">
        <w:rPr>
          <w:rFonts w:ascii="Century Schoolbook" w:hAnsi="Century Schoolbook"/>
          <w:sz w:val="27"/>
          <w:szCs w:val="27"/>
        </w:rPr>
        <w:t>.</w:t>
      </w:r>
      <w:r w:rsidRPr="009252C3">
        <w:rPr>
          <w:rFonts w:ascii="Century Schoolbook" w:hAnsi="Century Schoolbook"/>
          <w:sz w:val="27"/>
          <w:szCs w:val="27"/>
        </w:rPr>
        <w:t xml:space="preserve"> </w:t>
      </w:r>
      <w:r w:rsidRPr="009252C3" w:rsidR="00504DAF">
        <w:rPr>
          <w:rFonts w:ascii="Century Schoolbook" w:hAnsi="Century Schoolbook"/>
          <w:sz w:val="27"/>
          <w:szCs w:val="27"/>
        </w:rPr>
        <w:t xml:space="preserve"> </w:t>
      </w:r>
      <w:r w:rsidRPr="009252C3">
        <w:rPr>
          <w:rFonts w:ascii="Century Schoolbook" w:hAnsi="Century Schoolbook"/>
          <w:sz w:val="27"/>
          <w:szCs w:val="27"/>
        </w:rPr>
        <w:t>(</w:t>
      </w:r>
      <w:r w:rsidRPr="009252C3" w:rsidR="00504DAF">
        <w:rPr>
          <w:rFonts w:ascii="Century Schoolbook" w:hAnsi="Century Schoolbook"/>
          <w:sz w:val="27"/>
          <w:szCs w:val="27"/>
        </w:rPr>
        <w:t xml:space="preserve">See, e.g., </w:t>
      </w:r>
      <w:r w:rsidRPr="009252C3">
        <w:rPr>
          <w:rFonts w:ascii="Century Schoolbook" w:hAnsi="Century Schoolbook"/>
          <w:i/>
          <w:sz w:val="27"/>
          <w:szCs w:val="27"/>
        </w:rPr>
        <w:t>Reed</w:t>
      </w:r>
      <w:r w:rsidRPr="009252C3">
        <w:rPr>
          <w:rFonts w:ascii="Century Schoolbook" w:hAnsi="Century Schoolbook"/>
          <w:sz w:val="27"/>
          <w:szCs w:val="27"/>
        </w:rPr>
        <w:t xml:space="preserve">, </w:t>
      </w:r>
      <w:r w:rsidRPr="009252C3" w:rsidR="003C1AC5">
        <w:rPr>
          <w:rFonts w:ascii="Century Schoolbook" w:hAnsi="Century Schoolbook"/>
          <w:i/>
          <w:sz w:val="27"/>
          <w:szCs w:val="27"/>
        </w:rPr>
        <w:t>supra</w:t>
      </w:r>
      <w:r w:rsidRPr="009252C3" w:rsidR="003C1AC5">
        <w:rPr>
          <w:rFonts w:ascii="Century Schoolbook" w:hAnsi="Century Schoolbook"/>
          <w:sz w:val="27"/>
          <w:szCs w:val="27"/>
        </w:rPr>
        <w:t xml:space="preserve">, 4 Cal.5th </w:t>
      </w:r>
      <w:r w:rsidRPr="009252C3">
        <w:rPr>
          <w:rFonts w:ascii="Century Schoolbook" w:hAnsi="Century Schoolbook"/>
          <w:sz w:val="27"/>
          <w:szCs w:val="27"/>
        </w:rPr>
        <w:t>at pp. 999–1000.)</w:t>
      </w:r>
    </w:p>
    <w:p w:rsidR="001F609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By referring to “readily apparent”</w:t>
      </w:r>
      <w:r w:rsidRPr="009252C3" w:rsidR="00BA7149">
        <w:rPr>
          <w:rFonts w:ascii="Century Schoolbook" w:hAnsi="Century Schoolbook"/>
          <w:sz w:val="27"/>
          <w:szCs w:val="27"/>
        </w:rPr>
        <w:t xml:space="preserve"> grounds for the strikes, </w:t>
      </w:r>
      <w:r w:rsidRPr="009252C3" w:rsidR="00A626F4">
        <w:rPr>
          <w:rFonts w:ascii="Century Schoolbook" w:hAnsi="Century Schoolbook"/>
          <w:sz w:val="27"/>
          <w:szCs w:val="27"/>
        </w:rPr>
        <w:t xml:space="preserve">we do not mean merely </w:t>
      </w:r>
      <w:r w:rsidRPr="009252C3" w:rsidR="00862E90">
        <w:rPr>
          <w:rFonts w:ascii="Century Schoolbook" w:hAnsi="Century Schoolbook"/>
          <w:sz w:val="27"/>
          <w:szCs w:val="27"/>
        </w:rPr>
        <w:t xml:space="preserve">that we can imagine race-neutral reasons the prosecutors might have given if required to do so at the second step of the </w:t>
      </w:r>
      <w:r w:rsidRPr="009252C3" w:rsidR="00862E90">
        <w:rPr>
          <w:rFonts w:ascii="Century Schoolbook" w:hAnsi="Century Schoolbook"/>
          <w:i/>
          <w:sz w:val="27"/>
          <w:szCs w:val="27"/>
        </w:rPr>
        <w:t xml:space="preserve">Batson </w:t>
      </w:r>
      <w:r w:rsidRPr="009252C3" w:rsidR="00862E90">
        <w:rPr>
          <w:rFonts w:ascii="Century Schoolbook" w:hAnsi="Century Schoolbook"/>
          <w:sz w:val="27"/>
          <w:szCs w:val="27"/>
        </w:rPr>
        <w:t>inquiry.</w:t>
      </w:r>
      <w:r w:rsidRPr="009252C3" w:rsidR="00862E90">
        <w:rPr>
          <w:rFonts w:ascii="Century Schoolbook" w:hAnsi="Century Schoolbook"/>
          <w:sz w:val="27"/>
          <w:szCs w:val="27"/>
        </w:rPr>
        <w:t xml:space="preserve"> </w:t>
      </w:r>
      <w:r w:rsidRPr="009252C3" w:rsidR="00862E90">
        <w:rPr>
          <w:rFonts w:ascii="Century Schoolbook" w:hAnsi="Century Schoolbook"/>
          <w:sz w:val="27"/>
          <w:szCs w:val="27"/>
        </w:rPr>
        <w:t xml:space="preserve"> </w:t>
      </w:r>
      <w:r w:rsidRPr="009252C3" w:rsidR="007E3224">
        <w:rPr>
          <w:rFonts w:ascii="Century Schoolbook" w:hAnsi="Century Schoolbook"/>
          <w:sz w:val="27"/>
          <w:szCs w:val="27"/>
        </w:rPr>
        <w:t>A</w:t>
      </w:r>
      <w:r w:rsidRPr="009252C3" w:rsidR="004101FC">
        <w:rPr>
          <w:rFonts w:ascii="Century Schoolbook" w:hAnsi="Century Schoolbook"/>
          <w:sz w:val="27"/>
          <w:szCs w:val="27"/>
        </w:rPr>
        <w:t xml:space="preserve">s defendant </w:t>
      </w:r>
      <w:r w:rsidR="0051519E">
        <w:rPr>
          <w:rFonts w:ascii="Century Schoolbook" w:hAnsi="Century Schoolbook"/>
          <w:sz w:val="27"/>
          <w:szCs w:val="27"/>
        </w:rPr>
        <w:t xml:space="preserve">and </w:t>
      </w:r>
      <w:r w:rsidR="00714100">
        <w:rPr>
          <w:rFonts w:ascii="Century Schoolbook" w:hAnsi="Century Schoolbook"/>
          <w:sz w:val="27"/>
          <w:szCs w:val="27"/>
        </w:rPr>
        <w:t>Justice Liu’s</w:t>
      </w:r>
      <w:r w:rsidR="0051519E">
        <w:rPr>
          <w:rFonts w:ascii="Century Schoolbook" w:hAnsi="Century Schoolbook"/>
          <w:sz w:val="27"/>
          <w:szCs w:val="27"/>
        </w:rPr>
        <w:t xml:space="preserve"> dissenting opinion </w:t>
      </w:r>
      <w:r w:rsidRPr="009252C3" w:rsidR="00082A60">
        <w:rPr>
          <w:rFonts w:ascii="Century Schoolbook" w:hAnsi="Century Schoolbook"/>
          <w:sz w:val="27"/>
          <w:szCs w:val="27"/>
        </w:rPr>
        <w:t xml:space="preserve">quite </w:t>
      </w:r>
      <w:r w:rsidRPr="009252C3" w:rsidR="004101FC">
        <w:rPr>
          <w:rFonts w:ascii="Century Schoolbook" w:hAnsi="Century Schoolbook"/>
          <w:sz w:val="27"/>
          <w:szCs w:val="27"/>
        </w:rPr>
        <w:t xml:space="preserve">rightly point out, </w:t>
      </w:r>
      <w:r w:rsidRPr="009252C3" w:rsidR="00713D3B">
        <w:rPr>
          <w:rFonts w:ascii="Century Schoolbook" w:hAnsi="Century Schoolbook"/>
          <w:sz w:val="27"/>
          <w:szCs w:val="27"/>
        </w:rPr>
        <w:t xml:space="preserve">the </w:t>
      </w:r>
      <w:r w:rsidRPr="009252C3" w:rsidR="00082A60">
        <w:rPr>
          <w:rFonts w:ascii="Century Schoolbook" w:hAnsi="Century Schoolbook"/>
          <w:sz w:val="27"/>
          <w:szCs w:val="27"/>
        </w:rPr>
        <w:t xml:space="preserve">very </w:t>
      </w:r>
      <w:r w:rsidRPr="009252C3" w:rsidR="00352591">
        <w:rPr>
          <w:rFonts w:ascii="Century Schoolbook" w:hAnsi="Century Schoolbook"/>
          <w:sz w:val="27"/>
          <w:szCs w:val="27"/>
        </w:rPr>
        <w:t xml:space="preserve">purpose of </w:t>
      </w:r>
      <w:r w:rsidRPr="009252C3" w:rsidR="00352591">
        <w:rPr>
          <w:rFonts w:ascii="Century Schoolbook" w:hAnsi="Century Schoolbook"/>
          <w:i/>
          <w:sz w:val="27"/>
          <w:szCs w:val="27"/>
        </w:rPr>
        <w:t>Batson</w:t>
      </w:r>
      <w:r w:rsidRPr="009252C3" w:rsidR="00352591">
        <w:rPr>
          <w:rFonts w:ascii="Century Schoolbook" w:hAnsi="Century Schoolbook"/>
          <w:sz w:val="27"/>
          <w:szCs w:val="27"/>
        </w:rPr>
        <w:t xml:space="preserve">’s first step </w:t>
      </w:r>
      <w:r w:rsidRPr="009252C3" w:rsidR="00082A60">
        <w:rPr>
          <w:rFonts w:ascii="Century Schoolbook" w:hAnsi="Century Schoolbook"/>
          <w:sz w:val="27"/>
          <w:szCs w:val="27"/>
        </w:rPr>
        <w:t xml:space="preserve">is to </w:t>
      </w:r>
      <w:r w:rsidRPr="009252C3" w:rsidR="00352591">
        <w:rPr>
          <w:rFonts w:ascii="Century Schoolbook" w:hAnsi="Century Schoolbook"/>
          <w:sz w:val="27"/>
          <w:szCs w:val="27"/>
        </w:rPr>
        <w:t xml:space="preserve">elicit the </w:t>
      </w:r>
      <w:r w:rsidRPr="009252C3" w:rsidR="00082A60">
        <w:rPr>
          <w:rFonts w:ascii="Century Schoolbook" w:hAnsi="Century Schoolbook"/>
          <w:sz w:val="27"/>
          <w:szCs w:val="27"/>
        </w:rPr>
        <w:t xml:space="preserve">prosecution’s </w:t>
      </w:r>
      <w:r w:rsidRPr="009252C3" w:rsidR="00352591">
        <w:rPr>
          <w:rFonts w:ascii="Century Schoolbook" w:hAnsi="Century Schoolbook"/>
          <w:sz w:val="27"/>
          <w:szCs w:val="27"/>
        </w:rPr>
        <w:t xml:space="preserve">actual reasons for exercising </w:t>
      </w:r>
      <w:r w:rsidRPr="009252C3" w:rsidR="000066DD">
        <w:rPr>
          <w:rFonts w:ascii="Century Schoolbook" w:hAnsi="Century Schoolbook"/>
          <w:sz w:val="27"/>
          <w:szCs w:val="27"/>
        </w:rPr>
        <w:t>its strikes</w:t>
      </w:r>
      <w:r w:rsidRPr="009252C3" w:rsidR="00CB351D">
        <w:rPr>
          <w:rFonts w:ascii="Century Schoolbook" w:hAnsi="Century Schoolbook"/>
          <w:sz w:val="27"/>
          <w:szCs w:val="27"/>
        </w:rPr>
        <w:t xml:space="preserve"> when other circumstances give rise to an inference of discrimination</w:t>
      </w:r>
      <w:r w:rsidRPr="009252C3" w:rsidR="000066DD">
        <w:rPr>
          <w:rFonts w:ascii="Century Schoolbook" w:hAnsi="Century Schoolbook"/>
          <w:sz w:val="27"/>
          <w:szCs w:val="27"/>
        </w:rPr>
        <w:t>:</w:t>
      </w:r>
      <w:r w:rsidRPr="009252C3" w:rsidR="00C55E69">
        <w:rPr>
          <w:rFonts w:ascii="Century Schoolbook" w:hAnsi="Century Schoolbook"/>
          <w:sz w:val="27"/>
          <w:szCs w:val="27"/>
        </w:rPr>
        <w:t xml:space="preserve">  </w:t>
      </w:r>
      <w:r w:rsidRPr="009252C3" w:rsidR="001523D5">
        <w:rPr>
          <w:rFonts w:ascii="Century Schoolbook" w:hAnsi="Century Schoolbook"/>
          <w:sz w:val="27"/>
          <w:szCs w:val="27"/>
        </w:rPr>
        <w:t>“The </w:t>
      </w:r>
      <w:r w:rsidRPr="009252C3" w:rsidR="001523D5">
        <w:rPr>
          <w:rFonts w:ascii="Century Schoolbook" w:hAnsi="Century Schoolbook"/>
          <w:i/>
          <w:iCs/>
          <w:sz w:val="27"/>
          <w:szCs w:val="27"/>
        </w:rPr>
        <w:t>Batson </w:t>
      </w:r>
      <w:r w:rsidRPr="009252C3" w:rsidR="001523D5">
        <w:rPr>
          <w:rFonts w:ascii="Century Schoolbook" w:hAnsi="Century Schoolbook"/>
          <w:sz w:val="27"/>
          <w:szCs w:val="27"/>
        </w:rPr>
        <w:t>framework is designed to produce actual answers to suspicions and inferences that discrimination may have infected the jury selection process.  [Citation.]  The inherent uncertainty present in inquiries of discriminatory purpose counsels against engaging in needless and imperfect speculation when a direct answer can be obtained by asking a simple question.”  (</w:t>
      </w:r>
      <w:r w:rsidRPr="009252C3" w:rsidR="001523D5">
        <w:rPr>
          <w:rFonts w:ascii="Century Schoolbook" w:hAnsi="Century Schoolbook"/>
          <w:i/>
          <w:iCs/>
          <w:sz w:val="27"/>
          <w:szCs w:val="27"/>
        </w:rPr>
        <w:t>Johnson v. California</w:t>
      </w:r>
      <w:r w:rsidRPr="009252C3" w:rsidR="001523D5">
        <w:rPr>
          <w:rFonts w:ascii="Century Schoolbook" w:hAnsi="Century Schoolbook"/>
          <w:sz w:val="27"/>
          <w:szCs w:val="27"/>
        </w:rPr>
        <w:t xml:space="preserve">, </w:t>
      </w:r>
      <w:r w:rsidRPr="009252C3" w:rsidR="001523D5">
        <w:rPr>
          <w:rFonts w:ascii="Century Schoolbook" w:hAnsi="Century Schoolbook"/>
          <w:i/>
          <w:sz w:val="27"/>
          <w:szCs w:val="27"/>
        </w:rPr>
        <w:t>supra</w:t>
      </w:r>
      <w:r w:rsidRPr="009252C3" w:rsidR="001523D5">
        <w:rPr>
          <w:rFonts w:ascii="Century Schoolbook" w:hAnsi="Century Schoolbook"/>
          <w:sz w:val="27"/>
          <w:szCs w:val="27"/>
        </w:rPr>
        <w:t>,</w:t>
      </w:r>
      <w:r w:rsidRPr="009252C3" w:rsidR="001523D5">
        <w:rPr>
          <w:rFonts w:ascii="Century Schoolbook" w:hAnsi="Century Schoolbook"/>
          <w:i/>
          <w:sz w:val="27"/>
          <w:szCs w:val="27"/>
        </w:rPr>
        <w:t xml:space="preserve"> </w:t>
      </w:r>
      <w:r w:rsidRPr="009252C3" w:rsidR="001523D5">
        <w:rPr>
          <w:rFonts w:ascii="Century Schoolbook" w:hAnsi="Century Schoolbook"/>
          <w:sz w:val="27"/>
          <w:szCs w:val="27"/>
        </w:rPr>
        <w:t xml:space="preserve">545 U.S. at p. 172.)  </w:t>
      </w:r>
      <w:r w:rsidRPr="009252C3" w:rsidR="0055681E">
        <w:rPr>
          <w:rFonts w:ascii="Century Schoolbook" w:hAnsi="Century Schoolbook"/>
          <w:sz w:val="27"/>
          <w:szCs w:val="27"/>
        </w:rPr>
        <w:t xml:space="preserve">It follows that </w:t>
      </w:r>
      <w:r w:rsidRPr="009252C3" w:rsidR="001523D5">
        <w:rPr>
          <w:rFonts w:ascii="Century Schoolbook" w:hAnsi="Century Schoolbook"/>
          <w:sz w:val="27"/>
          <w:szCs w:val="27"/>
        </w:rPr>
        <w:t>speculation about reasons the</w:t>
      </w:r>
      <w:r w:rsidRPr="009252C3" w:rsidR="00B31B86">
        <w:rPr>
          <w:rFonts w:ascii="Century Schoolbook" w:hAnsi="Century Schoolbook"/>
          <w:sz w:val="27"/>
          <w:szCs w:val="27"/>
        </w:rPr>
        <w:t xml:space="preserve"> prosecutors</w:t>
      </w:r>
      <w:r w:rsidRPr="009252C3" w:rsidR="001523D5">
        <w:rPr>
          <w:rFonts w:ascii="Century Schoolbook" w:hAnsi="Century Schoolbook"/>
          <w:sz w:val="27"/>
          <w:szCs w:val="27"/>
        </w:rPr>
        <w:t xml:space="preserve"> </w:t>
      </w:r>
      <w:r w:rsidRPr="009252C3" w:rsidR="001523D5">
        <w:rPr>
          <w:rFonts w:ascii="Century Schoolbook" w:hAnsi="Century Schoolbook"/>
          <w:i/>
          <w:sz w:val="27"/>
          <w:szCs w:val="27"/>
        </w:rPr>
        <w:t>might</w:t>
      </w:r>
      <w:r w:rsidRPr="009252C3" w:rsidR="001523D5">
        <w:rPr>
          <w:rFonts w:ascii="Century Schoolbook" w:hAnsi="Century Schoolbook"/>
          <w:sz w:val="27"/>
          <w:szCs w:val="27"/>
        </w:rPr>
        <w:t xml:space="preserve"> have had </w:t>
      </w:r>
      <w:r w:rsidRPr="009252C3" w:rsidR="00B31B86">
        <w:rPr>
          <w:rFonts w:ascii="Century Schoolbook" w:hAnsi="Century Schoolbook"/>
          <w:sz w:val="27"/>
          <w:szCs w:val="27"/>
        </w:rPr>
        <w:t xml:space="preserve">for striking the jurors </w:t>
      </w:r>
      <w:r w:rsidRPr="009252C3" w:rsidR="001523D5">
        <w:rPr>
          <w:rFonts w:ascii="Century Schoolbook" w:hAnsi="Century Schoolbook"/>
          <w:sz w:val="27"/>
          <w:szCs w:val="27"/>
        </w:rPr>
        <w:t>would go beyond our proper role in assessing the prima facie case.</w:t>
      </w:r>
    </w:p>
    <w:p w:rsidR="001523D5"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But our cases </w:t>
      </w:r>
      <w:r w:rsidRPr="009252C3" w:rsidR="004549FF">
        <w:rPr>
          <w:rFonts w:ascii="Century Schoolbook" w:hAnsi="Century Schoolbook"/>
          <w:sz w:val="27"/>
          <w:szCs w:val="27"/>
        </w:rPr>
        <w:t xml:space="preserve">have </w:t>
      </w:r>
      <w:r w:rsidRPr="009252C3">
        <w:rPr>
          <w:rFonts w:ascii="Century Schoolbook" w:hAnsi="Century Schoolbook"/>
          <w:sz w:val="27"/>
          <w:szCs w:val="27"/>
        </w:rPr>
        <w:t xml:space="preserve">also </w:t>
      </w:r>
      <w:r w:rsidRPr="009252C3" w:rsidR="00BE63B2">
        <w:rPr>
          <w:rFonts w:ascii="Century Schoolbook" w:hAnsi="Century Schoolbook"/>
          <w:sz w:val="27"/>
          <w:szCs w:val="27"/>
        </w:rPr>
        <w:t>recognize</w:t>
      </w:r>
      <w:r w:rsidRPr="009252C3" w:rsidR="004549FF">
        <w:rPr>
          <w:rFonts w:ascii="Century Schoolbook" w:hAnsi="Century Schoolbook"/>
          <w:sz w:val="27"/>
          <w:szCs w:val="27"/>
        </w:rPr>
        <w:t>d</w:t>
      </w:r>
      <w:r w:rsidRPr="009252C3" w:rsidR="00BE63B2">
        <w:rPr>
          <w:rFonts w:ascii="Century Schoolbook" w:hAnsi="Century Schoolbook"/>
          <w:sz w:val="27"/>
          <w:szCs w:val="27"/>
        </w:rPr>
        <w:t xml:space="preserve"> that where the record reveals </w:t>
      </w:r>
      <w:r w:rsidRPr="009252C3">
        <w:rPr>
          <w:rFonts w:ascii="Century Schoolbook" w:hAnsi="Century Schoolbook"/>
          <w:sz w:val="27"/>
          <w:szCs w:val="27"/>
        </w:rPr>
        <w:t>“</w:t>
      </w:r>
      <w:r w:rsidRPr="009252C3">
        <w:rPr>
          <w:rFonts w:ascii="Century Schoolbook" w:hAnsi="Century Schoolbook"/>
          <w:i/>
          <w:sz w:val="27"/>
          <w:szCs w:val="27"/>
        </w:rPr>
        <w:t>obvious</w:t>
      </w:r>
      <w:r w:rsidRPr="009252C3">
        <w:rPr>
          <w:rFonts w:ascii="Century Schoolbook" w:hAnsi="Century Schoolbook"/>
          <w:sz w:val="27"/>
          <w:szCs w:val="27"/>
        </w:rPr>
        <w:t xml:space="preserve"> race-neutral grounds for the prosecutor’s challenges to the prospective jurors in question,” </w:t>
      </w:r>
      <w:r w:rsidRPr="009252C3" w:rsidR="006644E1">
        <w:rPr>
          <w:rFonts w:ascii="Century Schoolbook" w:hAnsi="Century Schoolbook"/>
          <w:sz w:val="27"/>
          <w:szCs w:val="27"/>
        </w:rPr>
        <w:t xml:space="preserve">those reasons can definitively undermine any inference </w:t>
      </w:r>
      <w:r w:rsidRPr="009252C3" w:rsidR="004549FF">
        <w:rPr>
          <w:rFonts w:ascii="Century Schoolbook" w:hAnsi="Century Schoolbook"/>
          <w:sz w:val="27"/>
          <w:szCs w:val="27"/>
        </w:rPr>
        <w:t xml:space="preserve">of discrimination </w:t>
      </w:r>
      <w:r w:rsidRPr="009252C3" w:rsidR="006644E1">
        <w:rPr>
          <w:rFonts w:ascii="Century Schoolbook" w:hAnsi="Century Schoolbook"/>
          <w:sz w:val="27"/>
          <w:szCs w:val="27"/>
        </w:rPr>
        <w:t xml:space="preserve">that </w:t>
      </w:r>
      <w:r w:rsidRPr="009252C3" w:rsidR="00DF71F1">
        <w:rPr>
          <w:rFonts w:ascii="Century Schoolbook" w:hAnsi="Century Schoolbook"/>
          <w:sz w:val="27"/>
          <w:szCs w:val="27"/>
        </w:rPr>
        <w:t>an</w:t>
      </w:r>
      <w:r w:rsidRPr="009252C3" w:rsidR="00067A4B">
        <w:rPr>
          <w:rFonts w:ascii="Century Schoolbook" w:hAnsi="Century Schoolbook"/>
          <w:sz w:val="27"/>
          <w:szCs w:val="27"/>
        </w:rPr>
        <w:t xml:space="preserve"> appellate court might otherwise draw </w:t>
      </w:r>
      <w:r w:rsidRPr="009252C3" w:rsidR="006644E1">
        <w:rPr>
          <w:rFonts w:ascii="Century Schoolbook" w:hAnsi="Century Schoolbook"/>
          <w:sz w:val="27"/>
          <w:szCs w:val="27"/>
        </w:rPr>
        <w:t xml:space="preserve">from </w:t>
      </w:r>
      <w:r w:rsidRPr="009252C3" w:rsidR="00C2505D">
        <w:rPr>
          <w:rFonts w:ascii="Century Schoolbook" w:hAnsi="Century Schoolbook"/>
          <w:sz w:val="27"/>
          <w:szCs w:val="27"/>
        </w:rPr>
        <w:t xml:space="preserve">viewing the </w:t>
      </w:r>
      <w:r w:rsidRPr="009252C3" w:rsidR="00BE63B2">
        <w:rPr>
          <w:rFonts w:ascii="Century Schoolbook" w:hAnsi="Century Schoolbook"/>
          <w:sz w:val="27"/>
          <w:szCs w:val="27"/>
        </w:rPr>
        <w:t>statistical pattern of strikes</w:t>
      </w:r>
      <w:r w:rsidRPr="009252C3" w:rsidR="00C2505D">
        <w:rPr>
          <w:rFonts w:ascii="Century Schoolbook" w:hAnsi="Century Schoolbook"/>
          <w:sz w:val="27"/>
          <w:szCs w:val="27"/>
        </w:rPr>
        <w:t xml:space="preserve"> </w:t>
      </w:r>
      <w:r w:rsidRPr="009252C3" w:rsidR="00D2055A">
        <w:rPr>
          <w:rFonts w:ascii="Century Schoolbook" w:hAnsi="Century Schoolbook"/>
          <w:sz w:val="27"/>
          <w:szCs w:val="27"/>
        </w:rPr>
        <w:t>in isolation</w:t>
      </w:r>
      <w:r w:rsidRPr="009252C3" w:rsidR="00BE63B2">
        <w:rPr>
          <w:rFonts w:ascii="Century Schoolbook" w:hAnsi="Century Schoolbook"/>
          <w:sz w:val="27"/>
          <w:szCs w:val="27"/>
        </w:rPr>
        <w:t xml:space="preserve">.  </w:t>
      </w:r>
      <w:r w:rsidRPr="009252C3">
        <w:rPr>
          <w:rFonts w:ascii="Century Schoolbook" w:hAnsi="Century Schoolbook"/>
          <w:iCs/>
          <w:sz w:val="27"/>
          <w:szCs w:val="27"/>
        </w:rPr>
        <w:t>(</w:t>
      </w:r>
      <w:r w:rsidRPr="009252C3">
        <w:rPr>
          <w:rFonts w:ascii="Century Schoolbook" w:hAnsi="Century Schoolbook"/>
          <w:i/>
          <w:iCs/>
          <w:sz w:val="27"/>
          <w:szCs w:val="27"/>
        </w:rPr>
        <w:t>Davis</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46 Cal.4th at p. 584</w:t>
      </w:r>
      <w:r w:rsidRPr="009252C3" w:rsidR="00BE63B2">
        <w:rPr>
          <w:rFonts w:ascii="Century Schoolbook" w:hAnsi="Century Schoolbook"/>
          <w:sz w:val="27"/>
          <w:szCs w:val="27"/>
        </w:rPr>
        <w:t>, italics added</w:t>
      </w:r>
      <w:r w:rsidRPr="009252C3">
        <w:rPr>
          <w:rFonts w:ascii="Century Schoolbook" w:hAnsi="Century Schoolbook"/>
          <w:sz w:val="27"/>
          <w:szCs w:val="27"/>
        </w:rPr>
        <w:t xml:space="preserve">; accord, </w:t>
      </w:r>
      <w:r w:rsidRPr="009252C3">
        <w:rPr>
          <w:rFonts w:ascii="Century Schoolbook" w:hAnsi="Century Schoolbook"/>
          <w:i/>
          <w:iCs/>
          <w:sz w:val="27"/>
          <w:szCs w:val="27"/>
        </w:rPr>
        <w:t>People v. Taylor</w:t>
      </w:r>
      <w:r w:rsidRPr="009252C3">
        <w:rPr>
          <w:rFonts w:ascii="Century Schoolbook" w:hAnsi="Century Schoolbook"/>
          <w:sz w:val="27"/>
          <w:szCs w:val="27"/>
        </w:rPr>
        <w:t xml:space="preserve"> (2010) 48 Cal.4th 574, 616.)  </w:t>
      </w:r>
      <w:r w:rsidRPr="009252C3" w:rsidR="0056287E">
        <w:rPr>
          <w:rFonts w:ascii="Century Schoolbook" w:hAnsi="Century Schoolbook"/>
          <w:sz w:val="27"/>
          <w:szCs w:val="27"/>
        </w:rPr>
        <w:t>Put differently, w</w:t>
      </w:r>
      <w:r w:rsidRPr="009252C3">
        <w:rPr>
          <w:rFonts w:ascii="Century Schoolbook" w:hAnsi="Century Schoolbook"/>
          <w:sz w:val="27"/>
          <w:szCs w:val="27"/>
        </w:rPr>
        <w:t xml:space="preserve">hen the record of a prospective juror’s voir dire or questionnaire on its face </w:t>
      </w:r>
      <w:r w:rsidRPr="009252C3" w:rsidR="00E47FC7">
        <w:rPr>
          <w:rFonts w:ascii="Century Schoolbook" w:hAnsi="Century Schoolbook"/>
          <w:sz w:val="27"/>
          <w:szCs w:val="27"/>
        </w:rPr>
        <w:t xml:space="preserve">reveals </w:t>
      </w:r>
      <w:r w:rsidRPr="009252C3">
        <w:rPr>
          <w:rFonts w:ascii="Century Schoolbook" w:hAnsi="Century Schoolbook"/>
          <w:sz w:val="27"/>
          <w:szCs w:val="27"/>
        </w:rPr>
        <w:t xml:space="preserve">a </w:t>
      </w:r>
      <w:r w:rsidRPr="009252C3" w:rsidR="005516FF">
        <w:rPr>
          <w:rFonts w:ascii="Century Schoolbook" w:hAnsi="Century Schoolbook"/>
          <w:sz w:val="27"/>
          <w:szCs w:val="27"/>
        </w:rPr>
        <w:t xml:space="preserve">race-neutral </w:t>
      </w:r>
      <w:r w:rsidRPr="009252C3">
        <w:rPr>
          <w:rFonts w:ascii="Century Schoolbook" w:hAnsi="Century Schoolbook"/>
          <w:sz w:val="27"/>
          <w:szCs w:val="27"/>
        </w:rPr>
        <w:t xml:space="preserve">characteristic that any reasonable prosecutor </w:t>
      </w:r>
      <w:r w:rsidRPr="009252C3" w:rsidR="000605E0">
        <w:rPr>
          <w:rFonts w:ascii="Century Schoolbook" w:hAnsi="Century Schoolbook"/>
          <w:sz w:val="27"/>
          <w:szCs w:val="27"/>
        </w:rPr>
        <w:t xml:space="preserve">trying the case </w:t>
      </w:r>
      <w:r w:rsidRPr="009252C3">
        <w:rPr>
          <w:rFonts w:ascii="Century Schoolbook" w:hAnsi="Century Schoolbook"/>
          <w:sz w:val="27"/>
          <w:szCs w:val="27"/>
        </w:rPr>
        <w:t xml:space="preserve">would logically avoid in a juror, the inference </w:t>
      </w:r>
      <w:r w:rsidRPr="009252C3" w:rsidR="003C0FB3">
        <w:rPr>
          <w:rFonts w:ascii="Century Schoolbook" w:hAnsi="Century Schoolbook"/>
          <w:sz w:val="27"/>
          <w:szCs w:val="27"/>
        </w:rPr>
        <w:t>that the prosecutor was motiv</w:t>
      </w:r>
      <w:r w:rsidRPr="009252C3" w:rsidR="00A42CC9">
        <w:rPr>
          <w:rFonts w:ascii="Century Schoolbook" w:hAnsi="Century Schoolbook"/>
          <w:sz w:val="27"/>
          <w:szCs w:val="27"/>
        </w:rPr>
        <w:t>at</w:t>
      </w:r>
      <w:r w:rsidRPr="009252C3" w:rsidR="003C0FB3">
        <w:rPr>
          <w:rFonts w:ascii="Century Schoolbook" w:hAnsi="Century Schoolbook"/>
          <w:sz w:val="27"/>
          <w:szCs w:val="27"/>
        </w:rPr>
        <w:t xml:space="preserve">ed by </w:t>
      </w:r>
      <w:r w:rsidRPr="009252C3" w:rsidR="00E57F58">
        <w:rPr>
          <w:rFonts w:ascii="Century Schoolbook" w:hAnsi="Century Schoolbook"/>
          <w:sz w:val="27"/>
          <w:szCs w:val="27"/>
        </w:rPr>
        <w:t xml:space="preserve">racial </w:t>
      </w:r>
      <w:r w:rsidRPr="009252C3" w:rsidR="003C0FB3">
        <w:rPr>
          <w:rFonts w:ascii="Century Schoolbook" w:hAnsi="Century Schoolbook"/>
          <w:sz w:val="27"/>
          <w:szCs w:val="27"/>
        </w:rPr>
        <w:t xml:space="preserve">discrimination </w:t>
      </w:r>
      <w:r w:rsidRPr="009252C3">
        <w:rPr>
          <w:rFonts w:ascii="Century Schoolbook" w:hAnsi="Century Schoolbook"/>
          <w:sz w:val="27"/>
          <w:szCs w:val="27"/>
        </w:rPr>
        <w:t xml:space="preserve">loses force.  </w:t>
      </w:r>
      <w:r w:rsidRPr="009252C3" w:rsidR="00CA59E5">
        <w:rPr>
          <w:rFonts w:ascii="Century Schoolbook" w:hAnsi="Century Schoolbook"/>
          <w:sz w:val="27"/>
          <w:szCs w:val="27"/>
        </w:rPr>
        <w:t>T</w:t>
      </w:r>
      <w:r w:rsidRPr="009252C3" w:rsidR="0074550C">
        <w:rPr>
          <w:rFonts w:ascii="Century Schoolbook" w:hAnsi="Century Schoolbook"/>
          <w:sz w:val="27"/>
          <w:szCs w:val="27"/>
        </w:rPr>
        <w:t>herefore</w:t>
      </w:r>
      <w:r w:rsidRPr="009252C3" w:rsidR="00CA59E5">
        <w:rPr>
          <w:rFonts w:ascii="Century Schoolbook" w:hAnsi="Century Schoolbook"/>
          <w:sz w:val="27"/>
          <w:szCs w:val="27"/>
        </w:rPr>
        <w:t xml:space="preserve">, as we have said, an appellate court </w:t>
      </w:r>
      <w:r w:rsidRPr="009252C3" w:rsidR="004A1F0C">
        <w:rPr>
          <w:rFonts w:ascii="Century Schoolbook" w:hAnsi="Century Schoolbook"/>
          <w:sz w:val="27"/>
          <w:szCs w:val="27"/>
        </w:rPr>
        <w:t xml:space="preserve">may take into account </w:t>
      </w:r>
      <w:r w:rsidRPr="009252C3">
        <w:rPr>
          <w:rFonts w:ascii="Century Schoolbook" w:hAnsi="Century Schoolbook"/>
          <w:sz w:val="27"/>
          <w:szCs w:val="27"/>
        </w:rPr>
        <w:t>“nondiscriminatory reasons for a peremptory challenge that are apparent from and ‘clearly established’ in the record [citations] and that necessarily dispel any inference of bias.”  (</w:t>
      </w:r>
      <w:r w:rsidRPr="009252C3">
        <w:rPr>
          <w:rFonts w:ascii="Century Schoolbook" w:hAnsi="Century Schoolbook"/>
          <w:i/>
          <w:iCs/>
          <w:sz w:val="27"/>
          <w:szCs w:val="27"/>
        </w:rPr>
        <w:t>Scott</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61 Cal.4th at p. 384</w:t>
      </w:r>
      <w:r w:rsidR="0051519E">
        <w:rPr>
          <w:rFonts w:ascii="Century Schoolbook" w:hAnsi="Century Schoolbook"/>
          <w:sz w:val="27"/>
          <w:szCs w:val="27"/>
        </w:rPr>
        <w:t>.)</w:t>
      </w:r>
      <w:r>
        <w:rPr>
          <w:rStyle w:val="FootnoteReference"/>
          <w:rFonts w:ascii="Century Schoolbook" w:hAnsi="Century Schoolbook"/>
          <w:sz w:val="27"/>
          <w:szCs w:val="27"/>
          <w:vertAlign w:val="superscript"/>
        </w:rPr>
        <w:footnoteReference w:id="18"/>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Here, </w:t>
      </w:r>
      <w:r w:rsidRPr="009252C3" w:rsidR="003740CB">
        <w:rPr>
          <w:rFonts w:ascii="Century Schoolbook" w:hAnsi="Century Schoolbook"/>
          <w:sz w:val="27"/>
          <w:szCs w:val="27"/>
        </w:rPr>
        <w:t xml:space="preserve">the </w:t>
      </w:r>
      <w:r w:rsidRPr="009252C3" w:rsidR="00E26EC6">
        <w:rPr>
          <w:rFonts w:ascii="Century Schoolbook" w:hAnsi="Century Schoolbook"/>
          <w:sz w:val="27"/>
          <w:szCs w:val="27"/>
        </w:rPr>
        <w:t>record reveals readily apparent reasons for the strikes that dispel the inference of bias</w:t>
      </w:r>
      <w:r w:rsidRPr="009252C3" w:rsidR="00A2095B">
        <w:rPr>
          <w:rFonts w:ascii="Century Schoolbook" w:hAnsi="Century Schoolbook"/>
          <w:sz w:val="27"/>
          <w:szCs w:val="27"/>
        </w:rPr>
        <w:t xml:space="preserve">.  </w:t>
      </w:r>
      <w:r w:rsidRPr="009252C3" w:rsidR="00BB3F15">
        <w:rPr>
          <w:rFonts w:ascii="Century Schoolbook" w:hAnsi="Century Schoolbook"/>
          <w:sz w:val="27"/>
          <w:szCs w:val="27"/>
        </w:rPr>
        <w:t xml:space="preserve">In particular, </w:t>
      </w:r>
      <w:r w:rsidR="006C7B75">
        <w:rPr>
          <w:rFonts w:ascii="Century Schoolbook" w:hAnsi="Century Schoolbook"/>
          <w:sz w:val="27"/>
          <w:szCs w:val="27"/>
        </w:rPr>
        <w:t>Shirley R.</w:t>
      </w:r>
      <w:r w:rsidRPr="009252C3">
        <w:rPr>
          <w:rFonts w:ascii="Century Schoolbook" w:hAnsi="Century Schoolbook"/>
          <w:sz w:val="27"/>
          <w:szCs w:val="27"/>
        </w:rPr>
        <w:t xml:space="preserve"> and </w:t>
      </w:r>
      <w:r w:rsidR="006C7B75">
        <w:rPr>
          <w:rFonts w:ascii="Century Schoolbook" w:hAnsi="Century Schoolbook"/>
          <w:sz w:val="27"/>
          <w:szCs w:val="27"/>
        </w:rPr>
        <w:t>Adrienne A.</w:t>
      </w:r>
      <w:r w:rsidRPr="009252C3">
        <w:rPr>
          <w:rFonts w:ascii="Century Schoolbook" w:hAnsi="Century Schoolbook"/>
          <w:sz w:val="27"/>
          <w:szCs w:val="27"/>
        </w:rPr>
        <w:t xml:space="preserve"> each expressed strong views against the death penalty on their questionnaires and in voir dire.  On her questionnaire, </w:t>
      </w:r>
      <w:r w:rsidR="006C7B75">
        <w:rPr>
          <w:rFonts w:ascii="Century Schoolbook" w:hAnsi="Century Schoolbook"/>
          <w:sz w:val="27"/>
          <w:szCs w:val="27"/>
        </w:rPr>
        <w:t>Shirley R.</w:t>
      </w:r>
      <w:r w:rsidRPr="009252C3">
        <w:rPr>
          <w:rFonts w:ascii="Century Schoolbook" w:hAnsi="Century Schoolbook"/>
          <w:sz w:val="27"/>
          <w:szCs w:val="27"/>
        </w:rPr>
        <w:t xml:space="preserve"> wrote that she considered life in prison without the possibility of parole to be “more of a punishment than the death penalty” and checked an answer indicating that given a choice of penalties, she would always vote for life; on questioning by the prosecutor, she averred that the Bible makes no exceptions to its commandment against killing and she could not “truthfully say that” she considered death the appropriate punishment in some cases.  </w:t>
      </w:r>
      <w:r w:rsidR="006C7B75">
        <w:rPr>
          <w:rFonts w:ascii="Century Schoolbook" w:hAnsi="Century Schoolbook"/>
          <w:sz w:val="27"/>
          <w:szCs w:val="27"/>
        </w:rPr>
        <w:t>Adrienne A.</w:t>
      </w:r>
      <w:r w:rsidRPr="009252C3">
        <w:rPr>
          <w:rFonts w:ascii="Century Schoolbook" w:hAnsi="Century Schoolbook"/>
          <w:sz w:val="27"/>
          <w:szCs w:val="27"/>
        </w:rPr>
        <w:t xml:space="preserve"> wrote that the death penalty was often or usually unnecessary, that she did not believe it served any purpose, that she could not “support actions to kill a human as a sentence even if that individual has killed someone,” and that if she were making the laws there would be no death penalty.  </w:t>
      </w:r>
      <w:r w:rsidRPr="009252C3" w:rsidR="00ED1EB8">
        <w:rPr>
          <w:rFonts w:ascii="Century Schoolbook" w:hAnsi="Century Schoolbook"/>
          <w:sz w:val="27"/>
          <w:szCs w:val="27"/>
        </w:rPr>
        <w:t>B</w:t>
      </w:r>
      <w:r w:rsidRPr="009252C3">
        <w:rPr>
          <w:rFonts w:ascii="Century Schoolbook" w:hAnsi="Century Schoolbook"/>
          <w:sz w:val="27"/>
          <w:szCs w:val="27"/>
        </w:rPr>
        <w:t>oth women also gave some more nuanced answers in voir dire, declar</w:t>
      </w:r>
      <w:r w:rsidRPr="009252C3" w:rsidR="00464371">
        <w:rPr>
          <w:rFonts w:ascii="Century Schoolbook" w:hAnsi="Century Schoolbook"/>
          <w:sz w:val="27"/>
          <w:szCs w:val="27"/>
        </w:rPr>
        <w:t>ing</w:t>
      </w:r>
      <w:r w:rsidRPr="009252C3">
        <w:rPr>
          <w:rFonts w:ascii="Century Schoolbook" w:hAnsi="Century Schoolbook"/>
          <w:sz w:val="27"/>
          <w:szCs w:val="27"/>
        </w:rPr>
        <w:t xml:space="preserve"> themselves able to impose a death sentence if warranted,</w:t>
      </w:r>
      <w:r w:rsidRPr="009252C3" w:rsidR="00464371">
        <w:rPr>
          <w:rFonts w:ascii="Century Schoolbook" w:hAnsi="Century Schoolbook"/>
          <w:sz w:val="27"/>
          <w:szCs w:val="27"/>
        </w:rPr>
        <w:t xml:space="preserve"> </w:t>
      </w:r>
      <w:r w:rsidRPr="009252C3" w:rsidR="00EC3316">
        <w:rPr>
          <w:rFonts w:ascii="Century Schoolbook" w:hAnsi="Century Schoolbook"/>
          <w:sz w:val="27"/>
          <w:szCs w:val="27"/>
        </w:rPr>
        <w:t xml:space="preserve">such that they were not </w:t>
      </w:r>
      <w:r w:rsidRPr="009252C3" w:rsidR="00464371">
        <w:rPr>
          <w:rFonts w:ascii="Century Schoolbook" w:hAnsi="Century Schoolbook"/>
          <w:sz w:val="27"/>
          <w:szCs w:val="27"/>
        </w:rPr>
        <w:t xml:space="preserve">subject to a challenge for cause.  But </w:t>
      </w:r>
      <w:r w:rsidRPr="009252C3" w:rsidR="00EC3316">
        <w:rPr>
          <w:rFonts w:ascii="Century Schoolbook" w:hAnsi="Century Schoolbook"/>
          <w:sz w:val="27"/>
          <w:szCs w:val="27"/>
        </w:rPr>
        <w:t xml:space="preserve">given their strongly stated views opposing the death penalty, the fact they were not subject to for-cause challenges did not render them </w:t>
      </w:r>
      <w:r w:rsidRPr="009252C3">
        <w:rPr>
          <w:rFonts w:ascii="Century Schoolbook" w:hAnsi="Century Schoolbook"/>
          <w:sz w:val="27"/>
          <w:szCs w:val="27"/>
        </w:rPr>
        <w:t xml:space="preserve">desirable jurors for the prosecution in a penalty retrial.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Comparisons to the seated jurors the prosecution accepted do not negate the force of these readily apparent reasons for peremptory challenge.</w:t>
      </w:r>
      <w:r>
        <w:rPr>
          <w:rStyle w:val="FootnoteReference"/>
          <w:rFonts w:ascii="Century Schoolbook" w:hAnsi="Century Schoolbook"/>
          <w:sz w:val="27"/>
          <w:szCs w:val="27"/>
          <w:vertAlign w:val="superscript"/>
        </w:rPr>
        <w:footnoteReference w:id="19"/>
      </w:r>
      <w:r w:rsidRPr="009252C3">
        <w:rPr>
          <w:rFonts w:ascii="Century Schoolbook" w:hAnsi="Century Schoolbook"/>
          <w:sz w:val="27"/>
          <w:szCs w:val="27"/>
        </w:rPr>
        <w:t xml:space="preserve">  It is true that both Juror No.</w:t>
      </w:r>
      <w:r w:rsidRPr="009252C3" w:rsidR="00A31DC3">
        <w:rPr>
          <w:rFonts w:ascii="Century Schoolbook" w:hAnsi="Century Schoolbook"/>
          <w:sz w:val="27"/>
          <w:szCs w:val="27"/>
        </w:rPr>
        <w:t> </w:t>
      </w:r>
      <w:r w:rsidRPr="009252C3">
        <w:rPr>
          <w:rFonts w:ascii="Century Schoolbook" w:hAnsi="Century Schoolbook"/>
          <w:sz w:val="27"/>
          <w:szCs w:val="27"/>
        </w:rPr>
        <w:t>4 and Juror No.</w:t>
      </w:r>
      <w:r w:rsidRPr="009252C3" w:rsidR="00A31DC3">
        <w:rPr>
          <w:rFonts w:ascii="Century Schoolbook" w:hAnsi="Century Schoolbook"/>
          <w:sz w:val="27"/>
          <w:szCs w:val="27"/>
        </w:rPr>
        <w:t> </w:t>
      </w:r>
      <w:r w:rsidRPr="009252C3">
        <w:rPr>
          <w:rFonts w:ascii="Century Schoolbook" w:hAnsi="Century Schoolbook"/>
          <w:sz w:val="27"/>
          <w:szCs w:val="27"/>
        </w:rPr>
        <w:t>9 expressed reservations about the death penalty that overlapped in certain respects with S</w:t>
      </w:r>
      <w:r w:rsidR="00714100">
        <w:rPr>
          <w:rFonts w:ascii="Century Schoolbook" w:hAnsi="Century Schoolbook"/>
          <w:sz w:val="27"/>
          <w:szCs w:val="27"/>
        </w:rPr>
        <w:t xml:space="preserve">hirley </w:t>
      </w:r>
      <w:r w:rsidRPr="009252C3">
        <w:rPr>
          <w:rFonts w:ascii="Century Schoolbook" w:hAnsi="Century Schoolbook"/>
          <w:sz w:val="27"/>
          <w:szCs w:val="27"/>
        </w:rPr>
        <w:t>R</w:t>
      </w:r>
      <w:r w:rsidR="00714100">
        <w:rPr>
          <w:rFonts w:ascii="Century Schoolbook" w:hAnsi="Century Schoolbook"/>
          <w:sz w:val="27"/>
          <w:szCs w:val="27"/>
        </w:rPr>
        <w:t>.</w:t>
      </w:r>
      <w:r w:rsidRPr="009252C3">
        <w:rPr>
          <w:rFonts w:ascii="Century Schoolbook" w:hAnsi="Century Schoolbook"/>
          <w:sz w:val="27"/>
          <w:szCs w:val="27"/>
        </w:rPr>
        <w:t xml:space="preserve">’s and </w:t>
      </w:r>
      <w:r w:rsidR="006C7B75">
        <w:rPr>
          <w:rFonts w:ascii="Century Schoolbook" w:hAnsi="Century Schoolbook"/>
          <w:sz w:val="27"/>
          <w:szCs w:val="27"/>
        </w:rPr>
        <w:t>Adrienne A.</w:t>
      </w:r>
      <w:r w:rsidRPr="009252C3">
        <w:rPr>
          <w:rFonts w:ascii="Century Schoolbook" w:hAnsi="Century Schoolbook"/>
          <w:sz w:val="27"/>
          <w:szCs w:val="27"/>
        </w:rPr>
        <w:t>’s.</w:t>
      </w:r>
      <w:r>
        <w:rPr>
          <w:rStyle w:val="FootnoteReference"/>
          <w:rFonts w:ascii="Century Schoolbook" w:hAnsi="Century Schoolbook"/>
          <w:sz w:val="27"/>
          <w:szCs w:val="27"/>
          <w:vertAlign w:val="superscript"/>
        </w:rPr>
        <w:footnoteReference w:id="20"/>
      </w:r>
      <w:r w:rsidRPr="009252C3">
        <w:rPr>
          <w:rFonts w:ascii="Century Schoolbook" w:hAnsi="Century Schoolbook"/>
          <w:sz w:val="27"/>
          <w:szCs w:val="27"/>
        </w:rPr>
        <w:t xml:space="preserve">  But neither </w:t>
      </w:r>
      <w:r w:rsidRPr="009252C3" w:rsidR="00A3058A">
        <w:rPr>
          <w:rFonts w:ascii="Century Schoolbook" w:hAnsi="Century Schoolbook"/>
          <w:sz w:val="27"/>
          <w:szCs w:val="27"/>
        </w:rPr>
        <w:t xml:space="preserve">of these seated jurors </w:t>
      </w:r>
      <w:r w:rsidRPr="009252C3">
        <w:rPr>
          <w:rFonts w:ascii="Century Schoolbook" w:hAnsi="Century Schoolbook"/>
          <w:sz w:val="27"/>
          <w:szCs w:val="27"/>
        </w:rPr>
        <w:t xml:space="preserve">expressed </w:t>
      </w:r>
      <w:r w:rsidRPr="009252C3" w:rsidR="00A200D2">
        <w:rPr>
          <w:rFonts w:ascii="Century Schoolbook" w:hAnsi="Century Schoolbook"/>
          <w:sz w:val="27"/>
          <w:szCs w:val="27"/>
        </w:rPr>
        <w:t xml:space="preserve">the sort of </w:t>
      </w:r>
      <w:r w:rsidRPr="009252C3">
        <w:rPr>
          <w:rFonts w:ascii="Century Schoolbook" w:hAnsi="Century Schoolbook"/>
          <w:sz w:val="27"/>
          <w:szCs w:val="27"/>
        </w:rPr>
        <w:t xml:space="preserve">unqualified opposition to </w:t>
      </w:r>
      <w:r w:rsidRPr="009252C3" w:rsidR="00A200D2">
        <w:rPr>
          <w:rFonts w:ascii="Century Schoolbook" w:hAnsi="Century Schoolbook"/>
          <w:sz w:val="27"/>
          <w:szCs w:val="27"/>
        </w:rPr>
        <w:t xml:space="preserve">the </w:t>
      </w:r>
      <w:r w:rsidRPr="009252C3">
        <w:rPr>
          <w:rFonts w:ascii="Century Schoolbook" w:hAnsi="Century Schoolbook"/>
          <w:sz w:val="27"/>
          <w:szCs w:val="27"/>
        </w:rPr>
        <w:t>death penalty</w:t>
      </w:r>
      <w:r w:rsidRPr="009252C3" w:rsidR="00A200D2">
        <w:rPr>
          <w:rFonts w:ascii="Century Schoolbook" w:hAnsi="Century Schoolbook"/>
          <w:sz w:val="27"/>
          <w:szCs w:val="27"/>
        </w:rPr>
        <w:t xml:space="preserve"> that both </w:t>
      </w:r>
      <w:r w:rsidR="006C7B75">
        <w:rPr>
          <w:rFonts w:ascii="Century Schoolbook" w:hAnsi="Century Schoolbook"/>
          <w:sz w:val="27"/>
          <w:szCs w:val="27"/>
        </w:rPr>
        <w:t>Shirley R.</w:t>
      </w:r>
      <w:r w:rsidRPr="009252C3">
        <w:rPr>
          <w:rFonts w:ascii="Century Schoolbook" w:hAnsi="Century Schoolbook"/>
          <w:sz w:val="27"/>
          <w:szCs w:val="27"/>
        </w:rPr>
        <w:t xml:space="preserve"> and </w:t>
      </w:r>
      <w:r w:rsidR="006C7B75">
        <w:rPr>
          <w:rFonts w:ascii="Century Schoolbook" w:hAnsi="Century Schoolbook"/>
          <w:sz w:val="27"/>
          <w:szCs w:val="27"/>
        </w:rPr>
        <w:t>Adrienne A.</w:t>
      </w:r>
      <w:r w:rsidRPr="009252C3">
        <w:rPr>
          <w:rFonts w:ascii="Century Schoolbook" w:hAnsi="Century Schoolbook"/>
          <w:sz w:val="27"/>
          <w:szCs w:val="27"/>
        </w:rPr>
        <w:t xml:space="preserve"> did at times.  Two non</w:t>
      </w:r>
      <w:r w:rsidRPr="009252C3" w:rsidR="002E1A93">
        <w:rPr>
          <w:rFonts w:ascii="Century Schoolbook" w:hAnsi="Century Schoolbook"/>
          <w:sz w:val="27"/>
          <w:szCs w:val="27"/>
        </w:rPr>
        <w:noBreakHyphen/>
      </w:r>
      <w:r w:rsidRPr="009252C3">
        <w:rPr>
          <w:rFonts w:ascii="Century Schoolbook" w:hAnsi="Century Schoolbook"/>
          <w:sz w:val="27"/>
          <w:szCs w:val="27"/>
        </w:rPr>
        <w:t>African</w:t>
      </w:r>
      <w:r w:rsidRPr="009252C3" w:rsidR="002E1A93">
        <w:rPr>
          <w:rFonts w:ascii="Century Schoolbook" w:hAnsi="Century Schoolbook"/>
          <w:sz w:val="27"/>
          <w:szCs w:val="27"/>
        </w:rPr>
        <w:noBreakHyphen/>
      </w:r>
      <w:r w:rsidRPr="009252C3">
        <w:rPr>
          <w:rFonts w:ascii="Century Schoolbook" w:hAnsi="Century Schoolbook"/>
          <w:sz w:val="27"/>
          <w:szCs w:val="27"/>
        </w:rPr>
        <w:t>American prospective juror</w:t>
      </w:r>
      <w:r w:rsidRPr="009252C3" w:rsidR="00C45B0C">
        <w:rPr>
          <w:rFonts w:ascii="Century Schoolbook" w:hAnsi="Century Schoolbook"/>
          <w:sz w:val="27"/>
          <w:szCs w:val="27"/>
        </w:rPr>
        <w:t>s</w:t>
      </w:r>
      <w:r w:rsidRPr="009252C3">
        <w:rPr>
          <w:rFonts w:ascii="Century Schoolbook" w:hAnsi="Century Schoolbook"/>
          <w:sz w:val="27"/>
          <w:szCs w:val="27"/>
        </w:rPr>
        <w:t xml:space="preserve"> who did express such unqualified anti</w:t>
      </w:r>
      <w:r w:rsidR="00945425">
        <w:rPr>
          <w:rFonts w:ascii="Century Schoolbook" w:hAnsi="Century Schoolbook"/>
          <w:sz w:val="27"/>
          <w:szCs w:val="27"/>
        </w:rPr>
        <w:t>-</w:t>
      </w:r>
      <w:r w:rsidRPr="009252C3">
        <w:rPr>
          <w:rFonts w:ascii="Century Schoolbook" w:hAnsi="Century Schoolbook"/>
          <w:sz w:val="27"/>
          <w:szCs w:val="27"/>
        </w:rPr>
        <w:t>death</w:t>
      </w:r>
      <w:r w:rsidR="00945425">
        <w:rPr>
          <w:rFonts w:ascii="Century Schoolbook" w:hAnsi="Century Schoolbook"/>
          <w:sz w:val="27"/>
          <w:szCs w:val="27"/>
        </w:rPr>
        <w:t>-</w:t>
      </w:r>
      <w:r w:rsidRPr="009252C3">
        <w:rPr>
          <w:rFonts w:ascii="Century Schoolbook" w:hAnsi="Century Schoolbook"/>
          <w:sz w:val="27"/>
          <w:szCs w:val="27"/>
        </w:rPr>
        <w:t xml:space="preserve">penalty views on their questionnaires were struck by the prosecution before defendant made his second </w:t>
      </w:r>
      <w:r w:rsidRPr="0082603D" w:rsidR="0082603D">
        <w:rPr>
          <w:rFonts w:ascii="Century Schoolbook" w:hAnsi="Century Schoolbook"/>
          <w:i/>
          <w:sz w:val="27"/>
          <w:szCs w:val="27"/>
        </w:rPr>
        <w:t>Batson-Wheeler</w:t>
      </w:r>
      <w:r w:rsidR="0082603D">
        <w:rPr>
          <w:rFonts w:ascii="Century Schoolbook" w:hAnsi="Century Schoolbook"/>
          <w:sz w:val="27"/>
          <w:szCs w:val="27"/>
        </w:rPr>
        <w:t xml:space="preserve"> </w:t>
      </w:r>
      <w:r w:rsidRPr="009252C3">
        <w:rPr>
          <w:rFonts w:ascii="Century Schoolbook" w:hAnsi="Century Schoolbook"/>
          <w:sz w:val="27"/>
          <w:szCs w:val="27"/>
        </w:rPr>
        <w:t>motion.</w:t>
      </w:r>
    </w:p>
    <w:p w:rsidR="00933FC4"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As to </w:t>
      </w:r>
      <w:r w:rsidRPr="009252C3" w:rsidR="007B5A1B">
        <w:rPr>
          <w:rFonts w:ascii="Century Schoolbook" w:hAnsi="Century Schoolbook"/>
          <w:sz w:val="27"/>
          <w:szCs w:val="27"/>
        </w:rPr>
        <w:t>P</w:t>
      </w:r>
      <w:r w:rsidRPr="009252C3">
        <w:rPr>
          <w:rFonts w:ascii="Century Schoolbook" w:hAnsi="Century Schoolbook"/>
          <w:sz w:val="27"/>
          <w:szCs w:val="27"/>
        </w:rPr>
        <w:t xml:space="preserve">rospective </w:t>
      </w:r>
      <w:r w:rsidRPr="009252C3" w:rsidR="007B5A1B">
        <w:rPr>
          <w:rFonts w:ascii="Century Schoolbook" w:hAnsi="Century Schoolbook"/>
          <w:sz w:val="27"/>
          <w:szCs w:val="27"/>
        </w:rPr>
        <w:t>J</w:t>
      </w:r>
      <w:r w:rsidRPr="009252C3">
        <w:rPr>
          <w:rFonts w:ascii="Century Schoolbook" w:hAnsi="Century Schoolbook"/>
          <w:sz w:val="27"/>
          <w:szCs w:val="27"/>
        </w:rPr>
        <w:t xml:space="preserve">uror </w:t>
      </w:r>
      <w:r w:rsidR="006C7B75">
        <w:rPr>
          <w:rFonts w:ascii="Century Schoolbook" w:hAnsi="Century Schoolbook"/>
          <w:sz w:val="27"/>
          <w:szCs w:val="27"/>
        </w:rPr>
        <w:t>Alice S.</w:t>
      </w:r>
      <w:r w:rsidRPr="009252C3">
        <w:rPr>
          <w:rFonts w:ascii="Century Schoolbook" w:hAnsi="Century Schoolbook"/>
          <w:sz w:val="27"/>
          <w:szCs w:val="27"/>
        </w:rPr>
        <w:t xml:space="preserve">, there were, as the Attorney General posits, two main “causes for concern” for a prosecutor:  her uncertainty whether she would be able to serve as a juror while caring for her six-month-old infant (often on her own while her husband was away), and her belief that her brother had been wrongly convicted of a sexual offense.  Both are readily apparent bases for objection from a prosecutorial view that tend strongly to dispel any inference of bias.  While the jury being chosen would decide only penalty, the issue of lingering doubt remained one the jury would face; the jury was ultimately instructed it could consider lingering doubt and the defense argued for the lesser penalty partly on that basis.  The penalty trial accordingly lasted about two months, during which the prosecutors asked the jurors to absorb and follow the evidence of guilt, most of it physical and circumstantial, in sufficient detail that they would not have lingering doubts as to defendant’s responsibility.  Having spontaneously expressed doubts about whether her need to care for her six-month-old infant would allow her to complete her jury service if selected, </w:t>
      </w:r>
      <w:r w:rsidR="006C7B75">
        <w:rPr>
          <w:rFonts w:ascii="Century Schoolbook" w:hAnsi="Century Schoolbook"/>
          <w:sz w:val="27"/>
          <w:szCs w:val="27"/>
        </w:rPr>
        <w:t>Alice S.</w:t>
      </w:r>
      <w:r w:rsidRPr="009252C3">
        <w:rPr>
          <w:rFonts w:ascii="Century Schoolbook" w:hAnsi="Century Schoolbook"/>
          <w:sz w:val="27"/>
          <w:szCs w:val="27"/>
        </w:rPr>
        <w:t xml:space="preserve"> was clearly not a good choice for this task.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With regard to her brother, </w:t>
      </w:r>
      <w:r w:rsidR="006C7B75">
        <w:rPr>
          <w:rFonts w:ascii="Century Schoolbook" w:hAnsi="Century Schoolbook"/>
          <w:sz w:val="27"/>
          <w:szCs w:val="27"/>
        </w:rPr>
        <w:t>Alice S.</w:t>
      </w:r>
      <w:r w:rsidRPr="009252C3">
        <w:rPr>
          <w:rFonts w:ascii="Century Schoolbook" w:hAnsi="Century Schoolbook"/>
          <w:sz w:val="27"/>
          <w:szCs w:val="27"/>
        </w:rPr>
        <w:t xml:space="preserve"> expressed the belief he was innocent of the crime and had been convicted only because, due to his alcoholism and resulting lack of housing, he could not account for his activities at the time of the crime.  Given the evidence of defendant’s substance abuse during the relevant timeframe and the nature of his lingering doubt defense, this response would have raised concerns for a</w:t>
      </w:r>
      <w:r w:rsidRPr="009252C3" w:rsidR="00345F93">
        <w:rPr>
          <w:rFonts w:ascii="Century Schoolbook" w:hAnsi="Century Schoolbook"/>
          <w:sz w:val="27"/>
          <w:szCs w:val="27"/>
        </w:rPr>
        <w:t>ny reasonable</w:t>
      </w:r>
      <w:r w:rsidRPr="009252C3">
        <w:rPr>
          <w:rFonts w:ascii="Century Schoolbook" w:hAnsi="Century Schoolbook"/>
          <w:sz w:val="27"/>
          <w:szCs w:val="27"/>
        </w:rPr>
        <w:t xml:space="preserve"> prosecutor trying the penalty phase of this case. Defendant points to no juror accepted by the prosecution who expressed similar doubts about his or her ability to serve or similar attitudes about the prosecution of a family member.</w:t>
      </w:r>
      <w:r>
        <w:rPr>
          <w:rStyle w:val="FootnoteReference"/>
          <w:rFonts w:ascii="Century Schoolbook" w:hAnsi="Century Schoolbook"/>
          <w:szCs w:val="27"/>
        </w:rPr>
        <w:footnoteReference w:id="21"/>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Finally, Prospective Juror </w:t>
      </w:r>
      <w:r w:rsidR="006C7B75">
        <w:rPr>
          <w:rFonts w:ascii="Century Schoolbook" w:hAnsi="Century Schoolbook"/>
          <w:sz w:val="27"/>
          <w:szCs w:val="27"/>
        </w:rPr>
        <w:t>Alicia R.</w:t>
      </w:r>
      <w:r w:rsidRPr="009252C3">
        <w:rPr>
          <w:rFonts w:ascii="Century Schoolbook" w:hAnsi="Century Schoolbook"/>
          <w:sz w:val="27"/>
          <w:szCs w:val="27"/>
        </w:rPr>
        <w:t xml:space="preserve"> indicated on her questionnaire that her views on the death penalty were influenced by the highly publicized case of Karla Faye Tucker, a late Texas death row inmate who was well-known for having committed a capital crime while battling an addiction to drugs, and who had become a Christian while in prison; in </w:t>
      </w:r>
      <w:r w:rsidR="006C7B75">
        <w:rPr>
          <w:rFonts w:ascii="Century Schoolbook" w:hAnsi="Century Schoolbook"/>
          <w:sz w:val="27"/>
          <w:szCs w:val="27"/>
        </w:rPr>
        <w:t>Alicia R.</w:t>
      </w:r>
      <w:r w:rsidRPr="009252C3">
        <w:rPr>
          <w:rFonts w:ascii="Century Schoolbook" w:hAnsi="Century Schoolbook"/>
          <w:sz w:val="27"/>
          <w:szCs w:val="27"/>
        </w:rPr>
        <w:t xml:space="preserve">’s view, Tucker “proved that some people can change.”  Answering a question seeking general information about prospective jurors’ views on the death penalty, </w:t>
      </w:r>
      <w:r w:rsidR="006C7B75">
        <w:rPr>
          <w:rFonts w:ascii="Century Schoolbook" w:hAnsi="Century Schoolbook"/>
          <w:sz w:val="27"/>
          <w:szCs w:val="27"/>
        </w:rPr>
        <w:t>Alicia R.</w:t>
      </w:r>
      <w:r w:rsidRPr="009252C3">
        <w:rPr>
          <w:rFonts w:ascii="Century Schoolbook" w:hAnsi="Century Schoolbook"/>
          <w:sz w:val="27"/>
          <w:szCs w:val="27"/>
        </w:rPr>
        <w:t xml:space="preserve"> indicated that “an eye for an eye” is wrong because “Christ died on the cross for everyone’s sin.”  She tended to agree with the statement “</w:t>
      </w:r>
      <w:r w:rsidR="0082603D">
        <w:rPr>
          <w:rFonts w:ascii="Century Schoolbook" w:hAnsi="Century Schoolbook"/>
          <w:sz w:val="27"/>
          <w:szCs w:val="27"/>
        </w:rPr>
        <w:t>[a]</w:t>
      </w:r>
      <w:r w:rsidRPr="009252C3">
        <w:rPr>
          <w:rFonts w:ascii="Century Schoolbook" w:hAnsi="Century Schoolbook"/>
          <w:sz w:val="27"/>
          <w:szCs w:val="27"/>
        </w:rPr>
        <w:t xml:space="preserve"> defendant who is convicted of sexual assault and murder of a child should receive </w:t>
      </w:r>
      <w:r w:rsidRPr="009252C3">
        <w:rPr>
          <w:rFonts w:ascii="Century Schoolbook" w:hAnsi="Century Schoolbook"/>
          <w:i/>
          <w:sz w:val="27"/>
          <w:szCs w:val="27"/>
        </w:rPr>
        <w:t>life in prison without possibility of parole</w:t>
      </w:r>
      <w:r w:rsidRPr="009252C3">
        <w:rPr>
          <w:rFonts w:ascii="Century Schoolbook" w:hAnsi="Century Schoolbook"/>
          <w:sz w:val="27"/>
          <w:szCs w:val="27"/>
        </w:rPr>
        <w:t xml:space="preserve"> regardless of the facts and circumstances of his background or mental state,” while remaining noncommittal regarding her view of imposing the death penalty in such a case.  </w:t>
      </w:r>
      <w:r w:rsidRPr="009252C3" w:rsidR="00880BAB">
        <w:rPr>
          <w:rFonts w:ascii="Century Schoolbook" w:hAnsi="Century Schoolbook"/>
          <w:sz w:val="27"/>
          <w:szCs w:val="27"/>
        </w:rPr>
        <w:t xml:space="preserve">Asked whether she would have a death penalty if she were making the laws, </w:t>
      </w:r>
      <w:r w:rsidR="006C7B75">
        <w:rPr>
          <w:rFonts w:ascii="Century Schoolbook" w:hAnsi="Century Schoolbook"/>
          <w:sz w:val="27"/>
          <w:szCs w:val="27"/>
        </w:rPr>
        <w:t>Alicia R.</w:t>
      </w:r>
      <w:r w:rsidRPr="009252C3" w:rsidR="00880BAB">
        <w:rPr>
          <w:rFonts w:ascii="Century Schoolbook" w:hAnsi="Century Schoolbook"/>
          <w:sz w:val="27"/>
          <w:szCs w:val="27"/>
        </w:rPr>
        <w:t xml:space="preserve"> responded, “can’t say.”  </w:t>
      </w:r>
      <w:r w:rsidR="006C7B75">
        <w:rPr>
          <w:rFonts w:ascii="Century Schoolbook" w:hAnsi="Century Schoolbook"/>
          <w:sz w:val="27"/>
          <w:szCs w:val="27"/>
        </w:rPr>
        <w:t>Alicia R.</w:t>
      </w:r>
      <w:r w:rsidRPr="009252C3" w:rsidR="001B2429">
        <w:rPr>
          <w:rFonts w:ascii="Century Schoolbook" w:hAnsi="Century Schoolbook"/>
          <w:sz w:val="27"/>
          <w:szCs w:val="27"/>
        </w:rPr>
        <w:t xml:space="preserve">’s responses revealed </w:t>
      </w:r>
      <w:r w:rsidRPr="009252C3">
        <w:rPr>
          <w:rFonts w:ascii="Century Schoolbook" w:hAnsi="Century Schoolbook"/>
          <w:sz w:val="27"/>
          <w:szCs w:val="27"/>
        </w:rPr>
        <w:t>a</w:t>
      </w:r>
      <w:r w:rsidRPr="009252C3" w:rsidR="001B2429">
        <w:rPr>
          <w:rFonts w:ascii="Century Schoolbook" w:hAnsi="Century Schoolbook"/>
          <w:sz w:val="27"/>
          <w:szCs w:val="27"/>
        </w:rPr>
        <w:t xml:space="preserve"> view of the proper role of the </w:t>
      </w:r>
      <w:r w:rsidRPr="009252C3" w:rsidR="00D47762">
        <w:rPr>
          <w:rFonts w:ascii="Century Schoolbook" w:hAnsi="Century Schoolbook"/>
          <w:sz w:val="27"/>
          <w:szCs w:val="27"/>
        </w:rPr>
        <w:t>death penalty</w:t>
      </w:r>
      <w:r w:rsidRPr="009252C3" w:rsidR="00894009">
        <w:rPr>
          <w:rFonts w:ascii="Century Schoolbook" w:hAnsi="Century Schoolbook"/>
          <w:sz w:val="27"/>
          <w:szCs w:val="27"/>
        </w:rPr>
        <w:t xml:space="preserve">, and a </w:t>
      </w:r>
      <w:r w:rsidRPr="009252C3" w:rsidR="00862DC4">
        <w:rPr>
          <w:rFonts w:ascii="Century Schoolbook" w:hAnsi="Century Schoolbook"/>
          <w:sz w:val="27"/>
          <w:szCs w:val="27"/>
        </w:rPr>
        <w:t xml:space="preserve">strong </w:t>
      </w:r>
      <w:r w:rsidRPr="009252C3" w:rsidR="00894009">
        <w:rPr>
          <w:rFonts w:ascii="Century Schoolbook" w:hAnsi="Century Schoolbook"/>
          <w:sz w:val="27"/>
          <w:szCs w:val="27"/>
        </w:rPr>
        <w:t xml:space="preserve">belief in the possibility of redemption for </w:t>
      </w:r>
      <w:r w:rsidRPr="009252C3" w:rsidR="00862DC4">
        <w:rPr>
          <w:rFonts w:ascii="Century Schoolbook" w:hAnsi="Century Schoolbook"/>
          <w:sz w:val="27"/>
          <w:szCs w:val="27"/>
        </w:rPr>
        <w:t xml:space="preserve">persons who commit </w:t>
      </w:r>
      <w:r w:rsidRPr="009252C3" w:rsidR="001D4036">
        <w:rPr>
          <w:rFonts w:ascii="Century Schoolbook" w:hAnsi="Century Schoolbook"/>
          <w:sz w:val="27"/>
          <w:szCs w:val="27"/>
        </w:rPr>
        <w:t xml:space="preserve">even </w:t>
      </w:r>
      <w:r w:rsidRPr="009252C3" w:rsidR="00894009">
        <w:rPr>
          <w:rFonts w:ascii="Century Schoolbook" w:hAnsi="Century Schoolbook"/>
          <w:sz w:val="27"/>
          <w:szCs w:val="27"/>
        </w:rPr>
        <w:t xml:space="preserve">the most serious </w:t>
      </w:r>
      <w:r w:rsidRPr="009252C3" w:rsidR="00862DC4">
        <w:rPr>
          <w:rFonts w:ascii="Century Schoolbook" w:hAnsi="Century Schoolbook"/>
          <w:sz w:val="27"/>
          <w:szCs w:val="27"/>
        </w:rPr>
        <w:t xml:space="preserve">crimes, </w:t>
      </w:r>
      <w:r w:rsidRPr="009252C3">
        <w:rPr>
          <w:rFonts w:ascii="Century Schoolbook" w:hAnsi="Century Schoolbook"/>
          <w:sz w:val="27"/>
          <w:szCs w:val="27"/>
        </w:rPr>
        <w:t xml:space="preserve">that would naturally have raised </w:t>
      </w:r>
      <w:r w:rsidRPr="009252C3" w:rsidR="00880BAB">
        <w:rPr>
          <w:rFonts w:ascii="Century Schoolbook" w:hAnsi="Century Schoolbook"/>
          <w:sz w:val="27"/>
          <w:szCs w:val="27"/>
        </w:rPr>
        <w:t xml:space="preserve">serious </w:t>
      </w:r>
      <w:r w:rsidRPr="009252C3">
        <w:rPr>
          <w:rFonts w:ascii="Century Schoolbook" w:hAnsi="Century Schoolbook"/>
          <w:sz w:val="27"/>
          <w:szCs w:val="27"/>
        </w:rPr>
        <w:t xml:space="preserve">concerns for </w:t>
      </w:r>
      <w:r w:rsidRPr="009252C3" w:rsidR="0071222C">
        <w:rPr>
          <w:rFonts w:ascii="Century Schoolbook" w:hAnsi="Century Schoolbook"/>
          <w:sz w:val="27"/>
          <w:szCs w:val="27"/>
        </w:rPr>
        <w:t xml:space="preserve">any </w:t>
      </w:r>
      <w:r w:rsidRPr="009252C3">
        <w:rPr>
          <w:rFonts w:ascii="Century Schoolbook" w:hAnsi="Century Schoolbook"/>
          <w:sz w:val="27"/>
          <w:szCs w:val="27"/>
        </w:rPr>
        <w:t>prosecutors selecting the penalty retrial jury</w:t>
      </w:r>
      <w:r w:rsidRPr="009252C3" w:rsidR="00C0692E">
        <w:rPr>
          <w:rFonts w:ascii="Century Schoolbook" w:hAnsi="Century Schoolbook"/>
          <w:sz w:val="27"/>
          <w:szCs w:val="27"/>
        </w:rPr>
        <w:t xml:space="preserve"> in this case</w:t>
      </w:r>
      <w:r w:rsidRPr="009252C3">
        <w:rPr>
          <w:rFonts w:ascii="Century Schoolbook" w:hAnsi="Century Schoolbook"/>
          <w:sz w:val="27"/>
          <w:szCs w:val="27"/>
        </w:rPr>
        <w:t>.</w:t>
      </w:r>
    </w:p>
    <w:p w:rsidR="00C447DB"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points to no other juror whom the prosecution accepted who appeared to hold similar attitudes toward the death penalty</w:t>
      </w:r>
      <w:r w:rsidRPr="009252C3" w:rsidR="00CE2091">
        <w:rPr>
          <w:rFonts w:ascii="Century Schoolbook" w:hAnsi="Century Schoolbook"/>
          <w:sz w:val="27"/>
          <w:szCs w:val="27"/>
        </w:rPr>
        <w:t>, particularly</w:t>
      </w:r>
      <w:r w:rsidRPr="009252C3" w:rsidR="003705EA">
        <w:rPr>
          <w:rFonts w:ascii="Century Schoolbook" w:hAnsi="Century Schoolbook"/>
          <w:sz w:val="27"/>
          <w:szCs w:val="27"/>
        </w:rPr>
        <w:t xml:space="preserve"> for a crime like defendant’s</w:t>
      </w:r>
      <w:r w:rsidRPr="009252C3">
        <w:rPr>
          <w:rFonts w:ascii="Century Schoolbook" w:hAnsi="Century Schoolbook"/>
          <w:sz w:val="27"/>
          <w:szCs w:val="27"/>
        </w:rPr>
        <w:t>.  Seated Juror No.</w:t>
      </w:r>
      <w:r w:rsidRPr="009252C3" w:rsidR="00A31DC3">
        <w:rPr>
          <w:rFonts w:ascii="Century Schoolbook" w:hAnsi="Century Schoolbook"/>
          <w:sz w:val="27"/>
          <w:szCs w:val="27"/>
        </w:rPr>
        <w:t> </w:t>
      </w:r>
      <w:r w:rsidRPr="009252C3">
        <w:rPr>
          <w:rFonts w:ascii="Century Schoolbook" w:hAnsi="Century Schoolbook"/>
          <w:sz w:val="27"/>
          <w:szCs w:val="27"/>
        </w:rPr>
        <w:t>4</w:t>
      </w:r>
      <w:r w:rsidRPr="009252C3" w:rsidR="00D43557">
        <w:rPr>
          <w:rFonts w:ascii="Century Schoolbook" w:hAnsi="Century Schoolbook"/>
          <w:sz w:val="27"/>
          <w:szCs w:val="27"/>
        </w:rPr>
        <w:t xml:space="preserve"> </w:t>
      </w:r>
      <w:r w:rsidRPr="009252C3">
        <w:rPr>
          <w:rFonts w:ascii="Century Schoolbook" w:hAnsi="Century Schoolbook"/>
          <w:sz w:val="27"/>
          <w:szCs w:val="27"/>
        </w:rPr>
        <w:t xml:space="preserve">did write that the death penalty might be inappropriate for some people convicted of sexually assaulting and murdering a child because “some persons may benefit from rehabilitation.” </w:t>
      </w:r>
      <w:r w:rsidRPr="009252C3" w:rsidR="00771CD4">
        <w:rPr>
          <w:rFonts w:ascii="Century Schoolbook" w:hAnsi="Century Schoolbook"/>
          <w:sz w:val="27"/>
          <w:szCs w:val="27"/>
        </w:rPr>
        <w:t xml:space="preserve"> </w:t>
      </w:r>
      <w:r w:rsidRPr="009252C3">
        <w:rPr>
          <w:rFonts w:ascii="Century Schoolbook" w:hAnsi="Century Schoolbook"/>
          <w:sz w:val="27"/>
          <w:szCs w:val="27"/>
        </w:rPr>
        <w:t xml:space="preserve">But in contrast to </w:t>
      </w:r>
      <w:r w:rsidR="006C7B75">
        <w:rPr>
          <w:rFonts w:ascii="Century Schoolbook" w:hAnsi="Century Schoolbook"/>
          <w:sz w:val="27"/>
          <w:szCs w:val="27"/>
        </w:rPr>
        <w:t>Alicia R.</w:t>
      </w:r>
      <w:r w:rsidRPr="009252C3">
        <w:rPr>
          <w:rFonts w:ascii="Century Schoolbook" w:hAnsi="Century Schoolbook"/>
          <w:sz w:val="27"/>
          <w:szCs w:val="27"/>
        </w:rPr>
        <w:t>, Juror No.</w:t>
      </w:r>
      <w:r w:rsidRPr="009252C3" w:rsidR="00A31DC3">
        <w:rPr>
          <w:rFonts w:ascii="Century Schoolbook" w:hAnsi="Century Schoolbook"/>
          <w:sz w:val="27"/>
          <w:szCs w:val="27"/>
        </w:rPr>
        <w:t> </w:t>
      </w:r>
      <w:r w:rsidRPr="009252C3">
        <w:rPr>
          <w:rFonts w:ascii="Century Schoolbook" w:hAnsi="Century Schoolbook"/>
          <w:sz w:val="27"/>
          <w:szCs w:val="27"/>
        </w:rPr>
        <w:t>4 also indicated that she disagreed with the statement</w:t>
      </w:r>
      <w:r w:rsidR="0082603D">
        <w:rPr>
          <w:rFonts w:ascii="Century Schoolbook" w:hAnsi="Century Schoolbook"/>
          <w:sz w:val="27"/>
          <w:szCs w:val="27"/>
        </w:rPr>
        <w:t xml:space="preserve"> </w:t>
      </w:r>
      <w:r w:rsidRPr="009252C3">
        <w:rPr>
          <w:rFonts w:ascii="Century Schoolbook" w:hAnsi="Century Schoolbook"/>
          <w:sz w:val="27"/>
          <w:szCs w:val="27"/>
        </w:rPr>
        <w:t>“</w:t>
      </w:r>
      <w:r w:rsidR="0082603D">
        <w:rPr>
          <w:rFonts w:ascii="Century Schoolbook" w:hAnsi="Century Schoolbook"/>
          <w:sz w:val="27"/>
          <w:szCs w:val="27"/>
        </w:rPr>
        <w:t>[a]</w:t>
      </w:r>
      <w:r w:rsidRPr="009252C3">
        <w:rPr>
          <w:rFonts w:ascii="Century Schoolbook" w:hAnsi="Century Schoolbook"/>
          <w:sz w:val="27"/>
          <w:szCs w:val="27"/>
        </w:rPr>
        <w:t xml:space="preserve"> defendant who is convicted of sexual assault and murder of a child should receive </w:t>
      </w:r>
      <w:r w:rsidRPr="009252C3">
        <w:rPr>
          <w:rFonts w:ascii="Century Schoolbook" w:hAnsi="Century Schoolbook"/>
          <w:i/>
          <w:sz w:val="27"/>
          <w:szCs w:val="27"/>
        </w:rPr>
        <w:t>life in prison without possibility of parole</w:t>
      </w:r>
      <w:r w:rsidRPr="009252C3">
        <w:rPr>
          <w:rFonts w:ascii="Century Schoolbook" w:hAnsi="Century Schoolbook"/>
          <w:sz w:val="27"/>
          <w:szCs w:val="27"/>
        </w:rPr>
        <w:t xml:space="preserve"> regardless of the facts and circumstances of his background or mental state.”  </w:t>
      </w:r>
      <w:r w:rsidRPr="009252C3" w:rsidR="007471F2">
        <w:rPr>
          <w:rFonts w:ascii="Century Schoolbook" w:hAnsi="Century Schoolbook"/>
          <w:sz w:val="27"/>
          <w:szCs w:val="27"/>
        </w:rPr>
        <w:t xml:space="preserve">Furthermore, </w:t>
      </w:r>
      <w:r w:rsidRPr="009252C3">
        <w:rPr>
          <w:rFonts w:ascii="Century Schoolbook" w:hAnsi="Century Schoolbook"/>
          <w:sz w:val="27"/>
          <w:szCs w:val="27"/>
        </w:rPr>
        <w:t>Juror No.</w:t>
      </w:r>
      <w:r w:rsidRPr="009252C3" w:rsidR="00223C72">
        <w:rPr>
          <w:rFonts w:ascii="Century Schoolbook" w:hAnsi="Century Schoolbook"/>
          <w:sz w:val="27"/>
          <w:szCs w:val="27"/>
        </w:rPr>
        <w:t> </w:t>
      </w:r>
      <w:r w:rsidRPr="009252C3">
        <w:rPr>
          <w:rFonts w:ascii="Century Schoolbook" w:hAnsi="Century Schoolbook"/>
          <w:sz w:val="27"/>
          <w:szCs w:val="27"/>
        </w:rPr>
        <w:t>4</w:t>
      </w:r>
      <w:r w:rsidRPr="009252C3" w:rsidR="007471F2">
        <w:rPr>
          <w:rFonts w:ascii="Century Schoolbook" w:hAnsi="Century Schoolbook"/>
          <w:sz w:val="27"/>
          <w:szCs w:val="27"/>
        </w:rPr>
        <w:t>—</w:t>
      </w:r>
      <w:r w:rsidRPr="009252C3">
        <w:rPr>
          <w:rFonts w:ascii="Century Schoolbook" w:hAnsi="Century Schoolbook"/>
          <w:sz w:val="27"/>
          <w:szCs w:val="27"/>
        </w:rPr>
        <w:t xml:space="preserve">unlike </w:t>
      </w:r>
      <w:r w:rsidR="006C7B75">
        <w:rPr>
          <w:rFonts w:ascii="Century Schoolbook" w:hAnsi="Century Schoolbook"/>
          <w:sz w:val="27"/>
          <w:szCs w:val="27"/>
        </w:rPr>
        <w:t>Alicia R.</w:t>
      </w:r>
      <w:r w:rsidRPr="009252C3" w:rsidR="007471F2">
        <w:rPr>
          <w:rFonts w:ascii="Century Schoolbook" w:hAnsi="Century Schoolbook"/>
          <w:sz w:val="27"/>
          <w:szCs w:val="27"/>
        </w:rPr>
        <w:t>—</w:t>
      </w:r>
      <w:r w:rsidRPr="009252C3">
        <w:rPr>
          <w:rFonts w:ascii="Century Schoolbook" w:hAnsi="Century Schoolbook"/>
          <w:sz w:val="27"/>
          <w:szCs w:val="27"/>
        </w:rPr>
        <w:t>had specifically identified the “[k]illing of a child” as a crime for which she believed the death penalty might be the appropriate sentence.</w:t>
      </w:r>
    </w:p>
    <w:p w:rsidR="001E3058"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Only one other seated </w:t>
      </w:r>
      <w:r w:rsidRPr="009252C3" w:rsidR="002008DA">
        <w:rPr>
          <w:rFonts w:ascii="Century Schoolbook" w:hAnsi="Century Schoolbook"/>
          <w:sz w:val="27"/>
          <w:szCs w:val="27"/>
        </w:rPr>
        <w:t>juror, Juror No.</w:t>
      </w:r>
      <w:r w:rsidRPr="009252C3" w:rsidR="002E39BC">
        <w:rPr>
          <w:rFonts w:ascii="Century Schoolbook" w:hAnsi="Century Schoolbook"/>
          <w:sz w:val="27"/>
          <w:szCs w:val="27"/>
        </w:rPr>
        <w:t> </w:t>
      </w:r>
      <w:r w:rsidRPr="009252C3" w:rsidR="002008DA">
        <w:rPr>
          <w:rFonts w:ascii="Century Schoolbook" w:hAnsi="Century Schoolbook"/>
          <w:sz w:val="27"/>
          <w:szCs w:val="27"/>
        </w:rPr>
        <w:t xml:space="preserve">7, expressed even </w:t>
      </w:r>
      <w:r w:rsidRPr="00B03825" w:rsidR="002008DA">
        <w:rPr>
          <w:rFonts w:ascii="Century Schoolbook" w:hAnsi="Century Schoolbook"/>
          <w:sz w:val="27"/>
          <w:szCs w:val="27"/>
        </w:rPr>
        <w:t>qualified</w:t>
      </w:r>
      <w:r w:rsidRPr="009252C3" w:rsidR="002008DA">
        <w:rPr>
          <w:rFonts w:ascii="Century Schoolbook" w:hAnsi="Century Schoolbook"/>
          <w:sz w:val="27"/>
          <w:szCs w:val="27"/>
        </w:rPr>
        <w:t xml:space="preserve"> agreement with the statement that </w:t>
      </w:r>
      <w:r w:rsidRPr="009252C3" w:rsidR="001061A4">
        <w:rPr>
          <w:rFonts w:ascii="Century Schoolbook" w:hAnsi="Century Schoolbook"/>
          <w:sz w:val="27"/>
          <w:szCs w:val="27"/>
        </w:rPr>
        <w:t>a defendant convicted of sexual assault and murder of a child should be sentenced to life without parole regardless of the circumstances</w:t>
      </w:r>
      <w:r w:rsidRPr="009252C3" w:rsidR="0025290C">
        <w:rPr>
          <w:rFonts w:ascii="Century Schoolbook" w:hAnsi="Century Schoolbook"/>
          <w:sz w:val="27"/>
          <w:szCs w:val="27"/>
        </w:rPr>
        <w:t>.</w:t>
      </w:r>
      <w:r w:rsidRPr="0035759C" w:rsidR="00B03825">
        <w:rPr>
          <w:rStyle w:val="FootnoteReference"/>
          <w:rFonts w:ascii="Century Schoolbook" w:hAnsi="Century Schoolbook"/>
          <w:sz w:val="27"/>
          <w:szCs w:val="27"/>
          <w:vertAlign w:val="superscript"/>
        </w:rPr>
        <w:t xml:space="preserve"> </w:t>
      </w:r>
      <w:r w:rsidRPr="009252C3" w:rsidR="0025290C">
        <w:rPr>
          <w:rFonts w:ascii="Century Schoolbook" w:hAnsi="Century Schoolbook"/>
          <w:sz w:val="27"/>
          <w:szCs w:val="27"/>
        </w:rPr>
        <w:t xml:space="preserve">  B</w:t>
      </w:r>
      <w:r w:rsidRPr="009252C3" w:rsidR="001061A4">
        <w:rPr>
          <w:rFonts w:ascii="Century Schoolbook" w:hAnsi="Century Schoolbook"/>
          <w:sz w:val="27"/>
          <w:szCs w:val="27"/>
        </w:rPr>
        <w:t xml:space="preserve">ut unlike </w:t>
      </w:r>
      <w:r w:rsidR="006C7B75">
        <w:rPr>
          <w:rFonts w:ascii="Century Schoolbook" w:hAnsi="Century Schoolbook"/>
          <w:sz w:val="27"/>
          <w:szCs w:val="27"/>
        </w:rPr>
        <w:t>Alicia R.</w:t>
      </w:r>
      <w:r w:rsidRPr="009252C3" w:rsidR="001061A4">
        <w:rPr>
          <w:rFonts w:ascii="Century Schoolbook" w:hAnsi="Century Schoolbook"/>
          <w:sz w:val="27"/>
          <w:szCs w:val="27"/>
        </w:rPr>
        <w:t xml:space="preserve">, </w:t>
      </w:r>
      <w:r w:rsidRPr="009252C3" w:rsidR="00C447DB">
        <w:rPr>
          <w:rFonts w:ascii="Century Schoolbook" w:hAnsi="Century Schoolbook"/>
          <w:sz w:val="27"/>
          <w:szCs w:val="27"/>
        </w:rPr>
        <w:t>Juror No.</w:t>
      </w:r>
      <w:r w:rsidRPr="009252C3" w:rsidR="002E39BC">
        <w:rPr>
          <w:rFonts w:ascii="Century Schoolbook" w:hAnsi="Century Schoolbook"/>
          <w:sz w:val="27"/>
          <w:szCs w:val="27"/>
        </w:rPr>
        <w:t> </w:t>
      </w:r>
      <w:r w:rsidRPr="009252C3" w:rsidR="00C447DB">
        <w:rPr>
          <w:rFonts w:ascii="Century Schoolbook" w:hAnsi="Century Schoolbook"/>
          <w:sz w:val="27"/>
          <w:szCs w:val="27"/>
        </w:rPr>
        <w:t xml:space="preserve">7 </w:t>
      </w:r>
      <w:r w:rsidRPr="007D4E5C" w:rsidR="001061A4">
        <w:rPr>
          <w:rFonts w:ascii="Century Schoolbook" w:hAnsi="Century Schoolbook"/>
          <w:sz w:val="27"/>
          <w:szCs w:val="27"/>
        </w:rPr>
        <w:t>also</w:t>
      </w:r>
      <w:r w:rsidRPr="009252C3" w:rsidR="001061A4">
        <w:rPr>
          <w:rFonts w:ascii="Century Schoolbook" w:hAnsi="Century Schoolbook"/>
          <w:sz w:val="27"/>
          <w:szCs w:val="27"/>
        </w:rPr>
        <w:t xml:space="preserve"> </w:t>
      </w:r>
      <w:r w:rsidR="00B03825">
        <w:rPr>
          <w:rFonts w:ascii="Century Schoolbook" w:hAnsi="Century Schoolbook"/>
          <w:sz w:val="27"/>
          <w:szCs w:val="27"/>
        </w:rPr>
        <w:t xml:space="preserve">said </w:t>
      </w:r>
      <w:r w:rsidRPr="009252C3" w:rsidR="001061A4">
        <w:rPr>
          <w:rFonts w:ascii="Century Schoolbook" w:hAnsi="Century Schoolbook"/>
          <w:sz w:val="27"/>
          <w:szCs w:val="27"/>
        </w:rPr>
        <w:t xml:space="preserve">that such a defendant should be sentenced to </w:t>
      </w:r>
      <w:r w:rsidRPr="009252C3" w:rsidR="001061A4">
        <w:rPr>
          <w:rFonts w:ascii="Century Schoolbook" w:hAnsi="Century Schoolbook"/>
          <w:i/>
          <w:sz w:val="27"/>
          <w:szCs w:val="27"/>
        </w:rPr>
        <w:t>death</w:t>
      </w:r>
      <w:r w:rsidRPr="009252C3" w:rsidR="001061A4">
        <w:rPr>
          <w:rFonts w:ascii="Century Schoolbook" w:hAnsi="Century Schoolbook"/>
          <w:sz w:val="27"/>
          <w:szCs w:val="27"/>
        </w:rPr>
        <w:t xml:space="preserve"> regardless of the circumstances.</w:t>
      </w:r>
      <w:r w:rsidRPr="009252C3" w:rsidR="004F2852">
        <w:rPr>
          <w:rFonts w:ascii="Century Schoolbook" w:hAnsi="Century Schoolbook"/>
          <w:sz w:val="27"/>
          <w:szCs w:val="27"/>
        </w:rPr>
        <w:t xml:space="preserve">  </w:t>
      </w:r>
      <w:r w:rsidR="00B03825">
        <w:rPr>
          <w:rFonts w:ascii="Century Schoolbook" w:hAnsi="Century Schoolbook"/>
          <w:sz w:val="27"/>
          <w:szCs w:val="27"/>
        </w:rPr>
        <w:t>Juror No. 7’s attitudes toward the appropriate penalty for this type of crime were further revealed by her responses to other questions:  U</w:t>
      </w:r>
      <w:r w:rsidRPr="009252C3" w:rsidR="004F2852">
        <w:rPr>
          <w:rFonts w:ascii="Century Schoolbook" w:hAnsi="Century Schoolbook"/>
          <w:sz w:val="27"/>
          <w:szCs w:val="27"/>
        </w:rPr>
        <w:t xml:space="preserve">nlike </w:t>
      </w:r>
      <w:r w:rsidR="006C7B75">
        <w:rPr>
          <w:rFonts w:ascii="Century Schoolbook" w:hAnsi="Century Schoolbook"/>
          <w:sz w:val="27"/>
          <w:szCs w:val="27"/>
        </w:rPr>
        <w:t>Alicia R.</w:t>
      </w:r>
      <w:r w:rsidRPr="009252C3" w:rsidR="004F2852">
        <w:rPr>
          <w:rFonts w:ascii="Century Schoolbook" w:hAnsi="Century Schoolbook"/>
          <w:sz w:val="27"/>
          <w:szCs w:val="27"/>
        </w:rPr>
        <w:t xml:space="preserve"> (but like Juror No.</w:t>
      </w:r>
      <w:r w:rsidRPr="009252C3" w:rsidR="002E39BC">
        <w:rPr>
          <w:rFonts w:ascii="Century Schoolbook" w:hAnsi="Century Schoolbook"/>
          <w:sz w:val="27"/>
          <w:szCs w:val="27"/>
        </w:rPr>
        <w:t> </w:t>
      </w:r>
      <w:r w:rsidRPr="009252C3" w:rsidR="004F2852">
        <w:rPr>
          <w:rFonts w:ascii="Century Schoolbook" w:hAnsi="Century Schoolbook"/>
          <w:sz w:val="27"/>
          <w:szCs w:val="27"/>
        </w:rPr>
        <w:t xml:space="preserve">4), </w:t>
      </w:r>
      <w:r w:rsidRPr="009252C3" w:rsidR="00A66E71">
        <w:rPr>
          <w:rFonts w:ascii="Century Schoolbook" w:hAnsi="Century Schoolbook"/>
          <w:sz w:val="27"/>
          <w:szCs w:val="27"/>
        </w:rPr>
        <w:t>Juror No. 7 specifically identified “[k]illing of a child” as a crime for which the death penalty may be appropriate.</w:t>
      </w:r>
      <w:r w:rsidRPr="009252C3" w:rsidR="00165860">
        <w:rPr>
          <w:rFonts w:ascii="Century Schoolbook" w:hAnsi="Century Schoolbook"/>
          <w:sz w:val="27"/>
          <w:szCs w:val="27"/>
        </w:rPr>
        <w:t xml:space="preserve">  Finally, unlike </w:t>
      </w:r>
      <w:r w:rsidR="006C7B75">
        <w:rPr>
          <w:rFonts w:ascii="Century Schoolbook" w:hAnsi="Century Schoolbook"/>
          <w:sz w:val="27"/>
          <w:szCs w:val="27"/>
        </w:rPr>
        <w:t>Alicia R.</w:t>
      </w:r>
      <w:r w:rsidRPr="009252C3" w:rsidR="00165860">
        <w:rPr>
          <w:rFonts w:ascii="Century Schoolbook" w:hAnsi="Century Schoolbook"/>
          <w:sz w:val="27"/>
          <w:szCs w:val="27"/>
        </w:rPr>
        <w:t>, who “[couldn’t] say” whether she would have the death penalty if she were making the laws, Juror No.</w:t>
      </w:r>
      <w:r w:rsidRPr="009252C3" w:rsidR="002E39BC">
        <w:rPr>
          <w:rFonts w:ascii="Century Schoolbook" w:hAnsi="Century Schoolbook"/>
          <w:sz w:val="27"/>
          <w:szCs w:val="27"/>
        </w:rPr>
        <w:t> </w:t>
      </w:r>
      <w:r w:rsidRPr="009252C3" w:rsidR="00165860">
        <w:rPr>
          <w:rFonts w:ascii="Century Schoolbook" w:hAnsi="Century Schoolbook"/>
          <w:sz w:val="27"/>
          <w:szCs w:val="27"/>
        </w:rPr>
        <w:t xml:space="preserve">7 affirmatively indicated that she </w:t>
      </w:r>
      <w:r w:rsidRPr="009252C3" w:rsidR="00165860">
        <w:rPr>
          <w:rFonts w:ascii="Century Schoolbook" w:hAnsi="Century Schoolbook"/>
          <w:i/>
          <w:sz w:val="27"/>
          <w:szCs w:val="27"/>
        </w:rPr>
        <w:t>would</w:t>
      </w:r>
      <w:r w:rsidRPr="009252C3" w:rsidR="00165860">
        <w:rPr>
          <w:rFonts w:ascii="Century Schoolbook" w:hAnsi="Century Schoolbook"/>
          <w:sz w:val="27"/>
          <w:szCs w:val="27"/>
        </w:rPr>
        <w:t xml:space="preserve"> have a death penalty “</w:t>
      </w:r>
      <w:r w:rsidRPr="009252C3" w:rsidR="001061A4">
        <w:rPr>
          <w:rFonts w:ascii="Century Schoolbook" w:hAnsi="Century Schoolbook"/>
          <w:sz w:val="27"/>
          <w:szCs w:val="27"/>
        </w:rPr>
        <w:t>to keep repeat offenders from society</w:t>
      </w:r>
      <w:r w:rsidRPr="009252C3" w:rsidR="00A66E71">
        <w:rPr>
          <w:rFonts w:ascii="Century Schoolbook" w:hAnsi="Century Schoolbook"/>
          <w:sz w:val="27"/>
          <w:szCs w:val="27"/>
        </w:rPr>
        <w:t>.</w:t>
      </w:r>
      <w:r w:rsidRPr="009252C3" w:rsidR="001061A4">
        <w:rPr>
          <w:rFonts w:ascii="Century Schoolbook" w:hAnsi="Century Schoolbook"/>
          <w:sz w:val="27"/>
          <w:szCs w:val="27"/>
        </w:rPr>
        <w:t>”</w:t>
      </w:r>
      <w:r w:rsidRPr="009252C3" w:rsidR="00165860">
        <w:rPr>
          <w:rFonts w:ascii="Century Schoolbook" w:hAnsi="Century Schoolbook"/>
          <w:sz w:val="27"/>
          <w:szCs w:val="27"/>
        </w:rPr>
        <w:t xml:space="preserve">  For the prosecution, conducting the penalty retrial of a repeat offender convicted of sexually assaulting and murdering a child, </w:t>
      </w:r>
      <w:r w:rsidRPr="009252C3">
        <w:rPr>
          <w:rFonts w:ascii="Century Schoolbook" w:hAnsi="Century Schoolbook"/>
          <w:sz w:val="27"/>
          <w:szCs w:val="27"/>
        </w:rPr>
        <w:t>the difference between the two prospective jurors’ responses would have been highly significant.</w:t>
      </w:r>
    </w:p>
    <w:p w:rsidR="007962E4" w:rsidRPr="007962E4" w:rsidP="007962E4">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 xml:space="preserve">The dissent </w:t>
      </w:r>
      <w:r w:rsidR="00CA6058">
        <w:rPr>
          <w:rFonts w:ascii="Century Schoolbook" w:hAnsi="Century Schoolbook"/>
          <w:sz w:val="27"/>
          <w:szCs w:val="27"/>
        </w:rPr>
        <w:t xml:space="preserve">stresses that the prosecution here did not challenge </w:t>
      </w:r>
      <w:r w:rsidR="006C7B75">
        <w:rPr>
          <w:rFonts w:ascii="Century Schoolbook" w:hAnsi="Century Schoolbook"/>
          <w:sz w:val="27"/>
          <w:szCs w:val="27"/>
        </w:rPr>
        <w:t>Shirley R.</w:t>
      </w:r>
      <w:r w:rsidR="00CA6058">
        <w:rPr>
          <w:rFonts w:ascii="Century Schoolbook" w:hAnsi="Century Schoolbook"/>
          <w:sz w:val="27"/>
          <w:szCs w:val="27"/>
        </w:rPr>
        <w:t xml:space="preserve">, </w:t>
      </w:r>
      <w:r w:rsidR="006C7B75">
        <w:rPr>
          <w:rFonts w:ascii="Century Schoolbook" w:hAnsi="Century Schoolbook"/>
          <w:sz w:val="27"/>
          <w:szCs w:val="27"/>
        </w:rPr>
        <w:t>Adrienne A.</w:t>
      </w:r>
      <w:r w:rsidR="00CA6058">
        <w:rPr>
          <w:rFonts w:ascii="Century Schoolbook" w:hAnsi="Century Schoolbook"/>
          <w:sz w:val="27"/>
          <w:szCs w:val="27"/>
        </w:rPr>
        <w:t xml:space="preserve"> or </w:t>
      </w:r>
      <w:r w:rsidR="006C7B75">
        <w:rPr>
          <w:rFonts w:ascii="Century Schoolbook" w:hAnsi="Century Schoolbook"/>
          <w:sz w:val="27"/>
          <w:szCs w:val="27"/>
        </w:rPr>
        <w:t>Alicia R.</w:t>
      </w:r>
      <w:r w:rsidR="00CA6058">
        <w:rPr>
          <w:rFonts w:ascii="Century Schoolbook" w:hAnsi="Century Schoolbook"/>
          <w:sz w:val="27"/>
          <w:szCs w:val="27"/>
        </w:rPr>
        <w:t xml:space="preserve"> for cause, questioning how we can then find their anti-death</w:t>
      </w:r>
      <w:r w:rsidR="00945425">
        <w:rPr>
          <w:rFonts w:ascii="Century Schoolbook" w:hAnsi="Century Schoolbook"/>
          <w:sz w:val="27"/>
          <w:szCs w:val="27"/>
        </w:rPr>
        <w:t>-</w:t>
      </w:r>
      <w:r w:rsidR="00CA6058">
        <w:rPr>
          <w:rFonts w:ascii="Century Schoolbook" w:hAnsi="Century Schoolbook"/>
          <w:sz w:val="27"/>
          <w:szCs w:val="27"/>
        </w:rPr>
        <w:t xml:space="preserve">penalty views to be obvious grounds for their excusal by peremptory challenge.  (Dis. opn. of Liu, J., </w:t>
      </w:r>
      <w:r w:rsidR="00CA6058">
        <w:rPr>
          <w:rFonts w:ascii="Century Schoolbook" w:hAnsi="Century Schoolbook"/>
          <w:i/>
          <w:sz w:val="27"/>
          <w:szCs w:val="27"/>
        </w:rPr>
        <w:t>post</w:t>
      </w:r>
      <w:r w:rsidR="00CA6058">
        <w:rPr>
          <w:rFonts w:ascii="Century Schoolbook" w:hAnsi="Century Schoolbook"/>
          <w:sz w:val="27"/>
          <w:szCs w:val="27"/>
        </w:rPr>
        <w:t xml:space="preserve">, </w:t>
      </w:r>
      <w:r w:rsidR="00DE67DA">
        <w:rPr>
          <w:rFonts w:ascii="Century Schoolbook" w:hAnsi="Century Schoolbook"/>
          <w:sz w:val="27"/>
          <w:szCs w:val="27"/>
        </w:rPr>
        <w:t xml:space="preserve">at </w:t>
      </w:r>
      <w:r w:rsidR="00CA6058">
        <w:rPr>
          <w:rFonts w:ascii="Century Schoolbook" w:hAnsi="Century Schoolbook"/>
          <w:sz w:val="27"/>
          <w:szCs w:val="27"/>
        </w:rPr>
        <w:t>p.</w:t>
      </w:r>
      <w:r w:rsidR="004F74DF">
        <w:rPr>
          <w:rFonts w:ascii="Century Schoolbook" w:hAnsi="Century Schoolbook"/>
          <w:sz w:val="27"/>
          <w:szCs w:val="27"/>
        </w:rPr>
        <w:t> </w:t>
      </w:r>
      <w:r w:rsidR="00714100">
        <w:rPr>
          <w:rFonts w:ascii="Century Schoolbook" w:hAnsi="Century Schoolbook"/>
          <w:sz w:val="27"/>
          <w:szCs w:val="27"/>
        </w:rPr>
        <w:t>15</w:t>
      </w:r>
      <w:r w:rsidR="00CA6058">
        <w:rPr>
          <w:rFonts w:ascii="Century Schoolbook" w:hAnsi="Century Schoolbook"/>
          <w:sz w:val="27"/>
          <w:szCs w:val="27"/>
        </w:rPr>
        <w:t xml:space="preserve">.)  </w:t>
      </w:r>
      <w:r w:rsidR="00D133A0">
        <w:rPr>
          <w:rFonts w:ascii="Century Schoolbook" w:hAnsi="Century Schoolbook"/>
          <w:sz w:val="27"/>
          <w:szCs w:val="27"/>
        </w:rPr>
        <w:t>The two questions, though, are entirely distinct.  “</w:t>
      </w:r>
      <w:r w:rsidRPr="00D133A0" w:rsidR="00D133A0">
        <w:rPr>
          <w:rFonts w:ascii="Century Schoolbook" w:hAnsi="Century Schoolbook"/>
          <w:sz w:val="27"/>
          <w:szCs w:val="27"/>
        </w:rPr>
        <w:t>Unlike a for-cause challenge</w:t>
      </w:r>
      <w:r w:rsidR="00D133A0">
        <w:rPr>
          <w:rFonts w:ascii="Century Schoolbook" w:hAnsi="Century Schoolbook"/>
          <w:sz w:val="27"/>
          <w:szCs w:val="27"/>
        </w:rPr>
        <w:t xml:space="preserve"> .</w:t>
      </w:r>
      <w:r w:rsidR="004F6133">
        <w:rPr>
          <w:rFonts w:ascii="Century Schoolbook" w:hAnsi="Century Schoolbook"/>
          <w:sz w:val="27"/>
          <w:szCs w:val="27"/>
        </w:rPr>
        <w:t> </w:t>
      </w:r>
      <w:r w:rsidR="00D133A0">
        <w:rPr>
          <w:rFonts w:ascii="Century Schoolbook" w:hAnsi="Century Schoolbook"/>
          <w:sz w:val="27"/>
          <w:szCs w:val="27"/>
        </w:rPr>
        <w:t>.</w:t>
      </w:r>
      <w:r w:rsidR="004F6133">
        <w:rPr>
          <w:rFonts w:ascii="Century Schoolbook" w:hAnsi="Century Schoolbook"/>
          <w:sz w:val="27"/>
          <w:szCs w:val="27"/>
        </w:rPr>
        <w:t> </w:t>
      </w:r>
      <w:r w:rsidR="00D133A0">
        <w:rPr>
          <w:rFonts w:ascii="Century Schoolbook" w:hAnsi="Century Schoolbook"/>
          <w:sz w:val="27"/>
          <w:szCs w:val="27"/>
        </w:rPr>
        <w:t>.</w:t>
      </w:r>
      <w:r w:rsidR="00DE67DA">
        <w:rPr>
          <w:rFonts w:ascii="Century Schoolbook" w:hAnsi="Century Schoolbook"/>
          <w:sz w:val="27"/>
          <w:szCs w:val="27"/>
        </w:rPr>
        <w:t> </w:t>
      </w:r>
      <w:r w:rsidRPr="00D133A0" w:rsidR="00D133A0">
        <w:rPr>
          <w:rFonts w:ascii="Century Schoolbook" w:hAnsi="Century Schoolbook"/>
          <w:sz w:val="27"/>
          <w:szCs w:val="27"/>
        </w:rPr>
        <w:t xml:space="preserve">, the issue here is not whether a juror held views that would impair his or her ability to follow the law. </w:t>
      </w:r>
      <w:r w:rsidR="00D133A0">
        <w:rPr>
          <w:rFonts w:ascii="Century Schoolbook" w:hAnsi="Century Schoolbook"/>
          <w:sz w:val="27"/>
          <w:szCs w:val="27"/>
        </w:rPr>
        <w:t xml:space="preserve"> </w:t>
      </w:r>
      <w:r w:rsidRPr="00D133A0" w:rsidR="00D133A0">
        <w:rPr>
          <w:rFonts w:ascii="Century Schoolbook" w:hAnsi="Century Schoolbook"/>
          <w:sz w:val="27"/>
          <w:szCs w:val="27"/>
        </w:rPr>
        <w:t>Unimpaired jurors may still be the subject of valid peremptory strikes.</w:t>
      </w:r>
      <w:r w:rsidR="00D133A0">
        <w:rPr>
          <w:rFonts w:ascii="Century Schoolbook" w:hAnsi="Century Schoolbook"/>
          <w:sz w:val="27"/>
          <w:szCs w:val="27"/>
        </w:rPr>
        <w:t>”  (</w:t>
      </w:r>
      <w:r w:rsidRPr="00131D73" w:rsidR="00D133A0">
        <w:rPr>
          <w:rFonts w:ascii="Century Schoolbook" w:hAnsi="Century Schoolbook"/>
          <w:i/>
          <w:iCs/>
          <w:sz w:val="27"/>
          <w:szCs w:val="27"/>
        </w:rPr>
        <w:t>People v. Armstrong</w:t>
      </w:r>
      <w:r w:rsidRPr="00131D73" w:rsidR="00D133A0">
        <w:rPr>
          <w:rFonts w:ascii="Century Schoolbook" w:hAnsi="Century Schoolbook"/>
          <w:sz w:val="27"/>
          <w:szCs w:val="27"/>
        </w:rPr>
        <w:t> (2019) 6 Cal.5th 735, 773</w:t>
      </w:r>
      <w:r w:rsidR="00D133A0">
        <w:rPr>
          <w:rFonts w:ascii="Century Schoolbook" w:hAnsi="Century Schoolbook"/>
          <w:sz w:val="27"/>
          <w:szCs w:val="27"/>
        </w:rPr>
        <w:t xml:space="preserve">.)  </w:t>
      </w:r>
      <w:r w:rsidR="00BF240E">
        <w:rPr>
          <w:rFonts w:ascii="Century Schoolbook" w:hAnsi="Century Schoolbook"/>
          <w:sz w:val="27"/>
          <w:szCs w:val="27"/>
        </w:rPr>
        <w:t xml:space="preserve">A prospective juror’s attitude toward the death penalty is a common basis for </w:t>
      </w:r>
      <w:r w:rsidRPr="001610AD" w:rsidR="00BF240E">
        <w:rPr>
          <w:rFonts w:ascii="Century Schoolbook" w:hAnsi="Century Schoolbook"/>
          <w:i/>
          <w:sz w:val="27"/>
          <w:szCs w:val="27"/>
        </w:rPr>
        <w:t>both</w:t>
      </w:r>
      <w:r w:rsidR="00BF240E">
        <w:rPr>
          <w:rFonts w:ascii="Century Schoolbook" w:hAnsi="Century Schoolbook"/>
          <w:sz w:val="27"/>
          <w:szCs w:val="27"/>
        </w:rPr>
        <w:t xml:space="preserve"> cause and peremptory challenges, and an advocate who finds a juror undesirable on that basis but is unable to have him or her excused for cause is expected to use a peremptory challenge to remove the juror.  (See </w:t>
      </w:r>
      <w:r w:rsidRPr="00131D73" w:rsidR="00BF240E">
        <w:rPr>
          <w:rFonts w:ascii="Century Schoolbook" w:hAnsi="Century Schoolbook"/>
          <w:i/>
          <w:iCs/>
          <w:sz w:val="27"/>
          <w:szCs w:val="27"/>
        </w:rPr>
        <w:t>People v. Coleman</w:t>
      </w:r>
      <w:r w:rsidRPr="00131D73" w:rsidR="00BF240E">
        <w:rPr>
          <w:rFonts w:ascii="Century Schoolbook" w:hAnsi="Century Schoolbook"/>
          <w:sz w:val="27"/>
          <w:szCs w:val="27"/>
        </w:rPr>
        <w:t> (1988) 46 Cal.3d 749, 767</w:t>
      </w:r>
      <w:r w:rsidRPr="009252C3" w:rsidR="004F6133">
        <w:rPr>
          <w:rFonts w:ascii="Century Schoolbook" w:hAnsi="Century Schoolbook"/>
          <w:sz w:val="27"/>
          <w:szCs w:val="27"/>
        </w:rPr>
        <w:t>–</w:t>
      </w:r>
      <w:r w:rsidR="00BF240E">
        <w:rPr>
          <w:rFonts w:ascii="Century Schoolbook" w:hAnsi="Century Schoolbook"/>
          <w:sz w:val="27"/>
          <w:szCs w:val="27"/>
        </w:rPr>
        <w:t xml:space="preserve">770.)  </w:t>
      </w:r>
      <w:r w:rsidR="00D133A0">
        <w:rPr>
          <w:rFonts w:ascii="Century Schoolbook" w:hAnsi="Century Schoolbook"/>
          <w:sz w:val="27"/>
          <w:szCs w:val="27"/>
        </w:rPr>
        <w:t xml:space="preserve">It is entirely plausible that the prosecutors believed they were unlikely to succeed with for-cause challenges here, but felt nonetheless that the three women’s views </w:t>
      </w:r>
      <w:r w:rsidR="00192AF1">
        <w:rPr>
          <w:rFonts w:ascii="Century Schoolbook" w:hAnsi="Century Schoolbook"/>
          <w:sz w:val="27"/>
          <w:szCs w:val="27"/>
        </w:rPr>
        <w:t xml:space="preserve">on the death penalty </w:t>
      </w:r>
      <w:r w:rsidR="00D133A0">
        <w:rPr>
          <w:rFonts w:ascii="Century Schoolbook" w:hAnsi="Century Schoolbook"/>
          <w:sz w:val="27"/>
          <w:szCs w:val="27"/>
        </w:rPr>
        <w:t>made them undesirable jurors in a penalty trial</w:t>
      </w:r>
      <w:r>
        <w:rPr>
          <w:rFonts w:ascii="Century Schoolbook" w:hAnsi="Century Schoolbook"/>
          <w:sz w:val="27"/>
          <w:szCs w:val="27"/>
        </w:rPr>
        <w:t xml:space="preserve">.  </w:t>
      </w:r>
    </w:p>
    <w:p w:rsidR="00D5572F"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Notwithstanding the various circumstances tending to dispel any inference of discrimination</w:t>
      </w:r>
      <w:r w:rsidRPr="009252C3" w:rsidR="00CD28C1">
        <w:rPr>
          <w:rFonts w:ascii="Century Schoolbook" w:hAnsi="Century Schoolbook"/>
          <w:sz w:val="27"/>
          <w:szCs w:val="27"/>
        </w:rPr>
        <w:t xml:space="preserve"> in this case</w:t>
      </w:r>
      <w:r w:rsidRPr="009252C3">
        <w:rPr>
          <w:rFonts w:ascii="Century Schoolbook" w:hAnsi="Century Schoolbook"/>
          <w:sz w:val="27"/>
          <w:szCs w:val="27"/>
        </w:rPr>
        <w:t>, defendant contends</w:t>
      </w:r>
      <w:r w:rsidRPr="009252C3" w:rsidR="00CD28C1">
        <w:rPr>
          <w:rFonts w:ascii="Century Schoolbook" w:hAnsi="Century Schoolbook"/>
          <w:sz w:val="27"/>
          <w:szCs w:val="27"/>
        </w:rPr>
        <w:t xml:space="preserve"> the high court’s </w:t>
      </w:r>
      <w:r w:rsidRPr="009252C3" w:rsidR="0017599E">
        <w:rPr>
          <w:rFonts w:ascii="Century Schoolbook" w:hAnsi="Century Schoolbook"/>
          <w:sz w:val="27"/>
          <w:szCs w:val="27"/>
        </w:rPr>
        <w:t xml:space="preserve">decision </w:t>
      </w:r>
      <w:r w:rsidRPr="009252C3" w:rsidR="00CD28C1">
        <w:rPr>
          <w:rFonts w:ascii="Century Schoolbook" w:hAnsi="Century Schoolbook"/>
          <w:sz w:val="27"/>
          <w:szCs w:val="27"/>
        </w:rPr>
        <w:t xml:space="preserve">in </w:t>
      </w:r>
      <w:r w:rsidRPr="009252C3" w:rsidR="00CD28C1">
        <w:rPr>
          <w:rFonts w:ascii="Century Schoolbook" w:hAnsi="Century Schoolbook"/>
          <w:i/>
          <w:iCs/>
          <w:sz w:val="27"/>
          <w:szCs w:val="27"/>
        </w:rPr>
        <w:t>Johnson v. California</w:t>
      </w:r>
      <w:r w:rsidRPr="009252C3" w:rsidR="00CD28C1">
        <w:rPr>
          <w:rFonts w:ascii="Century Schoolbook" w:hAnsi="Century Schoolbook"/>
          <w:sz w:val="27"/>
          <w:szCs w:val="27"/>
        </w:rPr>
        <w:t xml:space="preserve"> compels a prima facie case finding here</w:t>
      </w:r>
      <w:r w:rsidRPr="009252C3" w:rsidR="005F30C6">
        <w:rPr>
          <w:rFonts w:ascii="Century Schoolbook" w:hAnsi="Century Schoolbook"/>
          <w:sz w:val="27"/>
          <w:szCs w:val="27"/>
        </w:rPr>
        <w:t>.</w:t>
      </w:r>
      <w:r w:rsidRPr="009252C3" w:rsidR="00641D82">
        <w:rPr>
          <w:rFonts w:ascii="Century Schoolbook" w:hAnsi="Century Schoolbook"/>
          <w:sz w:val="27"/>
          <w:szCs w:val="27"/>
        </w:rPr>
        <w:t xml:space="preserve">  </w:t>
      </w:r>
      <w:r w:rsidRPr="009252C3" w:rsidR="004D3B8A">
        <w:rPr>
          <w:rFonts w:ascii="Century Schoolbook" w:hAnsi="Century Schoolbook"/>
          <w:sz w:val="27"/>
          <w:szCs w:val="27"/>
        </w:rPr>
        <w:t xml:space="preserve">Defendant relies largely on a brief paragraph in which </w:t>
      </w:r>
      <w:r w:rsidRPr="009252C3" w:rsidR="00314E96">
        <w:rPr>
          <w:rFonts w:ascii="Century Schoolbook" w:hAnsi="Century Schoolbook"/>
          <w:sz w:val="27"/>
          <w:szCs w:val="27"/>
        </w:rPr>
        <w:t xml:space="preserve">the high court noted that the inferences of discrimination that had led the trial court </w:t>
      </w:r>
      <w:r w:rsidRPr="009252C3" w:rsidR="0081109D">
        <w:rPr>
          <w:rFonts w:ascii="Century Schoolbook" w:hAnsi="Century Schoolbook"/>
          <w:sz w:val="27"/>
          <w:szCs w:val="27"/>
        </w:rPr>
        <w:t xml:space="preserve">in that case </w:t>
      </w:r>
      <w:r w:rsidRPr="009252C3" w:rsidR="00314E96">
        <w:rPr>
          <w:rFonts w:ascii="Century Schoolbook" w:hAnsi="Century Schoolbook"/>
          <w:sz w:val="27"/>
          <w:szCs w:val="27"/>
        </w:rPr>
        <w:t>to tell the parties “</w:t>
      </w:r>
      <w:r w:rsidRPr="009252C3" w:rsidR="00535740">
        <w:rPr>
          <w:rFonts w:ascii="Century Schoolbook" w:hAnsi="Century Schoolbook"/>
          <w:sz w:val="27"/>
          <w:szCs w:val="27"/>
        </w:rPr>
        <w:t> </w:t>
      </w:r>
      <w:r w:rsidRPr="009252C3" w:rsidR="00314E96">
        <w:rPr>
          <w:rFonts w:ascii="Century Schoolbook" w:hAnsi="Century Schoolbook"/>
          <w:sz w:val="27"/>
          <w:szCs w:val="27"/>
        </w:rPr>
        <w:t>‘</w:t>
      </w:r>
      <w:r w:rsidRPr="009252C3" w:rsidR="007B5A1B">
        <w:rPr>
          <w:rFonts w:ascii="Century Schoolbook" w:hAnsi="Century Schoolbook"/>
          <w:sz w:val="27"/>
          <w:szCs w:val="27"/>
        </w:rPr>
        <w:t> “</w:t>
      </w:r>
      <w:r w:rsidRPr="009252C3" w:rsidR="00314E96">
        <w:rPr>
          <w:rFonts w:ascii="Century Schoolbook" w:hAnsi="Century Schoolbook"/>
          <w:sz w:val="27"/>
          <w:szCs w:val="27"/>
        </w:rPr>
        <w:t>we are very close</w:t>
      </w:r>
      <w:r w:rsidRPr="009252C3" w:rsidR="007B5A1B">
        <w:rPr>
          <w:rFonts w:ascii="Century Schoolbook" w:hAnsi="Century Schoolbook"/>
          <w:sz w:val="27"/>
          <w:szCs w:val="27"/>
        </w:rPr>
        <w:t>” </w:t>
      </w:r>
      <w:r w:rsidRPr="009252C3" w:rsidR="00314E96">
        <w:rPr>
          <w:rFonts w:ascii="Century Schoolbook" w:hAnsi="Century Schoolbook"/>
          <w:sz w:val="27"/>
          <w:szCs w:val="27"/>
        </w:rPr>
        <w:t>’</w:t>
      </w:r>
      <w:r w:rsidRPr="009252C3" w:rsidR="00535740">
        <w:rPr>
          <w:rFonts w:ascii="Century Schoolbook" w:hAnsi="Century Schoolbook"/>
          <w:sz w:val="27"/>
          <w:szCs w:val="27"/>
        </w:rPr>
        <w:t> </w:t>
      </w:r>
      <w:r w:rsidRPr="009252C3" w:rsidR="00314E96">
        <w:rPr>
          <w:rFonts w:ascii="Century Schoolbook" w:hAnsi="Century Schoolbook"/>
          <w:sz w:val="27"/>
          <w:szCs w:val="27"/>
        </w:rPr>
        <w:t>”</w:t>
      </w:r>
      <w:r w:rsidRPr="009252C3" w:rsidR="00AD4CB4">
        <w:rPr>
          <w:rFonts w:ascii="Century Schoolbook" w:hAnsi="Century Schoolbook"/>
          <w:sz w:val="27"/>
          <w:szCs w:val="27"/>
        </w:rPr>
        <w:t>—</w:t>
      </w:r>
      <w:r w:rsidRPr="009252C3" w:rsidR="00314E96">
        <w:rPr>
          <w:rFonts w:ascii="Century Schoolbook" w:hAnsi="Century Schoolbook"/>
          <w:sz w:val="27"/>
          <w:szCs w:val="27"/>
        </w:rPr>
        <w:t xml:space="preserve">and that had </w:t>
      </w:r>
      <w:r w:rsidRPr="009252C3" w:rsidR="00AD4CB4">
        <w:rPr>
          <w:rFonts w:ascii="Century Schoolbook" w:hAnsi="Century Schoolbook"/>
          <w:sz w:val="27"/>
          <w:szCs w:val="27"/>
        </w:rPr>
        <w:t xml:space="preserve">also </w:t>
      </w:r>
      <w:r w:rsidRPr="009252C3" w:rsidR="00314E96">
        <w:rPr>
          <w:rFonts w:ascii="Century Schoolbook" w:hAnsi="Century Schoolbook"/>
          <w:sz w:val="27"/>
          <w:szCs w:val="27"/>
        </w:rPr>
        <w:t>led this court to describe the prosecution’s pattern of strikes as “</w:t>
      </w:r>
      <w:r w:rsidRPr="009252C3" w:rsidR="00535740">
        <w:rPr>
          <w:rFonts w:ascii="Century Schoolbook" w:hAnsi="Century Schoolbook"/>
          <w:sz w:val="27"/>
          <w:szCs w:val="27"/>
        </w:rPr>
        <w:t> </w:t>
      </w:r>
      <w:r w:rsidRPr="009252C3" w:rsidR="00314E96">
        <w:rPr>
          <w:rFonts w:ascii="Century Schoolbook" w:hAnsi="Century Schoolbook"/>
          <w:sz w:val="27"/>
          <w:szCs w:val="27"/>
        </w:rPr>
        <w:t>‘suspicious’</w:t>
      </w:r>
      <w:r w:rsidRPr="009252C3" w:rsidR="00535740">
        <w:rPr>
          <w:rFonts w:ascii="Century Schoolbook" w:hAnsi="Century Schoolbook"/>
          <w:sz w:val="27"/>
          <w:szCs w:val="27"/>
        </w:rPr>
        <w:t> </w:t>
      </w:r>
      <w:r w:rsidRPr="009252C3" w:rsidR="00314E96">
        <w:rPr>
          <w:rFonts w:ascii="Century Schoolbook" w:hAnsi="Century Schoolbook"/>
          <w:sz w:val="27"/>
          <w:szCs w:val="27"/>
        </w:rPr>
        <w:t>”</w:t>
      </w:r>
      <w:r w:rsidRPr="009252C3" w:rsidR="00AD4CB4">
        <w:rPr>
          <w:rFonts w:ascii="Century Schoolbook" w:hAnsi="Century Schoolbook"/>
          <w:sz w:val="27"/>
          <w:szCs w:val="27"/>
        </w:rPr>
        <w:t>—</w:t>
      </w:r>
      <w:r w:rsidRPr="009252C3" w:rsidR="00314E96">
        <w:rPr>
          <w:rFonts w:ascii="Century Schoolbook" w:hAnsi="Century Schoolbook"/>
          <w:sz w:val="27"/>
          <w:szCs w:val="27"/>
        </w:rPr>
        <w:t xml:space="preserve">were “sufficient to establish a prima facie case under </w:t>
      </w:r>
      <w:r w:rsidRPr="009252C3" w:rsidR="00314E96">
        <w:rPr>
          <w:rFonts w:ascii="Century Schoolbook" w:hAnsi="Century Schoolbook"/>
          <w:i/>
          <w:sz w:val="27"/>
          <w:szCs w:val="27"/>
        </w:rPr>
        <w:t>Batson</w:t>
      </w:r>
      <w:r w:rsidRPr="009252C3" w:rsidR="00314E96">
        <w:rPr>
          <w:rFonts w:ascii="Century Schoolbook" w:hAnsi="Century Schoolbook"/>
          <w:sz w:val="27"/>
          <w:szCs w:val="27"/>
        </w:rPr>
        <w:t xml:space="preserve">.”  </w:t>
      </w:r>
      <w:r w:rsidRPr="009252C3" w:rsidR="00D33508">
        <w:rPr>
          <w:rFonts w:ascii="Century Schoolbook" w:hAnsi="Century Schoolbook"/>
          <w:sz w:val="27"/>
          <w:szCs w:val="27"/>
        </w:rPr>
        <w:t>(</w:t>
      </w:r>
      <w:r w:rsidRPr="009252C3" w:rsidR="00D33508">
        <w:rPr>
          <w:rFonts w:ascii="Century Schoolbook" w:hAnsi="Century Schoolbook"/>
          <w:i/>
          <w:sz w:val="27"/>
          <w:szCs w:val="27"/>
        </w:rPr>
        <w:t>Johnson v. California</w:t>
      </w:r>
      <w:r w:rsidRPr="009252C3" w:rsidR="00D33508">
        <w:rPr>
          <w:rFonts w:ascii="Century Schoolbook" w:hAnsi="Century Schoolbook"/>
          <w:sz w:val="27"/>
          <w:szCs w:val="27"/>
        </w:rPr>
        <w:t xml:space="preserve">, </w:t>
      </w:r>
      <w:r w:rsidRPr="009252C3" w:rsidR="00D33508">
        <w:rPr>
          <w:rFonts w:ascii="Century Schoolbook" w:hAnsi="Century Schoolbook"/>
          <w:i/>
          <w:sz w:val="27"/>
          <w:szCs w:val="27"/>
        </w:rPr>
        <w:t>supra</w:t>
      </w:r>
      <w:r w:rsidRPr="009252C3" w:rsidR="00D33508">
        <w:rPr>
          <w:rFonts w:ascii="Century Schoolbook" w:hAnsi="Century Schoolbook"/>
          <w:sz w:val="27"/>
          <w:szCs w:val="27"/>
        </w:rPr>
        <w:t>, 545 U.S. at p</w:t>
      </w:r>
      <w:r w:rsidRPr="009252C3" w:rsidR="00535740">
        <w:rPr>
          <w:rFonts w:ascii="Century Schoolbook" w:hAnsi="Century Schoolbook"/>
          <w:sz w:val="27"/>
          <w:szCs w:val="27"/>
        </w:rPr>
        <w:t>. </w:t>
      </w:r>
      <w:r w:rsidRPr="009252C3" w:rsidR="00D33508">
        <w:rPr>
          <w:rFonts w:ascii="Century Schoolbook" w:hAnsi="Century Schoolbook"/>
          <w:sz w:val="27"/>
          <w:szCs w:val="27"/>
        </w:rPr>
        <w:t xml:space="preserve">173.)  </w:t>
      </w:r>
      <w:r w:rsidRPr="009252C3" w:rsidR="00314E96">
        <w:rPr>
          <w:rFonts w:ascii="Century Schoolbook" w:hAnsi="Century Schoolbook"/>
          <w:sz w:val="27"/>
          <w:szCs w:val="27"/>
        </w:rPr>
        <w:t xml:space="preserve">Defendant </w:t>
      </w:r>
      <w:r w:rsidRPr="009252C3" w:rsidR="00D33508">
        <w:rPr>
          <w:rFonts w:ascii="Century Schoolbook" w:hAnsi="Century Schoolbook"/>
          <w:sz w:val="27"/>
          <w:szCs w:val="27"/>
        </w:rPr>
        <w:t xml:space="preserve">argues </w:t>
      </w:r>
      <w:r w:rsidRPr="009252C3" w:rsidR="00314E96">
        <w:rPr>
          <w:rFonts w:ascii="Century Schoolbook" w:hAnsi="Century Schoolbook"/>
          <w:sz w:val="27"/>
          <w:szCs w:val="27"/>
        </w:rPr>
        <w:t xml:space="preserve">the same result should obtain here, </w:t>
      </w:r>
      <w:r w:rsidRPr="009252C3" w:rsidR="00D33508">
        <w:rPr>
          <w:rFonts w:ascii="Century Schoolbook" w:hAnsi="Century Schoolbook"/>
          <w:sz w:val="27"/>
          <w:szCs w:val="27"/>
        </w:rPr>
        <w:t>since this case involves a similar pattern of strikes against African-American prospective jurors and a similar statement by the trial judge about being “close.”</w:t>
      </w:r>
    </w:p>
    <w:p w:rsidR="00527B22"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To the extent defendant argues that </w:t>
      </w:r>
      <w:r w:rsidRPr="009252C3" w:rsidR="006449A4">
        <w:rPr>
          <w:rFonts w:ascii="Century Schoolbook" w:hAnsi="Century Schoolbook"/>
          <w:i/>
          <w:sz w:val="27"/>
          <w:szCs w:val="27"/>
        </w:rPr>
        <w:t>Johnson v. California</w:t>
      </w:r>
      <w:r w:rsidRPr="009252C3" w:rsidR="006F2FA4">
        <w:rPr>
          <w:rFonts w:ascii="Century Schoolbook" w:hAnsi="Century Schoolbook"/>
          <w:sz w:val="27"/>
          <w:szCs w:val="27"/>
        </w:rPr>
        <w:t xml:space="preserve"> requires us to find a prima facie case </w:t>
      </w:r>
      <w:r w:rsidRPr="009252C3" w:rsidR="00AA08B3">
        <w:rPr>
          <w:rFonts w:ascii="Century Schoolbook" w:hAnsi="Century Schoolbook"/>
          <w:sz w:val="27"/>
          <w:szCs w:val="27"/>
        </w:rPr>
        <w:t xml:space="preserve">based on </w:t>
      </w:r>
      <w:r w:rsidRPr="009252C3" w:rsidR="00D5572F">
        <w:rPr>
          <w:rFonts w:ascii="Century Schoolbook" w:hAnsi="Century Schoolbook"/>
          <w:sz w:val="27"/>
          <w:szCs w:val="27"/>
        </w:rPr>
        <w:t xml:space="preserve">the pattern of strikes </w:t>
      </w:r>
      <w:r w:rsidRPr="009252C3" w:rsidR="00AA08B3">
        <w:rPr>
          <w:rFonts w:ascii="Century Schoolbook" w:hAnsi="Century Schoolbook"/>
          <w:sz w:val="27"/>
          <w:szCs w:val="27"/>
        </w:rPr>
        <w:t>alone</w:t>
      </w:r>
      <w:r w:rsidRPr="009252C3" w:rsidR="00585F15">
        <w:rPr>
          <w:rFonts w:ascii="Century Schoolbook" w:hAnsi="Century Schoolbook"/>
          <w:sz w:val="27"/>
          <w:szCs w:val="27"/>
        </w:rPr>
        <w:t xml:space="preserve">, </w:t>
      </w:r>
      <w:r w:rsidRPr="009252C3">
        <w:rPr>
          <w:rFonts w:ascii="Century Schoolbook" w:hAnsi="Century Schoolbook"/>
          <w:sz w:val="27"/>
          <w:szCs w:val="27"/>
        </w:rPr>
        <w:t>we are unpersuaded</w:t>
      </w:r>
      <w:r w:rsidRPr="009252C3" w:rsidR="00E254FE">
        <w:rPr>
          <w:rFonts w:ascii="Century Schoolbook" w:hAnsi="Century Schoolbook"/>
          <w:sz w:val="27"/>
          <w:szCs w:val="27"/>
        </w:rPr>
        <w:t>.</w:t>
      </w:r>
      <w:r w:rsidRPr="009252C3">
        <w:rPr>
          <w:rFonts w:ascii="Century Schoolbook" w:hAnsi="Century Schoolbook"/>
          <w:sz w:val="27"/>
          <w:szCs w:val="27"/>
        </w:rPr>
        <w:t xml:space="preserve">  It was not the pattern of strikes alone that gave rise to the inference of discrimination in </w:t>
      </w:r>
      <w:r w:rsidRPr="009252C3">
        <w:rPr>
          <w:rFonts w:ascii="Century Schoolbook" w:hAnsi="Century Schoolbook"/>
          <w:i/>
          <w:sz w:val="27"/>
          <w:szCs w:val="27"/>
        </w:rPr>
        <w:t>Johnson v. California</w:t>
      </w:r>
      <w:r w:rsidRPr="009252C3" w:rsidR="00AD4CB4">
        <w:rPr>
          <w:rFonts w:ascii="Century Schoolbook" w:hAnsi="Century Schoolbook"/>
          <w:sz w:val="27"/>
          <w:szCs w:val="27"/>
        </w:rPr>
        <w:t xml:space="preserve">; context mattered as well.  </w:t>
      </w:r>
      <w:r w:rsidRPr="009252C3">
        <w:rPr>
          <w:rFonts w:ascii="Century Schoolbook" w:hAnsi="Century Schoolbook"/>
          <w:i/>
          <w:sz w:val="27"/>
          <w:szCs w:val="27"/>
        </w:rPr>
        <w:t>Johnson v. California</w:t>
      </w:r>
      <w:r w:rsidRPr="009252C3">
        <w:rPr>
          <w:rFonts w:ascii="Century Schoolbook" w:hAnsi="Century Schoolbook"/>
          <w:sz w:val="27"/>
          <w:szCs w:val="27"/>
        </w:rPr>
        <w:t xml:space="preserve">, unlike this case, </w:t>
      </w:r>
      <w:r w:rsidRPr="009252C3" w:rsidR="00631AF3">
        <w:rPr>
          <w:rFonts w:ascii="Century Schoolbook" w:hAnsi="Century Schoolbook"/>
          <w:sz w:val="27"/>
          <w:szCs w:val="27"/>
        </w:rPr>
        <w:t>“</w:t>
      </w:r>
      <w:r w:rsidRPr="009252C3" w:rsidR="00D06444">
        <w:rPr>
          <w:rFonts w:ascii="Century Schoolbook" w:hAnsi="Century Schoolbook"/>
          <w:sz w:val="27"/>
          <w:szCs w:val="27"/>
        </w:rPr>
        <w:t>involved the ‘highly relevant’ circumstance that a black defendant was ‘charged with killing “his White girlfriend’s child.”</w:t>
      </w:r>
      <w:r w:rsidRPr="009252C3" w:rsidR="00535740">
        <w:rPr>
          <w:rFonts w:ascii="Century Schoolbook" w:hAnsi="Century Schoolbook"/>
          <w:sz w:val="27"/>
          <w:szCs w:val="27"/>
        </w:rPr>
        <w:t> </w:t>
      </w:r>
      <w:r w:rsidRPr="009252C3" w:rsidR="00D06444">
        <w:rPr>
          <w:rFonts w:ascii="Century Schoolbook" w:hAnsi="Century Schoolbook"/>
          <w:sz w:val="27"/>
          <w:szCs w:val="27"/>
        </w:rPr>
        <w:t>’</w:t>
      </w:r>
      <w:r w:rsidRPr="009252C3" w:rsidR="00535740">
        <w:rPr>
          <w:rFonts w:ascii="Century Schoolbook" w:hAnsi="Century Schoolbook"/>
          <w:sz w:val="27"/>
          <w:szCs w:val="27"/>
        </w:rPr>
        <w:t> </w:t>
      </w:r>
      <w:r w:rsidRPr="009252C3" w:rsidR="00D06444">
        <w:rPr>
          <w:rFonts w:ascii="Century Schoolbook" w:hAnsi="Century Schoolbook"/>
          <w:sz w:val="27"/>
          <w:szCs w:val="27"/>
        </w:rPr>
        <w:t xml:space="preserve">”  </w:t>
      </w:r>
      <w:r w:rsidRPr="009252C3" w:rsidR="00EC4D7B">
        <w:rPr>
          <w:rFonts w:ascii="Century Schoolbook" w:hAnsi="Century Schoolbook"/>
          <w:sz w:val="27"/>
          <w:szCs w:val="27"/>
        </w:rPr>
        <w:t>(</w:t>
      </w:r>
      <w:r w:rsidRPr="009252C3" w:rsidR="00BA599C">
        <w:rPr>
          <w:rFonts w:ascii="Century Schoolbook" w:hAnsi="Century Schoolbook"/>
          <w:i/>
          <w:sz w:val="27"/>
          <w:szCs w:val="27"/>
        </w:rPr>
        <w:t>Johnson v. California</w:t>
      </w:r>
      <w:r w:rsidRPr="009252C3" w:rsidR="00BA599C">
        <w:rPr>
          <w:rFonts w:ascii="Century Schoolbook" w:hAnsi="Century Schoolbook"/>
          <w:sz w:val="27"/>
          <w:szCs w:val="27"/>
        </w:rPr>
        <w:t xml:space="preserve">, </w:t>
      </w:r>
      <w:r w:rsidRPr="009252C3" w:rsidR="00BA599C">
        <w:rPr>
          <w:rFonts w:ascii="Century Schoolbook" w:hAnsi="Century Schoolbook"/>
          <w:i/>
          <w:sz w:val="27"/>
          <w:szCs w:val="27"/>
        </w:rPr>
        <w:t>supra</w:t>
      </w:r>
      <w:r w:rsidRPr="009252C3" w:rsidR="00BA599C">
        <w:rPr>
          <w:rFonts w:ascii="Century Schoolbook" w:hAnsi="Century Schoolbook"/>
          <w:sz w:val="27"/>
          <w:szCs w:val="27"/>
        </w:rPr>
        <w:t>, 545 U.S. at p.</w:t>
      </w:r>
      <w:r w:rsidRPr="009252C3" w:rsidR="00535740">
        <w:rPr>
          <w:rFonts w:ascii="Century Schoolbook" w:hAnsi="Century Schoolbook"/>
          <w:sz w:val="27"/>
          <w:szCs w:val="27"/>
        </w:rPr>
        <w:t> </w:t>
      </w:r>
      <w:r w:rsidRPr="009252C3" w:rsidR="00EC4D7B">
        <w:rPr>
          <w:rFonts w:ascii="Century Schoolbook" w:hAnsi="Century Schoolbook"/>
          <w:sz w:val="27"/>
          <w:szCs w:val="27"/>
        </w:rPr>
        <w:t xml:space="preserve">167, quoting </w:t>
      </w:r>
      <w:r w:rsidRPr="0082603D" w:rsidR="0082603D">
        <w:rPr>
          <w:rFonts w:ascii="Century Schoolbook" w:hAnsi="Century Schoolbook"/>
          <w:i/>
          <w:sz w:val="27"/>
          <w:szCs w:val="27"/>
        </w:rPr>
        <w:t xml:space="preserve">People v. </w:t>
      </w:r>
      <w:r w:rsidRPr="009252C3" w:rsidR="00EC4D7B">
        <w:rPr>
          <w:rFonts w:ascii="Century Schoolbook" w:hAnsi="Century Schoolbook"/>
          <w:i/>
          <w:sz w:val="27"/>
          <w:szCs w:val="27"/>
        </w:rPr>
        <w:t>Johnson</w:t>
      </w:r>
      <w:r w:rsidRPr="009252C3" w:rsidR="00EC4D7B">
        <w:rPr>
          <w:rFonts w:ascii="Century Schoolbook" w:hAnsi="Century Schoolbook"/>
          <w:sz w:val="27"/>
          <w:szCs w:val="27"/>
        </w:rPr>
        <w:t xml:space="preserve">, </w:t>
      </w:r>
      <w:r w:rsidRPr="009252C3" w:rsidR="00EC4D7B">
        <w:rPr>
          <w:rFonts w:ascii="Century Schoolbook" w:hAnsi="Century Schoolbook"/>
          <w:i/>
          <w:sz w:val="27"/>
          <w:szCs w:val="27"/>
        </w:rPr>
        <w:t>supra</w:t>
      </w:r>
      <w:r w:rsidRPr="009252C3" w:rsidR="00EC4D7B">
        <w:rPr>
          <w:rFonts w:ascii="Century Schoolbook" w:hAnsi="Century Schoolbook"/>
          <w:sz w:val="27"/>
          <w:szCs w:val="27"/>
        </w:rPr>
        <w:t xml:space="preserve">, </w:t>
      </w:r>
      <w:r w:rsidRPr="009252C3" w:rsidR="007B5A1B">
        <w:rPr>
          <w:rFonts w:ascii="Century Schoolbook" w:hAnsi="Century Schoolbook"/>
          <w:sz w:val="27"/>
          <w:szCs w:val="27"/>
        </w:rPr>
        <w:t xml:space="preserve">30 Cal.4th </w:t>
      </w:r>
      <w:r w:rsidRPr="009252C3" w:rsidR="00EC4D7B">
        <w:rPr>
          <w:rFonts w:ascii="Century Schoolbook" w:hAnsi="Century Schoolbook"/>
          <w:sz w:val="27"/>
          <w:szCs w:val="27"/>
        </w:rPr>
        <w:t>at p.</w:t>
      </w:r>
      <w:r w:rsidRPr="009252C3" w:rsidR="00535740">
        <w:rPr>
          <w:rFonts w:ascii="Century Schoolbook" w:hAnsi="Century Schoolbook"/>
          <w:sz w:val="27"/>
          <w:szCs w:val="27"/>
        </w:rPr>
        <w:t> </w:t>
      </w:r>
      <w:r w:rsidRPr="009252C3" w:rsidR="00EC4D7B">
        <w:rPr>
          <w:rFonts w:ascii="Century Schoolbook" w:hAnsi="Century Schoolbook"/>
          <w:sz w:val="27"/>
          <w:szCs w:val="27"/>
        </w:rPr>
        <w:t>1326</w:t>
      </w:r>
      <w:r w:rsidRPr="009252C3" w:rsidR="0037607B">
        <w:rPr>
          <w:rFonts w:ascii="Century Schoolbook" w:hAnsi="Century Schoolbook"/>
          <w:sz w:val="27"/>
          <w:szCs w:val="27"/>
        </w:rPr>
        <w:t xml:space="preserve">.)  </w:t>
      </w:r>
      <w:r w:rsidRPr="009252C3" w:rsidR="004D1C8E">
        <w:rPr>
          <w:rFonts w:ascii="Century Schoolbook" w:hAnsi="Century Schoolbook"/>
          <w:sz w:val="27"/>
          <w:szCs w:val="27"/>
        </w:rPr>
        <w:t>Although defendant suggests otherwise, n</w:t>
      </w:r>
      <w:r w:rsidRPr="009252C3" w:rsidR="00BA599C">
        <w:rPr>
          <w:rFonts w:ascii="Century Schoolbook" w:hAnsi="Century Schoolbook"/>
          <w:sz w:val="27"/>
          <w:szCs w:val="27"/>
        </w:rPr>
        <w:t xml:space="preserve">othing in the high court’s opinion </w:t>
      </w:r>
      <w:r w:rsidRPr="009252C3" w:rsidR="00B54FF8">
        <w:rPr>
          <w:rFonts w:ascii="Century Schoolbook" w:hAnsi="Century Schoolbook"/>
          <w:sz w:val="27"/>
          <w:szCs w:val="27"/>
        </w:rPr>
        <w:t>indicates</w:t>
      </w:r>
      <w:r w:rsidRPr="009252C3" w:rsidR="00BA599C">
        <w:rPr>
          <w:rFonts w:ascii="Century Schoolbook" w:hAnsi="Century Schoolbook"/>
          <w:sz w:val="27"/>
          <w:szCs w:val="27"/>
        </w:rPr>
        <w:t xml:space="preserve"> any disagreement with the proposition that the racial</w:t>
      </w:r>
      <w:r w:rsidRPr="009252C3" w:rsidR="00AC0150">
        <w:rPr>
          <w:rFonts w:ascii="Century Schoolbook" w:hAnsi="Century Schoolbook"/>
          <w:sz w:val="27"/>
          <w:szCs w:val="27"/>
        </w:rPr>
        <w:t xml:space="preserve">ly </w:t>
      </w:r>
      <w:r w:rsidRPr="009252C3" w:rsidR="008D08F9">
        <w:rPr>
          <w:rFonts w:ascii="Century Schoolbook" w:hAnsi="Century Schoolbook"/>
          <w:sz w:val="27"/>
          <w:szCs w:val="27"/>
        </w:rPr>
        <w:t>charged</w:t>
      </w:r>
      <w:r w:rsidRPr="009252C3" w:rsidR="00314E96">
        <w:rPr>
          <w:rFonts w:ascii="Century Schoolbook" w:hAnsi="Century Schoolbook"/>
          <w:sz w:val="27"/>
          <w:szCs w:val="27"/>
        </w:rPr>
        <w:t xml:space="preserve"> </w:t>
      </w:r>
      <w:r w:rsidRPr="009252C3" w:rsidR="00AC0150">
        <w:rPr>
          <w:rFonts w:ascii="Century Schoolbook" w:hAnsi="Century Schoolbook"/>
          <w:sz w:val="27"/>
          <w:szCs w:val="27"/>
        </w:rPr>
        <w:t xml:space="preserve">nature </w:t>
      </w:r>
      <w:r w:rsidRPr="009252C3" w:rsidR="00BA599C">
        <w:rPr>
          <w:rFonts w:ascii="Century Schoolbook" w:hAnsi="Century Schoolbook"/>
          <w:sz w:val="27"/>
          <w:szCs w:val="27"/>
        </w:rPr>
        <w:t>of a case may properly inform an appellate court’s consideration of whether a pattern of strikes establishes a prima facie case of discrimination.</w:t>
      </w:r>
      <w:r>
        <w:rPr>
          <w:rStyle w:val="FootnoteReference"/>
          <w:rFonts w:ascii="Century Schoolbook" w:hAnsi="Century Schoolbook"/>
          <w:sz w:val="27"/>
          <w:szCs w:val="27"/>
          <w:vertAlign w:val="superscript"/>
        </w:rPr>
        <w:footnoteReference w:id="22"/>
      </w:r>
      <w:r w:rsidRPr="009252C3" w:rsidR="001049C6">
        <w:rPr>
          <w:rFonts w:ascii="Century Schoolbook" w:hAnsi="Century Schoolbook"/>
          <w:sz w:val="27"/>
          <w:szCs w:val="27"/>
        </w:rPr>
        <w:t xml:space="preserve">  Nor does the high court’s opinion suggest that other factors—such as discrepancies in the extent or quality of questioning, or readily apparent </w:t>
      </w:r>
      <w:r w:rsidRPr="009252C3" w:rsidR="00405786">
        <w:rPr>
          <w:rFonts w:ascii="Century Schoolbook" w:hAnsi="Century Schoolbook"/>
          <w:sz w:val="27"/>
          <w:szCs w:val="27"/>
        </w:rPr>
        <w:t xml:space="preserve">race-neutral </w:t>
      </w:r>
      <w:r w:rsidRPr="009252C3" w:rsidR="001049C6">
        <w:rPr>
          <w:rFonts w:ascii="Century Schoolbook" w:hAnsi="Century Schoolbook"/>
          <w:sz w:val="27"/>
          <w:szCs w:val="27"/>
        </w:rPr>
        <w:t xml:space="preserve">reasons for </w:t>
      </w:r>
      <w:r w:rsidRPr="009252C3" w:rsidR="00405786">
        <w:rPr>
          <w:rFonts w:ascii="Century Schoolbook" w:hAnsi="Century Schoolbook"/>
          <w:sz w:val="27"/>
          <w:szCs w:val="27"/>
        </w:rPr>
        <w:t>exercising the strikes</w:t>
      </w:r>
      <w:r w:rsidRPr="009252C3" w:rsidR="001049C6">
        <w:rPr>
          <w:rFonts w:ascii="Century Schoolbook" w:hAnsi="Century Schoolbook"/>
          <w:sz w:val="27"/>
          <w:szCs w:val="27"/>
        </w:rPr>
        <w:t>—are irrelevant to the inquiry.</w:t>
      </w:r>
    </w:p>
    <w:p w:rsidR="000C776E">
      <w:pPr>
        <w:pStyle w:val="Text"/>
        <w:spacing w:before="100" w:line="400" w:lineRule="exact"/>
        <w:ind w:firstLine="720"/>
        <w:jc w:val="both"/>
        <w:rPr>
          <w:rFonts w:ascii="Century Schoolbook" w:hAnsi="Century Schoolbook"/>
          <w:sz w:val="27"/>
          <w:szCs w:val="27"/>
        </w:rPr>
      </w:pPr>
      <w:r>
        <w:rPr>
          <w:rFonts w:ascii="Century Schoolbook" w:hAnsi="Century Schoolbook"/>
          <w:sz w:val="27"/>
          <w:szCs w:val="27"/>
        </w:rPr>
        <w:t>Defendant</w:t>
      </w:r>
      <w:r w:rsidR="005D2B81">
        <w:rPr>
          <w:rFonts w:ascii="Century Schoolbook" w:hAnsi="Century Schoolbook"/>
          <w:sz w:val="27"/>
          <w:szCs w:val="27"/>
        </w:rPr>
        <w:t xml:space="preserve"> and our </w:t>
      </w:r>
      <w:r>
        <w:rPr>
          <w:rFonts w:ascii="Century Schoolbook" w:hAnsi="Century Schoolbook"/>
          <w:sz w:val="27"/>
          <w:szCs w:val="27"/>
        </w:rPr>
        <w:t xml:space="preserve">dissenting colleague argue that the high court </w:t>
      </w:r>
      <w:r w:rsidR="0093029B">
        <w:rPr>
          <w:rFonts w:ascii="Century Schoolbook" w:hAnsi="Century Schoolbook"/>
          <w:sz w:val="27"/>
          <w:szCs w:val="27"/>
        </w:rPr>
        <w:t xml:space="preserve">in </w:t>
      </w:r>
      <w:r w:rsidR="0093029B">
        <w:rPr>
          <w:rFonts w:ascii="Century Schoolbook" w:hAnsi="Century Schoolbook"/>
          <w:i/>
          <w:sz w:val="27"/>
          <w:szCs w:val="27"/>
        </w:rPr>
        <w:t xml:space="preserve">Johnson v. California </w:t>
      </w:r>
      <w:r>
        <w:rPr>
          <w:rFonts w:ascii="Century Schoolbook" w:hAnsi="Century Schoolbook"/>
          <w:sz w:val="27"/>
          <w:szCs w:val="27"/>
        </w:rPr>
        <w:t xml:space="preserve">did at least imply that such reasons are irrelevant by failing to address any of them.  </w:t>
      </w:r>
      <w:r w:rsidR="005D2B81">
        <w:rPr>
          <w:rFonts w:ascii="Century Schoolbook" w:hAnsi="Century Schoolbook"/>
          <w:sz w:val="27"/>
          <w:szCs w:val="27"/>
        </w:rPr>
        <w:t>(Dis. opn. of Liu, J., at p</w:t>
      </w:r>
      <w:r w:rsidR="003C2E14">
        <w:rPr>
          <w:rFonts w:ascii="Century Schoolbook" w:hAnsi="Century Schoolbook"/>
          <w:sz w:val="27"/>
          <w:szCs w:val="27"/>
        </w:rPr>
        <w:t>p</w:t>
      </w:r>
      <w:r w:rsidR="005D2B81">
        <w:rPr>
          <w:rFonts w:ascii="Century Schoolbook" w:hAnsi="Century Schoolbook"/>
          <w:sz w:val="27"/>
          <w:szCs w:val="27"/>
        </w:rPr>
        <w:t>.</w:t>
      </w:r>
      <w:r w:rsidR="0034027E">
        <w:rPr>
          <w:rFonts w:ascii="Century Schoolbook" w:hAnsi="Century Schoolbook"/>
          <w:sz w:val="27"/>
          <w:szCs w:val="27"/>
        </w:rPr>
        <w:t> </w:t>
      </w:r>
      <w:r w:rsidR="003C2E14">
        <w:rPr>
          <w:rFonts w:ascii="Century Schoolbook" w:hAnsi="Century Schoolbook"/>
          <w:sz w:val="27"/>
          <w:szCs w:val="27"/>
        </w:rPr>
        <w:t>11,</w:t>
      </w:r>
      <w:r w:rsidR="005D2B81">
        <w:rPr>
          <w:rFonts w:ascii="Century Schoolbook" w:hAnsi="Century Schoolbook"/>
          <w:sz w:val="27"/>
          <w:szCs w:val="27"/>
        </w:rPr>
        <w:t xml:space="preserve"> </w:t>
      </w:r>
      <w:r w:rsidR="00F557CC">
        <w:rPr>
          <w:rFonts w:ascii="Century Schoolbook" w:hAnsi="Century Schoolbook"/>
          <w:sz w:val="27"/>
          <w:szCs w:val="27"/>
        </w:rPr>
        <w:t>15</w:t>
      </w:r>
      <w:r w:rsidRPr="009252C3" w:rsidR="00F557CC">
        <w:rPr>
          <w:rFonts w:ascii="Century Schoolbook" w:hAnsi="Century Schoolbook"/>
          <w:sz w:val="27"/>
          <w:szCs w:val="27"/>
        </w:rPr>
        <w:t>–</w:t>
      </w:r>
      <w:r w:rsidR="005D2B81">
        <w:rPr>
          <w:rFonts w:ascii="Century Schoolbook" w:hAnsi="Century Schoolbook"/>
          <w:sz w:val="27"/>
          <w:szCs w:val="27"/>
        </w:rPr>
        <w:t>1</w:t>
      </w:r>
      <w:r w:rsidR="00714100">
        <w:rPr>
          <w:rFonts w:ascii="Century Schoolbook" w:hAnsi="Century Schoolbook"/>
          <w:sz w:val="27"/>
          <w:szCs w:val="27"/>
        </w:rPr>
        <w:t>6</w:t>
      </w:r>
      <w:r w:rsidR="005D2B81">
        <w:rPr>
          <w:rFonts w:ascii="Century Schoolbook" w:hAnsi="Century Schoolbook"/>
          <w:sz w:val="27"/>
          <w:szCs w:val="27"/>
        </w:rPr>
        <w:t xml:space="preserve">.)  </w:t>
      </w:r>
      <w:r>
        <w:rPr>
          <w:rFonts w:ascii="Century Schoolbook" w:hAnsi="Century Schoolbook"/>
          <w:sz w:val="27"/>
          <w:szCs w:val="27"/>
        </w:rPr>
        <w:t xml:space="preserve">Although the trial court in that case </w:t>
      </w:r>
      <w:r w:rsidRPr="00ED04F5" w:rsidR="00F320FF">
        <w:rPr>
          <w:rFonts w:ascii="Century Schoolbook" w:hAnsi="Century Schoolbook"/>
          <w:sz w:val="27"/>
          <w:szCs w:val="27"/>
        </w:rPr>
        <w:t>had hypothesized certain race-neutral reasons for the peremptory challenges</w:t>
      </w:r>
      <w:r>
        <w:rPr>
          <w:rFonts w:ascii="Century Schoolbook" w:hAnsi="Century Schoolbook"/>
          <w:sz w:val="27"/>
          <w:szCs w:val="27"/>
        </w:rPr>
        <w:t>—</w:t>
      </w:r>
      <w:r w:rsidR="003C2E14">
        <w:rPr>
          <w:rFonts w:ascii="Century Schoolbook" w:hAnsi="Century Schoolbook"/>
          <w:sz w:val="27"/>
          <w:szCs w:val="27"/>
        </w:rPr>
        <w:t>“</w:t>
      </w:r>
      <w:r w:rsidRPr="00ED04F5">
        <w:rPr>
          <w:rFonts w:ascii="Century Schoolbook" w:hAnsi="Century Schoolbook"/>
          <w:sz w:val="27"/>
          <w:szCs w:val="27"/>
        </w:rPr>
        <w:t>that the black venire members had offered equivocal or confused answers in their written questionnaires” (</w:t>
      </w:r>
      <w:r w:rsidRPr="00ED04F5">
        <w:rPr>
          <w:rFonts w:ascii="Century Schoolbook" w:hAnsi="Century Schoolbook"/>
          <w:i/>
          <w:iCs/>
          <w:sz w:val="27"/>
          <w:szCs w:val="27"/>
        </w:rPr>
        <w:t>Johnson v. California</w:t>
      </w:r>
      <w:r w:rsidRPr="00ED04F5">
        <w:rPr>
          <w:rFonts w:ascii="Century Schoolbook" w:hAnsi="Century Schoolbook"/>
          <w:iCs/>
          <w:sz w:val="27"/>
          <w:szCs w:val="27"/>
        </w:rPr>
        <w:t>,</w:t>
      </w:r>
      <w:r w:rsidRPr="00ED04F5">
        <w:rPr>
          <w:rFonts w:ascii="Century Schoolbook" w:hAnsi="Century Schoolbook"/>
          <w:i/>
          <w:iCs/>
          <w:sz w:val="27"/>
          <w:szCs w:val="27"/>
        </w:rPr>
        <w:t xml:space="preserve"> supra</w:t>
      </w:r>
      <w:r w:rsidRPr="00ED04F5">
        <w:rPr>
          <w:rFonts w:ascii="Century Schoolbook" w:hAnsi="Century Schoolbook"/>
          <w:iCs/>
          <w:sz w:val="27"/>
          <w:szCs w:val="27"/>
        </w:rPr>
        <w:t>,</w:t>
      </w:r>
      <w:r w:rsidRPr="00ED04F5">
        <w:rPr>
          <w:rFonts w:ascii="Century Schoolbook" w:hAnsi="Century Schoolbook"/>
          <w:sz w:val="27"/>
          <w:szCs w:val="27"/>
        </w:rPr>
        <w:t> 545 U.S. at p. 165)—</w:t>
      </w:r>
      <w:r w:rsidRPr="00ED04F5" w:rsidR="00F320FF">
        <w:rPr>
          <w:rFonts w:ascii="Century Schoolbook" w:hAnsi="Century Schoolbook"/>
          <w:sz w:val="27"/>
          <w:szCs w:val="27"/>
        </w:rPr>
        <w:t xml:space="preserve">the high court did not mention those reasons in addressing whether a prima facie case was established.  </w:t>
      </w:r>
      <w:r w:rsidR="00B03825">
        <w:rPr>
          <w:rFonts w:ascii="Century Schoolbook" w:hAnsi="Century Schoolbook"/>
          <w:sz w:val="27"/>
          <w:szCs w:val="27"/>
        </w:rPr>
        <w:t xml:space="preserve">But </w:t>
      </w:r>
      <w:r>
        <w:rPr>
          <w:rFonts w:ascii="Century Schoolbook" w:hAnsi="Century Schoolbook"/>
          <w:sz w:val="27"/>
          <w:szCs w:val="27"/>
        </w:rPr>
        <w:t>the omission is not significant, because the reasons themselves were not significant</w:t>
      </w:r>
      <w:r w:rsidRPr="00ED04F5" w:rsidR="00F320FF">
        <w:rPr>
          <w:rFonts w:ascii="Century Schoolbook" w:hAnsi="Century Schoolbook"/>
          <w:sz w:val="27"/>
          <w:szCs w:val="27"/>
        </w:rPr>
        <w:t>.</w:t>
      </w:r>
      <w:r>
        <w:rPr>
          <w:rFonts w:ascii="Century Schoolbook" w:hAnsi="Century Schoolbook"/>
          <w:sz w:val="27"/>
          <w:szCs w:val="27"/>
        </w:rPr>
        <w:t xml:space="preserve">  </w:t>
      </w:r>
      <w:r>
        <w:rPr>
          <w:rFonts w:ascii="Century Schoolbook" w:hAnsi="Century Schoolbook"/>
          <w:iCs/>
          <w:sz w:val="27"/>
          <w:szCs w:val="27"/>
        </w:rPr>
        <w:t xml:space="preserve">Of the three disputed prospective jurors in </w:t>
      </w:r>
      <w:r>
        <w:rPr>
          <w:rFonts w:ascii="Century Schoolbook" w:hAnsi="Century Schoolbook"/>
          <w:i/>
          <w:iCs/>
          <w:sz w:val="27"/>
          <w:szCs w:val="27"/>
        </w:rPr>
        <w:t>Johnson v. California</w:t>
      </w:r>
      <w:r>
        <w:rPr>
          <w:rFonts w:ascii="Century Schoolbook" w:hAnsi="Century Schoolbook"/>
          <w:iCs/>
          <w:sz w:val="27"/>
          <w:szCs w:val="27"/>
        </w:rPr>
        <w:t>, one gave what the trial court described as a “ ‘rambling’ ” response that suggested difficulty in understanding, the second answered a question according to her “ ‘emotions and feelings,’ ”</w:t>
      </w:r>
      <w:r w:rsidR="0031220B">
        <w:rPr>
          <w:rFonts w:ascii="Century Schoolbook" w:hAnsi="Century Schoolbook"/>
          <w:iCs/>
          <w:sz w:val="27"/>
          <w:szCs w:val="27"/>
        </w:rPr>
        <w:t xml:space="preserve"> </w:t>
      </w:r>
      <w:r>
        <w:rPr>
          <w:rFonts w:ascii="Century Schoolbook" w:hAnsi="Century Schoolbook"/>
          <w:iCs/>
          <w:sz w:val="27"/>
          <w:szCs w:val="27"/>
        </w:rPr>
        <w:t>and no reason was posited for the third.  (</w:t>
      </w:r>
      <w:r>
        <w:rPr>
          <w:rFonts w:ascii="Century Schoolbook" w:hAnsi="Century Schoolbook"/>
          <w:i/>
          <w:iCs/>
          <w:sz w:val="27"/>
          <w:szCs w:val="27"/>
        </w:rPr>
        <w:t>People v. Johnson</w:t>
      </w:r>
      <w:r>
        <w:rPr>
          <w:rFonts w:ascii="Century Schoolbook" w:hAnsi="Century Schoolbook"/>
          <w:iCs/>
          <w:sz w:val="27"/>
          <w:szCs w:val="27"/>
        </w:rPr>
        <w:t xml:space="preserve">, </w:t>
      </w:r>
      <w:r>
        <w:rPr>
          <w:rFonts w:ascii="Century Schoolbook" w:hAnsi="Century Schoolbook"/>
          <w:i/>
          <w:iCs/>
          <w:sz w:val="27"/>
          <w:szCs w:val="27"/>
        </w:rPr>
        <w:t>supra</w:t>
      </w:r>
      <w:r>
        <w:rPr>
          <w:rFonts w:ascii="Century Schoolbook" w:hAnsi="Century Schoolbook"/>
          <w:iCs/>
          <w:sz w:val="27"/>
          <w:szCs w:val="27"/>
        </w:rPr>
        <w:t>, 30 Cal.4th at pp.</w:t>
      </w:r>
      <w:r w:rsidR="0031220B">
        <w:rPr>
          <w:rFonts w:ascii="Century Schoolbook" w:hAnsi="Century Schoolbook"/>
          <w:iCs/>
          <w:sz w:val="27"/>
          <w:szCs w:val="27"/>
        </w:rPr>
        <w:t> </w:t>
      </w:r>
      <w:r>
        <w:rPr>
          <w:rFonts w:ascii="Century Schoolbook" w:hAnsi="Century Schoolbook"/>
          <w:iCs/>
          <w:sz w:val="27"/>
          <w:szCs w:val="27"/>
        </w:rPr>
        <w:t>1307</w:t>
      </w:r>
      <w:r w:rsidRPr="009252C3" w:rsidR="0031220B">
        <w:rPr>
          <w:rFonts w:ascii="Century Schoolbook" w:hAnsi="Century Schoolbook"/>
          <w:sz w:val="27"/>
          <w:szCs w:val="27"/>
        </w:rPr>
        <w:t>–</w:t>
      </w:r>
      <w:r>
        <w:rPr>
          <w:rFonts w:ascii="Century Schoolbook" w:hAnsi="Century Schoolbook"/>
          <w:iCs/>
          <w:sz w:val="27"/>
          <w:szCs w:val="27"/>
        </w:rPr>
        <w:t>1308.)</w:t>
      </w:r>
      <w:r w:rsidR="005D2B81">
        <w:rPr>
          <w:rFonts w:ascii="Century Schoolbook" w:hAnsi="Century Schoolbook"/>
          <w:iCs/>
          <w:sz w:val="27"/>
          <w:szCs w:val="27"/>
        </w:rPr>
        <w:t xml:space="preserve">  </w:t>
      </w:r>
      <w:r>
        <w:rPr>
          <w:rFonts w:ascii="Century Schoolbook" w:hAnsi="Century Schoolbook"/>
          <w:sz w:val="27"/>
          <w:szCs w:val="27"/>
        </w:rPr>
        <w:t>It is neither surprising nor meaningful that the</w:t>
      </w:r>
      <w:r w:rsidR="005D2B81">
        <w:rPr>
          <w:rFonts w:ascii="Century Schoolbook" w:hAnsi="Century Schoolbook"/>
          <w:sz w:val="27"/>
          <w:szCs w:val="27"/>
        </w:rPr>
        <w:t xml:space="preserve"> trial court’s assessment that a prospective juror was “rambling” or acting on her “feelings” </w:t>
      </w:r>
      <w:r>
        <w:rPr>
          <w:rFonts w:ascii="Century Schoolbook" w:hAnsi="Century Schoolbook"/>
          <w:iCs/>
          <w:sz w:val="27"/>
          <w:szCs w:val="27"/>
        </w:rPr>
        <w:t>played no role in the high court’s brief prima facie case discussion.</w:t>
      </w:r>
      <w:r w:rsidR="005D2B81">
        <w:rPr>
          <w:rFonts w:ascii="Century Schoolbook" w:hAnsi="Century Schoolbook"/>
          <w:iCs/>
          <w:sz w:val="27"/>
          <w:szCs w:val="27"/>
        </w:rPr>
        <w:t xml:space="preserve">  Unlike jurors’ uncertainty or equivocation about their ability to apply the death penalty, </w:t>
      </w:r>
      <w:r w:rsidR="0070436A">
        <w:rPr>
          <w:rFonts w:ascii="Century Schoolbook" w:hAnsi="Century Schoolbook"/>
          <w:iCs/>
          <w:sz w:val="27"/>
          <w:szCs w:val="27"/>
        </w:rPr>
        <w:t>this</w:t>
      </w:r>
      <w:r w:rsidR="005D2B81">
        <w:rPr>
          <w:rFonts w:ascii="Century Schoolbook" w:hAnsi="Century Schoolbook"/>
          <w:iCs/>
          <w:sz w:val="27"/>
          <w:szCs w:val="27"/>
        </w:rPr>
        <w:t xml:space="preserve"> type of </w:t>
      </w:r>
      <w:r w:rsidR="003C2E14">
        <w:rPr>
          <w:rFonts w:ascii="Century Schoolbook" w:hAnsi="Century Schoolbook"/>
          <w:iCs/>
          <w:sz w:val="27"/>
          <w:szCs w:val="27"/>
        </w:rPr>
        <w:t>unsatisfactory response</w:t>
      </w:r>
      <w:r w:rsidR="005D2B81">
        <w:rPr>
          <w:rFonts w:ascii="Century Schoolbook" w:hAnsi="Century Schoolbook"/>
          <w:iCs/>
          <w:sz w:val="27"/>
          <w:szCs w:val="27"/>
        </w:rPr>
        <w:t xml:space="preserve"> was</w:t>
      </w:r>
      <w:r w:rsidRPr="00ED04F5" w:rsidR="005D2B81">
        <w:rPr>
          <w:rFonts w:ascii="Century Schoolbook" w:hAnsi="Century Schoolbook"/>
          <w:sz w:val="27"/>
          <w:szCs w:val="27"/>
        </w:rPr>
        <w:t xml:space="preserve"> not the sort of readily apparent reasons for a </w:t>
      </w:r>
      <w:r w:rsidR="003C2E14">
        <w:rPr>
          <w:rFonts w:ascii="Century Schoolbook" w:hAnsi="Century Schoolbook"/>
          <w:sz w:val="27"/>
          <w:szCs w:val="27"/>
        </w:rPr>
        <w:t xml:space="preserve">prosecutorial </w:t>
      </w:r>
      <w:r w:rsidRPr="00ED04F5" w:rsidR="005D2B81">
        <w:rPr>
          <w:rFonts w:ascii="Century Schoolbook" w:hAnsi="Century Schoolbook"/>
          <w:sz w:val="27"/>
          <w:szCs w:val="27"/>
        </w:rPr>
        <w:t>juror strike that would have dispelled any inference of discrimination arising from the pattern of excusals</w:t>
      </w:r>
      <w:r w:rsidR="005D2B81">
        <w:rPr>
          <w:rFonts w:ascii="Century Schoolbook" w:hAnsi="Century Schoolbook"/>
          <w:sz w:val="27"/>
          <w:szCs w:val="27"/>
        </w:rPr>
        <w:t>.</w:t>
      </w:r>
      <w:r>
        <w:rPr>
          <w:rStyle w:val="FootnoteReference"/>
          <w:rFonts w:ascii="Century Schoolbook" w:hAnsi="Century Schoolbook"/>
          <w:szCs w:val="27"/>
        </w:rPr>
        <w:footnoteReference w:id="23"/>
      </w:r>
    </w:p>
    <w:p w:rsidR="00BE0790" w:rsidRPr="009252C3" w:rsidP="00BC64F1">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Nor</w:t>
      </w:r>
      <w:r w:rsidRPr="009252C3" w:rsidR="00AC638F">
        <w:rPr>
          <w:rFonts w:ascii="Century Schoolbook" w:hAnsi="Century Schoolbook"/>
          <w:sz w:val="27"/>
          <w:szCs w:val="27"/>
        </w:rPr>
        <w:t xml:space="preserve">, contrary to </w:t>
      </w:r>
      <w:r w:rsidR="005D2B81">
        <w:rPr>
          <w:rFonts w:ascii="Century Schoolbook" w:hAnsi="Century Schoolbook"/>
          <w:sz w:val="27"/>
          <w:szCs w:val="27"/>
        </w:rPr>
        <w:t>the argument made by defendant and the dissent</w:t>
      </w:r>
      <w:r w:rsidRPr="009252C3" w:rsidR="00AC638F">
        <w:rPr>
          <w:rFonts w:ascii="Century Schoolbook" w:hAnsi="Century Schoolbook"/>
          <w:sz w:val="27"/>
          <w:szCs w:val="27"/>
        </w:rPr>
        <w:t>,</w:t>
      </w:r>
      <w:r w:rsidRPr="009252C3">
        <w:rPr>
          <w:rFonts w:ascii="Century Schoolbook" w:hAnsi="Century Schoolbook"/>
          <w:sz w:val="27"/>
          <w:szCs w:val="27"/>
        </w:rPr>
        <w:t xml:space="preserve"> does t</w:t>
      </w:r>
      <w:r w:rsidRPr="009252C3" w:rsidR="00AF082F">
        <w:rPr>
          <w:rFonts w:ascii="Century Schoolbook" w:hAnsi="Century Schoolbook"/>
          <w:sz w:val="27"/>
          <w:szCs w:val="27"/>
        </w:rPr>
        <w:t xml:space="preserve">he trial court’s comment here (“I’m very close, I’m going </w:t>
      </w:r>
      <w:r w:rsidRPr="009252C3" w:rsidR="007B5A1B">
        <w:rPr>
          <w:rFonts w:ascii="Century Schoolbook" w:hAnsi="Century Schoolbook"/>
          <w:sz w:val="27"/>
          <w:szCs w:val="27"/>
        </w:rPr>
        <w:t xml:space="preserve">to go </w:t>
      </w:r>
      <w:r w:rsidRPr="009252C3" w:rsidR="00AF082F">
        <w:rPr>
          <w:rFonts w:ascii="Century Schoolbook" w:hAnsi="Century Schoolbook"/>
          <w:sz w:val="27"/>
          <w:szCs w:val="27"/>
        </w:rPr>
        <w:t xml:space="preserve">with </w:t>
      </w:r>
      <w:r w:rsidRPr="009252C3" w:rsidR="00AF082F">
        <w:rPr>
          <w:rFonts w:ascii="Century Schoolbook" w:hAnsi="Century Schoolbook"/>
          <w:i/>
          <w:sz w:val="27"/>
          <w:szCs w:val="27"/>
        </w:rPr>
        <w:t>Howard</w:t>
      </w:r>
      <w:r w:rsidRPr="009252C3" w:rsidR="00AF082F">
        <w:rPr>
          <w:rFonts w:ascii="Century Schoolbook" w:hAnsi="Century Schoolbook"/>
          <w:sz w:val="27"/>
          <w:szCs w:val="27"/>
        </w:rPr>
        <w:t xml:space="preserve"> for the time being, but if I see very much more of this, I’m going to indicate to you, you may well have a serious problem on your hands.”)</w:t>
      </w:r>
      <w:r w:rsidRPr="009252C3">
        <w:rPr>
          <w:rFonts w:ascii="Century Schoolbook" w:hAnsi="Century Schoolbook"/>
          <w:sz w:val="27"/>
          <w:szCs w:val="27"/>
        </w:rPr>
        <w:t xml:space="preserve"> amount to a finding that </w:t>
      </w:r>
      <w:r w:rsidRPr="009252C3" w:rsidR="00AC638F">
        <w:rPr>
          <w:rFonts w:ascii="Century Schoolbook" w:hAnsi="Century Schoolbook"/>
          <w:sz w:val="27"/>
          <w:szCs w:val="27"/>
        </w:rPr>
        <w:t xml:space="preserve">the circumstances gave rise to an inference of bias.  </w:t>
      </w:r>
      <w:r w:rsidR="00AD32E8">
        <w:rPr>
          <w:rFonts w:ascii="Century Schoolbook" w:hAnsi="Century Schoolbook"/>
          <w:sz w:val="27"/>
          <w:szCs w:val="27"/>
        </w:rPr>
        <w:t xml:space="preserve">Although </w:t>
      </w:r>
      <w:r w:rsidR="0040744C">
        <w:rPr>
          <w:rFonts w:ascii="Century Schoolbook" w:hAnsi="Century Schoolbook"/>
          <w:sz w:val="27"/>
          <w:szCs w:val="27"/>
        </w:rPr>
        <w:t xml:space="preserve">defense counsel had argued that only an inference of bias was needed for a prima facie case, the trial court never addressed that standard.  And although </w:t>
      </w:r>
      <w:r w:rsidRPr="005D2B81" w:rsidR="0040744C">
        <w:rPr>
          <w:rFonts w:ascii="Century Schoolbook" w:hAnsi="Century Schoolbook"/>
          <w:i/>
          <w:sz w:val="27"/>
          <w:szCs w:val="27"/>
        </w:rPr>
        <w:t>Wheeler</w:t>
      </w:r>
      <w:r w:rsidRPr="007D4E5C" w:rsidR="0040744C">
        <w:rPr>
          <w:rFonts w:ascii="Century Schoolbook" w:hAnsi="Century Schoolbook"/>
          <w:sz w:val="27"/>
          <w:szCs w:val="27"/>
        </w:rPr>
        <w:t xml:space="preserve"> </w:t>
      </w:r>
      <w:r w:rsidRPr="007D4E5C" w:rsidR="002B2CC0">
        <w:rPr>
          <w:rFonts w:ascii="Century Schoolbook" w:hAnsi="Century Schoolbook"/>
          <w:sz w:val="27"/>
          <w:szCs w:val="27"/>
        </w:rPr>
        <w:t>had</w:t>
      </w:r>
      <w:r w:rsidR="004F7FBF">
        <w:rPr>
          <w:rFonts w:ascii="Century Schoolbook" w:hAnsi="Century Schoolbook"/>
          <w:sz w:val="27"/>
          <w:szCs w:val="27"/>
        </w:rPr>
        <w:t xml:space="preserve"> </w:t>
      </w:r>
      <w:r w:rsidR="0040744C">
        <w:rPr>
          <w:rFonts w:ascii="Century Schoolbook" w:hAnsi="Century Schoolbook"/>
          <w:sz w:val="27"/>
          <w:szCs w:val="27"/>
        </w:rPr>
        <w:t>used both phrases—“strong likelihood” and “reasonable inference” (</w:t>
      </w:r>
      <w:r w:rsidRPr="0040744C" w:rsidR="0040744C">
        <w:rPr>
          <w:rFonts w:ascii="Century Schoolbook" w:hAnsi="Century Schoolbook"/>
          <w:i/>
          <w:sz w:val="27"/>
          <w:szCs w:val="27"/>
        </w:rPr>
        <w:t>Wheeler</w:t>
      </w:r>
      <w:r w:rsidR="0040744C">
        <w:rPr>
          <w:rFonts w:ascii="Century Schoolbook" w:hAnsi="Century Schoolbook"/>
          <w:sz w:val="27"/>
          <w:szCs w:val="27"/>
        </w:rPr>
        <w:t xml:space="preserve">, </w:t>
      </w:r>
      <w:r w:rsidRPr="0040744C" w:rsidR="0040744C">
        <w:rPr>
          <w:rFonts w:ascii="Century Schoolbook" w:hAnsi="Century Schoolbook"/>
          <w:i/>
          <w:sz w:val="27"/>
          <w:szCs w:val="27"/>
        </w:rPr>
        <w:t>supra</w:t>
      </w:r>
      <w:r w:rsidR="0040744C">
        <w:rPr>
          <w:rFonts w:ascii="Century Schoolbook" w:hAnsi="Century Schoolbook"/>
          <w:sz w:val="27"/>
          <w:szCs w:val="27"/>
        </w:rPr>
        <w:t>, 22 Cal.3d at pp.</w:t>
      </w:r>
      <w:r w:rsidR="0031220B">
        <w:rPr>
          <w:rFonts w:ascii="Century Schoolbook" w:hAnsi="Century Schoolbook"/>
          <w:sz w:val="27"/>
          <w:szCs w:val="27"/>
        </w:rPr>
        <w:t> </w:t>
      </w:r>
      <w:r w:rsidR="0040744C">
        <w:rPr>
          <w:rFonts w:ascii="Century Schoolbook" w:hAnsi="Century Schoolbook"/>
          <w:sz w:val="27"/>
          <w:szCs w:val="27"/>
        </w:rPr>
        <w:t>280</w:t>
      </w:r>
      <w:r w:rsidRPr="009252C3" w:rsidR="0031220B">
        <w:rPr>
          <w:rFonts w:ascii="Century Schoolbook" w:hAnsi="Century Schoolbook"/>
          <w:sz w:val="27"/>
          <w:szCs w:val="27"/>
        </w:rPr>
        <w:t>–</w:t>
      </w:r>
      <w:r w:rsidR="0040744C">
        <w:rPr>
          <w:rFonts w:ascii="Century Schoolbook" w:hAnsi="Century Schoolbook"/>
          <w:sz w:val="27"/>
          <w:szCs w:val="27"/>
        </w:rPr>
        <w:t xml:space="preserve">281)—our decision there did not identify </w:t>
      </w:r>
      <w:r w:rsidR="00D679AD">
        <w:rPr>
          <w:rFonts w:ascii="Century Schoolbook" w:hAnsi="Century Schoolbook"/>
          <w:sz w:val="27"/>
          <w:szCs w:val="27"/>
        </w:rPr>
        <w:t>them</w:t>
      </w:r>
      <w:r w:rsidR="0040744C">
        <w:rPr>
          <w:rFonts w:ascii="Century Schoolbook" w:hAnsi="Century Schoolbook"/>
          <w:sz w:val="27"/>
          <w:szCs w:val="27"/>
        </w:rPr>
        <w:t xml:space="preserve"> as different levels of proof.  Nor did </w:t>
      </w:r>
      <w:r w:rsidRPr="0040744C" w:rsidR="0040744C">
        <w:rPr>
          <w:rFonts w:ascii="Century Schoolbook" w:hAnsi="Century Schoolbook"/>
          <w:i/>
          <w:sz w:val="27"/>
          <w:szCs w:val="27"/>
        </w:rPr>
        <w:t>Howard</w:t>
      </w:r>
      <w:r w:rsidR="0040744C">
        <w:rPr>
          <w:rFonts w:ascii="Century Schoolbook" w:hAnsi="Century Schoolbook"/>
          <w:sz w:val="27"/>
          <w:szCs w:val="27"/>
        </w:rPr>
        <w:t xml:space="preserve">, the decision by which the trial court was mainly guided.  (See </w:t>
      </w:r>
      <w:r w:rsidR="0040744C">
        <w:rPr>
          <w:rFonts w:ascii="Century Schoolbook" w:hAnsi="Century Schoolbook"/>
          <w:i/>
          <w:sz w:val="27"/>
          <w:szCs w:val="27"/>
        </w:rPr>
        <w:t xml:space="preserve">Howard, </w:t>
      </w:r>
      <w:r w:rsidRPr="007D4E5C" w:rsidR="0040744C">
        <w:rPr>
          <w:rFonts w:ascii="Century Schoolbook" w:hAnsi="Century Schoolbook"/>
          <w:i/>
          <w:sz w:val="27"/>
          <w:szCs w:val="27"/>
        </w:rPr>
        <w:t>supra</w:t>
      </w:r>
      <w:r w:rsidR="0040744C">
        <w:rPr>
          <w:rFonts w:ascii="Century Schoolbook" w:hAnsi="Century Schoolbook"/>
          <w:i/>
          <w:sz w:val="27"/>
          <w:szCs w:val="27"/>
        </w:rPr>
        <w:t xml:space="preserve">, </w:t>
      </w:r>
      <w:r w:rsidR="0040744C">
        <w:rPr>
          <w:rFonts w:ascii="Century Schoolbook" w:hAnsi="Century Schoolbook"/>
          <w:sz w:val="27"/>
          <w:szCs w:val="27"/>
        </w:rPr>
        <w:t>1 Cal.4th at pp.</w:t>
      </w:r>
      <w:r w:rsidR="0031220B">
        <w:rPr>
          <w:rFonts w:ascii="Century Schoolbook" w:hAnsi="Century Schoolbook"/>
          <w:sz w:val="27"/>
          <w:szCs w:val="27"/>
        </w:rPr>
        <w:t> </w:t>
      </w:r>
      <w:r w:rsidR="0040744C">
        <w:rPr>
          <w:rFonts w:ascii="Century Schoolbook" w:hAnsi="Century Schoolbook"/>
          <w:sz w:val="27"/>
          <w:szCs w:val="27"/>
        </w:rPr>
        <w:t>1153</w:t>
      </w:r>
      <w:r w:rsidRPr="009252C3" w:rsidR="0031220B">
        <w:rPr>
          <w:rFonts w:ascii="Century Schoolbook" w:hAnsi="Century Schoolbook"/>
          <w:sz w:val="27"/>
          <w:szCs w:val="27"/>
        </w:rPr>
        <w:t>–</w:t>
      </w:r>
      <w:r w:rsidR="0040744C">
        <w:rPr>
          <w:rFonts w:ascii="Century Schoolbook" w:hAnsi="Century Schoolbook"/>
          <w:sz w:val="27"/>
          <w:szCs w:val="27"/>
        </w:rPr>
        <w:t xml:space="preserve">1157 [quoting </w:t>
      </w:r>
      <w:r w:rsidRPr="0040744C" w:rsidR="0040744C">
        <w:rPr>
          <w:rFonts w:ascii="Century Schoolbook" w:hAnsi="Century Schoolbook"/>
          <w:i/>
          <w:sz w:val="27"/>
          <w:szCs w:val="27"/>
        </w:rPr>
        <w:t>Wheeler</w:t>
      </w:r>
      <w:r w:rsidR="0040744C">
        <w:rPr>
          <w:rFonts w:ascii="Century Schoolbook" w:hAnsi="Century Schoolbook"/>
          <w:sz w:val="27"/>
          <w:szCs w:val="27"/>
        </w:rPr>
        <w:t xml:space="preserve">’s strong-likelihood language without mentioning </w:t>
      </w:r>
      <w:r w:rsidR="002B2CC0">
        <w:rPr>
          <w:rFonts w:ascii="Century Schoolbook" w:hAnsi="Century Schoolbook"/>
          <w:sz w:val="27"/>
          <w:szCs w:val="27"/>
        </w:rPr>
        <w:t xml:space="preserve">reasonable inference as an alternative].)  </w:t>
      </w:r>
      <w:r w:rsidRPr="005D2B81" w:rsidR="00AC638F">
        <w:rPr>
          <w:rFonts w:ascii="Century Schoolbook" w:hAnsi="Century Schoolbook"/>
          <w:sz w:val="27"/>
          <w:szCs w:val="27"/>
        </w:rPr>
        <w:t>The</w:t>
      </w:r>
      <w:r w:rsidRPr="009252C3" w:rsidR="00AC638F">
        <w:rPr>
          <w:rFonts w:ascii="Century Schoolbook" w:hAnsi="Century Schoolbook"/>
          <w:sz w:val="27"/>
          <w:szCs w:val="27"/>
        </w:rPr>
        <w:t xml:space="preserve"> trial court’s statement </w:t>
      </w:r>
      <w:r w:rsidRPr="009252C3">
        <w:rPr>
          <w:rFonts w:ascii="Century Schoolbook" w:hAnsi="Century Schoolbook"/>
          <w:sz w:val="27"/>
          <w:szCs w:val="27"/>
        </w:rPr>
        <w:t>appears to have been intended as a warning to the prosecutors to be careful with their future peremptories</w:t>
      </w:r>
      <w:r w:rsidRPr="009252C3" w:rsidR="00B37580">
        <w:rPr>
          <w:rFonts w:ascii="Century Schoolbook" w:hAnsi="Century Schoolbook"/>
          <w:sz w:val="27"/>
          <w:szCs w:val="27"/>
        </w:rPr>
        <w:t>, because additional strikes might lead to a finding of a prima facie case</w:t>
      </w:r>
      <w:r w:rsidR="006F0AAD">
        <w:rPr>
          <w:rFonts w:ascii="Century Schoolbook" w:hAnsi="Century Schoolbook"/>
          <w:sz w:val="27"/>
          <w:szCs w:val="27"/>
        </w:rPr>
        <w:t xml:space="preserve"> </w:t>
      </w:r>
      <w:r w:rsidR="00983437">
        <w:rPr>
          <w:rFonts w:ascii="Century Schoolbook" w:hAnsi="Century Schoolbook"/>
          <w:sz w:val="27"/>
          <w:szCs w:val="27"/>
        </w:rPr>
        <w:t>of</w:t>
      </w:r>
      <w:r w:rsidR="006F0AAD">
        <w:rPr>
          <w:rFonts w:ascii="Century Schoolbook" w:hAnsi="Century Schoolbook"/>
          <w:sz w:val="27"/>
          <w:szCs w:val="27"/>
        </w:rPr>
        <w:t xml:space="preserve"> discrimination</w:t>
      </w:r>
      <w:r w:rsidRPr="009252C3" w:rsidR="00AC638F">
        <w:rPr>
          <w:rFonts w:ascii="Century Schoolbook" w:hAnsi="Century Schoolbook"/>
          <w:sz w:val="27"/>
          <w:szCs w:val="27"/>
        </w:rPr>
        <w:t xml:space="preserve">.  It is </w:t>
      </w:r>
      <w:r w:rsidRPr="009252C3" w:rsidR="00174C5D">
        <w:rPr>
          <w:rFonts w:ascii="Century Schoolbook" w:hAnsi="Century Schoolbook"/>
          <w:sz w:val="27"/>
          <w:szCs w:val="27"/>
        </w:rPr>
        <w:t xml:space="preserve">not clear </w:t>
      </w:r>
      <w:r w:rsidRPr="009252C3" w:rsidR="00AC638F">
        <w:rPr>
          <w:rFonts w:ascii="Century Schoolbook" w:hAnsi="Century Schoolbook"/>
          <w:sz w:val="27"/>
          <w:szCs w:val="27"/>
        </w:rPr>
        <w:t xml:space="preserve">the trial court meant it as a commentary on how suspicious (or not) the prior strikes </w:t>
      </w:r>
      <w:r w:rsidRPr="009252C3" w:rsidR="00B37580">
        <w:rPr>
          <w:rFonts w:ascii="Century Schoolbook" w:hAnsi="Century Schoolbook"/>
          <w:sz w:val="27"/>
          <w:szCs w:val="27"/>
        </w:rPr>
        <w:t>had been</w:t>
      </w:r>
      <w:r w:rsidRPr="009252C3" w:rsidR="00AC638F">
        <w:rPr>
          <w:rFonts w:ascii="Century Schoolbook" w:hAnsi="Century Schoolbook"/>
          <w:sz w:val="27"/>
          <w:szCs w:val="27"/>
        </w:rPr>
        <w:t>, given the totality of the circumstances</w:t>
      </w:r>
      <w:r w:rsidRPr="009252C3" w:rsidR="00B37580">
        <w:rPr>
          <w:rFonts w:ascii="Century Schoolbook" w:hAnsi="Century Schoolbook"/>
          <w:sz w:val="27"/>
          <w:szCs w:val="27"/>
        </w:rPr>
        <w:t xml:space="preserve">, nor is it apparent that </w:t>
      </w:r>
      <w:r w:rsidRPr="009252C3" w:rsidR="009C7D45">
        <w:rPr>
          <w:rFonts w:ascii="Century Schoolbook" w:hAnsi="Century Schoolbook"/>
          <w:sz w:val="27"/>
          <w:szCs w:val="27"/>
        </w:rPr>
        <w:t xml:space="preserve">the court </w:t>
      </w:r>
      <w:r w:rsidR="002B2CC0">
        <w:rPr>
          <w:rFonts w:ascii="Century Schoolbook" w:hAnsi="Century Schoolbook"/>
          <w:sz w:val="27"/>
          <w:szCs w:val="27"/>
        </w:rPr>
        <w:t>implied the</w:t>
      </w:r>
      <w:r w:rsidRPr="009252C3" w:rsidR="009C7D45">
        <w:rPr>
          <w:rFonts w:ascii="Century Schoolbook" w:hAnsi="Century Schoolbook"/>
          <w:sz w:val="27"/>
          <w:szCs w:val="27"/>
        </w:rPr>
        <w:t xml:space="preserve"> </w:t>
      </w:r>
      <w:r w:rsidRPr="009252C3" w:rsidR="00B37580">
        <w:rPr>
          <w:rFonts w:ascii="Century Schoolbook" w:hAnsi="Century Schoolbook"/>
          <w:sz w:val="27"/>
          <w:szCs w:val="27"/>
        </w:rPr>
        <w:t xml:space="preserve">existence of a prima facie case under a “reasonable inference” standard.  </w:t>
      </w:r>
      <w:r w:rsidRPr="009252C3">
        <w:rPr>
          <w:rFonts w:ascii="Century Schoolbook" w:hAnsi="Century Schoolbook"/>
          <w:sz w:val="27"/>
          <w:szCs w:val="27"/>
        </w:rPr>
        <w:t xml:space="preserve">In any event, our review of the court’s ruling in this case is independent; it is not necessary for us to determine precisely why the trial court denied the motion or </w:t>
      </w:r>
      <w:r w:rsidRPr="009252C3" w:rsidR="008C6E7B">
        <w:rPr>
          <w:rFonts w:ascii="Century Schoolbook" w:hAnsi="Century Schoolbook"/>
          <w:sz w:val="27"/>
          <w:szCs w:val="27"/>
        </w:rPr>
        <w:t>what changes in the law or facts would have led it to grant</w:t>
      </w:r>
      <w:r w:rsidR="006F0AAD">
        <w:rPr>
          <w:rFonts w:ascii="Century Schoolbook" w:hAnsi="Century Schoolbook"/>
          <w:sz w:val="27"/>
          <w:szCs w:val="27"/>
        </w:rPr>
        <w:t xml:space="preserve"> the motion</w:t>
      </w:r>
      <w:r w:rsidRPr="009252C3" w:rsidR="008C6E7B">
        <w:rPr>
          <w:rFonts w:ascii="Century Schoolbook" w:hAnsi="Century Schoolbook"/>
          <w:sz w:val="27"/>
          <w:szCs w:val="27"/>
        </w:rPr>
        <w:t>.</w:t>
      </w:r>
      <w:r w:rsidRPr="009252C3">
        <w:rPr>
          <w:rFonts w:ascii="Century Schoolbook" w:hAnsi="Century Schoolbook"/>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sum, c</w:t>
      </w:r>
      <w:r w:rsidRPr="009252C3">
        <w:rPr>
          <w:rFonts w:ascii="Century Schoolbook" w:hAnsi="Century Schoolbook"/>
          <w:sz w:val="27"/>
          <w:szCs w:val="27"/>
        </w:rPr>
        <w:t xml:space="preserve">onsidering all the </w:t>
      </w:r>
      <w:r w:rsidRPr="009252C3">
        <w:rPr>
          <w:rFonts w:ascii="Century Schoolbook" w:hAnsi="Century Schoolbook"/>
          <w:sz w:val="27"/>
          <w:szCs w:val="27"/>
        </w:rPr>
        <w:t xml:space="preserve">relevant </w:t>
      </w:r>
      <w:r w:rsidRPr="009252C3">
        <w:rPr>
          <w:rFonts w:ascii="Century Schoolbook" w:hAnsi="Century Schoolbook"/>
          <w:sz w:val="27"/>
          <w:szCs w:val="27"/>
        </w:rPr>
        <w:t xml:space="preserve">circumstances, </w:t>
      </w:r>
      <w:r w:rsidRPr="009252C3" w:rsidR="002E1A93">
        <w:rPr>
          <w:rFonts w:ascii="Century Schoolbook" w:hAnsi="Century Schoolbook"/>
          <w:sz w:val="27"/>
          <w:szCs w:val="27"/>
        </w:rPr>
        <w:t>we</w:t>
      </w:r>
      <w:r w:rsidRPr="009252C3">
        <w:rPr>
          <w:rFonts w:ascii="Century Schoolbook" w:hAnsi="Century Schoolbook"/>
          <w:sz w:val="27"/>
          <w:szCs w:val="27"/>
        </w:rPr>
        <w:t xml:space="preserve"> conclude the record does not “support[] an inference that the prosecutor excused a juror on a discriminatory basis.”  (</w:t>
      </w:r>
      <w:r w:rsidRPr="009252C3">
        <w:rPr>
          <w:rFonts w:ascii="Century Schoolbook" w:hAnsi="Century Schoolbook"/>
          <w:i/>
          <w:iCs/>
          <w:sz w:val="27"/>
          <w:szCs w:val="27"/>
        </w:rPr>
        <w:t>Reed</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 Cal.5th at p.</w:t>
      </w:r>
      <w:r w:rsidRPr="009252C3" w:rsidR="00223C72">
        <w:rPr>
          <w:rFonts w:ascii="Century Schoolbook" w:hAnsi="Century Schoolbook"/>
          <w:sz w:val="27"/>
          <w:szCs w:val="27"/>
        </w:rPr>
        <w:t> </w:t>
      </w:r>
      <w:r w:rsidRPr="009252C3">
        <w:rPr>
          <w:rFonts w:ascii="Century Schoolbook" w:hAnsi="Century Schoolbook"/>
          <w:sz w:val="27"/>
          <w:szCs w:val="27"/>
        </w:rPr>
        <w:t>999.)  Although the prosecutors used half their peremptory challenges to excuse all the African-American prospective jurors seated in the box, this was not a case that raised heightened concerns about racial bias in jury selection.  There were no apparent differences in the extent or manner of the prosecutors’ questioning of prospective jurors of different racial backgrounds.</w:t>
      </w:r>
      <w:r w:rsidRPr="009252C3" w:rsidR="002E1A93">
        <w:rPr>
          <w:rFonts w:ascii="Century Schoolbook" w:hAnsi="Century Schoolbook"/>
          <w:sz w:val="27"/>
          <w:szCs w:val="27"/>
        </w:rPr>
        <w:t xml:space="preserve"> </w:t>
      </w:r>
      <w:r w:rsidRPr="009252C3">
        <w:rPr>
          <w:rFonts w:ascii="Century Schoolbook" w:hAnsi="Century Schoolbook"/>
          <w:sz w:val="27"/>
          <w:szCs w:val="27"/>
        </w:rPr>
        <w:t xml:space="preserve"> And, most importantly, the record discloses readily apparent grounds for excusing each prospective juror, dispelling any inference of bias that might arise from the pattern of strikes alone.</w:t>
      </w:r>
      <w:r>
        <w:rPr>
          <w:rStyle w:val="FootnoteReference"/>
          <w:rFonts w:ascii="Century Schoolbook" w:hAnsi="Century Schoolbook"/>
          <w:sz w:val="27"/>
          <w:szCs w:val="27"/>
          <w:vertAlign w:val="superscript"/>
        </w:rPr>
        <w:footnoteReference w:id="24"/>
      </w:r>
      <w:r w:rsidRPr="009252C3">
        <w:rPr>
          <w:rFonts w:ascii="Century Schoolbook" w:hAnsi="Century Schoolbook"/>
          <w:sz w:val="27"/>
          <w:szCs w:val="27"/>
        </w:rPr>
        <w:t xml:space="preserve">  Our independent review of the record leads to the conclusion </w:t>
      </w:r>
      <w:r w:rsidR="006F0AAD">
        <w:rPr>
          <w:rFonts w:ascii="Century Schoolbook" w:hAnsi="Century Schoolbook"/>
          <w:sz w:val="27"/>
          <w:szCs w:val="27"/>
        </w:rPr>
        <w:t xml:space="preserve">that </w:t>
      </w:r>
      <w:r w:rsidRPr="009252C3">
        <w:rPr>
          <w:rFonts w:ascii="Century Schoolbook" w:hAnsi="Century Schoolbook"/>
          <w:sz w:val="27"/>
          <w:szCs w:val="27"/>
        </w:rPr>
        <w:t>defendant failed to establish a prima facie case of unconstitutional discrimination.</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1" w:name="_Toc3365819"/>
      <w:r w:rsidRPr="009252C3">
        <w:rPr>
          <w:rFonts w:ascii="Century Schoolbook" w:hAnsi="Century Schoolbook"/>
          <w:b/>
          <w:i w:val="0"/>
          <w:sz w:val="27"/>
          <w:szCs w:val="27"/>
        </w:rPr>
        <w:t>X.  Denial of Defense Challenge for Cause</w:t>
      </w:r>
      <w:bookmarkEnd w:id="21"/>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the trial court erred in denying his challenge for cause to </w:t>
      </w:r>
      <w:r w:rsidRPr="009252C3" w:rsidR="00B37580">
        <w:rPr>
          <w:rFonts w:ascii="Century Schoolbook" w:hAnsi="Century Schoolbook"/>
          <w:sz w:val="27"/>
          <w:szCs w:val="27"/>
        </w:rPr>
        <w:t xml:space="preserve">a juror </w:t>
      </w:r>
      <w:r w:rsidRPr="009252C3">
        <w:rPr>
          <w:rFonts w:ascii="Century Schoolbook" w:hAnsi="Century Schoolbook"/>
          <w:sz w:val="27"/>
          <w:szCs w:val="27"/>
        </w:rPr>
        <w:t>who</w:t>
      </w:r>
      <w:r w:rsidRPr="009252C3" w:rsidR="00B37580">
        <w:rPr>
          <w:rFonts w:ascii="Century Schoolbook" w:hAnsi="Century Schoolbook"/>
          <w:sz w:val="27"/>
          <w:szCs w:val="27"/>
        </w:rPr>
        <w:t>,</w:t>
      </w:r>
      <w:r w:rsidRPr="009252C3">
        <w:rPr>
          <w:rFonts w:ascii="Century Schoolbook" w:hAnsi="Century Schoolbook"/>
          <w:sz w:val="27"/>
          <w:szCs w:val="27"/>
        </w:rPr>
        <w:t xml:space="preserve"> he asserts</w:t>
      </w:r>
      <w:r w:rsidRPr="009252C3" w:rsidR="00B37580">
        <w:rPr>
          <w:rFonts w:ascii="Century Schoolbook" w:hAnsi="Century Schoolbook"/>
          <w:sz w:val="27"/>
          <w:szCs w:val="27"/>
        </w:rPr>
        <w:t>,</w:t>
      </w:r>
      <w:r w:rsidRPr="009252C3">
        <w:rPr>
          <w:rFonts w:ascii="Century Schoolbook" w:hAnsi="Century Schoolbook"/>
          <w:sz w:val="27"/>
          <w:szCs w:val="27"/>
        </w:rPr>
        <w:t xml:space="preserve"> bore an impermissible bias in favor of the death penalty</w:t>
      </w:r>
      <w:r w:rsidRPr="009252C3" w:rsidR="00B37580">
        <w:rPr>
          <w:rFonts w:ascii="Century Schoolbook" w:hAnsi="Century Schoolbook"/>
          <w:sz w:val="27"/>
          <w:szCs w:val="27"/>
        </w:rPr>
        <w:t xml:space="preserve">.  Defendant contends </w:t>
      </w:r>
      <w:r w:rsidRPr="009252C3">
        <w:rPr>
          <w:rFonts w:ascii="Century Schoolbook" w:hAnsi="Century Schoolbook"/>
          <w:sz w:val="27"/>
          <w:szCs w:val="27"/>
        </w:rPr>
        <w:t>the error deprived him of his right to an unbiased jury drawn from a cross-section of the community in violation of the federal Constitution.  We hold defendant did not preserve the issue for appeal and that</w:t>
      </w:r>
      <w:r w:rsidRPr="009252C3" w:rsidR="00B37580">
        <w:rPr>
          <w:rFonts w:ascii="Century Schoolbook" w:hAnsi="Century Schoolbook"/>
          <w:sz w:val="27"/>
          <w:szCs w:val="27"/>
        </w:rPr>
        <w:t xml:space="preserve"> </w:t>
      </w:r>
      <w:r w:rsidRPr="009252C3">
        <w:rPr>
          <w:rFonts w:ascii="Century Schoolbook" w:hAnsi="Century Schoolbook"/>
          <w:sz w:val="27"/>
          <w:szCs w:val="27"/>
        </w:rPr>
        <w:t>it lacks merit</w:t>
      </w:r>
      <w:r w:rsidRPr="009252C3" w:rsidR="00B37580">
        <w:rPr>
          <w:rFonts w:ascii="Century Schoolbook" w:hAnsi="Century Schoolbook"/>
          <w:sz w:val="27"/>
          <w:szCs w:val="27"/>
        </w:rPr>
        <w:t xml:space="preserve"> in any event</w:t>
      </w:r>
      <w:r w:rsidRPr="009252C3">
        <w:rPr>
          <w:rFonts w:ascii="Century Schoolbook" w:hAnsi="Century Schoolbook"/>
          <w:sz w:val="27"/>
          <w:szCs w:val="27"/>
        </w:rPr>
        <w: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her questionnaire, Juror No.</w:t>
      </w:r>
      <w:r w:rsidRPr="009252C3" w:rsidR="00223C72">
        <w:rPr>
          <w:rFonts w:ascii="Century Schoolbook" w:hAnsi="Century Schoolbook"/>
          <w:sz w:val="27"/>
          <w:szCs w:val="27"/>
        </w:rPr>
        <w:t> </w:t>
      </w:r>
      <w:r w:rsidRPr="009252C3">
        <w:rPr>
          <w:rFonts w:ascii="Century Schoolbook" w:hAnsi="Century Schoolbook"/>
          <w:sz w:val="27"/>
          <w:szCs w:val="27"/>
        </w:rPr>
        <w:t>10 wrote that a juror should “listen carefully” and not “make up your mind before all evidence is in,” and that she was willing to determine as best she could which sentence was appropriate, and to return that sentence.  Asked generally for her opinions about the death penalty, she wrote:  “I am in favor of it when it involves children.”  If she were making the laws, she would have a death penalty</w:t>
      </w:r>
      <w:r w:rsidRPr="009252C3" w:rsidR="00B37580">
        <w:rPr>
          <w:rFonts w:ascii="Century Schoolbook" w:hAnsi="Century Schoolbook"/>
          <w:sz w:val="27"/>
          <w:szCs w:val="27"/>
        </w:rPr>
        <w:t>.  S</w:t>
      </w:r>
      <w:r w:rsidRPr="009252C3">
        <w:rPr>
          <w:rFonts w:ascii="Century Schoolbook" w:hAnsi="Century Schoolbook"/>
          <w:sz w:val="27"/>
          <w:szCs w:val="27"/>
        </w:rPr>
        <w:t>he agreed with the statement that a defendant convicted of sexual assault and murder of a child should receive the death penalty “regardless of the facts and circumstances of his background or mental state.”</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questioning by defense counsel, the juror reiterated her view that the death penalty was appropriate in cases involving children, but also indicated a willingness to consider evidence in mitigation even in such a case.  When counsel asked whether she would “not consider” life without the possibility of parole in such a  case, this colloquy ensued:</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It would be difficult for me to say, no, that they—life in prison.  I couldn’t go along with that always.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Why not?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Because of it being a child involved.  That’s where I have my problem with this—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Okay</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—case</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So then, honestly, as you sit there, because a child was involved, life without possibility of parole is not something that you could honestly, that you could honestly, honestly—</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w:t>
      </w:r>
      <w:r w:rsidRPr="009252C3" w:rsidR="00535740">
        <w:rPr>
          <w:rFonts w:ascii="Century Schoolbook" w:hAnsi="Century Schoolbook"/>
          <w:sz w:val="27"/>
          <w:szCs w:val="27"/>
        </w:rPr>
        <w:t>:</w:t>
      </w:r>
      <w:r w:rsidRPr="009252C3">
        <w:rPr>
          <w:rFonts w:ascii="Century Schoolbook" w:hAnsi="Century Schoolbook"/>
          <w:sz w:val="27"/>
          <w:szCs w:val="27"/>
        </w:rPr>
        <w:t xml:space="preserve">  Uh-hum.</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—deep down, that you could honestly consider?</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Well, it would be difficult for me to do that.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You—so you couldn’t consider it honestly?</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Well, honestly, I guess until I heard all the evidence myself, it would be difficult.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“Q:  Do you think—go ahead?</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  No.  I’m just, I would just—because it was a child involved, I’d have to do a lot of thinking on that.  But it depends on what the evidence is in their background.”</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further questioning by defense counsel, Juror No.</w:t>
      </w:r>
      <w:r w:rsidRPr="009252C3" w:rsidR="00535740">
        <w:rPr>
          <w:rFonts w:ascii="Century Schoolbook" w:hAnsi="Century Schoolbook"/>
          <w:sz w:val="27"/>
          <w:szCs w:val="27"/>
        </w:rPr>
        <w:t> </w:t>
      </w:r>
      <w:r w:rsidRPr="009252C3">
        <w:rPr>
          <w:rFonts w:ascii="Century Schoolbook" w:hAnsi="Century Schoolbook"/>
          <w:sz w:val="27"/>
          <w:szCs w:val="27"/>
        </w:rPr>
        <w:t xml:space="preserve">10 appeared to say that because a child was involved, the defense would have to prove to her that life without parole was the appropriate sentence, even if the court instructed the jury that the defense did not have to prove anything.  The court, however, had counsel’s question reread and asked the juror whether, having it in mind, she would follow the court’s instructions.  She replied, “Yes, I would.”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renewed questioning by defense counsel, Juror No.</w:t>
      </w:r>
      <w:r w:rsidRPr="009252C3" w:rsidR="00223C72">
        <w:rPr>
          <w:rFonts w:ascii="Century Schoolbook" w:hAnsi="Century Schoolbook"/>
          <w:sz w:val="27"/>
          <w:szCs w:val="27"/>
        </w:rPr>
        <w:t> </w:t>
      </w:r>
      <w:r w:rsidRPr="009252C3">
        <w:rPr>
          <w:rFonts w:ascii="Century Schoolbook" w:hAnsi="Century Schoolbook"/>
          <w:sz w:val="27"/>
          <w:szCs w:val="27"/>
        </w:rPr>
        <w:t>10 explained that while she was “leaning towards the death penalty” she “would have to listen to everything first before I could definitively say for sure.”  After questioning by the prosecutor, in which the juror affirmed she would listen to the evidence and sentence defendant to life if she felt that was the appropriate penalty, the court pressed her on whether she would “really listen” to the factors in mitigation as well as those in aggravation</w:t>
      </w:r>
      <w:r w:rsidRPr="009252C3" w:rsidR="00B37580">
        <w:rPr>
          <w:rFonts w:ascii="Century Schoolbook" w:hAnsi="Century Schoolbook"/>
          <w:sz w:val="27"/>
          <w:szCs w:val="27"/>
        </w:rPr>
        <w:t>,</w:t>
      </w:r>
      <w:r w:rsidRPr="009252C3">
        <w:rPr>
          <w:rFonts w:ascii="Century Schoolbook" w:hAnsi="Century Schoolbook"/>
          <w:sz w:val="27"/>
          <w:szCs w:val="27"/>
        </w:rPr>
        <w:t xml:space="preserve"> and </w:t>
      </w:r>
      <w:r w:rsidRPr="009252C3" w:rsidR="00B37580">
        <w:rPr>
          <w:rFonts w:ascii="Century Schoolbook" w:hAnsi="Century Schoolbook"/>
          <w:sz w:val="27"/>
          <w:szCs w:val="27"/>
        </w:rPr>
        <w:t xml:space="preserve">on </w:t>
      </w:r>
      <w:r w:rsidRPr="009252C3">
        <w:rPr>
          <w:rFonts w:ascii="Century Schoolbook" w:hAnsi="Century Schoolbook"/>
          <w:sz w:val="27"/>
          <w:szCs w:val="27"/>
        </w:rPr>
        <w:t xml:space="preserve">whether she could consider them in a fair fashion, without a predisposition to selecting the death penalty.  She replied, “I honestly feel that I could </w:t>
      </w:r>
      <w:r w:rsidRPr="009252C3" w:rsidR="00FB37BB">
        <w:rPr>
          <w:rFonts w:ascii="Century Schoolbook" w:hAnsi="Century Schoolbook"/>
          <w:sz w:val="27"/>
          <w:szCs w:val="27"/>
        </w:rPr>
        <w:t>[</w:t>
      </w:r>
      <w:r w:rsidRPr="009252C3">
        <w:rPr>
          <w:rFonts w:ascii="Century Schoolbook" w:hAnsi="Century Schoolbook"/>
          <w:sz w:val="27"/>
          <w:szCs w:val="27"/>
        </w:rPr>
        <w:t>do</w:t>
      </w:r>
      <w:r w:rsidRPr="009252C3" w:rsidR="00FB37BB">
        <w:rPr>
          <w:rFonts w:ascii="Century Schoolbook" w:hAnsi="Century Schoolbook"/>
          <w:sz w:val="27"/>
          <w:szCs w:val="27"/>
        </w:rPr>
        <w:t>]</w:t>
      </w:r>
      <w:r w:rsidRPr="009252C3">
        <w:rPr>
          <w:rFonts w:ascii="Century Schoolbook" w:hAnsi="Century Schoolbook"/>
          <w:sz w:val="27"/>
          <w:szCs w:val="27"/>
        </w:rPr>
        <w:t xml:space="preserve"> that,” and, when the court asked if there was any question in her mind, she answered</w:t>
      </w:r>
      <w:r w:rsidRPr="009252C3" w:rsidR="00B37580">
        <w:rPr>
          <w:rFonts w:ascii="Century Schoolbook" w:hAnsi="Century Schoolbook"/>
          <w:sz w:val="27"/>
          <w:szCs w:val="27"/>
        </w:rPr>
        <w:t>,</w:t>
      </w:r>
      <w:r w:rsidRPr="009252C3">
        <w:rPr>
          <w:rFonts w:ascii="Century Schoolbook" w:hAnsi="Century Schoolbook"/>
          <w:sz w:val="27"/>
          <w:szCs w:val="27"/>
        </w:rPr>
        <w:t xml:space="preserve"> “No.”</w:t>
      </w:r>
    </w:p>
    <w:p w:rsidR="002E1A93"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trial court denied defendant’s challenge for cause.  The court concluded that while the juror tentatively favored the death penalty based on the case synopsis she had read in the questionnaire, her answers on voir dire showed she would consider all the evidence in reaching her ultimate verdict.</w:t>
      </w:r>
      <w:r w:rsidRPr="009252C3">
        <w:rPr>
          <w:rFonts w:ascii="Century Schoolbook" w:hAnsi="Century Schoolbook"/>
          <w:sz w:val="27"/>
          <w:szCs w:val="27"/>
        </w:rPr>
        <w:t xml:space="preserve">  </w:t>
      </w:r>
      <w:r w:rsidRPr="009252C3">
        <w:rPr>
          <w:rFonts w:ascii="Century Schoolbook" w:hAnsi="Century Schoolbook"/>
          <w:sz w:val="27"/>
          <w:szCs w:val="27"/>
        </w:rPr>
        <w:t>Defendant did not exercise a peremptory challenge against Juror No.</w:t>
      </w:r>
      <w:r w:rsidRPr="009252C3" w:rsidR="00223C72">
        <w:rPr>
          <w:rFonts w:ascii="Century Schoolbook" w:hAnsi="Century Schoolbook"/>
          <w:sz w:val="27"/>
          <w:szCs w:val="27"/>
        </w:rPr>
        <w:t> </w:t>
      </w:r>
      <w:r w:rsidRPr="009252C3">
        <w:rPr>
          <w:rFonts w:ascii="Century Schoolbook" w:hAnsi="Century Schoolbook"/>
          <w:sz w:val="27"/>
          <w:szCs w:val="27"/>
        </w:rPr>
        <w:t xml:space="preserve">10 and did not exhaust his peremptories, using only 16 of the 20 allotted.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Attorney General maintains </w:t>
      </w:r>
      <w:r w:rsidR="006F0AAD">
        <w:rPr>
          <w:rFonts w:ascii="Century Schoolbook" w:hAnsi="Century Schoolbook"/>
          <w:sz w:val="27"/>
          <w:szCs w:val="27"/>
        </w:rPr>
        <w:t xml:space="preserve">that </w:t>
      </w:r>
      <w:r w:rsidRPr="009252C3">
        <w:rPr>
          <w:rFonts w:ascii="Century Schoolbook" w:hAnsi="Century Schoolbook"/>
          <w:sz w:val="27"/>
          <w:szCs w:val="27"/>
        </w:rPr>
        <w:t>defendant has failed to preserve the issue of his for-cause challenge because he did not exhaust his peremptory challenges or express dissatisfaction with the jury that was seated.  We agree.  “ ‘To preserve a claim of error in the denial of a challenge for cause, the defense must exhaust its peremptory challenges and object to the jury as finally constituted.’</w:t>
      </w:r>
      <w:r w:rsidRPr="009252C3" w:rsidR="00223C72">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People v. Millwee</w:t>
      </w:r>
      <w:r w:rsidRPr="009252C3">
        <w:rPr>
          <w:rFonts w:ascii="Century Schoolbook" w:hAnsi="Century Schoolbook"/>
          <w:sz w:val="27"/>
          <w:szCs w:val="27"/>
        </w:rPr>
        <w:t> (1998) 18 Cal.4th 96, 146.)  Defendant did neither.”  (</w:t>
      </w:r>
      <w:r w:rsidRPr="009252C3">
        <w:rPr>
          <w:rFonts w:ascii="Century Schoolbook" w:hAnsi="Century Schoolbook"/>
          <w:i/>
          <w:iCs/>
          <w:sz w:val="27"/>
          <w:szCs w:val="27"/>
        </w:rPr>
        <w:t>People v. Hillhouse</w:t>
      </w:r>
      <w:r w:rsidRPr="009252C3">
        <w:rPr>
          <w:rFonts w:ascii="Century Schoolbook" w:hAnsi="Century Schoolbook"/>
          <w:sz w:val="27"/>
          <w:szCs w:val="27"/>
        </w:rPr>
        <w:t> (2002) 27 Cal.4th 469, 487 (</w:t>
      </w:r>
      <w:r w:rsidRPr="009252C3">
        <w:rPr>
          <w:rFonts w:ascii="Century Schoolbook" w:hAnsi="Century Schoolbook"/>
          <w:i/>
          <w:sz w:val="27"/>
          <w:szCs w:val="27"/>
        </w:rPr>
        <w:t>Hillhouse</w:t>
      </w:r>
      <w:r w:rsidRPr="009252C3">
        <w:rPr>
          <w:rFonts w:ascii="Century Schoolbook" w:hAnsi="Century Schoolbook"/>
          <w:sz w:val="27"/>
          <w:szCs w:val="27"/>
        </w:rPr>
        <w:t>).)  Defendant here had four peremptory challenges remaining when he accepted the jury, one of which he could have used to excuse Juror No.</w:t>
      </w:r>
      <w:r w:rsidRPr="009252C3" w:rsidR="00223C72">
        <w:rPr>
          <w:rFonts w:ascii="Century Schoolbook" w:hAnsi="Century Schoolbook"/>
          <w:sz w:val="27"/>
          <w:szCs w:val="27"/>
        </w:rPr>
        <w:t> </w:t>
      </w:r>
      <w:r w:rsidRPr="009252C3">
        <w:rPr>
          <w:rFonts w:ascii="Century Schoolbook" w:hAnsi="Century Schoolbook"/>
          <w:sz w:val="27"/>
          <w:szCs w:val="27"/>
        </w:rPr>
        <w:t>10.  At th</w:t>
      </w:r>
      <w:r w:rsidR="006F0AAD">
        <w:rPr>
          <w:rFonts w:ascii="Century Schoolbook" w:hAnsi="Century Schoolbook"/>
          <w:sz w:val="27"/>
          <w:szCs w:val="27"/>
        </w:rPr>
        <w:t>e</w:t>
      </w:r>
      <w:r w:rsidRPr="009252C3">
        <w:rPr>
          <w:rFonts w:ascii="Century Schoolbook" w:hAnsi="Century Schoolbook"/>
          <w:sz w:val="27"/>
          <w:szCs w:val="27"/>
        </w:rPr>
        <w:t xml:space="preserve"> time he accepted the jury, defense counsel said simply, “Pass the panel, Your Honor,” giving no indication of dissatisfaction.</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For the proposition that the issue of his challenge to Juror No.</w:t>
      </w:r>
      <w:r w:rsidRPr="009252C3" w:rsidR="00B538F6">
        <w:rPr>
          <w:rFonts w:ascii="Century Schoolbook" w:hAnsi="Century Schoolbook"/>
          <w:sz w:val="27"/>
          <w:szCs w:val="27"/>
        </w:rPr>
        <w:t> </w:t>
      </w:r>
      <w:r w:rsidRPr="009252C3">
        <w:rPr>
          <w:rFonts w:ascii="Century Schoolbook" w:hAnsi="Century Schoolbook"/>
          <w:sz w:val="27"/>
          <w:szCs w:val="27"/>
        </w:rPr>
        <w:t xml:space="preserve">10 must be deemed preserved, defendant relies on a single phrase in a United States Supreme Court decision on a different issue, </w:t>
      </w:r>
      <w:r w:rsidRPr="009252C3">
        <w:rPr>
          <w:rFonts w:ascii="Century Schoolbook" w:hAnsi="Century Schoolbook"/>
          <w:i/>
          <w:iCs/>
          <w:sz w:val="27"/>
          <w:szCs w:val="27"/>
        </w:rPr>
        <w:t>United States v. Martinez</w:t>
      </w:r>
      <w:r w:rsidR="006F0AAD">
        <w:rPr>
          <w:rFonts w:ascii="Century Schoolbook" w:hAnsi="Century Schoolbook"/>
          <w:i/>
          <w:iCs/>
          <w:sz w:val="27"/>
          <w:szCs w:val="27"/>
        </w:rPr>
        <w:t>-</w:t>
      </w:r>
      <w:r w:rsidRPr="009252C3">
        <w:rPr>
          <w:rFonts w:ascii="Century Schoolbook" w:hAnsi="Century Schoolbook"/>
          <w:i/>
          <w:iCs/>
          <w:sz w:val="27"/>
          <w:szCs w:val="27"/>
        </w:rPr>
        <w:t>Salazar</w:t>
      </w:r>
      <w:r w:rsidRPr="009252C3" w:rsidR="00F26EA3">
        <w:rPr>
          <w:rFonts w:ascii="Century Schoolbook" w:hAnsi="Century Schoolbook"/>
          <w:i/>
          <w:iCs/>
          <w:sz w:val="27"/>
          <w:szCs w:val="27"/>
        </w:rPr>
        <w:t xml:space="preserve"> </w:t>
      </w:r>
      <w:r w:rsidRPr="009252C3">
        <w:rPr>
          <w:rFonts w:ascii="Century Schoolbook" w:hAnsi="Century Schoolbook"/>
          <w:sz w:val="27"/>
          <w:szCs w:val="27"/>
        </w:rPr>
        <w:t>(2000) 528 U.S. 304.  The</w:t>
      </w:r>
      <w:r w:rsidRPr="009252C3" w:rsidR="00E83E55">
        <w:rPr>
          <w:rFonts w:ascii="Century Schoolbook" w:hAnsi="Century Schoolbook"/>
          <w:sz w:val="27"/>
          <w:szCs w:val="27"/>
        </w:rPr>
        <w:t>re</w:t>
      </w:r>
      <w:r w:rsidRPr="009252C3">
        <w:rPr>
          <w:rFonts w:ascii="Century Schoolbook" w:hAnsi="Century Schoolbook"/>
          <w:sz w:val="27"/>
          <w:szCs w:val="27"/>
        </w:rPr>
        <w:t xml:space="preserve"> </w:t>
      </w:r>
      <w:r w:rsidRPr="009252C3" w:rsidR="00E83E55">
        <w:rPr>
          <w:rFonts w:ascii="Century Schoolbook" w:hAnsi="Century Schoolbook"/>
          <w:sz w:val="27"/>
          <w:szCs w:val="27"/>
        </w:rPr>
        <w:t xml:space="preserve">the </w:t>
      </w:r>
      <w:r w:rsidRPr="009252C3">
        <w:rPr>
          <w:rFonts w:ascii="Century Schoolbook" w:hAnsi="Century Schoolbook"/>
          <w:sz w:val="27"/>
          <w:szCs w:val="27"/>
        </w:rPr>
        <w:t xml:space="preserve">high court held that a defendant who </w:t>
      </w:r>
      <w:r w:rsidRPr="009252C3">
        <w:rPr>
          <w:rFonts w:ascii="Century Schoolbook" w:hAnsi="Century Schoolbook"/>
          <w:i/>
          <w:sz w:val="27"/>
          <w:szCs w:val="27"/>
        </w:rPr>
        <w:t>does</w:t>
      </w:r>
      <w:r w:rsidRPr="009252C3">
        <w:rPr>
          <w:rFonts w:ascii="Century Schoolbook" w:hAnsi="Century Schoolbook"/>
          <w:sz w:val="27"/>
          <w:szCs w:val="27"/>
        </w:rPr>
        <w:t xml:space="preserve"> use a peremptory challenge to remove a prospective juror who should have been excused for cause has not been deprived of any right under federal court rules or the Constitution.  (</w:t>
      </w:r>
      <w:r w:rsidRPr="009252C3">
        <w:rPr>
          <w:rFonts w:ascii="Century Schoolbook" w:hAnsi="Century Schoolbook"/>
          <w:i/>
          <w:sz w:val="27"/>
          <w:szCs w:val="27"/>
        </w:rPr>
        <w:t>Id.</w:t>
      </w:r>
      <w:r w:rsidRPr="009252C3">
        <w:rPr>
          <w:rFonts w:ascii="Century Schoolbook" w:hAnsi="Century Schoolbook"/>
          <w:sz w:val="27"/>
          <w:szCs w:val="27"/>
        </w:rPr>
        <w:t xml:space="preserve"> at p.</w:t>
      </w:r>
      <w:r w:rsidRPr="009252C3" w:rsidR="00223C72">
        <w:rPr>
          <w:rFonts w:ascii="Century Schoolbook" w:hAnsi="Century Schoolbook"/>
          <w:sz w:val="27"/>
          <w:szCs w:val="27"/>
        </w:rPr>
        <w:t> </w:t>
      </w:r>
      <w:r w:rsidRPr="009252C3">
        <w:rPr>
          <w:rFonts w:ascii="Century Schoolbook" w:hAnsi="Century Schoolbook"/>
          <w:sz w:val="27"/>
          <w:szCs w:val="27"/>
        </w:rPr>
        <w:t xml:space="preserve">307.)  Rejecting the lower court’s conclusion the defendant had been “compelled” to use a peremptory challenge against the prospective juror, the court stated that the defendant “had the option of letting </w:t>
      </w:r>
      <w:r w:rsidR="006F0AAD">
        <w:rPr>
          <w:rFonts w:ascii="Century Schoolbook" w:hAnsi="Century Schoolbook"/>
          <w:sz w:val="27"/>
          <w:szCs w:val="27"/>
        </w:rPr>
        <w:t xml:space="preserve">[the prospective juror] </w:t>
      </w:r>
      <w:r w:rsidRPr="009252C3">
        <w:rPr>
          <w:rFonts w:ascii="Century Schoolbook" w:hAnsi="Century Schoolbook"/>
          <w:sz w:val="27"/>
          <w:szCs w:val="27"/>
        </w:rPr>
        <w:t xml:space="preserve"> sit on the petit jury and, upon conviction, pursuing a Sixth Amendment challenge on appeal.”  (</w:t>
      </w:r>
      <w:r w:rsidRPr="009252C3">
        <w:rPr>
          <w:rFonts w:ascii="Century Schoolbook" w:hAnsi="Century Schoolbook"/>
          <w:i/>
          <w:iCs/>
          <w:sz w:val="27"/>
          <w:szCs w:val="27"/>
        </w:rPr>
        <w:t>Id</w:t>
      </w:r>
      <w:r w:rsidRPr="009252C3">
        <w:rPr>
          <w:rFonts w:ascii="Century Schoolbook" w:hAnsi="Century Schoolbook"/>
          <w:sz w:val="27"/>
          <w:szCs w:val="27"/>
        </w:rPr>
        <w:t>. at p.</w:t>
      </w:r>
      <w:r w:rsidRPr="009252C3" w:rsidR="00223C72">
        <w:rPr>
          <w:rFonts w:ascii="Century Schoolbook" w:hAnsi="Century Schoolbook"/>
          <w:sz w:val="27"/>
          <w:szCs w:val="27"/>
        </w:rPr>
        <w:t> </w:t>
      </w:r>
      <w:r w:rsidRPr="009252C3">
        <w:rPr>
          <w:rFonts w:ascii="Century Schoolbook" w:hAnsi="Century Schoolbook"/>
          <w:sz w:val="27"/>
          <w:szCs w:val="27"/>
        </w:rPr>
        <w:t>315.)</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As we have previously explained, this passage does not establish that a California defendant can preserve a for-cause challenge issue without exhausting his or her peremptories and objecting to the panel.  </w:t>
      </w:r>
      <w:r w:rsidRPr="009252C3" w:rsidR="00EA1A18">
        <w:rPr>
          <w:rFonts w:ascii="Century Schoolbook" w:hAnsi="Century Schoolbook"/>
          <w:sz w:val="27"/>
          <w:szCs w:val="27"/>
        </w:rPr>
        <w:t xml:space="preserve">In </w:t>
      </w:r>
      <w:r w:rsidRPr="009252C3" w:rsidR="00EA1A18">
        <w:rPr>
          <w:rFonts w:ascii="Century Schoolbook" w:hAnsi="Century Schoolbook"/>
          <w:i/>
          <w:sz w:val="27"/>
          <w:szCs w:val="27"/>
        </w:rPr>
        <w:t>Martinez-Salazar</w:t>
      </w:r>
      <w:r w:rsidRPr="009252C3" w:rsidR="00EA1A18">
        <w:rPr>
          <w:rFonts w:ascii="Century Schoolbook" w:hAnsi="Century Schoolbook"/>
          <w:sz w:val="27"/>
          <w:szCs w:val="27"/>
        </w:rPr>
        <w:t>, “</w:t>
      </w:r>
      <w:r w:rsidRPr="009252C3">
        <w:rPr>
          <w:rFonts w:ascii="Century Schoolbook" w:hAnsi="Century Schoolbook"/>
          <w:sz w:val="27"/>
          <w:szCs w:val="27"/>
        </w:rPr>
        <w:t>the high court interpreted</w:t>
      </w:r>
      <w:r w:rsidRPr="009252C3" w:rsidR="00223C72">
        <w:rPr>
          <w:rFonts w:ascii="Century Schoolbook" w:hAnsi="Century Schoolbook"/>
          <w:sz w:val="27"/>
          <w:szCs w:val="27"/>
        </w:rPr>
        <w:t xml:space="preserve"> </w:t>
      </w:r>
      <w:r w:rsidRPr="009252C3">
        <w:rPr>
          <w:rFonts w:ascii="Century Schoolbook" w:hAnsi="Century Schoolbook"/>
          <w:i/>
          <w:iCs/>
          <w:sz w:val="27"/>
          <w:szCs w:val="27"/>
        </w:rPr>
        <w:t>federal</w:t>
      </w:r>
      <w:r w:rsidRPr="009252C3" w:rsidR="00223C72">
        <w:rPr>
          <w:rFonts w:ascii="Century Schoolbook" w:hAnsi="Century Schoolbook"/>
          <w:i/>
          <w:iCs/>
          <w:sz w:val="27"/>
          <w:szCs w:val="27"/>
        </w:rPr>
        <w:t xml:space="preserve"> </w:t>
      </w:r>
      <w:r w:rsidRPr="009252C3">
        <w:rPr>
          <w:rFonts w:ascii="Century Schoolbook" w:hAnsi="Century Schoolbook"/>
          <w:sz w:val="27"/>
          <w:szCs w:val="27"/>
        </w:rPr>
        <w:t>law, specifically rule 24 of the Federal Rules of Criminal Procedure (18 U.S.C.), as not requiring a defendant to excuse a prospective juror in order to preserve the issue of the trial court</w:t>
      </w:r>
      <w:r w:rsidRPr="009252C3" w:rsidR="00FB37BB">
        <w:rPr>
          <w:rFonts w:ascii="Century Schoolbook" w:hAnsi="Century Schoolbook"/>
          <w:sz w:val="27"/>
          <w:szCs w:val="27"/>
        </w:rPr>
        <w:t>’</w:t>
      </w:r>
      <w:r w:rsidRPr="009252C3">
        <w:rPr>
          <w:rFonts w:ascii="Century Schoolbook" w:hAnsi="Century Schoolbook"/>
          <w:sz w:val="27"/>
          <w:szCs w:val="27"/>
        </w:rPr>
        <w:t>s denial of a challenge for cause.</w:t>
      </w:r>
      <w:r w:rsidRPr="009252C3" w:rsidR="006B1A3E">
        <w:rPr>
          <w:rFonts w:ascii="Century Schoolbook" w:hAnsi="Century Schoolbook"/>
          <w:sz w:val="27"/>
          <w:szCs w:val="27"/>
        </w:rPr>
        <w:t xml:space="preserve"> </w:t>
      </w:r>
      <w:r w:rsidRPr="009252C3">
        <w:rPr>
          <w:rFonts w:ascii="Century Schoolbook" w:hAnsi="Century Schoolbook"/>
          <w:sz w:val="27"/>
          <w:szCs w:val="27"/>
        </w:rPr>
        <w:t xml:space="preserve"> (</w:t>
      </w:r>
      <w:r w:rsidRPr="009252C3" w:rsidR="007B5A1B">
        <w:rPr>
          <w:rFonts w:ascii="Century Schoolbook" w:hAnsi="Century Schoolbook"/>
          <w:i/>
          <w:iCs/>
          <w:sz w:val="27"/>
          <w:szCs w:val="27"/>
        </w:rPr>
        <w:t xml:space="preserve">United States v. </w:t>
      </w:r>
      <w:r w:rsidRPr="009252C3">
        <w:rPr>
          <w:rFonts w:ascii="Century Schoolbook" w:hAnsi="Century Schoolbook"/>
          <w:i/>
          <w:iCs/>
          <w:sz w:val="27"/>
          <w:szCs w:val="27"/>
        </w:rPr>
        <w:t>Martinez</w:t>
      </w:r>
      <w:r w:rsidR="006F0AAD">
        <w:rPr>
          <w:rFonts w:ascii="Century Schoolbook" w:hAnsi="Century Schoolbook"/>
          <w:i/>
          <w:iCs/>
          <w:sz w:val="27"/>
          <w:szCs w:val="27"/>
        </w:rPr>
        <w:t>-</w:t>
      </w:r>
      <w:r w:rsidRPr="009252C3">
        <w:rPr>
          <w:rFonts w:ascii="Century Schoolbook" w:hAnsi="Century Schoolbook"/>
          <w:i/>
          <w:iCs/>
          <w:sz w:val="27"/>
          <w:szCs w:val="27"/>
        </w:rPr>
        <w:t>Salazar</w:t>
      </w:r>
      <w:r w:rsidRPr="009252C3">
        <w:rPr>
          <w:rFonts w:ascii="Century Schoolbook" w:hAnsi="Century Schoolbook"/>
          <w:iCs/>
          <w:sz w:val="27"/>
          <w:szCs w:val="27"/>
        </w:rPr>
        <w:t>,</w:t>
      </w:r>
      <w:r w:rsidRPr="009252C3">
        <w:rPr>
          <w:rFonts w:ascii="Century Schoolbook" w:hAnsi="Century Schoolbook"/>
          <w:i/>
          <w:iCs/>
          <w:sz w:val="27"/>
          <w:szCs w:val="27"/>
        </w:rPr>
        <w:t xml:space="preserve"> supra</w:t>
      </w:r>
      <w:r w:rsidRPr="009252C3">
        <w:rPr>
          <w:rFonts w:ascii="Century Schoolbook" w:hAnsi="Century Schoolbook"/>
          <w:iCs/>
          <w:sz w:val="27"/>
          <w:szCs w:val="27"/>
        </w:rPr>
        <w:t>,</w:t>
      </w:r>
      <w:r w:rsidRPr="009252C3" w:rsidR="00B538F6">
        <w:rPr>
          <w:rFonts w:ascii="Century Schoolbook" w:hAnsi="Century Schoolbook"/>
          <w:iCs/>
          <w:sz w:val="27"/>
          <w:szCs w:val="27"/>
        </w:rPr>
        <w:t xml:space="preserve"> </w:t>
      </w:r>
      <w:r w:rsidRPr="009252C3">
        <w:rPr>
          <w:rFonts w:ascii="Century Schoolbook" w:hAnsi="Century Schoolbook"/>
          <w:sz w:val="27"/>
          <w:szCs w:val="27"/>
        </w:rPr>
        <w:t>528 U.S. at pp.</w:t>
      </w:r>
      <w:r w:rsidRPr="009252C3" w:rsidR="00223C72">
        <w:rPr>
          <w:rFonts w:ascii="Century Schoolbook" w:hAnsi="Century Schoolbook"/>
          <w:sz w:val="27"/>
          <w:szCs w:val="27"/>
        </w:rPr>
        <w:t> </w:t>
      </w:r>
      <w:r w:rsidRPr="009252C3">
        <w:rPr>
          <w:rFonts w:ascii="Century Schoolbook" w:hAnsi="Century Schoolbook"/>
          <w:sz w:val="27"/>
          <w:szCs w:val="27"/>
        </w:rPr>
        <w:t>314–315.)  However, the court recognized that </w:t>
      </w:r>
      <w:r w:rsidRPr="009252C3">
        <w:rPr>
          <w:rFonts w:ascii="Century Schoolbook" w:hAnsi="Century Schoolbook"/>
          <w:i/>
          <w:iCs/>
          <w:sz w:val="27"/>
          <w:szCs w:val="27"/>
        </w:rPr>
        <w:t>state</w:t>
      </w:r>
      <w:r w:rsidRPr="009252C3">
        <w:rPr>
          <w:rFonts w:ascii="Century Schoolbook" w:hAnsi="Century Schoolbook"/>
          <w:sz w:val="27"/>
          <w:szCs w:val="27"/>
        </w:rPr>
        <w:t> law may be different.</w:t>
      </w:r>
      <w:r w:rsidRPr="009252C3" w:rsidR="00784D75">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Id.</w:t>
      </w:r>
      <w:r w:rsidRPr="009252C3" w:rsidR="00784D75">
        <w:rPr>
          <w:rFonts w:ascii="Century Schoolbook" w:hAnsi="Century Schoolbook"/>
          <w:i/>
          <w:iCs/>
          <w:sz w:val="27"/>
          <w:szCs w:val="27"/>
        </w:rPr>
        <w:t xml:space="preserve"> </w:t>
      </w:r>
      <w:r w:rsidRPr="009252C3">
        <w:rPr>
          <w:rFonts w:ascii="Century Schoolbook" w:hAnsi="Century Schoolbook"/>
          <w:sz w:val="27"/>
          <w:szCs w:val="27"/>
        </w:rPr>
        <w:t>at pp.</w:t>
      </w:r>
      <w:r w:rsidRPr="009252C3" w:rsidR="00223C72">
        <w:rPr>
          <w:rFonts w:ascii="Century Schoolbook" w:hAnsi="Century Schoolbook"/>
          <w:sz w:val="27"/>
          <w:szCs w:val="27"/>
        </w:rPr>
        <w:t> </w:t>
      </w:r>
      <w:r w:rsidRPr="009252C3">
        <w:rPr>
          <w:rFonts w:ascii="Century Schoolbook" w:hAnsi="Century Schoolbook"/>
          <w:sz w:val="27"/>
          <w:szCs w:val="27"/>
        </w:rPr>
        <w:t>313–314 [citing </w:t>
      </w:r>
      <w:r w:rsidRPr="009252C3">
        <w:rPr>
          <w:rFonts w:ascii="Century Schoolbook" w:hAnsi="Century Schoolbook"/>
          <w:i/>
          <w:iCs/>
          <w:sz w:val="27"/>
          <w:szCs w:val="27"/>
        </w:rPr>
        <w:t>Ross v. Oklahoma</w:t>
      </w:r>
      <w:r w:rsidRPr="009252C3" w:rsidR="00B538F6">
        <w:rPr>
          <w:rFonts w:ascii="Century Schoolbook" w:hAnsi="Century Schoolbook"/>
          <w:i/>
          <w:iCs/>
          <w:sz w:val="27"/>
          <w:szCs w:val="27"/>
        </w:rPr>
        <w:t xml:space="preserve"> </w:t>
      </w:r>
      <w:r w:rsidRPr="009252C3">
        <w:rPr>
          <w:rFonts w:ascii="Century Schoolbook" w:hAnsi="Century Schoolbook"/>
          <w:sz w:val="27"/>
          <w:szCs w:val="27"/>
        </w:rPr>
        <w:t>(1988) 487 U.S. 81].)  In</w:t>
      </w:r>
      <w:r w:rsidRPr="009252C3" w:rsidR="00B538F6">
        <w:rPr>
          <w:rFonts w:ascii="Century Schoolbook" w:hAnsi="Century Schoolbook"/>
          <w:sz w:val="27"/>
          <w:szCs w:val="27"/>
        </w:rPr>
        <w:t xml:space="preserve"> </w:t>
      </w:r>
      <w:r w:rsidRPr="009252C3">
        <w:rPr>
          <w:rFonts w:ascii="Century Schoolbook" w:hAnsi="Century Schoolbook"/>
          <w:i/>
          <w:iCs/>
          <w:sz w:val="27"/>
          <w:szCs w:val="27"/>
        </w:rPr>
        <w:t>Ross v. Oklahoma</w:t>
      </w:r>
      <w:r w:rsidRPr="009252C3">
        <w:rPr>
          <w:rFonts w:ascii="Century Schoolbook" w:hAnsi="Century Schoolbook"/>
          <w:iCs/>
          <w:sz w:val="27"/>
          <w:szCs w:val="27"/>
        </w:rPr>
        <w:t>,</w:t>
      </w:r>
      <w:r w:rsidRPr="009252C3">
        <w:rPr>
          <w:rFonts w:ascii="Century Schoolbook" w:hAnsi="Century Schoolbook"/>
          <w:i/>
          <w:iCs/>
          <w:sz w:val="27"/>
          <w:szCs w:val="27"/>
        </w:rPr>
        <w:t xml:space="preserve"> </w:t>
      </w:r>
      <w:r w:rsidRPr="009252C3">
        <w:rPr>
          <w:rFonts w:ascii="Century Schoolbook" w:hAnsi="Century Schoolbook"/>
          <w:sz w:val="27"/>
          <w:szCs w:val="27"/>
        </w:rPr>
        <w:t>at page 89, the court noted that under Oklahoma law, ‘a defendant who disagrees with the trial court</w:t>
      </w:r>
      <w:r w:rsidRPr="009252C3" w:rsidR="00FB37BB">
        <w:rPr>
          <w:rFonts w:ascii="Century Schoolbook" w:hAnsi="Century Schoolbook"/>
          <w:sz w:val="27"/>
          <w:szCs w:val="27"/>
        </w:rPr>
        <w:t>’</w:t>
      </w:r>
      <w:r w:rsidRPr="009252C3">
        <w:rPr>
          <w:rFonts w:ascii="Century Schoolbook" w:hAnsi="Century Schoolbook"/>
          <w:sz w:val="27"/>
          <w:szCs w:val="27"/>
        </w:rPr>
        <w:t>s ruling on a for-cause challenge must, in order to preserve the claim that the ruling deprived him of a fair trial, exercise a peremptory challenge to remove the juror.  Even then, the error is grounds for reversal only if the defendant exhausts all peremptory challenges and an incompetent juror is forced upon him.’  The court found ‘nothing arbitrary or irrational about such a requirement, which subordinates the absolute freedom to use a peremptory challenge as one wishes to the goal of empanel</w:t>
      </w:r>
      <w:r w:rsidRPr="009252C3" w:rsidR="00FB37BB">
        <w:rPr>
          <w:rFonts w:ascii="Century Schoolbook" w:hAnsi="Century Schoolbook"/>
          <w:sz w:val="27"/>
          <w:szCs w:val="27"/>
        </w:rPr>
        <w:t>l</w:t>
      </w:r>
      <w:r w:rsidRPr="009252C3">
        <w:rPr>
          <w:rFonts w:ascii="Century Schoolbook" w:hAnsi="Century Schoolbook"/>
          <w:sz w:val="27"/>
          <w:szCs w:val="27"/>
        </w:rPr>
        <w:t xml:space="preserve">ing an impartial jury.’ </w:t>
      </w:r>
      <w:r w:rsidRPr="009252C3" w:rsidR="006B1A3E">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Id.</w:t>
      </w:r>
      <w:r w:rsidRPr="009252C3" w:rsidR="007E76F9">
        <w:rPr>
          <w:rFonts w:ascii="Century Schoolbook" w:hAnsi="Century Schoolbook"/>
          <w:i/>
          <w:iCs/>
          <w:sz w:val="27"/>
          <w:szCs w:val="27"/>
        </w:rPr>
        <w:t xml:space="preserve"> </w:t>
      </w:r>
      <w:r w:rsidRPr="009252C3">
        <w:rPr>
          <w:rFonts w:ascii="Century Schoolbook" w:hAnsi="Century Schoolbook"/>
          <w:sz w:val="27"/>
          <w:szCs w:val="27"/>
        </w:rPr>
        <w:t>at p.</w:t>
      </w:r>
      <w:r w:rsidRPr="009252C3" w:rsidR="006B1A3E">
        <w:rPr>
          <w:rFonts w:ascii="Century Schoolbook" w:hAnsi="Century Schoolbook"/>
          <w:sz w:val="27"/>
          <w:szCs w:val="27"/>
        </w:rPr>
        <w:t> </w:t>
      </w:r>
      <w:r w:rsidRPr="009252C3">
        <w:rPr>
          <w:rFonts w:ascii="Century Schoolbook" w:hAnsi="Century Schoolbook"/>
          <w:sz w:val="27"/>
          <w:szCs w:val="27"/>
        </w:rPr>
        <w:t xml:space="preserve">90.)  </w:t>
      </w:r>
      <w:r w:rsidRPr="009252C3" w:rsidR="00EA1A18">
        <w:rPr>
          <w:rFonts w:ascii="Century Schoolbook" w:hAnsi="Century Schoolbook"/>
          <w:sz w:val="27"/>
          <w:szCs w:val="27"/>
        </w:rPr>
        <w:t>.</w:t>
      </w:r>
      <w:r w:rsidRPr="009252C3" w:rsidR="007E6155">
        <w:rPr>
          <w:rFonts w:ascii="Century Schoolbook" w:hAnsi="Century Schoolbook"/>
          <w:sz w:val="27"/>
          <w:szCs w:val="27"/>
        </w:rPr>
        <w:t> </w:t>
      </w:r>
      <w:r w:rsidRPr="009252C3" w:rsidR="00EA1A18">
        <w:rPr>
          <w:rFonts w:ascii="Century Schoolbook" w:hAnsi="Century Schoolbook"/>
          <w:sz w:val="27"/>
          <w:szCs w:val="27"/>
        </w:rPr>
        <w:t>.</w:t>
      </w:r>
      <w:r w:rsidRPr="009252C3" w:rsidR="007E6155">
        <w:rPr>
          <w:rFonts w:ascii="Century Schoolbook" w:hAnsi="Century Schoolbook"/>
          <w:sz w:val="27"/>
          <w:szCs w:val="27"/>
        </w:rPr>
        <w:t> </w:t>
      </w:r>
      <w:r w:rsidRPr="009252C3" w:rsidR="00EA1A18">
        <w:rPr>
          <w:rFonts w:ascii="Century Schoolbook" w:hAnsi="Century Schoolbook"/>
          <w:sz w:val="27"/>
          <w:szCs w:val="27"/>
        </w:rPr>
        <w:t xml:space="preserve">. </w:t>
      </w:r>
      <w:r w:rsidRPr="009252C3">
        <w:rPr>
          <w:rFonts w:ascii="Century Schoolbook" w:hAnsi="Century Schoolbook"/>
          <w:sz w:val="27"/>
          <w:szCs w:val="27"/>
        </w:rPr>
        <w:t xml:space="preserve"> </w:t>
      </w:r>
      <w:r w:rsidRPr="009252C3" w:rsidR="00EA1A18">
        <w:rPr>
          <w:rFonts w:ascii="Century Schoolbook" w:hAnsi="Century Schoolbook"/>
          <w:sz w:val="27"/>
          <w:szCs w:val="27"/>
        </w:rPr>
        <w:t>[T]</w:t>
      </w:r>
      <w:r w:rsidRPr="009252C3">
        <w:rPr>
          <w:rFonts w:ascii="Century Schoolbook" w:hAnsi="Century Schoolbook"/>
          <w:sz w:val="27"/>
          <w:szCs w:val="27"/>
        </w:rPr>
        <w:t>he California rule is similar to Oklahoma’s.”  (</w:t>
      </w:r>
      <w:r w:rsidRPr="009252C3">
        <w:rPr>
          <w:rFonts w:ascii="Century Schoolbook" w:hAnsi="Century Schoolbook"/>
          <w:i/>
          <w:iCs/>
          <w:sz w:val="27"/>
          <w:szCs w:val="27"/>
        </w:rPr>
        <w:t>Hillhouse</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27 Cal.4th at p.</w:t>
      </w:r>
      <w:r w:rsidRPr="009252C3" w:rsidR="00784D75">
        <w:rPr>
          <w:rFonts w:ascii="Century Schoolbook" w:hAnsi="Century Schoolbook"/>
          <w:sz w:val="27"/>
          <w:szCs w:val="27"/>
        </w:rPr>
        <w:t> </w:t>
      </w:r>
      <w:r w:rsidRPr="009252C3">
        <w:rPr>
          <w:rFonts w:ascii="Century Schoolbook" w:hAnsi="Century Schoolbook"/>
          <w:sz w:val="27"/>
          <w:szCs w:val="27"/>
        </w:rPr>
        <w:t xml:space="preserve">487; accord, </w:t>
      </w:r>
      <w:r w:rsidRPr="009252C3">
        <w:rPr>
          <w:rFonts w:ascii="Century Schoolbook" w:hAnsi="Century Schoolbook"/>
          <w:i/>
          <w:sz w:val="27"/>
          <w:szCs w:val="27"/>
        </w:rPr>
        <w:t>People v. Winbush</w:t>
      </w:r>
      <w:r w:rsidRPr="009252C3">
        <w:rPr>
          <w:rFonts w:ascii="Century Schoolbook" w:hAnsi="Century Schoolbook"/>
          <w:sz w:val="27"/>
          <w:szCs w:val="27"/>
        </w:rPr>
        <w:t xml:space="preserve"> (2017) 2 Cal.5th 402, 426.)  </w:t>
      </w:r>
      <w:r w:rsidRPr="009252C3" w:rsidR="00EA1A18">
        <w:rPr>
          <w:rFonts w:ascii="Century Schoolbook" w:hAnsi="Century Schoolbook"/>
          <w:i/>
          <w:sz w:val="27"/>
          <w:szCs w:val="27"/>
        </w:rPr>
        <w:t>Martinez-Salazar</w:t>
      </w:r>
      <w:r w:rsidRPr="009252C3" w:rsidR="00EA1A18">
        <w:rPr>
          <w:rFonts w:ascii="Century Schoolbook" w:hAnsi="Century Schoolbook"/>
          <w:sz w:val="27"/>
          <w:szCs w:val="27"/>
        </w:rPr>
        <w:t xml:space="preserve"> casts no doubt on the continued validity of our rule requiring defendant to have taken additional steps to preserve </w:t>
      </w:r>
      <w:r w:rsidRPr="009252C3">
        <w:rPr>
          <w:rFonts w:ascii="Century Schoolbook" w:hAnsi="Century Schoolbook"/>
          <w:sz w:val="27"/>
          <w:szCs w:val="27"/>
        </w:rPr>
        <w:t>the claim that his for-cause challenge was improperly denied.</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We also reject defendant’s claim on the merits.  A challenge for cause under </w:t>
      </w:r>
      <w:r w:rsidRPr="009252C3">
        <w:rPr>
          <w:rFonts w:ascii="Century Schoolbook" w:hAnsi="Century Schoolbook"/>
          <w:i/>
          <w:iCs/>
          <w:sz w:val="27"/>
          <w:szCs w:val="27"/>
        </w:rPr>
        <w:t>Wainwright v. Witt</w:t>
      </w:r>
      <w:r w:rsidRPr="009252C3">
        <w:rPr>
          <w:rFonts w:ascii="Century Schoolbook" w:hAnsi="Century Schoolbook"/>
          <w:sz w:val="27"/>
          <w:szCs w:val="27"/>
        </w:rPr>
        <w:t> (1985) 469 U.S. 412, 424, requires the trial court to determine whether the prospective juror’s views on the death penalty “would ‘ “prevent or substantially impair” ’ the performance of the juror’s duties as defined by the court</w:t>
      </w:r>
      <w:r w:rsidRPr="009252C3" w:rsidR="00FB37BB">
        <w:rPr>
          <w:rFonts w:ascii="Century Schoolbook" w:hAnsi="Century Schoolbook"/>
          <w:sz w:val="27"/>
          <w:szCs w:val="27"/>
        </w:rPr>
        <w:t>’</w:t>
      </w:r>
      <w:r w:rsidRPr="009252C3">
        <w:rPr>
          <w:rFonts w:ascii="Century Schoolbook" w:hAnsi="Century Schoolbook"/>
          <w:sz w:val="27"/>
          <w:szCs w:val="27"/>
        </w:rPr>
        <w:t xml:space="preserve">s instructions and the juror’s oath.” </w:t>
      </w:r>
      <w:r w:rsidRPr="009252C3" w:rsidR="006B1A3E">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People v. Cunningham</w:t>
      </w:r>
      <w:r w:rsidRPr="009252C3">
        <w:rPr>
          <w:rFonts w:ascii="Century Schoolbook" w:hAnsi="Century Schoolbook"/>
          <w:sz w:val="27"/>
          <w:szCs w:val="27"/>
        </w:rPr>
        <w:t> (2001) 25 Cal.4th 926, 975.)  “ ‘On appeal, we will uphold the trial court’s ruling if it is fairly supported by the record, accepting .</w:t>
      </w:r>
      <w:r w:rsidRPr="009252C3" w:rsidR="006B1A3E">
        <w:rPr>
          <w:rFonts w:ascii="Century Schoolbook" w:hAnsi="Century Schoolbook"/>
          <w:sz w:val="27"/>
          <w:szCs w:val="27"/>
        </w:rPr>
        <w:t> </w:t>
      </w:r>
      <w:r w:rsidRPr="009252C3">
        <w:rPr>
          <w:rFonts w:ascii="Century Schoolbook" w:hAnsi="Century Schoolbook"/>
          <w:sz w:val="27"/>
          <w:szCs w:val="27"/>
        </w:rPr>
        <w:t>.</w:t>
      </w:r>
      <w:r w:rsidRPr="009252C3" w:rsidR="006B1A3E">
        <w:rPr>
          <w:rFonts w:ascii="Century Schoolbook" w:hAnsi="Century Schoolbook"/>
          <w:sz w:val="27"/>
          <w:szCs w:val="27"/>
        </w:rPr>
        <w:t> </w:t>
      </w:r>
      <w:r w:rsidRPr="009252C3">
        <w:rPr>
          <w:rFonts w:ascii="Century Schoolbook" w:hAnsi="Century Schoolbook"/>
          <w:sz w:val="27"/>
          <w:szCs w:val="27"/>
        </w:rPr>
        <w:t>. the trial court’s determination as to the prospective juror’s true state of mind when the prospective juror has made statements that are conflicting or ambiguous.’</w:t>
      </w:r>
      <w:r w:rsidRPr="009252C3" w:rsidR="006B1A3E">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People v. Mayfield</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(1997) 14 Cal.4th 668, 727.”  (</w:t>
      </w:r>
      <w:r w:rsidRPr="009252C3">
        <w:rPr>
          <w:rFonts w:ascii="Century Schoolbook" w:hAnsi="Century Schoolbook"/>
          <w:i/>
          <w:iCs/>
          <w:sz w:val="27"/>
          <w:szCs w:val="27"/>
        </w:rPr>
        <w:t>People v. Barnett</w:t>
      </w:r>
      <w:r w:rsidRPr="009252C3">
        <w:rPr>
          <w:rFonts w:ascii="Century Schoolbook" w:hAnsi="Century Schoolbook"/>
          <w:sz w:val="27"/>
          <w:szCs w:val="27"/>
        </w:rPr>
        <w:t xml:space="preserve"> (1998) 17 Cal.4th 1044, 1114; accord, </w:t>
      </w:r>
      <w:r w:rsidRPr="009252C3">
        <w:rPr>
          <w:rFonts w:ascii="Century Schoolbook" w:hAnsi="Century Schoolbook"/>
          <w:i/>
          <w:iCs/>
          <w:sz w:val="27"/>
          <w:szCs w:val="27"/>
        </w:rPr>
        <w:t>People v. Jenkins</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 xml:space="preserve">(2000) 22 Cal.4th 900, 987; </w:t>
      </w:r>
      <w:r w:rsidRPr="009252C3">
        <w:rPr>
          <w:rFonts w:ascii="Century Schoolbook" w:hAnsi="Century Schoolbook"/>
          <w:i/>
          <w:sz w:val="27"/>
          <w:szCs w:val="27"/>
        </w:rPr>
        <w:t>People v.</w:t>
      </w:r>
      <w:r w:rsidRPr="009252C3">
        <w:rPr>
          <w:rFonts w:ascii="Century Schoolbook" w:hAnsi="Century Schoolbook"/>
          <w:sz w:val="27"/>
          <w:szCs w:val="27"/>
        </w:rPr>
        <w:t xml:space="preserve"> </w:t>
      </w:r>
      <w:r w:rsidRPr="009252C3">
        <w:rPr>
          <w:rFonts w:ascii="Century Schoolbook" w:hAnsi="Century Schoolbook"/>
          <w:i/>
          <w:iCs/>
          <w:sz w:val="27"/>
          <w:szCs w:val="27"/>
        </w:rPr>
        <w:t>Winbush</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2 Cal.5th at pp.</w:t>
      </w:r>
      <w:r w:rsidRPr="009252C3" w:rsidR="006B1A3E">
        <w:rPr>
          <w:rFonts w:ascii="Century Schoolbook" w:hAnsi="Century Schoolbook"/>
          <w:sz w:val="27"/>
          <w:szCs w:val="27"/>
        </w:rPr>
        <w:t> </w:t>
      </w:r>
      <w:r w:rsidRPr="009252C3">
        <w:rPr>
          <w:rFonts w:ascii="Century Schoolbook" w:hAnsi="Century Schoolbook"/>
          <w:sz w:val="27"/>
          <w:szCs w:val="27"/>
        </w:rPr>
        <w:t>424–425.)</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Juror No. 10’s statements were at times ambiguous and conflicting.  On the one hand, she generally thought the death penalty appropriate for sexual assault and murder of a child, and knowing from the synopsis on her questionnaire that defendant had been convicted of the “murder, torture, sodomy and sexual assault” of an eight-year-old boy, she leaned toward the death penalty in this case.  On the other</w:t>
      </w:r>
      <w:r w:rsidR="006F0AAD">
        <w:rPr>
          <w:rFonts w:ascii="Century Schoolbook" w:hAnsi="Century Schoolbook"/>
          <w:sz w:val="27"/>
          <w:szCs w:val="27"/>
        </w:rPr>
        <w:t xml:space="preserve"> hand</w:t>
      </w:r>
      <w:r w:rsidR="005D674E">
        <w:rPr>
          <w:rFonts w:ascii="Century Schoolbook" w:hAnsi="Century Schoolbook"/>
          <w:sz w:val="27"/>
          <w:szCs w:val="27"/>
        </w:rPr>
        <w:t>,</w:t>
      </w:r>
      <w:r w:rsidRPr="009252C3">
        <w:rPr>
          <w:rFonts w:ascii="Century Schoolbook" w:hAnsi="Century Schoolbook"/>
          <w:sz w:val="27"/>
          <w:szCs w:val="27"/>
        </w:rPr>
        <w:t xml:space="preserve"> she believed jurors should keep an open mind and listen to all the evidence and, under close questioning by attorneys for both parties and by the court, she affirmed that she would consider the mitigation evidence presented and could return a life sentence if she believed it appropriate.  Although at one point she appeared to say that because the victim was a child she would put a burden of proof on the defense even if instructed otherwise, when questioned carefully by the court she clarified that she would follow the court’s instructions on how to decide </w:t>
      </w:r>
      <w:r w:rsidR="006F0AAD">
        <w:rPr>
          <w:rFonts w:ascii="Century Schoolbook" w:hAnsi="Century Schoolbook"/>
          <w:sz w:val="27"/>
          <w:szCs w:val="27"/>
        </w:rPr>
        <w:t xml:space="preserve">the </w:t>
      </w:r>
      <w:r w:rsidRPr="009252C3">
        <w:rPr>
          <w:rFonts w:ascii="Century Schoolbook" w:hAnsi="Century Schoolbook"/>
          <w:sz w:val="27"/>
          <w:szCs w:val="27"/>
        </w:rPr>
        <w:t>penalty.  The trial court was fully engaged in assessing the juror’s state of mind on these points and was able to observe her tone of voice and demeanor.  In these circumstances, we have no grounds to overturn the court’s determination that Juror No.</w:t>
      </w:r>
      <w:r w:rsidRPr="009252C3" w:rsidR="006B1A3E">
        <w:rPr>
          <w:rFonts w:ascii="Century Schoolbook" w:hAnsi="Century Schoolbook"/>
          <w:sz w:val="27"/>
          <w:szCs w:val="27"/>
        </w:rPr>
        <w:t> </w:t>
      </w:r>
      <w:r w:rsidRPr="009252C3">
        <w:rPr>
          <w:rFonts w:ascii="Century Schoolbook" w:hAnsi="Century Schoolbook"/>
          <w:sz w:val="27"/>
          <w:szCs w:val="27"/>
        </w:rPr>
        <w:t>10 was not disqualified by bias.  Finding no error in this determination, we also reject defendant’s claims to denial of his constitutional rights in this regard.</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2" w:name="_Toc3365820"/>
      <w:r w:rsidRPr="009252C3">
        <w:rPr>
          <w:rFonts w:ascii="Century Schoolbook" w:hAnsi="Century Schoolbook"/>
          <w:b/>
          <w:i w:val="0"/>
          <w:sz w:val="27"/>
          <w:szCs w:val="27"/>
        </w:rPr>
        <w:t>XI.  Permissibility of Penalty Phase Retrial</w:t>
      </w:r>
      <w:bookmarkEnd w:id="22"/>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the retrial of penalty before a new jury after the original jury was unable to reach a verdict on this issue, as provided for </w:t>
      </w:r>
      <w:r w:rsidRPr="009252C3" w:rsidR="00EA1A18">
        <w:rPr>
          <w:rFonts w:ascii="Century Schoolbook" w:hAnsi="Century Schoolbook"/>
          <w:sz w:val="27"/>
          <w:szCs w:val="27"/>
        </w:rPr>
        <w:t xml:space="preserve">in </w:t>
      </w:r>
      <w:r w:rsidRPr="009252C3">
        <w:rPr>
          <w:rFonts w:ascii="Century Schoolbook" w:hAnsi="Century Schoolbook"/>
          <w:sz w:val="27"/>
          <w:szCs w:val="27"/>
        </w:rPr>
        <w:t xml:space="preserve">Penal Code section 190.4, subdivision (b), conflicts with evolving standards of decency in the United States and therefore violates the bans on cruel and/or unusual punishments under the United States and California Constitutions.  (U.S. Const., </w:t>
      </w:r>
      <w:r w:rsidRPr="009252C3" w:rsidR="007B5A1B">
        <w:rPr>
          <w:rFonts w:ascii="Century Schoolbook" w:hAnsi="Century Schoolbook"/>
          <w:sz w:val="27"/>
          <w:szCs w:val="27"/>
        </w:rPr>
        <w:t>8th</w:t>
      </w:r>
      <w:r w:rsidRPr="009252C3">
        <w:rPr>
          <w:rFonts w:ascii="Century Schoolbook" w:hAnsi="Century Schoolbook"/>
          <w:sz w:val="27"/>
          <w:szCs w:val="27"/>
        </w:rPr>
        <w:t xml:space="preserve"> Amend.; Cal. Const., </w:t>
      </w:r>
      <w:r w:rsidRPr="009252C3" w:rsidR="006B1A3E">
        <w:rPr>
          <w:rFonts w:ascii="Century Schoolbook" w:hAnsi="Century Schoolbook"/>
          <w:sz w:val="27"/>
          <w:szCs w:val="27"/>
        </w:rPr>
        <w:t>a</w:t>
      </w:r>
      <w:r w:rsidRPr="009252C3">
        <w:rPr>
          <w:rFonts w:ascii="Century Schoolbook" w:hAnsi="Century Schoolbook"/>
          <w:sz w:val="27"/>
          <w:szCs w:val="27"/>
        </w:rPr>
        <w:t>rt. I, §</w:t>
      </w:r>
      <w:r w:rsidRPr="009252C3" w:rsidR="006B1A3E">
        <w:rPr>
          <w:rFonts w:ascii="Century Schoolbook" w:hAnsi="Century Schoolbook"/>
          <w:sz w:val="27"/>
          <w:szCs w:val="27"/>
        </w:rPr>
        <w:t> </w:t>
      </w:r>
      <w:r w:rsidRPr="009252C3">
        <w:rPr>
          <w:rFonts w:ascii="Century Schoolbook" w:hAnsi="Century Schoolbook"/>
          <w:sz w:val="27"/>
          <w:szCs w:val="27"/>
        </w:rPr>
        <w:t>17.)</w:t>
      </w:r>
      <w:r>
        <w:rPr>
          <w:rStyle w:val="FootnoteReference"/>
          <w:rFonts w:ascii="Century Schoolbook" w:hAnsi="Century Schoolbook"/>
          <w:sz w:val="27"/>
          <w:szCs w:val="27"/>
          <w:vertAlign w:val="superscript"/>
        </w:rPr>
        <w:footnoteReference w:id="25"/>
      </w:r>
      <w:r w:rsidRPr="00ED04F5">
        <w:rPr>
          <w:rFonts w:ascii="Century Schoolbook" w:hAnsi="Century Schoolbook"/>
          <w:sz w:val="27"/>
          <w:szCs w:val="27"/>
          <w:vertAlign w:val="superscript"/>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As in </w:t>
      </w:r>
      <w:r w:rsidRPr="009252C3">
        <w:rPr>
          <w:rFonts w:ascii="Century Schoolbook" w:hAnsi="Century Schoolbook"/>
          <w:i/>
          <w:iCs/>
          <w:sz w:val="27"/>
          <w:szCs w:val="27"/>
        </w:rPr>
        <w:t>People v. Taylor</w:t>
      </w:r>
      <w:r w:rsidRPr="009252C3" w:rsidR="00F9768F">
        <w:rPr>
          <w:rFonts w:ascii="Century Schoolbook" w:hAnsi="Century Schoolbook"/>
          <w:sz w:val="27"/>
          <w:szCs w:val="27"/>
        </w:rPr>
        <w:t xml:space="preserve">, </w:t>
      </w:r>
      <w:r w:rsidRPr="009252C3" w:rsidR="00F9768F">
        <w:rPr>
          <w:rFonts w:ascii="Century Schoolbook" w:hAnsi="Century Schoolbook"/>
          <w:i/>
          <w:sz w:val="27"/>
          <w:szCs w:val="27"/>
        </w:rPr>
        <w:t>supra</w:t>
      </w:r>
      <w:r w:rsidRPr="009252C3" w:rsidR="00F9768F">
        <w:rPr>
          <w:rFonts w:ascii="Century Schoolbook" w:hAnsi="Century Schoolbook"/>
          <w:sz w:val="27"/>
          <w:szCs w:val="27"/>
        </w:rPr>
        <w:t>,</w:t>
      </w:r>
      <w:r w:rsidRPr="009252C3" w:rsidR="00470B31">
        <w:rPr>
          <w:rFonts w:ascii="Century Schoolbook" w:hAnsi="Century Schoolbook"/>
          <w:sz w:val="27"/>
          <w:szCs w:val="27"/>
        </w:rPr>
        <w:t xml:space="preserve"> </w:t>
      </w:r>
      <w:r w:rsidRPr="009252C3">
        <w:rPr>
          <w:rFonts w:ascii="Century Schoolbook" w:hAnsi="Century Schoolbook"/>
          <w:sz w:val="27"/>
          <w:szCs w:val="27"/>
        </w:rPr>
        <w:t xml:space="preserve">48 Cal.4th </w:t>
      </w:r>
      <w:r w:rsidRPr="009252C3" w:rsidR="00F9768F">
        <w:rPr>
          <w:rFonts w:ascii="Century Schoolbook" w:hAnsi="Century Schoolbook"/>
          <w:sz w:val="27"/>
          <w:szCs w:val="27"/>
        </w:rPr>
        <w:t>at page</w:t>
      </w:r>
      <w:r w:rsidRPr="009252C3">
        <w:rPr>
          <w:rFonts w:ascii="Century Schoolbook" w:hAnsi="Century Schoolbook"/>
          <w:sz w:val="27"/>
          <w:szCs w:val="27"/>
        </w:rPr>
        <w:t xml:space="preserve"> 633, defendant here cites statutory law from other United States jurisdictions to show that California is in the minority of death penalty jurisdictions allowing a penalty retrial and argues a retrial unfairly imposes double-jeopardy-type burdens on capital defendants.  We rejected both arguments in </w:t>
      </w:r>
      <w:r w:rsidRPr="009252C3">
        <w:rPr>
          <w:rFonts w:ascii="Century Schoolbook" w:hAnsi="Century Schoolbook"/>
          <w:i/>
          <w:sz w:val="27"/>
          <w:szCs w:val="27"/>
        </w:rPr>
        <w:t>Taylor</w:t>
      </w:r>
      <w:r w:rsidRPr="009252C3">
        <w:rPr>
          <w:rFonts w:ascii="Century Schoolbook" w:hAnsi="Century Schoolbook"/>
          <w:sz w:val="27"/>
          <w:szCs w:val="27"/>
        </w:rPr>
        <w:t>:  “Although we have never addressed the precise Eighth Amendment challenge defendant raises, we have determined that ‘California’s asserted status as being in the minority of jurisdictions worldwide that impose capital punishment’ does not establish that our death penalty scheme per se violates the Eighth Amendment.</w:t>
      </w:r>
      <w:r w:rsidRPr="009252C3" w:rsidR="006B1A3E">
        <w:rPr>
          <w:rFonts w:ascii="Century Schoolbook" w:hAnsi="Century Schoolbook"/>
          <w:sz w:val="27"/>
          <w:szCs w:val="27"/>
        </w:rPr>
        <w:t xml:space="preserve"> </w:t>
      </w:r>
      <w:r w:rsidRPr="009252C3">
        <w:rPr>
          <w:rFonts w:ascii="Century Schoolbook" w:hAnsi="Century Schoolbook"/>
          <w:sz w:val="27"/>
          <w:szCs w:val="27"/>
        </w:rPr>
        <w:t xml:space="preserve"> [Citations</w:t>
      </w:r>
      <w:r w:rsidRPr="009252C3" w:rsidR="006B1A3E">
        <w:rPr>
          <w:rFonts w:ascii="Century Schoolbook" w:hAnsi="Century Schoolbook"/>
          <w:sz w:val="27"/>
          <w:szCs w:val="27"/>
        </w:rPr>
        <w:t>.</w:t>
      </w:r>
      <w:r w:rsidRPr="009252C3">
        <w:rPr>
          <w:rFonts w:ascii="Century Schoolbook" w:hAnsi="Century Schoolbook"/>
          <w:sz w:val="27"/>
          <w:szCs w:val="27"/>
        </w:rPr>
        <w:t>]  Likewise here, that California is among the ‘handful’ of states</w:t>
      </w:r>
      <w:r w:rsidRPr="009252C3" w:rsidR="007E6155">
        <w:rPr>
          <w:rFonts w:ascii="Century Schoolbook" w:hAnsi="Century Schoolbook"/>
          <w:sz w:val="27"/>
          <w:szCs w:val="27"/>
        </w:rPr>
        <w:t xml:space="preserve"> </w:t>
      </w:r>
      <w:r w:rsidRPr="009252C3">
        <w:rPr>
          <w:rFonts w:ascii="Century Schoolbook" w:hAnsi="Century Schoolbook"/>
          <w:sz w:val="27"/>
          <w:szCs w:val="27"/>
        </w:rPr>
        <w:t>that allows a penalty retrial following jury deadlock on penalty does not, in and of itself, establish a violation of the Eighth Amendment or ‘evolving standards of decency that mark the progress of a maturing society.’</w:t>
      </w:r>
      <w:r w:rsidRPr="009252C3" w:rsidR="006B1A3E">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Trop v. Dulles</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(1958) 356 U.S. 86, 101.)  [¶]  Arguing points more typically raised in a claim of double jeopardy, defendant further contends that compelling a capital defendant to endure the ‘</w:t>
      </w:r>
      <w:r w:rsidRPr="009252C3" w:rsidR="006B1A3E">
        <w:rPr>
          <w:rFonts w:ascii="Century Schoolbook" w:hAnsi="Century Schoolbook"/>
          <w:sz w:val="27"/>
          <w:szCs w:val="27"/>
        </w:rPr>
        <w:t> </w:t>
      </w:r>
      <w:r w:rsidRPr="009252C3">
        <w:rPr>
          <w:rFonts w:ascii="Century Schoolbook" w:hAnsi="Century Schoolbook"/>
          <w:sz w:val="27"/>
          <w:szCs w:val="27"/>
        </w:rPr>
        <w:t>“embarrassment, expense and ordeal”</w:t>
      </w:r>
      <w:r w:rsidRPr="009252C3" w:rsidR="006B1A3E">
        <w:rPr>
          <w:rFonts w:ascii="Century Schoolbook" w:hAnsi="Century Schoolbook"/>
          <w:sz w:val="27"/>
          <w:szCs w:val="27"/>
        </w:rPr>
        <w:t> </w:t>
      </w:r>
      <w:r w:rsidRPr="009252C3">
        <w:rPr>
          <w:rFonts w:ascii="Century Schoolbook" w:hAnsi="Century Schoolbook"/>
          <w:sz w:val="27"/>
          <w:szCs w:val="27"/>
        </w:rPr>
        <w:t>’</w:t>
      </w:r>
      <w:r w:rsidRPr="009252C3" w:rsidR="006B1A3E">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United States v. Scott</w:t>
      </w:r>
      <w:r w:rsidRPr="009252C3" w:rsidR="006B1A3E">
        <w:rPr>
          <w:rFonts w:ascii="Century Schoolbook" w:hAnsi="Century Schoolbook"/>
          <w:i/>
          <w:iCs/>
          <w:sz w:val="27"/>
          <w:szCs w:val="27"/>
        </w:rPr>
        <w:t xml:space="preserve"> </w:t>
      </w:r>
      <w:r w:rsidRPr="009252C3">
        <w:rPr>
          <w:rFonts w:ascii="Century Schoolbook" w:hAnsi="Century Schoolbook"/>
          <w:sz w:val="27"/>
          <w:szCs w:val="27"/>
        </w:rPr>
        <w:t>(1978) 437 U.S. 82, 95) of a second trial on the question of whether he should live or die is inconsistent with Eighth Amendment principles.  But, as defendant concedes, in</w:t>
      </w:r>
      <w:r w:rsidRPr="009252C3" w:rsidR="006B1A3E">
        <w:rPr>
          <w:rFonts w:ascii="Century Schoolbook" w:hAnsi="Century Schoolbook"/>
          <w:sz w:val="27"/>
          <w:szCs w:val="27"/>
        </w:rPr>
        <w:t xml:space="preserve"> </w:t>
      </w:r>
      <w:r w:rsidRPr="009252C3">
        <w:rPr>
          <w:rFonts w:ascii="Century Schoolbook" w:hAnsi="Century Schoolbook"/>
          <w:i/>
          <w:iCs/>
          <w:sz w:val="27"/>
          <w:szCs w:val="27"/>
        </w:rPr>
        <w:t>Sattazahn v. Pennsylvania</w:t>
      </w:r>
      <w:r w:rsidRPr="009252C3">
        <w:rPr>
          <w:rFonts w:ascii="Century Schoolbook" w:hAnsi="Century Schoolbook"/>
          <w:sz w:val="27"/>
          <w:szCs w:val="27"/>
        </w:rPr>
        <w:t> (2003) 537 U.S. 101, 108–110, the high court held that the double jeopardy clause did not bar a penalty retrial after appellate reversal of the capital defendant</w:t>
      </w:r>
      <w:r w:rsidRPr="009252C3" w:rsidR="006B1A3E">
        <w:rPr>
          <w:rFonts w:ascii="Century Schoolbook" w:hAnsi="Century Schoolbook"/>
          <w:sz w:val="27"/>
          <w:szCs w:val="27"/>
        </w:rPr>
        <w:t>’</w:t>
      </w:r>
      <w:r w:rsidRPr="009252C3">
        <w:rPr>
          <w:rFonts w:ascii="Century Schoolbook" w:hAnsi="Century Schoolbook"/>
          <w:sz w:val="27"/>
          <w:szCs w:val="27"/>
        </w:rPr>
        <w:t>s conviction, notwithstanding that in accordance with Pennsylvania law, the defendant had been sentenced to life without parole following juror deadlock at the penalty phase.  Given that the double jeopardy clause permits retrial following juror deadlock under such circumstances, we fail to see how subjecting defendant to retrial of the penalty phase in this case could offend the constitutional proscription against cruel and unusual punishment.”  (</w:t>
      </w:r>
      <w:r w:rsidRPr="009252C3">
        <w:rPr>
          <w:rFonts w:ascii="Century Schoolbook" w:hAnsi="Century Schoolbook"/>
          <w:i/>
          <w:iCs/>
          <w:sz w:val="27"/>
          <w:szCs w:val="27"/>
        </w:rPr>
        <w:t>Taylor</w:t>
      </w:r>
      <w:r w:rsidRPr="009252C3">
        <w:rPr>
          <w:rFonts w:ascii="Century Schoolbook" w:hAnsi="Century Schoolbook"/>
          <w:sz w:val="27"/>
          <w:szCs w:val="27"/>
        </w:rPr>
        <w:t>, at p.</w:t>
      </w:r>
      <w:r w:rsidRPr="009252C3" w:rsidR="006B1A3E">
        <w:rPr>
          <w:rFonts w:ascii="Century Schoolbook" w:hAnsi="Century Schoolbook"/>
          <w:sz w:val="27"/>
          <w:szCs w:val="27"/>
        </w:rPr>
        <w:t> </w:t>
      </w:r>
      <w:r w:rsidRPr="009252C3">
        <w:rPr>
          <w:rFonts w:ascii="Century Schoolbook" w:hAnsi="Century Schoolbook"/>
          <w:sz w:val="27"/>
          <w:szCs w:val="27"/>
        </w:rPr>
        <w:t xml:space="preserve">634; accord, </w:t>
      </w:r>
      <w:r w:rsidRPr="009252C3">
        <w:rPr>
          <w:rFonts w:ascii="Century Schoolbook" w:hAnsi="Century Schoolbook"/>
          <w:i/>
          <w:sz w:val="27"/>
          <w:szCs w:val="27"/>
        </w:rPr>
        <w:t>People v. Jackson</w:t>
      </w:r>
      <w:r w:rsidRPr="009252C3" w:rsidR="00C078AE">
        <w:rPr>
          <w:rFonts w:ascii="Century Schoolbook" w:hAnsi="Century Schoolbook"/>
          <w:sz w:val="27"/>
          <w:szCs w:val="27"/>
        </w:rPr>
        <w:t xml:space="preserve">, </w:t>
      </w:r>
      <w:r w:rsidRPr="009252C3" w:rsidR="00C078AE">
        <w:rPr>
          <w:rFonts w:ascii="Century Schoolbook" w:hAnsi="Century Schoolbook"/>
          <w:i/>
          <w:sz w:val="27"/>
          <w:szCs w:val="27"/>
        </w:rPr>
        <w:t>supra</w:t>
      </w:r>
      <w:r w:rsidRPr="009252C3" w:rsidR="00C078AE">
        <w:rPr>
          <w:rFonts w:ascii="Century Schoolbook" w:hAnsi="Century Schoolbook"/>
          <w:sz w:val="27"/>
          <w:szCs w:val="27"/>
        </w:rPr>
        <w:t xml:space="preserve">, </w:t>
      </w:r>
      <w:r w:rsidRPr="009252C3">
        <w:rPr>
          <w:rFonts w:ascii="Century Schoolbook" w:hAnsi="Century Schoolbook"/>
          <w:sz w:val="27"/>
          <w:szCs w:val="27"/>
        </w:rPr>
        <w:t xml:space="preserve">1 Cal.5th </w:t>
      </w:r>
      <w:r w:rsidRPr="009252C3" w:rsidR="00C078AE">
        <w:rPr>
          <w:rFonts w:ascii="Century Schoolbook" w:hAnsi="Century Schoolbook"/>
          <w:sz w:val="27"/>
          <w:szCs w:val="27"/>
        </w:rPr>
        <w:t>at p. </w:t>
      </w:r>
      <w:r w:rsidRPr="009252C3">
        <w:rPr>
          <w:rFonts w:ascii="Century Schoolbook" w:hAnsi="Century Schoolbook"/>
          <w:sz w:val="27"/>
          <w:szCs w:val="27"/>
        </w:rPr>
        <w:t xml:space="preserve">356; </w:t>
      </w:r>
      <w:r w:rsidRPr="009252C3">
        <w:rPr>
          <w:rFonts w:ascii="Century Schoolbook" w:hAnsi="Century Schoolbook"/>
          <w:i/>
          <w:sz w:val="27"/>
          <w:szCs w:val="27"/>
        </w:rPr>
        <w:t xml:space="preserve">People v. Peoples </w:t>
      </w:r>
      <w:r w:rsidRPr="009252C3">
        <w:rPr>
          <w:rFonts w:ascii="Century Schoolbook" w:hAnsi="Century Schoolbook"/>
          <w:sz w:val="27"/>
          <w:szCs w:val="27"/>
        </w:rPr>
        <w:t xml:space="preserve">(2016) 62 Cal.4th 718, 751; </w:t>
      </w:r>
      <w:r w:rsidRPr="009252C3">
        <w:rPr>
          <w:rFonts w:ascii="Century Schoolbook" w:hAnsi="Century Schoolbook"/>
          <w:i/>
          <w:sz w:val="27"/>
          <w:szCs w:val="27"/>
        </w:rPr>
        <w:t xml:space="preserve">People v. Gonzales and Soliz </w:t>
      </w:r>
      <w:r w:rsidRPr="009252C3">
        <w:rPr>
          <w:rFonts w:ascii="Century Schoolbook" w:hAnsi="Century Schoolbook"/>
          <w:sz w:val="27"/>
          <w:szCs w:val="27"/>
        </w:rPr>
        <w:t>(2011) 52 Cal.4th 254, 311.)</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In his reply brief, defendant acknowledges </w:t>
      </w:r>
      <w:r w:rsidRPr="009252C3">
        <w:rPr>
          <w:rFonts w:ascii="Century Schoolbook" w:hAnsi="Century Schoolbook"/>
          <w:i/>
          <w:sz w:val="27"/>
          <w:szCs w:val="27"/>
        </w:rPr>
        <w:t>Taylor</w:t>
      </w:r>
      <w:r w:rsidRPr="009252C3">
        <w:rPr>
          <w:rFonts w:ascii="Century Schoolbook" w:hAnsi="Century Schoolbook"/>
          <w:sz w:val="27"/>
          <w:szCs w:val="27"/>
        </w:rPr>
        <w:t xml:space="preserve"> but urges us to reconsider that decision, arguing that by allowing “repeated attempts to convince a jury to return a death verdict,” our retrial procedure impermissibly “enhances the possibility that even though the defendant’s crime warrants a life sentence, he may be sentenced to death.”  As a matter of double jeopardy law, this argument fails because the government is entitled, in capital sentencing as in a trial of guilt, to one complete attempt to obtain the verdict sought, an opportunity not provided where a jury deadlock has resulted in a mistrial.  (</w:t>
      </w:r>
      <w:r w:rsidRPr="009252C3">
        <w:rPr>
          <w:rFonts w:ascii="Century Schoolbook" w:hAnsi="Century Schoolbook"/>
          <w:i/>
          <w:iCs/>
          <w:sz w:val="27"/>
          <w:szCs w:val="27"/>
        </w:rPr>
        <w:t>Sattazahn v. Pennsylvania</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537 U.S. at p.</w:t>
      </w:r>
      <w:r w:rsidRPr="009252C3" w:rsidR="006B1A3E">
        <w:rPr>
          <w:rFonts w:ascii="Century Schoolbook" w:hAnsi="Century Schoolbook"/>
          <w:sz w:val="27"/>
          <w:szCs w:val="27"/>
        </w:rPr>
        <w:t> </w:t>
      </w:r>
      <w:r w:rsidRPr="009252C3">
        <w:rPr>
          <w:rFonts w:ascii="Century Schoolbook" w:hAnsi="Century Schoolbook"/>
          <w:sz w:val="27"/>
          <w:szCs w:val="27"/>
        </w:rPr>
        <w:t xml:space="preserve">109; </w:t>
      </w:r>
      <w:r w:rsidRPr="009252C3">
        <w:rPr>
          <w:rFonts w:ascii="Century Schoolbook" w:hAnsi="Century Schoolbook"/>
          <w:i/>
          <w:sz w:val="27"/>
          <w:szCs w:val="27"/>
        </w:rPr>
        <w:t>id.</w:t>
      </w:r>
      <w:r w:rsidRPr="009252C3" w:rsidR="00F26EA3">
        <w:rPr>
          <w:rFonts w:ascii="Century Schoolbook" w:hAnsi="Century Schoolbook"/>
          <w:sz w:val="27"/>
          <w:szCs w:val="27"/>
        </w:rPr>
        <w:t xml:space="preserve"> at </w:t>
      </w:r>
      <w:r w:rsidRPr="009252C3">
        <w:rPr>
          <w:rFonts w:ascii="Century Schoolbook" w:hAnsi="Century Schoolbook"/>
          <w:sz w:val="27"/>
          <w:szCs w:val="27"/>
        </w:rPr>
        <w:t>pp.</w:t>
      </w:r>
      <w:r w:rsidRPr="009252C3" w:rsidR="006B1A3E">
        <w:rPr>
          <w:rFonts w:ascii="Century Schoolbook" w:hAnsi="Century Schoolbook"/>
          <w:sz w:val="27"/>
          <w:szCs w:val="27"/>
        </w:rPr>
        <w:t> </w:t>
      </w:r>
      <w:r w:rsidRPr="009252C3">
        <w:rPr>
          <w:rFonts w:ascii="Century Schoolbook" w:hAnsi="Century Schoolbook"/>
          <w:sz w:val="27"/>
          <w:szCs w:val="27"/>
        </w:rPr>
        <w:t>120</w:t>
      </w:r>
      <w:r w:rsidRPr="009252C3" w:rsidR="006B1A3E">
        <w:rPr>
          <w:rFonts w:ascii="Century Schoolbook" w:hAnsi="Century Schoolbook"/>
          <w:sz w:val="27"/>
          <w:szCs w:val="27"/>
        </w:rPr>
        <w:t>–</w:t>
      </w:r>
      <w:r w:rsidRPr="009252C3">
        <w:rPr>
          <w:rFonts w:ascii="Century Schoolbook" w:hAnsi="Century Schoolbook"/>
          <w:sz w:val="27"/>
          <w:szCs w:val="27"/>
        </w:rPr>
        <w:t xml:space="preserve">121, 124 (dis. opn. of Ginsburg, J.).)  </w:t>
      </w:r>
      <w:r w:rsidRPr="009252C3" w:rsidR="00EA1A18">
        <w:rPr>
          <w:rFonts w:ascii="Century Schoolbook" w:hAnsi="Century Schoolbook"/>
          <w:sz w:val="27"/>
          <w:szCs w:val="27"/>
        </w:rPr>
        <w:t xml:space="preserve">Nor </w:t>
      </w:r>
      <w:r w:rsidRPr="009252C3" w:rsidR="008E0A7B">
        <w:rPr>
          <w:rFonts w:ascii="Century Schoolbook" w:hAnsi="Century Schoolbook"/>
          <w:sz w:val="27"/>
          <w:szCs w:val="27"/>
        </w:rPr>
        <w:t xml:space="preserve">does defendant’s </w:t>
      </w:r>
      <w:r w:rsidRPr="009252C3">
        <w:rPr>
          <w:rFonts w:ascii="Century Schoolbook" w:hAnsi="Century Schoolbook"/>
          <w:sz w:val="27"/>
          <w:szCs w:val="27"/>
        </w:rPr>
        <w:t>cruel and unusual punishment claim</w:t>
      </w:r>
      <w:r w:rsidRPr="009252C3" w:rsidR="008E0A7B">
        <w:rPr>
          <w:rFonts w:ascii="Century Schoolbook" w:hAnsi="Century Schoolbook"/>
          <w:sz w:val="27"/>
          <w:szCs w:val="27"/>
        </w:rPr>
        <w:t xml:space="preserve"> persuade us to reconsider our decision in </w:t>
      </w:r>
      <w:r w:rsidRPr="009252C3" w:rsidR="008E0A7B">
        <w:rPr>
          <w:rFonts w:ascii="Century Schoolbook" w:hAnsi="Century Schoolbook"/>
          <w:i/>
          <w:sz w:val="27"/>
          <w:szCs w:val="27"/>
        </w:rPr>
        <w:t>Taylor</w:t>
      </w:r>
      <w:r w:rsidRPr="009252C3">
        <w:rPr>
          <w:rFonts w:ascii="Century Schoolbook" w:hAnsi="Century Schoolbook"/>
          <w:sz w:val="27"/>
          <w:szCs w:val="27"/>
        </w:rPr>
        <w:t xml:space="preserve">.  As we explained in one of </w:t>
      </w:r>
      <w:r w:rsidRPr="009252C3">
        <w:rPr>
          <w:rFonts w:ascii="Century Schoolbook" w:hAnsi="Century Schoolbook"/>
          <w:i/>
          <w:sz w:val="27"/>
          <w:szCs w:val="27"/>
        </w:rPr>
        <w:t>Taylor</w:t>
      </w:r>
      <w:r w:rsidRPr="009252C3">
        <w:rPr>
          <w:rFonts w:ascii="Century Schoolbook" w:hAnsi="Century Schoolbook"/>
          <w:sz w:val="27"/>
          <w:szCs w:val="27"/>
        </w:rPr>
        <w:t xml:space="preserve">’s recent progeny, </w:t>
      </w:r>
      <w:r w:rsidRPr="009252C3" w:rsidR="008E0A7B">
        <w:rPr>
          <w:rFonts w:ascii="Century Schoolbook" w:hAnsi="Century Schoolbook"/>
          <w:sz w:val="27"/>
          <w:szCs w:val="27"/>
        </w:rPr>
        <w:t xml:space="preserve">it is true that the prosecution benefits from retrial, but the </w:t>
      </w:r>
      <w:r w:rsidRPr="009252C3" w:rsidR="008C73E2">
        <w:rPr>
          <w:rFonts w:ascii="Century Schoolbook" w:hAnsi="Century Schoolbook"/>
          <w:sz w:val="27"/>
          <w:szCs w:val="27"/>
        </w:rPr>
        <w:t xml:space="preserve">same </w:t>
      </w:r>
      <w:r w:rsidRPr="009252C3">
        <w:rPr>
          <w:rFonts w:ascii="Century Schoolbook" w:hAnsi="Century Schoolbook"/>
          <w:sz w:val="27"/>
          <w:szCs w:val="27"/>
        </w:rPr>
        <w:t>“may be said about any case that is retried after the jury deadlocks .</w:t>
      </w:r>
      <w:r w:rsidRPr="009252C3" w:rsidR="006B1A3E">
        <w:rPr>
          <w:rFonts w:ascii="Century Schoolbook" w:hAnsi="Century Schoolbook"/>
          <w:sz w:val="27"/>
          <w:szCs w:val="27"/>
        </w:rPr>
        <w:t> </w:t>
      </w:r>
      <w:r w:rsidRPr="009252C3">
        <w:rPr>
          <w:rFonts w:ascii="Century Schoolbook" w:hAnsi="Century Schoolbook"/>
          <w:sz w:val="27"/>
          <w:szCs w:val="27"/>
        </w:rPr>
        <w:t>.</w:t>
      </w:r>
      <w:r w:rsidRPr="009252C3" w:rsidR="006B1A3E">
        <w:rPr>
          <w:rFonts w:ascii="Century Schoolbook" w:hAnsi="Century Schoolbook"/>
          <w:sz w:val="27"/>
          <w:szCs w:val="27"/>
        </w:rPr>
        <w:t> </w:t>
      </w:r>
      <w:r w:rsidRPr="009252C3">
        <w:rPr>
          <w:rFonts w:ascii="Century Schoolbook" w:hAnsi="Century Schoolbook"/>
          <w:sz w:val="27"/>
          <w:szCs w:val="27"/>
        </w:rPr>
        <w:t>.</w:t>
      </w:r>
      <w:r w:rsidRPr="009252C3" w:rsidR="006B1A3E">
        <w:rPr>
          <w:rFonts w:ascii="Century Schoolbook" w:hAnsi="Century Schoolbook"/>
          <w:sz w:val="27"/>
          <w:szCs w:val="27"/>
        </w:rPr>
        <w:t> </w:t>
      </w:r>
      <w:r w:rsidRPr="009252C3">
        <w:rPr>
          <w:rFonts w:ascii="Century Schoolbook" w:hAnsi="Century Schoolbook"/>
          <w:sz w:val="27"/>
          <w:szCs w:val="27"/>
        </w:rPr>
        <w:t>.  [</w:t>
      </w:r>
      <w:r w:rsidRPr="009252C3" w:rsidR="008C73E2">
        <w:rPr>
          <w:rFonts w:ascii="Century Schoolbook" w:hAnsi="Century Schoolbook"/>
          <w:sz w:val="27"/>
          <w:szCs w:val="27"/>
        </w:rPr>
        <w:t>T]</w:t>
      </w:r>
      <w:r w:rsidRPr="009252C3">
        <w:rPr>
          <w:rFonts w:ascii="Century Schoolbook" w:hAnsi="Century Schoolbook"/>
          <w:sz w:val="27"/>
          <w:szCs w:val="27"/>
        </w:rPr>
        <w:t>he high court has recognized that ‘</w:t>
      </w:r>
      <w:r w:rsidRPr="009252C3" w:rsidR="006B1A3E">
        <w:rPr>
          <w:rFonts w:ascii="Century Schoolbook" w:hAnsi="Century Schoolbook"/>
          <w:sz w:val="27"/>
          <w:szCs w:val="27"/>
        </w:rPr>
        <w:t> </w:t>
      </w:r>
      <w:r w:rsidRPr="009252C3">
        <w:rPr>
          <w:rFonts w:ascii="Century Schoolbook" w:hAnsi="Century Schoolbook"/>
          <w:sz w:val="27"/>
          <w:szCs w:val="27"/>
        </w:rPr>
        <w:t>“a defendant’s valued right to have his trial completed by a particular tribunal must in some instances be subordinated to the public’s interest in fair trials designed to end in just judgments.”</w:t>
      </w:r>
      <w:r w:rsidRPr="009252C3" w:rsidR="006B1A3E">
        <w:rPr>
          <w:rFonts w:ascii="Century Schoolbook" w:hAnsi="Century Schoolbook"/>
          <w:sz w:val="27"/>
          <w:szCs w:val="27"/>
        </w:rPr>
        <w:t> </w:t>
      </w:r>
      <w:r w:rsidRPr="009252C3">
        <w:rPr>
          <w:rFonts w:ascii="Century Schoolbook" w:hAnsi="Century Schoolbook"/>
          <w:sz w:val="27"/>
          <w:szCs w:val="27"/>
        </w:rPr>
        <w:t>’</w:t>
      </w:r>
      <w:r w:rsidR="006F0AAD">
        <w:rPr>
          <w:rFonts w:ascii="Century Schoolbook" w:hAnsi="Century Schoolbook"/>
          <w:sz w:val="27"/>
          <w:szCs w:val="27"/>
        </w:rPr>
        <w:t> </w:t>
      </w:r>
      <w:r w:rsidRPr="009252C3" w:rsidR="00C21C18">
        <w:rPr>
          <w:rFonts w:ascii="Century Schoolbook" w:hAnsi="Century Schoolbook"/>
          <w:sz w:val="27"/>
          <w:szCs w:val="27"/>
        </w:rPr>
        <w:t>”</w:t>
      </w:r>
      <w:r w:rsidRPr="009252C3">
        <w:rPr>
          <w:rFonts w:ascii="Century Schoolbook" w:hAnsi="Century Schoolbook"/>
          <w:sz w:val="27"/>
          <w:szCs w:val="27"/>
        </w:rPr>
        <w:t xml:space="preserve">  (</w:t>
      </w:r>
      <w:r w:rsidRPr="009252C3">
        <w:rPr>
          <w:rFonts w:ascii="Century Schoolbook" w:hAnsi="Century Schoolbook"/>
          <w:i/>
          <w:iCs/>
          <w:sz w:val="27"/>
          <w:szCs w:val="27"/>
        </w:rPr>
        <w:t>People v. Jackson</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1 Cal.5th at p.</w:t>
      </w:r>
      <w:r w:rsidRPr="009252C3" w:rsidR="006B1A3E">
        <w:rPr>
          <w:rFonts w:ascii="Century Schoolbook" w:hAnsi="Century Schoolbook"/>
          <w:sz w:val="27"/>
          <w:szCs w:val="27"/>
        </w:rPr>
        <w:t> </w:t>
      </w:r>
      <w:r w:rsidRPr="009252C3">
        <w:rPr>
          <w:rFonts w:ascii="Century Schoolbook" w:hAnsi="Century Schoolbook"/>
          <w:sz w:val="27"/>
          <w:szCs w:val="27"/>
        </w:rPr>
        <w:t>356.)  That a rule barring retrial of penalty on jury deadlock would benefit the defense does not demonstrate that the opposite rule, allowing retrial in order to provide the People a full opportunity to prove their case for the death penalty, deprives defendants of any right to which they are constitutionally entitled.</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3" w:name="_Toc3365821"/>
      <w:r w:rsidRPr="009252C3">
        <w:rPr>
          <w:rFonts w:ascii="Century Schoolbook" w:hAnsi="Century Schoolbook"/>
          <w:b/>
          <w:i w:val="0"/>
          <w:sz w:val="27"/>
          <w:szCs w:val="27"/>
        </w:rPr>
        <w:t xml:space="preserve">XII.  Denial of Funding for Mitochondrial DNA </w:t>
      </w:r>
      <w:r w:rsidR="00ED04F5">
        <w:rPr>
          <w:rFonts w:ascii="Century Schoolbook" w:hAnsi="Century Schoolbook"/>
          <w:b/>
          <w:i w:val="0"/>
          <w:sz w:val="27"/>
          <w:szCs w:val="27"/>
        </w:rPr>
        <w:br/>
        <w:t xml:space="preserve">                    </w:t>
      </w:r>
      <w:r w:rsidRPr="009252C3">
        <w:rPr>
          <w:rFonts w:ascii="Century Schoolbook" w:hAnsi="Century Schoolbook"/>
          <w:b/>
          <w:i w:val="0"/>
          <w:sz w:val="27"/>
          <w:szCs w:val="27"/>
        </w:rPr>
        <w:t>Testing</w:t>
      </w:r>
      <w:bookmarkEnd w:id="23"/>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contends he was deprived of due process and the constitutional right to present a defense when, before the penalty retrial, the court denied investigative funds to conduct mitochondrial DNA testing on the pubic hairs recovered from the victim’s clothing</w:t>
      </w:r>
      <w:r w:rsidRPr="009252C3" w:rsidR="008C73E2">
        <w:rPr>
          <w:rFonts w:ascii="Century Schoolbook" w:hAnsi="Century Schoolbook"/>
          <w:sz w:val="27"/>
          <w:szCs w:val="27"/>
        </w:rPr>
        <w:t xml:space="preserve">.  He also argues </w:t>
      </w:r>
      <w:r w:rsidRPr="009252C3">
        <w:rPr>
          <w:rFonts w:ascii="Century Schoolbook" w:hAnsi="Century Schoolbook"/>
          <w:sz w:val="27"/>
          <w:szCs w:val="27"/>
        </w:rPr>
        <w:t xml:space="preserve">the trial court erred in </w:t>
      </w:r>
      <w:r w:rsidRPr="009252C3" w:rsidR="008C73E2">
        <w:rPr>
          <w:rFonts w:ascii="Century Schoolbook" w:hAnsi="Century Schoolbook"/>
          <w:sz w:val="27"/>
          <w:szCs w:val="27"/>
        </w:rPr>
        <w:t xml:space="preserve">later </w:t>
      </w:r>
      <w:r w:rsidRPr="009252C3">
        <w:rPr>
          <w:rFonts w:ascii="Century Schoolbook" w:hAnsi="Century Schoolbook"/>
          <w:sz w:val="27"/>
          <w:szCs w:val="27"/>
        </w:rPr>
        <w:t>precluding comment on the lack of such testing.  We find no deprivation of constitutional rights in the denial of funding and no error in the court’s later ruling.</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September 1998, after the first penalty trial ended in a hung jury, defense counsel (recently appointed to replace counsel at the first trial) requested that the judge presiding over investigative funding requests (Hon. Timothy J. Evans) under Penal Code section 987.9 authorize $3</w:t>
      </w:r>
      <w:r w:rsidRPr="009252C3" w:rsidR="006B1A3E">
        <w:rPr>
          <w:rFonts w:ascii="Century Schoolbook" w:hAnsi="Century Schoolbook"/>
          <w:sz w:val="27"/>
          <w:szCs w:val="27"/>
        </w:rPr>
        <w:t>,</w:t>
      </w:r>
      <w:r w:rsidRPr="009252C3">
        <w:rPr>
          <w:rFonts w:ascii="Century Schoolbook" w:hAnsi="Century Schoolbook"/>
          <w:sz w:val="27"/>
          <w:szCs w:val="27"/>
        </w:rPr>
        <w:t>500 to $4</w:t>
      </w:r>
      <w:r w:rsidRPr="009252C3" w:rsidR="006B1A3E">
        <w:rPr>
          <w:rFonts w:ascii="Century Schoolbook" w:hAnsi="Century Schoolbook"/>
          <w:sz w:val="27"/>
          <w:szCs w:val="27"/>
        </w:rPr>
        <w:t>,</w:t>
      </w:r>
      <w:r w:rsidRPr="009252C3">
        <w:rPr>
          <w:rFonts w:ascii="Century Schoolbook" w:hAnsi="Century Schoolbook"/>
          <w:sz w:val="27"/>
          <w:szCs w:val="27"/>
        </w:rPr>
        <w:t>500 for a laboratory in Virginia to conduct mitochondrial DNA (mtDNA) testing of the pubic hairs.</w:t>
      </w:r>
      <w:r>
        <w:rPr>
          <w:rStyle w:val="FootnoteReference"/>
          <w:rFonts w:ascii="Century Schoolbook" w:hAnsi="Century Schoolbook"/>
          <w:sz w:val="27"/>
          <w:szCs w:val="27"/>
          <w:vertAlign w:val="superscript"/>
        </w:rPr>
        <w:footnoteReference w:id="26"/>
      </w:r>
      <w:r w:rsidRPr="009252C3">
        <w:rPr>
          <w:rFonts w:ascii="Century Schoolbook" w:hAnsi="Century Schoolbook"/>
          <w:sz w:val="27"/>
          <w:szCs w:val="27"/>
        </w:rPr>
        <w:t xml:space="preserve">  No DNA testing had yet been done on these hairs, which the prosecution evidence showed were physically similar to defendant’s pubic hairs.  Defendant asserted that the proposed mtDNA testing, which would take 12 to 14 weeks to complete and destroy half of the evidentiary material, was “critical” for the defense to oppose the prosecution identification of the hairs as defendant’s.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At an October 1998 hearing before the trial judge</w:t>
      </w:r>
      <w:r w:rsidR="00B41AE3">
        <w:rPr>
          <w:rFonts w:ascii="Century Schoolbook" w:hAnsi="Century Schoolbook"/>
          <w:sz w:val="27"/>
          <w:szCs w:val="27"/>
        </w:rPr>
        <w:t xml:space="preserve"> (Hon. </w:t>
      </w:r>
      <w:r w:rsidRPr="009252C3" w:rsidR="00470B31">
        <w:rPr>
          <w:rFonts w:ascii="Century Schoolbook" w:hAnsi="Century Schoolbook"/>
          <w:sz w:val="27"/>
          <w:szCs w:val="27"/>
        </w:rPr>
        <w:t xml:space="preserve">Loyd H. </w:t>
      </w:r>
      <w:r w:rsidRPr="009252C3">
        <w:rPr>
          <w:rFonts w:ascii="Century Schoolbook" w:hAnsi="Century Schoolbook"/>
          <w:sz w:val="27"/>
          <w:szCs w:val="27"/>
        </w:rPr>
        <w:t>Mulkey</w:t>
      </w:r>
      <w:r w:rsidR="00B37908">
        <w:rPr>
          <w:rFonts w:ascii="Century Schoolbook" w:hAnsi="Century Schoolbook"/>
          <w:sz w:val="27"/>
          <w:szCs w:val="27"/>
        </w:rPr>
        <w:t>, Jr.</w:t>
      </w:r>
      <w:r w:rsidR="009B3226">
        <w:rPr>
          <w:rFonts w:ascii="Century Schoolbook" w:hAnsi="Century Schoolbook"/>
          <w:sz w:val="27"/>
          <w:szCs w:val="27"/>
        </w:rPr>
        <w:t>)</w:t>
      </w:r>
      <w:r w:rsidRPr="009252C3">
        <w:rPr>
          <w:rFonts w:ascii="Century Schoolbook" w:hAnsi="Century Schoolbook"/>
          <w:sz w:val="27"/>
          <w:szCs w:val="27"/>
        </w:rPr>
        <w:t>, defense counsel noted that Judge Evans had denied his funding requests for additional DNA testing, including for m</w:t>
      </w:r>
      <w:r w:rsidRPr="009252C3" w:rsidR="00C078AE">
        <w:rPr>
          <w:rFonts w:ascii="Century Schoolbook" w:hAnsi="Century Schoolbook"/>
          <w:sz w:val="27"/>
          <w:szCs w:val="27"/>
        </w:rPr>
        <w:t>t</w:t>
      </w:r>
      <w:r w:rsidRPr="009252C3">
        <w:rPr>
          <w:rFonts w:ascii="Century Schoolbook" w:hAnsi="Century Schoolbook"/>
          <w:sz w:val="27"/>
          <w:szCs w:val="27"/>
        </w:rPr>
        <w:t>DNA testing on the pubic hairs.  On February 1, 1999, after the new penalty jury was selected and sworn but before opening statements were made, counsel asked Judge Mulkey to take notice his funding requests for DNA analysis had been denied and renewed the request, together with a request for a continuance to conduct the testing; in the alternative, counsel sought permission to present evidence and argue to the jury that the funding requests had been denied.  The prosecutor objected to any evidence that the People had not ordered mtDNA testing, asserting he had never even heard of that technique “before last Monday” and could find no authority for its use in California criminal proceedings.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February 8, 1999, Judge Mulkey rejected the renewed funding request on the ground that</w:t>
      </w:r>
      <w:r w:rsidRPr="009252C3" w:rsidR="00105F56">
        <w:rPr>
          <w:rFonts w:ascii="Century Schoolbook" w:hAnsi="Century Schoolbook"/>
          <w:sz w:val="27"/>
          <w:szCs w:val="27"/>
        </w:rPr>
        <w:t>,</w:t>
      </w:r>
      <w:r w:rsidRPr="009252C3">
        <w:rPr>
          <w:rFonts w:ascii="Century Schoolbook" w:hAnsi="Century Schoolbook"/>
          <w:sz w:val="27"/>
          <w:szCs w:val="27"/>
        </w:rPr>
        <w:t xml:space="preserve"> as the trial judge</w:t>
      </w:r>
      <w:r w:rsidRPr="009252C3" w:rsidR="00105F56">
        <w:rPr>
          <w:rFonts w:ascii="Century Schoolbook" w:hAnsi="Century Schoolbook"/>
          <w:sz w:val="27"/>
          <w:szCs w:val="27"/>
        </w:rPr>
        <w:t>,</w:t>
      </w:r>
      <w:r w:rsidRPr="009252C3">
        <w:rPr>
          <w:rFonts w:ascii="Century Schoolbook" w:hAnsi="Century Schoolbook"/>
          <w:sz w:val="27"/>
          <w:szCs w:val="27"/>
        </w:rPr>
        <w:t xml:space="preserve"> he had no authority to entertain confidential requests under Penal Code section 987.9.  The court then heard testimony from a defense DNA expert, Lisa Calandro.  Neither she nor her laboratory performed m</w:t>
      </w:r>
      <w:r w:rsidRPr="009252C3" w:rsidR="00F26EA3">
        <w:rPr>
          <w:rFonts w:ascii="Century Schoolbook" w:hAnsi="Century Schoolbook"/>
          <w:sz w:val="27"/>
          <w:szCs w:val="27"/>
        </w:rPr>
        <w:t>t</w:t>
      </w:r>
      <w:r w:rsidRPr="009252C3">
        <w:rPr>
          <w:rFonts w:ascii="Century Schoolbook" w:hAnsi="Century Schoolbook"/>
          <w:sz w:val="27"/>
          <w:szCs w:val="27"/>
        </w:rPr>
        <w:t xml:space="preserve">DNA testing, but she testified generally as to how it worked, that it had been done elsewhere since before 1994, and that in her reading on the subject she had encountered no scientific controversy over its validity.  Defendant also sought to call the director of the Virginia laboratory that would have performed the mtDNA analysis to testify telephonically, but the court sustained the prosecutor’s objection to that procedure under Evidence Code section 711.  </w:t>
      </w:r>
      <w:r w:rsidRPr="009252C3" w:rsidR="000F09F2">
        <w:rPr>
          <w:rFonts w:ascii="Century Schoolbook" w:hAnsi="Century Schoolbook"/>
          <w:sz w:val="27"/>
          <w:szCs w:val="27"/>
        </w:rPr>
        <w:t>T</w:t>
      </w:r>
      <w:r w:rsidRPr="009252C3">
        <w:rPr>
          <w:rFonts w:ascii="Century Schoolbook" w:hAnsi="Century Schoolbook"/>
          <w:sz w:val="27"/>
          <w:szCs w:val="27"/>
        </w:rPr>
        <w:t>he court denied defendant’s motion to allow evidence and argument on the fact there had been no mtDNA testing, but did so without prejudice to its renewal during trial.</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During the penalty retrial, the court made a final ruling that it would not allow either party to present evidence or comment in argument on the other’s failure to conduct mtDNA testing.  “I don’t know what a DNA test would produce because I don’t have one.  [¶]  So I’m going to proscribe both sides from commenting in argument on [that or another unrelated matter].  That’s going to have to be the ruling.  If I’m wrong, I’m wrong.  [¶] </w:t>
      </w:r>
      <w:r w:rsidRPr="009252C3" w:rsidR="006B1A3E">
        <w:rPr>
          <w:rFonts w:ascii="Century Schoolbook" w:hAnsi="Century Schoolbook"/>
          <w:sz w:val="27"/>
          <w:szCs w:val="27"/>
        </w:rPr>
        <w:t xml:space="preserve"> </w:t>
      </w:r>
      <w:r w:rsidRPr="009252C3">
        <w:rPr>
          <w:rFonts w:ascii="Century Schoolbook" w:hAnsi="Century Schoolbook"/>
          <w:sz w:val="27"/>
          <w:szCs w:val="27"/>
        </w:rPr>
        <w:t xml:space="preserve">But I just, when I open it up, I just have to keep opening it up by stages.”  If the People were to comment on the fact that the defense did not conduct such testing when, before trial, they had custody of the samples, the defense would respond that they later sought funding for testing but were denied it.  “Then why were they denied?  What does Judge Evans tell me is the reason?  [¶] </w:t>
      </w:r>
      <w:r w:rsidRPr="009252C3" w:rsidR="006B1A3E">
        <w:rPr>
          <w:rFonts w:ascii="Century Schoolbook" w:hAnsi="Century Schoolbook"/>
          <w:sz w:val="27"/>
          <w:szCs w:val="27"/>
        </w:rPr>
        <w:t xml:space="preserve"> </w:t>
      </w:r>
      <w:r w:rsidRPr="009252C3">
        <w:rPr>
          <w:rFonts w:ascii="Century Schoolbook" w:hAnsi="Century Schoolbook"/>
          <w:sz w:val="27"/>
          <w:szCs w:val="27"/>
        </w:rPr>
        <w:t>The reason is not in the minute order.  So perhaps I have to bring him down here and testify.”  The ruling applied to both evidence and argument.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Considering first the denial of funding for mtDNA testing of the pubic hairs, we conclude the trial court did not err.  The September 1998 funding request failed to establish that mtDNA testing would likely produce admissible evidence.</w:t>
      </w:r>
      <w:r w:rsidRPr="009252C3">
        <w:rPr>
          <w:rFonts w:ascii="Century Schoolbook" w:hAnsi="Century Schoolbook"/>
          <w:sz w:val="27"/>
          <w:szCs w:val="27"/>
        </w:rPr>
        <w:t xml:space="preserve"> </w:t>
      </w:r>
      <w:r w:rsidRPr="009252C3">
        <w:rPr>
          <w:rFonts w:ascii="Century Schoolbook" w:hAnsi="Century Schoolbook"/>
          <w:sz w:val="27"/>
          <w:szCs w:val="27"/>
        </w:rPr>
        <w:t xml:space="preserve"> While California courts have </w:t>
      </w:r>
      <w:r w:rsidRPr="009252C3" w:rsidR="00105F56">
        <w:rPr>
          <w:rFonts w:ascii="Century Schoolbook" w:hAnsi="Century Schoolbook"/>
          <w:sz w:val="27"/>
          <w:szCs w:val="27"/>
        </w:rPr>
        <w:t xml:space="preserve">since </w:t>
      </w:r>
      <w:r w:rsidRPr="009252C3">
        <w:rPr>
          <w:rFonts w:ascii="Century Schoolbook" w:hAnsi="Century Schoolbook"/>
          <w:sz w:val="27"/>
          <w:szCs w:val="27"/>
        </w:rPr>
        <w:t xml:space="preserve">endorsed the admissibility of mtDNA evidence (e.g., </w:t>
      </w:r>
      <w:r w:rsidRPr="009252C3">
        <w:rPr>
          <w:rFonts w:ascii="Century Schoolbook" w:hAnsi="Century Schoolbook"/>
          <w:i/>
          <w:sz w:val="27"/>
          <w:szCs w:val="27"/>
        </w:rPr>
        <w:t xml:space="preserve">People v. Stevey </w:t>
      </w:r>
      <w:r w:rsidRPr="009252C3">
        <w:rPr>
          <w:rFonts w:ascii="Century Schoolbook" w:hAnsi="Century Schoolbook"/>
          <w:sz w:val="27"/>
          <w:szCs w:val="27"/>
        </w:rPr>
        <w:t>(2012) 209 Cal.App.4th 1400, 1414</w:t>
      </w:r>
      <w:r w:rsidRPr="009252C3" w:rsidR="006B1A3E">
        <w:rPr>
          <w:rFonts w:ascii="Century Schoolbook" w:hAnsi="Century Schoolbook"/>
          <w:sz w:val="27"/>
          <w:szCs w:val="27"/>
        </w:rPr>
        <w:t>–</w:t>
      </w:r>
      <w:r w:rsidRPr="009252C3">
        <w:rPr>
          <w:rFonts w:ascii="Century Schoolbook" w:hAnsi="Century Schoolbook"/>
          <w:sz w:val="27"/>
          <w:szCs w:val="27"/>
        </w:rPr>
        <w:t>1415), no published decision had done so at the time of trial.  Although the record indicates that the trial court gave defendant multiple opportunities to show that mtDNA testing was generally accepted in the scientific community, defendant did not make such a showing.</w:t>
      </w:r>
      <w:r>
        <w:rPr>
          <w:rStyle w:val="FootnoteReference"/>
          <w:rFonts w:ascii="Century Schoolbook" w:hAnsi="Century Schoolbook"/>
          <w:sz w:val="27"/>
          <w:szCs w:val="27"/>
          <w:vertAlign w:val="superscript"/>
        </w:rPr>
        <w:footnoteReference w:id="27"/>
      </w:r>
      <w:r w:rsidR="00466A12">
        <w:rPr>
          <w:rFonts w:ascii="Century Schoolbook" w:hAnsi="Century Schoolbook"/>
          <w:sz w:val="27"/>
          <w:szCs w:val="27"/>
        </w:rPr>
        <w:t xml:space="preserve"> </w:t>
      </w:r>
      <w:r w:rsidRPr="009252C3">
        <w:rPr>
          <w:rFonts w:ascii="Century Schoolbook" w:hAnsi="Century Schoolbook"/>
          <w:sz w:val="27"/>
          <w:szCs w:val="27"/>
        </w:rPr>
        <w:t xml:space="preserve"> The request, moreover, failed to explain why the defense did not seek funding for mtDNA testing on the pubic hairs, which would take the laboratory some months to perform, before trial rather than between the mistrial and the penalty retrial when it bore the potential for delaying the retrial.</w:t>
      </w:r>
      <w:r w:rsidRPr="009252C3" w:rsidR="00EA0A8A">
        <w:rPr>
          <w:rFonts w:ascii="Century Schoolbook" w:hAnsi="Century Schoolbook"/>
          <w:sz w:val="27"/>
          <w:szCs w:val="27"/>
        </w:rPr>
        <w:t xml:space="preserve">  </w:t>
      </w:r>
      <w:r w:rsidRPr="009252C3" w:rsidR="00454F78">
        <w:rPr>
          <w:rFonts w:ascii="Century Schoolbook" w:hAnsi="Century Schoolbook"/>
          <w:sz w:val="27"/>
          <w:szCs w:val="27"/>
        </w:rPr>
        <w:t>F</w:t>
      </w:r>
      <w:r w:rsidRPr="009252C3" w:rsidR="00EA0A8A">
        <w:rPr>
          <w:rFonts w:ascii="Century Schoolbook" w:hAnsi="Century Schoolbook"/>
          <w:sz w:val="27"/>
          <w:szCs w:val="27"/>
        </w:rPr>
        <w:t>or this reason</w:t>
      </w:r>
      <w:r w:rsidRPr="009252C3" w:rsidR="00454F78">
        <w:rPr>
          <w:rFonts w:ascii="Century Schoolbook" w:hAnsi="Century Schoolbook"/>
          <w:sz w:val="27"/>
          <w:szCs w:val="27"/>
        </w:rPr>
        <w:t xml:space="preserve"> as well</w:t>
      </w:r>
      <w:r w:rsidRPr="009252C3" w:rsidR="00EA0A8A">
        <w:rPr>
          <w:rFonts w:ascii="Century Schoolbook" w:hAnsi="Century Schoolbook"/>
          <w:sz w:val="27"/>
          <w:szCs w:val="27"/>
        </w:rPr>
        <w:t xml:space="preserve">, we cannot find an abuse of discretion in </w:t>
      </w:r>
      <w:r w:rsidRPr="009252C3" w:rsidR="00454F78">
        <w:rPr>
          <w:rFonts w:ascii="Century Schoolbook" w:hAnsi="Century Schoolbook"/>
          <w:sz w:val="27"/>
          <w:szCs w:val="27"/>
        </w:rPr>
        <w:t>Judge Mulkey’s declining to overrule Judge Evan</w:t>
      </w:r>
      <w:r w:rsidRPr="009252C3" w:rsidR="00470B31">
        <w:rPr>
          <w:rFonts w:ascii="Century Schoolbook" w:hAnsi="Century Schoolbook"/>
          <w:sz w:val="27"/>
          <w:szCs w:val="27"/>
        </w:rPr>
        <w:t>s</w:t>
      </w:r>
      <w:r w:rsidRPr="009252C3" w:rsidR="00454F78">
        <w:rPr>
          <w:rFonts w:ascii="Century Schoolbook" w:hAnsi="Century Schoolbook"/>
          <w:sz w:val="27"/>
          <w:szCs w:val="27"/>
        </w:rPr>
        <w:t>’s earlier ruling.</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Nor has defendant established that the trial court’s ruling on funding resulted in deprivation of his constitutional right to present a defense.  Defendant cites several federal decisions for the proposition that denial of expert assistance may deprive a criminal defendant of due process and the right to present a defense.  But in those cases, which arose on habeas corpus, the courts could consider information outside the appellate record and, if necessary, remand for an evidentiary hearing on factual questions about the nature and impact of potential extra-record evidence.  (See </w:t>
      </w:r>
      <w:r w:rsidRPr="009252C3">
        <w:rPr>
          <w:rFonts w:ascii="Century Schoolbook" w:hAnsi="Century Schoolbook"/>
          <w:i/>
          <w:iCs/>
          <w:sz w:val="27"/>
          <w:szCs w:val="27"/>
        </w:rPr>
        <w:t>Wallace v. Stewart</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 xml:space="preserve">(9th Cir. 1999) 184 F.3d 1112, 1116, 1118 [remanding for an evidentiary hearing on claim of ineffective assistance of counsel in failing to fully inform psychiatrists of the defendant’s background]; </w:t>
      </w:r>
      <w:r w:rsidRPr="009252C3">
        <w:rPr>
          <w:rFonts w:ascii="Century Schoolbook" w:hAnsi="Century Schoolbook"/>
          <w:i/>
          <w:iCs/>
          <w:sz w:val="27"/>
          <w:szCs w:val="27"/>
        </w:rPr>
        <w:t>Dunn v. Roberts</w:t>
      </w:r>
      <w:r w:rsidRPr="009252C3" w:rsidR="006B1A3E">
        <w:rPr>
          <w:rFonts w:ascii="Century Schoolbook" w:hAnsi="Century Schoolbook"/>
          <w:i/>
          <w:iCs/>
          <w:sz w:val="27"/>
          <w:szCs w:val="27"/>
        </w:rPr>
        <w:t xml:space="preserve"> </w:t>
      </w:r>
      <w:r w:rsidRPr="009252C3">
        <w:rPr>
          <w:rFonts w:ascii="Century Schoolbook" w:hAnsi="Century Schoolbook"/>
          <w:sz w:val="27"/>
          <w:szCs w:val="27"/>
        </w:rPr>
        <w:t xml:space="preserve">(10th Cir. 1992) 963 F.2d 308, 313 [denial of expert on battered woman syndrome deprived the defendant of opportunity to present a defense where expert “would have aided Petitioner in her defense by supporting her assertion that she did not have the required specific intent”]; </w:t>
      </w:r>
      <w:r w:rsidRPr="009252C3">
        <w:rPr>
          <w:rFonts w:ascii="Century Schoolbook" w:hAnsi="Century Schoolbook"/>
          <w:i/>
          <w:iCs/>
          <w:sz w:val="27"/>
          <w:szCs w:val="27"/>
        </w:rPr>
        <w:t>Cowley v. Stricklin</w:t>
      </w:r>
      <w:r w:rsidRPr="009252C3" w:rsidR="006B1A3E">
        <w:rPr>
          <w:rFonts w:ascii="Century Schoolbook" w:hAnsi="Century Schoolbook"/>
          <w:i/>
          <w:iCs/>
          <w:sz w:val="27"/>
          <w:szCs w:val="27"/>
        </w:rPr>
        <w:t xml:space="preserve"> </w:t>
      </w:r>
      <w:r w:rsidRPr="009252C3">
        <w:rPr>
          <w:rFonts w:ascii="Century Schoolbook" w:hAnsi="Century Schoolbook"/>
          <w:sz w:val="27"/>
          <w:szCs w:val="27"/>
        </w:rPr>
        <w:t xml:space="preserve">(11th Cir. 1991) 929 F.2d 640, 643 </w:t>
      </w:r>
      <w:r w:rsidRPr="009252C3" w:rsidR="007E6155">
        <w:rPr>
          <w:rFonts w:ascii="Century Schoolbook" w:hAnsi="Century Schoolbook"/>
          <w:sz w:val="27"/>
          <w:szCs w:val="27"/>
        </w:rPr>
        <w:t>[</w:t>
      </w:r>
      <w:r w:rsidRPr="009252C3">
        <w:rPr>
          <w:rFonts w:ascii="Century Schoolbook" w:hAnsi="Century Schoolbook"/>
          <w:sz w:val="27"/>
          <w:szCs w:val="27"/>
        </w:rPr>
        <w:t xml:space="preserve">defendant “showed that psychiatric expertise would aid his defense significantly”]; cf. </w:t>
      </w:r>
      <w:r w:rsidRPr="009252C3">
        <w:rPr>
          <w:rFonts w:ascii="Century Schoolbook" w:hAnsi="Century Schoolbook"/>
          <w:i/>
          <w:iCs/>
          <w:sz w:val="27"/>
          <w:szCs w:val="27"/>
        </w:rPr>
        <w:t>Terry v. Rees</w:t>
      </w:r>
      <w:r w:rsidRPr="009252C3" w:rsidR="006B1A3E">
        <w:rPr>
          <w:rFonts w:ascii="Century Schoolbook" w:hAnsi="Century Schoolbook"/>
          <w:i/>
          <w:iCs/>
          <w:sz w:val="27"/>
          <w:szCs w:val="27"/>
        </w:rPr>
        <w:t xml:space="preserve"> </w:t>
      </w:r>
      <w:r w:rsidRPr="009252C3">
        <w:rPr>
          <w:rFonts w:ascii="Century Schoolbook" w:hAnsi="Century Schoolbook"/>
          <w:sz w:val="27"/>
          <w:szCs w:val="27"/>
        </w:rPr>
        <w:t>(6th Cir. 1993) 985 F.2d 283, 285 [denial of independent pathologist was harmless error where independent expert appointed in habeas corpus proceedings “agreed with the state pathologist that .</w:t>
      </w:r>
      <w:r w:rsidRPr="009252C3" w:rsidR="006B1A3E">
        <w:rPr>
          <w:rFonts w:ascii="Century Schoolbook" w:hAnsi="Century Schoolbook"/>
          <w:sz w:val="27"/>
          <w:szCs w:val="27"/>
        </w:rPr>
        <w:t> </w:t>
      </w:r>
      <w:r w:rsidRPr="009252C3">
        <w:rPr>
          <w:rFonts w:ascii="Century Schoolbook" w:hAnsi="Century Schoolbook"/>
          <w:sz w:val="27"/>
          <w:szCs w:val="27"/>
        </w:rPr>
        <w:t>.</w:t>
      </w:r>
      <w:r w:rsidRPr="009252C3" w:rsidR="006B1A3E">
        <w:rPr>
          <w:rFonts w:ascii="Century Schoolbook" w:hAnsi="Century Schoolbook"/>
          <w:sz w:val="27"/>
          <w:szCs w:val="27"/>
        </w:rPr>
        <w:t> </w:t>
      </w:r>
      <w:r w:rsidRPr="009252C3">
        <w:rPr>
          <w:rFonts w:ascii="Century Schoolbook" w:hAnsi="Century Schoolbook"/>
          <w:sz w:val="27"/>
          <w:szCs w:val="27"/>
        </w:rPr>
        <w:t>. the victim was subjected to repetitive child abuse with head injuries being the cause of death”].)  Based on the record available on appeal, we cannot say the trial court deprived defendant of “a fair opportunity to present his defense” (</w:t>
      </w:r>
      <w:r w:rsidRPr="009252C3">
        <w:rPr>
          <w:rFonts w:ascii="Century Schoolbook" w:hAnsi="Century Schoolbook"/>
          <w:i/>
          <w:iCs/>
          <w:sz w:val="27"/>
          <w:szCs w:val="27"/>
        </w:rPr>
        <w:t>Ake v. Oklahoma</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(1985) 470 U.S. 68, 76) or “the basic tools of an adequate defense” (</w:t>
      </w:r>
      <w:r w:rsidRPr="009252C3">
        <w:rPr>
          <w:rFonts w:ascii="Century Schoolbook" w:hAnsi="Century Schoolbook"/>
          <w:i/>
          <w:iCs/>
          <w:sz w:val="27"/>
          <w:szCs w:val="27"/>
        </w:rPr>
        <w:t>Britt v. North Carolina</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(1971) 404 U.S. 226, 227) when it refused an untimely request for funding to conduct mtDNA testing, testing the defense failed to show would likely produce even admissible evidence.</w:t>
      </w:r>
      <w:r>
        <w:rPr>
          <w:rStyle w:val="FootnoteReference"/>
          <w:rFonts w:ascii="Century Schoolbook" w:hAnsi="Century Schoolbook"/>
          <w:sz w:val="27"/>
          <w:szCs w:val="27"/>
          <w:vertAlign w:val="superscript"/>
        </w:rPr>
        <w:footnoteReference w:id="28"/>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Nor did the court err in precluding evidence or argument on the failure of either party to conduct mtDNA testing.  Each party posited a reason for its failure to do so:  the prosecution that it had been unaware of the mtDNA technique and was unsure of its admissibility</w:t>
      </w:r>
      <w:r w:rsidR="006F0AAD">
        <w:rPr>
          <w:rFonts w:ascii="Century Schoolbook" w:hAnsi="Century Schoolbook"/>
          <w:sz w:val="27"/>
          <w:szCs w:val="27"/>
        </w:rPr>
        <w:t>;</w:t>
      </w:r>
      <w:r w:rsidRPr="009252C3">
        <w:rPr>
          <w:rFonts w:ascii="Century Schoolbook" w:hAnsi="Century Schoolbook"/>
          <w:sz w:val="27"/>
          <w:szCs w:val="27"/>
        </w:rPr>
        <w:t xml:space="preserve"> the defense that the Penal Code section 987.9 judge had denied its funding request for such testing.  The trial court saw no way of allowing evidence on the subject without also allowing exploration of these side issues</w:t>
      </w:r>
      <w:r w:rsidRPr="009252C3" w:rsidR="0081161C">
        <w:rPr>
          <w:rFonts w:ascii="Century Schoolbook" w:hAnsi="Century Schoolbook"/>
          <w:sz w:val="27"/>
          <w:szCs w:val="27"/>
        </w:rPr>
        <w:t>.</w:t>
      </w:r>
      <w:r w:rsidRPr="009252C3">
        <w:rPr>
          <w:rFonts w:ascii="Century Schoolbook" w:hAnsi="Century Schoolbook"/>
          <w:sz w:val="27"/>
          <w:szCs w:val="27"/>
        </w:rPr>
        <w:t xml:space="preserve"> </w:t>
      </w:r>
      <w:r w:rsidRPr="009252C3" w:rsidR="0081161C">
        <w:rPr>
          <w:rFonts w:ascii="Century Schoolbook" w:hAnsi="Century Schoolbook"/>
          <w:sz w:val="27"/>
          <w:szCs w:val="27"/>
        </w:rPr>
        <w:t xml:space="preserve"> S</w:t>
      </w:r>
      <w:r w:rsidRPr="009252C3">
        <w:rPr>
          <w:rFonts w:ascii="Century Schoolbook" w:hAnsi="Century Schoolbook"/>
          <w:sz w:val="27"/>
          <w:szCs w:val="27"/>
        </w:rPr>
        <w:t xml:space="preserve">ince there was no evidence as to what mtDNA testing would have found, </w:t>
      </w:r>
      <w:r w:rsidRPr="009252C3" w:rsidR="0081161C">
        <w:rPr>
          <w:rFonts w:ascii="Century Schoolbook" w:hAnsi="Century Schoolbook"/>
          <w:sz w:val="27"/>
          <w:szCs w:val="27"/>
        </w:rPr>
        <w:t xml:space="preserve">the court </w:t>
      </w:r>
      <w:r w:rsidRPr="009252C3">
        <w:rPr>
          <w:rFonts w:ascii="Century Schoolbook" w:hAnsi="Century Schoolbook"/>
          <w:sz w:val="27"/>
          <w:szCs w:val="27"/>
        </w:rPr>
        <w:t>concluded the fairest and most practicable approach was to omit any discussion of the topic.  (See Evid. Code, §</w:t>
      </w:r>
      <w:r w:rsidRPr="009252C3" w:rsidR="006B1A3E">
        <w:rPr>
          <w:rFonts w:ascii="Century Schoolbook" w:hAnsi="Century Schoolbook"/>
          <w:sz w:val="27"/>
          <w:szCs w:val="27"/>
        </w:rPr>
        <w:t> </w:t>
      </w:r>
      <w:r w:rsidRPr="009252C3">
        <w:rPr>
          <w:rFonts w:ascii="Century Schoolbook" w:hAnsi="Century Schoolbook"/>
          <w:sz w:val="27"/>
          <w:szCs w:val="27"/>
        </w:rPr>
        <w:t xml:space="preserve">352 [evidence may be excluded if its tendency to undue consumption of time and confusion of the issues outweighs it probative value].)  </w:t>
      </w:r>
      <w:r w:rsidRPr="009252C3" w:rsidR="0081161C">
        <w:rPr>
          <w:rFonts w:ascii="Century Schoolbook" w:hAnsi="Century Schoolbook"/>
          <w:sz w:val="27"/>
          <w:szCs w:val="27"/>
        </w:rPr>
        <w:t>I</w:t>
      </w:r>
      <w:r w:rsidRPr="009252C3">
        <w:rPr>
          <w:rFonts w:ascii="Century Schoolbook" w:hAnsi="Century Schoolbook"/>
          <w:sz w:val="27"/>
          <w:szCs w:val="27"/>
        </w:rPr>
        <w:t>n the absence of evidence as to why the parties did not perform mtDNA testing, jury arguments suggesting one or another inference from that omission would likely have been misleading and confusing.  While jury arguments pointing to the absence of particular evidence generally qualify as “fair comment on the state of the evidence” (</w:t>
      </w:r>
      <w:r w:rsidRPr="009252C3">
        <w:rPr>
          <w:rFonts w:ascii="Century Schoolbook" w:hAnsi="Century Schoolbook"/>
          <w:i/>
          <w:iCs/>
          <w:sz w:val="27"/>
          <w:szCs w:val="27"/>
        </w:rPr>
        <w:t>People v. Medina</w:t>
      </w:r>
      <w:r w:rsidRPr="009252C3" w:rsidR="006B1A3E">
        <w:rPr>
          <w:rFonts w:ascii="Century Schoolbook" w:hAnsi="Century Schoolbook"/>
          <w:i/>
          <w:iCs/>
          <w:sz w:val="27"/>
          <w:szCs w:val="27"/>
        </w:rPr>
        <w:t xml:space="preserve"> </w:t>
      </w:r>
      <w:r w:rsidRPr="009252C3">
        <w:rPr>
          <w:rFonts w:ascii="Century Schoolbook" w:hAnsi="Century Schoolbook"/>
          <w:sz w:val="27"/>
          <w:szCs w:val="27"/>
        </w:rPr>
        <w:t>(1995) 11 Cal.4th 694, 756), the trial court retains the discretion to “ensure that argument does not stray unduly from the mark, or otherwise impede the fair and orderly conduct of the trial.”  (</w:t>
      </w:r>
      <w:r w:rsidRPr="009252C3">
        <w:rPr>
          <w:rFonts w:ascii="Century Schoolbook" w:hAnsi="Century Schoolbook"/>
          <w:i/>
          <w:iCs/>
          <w:sz w:val="27"/>
          <w:szCs w:val="27"/>
        </w:rPr>
        <w:t>Herring v. New York</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(1975) 422 U.S. 853, 862.)  We find no abuse of discretion in the trial court’s ruling.</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4" w:name="_Toc3365822"/>
      <w:r w:rsidRPr="009252C3">
        <w:rPr>
          <w:rFonts w:ascii="Century Schoolbook" w:hAnsi="Century Schoolbook"/>
          <w:b/>
          <w:i w:val="0"/>
          <w:sz w:val="27"/>
          <w:szCs w:val="27"/>
        </w:rPr>
        <w:t xml:space="preserve">XIII.  Prosecutorial Misconduct in Argument on </w:t>
      </w:r>
      <w:r w:rsidR="008E6B13">
        <w:rPr>
          <w:rFonts w:ascii="Century Schoolbook" w:hAnsi="Century Schoolbook"/>
          <w:b/>
          <w:i w:val="0"/>
          <w:sz w:val="27"/>
          <w:szCs w:val="27"/>
        </w:rPr>
        <w:br/>
        <w:t xml:space="preserve">                     </w:t>
      </w:r>
      <w:r w:rsidRPr="009252C3">
        <w:rPr>
          <w:rFonts w:ascii="Century Schoolbook" w:hAnsi="Century Schoolbook"/>
          <w:b/>
          <w:i w:val="0"/>
          <w:sz w:val="27"/>
          <w:szCs w:val="27"/>
        </w:rPr>
        <w:t>Penalty</w:t>
      </w:r>
      <w:bookmarkEnd w:id="24"/>
      <w:r w:rsidRPr="009252C3">
        <w:rPr>
          <w:rFonts w:ascii="Century Schoolbook" w:hAnsi="Century Schoolbook"/>
          <w:b/>
          <w:i w:val="0"/>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the prosecutor made several improper remarks in argument to the jury that, taken together, deprived defendant of his due process right to a fair trial.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In </w:t>
      </w:r>
      <w:r w:rsidRPr="009252C3">
        <w:rPr>
          <w:rFonts w:ascii="Century Schoolbook" w:hAnsi="Century Schoolbook"/>
          <w:i/>
          <w:sz w:val="27"/>
          <w:szCs w:val="27"/>
        </w:rPr>
        <w:t xml:space="preserve">People v. Edelbacher </w:t>
      </w:r>
      <w:r w:rsidRPr="009252C3">
        <w:rPr>
          <w:rFonts w:ascii="Century Schoolbook" w:hAnsi="Century Schoolbook"/>
          <w:sz w:val="27"/>
          <w:szCs w:val="27"/>
        </w:rPr>
        <w:t xml:space="preserve">(1989) 47 Cal.3d 983, 1033, we held the prosecutor acted improperly in arguing that the capital defendant’s family background, introduced as mitigation under Penal Code section 190.3, factor (k), gave him no reason to kill and therefore “ ‘is an aggravating factor.’ ”  (See also </w:t>
      </w:r>
      <w:r w:rsidRPr="009252C3">
        <w:rPr>
          <w:rFonts w:ascii="Century Schoolbook" w:hAnsi="Century Schoolbook"/>
          <w:i/>
          <w:sz w:val="27"/>
          <w:szCs w:val="27"/>
        </w:rPr>
        <w:t>Edelbacher</w:t>
      </w:r>
      <w:r w:rsidRPr="009252C3" w:rsidR="00C04059">
        <w:rPr>
          <w:rFonts w:ascii="Century Schoolbook" w:hAnsi="Century Schoolbook"/>
          <w:sz w:val="27"/>
          <w:szCs w:val="27"/>
        </w:rPr>
        <w:t>,</w:t>
      </w:r>
      <w:r w:rsidRPr="009252C3">
        <w:rPr>
          <w:rFonts w:ascii="Century Schoolbook" w:hAnsi="Century Schoolbook"/>
          <w:i/>
          <w:sz w:val="27"/>
          <w:szCs w:val="27"/>
        </w:rPr>
        <w:t xml:space="preserve"> </w:t>
      </w:r>
      <w:r w:rsidRPr="009252C3">
        <w:rPr>
          <w:rFonts w:ascii="Century Schoolbook" w:hAnsi="Century Schoolbook"/>
          <w:sz w:val="27"/>
          <w:szCs w:val="27"/>
        </w:rPr>
        <w:t>at p.</w:t>
      </w:r>
      <w:r w:rsidRPr="009252C3" w:rsidR="00266DBD">
        <w:rPr>
          <w:rFonts w:ascii="Century Schoolbook" w:hAnsi="Century Schoolbook"/>
          <w:sz w:val="27"/>
          <w:szCs w:val="27"/>
        </w:rPr>
        <w:t> </w:t>
      </w:r>
      <w:r w:rsidRPr="009252C3">
        <w:rPr>
          <w:rFonts w:ascii="Century Schoolbook" w:hAnsi="Century Schoolbook"/>
          <w:sz w:val="27"/>
          <w:szCs w:val="27"/>
        </w:rPr>
        <w:t>1041 (conc. opn. of Mosk, J.).)  In his first assignment of misconduct, defendant maintains the prosecutors here</w:t>
      </w:r>
      <w:r>
        <w:rPr>
          <w:rStyle w:val="FootnoteReference"/>
          <w:rFonts w:ascii="Century Schoolbook" w:hAnsi="Century Schoolbook"/>
          <w:sz w:val="27"/>
          <w:szCs w:val="27"/>
          <w:vertAlign w:val="superscript"/>
        </w:rPr>
        <w:footnoteReference w:id="29"/>
      </w:r>
      <w:r w:rsidRPr="009252C3">
        <w:rPr>
          <w:rFonts w:ascii="Century Schoolbook" w:hAnsi="Century Schoolbook"/>
          <w:sz w:val="27"/>
          <w:szCs w:val="27"/>
        </w:rPr>
        <w:t xml:space="preserve"> committed </w:t>
      </w:r>
      <w:r w:rsidRPr="009252C3">
        <w:rPr>
          <w:rFonts w:ascii="Century Schoolbook" w:hAnsi="Century Schoolbook"/>
          <w:i/>
          <w:sz w:val="27"/>
          <w:szCs w:val="27"/>
        </w:rPr>
        <w:t>Edelbacher</w:t>
      </w:r>
      <w:r w:rsidRPr="009252C3">
        <w:rPr>
          <w:rFonts w:ascii="Century Schoolbook" w:hAnsi="Century Schoolbook"/>
          <w:sz w:val="27"/>
          <w:szCs w:val="27"/>
        </w:rPr>
        <w:t xml:space="preserve"> error in arguing defendant had a “normal childhood” and had shown “no reason for him to turn into a rotten egg.”  We disagree.  </w:t>
      </w:r>
      <w:r w:rsidRPr="009252C3" w:rsidR="0081161C">
        <w:rPr>
          <w:rFonts w:ascii="Century Schoolbook" w:hAnsi="Century Schoolbook"/>
          <w:sz w:val="27"/>
          <w:szCs w:val="27"/>
        </w:rPr>
        <w:t>T</w:t>
      </w:r>
      <w:r w:rsidRPr="009252C3">
        <w:rPr>
          <w:rFonts w:ascii="Century Schoolbook" w:hAnsi="Century Schoolbook"/>
          <w:sz w:val="27"/>
          <w:szCs w:val="27"/>
        </w:rPr>
        <w:t>he prosecutors’ argument was that the family background the defense had presented should be given no weight as mitigation:  it was a “zero” on the scales.  Prosecutors may properly point out the absence of mitigating evidence.  (</w:t>
      </w:r>
      <w:r w:rsidRPr="009252C3">
        <w:rPr>
          <w:rFonts w:ascii="Century Schoolbook" w:hAnsi="Century Schoolbook"/>
          <w:i/>
          <w:iCs/>
          <w:sz w:val="27"/>
          <w:szCs w:val="27"/>
        </w:rPr>
        <w:t>People v. Wader</w:t>
      </w:r>
      <w:r w:rsidRPr="009252C3">
        <w:rPr>
          <w:rFonts w:ascii="Century Schoolbook" w:hAnsi="Century Schoolbook"/>
          <w:sz w:val="27"/>
          <w:szCs w:val="27"/>
        </w:rPr>
        <w:t xml:space="preserve"> (1993) 5 Cal.4th 610, 659, fn. 9.)  </w:t>
      </w:r>
      <w:r w:rsidRPr="009252C3" w:rsidR="00097BE4">
        <w:rPr>
          <w:rFonts w:ascii="Century Schoolbook" w:hAnsi="Century Schoolbook"/>
          <w:sz w:val="27"/>
          <w:szCs w:val="27"/>
        </w:rPr>
        <w:t>The d</w:t>
      </w:r>
      <w:r w:rsidRPr="009252C3">
        <w:rPr>
          <w:rFonts w:ascii="Century Schoolbook" w:hAnsi="Century Schoolbook"/>
          <w:sz w:val="27"/>
          <w:szCs w:val="27"/>
        </w:rPr>
        <w:t>efendant’s argument, moreover, was forfeited by his failure to lodge an objection and seek a jury admonition.  (</w:t>
      </w:r>
      <w:r w:rsidRPr="009252C3">
        <w:rPr>
          <w:rFonts w:ascii="Century Schoolbook" w:hAnsi="Century Schoolbook"/>
          <w:i/>
          <w:sz w:val="27"/>
          <w:szCs w:val="27"/>
        </w:rPr>
        <w:t>Id.</w:t>
      </w:r>
      <w:r w:rsidRPr="009252C3" w:rsidR="00266DBD">
        <w:rPr>
          <w:rFonts w:ascii="Century Schoolbook" w:hAnsi="Century Schoolbook"/>
          <w:i/>
          <w:sz w:val="27"/>
          <w:szCs w:val="27"/>
        </w:rPr>
        <w:t xml:space="preserve"> </w:t>
      </w:r>
      <w:r w:rsidRPr="009252C3" w:rsidR="00266DBD">
        <w:rPr>
          <w:rFonts w:ascii="Century Schoolbook" w:hAnsi="Century Schoolbook"/>
          <w:sz w:val="27"/>
          <w:szCs w:val="27"/>
        </w:rPr>
        <w:t>at</w:t>
      </w:r>
      <w:r w:rsidRPr="009252C3">
        <w:rPr>
          <w:rFonts w:ascii="Century Schoolbook" w:hAnsi="Century Schoolbook"/>
          <w:sz w:val="27"/>
          <w:szCs w:val="27"/>
        </w:rPr>
        <w:t xml:space="preserve"> p.</w:t>
      </w:r>
      <w:r w:rsidRPr="009252C3" w:rsidR="00266DBD">
        <w:rPr>
          <w:rFonts w:ascii="Century Schoolbook" w:hAnsi="Century Schoolbook"/>
          <w:sz w:val="27"/>
          <w:szCs w:val="27"/>
        </w:rPr>
        <w:t> </w:t>
      </w:r>
      <w:r w:rsidRPr="009252C3">
        <w:rPr>
          <w:rFonts w:ascii="Century Schoolbook" w:hAnsi="Century Schoolbook"/>
          <w:sz w:val="27"/>
          <w:szCs w:val="27"/>
        </w:rPr>
        <w:t>659.)</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Second, defendant contends </w:t>
      </w:r>
      <w:r w:rsidRPr="009252C3" w:rsidR="00510132">
        <w:rPr>
          <w:rFonts w:ascii="Century Schoolbook" w:hAnsi="Century Schoolbook"/>
          <w:sz w:val="27"/>
          <w:szCs w:val="27"/>
        </w:rPr>
        <w:t xml:space="preserve">that in his rebuttal argument, </w:t>
      </w:r>
      <w:r w:rsidRPr="009252C3">
        <w:rPr>
          <w:rFonts w:ascii="Century Schoolbook" w:hAnsi="Century Schoolbook"/>
          <w:sz w:val="27"/>
          <w:szCs w:val="27"/>
        </w:rPr>
        <w:t>Prosecutor Schroeder falsely told the jurors they could not consider lingering doubt because they had not heard the entirety of the prosecution’s guilt-phase case.  On two occasions the prosecutor did indeed make such an argument, but in both cases the court sustained defendant’s objection and admonished the jury to disregard the argument.</w:t>
      </w:r>
      <w:r>
        <w:rPr>
          <w:rStyle w:val="FootnoteReference"/>
          <w:rFonts w:ascii="Century Schoolbook" w:hAnsi="Century Schoolbook"/>
          <w:sz w:val="27"/>
          <w:szCs w:val="27"/>
          <w:vertAlign w:val="superscript"/>
        </w:rPr>
        <w:footnoteReference w:id="30"/>
      </w:r>
      <w:r w:rsidRPr="009252C3">
        <w:rPr>
          <w:rFonts w:ascii="Century Schoolbook" w:hAnsi="Century Schoolbook"/>
          <w:sz w:val="27"/>
          <w:szCs w:val="27"/>
        </w:rPr>
        <w:t xml:space="preserve">  At other points the prosecutor referred to witnesses who had testified at the guilt phase as buttressing the case for guilt, prompting a defense objection and an admonishment by the court to “disregard that portion—that matter insofar as it references the guilt phase of the trial.”</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Despite the court’s admonitions, defendant insists that the prosecutor’s repeated suggestions that the penalty retrial jury was not in a position to consider lingering doubt because they had not heard the entire case for guilt, coupled with what he characterizes as a “terse” instruction on lingering doubt,</w:t>
      </w:r>
      <w:r>
        <w:rPr>
          <w:rStyle w:val="FootnoteReference"/>
          <w:rFonts w:ascii="Century Schoolbook" w:hAnsi="Century Schoolbook"/>
          <w:sz w:val="27"/>
          <w:szCs w:val="27"/>
          <w:vertAlign w:val="superscript"/>
        </w:rPr>
        <w:footnoteReference w:id="31"/>
      </w:r>
      <w:r w:rsidRPr="008E6B13">
        <w:rPr>
          <w:rFonts w:ascii="Century Schoolbook" w:hAnsi="Century Schoolbook"/>
          <w:sz w:val="27"/>
          <w:szCs w:val="27"/>
          <w:vertAlign w:val="superscript"/>
        </w:rPr>
        <w:t xml:space="preserve"> </w:t>
      </w:r>
      <w:r w:rsidRPr="009252C3">
        <w:rPr>
          <w:rFonts w:ascii="Century Schoolbook" w:hAnsi="Century Schoolbook"/>
          <w:sz w:val="27"/>
          <w:szCs w:val="27"/>
        </w:rPr>
        <w:t>“failed to permit the jury to give full effect to the lingering doubt mitigation in this case.</w:t>
      </w:r>
      <w:r w:rsidRPr="009252C3" w:rsidR="00266DBD">
        <w:rPr>
          <w:rFonts w:ascii="Century Schoolbook" w:hAnsi="Century Schoolbook"/>
          <w:sz w:val="27"/>
          <w:szCs w:val="27"/>
        </w:rPr>
        <w: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We agree the prosecutor’s repeated argument that the penalty retrial jury could not consider lingering doubt without having heard the entire prosecution case for guilt was a deceptive or reprehensible means of persuasion and hence constituted misconduct under California law.  (</w:t>
      </w:r>
      <w:r w:rsidRPr="009252C3">
        <w:rPr>
          <w:rFonts w:ascii="Century Schoolbook" w:hAnsi="Century Schoolbook"/>
          <w:i/>
          <w:iCs/>
          <w:sz w:val="27"/>
          <w:szCs w:val="27"/>
        </w:rPr>
        <w:t>People v. Gonzales</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 xml:space="preserve">(2011) 51 Cal.4th 894, 920; </w:t>
      </w:r>
      <w:r w:rsidRPr="009252C3">
        <w:rPr>
          <w:rFonts w:ascii="Century Schoolbook" w:hAnsi="Century Schoolbook"/>
          <w:i/>
          <w:iCs/>
          <w:sz w:val="27"/>
          <w:szCs w:val="27"/>
        </w:rPr>
        <w:t>People v. Hill</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17 Cal.4th at p.</w:t>
      </w:r>
      <w:r w:rsidRPr="009252C3" w:rsidR="00266DBD">
        <w:rPr>
          <w:rFonts w:ascii="Century Schoolbook" w:hAnsi="Century Schoolbook"/>
          <w:sz w:val="27"/>
          <w:szCs w:val="27"/>
        </w:rPr>
        <w:t> </w:t>
      </w:r>
      <w:r w:rsidRPr="009252C3">
        <w:rPr>
          <w:rFonts w:ascii="Century Schoolbook" w:hAnsi="Century Schoolbook"/>
          <w:sz w:val="27"/>
          <w:szCs w:val="27"/>
        </w:rPr>
        <w:t>819.)  Even for a penalty retrial jury, lingering doubt is a proper consideration in mitigation.  (</w:t>
      </w:r>
      <w:r w:rsidRPr="009252C3">
        <w:rPr>
          <w:rFonts w:ascii="Century Schoolbook" w:hAnsi="Century Schoolbook"/>
          <w:i/>
          <w:iCs/>
          <w:sz w:val="27"/>
          <w:szCs w:val="27"/>
        </w:rPr>
        <w:t>People v. Hamilton</w:t>
      </w:r>
      <w:r w:rsidRPr="009252C3" w:rsidR="007E6155">
        <w:rPr>
          <w:rFonts w:ascii="Century Schoolbook" w:hAnsi="Century Schoolbook"/>
          <w:i/>
          <w:iCs/>
          <w:sz w:val="27"/>
          <w:szCs w:val="27"/>
        </w:rPr>
        <w:t xml:space="preserve"> </w:t>
      </w:r>
      <w:r w:rsidRPr="009252C3">
        <w:rPr>
          <w:rFonts w:ascii="Century Schoolbook" w:hAnsi="Century Schoolbook"/>
          <w:sz w:val="27"/>
          <w:szCs w:val="27"/>
        </w:rPr>
        <w:t>(2009) 45 Cal.4th 863, 948</w:t>
      </w:r>
      <w:r w:rsidRPr="009252C3" w:rsidR="00266DBD">
        <w:rPr>
          <w:rFonts w:ascii="Century Schoolbook" w:hAnsi="Century Schoolbook"/>
          <w:sz w:val="27"/>
          <w:szCs w:val="27"/>
        </w:rPr>
        <w:t>–</w:t>
      </w:r>
      <w:r w:rsidRPr="009252C3">
        <w:rPr>
          <w:rFonts w:ascii="Century Schoolbook" w:hAnsi="Century Schoolbook"/>
          <w:sz w:val="27"/>
          <w:szCs w:val="27"/>
        </w:rPr>
        <w:t xml:space="preserve">949; </w:t>
      </w:r>
      <w:r w:rsidRPr="009252C3">
        <w:rPr>
          <w:rFonts w:ascii="Century Schoolbook" w:hAnsi="Century Schoolbook"/>
          <w:i/>
          <w:iCs/>
          <w:sz w:val="27"/>
          <w:szCs w:val="27"/>
        </w:rPr>
        <w:t>People v. Gay</w:t>
      </w:r>
      <w:r w:rsidRPr="009252C3" w:rsidR="007E6155">
        <w:rPr>
          <w:rFonts w:ascii="Century Schoolbook" w:hAnsi="Century Schoolbook"/>
          <w:i/>
          <w:iCs/>
          <w:sz w:val="27"/>
          <w:szCs w:val="27"/>
        </w:rPr>
        <w:t xml:space="preserve"> </w:t>
      </w:r>
      <w:r w:rsidRPr="009252C3">
        <w:rPr>
          <w:rFonts w:ascii="Century Schoolbook" w:hAnsi="Century Schoolbook"/>
          <w:iCs/>
          <w:sz w:val="27"/>
          <w:szCs w:val="27"/>
        </w:rPr>
        <w:t>(2008) 42 Cal.4th 1195, 1218</w:t>
      </w:r>
      <w:r w:rsidRPr="009252C3" w:rsidR="00266DBD">
        <w:rPr>
          <w:rFonts w:ascii="Century Schoolbook" w:hAnsi="Century Schoolbook"/>
          <w:sz w:val="27"/>
          <w:szCs w:val="27"/>
        </w:rPr>
        <w:t>–</w:t>
      </w:r>
      <w:r w:rsidRPr="009252C3">
        <w:rPr>
          <w:rFonts w:ascii="Century Schoolbook" w:hAnsi="Century Schoolbook"/>
          <w:iCs/>
          <w:sz w:val="27"/>
          <w:szCs w:val="27"/>
        </w:rPr>
        <w:t>1223</w:t>
      </w:r>
      <w:r w:rsidRPr="009252C3">
        <w:rPr>
          <w:rFonts w:ascii="Century Schoolbook" w:hAnsi="Century Schoolbook"/>
          <w:sz w:val="27"/>
          <w:szCs w:val="27"/>
        </w:rPr>
        <w:t>.)  Moreover, the jury instructions, including that on lingering doubt, were settled before argument to the jury.  The prosecutor knew the court would instruct the jury it could consider that factor in mitigation, and should not have attempted to persuade the jury to the contrary.  But in light of the court’s sustaining defense objections and promptly giving admonitions, a jury instruction that clearly (if concisely) allowed consideration of lingering doubt, and defense counsel’s argument focusing on weaknesses in the evidence of guilt and expressly on lingering doubt as grounds for a verdict of life</w:t>
      </w:r>
      <w:r w:rsidRPr="009252C3" w:rsidR="000F09F2">
        <w:rPr>
          <w:rFonts w:ascii="Century Schoolbook" w:hAnsi="Century Schoolbook"/>
          <w:sz w:val="27"/>
          <w:szCs w:val="27"/>
        </w:rPr>
        <w:t xml:space="preserve">, </w:t>
      </w:r>
      <w:r w:rsidRPr="009252C3">
        <w:rPr>
          <w:rFonts w:ascii="Century Schoolbook" w:hAnsi="Century Schoolbook"/>
          <w:sz w:val="27"/>
          <w:szCs w:val="27"/>
        </w:rPr>
        <w:t xml:space="preserve">we find no reasonable possibility the jury was confused on the subject and hence no such possibility it would have reached a different penalty verdict absent the misconduct.  (See </w:t>
      </w:r>
      <w:r w:rsidRPr="009252C3">
        <w:rPr>
          <w:rFonts w:ascii="Century Schoolbook" w:hAnsi="Century Schoolbook"/>
          <w:i/>
          <w:sz w:val="27"/>
          <w:szCs w:val="27"/>
        </w:rPr>
        <w:t>Gonzales</w:t>
      </w:r>
      <w:r w:rsidRPr="009252C3">
        <w:rPr>
          <w:rFonts w:ascii="Century Schoolbook" w:hAnsi="Century Schoolbook"/>
          <w:sz w:val="27"/>
          <w:szCs w:val="27"/>
        </w:rPr>
        <w:t xml:space="preserve">, </w:t>
      </w:r>
      <w:r w:rsidRPr="009252C3" w:rsidR="00981C5B">
        <w:rPr>
          <w:rFonts w:ascii="Century Schoolbook" w:hAnsi="Century Schoolbook"/>
          <w:sz w:val="27"/>
          <w:szCs w:val="27"/>
        </w:rPr>
        <w:t>a</w:t>
      </w:r>
      <w:r w:rsidRPr="009252C3">
        <w:rPr>
          <w:rFonts w:ascii="Century Schoolbook" w:hAnsi="Century Schoolbook"/>
          <w:sz w:val="27"/>
          <w:szCs w:val="27"/>
        </w:rPr>
        <w:t>t p.</w:t>
      </w:r>
      <w:r w:rsidRPr="009252C3" w:rsidR="00266DBD">
        <w:rPr>
          <w:rFonts w:ascii="Century Schoolbook" w:hAnsi="Century Schoolbook"/>
          <w:sz w:val="27"/>
          <w:szCs w:val="27"/>
        </w:rPr>
        <w:t> </w:t>
      </w:r>
      <w:r w:rsidRPr="009252C3">
        <w:rPr>
          <w:rFonts w:ascii="Century Schoolbook" w:hAnsi="Century Schoolbook"/>
          <w:sz w:val="27"/>
          <w:szCs w:val="27"/>
        </w:rPr>
        <w:t>953.)  Our conclusion necessarily implies the prosecutor’s argument did not so infect the trial with unfairness as to deny defendant his federal due process rights.  (</w:t>
      </w:r>
      <w:r w:rsidRPr="009252C3">
        <w:rPr>
          <w:rFonts w:ascii="Century Schoolbook" w:hAnsi="Century Schoolbook"/>
          <w:i/>
          <w:sz w:val="27"/>
          <w:szCs w:val="27"/>
        </w:rPr>
        <w:t>Id.</w:t>
      </w:r>
      <w:r w:rsidRPr="009252C3">
        <w:rPr>
          <w:rFonts w:ascii="Century Schoolbook" w:hAnsi="Century Schoolbook"/>
          <w:sz w:val="27"/>
          <w:szCs w:val="27"/>
        </w:rPr>
        <w:t xml:space="preserve"> at p.</w:t>
      </w:r>
      <w:r w:rsidRPr="009252C3" w:rsidR="00266DBD">
        <w:rPr>
          <w:rFonts w:ascii="Century Schoolbook" w:hAnsi="Century Schoolbook"/>
          <w:sz w:val="27"/>
          <w:szCs w:val="27"/>
        </w:rPr>
        <w:t> </w:t>
      </w:r>
      <w:r w:rsidRPr="009252C3">
        <w:rPr>
          <w:rFonts w:ascii="Century Schoolbook" w:hAnsi="Century Schoolbook"/>
          <w:sz w:val="27"/>
          <w:szCs w:val="27"/>
        </w:rPr>
        <w:t>953, fn.</w:t>
      </w:r>
      <w:r w:rsidRPr="009252C3" w:rsidR="00266DBD">
        <w:rPr>
          <w:rFonts w:ascii="Century Schoolbook" w:hAnsi="Century Schoolbook"/>
          <w:sz w:val="27"/>
          <w:szCs w:val="27"/>
        </w:rPr>
        <w:t> </w:t>
      </w:r>
      <w:r w:rsidRPr="009252C3">
        <w:rPr>
          <w:rFonts w:ascii="Century Schoolbook" w:hAnsi="Century Schoolbook"/>
          <w:sz w:val="27"/>
          <w:szCs w:val="27"/>
        </w:rPr>
        <w:t>33.)</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Third, defendant complains of a portion of the prosecutor’s rebuttal argument addressing the time at which someone in a pickup truck had apparently abducted a boy—on the prosecution’s theory, Michael Lyons—near the corner of Boyd and C Streets.  The prosecutor argued that while the defense relied on </w:t>
      </w:r>
      <w:r w:rsidRPr="009252C3" w:rsidR="00510132">
        <w:rPr>
          <w:rFonts w:ascii="Century Schoolbook" w:hAnsi="Century Schoolbook"/>
          <w:sz w:val="27"/>
          <w:szCs w:val="27"/>
        </w:rPr>
        <w:t xml:space="preserve">Ray Clark’s </w:t>
      </w:r>
      <w:r w:rsidRPr="009252C3">
        <w:rPr>
          <w:rFonts w:ascii="Century Schoolbook" w:hAnsi="Century Schoolbook"/>
          <w:sz w:val="27"/>
          <w:szCs w:val="27"/>
        </w:rPr>
        <w:t xml:space="preserve">testimony that he saw the abduction at around 3:00 p.m. (too early for Michael to have reached that spot after leaving school or defendant after leaving the card room), the defense had failed to call Clark’s cousin Charles Wilbur, who also witnessed the event and placed it later, at 3:30 or 4:00 p.m. </w:t>
      </w:r>
      <w:r w:rsidRPr="009252C3" w:rsidR="000F09F2">
        <w:rPr>
          <w:rFonts w:ascii="Century Schoolbook" w:hAnsi="Century Schoolbook"/>
          <w:sz w:val="27"/>
          <w:szCs w:val="27"/>
        </w:rPr>
        <w:t xml:space="preserve"> </w:t>
      </w:r>
      <w:r w:rsidRPr="009252C3">
        <w:rPr>
          <w:rFonts w:ascii="Century Schoolbook" w:hAnsi="Century Schoolbook"/>
          <w:sz w:val="27"/>
          <w:szCs w:val="27"/>
        </w:rPr>
        <w:t xml:space="preserve">Because the kidnapping charge had been dismissed after the guilt jury failed to reach a verdict on that count, defendant argues, it was unfair to hold against him that he “did not </w:t>
      </w:r>
      <w:r w:rsidRPr="009252C3">
        <w:rPr>
          <w:rFonts w:ascii="Century Schoolbook" w:hAnsi="Century Schoolbook"/>
          <w:i/>
          <w:sz w:val="27"/>
          <w:szCs w:val="27"/>
        </w:rPr>
        <w:t>again</w:t>
      </w:r>
      <w:r w:rsidRPr="009252C3">
        <w:rPr>
          <w:rFonts w:ascii="Century Schoolbook" w:hAnsi="Century Schoolbook"/>
          <w:sz w:val="27"/>
          <w:szCs w:val="27"/>
        </w:rPr>
        <w:t xml:space="preserve"> raise a reasonable doubt about his guilt” of kidnapping.</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argument was proper.  It responded directly to fairly extensive defense argument on the same points:  the timing of the apparent abduction and the observations of Clark and Wilbur.  The fact that the guilt jury did not unanimously find kidnapping proved beyond a reasonable doubt did not preclude the prosecution from arguing, as a circumstance of the capital crime (Pen. Code, §</w:t>
      </w:r>
      <w:r w:rsidRPr="009252C3" w:rsidR="00266DBD">
        <w:rPr>
          <w:rFonts w:ascii="Century Schoolbook" w:hAnsi="Century Schoolbook"/>
          <w:sz w:val="27"/>
          <w:szCs w:val="27"/>
        </w:rPr>
        <w:t> </w:t>
      </w:r>
      <w:r w:rsidRPr="009252C3">
        <w:rPr>
          <w:rFonts w:ascii="Century Schoolbook" w:hAnsi="Century Schoolbook"/>
          <w:sz w:val="27"/>
          <w:szCs w:val="27"/>
        </w:rPr>
        <w:t xml:space="preserve">190.3, factor (a)), that defendant had in fact abducted the victim in town and taken him to the river bottoms.  (See </w:t>
      </w:r>
      <w:r w:rsidRPr="009252C3">
        <w:rPr>
          <w:rFonts w:ascii="Century Schoolbook" w:hAnsi="Century Schoolbook"/>
          <w:i/>
          <w:iCs/>
          <w:sz w:val="27"/>
          <w:szCs w:val="27"/>
        </w:rPr>
        <w:t>People v. Jones</w:t>
      </w:r>
      <w:r w:rsidRPr="009252C3" w:rsidR="00266DBD">
        <w:rPr>
          <w:rFonts w:ascii="Century Schoolbook" w:hAnsi="Century Schoolbook"/>
          <w:i/>
          <w:iCs/>
          <w:sz w:val="27"/>
          <w:szCs w:val="27"/>
        </w:rPr>
        <w:t xml:space="preserve"> </w:t>
      </w:r>
      <w:r w:rsidRPr="009252C3">
        <w:rPr>
          <w:rFonts w:ascii="Century Schoolbook" w:hAnsi="Century Schoolbook"/>
          <w:sz w:val="27"/>
          <w:szCs w:val="27"/>
        </w:rPr>
        <w:t>(2011) 51 Cal.4th 346, 37</w:t>
      </w:r>
      <w:r w:rsidRPr="009252C3" w:rsidR="00097BE4">
        <w:rPr>
          <w:rFonts w:ascii="Century Schoolbook" w:hAnsi="Century Schoolbook"/>
          <w:sz w:val="27"/>
          <w:szCs w:val="27"/>
        </w:rPr>
        <w:t>8</w:t>
      </w:r>
      <w:r w:rsidRPr="009252C3">
        <w:rPr>
          <w:rFonts w:ascii="Century Schoolbook" w:hAnsi="Century Schoolbook"/>
          <w:sz w:val="27"/>
          <w:szCs w:val="27"/>
        </w:rPr>
        <w:t xml:space="preserve">, fn. 6; </w:t>
      </w:r>
      <w:r w:rsidRPr="009252C3">
        <w:rPr>
          <w:rFonts w:ascii="Century Schoolbook" w:hAnsi="Century Schoolbook"/>
          <w:i/>
          <w:iCs/>
          <w:sz w:val="27"/>
          <w:szCs w:val="27"/>
        </w:rPr>
        <w:t>People v. Rodrigues</w:t>
      </w:r>
      <w:r w:rsidRPr="009252C3" w:rsidR="00266DBD">
        <w:rPr>
          <w:rFonts w:ascii="Century Schoolbook" w:hAnsi="Century Schoolbook"/>
          <w:i/>
          <w:iCs/>
          <w:sz w:val="27"/>
          <w:szCs w:val="27"/>
        </w:rPr>
        <w:t xml:space="preserve"> </w:t>
      </w:r>
      <w:r w:rsidRPr="009252C3">
        <w:rPr>
          <w:rFonts w:ascii="Century Schoolbook" w:hAnsi="Century Schoolbook"/>
          <w:sz w:val="27"/>
          <w:szCs w:val="27"/>
        </w:rPr>
        <w:t>(1994) 8 Cal.4th 1060, 1157.)  And as defendant acknowledges, “it is neither unusual nor improper to comment on the failure to call logical witnesses.”  (</w:t>
      </w:r>
      <w:r w:rsidRPr="009252C3">
        <w:rPr>
          <w:rFonts w:ascii="Century Schoolbook" w:hAnsi="Century Schoolbook"/>
          <w:i/>
          <w:iCs/>
          <w:sz w:val="27"/>
          <w:szCs w:val="27"/>
        </w:rPr>
        <w:t>People v. Gonzales</w:t>
      </w:r>
      <w:r w:rsidRPr="009252C3" w:rsidR="00266DBD">
        <w:rPr>
          <w:rFonts w:ascii="Century Schoolbook" w:hAnsi="Century Schoolbook"/>
          <w:i/>
          <w:iCs/>
          <w:sz w:val="27"/>
          <w:szCs w:val="27"/>
        </w:rPr>
        <w:t xml:space="preserve"> </w:t>
      </w:r>
      <w:r w:rsidRPr="009252C3">
        <w:rPr>
          <w:rFonts w:ascii="Century Schoolbook" w:hAnsi="Century Schoolbook"/>
          <w:sz w:val="27"/>
          <w:szCs w:val="27"/>
        </w:rPr>
        <w:t xml:space="preserve">(2012) 54 Cal.4th 1234, 1275; see </w:t>
      </w:r>
      <w:r w:rsidRPr="009252C3">
        <w:rPr>
          <w:rFonts w:ascii="Century Schoolbook" w:hAnsi="Century Schoolbook"/>
          <w:i/>
          <w:iCs/>
          <w:sz w:val="27"/>
          <w:szCs w:val="27"/>
        </w:rPr>
        <w:t>People v. Zambrano</w:t>
      </w:r>
      <w:r w:rsidRPr="009252C3">
        <w:rPr>
          <w:rFonts w:ascii="Century Schoolbook" w:hAnsi="Century Schoolbook"/>
          <w:sz w:val="27"/>
          <w:szCs w:val="27"/>
        </w:rPr>
        <w:t> (2007) 41 Cal.4th 1082, 1174 [penalty phase].)</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Fourth, defendant contends the prosecutor engaged in deceptive argument regarding the defense’s ability to conduct DNA testing on the victim’s fingernail scrapings.  In context, the prosecutor’s argument was not prejudicial misconduct.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Before instruction and argument, the jury was read a stipulation about the fingernail scrapings:  “</w:t>
      </w:r>
      <w:r w:rsidRPr="009252C3" w:rsidR="00097BE4">
        <w:rPr>
          <w:rFonts w:ascii="Century Schoolbook" w:hAnsi="Century Schoolbook"/>
          <w:sz w:val="27"/>
          <w:szCs w:val="27"/>
        </w:rPr>
        <w:t> ‘</w:t>
      </w:r>
      <w:r w:rsidRPr="009252C3">
        <w:rPr>
          <w:rFonts w:ascii="Century Schoolbook" w:hAnsi="Century Schoolbook"/>
          <w:sz w:val="27"/>
          <w:szCs w:val="27"/>
        </w:rPr>
        <w:t xml:space="preserve">It’s hereby stipulated to and agreed to by the parties that the fingernail scrapings taken from the body of Michael Lyons were appropriately transported to Forensic Analytical, DNA laboratory for the defense.  </w:t>
      </w:r>
      <w:r w:rsidRPr="009252C3" w:rsidR="00097BE4">
        <w:rPr>
          <w:rFonts w:ascii="Century Schoolbook" w:hAnsi="Century Schoolbook"/>
          <w:sz w:val="27"/>
          <w:szCs w:val="27"/>
        </w:rPr>
        <w:t xml:space="preserve">[¶]  </w:t>
      </w:r>
      <w:r w:rsidRPr="009252C3">
        <w:rPr>
          <w:rFonts w:ascii="Century Schoolbook" w:hAnsi="Century Schoolbook"/>
          <w:sz w:val="27"/>
          <w:szCs w:val="27"/>
        </w:rPr>
        <w:t xml:space="preserve">The defense had the possession of the scrapings from January 19, 1998 until April 1998, after which time they were returned to the People.  </w:t>
      </w:r>
      <w:r w:rsidRPr="009252C3" w:rsidR="00097BE4">
        <w:rPr>
          <w:rFonts w:ascii="Century Schoolbook" w:hAnsi="Century Schoolbook"/>
          <w:sz w:val="27"/>
          <w:szCs w:val="27"/>
        </w:rPr>
        <w:t xml:space="preserve">[¶]  </w:t>
      </w:r>
      <w:r w:rsidRPr="009252C3">
        <w:rPr>
          <w:rFonts w:ascii="Century Schoolbook" w:hAnsi="Century Schoolbook"/>
          <w:sz w:val="27"/>
          <w:szCs w:val="27"/>
        </w:rPr>
        <w:t>The defense did not test the fingernail scrapings.</w:t>
      </w:r>
      <w:r w:rsidRPr="009252C3" w:rsidR="00097BE4">
        <w:rPr>
          <w:rFonts w:ascii="Century Schoolbook" w:hAnsi="Century Schoolbook"/>
          <w:sz w:val="27"/>
          <w:szCs w:val="27"/>
        </w:rPr>
        <w:t>’ </w:t>
      </w:r>
      <w:r w:rsidRPr="009252C3">
        <w:rPr>
          <w:rFonts w:ascii="Century Schoolbook" w:hAnsi="Century Schoolbook"/>
          <w:sz w:val="27"/>
          <w:szCs w:val="27"/>
        </w:rPr>
        <w: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his argument to the jury, defense counsel stated that</w:t>
      </w:r>
      <w:r w:rsidR="00B41AE3">
        <w:rPr>
          <w:rFonts w:ascii="Century Schoolbook" w:hAnsi="Century Schoolbook"/>
          <w:sz w:val="27"/>
          <w:szCs w:val="27"/>
        </w:rPr>
        <w:t>,</w:t>
      </w:r>
      <w:r w:rsidRPr="009252C3">
        <w:rPr>
          <w:rFonts w:ascii="Century Schoolbook" w:hAnsi="Century Schoolbook"/>
          <w:sz w:val="27"/>
          <w:szCs w:val="27"/>
        </w:rPr>
        <w:t xml:space="preserve"> </w:t>
      </w:r>
      <w:r w:rsidRPr="009252C3" w:rsidR="00B41AE3">
        <w:rPr>
          <w:rFonts w:ascii="Century Schoolbook" w:hAnsi="Century Schoolbook"/>
          <w:sz w:val="27"/>
          <w:szCs w:val="27"/>
        </w:rPr>
        <w:t>as stipulated,</w:t>
      </w:r>
      <w:r w:rsidR="00B41AE3">
        <w:rPr>
          <w:rFonts w:ascii="Century Schoolbook" w:hAnsi="Century Schoolbook"/>
          <w:sz w:val="27"/>
          <w:szCs w:val="27"/>
        </w:rPr>
        <w:t xml:space="preserve"> </w:t>
      </w:r>
      <w:r w:rsidRPr="009252C3">
        <w:rPr>
          <w:rFonts w:ascii="Century Schoolbook" w:hAnsi="Century Schoolbook"/>
          <w:sz w:val="27"/>
          <w:szCs w:val="27"/>
        </w:rPr>
        <w:t>defendant’s “first lawyers” had the fingernail scrapings but had not tested them, that neither had the prosecution’s experts, and that “</w:t>
      </w:r>
      <w:r w:rsidRPr="009252C3" w:rsidR="00097BE4">
        <w:rPr>
          <w:rFonts w:ascii="Century Schoolbook" w:hAnsi="Century Schoolbook"/>
          <w:sz w:val="27"/>
          <w:szCs w:val="27"/>
        </w:rPr>
        <w:t xml:space="preserve">I </w:t>
      </w:r>
      <w:r w:rsidRPr="009252C3">
        <w:rPr>
          <w:rFonts w:ascii="Century Schoolbook" w:hAnsi="Century Schoolbook"/>
          <w:sz w:val="27"/>
          <w:szCs w:val="27"/>
        </w:rPr>
        <w:t>frankly don’t know why no one examined it.”  He went on to suggest the jury should hesitate to return a death sentence because in the future, improved DNA analysis techniques might be applied to the scrapings or to the semen found on the victim’s anal swab and might exonerate defendant.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 response, the prosecutor noted that defense counsel “makes a big deal about the fingernail scrapings, and he’s the one who brought this whole idea up.”  Defense counsel, the prosecutor continued, had not asked the prosecution expert why she did not test the scrapings.  Moreover, “Defen</w:t>
      </w:r>
      <w:r w:rsidRPr="009252C3" w:rsidR="00097BE4">
        <w:rPr>
          <w:rFonts w:ascii="Century Schoolbook" w:hAnsi="Century Schoolbook"/>
          <w:sz w:val="27"/>
          <w:szCs w:val="27"/>
        </w:rPr>
        <w:t>se</w:t>
      </w:r>
      <w:r w:rsidRPr="009252C3">
        <w:rPr>
          <w:rFonts w:ascii="Century Schoolbook" w:hAnsi="Century Schoolbook"/>
          <w:sz w:val="27"/>
          <w:szCs w:val="27"/>
        </w:rPr>
        <w:t>’s own expert had it for almost three months.  They didn’t examine it either.  Why didn’t he present their expert to tell you why that wasn’t done?”  Defense counsel objected and, still before the jury, stated, “Your Honor, we went through this.  I asked for money to get it done and it wasn’t, and he is walking right into it.”  Outside the jury’s presence, the court ruled it would allow the prosecutor to comment on the fact that—as stipulated—no defense expert had tested the scrapings, but not to ask rhetorically why defense counsel did or did not do anything.  The same would apply to argument by defense counsel.  In the jury’s presence, the court admonished the jury to disregard both attorney</w:t>
      </w:r>
      <w:r w:rsidRPr="009252C3" w:rsidR="00097BE4">
        <w:rPr>
          <w:rFonts w:ascii="Century Schoolbook" w:hAnsi="Century Schoolbook"/>
          <w:sz w:val="27"/>
          <w:szCs w:val="27"/>
        </w:rPr>
        <w:t>s</w:t>
      </w:r>
      <w:r w:rsidRPr="009252C3">
        <w:rPr>
          <w:rFonts w:ascii="Century Schoolbook" w:hAnsi="Century Schoolbook"/>
          <w:sz w:val="27"/>
          <w:szCs w:val="27"/>
        </w:rPr>
        <w:t xml:space="preserve">’ remarks made before the recess and explained that the argument would be confined to the stipulation read them previously:  “It’s not to go beyond that.”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Renewing his argument, the prosecutor stated that defense counsel is “the one who wants to prove lingering doubt” and that “[i]f there are unanswered questions with regard to the fingernail scrapings, that’s where you look for the answer.  He didn’t provide it to you.”  The court sustained a defense objection to this remark and told the jury to disregard it.  The prosecutor then stated, simply, “His expert had it for almost three months,” and moved on to another topic</w:t>
      </w:r>
      <w:r w:rsidRPr="009252C3" w:rsidR="00981C5B">
        <w:rPr>
          <w:rFonts w:ascii="Century Schoolbook" w:hAnsi="Century Schoolbook"/>
          <w:sz w:val="27"/>
          <w:szCs w:val="27"/>
        </w:rPr>
        <w:t>.</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We do not agree with defendant that the prosecutor spoke deceptively in asking rhetorically, “Why didn’t he present their expert to tell you why that wasn’t done?”</w:t>
      </w:r>
      <w:r w:rsidRPr="009252C3" w:rsidR="00097BE4">
        <w:rPr>
          <w:rFonts w:ascii="Century Schoolbook" w:hAnsi="Century Schoolbook"/>
          <w:sz w:val="27"/>
          <w:szCs w:val="27"/>
        </w:rPr>
        <w:t xml:space="preserve">  </w:t>
      </w:r>
      <w:r w:rsidRPr="009252C3">
        <w:rPr>
          <w:rFonts w:ascii="Century Schoolbook" w:hAnsi="Century Schoolbook"/>
          <w:sz w:val="27"/>
          <w:szCs w:val="27"/>
        </w:rPr>
        <w:t>That remark referred to the pretrial period in early 1998, described in the stipulation and in defense counsel’s own prior jury argument, when defendant’s “first lawyers” had the physical evidence and could have had their DNA expert examine the fingernail scrapings.  Nothing we have found in the record indicates that at that time the defense failure to test was due to lack of funding; it was only later, in the period before the penalty retrial, that defendant’s new attorneys sought and were denied funding for PCR-DNA testing on the fingernail scrapings.  (See fn.</w:t>
      </w:r>
      <w:r w:rsidRPr="009252C3" w:rsidR="00784D75">
        <w:rPr>
          <w:rFonts w:ascii="Century Schoolbook" w:hAnsi="Century Schoolbook"/>
          <w:sz w:val="27"/>
          <w:szCs w:val="27"/>
        </w:rPr>
        <w:t> </w:t>
      </w:r>
      <w:r w:rsidRPr="009252C3" w:rsidR="00470B31">
        <w:rPr>
          <w:rFonts w:ascii="Century Schoolbook" w:hAnsi="Century Schoolbook"/>
          <w:sz w:val="27"/>
          <w:szCs w:val="27"/>
        </w:rPr>
        <w:t>24</w:t>
      </w:r>
      <w:r w:rsidRPr="009252C3">
        <w:rPr>
          <w:rFonts w:ascii="Century Schoolbook" w:hAnsi="Century Schoolbook"/>
          <w:sz w:val="27"/>
          <w:szCs w:val="27"/>
        </w:rPr>
        <w:t xml:space="preserve">, </w:t>
      </w:r>
      <w:r w:rsidRPr="009252C3">
        <w:rPr>
          <w:rFonts w:ascii="Century Schoolbook" w:hAnsi="Century Schoolbook"/>
          <w:i/>
          <w:sz w:val="27"/>
          <w:szCs w:val="27"/>
        </w:rPr>
        <w:t>ante</w:t>
      </w:r>
      <w:r w:rsidRPr="009252C3">
        <w:rPr>
          <w:rFonts w:ascii="Century Schoolbook" w:hAnsi="Century Schoolbook"/>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prosecutor did, though, violate the trial court’s ruling by arguing, after the recess, that “[i]f there are unanswered questions with regard to the fingernail scrapings, that’s [the defense] where you look for the answer.  [</w:t>
      </w:r>
      <w:r w:rsidR="006F0AAD">
        <w:rPr>
          <w:rFonts w:ascii="Century Schoolbook" w:hAnsi="Century Schoolbook"/>
          <w:sz w:val="27"/>
          <w:szCs w:val="27"/>
        </w:rPr>
        <w:t>D</w:t>
      </w:r>
      <w:r w:rsidRPr="009252C3">
        <w:rPr>
          <w:rFonts w:ascii="Century Schoolbook" w:hAnsi="Century Schoolbook"/>
          <w:sz w:val="27"/>
          <w:szCs w:val="27"/>
        </w:rPr>
        <w:t>efense counsel] didn’t provide it to you.”  The court had, immediately before this, ordered the attorneys to confine their arguments to the stipulated facts, meaning they could note the absence of testing but not assert that one or the other party was responsible for it.  The prosecutor’s improper argument, however, was not a very strong one, since the jury also knew that the prosecution had not tested the fingernail scrapings for DNA</w:t>
      </w:r>
      <w:r w:rsidR="006F0AAD">
        <w:rPr>
          <w:rFonts w:ascii="Century Schoolbook" w:hAnsi="Century Schoolbook"/>
          <w:sz w:val="27"/>
          <w:szCs w:val="27"/>
        </w:rPr>
        <w:t>.</w:t>
      </w:r>
      <w:r w:rsidRPr="009252C3">
        <w:rPr>
          <w:rFonts w:ascii="Century Schoolbook" w:hAnsi="Century Schoolbook"/>
          <w:sz w:val="27"/>
          <w:szCs w:val="27"/>
        </w:rPr>
        <w:t xml:space="preserve"> </w:t>
      </w:r>
      <w:r w:rsidR="006F0AAD">
        <w:rPr>
          <w:rFonts w:ascii="Century Schoolbook" w:hAnsi="Century Schoolbook"/>
          <w:sz w:val="27"/>
          <w:szCs w:val="27"/>
        </w:rPr>
        <w:t xml:space="preserve"> I</w:t>
      </w:r>
      <w:r w:rsidRPr="009252C3">
        <w:rPr>
          <w:rFonts w:ascii="Century Schoolbook" w:hAnsi="Century Schoolbook"/>
          <w:sz w:val="27"/>
          <w:szCs w:val="27"/>
        </w:rPr>
        <w:t>n light of the sustained objection and prompt admonition, there is no reasonable possibility of prejudice.  (</w:t>
      </w:r>
      <w:r w:rsidRPr="009252C3">
        <w:rPr>
          <w:rFonts w:ascii="Century Schoolbook" w:hAnsi="Century Schoolbook"/>
          <w:i/>
          <w:sz w:val="27"/>
          <w:szCs w:val="27"/>
        </w:rPr>
        <w:t>People v. Gonzales</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51 Cal.4th at p.</w:t>
      </w:r>
      <w:r w:rsidRPr="009252C3" w:rsidR="00784D75">
        <w:rPr>
          <w:rFonts w:ascii="Century Schoolbook" w:hAnsi="Century Schoolbook"/>
          <w:sz w:val="27"/>
          <w:szCs w:val="27"/>
        </w:rPr>
        <w:t> </w:t>
      </w:r>
      <w:r w:rsidRPr="009252C3">
        <w:rPr>
          <w:rFonts w:ascii="Century Schoolbook" w:hAnsi="Century Schoolbook"/>
          <w:sz w:val="27"/>
          <w:szCs w:val="27"/>
        </w:rPr>
        <w:t>953.)</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Fifth and finally, defendant claims the prosecutor endorsed improper experimentation by the jurors in urging them to look at a photograph of the victim’s skin with a magnifying glass to see a pattern of knife marks.  Use of a magnifying glass to more closely examine an exhibit that has been admitted into evidence does not constitute improper experimentation, as it introduces no extra</w:t>
      </w:r>
      <w:r w:rsidRPr="009252C3" w:rsidR="00097BE4">
        <w:rPr>
          <w:rFonts w:ascii="Century Schoolbook" w:hAnsi="Century Schoolbook"/>
          <w:sz w:val="27"/>
          <w:szCs w:val="27"/>
        </w:rPr>
        <w:t xml:space="preserve"> </w:t>
      </w:r>
      <w:r w:rsidRPr="009252C3">
        <w:rPr>
          <w:rFonts w:ascii="Century Schoolbook" w:hAnsi="Century Schoolbook"/>
          <w:sz w:val="27"/>
          <w:szCs w:val="27"/>
        </w:rPr>
        <w:t>evidence material to the jury’s deliberations.  (</w:t>
      </w:r>
      <w:r w:rsidRPr="009252C3">
        <w:rPr>
          <w:rFonts w:ascii="Century Schoolbook" w:hAnsi="Century Schoolbook"/>
          <w:i/>
          <w:iCs/>
          <w:sz w:val="27"/>
          <w:szCs w:val="27"/>
        </w:rPr>
        <w:t>People v. Turner</w:t>
      </w:r>
      <w:r w:rsidRPr="009252C3">
        <w:rPr>
          <w:rFonts w:ascii="Century Schoolbook" w:hAnsi="Century Schoolbook"/>
          <w:sz w:val="27"/>
          <w:szCs w:val="27"/>
        </w:rPr>
        <w:t> (1971) 22 Cal.App.3d 174, 182.)  The prosecutor’s argument was therefore also not improper.</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Although we have found </w:t>
      </w:r>
      <w:r w:rsidRPr="009252C3" w:rsidR="0056769B">
        <w:rPr>
          <w:rFonts w:ascii="Century Schoolbook" w:hAnsi="Century Schoolbook"/>
          <w:sz w:val="27"/>
          <w:szCs w:val="27"/>
        </w:rPr>
        <w:t xml:space="preserve">two instances of </w:t>
      </w:r>
      <w:r w:rsidRPr="009252C3">
        <w:rPr>
          <w:rFonts w:ascii="Century Schoolbook" w:hAnsi="Century Schoolbook"/>
          <w:sz w:val="27"/>
          <w:szCs w:val="27"/>
        </w:rPr>
        <w:t>improper prosecutorial argument (</w:t>
      </w:r>
      <w:r w:rsidRPr="009252C3" w:rsidR="0056769B">
        <w:rPr>
          <w:rFonts w:ascii="Century Schoolbook" w:hAnsi="Century Schoolbook"/>
          <w:sz w:val="27"/>
          <w:szCs w:val="27"/>
        </w:rPr>
        <w:t xml:space="preserve">the argument </w:t>
      </w:r>
      <w:r w:rsidRPr="009252C3">
        <w:rPr>
          <w:rFonts w:ascii="Century Schoolbook" w:hAnsi="Century Schoolbook"/>
          <w:sz w:val="27"/>
          <w:szCs w:val="27"/>
        </w:rPr>
        <w:t>that lingering doubt could not be considered and blaming the defense for the lack of DNA evidence regarding the fingernail scrapings)</w:t>
      </w:r>
      <w:r w:rsidRPr="009252C3" w:rsidR="0056769B">
        <w:rPr>
          <w:rFonts w:ascii="Century Schoolbook" w:hAnsi="Century Schoolbook"/>
          <w:sz w:val="27"/>
          <w:szCs w:val="27"/>
        </w:rPr>
        <w:t>,</w:t>
      </w:r>
      <w:r w:rsidRPr="009252C3">
        <w:rPr>
          <w:rFonts w:ascii="Century Schoolbook" w:hAnsi="Century Schoolbook"/>
          <w:sz w:val="27"/>
          <w:szCs w:val="27"/>
        </w:rPr>
        <w:t xml:space="preserve"> we have found neither bore a reasonable possibility of affecting the penalty verdict.  We reach the same conclusion as to their cumulative effect</w:t>
      </w:r>
      <w:r w:rsidR="006F0AAD">
        <w:rPr>
          <w:rFonts w:ascii="Century Schoolbook" w:hAnsi="Century Schoolbook"/>
          <w:sz w:val="27"/>
          <w:szCs w:val="27"/>
        </w:rPr>
        <w:t xml:space="preserve">: </w:t>
      </w:r>
      <w:r w:rsidRPr="009252C3">
        <w:rPr>
          <w:rFonts w:ascii="Century Schoolbook" w:hAnsi="Century Schoolbook"/>
          <w:sz w:val="27"/>
          <w:szCs w:val="27"/>
        </w:rPr>
        <w:t xml:space="preserve"> the two errors went to different topics of argument and the court gave the jury clear admonitions to disregard both remarks.</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5" w:name="_Toc3365823"/>
      <w:r w:rsidRPr="009252C3">
        <w:rPr>
          <w:rFonts w:ascii="Century Schoolbook" w:hAnsi="Century Schoolbook"/>
          <w:b/>
          <w:i w:val="0"/>
          <w:sz w:val="27"/>
          <w:szCs w:val="27"/>
        </w:rPr>
        <w:t>XIV.  Denial of Motion to Continue Sentencing</w:t>
      </w:r>
      <w:bookmarkEnd w:id="25"/>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On September 10, 1999, the date set for sentencing, defendant moved for a continuance in order to prepare a motion for new guilt trial based on newly discovered evidence, </w:t>
      </w:r>
      <w:r w:rsidRPr="009252C3" w:rsidR="00DD11EB">
        <w:rPr>
          <w:rFonts w:ascii="Century Schoolbook" w:hAnsi="Century Schoolbook"/>
          <w:sz w:val="27"/>
          <w:szCs w:val="27"/>
        </w:rPr>
        <w:t>namely</w:t>
      </w:r>
      <w:r w:rsidRPr="009252C3">
        <w:rPr>
          <w:rFonts w:ascii="Century Schoolbook" w:hAnsi="Century Schoolbook"/>
          <w:sz w:val="27"/>
          <w:szCs w:val="27"/>
        </w:rPr>
        <w:t xml:space="preserve"> a letter purporting to be from someone defense counsel referred to as “Raymond Walton” stating that defendant had been set up by </w:t>
      </w:r>
      <w:r w:rsidRPr="009252C3" w:rsidR="00DD11EB">
        <w:rPr>
          <w:rFonts w:ascii="Century Schoolbook" w:hAnsi="Century Schoolbook"/>
          <w:sz w:val="27"/>
          <w:szCs w:val="27"/>
        </w:rPr>
        <w:t xml:space="preserve">a person </w:t>
      </w:r>
      <w:r w:rsidRPr="009252C3">
        <w:rPr>
          <w:rFonts w:ascii="Century Schoolbook" w:hAnsi="Century Schoolbook"/>
          <w:sz w:val="27"/>
          <w:szCs w:val="27"/>
        </w:rPr>
        <w:t xml:space="preserve">named Timothy Clarke, who was </w:t>
      </w:r>
      <w:r w:rsidRPr="009252C3" w:rsidR="00DD11EB">
        <w:rPr>
          <w:rFonts w:ascii="Century Schoolbook" w:hAnsi="Century Schoolbook"/>
          <w:sz w:val="27"/>
          <w:szCs w:val="27"/>
        </w:rPr>
        <w:t xml:space="preserve">confined </w:t>
      </w:r>
      <w:r w:rsidRPr="009252C3">
        <w:rPr>
          <w:rFonts w:ascii="Century Schoolbook" w:hAnsi="Century Schoolbook"/>
          <w:sz w:val="27"/>
          <w:szCs w:val="27"/>
        </w:rPr>
        <w:t xml:space="preserve">in a Yolo County jail.  In response, the prosecutor noted that the letter was actually signed simply “Raymond,” purportedly of “Walton Ave.” in Yuba City. </w:t>
      </w:r>
      <w:r w:rsidRPr="009252C3" w:rsidR="00266DBD">
        <w:rPr>
          <w:rFonts w:ascii="Century Schoolbook" w:hAnsi="Century Schoolbook"/>
          <w:sz w:val="27"/>
          <w:szCs w:val="27"/>
        </w:rPr>
        <w:t xml:space="preserve"> </w:t>
      </w:r>
      <w:r w:rsidRPr="009252C3">
        <w:rPr>
          <w:rFonts w:ascii="Century Schoolbook" w:hAnsi="Century Schoolbook"/>
          <w:sz w:val="27"/>
          <w:szCs w:val="27"/>
        </w:rPr>
        <w:t xml:space="preserve">The prosecution had called the telephone number given </w:t>
      </w:r>
      <w:r w:rsidR="006F0AAD">
        <w:rPr>
          <w:rFonts w:ascii="Century Schoolbook" w:hAnsi="Century Schoolbook"/>
          <w:sz w:val="27"/>
          <w:szCs w:val="27"/>
        </w:rPr>
        <w:t xml:space="preserve">in the letter </w:t>
      </w:r>
      <w:r w:rsidRPr="009252C3">
        <w:rPr>
          <w:rFonts w:ascii="Century Schoolbook" w:hAnsi="Century Schoolbook"/>
          <w:sz w:val="27"/>
          <w:szCs w:val="27"/>
        </w:rPr>
        <w:t>but found it disconnected</w:t>
      </w:r>
      <w:r w:rsidRPr="009252C3" w:rsidR="00DD11EB">
        <w:rPr>
          <w:rFonts w:ascii="Century Schoolbook" w:hAnsi="Century Schoolbook"/>
          <w:sz w:val="27"/>
          <w:szCs w:val="27"/>
        </w:rPr>
        <w:t xml:space="preserve">.  The woman who lived at the </w:t>
      </w:r>
      <w:r w:rsidRPr="009252C3">
        <w:rPr>
          <w:rFonts w:ascii="Century Schoolbook" w:hAnsi="Century Schoolbook"/>
          <w:sz w:val="27"/>
          <w:szCs w:val="27"/>
        </w:rPr>
        <w:t xml:space="preserve">last address associated with that number </w:t>
      </w:r>
      <w:r w:rsidRPr="009252C3" w:rsidR="00DD11EB">
        <w:rPr>
          <w:rFonts w:ascii="Century Schoolbook" w:hAnsi="Century Schoolbook"/>
          <w:sz w:val="27"/>
          <w:szCs w:val="27"/>
        </w:rPr>
        <w:t xml:space="preserve">had lived there for a year; she </w:t>
      </w:r>
      <w:r w:rsidRPr="009252C3">
        <w:rPr>
          <w:rFonts w:ascii="Century Schoolbook" w:hAnsi="Century Schoolbook"/>
          <w:sz w:val="27"/>
          <w:szCs w:val="27"/>
        </w:rPr>
        <w:t xml:space="preserve">said no Raymond lived at the address.  The letter was apparently sent to Al Rhoades, a relative of defendant, but </w:t>
      </w:r>
      <w:r w:rsidRPr="009252C3" w:rsidR="00DD11EB">
        <w:rPr>
          <w:rFonts w:ascii="Century Schoolbook" w:hAnsi="Century Schoolbook"/>
          <w:sz w:val="27"/>
          <w:szCs w:val="27"/>
        </w:rPr>
        <w:t xml:space="preserve">Al </w:t>
      </w:r>
      <w:r w:rsidR="00171C38">
        <w:rPr>
          <w:rFonts w:ascii="Century Schoolbook" w:hAnsi="Century Schoolbook"/>
          <w:sz w:val="27"/>
          <w:szCs w:val="27"/>
        </w:rPr>
        <w:t xml:space="preserve">had no </w:t>
      </w:r>
      <w:r w:rsidRPr="009252C3">
        <w:rPr>
          <w:rFonts w:ascii="Century Schoolbook" w:hAnsi="Century Schoolbook"/>
          <w:sz w:val="27"/>
          <w:szCs w:val="27"/>
        </w:rPr>
        <w:t xml:space="preserve">idea who Raymond was.  Two men named Timothy Clark, spelled differently from the letter, had been </w:t>
      </w:r>
      <w:r w:rsidRPr="009252C3" w:rsidR="00DD11EB">
        <w:rPr>
          <w:rFonts w:ascii="Century Schoolbook" w:hAnsi="Century Schoolbook"/>
          <w:sz w:val="27"/>
          <w:szCs w:val="27"/>
        </w:rPr>
        <w:t xml:space="preserve">confined </w:t>
      </w:r>
      <w:r w:rsidRPr="009252C3">
        <w:rPr>
          <w:rFonts w:ascii="Century Schoolbook" w:hAnsi="Century Schoolbook"/>
          <w:sz w:val="27"/>
          <w:szCs w:val="27"/>
        </w:rPr>
        <w:t xml:space="preserve">in Yolo County jail, one in 1991 and one in 1997.  The letter contained no information as to how Clark or Clarke had supposedly set defendant up for the crime.  The prosecutor also noted that the guilt verdicts had been returned </w:t>
      </w:r>
      <w:r w:rsidRPr="009252C3" w:rsidR="00266DBD">
        <w:rPr>
          <w:rFonts w:ascii="Century Schoolbook" w:hAnsi="Century Schoolbook"/>
          <w:sz w:val="27"/>
          <w:szCs w:val="27"/>
        </w:rPr>
        <w:t>15</w:t>
      </w:r>
      <w:r w:rsidRPr="009252C3">
        <w:rPr>
          <w:rFonts w:ascii="Century Schoolbook" w:hAnsi="Century Schoolbook"/>
          <w:sz w:val="27"/>
          <w:szCs w:val="27"/>
        </w:rPr>
        <w:t xml:space="preserve"> months earlier and the intended new</w:t>
      </w:r>
      <w:r w:rsidR="00171C38">
        <w:rPr>
          <w:rFonts w:ascii="Century Schoolbook" w:hAnsi="Century Schoolbook"/>
          <w:sz w:val="27"/>
          <w:szCs w:val="27"/>
        </w:rPr>
        <w:t>-</w:t>
      </w:r>
      <w:r w:rsidRPr="009252C3">
        <w:rPr>
          <w:rFonts w:ascii="Century Schoolbook" w:hAnsi="Century Schoolbook"/>
          <w:sz w:val="27"/>
          <w:szCs w:val="27"/>
        </w:rPr>
        <w:t xml:space="preserve">trial motion would be defendant’s third.  </w:t>
      </w:r>
      <w:r w:rsidRPr="009252C3" w:rsidR="00DD11EB">
        <w:rPr>
          <w:rFonts w:ascii="Century Schoolbook" w:hAnsi="Century Schoolbook"/>
          <w:sz w:val="27"/>
          <w:szCs w:val="27"/>
        </w:rPr>
        <w:t xml:space="preserve">The trial court, further noting the length of time that elapsed since the penalty verdicts had been </w:t>
      </w:r>
      <w:r w:rsidRPr="009252C3">
        <w:rPr>
          <w:rFonts w:ascii="Century Schoolbook" w:hAnsi="Century Schoolbook"/>
          <w:sz w:val="27"/>
          <w:szCs w:val="27"/>
        </w:rPr>
        <w:t xml:space="preserve">returned in March 1999, found no cause for a continuance and denied the motion.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Continuances in criminal cases are to be granted only for good cause, and the trial court’s denial of a continuance is reviewed for abuse of discretion only.  (Pen. Code, §</w:t>
      </w:r>
      <w:r w:rsidRPr="009252C3" w:rsidR="00B75F02">
        <w:rPr>
          <w:rFonts w:ascii="Century Schoolbook" w:hAnsi="Century Schoolbook"/>
          <w:sz w:val="27"/>
          <w:szCs w:val="27"/>
        </w:rPr>
        <w:t> </w:t>
      </w:r>
      <w:r w:rsidRPr="009252C3">
        <w:rPr>
          <w:rFonts w:ascii="Century Schoolbook" w:hAnsi="Century Schoolbook"/>
          <w:sz w:val="27"/>
          <w:szCs w:val="27"/>
        </w:rPr>
        <w:t xml:space="preserve">1050, subd. (c); </w:t>
      </w:r>
      <w:r w:rsidRPr="009252C3">
        <w:rPr>
          <w:rFonts w:ascii="Century Schoolbook" w:hAnsi="Century Schoolbook"/>
          <w:i/>
          <w:sz w:val="27"/>
          <w:szCs w:val="27"/>
        </w:rPr>
        <w:t>People v. Jenkins</w:t>
      </w:r>
      <w:r w:rsidRPr="009252C3" w:rsidR="00475776">
        <w:rPr>
          <w:rFonts w:ascii="Century Schoolbook" w:hAnsi="Century Schoolbook"/>
          <w:sz w:val="27"/>
          <w:szCs w:val="27"/>
        </w:rPr>
        <w:t>,</w:t>
      </w:r>
      <w:r w:rsidRPr="009252C3" w:rsidR="00475776">
        <w:rPr>
          <w:rFonts w:ascii="Century Schoolbook" w:hAnsi="Century Schoolbook"/>
          <w:i/>
          <w:sz w:val="27"/>
          <w:szCs w:val="27"/>
        </w:rPr>
        <w:t xml:space="preserve"> supra</w:t>
      </w:r>
      <w:r w:rsidRPr="009252C3" w:rsidR="00475776">
        <w:rPr>
          <w:rFonts w:ascii="Century Schoolbook" w:hAnsi="Century Schoolbook"/>
          <w:sz w:val="27"/>
          <w:szCs w:val="27"/>
        </w:rPr>
        <w:t xml:space="preserve">, </w:t>
      </w:r>
      <w:r w:rsidRPr="009252C3">
        <w:rPr>
          <w:rFonts w:ascii="Century Schoolbook" w:hAnsi="Century Schoolbook"/>
          <w:sz w:val="27"/>
          <w:szCs w:val="27"/>
        </w:rPr>
        <w:t xml:space="preserve">22 Cal.4th </w:t>
      </w:r>
      <w:r w:rsidRPr="009252C3" w:rsidR="00475776">
        <w:rPr>
          <w:rFonts w:ascii="Century Schoolbook" w:hAnsi="Century Schoolbook"/>
          <w:sz w:val="27"/>
          <w:szCs w:val="27"/>
        </w:rPr>
        <w:t>at p. </w:t>
      </w:r>
      <w:r w:rsidRPr="009252C3">
        <w:rPr>
          <w:rFonts w:ascii="Century Schoolbook" w:hAnsi="Century Schoolbook"/>
          <w:sz w:val="27"/>
          <w:szCs w:val="27"/>
        </w:rPr>
        <w:t>1037.)  Given the length of time elapsed since the guilt and penalty verdicts and the vague and speculative nature of the letter’s claim, there was no abuse of discretion here.</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6" w:name="_Toc3365824"/>
      <w:r w:rsidRPr="009252C3">
        <w:rPr>
          <w:rFonts w:ascii="Century Schoolbook" w:hAnsi="Century Schoolbook"/>
          <w:b/>
          <w:i w:val="0"/>
          <w:sz w:val="27"/>
          <w:szCs w:val="27"/>
        </w:rPr>
        <w:t xml:space="preserve">XV.  Conviction on Multiple Offenses Arising from </w:t>
      </w:r>
      <w:r w:rsidR="008E6B13">
        <w:rPr>
          <w:rFonts w:ascii="Century Schoolbook" w:hAnsi="Century Schoolbook"/>
          <w:b/>
          <w:i w:val="0"/>
          <w:sz w:val="27"/>
          <w:szCs w:val="27"/>
        </w:rPr>
        <w:br/>
        <w:t xml:space="preserve">                  </w:t>
      </w:r>
      <w:r w:rsidRPr="009252C3">
        <w:rPr>
          <w:rFonts w:ascii="Century Schoolbook" w:hAnsi="Century Schoolbook"/>
          <w:b/>
          <w:i w:val="0"/>
          <w:sz w:val="27"/>
          <w:szCs w:val="27"/>
        </w:rPr>
        <w:t>the Same Act</w:t>
      </w:r>
      <w:bookmarkEnd w:id="26"/>
      <w:r w:rsidRPr="009252C3">
        <w:rPr>
          <w:rFonts w:ascii="Century Schoolbook" w:hAnsi="Century Schoolbook"/>
          <w:b/>
          <w:i w:val="0"/>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On counts four through seven—torture, forcible sodomy on a child, lewd act on a child</w:t>
      </w:r>
      <w:r w:rsidR="00171C38">
        <w:rPr>
          <w:rFonts w:ascii="Century Schoolbook" w:hAnsi="Century Schoolbook"/>
          <w:sz w:val="27"/>
          <w:szCs w:val="27"/>
        </w:rPr>
        <w:t>,</w:t>
      </w:r>
      <w:r w:rsidRPr="009252C3">
        <w:rPr>
          <w:rFonts w:ascii="Century Schoolbook" w:hAnsi="Century Schoolbook"/>
          <w:sz w:val="27"/>
          <w:szCs w:val="27"/>
        </w:rPr>
        <w:t xml:space="preserve"> and forcible lewd act on a child—the sentencing court imposed prison sentences but ordered them stayed under Penal Code section 654 pending execution of the sentence for murder.  Defendant contends the stay of sentence was insufficient to protect him, arguing it is “unfair and unconstitutional under the Fifth and Eighth Amendments to permit a jury in a death penalty case to use the same identical facts to convict appellant of separate crimes, which they then are permitted to consider in deciding whether he should live or die.”  We rejected similar arguments in </w:t>
      </w:r>
      <w:r w:rsidRPr="009252C3">
        <w:rPr>
          <w:rFonts w:ascii="Century Schoolbook" w:hAnsi="Century Schoolbook"/>
          <w:i/>
          <w:iCs/>
          <w:sz w:val="27"/>
          <w:szCs w:val="27"/>
        </w:rPr>
        <w:t>People v. Melton</w:t>
      </w:r>
      <w:r w:rsidRPr="009252C3" w:rsidR="00470B31">
        <w:rPr>
          <w:rFonts w:ascii="Century Schoolbook" w:hAnsi="Century Schoolbook"/>
          <w:i/>
          <w:iCs/>
          <w:sz w:val="27"/>
          <w:szCs w:val="27"/>
        </w:rPr>
        <w:t xml:space="preserve"> </w:t>
      </w:r>
      <w:r w:rsidRPr="009252C3">
        <w:rPr>
          <w:rFonts w:ascii="Century Schoolbook" w:hAnsi="Century Schoolbook"/>
          <w:sz w:val="27"/>
          <w:szCs w:val="27"/>
        </w:rPr>
        <w:t>(1988) 44 Cal.3d 713, 766</w:t>
      </w:r>
      <w:r w:rsidRPr="009252C3" w:rsidR="00835493">
        <w:rPr>
          <w:rFonts w:ascii="Century Schoolbook" w:hAnsi="Century Schoolbook"/>
          <w:sz w:val="27"/>
          <w:szCs w:val="27"/>
        </w:rPr>
        <w:t>–</w:t>
      </w:r>
      <w:r w:rsidRPr="009252C3">
        <w:rPr>
          <w:rFonts w:ascii="Century Schoolbook" w:hAnsi="Century Schoolbook"/>
          <w:sz w:val="27"/>
          <w:szCs w:val="27"/>
        </w:rPr>
        <w:t xml:space="preserve">768 (holding consideration of overlapping special circumstances proper but providing that jury should be told, on defense request, not to double count each special circumstance), and </w:t>
      </w:r>
      <w:r w:rsidRPr="009252C3">
        <w:rPr>
          <w:rFonts w:ascii="Century Schoolbook" w:hAnsi="Century Schoolbook"/>
          <w:i/>
          <w:iCs/>
          <w:sz w:val="27"/>
          <w:szCs w:val="27"/>
        </w:rPr>
        <w:t>People v. Richardson</w:t>
      </w:r>
      <w:r w:rsidRPr="009252C3">
        <w:rPr>
          <w:rFonts w:ascii="Century Schoolbook" w:hAnsi="Century Schoolbook"/>
          <w:sz w:val="27"/>
          <w:szCs w:val="27"/>
        </w:rPr>
        <w:t> (2008) 43 Cal.4th 959, 1029 (explaining that “lewd conduct is a separate offense from either rape or sodomy and therefore the jury could consider all three special circumstances under section 190.3, factor (a)”).  The jury here was instructed not to double count the special circumstance findings even though they were also circumstances of the capital crime:  “[Y]ou may not weigh the special circumstances more tha</w:t>
      </w:r>
      <w:r w:rsidRPr="009252C3" w:rsidR="00475776">
        <w:rPr>
          <w:rFonts w:ascii="Century Schoolbook" w:hAnsi="Century Schoolbook"/>
          <w:sz w:val="27"/>
          <w:szCs w:val="27"/>
        </w:rPr>
        <w:t>[</w:t>
      </w:r>
      <w:r w:rsidRPr="009252C3">
        <w:rPr>
          <w:rFonts w:ascii="Century Schoolbook" w:hAnsi="Century Schoolbook"/>
          <w:sz w:val="27"/>
          <w:szCs w:val="27"/>
        </w:rPr>
        <w:t>n</w:t>
      </w:r>
      <w:r w:rsidRPr="009252C3" w:rsidR="00475776">
        <w:rPr>
          <w:rFonts w:ascii="Century Schoolbook" w:hAnsi="Century Schoolbook"/>
          <w:sz w:val="27"/>
          <w:szCs w:val="27"/>
        </w:rPr>
        <w:t>]</w:t>
      </w:r>
      <w:r w:rsidRPr="009252C3">
        <w:rPr>
          <w:rFonts w:ascii="Century Schoolbook" w:hAnsi="Century Schoolbook"/>
          <w:sz w:val="27"/>
          <w:szCs w:val="27"/>
        </w:rPr>
        <w:t xml:space="preserve"> once in your sentencing determination.”  Defendant cites nothing in the record to suggest, and we have seen no indication, that the jury nonetheless gave any improper weight to the circumstance that defendant had, during his fatal attack on Michael Lyons, committed multiple sexual offenses as well as torture.  </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7" w:name="_Toc3365825"/>
      <w:r w:rsidRPr="009252C3">
        <w:rPr>
          <w:rFonts w:ascii="Century Schoolbook" w:hAnsi="Century Schoolbook"/>
          <w:b/>
          <w:i w:val="0"/>
          <w:sz w:val="27"/>
          <w:szCs w:val="27"/>
        </w:rPr>
        <w:t xml:space="preserve">XVI.  Refusal of Defense Instructions on </w:t>
      </w:r>
      <w:r w:rsidR="008E6B13">
        <w:rPr>
          <w:rFonts w:ascii="Century Schoolbook" w:hAnsi="Century Schoolbook"/>
          <w:b/>
          <w:i w:val="0"/>
          <w:sz w:val="27"/>
          <w:szCs w:val="27"/>
        </w:rPr>
        <w:br/>
        <w:t xml:space="preserve">                          </w:t>
      </w:r>
      <w:r w:rsidRPr="009252C3">
        <w:rPr>
          <w:rFonts w:ascii="Century Schoolbook" w:hAnsi="Century Schoolbook"/>
          <w:b/>
          <w:i w:val="0"/>
          <w:sz w:val="27"/>
          <w:szCs w:val="27"/>
        </w:rPr>
        <w:t>Determination of Penalty</w:t>
      </w:r>
      <w:bookmarkEnd w:id="27"/>
      <w:r w:rsidRPr="009252C3">
        <w:rPr>
          <w:rFonts w:ascii="Century Schoolbook" w:hAnsi="Century Schoolbook"/>
          <w:b/>
          <w:i w:val="0"/>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complains of the court’s refusal to give several of his proposed special instructions.  We find no error.</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First, defendant offered an instruction stating that the mitigating circumstances listed “are given merely as examples” and the jury should not limit consideration to these specific factors but may consider “mercy, sympathy and/or sentiment in deciding what weight to give each mitigating factor.”  The trial court refused the instruction on the ground it was adequately covered by CALJIC No.</w:t>
      </w:r>
      <w:r w:rsidRPr="009252C3" w:rsidR="00B75F02">
        <w:rPr>
          <w:rFonts w:ascii="Century Schoolbook" w:hAnsi="Century Schoolbook"/>
          <w:sz w:val="27"/>
          <w:szCs w:val="27"/>
        </w:rPr>
        <w:t> </w:t>
      </w:r>
      <w:r w:rsidRPr="009252C3">
        <w:rPr>
          <w:rFonts w:ascii="Century Schoolbook" w:hAnsi="Century Schoolbook"/>
          <w:sz w:val="27"/>
          <w:szCs w:val="27"/>
        </w:rPr>
        <w:t>8.88, which as given here defined a mitigating circumstance as “any fact, condition or event which does not constitute a justification or excuse for the crime in question, but may be considered as an extenuating circumstance” in determining the penalty.  The jury was also instructed in CALJIC No.</w:t>
      </w:r>
      <w:r w:rsidRPr="009252C3" w:rsidR="00B75F02">
        <w:rPr>
          <w:rFonts w:ascii="Century Schoolbook" w:hAnsi="Century Schoolbook"/>
          <w:sz w:val="27"/>
          <w:szCs w:val="27"/>
        </w:rPr>
        <w:t> </w:t>
      </w:r>
      <w:r w:rsidRPr="009252C3">
        <w:rPr>
          <w:rFonts w:ascii="Century Schoolbook" w:hAnsi="Century Schoolbook"/>
          <w:sz w:val="27"/>
          <w:szCs w:val="27"/>
        </w:rPr>
        <w:t>8.85 that under Penal Code section 190.3, factor (k), they could consider in mitigation “any sympathetic or other aspect of the defendant’s character or record .</w:t>
      </w:r>
      <w:r w:rsidRPr="009252C3" w:rsidR="00B75F02">
        <w:rPr>
          <w:rFonts w:ascii="Century Schoolbook" w:hAnsi="Century Schoolbook"/>
          <w:sz w:val="27"/>
          <w:szCs w:val="27"/>
        </w:rPr>
        <w:t> </w:t>
      </w:r>
      <w:r w:rsidRPr="009252C3">
        <w:rPr>
          <w:rFonts w:ascii="Century Schoolbook" w:hAnsi="Century Schoolbook"/>
          <w:sz w:val="27"/>
          <w:szCs w:val="27"/>
        </w:rPr>
        <w:t>.</w:t>
      </w:r>
      <w:r w:rsidRPr="009252C3" w:rsidR="00B75F02">
        <w:rPr>
          <w:rFonts w:ascii="Century Schoolbook" w:hAnsi="Century Schoolbook"/>
          <w:sz w:val="27"/>
          <w:szCs w:val="27"/>
        </w:rPr>
        <w:t> </w:t>
      </w:r>
      <w:r w:rsidRPr="009252C3">
        <w:rPr>
          <w:rFonts w:ascii="Century Schoolbook" w:hAnsi="Century Schoolbook"/>
          <w:sz w:val="27"/>
          <w:szCs w:val="27"/>
        </w:rPr>
        <w:t xml:space="preserve">. whether or not related to the offense for which he is on trial.”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We have held that these standard instructions “leave adequate room for the consideration of mercy” without an instruction using that term (</w:t>
      </w:r>
      <w:r w:rsidRPr="009252C3">
        <w:rPr>
          <w:rFonts w:ascii="Century Schoolbook" w:hAnsi="Century Schoolbook"/>
          <w:i/>
          <w:iCs/>
          <w:sz w:val="27"/>
          <w:szCs w:val="27"/>
        </w:rPr>
        <w:t>People v. Thomas</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(2012) 53 Cal.4th 771, 827) and that an express reference to “mercy” risks encouraging arbitrary decisionmaking (</w:t>
      </w:r>
      <w:r w:rsidRPr="009252C3">
        <w:rPr>
          <w:rFonts w:ascii="Century Schoolbook" w:hAnsi="Century Schoolbook"/>
          <w:i/>
          <w:iCs/>
          <w:sz w:val="27"/>
          <w:szCs w:val="27"/>
        </w:rPr>
        <w:t>People v. Lewis</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(2001) 26 Cal.4th 334, 393)</w:t>
      </w:r>
      <w:r w:rsidRPr="009252C3" w:rsidR="00DD11EB">
        <w:rPr>
          <w:rFonts w:ascii="Century Schoolbook" w:hAnsi="Century Schoolbook"/>
          <w:sz w:val="27"/>
          <w:szCs w:val="27"/>
        </w:rPr>
        <w:t>—</w:t>
      </w:r>
      <w:r w:rsidRPr="009252C3">
        <w:rPr>
          <w:rFonts w:ascii="Century Schoolbook" w:hAnsi="Century Schoolbook"/>
          <w:sz w:val="27"/>
          <w:szCs w:val="27"/>
        </w:rPr>
        <w:t>a risk aggravated here by defendant’s proposed instruction’s use of the term “sentiment.”  Defendant provides no compelling argument to reexamine these conclusions.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Second, defendant’s proposed instruction stating that “the evidence </w:t>
      </w:r>
      <w:r w:rsidRPr="009252C3" w:rsidR="00475776">
        <w:rPr>
          <w:rFonts w:ascii="Century Schoolbook" w:hAnsi="Century Schoolbook"/>
          <w:sz w:val="27"/>
          <w:szCs w:val="27"/>
        </w:rPr>
        <w:t>which</w:t>
      </w:r>
      <w:r w:rsidRPr="009252C3">
        <w:rPr>
          <w:rFonts w:ascii="Century Schoolbook" w:hAnsi="Century Schoolbook"/>
          <w:sz w:val="27"/>
          <w:szCs w:val="27"/>
        </w:rPr>
        <w:t xml:space="preserve"> has been presented regarding the defendant’s background may only be considered by you as mitigating evidence” was also refused as cumulative of standard instructions.  Defendant contends it was error to refuse this instruction, and the prosecutor exploited the error by arguing defendant’s background as an aggravating circumstance.  (But see </w:t>
      </w:r>
      <w:r w:rsidRPr="009252C3" w:rsidR="00835493">
        <w:rPr>
          <w:rFonts w:ascii="Century Schoolbook" w:hAnsi="Century Schoolbook"/>
          <w:sz w:val="27"/>
          <w:szCs w:val="27"/>
        </w:rPr>
        <w:t>p</w:t>
      </w:r>
      <w:r w:rsidRPr="009252C3" w:rsidR="00470B31">
        <w:rPr>
          <w:rFonts w:ascii="Century Schoolbook" w:hAnsi="Century Schoolbook"/>
          <w:sz w:val="27"/>
          <w:szCs w:val="27"/>
        </w:rPr>
        <w:t>t.</w:t>
      </w:r>
      <w:r w:rsidRPr="009252C3">
        <w:rPr>
          <w:rFonts w:ascii="Century Schoolbook" w:hAnsi="Century Schoolbook"/>
          <w:sz w:val="27"/>
          <w:szCs w:val="27"/>
        </w:rPr>
        <w:t xml:space="preserve"> XIII</w:t>
      </w:r>
      <w:r w:rsidR="00466A12">
        <w:rPr>
          <w:rFonts w:ascii="Century Schoolbook" w:hAnsi="Century Schoolbook"/>
          <w:sz w:val="27"/>
          <w:szCs w:val="27"/>
        </w:rPr>
        <w:t>.</w:t>
      </w:r>
      <w:r w:rsidRPr="009252C3">
        <w:rPr>
          <w:rFonts w:ascii="Century Schoolbook" w:hAnsi="Century Schoolbook"/>
          <w:sz w:val="27"/>
          <w:szCs w:val="27"/>
        </w:rPr>
        <w:t xml:space="preserve">, </w:t>
      </w:r>
      <w:r w:rsidRPr="009252C3">
        <w:rPr>
          <w:rFonts w:ascii="Century Schoolbook" w:hAnsi="Century Schoolbook"/>
          <w:i/>
          <w:sz w:val="27"/>
          <w:szCs w:val="27"/>
        </w:rPr>
        <w:t>ante</w:t>
      </w:r>
      <w:r w:rsidRPr="009252C3">
        <w:rPr>
          <w:rFonts w:ascii="Century Schoolbook" w:hAnsi="Century Schoolbook"/>
          <w:sz w:val="27"/>
          <w:szCs w:val="27"/>
        </w:rPr>
        <w:t xml:space="preserve"> [rejecting this characterization of the prosecutor’s argument].)  We have held that “[t]he court need not instruct that the jury can consider certain statutory factors only in mitigation” (</w:t>
      </w:r>
      <w:r w:rsidRPr="009252C3">
        <w:rPr>
          <w:rFonts w:ascii="Century Schoolbook" w:hAnsi="Century Schoolbook"/>
          <w:i/>
          <w:iCs/>
          <w:sz w:val="27"/>
          <w:szCs w:val="27"/>
        </w:rPr>
        <w:t>People v. Valencia</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(2008) 43 Cal.4th 268, 311) and that “[i]t follows the trial</w:t>
      </w:r>
      <w:r w:rsidRPr="009252C3" w:rsidR="00B75F02">
        <w:rPr>
          <w:rFonts w:ascii="Century Schoolbook" w:hAnsi="Century Schoolbook"/>
          <w:sz w:val="27"/>
          <w:szCs w:val="27"/>
        </w:rPr>
        <w:t xml:space="preserve"> </w:t>
      </w:r>
      <w:r w:rsidRPr="009252C3">
        <w:rPr>
          <w:rFonts w:ascii="Century Schoolbook" w:hAnsi="Century Schoolbook"/>
          <w:sz w:val="27"/>
          <w:szCs w:val="27"/>
        </w:rPr>
        <w:t>court</w:t>
      </w:r>
      <w:r w:rsidRPr="009252C3" w:rsidR="00B75F02">
        <w:rPr>
          <w:rFonts w:ascii="Century Schoolbook" w:hAnsi="Century Schoolbook"/>
          <w:sz w:val="27"/>
          <w:szCs w:val="27"/>
        </w:rPr>
        <w:t xml:space="preserve"> </w:t>
      </w:r>
      <w:r w:rsidRPr="009252C3">
        <w:rPr>
          <w:rFonts w:ascii="Century Schoolbook" w:hAnsi="Century Schoolbook"/>
          <w:sz w:val="27"/>
          <w:szCs w:val="27"/>
        </w:rPr>
        <w:t>need</w:t>
      </w:r>
      <w:r w:rsidRPr="009252C3" w:rsidR="00B75F02">
        <w:rPr>
          <w:rFonts w:ascii="Century Schoolbook" w:hAnsi="Century Schoolbook"/>
          <w:sz w:val="27"/>
          <w:szCs w:val="27"/>
        </w:rPr>
        <w:t xml:space="preserve"> </w:t>
      </w:r>
      <w:r w:rsidRPr="009252C3">
        <w:rPr>
          <w:rFonts w:ascii="Century Schoolbook" w:hAnsi="Century Schoolbook"/>
          <w:sz w:val="27"/>
          <w:szCs w:val="27"/>
        </w:rPr>
        <w:t>not</w:t>
      </w:r>
      <w:r w:rsidRPr="009252C3" w:rsidR="00B75F02">
        <w:rPr>
          <w:rFonts w:ascii="Century Schoolbook" w:hAnsi="Century Schoolbook"/>
          <w:sz w:val="27"/>
          <w:szCs w:val="27"/>
        </w:rPr>
        <w:t xml:space="preserve"> </w:t>
      </w:r>
      <w:r w:rsidRPr="009252C3">
        <w:rPr>
          <w:rFonts w:ascii="Century Schoolbook" w:hAnsi="Century Schoolbook"/>
          <w:sz w:val="27"/>
          <w:szCs w:val="27"/>
        </w:rPr>
        <w:t>instruct</w:t>
      </w:r>
      <w:r w:rsidRPr="009252C3" w:rsidR="00B75F02">
        <w:rPr>
          <w:rFonts w:ascii="Century Schoolbook" w:hAnsi="Century Schoolbook"/>
          <w:sz w:val="27"/>
          <w:szCs w:val="27"/>
        </w:rPr>
        <w:t xml:space="preserve"> </w:t>
      </w:r>
      <w:r w:rsidRPr="009252C3">
        <w:rPr>
          <w:rFonts w:ascii="Century Schoolbook" w:hAnsi="Century Schoolbook"/>
          <w:sz w:val="27"/>
          <w:szCs w:val="27"/>
        </w:rPr>
        <w:t>that</w:t>
      </w:r>
      <w:r w:rsidRPr="009252C3" w:rsidR="00B75F02">
        <w:rPr>
          <w:rFonts w:ascii="Century Schoolbook" w:hAnsi="Century Schoolbook"/>
          <w:sz w:val="27"/>
          <w:szCs w:val="27"/>
        </w:rPr>
        <w:t xml:space="preserve"> </w:t>
      </w:r>
      <w:r w:rsidRPr="009252C3">
        <w:rPr>
          <w:rFonts w:ascii="Century Schoolbook" w:hAnsi="Century Schoolbook"/>
          <w:sz w:val="27"/>
          <w:szCs w:val="27"/>
        </w:rPr>
        <w:t>background</w:t>
      </w:r>
      <w:r w:rsidRPr="009252C3" w:rsidR="00B75F02">
        <w:rPr>
          <w:rFonts w:ascii="Century Schoolbook" w:hAnsi="Century Schoolbook"/>
          <w:sz w:val="27"/>
          <w:szCs w:val="27"/>
        </w:rPr>
        <w:t xml:space="preserve"> </w:t>
      </w:r>
      <w:r w:rsidRPr="009252C3">
        <w:rPr>
          <w:rFonts w:ascii="Century Schoolbook" w:hAnsi="Century Schoolbook"/>
          <w:sz w:val="27"/>
          <w:szCs w:val="27"/>
        </w:rPr>
        <w:t>evidence may be</w:t>
      </w:r>
      <w:r w:rsidRPr="009252C3" w:rsidR="00835493">
        <w:rPr>
          <w:rFonts w:ascii="Century Schoolbook" w:hAnsi="Century Schoolbook"/>
          <w:sz w:val="27"/>
          <w:szCs w:val="27"/>
        </w:rPr>
        <w:t xml:space="preserve"> </w:t>
      </w:r>
      <w:r w:rsidRPr="009252C3">
        <w:rPr>
          <w:rFonts w:ascii="Century Schoolbook" w:hAnsi="Century Schoolbook"/>
          <w:sz w:val="27"/>
          <w:szCs w:val="27"/>
        </w:rPr>
        <w:t>considered</w:t>
      </w:r>
      <w:r w:rsidRPr="009252C3" w:rsidR="00835493">
        <w:rPr>
          <w:rFonts w:ascii="Century Schoolbook" w:hAnsi="Century Schoolbook"/>
          <w:sz w:val="27"/>
          <w:szCs w:val="27"/>
        </w:rPr>
        <w:t xml:space="preserve"> </w:t>
      </w:r>
      <w:r w:rsidRPr="009252C3">
        <w:rPr>
          <w:rFonts w:ascii="Century Schoolbook" w:hAnsi="Century Schoolbook"/>
          <w:sz w:val="27"/>
          <w:szCs w:val="27"/>
        </w:rPr>
        <w:t>only in</w:t>
      </w:r>
      <w:r w:rsidRPr="009252C3" w:rsidR="00835493">
        <w:rPr>
          <w:rFonts w:ascii="Century Schoolbook" w:hAnsi="Century Schoolbook"/>
          <w:sz w:val="27"/>
          <w:szCs w:val="27"/>
        </w:rPr>
        <w:t xml:space="preserve"> </w:t>
      </w:r>
      <w:r w:rsidRPr="009252C3">
        <w:rPr>
          <w:rFonts w:ascii="Century Schoolbook" w:hAnsi="Century Schoolbook"/>
          <w:sz w:val="27"/>
          <w:szCs w:val="27"/>
        </w:rPr>
        <w:t>mitigation”</w:t>
      </w:r>
      <w:r w:rsidRPr="009252C3" w:rsidR="00B75F02">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People v. Rogers</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 xml:space="preserve">(2006) 39 Cal.4th 826, 897; see also </w:t>
      </w:r>
      <w:r w:rsidRPr="009252C3">
        <w:rPr>
          <w:rFonts w:ascii="Century Schoolbook" w:hAnsi="Century Schoolbook"/>
          <w:i/>
          <w:iCs/>
          <w:sz w:val="27"/>
          <w:szCs w:val="27"/>
        </w:rPr>
        <w:t>Tuilaepa v. California</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 xml:space="preserve">(1994) 512 U.S. 967, 979 [“A capital </w:t>
      </w:r>
      <w:r w:rsidRPr="009252C3" w:rsidR="00B75F02">
        <w:rPr>
          <w:rFonts w:ascii="Century Schoolbook" w:hAnsi="Century Schoolbook"/>
          <w:sz w:val="27"/>
          <w:szCs w:val="27"/>
        </w:rPr>
        <w:t>sentence</w:t>
      </w:r>
      <w:r w:rsidR="005D674E">
        <w:rPr>
          <w:rFonts w:ascii="Century Schoolbook" w:hAnsi="Century Schoolbook"/>
          <w:sz w:val="27"/>
          <w:szCs w:val="27"/>
        </w:rPr>
        <w:t>r</w:t>
      </w:r>
      <w:r w:rsidRPr="009252C3" w:rsidR="00B75F02">
        <w:rPr>
          <w:rFonts w:ascii="Century Schoolbook" w:hAnsi="Century Schoolbook"/>
          <w:sz w:val="27"/>
          <w:szCs w:val="27"/>
        </w:rPr>
        <w:t xml:space="preserve"> </w:t>
      </w:r>
      <w:r w:rsidRPr="009252C3">
        <w:rPr>
          <w:rFonts w:ascii="Century Schoolbook" w:hAnsi="Century Schoolbook"/>
          <w:sz w:val="27"/>
          <w:szCs w:val="27"/>
        </w:rPr>
        <w:t>need</w:t>
      </w:r>
      <w:r w:rsidRPr="009252C3" w:rsidR="00B75F02">
        <w:rPr>
          <w:rFonts w:ascii="Century Schoolbook" w:hAnsi="Century Schoolbook"/>
          <w:sz w:val="27"/>
          <w:szCs w:val="27"/>
        </w:rPr>
        <w:t xml:space="preserve"> </w:t>
      </w:r>
      <w:r w:rsidRPr="009252C3">
        <w:rPr>
          <w:rFonts w:ascii="Century Schoolbook" w:hAnsi="Century Schoolbook"/>
          <w:sz w:val="27"/>
          <w:szCs w:val="27"/>
        </w:rPr>
        <w:t>not</w:t>
      </w:r>
      <w:r w:rsidRPr="009252C3" w:rsidR="00B75F02">
        <w:rPr>
          <w:rFonts w:ascii="Century Schoolbook" w:hAnsi="Century Schoolbook"/>
          <w:sz w:val="27"/>
          <w:szCs w:val="27"/>
        </w:rPr>
        <w:t xml:space="preserve"> </w:t>
      </w:r>
      <w:r w:rsidRPr="009252C3">
        <w:rPr>
          <w:rFonts w:ascii="Century Schoolbook" w:hAnsi="Century Schoolbook"/>
          <w:sz w:val="27"/>
          <w:szCs w:val="27"/>
        </w:rPr>
        <w:t>be</w:t>
      </w:r>
      <w:r w:rsidRPr="009252C3" w:rsidR="00B75F02">
        <w:rPr>
          <w:rFonts w:ascii="Century Schoolbook" w:hAnsi="Century Schoolbook"/>
          <w:sz w:val="27"/>
          <w:szCs w:val="27"/>
        </w:rPr>
        <w:t xml:space="preserve"> </w:t>
      </w:r>
      <w:r w:rsidRPr="009252C3">
        <w:rPr>
          <w:rFonts w:ascii="Century Schoolbook" w:hAnsi="Century Schoolbook"/>
          <w:sz w:val="27"/>
          <w:szCs w:val="27"/>
        </w:rPr>
        <w:t>instructed how to weigh any particular fact in the capital sentencing decision.”])</w:t>
      </w:r>
      <w:r w:rsidR="00171C38">
        <w:rPr>
          <w:rFonts w:ascii="Century Schoolbook" w:hAnsi="Century Schoolbook"/>
          <w:sz w:val="27"/>
          <w:szCs w:val="27"/>
        </w:rPr>
        <w:t>.</w:t>
      </w:r>
      <w:r w:rsidRPr="009252C3">
        <w:rPr>
          <w:rFonts w:ascii="Century Schoolbook" w:hAnsi="Century Schoolbook"/>
          <w:sz w:val="27"/>
          <w:szCs w:val="27"/>
        </w:rPr>
        <w:t xml:space="preserve">  We adhere to these holdings.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Third, defendant asked that the jury be instructed:  “If you sentence the defendant to death, you must assume that the sentence will be carried out.”  The trial court declined to give that instruction “in the abstract, so to speak” but agreed </w:t>
      </w:r>
      <w:r w:rsidR="00171C38">
        <w:rPr>
          <w:rFonts w:ascii="Century Schoolbook" w:hAnsi="Century Schoolbook"/>
          <w:sz w:val="27"/>
          <w:szCs w:val="27"/>
        </w:rPr>
        <w:t xml:space="preserve">that </w:t>
      </w:r>
      <w:r w:rsidRPr="009252C3">
        <w:rPr>
          <w:rFonts w:ascii="Century Schoolbook" w:hAnsi="Century Schoolbook"/>
          <w:sz w:val="27"/>
          <w:szCs w:val="27"/>
        </w:rPr>
        <w:t xml:space="preserve">an instruction on the topic would be appropriate “if there is a reason to believe the jury has concerns or misunderstanding” regarding the effect of a death verdict.  This course accorded with our precedent </w:t>
      </w:r>
      <w:r w:rsidRPr="009252C3">
        <w:rPr>
          <w:rFonts w:ascii="Century Schoolbook" w:hAnsi="Century Schoolbook"/>
          <w:iCs/>
          <w:sz w:val="27"/>
          <w:szCs w:val="27"/>
        </w:rPr>
        <w:t>(</w:t>
      </w:r>
      <w:r w:rsidRPr="009252C3">
        <w:rPr>
          <w:rFonts w:ascii="Century Schoolbook" w:hAnsi="Century Schoolbook"/>
          <w:i/>
          <w:iCs/>
          <w:sz w:val="27"/>
          <w:szCs w:val="27"/>
        </w:rPr>
        <w:t xml:space="preserve">People </w:t>
      </w:r>
      <w:r w:rsidRPr="009252C3">
        <w:rPr>
          <w:rFonts w:ascii="Century Schoolbook" w:hAnsi="Century Schoolbook"/>
          <w:i/>
          <w:sz w:val="27"/>
          <w:szCs w:val="27"/>
        </w:rPr>
        <w:t>v.</w:t>
      </w:r>
      <w:r w:rsidRPr="009252C3">
        <w:rPr>
          <w:rFonts w:ascii="Century Schoolbook" w:hAnsi="Century Schoolbook"/>
          <w:sz w:val="27"/>
          <w:szCs w:val="27"/>
        </w:rPr>
        <w:t xml:space="preserve"> </w:t>
      </w:r>
      <w:r w:rsidRPr="009252C3">
        <w:rPr>
          <w:rFonts w:ascii="Century Schoolbook" w:hAnsi="Century Schoolbook"/>
          <w:i/>
          <w:iCs/>
          <w:sz w:val="27"/>
          <w:szCs w:val="27"/>
        </w:rPr>
        <w:t xml:space="preserve">Wallace </w:t>
      </w:r>
      <w:r w:rsidRPr="009252C3">
        <w:rPr>
          <w:rFonts w:ascii="Century Schoolbook" w:hAnsi="Century Schoolbook"/>
          <w:iCs/>
          <w:sz w:val="27"/>
          <w:szCs w:val="27"/>
        </w:rPr>
        <w:t>(2008)</w:t>
      </w:r>
      <w:r w:rsidRPr="009252C3">
        <w:rPr>
          <w:rFonts w:ascii="Century Schoolbook" w:hAnsi="Century Schoolbook"/>
          <w:i/>
          <w:iCs/>
          <w:sz w:val="27"/>
          <w:szCs w:val="27"/>
        </w:rPr>
        <w:t xml:space="preserve"> </w:t>
      </w:r>
      <w:r w:rsidRPr="009252C3">
        <w:rPr>
          <w:rFonts w:ascii="Century Schoolbook" w:hAnsi="Century Schoolbook"/>
          <w:sz w:val="27"/>
          <w:szCs w:val="27"/>
        </w:rPr>
        <w:t xml:space="preserve">44 Cal.4th 1032, 1091; </w:t>
      </w:r>
      <w:r w:rsidRPr="009252C3">
        <w:rPr>
          <w:rFonts w:ascii="Century Schoolbook" w:hAnsi="Century Schoolbook"/>
          <w:i/>
          <w:iCs/>
          <w:sz w:val="27"/>
          <w:szCs w:val="27"/>
        </w:rPr>
        <w:t xml:space="preserve">People </w:t>
      </w:r>
      <w:r w:rsidRPr="009252C3">
        <w:rPr>
          <w:rFonts w:ascii="Century Schoolbook" w:hAnsi="Century Schoolbook"/>
          <w:i/>
          <w:sz w:val="27"/>
          <w:szCs w:val="27"/>
        </w:rPr>
        <w:t>v.</w:t>
      </w:r>
      <w:r w:rsidRPr="009252C3">
        <w:rPr>
          <w:rFonts w:ascii="Century Schoolbook" w:hAnsi="Century Schoolbook"/>
          <w:sz w:val="27"/>
          <w:szCs w:val="27"/>
        </w:rPr>
        <w:t xml:space="preserve"> </w:t>
      </w:r>
      <w:r w:rsidRPr="009252C3">
        <w:rPr>
          <w:rFonts w:ascii="Century Schoolbook" w:hAnsi="Century Schoolbook"/>
          <w:i/>
          <w:iCs/>
          <w:sz w:val="27"/>
          <w:szCs w:val="27"/>
        </w:rPr>
        <w:t xml:space="preserve">Kipp </w:t>
      </w:r>
      <w:r w:rsidRPr="009252C3">
        <w:rPr>
          <w:rFonts w:ascii="Century Schoolbook" w:hAnsi="Century Schoolbook"/>
          <w:sz w:val="27"/>
          <w:szCs w:val="27"/>
        </w:rPr>
        <w:t>(1998) 18 Cal.4th 349, 378</w:t>
      </w:r>
      <w:r w:rsidRPr="009252C3" w:rsidR="00B75F02">
        <w:rPr>
          <w:rFonts w:ascii="Century Schoolbook" w:hAnsi="Century Schoolbook"/>
          <w:sz w:val="27"/>
          <w:szCs w:val="27"/>
        </w:rPr>
        <w:t>–</w:t>
      </w:r>
      <w:r w:rsidRPr="009252C3">
        <w:rPr>
          <w:rFonts w:ascii="Century Schoolbook" w:hAnsi="Century Schoolbook"/>
          <w:sz w:val="27"/>
          <w:szCs w:val="27"/>
        </w:rPr>
        <w:t>379) and was not error.  The jury did not indicate on the record any confusion or doubt as to the meaning or effect of either of the possible penalty verdicts.</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Finally, the trial court refused defendant’s request </w:t>
      </w:r>
      <w:r w:rsidR="00171C38">
        <w:rPr>
          <w:rFonts w:ascii="Century Schoolbook" w:hAnsi="Century Schoolbook"/>
          <w:sz w:val="27"/>
          <w:szCs w:val="27"/>
        </w:rPr>
        <w:t xml:space="preserve">that </w:t>
      </w:r>
      <w:r w:rsidRPr="009252C3">
        <w:rPr>
          <w:rFonts w:ascii="Century Schoolbook" w:hAnsi="Century Schoolbook"/>
          <w:sz w:val="27"/>
          <w:szCs w:val="27"/>
        </w:rPr>
        <w:t>the jury be instructed</w:t>
      </w:r>
      <w:r w:rsidRPr="009252C3" w:rsidR="00DD11EB">
        <w:rPr>
          <w:rFonts w:ascii="Century Schoolbook" w:hAnsi="Century Schoolbook"/>
          <w:sz w:val="27"/>
          <w:szCs w:val="27"/>
        </w:rPr>
        <w:t xml:space="preserve">: </w:t>
      </w:r>
      <w:r w:rsidRPr="009252C3">
        <w:rPr>
          <w:rFonts w:ascii="Century Schoolbook" w:hAnsi="Century Schoolbook"/>
          <w:sz w:val="27"/>
          <w:szCs w:val="27"/>
        </w:rPr>
        <w:t xml:space="preserve"> “A jury may decide, even in the absence of mitigating evidence, that the aggravating evidence is not comparatively substantial enough to warrant death.”  But where, as here, the jury is instructed that “[t]o return a judgment of death each of you must be persuaded that the aggravating </w:t>
      </w:r>
      <w:r w:rsidR="005B46D6">
        <w:rPr>
          <w:rFonts w:ascii="Century Schoolbook" w:hAnsi="Century Schoolbook"/>
          <w:sz w:val="27"/>
          <w:szCs w:val="27"/>
        </w:rPr>
        <w:t xml:space="preserve">evidence is </w:t>
      </w:r>
      <w:r w:rsidRPr="009252C3">
        <w:rPr>
          <w:rFonts w:ascii="Century Schoolbook" w:hAnsi="Century Schoolbook"/>
          <w:iCs/>
          <w:sz w:val="27"/>
          <w:szCs w:val="27"/>
        </w:rPr>
        <w:t xml:space="preserve">so substantial </w:t>
      </w:r>
      <w:r w:rsidRPr="009252C3">
        <w:rPr>
          <w:rFonts w:ascii="Century Schoolbook" w:hAnsi="Century Schoolbook"/>
          <w:sz w:val="27"/>
          <w:szCs w:val="27"/>
        </w:rPr>
        <w:t xml:space="preserve">in comparison with the mitigating circumstances that it </w:t>
      </w:r>
      <w:r w:rsidRPr="009252C3">
        <w:rPr>
          <w:rFonts w:ascii="Century Schoolbook" w:hAnsi="Century Schoolbook"/>
          <w:iCs/>
          <w:sz w:val="27"/>
          <w:szCs w:val="27"/>
        </w:rPr>
        <w:t xml:space="preserve">warrants </w:t>
      </w:r>
      <w:r w:rsidRPr="009252C3">
        <w:rPr>
          <w:rFonts w:ascii="Century Schoolbook" w:hAnsi="Century Schoolbook"/>
          <w:sz w:val="27"/>
          <w:szCs w:val="27"/>
        </w:rPr>
        <w:t>death instead of life without parole</w:t>
      </w:r>
      <w:r w:rsidRPr="009252C3" w:rsidR="00DD11EB">
        <w:rPr>
          <w:rFonts w:ascii="Century Schoolbook" w:hAnsi="Century Schoolbook"/>
          <w:sz w:val="27"/>
          <w:szCs w:val="27"/>
        </w:rPr>
        <w:t>,</w:t>
      </w:r>
      <w:r w:rsidRPr="009252C3">
        <w:rPr>
          <w:rFonts w:ascii="Century Schoolbook" w:hAnsi="Century Schoolbook"/>
          <w:sz w:val="27"/>
          <w:szCs w:val="27"/>
        </w:rPr>
        <w:t>” an instruction like th</w:t>
      </w:r>
      <w:r w:rsidRPr="009252C3" w:rsidR="00DD11EB">
        <w:rPr>
          <w:rFonts w:ascii="Century Schoolbook" w:hAnsi="Century Schoolbook"/>
          <w:sz w:val="27"/>
          <w:szCs w:val="27"/>
        </w:rPr>
        <w:t>e one</w:t>
      </w:r>
      <w:r w:rsidRPr="009252C3">
        <w:rPr>
          <w:rFonts w:ascii="Century Schoolbook" w:hAnsi="Century Schoolbook"/>
          <w:sz w:val="27"/>
          <w:szCs w:val="27"/>
        </w:rPr>
        <w:t xml:space="preserve"> defendant proposed is unnecessary to guide the jury.  (</w:t>
      </w:r>
      <w:r w:rsidRPr="009252C3">
        <w:rPr>
          <w:rFonts w:ascii="Century Schoolbook" w:hAnsi="Century Schoolbook"/>
          <w:i/>
          <w:iCs/>
          <w:sz w:val="27"/>
          <w:szCs w:val="27"/>
        </w:rPr>
        <w:t>People v. Rodrigues</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8 Cal.4th at p.</w:t>
      </w:r>
      <w:r w:rsidRPr="009252C3" w:rsidR="00B75F02">
        <w:rPr>
          <w:rFonts w:ascii="Century Schoolbook" w:hAnsi="Century Schoolbook"/>
          <w:sz w:val="27"/>
          <w:szCs w:val="27"/>
        </w:rPr>
        <w:t> </w:t>
      </w:r>
      <w:r w:rsidRPr="009252C3">
        <w:rPr>
          <w:rFonts w:ascii="Century Schoolbook" w:hAnsi="Century Schoolbook"/>
          <w:sz w:val="27"/>
          <w:szCs w:val="27"/>
        </w:rPr>
        <w:t>119</w:t>
      </w:r>
      <w:r w:rsidR="005B46D6">
        <w:rPr>
          <w:rFonts w:ascii="Century Schoolbook" w:hAnsi="Century Schoolbook"/>
          <w:sz w:val="27"/>
          <w:szCs w:val="27"/>
        </w:rPr>
        <w:t>1, italics omitted</w:t>
      </w:r>
      <w:r w:rsidRPr="009252C3">
        <w:rPr>
          <w:rFonts w:ascii="Century Schoolbook" w:hAnsi="Century Schoolbook"/>
          <w:sz w:val="27"/>
          <w:szCs w:val="27"/>
        </w:rPr>
        <w:t>.)</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8" w:name="_Toc3365826"/>
      <w:r w:rsidRPr="009252C3">
        <w:rPr>
          <w:rFonts w:ascii="Century Schoolbook" w:hAnsi="Century Schoolbook"/>
          <w:b/>
          <w:i w:val="0"/>
          <w:sz w:val="27"/>
          <w:szCs w:val="27"/>
        </w:rPr>
        <w:t>XVII.  Cumulative Prejudice from Errors</w:t>
      </w:r>
      <w:bookmarkEnd w:id="28"/>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The only errors we have found in the penalty phase are two instances of prosecutorial misconduct in argument to the jury.  As discussed above (see </w:t>
      </w:r>
      <w:r w:rsidRPr="009252C3" w:rsidR="00835493">
        <w:rPr>
          <w:rFonts w:ascii="Century Schoolbook" w:hAnsi="Century Schoolbook"/>
          <w:sz w:val="27"/>
          <w:szCs w:val="27"/>
        </w:rPr>
        <w:t>p</w:t>
      </w:r>
      <w:r w:rsidRPr="009252C3" w:rsidR="00470B31">
        <w:rPr>
          <w:rFonts w:ascii="Century Schoolbook" w:hAnsi="Century Schoolbook"/>
          <w:sz w:val="27"/>
          <w:szCs w:val="27"/>
        </w:rPr>
        <w:t>t.</w:t>
      </w:r>
      <w:r w:rsidRPr="009252C3">
        <w:rPr>
          <w:rFonts w:ascii="Century Schoolbook" w:hAnsi="Century Schoolbook"/>
          <w:sz w:val="27"/>
          <w:szCs w:val="27"/>
        </w:rPr>
        <w:t xml:space="preserve"> XIII</w:t>
      </w:r>
      <w:r w:rsidR="00466A12">
        <w:rPr>
          <w:rFonts w:ascii="Century Schoolbook" w:hAnsi="Century Schoolbook"/>
          <w:sz w:val="27"/>
          <w:szCs w:val="27"/>
        </w:rPr>
        <w:t>.</w:t>
      </w:r>
      <w:r w:rsidRPr="009252C3">
        <w:rPr>
          <w:rFonts w:ascii="Century Schoolbook" w:hAnsi="Century Schoolbook"/>
          <w:sz w:val="27"/>
          <w:szCs w:val="27"/>
        </w:rPr>
        <w:t xml:space="preserve">, </w:t>
      </w:r>
      <w:r w:rsidRPr="009252C3">
        <w:rPr>
          <w:rFonts w:ascii="Century Schoolbook" w:hAnsi="Century Schoolbook"/>
          <w:i/>
          <w:sz w:val="27"/>
          <w:szCs w:val="27"/>
        </w:rPr>
        <w:t>ante</w:t>
      </w:r>
      <w:r w:rsidRPr="009252C3">
        <w:rPr>
          <w:rFonts w:ascii="Century Schoolbook" w:hAnsi="Century Schoolbook"/>
          <w:sz w:val="27"/>
          <w:szCs w:val="27"/>
        </w:rPr>
        <w:t xml:space="preserve">), they were not prejudicial </w:t>
      </w:r>
      <w:r w:rsidRPr="009252C3" w:rsidR="00DD11EB">
        <w:rPr>
          <w:rFonts w:ascii="Century Schoolbook" w:hAnsi="Century Schoolbook"/>
          <w:sz w:val="27"/>
          <w:szCs w:val="27"/>
        </w:rPr>
        <w:t xml:space="preserve">either </w:t>
      </w:r>
      <w:r w:rsidRPr="009252C3">
        <w:rPr>
          <w:rFonts w:ascii="Century Schoolbook" w:hAnsi="Century Schoolbook"/>
          <w:sz w:val="27"/>
          <w:szCs w:val="27"/>
        </w:rPr>
        <w:t xml:space="preserve">individually or </w:t>
      </w:r>
      <w:r w:rsidRPr="009252C3" w:rsidR="00DD11EB">
        <w:rPr>
          <w:rFonts w:ascii="Century Schoolbook" w:hAnsi="Century Schoolbook"/>
          <w:sz w:val="27"/>
          <w:szCs w:val="27"/>
        </w:rPr>
        <w:t>cumulatively</w:t>
      </w:r>
      <w:r w:rsidRPr="009252C3">
        <w:rPr>
          <w:rFonts w:ascii="Century Schoolbook" w:hAnsi="Century Schoolbook"/>
          <w:sz w:val="27"/>
          <w:szCs w:val="27"/>
        </w:rPr>
        <w:t xml:space="preserve">. </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29" w:name="_Toc3365827"/>
      <w:r w:rsidRPr="009252C3">
        <w:rPr>
          <w:rFonts w:ascii="Century Schoolbook" w:hAnsi="Century Schoolbook"/>
          <w:b/>
          <w:i w:val="0"/>
          <w:sz w:val="27"/>
          <w:szCs w:val="27"/>
        </w:rPr>
        <w:t>XVIII.  Delay in Appellate Review</w:t>
      </w:r>
      <w:bookmarkEnd w:id="29"/>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contends that executing him after significant passage of time during the appellate process would constitute cruel and unusual punishment in violation of the Eighth Amendment to the United States Constitution.  We have rejected this claim in numerous decisions beginning with </w:t>
      </w:r>
      <w:r w:rsidRPr="009252C3">
        <w:rPr>
          <w:rFonts w:ascii="Century Schoolbook" w:hAnsi="Century Schoolbook"/>
          <w:i/>
          <w:iCs/>
          <w:sz w:val="27"/>
          <w:szCs w:val="27"/>
        </w:rPr>
        <w:t>People v. Anderson</w:t>
      </w:r>
      <w:r w:rsidRPr="009252C3" w:rsidR="00B75F02">
        <w:rPr>
          <w:rFonts w:ascii="Century Schoolbook" w:hAnsi="Century Schoolbook"/>
          <w:i/>
          <w:iCs/>
          <w:sz w:val="27"/>
          <w:szCs w:val="27"/>
        </w:rPr>
        <w:t xml:space="preserve"> </w:t>
      </w:r>
      <w:r w:rsidRPr="009252C3">
        <w:rPr>
          <w:rFonts w:ascii="Century Schoolbook" w:hAnsi="Century Schoolbook"/>
          <w:sz w:val="27"/>
          <w:szCs w:val="27"/>
        </w:rPr>
        <w:t>(2001) 25 Cal.4th 543, 606:  “As we have explained, the automatic appeal process following judgments of death is a constitutional safeguard, not a constitutional defect</w:t>
      </w:r>
      <w:r w:rsidRPr="009252C3" w:rsidR="00B75F02">
        <w:rPr>
          <w:rFonts w:ascii="Century Schoolbook" w:hAnsi="Century Schoolbook"/>
          <w:sz w:val="27"/>
          <w:szCs w:val="27"/>
        </w:rPr>
        <w:t xml:space="preserve"> </w:t>
      </w:r>
      <w:r w:rsidRPr="009252C3">
        <w:rPr>
          <w:rFonts w:ascii="Century Schoolbook" w:hAnsi="Century Schoolbook"/>
          <w:sz w:val="27"/>
          <w:szCs w:val="27"/>
        </w:rPr>
        <w:t>[citations], because it assures careful review of the defendant’s conviction and sentence</w:t>
      </w:r>
      <w:r w:rsidRPr="009252C3" w:rsidR="00B75F02">
        <w:rPr>
          <w:rFonts w:ascii="Century Schoolbook" w:hAnsi="Century Schoolbook"/>
          <w:sz w:val="27"/>
          <w:szCs w:val="27"/>
        </w:rPr>
        <w:t xml:space="preserve"> </w:t>
      </w:r>
      <w:r w:rsidRPr="009252C3">
        <w:rPr>
          <w:rFonts w:ascii="Century Schoolbook" w:hAnsi="Century Schoolbook"/>
          <w:sz w:val="27"/>
          <w:szCs w:val="27"/>
        </w:rPr>
        <w:t xml:space="preserve">[citation].  Moreover, an argument that one under judgment of death suffers cruel and unusual punishment by the inherent delays in resolving his appeal is untenable.  If the appeal results in reversal of the death judgment, he has suffered no conceivable prejudice, while if the judgment is affirmed, the delay has prolonged his life.”  (See also </w:t>
      </w:r>
      <w:r w:rsidRPr="009252C3">
        <w:rPr>
          <w:rFonts w:ascii="Century Schoolbook" w:hAnsi="Century Schoolbook"/>
          <w:i/>
          <w:iCs/>
          <w:sz w:val="27"/>
          <w:szCs w:val="27"/>
        </w:rPr>
        <w:t>People v. Seumanu</w:t>
      </w:r>
      <w:r w:rsidRPr="009252C3">
        <w:rPr>
          <w:rFonts w:ascii="Century Schoolbook" w:hAnsi="Century Schoolbook"/>
          <w:sz w:val="27"/>
          <w:szCs w:val="27"/>
        </w:rPr>
        <w:t xml:space="preserve"> (2015) 61 Cal.4th 1293, 1368–1369 [following </w:t>
      </w:r>
      <w:r w:rsidRPr="009252C3">
        <w:rPr>
          <w:rFonts w:ascii="Century Schoolbook" w:hAnsi="Century Schoolbook"/>
          <w:i/>
          <w:sz w:val="27"/>
          <w:szCs w:val="27"/>
        </w:rPr>
        <w:t xml:space="preserve">Anderson </w:t>
      </w:r>
      <w:r w:rsidRPr="009252C3">
        <w:rPr>
          <w:rFonts w:ascii="Century Schoolbook" w:hAnsi="Century Schoolbook"/>
          <w:sz w:val="27"/>
          <w:szCs w:val="27"/>
        </w:rPr>
        <w:t xml:space="preserve">and reciting intervening precedent in accord].)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More recently, we considered at length and rejected the related claim that systematic delays in implementation of California’s death penalty render the penalty impermissibly arbitrary in violation of the Eighth Amendment.  (</w:t>
      </w:r>
      <w:r w:rsidRPr="009252C3">
        <w:rPr>
          <w:rFonts w:ascii="Century Schoolbook" w:hAnsi="Century Schoolbook"/>
          <w:i/>
          <w:iCs/>
          <w:sz w:val="27"/>
          <w:szCs w:val="27"/>
        </w:rPr>
        <w:t>People v. Seumanu</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xml:space="preserve">, 61 Cal.4th </w:t>
      </w:r>
      <w:r w:rsidRPr="009252C3" w:rsidR="00475776">
        <w:rPr>
          <w:rFonts w:ascii="Century Schoolbook" w:hAnsi="Century Schoolbook"/>
          <w:sz w:val="27"/>
          <w:szCs w:val="27"/>
        </w:rPr>
        <w:t>at pp. </w:t>
      </w:r>
      <w:r w:rsidRPr="009252C3">
        <w:rPr>
          <w:rFonts w:ascii="Century Schoolbook" w:hAnsi="Century Schoolbook"/>
          <w:sz w:val="27"/>
          <w:szCs w:val="27"/>
        </w:rPr>
        <w:t>1371</w:t>
      </w:r>
      <w:r w:rsidRPr="009252C3" w:rsidR="00B75F02">
        <w:rPr>
          <w:rFonts w:ascii="Century Schoolbook" w:hAnsi="Century Schoolbook"/>
          <w:sz w:val="27"/>
          <w:szCs w:val="27"/>
        </w:rPr>
        <w:t>–</w:t>
      </w:r>
      <w:r w:rsidRPr="009252C3">
        <w:rPr>
          <w:rFonts w:ascii="Century Schoolbook" w:hAnsi="Century Schoolbook"/>
          <w:sz w:val="27"/>
          <w:szCs w:val="27"/>
        </w:rPr>
        <w:t xml:space="preserve">1375; accord, </w:t>
      </w:r>
      <w:r w:rsidRPr="009252C3">
        <w:rPr>
          <w:rFonts w:ascii="Century Schoolbook" w:hAnsi="Century Schoolbook"/>
          <w:i/>
          <w:iCs/>
          <w:sz w:val="27"/>
          <w:szCs w:val="27"/>
        </w:rPr>
        <w:t>People v. Clark</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 xml:space="preserve">(2016) 63 Cal.4th 522, 645; see also </w:t>
      </w:r>
      <w:r w:rsidRPr="009252C3">
        <w:rPr>
          <w:rFonts w:ascii="Century Schoolbook" w:hAnsi="Century Schoolbook"/>
          <w:i/>
          <w:iCs/>
          <w:sz w:val="27"/>
          <w:szCs w:val="27"/>
        </w:rPr>
        <w:t>Jones v. Davis</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(9th Cir. 2015) 806 F.3d 538, 546</w:t>
      </w:r>
      <w:r w:rsidRPr="009252C3" w:rsidR="00645595">
        <w:rPr>
          <w:rFonts w:ascii="Century Schoolbook" w:hAnsi="Century Schoolbook"/>
          <w:sz w:val="27"/>
          <w:szCs w:val="27"/>
        </w:rPr>
        <w:t>–</w:t>
      </w:r>
      <w:r w:rsidRPr="009252C3">
        <w:rPr>
          <w:rFonts w:ascii="Century Schoolbook" w:hAnsi="Century Schoolbook"/>
          <w:sz w:val="27"/>
          <w:szCs w:val="27"/>
        </w:rPr>
        <w:t>553 [theory of arbitrariness by delay proposes new rule of constitutional law that cannot be applied to state procedures in federal habeas corpus case].)</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Defendant’s briefing provides no grounds for reexamining either of these conclusions.</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30" w:name="_Toc3365828"/>
      <w:r w:rsidRPr="009252C3">
        <w:rPr>
          <w:rFonts w:ascii="Century Schoolbook" w:hAnsi="Century Schoolbook"/>
          <w:b/>
          <w:i w:val="0"/>
          <w:sz w:val="27"/>
          <w:szCs w:val="27"/>
        </w:rPr>
        <w:t>XIX.  Incomplete Appellate Record</w:t>
      </w:r>
      <w:bookmarkEnd w:id="30"/>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Defendant contends his conviction must be reversed because the parties were unable to reconstruct via a settled statement four unreported bench conferences and several “off-the-record</w:t>
      </w:r>
      <w:r w:rsidRPr="009252C3" w:rsidR="00B75F02">
        <w:rPr>
          <w:rFonts w:ascii="Century Schoolbook" w:hAnsi="Century Schoolbook"/>
          <w:sz w:val="27"/>
          <w:szCs w:val="27"/>
        </w:rPr>
        <w:t> </w:t>
      </w:r>
      <w:r w:rsidRPr="009252C3">
        <w:rPr>
          <w:rFonts w:ascii="Century Schoolbook" w:hAnsi="Century Schoolbook"/>
          <w:sz w:val="27"/>
          <w:szCs w:val="27"/>
        </w:rPr>
        <w:t>” discussions concerning record correction</w:t>
      </w:r>
      <w:r w:rsidR="00171C38">
        <w:rPr>
          <w:rFonts w:ascii="Century Schoolbook" w:hAnsi="Century Schoolbook"/>
          <w:sz w:val="27"/>
          <w:szCs w:val="27"/>
        </w:rPr>
        <w:t>,</w:t>
      </w:r>
      <w:r w:rsidRPr="009252C3">
        <w:rPr>
          <w:rFonts w:ascii="Century Schoolbook" w:hAnsi="Century Schoolbook"/>
          <w:sz w:val="27"/>
          <w:szCs w:val="27"/>
        </w:rPr>
        <w:t xml:space="preserve"> and </w:t>
      </w:r>
      <w:r w:rsidR="00171C38">
        <w:rPr>
          <w:rFonts w:ascii="Century Schoolbook" w:hAnsi="Century Schoolbook"/>
          <w:sz w:val="27"/>
          <w:szCs w:val="27"/>
        </w:rPr>
        <w:t xml:space="preserve">because </w:t>
      </w:r>
      <w:r w:rsidRPr="009252C3">
        <w:rPr>
          <w:rFonts w:ascii="Century Schoolbook" w:hAnsi="Century Schoolbook"/>
          <w:sz w:val="27"/>
          <w:szCs w:val="27"/>
        </w:rPr>
        <w:t>certain confidential attorney fee requests could not be obtained either from the Sutter County Superior Court or from trial counsel.  He argues generally that without these transcripts he cannot make an argument about “any reversible error that may have occurred” and that the attorney fee requests, in particular, “could bolster a claim of ineffective assistance of counsel.”  “ ‘[D]efendant bears the burden of demonstrating that the appellate record is not adequate to permit meaningful appellate review.  [Citation</w:t>
      </w:r>
      <w:r w:rsidRPr="009252C3" w:rsidR="00475776">
        <w:rPr>
          <w:rFonts w:ascii="Century Schoolbook" w:hAnsi="Century Schoolbook"/>
          <w:sz w:val="27"/>
          <w:szCs w:val="27"/>
        </w:rPr>
        <w:t>s</w:t>
      </w:r>
      <w:r w:rsidRPr="009252C3">
        <w:rPr>
          <w:rFonts w:ascii="Century Schoolbook" w:hAnsi="Century Schoolbook"/>
          <w:sz w:val="27"/>
          <w:szCs w:val="27"/>
        </w:rPr>
        <w:t>.]  He has not done so.’ ”</w:t>
      </w:r>
      <w:r w:rsidRPr="009252C3">
        <w:rPr>
          <w:rFonts w:ascii="Century Schoolbook" w:hAnsi="Century Schoolbook"/>
          <w:i/>
          <w:iCs/>
          <w:sz w:val="27"/>
          <w:szCs w:val="27"/>
        </w:rPr>
        <w:t xml:space="preserve">  </w:t>
      </w:r>
      <w:r w:rsidRPr="009252C3">
        <w:rPr>
          <w:rFonts w:ascii="Century Schoolbook" w:hAnsi="Century Schoolbook"/>
          <w:iCs/>
          <w:sz w:val="27"/>
          <w:szCs w:val="27"/>
        </w:rPr>
        <w:t>(</w:t>
      </w:r>
      <w:r w:rsidRPr="009252C3">
        <w:rPr>
          <w:rFonts w:ascii="Century Schoolbook" w:hAnsi="Century Schoolbook"/>
          <w:i/>
          <w:iCs/>
          <w:sz w:val="27"/>
          <w:szCs w:val="27"/>
        </w:rPr>
        <w:t>People v. Richardson</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(2008) 43 Cal.4th 959, 1037.)</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31" w:name="_Toc3365829"/>
      <w:r w:rsidRPr="009252C3">
        <w:rPr>
          <w:rFonts w:ascii="Century Schoolbook" w:hAnsi="Century Schoolbook"/>
          <w:b/>
          <w:i w:val="0"/>
          <w:sz w:val="27"/>
          <w:szCs w:val="27"/>
        </w:rPr>
        <w:t xml:space="preserve">XX.  Relief from Defaults and Incorporation of </w:t>
      </w:r>
      <w:r w:rsidR="008E6B13">
        <w:rPr>
          <w:rFonts w:ascii="Century Schoolbook" w:hAnsi="Century Schoolbook"/>
          <w:b/>
          <w:i w:val="0"/>
          <w:sz w:val="27"/>
          <w:szCs w:val="27"/>
        </w:rPr>
        <w:br/>
        <w:t xml:space="preserve">                    </w:t>
      </w:r>
      <w:r w:rsidRPr="009252C3">
        <w:rPr>
          <w:rFonts w:ascii="Century Schoolbook" w:hAnsi="Century Schoolbook"/>
          <w:b/>
          <w:i w:val="0"/>
          <w:sz w:val="27"/>
          <w:szCs w:val="27"/>
        </w:rPr>
        <w:t>Claims</w:t>
      </w:r>
      <w:bookmarkEnd w:id="31"/>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In a set of generalized arguments </w:t>
      </w:r>
      <w:r w:rsidRPr="009252C3" w:rsidR="00952165">
        <w:rPr>
          <w:rFonts w:ascii="Century Schoolbook" w:hAnsi="Century Schoolbook"/>
          <w:sz w:val="27"/>
          <w:szCs w:val="27"/>
        </w:rPr>
        <w:t xml:space="preserve">that do not refer </w:t>
      </w:r>
      <w:r w:rsidRPr="009252C3">
        <w:rPr>
          <w:rFonts w:ascii="Century Schoolbook" w:hAnsi="Century Schoolbook"/>
          <w:sz w:val="27"/>
          <w:szCs w:val="27"/>
        </w:rPr>
        <w:t xml:space="preserve">to </w:t>
      </w:r>
      <w:r w:rsidRPr="009252C3" w:rsidR="00952165">
        <w:rPr>
          <w:rFonts w:ascii="Century Schoolbook" w:hAnsi="Century Schoolbook"/>
          <w:sz w:val="27"/>
          <w:szCs w:val="27"/>
        </w:rPr>
        <w:t xml:space="preserve">any of </w:t>
      </w:r>
      <w:r w:rsidRPr="009252C3">
        <w:rPr>
          <w:rFonts w:ascii="Century Schoolbook" w:hAnsi="Century Schoolbook"/>
          <w:sz w:val="27"/>
          <w:szCs w:val="27"/>
        </w:rPr>
        <w:t xml:space="preserve">his brief’s specific claims for relief, defendant maintains that all violations of state law rights also constitute federal constitutional violations, that trial counsel’s failure to request or object to instructions should be excused, that we should review all errors in capital cases on the merits rather than invoking procedural bars, and that when the court reviews defendant’s to-be-filed petition for writ of habeas corpus we consider any claim that should have been raised on appeal to be incorporated into his appellate briefing.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We have addressed questions of forfeiture as necessary in discussion of defendant’s specific arguments for reversal and have addressed the merits of defendant’s constitutional claims whenever appropriate.  With regard to claims made on habeas corpus, defendant has not yet filed a petition challenging his convictions and death sentence</w:t>
      </w:r>
      <w:r w:rsidRPr="009252C3" w:rsidR="00952165">
        <w:rPr>
          <w:rFonts w:ascii="Century Schoolbook" w:hAnsi="Century Schoolbook"/>
          <w:sz w:val="27"/>
          <w:szCs w:val="27"/>
        </w:rPr>
        <w:t>,</w:t>
      </w:r>
      <w:r w:rsidRPr="009252C3">
        <w:rPr>
          <w:rFonts w:ascii="Century Schoolbook" w:hAnsi="Century Schoolbook"/>
          <w:sz w:val="27"/>
          <w:szCs w:val="27"/>
        </w:rPr>
        <w:t xml:space="preserve"> but in any event we would decline to incorporate habeas corpus claims into the appellate brief in the manner requested.  (See </w:t>
      </w:r>
      <w:r w:rsidRPr="009252C3">
        <w:rPr>
          <w:rFonts w:ascii="Century Schoolbook" w:hAnsi="Century Schoolbook"/>
          <w:i/>
          <w:iCs/>
          <w:sz w:val="27"/>
          <w:szCs w:val="27"/>
        </w:rPr>
        <w:t>People v. Richardson</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43 Cal.4th at p.</w:t>
      </w:r>
      <w:r w:rsidRPr="009252C3" w:rsidR="00B75F02">
        <w:rPr>
          <w:rFonts w:ascii="Century Schoolbook" w:hAnsi="Century Schoolbook"/>
          <w:sz w:val="27"/>
          <w:szCs w:val="27"/>
        </w:rPr>
        <w:t> </w:t>
      </w:r>
      <w:r w:rsidRPr="009252C3">
        <w:rPr>
          <w:rFonts w:ascii="Century Schoolbook" w:hAnsi="Century Schoolbook"/>
          <w:sz w:val="27"/>
          <w:szCs w:val="27"/>
        </w:rPr>
        <w:t>1038.)</w:t>
      </w:r>
    </w:p>
    <w:p w:rsidR="001061A4" w:rsidRPr="009252C3" w:rsidP="009252C3">
      <w:pPr>
        <w:pStyle w:val="Heading3"/>
        <w:spacing w:before="100" w:line="400" w:lineRule="exact"/>
        <w:ind w:left="0" w:firstLine="720"/>
        <w:jc w:val="both"/>
        <w:rPr>
          <w:rFonts w:ascii="Century Schoolbook" w:hAnsi="Century Schoolbook"/>
          <w:b/>
          <w:i w:val="0"/>
          <w:sz w:val="27"/>
          <w:szCs w:val="27"/>
        </w:rPr>
      </w:pPr>
      <w:bookmarkStart w:id="32" w:name="_Toc3365830"/>
      <w:r w:rsidRPr="009252C3">
        <w:rPr>
          <w:rFonts w:ascii="Century Schoolbook" w:hAnsi="Century Schoolbook"/>
          <w:b/>
          <w:i w:val="0"/>
          <w:sz w:val="27"/>
          <w:szCs w:val="27"/>
        </w:rPr>
        <w:t>XXI.  Constitutionality of California</w:t>
      </w:r>
      <w:r w:rsidR="00171C38">
        <w:rPr>
          <w:rFonts w:ascii="Century Schoolbook" w:hAnsi="Century Schoolbook"/>
          <w:b/>
          <w:i w:val="0"/>
          <w:sz w:val="27"/>
          <w:szCs w:val="27"/>
        </w:rPr>
        <w:t>’s</w:t>
      </w:r>
      <w:r w:rsidRPr="009252C3">
        <w:rPr>
          <w:rFonts w:ascii="Century Schoolbook" w:hAnsi="Century Schoolbook"/>
          <w:b/>
          <w:i w:val="0"/>
          <w:sz w:val="27"/>
          <w:szCs w:val="27"/>
        </w:rPr>
        <w:t xml:space="preserve"> Death Penalty</w:t>
      </w:r>
      <w:bookmarkEnd w:id="32"/>
      <w:r w:rsidRPr="009252C3">
        <w:rPr>
          <w:rFonts w:ascii="Century Schoolbook" w:hAnsi="Century Schoolbook"/>
          <w:b/>
          <w:i w:val="0"/>
          <w:sz w:val="27"/>
          <w:szCs w:val="27"/>
        </w:rPr>
        <w:t xml:space="preserve">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 xml:space="preserve">Defendant raises a number of federal constitutional challenges to California’s death penalty law, each of which we have previously rejected.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California death penalty statute is not impermissibly broad, whether considered on its face or as interpreted by this court.”  (</w:t>
      </w:r>
      <w:r w:rsidRPr="009252C3">
        <w:rPr>
          <w:rFonts w:ascii="Century Schoolbook" w:hAnsi="Century Schoolbook"/>
          <w:i/>
          <w:sz w:val="27"/>
          <w:szCs w:val="27"/>
        </w:rPr>
        <w:t>People v. Dykes</w:t>
      </w:r>
      <w:r w:rsidRPr="009252C3">
        <w:rPr>
          <w:rFonts w:ascii="Century Schoolbook" w:hAnsi="Century Schoolbook"/>
          <w:sz w:val="27"/>
          <w:szCs w:val="27"/>
        </w:rPr>
        <w:t xml:space="preserve"> (2009) 46</w:t>
      </w:r>
      <w:r w:rsidRPr="009252C3" w:rsidR="00B75F02">
        <w:rPr>
          <w:rFonts w:ascii="Century Schoolbook" w:hAnsi="Century Schoolbook"/>
          <w:sz w:val="27"/>
          <w:szCs w:val="27"/>
        </w:rPr>
        <w:t xml:space="preserve"> </w:t>
      </w:r>
      <w:r w:rsidRPr="009252C3">
        <w:rPr>
          <w:rFonts w:ascii="Century Schoolbook" w:hAnsi="Century Schoolbook"/>
          <w:sz w:val="27"/>
          <w:szCs w:val="27"/>
        </w:rPr>
        <w:t>Cal.4th 731, 813.)  Penal Code section 190.3, factor (a), which permits a jury to consider the circumstances of the offense in sentencing, does not result in arbitrary or capricious imposition of the death penalty in violation of the Fifth, Sixth, Eighth, or Fourteenth Amendments to the United States Constitution.  (</w:t>
      </w:r>
      <w:r w:rsidRPr="009252C3">
        <w:rPr>
          <w:rFonts w:ascii="Century Schoolbook" w:hAnsi="Century Schoolbook"/>
          <w:i/>
          <w:sz w:val="27"/>
          <w:szCs w:val="27"/>
        </w:rPr>
        <w:t>People v. Simon</w:t>
      </w:r>
      <w:r w:rsidRPr="009252C3">
        <w:rPr>
          <w:rFonts w:ascii="Century Schoolbook" w:hAnsi="Century Schoolbook"/>
          <w:sz w:val="27"/>
          <w:szCs w:val="27"/>
        </w:rPr>
        <w:t xml:space="preserve"> (2016) 1 Cal.5th 98, 149; see </w:t>
      </w:r>
      <w:r w:rsidRPr="009252C3">
        <w:rPr>
          <w:rFonts w:ascii="Century Schoolbook" w:hAnsi="Century Schoolbook"/>
          <w:i/>
          <w:sz w:val="27"/>
          <w:szCs w:val="27"/>
        </w:rPr>
        <w:t>Tuilaepa v. California</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512 U.S. at pp. 975−976, 978.)</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death penalty statute does not lack safeguards to avoid arbitrary and capricious sentencing, deprive defendant of the right to a jury trial, or constitute cruel and unusual punishment on the ground that it does not require either unanimity as to the truth of aggravating circumstances or findings beyond a reasonable doubt that an aggravating circumstance (other than Pen</w:t>
      </w:r>
      <w:r w:rsidR="00171C38">
        <w:rPr>
          <w:rFonts w:ascii="Century Schoolbook" w:hAnsi="Century Schoolbook"/>
          <w:sz w:val="27"/>
          <w:szCs w:val="27"/>
        </w:rPr>
        <w:t>.</w:t>
      </w:r>
      <w:r w:rsidRPr="009252C3">
        <w:rPr>
          <w:rFonts w:ascii="Century Schoolbook" w:hAnsi="Century Schoolbook"/>
          <w:sz w:val="27"/>
          <w:szCs w:val="27"/>
        </w:rPr>
        <w:t xml:space="preserve"> Code</w:t>
      </w:r>
      <w:r w:rsidR="00171C38">
        <w:rPr>
          <w:rFonts w:ascii="Century Schoolbook" w:hAnsi="Century Schoolbook"/>
          <w:sz w:val="27"/>
          <w:szCs w:val="27"/>
        </w:rPr>
        <w:t>,</w:t>
      </w:r>
      <w:r w:rsidRPr="009252C3">
        <w:rPr>
          <w:rFonts w:ascii="Century Schoolbook" w:hAnsi="Century Schoolbook"/>
          <w:sz w:val="27"/>
          <w:szCs w:val="27"/>
        </w:rPr>
        <w:t xml:space="preserve"> </w:t>
      </w:r>
      <w:r w:rsidR="00171C38">
        <w:rPr>
          <w:rFonts w:ascii="Century Schoolbook" w:hAnsi="Century Schoolbook"/>
          <w:sz w:val="27"/>
          <w:szCs w:val="27"/>
        </w:rPr>
        <w:t>§ </w:t>
      </w:r>
      <w:r w:rsidRPr="009252C3">
        <w:rPr>
          <w:rFonts w:ascii="Century Schoolbook" w:hAnsi="Century Schoolbook"/>
          <w:sz w:val="27"/>
          <w:szCs w:val="27"/>
        </w:rPr>
        <w:t>190.3, factor</w:t>
      </w:r>
      <w:r w:rsidRPr="009252C3" w:rsidR="00B75F02">
        <w:rPr>
          <w:rFonts w:ascii="Century Schoolbook" w:hAnsi="Century Schoolbook"/>
          <w:sz w:val="27"/>
          <w:szCs w:val="27"/>
        </w:rPr>
        <w:t xml:space="preserve"> </w:t>
      </w:r>
      <w:r w:rsidRPr="009252C3">
        <w:rPr>
          <w:rFonts w:ascii="Century Schoolbook" w:hAnsi="Century Schoolbook"/>
          <w:sz w:val="27"/>
          <w:szCs w:val="27"/>
        </w:rPr>
        <w:t>(b) or (c) evidence) has been proved, that the aggravating factors outweighed the mitigating factors, or that death is the appropriate sentence.”  (</w:t>
      </w:r>
      <w:r w:rsidRPr="009252C3">
        <w:rPr>
          <w:rFonts w:ascii="Century Schoolbook" w:hAnsi="Century Schoolbook"/>
          <w:i/>
          <w:sz w:val="27"/>
          <w:szCs w:val="27"/>
        </w:rPr>
        <w:t>People v. Rangel</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xml:space="preserve">, 62 Cal.4th at p. 1235.)  The Supreme Court’s recent Sixth Amendment decisions (e.g., </w:t>
      </w:r>
      <w:r w:rsidRPr="009252C3">
        <w:rPr>
          <w:rFonts w:ascii="Century Schoolbook" w:hAnsi="Century Schoolbook"/>
          <w:i/>
          <w:sz w:val="27"/>
          <w:szCs w:val="27"/>
        </w:rPr>
        <w:t>Hurst v. Florida</w:t>
      </w:r>
      <w:r w:rsidRPr="009252C3">
        <w:rPr>
          <w:rFonts w:ascii="Century Schoolbook" w:hAnsi="Century Schoolbook"/>
          <w:sz w:val="27"/>
          <w:szCs w:val="27"/>
        </w:rPr>
        <w:t xml:space="preserve"> (2016) </w:t>
      </w:r>
      <w:r w:rsidRPr="009252C3" w:rsidR="00475776">
        <w:rPr>
          <w:rFonts w:ascii="Century Schoolbook" w:hAnsi="Century Schoolbook"/>
          <w:sz w:val="27"/>
          <w:szCs w:val="27"/>
        </w:rPr>
        <w:t>577</w:t>
      </w:r>
      <w:r w:rsidRPr="009252C3">
        <w:rPr>
          <w:rFonts w:ascii="Century Schoolbook" w:hAnsi="Century Schoolbook"/>
          <w:sz w:val="27"/>
          <w:szCs w:val="27"/>
        </w:rPr>
        <w:t xml:space="preserve"> U.S. ___ [136 S.Ct. 616], </w:t>
      </w:r>
      <w:r w:rsidRPr="009252C3">
        <w:rPr>
          <w:rFonts w:ascii="Century Schoolbook" w:hAnsi="Century Schoolbook"/>
          <w:i/>
          <w:iCs/>
          <w:sz w:val="27"/>
          <w:szCs w:val="27"/>
        </w:rPr>
        <w:t>Ring v. Arizona</w:t>
      </w:r>
      <w:r w:rsidRPr="009252C3" w:rsidR="00475776">
        <w:rPr>
          <w:rFonts w:ascii="Century Schoolbook" w:hAnsi="Century Schoolbook"/>
          <w:iCs/>
          <w:sz w:val="27"/>
          <w:szCs w:val="27"/>
        </w:rPr>
        <w:t xml:space="preserve"> (2002)</w:t>
      </w:r>
      <w:r w:rsidRPr="009252C3">
        <w:rPr>
          <w:rFonts w:ascii="Century Schoolbook" w:hAnsi="Century Schoolbook"/>
          <w:iCs/>
          <w:sz w:val="27"/>
          <w:szCs w:val="27"/>
        </w:rPr>
        <w:t xml:space="preserve"> </w:t>
      </w:r>
      <w:r w:rsidRPr="009252C3">
        <w:rPr>
          <w:rFonts w:ascii="Century Schoolbook" w:hAnsi="Century Schoolbook"/>
          <w:sz w:val="27"/>
          <w:szCs w:val="27"/>
        </w:rPr>
        <w:t>536</w:t>
      </w:r>
      <w:r w:rsidRPr="009252C3" w:rsidR="00835493">
        <w:rPr>
          <w:rFonts w:ascii="Century Schoolbook" w:hAnsi="Century Schoolbook"/>
          <w:sz w:val="27"/>
          <w:szCs w:val="27"/>
        </w:rPr>
        <w:t xml:space="preserve"> </w:t>
      </w:r>
      <w:r w:rsidRPr="009252C3">
        <w:rPr>
          <w:rFonts w:ascii="Century Schoolbook" w:hAnsi="Century Schoolbook"/>
          <w:sz w:val="27"/>
          <w:szCs w:val="27"/>
        </w:rPr>
        <w:t xml:space="preserve">U.S. 584, and </w:t>
      </w:r>
      <w:r w:rsidRPr="009252C3">
        <w:rPr>
          <w:rFonts w:ascii="Century Schoolbook" w:hAnsi="Century Schoolbook"/>
          <w:i/>
          <w:sz w:val="27"/>
          <w:szCs w:val="27"/>
        </w:rPr>
        <w:t>Apprendi v. New Jersey</w:t>
      </w:r>
      <w:r w:rsidRPr="009252C3">
        <w:rPr>
          <w:rFonts w:ascii="Century Schoolbook" w:hAnsi="Century Schoolbook"/>
          <w:sz w:val="27"/>
          <w:szCs w:val="27"/>
        </w:rPr>
        <w:t xml:space="preserve"> (2000) 530 U.S. 46</w:t>
      </w:r>
      <w:r w:rsidRPr="009252C3" w:rsidR="00475776">
        <w:rPr>
          <w:rFonts w:ascii="Century Schoolbook" w:hAnsi="Century Schoolbook"/>
          <w:sz w:val="27"/>
          <w:szCs w:val="27"/>
        </w:rPr>
        <w:t>6</w:t>
      </w:r>
      <w:r w:rsidRPr="009252C3">
        <w:rPr>
          <w:rFonts w:ascii="Century Schoolbook" w:hAnsi="Century Schoolbook"/>
          <w:sz w:val="27"/>
          <w:szCs w:val="27"/>
        </w:rPr>
        <w:t>) do not affect our conclusions in this regard.  (</w:t>
      </w:r>
      <w:r w:rsidRPr="009252C3">
        <w:rPr>
          <w:rFonts w:ascii="Century Schoolbook" w:hAnsi="Century Schoolbook"/>
          <w:i/>
          <w:sz w:val="27"/>
          <w:szCs w:val="27"/>
        </w:rPr>
        <w:t>Rangel</w:t>
      </w:r>
      <w:r w:rsidRPr="009252C3">
        <w:rPr>
          <w:rFonts w:ascii="Century Schoolbook" w:hAnsi="Century Schoolbook"/>
          <w:sz w:val="27"/>
          <w:szCs w:val="27"/>
        </w:rPr>
        <w:t xml:space="preserve">, at p. 1235.)  </w:t>
      </w:r>
    </w:p>
    <w:p w:rsidR="001061A4" w:rsidRPr="009252C3"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“The jury may properly consider evidence of unadjudicated criminal activity under</w:t>
      </w:r>
      <w:r w:rsidRPr="009252C3" w:rsidR="00835493">
        <w:rPr>
          <w:rFonts w:ascii="Century Schoolbook" w:hAnsi="Century Schoolbook"/>
          <w:sz w:val="27"/>
          <w:szCs w:val="27"/>
        </w:rPr>
        <w:t xml:space="preserve"> </w:t>
      </w:r>
      <w:r w:rsidRPr="009252C3">
        <w:rPr>
          <w:rFonts w:ascii="Century Schoolbook" w:hAnsi="Century Schoolbook"/>
          <w:sz w:val="27"/>
          <w:szCs w:val="27"/>
        </w:rPr>
        <w:t>section 190.3, factor (b)</w:t>
      </w:r>
      <w:r w:rsidRPr="009252C3" w:rsidR="00B75F02">
        <w:rPr>
          <w:rFonts w:ascii="Century Schoolbook" w:hAnsi="Century Schoolbook"/>
          <w:sz w:val="27"/>
          <w:szCs w:val="27"/>
        </w:rPr>
        <w:t xml:space="preserve"> </w:t>
      </w:r>
      <w:r w:rsidRPr="009252C3">
        <w:rPr>
          <w:rFonts w:ascii="Century Schoolbook" w:hAnsi="Century Schoolbook"/>
          <w:sz w:val="27"/>
          <w:szCs w:val="27"/>
        </w:rPr>
        <w:t>[citation], jury unanimity regarding such conduct is not required [citation], and factor (b) is not unconstitutionally vague.</w:t>
      </w:r>
      <w:r w:rsidRPr="009252C3" w:rsidR="00B75F02">
        <w:rPr>
          <w:rFonts w:ascii="Century Schoolbook" w:hAnsi="Century Schoolbook"/>
          <w:sz w:val="27"/>
          <w:szCs w:val="27"/>
        </w:rPr>
        <w:t xml:space="preserve">  </w:t>
      </w:r>
      <w:r w:rsidRPr="009252C3">
        <w:rPr>
          <w:rFonts w:ascii="Century Schoolbook" w:hAnsi="Century Schoolbook"/>
          <w:sz w:val="27"/>
          <w:szCs w:val="27"/>
        </w:rPr>
        <w:t>(</w:t>
      </w:r>
      <w:r w:rsidRPr="009252C3">
        <w:rPr>
          <w:rFonts w:ascii="Century Schoolbook" w:hAnsi="Century Schoolbook"/>
          <w:i/>
          <w:iCs/>
          <w:sz w:val="27"/>
          <w:szCs w:val="27"/>
        </w:rPr>
        <w:t>Tuilaepa v. California</w:t>
      </w:r>
      <w:r w:rsidRPr="009252C3">
        <w:rPr>
          <w:rFonts w:ascii="Century Schoolbook" w:hAnsi="Century Schoolbook"/>
          <w:iCs/>
          <w:sz w:val="27"/>
          <w:szCs w:val="27"/>
        </w:rPr>
        <w:t>,</w:t>
      </w:r>
      <w:r w:rsidRPr="009252C3">
        <w:rPr>
          <w:rFonts w:ascii="Century Schoolbook" w:hAnsi="Century Schoolbook"/>
          <w:i/>
          <w:iCs/>
          <w:sz w:val="27"/>
          <w:szCs w:val="27"/>
        </w:rPr>
        <w:t xml:space="preserve"> supra</w:t>
      </w:r>
      <w:r w:rsidRPr="009252C3">
        <w:rPr>
          <w:rFonts w:ascii="Century Schoolbook" w:hAnsi="Century Schoolbook"/>
          <w:iCs/>
          <w:sz w:val="27"/>
          <w:szCs w:val="27"/>
        </w:rPr>
        <w:t>,</w:t>
      </w:r>
      <w:r w:rsidRPr="009252C3">
        <w:rPr>
          <w:rFonts w:ascii="Century Schoolbook" w:hAnsi="Century Schoolbook"/>
          <w:sz w:val="27"/>
          <w:szCs w:val="27"/>
        </w:rPr>
        <w:t> 512 U.S. at p.</w:t>
      </w:r>
      <w:r w:rsidRPr="009252C3" w:rsidR="00B75F02">
        <w:rPr>
          <w:rFonts w:ascii="Century Schoolbook" w:hAnsi="Century Schoolbook"/>
          <w:sz w:val="27"/>
          <w:szCs w:val="27"/>
        </w:rPr>
        <w:t> </w:t>
      </w:r>
      <w:r w:rsidRPr="009252C3">
        <w:rPr>
          <w:rFonts w:ascii="Century Schoolbook" w:hAnsi="Century Schoolbook"/>
          <w:sz w:val="27"/>
          <w:szCs w:val="27"/>
        </w:rPr>
        <w:t>976.)”  (</w:t>
      </w:r>
      <w:r w:rsidRPr="009252C3">
        <w:rPr>
          <w:rFonts w:ascii="Century Schoolbook" w:hAnsi="Century Schoolbook"/>
          <w:i/>
          <w:iCs/>
          <w:sz w:val="27"/>
          <w:szCs w:val="27"/>
        </w:rPr>
        <w:t>People v. Lee</w:t>
      </w:r>
      <w:r w:rsidRPr="009252C3" w:rsidR="00B75F02">
        <w:rPr>
          <w:rFonts w:ascii="Century Schoolbook" w:hAnsi="Century Schoolbook"/>
          <w:i/>
          <w:iCs/>
          <w:sz w:val="27"/>
          <w:szCs w:val="27"/>
        </w:rPr>
        <w:t xml:space="preserve"> </w:t>
      </w:r>
      <w:r w:rsidRPr="009252C3">
        <w:rPr>
          <w:rFonts w:ascii="Century Schoolbook" w:hAnsi="Century Schoolbook"/>
          <w:sz w:val="27"/>
          <w:szCs w:val="27"/>
        </w:rPr>
        <w:t>(2011) 51 Cal.4th 620, 653.)  Nor does our statute’s lack of a requirement for written jury findings on aggravating circumstances violate due process or the Eighth Amendment or deny a capital defendant the opportunity for meaningful appellate review.  (</w:t>
      </w:r>
      <w:r w:rsidRPr="009252C3">
        <w:rPr>
          <w:rFonts w:ascii="Century Schoolbook" w:hAnsi="Century Schoolbook"/>
          <w:i/>
          <w:sz w:val="27"/>
          <w:szCs w:val="27"/>
        </w:rPr>
        <w:t>People v. Winbush</w:t>
      </w:r>
      <w:r w:rsidRPr="009252C3" w:rsidR="00475776">
        <w:rPr>
          <w:rFonts w:ascii="Century Schoolbook" w:hAnsi="Century Schoolbook"/>
          <w:sz w:val="27"/>
          <w:szCs w:val="27"/>
        </w:rPr>
        <w:t xml:space="preserve">, </w:t>
      </w:r>
      <w:r w:rsidRPr="009252C3" w:rsidR="00475776">
        <w:rPr>
          <w:rFonts w:ascii="Century Schoolbook" w:hAnsi="Century Schoolbook"/>
          <w:i/>
          <w:sz w:val="27"/>
          <w:szCs w:val="27"/>
        </w:rPr>
        <w:t>supra</w:t>
      </w:r>
      <w:r w:rsidRPr="009252C3" w:rsidR="00475776">
        <w:rPr>
          <w:rFonts w:ascii="Century Schoolbook" w:hAnsi="Century Schoolbook"/>
          <w:sz w:val="27"/>
          <w:szCs w:val="27"/>
        </w:rPr>
        <w:t>,</w:t>
      </w:r>
      <w:r w:rsidRPr="009252C3">
        <w:rPr>
          <w:rFonts w:ascii="Century Schoolbook" w:hAnsi="Century Schoolbook"/>
          <w:sz w:val="27"/>
          <w:szCs w:val="27"/>
        </w:rPr>
        <w:t xml:space="preserve"> 2 Cal.5th </w:t>
      </w:r>
      <w:r w:rsidRPr="009252C3" w:rsidR="00475776">
        <w:rPr>
          <w:rFonts w:ascii="Century Schoolbook" w:hAnsi="Century Schoolbook"/>
          <w:sz w:val="27"/>
          <w:szCs w:val="27"/>
        </w:rPr>
        <w:t>at p. </w:t>
      </w:r>
      <w:r w:rsidRPr="009252C3">
        <w:rPr>
          <w:rFonts w:ascii="Century Schoolbook" w:hAnsi="Century Schoolbook"/>
          <w:sz w:val="27"/>
          <w:szCs w:val="27"/>
        </w:rPr>
        <w:t xml:space="preserve">490; </w:t>
      </w:r>
      <w:r w:rsidRPr="009252C3">
        <w:rPr>
          <w:rFonts w:ascii="Century Schoolbook" w:hAnsi="Century Schoolbook"/>
          <w:i/>
          <w:iCs/>
          <w:sz w:val="27"/>
          <w:szCs w:val="27"/>
        </w:rPr>
        <w:t>People v. Whalen</w:t>
      </w:r>
      <w:r w:rsidRPr="009252C3">
        <w:rPr>
          <w:rFonts w:ascii="Century Schoolbook" w:hAnsi="Century Schoolbook"/>
          <w:sz w:val="27"/>
          <w:szCs w:val="27"/>
        </w:rPr>
        <w:t> (2013) 56 Cal.4th 1, 91.)  And</w:t>
      </w:r>
      <w:r w:rsidR="00171C38">
        <w:rPr>
          <w:rFonts w:ascii="Century Schoolbook" w:hAnsi="Century Schoolbook"/>
          <w:sz w:val="27"/>
          <w:szCs w:val="27"/>
        </w:rPr>
        <w:t>,</w:t>
      </w:r>
      <w:r w:rsidRPr="009252C3">
        <w:rPr>
          <w:rFonts w:ascii="Century Schoolbook" w:hAnsi="Century Schoolbook"/>
          <w:sz w:val="27"/>
          <w:szCs w:val="27"/>
        </w:rPr>
        <w:t xml:space="preserve"> as discussed earlier (see </w:t>
      </w:r>
      <w:r w:rsidR="00B41AE3">
        <w:rPr>
          <w:rFonts w:ascii="Century Schoolbook" w:hAnsi="Century Schoolbook"/>
          <w:sz w:val="27"/>
          <w:szCs w:val="27"/>
        </w:rPr>
        <w:t>pt.</w:t>
      </w:r>
      <w:r w:rsidRPr="009252C3">
        <w:rPr>
          <w:rFonts w:ascii="Century Schoolbook" w:hAnsi="Century Schoolbook"/>
          <w:sz w:val="27"/>
          <w:szCs w:val="27"/>
        </w:rPr>
        <w:t xml:space="preserve"> XVI, </w:t>
      </w:r>
      <w:r w:rsidRPr="009252C3">
        <w:rPr>
          <w:rFonts w:ascii="Century Schoolbook" w:hAnsi="Century Schoolbook"/>
          <w:i/>
          <w:sz w:val="27"/>
          <w:szCs w:val="27"/>
        </w:rPr>
        <w:t>ante</w:t>
      </w:r>
      <w:r w:rsidRPr="009252C3">
        <w:rPr>
          <w:rFonts w:ascii="Century Schoolbook" w:hAnsi="Century Schoolbook"/>
          <w:sz w:val="27"/>
          <w:szCs w:val="27"/>
        </w:rPr>
        <w:t>), an instruction that certain factors may only be considered in mitigation is not constitutionally required.  (</w:t>
      </w:r>
      <w:r w:rsidRPr="009252C3">
        <w:rPr>
          <w:rFonts w:ascii="Century Schoolbook" w:hAnsi="Century Schoolbook"/>
          <w:i/>
          <w:iCs/>
          <w:sz w:val="27"/>
          <w:szCs w:val="27"/>
        </w:rPr>
        <w:t>Tuilaepa</w:t>
      </w:r>
      <w:r w:rsidRPr="009252C3">
        <w:rPr>
          <w:rFonts w:ascii="Century Schoolbook" w:hAnsi="Century Schoolbook"/>
          <w:sz w:val="27"/>
          <w:szCs w:val="27"/>
        </w:rPr>
        <w:t>, at p.</w:t>
      </w:r>
      <w:r w:rsidRPr="009252C3" w:rsidR="00B75F02">
        <w:rPr>
          <w:rFonts w:ascii="Century Schoolbook" w:hAnsi="Century Schoolbook"/>
          <w:sz w:val="27"/>
          <w:szCs w:val="27"/>
        </w:rPr>
        <w:t> </w:t>
      </w:r>
      <w:r w:rsidRPr="009252C3">
        <w:rPr>
          <w:rFonts w:ascii="Century Schoolbook" w:hAnsi="Century Schoolbook"/>
          <w:sz w:val="27"/>
          <w:szCs w:val="27"/>
        </w:rPr>
        <w:t xml:space="preserve">979; </w:t>
      </w:r>
      <w:r w:rsidRPr="009252C3">
        <w:rPr>
          <w:rFonts w:ascii="Century Schoolbook" w:hAnsi="Century Schoolbook"/>
          <w:i/>
          <w:iCs/>
          <w:sz w:val="27"/>
          <w:szCs w:val="27"/>
        </w:rPr>
        <w:t>People v. Valencia</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43 Cal.4th at p.</w:t>
      </w:r>
      <w:r w:rsidRPr="009252C3" w:rsidR="00B75F02">
        <w:rPr>
          <w:rFonts w:ascii="Century Schoolbook" w:hAnsi="Century Schoolbook"/>
          <w:sz w:val="27"/>
          <w:szCs w:val="27"/>
        </w:rPr>
        <w:t> </w:t>
      </w:r>
      <w:r w:rsidRPr="009252C3">
        <w:rPr>
          <w:rFonts w:ascii="Century Schoolbook" w:hAnsi="Century Schoolbook"/>
          <w:sz w:val="27"/>
          <w:szCs w:val="27"/>
        </w:rPr>
        <w:t>311.)</w:t>
      </w:r>
    </w:p>
    <w:p w:rsidR="00FD50A2" w:rsidP="009252C3">
      <w:pPr>
        <w:pStyle w:val="Text"/>
        <w:spacing w:before="100" w:line="400" w:lineRule="exact"/>
        <w:ind w:firstLine="720"/>
        <w:jc w:val="both"/>
        <w:rPr>
          <w:rFonts w:ascii="Century Schoolbook" w:hAnsi="Century Schoolbook"/>
          <w:sz w:val="27"/>
          <w:szCs w:val="27"/>
        </w:rPr>
      </w:pPr>
      <w:r w:rsidRPr="009252C3">
        <w:rPr>
          <w:rFonts w:ascii="Century Schoolbook" w:hAnsi="Century Schoolbook"/>
          <w:sz w:val="27"/>
          <w:szCs w:val="27"/>
        </w:rPr>
        <w:t>“Intercase proportionality review, comparing defendant’s case to other murder cases to assess relative culpability, is not required by the due process, equal protection, fair trial, or cruel and unusual punishment clauses of the federal Constitution.”  (</w:t>
      </w:r>
      <w:r w:rsidRPr="009252C3">
        <w:rPr>
          <w:rFonts w:ascii="Century Schoolbook" w:hAnsi="Century Schoolbook"/>
          <w:i/>
          <w:sz w:val="27"/>
          <w:szCs w:val="27"/>
        </w:rPr>
        <w:t>People v. Winbush</w:t>
      </w:r>
      <w:r w:rsidRPr="009252C3">
        <w:rPr>
          <w:rFonts w:ascii="Century Schoolbook" w:hAnsi="Century Schoolbook"/>
          <w:sz w:val="27"/>
          <w:szCs w:val="27"/>
        </w:rPr>
        <w:t xml:space="preserve">, </w:t>
      </w:r>
      <w:r w:rsidRPr="009252C3">
        <w:rPr>
          <w:rFonts w:ascii="Century Schoolbook" w:hAnsi="Century Schoolbook"/>
          <w:i/>
          <w:sz w:val="27"/>
          <w:szCs w:val="27"/>
        </w:rPr>
        <w:t>supra</w:t>
      </w:r>
      <w:r w:rsidRPr="009252C3">
        <w:rPr>
          <w:rFonts w:ascii="Century Schoolbook" w:hAnsi="Century Schoolbook"/>
          <w:sz w:val="27"/>
          <w:szCs w:val="27"/>
        </w:rPr>
        <w:t>, 2 Cal.5th at p.</w:t>
      </w:r>
      <w:r w:rsidRPr="009252C3" w:rsidR="00B75F02">
        <w:rPr>
          <w:rFonts w:ascii="Century Schoolbook" w:hAnsi="Century Schoolbook"/>
          <w:sz w:val="27"/>
          <w:szCs w:val="27"/>
        </w:rPr>
        <w:t> </w:t>
      </w:r>
      <w:r w:rsidRPr="009252C3">
        <w:rPr>
          <w:rFonts w:ascii="Century Schoolbook" w:hAnsi="Century Schoolbook"/>
          <w:sz w:val="27"/>
          <w:szCs w:val="27"/>
        </w:rPr>
        <w:t>490.)  Procedural differences between capital and noncapital trial</w:t>
      </w:r>
      <w:r w:rsidR="00171C38">
        <w:rPr>
          <w:rFonts w:ascii="Century Schoolbook" w:hAnsi="Century Schoolbook"/>
          <w:sz w:val="27"/>
          <w:szCs w:val="27"/>
        </w:rPr>
        <w:t>s</w:t>
      </w:r>
      <w:r w:rsidRPr="009252C3">
        <w:rPr>
          <w:rFonts w:ascii="Century Schoolbook" w:hAnsi="Century Schoolbook"/>
          <w:sz w:val="27"/>
          <w:szCs w:val="27"/>
        </w:rPr>
        <w:t xml:space="preserve"> do not constitute violations of equal protection, and California’s use of the death penalty does not violate international law either by punishing certain first degree murders with death or by employing the procedures defendant complains of above.  (</w:t>
      </w:r>
      <w:r w:rsidRPr="009252C3">
        <w:rPr>
          <w:rFonts w:ascii="Century Schoolbook" w:hAnsi="Century Schoolbook"/>
          <w:i/>
          <w:iCs/>
          <w:sz w:val="27"/>
          <w:szCs w:val="27"/>
        </w:rPr>
        <w:t>People v. Sánchez</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 xml:space="preserve">(2016) 63 Cal.4th 411, 488; </w:t>
      </w:r>
      <w:r w:rsidRPr="009252C3">
        <w:rPr>
          <w:rFonts w:ascii="Century Schoolbook" w:hAnsi="Century Schoolbook"/>
          <w:i/>
          <w:iCs/>
          <w:sz w:val="27"/>
          <w:szCs w:val="27"/>
        </w:rPr>
        <w:t>People v. Solomon</w:t>
      </w:r>
      <w:r w:rsidRPr="009252C3" w:rsidR="00835493">
        <w:rPr>
          <w:rFonts w:ascii="Century Schoolbook" w:hAnsi="Century Schoolbook"/>
          <w:i/>
          <w:iCs/>
          <w:sz w:val="27"/>
          <w:szCs w:val="27"/>
        </w:rPr>
        <w:t xml:space="preserve"> </w:t>
      </w:r>
      <w:r w:rsidRPr="009252C3">
        <w:rPr>
          <w:rFonts w:ascii="Century Schoolbook" w:hAnsi="Century Schoolbook"/>
          <w:sz w:val="27"/>
          <w:szCs w:val="27"/>
        </w:rPr>
        <w:t>(2010) 49 Cal.4th 792, 844.)</w:t>
      </w:r>
    </w:p>
    <w:p w:rsidR="001061A4" w:rsidRPr="009252C3" w:rsidP="008E6B13">
      <w:pPr>
        <w:pStyle w:val="Heading1"/>
        <w:spacing w:before="100" w:line="400" w:lineRule="exact"/>
        <w:rPr>
          <w:rFonts w:ascii="Century Schoolbook" w:hAnsi="Century Schoolbook"/>
          <w:sz w:val="27"/>
          <w:szCs w:val="27"/>
          <w:shd w:val="clear" w:color="auto" w:fill="FFFFFF"/>
        </w:rPr>
      </w:pPr>
      <w:bookmarkStart w:id="33" w:name="_Toc3365831"/>
      <w:r w:rsidRPr="009252C3">
        <w:rPr>
          <w:rFonts w:ascii="Century Schoolbook" w:hAnsi="Century Schoolbook"/>
          <w:sz w:val="27"/>
          <w:szCs w:val="27"/>
          <w:shd w:val="clear" w:color="auto" w:fill="FFFFFF"/>
        </w:rPr>
        <w:t>Disposition</w:t>
      </w:r>
      <w:bookmarkEnd w:id="33"/>
    </w:p>
    <w:p w:rsidR="001061A4" w:rsidRPr="009252C3" w:rsidP="009252C3">
      <w:pPr>
        <w:pStyle w:val="Text"/>
        <w:spacing w:before="100" w:line="400" w:lineRule="exact"/>
        <w:ind w:firstLine="720"/>
        <w:contextualSpacing/>
        <w:jc w:val="both"/>
        <w:rPr>
          <w:rFonts w:ascii="Century Schoolbook" w:hAnsi="Century Schoolbook"/>
          <w:sz w:val="27"/>
          <w:szCs w:val="27"/>
        </w:rPr>
      </w:pPr>
      <w:r w:rsidRPr="009252C3">
        <w:rPr>
          <w:rFonts w:ascii="Century Schoolbook" w:hAnsi="Century Schoolbook"/>
          <w:color w:val="000000"/>
          <w:sz w:val="27"/>
          <w:szCs w:val="27"/>
          <w:shd w:val="clear" w:color="auto" w:fill="FFFFFF"/>
        </w:rPr>
        <w:t>The judgment of the superior court is affirmed</w:t>
      </w:r>
      <w:r w:rsidRPr="009252C3">
        <w:rPr>
          <w:rFonts w:ascii="Century Schoolbook" w:hAnsi="Century Schoolbook"/>
          <w:sz w:val="27"/>
          <w:szCs w:val="27"/>
        </w:rPr>
        <w:t>.</w:t>
      </w:r>
    </w:p>
    <w:p w:rsidR="00981C5B" w:rsidRPr="009252C3" w:rsidP="009252C3">
      <w:pPr>
        <w:pStyle w:val="Text"/>
        <w:spacing w:before="100" w:line="400" w:lineRule="exact"/>
        <w:ind w:firstLine="720"/>
        <w:contextualSpacing/>
        <w:jc w:val="both"/>
        <w:rPr>
          <w:rFonts w:ascii="Century Schoolbook" w:hAnsi="Century Schoolbook"/>
          <w:sz w:val="27"/>
          <w:szCs w:val="27"/>
        </w:rPr>
      </w:pPr>
    </w:p>
    <w:p w:rsidR="001061A4" w:rsidRPr="009252C3" w:rsidP="009252C3">
      <w:pPr>
        <w:pStyle w:val="Text"/>
        <w:spacing w:before="100" w:line="400" w:lineRule="exact"/>
        <w:ind w:firstLine="720"/>
        <w:contextualSpacing/>
        <w:jc w:val="both"/>
        <w:rPr>
          <w:rFonts w:ascii="Century Schoolbook" w:hAnsi="Century Schoolbook"/>
          <w:b/>
          <w:sz w:val="27"/>
          <w:szCs w:val="27"/>
        </w:rPr>
      </w:pPr>
      <w:r w:rsidRPr="009252C3">
        <w:rPr>
          <w:rFonts w:ascii="Century Schoolbook" w:hAnsi="Century Schoolbook"/>
          <w:sz w:val="27"/>
          <w:szCs w:val="27"/>
        </w:rPr>
        <w:tab/>
      </w:r>
      <w:r w:rsidRPr="009252C3">
        <w:rPr>
          <w:rFonts w:ascii="Century Schoolbook" w:hAnsi="Century Schoolbook"/>
          <w:sz w:val="27"/>
          <w:szCs w:val="27"/>
        </w:rPr>
        <w:tab/>
      </w:r>
      <w:r w:rsidRPr="009252C3">
        <w:rPr>
          <w:rFonts w:ascii="Century Schoolbook" w:hAnsi="Century Schoolbook"/>
          <w:sz w:val="27"/>
          <w:szCs w:val="27"/>
        </w:rPr>
        <w:tab/>
      </w:r>
      <w:r w:rsidRPr="009252C3" w:rsidR="00B75F02">
        <w:rPr>
          <w:rFonts w:ascii="Century Schoolbook" w:hAnsi="Century Schoolbook"/>
          <w:sz w:val="27"/>
          <w:szCs w:val="27"/>
        </w:rPr>
        <w:tab/>
      </w:r>
      <w:r w:rsidRPr="009252C3" w:rsidR="00B75F02">
        <w:rPr>
          <w:rFonts w:ascii="Century Schoolbook" w:hAnsi="Century Schoolbook"/>
          <w:sz w:val="27"/>
          <w:szCs w:val="27"/>
        </w:rPr>
        <w:tab/>
      </w:r>
      <w:r w:rsidRPr="009252C3">
        <w:rPr>
          <w:rFonts w:ascii="Century Schoolbook" w:hAnsi="Century Schoolbook"/>
          <w:b/>
          <w:sz w:val="27"/>
          <w:szCs w:val="27"/>
        </w:rPr>
        <w:t>KRUGER, J.</w:t>
      </w:r>
    </w:p>
    <w:p w:rsidR="00835493" w:rsidRPr="009252C3" w:rsidP="009252C3">
      <w:pPr>
        <w:pStyle w:val="Text"/>
        <w:spacing w:before="100" w:line="400" w:lineRule="exact"/>
        <w:ind w:firstLine="720"/>
        <w:contextualSpacing/>
        <w:jc w:val="both"/>
        <w:rPr>
          <w:rFonts w:ascii="Century Schoolbook" w:hAnsi="Century Schoolbook"/>
          <w:b/>
          <w:sz w:val="27"/>
          <w:szCs w:val="27"/>
        </w:rPr>
      </w:pPr>
    </w:p>
    <w:p w:rsidR="00835493" w:rsidP="007808D4">
      <w:pPr>
        <w:pStyle w:val="Text"/>
        <w:spacing w:before="100" w:line="400" w:lineRule="exact"/>
        <w:ind w:firstLine="0"/>
        <w:contextualSpacing/>
        <w:jc w:val="both"/>
        <w:rPr>
          <w:rFonts w:ascii="Century Schoolbook" w:hAnsi="Century Schoolbook"/>
          <w:b/>
          <w:sz w:val="27"/>
          <w:szCs w:val="27"/>
        </w:rPr>
      </w:pPr>
      <w:r w:rsidRPr="009252C3">
        <w:rPr>
          <w:rFonts w:ascii="Century Schoolbook" w:hAnsi="Century Schoolbook"/>
          <w:b/>
          <w:sz w:val="27"/>
          <w:szCs w:val="27"/>
        </w:rPr>
        <w:t>We Concur:</w:t>
      </w:r>
    </w:p>
    <w:p w:rsidR="008F4EFC" w:rsidP="008F4EFC">
      <w:pPr>
        <w:pStyle w:val="Text"/>
        <w:spacing w:line="240" w:lineRule="auto"/>
        <w:ind w:firstLine="0"/>
        <w:contextualSpacing/>
        <w:jc w:val="both"/>
        <w:rPr>
          <w:rFonts w:ascii="Century Schoolbook" w:hAnsi="Century Schoolbook"/>
          <w:b/>
          <w:sz w:val="27"/>
          <w:szCs w:val="27"/>
        </w:rPr>
      </w:pPr>
    </w:p>
    <w:p w:rsidR="008F4EFC" w:rsidP="007808D4">
      <w:pPr>
        <w:pStyle w:val="Text"/>
        <w:spacing w:before="100" w:line="400" w:lineRule="exact"/>
        <w:ind w:firstLine="0"/>
        <w:contextualSpacing/>
        <w:jc w:val="both"/>
        <w:rPr>
          <w:rFonts w:ascii="Century Schoolbook" w:hAnsi="Century Schoolbook"/>
          <w:b/>
          <w:sz w:val="27"/>
          <w:szCs w:val="27"/>
        </w:rPr>
      </w:pPr>
      <w:r>
        <w:rPr>
          <w:rFonts w:ascii="Century Schoolbook" w:hAnsi="Century Schoolbook"/>
          <w:b/>
          <w:sz w:val="27"/>
          <w:szCs w:val="27"/>
        </w:rPr>
        <w:t>CANTIL-SAKAUYE, C. J.</w:t>
      </w:r>
    </w:p>
    <w:p w:rsidR="008F4EFC" w:rsidP="007808D4">
      <w:pPr>
        <w:pStyle w:val="Text"/>
        <w:spacing w:before="100" w:line="400" w:lineRule="exact"/>
        <w:ind w:firstLine="0"/>
        <w:contextualSpacing/>
        <w:jc w:val="both"/>
        <w:rPr>
          <w:rFonts w:ascii="Century Schoolbook" w:hAnsi="Century Schoolbook"/>
          <w:b/>
          <w:sz w:val="27"/>
          <w:szCs w:val="27"/>
        </w:rPr>
      </w:pPr>
      <w:r>
        <w:rPr>
          <w:rFonts w:ascii="Century Schoolbook" w:hAnsi="Century Schoolbook"/>
          <w:b/>
          <w:sz w:val="27"/>
          <w:szCs w:val="27"/>
        </w:rPr>
        <w:t>CHIN, J.</w:t>
      </w:r>
    </w:p>
    <w:p w:rsidR="008F4EFC" w:rsidP="007808D4">
      <w:pPr>
        <w:pStyle w:val="Text"/>
        <w:spacing w:before="100" w:line="400" w:lineRule="exact"/>
        <w:ind w:firstLine="0"/>
        <w:contextualSpacing/>
        <w:jc w:val="both"/>
        <w:rPr>
          <w:rFonts w:ascii="Century Schoolbook" w:hAnsi="Century Schoolbook"/>
          <w:b/>
          <w:sz w:val="27"/>
          <w:szCs w:val="27"/>
        </w:rPr>
      </w:pPr>
      <w:r>
        <w:rPr>
          <w:rFonts w:ascii="Century Schoolbook" w:hAnsi="Century Schoolbook"/>
          <w:b/>
          <w:sz w:val="27"/>
          <w:szCs w:val="27"/>
        </w:rPr>
        <w:t>CORRIGAN, J.</w:t>
      </w:r>
    </w:p>
    <w:p w:rsidR="008F4EFC" w:rsidP="007808D4">
      <w:pPr>
        <w:pStyle w:val="Text"/>
        <w:spacing w:before="100" w:line="400" w:lineRule="exact"/>
        <w:ind w:firstLine="0"/>
        <w:contextualSpacing/>
        <w:jc w:val="both"/>
        <w:rPr>
          <w:rFonts w:ascii="Century Schoolbook" w:hAnsi="Century Schoolbook"/>
          <w:b/>
          <w:sz w:val="27"/>
          <w:szCs w:val="27"/>
        </w:rPr>
      </w:pPr>
      <w:r>
        <w:rPr>
          <w:rFonts w:ascii="Century Schoolbook" w:hAnsi="Century Schoolbook"/>
          <w:b/>
          <w:sz w:val="27"/>
          <w:szCs w:val="27"/>
        </w:rPr>
        <w:t>CUÉLLAR, J.</w:t>
      </w:r>
    </w:p>
    <w:p w:rsidR="008F4EFC" w:rsidP="007808D4">
      <w:pPr>
        <w:pStyle w:val="Text"/>
        <w:spacing w:before="100" w:line="400" w:lineRule="exact"/>
        <w:ind w:firstLine="0"/>
        <w:contextualSpacing/>
        <w:jc w:val="both"/>
        <w:rPr>
          <w:rFonts w:ascii="Century Schoolbook" w:hAnsi="Century Schoolbook"/>
          <w:b/>
          <w:sz w:val="27"/>
          <w:szCs w:val="27"/>
        </w:rPr>
      </w:pPr>
      <w:r>
        <w:rPr>
          <w:rFonts w:ascii="Century Schoolbook" w:hAnsi="Century Schoolbook"/>
          <w:b/>
          <w:sz w:val="27"/>
          <w:szCs w:val="27"/>
        </w:rPr>
        <w:t>GROBAN, J.</w:t>
      </w:r>
    </w:p>
    <w:p w:rsidR="00CD1E4A" w:rsidP="007808D4">
      <w:pPr>
        <w:pStyle w:val="Text"/>
        <w:spacing w:before="100" w:line="400" w:lineRule="exact"/>
        <w:ind w:firstLine="0"/>
        <w:contextualSpacing/>
        <w:jc w:val="both"/>
        <w:rPr>
          <w:rFonts w:ascii="Century Schoolbook" w:hAnsi="Century Schoolbook"/>
          <w:b/>
          <w:sz w:val="27"/>
          <w:szCs w:val="27"/>
        </w:rPr>
        <w:sectPr w:rsidSect="00781C68">
          <w:footerReference w:type="default" r:id="rId11"/>
          <w:pgSz w:w="12240" w:h="15840"/>
          <w:pgMar w:top="1440" w:right="2160" w:bottom="1440" w:left="2160" w:header="720" w:footer="720" w:gutter="0"/>
          <w:pgNumType w:start="1"/>
          <w:cols w:space="720"/>
          <w:titlePg/>
          <w:docGrid w:linePitch="354"/>
        </w:sectPr>
      </w:pPr>
    </w:p>
    <w:p w:rsidR="00CD1E4A" w:rsidRPr="00CD1E4A" w:rsidP="00CD1E4A">
      <w:pPr>
        <w:spacing w:after="100" w:line="400" w:lineRule="exact"/>
        <w:jc w:val="center"/>
        <w:rPr>
          <w:rFonts w:ascii="Century Schoolbook" w:hAnsi="Century Schoolbook"/>
          <w:sz w:val="27"/>
        </w:rPr>
      </w:pPr>
      <w:r w:rsidRPr="00CD1E4A">
        <w:rPr>
          <w:rFonts w:ascii="Century Schoolbook" w:hAnsi="Century Schoolbook"/>
          <w:sz w:val="27"/>
        </w:rPr>
        <w:t>PEOPLE v. RHOADES</w:t>
      </w:r>
    </w:p>
    <w:p w:rsidR="00CD1E4A" w:rsidRPr="00CD1E4A" w:rsidP="00CD1E4A">
      <w:pPr>
        <w:spacing w:after="100" w:line="400" w:lineRule="exact"/>
        <w:jc w:val="center"/>
        <w:rPr>
          <w:rFonts w:ascii="Century Schoolbook" w:hAnsi="Century Schoolbook"/>
          <w:sz w:val="27"/>
        </w:rPr>
      </w:pPr>
      <w:r w:rsidRPr="00CD1E4A">
        <w:rPr>
          <w:rFonts w:ascii="Century Schoolbook" w:hAnsi="Century Schoolbook"/>
          <w:sz w:val="27"/>
        </w:rPr>
        <w:t>S082101</w:t>
      </w:r>
    </w:p>
    <w:p w:rsidR="00CD1E4A" w:rsidRPr="00CD1E4A" w:rsidP="00CD1E4A">
      <w:pPr>
        <w:spacing w:after="100" w:line="400" w:lineRule="exact"/>
        <w:jc w:val="center"/>
        <w:rPr>
          <w:rFonts w:ascii="Century Schoolbook" w:hAnsi="Century Schoolbook"/>
          <w:sz w:val="27"/>
        </w:rPr>
      </w:pPr>
    </w:p>
    <w:p w:rsidR="00CD1E4A" w:rsidRPr="00CD1E4A" w:rsidP="00CD1E4A">
      <w:pPr>
        <w:spacing w:after="100" w:line="400" w:lineRule="exact"/>
        <w:jc w:val="center"/>
        <w:rPr>
          <w:rFonts w:ascii="Century Schoolbook" w:hAnsi="Century Schoolbook"/>
          <w:sz w:val="27"/>
        </w:rPr>
      </w:pPr>
      <w:r w:rsidRPr="00CD1E4A">
        <w:rPr>
          <w:rFonts w:ascii="Century Schoolbook" w:hAnsi="Century Schoolbook"/>
          <w:sz w:val="27"/>
        </w:rPr>
        <w:t>Dissenting Opinion by Justice Liu</w:t>
      </w:r>
    </w:p>
    <w:p w:rsidR="00CD1E4A" w:rsidRPr="00CD1E4A" w:rsidP="00CD1E4A">
      <w:pPr>
        <w:spacing w:after="100" w:line="400" w:lineRule="exact"/>
        <w:jc w:val="center"/>
        <w:rPr>
          <w:rFonts w:ascii="Century Schoolbook" w:hAnsi="Century Schoolbook"/>
          <w:sz w:val="27"/>
        </w:rPr>
      </w:pPr>
    </w:p>
    <w:p w:rsidR="00CD1E4A" w:rsidRPr="00CD1E4A" w:rsidP="00CD1E4A">
      <w:pPr>
        <w:spacing w:after="100" w:line="400" w:lineRule="exact"/>
        <w:ind w:firstLine="720"/>
        <w:jc w:val="both"/>
        <w:rPr>
          <w:rFonts w:ascii="Century Schoolbook" w:hAnsi="Century Schoolbook"/>
          <w:sz w:val="27"/>
        </w:rPr>
      </w:pPr>
      <w:bookmarkStart w:id="34" w:name="mainstory"/>
      <w:bookmarkEnd w:id="34"/>
      <w:r w:rsidRPr="00CD1E4A">
        <w:rPr>
          <w:rFonts w:ascii="Century Schoolbook" w:hAnsi="Century Schoolbook"/>
          <w:sz w:val="27"/>
        </w:rPr>
        <w:t xml:space="preserve">During jury selection for the penalty retrial in this capital case, defendant Robert Boyd Rhoades raised a challenge under </w:t>
      </w:r>
      <w:r w:rsidRPr="00CD1E4A">
        <w:rPr>
          <w:rFonts w:ascii="Century Schoolbook" w:hAnsi="Century Schoolbook"/>
          <w:i/>
          <w:sz w:val="27"/>
        </w:rPr>
        <w:t>Batson v. Kentucky</w:t>
      </w:r>
      <w:r w:rsidRPr="00CD1E4A">
        <w:rPr>
          <w:rFonts w:ascii="Century Schoolbook" w:hAnsi="Century Schoolbook"/>
          <w:sz w:val="27"/>
        </w:rPr>
        <w:t xml:space="preserve"> (1986) 476 U.S. 79 and </w:t>
      </w:r>
      <w:r w:rsidRPr="00CD1E4A">
        <w:rPr>
          <w:rFonts w:ascii="Century Schoolbook" w:hAnsi="Century Schoolbook"/>
          <w:i/>
          <w:sz w:val="27"/>
        </w:rPr>
        <w:t>People v. Wheeler</w:t>
      </w:r>
      <w:r w:rsidRPr="00CD1E4A">
        <w:rPr>
          <w:rFonts w:ascii="Century Schoolbook" w:hAnsi="Century Schoolbook"/>
          <w:sz w:val="27"/>
        </w:rPr>
        <w:t xml:space="preserve"> (1978) 22 Cal.3d 258 after prosecutors used four of eight peremptory strikes against four black women jurors, thereby “eliminat[ing] every African-American seated in the jury box.”  (Maj. opn., </w:t>
      </w:r>
      <w:r w:rsidRPr="00CD1E4A">
        <w:rPr>
          <w:rFonts w:ascii="Century Schoolbook" w:hAnsi="Century Schoolbook"/>
          <w:i/>
          <w:sz w:val="27"/>
        </w:rPr>
        <w:t>ante</w:t>
      </w:r>
      <w:r w:rsidRPr="00CD1E4A">
        <w:rPr>
          <w:rFonts w:ascii="Century Schoolbook" w:hAnsi="Century Schoolbook"/>
          <w:sz w:val="27"/>
        </w:rPr>
        <w:t xml:space="preserve">, at p. 52.)  The proceeding </w:t>
      </w:r>
      <w:r w:rsidRPr="00CD1E4A">
        <w:rPr>
          <w:rFonts w:ascii="Century Schoolbook" w:hAnsi="Century Schoolbook" w:cs="Calibri"/>
          <w:sz w:val="27"/>
        </w:rPr>
        <w:t xml:space="preserve">occurred in 1998, seven years before </w:t>
      </w:r>
      <w:r w:rsidRPr="00CD1E4A">
        <w:rPr>
          <w:rFonts w:ascii="Century Schoolbook" w:hAnsi="Century Schoolbook"/>
          <w:i/>
          <w:iCs/>
          <w:sz w:val="27"/>
        </w:rPr>
        <w:t>Johnson v. California</w:t>
      </w:r>
      <w:r w:rsidRPr="00CD1E4A">
        <w:rPr>
          <w:rFonts w:ascii="Century Schoolbook" w:hAnsi="Century Schoolbook"/>
          <w:sz w:val="27"/>
        </w:rPr>
        <w:t xml:space="preserve"> (2005) 545 U.S. 162</w:t>
      </w:r>
      <w:r w:rsidRPr="00CD1E4A">
        <w:rPr>
          <w:rFonts w:ascii="Century Schoolbook" w:hAnsi="Century Schoolbook" w:cs="Calibri"/>
          <w:sz w:val="27"/>
        </w:rPr>
        <w:t xml:space="preserve">, and the trial court believed it was bound by this court’s precedent, </w:t>
      </w:r>
      <w:r w:rsidRPr="00CD1E4A">
        <w:rPr>
          <w:rFonts w:ascii="Century Schoolbook" w:hAnsi="Century Schoolbook"/>
          <w:i/>
          <w:sz w:val="27"/>
        </w:rPr>
        <w:t>People v. Howard</w:t>
      </w:r>
      <w:r w:rsidRPr="00CD1E4A">
        <w:rPr>
          <w:rFonts w:ascii="Century Schoolbook" w:hAnsi="Century Schoolbook"/>
          <w:sz w:val="27"/>
        </w:rPr>
        <w:t xml:space="preserve"> (1992) 1 Cal.4th 1132, 1154 (</w:t>
      </w:r>
      <w:r w:rsidRPr="00CD1E4A">
        <w:rPr>
          <w:rFonts w:ascii="Century Schoolbook" w:hAnsi="Century Schoolbook"/>
          <w:i/>
          <w:sz w:val="27"/>
        </w:rPr>
        <w:t>Howard</w:t>
      </w:r>
      <w:r w:rsidRPr="00CD1E4A">
        <w:rPr>
          <w:rFonts w:ascii="Century Schoolbook" w:hAnsi="Century Schoolbook"/>
          <w:sz w:val="27"/>
        </w:rPr>
        <w:t>)</w:t>
      </w:r>
      <w:r w:rsidRPr="00CD1E4A">
        <w:rPr>
          <w:rFonts w:ascii="Century Schoolbook" w:hAnsi="Century Schoolbook" w:cs="Calibri"/>
          <w:sz w:val="27"/>
        </w:rPr>
        <w:t>, which required a defendant to show not merely an inference but a “ ‘</w:t>
      </w:r>
      <w:r w:rsidRPr="00CD1E4A">
        <w:rPr>
          <w:rFonts w:ascii="Century Schoolbook" w:hAnsi="Century Schoolbook" w:cs="Calibri"/>
          <w:i/>
          <w:sz w:val="27"/>
        </w:rPr>
        <w:t>strong likelihood</w:t>
      </w:r>
      <w:r w:rsidRPr="00CD1E4A">
        <w:rPr>
          <w:rFonts w:ascii="Century Schoolbook" w:hAnsi="Century Schoolbook" w:cs="Calibri"/>
          <w:sz w:val="27"/>
        </w:rPr>
        <w:t xml:space="preserve">’ ” of discrimination at </w:t>
      </w:r>
      <w:r w:rsidRPr="00CD1E4A">
        <w:rPr>
          <w:rFonts w:ascii="Century Schoolbook" w:hAnsi="Century Schoolbook" w:cs="Calibri"/>
          <w:i/>
          <w:sz w:val="27"/>
        </w:rPr>
        <w:t>Batson</w:t>
      </w:r>
      <w:r w:rsidRPr="00CD1E4A">
        <w:rPr>
          <w:rFonts w:ascii="Century Schoolbook" w:hAnsi="Century Schoolbook" w:cs="Calibri"/>
          <w:sz w:val="27"/>
        </w:rPr>
        <w:t xml:space="preserve">’s first step.  Applying that standard, the trial court denied the </w:t>
      </w:r>
      <w:r w:rsidRPr="00CD1E4A">
        <w:rPr>
          <w:rFonts w:ascii="Century Schoolbook" w:hAnsi="Century Schoolbook" w:cs="Calibri"/>
          <w:i/>
          <w:sz w:val="27"/>
        </w:rPr>
        <w:t>Batson</w:t>
      </w:r>
      <w:r w:rsidRPr="00CD1E4A">
        <w:rPr>
          <w:rFonts w:ascii="Century Schoolbook" w:hAnsi="Century Schoolbook" w:cs="Calibri"/>
          <w:sz w:val="27"/>
        </w:rPr>
        <w:t xml:space="preserve"> motion but said, “I’m very close.”</w:t>
      </w:r>
    </w:p>
    <w:p w:rsidR="00CD1E4A" w:rsidRPr="00CD1E4A" w:rsidP="00CD1E4A">
      <w:pPr>
        <w:spacing w:after="100" w:line="400" w:lineRule="exact"/>
        <w:ind w:firstLine="720"/>
        <w:jc w:val="both"/>
        <w:rPr>
          <w:rFonts w:ascii="Century Schoolbook" w:hAnsi="Century Schoolbook" w:cs="Calibri"/>
          <w:sz w:val="27"/>
        </w:rPr>
      </w:pPr>
      <w:r w:rsidRPr="00CD1E4A">
        <w:rPr>
          <w:rFonts w:ascii="Century Schoolbook" w:hAnsi="Century Schoolbook" w:cs="Calibri"/>
          <w:sz w:val="27"/>
        </w:rPr>
        <w:t xml:space="preserve">These facts bear an uncanny resemblance to those in </w:t>
      </w:r>
      <w:r w:rsidRPr="00CD1E4A">
        <w:rPr>
          <w:rFonts w:ascii="Century Schoolbook" w:hAnsi="Century Schoolbook" w:cs="Calibri"/>
          <w:i/>
          <w:sz w:val="27"/>
        </w:rPr>
        <w:t>Johnson v. California</w:t>
      </w:r>
      <w:r w:rsidRPr="00CD1E4A">
        <w:rPr>
          <w:rFonts w:ascii="Century Schoolbook" w:hAnsi="Century Schoolbook" w:cs="Calibri"/>
          <w:sz w:val="27"/>
        </w:rPr>
        <w:t xml:space="preserve">, where the trial court also denied a </w:t>
      </w:r>
      <w:r w:rsidRPr="00CD1E4A">
        <w:rPr>
          <w:rFonts w:ascii="Century Schoolbook" w:hAnsi="Century Schoolbook" w:cs="Calibri"/>
          <w:i/>
          <w:sz w:val="27"/>
        </w:rPr>
        <w:t>Batson</w:t>
      </w:r>
      <w:r w:rsidRPr="00CD1E4A">
        <w:rPr>
          <w:rFonts w:ascii="Century Schoolbook" w:hAnsi="Century Schoolbook" w:cs="Calibri"/>
          <w:sz w:val="27"/>
        </w:rPr>
        <w:t xml:space="preserve"> motion under the “strong likelihood” standard but said, “[W]e are very close.”  (</w:t>
      </w:r>
      <w:r w:rsidRPr="00CD1E4A">
        <w:rPr>
          <w:rFonts w:ascii="Century Schoolbook" w:hAnsi="Century Schoolbook" w:cs="Calibri"/>
          <w:i/>
          <w:sz w:val="27"/>
        </w:rPr>
        <w:t>Johnson v. California</w:t>
      </w:r>
      <w:r w:rsidRPr="00CD1E4A">
        <w:rPr>
          <w:rFonts w:ascii="Century Schoolbook" w:hAnsi="Century Schoolbook" w:cs="Calibri"/>
          <w:sz w:val="27"/>
        </w:rPr>
        <w:t xml:space="preserve">, </w:t>
      </w:r>
      <w:r w:rsidRPr="00CD1E4A">
        <w:rPr>
          <w:rFonts w:ascii="Century Schoolbook" w:hAnsi="Century Schoolbook" w:cs="Calibri"/>
          <w:i/>
          <w:sz w:val="27"/>
        </w:rPr>
        <w:t>supra</w:t>
      </w:r>
      <w:r w:rsidRPr="00CD1E4A">
        <w:rPr>
          <w:rFonts w:ascii="Century Schoolbook" w:hAnsi="Century Schoolbook" w:cs="Calibri"/>
          <w:sz w:val="27"/>
        </w:rPr>
        <w:t xml:space="preserve">, 545 U.S. at p. 165, italics omitted; see </w:t>
      </w:r>
      <w:r w:rsidRPr="00CD1E4A">
        <w:rPr>
          <w:rFonts w:ascii="Century Schoolbook" w:hAnsi="Century Schoolbook" w:cs="Calibri"/>
          <w:i/>
          <w:sz w:val="27"/>
        </w:rPr>
        <w:t>id.</w:t>
      </w:r>
      <w:r w:rsidRPr="00CD1E4A">
        <w:rPr>
          <w:rFonts w:ascii="Century Schoolbook" w:hAnsi="Century Schoolbook" w:cs="Calibri"/>
          <w:sz w:val="27"/>
        </w:rPr>
        <w:t xml:space="preserve"> at p. 164 [prosecutor used three of 12 strikes to remove all three black jurors].)  In that case, the high court disapproved the “strong likelihood” standard, calling it “an inappropriate yardstick by which to measure the sufficiency of a prima facie case.”  (</w:t>
      </w:r>
      <w:r w:rsidRPr="00CD1E4A">
        <w:rPr>
          <w:rFonts w:ascii="Century Schoolbook" w:hAnsi="Century Schoolbook" w:cs="Calibri"/>
          <w:i/>
          <w:sz w:val="27"/>
        </w:rPr>
        <w:t>Id.</w:t>
      </w:r>
      <w:r w:rsidRPr="00CD1E4A">
        <w:rPr>
          <w:rFonts w:ascii="Century Schoolbook" w:hAnsi="Century Schoolbook" w:cs="Calibri"/>
          <w:sz w:val="27"/>
        </w:rPr>
        <w:t xml:space="preserve"> at p. 168.)</w:t>
      </w:r>
      <w:r w:rsidRPr="00CD1E4A">
        <w:rPr>
          <w:rFonts w:ascii="Century Schoolbook" w:hAnsi="Century Schoolbook"/>
          <w:sz w:val="27"/>
          <w:szCs w:val="27"/>
          <w:shd w:val="clear" w:color="auto" w:fill="FFFFFF"/>
        </w:rPr>
        <w:t xml:space="preserve">  “Instead,” the high court held, “a defendant satisfies the requirements of </w:t>
      </w:r>
      <w:r w:rsidRPr="00CD1E4A">
        <w:rPr>
          <w:rFonts w:ascii="Century Schoolbook" w:hAnsi="Century Schoolbook"/>
          <w:i/>
          <w:sz w:val="27"/>
          <w:szCs w:val="27"/>
          <w:shd w:val="clear" w:color="auto" w:fill="FFFFFF"/>
        </w:rPr>
        <w:t>Batson</w:t>
      </w:r>
      <w:r w:rsidRPr="00CD1E4A">
        <w:rPr>
          <w:rFonts w:ascii="Century Schoolbook" w:hAnsi="Century Schoolbook"/>
          <w:sz w:val="27"/>
          <w:szCs w:val="27"/>
          <w:shd w:val="clear" w:color="auto" w:fill="FFFFFF"/>
        </w:rPr>
        <w:t>’s first step by producing evidence sufficient to permit the trial judge to draw an inference that discrimination has occurred.”  (</w:t>
      </w:r>
      <w:r w:rsidRPr="00CD1E4A">
        <w:rPr>
          <w:rFonts w:ascii="Century Schoolbook" w:hAnsi="Century Schoolbook"/>
          <w:i/>
          <w:sz w:val="27"/>
          <w:szCs w:val="27"/>
          <w:shd w:val="clear" w:color="auto" w:fill="FFFFFF"/>
        </w:rPr>
        <w:t>Id.</w:t>
      </w:r>
      <w:r w:rsidRPr="00CD1E4A">
        <w:rPr>
          <w:rFonts w:ascii="Century Schoolbook" w:hAnsi="Century Schoolbook"/>
          <w:sz w:val="27"/>
          <w:szCs w:val="27"/>
          <w:shd w:val="clear" w:color="auto" w:fill="FFFFFF"/>
        </w:rPr>
        <w:t xml:space="preserve"> at p. 170.)  T</w:t>
      </w:r>
      <w:r w:rsidRPr="00CD1E4A">
        <w:rPr>
          <w:rFonts w:ascii="Century Schoolbook" w:hAnsi="Century Schoolbook" w:cs="Calibri"/>
          <w:sz w:val="27"/>
        </w:rPr>
        <w:t>hen, in concluding that the defendant had met this burden, the high court explained:  “</w:t>
      </w:r>
      <w:r w:rsidRPr="00CD1E4A">
        <w:rPr>
          <w:rFonts w:ascii="Century Schoolbook" w:hAnsi="Century Schoolbook"/>
          <w:color w:val="000000"/>
          <w:sz w:val="27"/>
          <w:szCs w:val="27"/>
          <w:shd w:val="clear" w:color="auto" w:fill="FFFFFF"/>
        </w:rPr>
        <w:t xml:space="preserve">In this case the inference of discrimination was sufficient to invoke a comment by the trial judge ‘that “we are very close,” ’ and on review, the California Supreme Court acknowledged that ‘it certainly looks suspicious that all three African-American prospective jurors were removed from the jury.’  [Citation.]  </w:t>
      </w:r>
      <w:r w:rsidRPr="00CD1E4A">
        <w:rPr>
          <w:rFonts w:ascii="Century Schoolbook" w:hAnsi="Century Schoolbook"/>
          <w:i/>
          <w:color w:val="000000"/>
          <w:sz w:val="27"/>
          <w:szCs w:val="27"/>
          <w:shd w:val="clear" w:color="auto" w:fill="FFFFFF"/>
        </w:rPr>
        <w:t>Those inferences that discrimination may have occurred were sufficient to establish a prima facie case under </w:t>
      </w:r>
      <w:r w:rsidRPr="00CD1E4A">
        <w:rPr>
          <w:rFonts w:ascii="Century Schoolbook" w:hAnsi="Century Schoolbook"/>
          <w:iCs/>
          <w:color w:val="000000"/>
          <w:sz w:val="27"/>
          <w:szCs w:val="27"/>
          <w:bdr w:val="none" w:sz="0" w:space="0" w:color="auto" w:frame="1"/>
        </w:rPr>
        <w:t>Batson.”  (</w:t>
      </w:r>
      <w:r w:rsidRPr="00CD1E4A">
        <w:rPr>
          <w:rFonts w:ascii="Century Schoolbook" w:hAnsi="Century Schoolbook"/>
          <w:i/>
          <w:iCs/>
          <w:color w:val="000000"/>
          <w:sz w:val="27"/>
          <w:szCs w:val="27"/>
          <w:bdr w:val="none" w:sz="0" w:space="0" w:color="auto" w:frame="1"/>
        </w:rPr>
        <w:t>Id.</w:t>
      </w:r>
      <w:r w:rsidRPr="00CD1E4A">
        <w:rPr>
          <w:rFonts w:ascii="Century Schoolbook" w:hAnsi="Century Schoolbook"/>
          <w:iCs/>
          <w:color w:val="000000"/>
          <w:sz w:val="27"/>
          <w:szCs w:val="27"/>
          <w:bdr w:val="none" w:sz="0" w:space="0" w:color="auto" w:frame="1"/>
        </w:rPr>
        <w:t xml:space="preserve"> at p. 173, italics added.)</w:t>
      </w:r>
    </w:p>
    <w:p w:rsidR="00CD1E4A" w:rsidRPr="00CD1E4A" w:rsidP="00CD1E4A">
      <w:pPr>
        <w:spacing w:after="100" w:line="400" w:lineRule="exact"/>
        <w:ind w:firstLine="720"/>
        <w:jc w:val="both"/>
        <w:rPr>
          <w:rFonts w:ascii="Century Schoolbook" w:hAnsi="Century Schoolbook" w:cs="Calibri"/>
          <w:sz w:val="27"/>
        </w:rPr>
      </w:pPr>
      <w:r w:rsidRPr="00CD1E4A">
        <w:rPr>
          <w:rFonts w:ascii="Century Schoolbook" w:hAnsi="Century Schoolbook" w:cs="Calibri"/>
          <w:sz w:val="27"/>
        </w:rPr>
        <w:t xml:space="preserve">If the evidence of discrimination is “very close” to meeting the “strong likelihood” standard, then logically it is sufficient to meet the less onerous “inference” standard.  Yet today’s opinion, sidestepping </w:t>
      </w:r>
      <w:r w:rsidRPr="00CD1E4A">
        <w:rPr>
          <w:rFonts w:ascii="Century Schoolbook" w:hAnsi="Century Schoolbook" w:cs="Calibri"/>
          <w:i/>
          <w:sz w:val="27"/>
        </w:rPr>
        <w:t>Johnson v. California</w:t>
      </w:r>
      <w:r w:rsidRPr="00CD1E4A">
        <w:rPr>
          <w:rFonts w:ascii="Century Schoolbook" w:hAnsi="Century Schoolbook" w:cs="Calibri"/>
          <w:sz w:val="27"/>
        </w:rPr>
        <w:t xml:space="preserve">’s logic, finds no inference of discrimination at </w:t>
      </w:r>
      <w:r w:rsidRPr="00CD1E4A">
        <w:rPr>
          <w:rFonts w:ascii="Century Schoolbook" w:hAnsi="Century Schoolbook" w:cs="Calibri"/>
          <w:i/>
          <w:sz w:val="27"/>
        </w:rPr>
        <w:t>Batson</w:t>
      </w:r>
      <w:r w:rsidRPr="00CD1E4A">
        <w:rPr>
          <w:rFonts w:ascii="Century Schoolbook" w:hAnsi="Century Schoolbook" w:cs="Calibri"/>
          <w:sz w:val="27"/>
        </w:rPr>
        <w:t>’s first step.  How is this possible?  “[M]ost importantly,” the court says, “</w:t>
      </w:r>
      <w:r w:rsidRPr="00CD1E4A">
        <w:rPr>
          <w:rFonts w:ascii="Century Schoolbook" w:hAnsi="Century Schoolbook"/>
          <w:sz w:val="27"/>
        </w:rPr>
        <w:t>the record discloses readily apparent grounds for excusing each prospective juror, dispelling any inference of bias that might arise from the pattern of strikes alone</w:t>
      </w:r>
      <w:r w:rsidRPr="00CD1E4A">
        <w:rPr>
          <w:rFonts w:ascii="Century Schoolbook" w:hAnsi="Century Schoolbook" w:cs="Calibri"/>
          <w:sz w:val="27"/>
        </w:rPr>
        <w:t xml:space="preserve">.”  </w:t>
      </w:r>
      <w:r w:rsidRPr="00CD1E4A">
        <w:rPr>
          <w:rFonts w:ascii="Century Schoolbook" w:hAnsi="Century Schoolbook"/>
          <w:sz w:val="27"/>
        </w:rPr>
        <w:t xml:space="preserve">(Maj. opn., </w:t>
      </w:r>
      <w:r w:rsidRPr="00CD1E4A">
        <w:rPr>
          <w:rFonts w:ascii="Century Schoolbook" w:hAnsi="Century Schoolbook"/>
          <w:i/>
          <w:sz w:val="27"/>
        </w:rPr>
        <w:t>ante</w:t>
      </w:r>
      <w:r w:rsidRPr="00CD1E4A">
        <w:rPr>
          <w:rFonts w:ascii="Century Schoolbook" w:hAnsi="Century Schoolbook"/>
          <w:sz w:val="27"/>
        </w:rPr>
        <w:t>, at p. 65.)</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As I discuss below, this mode of analysis — hypothesizing reasons for the removal of minority jurors as a basis for obviating inquiry into the prosecutor’s actual reasons — has become a staple of our </w:t>
      </w:r>
      <w:r w:rsidRPr="00CD1E4A">
        <w:rPr>
          <w:rFonts w:ascii="Century Schoolbook" w:hAnsi="Century Schoolbook"/>
          <w:i/>
          <w:sz w:val="27"/>
        </w:rPr>
        <w:t>Batson</w:t>
      </w:r>
      <w:r w:rsidRPr="00CD1E4A">
        <w:rPr>
          <w:rFonts w:ascii="Century Schoolbook" w:hAnsi="Century Schoolbook"/>
          <w:sz w:val="27"/>
        </w:rPr>
        <w:t xml:space="preserve"> jurisprudence, and it raises serious concerns.  “The </w:t>
      </w:r>
      <w:r w:rsidRPr="00CD1E4A">
        <w:rPr>
          <w:rFonts w:ascii="Century Schoolbook" w:hAnsi="Century Schoolbook"/>
          <w:i/>
          <w:sz w:val="27"/>
        </w:rPr>
        <w:t>Batson</w:t>
      </w:r>
      <w:r w:rsidRPr="00CD1E4A">
        <w:rPr>
          <w:rFonts w:ascii="Century Schoolbook" w:hAnsi="Century Schoolbook"/>
          <w:sz w:val="27"/>
        </w:rPr>
        <w:t xml:space="preserve"> framework is designed to produce actual answers” — not hypothesized answers — “to suspicions and inferences that discrimination may have infected the jury selection process.”  (</w:t>
      </w:r>
      <w:r w:rsidRPr="00CD1E4A">
        <w:rPr>
          <w:rFonts w:ascii="Century Schoolbook" w:hAnsi="Century Schoolbook"/>
          <w:i/>
          <w:sz w:val="27"/>
        </w:rPr>
        <w:t>Johnson v. California</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545 U.S. at p. 172.)  If an inference of bias is to be dispelled, it is up to the prosecutor to dispel it by stating credible, race-neutral reasons for the strikes.  It is not the proper role of courts to posit reasons that the prosecutor might or might not have had.  This case illustrates the problem:  By combing the record for “readily apparent” reasons for the strikes (which, on close inspection, are not readily apparent at all), the court does exactly what </w:t>
      </w:r>
      <w:r w:rsidRPr="00CD1E4A">
        <w:rPr>
          <w:rFonts w:ascii="Century Schoolbook" w:hAnsi="Century Schoolbook"/>
          <w:i/>
          <w:sz w:val="27"/>
        </w:rPr>
        <w:t>Johnson v. California</w:t>
      </w:r>
      <w:r w:rsidRPr="00CD1E4A">
        <w:rPr>
          <w:rFonts w:ascii="Century Schoolbook" w:hAnsi="Century Schoolbook"/>
          <w:sz w:val="27"/>
        </w:rPr>
        <w:t xml:space="preserve"> “counsels against”:  It “engag[es] in needless and imperfect speculation when a direct answer can be obtained by asking a simple question.”  (</w:t>
      </w:r>
      <w:r w:rsidRPr="00CD1E4A">
        <w:rPr>
          <w:rFonts w:ascii="Century Schoolbook" w:hAnsi="Century Schoolbook"/>
          <w:i/>
          <w:sz w:val="27"/>
        </w:rPr>
        <w:t>Ibid.</w:t>
      </w:r>
      <w:r w:rsidRPr="00CD1E4A">
        <w:rPr>
          <w:rFonts w:ascii="Century Schoolbook" w:hAnsi="Century Schoolbook"/>
          <w:sz w:val="27"/>
        </w:rPr>
        <w:t>)</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The court’s opinion coincides with a decision, also filed today, finding no inference of discrimination where the prosecutor disproportionately excused black jurors in the penalty trial of a black defendant accused of killing a white man and raping a white woman.  (</w:t>
      </w:r>
      <w:r w:rsidRPr="00CD1E4A">
        <w:rPr>
          <w:rFonts w:ascii="Century Schoolbook" w:hAnsi="Century Schoolbook"/>
          <w:i/>
          <w:sz w:val="27"/>
        </w:rPr>
        <w:t>People v. Johnson</w:t>
      </w:r>
      <w:r w:rsidRPr="00CD1E4A">
        <w:rPr>
          <w:rFonts w:ascii="Century Schoolbook" w:hAnsi="Century Schoolbook"/>
          <w:sz w:val="27"/>
        </w:rPr>
        <w:t xml:space="preserve"> (Nov. 25, 2019, S029551) __ Cal.5th __, __ [p. 41].)  The prosecutor there was asked but declined to answer whether he targeted black prospective jurors for criminal background checks.  (</w:t>
      </w:r>
      <w:r w:rsidRPr="00CD1E4A">
        <w:rPr>
          <w:rFonts w:ascii="Century Schoolbook" w:hAnsi="Century Schoolbook"/>
          <w:i/>
          <w:sz w:val="27"/>
        </w:rPr>
        <w:t>Id.</w:t>
      </w:r>
      <w:r w:rsidRPr="00CD1E4A">
        <w:rPr>
          <w:rFonts w:ascii="Century Schoolbook" w:hAnsi="Century Schoolbook"/>
          <w:sz w:val="27"/>
        </w:rPr>
        <w:t xml:space="preserve"> at p. __ [p. 35].)  Of course, each case must be evaluated on its own facts.  But if we consider today’s decisions together and alongside others in our case law, some unsettling observations emerge.</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It has been more than 30 years since this court has found </w:t>
      </w:r>
      <w:r w:rsidRPr="00CD1E4A">
        <w:rPr>
          <w:rFonts w:ascii="Century Schoolbook" w:hAnsi="Century Schoolbook"/>
          <w:i/>
          <w:sz w:val="27"/>
        </w:rPr>
        <w:t>Batson</w:t>
      </w:r>
      <w:r w:rsidRPr="00CD1E4A">
        <w:rPr>
          <w:rFonts w:ascii="Century Schoolbook" w:hAnsi="Century Schoolbook"/>
          <w:sz w:val="27"/>
        </w:rPr>
        <w:t xml:space="preserve"> error involving the peremptory strike of a black juror.  (See </w:t>
      </w:r>
      <w:r w:rsidRPr="00CD1E4A">
        <w:rPr>
          <w:rFonts w:ascii="Century Schoolbook" w:hAnsi="Century Schoolbook"/>
          <w:i/>
          <w:sz w:val="27"/>
        </w:rPr>
        <w:t>People v. Snow</w:t>
      </w:r>
      <w:r w:rsidRPr="00CD1E4A">
        <w:rPr>
          <w:rFonts w:ascii="Century Schoolbook" w:hAnsi="Century Schoolbook"/>
          <w:sz w:val="27"/>
        </w:rPr>
        <w:t xml:space="preserve"> (1987) 44 Cal.3d 216.)  </w:t>
      </w:r>
      <w:bookmarkStart w:id="35" w:name="_Hlk22813526"/>
      <w:r w:rsidRPr="00CD1E4A">
        <w:rPr>
          <w:rFonts w:ascii="Century Schoolbook" w:hAnsi="Century Schoolbook"/>
          <w:sz w:val="27"/>
        </w:rPr>
        <w:t xml:space="preserve">In the 14 years since </w:t>
      </w:r>
      <w:r w:rsidRPr="00CD1E4A">
        <w:rPr>
          <w:rFonts w:ascii="Century Schoolbook" w:hAnsi="Century Schoolbook"/>
          <w:i/>
          <w:sz w:val="27"/>
        </w:rPr>
        <w:t>Johnson v. California</w:t>
      </w:r>
      <w:r w:rsidRPr="00CD1E4A">
        <w:rPr>
          <w:rFonts w:ascii="Century Schoolbook" w:hAnsi="Century Schoolbook"/>
          <w:sz w:val="27"/>
        </w:rPr>
        <w:t xml:space="preserve">, this court </w:t>
      </w:r>
      <w:r w:rsidRPr="00CD1E4A">
        <w:rPr>
          <w:rFonts w:ascii="Century Schoolbook" w:hAnsi="Century Schoolbook"/>
          <w:sz w:val="27"/>
          <w:szCs w:val="26"/>
        </w:rPr>
        <w:t xml:space="preserve">has reviewed the merits of a first-stage </w:t>
      </w:r>
      <w:r w:rsidRPr="00CD1E4A">
        <w:rPr>
          <w:rFonts w:ascii="Century Schoolbook" w:hAnsi="Century Schoolbook"/>
          <w:i/>
          <w:sz w:val="27"/>
          <w:szCs w:val="26"/>
        </w:rPr>
        <w:t>Batson</w:t>
      </w:r>
      <w:r w:rsidRPr="00CD1E4A">
        <w:rPr>
          <w:rFonts w:ascii="Century Schoolbook" w:hAnsi="Century Schoolbook"/>
          <w:sz w:val="27"/>
        </w:rPr>
        <w:t xml:space="preserve"> denial in </w:t>
      </w:r>
      <w:r w:rsidRPr="00CD1E4A">
        <w:rPr>
          <w:rFonts w:ascii="Century Schoolbook" w:hAnsi="Century Schoolbook"/>
          <w:sz w:val="27"/>
          <w:szCs w:val="26"/>
        </w:rPr>
        <w:t xml:space="preserve">42 cases, all death penalty appeals.  (See appen., </w:t>
      </w:r>
      <w:r w:rsidRPr="00CD1E4A">
        <w:rPr>
          <w:rFonts w:ascii="Century Schoolbook" w:hAnsi="Century Schoolbook"/>
          <w:i/>
          <w:sz w:val="27"/>
          <w:szCs w:val="26"/>
        </w:rPr>
        <w:t>post</w:t>
      </w:r>
      <w:r w:rsidRPr="00CD1E4A">
        <w:rPr>
          <w:rFonts w:ascii="Century Schoolbook" w:hAnsi="Century Schoolbook"/>
          <w:sz w:val="27"/>
          <w:szCs w:val="26"/>
        </w:rPr>
        <w:t>, at p. 25.)  Not once did this court find a prima facie case of discrimination — even though all 42 cases were tried</w:t>
      </w:r>
      <w:r w:rsidRPr="00CD1E4A">
        <w:rPr>
          <w:rFonts w:ascii="Century Schoolbook" w:hAnsi="Century Schoolbook"/>
          <w:i/>
          <w:sz w:val="27"/>
          <w:szCs w:val="26"/>
        </w:rPr>
        <w:t xml:space="preserve"> </w:t>
      </w:r>
      <w:r w:rsidRPr="00CD1E4A">
        <w:rPr>
          <w:rFonts w:ascii="Century Schoolbook" w:hAnsi="Century Schoolbook"/>
          <w:sz w:val="27"/>
          <w:szCs w:val="26"/>
        </w:rPr>
        <w:t xml:space="preserve">before </w:t>
      </w:r>
      <w:r w:rsidRPr="00CD1E4A">
        <w:rPr>
          <w:rFonts w:ascii="Century Schoolbook" w:hAnsi="Century Schoolbook"/>
          <w:i/>
          <w:sz w:val="27"/>
          <w:szCs w:val="26"/>
        </w:rPr>
        <w:t>Johnson v. California</w:t>
      </w:r>
      <w:r w:rsidRPr="00CD1E4A">
        <w:rPr>
          <w:rFonts w:ascii="Century Schoolbook" w:hAnsi="Century Schoolbook"/>
          <w:sz w:val="27"/>
          <w:szCs w:val="26"/>
        </w:rPr>
        <w:t xml:space="preserve"> disapproved the “strong likelihood” standard and held that “an inference of discrimination” is enough.</w:t>
      </w:r>
      <w:bookmarkEnd w:id="35"/>
      <w:r w:rsidRPr="00CD1E4A">
        <w:rPr>
          <w:rFonts w:ascii="Century Schoolbook" w:hAnsi="Century Schoolbook"/>
          <w:sz w:val="27"/>
          <w:szCs w:val="26"/>
        </w:rPr>
        <w:t xml:space="preserve">  In light of this remarkable uniformity of results, I am concerned that “</w:t>
      </w:r>
      <w:r w:rsidRPr="00CD1E4A">
        <w:rPr>
          <w:rFonts w:ascii="Century Schoolbook" w:hAnsi="Century Schoolbook" w:cs="TimesNewRomanPSMT"/>
          <w:sz w:val="27"/>
          <w:szCs w:val="27"/>
        </w:rPr>
        <w:t>this court has improperly elevated the standard for establishing a prima facie case beyond the showing that the high court has deemed sufficient to trigger a prosecutor’s obligation to state the actual reasons for the strike</w:t>
      </w:r>
      <w:r w:rsidRPr="00CD1E4A">
        <w:rPr>
          <w:rFonts w:ascii="Century Schoolbook" w:hAnsi="Century Schoolbook"/>
          <w:sz w:val="27"/>
        </w:rPr>
        <w:t xml:space="preserve">.”  </w:t>
      </w:r>
      <w:r w:rsidRPr="00CD1E4A">
        <w:rPr>
          <w:rFonts w:ascii="Century Schoolbook" w:hAnsi="Century Schoolbook"/>
          <w:i/>
          <w:sz w:val="27"/>
        </w:rPr>
        <w:t>(People v. Harris</w:t>
      </w:r>
      <w:r w:rsidRPr="00CD1E4A">
        <w:rPr>
          <w:rFonts w:ascii="Century Schoolbook" w:hAnsi="Century Schoolbook"/>
          <w:sz w:val="27"/>
        </w:rPr>
        <w:t xml:space="preserve"> (2013) 57 Cal.4th 804, 864 (conc. opn. of Liu, J.) (</w:t>
      </w:r>
      <w:r w:rsidRPr="00CD1E4A">
        <w:rPr>
          <w:rFonts w:ascii="Century Schoolbook" w:hAnsi="Century Schoolbook"/>
          <w:i/>
          <w:sz w:val="27"/>
        </w:rPr>
        <w:t>Harris</w:t>
      </w:r>
      <w:r w:rsidRPr="00CD1E4A">
        <w:rPr>
          <w:rFonts w:ascii="Century Schoolbook" w:hAnsi="Century Schoolbook"/>
          <w:sz w:val="27"/>
        </w:rPr>
        <w:t>).)  Today’s decisions are the latest steps on what has been a one-way road, and I submit it is past time for a course correction.</w:t>
      </w:r>
    </w:p>
    <w:p w:rsidR="00CD1E4A" w:rsidRPr="00CD1E4A" w:rsidP="00CD1E4A">
      <w:pPr>
        <w:keepNext/>
        <w:spacing w:after="100" w:line="400" w:lineRule="exact"/>
        <w:jc w:val="center"/>
        <w:rPr>
          <w:rFonts w:ascii="Century Schoolbook" w:hAnsi="Century Schoolbook"/>
          <w:b/>
          <w:sz w:val="27"/>
        </w:rPr>
      </w:pPr>
      <w:r w:rsidRPr="00CD1E4A">
        <w:rPr>
          <w:rFonts w:ascii="Century Schoolbook" w:hAnsi="Century Schoolbook"/>
          <w:b/>
          <w:sz w:val="27"/>
        </w:rPr>
        <w:t>I.</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The penalty retrial in this case began in 1998 in Sacramento County, </w:t>
      </w:r>
      <w:r w:rsidRPr="00CD1E4A">
        <w:rPr>
          <w:rFonts w:ascii="Century Schoolbook" w:hAnsi="Century Schoolbook"/>
          <w:sz w:val="27"/>
          <w:szCs w:val="26"/>
        </w:rPr>
        <w:t>a community that was 64 percent white and 10 percent black at the time.  (</w:t>
      </w:r>
      <w:r w:rsidRPr="00CD1E4A">
        <w:rPr>
          <w:rFonts w:ascii="Century Schoolbook" w:hAnsi="Century Schoolbook"/>
          <w:sz w:val="27"/>
        </w:rPr>
        <w:t>U.S. Census Bureau, 2000 Census of Population and Housing, Summary Population and Housing Characteristics:  California (2002) p. 112.</w:t>
      </w:r>
      <w:r w:rsidRPr="00CD1E4A">
        <w:rPr>
          <w:rFonts w:ascii="Century Schoolbook" w:hAnsi="Century Schoolbook"/>
          <w:sz w:val="27"/>
          <w:szCs w:val="26"/>
        </w:rPr>
        <w:t xml:space="preserve">)  Rhoades, a white man, </w:t>
      </w:r>
      <w:r w:rsidRPr="00CD1E4A">
        <w:rPr>
          <w:rFonts w:ascii="Century Schoolbook" w:hAnsi="Century Schoolbook"/>
          <w:sz w:val="27"/>
        </w:rPr>
        <w:t xml:space="preserve">was convicted of killing a white eight-year-old boy.  </w:t>
      </w:r>
      <w:bookmarkStart w:id="36" w:name="_Hlk22936339"/>
      <w:r w:rsidRPr="00CD1E4A">
        <w:rPr>
          <w:rFonts w:ascii="Century Schoolbook" w:hAnsi="Century Schoolbook"/>
          <w:sz w:val="27"/>
        </w:rPr>
        <w:t xml:space="preserve">Defense counsel made his first </w:t>
      </w:r>
      <w:r w:rsidRPr="00CD1E4A">
        <w:rPr>
          <w:rFonts w:ascii="Century Schoolbook" w:hAnsi="Century Schoolbook"/>
          <w:i/>
          <w:sz w:val="27"/>
        </w:rPr>
        <w:t>Batson</w:t>
      </w:r>
      <w:r w:rsidRPr="00CD1E4A">
        <w:rPr>
          <w:rFonts w:ascii="Century Schoolbook" w:hAnsi="Century Schoolbook"/>
          <w:sz w:val="27"/>
        </w:rPr>
        <w:t xml:space="preserve"> motion after the prosecution used three of five peremptory strikes to remove three black women:  </w:t>
      </w:r>
      <w:bookmarkStart w:id="37" w:name="_Hlk22821162"/>
      <w:r w:rsidRPr="00CD1E4A">
        <w:rPr>
          <w:rFonts w:ascii="Century Schoolbook" w:hAnsi="Century Schoolbook"/>
          <w:sz w:val="27"/>
        </w:rPr>
        <w:t>Shirley R., Adrienne A., and Alice S.  The trial court denied the motion, and the prosecution declined the court’s invitation to state reasons for the record.  The prosecution later excused a fourth black woman, Alicia R.</w:t>
      </w:r>
      <w:bookmarkEnd w:id="37"/>
      <w:r w:rsidRPr="00CD1E4A">
        <w:rPr>
          <w:rFonts w:ascii="Century Schoolbook" w:hAnsi="Century Schoolbook"/>
          <w:sz w:val="27"/>
        </w:rPr>
        <w:t xml:space="preserve">, leaving no black jurors on the panel.  At that point, the prosecution had used four of eight strikes against black women, and defense counsel made a second </w:t>
      </w:r>
      <w:r w:rsidRPr="00CD1E4A">
        <w:rPr>
          <w:rFonts w:ascii="Century Schoolbook" w:hAnsi="Century Schoolbook"/>
          <w:i/>
          <w:sz w:val="27"/>
        </w:rPr>
        <w:t>Batson</w:t>
      </w:r>
      <w:r w:rsidRPr="00CD1E4A">
        <w:rPr>
          <w:rFonts w:ascii="Century Schoolbook" w:hAnsi="Century Schoolbook"/>
          <w:sz w:val="27"/>
        </w:rPr>
        <w:t xml:space="preserve"> motion.  Three additional jurors were subsequently seate</w:t>
      </w:r>
      <w:bookmarkEnd w:id="36"/>
      <w:r w:rsidRPr="00CD1E4A">
        <w:rPr>
          <w:rFonts w:ascii="Century Schoolbook" w:hAnsi="Century Schoolbook"/>
          <w:sz w:val="27"/>
        </w:rPr>
        <w:t>d on the main panel.</w:t>
      </w:r>
    </w:p>
    <w:p w:rsidR="00CD1E4A" w:rsidRPr="00CD1E4A" w:rsidP="00CD1E4A">
      <w:pPr>
        <w:spacing w:after="100" w:line="400" w:lineRule="exact"/>
        <w:jc w:val="both"/>
        <w:rPr>
          <w:rFonts w:ascii="Century Schoolbook" w:hAnsi="Century Schoolbook"/>
          <w:sz w:val="27"/>
        </w:rPr>
      </w:pPr>
      <w:r w:rsidRPr="00CD1E4A">
        <w:rPr>
          <w:rFonts w:ascii="Century Schoolbook" w:hAnsi="Century Schoolbook"/>
          <w:sz w:val="27"/>
        </w:rPr>
        <w:tab/>
        <w:t xml:space="preserve">After the second </w:t>
      </w:r>
      <w:r w:rsidRPr="00CD1E4A">
        <w:rPr>
          <w:rFonts w:ascii="Century Schoolbook" w:hAnsi="Century Schoolbook"/>
          <w:i/>
          <w:sz w:val="27"/>
        </w:rPr>
        <w:t>Batson</w:t>
      </w:r>
      <w:r w:rsidRPr="00CD1E4A">
        <w:rPr>
          <w:rFonts w:ascii="Century Schoolbook" w:hAnsi="Century Schoolbook"/>
          <w:sz w:val="27"/>
        </w:rPr>
        <w:t xml:space="preserve"> motion, the prosecution gave the trial court a copy of </w:t>
      </w:r>
      <w:r w:rsidRPr="00CD1E4A">
        <w:rPr>
          <w:rFonts w:ascii="Century Schoolbook" w:hAnsi="Century Schoolbook"/>
          <w:i/>
          <w:sz w:val="27"/>
        </w:rPr>
        <w:t>Howard</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1 Cal.4th 1132, which held that the “strong likelihood” standard applied at </w:t>
      </w:r>
      <w:r w:rsidRPr="00CD1E4A">
        <w:rPr>
          <w:rFonts w:ascii="Century Schoolbook" w:hAnsi="Century Schoolbook"/>
          <w:i/>
          <w:sz w:val="27"/>
        </w:rPr>
        <w:t>Batson</w:t>
      </w:r>
      <w:r w:rsidRPr="00CD1E4A">
        <w:rPr>
          <w:rFonts w:ascii="Century Schoolbook" w:hAnsi="Century Schoolbook"/>
          <w:sz w:val="27"/>
        </w:rPr>
        <w:t xml:space="preserve">’s first step.  Defense counsel argued that he needed to show only “that the relevant circumstances raise an inference that the government use [sic] the challenges to exclude a class of jurors because of their race.”  Defense counsel observed that none of the struck jurors had been challenged for cause for their death penalty views and that there were “no discernable differences” between the struck jurors and those remaining in the jury box, citing “Relatives in prison,” “Formerly victims of assault,” “Strong religious views,” and “Volunteers somehow related to WEAVE” as similarities.  One prosecutor said, “Oh, I think there are significant differences,” but declined to elaborate when asked to do so because the trial court had not yet found a prima facie case. </w:t>
      </w:r>
    </w:p>
    <w:p w:rsidR="00CD1E4A" w:rsidRPr="00CD1E4A" w:rsidP="00CD1E4A">
      <w:pPr>
        <w:spacing w:after="100" w:line="400" w:lineRule="exact"/>
        <w:jc w:val="both"/>
        <w:rPr>
          <w:rFonts w:ascii="Century Schoolbook" w:hAnsi="Century Schoolbook"/>
          <w:sz w:val="27"/>
        </w:rPr>
      </w:pPr>
      <w:r w:rsidRPr="00CD1E4A">
        <w:rPr>
          <w:rFonts w:ascii="Century Schoolbook" w:hAnsi="Century Schoolbook"/>
          <w:sz w:val="27"/>
        </w:rPr>
        <w:tab/>
        <w:t xml:space="preserve">The prosecutor again insisted that “a strong likelihood” was required and that defense counsel’s showing did not “rise to the level to [sic] the standards set out in </w:t>
      </w:r>
      <w:r w:rsidRPr="00CD1E4A">
        <w:rPr>
          <w:rFonts w:ascii="Century Schoolbook" w:hAnsi="Century Schoolbook"/>
          <w:i/>
          <w:sz w:val="27"/>
        </w:rPr>
        <w:t>People v. Howard</w:t>
      </w:r>
      <w:r w:rsidRPr="00CD1E4A">
        <w:rPr>
          <w:rFonts w:ascii="Century Schoolbook" w:hAnsi="Century Schoolbook"/>
          <w:sz w:val="27"/>
        </w:rPr>
        <w:t xml:space="preserve"> or </w:t>
      </w:r>
      <w:r w:rsidRPr="00CD1E4A">
        <w:rPr>
          <w:rFonts w:ascii="Century Schoolbook" w:hAnsi="Century Schoolbook"/>
          <w:i/>
          <w:sz w:val="27"/>
        </w:rPr>
        <w:t>People v. Wheeler</w:t>
      </w:r>
      <w:r w:rsidRPr="00CD1E4A">
        <w:rPr>
          <w:rFonts w:ascii="Century Schoolbook" w:hAnsi="Century Schoolbook"/>
          <w:sz w:val="27"/>
        </w:rPr>
        <w:t xml:space="preserve">.”  The trial court compared the prosecution’s strikes with the pattern of strikes in </w:t>
      </w:r>
      <w:r w:rsidRPr="00CD1E4A">
        <w:rPr>
          <w:rFonts w:ascii="Century Schoolbook" w:hAnsi="Century Schoolbook"/>
          <w:i/>
          <w:sz w:val="27"/>
        </w:rPr>
        <w:t>Howard</w:t>
      </w:r>
      <w:r w:rsidRPr="00CD1E4A">
        <w:rPr>
          <w:rFonts w:ascii="Century Schoolbook" w:hAnsi="Century Schoolbook"/>
          <w:sz w:val="27"/>
        </w:rPr>
        <w:t xml:space="preserve"> and said, “The distinction that’s bothering me in the case that you cite . . . you have essentially two out of eleven [in </w:t>
      </w:r>
      <w:r w:rsidRPr="00CD1E4A">
        <w:rPr>
          <w:rFonts w:ascii="Century Schoolbook" w:hAnsi="Century Schoolbook"/>
          <w:i/>
          <w:sz w:val="27"/>
        </w:rPr>
        <w:t>Howard</w:t>
      </w:r>
      <w:r w:rsidRPr="00CD1E4A">
        <w:rPr>
          <w:rFonts w:ascii="Century Schoolbook" w:hAnsi="Century Schoolbook"/>
          <w:sz w:val="27"/>
        </w:rPr>
        <w:t xml:space="preserve">] . . . [a]nd in this case, you had four out of eight?  That’s quite a distinction, isn’t it?”  The prosecutor maintained that more was required under </w:t>
      </w:r>
      <w:r w:rsidRPr="00CD1E4A">
        <w:rPr>
          <w:rFonts w:ascii="Century Schoolbook" w:hAnsi="Century Schoolbook"/>
          <w:i/>
          <w:sz w:val="27"/>
        </w:rPr>
        <w:t>Howard</w:t>
      </w:r>
      <w:r w:rsidRPr="00CD1E4A">
        <w:rPr>
          <w:rFonts w:ascii="Century Schoolbook" w:hAnsi="Century Schoolbook"/>
          <w:sz w:val="27"/>
        </w:rPr>
        <w:t>, and defense counsel reiterated that there were “no discernable differences” between the struck jurors and other jurors.  The trial court again invited the prosecutor to describe how the jurors were different; the prosecution again declined.</w:t>
      </w:r>
    </w:p>
    <w:p w:rsidR="00CD1E4A" w:rsidRPr="00CD1E4A" w:rsidP="00CD1E4A">
      <w:pPr>
        <w:spacing w:after="100" w:line="400" w:lineRule="exact"/>
        <w:jc w:val="both"/>
        <w:rPr>
          <w:rFonts w:ascii="Century Schoolbook" w:hAnsi="Century Schoolbook"/>
          <w:sz w:val="27"/>
        </w:rPr>
      </w:pPr>
      <w:r w:rsidRPr="00CD1E4A">
        <w:rPr>
          <w:rFonts w:ascii="Century Schoolbook" w:hAnsi="Century Schoolbook"/>
          <w:sz w:val="27"/>
        </w:rPr>
        <w:tab/>
        <w:t xml:space="preserve">The trial court denied the </w:t>
      </w:r>
      <w:r w:rsidRPr="00CD1E4A">
        <w:rPr>
          <w:rFonts w:ascii="Century Schoolbook" w:hAnsi="Century Schoolbook"/>
          <w:i/>
          <w:sz w:val="27"/>
        </w:rPr>
        <w:t>Batson</w:t>
      </w:r>
      <w:r w:rsidRPr="00CD1E4A">
        <w:rPr>
          <w:rFonts w:ascii="Century Schoolbook" w:hAnsi="Century Schoolbook"/>
          <w:sz w:val="27"/>
        </w:rPr>
        <w:t xml:space="preserve"> motion under “the authority of this </w:t>
      </w:r>
      <w:r w:rsidRPr="00CD1E4A">
        <w:rPr>
          <w:rFonts w:ascii="Century Schoolbook" w:hAnsi="Century Schoolbook"/>
          <w:i/>
          <w:sz w:val="27"/>
        </w:rPr>
        <w:t>Howard</w:t>
      </w:r>
      <w:r w:rsidRPr="00CD1E4A">
        <w:rPr>
          <w:rFonts w:ascii="Century Schoolbook" w:hAnsi="Century Schoolbook"/>
          <w:sz w:val="27"/>
        </w:rPr>
        <w:t xml:space="preserve"> case” but warned that “any further matters of this kind will weigh heavily on this Court . . . .  I’ve indicated how the Court feels at this juncture.  I’m very close, I’m going to go with </w:t>
      </w:r>
      <w:r w:rsidRPr="00CD1E4A">
        <w:rPr>
          <w:rFonts w:ascii="Century Schoolbook" w:hAnsi="Century Schoolbook"/>
          <w:i/>
          <w:sz w:val="27"/>
        </w:rPr>
        <w:t>Howard</w:t>
      </w:r>
      <w:r w:rsidRPr="00CD1E4A">
        <w:rPr>
          <w:rFonts w:ascii="Century Schoolbook" w:hAnsi="Century Schoolbook"/>
          <w:sz w:val="27"/>
        </w:rPr>
        <w:t xml:space="preserve"> for the time being, but if I see very much more of this, I’m going to indicate to you, you may well have a serious problem on your hands.”</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These circumstances readily support an inference of discrimination.  At the time of the second </w:t>
      </w:r>
      <w:r w:rsidRPr="00CD1E4A">
        <w:rPr>
          <w:rFonts w:ascii="Century Schoolbook" w:hAnsi="Century Schoolbook"/>
          <w:i/>
          <w:sz w:val="27"/>
        </w:rPr>
        <w:t>Batson</w:t>
      </w:r>
      <w:r w:rsidRPr="00CD1E4A">
        <w:rPr>
          <w:rFonts w:ascii="Century Schoolbook" w:hAnsi="Century Schoolbook"/>
          <w:sz w:val="27"/>
        </w:rPr>
        <w:t xml:space="preserve"> motion, the prosecutors had accepted no black jurors; instead, they had removed all the black jurors they could have removed up to that point.  And there is no indication that the prosecutors later accepted a black juror.  Further, as today’s opinion concedes, “the prosecutors’ use of half their strikes against the four African-American prospective jurors was substantially disproportionate to the representation of African-Americans in the jury pool” given the demographic makeup of the community.  (Maj. opn., </w:t>
      </w:r>
      <w:r w:rsidRPr="00CD1E4A">
        <w:rPr>
          <w:rFonts w:ascii="Century Schoolbook" w:hAnsi="Century Schoolbook"/>
          <w:i/>
          <w:sz w:val="27"/>
        </w:rPr>
        <w:t>ante</w:t>
      </w:r>
      <w:r w:rsidRPr="00CD1E4A">
        <w:rPr>
          <w:rFonts w:ascii="Century Schoolbook" w:hAnsi="Century Schoolbook"/>
          <w:sz w:val="27"/>
        </w:rPr>
        <w:t>, at p. 52.)  The record makes clear that the pattern of strikes caught the attention of the trial court as well.</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It is true that this case does not involve “ ‘ “[r]acial identity between the defendant and the excused person.” ’ ”  (Maj. opn., </w:t>
      </w:r>
      <w:r w:rsidRPr="00CD1E4A">
        <w:rPr>
          <w:rFonts w:ascii="Century Schoolbook" w:hAnsi="Century Schoolbook"/>
          <w:i/>
          <w:sz w:val="27"/>
        </w:rPr>
        <w:t>ante</w:t>
      </w:r>
      <w:r w:rsidRPr="00CD1E4A">
        <w:rPr>
          <w:rFonts w:ascii="Century Schoolbook" w:hAnsi="Century Schoolbook"/>
          <w:sz w:val="27"/>
        </w:rPr>
        <w:t>, at p. 53.)  But assuming the jury’s racial composition approximated the demographics of the community, it is likely that this case involved “ ‘ “[r]acial identity . . . between the victim and the majority of remaining jurors.” ’ ”  (</w:t>
      </w:r>
      <w:r w:rsidRPr="00CD1E4A">
        <w:rPr>
          <w:rFonts w:ascii="Century Schoolbook" w:hAnsi="Century Schoolbook"/>
          <w:i/>
          <w:sz w:val="27"/>
        </w:rPr>
        <w:t>Ibid.</w:t>
      </w:r>
      <w:r w:rsidRPr="00CD1E4A">
        <w:rPr>
          <w:rFonts w:ascii="Century Schoolbook" w:hAnsi="Century Schoolbook"/>
          <w:sz w:val="27"/>
        </w:rPr>
        <w:t>)  In capital cases involving white victims, it is entirely plausible that prosecutors may be motivated to seat white jurors.  And whether a prosecutor strikes a black juror in order to seat fewer black jurors or to seat more white jurors, it is discrimination all the same.</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What the record also makes clear is that the trial court believed it was bound by </w:t>
      </w:r>
      <w:r w:rsidRPr="00CD1E4A">
        <w:rPr>
          <w:rFonts w:ascii="Century Schoolbook" w:hAnsi="Century Schoolbook"/>
          <w:i/>
          <w:sz w:val="27"/>
        </w:rPr>
        <w:t>Howard</w:t>
      </w:r>
      <w:r w:rsidRPr="00CD1E4A">
        <w:rPr>
          <w:rFonts w:ascii="Century Schoolbook" w:hAnsi="Century Schoolbook"/>
          <w:sz w:val="27"/>
        </w:rPr>
        <w:t xml:space="preserve">’s “strong likelihood” standard and had that standard clearly in mind when it denied the </w:t>
      </w:r>
      <w:r w:rsidRPr="00CD1E4A">
        <w:rPr>
          <w:rFonts w:ascii="Century Schoolbook" w:hAnsi="Century Schoolbook"/>
          <w:i/>
          <w:sz w:val="27"/>
        </w:rPr>
        <w:t>Batson</w:t>
      </w:r>
      <w:r w:rsidRPr="00CD1E4A">
        <w:rPr>
          <w:rFonts w:ascii="Century Schoolbook" w:hAnsi="Century Schoolbook"/>
          <w:sz w:val="27"/>
        </w:rPr>
        <w:t xml:space="preserve"> motion and said, “I’m very close.”  </w:t>
      </w:r>
      <w:bookmarkStart w:id="38" w:name="_Hlk24615716"/>
      <w:r w:rsidRPr="00CD1E4A">
        <w:rPr>
          <w:rFonts w:ascii="Century Schoolbook" w:hAnsi="Century Schoolbook"/>
          <w:sz w:val="27"/>
        </w:rPr>
        <w:t>Before the trial court ruled, the parties had argued over the proper standard, and “the trial court presumably understood the [</w:t>
      </w:r>
      <w:r w:rsidRPr="00CD1E4A">
        <w:rPr>
          <w:rFonts w:ascii="Century Schoolbook" w:hAnsi="Century Schoolbook"/>
          <w:i/>
          <w:sz w:val="27"/>
        </w:rPr>
        <w:t>Howard</w:t>
      </w:r>
      <w:r w:rsidRPr="00CD1E4A">
        <w:rPr>
          <w:rFonts w:ascii="Century Schoolbook" w:hAnsi="Century Schoolbook"/>
          <w:sz w:val="27"/>
        </w:rPr>
        <w:t xml:space="preserve">] standard to be somewhat more demanding than the ‘reasonable inference’ standard, for which defendant had argued.”  (Maj. opn., </w:t>
      </w:r>
      <w:r w:rsidRPr="00CD1E4A">
        <w:rPr>
          <w:rFonts w:ascii="Century Schoolbook" w:hAnsi="Century Schoolbook"/>
          <w:i/>
          <w:sz w:val="27"/>
        </w:rPr>
        <w:t>ante</w:t>
      </w:r>
      <w:r w:rsidRPr="00CD1E4A">
        <w:rPr>
          <w:rFonts w:ascii="Century Schoolbook" w:hAnsi="Century Schoolbook"/>
          <w:sz w:val="27"/>
        </w:rPr>
        <w:t>, at p. 50.)</w:t>
      </w:r>
      <w:bookmarkEnd w:id="38"/>
      <w:r w:rsidRPr="00CD1E4A">
        <w:rPr>
          <w:rFonts w:ascii="Century Schoolbook" w:hAnsi="Century Schoolbook"/>
          <w:sz w:val="27"/>
        </w:rPr>
        <w:t xml:space="preserve">  The trial court ultimately decided “to go with </w:t>
      </w:r>
      <w:r w:rsidRPr="00CD1E4A">
        <w:rPr>
          <w:rFonts w:ascii="Century Schoolbook" w:hAnsi="Century Schoolbook"/>
          <w:i/>
          <w:sz w:val="27"/>
        </w:rPr>
        <w:t>Howard</w:t>
      </w:r>
      <w:r w:rsidRPr="00CD1E4A">
        <w:rPr>
          <w:rFonts w:ascii="Century Schoolbook" w:hAnsi="Century Schoolbook"/>
          <w:sz w:val="27"/>
        </w:rPr>
        <w:t xml:space="preserve"> for the time being” instead of defense counsel’s position that it was enough to show “that the relevant circumstances raise an inference” of discrimination.</w:t>
      </w:r>
    </w:p>
    <w:p w:rsidR="00CD1E4A" w:rsidRPr="00CD1E4A" w:rsidP="00CD1E4A">
      <w:pPr>
        <w:spacing w:after="100" w:line="400" w:lineRule="exact"/>
        <w:ind w:firstLine="720"/>
        <w:jc w:val="both"/>
        <w:rPr>
          <w:rFonts w:ascii="Century Schoolbook" w:hAnsi="Century Schoolbook"/>
          <w:sz w:val="27"/>
          <w:szCs w:val="27"/>
        </w:rPr>
      </w:pPr>
      <w:r w:rsidRPr="00CD1E4A">
        <w:rPr>
          <w:rFonts w:ascii="Century Schoolbook" w:hAnsi="Century Schoolbook"/>
          <w:sz w:val="27"/>
          <w:szCs w:val="27"/>
        </w:rPr>
        <w:t>Given this context, the most natural meaning of the comment “I’m very close” is that the trial court found the circumstances sufficient to raise “an inference” of discrimination but not quite a “strong likelihood” of discrimination.  Indeed, I am not sure what else it could mean.  Consider an analogy:  If a judge analyzing a set of facts under the clear and convincing evidence standard were to say, “I’m very close,” wouldn’t we conclude that the judge has determined that the facts meet the preponderance of the evidence standard?</w:t>
      </w:r>
    </w:p>
    <w:p w:rsidR="00CD1E4A" w:rsidRPr="00CD1E4A" w:rsidP="00CD1E4A">
      <w:pPr>
        <w:spacing w:after="100" w:line="400" w:lineRule="exact"/>
        <w:ind w:firstLine="720"/>
        <w:jc w:val="both"/>
        <w:rPr>
          <w:rFonts w:ascii="Century Schoolbook" w:hAnsi="Century Schoolbook" w:cs="Calibri"/>
          <w:sz w:val="27"/>
          <w:szCs w:val="27"/>
        </w:rPr>
      </w:pPr>
      <w:r w:rsidRPr="00CD1E4A">
        <w:rPr>
          <w:rFonts w:ascii="Century Schoolbook" w:hAnsi="Century Schoolbook"/>
          <w:sz w:val="27"/>
          <w:szCs w:val="27"/>
        </w:rPr>
        <w:t xml:space="preserve">As noted, </w:t>
      </w:r>
      <w:r w:rsidRPr="00CD1E4A">
        <w:rPr>
          <w:rFonts w:ascii="Century Schoolbook" w:hAnsi="Century Schoolbook"/>
          <w:i/>
          <w:sz w:val="27"/>
          <w:szCs w:val="27"/>
        </w:rPr>
        <w:t>Johnson v. California</w:t>
      </w:r>
      <w:r w:rsidRPr="00CD1E4A">
        <w:rPr>
          <w:rFonts w:ascii="Century Schoolbook" w:hAnsi="Century Schoolbook"/>
          <w:sz w:val="27"/>
          <w:szCs w:val="27"/>
        </w:rPr>
        <w:t xml:space="preserve"> involved a virtually identical comment by a trial court applying the “ ‘strong likelihood’ ” standard.  (</w:t>
      </w:r>
      <w:r w:rsidRPr="00CD1E4A">
        <w:rPr>
          <w:rFonts w:ascii="Century Schoolbook" w:hAnsi="Century Schoolbook"/>
          <w:i/>
          <w:sz w:val="27"/>
          <w:szCs w:val="27"/>
        </w:rPr>
        <w:t>Johnson v. California</w:t>
      </w:r>
      <w:r w:rsidRPr="00CD1E4A">
        <w:rPr>
          <w:rFonts w:ascii="Century Schoolbook" w:hAnsi="Century Schoolbook"/>
          <w:sz w:val="27"/>
          <w:szCs w:val="27"/>
        </w:rPr>
        <w:t xml:space="preserve">, </w:t>
      </w:r>
      <w:r w:rsidRPr="00CD1E4A">
        <w:rPr>
          <w:rFonts w:ascii="Century Schoolbook" w:hAnsi="Century Schoolbook"/>
          <w:i/>
          <w:sz w:val="27"/>
          <w:szCs w:val="27"/>
        </w:rPr>
        <w:t>supra</w:t>
      </w:r>
      <w:r w:rsidRPr="00CD1E4A">
        <w:rPr>
          <w:rFonts w:ascii="Century Schoolbook" w:hAnsi="Century Schoolbook"/>
          <w:sz w:val="27"/>
          <w:szCs w:val="27"/>
        </w:rPr>
        <w:t xml:space="preserve">, 545 U.S. at p. 165, italics omitted.)  In analyzing the </w:t>
      </w:r>
      <w:r w:rsidRPr="00CD1E4A">
        <w:rPr>
          <w:rFonts w:ascii="Century Schoolbook" w:hAnsi="Century Schoolbook"/>
          <w:i/>
          <w:sz w:val="27"/>
          <w:szCs w:val="27"/>
        </w:rPr>
        <w:t>Batson</w:t>
      </w:r>
      <w:r w:rsidRPr="00CD1E4A">
        <w:rPr>
          <w:rFonts w:ascii="Century Schoolbook" w:hAnsi="Century Schoolbook"/>
          <w:sz w:val="27"/>
          <w:szCs w:val="27"/>
        </w:rPr>
        <w:t xml:space="preserve"> issue under the correct standard, the high court said:  </w:t>
      </w:r>
      <w:r w:rsidRPr="00CD1E4A">
        <w:rPr>
          <w:rFonts w:ascii="Century Schoolbook" w:hAnsi="Century Schoolbook" w:cs="Calibri"/>
          <w:sz w:val="27"/>
          <w:szCs w:val="27"/>
        </w:rPr>
        <w:t>“</w:t>
      </w:r>
      <w:r w:rsidRPr="00CD1E4A">
        <w:rPr>
          <w:rFonts w:ascii="Century Schoolbook" w:hAnsi="Century Schoolbook"/>
          <w:color w:val="000000"/>
          <w:sz w:val="27"/>
          <w:szCs w:val="27"/>
          <w:shd w:val="clear" w:color="auto" w:fill="FFFFFF"/>
        </w:rPr>
        <w:t xml:space="preserve">In this case the inference of discrimination was sufficient to invoke a comment by the trial judge ‘that “we are very close,” ’ and on review, the California Supreme Court acknowledged that ‘it certainly looks suspicious that all three African-American prospective jurors were removed from the jury.’  </w:t>
      </w:r>
      <w:r w:rsidRPr="00CD1E4A">
        <w:rPr>
          <w:rFonts w:ascii="Century Schoolbook" w:hAnsi="Century Schoolbook"/>
          <w:i/>
          <w:color w:val="000000"/>
          <w:sz w:val="27"/>
          <w:szCs w:val="27"/>
          <w:shd w:val="clear" w:color="auto" w:fill="FFFFFF"/>
        </w:rPr>
        <w:t>Those inferences that discrimination may have occurred were sufficient to establish a prima facie case under </w:t>
      </w:r>
      <w:r w:rsidRPr="00CD1E4A">
        <w:rPr>
          <w:rFonts w:ascii="Century Schoolbook" w:hAnsi="Century Schoolbook"/>
          <w:iCs/>
          <w:color w:val="000000"/>
          <w:sz w:val="27"/>
          <w:szCs w:val="27"/>
          <w:bdr w:val="none" w:sz="0" w:space="0" w:color="auto" w:frame="1"/>
        </w:rPr>
        <w:t>Batson.”  (</w:t>
      </w:r>
      <w:r w:rsidRPr="00CD1E4A">
        <w:rPr>
          <w:rFonts w:ascii="Century Schoolbook" w:hAnsi="Century Schoolbook"/>
          <w:i/>
          <w:iCs/>
          <w:color w:val="000000"/>
          <w:sz w:val="27"/>
          <w:szCs w:val="27"/>
          <w:bdr w:val="none" w:sz="0" w:space="0" w:color="auto" w:frame="1"/>
        </w:rPr>
        <w:t>Id.</w:t>
      </w:r>
      <w:r w:rsidRPr="00CD1E4A">
        <w:rPr>
          <w:rFonts w:ascii="Century Schoolbook" w:hAnsi="Century Schoolbook"/>
          <w:iCs/>
          <w:color w:val="000000"/>
          <w:sz w:val="27"/>
          <w:szCs w:val="27"/>
          <w:bdr w:val="none" w:sz="0" w:space="0" w:color="auto" w:frame="1"/>
        </w:rPr>
        <w:t xml:space="preserve"> at p. 173, italics added.)</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Today’s opinion attempts to distinguish </w:t>
      </w:r>
      <w:r w:rsidRPr="00CD1E4A">
        <w:rPr>
          <w:rFonts w:ascii="Century Schoolbook" w:hAnsi="Century Schoolbook"/>
          <w:i/>
          <w:sz w:val="27"/>
        </w:rPr>
        <w:t>Johnson v. California</w:t>
      </w:r>
      <w:r w:rsidRPr="00CD1E4A">
        <w:rPr>
          <w:rFonts w:ascii="Century Schoolbook" w:hAnsi="Century Schoolbook"/>
          <w:sz w:val="27"/>
        </w:rPr>
        <w:t xml:space="preserve"> by noting that it involved the racially charged context of a black defendant accused of killing his white girlfriend’s child.  (Maj. opn., </w:t>
      </w:r>
      <w:r w:rsidRPr="00CD1E4A">
        <w:rPr>
          <w:rFonts w:ascii="Century Schoolbook" w:hAnsi="Century Schoolbook"/>
          <w:i/>
          <w:sz w:val="27"/>
        </w:rPr>
        <w:t>ante</w:t>
      </w:r>
      <w:r w:rsidRPr="00CD1E4A">
        <w:rPr>
          <w:rFonts w:ascii="Century Schoolbook" w:hAnsi="Century Schoolbook"/>
          <w:sz w:val="27"/>
        </w:rPr>
        <w:t xml:space="preserve">, at p. 62.)  But in comparing this case to </w:t>
      </w:r>
      <w:r w:rsidRPr="00CD1E4A">
        <w:rPr>
          <w:rFonts w:ascii="Century Schoolbook" w:hAnsi="Century Schoolbook"/>
          <w:i/>
          <w:sz w:val="27"/>
        </w:rPr>
        <w:t>Johnson v. California</w:t>
      </w:r>
      <w:r w:rsidRPr="00CD1E4A">
        <w:rPr>
          <w:rFonts w:ascii="Century Schoolbook" w:hAnsi="Century Schoolbook"/>
          <w:sz w:val="27"/>
        </w:rPr>
        <w:t xml:space="preserve">, the court neglects to mention that this case involves the strikes of four black jurors, not three, and the percentage of prosecution strikes used against black jurors was one-half (four out of eight), not one-fourth (three out of 12).  (See </w:t>
      </w:r>
      <w:r w:rsidRPr="00CD1E4A">
        <w:rPr>
          <w:rFonts w:ascii="Century Schoolbook" w:hAnsi="Century Schoolbook"/>
          <w:i/>
          <w:sz w:val="27"/>
        </w:rPr>
        <w:t>Johnson v. California</w:t>
      </w:r>
      <w:r w:rsidRPr="00CD1E4A">
        <w:rPr>
          <w:rFonts w:ascii="Century Schoolbook" w:hAnsi="Century Schoolbook"/>
          <w:sz w:val="27"/>
        </w:rPr>
        <w:t xml:space="preserve">, 545 U.S. at p. 164.)  Because there are countless varieties of circumstances where a trial court could find that multiple strikes of black jurors come “very close” to a “strong likelihood” of discrimination, I do not see how the differences between this case and </w:t>
      </w:r>
      <w:r w:rsidRPr="00CD1E4A">
        <w:rPr>
          <w:rFonts w:ascii="Century Schoolbook" w:hAnsi="Century Schoolbook"/>
          <w:i/>
          <w:sz w:val="27"/>
        </w:rPr>
        <w:t>Johnson v. California</w:t>
      </w:r>
      <w:r w:rsidRPr="00CD1E4A">
        <w:rPr>
          <w:rFonts w:ascii="Century Schoolbook" w:hAnsi="Century Schoolbook"/>
          <w:sz w:val="27"/>
        </w:rPr>
        <w:t xml:space="preserve"> diminish the salience of the trial court’s comment here.</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Today’s opinion goes on to resist the clear meaning of “I’m very close” by saying, “The trial court’s statement appears to have been intended as a warning to the prosecutors to be careful with their future peremptories, because additional strikes might lead to a finding of a prima facie case of discrimination.”  </w:t>
      </w:r>
      <w:bookmarkStart w:id="39" w:name="_Hlk24615924"/>
      <w:r w:rsidRPr="00CD1E4A">
        <w:rPr>
          <w:rFonts w:ascii="Century Schoolbook" w:hAnsi="Century Schoolbook"/>
          <w:sz w:val="27"/>
        </w:rPr>
        <w:t xml:space="preserve">(Maj. opn., </w:t>
      </w:r>
      <w:r w:rsidRPr="00CD1E4A">
        <w:rPr>
          <w:rFonts w:ascii="Century Schoolbook" w:hAnsi="Century Schoolbook"/>
          <w:i/>
          <w:sz w:val="27"/>
        </w:rPr>
        <w:t>ante</w:t>
      </w:r>
      <w:r w:rsidRPr="00CD1E4A">
        <w:rPr>
          <w:rFonts w:ascii="Century Schoolbook" w:hAnsi="Century Schoolbook"/>
          <w:sz w:val="27"/>
        </w:rPr>
        <w:t>, at p. 64.)</w:t>
      </w:r>
      <w:bookmarkEnd w:id="39"/>
      <w:r w:rsidRPr="00CD1E4A">
        <w:rPr>
          <w:rFonts w:ascii="Century Schoolbook" w:hAnsi="Century Schoolbook"/>
          <w:sz w:val="27"/>
        </w:rPr>
        <w:t xml:space="preserve">  But the trial court’s warning that “additional strikes might lead to a finding of a prima facie case” </w:t>
      </w:r>
      <w:r w:rsidRPr="00CD1E4A">
        <w:rPr>
          <w:rFonts w:ascii="Century Schoolbook" w:hAnsi="Century Schoolbook"/>
          <w:i/>
          <w:sz w:val="27"/>
        </w:rPr>
        <w:t>under the erroneously high standard</w:t>
      </w:r>
      <w:r w:rsidRPr="00CD1E4A">
        <w:rPr>
          <w:rFonts w:ascii="Century Schoolbook" w:hAnsi="Century Schoolbook"/>
          <w:sz w:val="27"/>
        </w:rPr>
        <w:t xml:space="preserve"> suggests that in its view the lower and correct standard had already been satisfied or surpassed.  Today’s opinion then says, “It is not clear the trial court meant it as a commentary on how suspicious (or not) the prior strikes had been, given the totality of the circumstances.”  (</w:t>
      </w:r>
      <w:r w:rsidRPr="00CD1E4A">
        <w:rPr>
          <w:rFonts w:ascii="Century Schoolbook" w:hAnsi="Century Schoolbook"/>
          <w:i/>
          <w:sz w:val="27"/>
        </w:rPr>
        <w:t>Id.</w:t>
      </w:r>
      <w:r w:rsidRPr="00CD1E4A">
        <w:rPr>
          <w:rFonts w:ascii="Century Schoolbook" w:hAnsi="Century Schoolbook"/>
          <w:sz w:val="27"/>
        </w:rPr>
        <w:t xml:space="preserve"> at pp. 64–65)  </w:t>
      </w:r>
      <w:r w:rsidRPr="00CD1E4A">
        <w:rPr>
          <w:rFonts w:ascii="Century Schoolbook" w:hAnsi="Century Schoolbook"/>
          <w:i/>
          <w:sz w:val="27"/>
        </w:rPr>
        <w:t>But what else could the trial court have meant?</w:t>
      </w:r>
      <w:r w:rsidRPr="00CD1E4A">
        <w:rPr>
          <w:rFonts w:ascii="Century Schoolbook" w:hAnsi="Century Schoolbook"/>
          <w:sz w:val="27"/>
        </w:rPr>
        <w:t xml:space="preserve">  </w:t>
      </w:r>
      <w:bookmarkStart w:id="40" w:name="_Hlk24615891"/>
      <w:r w:rsidRPr="00CD1E4A">
        <w:rPr>
          <w:rFonts w:ascii="Century Schoolbook" w:hAnsi="Century Schoolbook"/>
          <w:sz w:val="27"/>
        </w:rPr>
        <w:t>Next, today’s opinion says, “nor is it apparent that the court implied the existence of a prima facie case under a ‘reasonable inference’ standard.”</w:t>
      </w:r>
      <w:bookmarkEnd w:id="40"/>
      <w:r w:rsidRPr="00CD1E4A">
        <w:rPr>
          <w:rFonts w:ascii="Century Schoolbook" w:hAnsi="Century Schoolbook"/>
          <w:sz w:val="27"/>
        </w:rPr>
        <w:t xml:space="preserve">  (</w:t>
      </w:r>
      <w:r w:rsidRPr="00CD1E4A">
        <w:rPr>
          <w:rFonts w:ascii="Century Schoolbook" w:hAnsi="Century Schoolbook"/>
          <w:i/>
          <w:sz w:val="27"/>
        </w:rPr>
        <w:t>Ibid.</w:t>
      </w:r>
      <w:r w:rsidRPr="00CD1E4A">
        <w:rPr>
          <w:rFonts w:ascii="Century Schoolbook" w:hAnsi="Century Schoolbook"/>
          <w:sz w:val="27"/>
        </w:rPr>
        <w:t xml:space="preserve">)  </w:t>
      </w:r>
      <w:bookmarkStart w:id="41" w:name="_Hlk24616005"/>
      <w:r w:rsidRPr="00CD1E4A">
        <w:rPr>
          <w:rFonts w:ascii="Century Schoolbook" w:hAnsi="Century Schoolbook"/>
          <w:sz w:val="27"/>
        </w:rPr>
        <w:t xml:space="preserve">But the same thing could have been said of the trial court in </w:t>
      </w:r>
      <w:r w:rsidRPr="00CD1E4A">
        <w:rPr>
          <w:rFonts w:ascii="Century Schoolbook" w:hAnsi="Century Schoolbook"/>
          <w:i/>
          <w:sz w:val="27"/>
        </w:rPr>
        <w:t>Johnson v. California</w:t>
      </w:r>
      <w:r w:rsidRPr="00CD1E4A">
        <w:rPr>
          <w:rFonts w:ascii="Century Schoolbook" w:hAnsi="Century Schoolbook"/>
          <w:sz w:val="27"/>
        </w:rPr>
        <w:t xml:space="preserve">, and yet the natural meaning of its “very close” comment was readily discerned and credited by the high court.  (See </w:t>
      </w:r>
      <w:r w:rsidRPr="00CD1E4A">
        <w:rPr>
          <w:rFonts w:ascii="Century Schoolbook" w:hAnsi="Century Schoolbook"/>
          <w:i/>
          <w:sz w:val="27"/>
        </w:rPr>
        <w:t>Johnson v. California</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545 U.S. at p. 173.)</w:t>
      </w:r>
      <w:bookmarkEnd w:id="41"/>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Today’s opinion further says, “In any event, our review of the court’s ruling in this case is independent,” thereby attempting to distance our analysis from the trial court’s.  (Maj. opn., </w:t>
      </w:r>
      <w:r w:rsidRPr="00CD1E4A">
        <w:rPr>
          <w:rFonts w:ascii="Century Schoolbook" w:hAnsi="Century Schoolbook"/>
          <w:i/>
          <w:sz w:val="27"/>
        </w:rPr>
        <w:t>ante</w:t>
      </w:r>
      <w:r w:rsidRPr="00CD1E4A">
        <w:rPr>
          <w:rFonts w:ascii="Century Schoolbook" w:hAnsi="Century Schoolbook"/>
          <w:sz w:val="27"/>
        </w:rPr>
        <w:t xml:space="preserve">, at p. 65.)  </w:t>
      </w:r>
      <w:bookmarkStart w:id="42" w:name="_Hlk24616180"/>
      <w:r w:rsidRPr="00CD1E4A">
        <w:rPr>
          <w:rFonts w:ascii="Century Schoolbook" w:hAnsi="Century Schoolbook"/>
          <w:sz w:val="27"/>
        </w:rPr>
        <w:t xml:space="preserve">But the reason we apply independent review is that “the court may have used a standard for the prima face case that was later found too demanding under </w:t>
      </w:r>
      <w:r w:rsidRPr="00CD1E4A">
        <w:rPr>
          <w:rFonts w:ascii="Century Schoolbook" w:hAnsi="Century Schoolbook"/>
          <w:i/>
          <w:sz w:val="27"/>
        </w:rPr>
        <w:t>Batson</w:t>
      </w:r>
      <w:r w:rsidRPr="00CD1E4A">
        <w:rPr>
          <w:rFonts w:ascii="Century Schoolbook" w:hAnsi="Century Schoolbook"/>
          <w:sz w:val="27"/>
        </w:rPr>
        <w:t>.”  (</w:t>
      </w:r>
      <w:r w:rsidRPr="00CD1E4A">
        <w:rPr>
          <w:rFonts w:ascii="Century Schoolbook" w:hAnsi="Century Schoolbook"/>
          <w:i/>
          <w:sz w:val="27"/>
        </w:rPr>
        <w:t>People v. Bell</w:t>
      </w:r>
      <w:r w:rsidRPr="00CD1E4A">
        <w:rPr>
          <w:rFonts w:ascii="Century Schoolbook" w:hAnsi="Century Schoolbook"/>
          <w:sz w:val="27"/>
        </w:rPr>
        <w:t xml:space="preserve"> (2007) 40 Cal.4th 582, 598.)</w:t>
      </w:r>
      <w:bookmarkEnd w:id="42"/>
      <w:r w:rsidRPr="00CD1E4A">
        <w:rPr>
          <w:rFonts w:ascii="Century Schoolbook" w:hAnsi="Century Schoolbook"/>
          <w:sz w:val="27"/>
        </w:rPr>
        <w:t xml:space="preserve">  Our need to independently determine whether the correct legal standard has been satisfied does not negate the relevance of the trial court’s underlying assessment of how suspicious these four strikes were.  In light of all that this court and the high court have said about the firsthand perspective of trial courts in the </w:t>
      </w:r>
      <w:r w:rsidRPr="00CD1E4A">
        <w:rPr>
          <w:rFonts w:ascii="Century Schoolbook" w:hAnsi="Century Schoolbook"/>
          <w:i/>
          <w:sz w:val="27"/>
        </w:rPr>
        <w:t>Batson</w:t>
      </w:r>
      <w:r w:rsidRPr="00CD1E4A">
        <w:rPr>
          <w:rFonts w:ascii="Century Schoolbook" w:hAnsi="Century Schoolbook"/>
          <w:sz w:val="27"/>
        </w:rPr>
        <w:t xml:space="preserve"> inquiry (see, e.g., </w:t>
      </w:r>
      <w:r w:rsidRPr="00CD1E4A">
        <w:rPr>
          <w:rFonts w:ascii="Century Schoolbook" w:hAnsi="Century Schoolbook"/>
          <w:i/>
          <w:sz w:val="27"/>
        </w:rPr>
        <w:t>People v. Lenix</w:t>
      </w:r>
      <w:r w:rsidRPr="00CD1E4A">
        <w:rPr>
          <w:rFonts w:ascii="Century Schoolbook" w:hAnsi="Century Schoolbook"/>
          <w:sz w:val="27"/>
        </w:rPr>
        <w:t xml:space="preserve"> (2008) 44 Cal.4th 602, 626–627; </w:t>
      </w:r>
      <w:r w:rsidRPr="00CD1E4A">
        <w:rPr>
          <w:rFonts w:ascii="Century Schoolbook" w:hAnsi="Century Schoolbook"/>
          <w:i/>
          <w:sz w:val="27"/>
        </w:rPr>
        <w:t>Snyder v. Louisiana</w:t>
      </w:r>
      <w:r w:rsidRPr="00CD1E4A">
        <w:rPr>
          <w:rFonts w:ascii="Century Schoolbook" w:hAnsi="Century Schoolbook"/>
          <w:sz w:val="27"/>
        </w:rPr>
        <w:t xml:space="preserve"> (2008) 552 U.S. 472, 477), I see no reason why we would or could ignore the trial court’s comment here.  Having watched the jurors answer questions, and having observed the prosecutors conduct voir dire, use peremptory strikes, and argue the </w:t>
      </w:r>
      <w:r w:rsidRPr="00CD1E4A">
        <w:rPr>
          <w:rFonts w:ascii="Century Schoolbook" w:hAnsi="Century Schoolbook"/>
          <w:i/>
          <w:sz w:val="27"/>
        </w:rPr>
        <w:t>Batson</w:t>
      </w:r>
      <w:r w:rsidRPr="00CD1E4A">
        <w:rPr>
          <w:rFonts w:ascii="Century Schoolbook" w:hAnsi="Century Schoolbook"/>
          <w:sz w:val="27"/>
        </w:rPr>
        <w:t xml:space="preserve"> issue, the trial court determined that the circumstances were “very close” to establishing a “strong likelihood” of discrimination.  Even if this determination is not binding on us, it is entitled to substantial weight in our analysis — just as the trial court’s identical observation in </w:t>
      </w:r>
      <w:r w:rsidRPr="00CD1E4A">
        <w:rPr>
          <w:rFonts w:ascii="Century Schoolbook" w:hAnsi="Century Schoolbook"/>
          <w:i/>
          <w:sz w:val="27"/>
        </w:rPr>
        <w:t>Johnson v. California</w:t>
      </w:r>
      <w:r w:rsidRPr="00CD1E4A">
        <w:rPr>
          <w:rFonts w:ascii="Century Schoolbook" w:hAnsi="Century Schoolbook"/>
          <w:sz w:val="27"/>
        </w:rPr>
        <w:t xml:space="preserve"> was given substantial weight by the high court.</w:t>
      </w:r>
    </w:p>
    <w:p w:rsidR="00CD1E4A" w:rsidRPr="00CD1E4A" w:rsidP="00CD1E4A">
      <w:pPr>
        <w:spacing w:after="100" w:line="400" w:lineRule="exact"/>
        <w:jc w:val="center"/>
        <w:rPr>
          <w:rFonts w:ascii="Century Schoolbook" w:hAnsi="Century Schoolbook"/>
          <w:b/>
          <w:sz w:val="27"/>
        </w:rPr>
      </w:pPr>
      <w:r w:rsidRPr="00CD1E4A">
        <w:rPr>
          <w:rFonts w:ascii="Century Schoolbook" w:hAnsi="Century Schoolbook"/>
          <w:b/>
          <w:sz w:val="27"/>
        </w:rPr>
        <w:t>II.</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The analysis should end there, as it did in </w:t>
      </w:r>
      <w:r w:rsidRPr="00CD1E4A">
        <w:rPr>
          <w:rFonts w:ascii="Century Schoolbook" w:hAnsi="Century Schoolbook"/>
          <w:i/>
          <w:sz w:val="27"/>
        </w:rPr>
        <w:t>Johnson v. California</w:t>
      </w:r>
      <w:r w:rsidRPr="00CD1E4A">
        <w:rPr>
          <w:rFonts w:ascii="Century Schoolbook" w:hAnsi="Century Schoolbook"/>
          <w:sz w:val="27"/>
        </w:rPr>
        <w:t>, with the straightforward conclusion that the trial court’s “</w:t>
      </w:r>
      <w:r w:rsidRPr="00CD1E4A">
        <w:rPr>
          <w:rFonts w:ascii="Century Schoolbook" w:hAnsi="Century Schoolbook"/>
          <w:color w:val="000000"/>
          <w:sz w:val="27"/>
          <w:szCs w:val="27"/>
          <w:shd w:val="clear" w:color="auto" w:fill="FFFFFF"/>
        </w:rPr>
        <w:t xml:space="preserve">inference[] that discrimination may have occurred [was] sufficient to establish a prima facie case under </w:t>
      </w:r>
      <w:r w:rsidRPr="00CD1E4A">
        <w:rPr>
          <w:rFonts w:ascii="Century Schoolbook" w:hAnsi="Century Schoolbook"/>
          <w:i/>
          <w:color w:val="000000"/>
          <w:sz w:val="27"/>
          <w:bdr w:val="none" w:sz="0" w:space="0" w:color="auto" w:frame="1"/>
        </w:rPr>
        <w:t>Batson</w:t>
      </w:r>
      <w:r w:rsidRPr="00CD1E4A">
        <w:rPr>
          <w:rFonts w:ascii="Century Schoolbook" w:hAnsi="Century Schoolbook"/>
          <w:iCs/>
          <w:color w:val="000000"/>
          <w:sz w:val="27"/>
          <w:szCs w:val="27"/>
          <w:bdr w:val="none" w:sz="0" w:space="0" w:color="auto" w:frame="1"/>
        </w:rPr>
        <w:t>.”  (</w:t>
      </w:r>
      <w:r w:rsidRPr="00CD1E4A">
        <w:rPr>
          <w:rFonts w:ascii="Century Schoolbook" w:hAnsi="Century Schoolbook"/>
          <w:i/>
          <w:iCs/>
          <w:color w:val="000000"/>
          <w:sz w:val="27"/>
          <w:szCs w:val="27"/>
          <w:bdr w:val="none" w:sz="0" w:space="0" w:color="auto" w:frame="1"/>
        </w:rPr>
        <w:t>Johnson v. California</w:t>
      </w:r>
      <w:r w:rsidRPr="00CD1E4A">
        <w:rPr>
          <w:rFonts w:ascii="Century Schoolbook" w:hAnsi="Century Schoolbook"/>
          <w:iCs/>
          <w:color w:val="000000"/>
          <w:sz w:val="27"/>
          <w:szCs w:val="27"/>
          <w:bdr w:val="none" w:sz="0" w:space="0" w:color="auto" w:frame="1"/>
        </w:rPr>
        <w:t xml:space="preserve">, </w:t>
      </w:r>
      <w:r w:rsidRPr="00CD1E4A">
        <w:rPr>
          <w:rFonts w:ascii="Century Schoolbook" w:hAnsi="Century Schoolbook"/>
          <w:i/>
          <w:iCs/>
          <w:color w:val="000000"/>
          <w:sz w:val="27"/>
          <w:szCs w:val="27"/>
          <w:bdr w:val="none" w:sz="0" w:space="0" w:color="auto" w:frame="1"/>
        </w:rPr>
        <w:t>supra</w:t>
      </w:r>
      <w:r w:rsidRPr="00CD1E4A">
        <w:rPr>
          <w:rFonts w:ascii="Century Schoolbook" w:hAnsi="Century Schoolbook"/>
          <w:iCs/>
          <w:color w:val="000000"/>
          <w:sz w:val="27"/>
          <w:szCs w:val="27"/>
          <w:bdr w:val="none" w:sz="0" w:space="0" w:color="auto" w:frame="1"/>
        </w:rPr>
        <w:t>, 545 U.S. at p. 173.)</w:t>
      </w:r>
      <w:r w:rsidRPr="00CD1E4A">
        <w:rPr>
          <w:rFonts w:ascii="Century Schoolbook" w:hAnsi="Century Schoolbook"/>
          <w:sz w:val="27"/>
        </w:rPr>
        <w:t xml:space="preserve">  Yet today’s opinion manages to salvage the trial court’s ruling.  How?  By resorting to a mode of reasoning that nowhere appears in the high court’s </w:t>
      </w:r>
      <w:r w:rsidRPr="00CD1E4A">
        <w:rPr>
          <w:rFonts w:ascii="Century Schoolbook" w:hAnsi="Century Schoolbook"/>
          <w:i/>
          <w:sz w:val="27"/>
        </w:rPr>
        <w:t>Batson</w:t>
      </w:r>
      <w:r w:rsidRPr="00CD1E4A">
        <w:rPr>
          <w:rFonts w:ascii="Century Schoolbook" w:hAnsi="Century Schoolbook"/>
          <w:sz w:val="27"/>
        </w:rPr>
        <w:t xml:space="preserve"> doctrine:  Any inference of discrimination is dispelled, this court says, because “the record discloses readily apparent, race</w:t>
      </w:r>
      <w:r w:rsidRPr="00CD1E4A">
        <w:rPr>
          <w:rFonts w:ascii="Century Schoolbook" w:hAnsi="Century Schoolbook"/>
          <w:sz w:val="27"/>
        </w:rPr>
        <w:noBreakHyphen/>
        <w:t xml:space="preserve">neutral grounds for a prosecutor to use peremptory challenges against each of the four prospective jurors at issue.”  (Maj. opn., </w:t>
      </w:r>
      <w:r w:rsidRPr="00CD1E4A">
        <w:rPr>
          <w:rFonts w:ascii="Century Schoolbook" w:hAnsi="Century Schoolbook"/>
          <w:i/>
          <w:sz w:val="27"/>
        </w:rPr>
        <w:t>ante</w:t>
      </w:r>
      <w:r w:rsidRPr="00CD1E4A">
        <w:rPr>
          <w:rFonts w:ascii="Century Schoolbook" w:hAnsi="Century Schoolbook"/>
          <w:sz w:val="27"/>
        </w:rPr>
        <w:t>, at p. 53.)</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We will examine those “readily apparent” grounds in a moment, but let us first pause to consider what the court has done here.  Step one of the </w:t>
      </w:r>
      <w:r w:rsidRPr="00CD1E4A">
        <w:rPr>
          <w:rFonts w:ascii="Century Schoolbook" w:hAnsi="Century Schoolbook"/>
          <w:i/>
          <w:sz w:val="27"/>
        </w:rPr>
        <w:t>Batson</w:t>
      </w:r>
      <w:r w:rsidRPr="00CD1E4A">
        <w:rPr>
          <w:rFonts w:ascii="Century Schoolbook" w:hAnsi="Century Schoolbook"/>
          <w:sz w:val="27"/>
        </w:rPr>
        <w:t xml:space="preserve"> framework is a threshold inquiry to determine whether the prosecutor should be required to state reasons for contested strikes.  In many instances, the prosecutor will voluntarily state reasons before the first-step determination is made, in order to remove any doubt about the issue.  In this case, the prosecutors chose to stay mum; they repeatedly declined to explain why they believed the struck jurors differed from seated jurors.  Now, instead of taking their silence at face value, this court on appellate review claims it is able to discern the reasons that would have motivated any reasonable prosecutor to strike the four black jurors.  The court then relies on those </w:t>
      </w:r>
      <w:r w:rsidRPr="00CD1E4A">
        <w:rPr>
          <w:rFonts w:ascii="Century Schoolbook" w:hAnsi="Century Schoolbook"/>
          <w:i/>
          <w:sz w:val="27"/>
        </w:rPr>
        <w:t>hypothesized</w:t>
      </w:r>
      <w:r w:rsidRPr="00CD1E4A">
        <w:rPr>
          <w:rFonts w:ascii="Century Schoolbook" w:hAnsi="Century Schoolbook"/>
          <w:sz w:val="27"/>
        </w:rPr>
        <w:t xml:space="preserve"> reasons to conclude that there was no need for the prosecutors to state their </w:t>
      </w:r>
      <w:r w:rsidRPr="00CD1E4A">
        <w:rPr>
          <w:rFonts w:ascii="Century Schoolbook" w:hAnsi="Century Schoolbook"/>
          <w:i/>
          <w:sz w:val="27"/>
        </w:rPr>
        <w:t>actual</w:t>
      </w:r>
      <w:r w:rsidRPr="00CD1E4A">
        <w:rPr>
          <w:rFonts w:ascii="Century Schoolbook" w:hAnsi="Century Schoolbook"/>
          <w:sz w:val="27"/>
        </w:rPr>
        <w:t xml:space="preserve"> reasons.</w:t>
      </w:r>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szCs w:val="27"/>
        </w:rPr>
        <w:t xml:space="preserve">This maneuver is hard to square with the high court’s clear statement that “[t]he </w:t>
      </w:r>
      <w:r w:rsidRPr="00CD1E4A">
        <w:rPr>
          <w:rFonts w:ascii="Century Schoolbook" w:hAnsi="Century Schoolbook"/>
          <w:i/>
          <w:sz w:val="27"/>
          <w:szCs w:val="27"/>
        </w:rPr>
        <w:t>Batson</w:t>
      </w:r>
      <w:r w:rsidRPr="00CD1E4A">
        <w:rPr>
          <w:rFonts w:ascii="Century Schoolbook" w:hAnsi="Century Schoolbook"/>
          <w:sz w:val="27"/>
          <w:szCs w:val="27"/>
        </w:rPr>
        <w:t xml:space="preserve"> framework is designed to produce actual answers to suspicions and inferences that discrimination may have infected the jury selection process.”  (</w:t>
      </w:r>
      <w:r w:rsidRPr="00CD1E4A">
        <w:rPr>
          <w:rFonts w:ascii="Century Schoolbook" w:hAnsi="Century Schoolbook"/>
          <w:i/>
          <w:sz w:val="27"/>
          <w:szCs w:val="27"/>
        </w:rPr>
        <w:t>Johnson v. California</w:t>
      </w:r>
      <w:r w:rsidRPr="00CD1E4A">
        <w:rPr>
          <w:rFonts w:ascii="Century Schoolbook" w:hAnsi="Century Schoolbook"/>
          <w:sz w:val="27"/>
          <w:szCs w:val="27"/>
        </w:rPr>
        <w:t xml:space="preserve">, </w:t>
      </w:r>
      <w:r w:rsidRPr="00CD1E4A">
        <w:rPr>
          <w:rFonts w:ascii="Century Schoolbook" w:hAnsi="Century Schoolbook"/>
          <w:i/>
          <w:sz w:val="27"/>
          <w:szCs w:val="27"/>
        </w:rPr>
        <w:t>supra</w:t>
      </w:r>
      <w:r w:rsidRPr="00CD1E4A">
        <w:rPr>
          <w:rFonts w:ascii="Century Schoolbook" w:hAnsi="Century Schoolbook"/>
          <w:sz w:val="27"/>
          <w:szCs w:val="27"/>
        </w:rPr>
        <w:t xml:space="preserve">, 545 U.S. at p. 172; see </w:t>
      </w:r>
      <w:r w:rsidRPr="00CD1E4A">
        <w:rPr>
          <w:rFonts w:ascii="Century Schoolbook" w:hAnsi="Century Schoolbook"/>
          <w:i/>
          <w:sz w:val="27"/>
          <w:szCs w:val="27"/>
        </w:rPr>
        <w:t>ibid.</w:t>
      </w:r>
      <w:r w:rsidRPr="00CD1E4A">
        <w:rPr>
          <w:rFonts w:ascii="Century Schoolbook" w:hAnsi="Century Schoolbook"/>
          <w:sz w:val="27"/>
          <w:szCs w:val="27"/>
        </w:rPr>
        <w:t xml:space="preserve"> [“ ‘</w:t>
      </w:r>
      <w:r w:rsidRPr="00CD1E4A">
        <w:rPr>
          <w:rFonts w:ascii="Century Schoolbook" w:hAnsi="Century Schoolbook" w:cs="Arial"/>
          <w:sz w:val="27"/>
          <w:szCs w:val="27"/>
          <w:shd w:val="clear" w:color="auto" w:fill="FFFFFF"/>
        </w:rPr>
        <w:t xml:space="preserve">[I]t does not matter that the prosecutor might have had good reasons . . . [;] [w]hat matters is the real reason they were stricken’ ”].)  No wonder the high court has never approved the consideration of hypothesized reasons in first-stage </w:t>
      </w:r>
      <w:r w:rsidRPr="00CD1E4A">
        <w:rPr>
          <w:rFonts w:ascii="Century Schoolbook" w:hAnsi="Century Schoolbook" w:cs="Arial"/>
          <w:i/>
          <w:sz w:val="27"/>
          <w:szCs w:val="27"/>
          <w:shd w:val="clear" w:color="auto" w:fill="FFFFFF"/>
        </w:rPr>
        <w:t>Batson</w:t>
      </w:r>
      <w:r w:rsidRPr="00CD1E4A">
        <w:rPr>
          <w:rFonts w:ascii="Century Schoolbook" w:hAnsi="Century Schoolbook" w:cs="Arial"/>
          <w:sz w:val="27"/>
          <w:szCs w:val="27"/>
          <w:shd w:val="clear" w:color="auto" w:fill="FFFFFF"/>
        </w:rPr>
        <w:t xml:space="preserve"> analysis.  </w:t>
      </w:r>
      <w:r w:rsidRPr="00CD1E4A">
        <w:rPr>
          <w:rFonts w:ascii="Century Schoolbook" w:hAnsi="Century Schoolbook"/>
          <w:sz w:val="27"/>
          <w:szCs w:val="27"/>
          <w:shd w:val="clear" w:color="auto" w:fill="FFFFFF"/>
        </w:rPr>
        <w:t>(Cf. </w:t>
      </w:r>
      <w:r w:rsidRPr="00CD1E4A">
        <w:rPr>
          <w:rFonts w:ascii="Century Schoolbook" w:hAnsi="Century Schoolbook"/>
          <w:i/>
          <w:iCs/>
          <w:sz w:val="27"/>
          <w:szCs w:val="27"/>
          <w:bdr w:val="none" w:sz="0" w:space="0" w:color="auto" w:frame="1"/>
        </w:rPr>
        <w:t>Williams v. Louisiana</w:t>
      </w:r>
      <w:r w:rsidRPr="00CD1E4A">
        <w:rPr>
          <w:rFonts w:ascii="Century Schoolbook" w:hAnsi="Century Schoolbook"/>
          <w:sz w:val="27"/>
          <w:szCs w:val="27"/>
          <w:shd w:val="clear" w:color="auto" w:fill="FFFFFF"/>
        </w:rPr>
        <w:t> (2016) 579 U.S. __, __ [136 S.Ct. 2156, 2156] (conc. opn. of Ginsburg, J., joined by Breyer, Sotomayor &amp; Kagan, JJ.) [state rule permitting the trial court instead of the prosecutor to supply a race-neutral reason at </w:t>
      </w:r>
      <w:r w:rsidRPr="00CD1E4A">
        <w:rPr>
          <w:rFonts w:ascii="Century Schoolbook" w:hAnsi="Century Schoolbook"/>
          <w:i/>
          <w:iCs/>
          <w:sz w:val="27"/>
          <w:szCs w:val="27"/>
          <w:bdr w:val="none" w:sz="0" w:space="0" w:color="auto" w:frame="1"/>
        </w:rPr>
        <w:t>Batson</w:t>
      </w:r>
      <w:r w:rsidRPr="00CD1E4A">
        <w:rPr>
          <w:rFonts w:ascii="Century Schoolbook" w:hAnsi="Century Schoolbook"/>
          <w:sz w:val="27"/>
          <w:szCs w:val="27"/>
          <w:shd w:val="clear" w:color="auto" w:fill="FFFFFF"/>
        </w:rPr>
        <w:t>’s second step “does not comply with this Court’s </w:t>
      </w:r>
      <w:r w:rsidRPr="00CD1E4A">
        <w:rPr>
          <w:rFonts w:ascii="Century Schoolbook" w:hAnsi="Century Schoolbook"/>
          <w:i/>
          <w:iCs/>
          <w:sz w:val="27"/>
          <w:szCs w:val="27"/>
          <w:bdr w:val="none" w:sz="0" w:space="0" w:color="auto" w:frame="1"/>
        </w:rPr>
        <w:t>Batson</w:t>
      </w:r>
      <w:r w:rsidRPr="00CD1E4A">
        <w:rPr>
          <w:rFonts w:ascii="Century Schoolbook" w:hAnsi="Century Schoolbook"/>
          <w:sz w:val="27"/>
          <w:szCs w:val="27"/>
          <w:shd w:val="clear" w:color="auto" w:fill="FFFFFF"/>
        </w:rPr>
        <w:t> jurisprudence”].)</w:t>
      </w:r>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szCs w:val="27"/>
          <w:shd w:val="clear" w:color="auto" w:fill="FFFFFF"/>
        </w:rPr>
        <w:t>Again, the high court’s application of the law to the facts in </w:t>
      </w:r>
      <w:r w:rsidRPr="00CD1E4A">
        <w:rPr>
          <w:rFonts w:ascii="Century Schoolbook" w:hAnsi="Century Schoolbook"/>
          <w:i/>
          <w:iCs/>
          <w:sz w:val="27"/>
          <w:szCs w:val="27"/>
          <w:bdr w:val="none" w:sz="0" w:space="0" w:color="auto" w:frame="1"/>
        </w:rPr>
        <w:t>Johnson v. California</w:t>
      </w:r>
      <w:r w:rsidRPr="00CD1E4A">
        <w:rPr>
          <w:rFonts w:ascii="Century Schoolbook" w:hAnsi="Century Schoolbook"/>
          <w:sz w:val="27"/>
          <w:szCs w:val="27"/>
          <w:shd w:val="clear" w:color="auto" w:fill="FFFFFF"/>
        </w:rPr>
        <w:t xml:space="preserve"> is instructive.  There, the trial judge’s “own examination of the record had convinced her that the prosecutor’s strikes could be justified by race-neutral reasons.  Specifically, the judge opined that [two of] the black venire members had offered equivocal or confused answers in their written questionnaires.”  (</w:t>
      </w:r>
      <w:r w:rsidRPr="00CD1E4A">
        <w:rPr>
          <w:rFonts w:ascii="Century Schoolbook" w:hAnsi="Century Schoolbook"/>
          <w:i/>
          <w:iCs/>
          <w:sz w:val="27"/>
          <w:szCs w:val="27"/>
          <w:bdr w:val="none" w:sz="0" w:space="0" w:color="auto" w:frame="1"/>
        </w:rPr>
        <w:t>Johnson v. California</w:t>
      </w:r>
      <w:r w:rsidRPr="00CD1E4A">
        <w:rPr>
          <w:rFonts w:ascii="Century Schoolbook" w:hAnsi="Century Schoolbook"/>
          <w:iCs/>
          <w:sz w:val="27"/>
          <w:szCs w:val="27"/>
          <w:bdr w:val="none" w:sz="0" w:space="0" w:color="auto" w:frame="1"/>
        </w:rPr>
        <w:t xml:space="preserve">, </w:t>
      </w:r>
      <w:r w:rsidRPr="00CD1E4A">
        <w:rPr>
          <w:rFonts w:ascii="Century Schoolbook" w:hAnsi="Century Schoolbook"/>
          <w:i/>
          <w:iCs/>
          <w:sz w:val="27"/>
          <w:szCs w:val="27"/>
          <w:bdr w:val="none" w:sz="0" w:space="0" w:color="auto" w:frame="1"/>
        </w:rPr>
        <w:t>supra</w:t>
      </w:r>
      <w:r w:rsidRPr="00CD1E4A">
        <w:rPr>
          <w:rFonts w:ascii="Century Schoolbook" w:hAnsi="Century Schoolbook"/>
          <w:iCs/>
          <w:sz w:val="27"/>
          <w:szCs w:val="27"/>
          <w:bdr w:val="none" w:sz="0" w:space="0" w:color="auto" w:frame="1"/>
        </w:rPr>
        <w:t>, 545 U.S.</w:t>
      </w:r>
      <w:r w:rsidRPr="00CD1E4A">
        <w:rPr>
          <w:rFonts w:ascii="Century Schoolbook" w:hAnsi="Century Schoolbook"/>
          <w:sz w:val="27"/>
          <w:szCs w:val="27"/>
          <w:shd w:val="clear" w:color="auto" w:fill="FFFFFF"/>
        </w:rPr>
        <w:t xml:space="preserve"> at p. 165.)  On review, this court hypothesized various reasons to explain the strike of the third black juror.  (See </w:t>
      </w:r>
      <w:r w:rsidRPr="00CD1E4A">
        <w:rPr>
          <w:rFonts w:ascii="Century Schoolbook" w:hAnsi="Century Schoolbook"/>
          <w:i/>
          <w:sz w:val="27"/>
          <w:szCs w:val="27"/>
          <w:shd w:val="clear" w:color="auto" w:fill="FFFFFF"/>
        </w:rPr>
        <w:t>People v. Johnson</w:t>
      </w:r>
      <w:r w:rsidRPr="00CD1E4A">
        <w:rPr>
          <w:rFonts w:ascii="Century Schoolbook" w:hAnsi="Century Schoolbook"/>
          <w:sz w:val="27"/>
          <w:szCs w:val="27"/>
          <w:shd w:val="clear" w:color="auto" w:fill="FFFFFF"/>
        </w:rPr>
        <w:t xml:space="preserve"> (2003) 30 Cal.4th 1302, 1325–1326 [“[T]he record discloses race-neutral grounds for challenging C.T.: “(1) she was childless (this case involved the death and alleged abuse of a minor), (2) the police had made no arrest after the robbery of her home five or six years ago, and (3) she omitted to answer the two questions in the questionnaire dealing with her opinions of prosecuting and defending attorneys.”].)  But the high court assigned no weight to any of these hypothesized reasons in considering whether a prima facie case of discrimination had been established.  (</w:t>
      </w:r>
      <w:r w:rsidRPr="00CD1E4A">
        <w:rPr>
          <w:rFonts w:ascii="Century Schoolbook" w:hAnsi="Century Schoolbook"/>
          <w:i/>
          <w:sz w:val="27"/>
          <w:szCs w:val="27"/>
          <w:shd w:val="clear" w:color="auto" w:fill="FFFFFF"/>
        </w:rPr>
        <w:t>Johnson v. California</w:t>
      </w:r>
      <w:r w:rsidRPr="00CD1E4A">
        <w:rPr>
          <w:rFonts w:ascii="Century Schoolbook" w:hAnsi="Century Schoolbook"/>
          <w:sz w:val="27"/>
          <w:szCs w:val="27"/>
          <w:shd w:val="clear" w:color="auto" w:fill="FFFFFF"/>
        </w:rPr>
        <w:t xml:space="preserve">, at p. 173.) </w:t>
      </w:r>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szCs w:val="27"/>
          <w:shd w:val="clear" w:color="auto" w:fill="FFFFFF"/>
        </w:rPr>
        <w:t xml:space="preserve">Today’s opinion gives a nod to </w:t>
      </w:r>
      <w:r w:rsidRPr="00CD1E4A">
        <w:rPr>
          <w:rFonts w:ascii="Century Schoolbook" w:hAnsi="Century Schoolbook"/>
          <w:i/>
          <w:sz w:val="27"/>
          <w:szCs w:val="27"/>
          <w:shd w:val="clear" w:color="auto" w:fill="FFFFFF"/>
        </w:rPr>
        <w:t>Johnson v. California</w:t>
      </w:r>
      <w:r w:rsidRPr="00CD1E4A">
        <w:rPr>
          <w:rFonts w:ascii="Century Schoolbook" w:hAnsi="Century Schoolbook"/>
          <w:sz w:val="27"/>
          <w:szCs w:val="27"/>
          <w:shd w:val="clear" w:color="auto" w:fill="FFFFFF"/>
        </w:rPr>
        <w:t xml:space="preserve">’s admonition “ ‘against engaging in needless and imperfect speculation’ ”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at p. 54) but denies that any imperfect speculation is happening here.  The court says hypothesized reasons must be limited to “ ‘obvious’ ” or “readily apparent” race-neutral characteristics “that any reasonable prosecutor trying the case would logically avoid in a juror.”  (</w:t>
      </w:r>
      <w:r w:rsidRPr="00CD1E4A">
        <w:rPr>
          <w:rFonts w:ascii="Century Schoolbook" w:hAnsi="Century Schoolbook"/>
          <w:i/>
          <w:sz w:val="27"/>
          <w:szCs w:val="27"/>
          <w:shd w:val="clear" w:color="auto" w:fill="FFFFFF"/>
        </w:rPr>
        <w:t xml:space="preserve">Id. </w:t>
      </w:r>
      <w:r w:rsidRPr="00CD1E4A">
        <w:rPr>
          <w:rFonts w:ascii="Century Schoolbook" w:hAnsi="Century Schoolbook"/>
          <w:sz w:val="27"/>
          <w:szCs w:val="27"/>
          <w:shd w:val="clear" w:color="auto" w:fill="FFFFFF"/>
        </w:rPr>
        <w:t>at pp. 53–54, italics omitted.)  As this case illustrates, however, what is “obvious” or “readily apparent” is an elastic concept, especially in the hands of appellate judges who “have the benefit of being able to examine the record in more detail, and at a great deal more leisure, than a [prosecutor] in the midst of jury selection.”  (</w:t>
      </w:r>
      <w:r w:rsidRPr="00CD1E4A">
        <w:rPr>
          <w:rFonts w:ascii="Century Schoolbook" w:hAnsi="Century Schoolbook"/>
          <w:i/>
          <w:sz w:val="27"/>
          <w:szCs w:val="27"/>
          <w:shd w:val="clear" w:color="auto" w:fill="FFFFFF"/>
        </w:rPr>
        <w:t>Id.</w:t>
      </w:r>
      <w:r w:rsidRPr="00CD1E4A">
        <w:rPr>
          <w:rFonts w:ascii="Century Schoolbook" w:hAnsi="Century Schoolbook"/>
          <w:sz w:val="27"/>
          <w:szCs w:val="27"/>
          <w:shd w:val="clear" w:color="auto" w:fill="FFFFFF"/>
        </w:rPr>
        <w:t xml:space="preserve"> at p. 55, fn. 16.)</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szCs w:val="27"/>
          <w:shd w:val="clear" w:color="auto" w:fill="FFFFFF"/>
        </w:rPr>
        <w:t xml:space="preserve">Consider Alice S., one of the black jurors struck.  In </w:t>
      </w:r>
      <w:r w:rsidRPr="00CD1E4A">
        <w:rPr>
          <w:rFonts w:ascii="Century Schoolbook" w:hAnsi="Century Schoolbook"/>
          <w:sz w:val="27"/>
        </w:rPr>
        <w:t xml:space="preserve">her questionnaire and during voir dire, she discussed her brother’s conviction and incarceration in Virginia and her belief that he had been convicted only because his alcoholism and homelessness meant that he could not account for his activities at the time of the crime.  Today’s opinion says that “[f]rom any reasonable prosecutor’s perspective, this belief created a clear risk that Alice S. might be especially receptive to the alibi defense put forward by defendant, who claimed to be taking drugs during the period when the victim was abducted and killed.”  (Maj. opn., </w:t>
      </w:r>
      <w:r w:rsidRPr="00CD1E4A">
        <w:rPr>
          <w:rFonts w:ascii="Century Schoolbook" w:hAnsi="Century Schoolbook"/>
          <w:i/>
          <w:sz w:val="27"/>
        </w:rPr>
        <w:t>ante</w:t>
      </w:r>
      <w:r w:rsidRPr="00CD1E4A">
        <w:rPr>
          <w:rFonts w:ascii="Century Schoolbook" w:hAnsi="Century Schoolbook"/>
          <w:sz w:val="27"/>
        </w:rPr>
        <w:t>, at p. 59, fn. 19.)  But this explanation is far from obvious in light of the stark dissimilarities between Rhoades’s case and the situation of Alice S.’s brother.</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Alice S. testified that the convergence of two factors — her brother’s alcoholism and his homelessness — prevented him from mounting an alibi defense:  “[H]e didn’t really have anywhere to live.  So he basically was out in the streets.  And because he had no accountability as far as, you know, being impaired, you know, I felt like he is an alcoholic but he wasn’t a molester or whatever.”  Rhoades, by contrast, lived in a home in Sutter County at the time of the crime; he was employed and owned a truck.  In describing his drug use, Rhoades described himself as a “weekender”:  “I work all week long and do my partying on the weekends.”  The prosecution’s evidence revealed the relatively privileged nature of Rhoades’s life and upbringing, including his education in private schools and a father who employed him despite his substance abuse.  It is hardly obvious that Alice S.’s sympathy for her brother’s inability to mount an alibi defense would have made her “especially receptive” to the alibi defense put forward by Rhoades, whose personal and social circumstances differed greatly from her brother’s.  Indeed, </w:t>
      </w:r>
      <w:bookmarkStart w:id="43" w:name="_Hlk22939518"/>
      <w:r w:rsidRPr="00CD1E4A">
        <w:rPr>
          <w:rFonts w:ascii="Century Schoolbook" w:hAnsi="Century Schoolbook"/>
          <w:sz w:val="27"/>
        </w:rPr>
        <w:t>Alice S. said, “I think [defendants] should be held responsible if there was alcohol and drugs and they’re convicted,” and she unequivocally accepted the fact that Rhoades had been convicted of first-degree murder with special circumstances.  The prosecution did not press her on this point.</w:t>
      </w:r>
      <w:bookmarkEnd w:id="43"/>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Moreover, it is not obvious that the prosecution would have been much concerned about lingering doubt in light of the strong physical evidence linking Rhoades to the murder, including blood on Rhoades’s clothing, pubic hairs consistent with Rhoades’s found on the victim’s clothing, the victim’s footprints on the inside of the windshield of Rhoades’s truck, and a DNA test showing the victim’s blood on Rhoades’s knife — all of which the prosecutors intended to present, and did present, in detail during the two-month penalty retrial.  (Maj. opn., </w:t>
      </w:r>
      <w:r w:rsidRPr="00CD1E4A">
        <w:rPr>
          <w:rFonts w:ascii="Century Schoolbook" w:hAnsi="Century Schoolbook"/>
          <w:i/>
          <w:sz w:val="27"/>
        </w:rPr>
        <w:t>ante</w:t>
      </w:r>
      <w:r w:rsidRPr="00CD1E4A">
        <w:rPr>
          <w:rFonts w:ascii="Century Schoolbook" w:hAnsi="Century Schoolbook"/>
          <w:sz w:val="27"/>
        </w:rPr>
        <w:t xml:space="preserve">, at pp. 6–7, 58; see </w:t>
      </w:r>
      <w:r w:rsidRPr="00CD1E4A">
        <w:rPr>
          <w:rFonts w:ascii="Century Schoolbook" w:hAnsi="Century Schoolbook"/>
          <w:i/>
          <w:sz w:val="27"/>
        </w:rPr>
        <w:t>id.</w:t>
      </w:r>
      <w:r w:rsidRPr="00CD1E4A">
        <w:rPr>
          <w:rFonts w:ascii="Century Schoolbook" w:hAnsi="Century Schoolbook"/>
          <w:sz w:val="27"/>
        </w:rPr>
        <w:t xml:space="preserve"> at p. 19 [finding confrontation clause error harmless “beyond a reasonable doubt” given the strength of the evidence].)  Although the defense did rely on lingering doubt in mitigation, the prosecution was aware from the first penalty trial that the defense would not cite Rhoades’s drug use to bolster the case for lingering doubt (and indeed, the defense did not do so).</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Today’s opinion also posits that the prosecutors struck Alice S. because she was unsure she would be able to serve as a juror while caring for her six-month-old infant.  But Alice S. did not request a hardship excusal, even though the trial court granted hardship excusals for other jurors who had family obligations.  And during voir dire, the prosecution did not ask Alice S. a single question about whether her childcare duties would interfere with serving on the jury.  Even if it is possible that this concern motivated the prosecution to remove Alice S., is it so obvious that we need not inquire?</w:t>
      </w:r>
    </w:p>
    <w:p w:rsidR="00CD1E4A" w:rsidRPr="00CD1E4A" w:rsidP="00CD1E4A">
      <w:pPr>
        <w:spacing w:after="100" w:line="400" w:lineRule="exact"/>
        <w:ind w:firstLine="720"/>
        <w:jc w:val="both"/>
        <w:rPr>
          <w:rFonts w:ascii="Century Schoolbook" w:hAnsi="Century Schoolbook"/>
          <w:sz w:val="27"/>
          <w:szCs w:val="27"/>
        </w:rPr>
      </w:pPr>
      <w:r w:rsidRPr="00CD1E4A">
        <w:rPr>
          <w:rFonts w:ascii="Century Schoolbook" w:hAnsi="Century Schoolbook"/>
          <w:sz w:val="27"/>
          <w:szCs w:val="27"/>
        </w:rPr>
        <w:t>As for Shirley R., Adrienne A., and Alicia R., today’s opinion hypothesizes that they were struck because of their anti-death penalty views.  Here it is important to keep in mind that the prosecution, before exercising peremptory strikes, can use a for-cause challenge to remove a prospective juror whose death penalty views would “ ‘prevent or substantially impair the performance of his duties as a juror in accordance with his instructions and his oath.’ ”  (</w:t>
      </w:r>
      <w:r w:rsidRPr="00CD1E4A">
        <w:rPr>
          <w:rFonts w:ascii="Century Schoolbook" w:hAnsi="Century Schoolbook"/>
          <w:i/>
          <w:sz w:val="27"/>
          <w:szCs w:val="27"/>
        </w:rPr>
        <w:t>Wainwright v. Witt</w:t>
      </w:r>
      <w:r w:rsidRPr="00CD1E4A">
        <w:rPr>
          <w:rFonts w:ascii="Century Schoolbook" w:hAnsi="Century Schoolbook"/>
          <w:sz w:val="27"/>
          <w:szCs w:val="27"/>
        </w:rPr>
        <w:t xml:space="preserve"> (1985) 469 U.S. 412, 424, fn. omitted.)  </w:t>
      </w:r>
      <w:bookmarkStart w:id="44" w:name="_Hlk22984350"/>
      <w:r w:rsidRPr="00CD1E4A">
        <w:rPr>
          <w:rFonts w:ascii="Century Schoolbook" w:hAnsi="Century Schoolbook"/>
          <w:sz w:val="27"/>
          <w:szCs w:val="27"/>
        </w:rPr>
        <w:t>“Substantial impairment” does not require the juror to have expressed firm opposition to the death penalty.  “In many cases, a prospective juror’s responses to questions on voir dire will be halting, equivocal, or even conflicting.  Given the juror’s probable unfamiliarity with the complexity of the law, coupled with the stress and anxiety of being a prospective juror in a capital case, such equivocation should be expected.”  (</w:t>
      </w:r>
      <w:r w:rsidRPr="00CD1E4A">
        <w:rPr>
          <w:rFonts w:ascii="Century Schoolbook" w:hAnsi="Century Schoolbook"/>
          <w:i/>
          <w:sz w:val="27"/>
          <w:szCs w:val="27"/>
        </w:rPr>
        <w:t>People v. Fudge</w:t>
      </w:r>
      <w:r w:rsidRPr="00CD1E4A">
        <w:rPr>
          <w:rFonts w:ascii="Century Schoolbook" w:hAnsi="Century Schoolbook"/>
          <w:sz w:val="27"/>
          <w:szCs w:val="27"/>
        </w:rPr>
        <w:t xml:space="preserve"> (1994) 7 Cal.4th 1075, 1094).  We regularly affirm trial court findings of substantial impairment “ ‘even in the absence of clear statements from the juror that he or she is impaired because “many veniremen simply cannot be asked enough questions to reach the point where their bias has been made ‘unmistakably clear.’ ” ’ ”  (</w:t>
      </w:r>
      <w:r w:rsidRPr="00CD1E4A">
        <w:rPr>
          <w:rFonts w:ascii="Century Schoolbook" w:hAnsi="Century Schoolbook"/>
          <w:i/>
          <w:sz w:val="27"/>
          <w:szCs w:val="27"/>
        </w:rPr>
        <w:t>People v. Jones</w:t>
      </w:r>
      <w:r w:rsidRPr="00CD1E4A">
        <w:rPr>
          <w:rFonts w:ascii="Century Schoolbook" w:hAnsi="Century Schoolbook"/>
          <w:sz w:val="27"/>
          <w:szCs w:val="27"/>
        </w:rPr>
        <w:t xml:space="preserve"> (2012) 54 Cal.4th 1, 41; see, e.g., </w:t>
      </w:r>
      <w:r w:rsidRPr="00CD1E4A">
        <w:rPr>
          <w:rFonts w:ascii="Century Schoolbook" w:hAnsi="Century Schoolbook"/>
          <w:i/>
          <w:sz w:val="27"/>
          <w:szCs w:val="27"/>
        </w:rPr>
        <w:t>People v. Hawthorne</w:t>
      </w:r>
      <w:r w:rsidRPr="00CD1E4A">
        <w:rPr>
          <w:rFonts w:ascii="Century Schoolbook" w:hAnsi="Century Schoolbook"/>
          <w:sz w:val="27"/>
          <w:szCs w:val="27"/>
        </w:rPr>
        <w:t xml:space="preserve"> (2009) 46 Cal.4th 67, 83 (</w:t>
      </w:r>
      <w:r w:rsidRPr="00CD1E4A">
        <w:rPr>
          <w:rFonts w:ascii="Century Schoolbook" w:hAnsi="Century Schoolbook"/>
          <w:i/>
          <w:sz w:val="27"/>
          <w:szCs w:val="27"/>
        </w:rPr>
        <w:t>Hawthorne</w:t>
      </w:r>
      <w:r w:rsidRPr="00CD1E4A">
        <w:rPr>
          <w:rFonts w:ascii="Century Schoolbook" w:hAnsi="Century Schoolbook"/>
          <w:sz w:val="27"/>
          <w:szCs w:val="27"/>
        </w:rPr>
        <w:t xml:space="preserve">) [upholding for-cause excusal where juror gave “equivocal answers” and “was ‘less than consistent in her answers’ ”]; </w:t>
      </w:r>
      <w:r w:rsidRPr="00CD1E4A">
        <w:rPr>
          <w:rFonts w:ascii="Century Schoolbook" w:hAnsi="Century Schoolbook"/>
          <w:i/>
          <w:iCs/>
          <w:sz w:val="27"/>
          <w:szCs w:val="27"/>
        </w:rPr>
        <w:t>People v. Merriman </w:t>
      </w:r>
      <w:r w:rsidRPr="00CD1E4A">
        <w:rPr>
          <w:rFonts w:ascii="Century Schoolbook" w:hAnsi="Century Schoolbook"/>
          <w:sz w:val="27"/>
          <w:szCs w:val="27"/>
        </w:rPr>
        <w:t xml:space="preserve">(2014) 60 Cal.4th 1, 52 [same]; </w:t>
      </w:r>
      <w:r w:rsidRPr="00CD1E4A">
        <w:rPr>
          <w:rFonts w:ascii="Century Schoolbook" w:hAnsi="Century Schoolbook"/>
          <w:i/>
          <w:iCs/>
          <w:sz w:val="27"/>
          <w:szCs w:val="27"/>
        </w:rPr>
        <w:t>People v. Williams </w:t>
      </w:r>
      <w:r w:rsidRPr="00CD1E4A">
        <w:rPr>
          <w:rFonts w:ascii="Century Schoolbook" w:hAnsi="Century Schoolbook"/>
          <w:sz w:val="27"/>
          <w:szCs w:val="27"/>
        </w:rPr>
        <w:t xml:space="preserve">(2013) 56 Cal.4th 630, 665–666 [same]; </w:t>
      </w:r>
      <w:r w:rsidRPr="00CD1E4A">
        <w:rPr>
          <w:rFonts w:ascii="Century Schoolbook" w:hAnsi="Century Schoolbook"/>
          <w:i/>
          <w:iCs/>
          <w:sz w:val="27"/>
          <w:szCs w:val="27"/>
        </w:rPr>
        <w:t>People v. Solomon </w:t>
      </w:r>
      <w:r w:rsidRPr="00CD1E4A">
        <w:rPr>
          <w:rFonts w:ascii="Century Schoolbook" w:hAnsi="Century Schoolbook"/>
          <w:sz w:val="27"/>
          <w:szCs w:val="27"/>
        </w:rPr>
        <w:t>(2010) 49 Cal.4th 792, 832 [same].)</w:t>
      </w:r>
      <w:bookmarkEnd w:id="44"/>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rPr>
        <w:t>In this case, the prosecution did not challenge Shirley R., Adrienne A., or Alicia R. for cause.  This fact underscores that it is “judicial speculation” (</w:t>
      </w:r>
      <w:r w:rsidRPr="00CD1E4A">
        <w:rPr>
          <w:rFonts w:ascii="Century Schoolbook" w:hAnsi="Century Schoolbook"/>
          <w:i/>
          <w:sz w:val="27"/>
        </w:rPr>
        <w:t>Johnson v. California</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545 U.S. at p. 173) to hypothesize that the prosecution struck these jurors for their death penalty views.  Quoting selectively from the juror questionnaires and voir dire, the court says no seated juror expressed “the sort of unqualified opposition to the death penalty that both Shirley R. and Adrienne A. did </w:t>
      </w:r>
      <w:r w:rsidRPr="00CD1E4A">
        <w:rPr>
          <w:rFonts w:ascii="Century Schoolbook" w:hAnsi="Century Schoolbook"/>
          <w:i/>
          <w:sz w:val="27"/>
        </w:rPr>
        <w:t>at times</w:t>
      </w:r>
      <w:r w:rsidRPr="00CD1E4A">
        <w:rPr>
          <w:rFonts w:ascii="Century Schoolbook" w:hAnsi="Century Schoolbook"/>
          <w:sz w:val="27"/>
        </w:rPr>
        <w:t>.  Two non</w:t>
      </w:r>
      <w:r w:rsidRPr="00CD1E4A">
        <w:rPr>
          <w:rFonts w:ascii="Century Schoolbook" w:hAnsi="Century Schoolbook"/>
          <w:sz w:val="27"/>
        </w:rPr>
        <w:noBreakHyphen/>
        <w:t>African</w:t>
      </w:r>
      <w:r w:rsidRPr="00CD1E4A">
        <w:rPr>
          <w:rFonts w:ascii="Century Schoolbook" w:hAnsi="Century Schoolbook"/>
          <w:sz w:val="27"/>
        </w:rPr>
        <w:noBreakHyphen/>
        <w:t xml:space="preserve">American prospective jurors who did express such unqualified antideath penalty views on their questionnaires were struck by the prosecution before defendant made his second [] motion.”  (Maj. opn., </w:t>
      </w:r>
      <w:r w:rsidRPr="00CD1E4A">
        <w:rPr>
          <w:rFonts w:ascii="Century Schoolbook" w:hAnsi="Century Schoolbook"/>
          <w:i/>
          <w:sz w:val="27"/>
        </w:rPr>
        <w:t>ante</w:t>
      </w:r>
      <w:r w:rsidRPr="00CD1E4A">
        <w:rPr>
          <w:rFonts w:ascii="Century Schoolbook" w:hAnsi="Century Schoolbook"/>
          <w:sz w:val="27"/>
        </w:rPr>
        <w:t xml:space="preserve">, at pp. 57–58, italics added.)  Not only were the views of these two nonblack jurors, Evelyn B. and Thomas S. (both white), markedly more skeptical of the death penalty, but the prosecution challenged both of them for cause, though unsuccessfully.  How can we conclude that Shirley R.’s and Adrienne A.’s death penalty views were “readily apparent” grounds for striking them </w:t>
      </w:r>
      <w:r w:rsidRPr="00CD1E4A">
        <w:rPr>
          <w:rFonts w:ascii="Century Schoolbook" w:hAnsi="Century Schoolbook"/>
          <w:sz w:val="27"/>
          <w:szCs w:val="27"/>
          <w:shd w:val="clear" w:color="auto" w:fill="FFFFFF"/>
        </w:rPr>
        <w:t xml:space="preserve">when the prosecution did not even attempt to excuse them for cause?  Especially when </w:t>
      </w:r>
      <w:r w:rsidRPr="00CD1E4A">
        <w:rPr>
          <w:rFonts w:ascii="Century Schoolbook" w:hAnsi="Century Schoolbook"/>
          <w:sz w:val="27"/>
        </w:rPr>
        <w:t xml:space="preserve">a juror’s equivocal views may result in excusal for cause?  </w:t>
      </w:r>
      <w:r w:rsidRPr="00CD1E4A">
        <w:rPr>
          <w:rFonts w:ascii="Century Schoolbook" w:hAnsi="Century Schoolbook"/>
          <w:sz w:val="27"/>
          <w:szCs w:val="27"/>
          <w:shd w:val="clear" w:color="auto" w:fill="FFFFFF"/>
        </w:rPr>
        <w:t xml:space="preserve">To be sure, their death penalty views could have been a legitimate concern to a reasonable prosecutor.  But that is a far cry from saying these black jurors had views that </w:t>
      </w:r>
      <w:r w:rsidRPr="00CD1E4A">
        <w:rPr>
          <w:rFonts w:ascii="Century Schoolbook" w:hAnsi="Century Schoolbook"/>
          <w:sz w:val="27"/>
        </w:rPr>
        <w:t xml:space="preserve">“any reasonable prosecutor . . . </w:t>
      </w:r>
      <w:r w:rsidRPr="00CD1E4A">
        <w:rPr>
          <w:rFonts w:ascii="Century Schoolbook" w:hAnsi="Century Schoolbook"/>
          <w:sz w:val="27"/>
          <w:szCs w:val="27"/>
          <w:shd w:val="clear" w:color="auto" w:fill="FFFFFF"/>
        </w:rPr>
        <w:t xml:space="preserve">would logically avoid.”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at p. 54.)</w:t>
      </w:r>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szCs w:val="27"/>
          <w:shd w:val="clear" w:color="auto" w:fill="FFFFFF"/>
        </w:rPr>
        <w:t xml:space="preserve">I acknowledge there can be instances where a juror’s death penalty views do not amount to substantial impairment but do present an obvious concern to the prosecution.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xml:space="preserve">, at p. 61.)  But this is not one.  When the death penalty views of each struck juror are considered not selectively but in their totality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xml:space="preserve">, at pp. 55–61), it is evident that each juror simply gave the type </w:t>
      </w:r>
      <w:r w:rsidRPr="00CD1E4A">
        <w:rPr>
          <w:rFonts w:ascii="Century Schoolbook" w:hAnsi="Century Schoolbook"/>
          <w:sz w:val="27"/>
          <w:szCs w:val="27"/>
        </w:rPr>
        <w:t>of “ ‘</w:t>
      </w:r>
      <w:r w:rsidRPr="00CD1E4A">
        <w:rPr>
          <w:rFonts w:ascii="Century Schoolbook" w:hAnsi="Century Schoolbook"/>
          <w:sz w:val="27"/>
        </w:rPr>
        <w:t xml:space="preserve">equivocal or confused answers’ ” we often see in capital jury selection — the type of answers that the high court found unilluminating and irrelevant in </w:t>
      </w:r>
      <w:r w:rsidRPr="00CD1E4A">
        <w:rPr>
          <w:rFonts w:ascii="Century Schoolbook" w:hAnsi="Century Schoolbook"/>
          <w:i/>
          <w:iCs/>
          <w:sz w:val="27"/>
        </w:rPr>
        <w:t>Johnson v. California</w:t>
      </w:r>
      <w:r w:rsidRPr="00CD1E4A">
        <w:rPr>
          <w:rFonts w:ascii="Century Schoolbook" w:hAnsi="Century Schoolbook"/>
          <w:iCs/>
          <w:sz w:val="27"/>
        </w:rPr>
        <w:t>.  (</w:t>
      </w:r>
      <w:r w:rsidRPr="00CD1E4A">
        <w:rPr>
          <w:rFonts w:ascii="Century Schoolbook" w:hAnsi="Century Schoolbook"/>
          <w:i/>
          <w:iCs/>
          <w:sz w:val="27"/>
        </w:rPr>
        <w:t>Johnson v. California</w:t>
      </w:r>
      <w:r w:rsidRPr="00CD1E4A">
        <w:rPr>
          <w:rFonts w:ascii="Century Schoolbook" w:hAnsi="Century Schoolbook"/>
          <w:iCs/>
          <w:sz w:val="27"/>
        </w:rPr>
        <w:t>,</w:t>
      </w:r>
      <w:r w:rsidRPr="00CD1E4A">
        <w:rPr>
          <w:rFonts w:ascii="Century Schoolbook" w:hAnsi="Century Schoolbook"/>
          <w:i/>
          <w:iCs/>
          <w:sz w:val="27"/>
        </w:rPr>
        <w:t xml:space="preserve"> supra</w:t>
      </w:r>
      <w:r w:rsidRPr="00CD1E4A">
        <w:rPr>
          <w:rFonts w:ascii="Century Schoolbook" w:hAnsi="Century Schoolbook"/>
          <w:iCs/>
          <w:sz w:val="27"/>
        </w:rPr>
        <w:t>,</w:t>
      </w:r>
      <w:r w:rsidRPr="00CD1E4A">
        <w:rPr>
          <w:rFonts w:ascii="Century Schoolbook" w:hAnsi="Century Schoolbook"/>
          <w:sz w:val="27"/>
        </w:rPr>
        <w:t xml:space="preserve"> 545 U.S. at p. 165; but cf. maj. opn., </w:t>
      </w:r>
      <w:r w:rsidRPr="00CD1E4A">
        <w:rPr>
          <w:rFonts w:ascii="Century Schoolbook" w:hAnsi="Century Schoolbook"/>
          <w:i/>
          <w:sz w:val="27"/>
        </w:rPr>
        <w:t>ante</w:t>
      </w:r>
      <w:r w:rsidRPr="00CD1E4A">
        <w:rPr>
          <w:rFonts w:ascii="Century Schoolbook" w:hAnsi="Century Schoolbook"/>
          <w:sz w:val="27"/>
        </w:rPr>
        <w:t>, at pp. 63–64, fn. 21.)</w:t>
      </w:r>
    </w:p>
    <w:p w:rsidR="00CD1E4A" w:rsidRPr="00CD1E4A" w:rsidP="00CD1E4A">
      <w:pPr>
        <w:spacing w:after="100" w:line="400" w:lineRule="exact"/>
        <w:ind w:firstLine="720"/>
        <w:jc w:val="both"/>
        <w:rPr>
          <w:rFonts w:ascii="Century Schoolbook" w:hAnsi="Century Schoolbook"/>
          <w:b/>
          <w:sz w:val="27"/>
        </w:rPr>
      </w:pPr>
      <w:r w:rsidRPr="00CD1E4A">
        <w:rPr>
          <w:rFonts w:ascii="Century Schoolbook" w:hAnsi="Century Schoolbook"/>
          <w:sz w:val="27"/>
          <w:szCs w:val="27"/>
          <w:shd w:val="clear" w:color="auto" w:fill="FFFFFF"/>
        </w:rPr>
        <w:t>Indeed,</w:t>
      </w:r>
      <w:r w:rsidRPr="00CD1E4A">
        <w:rPr>
          <w:rFonts w:ascii="Century Schoolbook" w:hAnsi="Century Schoolbook"/>
          <w:sz w:val="27"/>
        </w:rPr>
        <w:t xml:space="preserve"> at least six  seated jurors also expressed hesitation or inconsistency in their death penalty views.  Juror No. 4 said she “[didn’t] really have an opinion” about the death penalty and didn’t support reinstatement because “it takes too much money.”  But if tasked with making the laws, she would institute a death penalty.  Further, she noted that the killing of a child is a circumstance that could warrant the death penalty, but when asked whether a defendant convicted of sexual assault and murder of a child should categorically receive the death penalty, she said “some persons may benefit from rehabilitation.”  Juror No. 6 thought the death penalty was warranted for intentional killing, but he also thought life without parole as punishment for murder is “excellent.”  Juror No. 7 “[a]gree[d] somewhat” </w:t>
      </w:r>
      <w:r w:rsidRPr="00CD1E4A">
        <w:rPr>
          <w:rFonts w:ascii="Century Schoolbook" w:hAnsi="Century Schoolbook"/>
          <w:sz w:val="27"/>
          <w:szCs w:val="27"/>
        </w:rPr>
        <w:t>with the statement that a defendant convicted of sexual assault and murder of a child should be sentenced to life without parole regardless of the circumstances</w:t>
      </w:r>
      <w:r w:rsidRPr="00CD1E4A">
        <w:rPr>
          <w:rFonts w:ascii="Century Schoolbook" w:hAnsi="Century Schoolbook"/>
          <w:sz w:val="27"/>
        </w:rPr>
        <w:t xml:space="preserve">, but also “[a]gree[d] somewhat” that such a defendant should be sentenced to death regardless of the circumstances.  Juror No. 9 was “neither for nor against” the death penalty but said if he were making the laws, it would be “difficult . . . but [he] probably” would institute a death penalty law.  Juror No. 11 wrote that he “cannot answer this question” when asked in what circumstances the death penalty is warranted, but he later said it may be warranted for all types of killings mentioned on the form.  And Juror No. 12 did not believe in “an eye for eye” — “the New Testament fulfills that . . . hate the sin, love the sinner” — but she thought all types of killings could warrant the death penalty.  </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Today’s opinion is correct that the struck jurors made some statements that the seated jurors did not.  (Maj. opn., </w:t>
      </w:r>
      <w:r w:rsidRPr="00CD1E4A">
        <w:rPr>
          <w:rFonts w:ascii="Century Schoolbook" w:hAnsi="Century Schoolbook"/>
          <w:i/>
          <w:sz w:val="27"/>
        </w:rPr>
        <w:t>ante</w:t>
      </w:r>
      <w:r w:rsidRPr="00CD1E4A">
        <w:rPr>
          <w:rFonts w:ascii="Century Schoolbook" w:hAnsi="Century Schoolbook"/>
          <w:sz w:val="27"/>
        </w:rPr>
        <w:t>, at pp. 55–61.)  But the court also acknowledges that “both Juror No. 4 and Juror No. 9 expressed reservations about the death penalty that overlapped in certain respects with Shirley R.’s and Adrienne A.’s.”  (</w:t>
      </w:r>
      <w:r w:rsidRPr="00CD1E4A">
        <w:rPr>
          <w:rFonts w:ascii="Century Schoolbook" w:hAnsi="Century Schoolbook"/>
          <w:i/>
          <w:sz w:val="27"/>
        </w:rPr>
        <w:t>Id.</w:t>
      </w:r>
      <w:r w:rsidRPr="00CD1E4A">
        <w:rPr>
          <w:rFonts w:ascii="Century Schoolbook" w:hAnsi="Century Schoolbook"/>
          <w:sz w:val="27"/>
        </w:rPr>
        <w:t xml:space="preserve"> at pp. 56–57.)  And Alicia R. wrote that in “some cases the death penalty is acceptable” but “[couldn’t] say” if there would be a death penalty if she made the laws.  Like Juror No. 4, Alicia R. believed in the possibility of redemption.  Like Juror No. 12, she believed in the teachings of the New Testament.  And like Juror No. 9, she had no strong feelings about the death penalty but felt it was warranted in certain circumstances.</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In sum, although the death penalty views of Shirley R., Adrienne A., or Alicia R. differed in some ways from those of the seated jurors, the fine parsing required to tease out those differences hardly suggests they were obvious reasons for the strikes.  This hypothesis seems especially speculative in light of the fact that the death penalty views of these black jurors did not prompt the prosecution to challenge them for cause.</w:t>
      </w:r>
    </w:p>
    <w:p w:rsidR="00CD1E4A" w:rsidRPr="00CD1E4A" w:rsidP="00CD1E4A">
      <w:pPr>
        <w:keepNext/>
        <w:spacing w:after="100" w:line="400" w:lineRule="exact"/>
        <w:jc w:val="center"/>
        <w:rPr>
          <w:rFonts w:ascii="Century Schoolbook" w:hAnsi="Century Schoolbook"/>
          <w:b/>
          <w:sz w:val="27"/>
        </w:rPr>
      </w:pPr>
      <w:r w:rsidRPr="00CD1E4A">
        <w:rPr>
          <w:rFonts w:ascii="Century Schoolbook" w:hAnsi="Century Schoolbook"/>
          <w:b/>
          <w:sz w:val="27"/>
        </w:rPr>
        <w:t>III.</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Although every </w:t>
      </w:r>
      <w:r w:rsidRPr="00CD1E4A">
        <w:rPr>
          <w:rFonts w:ascii="Century Schoolbook" w:hAnsi="Century Schoolbook"/>
          <w:i/>
          <w:sz w:val="27"/>
        </w:rPr>
        <w:t>Batson</w:t>
      </w:r>
      <w:r w:rsidRPr="00CD1E4A">
        <w:rPr>
          <w:rFonts w:ascii="Century Schoolbook" w:hAnsi="Century Schoolbook"/>
          <w:sz w:val="27"/>
        </w:rPr>
        <w:t xml:space="preserve"> issue must be decided on its own facts, it is instructive to take a step back and place today’s decision in the broader context of our </w:t>
      </w:r>
      <w:r w:rsidRPr="00CD1E4A">
        <w:rPr>
          <w:rFonts w:ascii="Century Schoolbook" w:hAnsi="Century Schoolbook"/>
          <w:i/>
          <w:sz w:val="27"/>
        </w:rPr>
        <w:t>Batson</w:t>
      </w:r>
      <w:r w:rsidRPr="00CD1E4A">
        <w:rPr>
          <w:rFonts w:ascii="Century Schoolbook" w:hAnsi="Century Schoolbook"/>
          <w:sz w:val="27"/>
        </w:rPr>
        <w:t xml:space="preserve"> jurisprudence.</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As noted, this court has decided the merits of a first-stage </w:t>
      </w:r>
      <w:r w:rsidRPr="00CD1E4A">
        <w:rPr>
          <w:rFonts w:ascii="Century Schoolbook" w:hAnsi="Century Schoolbook"/>
          <w:i/>
          <w:sz w:val="27"/>
        </w:rPr>
        <w:t>Batson</w:t>
      </w:r>
      <w:r w:rsidRPr="00CD1E4A">
        <w:rPr>
          <w:rFonts w:ascii="Century Schoolbook" w:hAnsi="Century Schoolbook"/>
          <w:sz w:val="27"/>
        </w:rPr>
        <w:t xml:space="preserve"> issue in 42 cases (all capital cases) during the 14 years since </w:t>
      </w:r>
      <w:r w:rsidRPr="00CD1E4A">
        <w:rPr>
          <w:rFonts w:ascii="Century Schoolbook" w:hAnsi="Century Schoolbook"/>
          <w:i/>
          <w:sz w:val="27"/>
        </w:rPr>
        <w:t>Johnson v. California</w:t>
      </w:r>
      <w:r w:rsidRPr="00CD1E4A">
        <w:rPr>
          <w:rFonts w:ascii="Century Schoolbook" w:hAnsi="Century Schoolbook"/>
          <w:sz w:val="27"/>
        </w:rPr>
        <w:t xml:space="preserve">.  (See appen., </w:t>
      </w:r>
      <w:r w:rsidRPr="00CD1E4A">
        <w:rPr>
          <w:rFonts w:ascii="Century Schoolbook" w:hAnsi="Century Schoolbook"/>
          <w:i/>
          <w:sz w:val="27"/>
        </w:rPr>
        <w:t>post</w:t>
      </w:r>
      <w:r w:rsidRPr="00CD1E4A">
        <w:rPr>
          <w:rFonts w:ascii="Century Schoolbook" w:hAnsi="Century Schoolbook"/>
          <w:sz w:val="27"/>
        </w:rPr>
        <w:t>, at p. 25.)  Not once did we find that the circumstances established a prima facie case of discrimination.  What makes this track record even more remarkable is the fact that all 42 cases were tried</w:t>
      </w:r>
      <w:r w:rsidRPr="00CD1E4A">
        <w:rPr>
          <w:rFonts w:ascii="Century Schoolbook" w:hAnsi="Century Schoolbook"/>
          <w:i/>
          <w:sz w:val="27"/>
        </w:rPr>
        <w:t xml:space="preserve"> before </w:t>
      </w:r>
      <w:r w:rsidRPr="00CD1E4A">
        <w:rPr>
          <w:rFonts w:ascii="Century Schoolbook" w:hAnsi="Century Schoolbook"/>
          <w:sz w:val="27"/>
        </w:rPr>
        <w:t>Johnson v. California</w:t>
      </w:r>
      <w:r w:rsidRPr="00CD1E4A">
        <w:rPr>
          <w:rFonts w:ascii="Century Schoolbook" w:hAnsi="Century Schoolbook"/>
          <w:i/>
          <w:sz w:val="27"/>
        </w:rPr>
        <w:t xml:space="preserve"> clarified that an inference of discrimination is all that is required at </w:t>
      </w:r>
      <w:r w:rsidRPr="00CD1E4A">
        <w:rPr>
          <w:rFonts w:ascii="Century Schoolbook" w:hAnsi="Century Schoolbook"/>
          <w:sz w:val="27"/>
        </w:rPr>
        <w:t>Batson</w:t>
      </w:r>
      <w:r w:rsidRPr="00CD1E4A">
        <w:rPr>
          <w:rFonts w:ascii="Century Schoolbook" w:hAnsi="Century Schoolbook"/>
          <w:i/>
          <w:sz w:val="27"/>
        </w:rPr>
        <w:t>’s first step</w:t>
      </w:r>
      <w:r w:rsidRPr="00CD1E4A">
        <w:rPr>
          <w:rFonts w:ascii="Century Schoolbook" w:hAnsi="Century Schoolbook"/>
          <w:sz w:val="27"/>
        </w:rPr>
        <w:t xml:space="preserve">.  In other words, the trial courts in these 42 cases made their first-stage </w:t>
      </w:r>
      <w:r w:rsidRPr="00CD1E4A">
        <w:rPr>
          <w:rFonts w:ascii="Century Schoolbook" w:hAnsi="Century Schoolbook"/>
          <w:i/>
          <w:sz w:val="27"/>
        </w:rPr>
        <w:t>Batson</w:t>
      </w:r>
      <w:r w:rsidRPr="00CD1E4A">
        <w:rPr>
          <w:rFonts w:ascii="Century Schoolbook" w:hAnsi="Century Schoolbook"/>
          <w:sz w:val="27"/>
        </w:rPr>
        <w:t xml:space="preserve"> rulings at a time when our unduly stringent “strong likelihood” standard was the controlling law.  Can it really be that </w:t>
      </w:r>
      <w:r w:rsidRPr="00CD1E4A">
        <w:rPr>
          <w:rFonts w:ascii="Century Schoolbook" w:hAnsi="Century Schoolbook"/>
          <w:i/>
          <w:sz w:val="27"/>
        </w:rPr>
        <w:t>not a single one</w:t>
      </w:r>
      <w:r w:rsidRPr="00CD1E4A">
        <w:rPr>
          <w:rFonts w:ascii="Century Schoolbook" w:hAnsi="Century Schoolbook"/>
          <w:sz w:val="27"/>
        </w:rPr>
        <w:t xml:space="preserve"> of those rulings was erroneous under the lower standard set forth in </w:t>
      </w:r>
      <w:r w:rsidRPr="00CD1E4A">
        <w:rPr>
          <w:rFonts w:ascii="Century Schoolbook" w:hAnsi="Century Schoolbook"/>
          <w:i/>
          <w:sz w:val="27"/>
        </w:rPr>
        <w:t>Johnson v. California</w:t>
      </w:r>
      <w:r w:rsidRPr="00CD1E4A">
        <w:rPr>
          <w:rFonts w:ascii="Century Schoolbook" w:hAnsi="Century Schoolbook"/>
          <w:sz w:val="27"/>
        </w:rPr>
        <w:t xml:space="preserve">?  It is not difficult, in my view, to cite several cases where the circumstances plainly gave rise to an inference of discrimination.  (See, e.g., </w:t>
      </w:r>
      <w:r w:rsidRPr="00CD1E4A">
        <w:rPr>
          <w:rFonts w:ascii="Century Schoolbook" w:hAnsi="Century Schoolbook"/>
          <w:i/>
          <w:sz w:val="27"/>
        </w:rPr>
        <w:t>People v. Johnson</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__ Cal.5th at p. __ [p. 1] (dis. opn. of Liu, J.); </w:t>
      </w:r>
      <w:r w:rsidRPr="00CD1E4A">
        <w:rPr>
          <w:rFonts w:ascii="Century Schoolbook" w:hAnsi="Century Schoolbook"/>
          <w:i/>
          <w:sz w:val="27"/>
        </w:rPr>
        <w:t>id.</w:t>
      </w:r>
      <w:r w:rsidRPr="00CD1E4A">
        <w:rPr>
          <w:rFonts w:ascii="Century Schoolbook" w:hAnsi="Century Schoolbook"/>
          <w:sz w:val="27"/>
        </w:rPr>
        <w:t xml:space="preserve"> at p. __ [p. 2] (dis. opn. of Cuéllar, J.); </w:t>
      </w:r>
      <w:r w:rsidRPr="00CD1E4A">
        <w:rPr>
          <w:rFonts w:ascii="Century Schoolbook" w:hAnsi="Century Schoolbook"/>
          <w:i/>
          <w:sz w:val="27"/>
        </w:rPr>
        <w:t>People v. Reed</w:t>
      </w:r>
      <w:r w:rsidRPr="00CD1E4A">
        <w:rPr>
          <w:rFonts w:ascii="Century Schoolbook" w:hAnsi="Century Schoolbook"/>
          <w:sz w:val="27"/>
        </w:rPr>
        <w:t xml:space="preserve"> (2018) 4 Cal.5th 989, 1019–1028 (</w:t>
      </w:r>
      <w:r w:rsidRPr="00CD1E4A">
        <w:rPr>
          <w:rFonts w:ascii="Century Schoolbook" w:hAnsi="Century Schoolbook"/>
          <w:i/>
          <w:sz w:val="27"/>
        </w:rPr>
        <w:t>Reed</w:t>
      </w:r>
      <w:r w:rsidRPr="00CD1E4A">
        <w:rPr>
          <w:rFonts w:ascii="Century Schoolbook" w:hAnsi="Century Schoolbook"/>
          <w:sz w:val="27"/>
        </w:rPr>
        <w:t xml:space="preserve">) (dis. opn. of Liu, J.); </w:t>
      </w:r>
      <w:r w:rsidRPr="00CD1E4A">
        <w:rPr>
          <w:rFonts w:ascii="Century Schoolbook" w:hAnsi="Century Schoolbook"/>
          <w:i/>
          <w:sz w:val="27"/>
        </w:rPr>
        <w:t>id.</w:t>
      </w:r>
      <w:r w:rsidRPr="00CD1E4A">
        <w:rPr>
          <w:rFonts w:ascii="Century Schoolbook" w:hAnsi="Century Schoolbook"/>
          <w:sz w:val="27"/>
        </w:rPr>
        <w:t xml:space="preserve">at p. 1031 (dis. opn. of Kruger, J.); </w:t>
      </w:r>
      <w:r w:rsidRPr="00CD1E4A">
        <w:rPr>
          <w:rFonts w:ascii="Century Schoolbook" w:hAnsi="Century Schoolbook"/>
          <w:i/>
          <w:sz w:val="27"/>
        </w:rPr>
        <w:t>Harris</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57 Cal.4th at pp. 870–879 (conc. opn. of Liu, J.); </w:t>
      </w:r>
      <w:r w:rsidRPr="00CD1E4A">
        <w:rPr>
          <w:rFonts w:ascii="Century Schoolbook" w:hAnsi="Century Schoolbook"/>
          <w:i/>
          <w:sz w:val="27"/>
        </w:rPr>
        <w:t>id.</w:t>
      </w:r>
      <w:r w:rsidRPr="00CD1E4A">
        <w:rPr>
          <w:rFonts w:ascii="Century Schoolbook" w:hAnsi="Century Schoolbook"/>
          <w:sz w:val="27"/>
        </w:rPr>
        <w:t xml:space="preserve"> at pp. 880–882 [discussing </w:t>
      </w:r>
      <w:r w:rsidRPr="00CD1E4A">
        <w:rPr>
          <w:rFonts w:ascii="Century Schoolbook" w:hAnsi="Century Schoolbook"/>
          <w:i/>
          <w:sz w:val="27"/>
        </w:rPr>
        <w:t>People v. Clark</w:t>
      </w:r>
      <w:r w:rsidRPr="00CD1E4A">
        <w:rPr>
          <w:rFonts w:ascii="Century Schoolbook" w:hAnsi="Century Schoolbook"/>
          <w:sz w:val="27"/>
        </w:rPr>
        <w:t xml:space="preserve"> (2011) 52 Cal.4th 856, 872–873, 904–908 (</w:t>
      </w:r>
      <w:r w:rsidRPr="00CD1E4A">
        <w:rPr>
          <w:rFonts w:ascii="Century Schoolbook" w:hAnsi="Century Schoolbook"/>
          <w:i/>
          <w:sz w:val="27"/>
        </w:rPr>
        <w:t>Clark</w:t>
      </w:r>
      <w:r w:rsidRPr="00CD1E4A">
        <w:rPr>
          <w:rFonts w:ascii="Century Schoolbook" w:hAnsi="Century Schoolbook"/>
          <w:sz w:val="27"/>
        </w:rPr>
        <w:t xml:space="preserve">); </w:t>
      </w:r>
      <w:r w:rsidRPr="00CD1E4A">
        <w:rPr>
          <w:rFonts w:ascii="Century Schoolbook" w:hAnsi="Century Schoolbook"/>
          <w:i/>
          <w:sz w:val="27"/>
        </w:rPr>
        <w:t>People v. Hartsch</w:t>
      </w:r>
      <w:r w:rsidRPr="00CD1E4A">
        <w:rPr>
          <w:rFonts w:ascii="Century Schoolbook" w:hAnsi="Century Schoolbook"/>
          <w:sz w:val="27"/>
        </w:rPr>
        <w:t xml:space="preserve"> (2010) 49 Cal.4th 472, 485–489 (</w:t>
      </w:r>
      <w:r w:rsidRPr="00CD1E4A">
        <w:rPr>
          <w:rFonts w:ascii="Century Schoolbook" w:hAnsi="Century Schoolbook"/>
          <w:i/>
          <w:sz w:val="27"/>
        </w:rPr>
        <w:t>Hartsch</w:t>
      </w:r>
      <w:r w:rsidRPr="00CD1E4A">
        <w:rPr>
          <w:rFonts w:ascii="Century Schoolbook" w:hAnsi="Century Schoolbook"/>
          <w:sz w:val="27"/>
        </w:rPr>
        <w:t xml:space="preserve">); </w:t>
      </w:r>
      <w:r w:rsidRPr="00CD1E4A">
        <w:rPr>
          <w:rFonts w:ascii="Century Schoolbook" w:hAnsi="Century Schoolbook"/>
          <w:i/>
          <w:sz w:val="27"/>
        </w:rPr>
        <w:t>People v. Hoyos</w:t>
      </w:r>
      <w:r w:rsidRPr="00CD1E4A">
        <w:rPr>
          <w:rFonts w:ascii="Century Schoolbook" w:hAnsi="Century Schoolbook"/>
          <w:sz w:val="27"/>
        </w:rPr>
        <w:t xml:space="preserve"> (2007) 41 Cal.4th 872, 900–903].)</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 key factor behind this uniformity of results is the court’s habit of relying on hypothesized grounds for contested strikes — a line of reasoning that appears in 30 of the 42 cases.  (Appen., </w:t>
      </w:r>
      <w:r w:rsidRPr="00CD1E4A">
        <w:rPr>
          <w:rFonts w:ascii="Century Schoolbook" w:hAnsi="Century Schoolbook"/>
          <w:i/>
          <w:sz w:val="27"/>
        </w:rPr>
        <w:t>post</w:t>
      </w:r>
      <w:r w:rsidRPr="00CD1E4A">
        <w:rPr>
          <w:rFonts w:ascii="Century Schoolbook" w:hAnsi="Century Schoolbook"/>
          <w:sz w:val="27"/>
        </w:rPr>
        <w:t>, at p. 25.)  The most commonly hypothesized reason is a struck juror’s death penalty views.  (</w:t>
      </w:r>
      <w:r w:rsidRPr="00CD1E4A">
        <w:rPr>
          <w:rFonts w:ascii="Century Schoolbook" w:hAnsi="Century Schoolbook"/>
          <w:i/>
          <w:sz w:val="27"/>
        </w:rPr>
        <w:t>Ibid.</w:t>
      </w:r>
      <w:r w:rsidRPr="00CD1E4A">
        <w:rPr>
          <w:rFonts w:ascii="Century Schoolbook" w:hAnsi="Century Schoolbook"/>
          <w:sz w:val="27"/>
        </w:rPr>
        <w:t>)  As discussed above, this is an area full of complexity and nuance, unlikely to be replete with sharp distinctions among death-qualified jurors.  The next most commonly hypothesized reason is a struck juror’s (or family member’s) negative interaction with, or negative opinion of, the criminal justice system.  (</w:t>
      </w:r>
      <w:r w:rsidRPr="00CD1E4A">
        <w:rPr>
          <w:rFonts w:ascii="Century Schoolbook" w:hAnsi="Century Schoolbook"/>
          <w:i/>
          <w:sz w:val="27"/>
        </w:rPr>
        <w:t>Ibid.</w:t>
      </w:r>
      <w:r w:rsidRPr="00CD1E4A">
        <w:rPr>
          <w:rFonts w:ascii="Century Schoolbook" w:hAnsi="Century Schoolbook"/>
          <w:sz w:val="27"/>
        </w:rPr>
        <w:t>)  But “[i]n light of the undeniable evidence that some minority groups . . . have been overpoliced and subjected to harsher sentences than others, it hardly seems race neutral to categorically allow potential jurors to be stricken simply because they have had contact with or hold negative opinions about law enforcement or the judicial system.  Reflexively allowing these strikes compounds institutional discrimination . . . .”  (</w:t>
      </w:r>
      <w:r w:rsidRPr="00CD1E4A">
        <w:rPr>
          <w:rFonts w:ascii="Century Schoolbook" w:hAnsi="Century Schoolbook"/>
          <w:i/>
          <w:sz w:val="27"/>
        </w:rPr>
        <w:t>People v. Bryant</w:t>
      </w:r>
      <w:r w:rsidRPr="00CD1E4A">
        <w:rPr>
          <w:rFonts w:ascii="Century Schoolbook" w:hAnsi="Century Schoolbook"/>
          <w:sz w:val="27"/>
        </w:rPr>
        <w:t xml:space="preserve"> (2019) 40 Cal.App.5th 525, 546 (conc. opn. of Humes, J.).)</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The court purports to limit hypothesized reasons </w:t>
      </w:r>
      <w:r w:rsidRPr="00CD1E4A">
        <w:rPr>
          <w:rFonts w:ascii="Century Schoolbook" w:hAnsi="Century Schoolbook"/>
          <w:sz w:val="27"/>
          <w:szCs w:val="27"/>
          <w:shd w:val="clear" w:color="auto" w:fill="FFFFFF"/>
        </w:rPr>
        <w:t xml:space="preserve">to “ ‘obvious’ ” or “ ‘readily apparent’ ” characteristics “that any reasonable prosecutor . . . would logically avoid in a juror.”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xml:space="preserve">, at pp. 53–54, italics omitted.)  I acknowledge there have been instances where the reason for a strike was truly obvious — for example, when the </w:t>
      </w:r>
      <w:r w:rsidRPr="00CD1E4A">
        <w:rPr>
          <w:rFonts w:ascii="Century Schoolbook" w:hAnsi="Century Schoolbook"/>
          <w:sz w:val="27"/>
        </w:rPr>
        <w:t>struck juror “was married to a convicted murderer” and “[n]one of the seated or alternate jurors had anything remotely similar in their backgrounds.”  (</w:t>
      </w:r>
      <w:r w:rsidRPr="00CD1E4A">
        <w:rPr>
          <w:rFonts w:ascii="Century Schoolbook" w:hAnsi="Century Schoolbook"/>
          <w:i/>
          <w:sz w:val="27"/>
        </w:rPr>
        <w:t>People v. Jones</w:t>
      </w:r>
      <w:r w:rsidRPr="00CD1E4A">
        <w:rPr>
          <w:rFonts w:ascii="Century Schoolbook" w:hAnsi="Century Schoolbook"/>
          <w:sz w:val="27"/>
        </w:rPr>
        <w:t xml:space="preserve"> (2013) 57 Cal.4th 889, 983 (</w:t>
      </w:r>
      <w:r w:rsidRPr="00CD1E4A">
        <w:rPr>
          <w:rFonts w:ascii="Century Schoolbook" w:hAnsi="Century Schoolbook"/>
          <w:i/>
          <w:sz w:val="27"/>
        </w:rPr>
        <w:t>Jones</w:t>
      </w:r>
      <w:r w:rsidRPr="00CD1E4A">
        <w:rPr>
          <w:rFonts w:ascii="Century Schoolbook" w:hAnsi="Century Schoolbook"/>
          <w:sz w:val="27"/>
        </w:rPr>
        <w:t>) (conc. opn. of Liu, J.).)  But, as today’s opinion demonstrates, the court is willing to hypothesize reasons well short of something so conspicuous.</w:t>
      </w:r>
    </w:p>
    <w:p w:rsidR="00CD1E4A" w:rsidRPr="00CD1E4A" w:rsidP="00CD1E4A">
      <w:pPr>
        <w:spacing w:after="100" w:line="400" w:lineRule="exact"/>
        <w:ind w:firstLine="720"/>
        <w:jc w:val="both"/>
        <w:rPr>
          <w:rFonts w:ascii="Century Schoolbook" w:hAnsi="Century Schoolbook"/>
          <w:sz w:val="27"/>
          <w:szCs w:val="27"/>
          <w:shd w:val="clear" w:color="auto" w:fill="FFFFFF"/>
        </w:rPr>
      </w:pPr>
      <w:r w:rsidRPr="00CD1E4A">
        <w:rPr>
          <w:rFonts w:ascii="Century Schoolbook" w:hAnsi="Century Schoolbook"/>
          <w:sz w:val="27"/>
          <w:szCs w:val="27"/>
        </w:rPr>
        <w:t xml:space="preserve">Moreover, the limits stated in today’s opinion come late in our jurisprudence.  Our first-stage </w:t>
      </w:r>
      <w:r w:rsidRPr="00CD1E4A">
        <w:rPr>
          <w:rFonts w:ascii="Century Schoolbook" w:hAnsi="Century Schoolbook"/>
          <w:i/>
          <w:sz w:val="27"/>
          <w:szCs w:val="27"/>
        </w:rPr>
        <w:t>Batson</w:t>
      </w:r>
      <w:r w:rsidRPr="00CD1E4A">
        <w:rPr>
          <w:rFonts w:ascii="Century Schoolbook" w:hAnsi="Century Schoolbook"/>
          <w:sz w:val="27"/>
          <w:szCs w:val="27"/>
        </w:rPr>
        <w:t xml:space="preserve"> cases have regularly relied on hypothesized reasons so long as they “reasonably” or “legitimately” could have caused concern.  (E.g., </w:t>
      </w:r>
      <w:r w:rsidRPr="00CD1E4A">
        <w:rPr>
          <w:rFonts w:ascii="Century Schoolbook" w:hAnsi="Century Schoolbook"/>
          <w:i/>
          <w:iCs/>
          <w:sz w:val="27"/>
          <w:szCs w:val="27"/>
        </w:rPr>
        <w:t>Clark</w:t>
      </w:r>
      <w:r w:rsidRPr="00CD1E4A">
        <w:rPr>
          <w:rFonts w:ascii="Century Schoolbook" w:hAnsi="Century Schoolbook"/>
          <w:iCs/>
          <w:sz w:val="27"/>
          <w:szCs w:val="27"/>
        </w:rPr>
        <w:t xml:space="preserve">, </w:t>
      </w:r>
      <w:r w:rsidRPr="00CD1E4A">
        <w:rPr>
          <w:rFonts w:ascii="Century Schoolbook" w:hAnsi="Century Schoolbook"/>
          <w:i/>
          <w:iCs/>
          <w:sz w:val="27"/>
          <w:szCs w:val="27"/>
        </w:rPr>
        <w:t>supra</w:t>
      </w:r>
      <w:r w:rsidRPr="00CD1E4A">
        <w:rPr>
          <w:rFonts w:ascii="Century Schoolbook" w:hAnsi="Century Schoolbook"/>
          <w:iCs/>
          <w:sz w:val="27"/>
          <w:szCs w:val="27"/>
        </w:rPr>
        <w:t xml:space="preserve">, </w:t>
      </w:r>
      <w:r w:rsidRPr="00CD1E4A">
        <w:rPr>
          <w:rFonts w:ascii="Century Schoolbook" w:hAnsi="Century Schoolbook"/>
          <w:sz w:val="27"/>
          <w:szCs w:val="27"/>
        </w:rPr>
        <w:t>52 Cal.4th at p. 907 [“</w:t>
      </w:r>
      <w:r w:rsidRPr="00CD1E4A">
        <w:rPr>
          <w:rFonts w:ascii="Century Schoolbook" w:hAnsi="Century Schoolbook"/>
          <w:sz w:val="27"/>
          <w:szCs w:val="27"/>
          <w:shd w:val="clear" w:color="auto" w:fill="FFFFFF"/>
        </w:rPr>
        <w:t xml:space="preserve">The </w:t>
      </w:r>
      <w:r w:rsidRPr="00CD1E4A">
        <w:rPr>
          <w:rFonts w:ascii="Century Schoolbook" w:hAnsi="Century Schoolbook"/>
          <w:sz w:val="27"/>
          <w:szCs w:val="27"/>
          <w:bdr w:val="none" w:sz="0" w:space="0" w:color="auto" w:frame="1"/>
        </w:rPr>
        <w:t xml:space="preserve">prosecutor </w:t>
      </w:r>
      <w:r w:rsidRPr="00CD1E4A">
        <w:rPr>
          <w:rFonts w:ascii="Century Schoolbook" w:hAnsi="Century Schoolbook"/>
          <w:sz w:val="27"/>
          <w:bdr w:val="none" w:sz="0" w:space="0" w:color="auto" w:frame="1"/>
        </w:rPr>
        <w:t>reasonably</w:t>
      </w:r>
      <w:r w:rsidRPr="00CD1E4A">
        <w:rPr>
          <w:rFonts w:ascii="Century Schoolbook" w:hAnsi="Century Schoolbook"/>
          <w:sz w:val="27"/>
          <w:szCs w:val="27"/>
          <w:bdr w:val="none" w:sz="0" w:space="0" w:color="auto" w:frame="1"/>
        </w:rPr>
        <w:t xml:space="preserve"> </w:t>
      </w:r>
      <w:r w:rsidRPr="00CD1E4A">
        <w:rPr>
          <w:rFonts w:ascii="Century Schoolbook" w:hAnsi="Century Schoolbook"/>
          <w:sz w:val="27"/>
          <w:szCs w:val="27"/>
          <w:shd w:val="clear" w:color="auto" w:fill="FFFFFF"/>
        </w:rPr>
        <w:t xml:space="preserve">could believe that, given J.J.’s profession, she might consciously or unconsciously exert undue influence during the deliberative process, or that fellow jurors would ascribe to her a special legal expertise.”]; </w:t>
      </w:r>
      <w:r w:rsidRPr="00CD1E4A">
        <w:rPr>
          <w:rFonts w:ascii="Century Schoolbook" w:hAnsi="Century Schoolbook"/>
          <w:i/>
          <w:iCs/>
          <w:sz w:val="27"/>
          <w:szCs w:val="27"/>
        </w:rPr>
        <w:t>Hartsch</w:t>
      </w:r>
      <w:r w:rsidRPr="00CD1E4A">
        <w:rPr>
          <w:rFonts w:ascii="Century Schoolbook" w:hAnsi="Century Schoolbook"/>
          <w:sz w:val="27"/>
          <w:szCs w:val="27"/>
        </w:rPr>
        <w:t xml:space="preserve">, </w:t>
      </w:r>
      <w:r w:rsidRPr="00CD1E4A">
        <w:rPr>
          <w:rFonts w:ascii="Century Schoolbook" w:hAnsi="Century Schoolbook"/>
          <w:i/>
          <w:sz w:val="27"/>
          <w:szCs w:val="27"/>
        </w:rPr>
        <w:t>supra</w:t>
      </w:r>
      <w:r w:rsidRPr="00CD1E4A">
        <w:rPr>
          <w:rFonts w:ascii="Century Schoolbook" w:hAnsi="Century Schoolbook"/>
          <w:sz w:val="27"/>
          <w:szCs w:val="27"/>
        </w:rPr>
        <w:t xml:space="preserve">, 49 Cal.4th at p. 489 [“O.B.’s bias against police officers, G.C.’s failure to complete the questionnaire and his hesitance over evidentiary questions and the confidentiality of deliberations, and K.W.’s initial unwillingness to resolve evidentiary conflicts were all matters that could </w:t>
      </w:r>
      <w:r w:rsidRPr="00CD1E4A">
        <w:rPr>
          <w:rFonts w:ascii="Century Schoolbook" w:hAnsi="Century Schoolbook"/>
          <w:sz w:val="27"/>
        </w:rPr>
        <w:t>legitimately</w:t>
      </w:r>
      <w:r w:rsidRPr="00CD1E4A">
        <w:rPr>
          <w:rFonts w:ascii="Century Schoolbook" w:hAnsi="Century Schoolbook"/>
          <w:sz w:val="27"/>
          <w:szCs w:val="27"/>
        </w:rPr>
        <w:t xml:space="preserve"> give an advocate pause.”]; </w:t>
      </w:r>
      <w:r w:rsidRPr="00CD1E4A">
        <w:rPr>
          <w:rFonts w:ascii="Century Schoolbook" w:hAnsi="Century Schoolbook"/>
          <w:i/>
          <w:iCs/>
          <w:sz w:val="27"/>
          <w:szCs w:val="27"/>
          <w:shd w:val="clear" w:color="auto" w:fill="FFFFFF"/>
        </w:rPr>
        <w:t>People v. Taylor</w:t>
      </w:r>
      <w:r w:rsidRPr="00CD1E4A">
        <w:rPr>
          <w:rFonts w:ascii="Century Schoolbook" w:hAnsi="Century Schoolbook"/>
          <w:sz w:val="27"/>
          <w:szCs w:val="27"/>
          <w:shd w:val="clear" w:color="auto" w:fill="FFFFFF"/>
        </w:rPr>
        <w:t xml:space="preserve"> (2010) 48 Cal.4th 574, 644 (</w:t>
      </w:r>
      <w:r w:rsidRPr="00CD1E4A">
        <w:rPr>
          <w:rFonts w:ascii="Century Schoolbook" w:hAnsi="Century Schoolbook"/>
          <w:i/>
          <w:sz w:val="27"/>
          <w:szCs w:val="27"/>
          <w:shd w:val="clear" w:color="auto" w:fill="FFFFFF"/>
        </w:rPr>
        <w:t>Taylor</w:t>
      </w:r>
      <w:r w:rsidRPr="00CD1E4A">
        <w:rPr>
          <w:rFonts w:ascii="Century Schoolbook" w:hAnsi="Century Schoolbook"/>
          <w:sz w:val="27"/>
          <w:szCs w:val="27"/>
          <w:shd w:val="clear" w:color="auto" w:fill="FFFFFF"/>
        </w:rPr>
        <w:t xml:space="preserve">) [“Thus, both were engaged in professions the </w:t>
      </w:r>
      <w:r w:rsidRPr="00CD1E4A">
        <w:rPr>
          <w:rFonts w:ascii="Century Schoolbook" w:hAnsi="Century Schoolbook"/>
          <w:sz w:val="27"/>
          <w:szCs w:val="27"/>
          <w:bdr w:val="none" w:sz="0" w:space="0" w:color="auto" w:frame="1"/>
        </w:rPr>
        <w:t xml:space="preserve">prosecutor </w:t>
      </w:r>
      <w:r w:rsidRPr="00CD1E4A">
        <w:rPr>
          <w:rFonts w:ascii="Century Schoolbook" w:hAnsi="Century Schoolbook"/>
          <w:sz w:val="27"/>
          <w:bdr w:val="none" w:sz="0" w:space="0" w:color="auto" w:frame="1"/>
        </w:rPr>
        <w:t>reasonably</w:t>
      </w:r>
      <w:r w:rsidRPr="00CD1E4A">
        <w:rPr>
          <w:rFonts w:ascii="Century Schoolbook" w:hAnsi="Century Schoolbook"/>
          <w:sz w:val="27"/>
          <w:szCs w:val="27"/>
          <w:bdr w:val="none" w:sz="0" w:space="0" w:color="auto" w:frame="1"/>
        </w:rPr>
        <w:t xml:space="preserve"> </w:t>
      </w:r>
      <w:r w:rsidRPr="00CD1E4A">
        <w:rPr>
          <w:rFonts w:ascii="Century Schoolbook" w:hAnsi="Century Schoolbook"/>
          <w:sz w:val="27"/>
          <w:szCs w:val="27"/>
          <w:shd w:val="clear" w:color="auto" w:fill="FFFFFF"/>
        </w:rPr>
        <w:t xml:space="preserve">could believe would tend to make them overly sympathetic to the defense.”]; </w:t>
      </w:r>
      <w:r w:rsidRPr="00CD1E4A">
        <w:rPr>
          <w:rFonts w:ascii="Century Schoolbook" w:hAnsi="Century Schoolbook"/>
          <w:i/>
          <w:iCs/>
          <w:sz w:val="27"/>
          <w:szCs w:val="27"/>
        </w:rPr>
        <w:t xml:space="preserve">People v. Bonilla </w:t>
      </w:r>
      <w:r w:rsidRPr="00CD1E4A">
        <w:rPr>
          <w:rFonts w:ascii="Century Schoolbook" w:hAnsi="Century Schoolbook"/>
          <w:sz w:val="27"/>
          <w:szCs w:val="27"/>
        </w:rPr>
        <w:t>(2007) 41 Cal.4th 313, 347 (</w:t>
      </w:r>
      <w:r w:rsidRPr="00CD1E4A">
        <w:rPr>
          <w:rFonts w:ascii="Century Schoolbook" w:hAnsi="Century Schoolbook"/>
          <w:i/>
          <w:sz w:val="27"/>
          <w:szCs w:val="27"/>
        </w:rPr>
        <w:t>Bonilla</w:t>
      </w:r>
      <w:r w:rsidRPr="00CD1E4A">
        <w:rPr>
          <w:rFonts w:ascii="Century Schoolbook" w:hAnsi="Century Schoolbook"/>
          <w:sz w:val="27"/>
          <w:szCs w:val="27"/>
        </w:rPr>
        <w:t xml:space="preserve">) [“In each of these three cases, the juror’s responses would give reason enough for a prosecutor to consider a peremptory, without regard to the juror’s sex.”]; </w:t>
      </w:r>
      <w:r w:rsidRPr="00CD1E4A">
        <w:rPr>
          <w:rFonts w:ascii="Century Schoolbook" w:hAnsi="Century Schoolbook"/>
          <w:i/>
          <w:iCs/>
          <w:sz w:val="27"/>
          <w:szCs w:val="27"/>
          <w:shd w:val="clear" w:color="auto" w:fill="FFFFFF"/>
        </w:rPr>
        <w:t xml:space="preserve">People v. Guerra </w:t>
      </w:r>
      <w:r w:rsidRPr="00CD1E4A">
        <w:rPr>
          <w:rFonts w:ascii="Century Schoolbook" w:hAnsi="Century Schoolbook"/>
          <w:sz w:val="27"/>
          <w:szCs w:val="27"/>
          <w:shd w:val="clear" w:color="auto" w:fill="FFFFFF"/>
        </w:rPr>
        <w:t>(2006) 37 Cal.</w:t>
      </w:r>
      <w:r w:rsidRPr="00CD1E4A">
        <w:rPr>
          <w:rFonts w:ascii="Century Schoolbook" w:hAnsi="Century Schoolbook"/>
          <w:sz w:val="27"/>
          <w:szCs w:val="27"/>
        </w:rPr>
        <w:t xml:space="preserve">4th </w:t>
      </w:r>
      <w:r w:rsidRPr="00CD1E4A">
        <w:rPr>
          <w:rFonts w:ascii="Century Schoolbook" w:hAnsi="Century Schoolbook"/>
          <w:sz w:val="27"/>
          <w:szCs w:val="27"/>
          <w:shd w:val="clear" w:color="auto" w:fill="FFFFFF"/>
        </w:rPr>
        <w:t xml:space="preserve">1067, 1102–1103 [“Even though L.B. gave assurances that she could evaluate the evidence objectively, based on these responses, the </w:t>
      </w:r>
      <w:r w:rsidRPr="00CD1E4A">
        <w:rPr>
          <w:rFonts w:ascii="Century Schoolbook" w:hAnsi="Century Schoolbook"/>
          <w:sz w:val="27"/>
          <w:szCs w:val="27"/>
          <w:bdr w:val="none" w:sz="0" w:space="0" w:color="auto" w:frame="1"/>
        </w:rPr>
        <w:t xml:space="preserve">prosecutor </w:t>
      </w:r>
      <w:r w:rsidRPr="00CD1E4A">
        <w:rPr>
          <w:rFonts w:ascii="Century Schoolbook" w:hAnsi="Century Schoolbook"/>
          <w:sz w:val="27"/>
          <w:bdr w:val="none" w:sz="0" w:space="0" w:color="auto" w:frame="1"/>
        </w:rPr>
        <w:t>reasonably</w:t>
      </w:r>
      <w:r w:rsidRPr="00CD1E4A">
        <w:rPr>
          <w:rFonts w:ascii="Century Schoolbook" w:hAnsi="Century Schoolbook"/>
          <w:sz w:val="27"/>
          <w:szCs w:val="27"/>
          <w:bdr w:val="none" w:sz="0" w:space="0" w:color="auto" w:frame="1"/>
        </w:rPr>
        <w:t xml:space="preserve"> </w:t>
      </w:r>
      <w:r w:rsidRPr="00CD1E4A">
        <w:rPr>
          <w:rFonts w:ascii="Century Schoolbook" w:hAnsi="Century Schoolbook"/>
          <w:sz w:val="27"/>
          <w:szCs w:val="27"/>
          <w:shd w:val="clear" w:color="auto" w:fill="FFFFFF"/>
        </w:rPr>
        <w:t xml:space="preserve">might have been concerned with L.B.’s negative views of the police and the judicial system based on the incident with her cousin and her self-described strong personality, and challenged her on these bases.”].)  A juror characteristic that </w:t>
      </w:r>
      <w:r w:rsidRPr="00CD1E4A">
        <w:rPr>
          <w:rFonts w:ascii="Century Schoolbook" w:hAnsi="Century Schoolbook"/>
          <w:i/>
          <w:sz w:val="27"/>
          <w:szCs w:val="27"/>
          <w:shd w:val="clear" w:color="auto" w:fill="FFFFFF"/>
        </w:rPr>
        <w:t>a prosecutor reasonably could</w:t>
      </w:r>
      <w:r w:rsidRPr="00CD1E4A">
        <w:rPr>
          <w:rFonts w:ascii="Century Schoolbook" w:hAnsi="Century Schoolbook"/>
          <w:sz w:val="27"/>
          <w:szCs w:val="27"/>
          <w:shd w:val="clear" w:color="auto" w:fill="FFFFFF"/>
        </w:rPr>
        <w:t xml:space="preserve"> find problematic is hardly the same as a characteristic that “</w:t>
      </w:r>
      <w:r w:rsidRPr="00CD1E4A">
        <w:rPr>
          <w:rFonts w:ascii="Century Schoolbook" w:hAnsi="Century Schoolbook"/>
          <w:i/>
          <w:sz w:val="27"/>
          <w:szCs w:val="27"/>
          <w:shd w:val="clear" w:color="auto" w:fill="FFFFFF"/>
        </w:rPr>
        <w:t>any reasonable prosecutor</w:t>
      </w:r>
      <w:r w:rsidRPr="00CD1E4A">
        <w:rPr>
          <w:rFonts w:ascii="Century Schoolbook" w:hAnsi="Century Schoolbook"/>
          <w:sz w:val="27"/>
          <w:szCs w:val="27"/>
          <w:shd w:val="clear" w:color="auto" w:fill="FFFFFF"/>
        </w:rPr>
        <w:t xml:space="preserve"> . . . </w:t>
      </w:r>
      <w:r w:rsidRPr="00CD1E4A">
        <w:rPr>
          <w:rFonts w:ascii="Century Schoolbook" w:hAnsi="Century Schoolbook"/>
          <w:i/>
          <w:sz w:val="27"/>
          <w:szCs w:val="27"/>
          <w:shd w:val="clear" w:color="auto" w:fill="FFFFFF"/>
        </w:rPr>
        <w:t>would</w:t>
      </w:r>
      <w:r w:rsidRPr="00CD1E4A">
        <w:rPr>
          <w:rFonts w:ascii="Century Schoolbook" w:hAnsi="Century Schoolbook"/>
          <w:sz w:val="27"/>
          <w:szCs w:val="27"/>
          <w:shd w:val="clear" w:color="auto" w:fill="FFFFFF"/>
        </w:rPr>
        <w:t xml:space="preserve"> logically avoid.”  (Maj. opn., </w:t>
      </w:r>
      <w:r w:rsidRPr="00CD1E4A">
        <w:rPr>
          <w:rFonts w:ascii="Century Schoolbook" w:hAnsi="Century Schoolbook"/>
          <w:i/>
          <w:sz w:val="27"/>
          <w:szCs w:val="27"/>
          <w:shd w:val="clear" w:color="auto" w:fill="FFFFFF"/>
        </w:rPr>
        <w:t>ante</w:t>
      </w:r>
      <w:r w:rsidRPr="00CD1E4A">
        <w:rPr>
          <w:rFonts w:ascii="Century Schoolbook" w:hAnsi="Century Schoolbook"/>
          <w:sz w:val="27"/>
          <w:szCs w:val="27"/>
          <w:shd w:val="clear" w:color="auto" w:fill="FFFFFF"/>
        </w:rPr>
        <w:t xml:space="preserve">, at p. 54, italics added.)  If today’s opinion is intended to turn over a new leaf in our </w:t>
      </w:r>
      <w:r w:rsidRPr="00CD1E4A">
        <w:rPr>
          <w:rFonts w:ascii="Century Schoolbook" w:hAnsi="Century Schoolbook"/>
          <w:i/>
          <w:sz w:val="27"/>
          <w:szCs w:val="27"/>
          <w:shd w:val="clear" w:color="auto" w:fill="FFFFFF"/>
        </w:rPr>
        <w:t>Batson</w:t>
      </w:r>
      <w:r w:rsidRPr="00CD1E4A">
        <w:rPr>
          <w:rFonts w:ascii="Century Schoolbook" w:hAnsi="Century Schoolbook"/>
          <w:sz w:val="27"/>
          <w:szCs w:val="27"/>
          <w:shd w:val="clear" w:color="auto" w:fill="FFFFFF"/>
        </w:rPr>
        <w:t xml:space="preserve"> doctrine, one would expect to see these prior cases disapproved.  But the court repudiates none of them, even though they are plainly at odds with the high court’s admonition against “the imprecision of relying on </w:t>
      </w:r>
      <w:r w:rsidRPr="00CD1E4A">
        <w:rPr>
          <w:rFonts w:ascii="Century Schoolbook" w:hAnsi="Century Schoolbook"/>
          <w:sz w:val="27"/>
        </w:rPr>
        <w:t>judicial speculation.”  (</w:t>
      </w:r>
      <w:r w:rsidRPr="00CD1E4A">
        <w:rPr>
          <w:rFonts w:ascii="Century Schoolbook" w:hAnsi="Century Schoolbook"/>
          <w:i/>
          <w:sz w:val="27"/>
        </w:rPr>
        <w:t>Johnson v. California</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545 U.S. at p. 173.)  </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Similarly, today’s opinion acknowledges “the utility” of comparative juror analysis in first-stage </w:t>
      </w:r>
      <w:r w:rsidRPr="00CD1E4A">
        <w:rPr>
          <w:rFonts w:ascii="Century Schoolbook" w:hAnsi="Century Schoolbook"/>
          <w:i/>
          <w:sz w:val="27"/>
        </w:rPr>
        <w:t>Batson</w:t>
      </w:r>
      <w:r w:rsidRPr="00CD1E4A">
        <w:rPr>
          <w:rFonts w:ascii="Century Schoolbook" w:hAnsi="Century Schoolbook"/>
          <w:sz w:val="27"/>
        </w:rPr>
        <w:t xml:space="preserve"> analysis and notes that our “more recent decisions have considered such comparisons.”  (Maj. opn., </w:t>
      </w:r>
      <w:r w:rsidRPr="00CD1E4A">
        <w:rPr>
          <w:rFonts w:ascii="Century Schoolbook" w:hAnsi="Century Schoolbook"/>
          <w:i/>
          <w:sz w:val="27"/>
        </w:rPr>
        <w:t>ante</w:t>
      </w:r>
      <w:r w:rsidRPr="00CD1E4A">
        <w:rPr>
          <w:rFonts w:ascii="Century Schoolbook" w:hAnsi="Century Schoolbook"/>
          <w:sz w:val="27"/>
        </w:rPr>
        <w:t xml:space="preserve">, at pp. 56–57, fn. 17.)  But this also comes late in our jurisprudence.  For more than a decade, this court has repeatedly said that comparative juror analysis </w:t>
      </w:r>
      <w:r w:rsidRPr="00CD1E4A">
        <w:rPr>
          <w:rFonts w:ascii="Century Schoolbook" w:hAnsi="Century Schoolbook"/>
          <w:sz w:val="27"/>
          <w:szCs w:val="26"/>
        </w:rPr>
        <w:t>“is inappropriate” (</w:t>
      </w:r>
      <w:r w:rsidRPr="00CD1E4A">
        <w:rPr>
          <w:rFonts w:ascii="Century Schoolbook" w:hAnsi="Century Schoolbook"/>
          <w:i/>
          <w:sz w:val="27"/>
          <w:szCs w:val="26"/>
        </w:rPr>
        <w:t>People v. Sánchez</w:t>
      </w:r>
      <w:r w:rsidRPr="00CD1E4A">
        <w:rPr>
          <w:rFonts w:ascii="Century Schoolbook" w:hAnsi="Century Schoolbook"/>
          <w:sz w:val="27"/>
          <w:szCs w:val="26"/>
        </w:rPr>
        <w:t xml:space="preserve"> (2016) 63 Cal.4th 411, 439) or “</w:t>
      </w:r>
      <w:r w:rsidRPr="00CD1E4A">
        <w:rPr>
          <w:rFonts w:ascii="Century Schoolbook" w:hAnsi="Century Schoolbook"/>
          <w:color w:val="000000"/>
          <w:sz w:val="27"/>
          <w:szCs w:val="26"/>
          <w:shd w:val="clear" w:color="auto" w:fill="FFFFFF"/>
        </w:rPr>
        <w:t>has little or no use” (</w:t>
      </w:r>
      <w:r w:rsidRPr="00CD1E4A">
        <w:rPr>
          <w:rFonts w:ascii="Century Schoolbook" w:hAnsi="Century Schoolbook"/>
          <w:i/>
          <w:color w:val="000000"/>
          <w:sz w:val="27"/>
          <w:szCs w:val="26"/>
        </w:rPr>
        <w:t>Bonilla</w:t>
      </w:r>
      <w:r w:rsidRPr="00CD1E4A">
        <w:rPr>
          <w:rFonts w:ascii="Century Schoolbook" w:hAnsi="Century Schoolbook"/>
          <w:color w:val="000000"/>
          <w:sz w:val="27"/>
          <w:szCs w:val="26"/>
        </w:rPr>
        <w:t xml:space="preserve">, </w:t>
      </w:r>
      <w:r w:rsidRPr="00CD1E4A">
        <w:rPr>
          <w:rFonts w:ascii="Century Schoolbook" w:hAnsi="Century Schoolbook"/>
          <w:i/>
          <w:color w:val="000000"/>
          <w:sz w:val="27"/>
          <w:szCs w:val="26"/>
        </w:rPr>
        <w:t>supra</w:t>
      </w:r>
      <w:r w:rsidRPr="00CD1E4A">
        <w:rPr>
          <w:rFonts w:ascii="Century Schoolbook" w:hAnsi="Century Schoolbook"/>
          <w:color w:val="000000"/>
          <w:sz w:val="27"/>
          <w:szCs w:val="26"/>
        </w:rPr>
        <w:t>, 41 Cal.4th at p. 350)</w:t>
      </w:r>
      <w:r w:rsidRPr="00CD1E4A">
        <w:rPr>
          <w:rFonts w:ascii="Century Schoolbook" w:hAnsi="Century Schoolbook"/>
          <w:sz w:val="27"/>
        </w:rPr>
        <w:t xml:space="preserve"> in first-stage </w:t>
      </w:r>
      <w:r w:rsidRPr="00CD1E4A">
        <w:rPr>
          <w:rFonts w:ascii="Century Schoolbook" w:hAnsi="Century Schoolbook"/>
          <w:i/>
          <w:sz w:val="27"/>
        </w:rPr>
        <w:t>Batson</w:t>
      </w:r>
      <w:r w:rsidRPr="00CD1E4A">
        <w:rPr>
          <w:rFonts w:ascii="Century Schoolbook" w:hAnsi="Century Schoolbook"/>
          <w:sz w:val="27"/>
        </w:rPr>
        <w:t xml:space="preserve"> analysis.  Today’s opinion is grossly inaccurate when it says we have declined to conduct comparative juror analysis “</w:t>
      </w:r>
      <w:r w:rsidRPr="00CD1E4A">
        <w:rPr>
          <w:rFonts w:ascii="Century Schoolbook" w:hAnsi="Century Schoolbook"/>
          <w:i/>
          <w:sz w:val="27"/>
        </w:rPr>
        <w:t>particularly</w:t>
      </w:r>
      <w:r w:rsidRPr="00CD1E4A">
        <w:rPr>
          <w:rFonts w:ascii="Century Schoolbook" w:hAnsi="Century Schoolbook"/>
          <w:sz w:val="27"/>
        </w:rPr>
        <w:t xml:space="preserve"> when neither the trial court nor this court, in evaluating the prima facie case, has posited possible prosecutorial reasons for the challenged strikes.”  (Maj. opn., </w:t>
      </w:r>
      <w:r w:rsidRPr="00CD1E4A">
        <w:rPr>
          <w:rFonts w:ascii="Century Schoolbook" w:hAnsi="Century Schoolbook"/>
          <w:i/>
          <w:sz w:val="27"/>
        </w:rPr>
        <w:t>ante</w:t>
      </w:r>
      <w:r w:rsidRPr="00CD1E4A">
        <w:rPr>
          <w:rFonts w:ascii="Century Schoolbook" w:hAnsi="Century Schoolbook"/>
          <w:sz w:val="27"/>
        </w:rPr>
        <w:t xml:space="preserve">, at p. 56, fn. 17, italics added.)  We have </w:t>
      </w:r>
      <w:r w:rsidRPr="00CD1E4A">
        <w:rPr>
          <w:rFonts w:ascii="Century Schoolbook" w:hAnsi="Century Schoolbook"/>
          <w:i/>
          <w:sz w:val="27"/>
        </w:rPr>
        <w:t>regularly</w:t>
      </w:r>
      <w:r w:rsidRPr="00CD1E4A">
        <w:rPr>
          <w:rFonts w:ascii="Century Schoolbook" w:hAnsi="Century Schoolbook"/>
          <w:sz w:val="27"/>
        </w:rPr>
        <w:t xml:space="preserve"> decline</w:t>
      </w:r>
      <w:r w:rsidRPr="00CD1E4A">
        <w:rPr>
          <w:rFonts w:ascii="Century Schoolbook" w:hAnsi="Century Schoolbook"/>
          <w:sz w:val="27"/>
          <w:szCs w:val="27"/>
        </w:rPr>
        <w:t xml:space="preserve">d to conduct comparative juror analysis at </w:t>
      </w:r>
      <w:r w:rsidRPr="00CD1E4A">
        <w:rPr>
          <w:rFonts w:ascii="Century Schoolbook" w:hAnsi="Century Schoolbook"/>
          <w:i/>
          <w:sz w:val="27"/>
          <w:szCs w:val="27"/>
        </w:rPr>
        <w:t>Batson</w:t>
      </w:r>
      <w:r w:rsidRPr="00CD1E4A">
        <w:rPr>
          <w:rFonts w:ascii="Century Schoolbook" w:hAnsi="Century Schoolbook"/>
          <w:sz w:val="27"/>
          <w:szCs w:val="27"/>
        </w:rPr>
        <w:t xml:space="preserve">’s first step in cases where we have relied on </w:t>
      </w:r>
      <w:r w:rsidRPr="00CD1E4A">
        <w:rPr>
          <w:rFonts w:ascii="Century Schoolbook" w:hAnsi="Century Schoolbook"/>
          <w:color w:val="000000"/>
          <w:sz w:val="27"/>
          <w:szCs w:val="27"/>
        </w:rPr>
        <w:t>hypothesized or even actually stated reasons for contested strikes</w:t>
      </w:r>
      <w:r w:rsidRPr="00CD1E4A">
        <w:rPr>
          <w:rFonts w:ascii="Century Schoolbook" w:hAnsi="Century Schoolbook"/>
          <w:sz w:val="27"/>
          <w:szCs w:val="27"/>
        </w:rPr>
        <w:t>.</w:t>
      </w:r>
      <w:r w:rsidRPr="00CD1E4A">
        <w:rPr>
          <w:rFonts w:ascii="Century Schoolbook" w:hAnsi="Century Schoolbook"/>
          <w:sz w:val="27"/>
        </w:rPr>
        <w:t xml:space="preserve">  (See </w:t>
      </w:r>
      <w:r w:rsidRPr="00CD1E4A">
        <w:rPr>
          <w:rFonts w:ascii="Century Schoolbook" w:hAnsi="Century Schoolbook"/>
          <w:i/>
          <w:sz w:val="27"/>
          <w:szCs w:val="26"/>
        </w:rPr>
        <w:t>Sánchez</w:t>
      </w:r>
      <w:r w:rsidRPr="00CD1E4A">
        <w:rPr>
          <w:rFonts w:ascii="Century Schoolbook" w:hAnsi="Century Schoolbook"/>
          <w:sz w:val="27"/>
          <w:szCs w:val="26"/>
        </w:rPr>
        <w:t>, at pp. 439–440;</w:t>
      </w:r>
      <w:r w:rsidRPr="00CD1E4A">
        <w:rPr>
          <w:rFonts w:ascii="Century Schoolbook" w:hAnsi="Century Schoolbook"/>
          <w:sz w:val="27"/>
        </w:rPr>
        <w:t xml:space="preserve"> </w:t>
      </w:r>
      <w:r w:rsidRPr="00CD1E4A">
        <w:rPr>
          <w:rFonts w:ascii="Century Schoolbook" w:hAnsi="Century Schoolbook"/>
          <w:i/>
          <w:sz w:val="27"/>
        </w:rPr>
        <w:t>People v. Streeter</w:t>
      </w:r>
      <w:r w:rsidRPr="00CD1E4A">
        <w:rPr>
          <w:rFonts w:ascii="Century Schoolbook" w:hAnsi="Century Schoolbook"/>
          <w:sz w:val="27"/>
        </w:rPr>
        <w:t xml:space="preserve"> (2012) 54 Cal.4th 205, 225–226, fn. 6; </w:t>
      </w:r>
      <w:r w:rsidRPr="00CD1E4A">
        <w:rPr>
          <w:rFonts w:ascii="Century Schoolbook" w:hAnsi="Century Schoolbook"/>
          <w:i/>
          <w:sz w:val="27"/>
        </w:rPr>
        <w:t>Clark</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52 Cal.4th at pp. 907–908 &amp; fn. 13; </w:t>
      </w:r>
      <w:r w:rsidRPr="00CD1E4A">
        <w:rPr>
          <w:rFonts w:ascii="Century Schoolbook" w:hAnsi="Century Schoolbook"/>
          <w:i/>
          <w:sz w:val="27"/>
        </w:rPr>
        <w:t>Taylor</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48 Cal.4th at pp. 616–617; </w:t>
      </w:r>
      <w:r w:rsidRPr="00CD1E4A">
        <w:rPr>
          <w:rFonts w:ascii="Century Schoolbook" w:hAnsi="Century Schoolbook"/>
          <w:i/>
          <w:sz w:val="27"/>
        </w:rPr>
        <w:t>Hawthorne</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46 Cal.4th at p. 80, fn. 3; </w:t>
      </w:r>
      <w:r w:rsidRPr="00CD1E4A">
        <w:rPr>
          <w:rFonts w:ascii="Century Schoolbook" w:hAnsi="Century Schoolbook"/>
          <w:i/>
          <w:sz w:val="27"/>
        </w:rPr>
        <w:t>People v. Howard</w:t>
      </w:r>
      <w:r w:rsidRPr="00CD1E4A">
        <w:rPr>
          <w:rFonts w:ascii="Century Schoolbook" w:hAnsi="Century Schoolbook"/>
          <w:sz w:val="27"/>
        </w:rPr>
        <w:t xml:space="preserve"> (2008) 42 Cal.4th 1000, 1019–1020; </w:t>
      </w:r>
      <w:r w:rsidRPr="00CD1E4A">
        <w:rPr>
          <w:rFonts w:ascii="Century Schoolbook" w:hAnsi="Century Schoolbook"/>
          <w:i/>
          <w:sz w:val="27"/>
        </w:rPr>
        <w:t>Bonilla</w:t>
      </w:r>
      <w:r w:rsidRPr="00CD1E4A">
        <w:rPr>
          <w:rFonts w:ascii="Century Schoolbook" w:hAnsi="Century Schoolbook"/>
          <w:sz w:val="27"/>
        </w:rPr>
        <w:t xml:space="preserve">, at pp. 343, 347–350.)  Again, </w:t>
      </w:r>
      <w:r w:rsidRPr="00CD1E4A">
        <w:rPr>
          <w:rFonts w:ascii="Century Schoolbook" w:hAnsi="Century Schoolbook"/>
          <w:sz w:val="27"/>
          <w:szCs w:val="27"/>
          <w:shd w:val="clear" w:color="auto" w:fill="FFFFFF"/>
        </w:rPr>
        <w:t xml:space="preserve">if today’s opinion is intended to turn over a new leaf, one would expect to see these prior cases disapproved.  But the court repudiates none of them despite repeated calls to do so.  (See </w:t>
      </w:r>
      <w:r w:rsidRPr="00CD1E4A">
        <w:rPr>
          <w:rFonts w:ascii="Century Schoolbook" w:hAnsi="Century Schoolbook"/>
          <w:i/>
          <w:sz w:val="27"/>
        </w:rPr>
        <w:t>Reed</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4 Cal.5th at p. 1026 (dis. opn. of Liu, J.); </w:t>
      </w:r>
      <w:r w:rsidRPr="00CD1E4A">
        <w:rPr>
          <w:rFonts w:ascii="Century Schoolbook" w:hAnsi="Century Schoolbook"/>
          <w:i/>
          <w:sz w:val="27"/>
          <w:szCs w:val="26"/>
        </w:rPr>
        <w:t>Sánchez</w:t>
      </w:r>
      <w:r w:rsidRPr="00CD1E4A">
        <w:rPr>
          <w:rFonts w:ascii="Century Schoolbook" w:hAnsi="Century Schoolbook"/>
          <w:sz w:val="27"/>
          <w:szCs w:val="26"/>
        </w:rPr>
        <w:t>, at pp. 492–494 (conc. opn. of Liu, J.);</w:t>
      </w:r>
      <w:r w:rsidRPr="00CD1E4A">
        <w:rPr>
          <w:rFonts w:ascii="Century Schoolbook" w:hAnsi="Century Schoolbook"/>
          <w:sz w:val="27"/>
        </w:rPr>
        <w:t xml:space="preserve"> </w:t>
      </w:r>
      <w:r w:rsidRPr="00CD1E4A">
        <w:rPr>
          <w:rFonts w:ascii="Century Schoolbook" w:hAnsi="Century Schoolbook"/>
          <w:i/>
          <w:sz w:val="27"/>
        </w:rPr>
        <w:t>Harris</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57 Cal.4th at pp. 862–863 (conc. opn. of Kennard, J.); </w:t>
      </w:r>
      <w:r w:rsidRPr="00CD1E4A">
        <w:rPr>
          <w:rFonts w:ascii="Century Schoolbook" w:hAnsi="Century Schoolbook"/>
          <w:i/>
          <w:sz w:val="27"/>
        </w:rPr>
        <w:t>id.</w:t>
      </w:r>
      <w:r w:rsidRPr="00CD1E4A">
        <w:rPr>
          <w:rFonts w:ascii="Century Schoolbook" w:hAnsi="Century Schoolbook"/>
          <w:sz w:val="27"/>
        </w:rPr>
        <w:t xml:space="preserve"> at pp. 874–876 (conc. opn. of Liu, J.).)  The court’s refusal to overrule our prior cases, even though they stand alone against “a mountain of contrary authority” (</w:t>
      </w:r>
      <w:r w:rsidRPr="00CD1E4A">
        <w:rPr>
          <w:rFonts w:ascii="Century Schoolbook" w:hAnsi="Century Schoolbook"/>
          <w:i/>
          <w:sz w:val="27"/>
          <w:szCs w:val="26"/>
        </w:rPr>
        <w:t>Sánchez</w:t>
      </w:r>
      <w:r w:rsidRPr="00CD1E4A">
        <w:rPr>
          <w:rFonts w:ascii="Century Schoolbook" w:hAnsi="Century Schoolbook"/>
          <w:sz w:val="27"/>
          <w:szCs w:val="26"/>
        </w:rPr>
        <w:t>, at pp. 492–494 (conc. opn. of Liu, J.) [citing cases]</w:t>
      </w:r>
      <w:r w:rsidRPr="00CD1E4A">
        <w:rPr>
          <w:rFonts w:ascii="Century Schoolbook" w:hAnsi="Century Schoolbook"/>
          <w:sz w:val="27"/>
        </w:rPr>
        <w:t xml:space="preserve">), is quite puzzling and irregular.  (Cf. </w:t>
      </w:r>
      <w:r w:rsidRPr="00CD1E4A">
        <w:rPr>
          <w:rFonts w:ascii="Century Schoolbook" w:hAnsi="Century Schoolbook"/>
          <w:i/>
          <w:sz w:val="27"/>
        </w:rPr>
        <w:t>People v. Lopez</w:t>
      </w:r>
      <w:r w:rsidRPr="00CD1E4A">
        <w:rPr>
          <w:rFonts w:ascii="Century Schoolbook" w:hAnsi="Century Schoolbook"/>
          <w:sz w:val="27"/>
        </w:rPr>
        <w:t xml:space="preserve"> (Nov. 25, 2019, S238627) __ Cal.5th __, __ [pp. 33–34] [overruling search-and-seizure precedent that had put California in “a minority of one” among all jurisdictions].)</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I would like to believe that the limits stated in today’s opinion will rein in this court’s reliance on hypothesized reasons in first-stage </w:t>
      </w:r>
      <w:r w:rsidRPr="00CD1E4A">
        <w:rPr>
          <w:rFonts w:ascii="Century Schoolbook" w:hAnsi="Century Schoolbook"/>
          <w:i/>
          <w:sz w:val="27"/>
        </w:rPr>
        <w:t>Batson</w:t>
      </w:r>
      <w:r w:rsidRPr="00CD1E4A">
        <w:rPr>
          <w:rFonts w:ascii="Century Schoolbook" w:hAnsi="Century Schoolbook"/>
          <w:sz w:val="27"/>
        </w:rPr>
        <w:t xml:space="preserve"> analysis.  (Cf. </w:t>
      </w:r>
      <w:r w:rsidRPr="00CD1E4A">
        <w:rPr>
          <w:rFonts w:ascii="Century Schoolbook" w:hAnsi="Century Schoolbook"/>
          <w:i/>
          <w:sz w:val="27"/>
        </w:rPr>
        <w:t>Harris</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57 Cal.4th at pp. 872–873 (conc. opn. of Liu, J.).)  But in light of our prior case law (which the court does not disapprove) as well as today’s decision and another recent decision that relied on “underwhelming” hypothesized reasons to find no inference of discrimination arising from the removal of five out of six black jurors (</w:t>
      </w:r>
      <w:r w:rsidRPr="00CD1E4A">
        <w:rPr>
          <w:rFonts w:ascii="Century Schoolbook" w:hAnsi="Century Schoolbook"/>
          <w:i/>
          <w:sz w:val="27"/>
        </w:rPr>
        <w:t>Reed</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4 Cal.5th at p. 1025 (dis. opn. of Liu, J.)), I now believe a  different approach is needed.</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szCs w:val="27"/>
        </w:rPr>
        <w:t xml:space="preserve">I see at least two options.  First, the high court could make clear that reliance on hypothesized reasons in first-stage </w:t>
      </w:r>
      <w:r w:rsidRPr="00CD1E4A">
        <w:rPr>
          <w:rFonts w:ascii="Century Schoolbook" w:hAnsi="Century Schoolbook"/>
          <w:i/>
          <w:sz w:val="27"/>
          <w:szCs w:val="27"/>
        </w:rPr>
        <w:t>Batson</w:t>
      </w:r>
      <w:r w:rsidRPr="00CD1E4A">
        <w:rPr>
          <w:rFonts w:ascii="Century Schoolbook" w:hAnsi="Century Schoolbook"/>
          <w:sz w:val="27"/>
          <w:szCs w:val="27"/>
        </w:rPr>
        <w:t xml:space="preserve"> analysis is generally impermissible.  Such reliance “</w:t>
      </w:r>
      <w:r w:rsidRPr="00CD1E4A">
        <w:rPr>
          <w:rFonts w:ascii="Century Schoolbook" w:hAnsi="Century Schoolbook" w:cs="TimesNewRomanPSMT"/>
          <w:sz w:val="27"/>
          <w:szCs w:val="27"/>
        </w:rPr>
        <w:t xml:space="preserve">effectively short-circuits the three-step framework and defeats the essential inquiry into whether the </w:t>
      </w:r>
      <w:r w:rsidRPr="00CD1E4A">
        <w:rPr>
          <w:rFonts w:ascii="Century Schoolbook" w:hAnsi="Century Schoolbook" w:cs="TimesNewRomanPS-ItalicMT"/>
          <w:i/>
          <w:iCs/>
          <w:sz w:val="27"/>
          <w:szCs w:val="27"/>
        </w:rPr>
        <w:t xml:space="preserve">possible </w:t>
      </w:r>
      <w:r w:rsidRPr="00CD1E4A">
        <w:rPr>
          <w:rFonts w:ascii="Century Schoolbook" w:hAnsi="Century Schoolbook" w:cs="TimesNewRomanPSMT"/>
          <w:sz w:val="27"/>
          <w:szCs w:val="27"/>
        </w:rPr>
        <w:t xml:space="preserve">reasons for a strike were the prosecutor’s </w:t>
      </w:r>
      <w:r w:rsidRPr="00CD1E4A">
        <w:rPr>
          <w:rFonts w:ascii="Century Schoolbook" w:hAnsi="Century Schoolbook" w:cs="TimesNewRomanPS-ItalicMT"/>
          <w:i/>
          <w:iCs/>
          <w:sz w:val="27"/>
          <w:szCs w:val="27"/>
        </w:rPr>
        <w:t>actual</w:t>
      </w:r>
      <w:r w:rsidRPr="00CD1E4A">
        <w:rPr>
          <w:rFonts w:ascii="Century Schoolbook" w:hAnsi="Century Schoolbook" w:cs="TimesNewRomanPSMT"/>
          <w:sz w:val="27"/>
          <w:szCs w:val="27"/>
        </w:rPr>
        <w:t xml:space="preserve"> reasons.”  (</w:t>
      </w:r>
      <w:r w:rsidRPr="00CD1E4A">
        <w:rPr>
          <w:rFonts w:ascii="Century Schoolbook" w:hAnsi="Century Schoolbook" w:cs="TimesNewRomanPSMT"/>
          <w:i/>
          <w:sz w:val="27"/>
          <w:szCs w:val="27"/>
        </w:rPr>
        <w:t>Harris</w:t>
      </w:r>
      <w:r w:rsidRPr="00CD1E4A">
        <w:rPr>
          <w:rFonts w:ascii="Century Schoolbook" w:hAnsi="Century Schoolbook" w:cs="TimesNewRomanPSMT"/>
          <w:sz w:val="27"/>
          <w:szCs w:val="27"/>
        </w:rPr>
        <w:t xml:space="preserve">, </w:t>
      </w:r>
      <w:r w:rsidRPr="00CD1E4A">
        <w:rPr>
          <w:rFonts w:ascii="Century Schoolbook" w:hAnsi="Century Schoolbook" w:cs="TimesNewRomanPSMT"/>
          <w:i/>
          <w:sz w:val="27"/>
          <w:szCs w:val="27"/>
        </w:rPr>
        <w:t>supra</w:t>
      </w:r>
      <w:r w:rsidRPr="00CD1E4A">
        <w:rPr>
          <w:rFonts w:ascii="Century Schoolbook" w:hAnsi="Century Schoolbook" w:cs="TimesNewRomanPSMT"/>
          <w:sz w:val="27"/>
          <w:szCs w:val="27"/>
        </w:rPr>
        <w:t xml:space="preserve">, 57 Cal.4th at p. 873 (conc. opn. of Liu, J.); see </w:t>
      </w:r>
      <w:r w:rsidRPr="00CD1E4A">
        <w:rPr>
          <w:rFonts w:ascii="Century Schoolbook" w:hAnsi="Century Schoolbook" w:cs="TimesNewRomanPSMT"/>
          <w:i/>
          <w:sz w:val="27"/>
          <w:szCs w:val="27"/>
        </w:rPr>
        <w:t>Johnson v. California</w:t>
      </w:r>
      <w:r w:rsidRPr="00CD1E4A">
        <w:rPr>
          <w:rFonts w:ascii="Century Schoolbook" w:hAnsi="Century Schoolbook" w:cs="TimesNewRomanPSMT"/>
          <w:sz w:val="27"/>
          <w:szCs w:val="27"/>
        </w:rPr>
        <w:t xml:space="preserve">, </w:t>
      </w:r>
      <w:r w:rsidRPr="00CD1E4A">
        <w:rPr>
          <w:rFonts w:ascii="Century Schoolbook" w:hAnsi="Century Schoolbook" w:cs="TimesNewRomanPSMT"/>
          <w:i/>
          <w:sz w:val="27"/>
          <w:szCs w:val="27"/>
        </w:rPr>
        <w:t>supra</w:t>
      </w:r>
      <w:r w:rsidRPr="00CD1E4A">
        <w:rPr>
          <w:rFonts w:ascii="Century Schoolbook" w:hAnsi="Century Schoolbook" w:cs="TimesNewRomanPSMT"/>
          <w:sz w:val="27"/>
          <w:szCs w:val="27"/>
        </w:rPr>
        <w:t>, 545 U.S. at p. 172 [“The inherent uncertainty present in inquiries of discriminatory purpose counsels against engaging in needless and imperfect speculation when a direct answer can be obtained by asking a simple question.”]</w:t>
      </w:r>
      <w:r w:rsidRPr="00CD1E4A">
        <w:rPr>
          <w:rFonts w:ascii="Century Schoolbook" w:hAnsi="Century Schoolbook"/>
          <w:sz w:val="27"/>
        </w:rPr>
        <w:t>.)  If there are to be exceptions for “obvious” reasons, it must be emphasized that such exceptions should be rare and truly exceptional — for example, the struck juror “was married to a convicted murderer” (</w:t>
      </w:r>
      <w:r w:rsidRPr="00CD1E4A">
        <w:rPr>
          <w:rFonts w:ascii="Century Schoolbook" w:hAnsi="Century Schoolbook"/>
          <w:i/>
          <w:sz w:val="27"/>
        </w:rPr>
        <w:t>Jones</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57 Cal.4th at p. 983 (conc. opn. of Liu, J.)) — and not a regular practice of the sort that has appeared in more than two-thirds of our first-stage </w:t>
      </w:r>
      <w:r w:rsidRPr="00CD1E4A">
        <w:rPr>
          <w:rFonts w:ascii="Century Schoolbook" w:hAnsi="Century Schoolbook"/>
          <w:i/>
          <w:sz w:val="27"/>
        </w:rPr>
        <w:t>Batson</w:t>
      </w:r>
      <w:r w:rsidRPr="00CD1E4A">
        <w:rPr>
          <w:rFonts w:ascii="Century Schoolbook" w:hAnsi="Century Schoolbook"/>
          <w:sz w:val="27"/>
        </w:rPr>
        <w:t xml:space="preserve"> decisions.  Further, the practice should be especially disfavored on appellate review in cases where the trial court did not identify any obvious reason for a contested strike.</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 second option is for this court, the Judicial Council, or the Legislature to follow the lead of several state high courts that have essentially eliminated </w:t>
      </w:r>
      <w:r w:rsidRPr="00CD1E4A">
        <w:rPr>
          <w:rFonts w:ascii="Century Schoolbook" w:hAnsi="Century Schoolbook"/>
          <w:i/>
          <w:sz w:val="27"/>
        </w:rPr>
        <w:t>Batson</w:t>
      </w:r>
      <w:r w:rsidRPr="00CD1E4A">
        <w:rPr>
          <w:rFonts w:ascii="Century Schoolbook" w:hAnsi="Century Schoolbook"/>
          <w:sz w:val="27"/>
        </w:rPr>
        <w:t xml:space="preserve">’s first step.  (See </w:t>
      </w:r>
      <w:r w:rsidRPr="00CD1E4A">
        <w:rPr>
          <w:rFonts w:ascii="Century Schoolbook" w:hAnsi="Century Schoolbook"/>
          <w:i/>
          <w:sz w:val="27"/>
        </w:rPr>
        <w:t>State v. Rayfield</w:t>
      </w:r>
      <w:r w:rsidRPr="00CD1E4A">
        <w:rPr>
          <w:rFonts w:ascii="Century Schoolbook" w:hAnsi="Century Schoolbook"/>
          <w:sz w:val="27"/>
        </w:rPr>
        <w:t xml:space="preserve"> (S.C. 2006) 631 S.E.2d 244, 247; </w:t>
      </w:r>
      <w:r w:rsidRPr="00CD1E4A">
        <w:rPr>
          <w:rFonts w:ascii="Century Schoolbook" w:hAnsi="Century Schoolbook"/>
          <w:i/>
          <w:sz w:val="27"/>
        </w:rPr>
        <w:t>Melbourne v. State</w:t>
      </w:r>
      <w:r w:rsidRPr="00CD1E4A">
        <w:rPr>
          <w:rFonts w:ascii="Century Schoolbook" w:hAnsi="Century Schoolbook"/>
          <w:sz w:val="27"/>
        </w:rPr>
        <w:t xml:space="preserve"> (Fla. 1996) 679 So.2d 759, 764; </w:t>
      </w:r>
      <w:r w:rsidRPr="00CD1E4A">
        <w:rPr>
          <w:rFonts w:ascii="Century Schoolbook" w:hAnsi="Century Schoolbook"/>
          <w:i/>
          <w:sz w:val="27"/>
        </w:rPr>
        <w:t>State v. Parker</w:t>
      </w:r>
      <w:r w:rsidRPr="00CD1E4A">
        <w:rPr>
          <w:rFonts w:ascii="Century Schoolbook" w:hAnsi="Century Schoolbook"/>
          <w:sz w:val="27"/>
        </w:rPr>
        <w:t xml:space="preserve"> (Mo. 1992) 836 S.W.2d 930, 939–940; </w:t>
      </w:r>
      <w:r w:rsidRPr="00CD1E4A">
        <w:rPr>
          <w:rFonts w:ascii="Century Schoolbook" w:hAnsi="Century Schoolbook"/>
          <w:i/>
          <w:sz w:val="27"/>
        </w:rPr>
        <w:t>State v. Holloway</w:t>
      </w:r>
      <w:r w:rsidRPr="00CD1E4A">
        <w:rPr>
          <w:rFonts w:ascii="Century Schoolbook" w:hAnsi="Century Schoolbook"/>
          <w:sz w:val="27"/>
        </w:rPr>
        <w:t xml:space="preserve"> (Conn. 1989) 553 A.2d 166, 171–172; Wn. Gen. Rules, rule 37(d).)  Under this approach, whenever a defendant raises a </w:t>
      </w:r>
      <w:r w:rsidRPr="00CD1E4A">
        <w:rPr>
          <w:rFonts w:ascii="Century Schoolbook" w:hAnsi="Century Schoolbook"/>
          <w:i/>
          <w:sz w:val="27"/>
        </w:rPr>
        <w:t>Batson</w:t>
      </w:r>
      <w:r w:rsidRPr="00CD1E4A">
        <w:rPr>
          <w:rFonts w:ascii="Century Schoolbook" w:hAnsi="Century Schoolbook"/>
          <w:sz w:val="27"/>
        </w:rPr>
        <w:t xml:space="preserve"> challenge to the prosecutor’s strike of a prospective juror from a legally cognizable group, “[t]he trial court will then require the state to come forward with reasonably specific and clear race-neutral explanations for the strike.”  (</w:t>
      </w:r>
      <w:r w:rsidRPr="00CD1E4A">
        <w:rPr>
          <w:rFonts w:ascii="Century Schoolbook" w:hAnsi="Century Schoolbook"/>
          <w:i/>
          <w:sz w:val="27"/>
        </w:rPr>
        <w:t>State v. Parker</w:t>
      </w:r>
      <w:r w:rsidRPr="00CD1E4A">
        <w:rPr>
          <w:rFonts w:ascii="Century Schoolbook" w:hAnsi="Century Schoolbook"/>
          <w:sz w:val="27"/>
        </w:rPr>
        <w:t>, at p. 939, fn. omitted.)</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This approach would serve the important goals of promoting transparency, creating a record for appellate review, and ensuring public confidence in our justice system, while imposing “the comparatively low cost of requiring a party to state its actual reasons for striking a minority prospective juror.”  (</w:t>
      </w:r>
      <w:r w:rsidRPr="00CD1E4A">
        <w:rPr>
          <w:rFonts w:ascii="Century Schoolbook" w:hAnsi="Century Schoolbook"/>
          <w:i/>
          <w:sz w:val="27"/>
        </w:rPr>
        <w:t>Harris</w:t>
      </w:r>
      <w:r w:rsidRPr="00CD1E4A">
        <w:rPr>
          <w:rFonts w:ascii="Century Schoolbook" w:hAnsi="Century Schoolbook"/>
          <w:sz w:val="27"/>
        </w:rPr>
        <w:t xml:space="preserve">, </w:t>
      </w:r>
      <w:r w:rsidRPr="00CD1E4A">
        <w:rPr>
          <w:rFonts w:ascii="Century Schoolbook" w:hAnsi="Century Schoolbook"/>
          <w:i/>
          <w:sz w:val="27"/>
        </w:rPr>
        <w:t>supra</w:t>
      </w:r>
      <w:r w:rsidRPr="00CD1E4A">
        <w:rPr>
          <w:rFonts w:ascii="Century Schoolbook" w:hAnsi="Century Schoolbook"/>
          <w:sz w:val="27"/>
        </w:rPr>
        <w:t xml:space="preserve">, 57 Cal.4th at p. 884 (conc. opn. of Liu, J.).)  As the Washington Association of Prosecuting Attorneys observed in the development of that state’s rule, “[t]he first step of the </w:t>
      </w:r>
      <w:r w:rsidRPr="00CD1E4A">
        <w:rPr>
          <w:rFonts w:ascii="Century Schoolbook" w:hAnsi="Century Schoolbook"/>
          <w:i/>
          <w:sz w:val="27"/>
        </w:rPr>
        <w:t>Batson</w:t>
      </w:r>
      <w:r w:rsidRPr="00CD1E4A">
        <w:rPr>
          <w:rFonts w:ascii="Century Schoolbook" w:hAnsi="Century Schoolbook"/>
          <w:sz w:val="27"/>
        </w:rPr>
        <w:t xml:space="preserve"> inquiry, a prima facie test, has historically cut off discussion as to meaningful objections to peremptory challenges.  That step ultimately served to mask intentional or unconscious bias.  Eliminating the prima facie showing will be a highly significant improvement in the process, insofar as it will force litigants to root their challenges in concrete reasons focused directly on a juror’s ability to serve.”  (Wn. Supreme Ct., Proposed New GR 37—Jury Selection Workgroup Final Report (2018) appen. 2, Statement on the Workgroup Final Report Wn. Assn. of Prosecuting Attorneys, p. 1 &lt;www.courts.wa.gov/</w:t>
      </w:r>
      <w:r w:rsidRPr="00CD1E4A">
        <w:rPr>
          <w:sz w:val="27"/>
        </w:rPr>
        <w:t>‌</w:t>
      </w:r>
      <w:r w:rsidRPr="00CD1E4A">
        <w:rPr>
          <w:rFonts w:ascii="Century Schoolbook" w:hAnsi="Century Schoolbook"/>
          <w:sz w:val="27"/>
        </w:rPr>
        <w:t>content/</w:t>
      </w:r>
      <w:r w:rsidRPr="00CD1E4A">
        <w:rPr>
          <w:sz w:val="27"/>
        </w:rPr>
        <w:t>‌</w:t>
      </w:r>
      <w:r w:rsidRPr="00CD1E4A">
        <w:rPr>
          <w:rFonts w:ascii="Century Schoolbook" w:hAnsi="Century Schoolbook"/>
          <w:sz w:val="27"/>
        </w:rPr>
        <w:t>publicUpload/</w:t>
      </w:r>
      <w:r w:rsidRPr="00CD1E4A">
        <w:rPr>
          <w:sz w:val="27"/>
        </w:rPr>
        <w:t>‌</w:t>
      </w:r>
      <w:r w:rsidRPr="00CD1E4A">
        <w:rPr>
          <w:rFonts w:ascii="Century Schoolbook" w:hAnsi="Century Schoolbook"/>
          <w:sz w:val="27"/>
        </w:rPr>
        <w:t>Supreme%</w:t>
      </w:r>
      <w:r w:rsidRPr="00CD1E4A">
        <w:rPr>
          <w:sz w:val="27"/>
        </w:rPr>
        <w:t>‌</w:t>
      </w:r>
      <w:r w:rsidRPr="00CD1E4A">
        <w:rPr>
          <w:rFonts w:ascii="Century Schoolbook" w:hAnsi="Century Schoolbook"/>
          <w:sz w:val="27"/>
        </w:rPr>
        <w:t>20Court%20Orders/</w:t>
      </w:r>
      <w:r w:rsidRPr="00CD1E4A">
        <w:rPr>
          <w:sz w:val="27"/>
        </w:rPr>
        <w:t>‌</w:t>
      </w:r>
      <w:r w:rsidRPr="00CD1E4A">
        <w:rPr>
          <w:rFonts w:ascii="Century Schoolbook" w:hAnsi="Century Schoolbook"/>
          <w:sz w:val="27"/>
        </w:rPr>
        <w:t>OrderNo</w:t>
      </w:r>
      <w:r w:rsidRPr="00CD1E4A">
        <w:rPr>
          <w:sz w:val="27"/>
        </w:rPr>
        <w:t>‌</w:t>
      </w:r>
      <w:r w:rsidRPr="00CD1E4A">
        <w:rPr>
          <w:rFonts w:ascii="Century Schoolbook" w:hAnsi="Century Schoolbook"/>
          <w:sz w:val="27"/>
        </w:rPr>
        <w:t>25700-</w:t>
      </w:r>
      <w:r w:rsidRPr="00CD1E4A">
        <w:rPr>
          <w:sz w:val="27"/>
        </w:rPr>
        <w:t>‌</w:t>
      </w:r>
      <w:r w:rsidRPr="00CD1E4A">
        <w:rPr>
          <w:rFonts w:ascii="Century Schoolbook" w:hAnsi="Century Schoolbook"/>
          <w:sz w:val="27"/>
        </w:rPr>
        <w:t xml:space="preserve">A-1221Workgroup.pdf&gt; [as of Nov. 25, 2019].)  </w:t>
      </w:r>
      <w:r w:rsidRPr="00CD1E4A">
        <w:rPr>
          <w:rFonts w:ascii="Century Schoolbook" w:hAnsi="Century Schoolbook"/>
          <w:sz w:val="27"/>
          <w:szCs w:val="26"/>
          <w:shd w:val="clear" w:color="auto" w:fill="FFFFFF"/>
        </w:rPr>
        <w:t xml:space="preserve">Our Legislature </w:t>
      </w:r>
      <w:r w:rsidRPr="00CD1E4A">
        <w:rPr>
          <w:rFonts w:ascii="Century Schoolbook" w:hAnsi="Century Schoolbook"/>
          <w:sz w:val="27"/>
        </w:rPr>
        <w:t>has passed laws expanding protections against discrimination in jury selection (see, e.g., Code of Civ. Proc., § 231.5), and it can do so again.</w:t>
      </w: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One way or another, it is</w:t>
      </w:r>
      <w:r w:rsidRPr="00CD1E4A">
        <w:rPr>
          <w:rFonts w:ascii="Century Schoolbook" w:hAnsi="Century Schoolbook"/>
          <w:b/>
          <w:sz w:val="27"/>
        </w:rPr>
        <w:t xml:space="preserve"> </w:t>
      </w:r>
      <w:r w:rsidRPr="00CD1E4A">
        <w:rPr>
          <w:rFonts w:ascii="Century Schoolbook" w:hAnsi="Century Schoolbook"/>
          <w:sz w:val="27"/>
        </w:rPr>
        <w:t xml:space="preserve">time for a course correction in our </w:t>
      </w:r>
      <w:r w:rsidRPr="00CD1E4A">
        <w:rPr>
          <w:rFonts w:ascii="Century Schoolbook" w:hAnsi="Century Schoolbook"/>
          <w:i/>
          <w:sz w:val="27"/>
        </w:rPr>
        <w:t>Batson</w:t>
      </w:r>
      <w:r w:rsidRPr="00CD1E4A">
        <w:rPr>
          <w:rFonts w:ascii="Century Schoolbook" w:hAnsi="Century Schoolbook"/>
          <w:sz w:val="27"/>
        </w:rPr>
        <w:t xml:space="preserve"> jurisprudence.  The stark uniformity of outcomes in our case law raises a serious concern that our analytical approach has evolved into a one-way ratchet.  I would hold that the totality of circumstances in this case gives rise to an inference of discrimination.  And because the passage of time makes impractical a remand to explore the prosecution’s actual reasons for the contested strikes, I would reverse the penalty judgment.  I respectfully dissent.</w:t>
      </w:r>
    </w:p>
    <w:p w:rsidR="00CD1E4A" w:rsidRPr="00CD1E4A" w:rsidP="00CD1E4A">
      <w:pPr>
        <w:spacing w:after="100" w:line="400" w:lineRule="exact"/>
        <w:ind w:firstLine="720"/>
        <w:jc w:val="both"/>
        <w:rPr>
          <w:rFonts w:ascii="Century Schoolbook" w:hAnsi="Century Schoolbook"/>
          <w:sz w:val="27"/>
        </w:rPr>
      </w:pPr>
    </w:p>
    <w:p w:rsidR="00773F3C" w:rsidP="00CD1E4A">
      <w:pPr>
        <w:spacing w:after="100" w:line="400" w:lineRule="exact"/>
        <w:ind w:left="4320" w:firstLine="720"/>
        <w:jc w:val="both"/>
        <w:rPr>
          <w:rFonts w:ascii="Century Schoolbook" w:hAnsi="Century Schoolbook"/>
          <w:b/>
          <w:sz w:val="27"/>
        </w:rPr>
        <w:sectPr w:rsidSect="00781C68">
          <w:headerReference w:type="default" r:id="rId12"/>
          <w:pgSz w:w="12240" w:h="15840"/>
          <w:pgMar w:top="1440" w:right="2160" w:bottom="1440" w:left="2160" w:header="720" w:footer="720" w:gutter="0"/>
          <w:pgNumType w:start="1"/>
          <w:cols w:space="720"/>
          <w:titlePg/>
          <w:docGrid w:linePitch="354"/>
        </w:sectPr>
      </w:pPr>
      <w:r w:rsidRPr="00CD1E4A">
        <w:rPr>
          <w:rFonts w:ascii="Century Schoolbook" w:hAnsi="Century Schoolbook"/>
          <w:b/>
          <w:sz w:val="27"/>
        </w:rPr>
        <w:t>LIU, J.</w:t>
      </w:r>
    </w:p>
    <w:p w:rsidR="00CD1E4A" w:rsidRPr="00CD1E4A" w:rsidP="00CD1E4A">
      <w:pPr>
        <w:spacing w:after="100" w:line="400" w:lineRule="exact"/>
        <w:ind w:left="4320" w:firstLine="720"/>
        <w:jc w:val="both"/>
        <w:rPr>
          <w:rFonts w:ascii="Century Schoolbook" w:hAnsi="Century Schoolbook"/>
          <w:b/>
          <w:sz w:val="27"/>
        </w:rPr>
      </w:pPr>
    </w:p>
    <w:p w:rsidR="00773F3C" w:rsidP="00CD1E4A">
      <w:pPr>
        <w:rPr>
          <w:rFonts w:ascii="Century Schoolbook" w:hAnsi="Century Schoolbook"/>
          <w:b/>
          <w:sz w:val="27"/>
        </w:rPr>
        <w:sectPr w:rsidSect="00773F3C">
          <w:headerReference w:type="default" r:id="rId13"/>
          <w:footerReference w:type="default" r:id="rId14"/>
          <w:type w:val="continuous"/>
          <w:pgSz w:w="12240" w:h="15840"/>
          <w:pgMar w:top="1440" w:right="2160" w:bottom="1440" w:left="2160" w:header="720" w:footer="720" w:gutter="0"/>
          <w:cols w:space="720"/>
          <w:titlePg/>
          <w:docGrid w:linePitch="354"/>
        </w:sectPr>
      </w:pPr>
      <w:r w:rsidRPr="00CD1E4A">
        <w:rPr>
          <w:rFonts w:ascii="Century Schoolbook" w:hAnsi="Century Schoolbook"/>
          <w:b/>
          <w:sz w:val="27"/>
        </w:rPr>
        <w:br w:type="page"/>
      </w:r>
    </w:p>
    <w:p w:rsidR="00CD1E4A" w:rsidRPr="00CD1E4A" w:rsidP="00CD1E4A">
      <w:pPr>
        <w:rPr>
          <w:rFonts w:ascii="Century Schoolbook" w:hAnsi="Century Schoolbook"/>
          <w:b/>
          <w:sz w:val="27"/>
        </w:rPr>
      </w:pPr>
    </w:p>
    <w:p w:rsidR="00CD1E4A" w:rsidRPr="00CD1E4A" w:rsidP="00CD1E4A">
      <w:pPr>
        <w:spacing w:after="100" w:line="400" w:lineRule="exact"/>
        <w:jc w:val="center"/>
        <w:rPr>
          <w:rFonts w:ascii="Century Schoolbook" w:hAnsi="Century Schoolbook"/>
          <w:b/>
          <w:sz w:val="27"/>
        </w:rPr>
      </w:pPr>
      <w:r w:rsidRPr="00CD1E4A">
        <w:rPr>
          <w:rFonts w:ascii="Century Schoolbook" w:hAnsi="Century Schoolbook"/>
          <w:b/>
          <w:sz w:val="27"/>
        </w:rPr>
        <w:t>APPENDIX</w:t>
      </w:r>
    </w:p>
    <w:p w:rsidR="00CD1E4A" w:rsidRPr="00CD1E4A" w:rsidP="00CD1E4A">
      <w:pPr>
        <w:spacing w:after="100" w:line="400" w:lineRule="exact"/>
        <w:jc w:val="center"/>
        <w:rPr>
          <w:rFonts w:ascii="Century Schoolbook" w:hAnsi="Century Schoolbook"/>
          <w:sz w:val="27"/>
        </w:rPr>
      </w:pPr>
      <w:r w:rsidRPr="00CD1E4A">
        <w:rPr>
          <w:rFonts w:ascii="Century Schoolbook" w:hAnsi="Century Schoolbook"/>
          <w:sz w:val="27"/>
        </w:rPr>
        <w:t xml:space="preserve">First-stage </w:t>
      </w:r>
      <w:r w:rsidRPr="00CD1E4A">
        <w:rPr>
          <w:rFonts w:ascii="Century Schoolbook" w:hAnsi="Century Schoolbook"/>
          <w:i/>
          <w:sz w:val="27"/>
        </w:rPr>
        <w:t>Batson</w:t>
      </w:r>
      <w:r w:rsidRPr="00CD1E4A">
        <w:rPr>
          <w:rFonts w:ascii="Century Schoolbook" w:hAnsi="Century Schoolbook"/>
          <w:sz w:val="27"/>
        </w:rPr>
        <w:t xml:space="preserve"> Decisions by the California Supreme Court Since </w:t>
      </w:r>
      <w:r w:rsidRPr="00CD1E4A">
        <w:rPr>
          <w:rFonts w:ascii="Century Schoolbook" w:hAnsi="Century Schoolbook"/>
          <w:i/>
          <w:sz w:val="27"/>
        </w:rPr>
        <w:t>Johnson v. California</w:t>
      </w:r>
      <w:r w:rsidRPr="00CD1E4A">
        <w:rPr>
          <w:rFonts w:ascii="Century Schoolbook" w:hAnsi="Century Schoolbook"/>
          <w:sz w:val="27"/>
        </w:rPr>
        <w:t xml:space="preserve"> (2005) 545 U.S. 162</w:t>
      </w:r>
    </w:p>
    <w:p w:rsidR="00CD1E4A" w:rsidRPr="00CD1E4A" w:rsidP="00CD1E4A">
      <w:pPr>
        <w:spacing w:after="100" w:line="400" w:lineRule="exact"/>
        <w:jc w:val="both"/>
        <w:rPr>
          <w:rFonts w:ascii="Century Schoolbook" w:hAnsi="Century Schoolbook"/>
          <w:sz w:val="27"/>
        </w:rPr>
      </w:pPr>
    </w:p>
    <w:p w:rsidR="00CD1E4A" w:rsidRPr="00CD1E4A" w:rsidP="00CD1E4A">
      <w:pPr>
        <w:spacing w:after="100" w:line="400" w:lineRule="exact"/>
        <w:ind w:firstLine="720"/>
        <w:jc w:val="both"/>
        <w:rPr>
          <w:rFonts w:ascii="Century Schoolbook" w:hAnsi="Century Schoolbook"/>
          <w:sz w:val="27"/>
        </w:rPr>
      </w:pPr>
      <w:r w:rsidRPr="00CD1E4A">
        <w:rPr>
          <w:rFonts w:ascii="Century Schoolbook" w:hAnsi="Century Schoolbook"/>
          <w:sz w:val="27"/>
        </w:rPr>
        <w:t xml:space="preserve">An asterisk (*) denotes that this court hypothesized its own reason or accepted the trial court’s hypothesized reason for a contested strike.  This does not include cases where the prosecutor stated reasons for the record and this court’s analysis considered reasons identical to the prosecutor’s stated reasons. (See, e.g., </w:t>
      </w:r>
      <w:r w:rsidRPr="00CD1E4A">
        <w:rPr>
          <w:rFonts w:ascii="Century Schoolbook" w:hAnsi="Century Schoolbook"/>
          <w:i/>
          <w:sz w:val="27"/>
        </w:rPr>
        <w:t xml:space="preserve">People v. </w:t>
      </w:r>
      <w:r w:rsidRPr="00CD1E4A">
        <w:rPr>
          <w:rFonts w:ascii="Century Schoolbook" w:hAnsi="Century Schoolbook"/>
          <w:i/>
          <w:sz w:val="27"/>
          <w:szCs w:val="26"/>
        </w:rPr>
        <w:t>Sánchez</w:t>
      </w:r>
      <w:r w:rsidRPr="00CD1E4A">
        <w:rPr>
          <w:rFonts w:ascii="Century Schoolbook" w:hAnsi="Century Schoolbook"/>
          <w:sz w:val="27"/>
          <w:szCs w:val="26"/>
        </w:rPr>
        <w:t xml:space="preserve"> </w:t>
      </w:r>
      <w:r w:rsidRPr="00CD1E4A">
        <w:rPr>
          <w:rFonts w:ascii="Century Schoolbook" w:hAnsi="Century Schoolbook"/>
          <w:sz w:val="27"/>
        </w:rPr>
        <w:t xml:space="preserve">(2016) 63 Cal.4th 411, 435–437; </w:t>
      </w:r>
      <w:r w:rsidRPr="00CD1E4A">
        <w:rPr>
          <w:rFonts w:ascii="Century Schoolbook" w:hAnsi="Century Schoolbook"/>
          <w:i/>
          <w:sz w:val="27"/>
        </w:rPr>
        <w:t>People v. Howard</w:t>
      </w:r>
      <w:r w:rsidRPr="00CD1E4A">
        <w:rPr>
          <w:rFonts w:ascii="Century Schoolbook" w:hAnsi="Century Schoolbook"/>
          <w:sz w:val="27"/>
        </w:rPr>
        <w:t xml:space="preserve"> (2008) 42 Cal.4th 1000, 1017–1020.)</w:t>
      </w:r>
    </w:p>
    <w:p w:rsidR="00CD1E4A" w:rsidRPr="00CD1E4A" w:rsidP="00CD1E4A">
      <w:pPr>
        <w:spacing w:after="100" w:line="400" w:lineRule="exact"/>
        <w:ind w:firstLine="720"/>
        <w:jc w:val="both"/>
        <w:rPr>
          <w:rFonts w:ascii="Century Schoolbook" w:hAnsi="Century Schoolbook" w:cs="Adobe Devanagari"/>
          <w:sz w:val="27"/>
        </w:rPr>
      </w:pPr>
      <w:r w:rsidRPr="00CD1E4A">
        <w:rPr>
          <w:rFonts w:ascii="Century Schoolbook" w:hAnsi="Century Schoolbook"/>
          <w:sz w:val="27"/>
        </w:rPr>
        <w:t>A dagger (</w:t>
      </w:r>
      <w:r w:rsidRPr="00CD1E4A">
        <w:rPr>
          <w:rFonts w:ascii="Century Schoolbook" w:hAnsi="Century Schoolbook" w:cs="Adobe Devanagari"/>
          <w:sz w:val="27"/>
        </w:rPr>
        <w:t>†) denotes that a prospective juror’s death penalty views were hypothesized as a reason for the strike.</w:t>
      </w:r>
    </w:p>
    <w:p w:rsidR="00CD1E4A" w:rsidRPr="00CD1E4A" w:rsidP="00CD1E4A">
      <w:pPr>
        <w:spacing w:after="100" w:line="400" w:lineRule="exact"/>
        <w:ind w:firstLine="720"/>
        <w:jc w:val="both"/>
        <w:rPr>
          <w:rFonts w:ascii="Century Schoolbook" w:hAnsi="Century Schoolbook" w:cs="Adobe Devanagari"/>
          <w:sz w:val="27"/>
        </w:rPr>
      </w:pPr>
      <w:r w:rsidRPr="00CD1E4A">
        <w:rPr>
          <w:rFonts w:ascii="Century Schoolbook" w:hAnsi="Century Schoolbook" w:cs="Adobe Devanagari"/>
          <w:sz w:val="27"/>
        </w:rPr>
        <w:t>A double dagger (‡) denotes that a prospective juror’s (or a family member’s) negative experience or negative view of law enforcement was hypothesized as a reason for the strike.</w:t>
      </w:r>
    </w:p>
    <w:p w:rsidR="00CD1E4A" w:rsidRPr="00CD1E4A" w:rsidP="00CD1E4A">
      <w:pPr>
        <w:spacing w:after="100" w:line="400" w:lineRule="exact"/>
        <w:ind w:firstLine="720"/>
        <w:jc w:val="both"/>
        <w:rPr>
          <w:rFonts w:ascii="Century Schoolbook" w:hAnsi="Century Schoolbook"/>
          <w:sz w:val="27"/>
        </w:rPr>
      </w:pP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Cornwell </w:t>
      </w:r>
      <w:r w:rsidRPr="00CD1E4A">
        <w:rPr>
          <w:rFonts w:ascii="Century Schoolbook" w:hAnsi="Century Schoolbook"/>
          <w:sz w:val="27"/>
        </w:rPr>
        <w:t>(2005) 37 Cal.4th 50</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Gray </w:t>
      </w:r>
      <w:r w:rsidRPr="00CD1E4A">
        <w:rPr>
          <w:rFonts w:ascii="Century Schoolbook" w:hAnsi="Century Schoolbook"/>
          <w:sz w:val="27"/>
        </w:rPr>
        <w:t>(2005) 37 Cal.4th 168</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People v. Avila</w:t>
      </w:r>
      <w:r w:rsidRPr="00CD1E4A">
        <w:rPr>
          <w:rFonts w:ascii="Century Schoolbook" w:hAnsi="Century Schoolbook"/>
          <w:sz w:val="27"/>
        </w:rPr>
        <w:t xml:space="preserve"> (2006) 38 Cal.4th 491</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Williams </w:t>
      </w:r>
      <w:r w:rsidRPr="00CD1E4A">
        <w:rPr>
          <w:rFonts w:ascii="Century Schoolbook" w:hAnsi="Century Schoolbook"/>
          <w:sz w:val="27"/>
        </w:rPr>
        <w:t>(2006) 40 Cal.4th 287</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People v. Guerra</w:t>
      </w:r>
      <w:r w:rsidRPr="00CD1E4A">
        <w:rPr>
          <w:rFonts w:ascii="Century Schoolbook" w:hAnsi="Century Schoolbook"/>
          <w:sz w:val="27"/>
        </w:rPr>
        <w:t xml:space="preserve"> (2006) </w:t>
      </w:r>
      <w:r w:rsidRPr="00CD1E4A">
        <w:rPr>
          <w:rFonts w:ascii="Century Schoolbook" w:hAnsi="Century Schoolbook"/>
          <w:color w:val="000000"/>
          <w:sz w:val="27"/>
        </w:rPr>
        <w:t>37 Cal.4th 1067</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Bell </w:t>
      </w:r>
      <w:r w:rsidRPr="00CD1E4A">
        <w:rPr>
          <w:rFonts w:ascii="Century Schoolbook" w:hAnsi="Century Schoolbook"/>
          <w:sz w:val="27"/>
        </w:rPr>
        <w:t>(2007) 40 Cal.4th 582</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Lancaster </w:t>
      </w:r>
      <w:r w:rsidRPr="00CD1E4A">
        <w:rPr>
          <w:rFonts w:ascii="Century Schoolbook" w:hAnsi="Century Schoolbook"/>
          <w:sz w:val="27"/>
        </w:rPr>
        <w:t>(2007) 41 Cal.4th 50</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Bonilla </w:t>
      </w:r>
      <w:r w:rsidRPr="00CD1E4A">
        <w:rPr>
          <w:rFonts w:ascii="Century Schoolbook" w:hAnsi="Century Schoolbook"/>
          <w:sz w:val="27"/>
        </w:rPr>
        <w:t>(2007) 41 Cal.4th 313</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ab/>
        <w:t xml:space="preserve">People v. Hoyos </w:t>
      </w:r>
      <w:r w:rsidRPr="00CD1E4A">
        <w:rPr>
          <w:rFonts w:ascii="Century Schoolbook" w:hAnsi="Century Schoolbook"/>
          <w:sz w:val="27"/>
        </w:rPr>
        <w:t>(2007) 41 Cal.4th 872</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Kelly </w:t>
      </w:r>
      <w:r w:rsidRPr="00CD1E4A">
        <w:rPr>
          <w:rFonts w:ascii="Century Schoolbook" w:hAnsi="Century Schoolbook"/>
          <w:sz w:val="27"/>
        </w:rPr>
        <w:t>(2007) 42 Cal.4th 763</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Howard </w:t>
      </w:r>
      <w:r w:rsidRPr="00CD1E4A">
        <w:rPr>
          <w:rFonts w:ascii="Century Schoolbook" w:hAnsi="Century Schoolbook"/>
          <w:sz w:val="27"/>
        </w:rPr>
        <w:t>(2008) 42 Cal.4th 1000</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Carasi </w:t>
      </w:r>
      <w:r w:rsidRPr="00CD1E4A">
        <w:rPr>
          <w:rFonts w:ascii="Century Schoolbook" w:hAnsi="Century Schoolbook"/>
          <w:sz w:val="27"/>
        </w:rPr>
        <w:t>(2008) 44 Cal.4th 1263</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Hamilton </w:t>
      </w:r>
      <w:r w:rsidRPr="00CD1E4A">
        <w:rPr>
          <w:rFonts w:ascii="Century Schoolbook" w:hAnsi="Century Schoolbook"/>
          <w:sz w:val="27"/>
        </w:rPr>
        <w:t>(2009) 45 Cal.4th 863</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Hawthorne </w:t>
      </w:r>
      <w:r w:rsidRPr="00CD1E4A">
        <w:rPr>
          <w:rFonts w:ascii="Century Schoolbook" w:hAnsi="Century Schoolbook"/>
          <w:sz w:val="27"/>
        </w:rPr>
        <w:t>(2009) 46 Cal.4th 67</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Davis </w:t>
      </w:r>
      <w:r w:rsidRPr="00CD1E4A">
        <w:rPr>
          <w:rFonts w:ascii="Century Schoolbook" w:hAnsi="Century Schoolbook"/>
          <w:sz w:val="27"/>
        </w:rPr>
        <w:t>(2009) 46 Cal.4th 539</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Hartsch </w:t>
      </w:r>
      <w:r w:rsidRPr="00CD1E4A">
        <w:rPr>
          <w:rFonts w:ascii="Century Schoolbook" w:hAnsi="Century Schoolbook"/>
          <w:sz w:val="27"/>
        </w:rPr>
        <w:t>(2010) 49 Cal.4th 472</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Taylor</w:t>
      </w:r>
      <w:r w:rsidRPr="00CD1E4A">
        <w:rPr>
          <w:rFonts w:ascii="Century Schoolbook" w:hAnsi="Century Schoolbook"/>
          <w:sz w:val="27"/>
        </w:rPr>
        <w:t xml:space="preserve"> (2010) 48 Cal.4th 574</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Blacksher </w:t>
      </w:r>
      <w:r w:rsidRPr="00CD1E4A">
        <w:rPr>
          <w:rFonts w:ascii="Century Schoolbook" w:hAnsi="Century Schoolbook"/>
          <w:sz w:val="27"/>
        </w:rPr>
        <w:t>(2011) 52 Cal.4th 769</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Garcia </w:t>
      </w:r>
      <w:r w:rsidRPr="00CD1E4A">
        <w:rPr>
          <w:rFonts w:ascii="Century Schoolbook" w:hAnsi="Century Schoolbook"/>
          <w:sz w:val="27"/>
        </w:rPr>
        <w:t>(2011) 52 Cal.4th 706</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Clark </w:t>
      </w:r>
      <w:r w:rsidRPr="00CD1E4A">
        <w:rPr>
          <w:rFonts w:ascii="Century Schoolbook" w:hAnsi="Century Schoolbook"/>
          <w:sz w:val="27"/>
        </w:rPr>
        <w:t>(2011) 52 Cal.4th 856</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Dement</w:t>
      </w:r>
      <w:r w:rsidRPr="00CD1E4A">
        <w:rPr>
          <w:rFonts w:ascii="Century Schoolbook" w:hAnsi="Century Schoolbook"/>
          <w:sz w:val="27"/>
        </w:rPr>
        <w:t xml:space="preserve"> (2011) 53 Cal. 4th 1</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Thomas </w:t>
      </w:r>
      <w:r w:rsidRPr="00CD1E4A">
        <w:rPr>
          <w:rFonts w:ascii="Century Schoolbook" w:hAnsi="Century Schoolbook"/>
          <w:sz w:val="27"/>
        </w:rPr>
        <w:t>(2012) 53 Cal.4th 771</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Streeter </w:t>
      </w:r>
      <w:r w:rsidRPr="00CD1E4A">
        <w:rPr>
          <w:rFonts w:ascii="Century Schoolbook" w:hAnsi="Century Schoolbook"/>
          <w:sz w:val="27"/>
        </w:rPr>
        <w:t>(2012) 54 Cal.4th 205</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Elliott</w:t>
      </w:r>
      <w:r w:rsidRPr="00CD1E4A">
        <w:rPr>
          <w:rFonts w:ascii="Century Schoolbook" w:hAnsi="Century Schoolbook"/>
          <w:sz w:val="27"/>
        </w:rPr>
        <w:t xml:space="preserve"> (2012) 53 Cal.4th 535</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Pearson</w:t>
      </w:r>
      <w:r w:rsidRPr="00CD1E4A">
        <w:rPr>
          <w:rFonts w:ascii="Century Schoolbook" w:hAnsi="Century Schoolbook"/>
          <w:sz w:val="27"/>
        </w:rPr>
        <w:t xml:space="preserve"> (2013) 56 Cal.4th 393</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Lopez</w:t>
      </w:r>
      <w:r w:rsidRPr="00CD1E4A">
        <w:rPr>
          <w:rFonts w:ascii="Century Schoolbook" w:hAnsi="Century Schoolbook"/>
          <w:sz w:val="27"/>
        </w:rPr>
        <w:t xml:space="preserve"> (2013) 56 Cal.4th 1028</w:t>
      </w:r>
      <w:r w:rsidRPr="00CD1E4A">
        <w:rPr>
          <w:rFonts w:ascii="Century Schoolbook" w:hAnsi="Century Schoolbook"/>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Edwards </w:t>
      </w:r>
      <w:r w:rsidRPr="00CD1E4A">
        <w:rPr>
          <w:rFonts w:ascii="Century Schoolbook" w:hAnsi="Century Schoolbook"/>
          <w:sz w:val="27"/>
        </w:rPr>
        <w:t>(2013) 57 Cal.4th 658</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Harris </w:t>
      </w:r>
      <w:r w:rsidRPr="00CD1E4A">
        <w:rPr>
          <w:rFonts w:ascii="Century Schoolbook" w:hAnsi="Century Schoolbook"/>
          <w:sz w:val="27"/>
        </w:rPr>
        <w:t>(2013) 57 Cal.4th 804</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Jones </w:t>
      </w:r>
      <w:r w:rsidRPr="00CD1E4A">
        <w:rPr>
          <w:rFonts w:ascii="Century Schoolbook" w:hAnsi="Century Schoolbook"/>
          <w:sz w:val="27"/>
        </w:rPr>
        <w:t>(2013) 57 Cal.4th 899</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Manibusan</w:t>
      </w:r>
      <w:r w:rsidRPr="00CD1E4A">
        <w:rPr>
          <w:rFonts w:ascii="Century Schoolbook" w:hAnsi="Century Schoolbook"/>
          <w:sz w:val="27"/>
        </w:rPr>
        <w:t xml:space="preserve"> (2013) 58 Cal.4th 40</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Montes</w:t>
      </w:r>
      <w:r w:rsidRPr="00CD1E4A">
        <w:rPr>
          <w:rFonts w:ascii="Century Schoolbook" w:hAnsi="Century Schoolbook"/>
          <w:sz w:val="27"/>
        </w:rPr>
        <w:t xml:space="preserve"> (2014) 58 Cal.4th 809</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Sattiewhite </w:t>
      </w:r>
      <w:r w:rsidRPr="00CD1E4A">
        <w:rPr>
          <w:rFonts w:ascii="Century Schoolbook" w:hAnsi="Century Schoolbook"/>
          <w:sz w:val="27"/>
        </w:rPr>
        <w:t>(2014) 59 Cal.4th 446</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Cunningham </w:t>
      </w:r>
      <w:r w:rsidRPr="00CD1E4A">
        <w:rPr>
          <w:rFonts w:ascii="Century Schoolbook" w:hAnsi="Century Schoolbook"/>
          <w:sz w:val="27"/>
        </w:rPr>
        <w:t>(2015) 61 Cal.4th 609</w:t>
      </w:r>
      <w:r w:rsidRPr="00CD1E4A">
        <w:rPr>
          <w:rFonts w:ascii="Century Schoolbook" w:hAnsi="Century Schoolbook"/>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Scott</w:t>
      </w:r>
      <w:r w:rsidRPr="00CD1E4A">
        <w:rPr>
          <w:rFonts w:ascii="Century Schoolbook" w:hAnsi="Century Schoolbook"/>
          <w:sz w:val="27"/>
        </w:rPr>
        <w:t xml:space="preserve"> (2015) 61 Cal. 4th 363</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Sanchez</w:t>
      </w:r>
      <w:r w:rsidRPr="00CD1E4A">
        <w:rPr>
          <w:rFonts w:ascii="Century Schoolbook" w:hAnsi="Century Schoolbook"/>
          <w:sz w:val="27"/>
        </w:rPr>
        <w:t xml:space="preserve"> (2016) 63 Cal.4th 411</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Clark </w:t>
      </w:r>
      <w:r w:rsidRPr="00CD1E4A">
        <w:rPr>
          <w:rFonts w:ascii="Century Schoolbook" w:hAnsi="Century Schoolbook"/>
          <w:sz w:val="27"/>
        </w:rPr>
        <w:t>(2016) 63 Cal.4th 522</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Zaragoza </w:t>
      </w:r>
      <w:r w:rsidRPr="00CD1E4A">
        <w:rPr>
          <w:rFonts w:ascii="Century Schoolbook" w:hAnsi="Century Schoolbook"/>
          <w:sz w:val="27"/>
        </w:rPr>
        <w:t>(2016) 1 Cal.5th 21</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Parker</w:t>
      </w:r>
      <w:r w:rsidRPr="00CD1E4A">
        <w:rPr>
          <w:rFonts w:ascii="Century Schoolbook" w:hAnsi="Century Schoolbook"/>
          <w:sz w:val="27"/>
        </w:rPr>
        <w:t xml:space="preserve"> (2017) 2 Cal.5th 1184</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Reed </w:t>
      </w:r>
      <w:r w:rsidRPr="00CD1E4A">
        <w:rPr>
          <w:rFonts w:ascii="Century Schoolbook" w:hAnsi="Century Schoolbook"/>
          <w:sz w:val="27"/>
        </w:rPr>
        <w:t>(2018) 4 Cal.5th 989</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 xml:space="preserve">People v. Woodruff </w:t>
      </w:r>
      <w:r w:rsidRPr="00CD1E4A">
        <w:rPr>
          <w:rFonts w:ascii="Century Schoolbook" w:hAnsi="Century Schoolbook"/>
          <w:sz w:val="27"/>
        </w:rPr>
        <w:t>(2018) 5 Cal.5th 697</w:t>
      </w:r>
      <w:r w:rsidRPr="00CD1E4A">
        <w:rPr>
          <w:rFonts w:ascii="Century Schoolbook" w:hAnsi="Century Schoolbook"/>
          <w:position w:val="6"/>
          <w:sz w:val="20"/>
        </w:rPr>
        <w:t>*</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left="360"/>
        <w:jc w:val="both"/>
        <w:rPr>
          <w:rFonts w:ascii="Century Schoolbook" w:hAnsi="Century Schoolbook"/>
          <w:sz w:val="27"/>
        </w:rPr>
      </w:pPr>
      <w:r w:rsidRPr="00CD1E4A">
        <w:rPr>
          <w:rFonts w:ascii="Century Schoolbook" w:hAnsi="Century Schoolbook"/>
          <w:i/>
          <w:sz w:val="27"/>
        </w:rPr>
        <w:t>People v. Johnson</w:t>
      </w:r>
      <w:r w:rsidRPr="00CD1E4A">
        <w:rPr>
          <w:rFonts w:ascii="Century Schoolbook" w:hAnsi="Century Schoolbook"/>
          <w:sz w:val="27"/>
        </w:rPr>
        <w:t xml:space="preserve"> (Nov. 25, 2019, S029551) __ Cal.5th __*</w:t>
      </w:r>
      <w:r w:rsidRPr="00CD1E4A">
        <w:rPr>
          <w:rFonts w:ascii="Century Schoolbook" w:hAnsi="Century Schoolbook" w:cs="Adobe Devanagari"/>
          <w:position w:val="6"/>
          <w:sz w:val="20"/>
        </w:rPr>
        <w:t>‡</w:t>
      </w:r>
    </w:p>
    <w:p w:rsidR="00CD1E4A" w:rsidRPr="00CD1E4A" w:rsidP="00CD1E4A">
      <w:pPr>
        <w:numPr>
          <w:ilvl w:val="0"/>
          <w:numId w:val="1"/>
        </w:numPr>
        <w:spacing w:after="100" w:line="400" w:lineRule="exact"/>
        <w:ind w:hanging="720"/>
        <w:jc w:val="both"/>
        <w:rPr>
          <w:rFonts w:ascii="Century Schoolbook" w:hAnsi="Century Schoolbook"/>
          <w:sz w:val="27"/>
        </w:rPr>
      </w:pPr>
      <w:r w:rsidRPr="00CD1E4A">
        <w:rPr>
          <w:rFonts w:ascii="Century Schoolbook" w:hAnsi="Century Schoolbook"/>
          <w:i/>
          <w:sz w:val="27"/>
        </w:rPr>
        <w:t xml:space="preserve">People v. Rhoades </w:t>
      </w:r>
      <w:r w:rsidRPr="00CD1E4A">
        <w:rPr>
          <w:rFonts w:ascii="Century Schoolbook" w:hAnsi="Century Schoolbook"/>
          <w:sz w:val="27"/>
        </w:rPr>
        <w:t>(Nov. 25, 2019, S082101) __ Cal.5th __</w:t>
      </w:r>
      <w:r w:rsidRPr="00CD1E4A">
        <w:rPr>
          <w:rFonts w:ascii="Century Schoolbook" w:hAnsi="Century Schoolbook"/>
          <w:position w:val="6"/>
          <w:sz w:val="20"/>
        </w:rPr>
        <w:t>*</w:t>
      </w:r>
      <w:r w:rsidRPr="00CD1E4A">
        <w:rPr>
          <w:rFonts w:ascii="Century Schoolbook" w:hAnsi="Century Schoolbook" w:cs="Adobe Devanagari"/>
          <w:position w:val="6"/>
          <w:sz w:val="20"/>
        </w:rPr>
        <w:t>†‡</w:t>
      </w:r>
      <w:bookmarkStart w:id="45" w:name="_Hlk23321311"/>
      <w:r w:rsidRPr="00CD1E4A">
        <w:rPr>
          <w:rFonts w:ascii="Century Schoolbook" w:hAnsi="Century Schoolbook" w:cs="Adobe Devanagari"/>
          <w:position w:val="6"/>
          <w:sz w:val="20"/>
        </w:rPr>
        <w:t xml:space="preserve"> </w:t>
      </w:r>
    </w:p>
    <w:p w:rsidR="00CD1E4A" w:rsidRPr="00CD1E4A" w:rsidP="00CD1E4A">
      <w:pPr>
        <w:jc w:val="center"/>
        <w:rPr>
          <w:rFonts w:ascii="Century Schoolbook" w:hAnsi="Century Schoolbook"/>
          <w:b/>
          <w:sz w:val="27"/>
        </w:rPr>
      </w:pPr>
      <w:bookmarkEnd w:id="45"/>
      <w:r w:rsidRPr="00CD1E4A">
        <w:rPr>
          <w:rFonts w:ascii="Century Schoolbook" w:hAnsi="Century Schoolbook"/>
          <w:sz w:val="27"/>
        </w:rPr>
        <w:t xml:space="preserve"> </w:t>
      </w:r>
    </w:p>
    <w:p w:rsidR="00CD1E4A" w:rsidRPr="00CD1E4A" w:rsidP="00CD1E4A">
      <w:pPr>
        <w:rPr>
          <w:rFonts w:ascii="Century Schoolbook" w:hAnsi="Century Schoolbook"/>
          <w:b/>
          <w:sz w:val="27"/>
        </w:rPr>
      </w:pPr>
    </w:p>
    <w:p w:rsidR="00674E72" w:rsidP="007808D4">
      <w:pPr>
        <w:pStyle w:val="Text"/>
        <w:spacing w:before="100" w:line="400" w:lineRule="exact"/>
        <w:ind w:firstLine="0"/>
        <w:contextualSpacing/>
        <w:jc w:val="both"/>
        <w:rPr>
          <w:rFonts w:ascii="Century Schoolbook" w:hAnsi="Century Schoolbook"/>
          <w:b/>
          <w:sz w:val="27"/>
          <w:szCs w:val="27"/>
        </w:rPr>
        <w:sectPr w:rsidSect="00FB78ED">
          <w:headerReference w:type="first" r:id="rId15"/>
          <w:pgSz w:w="12240" w:h="15840"/>
          <w:pgMar w:top="1440" w:right="2160" w:bottom="1440" w:left="2160" w:header="720" w:footer="720" w:gutter="0"/>
          <w:pgNumType w:start="1"/>
          <w:cols w:space="720"/>
          <w:titlePg/>
          <w:docGrid w:linePitch="354"/>
        </w:sectPr>
      </w:pPr>
    </w:p>
    <w:p w:rsidR="00674E72" w:rsidRPr="00674E72" w:rsidP="00674E72">
      <w:pPr>
        <w:rPr>
          <w:i/>
          <w:sz w:val="20"/>
        </w:rPr>
      </w:pPr>
      <w:r w:rsidRPr="00674E72">
        <w:rPr>
          <w:i/>
          <w:sz w:val="20"/>
        </w:rPr>
        <w:t>See next page for addresses and telephone numbers for counsel who argued in Supreme Court.</w:t>
      </w:r>
    </w:p>
    <w:p w:rsidR="00674E72" w:rsidRPr="00674E72" w:rsidP="00674E72">
      <w:pPr>
        <w:rPr>
          <w:i/>
          <w:sz w:val="20"/>
        </w:rPr>
      </w:pPr>
    </w:p>
    <w:p w:rsidR="00674E72" w:rsidRPr="00674E72" w:rsidP="00674E72">
      <w:pPr>
        <w:rPr>
          <w:bCs/>
          <w:i/>
          <w:sz w:val="20"/>
        </w:rPr>
      </w:pPr>
      <w:r w:rsidRPr="00674E72">
        <w:rPr>
          <w:b/>
          <w:sz w:val="20"/>
        </w:rPr>
        <w:t>Name of Opinion</w:t>
      </w:r>
      <w:r w:rsidRPr="00674E72">
        <w:rPr>
          <w:sz w:val="20"/>
        </w:rPr>
        <w:t xml:space="preserve"> People v. Rhoades</w:t>
      </w:r>
    </w:p>
    <w:p w:rsidR="00674E72" w:rsidRPr="00674E72" w:rsidP="00674E72">
      <w:pPr>
        <w:rPr>
          <w:b/>
          <w:sz w:val="20"/>
        </w:rPr>
      </w:pPr>
      <w:r w:rsidRPr="00674E72">
        <w:rPr>
          <w:b/>
          <w:sz w:val="20"/>
        </w:rPr>
        <w:t>__________________________________________________________________________________</w:t>
      </w:r>
    </w:p>
    <w:p w:rsidR="00674E72" w:rsidRPr="00674E72" w:rsidP="00674E72">
      <w:pPr>
        <w:rPr>
          <w:b/>
          <w:sz w:val="20"/>
        </w:rPr>
      </w:pPr>
    </w:p>
    <w:p w:rsidR="00674E72" w:rsidRPr="00674E72" w:rsidP="00674E72">
      <w:pPr>
        <w:rPr>
          <w:bCs/>
          <w:sz w:val="20"/>
        </w:rPr>
      </w:pPr>
      <w:r w:rsidRPr="00674E72">
        <w:rPr>
          <w:b/>
          <w:sz w:val="20"/>
        </w:rPr>
        <w:t>Unpublished Opinion</w:t>
      </w:r>
    </w:p>
    <w:p w:rsidR="00674E72" w:rsidRPr="00674E72" w:rsidP="00674E72">
      <w:pPr>
        <w:rPr>
          <w:sz w:val="20"/>
        </w:rPr>
      </w:pPr>
      <w:r w:rsidRPr="00674E72">
        <w:rPr>
          <w:b/>
          <w:sz w:val="20"/>
        </w:rPr>
        <w:t>Original Appeal</w:t>
      </w:r>
      <w:r w:rsidRPr="00674E72">
        <w:rPr>
          <w:sz w:val="20"/>
        </w:rPr>
        <w:t xml:space="preserve"> XXX</w:t>
      </w:r>
    </w:p>
    <w:p w:rsidR="00674E72" w:rsidRPr="00674E72" w:rsidP="00674E72">
      <w:pPr>
        <w:rPr>
          <w:b/>
          <w:sz w:val="20"/>
        </w:rPr>
      </w:pPr>
      <w:r w:rsidRPr="00674E72">
        <w:rPr>
          <w:b/>
          <w:sz w:val="20"/>
        </w:rPr>
        <w:t>Original Proceeding</w:t>
      </w:r>
    </w:p>
    <w:p w:rsidR="00674E72" w:rsidRPr="00674E72" w:rsidP="00674E72">
      <w:pPr>
        <w:rPr>
          <w:sz w:val="20"/>
        </w:rPr>
      </w:pPr>
      <w:r w:rsidRPr="00674E72">
        <w:rPr>
          <w:b/>
          <w:sz w:val="20"/>
        </w:rPr>
        <w:t>Review Granted</w:t>
      </w:r>
    </w:p>
    <w:p w:rsidR="00674E72" w:rsidRPr="00674E72" w:rsidP="00674E72">
      <w:pPr>
        <w:rPr>
          <w:b/>
          <w:sz w:val="20"/>
        </w:rPr>
      </w:pPr>
      <w:r w:rsidRPr="00674E72">
        <w:rPr>
          <w:b/>
          <w:sz w:val="20"/>
        </w:rPr>
        <w:t>Rehearing Granted</w:t>
      </w:r>
    </w:p>
    <w:p w:rsidR="00674E72" w:rsidRPr="00674E72" w:rsidP="00674E72">
      <w:pPr>
        <w:rPr>
          <w:b/>
          <w:sz w:val="20"/>
        </w:rPr>
      </w:pPr>
    </w:p>
    <w:p w:rsidR="00674E72" w:rsidRPr="00674E72" w:rsidP="00674E72">
      <w:pPr>
        <w:rPr>
          <w:b/>
          <w:sz w:val="20"/>
        </w:rPr>
      </w:pPr>
      <w:r w:rsidRPr="00674E72">
        <w:rPr>
          <w:b/>
          <w:sz w:val="20"/>
        </w:rPr>
        <w:t>__________________________________________________________________________________</w:t>
      </w:r>
    </w:p>
    <w:p w:rsidR="00674E72" w:rsidRPr="00674E72" w:rsidP="00674E72">
      <w:pPr>
        <w:rPr>
          <w:b/>
          <w:sz w:val="20"/>
        </w:rPr>
      </w:pPr>
    </w:p>
    <w:p w:rsidR="00674E72" w:rsidRPr="00674E72" w:rsidP="00674E72">
      <w:pPr>
        <w:rPr>
          <w:bCs/>
          <w:sz w:val="20"/>
        </w:rPr>
      </w:pPr>
      <w:r w:rsidRPr="00674E72">
        <w:rPr>
          <w:b/>
          <w:sz w:val="20"/>
        </w:rPr>
        <w:t>Opinion No.</w:t>
      </w:r>
      <w:r w:rsidRPr="00674E72">
        <w:rPr>
          <w:sz w:val="20"/>
        </w:rPr>
        <w:t xml:space="preserve"> S082101</w:t>
      </w:r>
    </w:p>
    <w:p w:rsidR="00674E72" w:rsidRPr="00674E72" w:rsidP="00674E72">
      <w:pPr>
        <w:rPr>
          <w:bCs/>
          <w:sz w:val="20"/>
        </w:rPr>
      </w:pPr>
      <w:r w:rsidRPr="00674E72">
        <w:rPr>
          <w:b/>
          <w:sz w:val="20"/>
        </w:rPr>
        <w:t>Date Filed:</w:t>
      </w:r>
      <w:r w:rsidRPr="00674E72">
        <w:rPr>
          <w:sz w:val="20"/>
        </w:rPr>
        <w:t xml:space="preserve"> November 25, 2019</w:t>
      </w:r>
    </w:p>
    <w:p w:rsidR="00674E72" w:rsidRPr="00674E72" w:rsidP="00674E72">
      <w:pPr>
        <w:rPr>
          <w:b/>
          <w:sz w:val="20"/>
        </w:rPr>
      </w:pPr>
      <w:r w:rsidRPr="00674E72">
        <w:rPr>
          <w:b/>
          <w:sz w:val="20"/>
        </w:rPr>
        <w:t>__________________________________________________________________________________</w:t>
      </w:r>
    </w:p>
    <w:p w:rsidR="00674E72" w:rsidRPr="00674E72" w:rsidP="00674E72">
      <w:pPr>
        <w:rPr>
          <w:b/>
          <w:sz w:val="20"/>
        </w:rPr>
      </w:pPr>
    </w:p>
    <w:p w:rsidR="00674E72" w:rsidRPr="00674E72" w:rsidP="00674E72">
      <w:pPr>
        <w:rPr>
          <w:bCs/>
          <w:sz w:val="20"/>
        </w:rPr>
      </w:pPr>
      <w:r w:rsidRPr="00674E72">
        <w:rPr>
          <w:b/>
          <w:sz w:val="20"/>
        </w:rPr>
        <w:t>Court:</w:t>
      </w:r>
      <w:r w:rsidRPr="00674E72">
        <w:rPr>
          <w:sz w:val="20"/>
        </w:rPr>
        <w:t xml:space="preserve"> Superior</w:t>
      </w:r>
    </w:p>
    <w:p w:rsidR="00674E72" w:rsidRPr="00674E72" w:rsidP="00674E72">
      <w:pPr>
        <w:rPr>
          <w:bCs/>
          <w:sz w:val="20"/>
        </w:rPr>
      </w:pPr>
      <w:r w:rsidRPr="00674E72">
        <w:rPr>
          <w:b/>
          <w:sz w:val="20"/>
        </w:rPr>
        <w:t>County:</w:t>
      </w:r>
      <w:r w:rsidRPr="00674E72">
        <w:rPr>
          <w:sz w:val="20"/>
        </w:rPr>
        <w:t xml:space="preserve"> Sacramento</w:t>
      </w:r>
    </w:p>
    <w:p w:rsidR="00674E72" w:rsidRPr="00674E72" w:rsidP="00674E72">
      <w:pPr>
        <w:ind w:left="720" w:hanging="720"/>
        <w:rPr>
          <w:bCs/>
          <w:sz w:val="20"/>
        </w:rPr>
      </w:pPr>
      <w:r w:rsidRPr="00674E72">
        <w:rPr>
          <w:b/>
          <w:sz w:val="20"/>
        </w:rPr>
        <w:t>Judge</w:t>
      </w:r>
      <w:r w:rsidRPr="00674E72">
        <w:rPr>
          <w:sz w:val="20"/>
        </w:rPr>
        <w:t>: Loyd H. Mulkey, Jr., Kenneth L. Hake and Maryanne G. Gilliard</w:t>
      </w:r>
    </w:p>
    <w:p w:rsidR="00674E72" w:rsidRPr="00674E72" w:rsidP="00674E72">
      <w:pPr>
        <w:rPr>
          <w:b/>
          <w:sz w:val="20"/>
        </w:rPr>
      </w:pPr>
    </w:p>
    <w:p w:rsidR="00674E72" w:rsidRPr="00674E72" w:rsidP="00674E72">
      <w:pPr>
        <w:rPr>
          <w:b/>
          <w:sz w:val="20"/>
        </w:rPr>
      </w:pPr>
      <w:r w:rsidRPr="00674E72">
        <w:rPr>
          <w:b/>
          <w:sz w:val="20"/>
        </w:rPr>
        <w:t>__________________________________________________________________________________</w:t>
      </w:r>
    </w:p>
    <w:p w:rsidR="00674E72" w:rsidRPr="00674E72" w:rsidP="00674E72">
      <w:pPr>
        <w:rPr>
          <w:b/>
          <w:sz w:val="20"/>
        </w:rPr>
      </w:pPr>
    </w:p>
    <w:p w:rsidR="00674E72" w:rsidRPr="00674E72" w:rsidP="00674E72">
      <w:pPr>
        <w:rPr>
          <w:b/>
          <w:sz w:val="20"/>
        </w:rPr>
      </w:pPr>
      <w:r w:rsidRPr="00674E72">
        <w:rPr>
          <w:b/>
          <w:sz w:val="20"/>
        </w:rPr>
        <w:t>Counsel:</w:t>
      </w:r>
    </w:p>
    <w:p w:rsidR="00674E72" w:rsidRPr="00674E72" w:rsidP="00674E72">
      <w:pPr>
        <w:rPr>
          <w:b/>
          <w:sz w:val="20"/>
        </w:rPr>
      </w:pPr>
    </w:p>
    <w:p w:rsidR="00674E72" w:rsidRPr="00674E72" w:rsidP="00674E72">
      <w:pPr>
        <w:rPr>
          <w:sz w:val="20"/>
        </w:rPr>
      </w:pPr>
      <w:r w:rsidRPr="00674E72">
        <w:rPr>
          <w:sz w:val="20"/>
        </w:rPr>
        <w:t>Richard Jay Moller, under appointment by the Supreme Court, for Defendant and Appellant.</w:t>
      </w:r>
    </w:p>
    <w:p w:rsidR="00674E72" w:rsidRPr="00674E72" w:rsidP="00674E72">
      <w:pPr>
        <w:rPr>
          <w:sz w:val="20"/>
        </w:rPr>
      </w:pPr>
    </w:p>
    <w:p w:rsidR="00674E72" w:rsidRPr="00674E72" w:rsidP="00674E72">
      <w:pPr>
        <w:rPr>
          <w:sz w:val="20"/>
        </w:rPr>
      </w:pPr>
      <w:r w:rsidRPr="00674E72">
        <w:rPr>
          <w:sz w:val="20"/>
        </w:rPr>
        <w:t>Kamala D. Harris and Xavier Becerra, Attorneys General, Dane R. Gillette and Gerald A. Engler, Chief Assistant Attorneys General, Michael P. Farrell and Ronald S. Matthias, Assistant Attorneys General, Eric Christoffersen, Stephanie A. Mitchell, Sean M. McCoy and Jennifer M. Poe, Deputy Attorneys General, for Plaintiff and Respondent.</w:t>
      </w:r>
    </w:p>
    <w:p w:rsidR="00674E72" w:rsidRPr="00674E72" w:rsidP="00674E72">
      <w:pPr>
        <w:rPr>
          <w:b/>
          <w:sz w:val="20"/>
        </w:rPr>
      </w:pPr>
    </w:p>
    <w:p w:rsidR="00674E72" w:rsidRPr="00674E72" w:rsidP="00674E72">
      <w:pPr>
        <w:rPr>
          <w:b/>
          <w:sz w:val="20"/>
        </w:rPr>
      </w:pPr>
    </w:p>
    <w:p w:rsidR="00674E72" w:rsidRPr="00674E72" w:rsidP="00674E72">
      <w:pPr>
        <w:rPr>
          <w:b/>
          <w:sz w:val="20"/>
        </w:rPr>
      </w:pPr>
    </w:p>
    <w:p w:rsidR="00674E72" w:rsidRPr="00674E72" w:rsidP="00674E72">
      <w:pPr>
        <w:rPr>
          <w:b/>
          <w:sz w:val="20"/>
        </w:rPr>
      </w:pPr>
    </w:p>
    <w:p w:rsidR="00674E72" w:rsidRPr="00674E72" w:rsidP="00674E72">
      <w:pPr>
        <w:rPr>
          <w:b/>
          <w:sz w:val="20"/>
        </w:rPr>
      </w:pPr>
      <w:r w:rsidRPr="00674E72">
        <w:rPr>
          <w:b/>
          <w:sz w:val="20"/>
        </w:rPr>
        <w:br w:type="page"/>
      </w:r>
    </w:p>
    <w:p w:rsidR="00674E72" w:rsidRPr="00674E72" w:rsidP="00674E72">
      <w:pPr>
        <w:rPr>
          <w:b/>
          <w:sz w:val="20"/>
        </w:rPr>
      </w:pPr>
    </w:p>
    <w:p w:rsidR="00674E72" w:rsidRPr="00674E72" w:rsidP="00674E72">
      <w:pPr>
        <w:rPr>
          <w:b/>
          <w:sz w:val="20"/>
        </w:rPr>
      </w:pPr>
    </w:p>
    <w:p w:rsidR="00674E72" w:rsidRPr="00674E72" w:rsidP="00674E72">
      <w:pPr>
        <w:rPr>
          <w:b/>
          <w:sz w:val="20"/>
        </w:rPr>
      </w:pPr>
    </w:p>
    <w:p w:rsidR="00674E72" w:rsidRPr="00674E72" w:rsidP="00674E72">
      <w:pPr>
        <w:rPr>
          <w:b/>
          <w:sz w:val="20"/>
        </w:rPr>
      </w:pPr>
      <w:r w:rsidRPr="00674E72">
        <w:rPr>
          <w:b/>
          <w:sz w:val="20"/>
        </w:rPr>
        <w:t>Counsel who argued in Supreme Court (not intended for publication with opinion):</w:t>
      </w:r>
    </w:p>
    <w:p w:rsidR="00674E72" w:rsidRPr="00674E72" w:rsidP="00674E72">
      <w:pPr>
        <w:rPr>
          <w:b/>
          <w:sz w:val="20"/>
        </w:rPr>
      </w:pPr>
    </w:p>
    <w:p w:rsidR="00674E72" w:rsidRPr="00674E72" w:rsidP="00674E72">
      <w:pPr>
        <w:rPr>
          <w:sz w:val="20"/>
        </w:rPr>
      </w:pPr>
      <w:r w:rsidRPr="00674E72">
        <w:rPr>
          <w:sz w:val="20"/>
        </w:rPr>
        <w:t>Richard Jay Moller</w:t>
      </w:r>
    </w:p>
    <w:p w:rsidR="00674E72" w:rsidRPr="00674E72" w:rsidP="00674E72">
      <w:pPr>
        <w:rPr>
          <w:sz w:val="20"/>
        </w:rPr>
      </w:pPr>
      <w:r w:rsidRPr="00674E72">
        <w:rPr>
          <w:sz w:val="20"/>
        </w:rPr>
        <w:t>So’Hum Law Center</w:t>
      </w:r>
    </w:p>
    <w:p w:rsidR="00674E72" w:rsidRPr="00674E72" w:rsidP="00674E72">
      <w:pPr>
        <w:rPr>
          <w:sz w:val="20"/>
        </w:rPr>
      </w:pPr>
      <w:r w:rsidRPr="00674E72">
        <w:rPr>
          <w:sz w:val="20"/>
        </w:rPr>
        <w:t>P.O. Box 1669</w:t>
      </w:r>
    </w:p>
    <w:p w:rsidR="00674E72" w:rsidRPr="00674E72" w:rsidP="00674E72">
      <w:pPr>
        <w:rPr>
          <w:sz w:val="20"/>
        </w:rPr>
      </w:pPr>
      <w:r w:rsidRPr="00674E72">
        <w:rPr>
          <w:sz w:val="20"/>
        </w:rPr>
        <w:t>Redway, CA 95560-1669</w:t>
      </w:r>
    </w:p>
    <w:p w:rsidR="00674E72" w:rsidRPr="00674E72" w:rsidP="00674E72">
      <w:pPr>
        <w:rPr>
          <w:sz w:val="20"/>
        </w:rPr>
      </w:pPr>
      <w:r w:rsidRPr="00674E72">
        <w:rPr>
          <w:sz w:val="20"/>
        </w:rPr>
        <w:t>(707) 923-9199</w:t>
      </w:r>
    </w:p>
    <w:p w:rsidR="00674E72" w:rsidRPr="00674E72" w:rsidP="00674E72">
      <w:pPr>
        <w:rPr>
          <w:sz w:val="20"/>
        </w:rPr>
      </w:pPr>
    </w:p>
    <w:p w:rsidR="00674E72" w:rsidRPr="00674E72" w:rsidP="00674E72">
      <w:pPr>
        <w:rPr>
          <w:sz w:val="20"/>
        </w:rPr>
      </w:pPr>
      <w:r w:rsidRPr="00674E72">
        <w:rPr>
          <w:sz w:val="20"/>
        </w:rPr>
        <w:t>Jennifer M. Poe</w:t>
      </w:r>
    </w:p>
    <w:p w:rsidR="00674E72" w:rsidRPr="00674E72" w:rsidP="00674E72">
      <w:pPr>
        <w:rPr>
          <w:sz w:val="20"/>
        </w:rPr>
      </w:pPr>
      <w:r w:rsidRPr="00674E72">
        <w:rPr>
          <w:sz w:val="20"/>
        </w:rPr>
        <w:t>Deputy Attorney General</w:t>
      </w:r>
    </w:p>
    <w:p w:rsidR="00674E72" w:rsidRPr="00674E72" w:rsidP="00674E72">
      <w:pPr>
        <w:rPr>
          <w:sz w:val="20"/>
        </w:rPr>
      </w:pPr>
      <w:r w:rsidRPr="00674E72">
        <w:rPr>
          <w:sz w:val="20"/>
        </w:rPr>
        <w:t>1300 I Street, Suite 125</w:t>
      </w:r>
    </w:p>
    <w:p w:rsidR="00674E72" w:rsidRPr="00674E72" w:rsidP="00674E72">
      <w:pPr>
        <w:rPr>
          <w:sz w:val="20"/>
        </w:rPr>
      </w:pPr>
      <w:r w:rsidRPr="00674E72">
        <w:rPr>
          <w:sz w:val="20"/>
        </w:rPr>
        <w:t>Sacramento, CA 94244-2550</w:t>
      </w:r>
    </w:p>
    <w:p w:rsidR="00674E72" w:rsidRPr="00674E72" w:rsidP="00674E72">
      <w:pPr>
        <w:rPr>
          <w:sz w:val="20"/>
        </w:rPr>
      </w:pPr>
      <w:r w:rsidRPr="00674E72">
        <w:rPr>
          <w:sz w:val="20"/>
        </w:rPr>
        <w:t>(916) 324-5474</w:t>
      </w:r>
    </w:p>
    <w:p w:rsidR="00CD1E4A" w:rsidRPr="009252C3" w:rsidP="007808D4">
      <w:pPr>
        <w:pStyle w:val="Text"/>
        <w:spacing w:before="100" w:line="400" w:lineRule="exact"/>
        <w:ind w:firstLine="0"/>
        <w:contextualSpacing/>
        <w:jc w:val="both"/>
        <w:rPr>
          <w:rFonts w:ascii="Century Schoolbook" w:hAnsi="Century Schoolbook"/>
          <w:b/>
          <w:sz w:val="27"/>
          <w:szCs w:val="27"/>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variable"/>
    <w:sig w:usb0="00000003" w:usb1="00000000" w:usb2="00000000" w:usb3="00000000" w:csb0="00000001" w:csb1="00000000"/>
  </w:font>
  <w:font w:name="Adobe Devanagari">
    <w:panose1 w:val="02040503050201020203"/>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7963174"/>
      <w:docPartObj>
        <w:docPartGallery w:val="Page Numbers (Bottom of Page)"/>
        <w:docPartUnique/>
      </w:docPartObj>
    </w:sdtPr>
    <w:sdtEndPr>
      <w:rPr>
        <w:noProof/>
      </w:rPr>
    </w:sdtEndPr>
    <w:sdtContent>
      <w:p w:rsidR="00773F3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773F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6104233"/>
      <w:docPartObj>
        <w:docPartGallery w:val="Page Numbers (Bottom of Page)"/>
        <w:docPartUnique/>
      </w:docPartObj>
    </w:sdtPr>
    <w:sdtEndPr>
      <w:rPr>
        <w:noProof/>
      </w:rPr>
    </w:sdtEndPr>
    <w:sdtContent>
      <w:p w:rsidR="00FB7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78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4644466"/>
      <w:docPartObj>
        <w:docPartGallery w:val="Page Numbers (Bottom of Page)"/>
        <w:docPartUnique/>
      </w:docPartObj>
    </w:sdtPr>
    <w:sdtEndPr>
      <w:rPr>
        <w:noProof/>
      </w:rPr>
    </w:sdtEndPr>
    <w:sdtContent>
      <w:p w:rsidR="00773F3C">
        <w:pPr>
          <w:pStyle w:val="Footer"/>
          <w:jc w:val="center"/>
        </w:pPr>
        <w:r w:rsidRPr="00781C68">
          <w:rPr>
            <w:rFonts w:ascii="Century Schoolbook" w:hAnsi="Century Schoolbook"/>
            <w:sz w:val="22"/>
            <w:szCs w:val="22"/>
          </w:rPr>
          <w:fldChar w:fldCharType="begin"/>
        </w:r>
        <w:r w:rsidRPr="00781C68">
          <w:rPr>
            <w:rFonts w:ascii="Century Schoolbook" w:hAnsi="Century Schoolbook"/>
            <w:sz w:val="22"/>
            <w:szCs w:val="22"/>
          </w:rPr>
          <w:instrText xml:space="preserve"> PAGE   \* MERGEFORMAT </w:instrText>
        </w:r>
        <w:r w:rsidRPr="00781C68">
          <w:rPr>
            <w:rFonts w:ascii="Century Schoolbook" w:hAnsi="Century Schoolbook"/>
            <w:sz w:val="22"/>
            <w:szCs w:val="22"/>
          </w:rPr>
          <w:fldChar w:fldCharType="separate"/>
        </w:r>
        <w:r>
          <w:rPr>
            <w:rFonts w:ascii="Century Schoolbook" w:hAnsi="Century Schoolbook"/>
            <w:noProof/>
            <w:sz w:val="22"/>
            <w:szCs w:val="22"/>
          </w:rPr>
          <w:t>60</w:t>
        </w:r>
        <w:r w:rsidRPr="00781C68">
          <w:rPr>
            <w:rFonts w:ascii="Century Schoolbook" w:hAnsi="Century Schoolbook"/>
            <w:noProof/>
            <w:sz w:val="22"/>
            <w:szCs w:val="22"/>
          </w:rPr>
          <w:fldChar w:fldCharType="end"/>
        </w:r>
      </w:p>
    </w:sdtContent>
  </w:sdt>
  <w:p w:rsidR="00773F3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8036913"/>
      <w:docPartObj>
        <w:docPartGallery w:val="Page Numbers (Bottom of Page)"/>
        <w:docPartUnique/>
      </w:docPartObj>
    </w:sdtPr>
    <w:sdtEndPr>
      <w:rPr>
        <w:noProof/>
      </w:rPr>
    </w:sdtEndPr>
    <w:sdtContent>
      <w:p w:rsidR="00773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3F3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3F3C">
      <w:r>
        <w:separator/>
      </w:r>
    </w:p>
  </w:footnote>
  <w:footnote w:type="continuationSeparator" w:id="1">
    <w:p w:rsidR="00773F3C">
      <w:pPr>
        <w:rPr>
          <w:sz w:val="22"/>
        </w:rPr>
      </w:pPr>
      <w:r>
        <w:rPr>
          <w:sz w:val="22"/>
        </w:rPr>
        <w:continuationSeparator/>
      </w:r>
    </w:p>
  </w:footnote>
  <w:footnote w:type="continuationNotice" w:id="2">
    <w:p w:rsidR="00773F3C" w:rsidRPr="007808D4" w:rsidP="007808D4">
      <w:pPr>
        <w:pStyle w:val="Footer"/>
      </w:pPr>
    </w:p>
  </w:footnote>
  <w:footnote w:id="3">
    <w:p w:rsidR="00773F3C" w:rsidP="00E13368">
      <w:pPr>
        <w:pStyle w:val="FootnoteText"/>
        <w:jc w:val="both"/>
      </w:pPr>
      <w:r w:rsidRPr="009252C3">
        <w:rPr>
          <w:rStyle w:val="FootnoteReference"/>
          <w:rFonts w:ascii="Century Schoolbook" w:hAnsi="Century Schoolbook"/>
          <w:sz w:val="27"/>
          <w:szCs w:val="27"/>
          <w:vertAlign w:val="superscript"/>
        </w:rPr>
        <w:footnoteRef/>
      </w:r>
      <w:r>
        <w:t xml:space="preserve"> </w:t>
      </w:r>
      <w:r>
        <w:tab/>
      </w:r>
      <w:r w:rsidRPr="009252C3">
        <w:rPr>
          <w:rFonts w:ascii="Century Schoolbook" w:hAnsi="Century Schoolbook"/>
          <w:sz w:val="27"/>
          <w:szCs w:val="27"/>
        </w:rPr>
        <w:t>Former section 288a of the Penal Code was recently renumbered as section 287.  (Stats. 2018, ch. 423, § 49, pp. 3218–3221.)</w:t>
      </w:r>
    </w:p>
  </w:footnote>
  <w:footnote w:id="4">
    <w:p w:rsidR="00773F3C" w:rsidRPr="005A5C89" w:rsidP="009252C3">
      <w:pPr>
        <w:pStyle w:val="FootnoteText"/>
        <w:jc w:val="both"/>
        <w:rPr>
          <w:b/>
        </w:rPr>
      </w:pPr>
      <w:r w:rsidRPr="009252C3">
        <w:rPr>
          <w:rStyle w:val="FootnoteReference"/>
          <w:rFonts w:ascii="Century Schoolbook" w:hAnsi="Century Schoolbook"/>
          <w:sz w:val="27"/>
          <w:szCs w:val="27"/>
          <w:vertAlign w:val="superscript"/>
        </w:rPr>
        <w:footnoteRef/>
      </w:r>
      <w:r w:rsidRPr="009252C3">
        <w:rPr>
          <w:rFonts w:ascii="Century Schoolbook" w:hAnsi="Century Schoolbook"/>
          <w:sz w:val="27"/>
          <w:szCs w:val="27"/>
          <w:vertAlign w:val="superscript"/>
        </w:rPr>
        <w:t xml:space="preserve"> </w:t>
      </w:r>
      <w:r>
        <w:tab/>
      </w:r>
      <w:r w:rsidRPr="00F7276C">
        <w:rPr>
          <w:rFonts w:ascii="Century Schoolbook" w:hAnsi="Century Schoolbook"/>
          <w:sz w:val="27"/>
          <w:szCs w:val="27"/>
        </w:rPr>
        <w:t xml:space="preserve">The parties stipulated that the Sears Automotive shop in Yuba City had no record of providing services to defendant on May 16, 1996.  </w:t>
      </w:r>
    </w:p>
  </w:footnote>
  <w:footnote w:id="5">
    <w:p w:rsidR="00773F3C" w:rsidRPr="00F7276C">
      <w:pPr>
        <w:pStyle w:val="FootnoteText"/>
        <w:rPr>
          <w:rFonts w:ascii="Century Schoolbook" w:hAnsi="Century Schoolbook"/>
          <w:sz w:val="27"/>
          <w:szCs w:val="27"/>
        </w:rPr>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F7276C">
        <w:rPr>
          <w:rFonts w:ascii="Century Schoolbook" w:hAnsi="Century Schoolbook"/>
          <w:sz w:val="27"/>
          <w:szCs w:val="27"/>
        </w:rPr>
        <w:t>In the trial court, the parties disputed whether privileges had been validly asserted as to some of the records.  Defendant does not renew those arguments on appeal.</w:t>
      </w:r>
    </w:p>
  </w:footnote>
  <w:footnote w:id="6">
    <w:p w:rsidR="00773F3C" w:rsidP="00F7276C">
      <w:pPr>
        <w:pStyle w:val="FootnoteText"/>
        <w:jc w:val="both"/>
      </w:pPr>
      <w:r w:rsidRPr="00F7276C">
        <w:rPr>
          <w:rStyle w:val="FootnoteReference"/>
          <w:rFonts w:ascii="Century Schoolbook" w:hAnsi="Century Schoolbook"/>
          <w:sz w:val="27"/>
          <w:szCs w:val="27"/>
          <w:vertAlign w:val="superscript"/>
        </w:rPr>
        <w:footnoteRef/>
      </w:r>
      <w:r>
        <w:t xml:space="preserve"> </w:t>
      </w:r>
      <w:r>
        <w:tab/>
      </w:r>
      <w:r w:rsidRPr="00F7276C">
        <w:rPr>
          <w:rFonts w:ascii="Century Schoolbook" w:hAnsi="Century Schoolbook"/>
          <w:sz w:val="27"/>
          <w:szCs w:val="27"/>
        </w:rPr>
        <w:t xml:space="preserve">Although the jury ultimately was unable to reach a verdict on the charge of oral copulation of Michael, the court could not anticipate that outcome when ruling on admissibility of the prior crimes.  The People presented evidence suggesting oral copulation, though the jury ultimately did not unanimously find that evidence convincing beyond a reasonable doubt.  </w:t>
      </w:r>
    </w:p>
  </w:footnote>
  <w:footnote w:id="7">
    <w:p w:rsidR="00773F3C" w:rsidRPr="004F724D" w:rsidP="0045348F">
      <w:pPr>
        <w:pStyle w:val="FootnoteText"/>
        <w:rPr>
          <w:rFonts w:ascii="Century Schoolbook" w:hAnsi="Century Schoolbook"/>
          <w:sz w:val="27"/>
          <w:szCs w:val="27"/>
        </w:rPr>
      </w:pPr>
      <w:r w:rsidRPr="004F724D">
        <w:rPr>
          <w:rStyle w:val="FootnoteReference"/>
          <w:rFonts w:ascii="Century Schoolbook" w:hAnsi="Century Schoolbook"/>
          <w:sz w:val="27"/>
          <w:szCs w:val="27"/>
          <w:vertAlign w:val="superscript"/>
        </w:rPr>
        <w:footnoteRef/>
      </w:r>
      <w:r w:rsidRPr="004F724D">
        <w:rPr>
          <w:rFonts w:ascii="Century Schoolbook" w:hAnsi="Century Schoolbook"/>
          <w:sz w:val="27"/>
          <w:szCs w:val="27"/>
          <w:vertAlign w:val="superscript"/>
        </w:rPr>
        <w:t xml:space="preserve"> </w:t>
      </w:r>
      <w:r>
        <w:tab/>
      </w:r>
      <w:r w:rsidRPr="004F724D">
        <w:rPr>
          <w:rFonts w:ascii="Century Schoolbook" w:hAnsi="Century Schoolbook"/>
          <w:sz w:val="27"/>
          <w:szCs w:val="27"/>
        </w:rPr>
        <w:t xml:space="preserve">As with oral copulation (see </w:t>
      </w:r>
      <w:r w:rsidRPr="004F724D">
        <w:rPr>
          <w:rFonts w:ascii="Century Schoolbook" w:hAnsi="Century Schoolbook"/>
          <w:i/>
          <w:sz w:val="27"/>
          <w:szCs w:val="27"/>
        </w:rPr>
        <w:t>ante</w:t>
      </w:r>
      <w:r w:rsidRPr="004F724D">
        <w:rPr>
          <w:rFonts w:ascii="Century Schoolbook" w:hAnsi="Century Schoolbook"/>
          <w:sz w:val="27"/>
          <w:szCs w:val="27"/>
        </w:rPr>
        <w:t>, fn. 4), the fact that the jury later failed to reach a verdict on the kidnapping charge does not affect the correctness of the court’s ruling on admissibility of evidence to prove that charge.</w:t>
      </w:r>
    </w:p>
  </w:footnote>
  <w:footnote w:id="8">
    <w:p w:rsidR="00773F3C" w:rsidP="00F7276C">
      <w:pPr>
        <w:pStyle w:val="FootnoteText"/>
        <w:jc w:val="both"/>
      </w:pPr>
      <w:r w:rsidRPr="00F7276C">
        <w:rPr>
          <w:rStyle w:val="FootnoteReference"/>
          <w:rFonts w:ascii="Century Schoolbook" w:hAnsi="Century Schoolbook"/>
          <w:sz w:val="27"/>
          <w:szCs w:val="27"/>
          <w:vertAlign w:val="superscript"/>
        </w:rPr>
        <w:footnoteRef/>
      </w:r>
      <w:r>
        <w:t xml:space="preserve"> </w:t>
      </w:r>
      <w:r>
        <w:tab/>
      </w:r>
      <w:r w:rsidRPr="00F7276C">
        <w:rPr>
          <w:rFonts w:ascii="Century Schoolbook" w:hAnsi="Century Schoolbook"/>
          <w:sz w:val="27"/>
          <w:szCs w:val="27"/>
        </w:rPr>
        <w:t xml:space="preserve">The jury was instructed, with a modified version of CALJIC No. 2.50, that any evidence of a prior kidnapping could not be considered as proving bad character or criminal disposition, but only on intent, motive, or common plan or scheme.  Defendant contends this cautionary instruction was ineffective, but he provides no grounds to believe the jury could not or did not follow the instruction.  (See </w:t>
      </w:r>
      <w:r w:rsidRPr="00F7276C">
        <w:rPr>
          <w:rFonts w:ascii="Century Schoolbook" w:hAnsi="Century Schoolbook"/>
          <w:i/>
          <w:iCs/>
          <w:sz w:val="27"/>
          <w:szCs w:val="27"/>
        </w:rPr>
        <w:t xml:space="preserve">People v. Mooc </w:t>
      </w:r>
      <w:r w:rsidRPr="00F7276C">
        <w:rPr>
          <w:rFonts w:ascii="Century Schoolbook" w:hAnsi="Century Schoolbook"/>
          <w:sz w:val="27"/>
          <w:szCs w:val="27"/>
        </w:rPr>
        <w:t xml:space="preserve">(2001) 26 Cal.4th 1216, 1234 [jury is assumed to follow court’s instructions].) </w:t>
      </w:r>
    </w:p>
  </w:footnote>
  <w:footnote w:id="9">
    <w:p w:rsidR="00773F3C" w:rsidP="00F7276C">
      <w:pPr>
        <w:pStyle w:val="FootnoteText"/>
        <w:jc w:val="both"/>
      </w:pPr>
      <w:r w:rsidRPr="00F7276C">
        <w:rPr>
          <w:rStyle w:val="FootnoteReference"/>
          <w:rFonts w:ascii="Century Schoolbook" w:hAnsi="Century Schoolbook"/>
          <w:sz w:val="27"/>
          <w:szCs w:val="27"/>
          <w:vertAlign w:val="superscript"/>
        </w:rPr>
        <w:footnoteRef/>
      </w:r>
      <w:r>
        <w:t xml:space="preserve"> </w:t>
      </w:r>
      <w:r>
        <w:tab/>
      </w:r>
      <w:r w:rsidRPr="00F7276C">
        <w:rPr>
          <w:rFonts w:ascii="Century Schoolbook" w:hAnsi="Century Schoolbook"/>
          <w:sz w:val="27"/>
          <w:szCs w:val="27"/>
        </w:rPr>
        <w:t>On appeal, defendant makes no argument for an impeachment theory of admissibility, though he describes the conviction as “impeachment evidence” in his section heading for this issue.  And while he argues the conviction’s exclusion violated his constitutional right to confront the witnesses against him, he does not grapple with the fact that Lemmons was called as a witness by the defense, not the prosecution.</w:t>
      </w:r>
    </w:p>
  </w:footnote>
  <w:footnote w:id="10">
    <w:p w:rsidR="00773F3C" w:rsidRPr="00F7276C" w:rsidP="00F7276C">
      <w:pPr>
        <w:pStyle w:val="FootnoteText"/>
        <w:jc w:val="both"/>
        <w:rPr>
          <w:rFonts w:ascii="Century Schoolbook" w:hAnsi="Century Schoolbook"/>
          <w:sz w:val="27"/>
          <w:szCs w:val="27"/>
        </w:rPr>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F7276C">
        <w:rPr>
          <w:rFonts w:ascii="Century Schoolbook" w:hAnsi="Century Schoolbook"/>
          <w:sz w:val="27"/>
          <w:szCs w:val="27"/>
        </w:rPr>
        <w:t>We assume for the purpose of discussion that defendant’s constitutional claim is not forfeited.  A constitutional objection not made at trial may be considered on appeal to the extent it merely posits an additional legal consequence from the asserted error.  (</w:t>
      </w:r>
      <w:r w:rsidRPr="00F7276C">
        <w:rPr>
          <w:rFonts w:ascii="Century Schoolbook" w:hAnsi="Century Schoolbook"/>
          <w:i/>
          <w:iCs/>
          <w:sz w:val="27"/>
          <w:szCs w:val="27"/>
        </w:rPr>
        <w:t>People v. Partida</w:t>
      </w:r>
      <w:r w:rsidRPr="00F7276C">
        <w:rPr>
          <w:rFonts w:ascii="Century Schoolbook" w:hAnsi="Century Schoolbook"/>
          <w:sz w:val="27"/>
          <w:szCs w:val="27"/>
        </w:rPr>
        <w:t> (2005) 37 Cal.4th 428, 435–439.)  Whether defendant’s constitutional claim falls within this rule or instead rests on “</w:t>
      </w:r>
      <w:r>
        <w:rPr>
          <w:rFonts w:ascii="Century Schoolbook" w:hAnsi="Century Schoolbook"/>
          <w:sz w:val="27"/>
          <w:szCs w:val="27"/>
        </w:rPr>
        <w:t xml:space="preserve">a </w:t>
      </w:r>
      <w:r w:rsidRPr="00F7276C">
        <w:rPr>
          <w:rFonts w:ascii="Century Schoolbook" w:hAnsi="Century Schoolbook"/>
          <w:sz w:val="27"/>
          <w:szCs w:val="27"/>
        </w:rPr>
        <w:t>reason not included in the actual trial objection” (</w:t>
      </w:r>
      <w:r w:rsidRPr="00F7276C">
        <w:rPr>
          <w:rFonts w:ascii="Century Schoolbook" w:hAnsi="Century Schoolbook"/>
          <w:i/>
          <w:sz w:val="27"/>
          <w:szCs w:val="27"/>
        </w:rPr>
        <w:t>id.</w:t>
      </w:r>
      <w:r w:rsidRPr="00F7276C">
        <w:rPr>
          <w:rFonts w:ascii="Century Schoolbook" w:hAnsi="Century Schoolbook"/>
          <w:sz w:val="27"/>
          <w:szCs w:val="27"/>
        </w:rPr>
        <w:t xml:space="preserve"> at p. 438) is a somewhat difficult question, one we leave unresolved in favor of a decision on the merits.</w:t>
      </w:r>
    </w:p>
    <w:p w:rsidR="00773F3C" w:rsidP="00C7666E">
      <w:pPr>
        <w:pStyle w:val="FootnoteText"/>
      </w:pPr>
    </w:p>
  </w:footnote>
  <w:footnote w:id="11">
    <w:p w:rsidR="00773F3C" w:rsidP="00F7276C">
      <w:pPr>
        <w:pStyle w:val="FootnoteText"/>
        <w:jc w:val="both"/>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F7276C">
        <w:rPr>
          <w:rFonts w:ascii="Century Schoolbook" w:hAnsi="Century Schoolbook"/>
          <w:sz w:val="27"/>
          <w:szCs w:val="27"/>
        </w:rPr>
        <w:t>Defendant also suggests the prosecutor’s argument introduced facts not in evidence.  But attorneys may urge inferences from the evidence, as the prosecutor did in suggesting that walking 10 miles in those conditions would have resulted in injury to defendant’s feet.</w:t>
      </w:r>
    </w:p>
  </w:footnote>
  <w:footnote w:id="12">
    <w:p w:rsidR="00773F3C" w:rsidP="00F7276C">
      <w:pPr>
        <w:pStyle w:val="FootnoteText"/>
        <w:jc w:val="both"/>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F7276C">
        <w:rPr>
          <w:rFonts w:ascii="Century Schoolbook" w:hAnsi="Century Schoolbook"/>
          <w:sz w:val="27"/>
          <w:szCs w:val="27"/>
        </w:rPr>
        <w:t>In his opening brief, defendant also complained of the use of the term “innocent” in CALJIC No. 1.00.  In his reply brief, however, defendant acknowledges that, as the Attorney General points out, the version of that instruction given here did not use the term.</w:t>
      </w:r>
    </w:p>
  </w:footnote>
  <w:footnote w:id="13">
    <w:p w:rsidR="00773F3C" w:rsidRPr="004C6B51" w:rsidP="00F7276C">
      <w:pPr>
        <w:pStyle w:val="FootnoteText"/>
        <w:jc w:val="both"/>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F7276C">
        <w:rPr>
          <w:rFonts w:ascii="Century Schoolbook" w:hAnsi="Century Schoolbook"/>
          <w:sz w:val="27"/>
          <w:szCs w:val="27"/>
        </w:rPr>
        <w:t xml:space="preserve">Schroeder, the lead prosecutor, exercised the prosecution’s peremptory challenges, but Nolan, who had also conducted some of the voir dire, participated in arguing the </w:t>
      </w:r>
      <w:r w:rsidRPr="00F7276C">
        <w:rPr>
          <w:rFonts w:ascii="Century Schoolbook" w:hAnsi="Century Schoolbook"/>
          <w:i/>
          <w:sz w:val="27"/>
          <w:szCs w:val="27"/>
        </w:rPr>
        <w:t xml:space="preserve">Batson-Wheeler </w:t>
      </w:r>
      <w:r w:rsidRPr="00F7276C">
        <w:rPr>
          <w:rFonts w:ascii="Century Schoolbook" w:hAnsi="Century Schoolbook"/>
          <w:sz w:val="27"/>
          <w:szCs w:val="27"/>
        </w:rPr>
        <w:t>motions.</w:t>
      </w:r>
    </w:p>
  </w:footnote>
  <w:footnote w:id="14">
    <w:p w:rsidR="00773F3C" w:rsidRPr="009D4576" w:rsidP="0035759C">
      <w:pPr>
        <w:pStyle w:val="FootnoteText"/>
        <w:jc w:val="both"/>
      </w:pPr>
      <w:r w:rsidRPr="00F7276C">
        <w:rPr>
          <w:rStyle w:val="FootnoteReference"/>
          <w:rFonts w:ascii="Century Schoolbook" w:hAnsi="Century Schoolbook"/>
          <w:sz w:val="27"/>
          <w:szCs w:val="27"/>
          <w:vertAlign w:val="superscript"/>
        </w:rPr>
        <w:footnoteRef/>
      </w:r>
      <w:r w:rsidRPr="00F7276C">
        <w:rPr>
          <w:rFonts w:ascii="Century Schoolbook" w:hAnsi="Century Schoolbook"/>
          <w:sz w:val="27"/>
          <w:szCs w:val="27"/>
          <w:vertAlign w:val="superscript"/>
        </w:rPr>
        <w:t xml:space="preserve"> </w:t>
      </w:r>
      <w:r>
        <w:tab/>
      </w:r>
      <w:r w:rsidRPr="0035759C">
        <w:rPr>
          <w:rFonts w:ascii="Century Schoolbook" w:hAnsi="Century Schoolbook"/>
          <w:sz w:val="27"/>
          <w:szCs w:val="27"/>
        </w:rPr>
        <w:t xml:space="preserve">In </w:t>
      </w:r>
      <w:r w:rsidRPr="0035759C">
        <w:rPr>
          <w:rFonts w:ascii="Century Schoolbook" w:hAnsi="Century Schoolbook"/>
          <w:i/>
          <w:sz w:val="27"/>
          <w:szCs w:val="27"/>
        </w:rPr>
        <w:t>Howard</w:t>
      </w:r>
      <w:r w:rsidRPr="0035759C">
        <w:rPr>
          <w:rFonts w:ascii="Century Schoolbook" w:hAnsi="Century Schoolbook"/>
          <w:sz w:val="27"/>
          <w:szCs w:val="27"/>
        </w:rPr>
        <w:t xml:space="preserve">, </w:t>
      </w:r>
      <w:r w:rsidRPr="0035759C">
        <w:rPr>
          <w:rFonts w:ascii="Century Schoolbook" w:hAnsi="Century Schoolbook"/>
          <w:i/>
          <w:sz w:val="27"/>
          <w:szCs w:val="27"/>
        </w:rPr>
        <w:t>supra</w:t>
      </w:r>
      <w:r w:rsidRPr="0035759C">
        <w:rPr>
          <w:rFonts w:ascii="Century Schoolbook" w:hAnsi="Century Schoolbook"/>
          <w:sz w:val="27"/>
          <w:szCs w:val="27"/>
        </w:rPr>
        <w:t xml:space="preserve">, 1 Cal.4th at pages 1153 to 1157, we upheld the trial court’s ruling that no prima facie case had been established where the prosecutor had used two of his 11 challenges to strike </w:t>
      </w:r>
      <w:r>
        <w:rPr>
          <w:rFonts w:ascii="Century Schoolbook" w:hAnsi="Century Schoolbook"/>
          <w:sz w:val="27"/>
          <w:szCs w:val="27"/>
        </w:rPr>
        <w:t xml:space="preserve">the only two </w:t>
      </w:r>
      <w:r w:rsidRPr="0035759C">
        <w:rPr>
          <w:rFonts w:ascii="Century Schoolbook" w:hAnsi="Century Schoolbook"/>
          <w:sz w:val="27"/>
          <w:szCs w:val="27"/>
        </w:rPr>
        <w:t>African-American prospective jurors tentatively seated in the jury box.  We concluded the record of voir dire supported the trial court’s finding that the defendant had not established a “ ‘strong likelihood’ ” of discrimination.  (</w:t>
      </w:r>
      <w:r w:rsidRPr="0035759C">
        <w:rPr>
          <w:rFonts w:ascii="Century Schoolbook" w:hAnsi="Century Schoolbook"/>
          <w:i/>
          <w:sz w:val="27"/>
          <w:szCs w:val="27"/>
        </w:rPr>
        <w:t>Id.</w:t>
      </w:r>
      <w:r w:rsidRPr="0035759C">
        <w:rPr>
          <w:rFonts w:ascii="Century Schoolbook" w:hAnsi="Century Schoolbook"/>
          <w:sz w:val="27"/>
          <w:szCs w:val="27"/>
        </w:rPr>
        <w:t xml:space="preserve"> at p. 1156.)  As discussed below, we no longer apply a “strong likelihood” standard in evaluating whether the opponent of the strikes has established a prima facie case of discrimination.</w:t>
      </w:r>
    </w:p>
  </w:footnote>
  <w:footnote w:id="15">
    <w:p w:rsidR="00773F3C" w:rsidRPr="0098312E" w:rsidP="0035759C">
      <w:pPr>
        <w:pStyle w:val="FootnoteText"/>
        <w:jc w:val="both"/>
        <w:rPr>
          <w:rFonts w:ascii="Century Schoolbook" w:hAnsi="Century Schoolbook"/>
          <w:sz w:val="27"/>
          <w:szCs w:val="27"/>
        </w:rPr>
      </w:pPr>
      <w:r w:rsidRPr="0035759C">
        <w:rPr>
          <w:rStyle w:val="FootnoteReference"/>
          <w:rFonts w:ascii="Century Schoolbook" w:hAnsi="Century Schoolbook"/>
          <w:sz w:val="27"/>
          <w:szCs w:val="27"/>
          <w:vertAlign w:val="superscript"/>
        </w:rPr>
        <w:footnoteRef/>
      </w:r>
      <w:r w:rsidRPr="0035759C">
        <w:rPr>
          <w:rFonts w:ascii="Century Schoolbook" w:hAnsi="Century Schoolbook"/>
          <w:sz w:val="27"/>
          <w:szCs w:val="27"/>
          <w:vertAlign w:val="superscript"/>
        </w:rPr>
        <w:t xml:space="preserve"> </w:t>
      </w:r>
      <w:r>
        <w:tab/>
      </w:r>
      <w:r w:rsidRPr="0035759C">
        <w:rPr>
          <w:rFonts w:ascii="Century Schoolbook" w:hAnsi="Century Schoolbook"/>
          <w:sz w:val="27"/>
          <w:szCs w:val="27"/>
        </w:rPr>
        <w:t xml:space="preserve">Karla Faye Tucker, who through media coverage of her impending execution “came to be known . . . as a soft-spoken, gentle-looking, born-again Christian pleading for mercy,” was executed in Texas on February 4, 1998.  (Verhovek, </w:t>
      </w:r>
      <w:r w:rsidRPr="0035759C">
        <w:rPr>
          <w:rFonts w:ascii="Century Schoolbook" w:hAnsi="Century Schoolbook"/>
          <w:i/>
          <w:sz w:val="27"/>
          <w:szCs w:val="27"/>
        </w:rPr>
        <w:t>Execution in Texas:  The Overview; Divisive Case of a Killer of Two Ends as Texas Executes Tucker</w:t>
      </w:r>
      <w:r w:rsidRPr="0035759C">
        <w:rPr>
          <w:rFonts w:ascii="Century Schoolbook" w:hAnsi="Century Schoolbook"/>
          <w:sz w:val="27"/>
          <w:szCs w:val="27"/>
        </w:rPr>
        <w:t>, N</w:t>
      </w:r>
      <w:r>
        <w:rPr>
          <w:rFonts w:ascii="Century Schoolbook" w:hAnsi="Century Schoolbook"/>
          <w:sz w:val="27"/>
          <w:szCs w:val="27"/>
        </w:rPr>
        <w:t>.Y.</w:t>
      </w:r>
      <w:r w:rsidRPr="0035759C">
        <w:rPr>
          <w:rFonts w:ascii="Century Schoolbook" w:hAnsi="Century Schoolbook"/>
          <w:sz w:val="27"/>
          <w:szCs w:val="27"/>
        </w:rPr>
        <w:t xml:space="preserve"> Times</w:t>
      </w:r>
      <w:r>
        <w:rPr>
          <w:rFonts w:ascii="Century Schoolbook" w:hAnsi="Century Schoolbook"/>
          <w:sz w:val="27"/>
          <w:szCs w:val="27"/>
        </w:rPr>
        <w:t xml:space="preserve"> (</w:t>
      </w:r>
      <w:r w:rsidRPr="0035759C">
        <w:rPr>
          <w:rFonts w:ascii="Century Schoolbook" w:hAnsi="Century Schoolbook"/>
          <w:sz w:val="27"/>
          <w:szCs w:val="27"/>
        </w:rPr>
        <w:t>Feb. 4, 1998</w:t>
      </w:r>
      <w:r>
        <w:rPr>
          <w:rFonts w:ascii="Century Schoolbook" w:hAnsi="Century Schoolbook"/>
          <w:sz w:val="27"/>
          <w:szCs w:val="27"/>
        </w:rPr>
        <w:t>)</w:t>
      </w:r>
      <w:r w:rsidRPr="0035759C">
        <w:rPr>
          <w:rFonts w:ascii="Century Schoolbook" w:hAnsi="Century Schoolbook"/>
          <w:sz w:val="27"/>
          <w:szCs w:val="27"/>
        </w:rPr>
        <w:t xml:space="preserve"> p. A-1 </w:t>
      </w:r>
      <w:bookmarkStart w:id="18" w:name="_Hlk25170940"/>
      <w:r>
        <w:rPr>
          <w:rFonts w:ascii="Century Schoolbook" w:hAnsi="Century Schoolbook"/>
          <w:sz w:val="27"/>
          <w:szCs w:val="27"/>
        </w:rPr>
        <w:t>&lt;</w:t>
      </w:r>
      <w:r w:rsidRPr="00983437">
        <w:rPr>
          <w:rStyle w:val="Hyperlink"/>
          <w:rFonts w:ascii="Century Schoolbook" w:hAnsi="Century Schoolbook"/>
          <w:color w:val="auto"/>
          <w:sz w:val="27"/>
          <w:szCs w:val="27"/>
          <w:u w:val="none"/>
        </w:rPr>
        <w:t>https://www.nytimes.com/1998/02/04/us/execution-texas-overview-divisive-case-killer-two-ends-texas-executes-tucker.html?rref=collection%2Ftimestopic%”2FTucker%2C%20Karla%20Faye&amp;action=click&amp;contentCollection=timestopics&amp;region=stream&amp;module=stream_unit&amp;version=latest&amp;contentPlacement=1&amp;pgtype=collection&gt;</w:t>
      </w:r>
      <w:bookmarkEnd w:id="18"/>
      <w:r w:rsidRPr="0035759C">
        <w:rPr>
          <w:rStyle w:val="Hyperlink"/>
          <w:rFonts w:ascii="Century Schoolbook" w:hAnsi="Century Schoolbook"/>
          <w:color w:val="000000" w:themeColor="text1"/>
          <w:sz w:val="27"/>
          <w:szCs w:val="27"/>
          <w:u w:val="none"/>
        </w:rPr>
        <w:t xml:space="preserve"> [as of </w:t>
      </w:r>
      <w:r>
        <w:rPr>
          <w:rStyle w:val="Hyperlink"/>
          <w:rFonts w:ascii="Century Schoolbook" w:hAnsi="Century Schoolbook"/>
          <w:color w:val="000000" w:themeColor="text1"/>
          <w:sz w:val="27"/>
          <w:szCs w:val="27"/>
          <w:u w:val="none"/>
        </w:rPr>
        <w:t>Nov. 25, 2019</w:t>
      </w:r>
      <w:r w:rsidRPr="0035759C">
        <w:rPr>
          <w:rStyle w:val="Hyperlink"/>
          <w:rFonts w:ascii="Century Schoolbook" w:hAnsi="Century Schoolbook"/>
          <w:color w:val="000000" w:themeColor="text1"/>
          <w:sz w:val="27"/>
          <w:szCs w:val="27"/>
          <w:u w:val="none"/>
        </w:rPr>
        <w:t>]</w:t>
      </w:r>
      <w:r w:rsidRPr="0035759C">
        <w:rPr>
          <w:rFonts w:ascii="Century Schoolbook" w:hAnsi="Century Schoolbook"/>
          <w:sz w:val="27"/>
          <w:szCs w:val="27"/>
        </w:rPr>
        <w:t>.)  Tucker had reportedly used drugs since childhood (</w:t>
      </w:r>
      <w:r w:rsidRPr="0035759C">
        <w:rPr>
          <w:rFonts w:ascii="Century Schoolbook" w:hAnsi="Century Schoolbook"/>
          <w:i/>
          <w:sz w:val="27"/>
          <w:szCs w:val="27"/>
        </w:rPr>
        <w:t>id</w:t>
      </w:r>
      <w:r w:rsidRPr="0035759C">
        <w:rPr>
          <w:rFonts w:ascii="Century Schoolbook" w:hAnsi="Century Schoolbook"/>
          <w:sz w:val="27"/>
          <w:szCs w:val="27"/>
        </w:rPr>
        <w:t xml:space="preserve">., p. A-20) and was “[s]trung out . . . on a variety of drugs” at the time of the killings.  (Verhovek, </w:t>
      </w:r>
      <w:r w:rsidRPr="0035759C">
        <w:rPr>
          <w:rFonts w:ascii="Century Schoolbook" w:hAnsi="Century Schoolbook"/>
          <w:i/>
          <w:sz w:val="27"/>
          <w:szCs w:val="27"/>
        </w:rPr>
        <w:t>As Woman’s Execution Nears, Texas Squirms</w:t>
      </w:r>
      <w:r w:rsidRPr="0035759C">
        <w:rPr>
          <w:rFonts w:ascii="Century Schoolbook" w:hAnsi="Century Schoolbook"/>
          <w:sz w:val="27"/>
          <w:szCs w:val="27"/>
        </w:rPr>
        <w:t>, N</w:t>
      </w:r>
      <w:r>
        <w:rPr>
          <w:rFonts w:ascii="Century Schoolbook" w:hAnsi="Century Schoolbook"/>
          <w:sz w:val="27"/>
          <w:szCs w:val="27"/>
        </w:rPr>
        <w:t xml:space="preserve">.Y. </w:t>
      </w:r>
      <w:r w:rsidRPr="0035759C">
        <w:rPr>
          <w:rFonts w:ascii="Century Schoolbook" w:hAnsi="Century Schoolbook"/>
          <w:sz w:val="27"/>
          <w:szCs w:val="27"/>
        </w:rPr>
        <w:t>Times</w:t>
      </w:r>
      <w:r>
        <w:rPr>
          <w:rFonts w:ascii="Century Schoolbook" w:hAnsi="Century Schoolbook"/>
          <w:sz w:val="27"/>
          <w:szCs w:val="27"/>
        </w:rPr>
        <w:t xml:space="preserve"> (</w:t>
      </w:r>
      <w:r w:rsidRPr="0035759C">
        <w:rPr>
          <w:rFonts w:ascii="Century Schoolbook" w:hAnsi="Century Schoolbook"/>
          <w:sz w:val="27"/>
          <w:szCs w:val="27"/>
        </w:rPr>
        <w:t>Jan. 1, 1998</w:t>
      </w:r>
      <w:r>
        <w:rPr>
          <w:rFonts w:ascii="Century Schoolbook" w:hAnsi="Century Schoolbook"/>
          <w:sz w:val="27"/>
          <w:szCs w:val="27"/>
        </w:rPr>
        <w:t>)</w:t>
      </w:r>
      <w:r w:rsidRPr="0035759C">
        <w:rPr>
          <w:rFonts w:ascii="Century Schoolbook" w:hAnsi="Century Schoolbook"/>
          <w:sz w:val="27"/>
          <w:szCs w:val="27"/>
        </w:rPr>
        <w:t xml:space="preserve"> p. A-12 </w:t>
      </w:r>
      <w:r>
        <w:rPr>
          <w:rFonts w:ascii="Century Schoolbook" w:hAnsi="Century Schoolbook"/>
          <w:sz w:val="27"/>
          <w:szCs w:val="27"/>
        </w:rPr>
        <w:t>&lt;</w:t>
      </w:r>
      <w:r w:rsidRPr="00983437">
        <w:rPr>
          <w:rStyle w:val="Hyperlink"/>
          <w:rFonts w:ascii="Century Schoolbook" w:hAnsi="Century Schoolbook"/>
          <w:color w:val="auto"/>
          <w:sz w:val="27"/>
          <w:szCs w:val="27"/>
          <w:u w:val="none"/>
        </w:rPr>
        <w:t>https://www.nytimes.com/1998/01/01/us/as-woman-s-execution-nears-texas-squirms.html&gt;</w:t>
      </w:r>
      <w:r w:rsidRPr="0035759C">
        <w:rPr>
          <w:rStyle w:val="Hyperlink"/>
          <w:rFonts w:ascii="Century Schoolbook" w:hAnsi="Century Schoolbook"/>
          <w:sz w:val="27"/>
          <w:szCs w:val="27"/>
          <w:u w:val="none"/>
        </w:rPr>
        <w:t xml:space="preserve"> </w:t>
      </w:r>
      <w:r w:rsidRPr="0035759C">
        <w:rPr>
          <w:rStyle w:val="Hyperlink"/>
          <w:rFonts w:ascii="Century Schoolbook" w:hAnsi="Century Schoolbook"/>
          <w:color w:val="000000" w:themeColor="text1"/>
          <w:sz w:val="27"/>
          <w:szCs w:val="27"/>
          <w:u w:val="none"/>
        </w:rPr>
        <w:t xml:space="preserve">[as of </w:t>
      </w:r>
      <w:r>
        <w:rPr>
          <w:rStyle w:val="Hyperlink"/>
          <w:rFonts w:ascii="Century Schoolbook" w:hAnsi="Century Schoolbook"/>
          <w:color w:val="000000" w:themeColor="text1"/>
          <w:sz w:val="27"/>
          <w:szCs w:val="27"/>
          <w:u w:val="none"/>
        </w:rPr>
        <w:t>Nov. 25, 2019</w:t>
      </w:r>
      <w:r w:rsidRPr="0035759C">
        <w:rPr>
          <w:rStyle w:val="Hyperlink"/>
          <w:rFonts w:ascii="Century Schoolbook" w:hAnsi="Century Schoolbook"/>
          <w:color w:val="000000" w:themeColor="text1"/>
          <w:sz w:val="27"/>
          <w:szCs w:val="27"/>
          <w:u w:val="none"/>
        </w:rPr>
        <w:t>].</w:t>
      </w:r>
      <w:r w:rsidRPr="0035759C">
        <w:rPr>
          <w:rFonts w:ascii="Century Schoolbook" w:hAnsi="Century Schoolbook"/>
          <w:sz w:val="27"/>
          <w:szCs w:val="27"/>
        </w:rPr>
        <w:t>)</w:t>
      </w:r>
      <w:r>
        <w:t xml:space="preserve">  </w:t>
      </w:r>
      <w:r>
        <w:rPr>
          <w:rFonts w:ascii="Century Schoolbook" w:hAnsi="Century Schoolbook"/>
          <w:sz w:val="27"/>
          <w:szCs w:val="27"/>
        </w:rPr>
        <w:t>(All Internet citations in this opinion are archived by year, docket number, and case name at &lt;https://www.courts.ca.gov/38324.htm&gt;.)</w:t>
      </w:r>
    </w:p>
  </w:footnote>
  <w:footnote w:id="16">
    <w:p w:rsidR="00773F3C" w:rsidRPr="0035759C" w:rsidP="0035759C">
      <w:pPr>
        <w:pStyle w:val="FootnoteText"/>
        <w:jc w:val="both"/>
        <w:rPr>
          <w:rFonts w:ascii="Century Schoolbook" w:hAnsi="Century Schoolbook"/>
          <w:sz w:val="27"/>
          <w:szCs w:val="27"/>
        </w:rPr>
      </w:pPr>
      <w:r w:rsidRPr="0035759C">
        <w:rPr>
          <w:rStyle w:val="FootnoteReference"/>
          <w:rFonts w:ascii="Century Schoolbook" w:hAnsi="Century Schoolbook"/>
          <w:sz w:val="27"/>
          <w:szCs w:val="27"/>
          <w:vertAlign w:val="superscript"/>
        </w:rPr>
        <w:footnoteRef/>
      </w:r>
      <w:r>
        <w:tab/>
      </w:r>
      <w:r w:rsidRPr="0035759C">
        <w:rPr>
          <w:rFonts w:ascii="Century Schoolbook" w:hAnsi="Century Schoolbook"/>
          <w:sz w:val="27"/>
          <w:szCs w:val="27"/>
        </w:rPr>
        <w:t xml:space="preserve">Defendant’s briefing repeatedly notes that all the African-Americans called into the jury box and excused by the prosecution were women, but does not argue their sex should alter the </w:t>
      </w:r>
      <w:r w:rsidRPr="0035759C">
        <w:rPr>
          <w:rFonts w:ascii="Century Schoolbook" w:hAnsi="Century Schoolbook"/>
          <w:i/>
          <w:sz w:val="27"/>
          <w:szCs w:val="27"/>
        </w:rPr>
        <w:t xml:space="preserve">Batson-Wheeler </w:t>
      </w:r>
      <w:r w:rsidRPr="0035759C">
        <w:rPr>
          <w:rFonts w:ascii="Century Schoolbook" w:hAnsi="Century Schoolbook"/>
          <w:sz w:val="27"/>
          <w:szCs w:val="27"/>
        </w:rPr>
        <w:t xml:space="preserve">inquiry.  </w:t>
      </w:r>
    </w:p>
    <w:p w:rsidR="00773F3C" w:rsidRPr="0035759C" w:rsidP="0035759C">
      <w:pPr>
        <w:pStyle w:val="FootnoteText"/>
        <w:jc w:val="both"/>
        <w:rPr>
          <w:rFonts w:ascii="Century Schoolbook" w:hAnsi="Century Schoolbook"/>
          <w:sz w:val="27"/>
          <w:szCs w:val="27"/>
        </w:rPr>
      </w:pPr>
      <w:r w:rsidRPr="0035759C">
        <w:rPr>
          <w:rFonts w:ascii="Century Schoolbook" w:hAnsi="Century Schoolbook"/>
          <w:sz w:val="27"/>
          <w:szCs w:val="27"/>
        </w:rPr>
        <w:tab/>
        <w:t xml:space="preserve">In supplemental briefing and at oral argument, defendant suggested the prospective jurors’ sex is relevant because African-American women are subject to discrimination on the basis of stereotypes relating to both race and sex; defendant asserted </w:t>
      </w:r>
      <w:r>
        <w:rPr>
          <w:rFonts w:ascii="Century Schoolbook" w:hAnsi="Century Schoolbook"/>
          <w:sz w:val="27"/>
          <w:szCs w:val="27"/>
        </w:rPr>
        <w:t xml:space="preserve">that </w:t>
      </w:r>
      <w:r w:rsidRPr="0035759C">
        <w:rPr>
          <w:rFonts w:ascii="Century Schoolbook" w:hAnsi="Century Schoolbook"/>
          <w:sz w:val="27"/>
          <w:szCs w:val="27"/>
        </w:rPr>
        <w:t xml:space="preserve">the prosecutors here </w:t>
      </w:r>
      <w:r>
        <w:rPr>
          <w:rFonts w:ascii="Century Schoolbook" w:hAnsi="Century Schoolbook"/>
          <w:sz w:val="27"/>
          <w:szCs w:val="27"/>
        </w:rPr>
        <w:t xml:space="preserve">must have </w:t>
      </w:r>
      <w:r w:rsidRPr="0035759C">
        <w:rPr>
          <w:rFonts w:ascii="Century Schoolbook" w:hAnsi="Century Schoolbook"/>
          <w:sz w:val="27"/>
          <w:szCs w:val="27"/>
        </w:rPr>
        <w:t xml:space="preserve">engaged in such dual stereotyping.  But discrimination in this context cannot be assumed; it must be demonstrated.  Because </w:t>
      </w:r>
      <w:r>
        <w:rPr>
          <w:rFonts w:ascii="Century Schoolbook" w:hAnsi="Century Schoolbook"/>
          <w:sz w:val="27"/>
          <w:szCs w:val="27"/>
        </w:rPr>
        <w:t xml:space="preserve">defendants’ efforts to demonstrate discrimination have, in substance, focused on </w:t>
      </w:r>
      <w:r w:rsidRPr="0035759C">
        <w:rPr>
          <w:rFonts w:ascii="Century Schoolbook" w:hAnsi="Century Schoolbook"/>
          <w:sz w:val="27"/>
          <w:szCs w:val="27"/>
        </w:rPr>
        <w:t>the jurors’ race rather than their sex, we likewise focus on the jurors’ race in determining whether defendant established a prima facie case.</w:t>
      </w:r>
    </w:p>
  </w:footnote>
  <w:footnote w:id="17">
    <w:p w:rsidR="00773F3C" w:rsidRPr="00BA520D" w:rsidP="0035759C">
      <w:pPr>
        <w:pStyle w:val="FootnoteText"/>
        <w:jc w:val="both"/>
      </w:pPr>
      <w:r w:rsidRPr="0035759C">
        <w:rPr>
          <w:rStyle w:val="FootnoteReference"/>
          <w:rFonts w:ascii="Century Schoolbook" w:hAnsi="Century Schoolbook"/>
          <w:sz w:val="27"/>
          <w:szCs w:val="27"/>
          <w:vertAlign w:val="superscript"/>
        </w:rPr>
        <w:footnoteRef/>
      </w:r>
      <w:r>
        <w:t xml:space="preserve"> </w:t>
      </w:r>
      <w:r>
        <w:tab/>
      </w:r>
      <w:r w:rsidRPr="0035759C">
        <w:rPr>
          <w:rFonts w:ascii="Century Schoolbook" w:hAnsi="Century Schoolbook"/>
          <w:sz w:val="27"/>
          <w:szCs w:val="27"/>
        </w:rPr>
        <w:t xml:space="preserve">According to census data, African-Americans made up just under 10 percent of Sacramento County’s population in 2000.  U.S. Census Bureau, </w:t>
      </w:r>
      <w:r w:rsidRPr="0035759C">
        <w:rPr>
          <w:rFonts w:ascii="Century Schoolbook" w:hAnsi="Century Schoolbook"/>
          <w:i/>
          <w:sz w:val="27"/>
          <w:szCs w:val="27"/>
        </w:rPr>
        <w:t>Population of Sacramento County, California:  Census 2010 and 2000 Interactive Map, Demographics, Statistics, Graphs, Quick Facts</w:t>
      </w:r>
      <w:r w:rsidRPr="0035759C">
        <w:rPr>
          <w:rFonts w:ascii="Century Schoolbook" w:hAnsi="Century Schoolbook"/>
          <w:sz w:val="27"/>
          <w:szCs w:val="27"/>
        </w:rPr>
        <w:t xml:space="preserve"> </w:t>
      </w:r>
      <w:r>
        <w:rPr>
          <w:rFonts w:ascii="Century Schoolbook" w:hAnsi="Century Schoolbook"/>
          <w:sz w:val="27"/>
          <w:szCs w:val="27"/>
        </w:rPr>
        <w:t xml:space="preserve">&lt;http://censusviewer.com/county/CA/Sacramento&gt; </w:t>
      </w:r>
      <w:r w:rsidRPr="0035759C">
        <w:rPr>
          <w:rFonts w:ascii="Century Schoolbook" w:hAnsi="Century Schoolbook"/>
          <w:sz w:val="27"/>
          <w:szCs w:val="27"/>
        </w:rPr>
        <w:t xml:space="preserve">[as of </w:t>
      </w:r>
      <w:r>
        <w:rPr>
          <w:rFonts w:ascii="Century Schoolbook" w:hAnsi="Century Schoolbook"/>
          <w:sz w:val="27"/>
          <w:szCs w:val="27"/>
        </w:rPr>
        <w:t>Nov. 25, 2019</w:t>
      </w:r>
      <w:r w:rsidRPr="0035759C">
        <w:rPr>
          <w:rFonts w:ascii="Century Schoolbook" w:hAnsi="Century Schoolbook"/>
          <w:sz w:val="27"/>
          <w:szCs w:val="27"/>
        </w:rPr>
        <w:t>].  We take notice of the census data here in recognition of the possibility that the lack of on</w:t>
      </w:r>
      <w:r w:rsidRPr="0035759C">
        <w:rPr>
          <w:rFonts w:ascii="Century Schoolbook" w:hAnsi="Century Schoolbook"/>
          <w:sz w:val="27"/>
          <w:szCs w:val="27"/>
        </w:rPr>
        <w:noBreakHyphen/>
        <w:t>the</w:t>
      </w:r>
      <w:r w:rsidRPr="0035759C">
        <w:rPr>
          <w:rFonts w:ascii="Century Schoolbook" w:hAnsi="Century Schoolbook"/>
          <w:sz w:val="27"/>
          <w:szCs w:val="27"/>
        </w:rPr>
        <w:noBreakHyphen/>
        <w:t xml:space="preserve">record comment simply reflects that the pool’s composition was apparent to court and counsel at the time.  But we note that it was defendant’s burden to make the record necessary to support his motion.  </w:t>
      </w:r>
    </w:p>
  </w:footnote>
  <w:footnote w:id="18">
    <w:p w:rsidR="00773F3C" w:rsidP="0035759C">
      <w:pPr>
        <w:pStyle w:val="FootnoteText"/>
        <w:jc w:val="both"/>
        <w:rPr>
          <w:rFonts w:ascii="Century Schoolbook" w:hAnsi="Century Schoolbook"/>
          <w:sz w:val="27"/>
          <w:szCs w:val="27"/>
        </w:rPr>
      </w:pPr>
      <w:r w:rsidRPr="0035759C">
        <w:rPr>
          <w:rStyle w:val="FootnoteReference"/>
          <w:rFonts w:ascii="Century Schoolbook" w:hAnsi="Century Schoolbook"/>
          <w:sz w:val="27"/>
          <w:szCs w:val="27"/>
          <w:vertAlign w:val="superscript"/>
        </w:rPr>
        <w:footnoteRef/>
      </w:r>
      <w:r>
        <w:t xml:space="preserve"> </w:t>
      </w:r>
      <w:r>
        <w:tab/>
        <w:t>O</w:t>
      </w:r>
      <w:r>
        <w:rPr>
          <w:rFonts w:ascii="Century Schoolbook" w:hAnsi="Century Schoolbook"/>
          <w:sz w:val="27"/>
          <w:szCs w:val="27"/>
        </w:rPr>
        <w:t xml:space="preserve">ur dissenting colleague appears to agree that an appellate court may consider such readily apparent reasons for a strike, though he may differ as to precisely how obvious an hypothesized reason must be to dispel any inference of biased selection.  (Dis. opn. of Liu, J., </w:t>
      </w:r>
      <w:r w:rsidRPr="00E30A44">
        <w:rPr>
          <w:rFonts w:ascii="Century Schoolbook" w:hAnsi="Century Schoolbook"/>
          <w:i/>
          <w:sz w:val="27"/>
          <w:szCs w:val="27"/>
        </w:rPr>
        <w:t>post</w:t>
      </w:r>
      <w:r>
        <w:rPr>
          <w:rFonts w:ascii="Century Schoolbook" w:hAnsi="Century Schoolbook"/>
          <w:sz w:val="27"/>
          <w:szCs w:val="27"/>
        </w:rPr>
        <w:t xml:space="preserve">, at p. 19; </w:t>
      </w:r>
      <w:r w:rsidRPr="00E30A44">
        <w:rPr>
          <w:rFonts w:ascii="Century Schoolbook" w:hAnsi="Century Schoolbook"/>
          <w:sz w:val="27"/>
          <w:szCs w:val="27"/>
        </w:rPr>
        <w:t>see</w:t>
      </w:r>
      <w:r>
        <w:rPr>
          <w:rFonts w:ascii="Century Schoolbook" w:hAnsi="Century Schoolbook"/>
          <w:sz w:val="27"/>
          <w:szCs w:val="27"/>
        </w:rPr>
        <w:t xml:space="preserve"> also</w:t>
      </w:r>
      <w:r w:rsidRPr="009252C3">
        <w:rPr>
          <w:rFonts w:ascii="Century Schoolbook" w:hAnsi="Century Schoolbook"/>
          <w:sz w:val="27"/>
          <w:szCs w:val="27"/>
        </w:rPr>
        <w:t xml:space="preserve"> </w:t>
      </w:r>
      <w:r w:rsidRPr="009252C3">
        <w:rPr>
          <w:rFonts w:ascii="Century Schoolbook" w:hAnsi="Century Schoolbook"/>
          <w:i/>
          <w:iCs/>
          <w:sz w:val="27"/>
          <w:szCs w:val="27"/>
        </w:rPr>
        <w:t>People v. Harris</w:t>
      </w:r>
      <w:r w:rsidRPr="009252C3">
        <w:rPr>
          <w:rFonts w:ascii="Century Schoolbook" w:hAnsi="Century Schoolbook"/>
          <w:sz w:val="27"/>
          <w:szCs w:val="27"/>
        </w:rPr>
        <w:t> (2013) 57 Cal.4th 804, 872–873 (conc. opn. of Liu, J.).)</w:t>
      </w:r>
    </w:p>
    <w:p w:rsidR="00773F3C" w:rsidRPr="0035759C" w:rsidP="0035759C">
      <w:pPr>
        <w:pStyle w:val="FootnoteText"/>
        <w:jc w:val="both"/>
        <w:rPr>
          <w:rFonts w:ascii="Century Schoolbook" w:hAnsi="Century Schoolbook"/>
          <w:sz w:val="27"/>
          <w:szCs w:val="27"/>
        </w:rPr>
      </w:pPr>
      <w:r>
        <w:rPr>
          <w:rFonts w:ascii="Century Schoolbook" w:hAnsi="Century Schoolbook"/>
          <w:sz w:val="27"/>
          <w:szCs w:val="27"/>
        </w:rPr>
        <w:tab/>
      </w:r>
      <w:r w:rsidRPr="0035759C">
        <w:rPr>
          <w:rFonts w:ascii="Century Schoolbook" w:hAnsi="Century Schoolbook"/>
          <w:sz w:val="27"/>
          <w:szCs w:val="27"/>
        </w:rPr>
        <w:t xml:space="preserve">We stress that in considering these grounds on appeal we do not suggest that a trial court evaluating a </w:t>
      </w:r>
      <w:r w:rsidRPr="0035759C">
        <w:rPr>
          <w:rFonts w:ascii="Century Schoolbook" w:hAnsi="Century Schoolbook"/>
          <w:i/>
          <w:sz w:val="27"/>
          <w:szCs w:val="27"/>
        </w:rPr>
        <w:t xml:space="preserve">Batson-Wheeler </w:t>
      </w:r>
      <w:r w:rsidRPr="0035759C">
        <w:rPr>
          <w:rFonts w:ascii="Century Schoolbook" w:hAnsi="Century Schoolbook"/>
          <w:sz w:val="27"/>
          <w:szCs w:val="27"/>
        </w:rPr>
        <w:t>prima facie case should search the record for reasons for the peremptory challenges instead of asking the attorney who exercised them for his or her reasons</w:t>
      </w:r>
      <w:r>
        <w:rPr>
          <w:rFonts w:ascii="Century Schoolbook" w:hAnsi="Century Schoolbook"/>
          <w:sz w:val="27"/>
          <w:szCs w:val="27"/>
        </w:rPr>
        <w:t xml:space="preserve"> as part of a second-step inquiry</w:t>
      </w:r>
      <w:r w:rsidRPr="0035759C">
        <w:rPr>
          <w:rFonts w:ascii="Century Schoolbook" w:hAnsi="Century Schoolbook"/>
          <w:sz w:val="27"/>
          <w:szCs w:val="27"/>
        </w:rPr>
        <w:t>.  In the trial court, “a direct answer can be obtained by asking a simple question.”  (</w:t>
      </w:r>
      <w:r w:rsidRPr="0035759C">
        <w:rPr>
          <w:rFonts w:ascii="Century Schoolbook" w:hAnsi="Century Schoolbook"/>
          <w:i/>
          <w:iCs/>
          <w:sz w:val="27"/>
          <w:szCs w:val="27"/>
        </w:rPr>
        <w:t>Johnson v. California</w:t>
      </w:r>
      <w:r w:rsidRPr="0035759C">
        <w:rPr>
          <w:rFonts w:ascii="Century Schoolbook" w:hAnsi="Century Schoolbook"/>
          <w:sz w:val="27"/>
          <w:szCs w:val="27"/>
        </w:rPr>
        <w:t xml:space="preserve">, </w:t>
      </w:r>
      <w:r w:rsidRPr="0035759C">
        <w:rPr>
          <w:rFonts w:ascii="Century Schoolbook" w:hAnsi="Century Schoolbook"/>
          <w:i/>
          <w:sz w:val="27"/>
          <w:szCs w:val="27"/>
        </w:rPr>
        <w:t>supra</w:t>
      </w:r>
      <w:r w:rsidRPr="0035759C">
        <w:rPr>
          <w:rFonts w:ascii="Century Schoolbook" w:hAnsi="Century Schoolbook"/>
          <w:sz w:val="27"/>
          <w:szCs w:val="27"/>
        </w:rPr>
        <w:t>,</w:t>
      </w:r>
      <w:r w:rsidRPr="0035759C">
        <w:rPr>
          <w:rFonts w:ascii="Century Schoolbook" w:hAnsi="Century Schoolbook"/>
          <w:i/>
          <w:sz w:val="27"/>
          <w:szCs w:val="27"/>
        </w:rPr>
        <w:t xml:space="preserve"> </w:t>
      </w:r>
      <w:r w:rsidRPr="0035759C">
        <w:rPr>
          <w:rFonts w:ascii="Century Schoolbook" w:hAnsi="Century Schoolbook"/>
          <w:sz w:val="27"/>
          <w:szCs w:val="27"/>
        </w:rPr>
        <w:t xml:space="preserve">545 U.S. at p. 172.)  </w:t>
      </w:r>
      <w:bookmarkStart w:id="19" w:name="_Hlk24113271"/>
      <w:r w:rsidRPr="0035759C">
        <w:rPr>
          <w:rFonts w:ascii="Century Schoolbook" w:hAnsi="Century Schoolbook"/>
          <w:sz w:val="27"/>
          <w:szCs w:val="27"/>
        </w:rPr>
        <w:t xml:space="preserve">But in this court, </w:t>
      </w:r>
      <w:r>
        <w:rPr>
          <w:rFonts w:ascii="Century Schoolbook" w:hAnsi="Century Schoolbook"/>
          <w:sz w:val="27"/>
          <w:szCs w:val="27"/>
        </w:rPr>
        <w:t xml:space="preserve">which may conduct its review of a </w:t>
      </w:r>
      <w:r w:rsidRPr="0035759C">
        <w:rPr>
          <w:rFonts w:ascii="Century Schoolbook" w:hAnsi="Century Schoolbook"/>
          <w:sz w:val="27"/>
          <w:szCs w:val="27"/>
        </w:rPr>
        <w:t>no-prima-facie-case ruling many years or even decades after it was made, asking the attorneys would be anything but simple</w:t>
      </w:r>
      <w:r>
        <w:rPr>
          <w:rFonts w:ascii="Century Schoolbook" w:hAnsi="Century Schoolbook"/>
          <w:sz w:val="27"/>
          <w:szCs w:val="27"/>
        </w:rPr>
        <w:t>—indeed, both defendant and the dissent argue that it would be impossible here</w:t>
      </w:r>
      <w:r w:rsidRPr="0035759C">
        <w:rPr>
          <w:rFonts w:ascii="Century Schoolbook" w:hAnsi="Century Schoolbook"/>
          <w:sz w:val="27"/>
          <w:szCs w:val="27"/>
        </w:rPr>
        <w:t>.  (</w:t>
      </w:r>
      <w:r>
        <w:rPr>
          <w:rFonts w:ascii="Century Schoolbook" w:hAnsi="Century Schoolbook"/>
          <w:sz w:val="27"/>
          <w:szCs w:val="27"/>
        </w:rPr>
        <w:t xml:space="preserve">Dis. opn. of Liu, J., </w:t>
      </w:r>
      <w:r w:rsidRPr="003C2E14">
        <w:rPr>
          <w:rFonts w:ascii="Century Schoolbook" w:hAnsi="Century Schoolbook"/>
          <w:i/>
          <w:sz w:val="27"/>
          <w:szCs w:val="27"/>
        </w:rPr>
        <w:t>post</w:t>
      </w:r>
      <w:r>
        <w:rPr>
          <w:rFonts w:ascii="Century Schoolbook" w:hAnsi="Century Schoolbook"/>
          <w:sz w:val="27"/>
          <w:szCs w:val="27"/>
        </w:rPr>
        <w:t>, at p. 24 [only possible remedy for trial court’s failure to ask question is to reverse penalty judgment]; s</w:t>
      </w:r>
      <w:r w:rsidRPr="003C2E14">
        <w:rPr>
          <w:rFonts w:ascii="Century Schoolbook" w:hAnsi="Century Schoolbook"/>
          <w:sz w:val="27"/>
          <w:szCs w:val="27"/>
        </w:rPr>
        <w:t>ee</w:t>
      </w:r>
      <w:r w:rsidRPr="0035759C">
        <w:rPr>
          <w:rFonts w:ascii="Century Schoolbook" w:hAnsi="Century Schoolbook"/>
          <w:sz w:val="27"/>
          <w:szCs w:val="27"/>
        </w:rPr>
        <w:t xml:space="preserve"> </w:t>
      </w:r>
      <w:r w:rsidRPr="0035759C">
        <w:rPr>
          <w:rFonts w:ascii="Century Schoolbook" w:hAnsi="Century Schoolbook"/>
          <w:i/>
          <w:iCs/>
          <w:sz w:val="27"/>
          <w:szCs w:val="27"/>
        </w:rPr>
        <w:t>People v. Johnson</w:t>
      </w:r>
      <w:r w:rsidRPr="0035759C">
        <w:rPr>
          <w:rFonts w:ascii="Century Schoolbook" w:hAnsi="Century Schoolbook"/>
          <w:sz w:val="27"/>
          <w:szCs w:val="27"/>
        </w:rPr>
        <w:t> (2006) 38 Cal.4th 1096, 1100–1104.)</w:t>
      </w:r>
      <w:bookmarkEnd w:id="19"/>
      <w:r w:rsidRPr="0035759C">
        <w:rPr>
          <w:rFonts w:ascii="Century Schoolbook" w:hAnsi="Century Schoolbook"/>
          <w:sz w:val="27"/>
          <w:szCs w:val="27"/>
        </w:rPr>
        <w:t xml:space="preserve">  On the other hand, as an appellate court, we have the benefit of being able to examine the record in more detail, and at a great deal more leisure, than a trial court in the midst of jury selection.  What is the </w:t>
      </w:r>
      <w:r>
        <w:rPr>
          <w:rFonts w:ascii="Century Schoolbook" w:hAnsi="Century Schoolbook"/>
          <w:sz w:val="27"/>
          <w:szCs w:val="27"/>
        </w:rPr>
        <w:t xml:space="preserve">soundest and </w:t>
      </w:r>
      <w:r w:rsidRPr="0035759C">
        <w:rPr>
          <w:rFonts w:ascii="Century Schoolbook" w:hAnsi="Century Schoolbook"/>
          <w:sz w:val="27"/>
          <w:szCs w:val="27"/>
        </w:rPr>
        <w:t xml:space="preserve">most practical approach for trial courts is not necessarily the </w:t>
      </w:r>
      <w:r>
        <w:rPr>
          <w:rFonts w:ascii="Century Schoolbook" w:hAnsi="Century Schoolbook"/>
          <w:sz w:val="27"/>
          <w:szCs w:val="27"/>
        </w:rPr>
        <w:t xml:space="preserve">soundest and </w:t>
      </w:r>
      <w:r w:rsidRPr="0035759C">
        <w:rPr>
          <w:rFonts w:ascii="Century Schoolbook" w:hAnsi="Century Schoolbook"/>
          <w:sz w:val="27"/>
          <w:szCs w:val="27"/>
        </w:rPr>
        <w:t>most practical approach for appellate courts, and vice versa.</w:t>
      </w:r>
    </w:p>
  </w:footnote>
  <w:footnote w:id="19">
    <w:p w:rsidR="00773F3C" w:rsidP="0035759C">
      <w:pPr>
        <w:pStyle w:val="FootnoteText"/>
        <w:jc w:val="both"/>
        <w:rPr>
          <w:rFonts w:ascii="Century Schoolbook" w:hAnsi="Century Schoolbook"/>
          <w:sz w:val="27"/>
          <w:szCs w:val="27"/>
        </w:rPr>
      </w:pPr>
      <w:r w:rsidRPr="0035759C">
        <w:rPr>
          <w:rStyle w:val="FootnoteReference"/>
          <w:rFonts w:ascii="Century Schoolbook" w:hAnsi="Century Schoolbook"/>
          <w:sz w:val="27"/>
          <w:szCs w:val="27"/>
          <w:vertAlign w:val="superscript"/>
        </w:rPr>
        <w:footnoteRef/>
      </w:r>
      <w:r w:rsidRPr="0035759C">
        <w:rPr>
          <w:rFonts w:ascii="Century Schoolbook" w:hAnsi="Century Schoolbook"/>
          <w:sz w:val="27"/>
          <w:szCs w:val="27"/>
          <w:vertAlign w:val="superscript"/>
        </w:rPr>
        <w:t xml:space="preserve"> </w:t>
      </w:r>
      <w:r>
        <w:tab/>
      </w:r>
      <w:r w:rsidRPr="0035759C">
        <w:rPr>
          <w:rFonts w:ascii="Century Schoolbook" w:hAnsi="Century Schoolbook"/>
          <w:sz w:val="27"/>
          <w:szCs w:val="27"/>
        </w:rPr>
        <w:t>Although we have sometimes declined to consider such comparisons in a first</w:t>
      </w:r>
      <w:r>
        <w:rPr>
          <w:rFonts w:ascii="Century Schoolbook" w:hAnsi="Century Schoolbook"/>
          <w:sz w:val="27"/>
          <w:szCs w:val="27"/>
        </w:rPr>
        <w:t>-</w:t>
      </w:r>
      <w:r w:rsidRPr="0035759C">
        <w:rPr>
          <w:rFonts w:ascii="Century Schoolbook" w:hAnsi="Century Schoolbook"/>
          <w:sz w:val="27"/>
          <w:szCs w:val="27"/>
        </w:rPr>
        <w:t xml:space="preserve">stage </w:t>
      </w:r>
      <w:r w:rsidRPr="0035759C">
        <w:rPr>
          <w:rFonts w:ascii="Century Schoolbook" w:hAnsi="Century Schoolbook"/>
          <w:i/>
          <w:sz w:val="27"/>
          <w:szCs w:val="27"/>
        </w:rPr>
        <w:t>Batson</w:t>
      </w:r>
      <w:r w:rsidRPr="0035759C">
        <w:rPr>
          <w:rFonts w:ascii="Century Schoolbook" w:hAnsi="Century Schoolbook"/>
          <w:sz w:val="27"/>
          <w:szCs w:val="27"/>
        </w:rPr>
        <w:t>-</w:t>
      </w:r>
      <w:r w:rsidRPr="0035759C">
        <w:rPr>
          <w:rFonts w:ascii="Century Schoolbook" w:hAnsi="Century Schoolbook"/>
          <w:i/>
          <w:sz w:val="27"/>
          <w:szCs w:val="27"/>
        </w:rPr>
        <w:t>Wheeler</w:t>
      </w:r>
      <w:r w:rsidRPr="0035759C">
        <w:rPr>
          <w:rFonts w:ascii="Century Schoolbook" w:hAnsi="Century Schoolbook"/>
          <w:sz w:val="27"/>
          <w:szCs w:val="27"/>
        </w:rPr>
        <w:t xml:space="preserve"> analysis—particularly when neither the trial court nor this court, in evaluating the prima facie case, has posited possible prosecutorial reasons for the challenged strikes (</w:t>
      </w:r>
      <w:r w:rsidRPr="0035759C">
        <w:rPr>
          <w:rFonts w:ascii="Century Schoolbook" w:hAnsi="Century Schoolbook"/>
          <w:i/>
          <w:sz w:val="27"/>
          <w:szCs w:val="27"/>
        </w:rPr>
        <w:t>Bell</w:t>
      </w:r>
      <w:r w:rsidRPr="0035759C">
        <w:rPr>
          <w:rFonts w:ascii="Century Schoolbook" w:hAnsi="Century Schoolbook"/>
          <w:sz w:val="27"/>
          <w:szCs w:val="27"/>
        </w:rPr>
        <w:t xml:space="preserve">, </w:t>
      </w:r>
      <w:r w:rsidRPr="0035759C">
        <w:rPr>
          <w:rFonts w:ascii="Century Schoolbook" w:hAnsi="Century Schoolbook"/>
          <w:i/>
          <w:sz w:val="27"/>
          <w:szCs w:val="27"/>
        </w:rPr>
        <w:t>supra</w:t>
      </w:r>
      <w:r w:rsidRPr="0035759C">
        <w:rPr>
          <w:rFonts w:ascii="Century Schoolbook" w:hAnsi="Century Schoolbook"/>
          <w:sz w:val="27"/>
          <w:szCs w:val="27"/>
        </w:rPr>
        <w:t xml:space="preserve">, 40 Cal.4th at pp. 600–601; see also </w:t>
      </w:r>
      <w:r w:rsidRPr="0035759C">
        <w:rPr>
          <w:rFonts w:ascii="Century Schoolbook" w:hAnsi="Century Schoolbook"/>
          <w:i/>
          <w:iCs/>
          <w:sz w:val="27"/>
          <w:szCs w:val="27"/>
        </w:rPr>
        <w:t>People v. Bonilla</w:t>
      </w:r>
      <w:r w:rsidRPr="0035759C">
        <w:rPr>
          <w:rFonts w:ascii="Century Schoolbook" w:hAnsi="Century Schoolbook"/>
          <w:sz w:val="27"/>
          <w:szCs w:val="27"/>
        </w:rPr>
        <w:t> (2007) 41 Cal.4th 313, 350 [comparative analysis not mandated in first-stage cases])—more recent decisions have considered such comparisons</w:t>
      </w:r>
      <w:r>
        <w:rPr>
          <w:rFonts w:ascii="Century Schoolbook" w:hAnsi="Century Schoolbook"/>
          <w:sz w:val="27"/>
          <w:szCs w:val="27"/>
        </w:rPr>
        <w:t xml:space="preserve">.  </w:t>
      </w:r>
      <w:r w:rsidRPr="0035759C">
        <w:rPr>
          <w:rFonts w:ascii="Century Schoolbook" w:hAnsi="Century Schoolbook"/>
          <w:sz w:val="27"/>
          <w:szCs w:val="27"/>
        </w:rPr>
        <w:t xml:space="preserve">(See, e.g., </w:t>
      </w:r>
      <w:r w:rsidRPr="0035759C">
        <w:rPr>
          <w:rFonts w:ascii="Century Schoolbook" w:hAnsi="Century Schoolbook"/>
          <w:i/>
          <w:sz w:val="27"/>
          <w:szCs w:val="27"/>
        </w:rPr>
        <w:t>Reed</w:t>
      </w:r>
      <w:r w:rsidRPr="0035759C">
        <w:rPr>
          <w:rFonts w:ascii="Century Schoolbook" w:hAnsi="Century Schoolbook"/>
          <w:sz w:val="27"/>
          <w:szCs w:val="27"/>
        </w:rPr>
        <w:t xml:space="preserve">, </w:t>
      </w:r>
      <w:r w:rsidRPr="0035759C">
        <w:rPr>
          <w:rFonts w:ascii="Century Schoolbook" w:hAnsi="Century Schoolbook"/>
          <w:i/>
          <w:sz w:val="27"/>
          <w:szCs w:val="27"/>
        </w:rPr>
        <w:t>supra</w:t>
      </w:r>
      <w:r w:rsidRPr="0035759C">
        <w:rPr>
          <w:rFonts w:ascii="Century Schoolbook" w:hAnsi="Century Schoolbook"/>
          <w:sz w:val="27"/>
          <w:szCs w:val="27"/>
        </w:rPr>
        <w:t xml:space="preserve">, 4 Cal.5th at pp. 1002–1003; </w:t>
      </w:r>
      <w:r w:rsidRPr="0035759C">
        <w:rPr>
          <w:rFonts w:ascii="Century Schoolbook" w:hAnsi="Century Schoolbook"/>
          <w:i/>
          <w:sz w:val="27"/>
          <w:szCs w:val="27"/>
        </w:rPr>
        <w:t>People v. Harris</w:t>
      </w:r>
      <w:r w:rsidRPr="0035759C">
        <w:rPr>
          <w:rFonts w:ascii="Century Schoolbook" w:hAnsi="Century Schoolbook"/>
          <w:sz w:val="27"/>
          <w:szCs w:val="27"/>
        </w:rPr>
        <w:t xml:space="preserve">, </w:t>
      </w:r>
      <w:r w:rsidRPr="0035759C">
        <w:rPr>
          <w:rFonts w:ascii="Century Schoolbook" w:hAnsi="Century Schoolbook"/>
          <w:i/>
          <w:sz w:val="27"/>
          <w:szCs w:val="27"/>
        </w:rPr>
        <w:t>supra</w:t>
      </w:r>
      <w:r w:rsidRPr="0035759C">
        <w:rPr>
          <w:rFonts w:ascii="Century Schoolbook" w:hAnsi="Century Schoolbook"/>
          <w:sz w:val="27"/>
          <w:szCs w:val="27"/>
        </w:rPr>
        <w:t xml:space="preserve">, 57 Cal.4th at pp. 836–838.)  </w:t>
      </w:r>
      <w:r>
        <w:rPr>
          <w:rFonts w:ascii="Century Schoolbook" w:hAnsi="Century Schoolbook"/>
          <w:sz w:val="27"/>
          <w:szCs w:val="27"/>
        </w:rPr>
        <w:t xml:space="preserve">These cases recognize that comparative juror analysis has a role to play as an </w:t>
      </w:r>
      <w:r w:rsidRPr="0035759C">
        <w:rPr>
          <w:rFonts w:ascii="Century Schoolbook" w:hAnsi="Century Schoolbook"/>
          <w:sz w:val="27"/>
          <w:szCs w:val="27"/>
        </w:rPr>
        <w:t xml:space="preserve">aid in determining whether the reasons we are able to identify on the record are ones that help to dispel any inference that the prosecution exercised its strikes in a biased manner.  </w:t>
      </w:r>
      <w:bookmarkStart w:id="20" w:name="_Hlk24456709"/>
      <w:r>
        <w:rPr>
          <w:rFonts w:ascii="Century Schoolbook" w:hAnsi="Century Schoolbook"/>
          <w:sz w:val="27"/>
          <w:szCs w:val="27"/>
        </w:rPr>
        <w:t xml:space="preserve">Whether or not this evolution in jurisprudence demands we explicitly “repudiate[]” our earlier decisions (dis. opn. of Liu, J., </w:t>
      </w:r>
      <w:r>
        <w:rPr>
          <w:rFonts w:ascii="Century Schoolbook" w:hAnsi="Century Schoolbook"/>
          <w:i/>
          <w:sz w:val="27"/>
          <w:szCs w:val="27"/>
        </w:rPr>
        <w:t>post</w:t>
      </w:r>
      <w:r>
        <w:rPr>
          <w:rFonts w:ascii="Century Schoolbook" w:hAnsi="Century Schoolbook"/>
          <w:sz w:val="27"/>
          <w:szCs w:val="27"/>
        </w:rPr>
        <w:t xml:space="preserve">, at p. 20), we clarify here that juror comparisons can play a role at the first stage of the </w:t>
      </w:r>
      <w:r>
        <w:rPr>
          <w:rFonts w:ascii="Century Schoolbook" w:hAnsi="Century Schoolbook"/>
          <w:i/>
          <w:sz w:val="27"/>
          <w:szCs w:val="27"/>
        </w:rPr>
        <w:t>Batson-Wheeler</w:t>
      </w:r>
      <w:r>
        <w:rPr>
          <w:rFonts w:ascii="Century Schoolbook" w:hAnsi="Century Schoolbook"/>
          <w:sz w:val="27"/>
          <w:szCs w:val="27"/>
        </w:rPr>
        <w:t xml:space="preserve"> analysis.</w:t>
      </w:r>
      <w:bookmarkEnd w:id="20"/>
    </w:p>
    <w:p w:rsidR="00773F3C" w:rsidRPr="0035759C" w:rsidP="00F93A39">
      <w:pPr>
        <w:pStyle w:val="FootnoteText"/>
        <w:ind w:firstLine="720"/>
        <w:jc w:val="both"/>
        <w:rPr>
          <w:rFonts w:ascii="Century Schoolbook" w:hAnsi="Century Schoolbook"/>
          <w:sz w:val="27"/>
          <w:szCs w:val="27"/>
        </w:rPr>
      </w:pPr>
      <w:r w:rsidRPr="0035759C">
        <w:rPr>
          <w:rFonts w:ascii="Century Schoolbook" w:hAnsi="Century Schoolbook"/>
          <w:sz w:val="27"/>
          <w:szCs w:val="27"/>
        </w:rPr>
        <w:t xml:space="preserve">This case illustrates the utility of </w:t>
      </w:r>
      <w:r>
        <w:rPr>
          <w:rFonts w:ascii="Century Schoolbook" w:hAnsi="Century Schoolbook"/>
          <w:sz w:val="27"/>
          <w:szCs w:val="27"/>
        </w:rPr>
        <w:t>juror</w:t>
      </w:r>
      <w:r w:rsidRPr="0035759C">
        <w:rPr>
          <w:rFonts w:ascii="Century Schoolbook" w:hAnsi="Century Schoolbook"/>
          <w:sz w:val="27"/>
          <w:szCs w:val="27"/>
        </w:rPr>
        <w:t xml:space="preserve"> comparisons in conducting our independent appellate review</w:t>
      </w:r>
      <w:r>
        <w:rPr>
          <w:rFonts w:ascii="Century Schoolbook" w:hAnsi="Century Schoolbook"/>
          <w:sz w:val="27"/>
          <w:szCs w:val="27"/>
        </w:rPr>
        <w:t xml:space="preserve"> of the first stage determination</w:t>
      </w:r>
      <w:r w:rsidRPr="0035759C">
        <w:rPr>
          <w:rFonts w:ascii="Century Schoolbook" w:hAnsi="Century Schoolbook"/>
          <w:sz w:val="27"/>
          <w:szCs w:val="27"/>
        </w:rPr>
        <w:t>.</w:t>
      </w:r>
      <w:r>
        <w:rPr>
          <w:rFonts w:ascii="Century Schoolbook" w:hAnsi="Century Schoolbook"/>
          <w:sz w:val="27"/>
          <w:szCs w:val="27"/>
        </w:rPr>
        <w:t xml:space="preserve">  By comparing the excused jurors to those the prosecutor retained on the identified characteristics, we test the hypothesis that these characteristics were distinct enough to account for the challenge and dispel any inference of bias.  </w:t>
      </w:r>
    </w:p>
  </w:footnote>
  <w:footnote w:id="20">
    <w:p w:rsidR="00773F3C" w:rsidP="0035759C">
      <w:pPr>
        <w:pStyle w:val="FootnoteText"/>
        <w:jc w:val="both"/>
      </w:pPr>
      <w:r w:rsidRPr="0035759C">
        <w:rPr>
          <w:rStyle w:val="FootnoteReference"/>
          <w:rFonts w:ascii="Century Schoolbook" w:hAnsi="Century Schoolbook"/>
          <w:sz w:val="27"/>
          <w:szCs w:val="27"/>
          <w:vertAlign w:val="superscript"/>
        </w:rPr>
        <w:footnoteRef/>
      </w:r>
      <w:r w:rsidRPr="0035759C">
        <w:rPr>
          <w:rFonts w:ascii="Century Schoolbook" w:hAnsi="Century Schoolbook"/>
          <w:sz w:val="27"/>
          <w:szCs w:val="27"/>
          <w:vertAlign w:val="superscript"/>
        </w:rPr>
        <w:t xml:space="preserve"> </w:t>
      </w:r>
      <w:r w:rsidRPr="0035759C">
        <w:rPr>
          <w:rFonts w:ascii="Century Schoolbook" w:hAnsi="Century Schoolbook"/>
          <w:sz w:val="27"/>
          <w:szCs w:val="27"/>
        </w:rPr>
        <w:tab/>
        <w:t xml:space="preserve">Juror No. 4 thought the purpose of the death penalty was to act as a deterrent to crime, but doubted “if it really works,” checked “No” on a question asking specifically whether enforcing the death penalty deters crimes such as murder, and did not support it politically because “it takes too much money.”  Juror No. 9 was doubtful as to the penalty’s deterrent value and thought life in prison without the possibility of parole “could be worse than death for some people.”  Both these jurors were in the group initially seated in the box at the outset of peremptory challenges, meaning they were also seated when defendant’s </w:t>
      </w:r>
      <w:r w:rsidRPr="0035759C">
        <w:rPr>
          <w:rFonts w:ascii="Century Schoolbook" w:hAnsi="Century Schoolbook"/>
          <w:i/>
          <w:sz w:val="27"/>
          <w:szCs w:val="27"/>
        </w:rPr>
        <w:t>Batson-Wheeler</w:t>
      </w:r>
      <w:r w:rsidRPr="0035759C">
        <w:rPr>
          <w:rFonts w:ascii="Century Schoolbook" w:hAnsi="Century Schoolbook"/>
          <w:sz w:val="27"/>
          <w:szCs w:val="27"/>
        </w:rPr>
        <w:t xml:space="preserve"> motions were denied.  Neither of these jurors was African-American.</w:t>
      </w:r>
    </w:p>
  </w:footnote>
  <w:footnote w:id="21">
    <w:p w:rsidR="00773F3C" w:rsidP="0036236C">
      <w:pPr>
        <w:pStyle w:val="FootnoteText"/>
        <w:jc w:val="both"/>
      </w:pPr>
      <w:r w:rsidRPr="004F74DF">
        <w:rPr>
          <w:rStyle w:val="FootnoteReference"/>
          <w:rFonts w:ascii="Century Schoolbook" w:hAnsi="Century Schoolbook"/>
        </w:rPr>
        <w:footnoteRef/>
      </w:r>
      <w:r w:rsidRPr="004F74DF">
        <w:rPr>
          <w:rFonts w:ascii="Century Schoolbook" w:hAnsi="Century Schoolbook"/>
        </w:rPr>
        <w:t xml:space="preserve"> </w:t>
      </w:r>
      <w:r>
        <w:tab/>
      </w:r>
      <w:r w:rsidRPr="004F74DF">
        <w:rPr>
          <w:rFonts w:ascii="Century Schoolbook" w:hAnsi="Century Schoolbook"/>
          <w:sz w:val="27"/>
          <w:szCs w:val="27"/>
        </w:rPr>
        <w:t>As the dissent observes, Alice S. clarified that she did not regard substance abuse as an excuse for crime.  (Dis. opn. of Liu,</w:t>
      </w:r>
      <w:r>
        <w:rPr>
          <w:rFonts w:ascii="Century Schoolbook" w:hAnsi="Century Schoolbook"/>
          <w:sz w:val="27"/>
          <w:szCs w:val="27"/>
        </w:rPr>
        <w:t> </w:t>
      </w:r>
      <w:r w:rsidRPr="004F74DF">
        <w:rPr>
          <w:rFonts w:ascii="Century Schoolbook" w:hAnsi="Century Schoolbook"/>
          <w:sz w:val="27"/>
          <w:szCs w:val="27"/>
        </w:rPr>
        <w:t xml:space="preserve">J., </w:t>
      </w:r>
      <w:r w:rsidRPr="004F74DF">
        <w:rPr>
          <w:rFonts w:ascii="Century Schoolbook" w:hAnsi="Century Schoolbook"/>
          <w:i/>
          <w:sz w:val="27"/>
          <w:szCs w:val="27"/>
        </w:rPr>
        <w:t>post</w:t>
      </w:r>
      <w:r w:rsidRPr="004F74DF">
        <w:rPr>
          <w:rFonts w:ascii="Century Schoolbook" w:hAnsi="Century Schoolbook"/>
          <w:sz w:val="27"/>
          <w:szCs w:val="27"/>
        </w:rPr>
        <w:t>, at p.</w:t>
      </w:r>
      <w:r>
        <w:rPr>
          <w:rFonts w:ascii="Century Schoolbook" w:hAnsi="Century Schoolbook"/>
          <w:sz w:val="27"/>
          <w:szCs w:val="27"/>
        </w:rPr>
        <w:t> </w:t>
      </w:r>
      <w:r w:rsidRPr="004F74DF">
        <w:rPr>
          <w:rFonts w:ascii="Century Schoolbook" w:hAnsi="Century Schoolbook"/>
          <w:sz w:val="27"/>
          <w:szCs w:val="27"/>
        </w:rPr>
        <w:t>1</w:t>
      </w:r>
      <w:r>
        <w:rPr>
          <w:rFonts w:ascii="Century Schoolbook" w:hAnsi="Century Schoolbook"/>
          <w:sz w:val="27"/>
          <w:szCs w:val="27"/>
        </w:rPr>
        <w:t>3</w:t>
      </w:r>
      <w:r w:rsidRPr="004F74DF">
        <w:rPr>
          <w:rFonts w:ascii="Century Schoolbook" w:hAnsi="Century Schoolbook"/>
          <w:sz w:val="27"/>
          <w:szCs w:val="27"/>
        </w:rPr>
        <w:t>.)  The readily apparent concern about Alice</w:t>
      </w:r>
      <w:r>
        <w:rPr>
          <w:rFonts w:ascii="Century Schoolbook" w:hAnsi="Century Schoolbook"/>
          <w:sz w:val="27"/>
          <w:szCs w:val="27"/>
        </w:rPr>
        <w:t> </w:t>
      </w:r>
      <w:r w:rsidRPr="004F74DF">
        <w:rPr>
          <w:rFonts w:ascii="Century Schoolbook" w:hAnsi="Century Schoolbook"/>
          <w:sz w:val="27"/>
          <w:szCs w:val="27"/>
        </w:rPr>
        <w:t>S., however, was not her attitude toward substance abuse generally, but that she believed her brother’s alcoholism led to his wrongful conviction by rendering him incapable of supplying an alibi.  From any reasonable prosecutor’s perspective, this belief created a clear risk that Alice S. might be especially receptive to the alibi defense put forward by defendant, who claimed to be taking drugs during the period when the victim was abducted and killed.</w:t>
      </w:r>
    </w:p>
  </w:footnote>
  <w:footnote w:id="22">
    <w:p w:rsidR="00773F3C" w:rsidRPr="00405786" w:rsidP="00ED04F5">
      <w:pPr>
        <w:pStyle w:val="FootnoteText"/>
        <w:jc w:val="both"/>
      </w:pPr>
      <w:r w:rsidRPr="0035759C">
        <w:rPr>
          <w:rStyle w:val="FootnoteReference"/>
          <w:rFonts w:ascii="Century Schoolbook" w:hAnsi="Century Schoolbook"/>
          <w:sz w:val="27"/>
          <w:szCs w:val="27"/>
          <w:vertAlign w:val="superscript"/>
        </w:rPr>
        <w:footnoteRef/>
      </w:r>
      <w:r w:rsidRPr="0035759C">
        <w:rPr>
          <w:rFonts w:ascii="Century Schoolbook" w:hAnsi="Century Schoolbook"/>
          <w:sz w:val="27"/>
          <w:szCs w:val="27"/>
          <w:vertAlign w:val="superscript"/>
        </w:rPr>
        <w:t xml:space="preserve"> </w:t>
      </w:r>
      <w:r>
        <w:tab/>
      </w:r>
      <w:r w:rsidRPr="0035759C">
        <w:rPr>
          <w:rFonts w:ascii="Century Schoolbook" w:hAnsi="Century Schoolbook"/>
          <w:sz w:val="27"/>
          <w:szCs w:val="27"/>
        </w:rPr>
        <w:t xml:space="preserve">Indeed, no party in </w:t>
      </w:r>
      <w:r w:rsidRPr="0035759C">
        <w:rPr>
          <w:rFonts w:ascii="Century Schoolbook" w:hAnsi="Century Schoolbook"/>
          <w:i/>
          <w:sz w:val="27"/>
          <w:szCs w:val="27"/>
        </w:rPr>
        <w:t>Johnson v. California</w:t>
      </w:r>
      <w:r w:rsidRPr="0035759C">
        <w:rPr>
          <w:rFonts w:ascii="Century Schoolbook" w:hAnsi="Century Schoolbook"/>
          <w:sz w:val="27"/>
          <w:szCs w:val="27"/>
        </w:rPr>
        <w:t xml:space="preserve"> asked the court to make any such ruling.  On the contrary, </w:t>
      </w:r>
      <w:r>
        <w:rPr>
          <w:rFonts w:ascii="Century Schoolbook" w:hAnsi="Century Schoolbook"/>
          <w:sz w:val="27"/>
          <w:szCs w:val="27"/>
        </w:rPr>
        <w:t xml:space="preserve">the </w:t>
      </w:r>
      <w:r w:rsidRPr="0035759C">
        <w:rPr>
          <w:rFonts w:ascii="Century Schoolbook" w:hAnsi="Century Schoolbook"/>
          <w:sz w:val="27"/>
          <w:szCs w:val="27"/>
        </w:rPr>
        <w:t xml:space="preserve">defendant </w:t>
      </w:r>
      <w:r>
        <w:rPr>
          <w:rFonts w:ascii="Century Schoolbook" w:hAnsi="Century Schoolbook"/>
          <w:sz w:val="27"/>
          <w:szCs w:val="27"/>
        </w:rPr>
        <w:t xml:space="preserve">in that case </w:t>
      </w:r>
      <w:r w:rsidRPr="0035759C">
        <w:rPr>
          <w:rFonts w:ascii="Century Schoolbook" w:hAnsi="Century Schoolbook"/>
          <w:sz w:val="27"/>
          <w:szCs w:val="27"/>
        </w:rPr>
        <w:t>strongly urged the court to consider the racially charged nature of the case.  (</w:t>
      </w:r>
      <w:r w:rsidRPr="0082603D">
        <w:rPr>
          <w:rFonts w:ascii="Century Schoolbook" w:hAnsi="Century Schoolbook"/>
          <w:i/>
          <w:sz w:val="27"/>
          <w:szCs w:val="27"/>
        </w:rPr>
        <w:t>Johnson v. California</w:t>
      </w:r>
      <w:r>
        <w:rPr>
          <w:rFonts w:ascii="Century Schoolbook" w:hAnsi="Century Schoolbook"/>
          <w:sz w:val="27"/>
          <w:szCs w:val="27"/>
        </w:rPr>
        <w:t xml:space="preserve"> (U.S. Supreme Ct., Feb. 2, 2005, No. 04-6964) </w:t>
      </w:r>
      <w:r w:rsidRPr="0035759C">
        <w:rPr>
          <w:rFonts w:ascii="Century Schoolbook" w:hAnsi="Century Schoolbook"/>
          <w:sz w:val="27"/>
          <w:szCs w:val="27"/>
        </w:rPr>
        <w:t>Pet</w:t>
      </w:r>
      <w:r>
        <w:rPr>
          <w:rFonts w:ascii="Century Schoolbook" w:hAnsi="Century Schoolbook"/>
          <w:sz w:val="27"/>
          <w:szCs w:val="27"/>
        </w:rPr>
        <w:t>itioner’s Brief on the Merits, p. 48.)</w:t>
      </w:r>
    </w:p>
  </w:footnote>
  <w:footnote w:id="23">
    <w:p w:rsidR="00773F3C">
      <w:pPr>
        <w:pStyle w:val="FootnoteText"/>
        <w:rPr>
          <w:rFonts w:ascii="Century Schoolbook" w:hAnsi="Century Schoolbook"/>
          <w:iCs/>
          <w:sz w:val="27"/>
          <w:szCs w:val="27"/>
        </w:rPr>
      </w:pPr>
      <w:r>
        <w:rPr>
          <w:rStyle w:val="FootnoteReference"/>
        </w:rPr>
        <w:footnoteRef/>
      </w:r>
      <w:r>
        <w:t xml:space="preserve"> </w:t>
      </w:r>
      <w:r>
        <w:tab/>
      </w:r>
      <w:r>
        <w:rPr>
          <w:rFonts w:ascii="Century Schoolbook" w:hAnsi="Century Schoolbook"/>
          <w:sz w:val="27"/>
          <w:szCs w:val="27"/>
        </w:rPr>
        <w:t>For this reason, we disagree with the dissent’s suggestion that the answers given by the prospective jurors in this case were equivocal or confused in the same way as those in</w:t>
      </w:r>
      <w:r w:rsidRPr="00BC64F1">
        <w:rPr>
          <w:rFonts w:ascii="Century Schoolbook" w:hAnsi="Century Schoolbook"/>
          <w:sz w:val="27"/>
          <w:szCs w:val="27"/>
        </w:rPr>
        <w:t xml:space="preserve"> </w:t>
      </w:r>
      <w:r w:rsidRPr="00BC64F1">
        <w:rPr>
          <w:rFonts w:ascii="Century Schoolbook" w:hAnsi="Century Schoolbook"/>
          <w:i/>
          <w:iCs/>
          <w:sz w:val="27"/>
          <w:szCs w:val="27"/>
        </w:rPr>
        <w:t>Johnson v. California</w:t>
      </w:r>
      <w:r w:rsidRPr="00BC64F1">
        <w:rPr>
          <w:rFonts w:ascii="Century Schoolbook" w:hAnsi="Century Schoolbook"/>
          <w:iCs/>
          <w:sz w:val="27"/>
          <w:szCs w:val="27"/>
        </w:rPr>
        <w:t>.</w:t>
      </w:r>
      <w:r>
        <w:rPr>
          <w:rFonts w:ascii="Century Schoolbook" w:hAnsi="Century Schoolbook"/>
          <w:iCs/>
          <w:sz w:val="27"/>
          <w:szCs w:val="27"/>
        </w:rPr>
        <w:t xml:space="preserve">  (Dis. opn. of Liu, J., </w:t>
      </w:r>
      <w:r>
        <w:rPr>
          <w:rFonts w:ascii="Century Schoolbook" w:hAnsi="Century Schoolbook"/>
          <w:i/>
          <w:iCs/>
          <w:sz w:val="27"/>
          <w:szCs w:val="27"/>
        </w:rPr>
        <w:t>post</w:t>
      </w:r>
      <w:r>
        <w:rPr>
          <w:rFonts w:ascii="Century Schoolbook" w:hAnsi="Century Schoolbook"/>
          <w:iCs/>
          <w:sz w:val="27"/>
          <w:szCs w:val="27"/>
        </w:rPr>
        <w:t>, at pp. 15</w:t>
      </w:r>
      <w:r w:rsidRPr="009252C3">
        <w:rPr>
          <w:rFonts w:ascii="Century Schoolbook" w:hAnsi="Century Schoolbook"/>
          <w:sz w:val="27"/>
          <w:szCs w:val="27"/>
        </w:rPr>
        <w:t>–</w:t>
      </w:r>
      <w:r>
        <w:rPr>
          <w:rFonts w:ascii="Century Schoolbook" w:hAnsi="Century Schoolbook"/>
          <w:iCs/>
          <w:sz w:val="27"/>
          <w:szCs w:val="27"/>
        </w:rPr>
        <w:t>16.)</w:t>
      </w:r>
    </w:p>
    <w:p w:rsidR="00773F3C">
      <w:pPr>
        <w:pStyle w:val="FootnoteText"/>
      </w:pPr>
      <w:r>
        <w:rPr>
          <w:rFonts w:ascii="Century Schoolbook" w:hAnsi="Century Schoolbook"/>
          <w:iCs/>
          <w:sz w:val="27"/>
          <w:szCs w:val="27"/>
        </w:rPr>
        <w:tab/>
        <w:t xml:space="preserve">The dissent (p. 11) also notes that our opinion in </w:t>
      </w:r>
      <w:r w:rsidRPr="00C16644">
        <w:rPr>
          <w:rFonts w:ascii="Century Schoolbook" w:hAnsi="Century Schoolbook"/>
          <w:i/>
          <w:iCs/>
          <w:sz w:val="27"/>
          <w:szCs w:val="27"/>
        </w:rPr>
        <w:t>People v. Johnson</w:t>
      </w:r>
      <w:r w:rsidRPr="00C16644">
        <w:rPr>
          <w:rFonts w:ascii="Century Schoolbook" w:hAnsi="Century Schoolbook"/>
          <w:iCs/>
          <w:sz w:val="27"/>
          <w:szCs w:val="27"/>
        </w:rPr>
        <w:t xml:space="preserve">, </w:t>
      </w:r>
      <w:r w:rsidRPr="00C16644">
        <w:rPr>
          <w:rFonts w:ascii="Century Schoolbook" w:hAnsi="Century Schoolbook"/>
          <w:i/>
          <w:iCs/>
          <w:sz w:val="27"/>
          <w:szCs w:val="27"/>
        </w:rPr>
        <w:t>supra</w:t>
      </w:r>
      <w:r>
        <w:rPr>
          <w:rFonts w:ascii="Century Schoolbook" w:hAnsi="Century Schoolbook"/>
          <w:iCs/>
          <w:sz w:val="27"/>
          <w:szCs w:val="27"/>
        </w:rPr>
        <w:t>, 30 Cal.4th at pages 1325 to 1326, suggested some reasons that could have supported a peremptory challenge to the third disputed prospective juror.  These, too, fall short of the kind of readily apparent reasons that would lead any reasonable prosecutor to challenge a juror.</w:t>
      </w:r>
    </w:p>
  </w:footnote>
  <w:footnote w:id="24">
    <w:p w:rsidR="00773F3C" w:rsidRPr="008A2B2F" w:rsidP="00ED04F5">
      <w:pPr>
        <w:pStyle w:val="FootnoteText"/>
        <w:jc w:val="both"/>
      </w:pPr>
      <w:r w:rsidRPr="00ED04F5">
        <w:rPr>
          <w:rStyle w:val="FootnoteReference"/>
          <w:rFonts w:ascii="Century Schoolbook" w:hAnsi="Century Schoolbook"/>
          <w:sz w:val="27"/>
          <w:szCs w:val="27"/>
          <w:vertAlign w:val="superscript"/>
        </w:rPr>
        <w:footnoteRef/>
      </w:r>
      <w:r w:rsidRPr="00ED04F5">
        <w:rPr>
          <w:rFonts w:ascii="Century Schoolbook" w:hAnsi="Century Schoolbook"/>
          <w:sz w:val="27"/>
          <w:szCs w:val="27"/>
          <w:vertAlign w:val="superscript"/>
        </w:rPr>
        <w:t xml:space="preserve"> </w:t>
      </w:r>
      <w:r>
        <w:tab/>
      </w:r>
      <w:r w:rsidRPr="00ED04F5">
        <w:rPr>
          <w:rFonts w:ascii="Century Schoolbook" w:hAnsi="Century Schoolbook"/>
          <w:sz w:val="27"/>
          <w:szCs w:val="27"/>
        </w:rPr>
        <w:t xml:space="preserve">No different conclusion would follow from examination of the record at the time of defendant’s first </w:t>
      </w:r>
      <w:r w:rsidRPr="00ED04F5">
        <w:rPr>
          <w:rFonts w:ascii="Century Schoolbook" w:hAnsi="Century Schoolbook"/>
          <w:i/>
          <w:sz w:val="27"/>
          <w:szCs w:val="27"/>
        </w:rPr>
        <w:t>Batson-Wheeler</w:t>
      </w:r>
      <w:r w:rsidRPr="00ED04F5">
        <w:rPr>
          <w:rFonts w:ascii="Century Schoolbook" w:hAnsi="Century Schoolbook"/>
          <w:sz w:val="27"/>
          <w:szCs w:val="27"/>
        </w:rPr>
        <w:t xml:space="preserve"> motion.  The pattern of strikes was similar (three out of five challenges used against African-Americans) and grounds for prosecutorial challenge were readily apparent as to all three struck prospective jurors (S</w:t>
      </w:r>
      <w:r>
        <w:rPr>
          <w:rFonts w:ascii="Century Schoolbook" w:hAnsi="Century Schoolbook"/>
          <w:sz w:val="27"/>
          <w:szCs w:val="27"/>
        </w:rPr>
        <w:t xml:space="preserve">hirley </w:t>
      </w:r>
      <w:r w:rsidRPr="00ED04F5">
        <w:rPr>
          <w:rFonts w:ascii="Century Schoolbook" w:hAnsi="Century Schoolbook"/>
          <w:sz w:val="27"/>
          <w:szCs w:val="27"/>
        </w:rPr>
        <w:t>R., A</w:t>
      </w:r>
      <w:r>
        <w:rPr>
          <w:rFonts w:ascii="Century Schoolbook" w:hAnsi="Century Schoolbook"/>
          <w:sz w:val="27"/>
          <w:szCs w:val="27"/>
        </w:rPr>
        <w:t xml:space="preserve">drienne </w:t>
      </w:r>
      <w:r w:rsidRPr="00ED04F5">
        <w:rPr>
          <w:rFonts w:ascii="Century Schoolbook" w:hAnsi="Century Schoolbook"/>
          <w:sz w:val="27"/>
          <w:szCs w:val="27"/>
        </w:rPr>
        <w:t>A., and A</w:t>
      </w:r>
      <w:r>
        <w:rPr>
          <w:rFonts w:ascii="Century Schoolbook" w:hAnsi="Century Schoolbook"/>
          <w:sz w:val="27"/>
          <w:szCs w:val="27"/>
        </w:rPr>
        <w:t xml:space="preserve">lice </w:t>
      </w:r>
      <w:r w:rsidRPr="00ED04F5">
        <w:rPr>
          <w:rFonts w:ascii="Century Schoolbook" w:hAnsi="Century Schoolbook"/>
          <w:sz w:val="27"/>
          <w:szCs w:val="27"/>
        </w:rPr>
        <w:t>S.).</w:t>
      </w:r>
    </w:p>
  </w:footnote>
  <w:footnote w:id="25">
    <w:p w:rsidR="00773F3C" w:rsidP="00ED04F5">
      <w:pPr>
        <w:pStyle w:val="FootnoteText"/>
        <w:jc w:val="both"/>
      </w:pPr>
      <w:r w:rsidRPr="00ED04F5">
        <w:rPr>
          <w:rStyle w:val="FootnoteReference"/>
          <w:rFonts w:ascii="Century Schoolbook" w:hAnsi="Century Schoolbook"/>
          <w:sz w:val="27"/>
          <w:szCs w:val="27"/>
          <w:vertAlign w:val="superscript"/>
        </w:rPr>
        <w:footnoteRef/>
      </w:r>
      <w:r>
        <w:t xml:space="preserve"> </w:t>
      </w:r>
      <w:r>
        <w:tab/>
      </w:r>
      <w:r w:rsidRPr="00ED04F5">
        <w:rPr>
          <w:rFonts w:ascii="Century Schoolbook" w:hAnsi="Century Schoolbook"/>
          <w:sz w:val="27"/>
          <w:szCs w:val="27"/>
        </w:rPr>
        <w:t>Defendant cites other constitutional guarantees as well but makes no distinct argument for their violation.</w:t>
      </w:r>
    </w:p>
  </w:footnote>
  <w:footnote w:id="26">
    <w:p w:rsidR="00773F3C" w:rsidP="00B0126B">
      <w:pPr>
        <w:pStyle w:val="FootnoteText"/>
        <w:jc w:val="both"/>
      </w:pPr>
      <w:r w:rsidRPr="00B0126B">
        <w:rPr>
          <w:rStyle w:val="FootnoteReference"/>
          <w:rFonts w:ascii="Century Schoolbook" w:hAnsi="Century Schoolbook"/>
          <w:sz w:val="27"/>
          <w:szCs w:val="27"/>
          <w:vertAlign w:val="superscript"/>
        </w:rPr>
        <w:footnoteRef/>
      </w:r>
      <w:r>
        <w:t xml:space="preserve"> </w:t>
      </w:r>
      <w:r>
        <w:tab/>
      </w:r>
      <w:r w:rsidRPr="00B0126B">
        <w:rPr>
          <w:rFonts w:ascii="Century Schoolbook" w:hAnsi="Century Schoolbook"/>
          <w:sz w:val="27"/>
          <w:szCs w:val="27"/>
        </w:rPr>
        <w:t xml:space="preserve">At places in his briefing, defendant also appears to complain that mtDNA testing was denied for the blood stain on his shirt and for scrapings from under the victim’s fingernails.  His funding request as to those items, however, was for DNA-DQ ALPHA and PCR-DNA testing, respectively, rather than mtDNA testing.  As the appellate briefing focuses exclusively on mtDNA, we discuss only the request for testing the pubic hairs. </w:t>
      </w:r>
    </w:p>
  </w:footnote>
  <w:footnote w:id="27">
    <w:p w:rsidR="00773F3C" w:rsidP="008E6B13">
      <w:pPr>
        <w:pStyle w:val="FootnoteText"/>
        <w:jc w:val="both"/>
      </w:pPr>
      <w:r w:rsidRPr="008E6B13">
        <w:rPr>
          <w:rStyle w:val="FootnoteReference"/>
          <w:rFonts w:ascii="Century Schoolbook" w:hAnsi="Century Schoolbook"/>
          <w:sz w:val="27"/>
          <w:szCs w:val="27"/>
          <w:vertAlign w:val="superscript"/>
        </w:rPr>
        <w:footnoteRef/>
      </w:r>
      <w:r w:rsidRPr="008E6B13">
        <w:rPr>
          <w:rFonts w:ascii="Century Schoolbook" w:hAnsi="Century Schoolbook"/>
          <w:sz w:val="27"/>
          <w:szCs w:val="27"/>
          <w:vertAlign w:val="superscript"/>
        </w:rPr>
        <w:t xml:space="preserve"> </w:t>
      </w:r>
      <w:r>
        <w:tab/>
      </w:r>
      <w:r w:rsidRPr="008E6B13">
        <w:rPr>
          <w:rFonts w:ascii="Century Schoolbook" w:hAnsi="Century Schoolbook"/>
          <w:sz w:val="27"/>
          <w:szCs w:val="27"/>
        </w:rPr>
        <w:t>Before this court defendant has cited cases from other jurisdictions that, starting in 1999, consistently allowed mtDNA evidence, but he did not cite any such cases before the trial court.  The only evidence presented to the trial court was Calandro’s testimony, which the court reasonably determined was insufficient to establish general acceptance.</w:t>
      </w:r>
    </w:p>
  </w:footnote>
  <w:footnote w:id="28">
    <w:p w:rsidR="00773F3C" w:rsidP="008E6B13">
      <w:pPr>
        <w:pStyle w:val="FootnoteText"/>
        <w:jc w:val="both"/>
      </w:pPr>
      <w:r w:rsidRPr="008E6B13">
        <w:rPr>
          <w:rStyle w:val="FootnoteReference"/>
          <w:rFonts w:ascii="Century Schoolbook" w:hAnsi="Century Schoolbook"/>
          <w:sz w:val="27"/>
          <w:szCs w:val="27"/>
          <w:vertAlign w:val="superscript"/>
        </w:rPr>
        <w:footnoteRef/>
      </w:r>
      <w:r w:rsidRPr="008E6B13">
        <w:rPr>
          <w:rFonts w:ascii="Century Schoolbook" w:hAnsi="Century Schoolbook"/>
          <w:sz w:val="27"/>
          <w:szCs w:val="27"/>
          <w:vertAlign w:val="superscript"/>
        </w:rPr>
        <w:t xml:space="preserve"> </w:t>
      </w:r>
      <w:r>
        <w:tab/>
      </w:r>
      <w:r w:rsidRPr="008E6B13">
        <w:rPr>
          <w:rFonts w:ascii="Century Schoolbook" w:hAnsi="Century Schoolbook"/>
          <w:sz w:val="27"/>
          <w:szCs w:val="27"/>
        </w:rPr>
        <w:t>Defendant asserts he would be entitled to testing under the standards set in Penal Code section 1405, which sets prerequisites and procedures for postconviction forensic DNA testing.  We express no view on that question, which will arise if and when defendant makes a motion for postconviction testing.</w:t>
      </w:r>
    </w:p>
  </w:footnote>
  <w:footnote w:id="29">
    <w:p w:rsidR="00773F3C" w:rsidRPr="008E6B13" w:rsidP="008E6B13">
      <w:pPr>
        <w:pStyle w:val="FootnoteText"/>
        <w:jc w:val="both"/>
        <w:rPr>
          <w:rFonts w:ascii="Century Schoolbook" w:hAnsi="Century Schoolbook"/>
          <w:sz w:val="27"/>
          <w:szCs w:val="27"/>
        </w:rPr>
      </w:pPr>
      <w:r w:rsidRPr="008E6B13">
        <w:rPr>
          <w:rStyle w:val="FootnoteReference"/>
          <w:rFonts w:ascii="Century Schoolbook" w:hAnsi="Century Schoolbook"/>
          <w:sz w:val="27"/>
          <w:szCs w:val="27"/>
          <w:vertAlign w:val="superscript"/>
        </w:rPr>
        <w:footnoteRef/>
      </w:r>
      <w:r w:rsidRPr="008E6B13">
        <w:rPr>
          <w:rFonts w:ascii="Century Schoolbook" w:hAnsi="Century Schoolbook"/>
          <w:sz w:val="27"/>
          <w:szCs w:val="27"/>
          <w:vertAlign w:val="superscript"/>
        </w:rPr>
        <w:t xml:space="preserve"> </w:t>
      </w:r>
      <w:r>
        <w:tab/>
      </w:r>
      <w:r w:rsidRPr="008E6B13">
        <w:rPr>
          <w:rFonts w:ascii="Century Schoolbook" w:hAnsi="Century Schoolbook"/>
          <w:sz w:val="27"/>
          <w:szCs w:val="27"/>
        </w:rPr>
        <w:t>Prosecutor Nolan gave the first penalty argument, Prosecutor Schroeder the rebuttal.</w:t>
      </w:r>
    </w:p>
  </w:footnote>
  <w:footnote w:id="30">
    <w:p w:rsidR="00773F3C" w:rsidP="008E6B13">
      <w:pPr>
        <w:pStyle w:val="FootnoteText"/>
        <w:jc w:val="both"/>
      </w:pPr>
      <w:r w:rsidRPr="008E6B13">
        <w:rPr>
          <w:rStyle w:val="FootnoteReference"/>
          <w:rFonts w:ascii="Century Schoolbook" w:hAnsi="Century Schoolbook"/>
          <w:sz w:val="27"/>
          <w:szCs w:val="27"/>
          <w:vertAlign w:val="superscript"/>
        </w:rPr>
        <w:footnoteRef/>
      </w:r>
      <w:r w:rsidRPr="008E6B13">
        <w:rPr>
          <w:rFonts w:ascii="Century Schoolbook" w:hAnsi="Century Schoolbook"/>
          <w:sz w:val="27"/>
          <w:szCs w:val="27"/>
          <w:vertAlign w:val="superscript"/>
        </w:rPr>
        <w:t xml:space="preserve"> </w:t>
      </w:r>
      <w:r>
        <w:tab/>
      </w:r>
      <w:r w:rsidRPr="008E6B13">
        <w:rPr>
          <w:rFonts w:ascii="Century Schoolbook" w:hAnsi="Century Schoolbook"/>
          <w:sz w:val="27"/>
          <w:szCs w:val="27"/>
        </w:rPr>
        <w:t xml:space="preserve">On the first occasion, the prosecutor, </w:t>
      </w:r>
      <w:r>
        <w:rPr>
          <w:rFonts w:ascii="Century Schoolbook" w:hAnsi="Century Schoolbook"/>
          <w:sz w:val="27"/>
          <w:szCs w:val="27"/>
        </w:rPr>
        <w:t>complaining</w:t>
      </w:r>
      <w:r w:rsidRPr="008E6B13">
        <w:rPr>
          <w:rFonts w:ascii="Century Schoolbook" w:hAnsi="Century Schoolbook"/>
          <w:sz w:val="27"/>
          <w:szCs w:val="27"/>
        </w:rPr>
        <w:t xml:space="preserve"> about “huge gaps” in the defense presentation of the facts, said:  “Now for you to have a lingering doubt, you have to hear the entire case I put on last year.”  After the court sustained a defense objection and told the jury to “disregard that statement,” the prosecutor immediately argued that defense counsel, in his opening statement, admitted “that he has to put on the entire case I put on—</w:t>
      </w:r>
      <w:r>
        <w:rPr>
          <w:rFonts w:ascii="Century Schoolbook" w:hAnsi="Century Schoolbook"/>
          <w:sz w:val="27"/>
          <w:szCs w:val="27"/>
        </w:rPr>
        <w:t>.</w:t>
      </w:r>
      <w:r w:rsidRPr="008E6B13">
        <w:rPr>
          <w:rFonts w:ascii="Century Schoolbook" w:hAnsi="Century Schoolbook"/>
          <w:sz w:val="27"/>
          <w:szCs w:val="27"/>
        </w:rPr>
        <w:t>”  Another objection was sustained but the court declined to admonish the jury again, saying, “I just did, counsel.”  Later in his argument, the prosecutor urged the jury to note the potential witnesses who had been mentioned but had not testified and asked rhetorically, “If you [didn’t] hear my whole case, how can you have a lingering doubt?”  Again an objection was sustained and the jury was admonished to “disregard the last sentence of the argument.”</w:t>
      </w:r>
    </w:p>
  </w:footnote>
  <w:footnote w:id="31">
    <w:p w:rsidR="00773F3C" w:rsidP="008E6B13">
      <w:pPr>
        <w:pStyle w:val="FootnoteText"/>
        <w:jc w:val="both"/>
      </w:pPr>
      <w:r w:rsidRPr="008E6B13">
        <w:rPr>
          <w:rStyle w:val="FootnoteReference"/>
          <w:rFonts w:ascii="Century Schoolbook" w:hAnsi="Century Schoolbook"/>
          <w:sz w:val="27"/>
          <w:szCs w:val="27"/>
          <w:vertAlign w:val="superscript"/>
        </w:rPr>
        <w:footnoteRef/>
      </w:r>
      <w:r w:rsidRPr="008E6B13">
        <w:rPr>
          <w:rFonts w:ascii="Century Schoolbook" w:hAnsi="Century Schoolbook"/>
          <w:sz w:val="27"/>
          <w:szCs w:val="27"/>
          <w:vertAlign w:val="superscript"/>
        </w:rPr>
        <w:t xml:space="preserve"> </w:t>
      </w:r>
      <w:r>
        <w:tab/>
      </w:r>
      <w:r w:rsidRPr="008E6B13">
        <w:rPr>
          <w:rFonts w:ascii="Century Schoolbook" w:hAnsi="Century Schoolbook"/>
          <w:sz w:val="27"/>
          <w:szCs w:val="27"/>
        </w:rPr>
        <w:t xml:space="preserve">The jury was instructed:  “Lingering doubt may be considered as a factor in mitigation if you have a lingering doubt as to the guilt of the defendant.”  The court refused the defense’s more elaborate proposed instruction, which stated that “[t]he adjudication of guilt is not infallible” and permitted the jury to consider “the possibility that at some time in the future” new evidence might come to light.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rsidRPr="009C6457" w:rsidP="00781C68">
    <w:pPr>
      <w:tabs>
        <w:tab w:val="left" w:pos="1440"/>
        <w:tab w:val="left" w:pos="4680"/>
        <w:tab w:val="center" w:pos="7200"/>
      </w:tabs>
      <w:spacing w:line="400" w:lineRule="atLeast"/>
      <w:jc w:val="center"/>
      <w:rPr>
        <w:rFonts w:ascii="Century Schoolbook" w:hAnsi="Century Schoolbook"/>
        <w:sz w:val="22"/>
        <w:szCs w:val="22"/>
      </w:rPr>
    </w:pPr>
    <w:r w:rsidRPr="009C6457">
      <w:rPr>
        <w:rFonts w:ascii="Century Schoolbook" w:hAnsi="Century Schoolbook"/>
        <w:sz w:val="22"/>
        <w:szCs w:val="22"/>
      </w:rPr>
      <w:t>PEOPLE v. RHOADES</w:t>
    </w:r>
  </w:p>
  <w:p w:rsidR="00773F3C" w:rsidP="00781C68">
    <w:pPr>
      <w:pStyle w:val="Header"/>
      <w:spacing w:line="400" w:lineRule="atLeast"/>
      <w:jc w:val="center"/>
    </w:pPr>
    <w:r w:rsidRPr="009C6457">
      <w:rPr>
        <w:rFonts w:ascii="Century Schoolbook" w:hAnsi="Century Schoolbook"/>
        <w:sz w:val="22"/>
        <w:szCs w:val="22"/>
      </w:rPr>
      <w:t>Opinion of the Court by Kruger, J.</w:t>
    </w:r>
  </w:p>
  <w:p w:rsidR="00773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D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rsidRPr="009C6457" w:rsidP="00781C68">
    <w:pPr>
      <w:tabs>
        <w:tab w:val="left" w:pos="1440"/>
        <w:tab w:val="left" w:pos="4680"/>
        <w:tab w:val="center" w:pos="7200"/>
      </w:tabs>
      <w:spacing w:line="400" w:lineRule="atLeast"/>
      <w:jc w:val="center"/>
      <w:rPr>
        <w:rFonts w:ascii="Century Schoolbook" w:hAnsi="Century Schoolbook"/>
        <w:sz w:val="22"/>
        <w:szCs w:val="22"/>
      </w:rPr>
    </w:pPr>
    <w:r w:rsidRPr="009C6457">
      <w:rPr>
        <w:rFonts w:ascii="Century Schoolbook" w:hAnsi="Century Schoolbook"/>
        <w:sz w:val="22"/>
        <w:szCs w:val="22"/>
      </w:rPr>
      <w:t>PEOPLE v. RHOADES</w:t>
    </w:r>
  </w:p>
  <w:p w:rsidR="00773F3C" w:rsidP="00781C68">
    <w:pPr>
      <w:pStyle w:val="Header"/>
      <w:spacing w:line="400" w:lineRule="atLeast"/>
      <w:jc w:val="center"/>
    </w:pPr>
    <w:r>
      <w:rPr>
        <w:rFonts w:ascii="Century Schoolbook" w:hAnsi="Century Schoolbook"/>
        <w:sz w:val="22"/>
        <w:szCs w:val="22"/>
      </w:rPr>
      <w:t>Liu, J., dissenting</w:t>
    </w:r>
  </w:p>
  <w:p w:rsidR="00773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rsidRPr="009C6457" w:rsidP="00781C68">
    <w:pPr>
      <w:tabs>
        <w:tab w:val="left" w:pos="1440"/>
        <w:tab w:val="left" w:pos="4680"/>
        <w:tab w:val="center" w:pos="7200"/>
      </w:tabs>
      <w:spacing w:line="400" w:lineRule="atLeast"/>
      <w:jc w:val="center"/>
      <w:rPr>
        <w:rFonts w:ascii="Century Schoolbook" w:hAnsi="Century Schoolbook"/>
        <w:sz w:val="22"/>
        <w:szCs w:val="22"/>
      </w:rPr>
    </w:pPr>
    <w:r w:rsidRPr="009C6457">
      <w:rPr>
        <w:rFonts w:ascii="Century Schoolbook" w:hAnsi="Century Schoolbook"/>
        <w:sz w:val="22"/>
        <w:szCs w:val="22"/>
      </w:rPr>
      <w:t>PEOPLE v. RHOADES</w:t>
    </w:r>
  </w:p>
  <w:p w:rsidR="00773F3C">
    <w:pPr>
      <w:pStyle w:val="Header"/>
    </w:pPr>
  </w:p>
  <w:p w:rsidR="00773F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122" w:rsidRPr="00912122" w:rsidP="00912122">
    <w:pPr>
      <w:pStyle w:val="Header"/>
      <w:jc w:val="center"/>
      <w:rPr>
        <w:rFonts w:ascii="Century Schoolbook" w:hAnsi="Century Schoolbook"/>
        <w:sz w:val="22"/>
        <w:szCs w:val="22"/>
      </w:rPr>
    </w:pPr>
    <w:r>
      <w:rPr>
        <w:rFonts w:ascii="Century Schoolbook" w:hAnsi="Century Schoolbook"/>
        <w:sz w:val="22"/>
        <w:szCs w:val="22"/>
      </w:rPr>
      <w:t>PEOPLE v. RHOADES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982F74"/>
    <w:multiLevelType w:val="hybridMultilevel"/>
    <w:tmpl w:val="73840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8FE"/>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1A4"/>
    <w:rPr>
      <w:b/>
      <w:smallCaps/>
      <w:sz w:val="26"/>
    </w:rPr>
  </w:style>
  <w:style w:type="character" w:customStyle="1" w:styleId="Heading2Char">
    <w:name w:val="Heading 2 Char"/>
    <w:basedOn w:val="DefaultParagraphFont"/>
    <w:link w:val="Heading2"/>
    <w:rsid w:val="001061A4"/>
    <w:rPr>
      <w:b/>
      <w:sz w:val="26"/>
    </w:rPr>
  </w:style>
  <w:style w:type="paragraph" w:styleId="NormalIndent">
    <w:name w:val="Normal Indent"/>
    <w:basedOn w:val="Normal"/>
    <w:link w:val="NormalIndentChar"/>
    <w:pPr>
      <w:ind w:left="720"/>
    </w:pPr>
  </w:style>
  <w:style w:type="character" w:customStyle="1" w:styleId="Heading3Char">
    <w:name w:val="Heading 3 Char"/>
    <w:basedOn w:val="DefaultParagraphFont"/>
    <w:link w:val="Heading3"/>
    <w:rsid w:val="001061A4"/>
    <w:rPr>
      <w:i/>
      <w:sz w:val="26"/>
    </w:rPr>
  </w:style>
  <w:style w:type="character" w:customStyle="1" w:styleId="Heading4Char">
    <w:name w:val="Heading 4 Char"/>
    <w:basedOn w:val="DefaultParagraphFont"/>
    <w:link w:val="Heading4"/>
    <w:rsid w:val="001061A4"/>
    <w:rPr>
      <w:i/>
      <w:sz w:val="26"/>
    </w:rPr>
  </w:style>
  <w:style w:type="character" w:customStyle="1" w:styleId="Heading5Char">
    <w:name w:val="Heading 5 Char"/>
    <w:basedOn w:val="DefaultParagraphFont"/>
    <w:link w:val="Heading5"/>
    <w:rsid w:val="001061A4"/>
    <w:rPr>
      <w:i/>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061A4"/>
    <w:rPr>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061A4"/>
    <w:rPr>
      <w:sz w:val="26"/>
    </w:r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sid w:val="001061A4"/>
    <w:rPr>
      <w:sz w:val="26"/>
    </w:r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link w:val="TextChar"/>
    <w:pPr>
      <w:tabs>
        <w:tab w:val="left" w:pos="720"/>
        <w:tab w:val="left" w:pos="1440"/>
        <w:tab w:val="left" w:pos="2160"/>
        <w:tab w:val="center" w:pos="4320"/>
      </w:tabs>
      <w:spacing w:line="480" w:lineRule="atLeast"/>
      <w:ind w:firstLine="540"/>
    </w:pPr>
  </w:style>
  <w:style w:type="character" w:customStyle="1" w:styleId="TextChar">
    <w:name w:val="Text Char"/>
    <w:link w:val="Text"/>
    <w:rsid w:val="00A03A1E"/>
    <w:rPr>
      <w:sz w:val="26"/>
    </w:rPr>
  </w:style>
  <w:style w:type="paragraph" w:styleId="Date">
    <w:name w:val="Date"/>
    <w:basedOn w:val="Normal"/>
    <w:link w:val="DateChar"/>
    <w:semiHidden/>
    <w:pPr>
      <w:jc w:val="right"/>
    </w:pPr>
  </w:style>
  <w:style w:type="character" w:customStyle="1" w:styleId="DateChar">
    <w:name w:val="Date Char"/>
    <w:basedOn w:val="DefaultParagraphFont"/>
    <w:link w:val="Date"/>
    <w:semiHidden/>
    <w:rsid w:val="001061A4"/>
    <w:rPr>
      <w:sz w:val="26"/>
    </w:r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rsid w:val="00A07D54"/>
    <w:pPr>
      <w:tabs>
        <w:tab w:val="left" w:pos="1350"/>
        <w:tab w:val="right" w:leader="dot" w:pos="8630"/>
      </w:tabs>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Hyperlink">
    <w:name w:val="Hyperlink"/>
    <w:basedOn w:val="DefaultParagraphFont"/>
    <w:uiPriority w:val="99"/>
    <w:unhideWhenUsed/>
    <w:rsid w:val="00CC35D4"/>
    <w:rPr>
      <w:color w:val="0000FF" w:themeColor="hyperlink"/>
      <w:u w:val="single"/>
    </w:rPr>
  </w:style>
  <w:style w:type="character" w:customStyle="1" w:styleId="UnresolvedMention1">
    <w:name w:val="Unresolved Mention1"/>
    <w:basedOn w:val="DefaultParagraphFont"/>
    <w:uiPriority w:val="99"/>
    <w:semiHidden/>
    <w:unhideWhenUsed/>
    <w:rsid w:val="002C0AB3"/>
    <w:rPr>
      <w:color w:val="808080"/>
      <w:shd w:val="clear" w:color="auto" w:fill="E6E6E6"/>
    </w:rPr>
  </w:style>
  <w:style w:type="paragraph" w:styleId="BalloonText">
    <w:name w:val="Balloon Text"/>
    <w:basedOn w:val="Normal"/>
    <w:link w:val="BalloonTextChar"/>
    <w:uiPriority w:val="99"/>
    <w:semiHidden/>
    <w:unhideWhenUsed/>
    <w:rsid w:val="002C1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45"/>
    <w:rPr>
      <w:rFonts w:ascii="Segoe UI" w:hAnsi="Segoe UI" w:cs="Segoe UI"/>
      <w:sz w:val="18"/>
      <w:szCs w:val="18"/>
    </w:rPr>
  </w:style>
  <w:style w:type="character" w:customStyle="1" w:styleId="UnresolvedMention2">
    <w:name w:val="Unresolved Mention2"/>
    <w:basedOn w:val="DefaultParagraphFont"/>
    <w:uiPriority w:val="99"/>
    <w:semiHidden/>
    <w:unhideWhenUsed/>
    <w:rsid w:val="00C511FB"/>
    <w:rPr>
      <w:color w:val="605E5C"/>
      <w:shd w:val="clear" w:color="auto" w:fill="E1DFDD"/>
    </w:rPr>
  </w:style>
  <w:style w:type="character" w:styleId="FollowedHyperlink">
    <w:name w:val="FollowedHyperlink"/>
    <w:basedOn w:val="DefaultParagraphFont"/>
    <w:uiPriority w:val="99"/>
    <w:semiHidden/>
    <w:unhideWhenUsed/>
    <w:rsid w:val="00BD3676"/>
    <w:rPr>
      <w:color w:val="800080" w:themeColor="followedHyperlink"/>
      <w:u w:val="single"/>
    </w:rPr>
  </w:style>
  <w:style w:type="character" w:customStyle="1" w:styleId="UnresolvedMention3">
    <w:name w:val="Unresolved Mention3"/>
    <w:basedOn w:val="DefaultParagraphFont"/>
    <w:uiPriority w:val="99"/>
    <w:semiHidden/>
    <w:unhideWhenUsed/>
    <w:rsid w:val="0093549B"/>
    <w:rPr>
      <w:color w:val="605E5C"/>
      <w:shd w:val="clear" w:color="auto" w:fill="E1DFDD"/>
    </w:rPr>
  </w:style>
  <w:style w:type="paragraph" w:styleId="TOCHeading">
    <w:name w:val="TOC Heading"/>
    <w:basedOn w:val="Heading1"/>
    <w:next w:val="Normal"/>
    <w:uiPriority w:val="39"/>
    <w:unhideWhenUsed/>
    <w:qFormat/>
    <w:rsid w:val="004C7B17"/>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CommentReference">
    <w:name w:val="annotation reference"/>
    <w:basedOn w:val="DefaultParagraphFont"/>
    <w:uiPriority w:val="99"/>
    <w:semiHidden/>
    <w:unhideWhenUsed/>
    <w:rsid w:val="00956961"/>
    <w:rPr>
      <w:sz w:val="16"/>
      <w:szCs w:val="16"/>
    </w:rPr>
  </w:style>
  <w:style w:type="paragraph" w:styleId="CommentText">
    <w:name w:val="annotation text"/>
    <w:basedOn w:val="Normal"/>
    <w:link w:val="CommentTextChar"/>
    <w:uiPriority w:val="99"/>
    <w:semiHidden/>
    <w:unhideWhenUsed/>
    <w:rsid w:val="00956961"/>
    <w:rPr>
      <w:sz w:val="20"/>
    </w:rPr>
  </w:style>
  <w:style w:type="character" w:customStyle="1" w:styleId="CommentTextChar">
    <w:name w:val="Comment Text Char"/>
    <w:basedOn w:val="DefaultParagraphFont"/>
    <w:link w:val="CommentText"/>
    <w:uiPriority w:val="99"/>
    <w:semiHidden/>
    <w:rsid w:val="00956961"/>
  </w:style>
  <w:style w:type="paragraph" w:styleId="CommentSubject">
    <w:name w:val="annotation subject"/>
    <w:basedOn w:val="CommentText"/>
    <w:next w:val="CommentText"/>
    <w:link w:val="CommentSubjectChar"/>
    <w:uiPriority w:val="99"/>
    <w:semiHidden/>
    <w:unhideWhenUsed/>
    <w:rsid w:val="00956961"/>
    <w:rPr>
      <w:b/>
      <w:bCs/>
    </w:rPr>
  </w:style>
  <w:style w:type="character" w:customStyle="1" w:styleId="CommentSubjectChar">
    <w:name w:val="Comment Subject Char"/>
    <w:basedOn w:val="CommentTextChar"/>
    <w:link w:val="CommentSubject"/>
    <w:uiPriority w:val="99"/>
    <w:semiHidden/>
    <w:rsid w:val="00956961"/>
    <w:rPr>
      <w:b/>
      <w:bCs/>
    </w:rPr>
  </w:style>
  <w:style w:type="paragraph" w:styleId="Revision">
    <w:name w:val="Revision"/>
    <w:hidden/>
    <w:uiPriority w:val="99"/>
    <w:semiHidden/>
    <w:rsid w:val="00956961"/>
    <w:rPr>
      <w:sz w:val="26"/>
    </w:rPr>
  </w:style>
  <w:style w:type="character" w:customStyle="1" w:styleId="UnresolvedMention4">
    <w:name w:val="Unresolved Mention4"/>
    <w:basedOn w:val="DefaultParagraphFont"/>
    <w:uiPriority w:val="99"/>
    <w:semiHidden/>
    <w:unhideWhenUsed/>
    <w:rsid w:val="002A1554"/>
    <w:rPr>
      <w:color w:val="605E5C"/>
      <w:shd w:val="clear" w:color="auto" w:fill="E1DFDD"/>
    </w:rPr>
  </w:style>
  <w:style w:type="character" w:styleId="Emphasis">
    <w:name w:val="Emphasis"/>
    <w:basedOn w:val="DefaultParagraphFont"/>
    <w:uiPriority w:val="20"/>
    <w:qFormat/>
    <w:rsid w:val="00D5572F"/>
    <w:rPr>
      <w:i/>
      <w:iCs/>
    </w:rPr>
  </w:style>
  <w:style w:type="character" w:customStyle="1" w:styleId="NormalIndentChar">
    <w:name w:val="Normal Indent Char"/>
    <w:link w:val="NormalIndent"/>
    <w:rsid w:val="00625242"/>
    <w:rPr>
      <w:sz w:val="26"/>
    </w:rPr>
  </w:style>
  <w:style w:type="character" w:customStyle="1" w:styleId="UnresolvedMention5">
    <w:name w:val="Unresolved Mention5"/>
    <w:basedOn w:val="DefaultParagraphFont"/>
    <w:uiPriority w:val="99"/>
    <w:semiHidden/>
    <w:unhideWhenUsed/>
    <w:rsid w:val="00D133A0"/>
    <w:rPr>
      <w:color w:val="605E5C"/>
      <w:shd w:val="clear" w:color="auto" w:fill="E1DFDD"/>
    </w:rPr>
  </w:style>
  <w:style w:type="character" w:customStyle="1" w:styleId="UnresolvedMention6">
    <w:name w:val="Unresolved Mention6"/>
    <w:basedOn w:val="DefaultParagraphFont"/>
    <w:uiPriority w:val="99"/>
    <w:semiHidden/>
    <w:unhideWhenUsed/>
    <w:rsid w:val="0079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29972</Words>
  <Characters>170847</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2019-11-25T17:45:37Z</dcterms:created>
  <dcterms:modified xsi:type="dcterms:W3CDTF">2019-11-25T17:45:37Z</dcterms:modified>
</cp:coreProperties>
</file>