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198B" w14:textId="7E9496AC" w:rsidR="00A7631D" w:rsidRDefault="00A7631D" w:rsidP="00D31FB6">
      <w:pPr>
        <w:tabs>
          <w:tab w:val="left" w:pos="1440"/>
        </w:tabs>
        <w:spacing w:after="0"/>
        <w:jc w:val="center"/>
        <w:rPr>
          <w:sz w:val="36"/>
          <w:szCs w:val="26"/>
        </w:rPr>
      </w:pPr>
      <w:bookmarkStart w:id="0" w:name="MarkDocLoc"/>
      <w:bookmarkStart w:id="1" w:name="_Toc37394345"/>
      <w:bookmarkStart w:id="2" w:name="_Toc21438441"/>
      <w:bookmarkStart w:id="3" w:name="_Toc21683492"/>
      <w:bookmarkEnd w:id="0"/>
      <w:r>
        <w:rPr>
          <w:b/>
          <w:sz w:val="36"/>
          <w:szCs w:val="26"/>
        </w:rPr>
        <w:t>IN THE SUPREME COURT OF CALIFORNIA</w:t>
      </w:r>
    </w:p>
    <w:p w14:paraId="25654BE2" w14:textId="3A1CD945" w:rsidR="00A7631D" w:rsidRDefault="00A7631D" w:rsidP="00D31FB6">
      <w:pPr>
        <w:tabs>
          <w:tab w:val="left" w:pos="1440"/>
        </w:tabs>
        <w:spacing w:after="0"/>
        <w:jc w:val="center"/>
        <w:rPr>
          <w:szCs w:val="26"/>
        </w:rPr>
      </w:pPr>
    </w:p>
    <w:p w14:paraId="7FC8006F" w14:textId="690A2024" w:rsidR="00A7631D" w:rsidRDefault="00A7631D" w:rsidP="00D31FB6">
      <w:pPr>
        <w:tabs>
          <w:tab w:val="left" w:pos="1440"/>
        </w:tabs>
        <w:spacing w:after="0"/>
        <w:jc w:val="center"/>
        <w:rPr>
          <w:szCs w:val="26"/>
        </w:rPr>
      </w:pPr>
      <w:r>
        <w:rPr>
          <w:szCs w:val="26"/>
        </w:rPr>
        <w:t>THE PEOPLE</w:t>
      </w:r>
      <w:r w:rsidR="00FC5C8D">
        <w:rPr>
          <w:szCs w:val="26"/>
        </w:rPr>
        <w:t>,</w:t>
      </w:r>
    </w:p>
    <w:p w14:paraId="672A9A33" w14:textId="447FE4D6" w:rsidR="00A7631D" w:rsidRDefault="00A7631D" w:rsidP="00D31FB6">
      <w:pPr>
        <w:tabs>
          <w:tab w:val="left" w:pos="1440"/>
        </w:tabs>
        <w:spacing w:after="0"/>
        <w:jc w:val="center"/>
        <w:rPr>
          <w:szCs w:val="26"/>
        </w:rPr>
      </w:pPr>
      <w:bookmarkStart w:id="4" w:name="LD"/>
      <w:bookmarkEnd w:id="4"/>
      <w:r>
        <w:rPr>
          <w:szCs w:val="26"/>
        </w:rPr>
        <w:t>Plaintiff and Respondent</w:t>
      </w:r>
      <w:r w:rsidR="00FC5C8D">
        <w:rPr>
          <w:szCs w:val="26"/>
        </w:rPr>
        <w:t>,</w:t>
      </w:r>
    </w:p>
    <w:p w14:paraId="0A662800" w14:textId="6129D699" w:rsidR="00A7631D" w:rsidRDefault="00A7631D" w:rsidP="00D31FB6">
      <w:pPr>
        <w:tabs>
          <w:tab w:val="left" w:pos="1440"/>
        </w:tabs>
        <w:spacing w:after="0"/>
        <w:jc w:val="center"/>
        <w:rPr>
          <w:szCs w:val="26"/>
        </w:rPr>
      </w:pPr>
      <w:r>
        <w:rPr>
          <w:szCs w:val="26"/>
        </w:rPr>
        <w:t>v.</w:t>
      </w:r>
    </w:p>
    <w:p w14:paraId="3EA5552D" w14:textId="756FA852" w:rsidR="00A7631D" w:rsidRDefault="00A7631D" w:rsidP="00A7631D">
      <w:pPr>
        <w:tabs>
          <w:tab w:val="left" w:pos="1440"/>
        </w:tabs>
        <w:spacing w:after="0"/>
        <w:jc w:val="center"/>
        <w:rPr>
          <w:szCs w:val="26"/>
        </w:rPr>
      </w:pPr>
      <w:bookmarkStart w:id="5" w:name="appealnum"/>
      <w:bookmarkEnd w:id="5"/>
      <w:r>
        <w:rPr>
          <w:szCs w:val="26"/>
        </w:rPr>
        <w:t>BYRON WILSON</w:t>
      </w:r>
      <w:r w:rsidR="00FC5C8D">
        <w:rPr>
          <w:szCs w:val="26"/>
        </w:rPr>
        <w:t>,</w:t>
      </w:r>
    </w:p>
    <w:p w14:paraId="6490E016" w14:textId="2D72EB79" w:rsidR="00A7631D" w:rsidRDefault="00A7631D" w:rsidP="00A7631D">
      <w:pPr>
        <w:tabs>
          <w:tab w:val="left" w:pos="1440"/>
        </w:tabs>
        <w:spacing w:after="0"/>
        <w:jc w:val="center"/>
        <w:rPr>
          <w:szCs w:val="26"/>
        </w:rPr>
      </w:pPr>
      <w:r>
        <w:rPr>
          <w:szCs w:val="26"/>
        </w:rPr>
        <w:t>Defendant and Appellant</w:t>
      </w:r>
      <w:r w:rsidR="00FC5C8D">
        <w:rPr>
          <w:szCs w:val="26"/>
        </w:rPr>
        <w:t>.</w:t>
      </w:r>
    </w:p>
    <w:p w14:paraId="7FF003BC" w14:textId="35CC51E3" w:rsidR="00A7631D" w:rsidRDefault="00A7631D" w:rsidP="00A7631D">
      <w:pPr>
        <w:tabs>
          <w:tab w:val="left" w:pos="1440"/>
        </w:tabs>
        <w:spacing w:after="0"/>
        <w:jc w:val="center"/>
        <w:rPr>
          <w:szCs w:val="26"/>
        </w:rPr>
      </w:pPr>
    </w:p>
    <w:p w14:paraId="7A6E3E6A" w14:textId="01E91E13" w:rsidR="00A7631D" w:rsidRDefault="00A7631D" w:rsidP="00D31FB6">
      <w:pPr>
        <w:tabs>
          <w:tab w:val="left" w:pos="1440"/>
        </w:tabs>
        <w:spacing w:after="0"/>
        <w:jc w:val="center"/>
        <w:rPr>
          <w:szCs w:val="26"/>
        </w:rPr>
      </w:pPr>
      <w:r>
        <w:rPr>
          <w:szCs w:val="26"/>
        </w:rPr>
        <w:t>S087533</w:t>
      </w:r>
    </w:p>
    <w:p w14:paraId="67338110" w14:textId="49371F51" w:rsidR="00A7631D" w:rsidRDefault="00A7631D" w:rsidP="00A7631D">
      <w:pPr>
        <w:tabs>
          <w:tab w:val="left" w:pos="1440"/>
        </w:tabs>
        <w:spacing w:after="0"/>
        <w:jc w:val="center"/>
        <w:rPr>
          <w:szCs w:val="26"/>
        </w:rPr>
      </w:pPr>
    </w:p>
    <w:p w14:paraId="01F3219C" w14:textId="4D7BB1C9" w:rsidR="00A7631D" w:rsidRDefault="00A7631D" w:rsidP="00D31FB6">
      <w:pPr>
        <w:tabs>
          <w:tab w:val="left" w:pos="1440"/>
        </w:tabs>
        <w:spacing w:after="0"/>
        <w:jc w:val="center"/>
        <w:rPr>
          <w:szCs w:val="26"/>
        </w:rPr>
      </w:pPr>
      <w:r>
        <w:rPr>
          <w:szCs w:val="26"/>
        </w:rPr>
        <w:t>Los Angeles</w:t>
      </w:r>
      <w:r w:rsidR="00DA6E94">
        <w:rPr>
          <w:szCs w:val="26"/>
        </w:rPr>
        <w:t xml:space="preserve"> County Superior Court</w:t>
      </w:r>
    </w:p>
    <w:p w14:paraId="71B993B8" w14:textId="7ADD001A" w:rsidR="00A7631D" w:rsidRDefault="00A7631D" w:rsidP="00D31FB6">
      <w:pPr>
        <w:tabs>
          <w:tab w:val="left" w:pos="1440"/>
        </w:tabs>
        <w:spacing w:after="0"/>
        <w:jc w:val="center"/>
        <w:rPr>
          <w:szCs w:val="26"/>
        </w:rPr>
      </w:pPr>
      <w:bookmarkStart w:id="6" w:name="county"/>
      <w:bookmarkEnd w:id="6"/>
      <w:r>
        <w:rPr>
          <w:szCs w:val="26"/>
        </w:rPr>
        <w:t>BA164899</w:t>
      </w:r>
    </w:p>
    <w:p w14:paraId="7629F96A" w14:textId="0B59D34B" w:rsidR="00A7631D" w:rsidRDefault="00A7631D" w:rsidP="00A7631D">
      <w:pPr>
        <w:pBdr>
          <w:bottom w:val="single" w:sz="4" w:space="1" w:color="auto"/>
        </w:pBdr>
        <w:tabs>
          <w:tab w:val="left" w:pos="1440"/>
        </w:tabs>
        <w:spacing w:after="0"/>
        <w:jc w:val="center"/>
        <w:rPr>
          <w:szCs w:val="26"/>
        </w:rPr>
      </w:pPr>
    </w:p>
    <w:p w14:paraId="45D6D713" w14:textId="5E05D741" w:rsidR="00A7631D" w:rsidRDefault="00A7631D" w:rsidP="00A7631D">
      <w:pPr>
        <w:tabs>
          <w:tab w:val="left" w:pos="1440"/>
        </w:tabs>
        <w:spacing w:after="0"/>
        <w:jc w:val="center"/>
        <w:rPr>
          <w:szCs w:val="26"/>
        </w:rPr>
      </w:pPr>
    </w:p>
    <w:p w14:paraId="03EFD9CB" w14:textId="3DE03FA6" w:rsidR="00482855" w:rsidRDefault="00CF5541" w:rsidP="00482855">
      <w:pPr>
        <w:tabs>
          <w:tab w:val="left" w:pos="1440"/>
          <w:tab w:val="left" w:pos="4680"/>
          <w:tab w:val="center" w:pos="7200"/>
        </w:tabs>
        <w:spacing w:after="0"/>
        <w:jc w:val="center"/>
      </w:pPr>
      <w:r>
        <w:t>April 12</w:t>
      </w:r>
      <w:r w:rsidR="00482855">
        <w:t>, 202</w:t>
      </w:r>
      <w:r w:rsidR="00FC5C8D">
        <w:t>1</w:t>
      </w:r>
    </w:p>
    <w:p w14:paraId="70AC6E37" w14:textId="77777777" w:rsidR="00482855" w:rsidRPr="00652D6F" w:rsidRDefault="00482855" w:rsidP="00482855">
      <w:pPr>
        <w:tabs>
          <w:tab w:val="left" w:pos="1440"/>
          <w:tab w:val="left" w:pos="4680"/>
          <w:tab w:val="center" w:pos="7200"/>
        </w:tabs>
        <w:spacing w:after="0"/>
        <w:jc w:val="left"/>
      </w:pPr>
    </w:p>
    <w:p w14:paraId="04EC5B7F" w14:textId="6CDC27A4" w:rsidR="00482855" w:rsidRDefault="00482855" w:rsidP="00CF5541">
      <w:pPr>
        <w:tabs>
          <w:tab w:val="left" w:pos="1440"/>
          <w:tab w:val="left" w:pos="4680"/>
          <w:tab w:val="center" w:pos="7200"/>
        </w:tabs>
        <w:spacing w:after="0"/>
        <w:jc w:val="left"/>
      </w:pPr>
      <w:r w:rsidRPr="00652D6F">
        <w:t xml:space="preserve">Justice </w:t>
      </w:r>
      <w:r>
        <w:t>Cuéllar</w:t>
      </w:r>
      <w:r w:rsidRPr="00652D6F">
        <w:t xml:space="preserve"> authored the opinion of the Court, in which </w:t>
      </w:r>
      <w:r w:rsidR="00CF5541">
        <w:t>Chief Justice Cantil-Sakauye and Justices Corrigan, Liu, Kruger, Groban, and Krause</w:t>
      </w:r>
      <w:r w:rsidR="00CF5541" w:rsidRPr="00141B21">
        <w:rPr>
          <w:vertAlign w:val="superscript"/>
        </w:rPr>
        <w:t>*</w:t>
      </w:r>
      <w:r w:rsidR="00CF5541">
        <w:t xml:space="preserve"> concurred.</w:t>
      </w:r>
      <w:bookmarkStart w:id="7" w:name="Return"/>
      <w:bookmarkEnd w:id="7"/>
    </w:p>
    <w:p w14:paraId="7A7EC6B7" w14:textId="77777777" w:rsidR="00482855" w:rsidRPr="00CA3EE3" w:rsidRDefault="00482855" w:rsidP="00482855">
      <w:pPr>
        <w:pBdr>
          <w:bottom w:val="single" w:sz="4" w:space="1" w:color="auto"/>
        </w:pBdr>
        <w:tabs>
          <w:tab w:val="left" w:pos="1440"/>
          <w:tab w:val="left" w:pos="4680"/>
          <w:tab w:val="center" w:pos="7200"/>
        </w:tabs>
        <w:spacing w:line="480" w:lineRule="atLeast"/>
        <w:jc w:val="left"/>
      </w:pPr>
    </w:p>
    <w:p w14:paraId="7F4CB4D1" w14:textId="77777777" w:rsidR="00A7631D" w:rsidRDefault="00A7631D" w:rsidP="00E1742C">
      <w:pPr>
        <w:tabs>
          <w:tab w:val="left" w:pos="1440"/>
        </w:tabs>
        <w:spacing w:line="480" w:lineRule="atLeast"/>
        <w:ind w:firstLine="720"/>
        <w:rPr>
          <w:szCs w:val="26"/>
        </w:rPr>
      </w:pPr>
    </w:p>
    <w:p w14:paraId="7739D298" w14:textId="54E9BF9B" w:rsidR="00CF5541" w:rsidRDefault="00CF5541" w:rsidP="00CF5541">
      <w:pPr>
        <w:pStyle w:val="FootnoteText"/>
      </w:pPr>
    </w:p>
    <w:p w14:paraId="26686F0F" w14:textId="77777777" w:rsidR="00CF5541" w:rsidRDefault="00CF5541" w:rsidP="00CF5541">
      <w:pPr>
        <w:pStyle w:val="FootnoteText"/>
      </w:pPr>
    </w:p>
    <w:p w14:paraId="0050FC12" w14:textId="77777777" w:rsidR="00CF5541" w:rsidRDefault="00CF5541" w:rsidP="00CF5541">
      <w:pPr>
        <w:pStyle w:val="FootnoteText"/>
      </w:pPr>
      <w:r>
        <w:t>________________________</w:t>
      </w:r>
    </w:p>
    <w:p w14:paraId="3DE2F2EA" w14:textId="0ED27A47" w:rsidR="00CF5541" w:rsidRDefault="00CF5541" w:rsidP="00CF5541">
      <w:pPr>
        <w:pStyle w:val="FootnoteText"/>
        <w:tabs>
          <w:tab w:val="left" w:pos="360"/>
        </w:tabs>
        <w:rPr>
          <w:sz w:val="22"/>
          <w:szCs w:val="22"/>
        </w:rPr>
      </w:pPr>
      <w:r>
        <w:rPr>
          <w:rStyle w:val="FootnoteReference"/>
          <w:sz w:val="22"/>
          <w:szCs w:val="22"/>
        </w:rPr>
        <w:t>*</w:t>
      </w:r>
      <w:r>
        <w:rPr>
          <w:sz w:val="22"/>
          <w:szCs w:val="22"/>
        </w:rPr>
        <w:t xml:space="preserve"> </w:t>
      </w:r>
      <w:r>
        <w:rPr>
          <w:sz w:val="22"/>
          <w:szCs w:val="22"/>
        </w:rPr>
        <w:tab/>
      </w:r>
      <w:r w:rsidRPr="00E660EB">
        <w:rPr>
          <w:szCs w:val="27"/>
        </w:rPr>
        <w:t>Associate Justice of the Court of Appeal, Third Appellate District, assigned by the Chief Justice pursuant to article VI, section 6 of the California Constitution.</w:t>
      </w:r>
    </w:p>
    <w:p w14:paraId="385D9E98" w14:textId="6A349BDF" w:rsidR="00CF5541" w:rsidRDefault="00CF5541" w:rsidP="00E1742C">
      <w:pPr>
        <w:tabs>
          <w:tab w:val="left" w:pos="1440"/>
        </w:tabs>
        <w:spacing w:line="480" w:lineRule="atLeast"/>
        <w:ind w:firstLine="720"/>
        <w:rPr>
          <w:szCs w:val="26"/>
        </w:rPr>
        <w:sectPr w:rsidR="00CF5541" w:rsidSect="00A7631D">
          <w:headerReference w:type="default"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14:paraId="37C78B2D" w14:textId="118A5FDF" w:rsidR="00A7631D" w:rsidRDefault="00A7631D" w:rsidP="00D31FB6">
      <w:pPr>
        <w:tabs>
          <w:tab w:val="left" w:pos="1440"/>
        </w:tabs>
        <w:jc w:val="center"/>
        <w:rPr>
          <w:szCs w:val="26"/>
        </w:rPr>
      </w:pPr>
      <w:bookmarkStart w:id="8" w:name="VD"/>
      <w:bookmarkStart w:id="9" w:name="supernum"/>
      <w:bookmarkStart w:id="10" w:name="justice"/>
      <w:bookmarkEnd w:id="8"/>
      <w:bookmarkEnd w:id="9"/>
      <w:bookmarkEnd w:id="10"/>
      <w:r>
        <w:rPr>
          <w:szCs w:val="26"/>
        </w:rPr>
        <w:lastRenderedPageBreak/>
        <w:t>PEOPLE v. WILSON</w:t>
      </w:r>
    </w:p>
    <w:p w14:paraId="6C5500A8" w14:textId="77777777" w:rsidR="00A7631D" w:rsidRDefault="00A7631D" w:rsidP="00D31FB6">
      <w:pPr>
        <w:tabs>
          <w:tab w:val="left" w:pos="1440"/>
        </w:tabs>
        <w:jc w:val="center"/>
        <w:rPr>
          <w:szCs w:val="26"/>
        </w:rPr>
      </w:pPr>
      <w:r>
        <w:rPr>
          <w:szCs w:val="26"/>
        </w:rPr>
        <w:t>S087533</w:t>
      </w:r>
    </w:p>
    <w:p w14:paraId="7181D293" w14:textId="16DE4206" w:rsidR="00A7631D" w:rsidRDefault="00A7631D" w:rsidP="007E3CF3">
      <w:pPr>
        <w:tabs>
          <w:tab w:val="left" w:pos="1440"/>
        </w:tabs>
        <w:jc w:val="center"/>
        <w:rPr>
          <w:szCs w:val="26"/>
        </w:rPr>
      </w:pPr>
    </w:p>
    <w:p w14:paraId="521C0AC3" w14:textId="5B6FDF69" w:rsidR="007E3CF3" w:rsidRDefault="00A7631D" w:rsidP="00726496">
      <w:pPr>
        <w:tabs>
          <w:tab w:val="left" w:pos="1440"/>
        </w:tabs>
        <w:jc w:val="center"/>
        <w:rPr>
          <w:szCs w:val="26"/>
        </w:rPr>
      </w:pPr>
      <w:r>
        <w:rPr>
          <w:szCs w:val="26"/>
        </w:rPr>
        <w:t>Opinion of the Court by Cu</w:t>
      </w:r>
      <w:r w:rsidR="007E3CF3">
        <w:rPr>
          <w:szCs w:val="26"/>
        </w:rPr>
        <w:t>é</w:t>
      </w:r>
      <w:r>
        <w:rPr>
          <w:szCs w:val="26"/>
        </w:rPr>
        <w:t>llar</w:t>
      </w:r>
      <w:r w:rsidRPr="00D31FB6">
        <w:t>, J.</w:t>
      </w:r>
    </w:p>
    <w:p w14:paraId="5916EDAB" w14:textId="77777777" w:rsidR="007E3CF3" w:rsidRDefault="007E3CF3" w:rsidP="007E3CF3">
      <w:pPr>
        <w:tabs>
          <w:tab w:val="left" w:pos="1440"/>
        </w:tabs>
        <w:jc w:val="center"/>
        <w:rPr>
          <w:szCs w:val="26"/>
        </w:rPr>
      </w:pPr>
    </w:p>
    <w:p w14:paraId="5802F1A2" w14:textId="37A4CA7A" w:rsidR="00FC1CFC" w:rsidRPr="00A7631D" w:rsidRDefault="00795D12" w:rsidP="00E05629">
      <w:pPr>
        <w:tabs>
          <w:tab w:val="left" w:pos="1440"/>
        </w:tabs>
        <w:ind w:firstLine="720"/>
        <w:rPr>
          <w:szCs w:val="26"/>
        </w:rPr>
      </w:pPr>
      <w:r w:rsidRPr="00A7631D">
        <w:rPr>
          <w:szCs w:val="26"/>
        </w:rPr>
        <w:t xml:space="preserve"> </w:t>
      </w:r>
      <w:r w:rsidR="007E3CF3" w:rsidRPr="008C322C">
        <w:rPr>
          <w:szCs w:val="26"/>
        </w:rPr>
        <w:t xml:space="preserve">This automatic appeal follows from defendants </w:t>
      </w:r>
      <w:r w:rsidR="00203C66">
        <w:rPr>
          <w:szCs w:val="26"/>
        </w:rPr>
        <w:t xml:space="preserve">Byron Wilson’s and </w:t>
      </w:r>
      <w:r w:rsidR="007E3CF3" w:rsidRPr="008C322C">
        <w:rPr>
          <w:szCs w:val="26"/>
        </w:rPr>
        <w:t xml:space="preserve">Aswad </w:t>
      </w:r>
      <w:proofErr w:type="spellStart"/>
      <w:r w:rsidR="007E3CF3" w:rsidRPr="008C322C">
        <w:rPr>
          <w:szCs w:val="26"/>
        </w:rPr>
        <w:t>Pops</w:t>
      </w:r>
      <w:r w:rsidR="007C4223">
        <w:rPr>
          <w:szCs w:val="26"/>
        </w:rPr>
        <w:t>’s</w:t>
      </w:r>
      <w:proofErr w:type="spellEnd"/>
      <w:r w:rsidR="007E3CF3" w:rsidRPr="008C322C">
        <w:rPr>
          <w:rStyle w:val="FootnoteReference"/>
          <w:szCs w:val="26"/>
        </w:rPr>
        <w:footnoteReference w:id="2"/>
      </w:r>
      <w:r w:rsidR="007E3CF3" w:rsidRPr="008C322C">
        <w:rPr>
          <w:szCs w:val="26"/>
        </w:rPr>
        <w:t xml:space="preserve"> 2000 convictions and </w:t>
      </w:r>
      <w:r w:rsidRPr="00A7631D">
        <w:rPr>
          <w:szCs w:val="26"/>
        </w:rPr>
        <w:t xml:space="preserve">death sentences for the </w:t>
      </w:r>
      <w:r w:rsidR="00E64FE9" w:rsidRPr="00A7631D">
        <w:rPr>
          <w:szCs w:val="26"/>
        </w:rPr>
        <w:t xml:space="preserve">murders of four </w:t>
      </w:r>
      <w:r w:rsidR="00E66E0C" w:rsidRPr="00A7631D">
        <w:rPr>
          <w:szCs w:val="26"/>
        </w:rPr>
        <w:t>men</w:t>
      </w:r>
      <w:r w:rsidR="00E64FE9" w:rsidRPr="00A7631D">
        <w:rPr>
          <w:szCs w:val="26"/>
        </w:rPr>
        <w:t xml:space="preserve"> during the robbery of a Compton </w:t>
      </w:r>
      <w:r w:rsidR="00EC55D4" w:rsidRPr="00A7631D">
        <w:rPr>
          <w:szCs w:val="26"/>
        </w:rPr>
        <w:t>car wash</w:t>
      </w:r>
      <w:r w:rsidRPr="00A7631D">
        <w:rPr>
          <w:szCs w:val="26"/>
        </w:rPr>
        <w:t xml:space="preserve">.  </w:t>
      </w:r>
      <w:r w:rsidR="009755AE" w:rsidRPr="00A7631D">
        <w:rPr>
          <w:szCs w:val="26"/>
        </w:rPr>
        <w:t>Wilson was f</w:t>
      </w:r>
      <w:r w:rsidR="00256CA9" w:rsidRPr="00A7631D">
        <w:rPr>
          <w:szCs w:val="26"/>
        </w:rPr>
        <w:t>ound guilty of four counts of murder in violation of Penal Code</w:t>
      </w:r>
      <w:r w:rsidR="00256CA9" w:rsidRPr="00A7631D">
        <w:rPr>
          <w:rStyle w:val="FootnoteReference"/>
          <w:szCs w:val="26"/>
        </w:rPr>
        <w:footnoteReference w:id="3"/>
      </w:r>
      <w:r w:rsidR="00F90BAC" w:rsidRPr="00A7631D">
        <w:rPr>
          <w:szCs w:val="26"/>
        </w:rPr>
        <w:t xml:space="preserve"> </w:t>
      </w:r>
      <w:r w:rsidR="00221E11" w:rsidRPr="00A7631D">
        <w:rPr>
          <w:szCs w:val="26"/>
        </w:rPr>
        <w:t xml:space="preserve">section </w:t>
      </w:r>
      <w:r w:rsidR="00F90BAC" w:rsidRPr="00A7631D">
        <w:rPr>
          <w:szCs w:val="26"/>
        </w:rPr>
        <w:t xml:space="preserve">187, subdivision (a), four counts of </w:t>
      </w:r>
      <w:proofErr w:type="gramStart"/>
      <w:r w:rsidR="00F90BAC" w:rsidRPr="00A7631D">
        <w:rPr>
          <w:szCs w:val="26"/>
        </w:rPr>
        <w:t>second degree</w:t>
      </w:r>
      <w:proofErr w:type="gramEnd"/>
      <w:r w:rsidR="00F90BAC" w:rsidRPr="00A7631D">
        <w:rPr>
          <w:szCs w:val="26"/>
        </w:rPr>
        <w:t xml:space="preserve"> robbery in violation of section 211</w:t>
      </w:r>
      <w:r w:rsidR="00A32005" w:rsidRPr="00A7631D">
        <w:rPr>
          <w:szCs w:val="26"/>
        </w:rPr>
        <w:t xml:space="preserve">, </w:t>
      </w:r>
      <w:r w:rsidR="00F2439E" w:rsidRPr="00A7631D">
        <w:rPr>
          <w:szCs w:val="26"/>
        </w:rPr>
        <w:t xml:space="preserve">and </w:t>
      </w:r>
      <w:r w:rsidR="00A32005" w:rsidRPr="00A7631D">
        <w:rPr>
          <w:szCs w:val="26"/>
        </w:rPr>
        <w:t xml:space="preserve">second degree commercial burglary in violation of </w:t>
      </w:r>
      <w:r w:rsidR="00F2439E" w:rsidRPr="00A7631D">
        <w:rPr>
          <w:szCs w:val="26"/>
        </w:rPr>
        <w:t>section 459.  The jury found true that Wilson</w:t>
      </w:r>
      <w:r w:rsidR="009020E6" w:rsidRPr="00A7631D">
        <w:rPr>
          <w:szCs w:val="26"/>
        </w:rPr>
        <w:t xml:space="preserve"> was armed with, and</w:t>
      </w:r>
      <w:r w:rsidR="00F2439E" w:rsidRPr="00A7631D">
        <w:rPr>
          <w:szCs w:val="26"/>
        </w:rPr>
        <w:t xml:space="preserve"> personally and intentionally discharged</w:t>
      </w:r>
      <w:r w:rsidR="009020E6" w:rsidRPr="00A7631D">
        <w:rPr>
          <w:szCs w:val="26"/>
        </w:rPr>
        <w:t>,</w:t>
      </w:r>
      <w:r w:rsidR="00F2439E" w:rsidRPr="00A7631D">
        <w:rPr>
          <w:szCs w:val="26"/>
        </w:rPr>
        <w:t xml:space="preserve"> a firearm causing great bodily injury </w:t>
      </w:r>
      <w:r w:rsidR="00E7331F" w:rsidRPr="00A7631D">
        <w:rPr>
          <w:szCs w:val="26"/>
        </w:rPr>
        <w:t>with regard to three of the murders</w:t>
      </w:r>
      <w:r w:rsidR="00B53161" w:rsidRPr="00A7631D">
        <w:rPr>
          <w:szCs w:val="26"/>
        </w:rPr>
        <w:t xml:space="preserve"> in violation of section</w:t>
      </w:r>
      <w:r w:rsidR="00FB1D4F" w:rsidRPr="00A7631D">
        <w:rPr>
          <w:szCs w:val="26"/>
        </w:rPr>
        <w:t>s 12022, subdivision (a)(1) and</w:t>
      </w:r>
      <w:r w:rsidR="00B53161" w:rsidRPr="00A7631D">
        <w:rPr>
          <w:szCs w:val="26"/>
        </w:rPr>
        <w:t xml:space="preserve"> 12022.53, subdivisions (b)</w:t>
      </w:r>
      <w:r w:rsidR="001F7B25">
        <w:rPr>
          <w:szCs w:val="26"/>
        </w:rPr>
        <w:t>–</w:t>
      </w:r>
      <w:r w:rsidR="00B53161" w:rsidRPr="00A7631D">
        <w:rPr>
          <w:szCs w:val="26"/>
        </w:rPr>
        <w:t>(d</w:t>
      </w:r>
      <w:r w:rsidR="00343267" w:rsidRPr="00A7631D">
        <w:rPr>
          <w:szCs w:val="26"/>
        </w:rPr>
        <w:t>)</w:t>
      </w:r>
      <w:r w:rsidR="00CF5113" w:rsidRPr="00A7631D">
        <w:rPr>
          <w:szCs w:val="26"/>
        </w:rPr>
        <w:t>.  The jury</w:t>
      </w:r>
      <w:r w:rsidR="00876FC8" w:rsidRPr="00A7631D">
        <w:rPr>
          <w:szCs w:val="26"/>
        </w:rPr>
        <w:t xml:space="preserve"> also</w:t>
      </w:r>
      <w:r w:rsidR="00343267" w:rsidRPr="00A7631D">
        <w:rPr>
          <w:szCs w:val="26"/>
        </w:rPr>
        <w:t xml:space="preserve"> found true the</w:t>
      </w:r>
      <w:r w:rsidR="00547779" w:rsidRPr="00A7631D">
        <w:rPr>
          <w:szCs w:val="26"/>
        </w:rPr>
        <w:t xml:space="preserve"> robbery-murder, burglary-murder, and</w:t>
      </w:r>
      <w:r w:rsidR="00343267" w:rsidRPr="00A7631D">
        <w:rPr>
          <w:szCs w:val="26"/>
        </w:rPr>
        <w:t xml:space="preserve"> multiple</w:t>
      </w:r>
      <w:r w:rsidR="009D0749" w:rsidRPr="00A7631D">
        <w:rPr>
          <w:szCs w:val="26"/>
        </w:rPr>
        <w:t>-</w:t>
      </w:r>
      <w:r w:rsidR="00343267" w:rsidRPr="00A7631D">
        <w:rPr>
          <w:szCs w:val="26"/>
        </w:rPr>
        <w:t>murder</w:t>
      </w:r>
      <w:r w:rsidR="00510F83" w:rsidRPr="00A7631D">
        <w:rPr>
          <w:szCs w:val="26"/>
        </w:rPr>
        <w:t xml:space="preserve"> special circumstance</w:t>
      </w:r>
      <w:r w:rsidR="00547779" w:rsidRPr="00A7631D">
        <w:rPr>
          <w:szCs w:val="26"/>
        </w:rPr>
        <w:t>s</w:t>
      </w:r>
      <w:r w:rsidR="00B62F44" w:rsidRPr="00A7631D">
        <w:rPr>
          <w:szCs w:val="26"/>
        </w:rPr>
        <w:t xml:space="preserve"> in violation of section 190.2, subdivision</w:t>
      </w:r>
      <w:r w:rsidR="00B85E49" w:rsidRPr="00A7631D">
        <w:rPr>
          <w:szCs w:val="26"/>
        </w:rPr>
        <w:t>s</w:t>
      </w:r>
      <w:r w:rsidR="00B62F44" w:rsidRPr="00A7631D">
        <w:rPr>
          <w:szCs w:val="26"/>
        </w:rPr>
        <w:t xml:space="preserve"> (a)(3)</w:t>
      </w:r>
      <w:r w:rsidR="00B85E49" w:rsidRPr="00A7631D">
        <w:rPr>
          <w:szCs w:val="26"/>
        </w:rPr>
        <w:t xml:space="preserve"> and (a)(17)</w:t>
      </w:r>
      <w:r w:rsidR="00575E06" w:rsidRPr="00A7631D">
        <w:rPr>
          <w:szCs w:val="26"/>
        </w:rPr>
        <w:t>.  The jury found Wilson had suffered a prior serious or violent felony conviction</w:t>
      </w:r>
      <w:r w:rsidR="009059A5" w:rsidRPr="00A7631D">
        <w:rPr>
          <w:szCs w:val="26"/>
        </w:rPr>
        <w:t xml:space="preserve"> </w:t>
      </w:r>
      <w:r w:rsidR="009059A5" w:rsidRPr="00A7631D">
        <w:rPr>
          <w:szCs w:val="26"/>
        </w:rPr>
        <w:lastRenderedPageBreak/>
        <w:t>under section 667, subdivisions (a)(1) and (b) through (</w:t>
      </w:r>
      <w:proofErr w:type="spellStart"/>
      <w:r w:rsidR="009059A5" w:rsidRPr="00A7631D">
        <w:rPr>
          <w:szCs w:val="26"/>
        </w:rPr>
        <w:t>i</w:t>
      </w:r>
      <w:proofErr w:type="spellEnd"/>
      <w:r w:rsidR="009059A5" w:rsidRPr="00A7631D">
        <w:rPr>
          <w:szCs w:val="26"/>
        </w:rPr>
        <w:t>).</w:t>
      </w:r>
      <w:r w:rsidR="00AA126E" w:rsidRPr="00A7631D">
        <w:rPr>
          <w:szCs w:val="26"/>
        </w:rPr>
        <w:t xml:space="preserve">  After a penalty trial</w:t>
      </w:r>
      <w:r w:rsidR="00BB0B8A" w:rsidRPr="00A7631D">
        <w:rPr>
          <w:szCs w:val="26"/>
        </w:rPr>
        <w:t xml:space="preserve">, the jury returned a verdict of death.  </w:t>
      </w:r>
    </w:p>
    <w:p w14:paraId="359D49D7" w14:textId="14BDACA3" w:rsidR="00795D12" w:rsidRPr="00A7631D" w:rsidRDefault="00E64FE9" w:rsidP="003778CF">
      <w:pPr>
        <w:tabs>
          <w:tab w:val="left" w:pos="1440"/>
        </w:tabs>
        <w:ind w:firstLine="720"/>
      </w:pPr>
      <w:r w:rsidRPr="00A7631D">
        <w:rPr>
          <w:szCs w:val="26"/>
        </w:rPr>
        <w:t>Wilson</w:t>
      </w:r>
      <w:r w:rsidR="00795D12" w:rsidRPr="00A7631D">
        <w:rPr>
          <w:szCs w:val="26"/>
        </w:rPr>
        <w:t xml:space="preserve"> </w:t>
      </w:r>
      <w:r w:rsidR="00795D12" w:rsidRPr="00A7631D">
        <w:t>contend</w:t>
      </w:r>
      <w:r w:rsidR="00A81C94" w:rsidRPr="00A7631D">
        <w:t>s</w:t>
      </w:r>
      <w:r w:rsidR="00795D12" w:rsidRPr="00A7631D">
        <w:t xml:space="preserve"> that several errors occurred during the guilt and penalty phases of </w:t>
      </w:r>
      <w:r w:rsidR="006B376B" w:rsidRPr="00A7631D">
        <w:t>his</w:t>
      </w:r>
      <w:r w:rsidR="00795D12" w:rsidRPr="00A7631D">
        <w:t xml:space="preserve"> trial.  Because </w:t>
      </w:r>
      <w:r w:rsidR="00D96008" w:rsidRPr="00A7631D">
        <w:t xml:space="preserve">we </w:t>
      </w:r>
      <w:r w:rsidR="00795D12" w:rsidRPr="00A7631D">
        <w:t xml:space="preserve">see no merit to any of </w:t>
      </w:r>
      <w:r w:rsidR="00A81C94" w:rsidRPr="00A7631D">
        <w:t>his</w:t>
      </w:r>
      <w:r w:rsidR="00795D12" w:rsidRPr="00A7631D">
        <w:t xml:space="preserve"> claims, we affirm the judgment.</w:t>
      </w:r>
    </w:p>
    <w:p w14:paraId="6E269D89" w14:textId="77777777" w:rsidR="00150763" w:rsidRPr="00A7631D" w:rsidRDefault="00150763" w:rsidP="00A7631D">
      <w:pPr>
        <w:pStyle w:val="Heading1"/>
      </w:pPr>
      <w:bookmarkStart w:id="11" w:name="_Toc58846811"/>
      <w:bookmarkStart w:id="12" w:name="_Toc50617027"/>
      <w:r w:rsidRPr="00A7631D">
        <w:t>I.  Fact</w:t>
      </w:r>
      <w:bookmarkEnd w:id="1"/>
      <w:r w:rsidRPr="00A7631D">
        <w:t>ual Background</w:t>
      </w:r>
      <w:bookmarkStart w:id="13" w:name="_Toc37394347"/>
      <w:bookmarkEnd w:id="2"/>
      <w:bookmarkEnd w:id="3"/>
      <w:bookmarkEnd w:id="11"/>
      <w:bookmarkEnd w:id="12"/>
    </w:p>
    <w:p w14:paraId="5A768834" w14:textId="77777777" w:rsidR="00150763" w:rsidRPr="00A7631D" w:rsidRDefault="00150763" w:rsidP="00A7631D">
      <w:pPr>
        <w:pStyle w:val="Heading2"/>
        <w:numPr>
          <w:ilvl w:val="0"/>
          <w:numId w:val="1"/>
        </w:numPr>
      </w:pPr>
      <w:bookmarkStart w:id="14" w:name="_Toc21438442"/>
      <w:bookmarkStart w:id="15" w:name="_Toc21683493"/>
      <w:bookmarkStart w:id="16" w:name="_Toc58846812"/>
      <w:bookmarkStart w:id="17" w:name="_Toc50617028"/>
      <w:r w:rsidRPr="00A7631D">
        <w:t>Guilt Phase</w:t>
      </w:r>
      <w:bookmarkEnd w:id="13"/>
      <w:bookmarkEnd w:id="14"/>
      <w:bookmarkEnd w:id="15"/>
      <w:bookmarkEnd w:id="16"/>
      <w:bookmarkEnd w:id="17"/>
    </w:p>
    <w:p w14:paraId="1054216A" w14:textId="77777777" w:rsidR="00150763" w:rsidRPr="00A7631D" w:rsidRDefault="00150763" w:rsidP="003778CF">
      <w:pPr>
        <w:pStyle w:val="Heading3"/>
        <w:numPr>
          <w:ilvl w:val="0"/>
          <w:numId w:val="2"/>
        </w:numPr>
        <w:tabs>
          <w:tab w:val="clear" w:pos="1584"/>
        </w:tabs>
        <w:ind w:left="1584" w:hanging="432"/>
      </w:pPr>
      <w:bookmarkStart w:id="18" w:name="_Toc21438443"/>
      <w:bookmarkStart w:id="19" w:name="_Toc21683494"/>
      <w:bookmarkStart w:id="20" w:name="_Toc58846813"/>
      <w:bookmarkStart w:id="21" w:name="_Toc50617029"/>
      <w:r w:rsidRPr="00A7631D">
        <w:t>Prosecution Case</w:t>
      </w:r>
      <w:bookmarkEnd w:id="18"/>
      <w:bookmarkEnd w:id="19"/>
      <w:bookmarkEnd w:id="20"/>
      <w:bookmarkEnd w:id="21"/>
    </w:p>
    <w:p w14:paraId="06928FEA" w14:textId="47F888CE" w:rsidR="00154DFC" w:rsidRPr="00A7631D" w:rsidRDefault="00154DFC" w:rsidP="003778CF">
      <w:pPr>
        <w:pStyle w:val="Heading4"/>
        <w:numPr>
          <w:ilvl w:val="0"/>
          <w:numId w:val="5"/>
        </w:numPr>
        <w:ind w:left="2016" w:hanging="432"/>
      </w:pPr>
      <w:r w:rsidRPr="00A7631D">
        <w:t xml:space="preserve">Wheels </w:t>
      </w:r>
      <w:r w:rsidR="00B77D9E">
        <w:t>’N</w:t>
      </w:r>
      <w:r w:rsidRPr="00A7631D">
        <w:t xml:space="preserve"> Stuff</w:t>
      </w:r>
    </w:p>
    <w:p w14:paraId="3FA7C485" w14:textId="24A5228D" w:rsidR="00B929ED" w:rsidRPr="00A7631D" w:rsidRDefault="00B929ED" w:rsidP="003778CF">
      <w:pPr>
        <w:ind w:firstLine="720"/>
      </w:pPr>
      <w:r w:rsidRPr="00A7631D">
        <w:t>On</w:t>
      </w:r>
      <w:r w:rsidR="00E61E2F" w:rsidRPr="00A7631D">
        <w:t xml:space="preserve"> January 25, 1998,</w:t>
      </w:r>
      <w:r w:rsidRPr="00A7631D">
        <w:t xml:space="preserve"> Super Bowl Sunday, Byron Wilson and Aswad Pops parked outside of the Wheels </w:t>
      </w:r>
      <w:r w:rsidR="00983BD9">
        <w:t>’N</w:t>
      </w:r>
      <w:r w:rsidRPr="00A7631D">
        <w:t xml:space="preserve"> Stuff </w:t>
      </w:r>
      <w:r w:rsidR="00EC55D4" w:rsidRPr="00A7631D">
        <w:t>car wash</w:t>
      </w:r>
      <w:r w:rsidR="00B622B7" w:rsidRPr="00A7631D">
        <w:t xml:space="preserve"> on Sportsman Drive </w:t>
      </w:r>
      <w:r w:rsidRPr="00A7631D">
        <w:t xml:space="preserve">in Compton.  </w:t>
      </w:r>
      <w:r w:rsidR="00B622B7" w:rsidRPr="00A7631D">
        <w:t>Christopher Williams and Charles “</w:t>
      </w:r>
      <w:proofErr w:type="spellStart"/>
      <w:r w:rsidR="00B622B7" w:rsidRPr="00A7631D">
        <w:t>Spanky</w:t>
      </w:r>
      <w:proofErr w:type="spellEnd"/>
      <w:r w:rsidR="00B622B7" w:rsidRPr="00A7631D">
        <w:t xml:space="preserve">” Hurd operated the </w:t>
      </w:r>
      <w:r w:rsidR="00EC55D4" w:rsidRPr="00A7631D">
        <w:t>car wash</w:t>
      </w:r>
      <w:r w:rsidR="00B622B7" w:rsidRPr="00A7631D">
        <w:t>, which had</w:t>
      </w:r>
      <w:r w:rsidR="00820FF2" w:rsidRPr="00A7631D">
        <w:t xml:space="preserve"> </w:t>
      </w:r>
      <w:r w:rsidR="00B622B7" w:rsidRPr="00A7631D">
        <w:t>been open for several months</w:t>
      </w:r>
      <w:r w:rsidR="00820FF2" w:rsidRPr="00A7631D">
        <w:t xml:space="preserve">.  </w:t>
      </w:r>
    </w:p>
    <w:p w14:paraId="6565C145" w14:textId="745457B3" w:rsidR="00171CA1" w:rsidRPr="00A7631D" w:rsidRDefault="00D5470E" w:rsidP="003778CF">
      <w:pPr>
        <w:ind w:firstLine="720"/>
      </w:pPr>
      <w:r w:rsidRPr="00A7631D">
        <w:t xml:space="preserve">Williams, Hurd, and other employees dealt marijuana from the </w:t>
      </w:r>
      <w:r w:rsidR="00EC55D4" w:rsidRPr="00A7631D">
        <w:t>car wash</w:t>
      </w:r>
      <w:r w:rsidR="0058685F" w:rsidRPr="00A7631D">
        <w:t xml:space="preserve">, a fact about which </w:t>
      </w:r>
      <w:r w:rsidR="00CC254B" w:rsidRPr="00A7631D">
        <w:t xml:space="preserve">Wilson </w:t>
      </w:r>
      <w:r w:rsidR="0058685F" w:rsidRPr="00A7631D">
        <w:t xml:space="preserve">was </w:t>
      </w:r>
      <w:r w:rsidR="00CC254B" w:rsidRPr="00A7631D">
        <w:t>aware</w:t>
      </w:r>
      <w:r w:rsidR="0058685F" w:rsidRPr="00A7631D">
        <w:t xml:space="preserve">.  </w:t>
      </w:r>
      <w:r w:rsidR="00171CA1" w:rsidRPr="00A7631D">
        <w:t xml:space="preserve">Williams testified that he and his </w:t>
      </w:r>
      <w:r w:rsidR="00F53AE1" w:rsidRPr="00A7631D">
        <w:t>coworkers</w:t>
      </w:r>
      <w:r w:rsidR="00171CA1" w:rsidRPr="00A7631D">
        <w:t xml:space="preserve"> “tend[ed] to smoke a lot of weed,” and the </w:t>
      </w:r>
      <w:r w:rsidR="00EC55D4" w:rsidRPr="00A7631D">
        <w:t>car wash</w:t>
      </w:r>
      <w:r w:rsidR="00171CA1" w:rsidRPr="00A7631D">
        <w:t xml:space="preserve"> </w:t>
      </w:r>
      <w:r w:rsidR="009672E9" w:rsidRPr="00A7631D">
        <w:t>customers</w:t>
      </w:r>
      <w:r w:rsidR="00171CA1" w:rsidRPr="00A7631D">
        <w:t xml:space="preserve"> “would want us to sell [them] some of the weed we were smoking and from time to time we would.”  </w:t>
      </w:r>
      <w:r w:rsidR="005A3A5C" w:rsidRPr="00A7631D">
        <w:t xml:space="preserve">A soda vending machine was located inside the </w:t>
      </w:r>
      <w:r w:rsidR="00EC55D4" w:rsidRPr="00A7631D">
        <w:t>car wash</w:t>
      </w:r>
      <w:r w:rsidR="005A3A5C" w:rsidRPr="00A7631D">
        <w:t xml:space="preserve">, and sometimes marijuana was stored inside of it.  </w:t>
      </w:r>
      <w:r w:rsidR="00171CA1" w:rsidRPr="00A7631D">
        <w:t xml:space="preserve">The patrons and </w:t>
      </w:r>
      <w:r w:rsidR="0085473D" w:rsidRPr="00A7631D">
        <w:t>workers</w:t>
      </w:r>
      <w:r w:rsidR="00171CA1" w:rsidRPr="00A7631D">
        <w:t xml:space="preserve"> of the </w:t>
      </w:r>
      <w:r w:rsidR="00EC55D4" w:rsidRPr="00A7631D">
        <w:t>car wash</w:t>
      </w:r>
      <w:r w:rsidR="00171CA1" w:rsidRPr="00A7631D">
        <w:t xml:space="preserve">, by and large, </w:t>
      </w:r>
      <w:r w:rsidR="00834459" w:rsidRPr="00A7631D">
        <w:t>knew</w:t>
      </w:r>
      <w:r w:rsidR="00171CA1" w:rsidRPr="00A7631D">
        <w:t xml:space="preserve"> one another.  </w:t>
      </w:r>
      <w:r w:rsidR="0085473D" w:rsidRPr="00A7631D">
        <w:t xml:space="preserve">Williams </w:t>
      </w:r>
      <w:r w:rsidR="00074607" w:rsidRPr="00A7631D">
        <w:t xml:space="preserve">saw both patrons and workers of the </w:t>
      </w:r>
      <w:r w:rsidR="00EC55D4" w:rsidRPr="00A7631D">
        <w:t>car wash</w:t>
      </w:r>
      <w:r w:rsidR="00074607" w:rsidRPr="00A7631D">
        <w:t xml:space="preserve"> with large amounts of cash</w:t>
      </w:r>
      <w:r w:rsidR="00E65EB6" w:rsidRPr="00A7631D">
        <w:t xml:space="preserve"> in their pockets.  </w:t>
      </w:r>
      <w:r w:rsidR="00E87A6B" w:rsidRPr="00A7631D">
        <w:t xml:space="preserve">Williams </w:t>
      </w:r>
      <w:r w:rsidR="0085473D" w:rsidRPr="00A7631D">
        <w:t xml:space="preserve">testified that the </w:t>
      </w:r>
      <w:r w:rsidR="00EC55D4" w:rsidRPr="00A7631D">
        <w:t>car wash</w:t>
      </w:r>
      <w:r w:rsidR="0085473D" w:rsidRPr="00A7631D">
        <w:t xml:space="preserve"> had no official employees</w:t>
      </w:r>
      <w:r w:rsidR="001E1B02" w:rsidRPr="00A7631D">
        <w:t xml:space="preserve">, and Williams did not keep financial records.  </w:t>
      </w:r>
      <w:r w:rsidR="001778E3" w:rsidRPr="00A7631D">
        <w:t>Williams explained that anyone who washed cars did so on a volunteer basis</w:t>
      </w:r>
      <w:r w:rsidR="007D5B32" w:rsidRPr="00A7631D">
        <w:t xml:space="preserve">, and Williams made no money from car washing as Wheels </w:t>
      </w:r>
      <w:r w:rsidR="00983BD9">
        <w:t>’N</w:t>
      </w:r>
      <w:r w:rsidR="007D5B32" w:rsidRPr="00A7631D">
        <w:t xml:space="preserve"> Stuff did not charge for washes, although donations were permitted.  </w:t>
      </w:r>
      <w:r w:rsidR="00834459" w:rsidRPr="00A7631D">
        <w:t>The business sporadically paid its w</w:t>
      </w:r>
      <w:r w:rsidR="004B4033" w:rsidRPr="00A7631D">
        <w:t xml:space="preserve">orkers, but </w:t>
      </w:r>
      <w:r w:rsidR="00834459" w:rsidRPr="00A7631D">
        <w:t xml:space="preserve">they </w:t>
      </w:r>
      <w:r w:rsidR="004B4033" w:rsidRPr="00A7631D">
        <w:t xml:space="preserve">generally </w:t>
      </w:r>
      <w:r w:rsidR="004B4033" w:rsidRPr="00A7631D">
        <w:lastRenderedPageBreak/>
        <w:t>earned money in tips.</w:t>
      </w:r>
      <w:r w:rsidR="00AE150D" w:rsidRPr="00A7631D">
        <w:rPr>
          <w:rStyle w:val="FootnoteReference"/>
        </w:rPr>
        <w:footnoteReference w:id="4"/>
      </w:r>
      <w:r w:rsidR="004B4033" w:rsidRPr="00A7631D">
        <w:t xml:space="preserve">  </w:t>
      </w:r>
      <w:r w:rsidR="004F763E" w:rsidRPr="00A7631D">
        <w:t xml:space="preserve">The </w:t>
      </w:r>
      <w:r w:rsidR="00471756" w:rsidRPr="00A7631D">
        <w:t xml:space="preserve">$1,500 </w:t>
      </w:r>
      <w:r w:rsidR="004F763E" w:rsidRPr="00A7631D">
        <w:t xml:space="preserve">rent for the Wheels </w:t>
      </w:r>
      <w:r w:rsidR="00983BD9">
        <w:t>’N</w:t>
      </w:r>
      <w:r w:rsidR="004F763E" w:rsidRPr="00A7631D">
        <w:t xml:space="preserve"> Stuff </w:t>
      </w:r>
      <w:r w:rsidR="00D72D17" w:rsidRPr="00A7631D">
        <w:t xml:space="preserve">location </w:t>
      </w:r>
      <w:r w:rsidR="004F763E" w:rsidRPr="00A7631D">
        <w:t>was paid from marijuana proceeds.</w:t>
      </w:r>
      <w:r w:rsidR="00944192" w:rsidRPr="00A7631D">
        <w:t xml:space="preserve">  </w:t>
      </w:r>
    </w:p>
    <w:p w14:paraId="685A2235" w14:textId="77777777" w:rsidR="00154DFC" w:rsidRPr="00A7631D" w:rsidRDefault="00154DFC" w:rsidP="003778CF">
      <w:pPr>
        <w:pStyle w:val="Heading4"/>
        <w:numPr>
          <w:ilvl w:val="0"/>
          <w:numId w:val="5"/>
        </w:numPr>
        <w:ind w:left="2016" w:hanging="432"/>
      </w:pPr>
      <w:r w:rsidRPr="00A7631D">
        <w:t>Williams</w:t>
      </w:r>
    </w:p>
    <w:p w14:paraId="063989DA" w14:textId="69FF6333" w:rsidR="009A5980" w:rsidRPr="00A7631D" w:rsidRDefault="004042E3" w:rsidP="003778CF">
      <w:pPr>
        <w:ind w:firstLine="720"/>
      </w:pPr>
      <w:r w:rsidRPr="00A7631D">
        <w:t xml:space="preserve">Williams arrived at the </w:t>
      </w:r>
      <w:r w:rsidR="00EC55D4" w:rsidRPr="00A7631D">
        <w:t>car wash</w:t>
      </w:r>
      <w:r w:rsidRPr="00A7631D">
        <w:t xml:space="preserve"> th</w:t>
      </w:r>
      <w:r w:rsidR="00CC2FEB" w:rsidRPr="00A7631D">
        <w:t>e</w:t>
      </w:r>
      <w:r w:rsidRPr="00A7631D">
        <w:t xml:space="preserve"> morning </w:t>
      </w:r>
      <w:r w:rsidR="00CC2FEB" w:rsidRPr="00A7631D">
        <w:t xml:space="preserve">of January 25, 1998, </w:t>
      </w:r>
      <w:r w:rsidRPr="00A7631D">
        <w:t xml:space="preserve">intending to invite his friends to his home for a Super Bowl party, and to obtain marijuana to smoke.  </w:t>
      </w:r>
      <w:r w:rsidR="00AC422A" w:rsidRPr="00A7631D">
        <w:t>When he got out of his truck</w:t>
      </w:r>
      <w:r w:rsidR="006B4DDB">
        <w:t>,</w:t>
      </w:r>
      <w:r w:rsidR="00AC422A" w:rsidRPr="00A7631D">
        <w:t xml:space="preserve"> he noticed a car parked directly beside the </w:t>
      </w:r>
      <w:r w:rsidR="00EC55D4" w:rsidRPr="00A7631D">
        <w:t>car wash</w:t>
      </w:r>
      <w:r w:rsidR="00AC422A" w:rsidRPr="00A7631D">
        <w:t xml:space="preserve"> with two people sitting low in the car’s front seats.  Williams went into the </w:t>
      </w:r>
      <w:r w:rsidR="00EC55D4" w:rsidRPr="00A7631D">
        <w:t>car wash</w:t>
      </w:r>
      <w:r w:rsidR="00AC422A" w:rsidRPr="00A7631D">
        <w:t>, where h</w:t>
      </w:r>
      <w:r w:rsidRPr="00A7631D">
        <w:t>e saw</w:t>
      </w:r>
      <w:r w:rsidR="00303B20" w:rsidRPr="00A7631D">
        <w:t xml:space="preserve"> Michael Hoard working behind the counter</w:t>
      </w:r>
      <w:r w:rsidR="00AC422A" w:rsidRPr="00A7631D">
        <w:t>, from whom he</w:t>
      </w:r>
      <w:r w:rsidR="00303B20" w:rsidRPr="00A7631D">
        <w:t xml:space="preserve"> </w:t>
      </w:r>
      <w:r w:rsidR="009B672A" w:rsidRPr="00A7631D">
        <w:t xml:space="preserve">obtained </w:t>
      </w:r>
      <w:r w:rsidR="00303B20" w:rsidRPr="00A7631D">
        <w:t xml:space="preserve">a small bag of marijuana. </w:t>
      </w:r>
      <w:r w:rsidR="009A1C73" w:rsidRPr="00A7631D">
        <w:t xml:space="preserve"> </w:t>
      </w:r>
      <w:r w:rsidR="00305638" w:rsidRPr="00A7631D">
        <w:t xml:space="preserve">He also </w:t>
      </w:r>
      <w:r w:rsidR="00303B20" w:rsidRPr="00A7631D">
        <w:t>s</w:t>
      </w:r>
      <w:r w:rsidRPr="00A7631D">
        <w:t>aw</w:t>
      </w:r>
      <w:r w:rsidR="00303B20" w:rsidRPr="00A7631D">
        <w:t xml:space="preserve"> </w:t>
      </w:r>
      <w:r w:rsidR="00305638" w:rsidRPr="00A7631D">
        <w:t xml:space="preserve">two </w:t>
      </w:r>
      <w:r w:rsidR="001A2AFC" w:rsidRPr="00A7631D">
        <w:t>acquaintances</w:t>
      </w:r>
      <w:r w:rsidR="00305638" w:rsidRPr="00A7631D">
        <w:t xml:space="preserve">, </w:t>
      </w:r>
      <w:r w:rsidR="00303B20" w:rsidRPr="00A7631D">
        <w:t>Shawn Potter and E.T., arriving</w:t>
      </w:r>
      <w:r w:rsidR="00305638" w:rsidRPr="00A7631D">
        <w:t xml:space="preserve"> as he was leaving</w:t>
      </w:r>
      <w:r w:rsidR="00303B20" w:rsidRPr="00A7631D">
        <w:t xml:space="preserve">. </w:t>
      </w:r>
      <w:r w:rsidR="00AC422A" w:rsidRPr="00A7631D">
        <w:t xml:space="preserve">  </w:t>
      </w:r>
    </w:p>
    <w:p w14:paraId="64DF344D" w14:textId="412C8A3E" w:rsidR="00102383" w:rsidRPr="00A7631D" w:rsidRDefault="00AC422A" w:rsidP="003778CF">
      <w:pPr>
        <w:ind w:firstLine="720"/>
      </w:pPr>
      <w:r w:rsidRPr="00A7631D">
        <w:t xml:space="preserve">As </w:t>
      </w:r>
      <w:r w:rsidR="009A5980" w:rsidRPr="00A7631D">
        <w:t>Williams</w:t>
      </w:r>
      <w:r w:rsidRPr="00A7631D">
        <w:t xml:space="preserve"> was </w:t>
      </w:r>
      <w:proofErr w:type="gramStart"/>
      <w:r w:rsidRPr="00A7631D">
        <w:t>leaving</w:t>
      </w:r>
      <w:proofErr w:type="gramEnd"/>
      <w:r w:rsidRPr="00A7631D">
        <w:t xml:space="preserve"> he noticed the two</w:t>
      </w:r>
      <w:r w:rsidR="00FC6A24" w:rsidRPr="00A7631D">
        <w:t xml:space="preserve"> people, both</w:t>
      </w:r>
      <w:r w:rsidRPr="00A7631D">
        <w:t xml:space="preserve"> </w:t>
      </w:r>
      <w:r w:rsidR="00F74414" w:rsidRPr="00A7631D">
        <w:t>B</w:t>
      </w:r>
      <w:r w:rsidRPr="00A7631D">
        <w:t>lack men</w:t>
      </w:r>
      <w:r w:rsidR="00FC6A24" w:rsidRPr="00A7631D">
        <w:t>, were</w:t>
      </w:r>
      <w:r w:rsidRPr="00A7631D">
        <w:t xml:space="preserve"> still </w:t>
      </w:r>
      <w:r w:rsidR="002F75C7" w:rsidRPr="00A7631D">
        <w:t xml:space="preserve">sitting </w:t>
      </w:r>
      <w:r w:rsidRPr="00A7631D">
        <w:t xml:space="preserve">in </w:t>
      </w:r>
      <w:r w:rsidR="00A42EC4" w:rsidRPr="00A7631D">
        <w:t>a</w:t>
      </w:r>
      <w:r w:rsidRPr="00A7631D">
        <w:t xml:space="preserve"> car — “probably an eighty something Honda” — parked beside the </w:t>
      </w:r>
      <w:r w:rsidR="00EC55D4" w:rsidRPr="00A7631D">
        <w:t>car wash</w:t>
      </w:r>
      <w:r w:rsidRPr="00A7631D">
        <w:t>.</w:t>
      </w:r>
      <w:r w:rsidR="009A5980" w:rsidRPr="00A7631D">
        <w:t xml:space="preserve">  Because he routinely sold marijuana from the </w:t>
      </w:r>
      <w:r w:rsidR="00EC55D4" w:rsidRPr="00A7631D">
        <w:t>car wash</w:t>
      </w:r>
      <w:r w:rsidR="009A5980" w:rsidRPr="00A7631D">
        <w:t xml:space="preserve">, he assumed the two men were interested in buying some and asked them </w:t>
      </w:r>
      <w:r w:rsidR="003A10AD" w:rsidRPr="00A7631D">
        <w:t xml:space="preserve">what they needed.  The </w:t>
      </w:r>
      <w:r w:rsidR="00D66692" w:rsidRPr="00A7631D">
        <w:t>passenger — who Williams</w:t>
      </w:r>
      <w:r w:rsidR="009A6937" w:rsidRPr="00A7631D">
        <w:t xml:space="preserve"> later</w:t>
      </w:r>
      <w:r w:rsidR="00D66692" w:rsidRPr="00A7631D">
        <w:t xml:space="preserve"> identified as </w:t>
      </w:r>
      <w:r w:rsidR="00F31AE0" w:rsidRPr="00A7631D">
        <w:t>Pops</w:t>
      </w:r>
      <w:r w:rsidR="009A6937" w:rsidRPr="00A7631D">
        <w:t xml:space="preserve"> —</w:t>
      </w:r>
      <w:r w:rsidR="00F31AE0" w:rsidRPr="00A7631D">
        <w:t xml:space="preserve"> </w:t>
      </w:r>
      <w:r w:rsidR="003A10AD" w:rsidRPr="00A7631D">
        <w:t>replied they were interested in “sounds</w:t>
      </w:r>
      <w:r w:rsidR="002B2AC9" w:rsidRPr="00A7631D">
        <w:t xml:space="preserve">,” </w:t>
      </w:r>
      <w:r w:rsidR="00F31AE0" w:rsidRPr="00A7631D">
        <w:t>which the driver</w:t>
      </w:r>
      <w:r w:rsidR="009A6937" w:rsidRPr="00A7631D">
        <w:t xml:space="preserve"> —</w:t>
      </w:r>
      <w:r w:rsidR="00F31AE0" w:rsidRPr="00A7631D">
        <w:t xml:space="preserve"> </w:t>
      </w:r>
      <w:r w:rsidR="00391F34" w:rsidRPr="00A7631D">
        <w:t xml:space="preserve">later </w:t>
      </w:r>
      <w:r w:rsidR="00F31AE0" w:rsidRPr="00A7631D">
        <w:t>identified as Wilson</w:t>
      </w:r>
      <w:r w:rsidR="009A6937" w:rsidRPr="00A7631D">
        <w:t xml:space="preserve"> —</w:t>
      </w:r>
      <w:r w:rsidR="004A04B4" w:rsidRPr="00A7631D">
        <w:t xml:space="preserve"> </w:t>
      </w:r>
      <w:r w:rsidR="005E7E0E" w:rsidRPr="00A7631D">
        <w:t>confirmed; Williams</w:t>
      </w:r>
      <w:r w:rsidR="002B2AC9" w:rsidRPr="00A7631D">
        <w:t xml:space="preserve"> directed them to a nearby store that sold car stereos.  </w:t>
      </w:r>
      <w:r w:rsidR="001A183D" w:rsidRPr="00A7631D">
        <w:t xml:space="preserve">  </w:t>
      </w:r>
    </w:p>
    <w:p w14:paraId="4C24EC06" w14:textId="640DCDDE" w:rsidR="00D07C81" w:rsidRPr="00A7631D" w:rsidRDefault="003A668C" w:rsidP="003778CF">
      <w:pPr>
        <w:ind w:firstLine="720"/>
      </w:pPr>
      <w:r w:rsidRPr="00A7631D">
        <w:t xml:space="preserve">Williams then left the Wheels </w:t>
      </w:r>
      <w:r w:rsidR="00983BD9">
        <w:t>’N</w:t>
      </w:r>
      <w:r w:rsidRPr="00A7631D">
        <w:t xml:space="preserve"> Stuff</w:t>
      </w:r>
      <w:r w:rsidR="009A63BC" w:rsidRPr="00A7631D">
        <w:t xml:space="preserve"> parking lot</w:t>
      </w:r>
      <w:r w:rsidR="003F6211" w:rsidRPr="00A7631D">
        <w:t>.  Later that day he received a call at his home from a friend who told him, “</w:t>
      </w:r>
      <w:r w:rsidR="00983BD9">
        <w:t>[H]</w:t>
      </w:r>
      <w:proofErr w:type="spellStart"/>
      <w:r w:rsidR="00E97B0B" w:rsidRPr="00A7631D">
        <w:t>ey</w:t>
      </w:r>
      <w:proofErr w:type="spellEnd"/>
      <w:r w:rsidR="00E97B0B" w:rsidRPr="00A7631D">
        <w:t xml:space="preserve"> man, as soon as you left the people you talked to went straight in there and killed every</w:t>
      </w:r>
      <w:r w:rsidR="004701BC" w:rsidRPr="00A7631D">
        <w:t>body</w:t>
      </w:r>
      <w:r w:rsidR="00E97B0B" w:rsidRPr="00A7631D">
        <w:t>.”</w:t>
      </w:r>
      <w:r w:rsidR="00DE1713" w:rsidRPr="00A7631D">
        <w:t xml:space="preserve">  </w:t>
      </w:r>
      <w:r w:rsidR="00D07C81" w:rsidRPr="00A7631D">
        <w:t xml:space="preserve">Williams returned to the </w:t>
      </w:r>
      <w:r w:rsidR="00EC55D4" w:rsidRPr="00A7631D">
        <w:t>car wash</w:t>
      </w:r>
      <w:r w:rsidR="00A66D22" w:rsidRPr="00A7631D">
        <w:t xml:space="preserve">, which had </w:t>
      </w:r>
      <w:r w:rsidR="00EB5F15" w:rsidRPr="00A7631D">
        <w:t xml:space="preserve">already </w:t>
      </w:r>
      <w:r w:rsidR="00A66D22" w:rsidRPr="00A7631D">
        <w:t xml:space="preserve">been cordoned off with police </w:t>
      </w:r>
      <w:r w:rsidR="00A66D22" w:rsidRPr="00A7631D">
        <w:lastRenderedPageBreak/>
        <w:t xml:space="preserve">tape.  </w:t>
      </w:r>
      <w:r w:rsidR="00E75230" w:rsidRPr="00A7631D">
        <w:t xml:space="preserve">From there, he was taken to the Compton </w:t>
      </w:r>
      <w:r w:rsidR="0026263A" w:rsidRPr="00A7631D">
        <w:t>P</w:t>
      </w:r>
      <w:r w:rsidR="00E75230" w:rsidRPr="00A7631D">
        <w:t xml:space="preserve">olice </w:t>
      </w:r>
      <w:r w:rsidR="0026263A" w:rsidRPr="00A7631D">
        <w:t>D</w:t>
      </w:r>
      <w:r w:rsidR="00E75230" w:rsidRPr="00A7631D">
        <w:t>epartment and interviewed.  He described the men he had seen sitting in the Ho</w:t>
      </w:r>
      <w:r w:rsidR="0065760E" w:rsidRPr="00A7631D">
        <w:t>nda earlier</w:t>
      </w:r>
      <w:r w:rsidR="00C429C6" w:rsidRPr="00A7631D">
        <w:t xml:space="preserve">, explaining that the driver </w:t>
      </w:r>
      <w:r w:rsidR="0045161C" w:rsidRPr="00A7631D">
        <w:t xml:space="preserve">had a lighter complexion than the passenger, and </w:t>
      </w:r>
      <w:r w:rsidR="00EB5F15" w:rsidRPr="00A7631D">
        <w:t>appeared to be</w:t>
      </w:r>
      <w:r w:rsidR="0045161C" w:rsidRPr="00A7631D">
        <w:t xml:space="preserve"> a little older</w:t>
      </w:r>
      <w:r w:rsidR="00E967A0" w:rsidRPr="00A7631D">
        <w:t xml:space="preserve">.  </w:t>
      </w:r>
      <w:r w:rsidR="00BD3176" w:rsidRPr="00A7631D">
        <w:t xml:space="preserve">He </w:t>
      </w:r>
      <w:r w:rsidR="00D52C4C" w:rsidRPr="00A7631D">
        <w:t xml:space="preserve">believed both men had short hair, although he </w:t>
      </w:r>
      <w:r w:rsidR="00BD3176" w:rsidRPr="00A7631D">
        <w:t xml:space="preserve">described the driver as </w:t>
      </w:r>
      <w:r w:rsidR="00D52C4C" w:rsidRPr="00A7631D">
        <w:t>having worn a cap</w:t>
      </w:r>
      <w:r w:rsidR="00322A40" w:rsidRPr="00A7631D">
        <w:t xml:space="preserve">.  </w:t>
      </w:r>
    </w:p>
    <w:p w14:paraId="61E66123" w14:textId="77777777" w:rsidR="00154DFC" w:rsidRPr="00A7631D" w:rsidRDefault="00154DFC" w:rsidP="003778CF">
      <w:pPr>
        <w:pStyle w:val="Heading4"/>
        <w:numPr>
          <w:ilvl w:val="0"/>
          <w:numId w:val="5"/>
        </w:numPr>
        <w:ind w:left="2016" w:hanging="432"/>
      </w:pPr>
      <w:r w:rsidRPr="00A7631D">
        <w:t>Bowie</w:t>
      </w:r>
    </w:p>
    <w:p w14:paraId="5E295C85" w14:textId="7B7E876F" w:rsidR="00303B20" w:rsidRPr="00A7631D" w:rsidRDefault="00F94476" w:rsidP="003778CF">
      <w:pPr>
        <w:ind w:firstLine="720"/>
      </w:pPr>
      <w:r w:rsidRPr="00A7631D">
        <w:t xml:space="preserve">Randy </w:t>
      </w:r>
      <w:r w:rsidR="00303B20" w:rsidRPr="00A7631D">
        <w:t>Bowie</w:t>
      </w:r>
      <w:r w:rsidR="00D62951" w:rsidRPr="00A7631D">
        <w:t xml:space="preserve">, who washed cars at the Wheels </w:t>
      </w:r>
      <w:r w:rsidR="00F37C68">
        <w:t>’</w:t>
      </w:r>
      <w:r w:rsidR="00983BD9">
        <w:t>N</w:t>
      </w:r>
      <w:r w:rsidR="00D62951" w:rsidRPr="00A7631D">
        <w:t xml:space="preserve"> Stuff from time to time,</w:t>
      </w:r>
      <w:r w:rsidR="00303B20" w:rsidRPr="00A7631D">
        <w:t xml:space="preserve"> </w:t>
      </w:r>
      <w:r w:rsidR="00D62951" w:rsidRPr="00A7631D">
        <w:t>walked to work the day of the shooting, arriving just as Williams was leaving.</w:t>
      </w:r>
      <w:r w:rsidRPr="00A7631D">
        <w:t xml:space="preserve">  </w:t>
      </w:r>
      <w:r w:rsidR="00F261D1" w:rsidRPr="00A7631D">
        <w:t xml:space="preserve">Bowie </w:t>
      </w:r>
      <w:r w:rsidR="00EB5F15" w:rsidRPr="00A7631D">
        <w:t xml:space="preserve">stopped to </w:t>
      </w:r>
      <w:r w:rsidR="00F261D1" w:rsidRPr="00A7631D">
        <w:t xml:space="preserve">use the payphone </w:t>
      </w:r>
      <w:r w:rsidR="004F1622" w:rsidRPr="00A7631D">
        <w:t>right</w:t>
      </w:r>
      <w:r w:rsidR="00F261D1" w:rsidRPr="00A7631D">
        <w:t xml:space="preserve"> outside of the </w:t>
      </w:r>
      <w:r w:rsidR="00EC55D4" w:rsidRPr="00A7631D">
        <w:t>car wash</w:t>
      </w:r>
      <w:r w:rsidR="00F261D1" w:rsidRPr="00A7631D">
        <w:t>,</w:t>
      </w:r>
      <w:r w:rsidR="00AA5775" w:rsidRPr="00A7631D">
        <w:t xml:space="preserve"> </w:t>
      </w:r>
      <w:r w:rsidR="00D97A5E" w:rsidRPr="00A7631D">
        <w:t xml:space="preserve">which </w:t>
      </w:r>
      <w:r w:rsidR="009002C0" w:rsidRPr="00A7631D">
        <w:t>was where</w:t>
      </w:r>
      <w:r w:rsidR="00D97A5E" w:rsidRPr="00A7631D">
        <w:t xml:space="preserve"> he first saw the </w:t>
      </w:r>
      <w:r w:rsidR="00A17DF9" w:rsidRPr="00A7631D">
        <w:t xml:space="preserve">car parked next to the </w:t>
      </w:r>
      <w:r w:rsidR="00EC55D4" w:rsidRPr="00A7631D">
        <w:t>car wash</w:t>
      </w:r>
      <w:r w:rsidR="00A17DF9" w:rsidRPr="00A7631D">
        <w:t xml:space="preserve">.  </w:t>
      </w:r>
      <w:r w:rsidR="00E3013B" w:rsidRPr="00A7631D">
        <w:t xml:space="preserve">The driver was about six feet from where Bowie stood.  </w:t>
      </w:r>
      <w:r w:rsidR="009C4049" w:rsidRPr="00A7631D">
        <w:t xml:space="preserve">Bowie identified the driver at trial as Wilson.  </w:t>
      </w:r>
      <w:r w:rsidR="00E3013B" w:rsidRPr="00A7631D">
        <w:t xml:space="preserve">While on the payphone, </w:t>
      </w:r>
      <w:r w:rsidR="005D5AE3" w:rsidRPr="00A7631D">
        <w:t>the passenger of the car</w:t>
      </w:r>
      <w:r w:rsidR="000C4308" w:rsidRPr="00A7631D">
        <w:t xml:space="preserve"> </w:t>
      </w:r>
      <w:r w:rsidR="002E07D5" w:rsidRPr="00A7631D">
        <w:t xml:space="preserve">— who Bowie identified at trial as </w:t>
      </w:r>
      <w:r w:rsidR="00091428" w:rsidRPr="00A7631D">
        <w:t>Pops</w:t>
      </w:r>
      <w:r w:rsidR="009F61DD" w:rsidRPr="00A7631D">
        <w:t xml:space="preserve"> </w:t>
      </w:r>
      <w:r w:rsidR="00091428" w:rsidRPr="00A7631D">
        <w:t xml:space="preserve">— </w:t>
      </w:r>
      <w:r w:rsidR="000C4308" w:rsidRPr="00A7631D">
        <w:t>raise</w:t>
      </w:r>
      <w:r w:rsidR="005D5AE3" w:rsidRPr="00A7631D">
        <w:t>d</w:t>
      </w:r>
      <w:r w:rsidR="000C4308" w:rsidRPr="00A7631D">
        <w:t xml:space="preserve"> </w:t>
      </w:r>
      <w:r w:rsidR="00D44705" w:rsidRPr="00A7631D">
        <w:t xml:space="preserve">what Bowie believed was </w:t>
      </w:r>
      <w:r w:rsidR="000C4308" w:rsidRPr="00A7631D">
        <w:t xml:space="preserve">a </w:t>
      </w:r>
      <w:r w:rsidR="00F37C68">
        <w:t>TEC-9</w:t>
      </w:r>
      <w:r w:rsidR="00C4034D" w:rsidRPr="00A7631D">
        <w:t xml:space="preserve"> semiautomatic handgun,</w:t>
      </w:r>
      <w:r w:rsidR="005D5AE3" w:rsidRPr="00A7631D">
        <w:t xml:space="preserve"> </w:t>
      </w:r>
      <w:r w:rsidR="000C4308" w:rsidRPr="00A7631D">
        <w:t>point</w:t>
      </w:r>
      <w:r w:rsidR="005D5AE3" w:rsidRPr="00A7631D">
        <w:t>ed</w:t>
      </w:r>
      <w:r w:rsidR="000C4308" w:rsidRPr="00A7631D">
        <w:t xml:space="preserve"> it at </w:t>
      </w:r>
      <w:r w:rsidR="00D44705" w:rsidRPr="00A7631D">
        <w:t>him</w:t>
      </w:r>
      <w:r w:rsidR="000C4308" w:rsidRPr="00A7631D">
        <w:t>,</w:t>
      </w:r>
      <w:r w:rsidR="005D5AE3" w:rsidRPr="00A7631D">
        <w:t xml:space="preserve"> and</w:t>
      </w:r>
      <w:r w:rsidR="000C4308" w:rsidRPr="00A7631D">
        <w:t xml:space="preserve"> t</w:t>
      </w:r>
      <w:r w:rsidR="005D5AE3" w:rsidRPr="00A7631D">
        <w:t xml:space="preserve">old him not to warn anyone.  </w:t>
      </w:r>
      <w:r w:rsidR="00D431BC" w:rsidRPr="00A7631D">
        <w:t>Pops</w:t>
      </w:r>
      <w:r w:rsidR="005F5BEB" w:rsidRPr="00A7631D">
        <w:t xml:space="preserve"> </w:t>
      </w:r>
      <w:r w:rsidR="00CD6ADC" w:rsidRPr="00A7631D">
        <w:t xml:space="preserve">then got out of the car, grabbed Bowie’s collar, thrust the gun beneath Bowie’s arm, and used him as a shield.  </w:t>
      </w:r>
      <w:r w:rsidR="001C517C" w:rsidRPr="00A7631D">
        <w:t xml:space="preserve">The driver got out of the car </w:t>
      </w:r>
      <w:r w:rsidR="009F089A" w:rsidRPr="00A7631D">
        <w:t xml:space="preserve">while brandishing </w:t>
      </w:r>
      <w:r w:rsidR="001C517C" w:rsidRPr="00A7631D">
        <w:t>a gun</w:t>
      </w:r>
      <w:r w:rsidR="007B70EA" w:rsidRPr="00A7631D">
        <w:t>, which Bowie believed was a nine</w:t>
      </w:r>
      <w:r w:rsidR="00A4470D" w:rsidRPr="00A7631D">
        <w:t>-</w:t>
      </w:r>
      <w:r w:rsidR="007B70EA" w:rsidRPr="00A7631D">
        <w:t>millimeter or Glock</w:t>
      </w:r>
      <w:r w:rsidR="009F089A" w:rsidRPr="00A7631D">
        <w:t xml:space="preserve"> and held it</w:t>
      </w:r>
      <w:r w:rsidR="001C517C" w:rsidRPr="00A7631D">
        <w:t xml:space="preserve"> to Bowie’s back</w:t>
      </w:r>
      <w:r w:rsidR="007B70EA" w:rsidRPr="00A7631D">
        <w:t xml:space="preserve">.  The </w:t>
      </w:r>
      <w:r w:rsidR="009F089A" w:rsidRPr="00A7631D">
        <w:t>two men</w:t>
      </w:r>
      <w:r w:rsidR="007B70EA" w:rsidRPr="00A7631D">
        <w:t xml:space="preserve"> then marched Bowie into the </w:t>
      </w:r>
      <w:r w:rsidR="00EC55D4" w:rsidRPr="00A7631D">
        <w:t>car wash</w:t>
      </w:r>
      <w:r w:rsidR="007B70EA" w:rsidRPr="00A7631D">
        <w:t xml:space="preserve">.  </w:t>
      </w:r>
    </w:p>
    <w:p w14:paraId="6866A437" w14:textId="1BF624DF" w:rsidR="00DC5F76" w:rsidRPr="00A7631D" w:rsidRDefault="00446802" w:rsidP="003778CF">
      <w:pPr>
        <w:ind w:firstLine="720"/>
      </w:pPr>
      <w:r w:rsidRPr="00A7631D">
        <w:t>While Bowie was held at gunpoint</w:t>
      </w:r>
      <w:r w:rsidR="00E534E9" w:rsidRPr="00A7631D">
        <w:t xml:space="preserve"> by the payphone</w:t>
      </w:r>
      <w:r w:rsidRPr="00A7631D">
        <w:t xml:space="preserve">, </w:t>
      </w:r>
      <w:r w:rsidR="00886CA6">
        <w:t>Hurd drove up to the car</w:t>
      </w:r>
      <w:r w:rsidR="007D158A">
        <w:t xml:space="preserve"> </w:t>
      </w:r>
      <w:r w:rsidR="00886CA6">
        <w:t xml:space="preserve">wash.  At the same time, </w:t>
      </w:r>
      <w:r w:rsidRPr="00A7631D">
        <w:t xml:space="preserve">Jessie Dunn </w:t>
      </w:r>
      <w:r w:rsidR="00886CA6">
        <w:t>arrived</w:t>
      </w:r>
      <w:r w:rsidR="007D158A">
        <w:t xml:space="preserve"> in his own car,</w:t>
      </w:r>
      <w:r w:rsidR="00886CA6">
        <w:t xml:space="preserve"> a</w:t>
      </w:r>
      <w:r w:rsidRPr="00A7631D">
        <w:t xml:space="preserve">n El Camino with chrome IROC rims.  </w:t>
      </w:r>
      <w:r w:rsidR="003D5BE1">
        <w:t xml:space="preserve">The custom 3-bar chrome IROC rims originally belonged to Hurd, who had them specially retrofitted for his El Camino.  Because the rims were manufactured for use with a Camaro, Hurd had new holes drilled into them and added distinctive hardware.  Dunn bought the El Camino from Hurd.  Following the sale, </w:t>
      </w:r>
      <w:r w:rsidR="003D5BE1">
        <w:lastRenderedPageBreak/>
        <w:t xml:space="preserve">Dunn’s girlfriend, Kimberly Thomas, noticed an oxidation spot on one of the rims, and Dunn planned to have the rim re-dipped in chrome to fix the imperfection. </w:t>
      </w:r>
      <w:r w:rsidR="00DC5F76" w:rsidRPr="00A7631D">
        <w:t xml:space="preserve">  </w:t>
      </w:r>
    </w:p>
    <w:p w14:paraId="5DFF72EA" w14:textId="7212A3DC" w:rsidR="005146AF" w:rsidRPr="00A7631D" w:rsidRDefault="0005298C" w:rsidP="003778CF">
      <w:pPr>
        <w:ind w:firstLine="720"/>
      </w:pPr>
      <w:r>
        <w:t>Hurd and Dunn both</w:t>
      </w:r>
      <w:r w:rsidR="007D158A" w:rsidRPr="00A7631D">
        <w:t xml:space="preserve"> entered the car wash building</w:t>
      </w:r>
      <w:r w:rsidR="0044607E">
        <w:t xml:space="preserve"> </w:t>
      </w:r>
      <w:r w:rsidR="00361BF9">
        <w:t>after</w:t>
      </w:r>
      <w:r w:rsidR="00350850" w:rsidRPr="00A7631D">
        <w:t xml:space="preserve"> </w:t>
      </w:r>
      <w:r w:rsidR="003A193F" w:rsidRPr="00A7631D">
        <w:t>Pops and Wilson</w:t>
      </w:r>
      <w:r w:rsidR="007B70EA" w:rsidRPr="00A7631D">
        <w:t xml:space="preserve"> </w:t>
      </w:r>
      <w:r w:rsidR="00B85E7C">
        <w:t>marched</w:t>
      </w:r>
      <w:r w:rsidR="00F94476" w:rsidRPr="00A7631D">
        <w:t xml:space="preserve"> </w:t>
      </w:r>
      <w:r w:rsidR="00361BF9">
        <w:t xml:space="preserve">Bowie inside.  Once in the building, Pops and Wilson </w:t>
      </w:r>
      <w:r w:rsidR="00B85E7C">
        <w:t>ordered everyone to</w:t>
      </w:r>
      <w:r w:rsidR="00787A08" w:rsidRPr="00A7631D">
        <w:t xml:space="preserve"> get on the ground and not move.  </w:t>
      </w:r>
      <w:r w:rsidR="00F301D8" w:rsidRPr="00A7631D">
        <w:t xml:space="preserve">The men inside the building after Bowie and his assailants entered </w:t>
      </w:r>
      <w:r w:rsidR="002467A1" w:rsidRPr="00A7631D">
        <w:t xml:space="preserve">included </w:t>
      </w:r>
      <w:r w:rsidR="00F94476" w:rsidRPr="00A7631D">
        <w:t>Hurd</w:t>
      </w:r>
      <w:r w:rsidR="003A193F" w:rsidRPr="00A7631D">
        <w:t xml:space="preserve"> and</w:t>
      </w:r>
      <w:r w:rsidR="00F94476" w:rsidRPr="00A7631D">
        <w:t xml:space="preserve"> Dunn</w:t>
      </w:r>
      <w:r w:rsidR="003A193F" w:rsidRPr="00A7631D">
        <w:t xml:space="preserve"> (who </w:t>
      </w:r>
      <w:r w:rsidR="00625B59" w:rsidRPr="00A7631D">
        <w:t xml:space="preserve">had </w:t>
      </w:r>
      <w:r w:rsidR="003A193F" w:rsidRPr="00A7631D">
        <w:t xml:space="preserve">walked in </w:t>
      </w:r>
      <w:r w:rsidR="00196D0B" w:rsidRPr="00A7631D">
        <w:t>after</w:t>
      </w:r>
      <w:r w:rsidR="003A193F" w:rsidRPr="00A7631D">
        <w:t xml:space="preserve"> Bowie)</w:t>
      </w:r>
      <w:r w:rsidR="00F94476" w:rsidRPr="00A7631D">
        <w:t>,</w:t>
      </w:r>
      <w:r w:rsidR="003F78D3" w:rsidRPr="00A7631D">
        <w:t xml:space="preserve"> </w:t>
      </w:r>
      <w:r w:rsidR="00F94476" w:rsidRPr="00A7631D">
        <w:t>Potter</w:t>
      </w:r>
      <w:r w:rsidR="003F78D3" w:rsidRPr="00A7631D">
        <w:t xml:space="preserve"> and</w:t>
      </w:r>
      <w:r w:rsidR="00F94476" w:rsidRPr="00A7631D">
        <w:t xml:space="preserve"> </w:t>
      </w:r>
      <w:r w:rsidR="0057608D" w:rsidRPr="00A7631D">
        <w:t>E.T.</w:t>
      </w:r>
      <w:r w:rsidR="003F78D3" w:rsidRPr="00A7631D">
        <w:t xml:space="preserve"> (who entered as Williams was leaving)</w:t>
      </w:r>
      <w:r w:rsidR="00F94476" w:rsidRPr="00A7631D">
        <w:t>, and Hoard</w:t>
      </w:r>
      <w:r w:rsidR="003F78D3" w:rsidRPr="00A7631D">
        <w:t xml:space="preserve"> (who </w:t>
      </w:r>
      <w:r w:rsidR="00010C56" w:rsidRPr="00A7631D">
        <w:t>had been inside all along)</w:t>
      </w:r>
      <w:r w:rsidR="00BD2109" w:rsidRPr="00A7631D">
        <w:t xml:space="preserve">.  </w:t>
      </w:r>
      <w:r w:rsidR="001E3347" w:rsidRPr="00A7631D">
        <w:t>Bowie was afraid that if he alerted Hurd and Dunn</w:t>
      </w:r>
      <w:r w:rsidR="00196D0B" w:rsidRPr="00A7631D">
        <w:t xml:space="preserve"> to </w:t>
      </w:r>
      <w:r w:rsidR="00D62E2D" w:rsidRPr="00A7631D">
        <w:t xml:space="preserve">Pops and Wilson’s presence, he would be shot.  </w:t>
      </w:r>
    </w:p>
    <w:p w14:paraId="42AE736B" w14:textId="4665C47E" w:rsidR="00303B20" w:rsidRPr="00A7631D" w:rsidRDefault="00BD2109" w:rsidP="003778CF">
      <w:pPr>
        <w:ind w:firstLine="720"/>
      </w:pPr>
      <w:r w:rsidRPr="00A7631D">
        <w:t>Pops and Wilson</w:t>
      </w:r>
      <w:r w:rsidR="00F94476" w:rsidRPr="00A7631D">
        <w:t xml:space="preserve"> asked </w:t>
      </w:r>
      <w:r w:rsidRPr="00A7631D">
        <w:t xml:space="preserve">those inside the </w:t>
      </w:r>
      <w:r w:rsidR="00EC55D4" w:rsidRPr="00A7631D">
        <w:t>car wash</w:t>
      </w:r>
      <w:r w:rsidRPr="00A7631D">
        <w:t xml:space="preserve"> </w:t>
      </w:r>
      <w:r w:rsidR="00F94476" w:rsidRPr="00A7631D">
        <w:t xml:space="preserve">where the money and “shit” were kept.  </w:t>
      </w:r>
      <w:r w:rsidR="000E245F" w:rsidRPr="00A7631D">
        <w:t>They searched</w:t>
      </w:r>
      <w:r w:rsidR="007C28D2" w:rsidRPr="00A7631D">
        <w:t xml:space="preserve"> </w:t>
      </w:r>
      <w:r w:rsidR="00645278" w:rsidRPr="00A7631D">
        <w:t xml:space="preserve">inside of the building, </w:t>
      </w:r>
      <w:r w:rsidR="00BA7D04" w:rsidRPr="00A7631D">
        <w:t xml:space="preserve">walking to the opposite side of the building away from </w:t>
      </w:r>
      <w:r w:rsidR="00645278" w:rsidRPr="00A7631D">
        <w:t xml:space="preserve">where Bowie lay on the ground.  </w:t>
      </w:r>
      <w:r w:rsidR="005146AF" w:rsidRPr="00A7631D">
        <w:t xml:space="preserve">Hurd was the only other person Bowie could see.  </w:t>
      </w:r>
      <w:r w:rsidR="00645278" w:rsidRPr="00A7631D">
        <w:t xml:space="preserve">Bowie heard a commotion, </w:t>
      </w:r>
      <w:r w:rsidR="00CF789D" w:rsidRPr="00A7631D">
        <w:t xml:space="preserve">after which </w:t>
      </w:r>
      <w:r w:rsidR="00645278" w:rsidRPr="00A7631D">
        <w:t xml:space="preserve">a room divider </w:t>
      </w:r>
      <w:r w:rsidR="00CF789D" w:rsidRPr="00A7631D">
        <w:t>slid</w:t>
      </w:r>
      <w:r w:rsidR="00645278" w:rsidRPr="00A7631D">
        <w:t xml:space="preserve"> between him and the area where Wilson and Pops were searching.  Seizing the opportunity, Bowie got up and r</w:t>
      </w:r>
      <w:r w:rsidR="0031327B" w:rsidRPr="00A7631D">
        <w:t>a</w:t>
      </w:r>
      <w:r w:rsidR="00645278" w:rsidRPr="00A7631D">
        <w:t xml:space="preserve">n from the building; as he ran, he heard a number of gunshots.  </w:t>
      </w:r>
    </w:p>
    <w:p w14:paraId="4D76C99E" w14:textId="579D80CB" w:rsidR="00096D5D" w:rsidRPr="00A7631D" w:rsidRDefault="002128C2" w:rsidP="003778CF">
      <w:pPr>
        <w:ind w:firstLine="720"/>
      </w:pPr>
      <w:r w:rsidRPr="00A7631D">
        <w:t>Bowie hid for some time not knowing whether he was being pursued, and ultimately ran into a storage facility where he asked an employee to call the police.  He said his shop had been robbed and his friends may have been shot.</w:t>
      </w:r>
      <w:r w:rsidR="00003901" w:rsidRPr="00A7631D">
        <w:t xml:space="preserve">  </w:t>
      </w:r>
      <w:r w:rsidR="00902060" w:rsidRPr="00A7631D">
        <w:t>Bowie, shake</w:t>
      </w:r>
      <w:r w:rsidR="00253578" w:rsidRPr="00A7631D">
        <w:t xml:space="preserve">n by the events, asked an employee of the storage facility to drive him to his brother’s house.  </w:t>
      </w:r>
      <w:r w:rsidR="00EB6AD8" w:rsidRPr="00A7631D">
        <w:t xml:space="preserve">The </w:t>
      </w:r>
      <w:r w:rsidR="009143A1" w:rsidRPr="00A7631D">
        <w:t xml:space="preserve">employee agreed, and </w:t>
      </w:r>
      <w:r w:rsidR="00467BB1" w:rsidRPr="00A7631D">
        <w:t>as</w:t>
      </w:r>
      <w:r w:rsidR="00EB6AD8" w:rsidRPr="00A7631D">
        <w:t xml:space="preserve"> </w:t>
      </w:r>
      <w:r w:rsidR="009143A1" w:rsidRPr="00A7631D">
        <w:t xml:space="preserve">they </w:t>
      </w:r>
      <w:proofErr w:type="gramStart"/>
      <w:r w:rsidR="009143A1" w:rsidRPr="00A7631D">
        <w:t>drove</w:t>
      </w:r>
      <w:proofErr w:type="gramEnd"/>
      <w:r w:rsidR="009143A1" w:rsidRPr="00A7631D">
        <w:t xml:space="preserve"> </w:t>
      </w:r>
      <w:r w:rsidR="00467BB1" w:rsidRPr="00A7631D">
        <w:t>they passed</w:t>
      </w:r>
      <w:r w:rsidR="00EB6AD8" w:rsidRPr="00A7631D">
        <w:t xml:space="preserve"> the </w:t>
      </w:r>
      <w:r w:rsidR="00EC55D4" w:rsidRPr="00A7631D">
        <w:t>car wash</w:t>
      </w:r>
      <w:r w:rsidR="00EB6AD8" w:rsidRPr="00A7631D">
        <w:t xml:space="preserve">, where </w:t>
      </w:r>
      <w:r w:rsidR="009143A1" w:rsidRPr="00A7631D">
        <w:t xml:space="preserve">Bowie </w:t>
      </w:r>
      <w:r w:rsidR="00EB6AD8" w:rsidRPr="00A7631D">
        <w:t xml:space="preserve">saw police arriving.  </w:t>
      </w:r>
    </w:p>
    <w:p w14:paraId="398E9BC6" w14:textId="401EAC8E" w:rsidR="00154DFC" w:rsidRPr="00A7631D" w:rsidRDefault="00467BB1" w:rsidP="003778CF">
      <w:pPr>
        <w:ind w:firstLine="720"/>
      </w:pPr>
      <w:r w:rsidRPr="00A7631D">
        <w:t>While head</w:t>
      </w:r>
      <w:r w:rsidR="005161EB" w:rsidRPr="00A7631D">
        <w:t>ing</w:t>
      </w:r>
      <w:r w:rsidRPr="00A7631D">
        <w:t xml:space="preserve"> toward his brother’s house,</w:t>
      </w:r>
      <w:r w:rsidR="00945EA0" w:rsidRPr="00A7631D">
        <w:t xml:space="preserve"> </w:t>
      </w:r>
      <w:r w:rsidR="00096D5D" w:rsidRPr="00A7631D">
        <w:t xml:space="preserve">Bowie saw his brother’s car turn into a parking lot, and </w:t>
      </w:r>
      <w:r w:rsidR="00793E05" w:rsidRPr="00A7631D">
        <w:t xml:space="preserve">Bowie asked the driver </w:t>
      </w:r>
      <w:r w:rsidR="00793E05" w:rsidRPr="00A7631D">
        <w:lastRenderedPageBreak/>
        <w:t>to go there instead.  Bowie, shaking so badly he could hardly stand, got into his brother’s car</w:t>
      </w:r>
      <w:r w:rsidR="002628FA" w:rsidRPr="00A7631D">
        <w:t xml:space="preserve">.  </w:t>
      </w:r>
      <w:r w:rsidR="005161EB" w:rsidRPr="00A7631D">
        <w:t xml:space="preserve">Now a passenger in his brother’s car, </w:t>
      </w:r>
      <w:r w:rsidR="002D2224" w:rsidRPr="00A7631D">
        <w:t xml:space="preserve">Bowie again </w:t>
      </w:r>
      <w:r w:rsidR="002628FA" w:rsidRPr="00A7631D">
        <w:t>drove past</w:t>
      </w:r>
      <w:r w:rsidR="00047970" w:rsidRPr="00A7631D">
        <w:t xml:space="preserve"> the Wheels </w:t>
      </w:r>
      <w:r w:rsidR="00A0384E">
        <w:t>’</w:t>
      </w:r>
      <w:r w:rsidR="00983BD9">
        <w:t>N</w:t>
      </w:r>
      <w:r w:rsidR="00805E47" w:rsidRPr="00A7631D">
        <w:t xml:space="preserve"> Stuff</w:t>
      </w:r>
      <w:r w:rsidR="00561BB2" w:rsidRPr="00A7631D">
        <w:t xml:space="preserve"> where </w:t>
      </w:r>
      <w:r w:rsidR="002D2224" w:rsidRPr="00A7631D">
        <w:t xml:space="preserve">he </w:t>
      </w:r>
      <w:r w:rsidR="00561BB2" w:rsidRPr="00A7631D">
        <w:t xml:space="preserve">saw the </w:t>
      </w:r>
      <w:r w:rsidR="00EC55D4" w:rsidRPr="00A7631D">
        <w:t>car wash</w:t>
      </w:r>
      <w:r w:rsidR="00561BB2" w:rsidRPr="00A7631D">
        <w:t xml:space="preserve"> taped off and a large crowd gathered.</w:t>
      </w:r>
      <w:r w:rsidR="008447EF" w:rsidRPr="00A7631D">
        <w:t xml:space="preserve">  </w:t>
      </w:r>
      <w:r w:rsidR="00615A12" w:rsidRPr="00A7631D">
        <w:t>Bowie</w:t>
      </w:r>
      <w:r w:rsidR="002D2224" w:rsidRPr="00A7631D">
        <w:t xml:space="preserve"> was </w:t>
      </w:r>
      <w:r w:rsidR="00615A12" w:rsidRPr="00A7631D">
        <w:t>still very frightened</w:t>
      </w:r>
      <w:r w:rsidR="0001477A" w:rsidRPr="00A7631D">
        <w:t xml:space="preserve">, </w:t>
      </w:r>
      <w:r w:rsidR="002D2224" w:rsidRPr="00A7631D">
        <w:t xml:space="preserve">and he </w:t>
      </w:r>
      <w:r w:rsidR="00615A12" w:rsidRPr="00A7631D">
        <w:t xml:space="preserve">did not want </w:t>
      </w:r>
      <w:r w:rsidR="0001477A" w:rsidRPr="00A7631D">
        <w:t xml:space="preserve">to </w:t>
      </w:r>
      <w:r w:rsidR="00460082" w:rsidRPr="00A7631D">
        <w:t xml:space="preserve">stop or speak with </w:t>
      </w:r>
      <w:r w:rsidR="0001477A" w:rsidRPr="00A7631D">
        <w:t>police</w:t>
      </w:r>
      <w:r w:rsidR="002D2224" w:rsidRPr="00A7631D">
        <w:t>.  H</w:t>
      </w:r>
      <w:r w:rsidR="0001477A" w:rsidRPr="00A7631D">
        <w:t xml:space="preserve">e did not </w:t>
      </w:r>
      <w:r w:rsidR="00CA2D19" w:rsidRPr="00A7631D">
        <w:t xml:space="preserve">report </w:t>
      </w:r>
      <w:r w:rsidR="00F20CEA" w:rsidRPr="00A7631D">
        <w:t>that he</w:t>
      </w:r>
      <w:r w:rsidR="00CA2D19" w:rsidRPr="00A7631D">
        <w:t xml:space="preserve"> witnessed the crime </w:t>
      </w:r>
      <w:r w:rsidR="0001477A" w:rsidRPr="00A7631D">
        <w:t>until the next day</w:t>
      </w:r>
      <w:r w:rsidR="00460082" w:rsidRPr="00A7631D">
        <w:t>.</w:t>
      </w:r>
      <w:r w:rsidR="00C045A0" w:rsidRPr="00A7631D">
        <w:t xml:space="preserve">  </w:t>
      </w:r>
    </w:p>
    <w:p w14:paraId="5C762D13" w14:textId="3690DBB9" w:rsidR="00283924" w:rsidRPr="00A7631D" w:rsidRDefault="00283924" w:rsidP="003778CF">
      <w:pPr>
        <w:ind w:firstLine="720"/>
      </w:pPr>
      <w:r w:rsidRPr="00A7631D">
        <w:t>Bowie</w:t>
      </w:r>
      <w:r w:rsidR="00EF0F87" w:rsidRPr="00A7631D">
        <w:t xml:space="preserve"> was interviewed by </w:t>
      </w:r>
      <w:r w:rsidR="009A75E2" w:rsidRPr="00A7631D">
        <w:t>D</w:t>
      </w:r>
      <w:r w:rsidR="00EF0F87" w:rsidRPr="00A7631D">
        <w:t>etective Cat Chavers</w:t>
      </w:r>
      <w:r w:rsidR="00DE3443" w:rsidRPr="00A7631D">
        <w:t xml:space="preserve"> of the Compton Police Department</w:t>
      </w:r>
      <w:r w:rsidR="00DD759C" w:rsidRPr="00A7631D">
        <w:t>.  He told Detective Chavers</w:t>
      </w:r>
      <w:r w:rsidRPr="00A7631D">
        <w:t xml:space="preserve"> about what he had witnessed </w:t>
      </w:r>
      <w:r w:rsidR="00C9783E" w:rsidRPr="00A7631D">
        <w:t xml:space="preserve">and gave descriptions of the Honda’s driver and passenger.  </w:t>
      </w:r>
      <w:r w:rsidR="00987C95" w:rsidRPr="00A7631D">
        <w:t>He described the passenger as darker skinned than the driver, with braided hair curled up at the ends</w:t>
      </w:r>
      <w:r w:rsidR="00457ACB" w:rsidRPr="00A7631D">
        <w:t xml:space="preserve">.  He believed the passenger was between 25 and 30 years old and described him as wearing dark clothing and </w:t>
      </w:r>
      <w:r w:rsidR="00476C8F" w:rsidRPr="00A7631D">
        <w:t xml:space="preserve">having a </w:t>
      </w:r>
      <w:r w:rsidR="00C50A40">
        <w:t>TEC-9</w:t>
      </w:r>
      <w:r w:rsidR="00476C8F" w:rsidRPr="00A7631D">
        <w:t xml:space="preserve"> gun with a long clip.  </w:t>
      </w:r>
      <w:r w:rsidR="00611D45" w:rsidRPr="00A7631D">
        <w:t xml:space="preserve">Bowie </w:t>
      </w:r>
      <w:r w:rsidRPr="00A7631D">
        <w:t>describ</w:t>
      </w:r>
      <w:r w:rsidR="00A0384E">
        <w:t>ed</w:t>
      </w:r>
      <w:r w:rsidRPr="00A7631D">
        <w:t xml:space="preserve"> the driver as lighter skinned and smaller than the passenger</w:t>
      </w:r>
      <w:r w:rsidR="0074193C" w:rsidRPr="00A7631D">
        <w:t xml:space="preserve">.  Bowie </w:t>
      </w:r>
      <w:r w:rsidR="006C5196" w:rsidRPr="00A7631D">
        <w:t>“guess[ed]”</w:t>
      </w:r>
      <w:r w:rsidR="0074193C" w:rsidRPr="00A7631D">
        <w:t xml:space="preserve"> the driver</w:t>
      </w:r>
      <w:r w:rsidR="00C27449" w:rsidRPr="00A7631D">
        <w:t>’s age</w:t>
      </w:r>
      <w:r w:rsidR="0074193C" w:rsidRPr="00A7631D">
        <w:t xml:space="preserve"> to be between 25 and 30; in fact, Wilson was 2</w:t>
      </w:r>
      <w:r w:rsidR="00575C68" w:rsidRPr="00A7631D">
        <w:t>0</w:t>
      </w:r>
      <w:r w:rsidR="0074193C" w:rsidRPr="00A7631D">
        <w:t xml:space="preserve"> years old at the time of the shooting.  </w:t>
      </w:r>
      <w:r w:rsidR="004A5DA8" w:rsidRPr="00A7631D">
        <w:t>Bowie told Detective Chavers he</w:t>
      </w:r>
      <w:r w:rsidR="007937D1" w:rsidRPr="00A7631D">
        <w:t xml:space="preserve"> thought </w:t>
      </w:r>
      <w:r w:rsidR="00110DD8" w:rsidRPr="00A7631D">
        <w:t xml:space="preserve">Wilson had a uniquely shaped mouth, </w:t>
      </w:r>
      <w:r w:rsidR="007937D1" w:rsidRPr="00A7631D">
        <w:t>and was able to identify</w:t>
      </w:r>
      <w:r w:rsidR="00110DD8" w:rsidRPr="00A7631D">
        <w:t xml:space="preserve"> Wilson on February 23, 1998</w:t>
      </w:r>
      <w:r w:rsidR="00A0384E">
        <w:t>,</w:t>
      </w:r>
      <w:r w:rsidR="00110DD8" w:rsidRPr="00A7631D">
        <w:t xml:space="preserve"> from a photographic lineup based on</w:t>
      </w:r>
      <w:r w:rsidR="007937D1" w:rsidRPr="00A7631D">
        <w:t xml:space="preserve"> what he described to be</w:t>
      </w:r>
      <w:r w:rsidR="00110DD8" w:rsidRPr="00A7631D">
        <w:t xml:space="preserve"> “the smirky grin on his face.”</w:t>
      </w:r>
      <w:r w:rsidR="00110DD8" w:rsidRPr="00A7631D">
        <w:rPr>
          <w:rStyle w:val="FootnoteReference"/>
        </w:rPr>
        <w:footnoteReference w:id="5"/>
      </w:r>
      <w:r w:rsidR="00110DD8" w:rsidRPr="00A7631D">
        <w:t xml:space="preserve">  </w:t>
      </w:r>
    </w:p>
    <w:p w14:paraId="2EFAD4D8" w14:textId="77777777" w:rsidR="00154DFC" w:rsidRPr="00A7631D" w:rsidRDefault="00154DFC" w:rsidP="004572F4">
      <w:pPr>
        <w:pStyle w:val="Heading4"/>
        <w:numPr>
          <w:ilvl w:val="0"/>
          <w:numId w:val="5"/>
        </w:numPr>
        <w:ind w:left="2016" w:hanging="432"/>
      </w:pPr>
      <w:r w:rsidRPr="00A7631D">
        <w:t>Brown</w:t>
      </w:r>
    </w:p>
    <w:p w14:paraId="54F89BA6" w14:textId="7BB253AD" w:rsidR="00E02E9C" w:rsidRPr="00A7631D" w:rsidRDefault="00987AC3" w:rsidP="004572F4">
      <w:pPr>
        <w:ind w:firstLine="720"/>
      </w:pPr>
      <w:r w:rsidRPr="00A7631D">
        <w:t>Anthony Brown’s</w:t>
      </w:r>
      <w:r w:rsidR="00551CBC">
        <w:t xml:space="preserve"> testimony </w:t>
      </w:r>
      <w:r w:rsidR="00C02EAE">
        <w:t>from</w:t>
      </w:r>
      <w:r w:rsidR="00551CBC">
        <w:t xml:space="preserve"> the</w:t>
      </w:r>
      <w:r w:rsidRPr="00A7631D">
        <w:t xml:space="preserve"> preliminary hearing was read to the jury as Brown </w:t>
      </w:r>
      <w:r w:rsidR="00D32121" w:rsidRPr="00A7631D">
        <w:t xml:space="preserve">was unavailable for trial.  </w:t>
      </w:r>
      <w:r w:rsidR="00154DFC" w:rsidRPr="00A7631D">
        <w:t>Anthony Brown</w:t>
      </w:r>
      <w:r w:rsidR="00CF11E3" w:rsidRPr="00A7631D">
        <w:t xml:space="preserve"> was</w:t>
      </w:r>
      <w:r w:rsidR="00154DFC" w:rsidRPr="00A7631D">
        <w:t xml:space="preserve"> a Wheels </w:t>
      </w:r>
      <w:r w:rsidR="00A0384E">
        <w:t>’</w:t>
      </w:r>
      <w:r w:rsidR="00983BD9">
        <w:t>N</w:t>
      </w:r>
      <w:r w:rsidR="00154DFC" w:rsidRPr="00A7631D">
        <w:t xml:space="preserve"> Stuff employee</w:t>
      </w:r>
      <w:r w:rsidR="00CF11E3" w:rsidRPr="00A7631D">
        <w:t xml:space="preserve"> since its </w:t>
      </w:r>
      <w:r w:rsidR="00CF11E3" w:rsidRPr="00A7631D">
        <w:lastRenderedPageBreak/>
        <w:t xml:space="preserve">opening in 1997.  </w:t>
      </w:r>
      <w:r w:rsidR="002D14AC" w:rsidRPr="00A7631D">
        <w:t>T</w:t>
      </w:r>
      <w:r w:rsidR="00450D3F" w:rsidRPr="00A7631D">
        <w:t>he morning of January 25, 1998</w:t>
      </w:r>
      <w:r w:rsidR="002D14AC" w:rsidRPr="00A7631D">
        <w:t xml:space="preserve">, Brown arrived at the </w:t>
      </w:r>
      <w:r w:rsidR="00EC55D4" w:rsidRPr="00A7631D">
        <w:t>car wash</w:t>
      </w:r>
      <w:r w:rsidR="00421B0F" w:rsidRPr="00A7631D">
        <w:t xml:space="preserve"> </w:t>
      </w:r>
      <w:r w:rsidR="00807250" w:rsidRPr="00A7631D">
        <w:t xml:space="preserve">in the late morning.  </w:t>
      </w:r>
      <w:r w:rsidR="008F4C25" w:rsidRPr="00A7631D">
        <w:t>Brown planned to attend a Super Bowl ’98 party with his friends and coworkers that day and planned to sell T-shirts and wash cars to make money before going to the party.  As he was arriving</w:t>
      </w:r>
      <w:r w:rsidR="000C764E" w:rsidRPr="00A7631D">
        <w:t xml:space="preserve"> to the car wash</w:t>
      </w:r>
      <w:r w:rsidR="008F4C25" w:rsidRPr="00A7631D">
        <w:t>, Brown saw</w:t>
      </w:r>
      <w:r w:rsidR="00421B0F" w:rsidRPr="00A7631D">
        <w:t xml:space="preserve"> a man driving Jess</w:t>
      </w:r>
      <w:r w:rsidR="001E4EA7" w:rsidRPr="00A7631D">
        <w:t>i</w:t>
      </w:r>
      <w:r w:rsidR="00421B0F" w:rsidRPr="00A7631D">
        <w:t>e Dunn’s El Camino</w:t>
      </w:r>
      <w:r w:rsidR="00B66037" w:rsidRPr="00A7631D">
        <w:t xml:space="preserve"> abruptly</w:t>
      </w:r>
      <w:r w:rsidR="00421B0F" w:rsidRPr="00A7631D">
        <w:t xml:space="preserve"> out of the parking lot, </w:t>
      </w:r>
      <w:r w:rsidR="007835D3" w:rsidRPr="00A7631D">
        <w:t xml:space="preserve">moving forward and backward, skidding the tires, and ultimately </w:t>
      </w:r>
      <w:r w:rsidR="00421B0F" w:rsidRPr="00A7631D">
        <w:t>knocking over a gate on his way off of the property</w:t>
      </w:r>
      <w:r w:rsidR="00C43857" w:rsidRPr="00A7631D">
        <w:t xml:space="preserve">.  </w:t>
      </w:r>
      <w:r w:rsidR="00FB4163" w:rsidRPr="00A7631D">
        <w:t xml:space="preserve">The El Camino </w:t>
      </w:r>
      <w:r w:rsidR="000C764E" w:rsidRPr="00A7631D">
        <w:t xml:space="preserve">sported </w:t>
      </w:r>
      <w:r w:rsidR="00FB4163" w:rsidRPr="00A7631D">
        <w:t xml:space="preserve">IROC rims.  </w:t>
      </w:r>
      <w:r w:rsidR="00CD6C38" w:rsidRPr="00A7631D">
        <w:t xml:space="preserve">Brown did not know the man driving the El Camino </w:t>
      </w:r>
      <w:r w:rsidR="0099108F" w:rsidRPr="00A7631D">
        <w:t>but</w:t>
      </w:r>
      <w:r w:rsidR="00CD6C38" w:rsidRPr="00A7631D">
        <w:t xml:space="preserve"> testified that </w:t>
      </w:r>
      <w:r w:rsidR="000C764E" w:rsidRPr="00A7631D">
        <w:t xml:space="preserve">Wilson </w:t>
      </w:r>
      <w:r w:rsidR="00CD6C38" w:rsidRPr="00A7631D">
        <w:t xml:space="preserve">resembled </w:t>
      </w:r>
      <w:r w:rsidR="007B07BD" w:rsidRPr="00A7631D">
        <w:t>the driver</w:t>
      </w:r>
      <w:r w:rsidR="00FB4163" w:rsidRPr="00A7631D">
        <w:t xml:space="preserve">.  </w:t>
      </w:r>
      <w:r w:rsidR="00CD6C38" w:rsidRPr="00A7631D">
        <w:t xml:space="preserve">Brown was </w:t>
      </w:r>
      <w:r w:rsidR="00933852" w:rsidRPr="00A7631D">
        <w:t xml:space="preserve">ultimately </w:t>
      </w:r>
      <w:r w:rsidR="00CD6C38" w:rsidRPr="00A7631D">
        <w:t xml:space="preserve">unable to positively identify the driver of the El Camino as Wilson.  </w:t>
      </w:r>
    </w:p>
    <w:p w14:paraId="60781DF9" w14:textId="710F0B4E" w:rsidR="00A461C0" w:rsidRPr="00A7631D" w:rsidRDefault="00A461C0" w:rsidP="004572F4">
      <w:pPr>
        <w:ind w:firstLine="720"/>
      </w:pPr>
      <w:r w:rsidRPr="00A7631D">
        <w:t xml:space="preserve">As </w:t>
      </w:r>
      <w:r w:rsidR="009D1ED9" w:rsidRPr="00A7631D">
        <w:t>he saw the</w:t>
      </w:r>
      <w:r w:rsidRPr="00A7631D">
        <w:t xml:space="preserve"> El Camino </w:t>
      </w:r>
      <w:r w:rsidR="00E878FC" w:rsidRPr="00A7631D">
        <w:t>driving</w:t>
      </w:r>
      <w:r w:rsidR="009D1ED9" w:rsidRPr="00A7631D">
        <w:t xml:space="preserve"> out of the parking lot</w:t>
      </w:r>
      <w:r w:rsidRPr="00A7631D">
        <w:t xml:space="preserve">, Brown was </w:t>
      </w:r>
      <w:r w:rsidR="009D1ED9" w:rsidRPr="00A7631D">
        <w:t xml:space="preserve">also </w:t>
      </w:r>
      <w:r w:rsidRPr="00A7631D">
        <w:t>grabbing the T-shirts he</w:t>
      </w:r>
      <w:r w:rsidR="009A745D">
        <w:t xml:space="preserve">’d </w:t>
      </w:r>
      <w:r w:rsidRPr="00A7631D">
        <w:t xml:space="preserve">planned to sell from his </w:t>
      </w:r>
      <w:r w:rsidR="000F58CA">
        <w:t xml:space="preserve">own </w:t>
      </w:r>
      <w:r w:rsidRPr="00A7631D">
        <w:t xml:space="preserve">car.  </w:t>
      </w:r>
      <w:r w:rsidR="000F58CA">
        <w:t>When</w:t>
      </w:r>
      <w:r w:rsidR="000E4B9F" w:rsidRPr="00A7631D">
        <w:t xml:space="preserve"> he did so, h</w:t>
      </w:r>
      <w:r w:rsidR="00E96568" w:rsidRPr="00A7631D">
        <w:t>e</w:t>
      </w:r>
      <w:r w:rsidRPr="00A7631D">
        <w:t xml:space="preserve"> saw Pops walk out of the </w:t>
      </w:r>
      <w:r w:rsidR="00EC55D4" w:rsidRPr="00A7631D">
        <w:t>car wash</w:t>
      </w:r>
      <w:r w:rsidRPr="00A7631D">
        <w:t xml:space="preserve"> office through the front doors</w:t>
      </w:r>
      <w:r w:rsidR="000E4B9F" w:rsidRPr="00A7631D">
        <w:t>.  Brown</w:t>
      </w:r>
      <w:r w:rsidRPr="00A7631D">
        <w:t xml:space="preserve"> gestured to </w:t>
      </w:r>
      <w:r w:rsidR="000E4B9F" w:rsidRPr="00A7631D">
        <w:t xml:space="preserve">Pops </w:t>
      </w:r>
      <w:r w:rsidRPr="00A7631D">
        <w:t xml:space="preserve">as if to remark upon the absurdity of the driver who had just knocked over the </w:t>
      </w:r>
      <w:r w:rsidR="00EC55D4" w:rsidRPr="00A7631D">
        <w:t>car wash</w:t>
      </w:r>
      <w:r w:rsidRPr="00A7631D">
        <w:t xml:space="preserve"> gate.  Pops walked to the Honda </w:t>
      </w:r>
      <w:r w:rsidR="00C150ED" w:rsidRPr="00A7631D">
        <w:t xml:space="preserve">that had been parked </w:t>
      </w:r>
      <w:r w:rsidRPr="00A7631D">
        <w:t xml:space="preserve">by the payphone, got in, pointed a </w:t>
      </w:r>
      <w:r w:rsidR="00C50A40">
        <w:t>TEC-9</w:t>
      </w:r>
      <w:r w:rsidRPr="00A7631D">
        <w:t xml:space="preserve"> at Brown, and fumbled with the weapon like he was trying to clear a jam.  </w:t>
      </w:r>
      <w:r w:rsidR="002156AA" w:rsidRPr="00A7631D">
        <w:t xml:space="preserve">Brown </w:t>
      </w:r>
      <w:r w:rsidR="00860680" w:rsidRPr="00A7631D">
        <w:t>tried to evade the weapon pointed at him by</w:t>
      </w:r>
      <w:r w:rsidR="003F6DB5" w:rsidRPr="00A7631D">
        <w:t xml:space="preserve"> </w:t>
      </w:r>
      <w:r w:rsidRPr="00A7631D">
        <w:t>crawl</w:t>
      </w:r>
      <w:r w:rsidR="003F6DB5" w:rsidRPr="00A7631D">
        <w:t>ing</w:t>
      </w:r>
      <w:r w:rsidRPr="00A7631D">
        <w:t xml:space="preserve"> through his own car </w:t>
      </w:r>
      <w:r w:rsidR="003F6DB5" w:rsidRPr="00A7631D">
        <w:t xml:space="preserve">and </w:t>
      </w:r>
      <w:r w:rsidRPr="00A7631D">
        <w:t xml:space="preserve">exiting </w:t>
      </w:r>
      <w:r w:rsidR="00861B17">
        <w:t>from</w:t>
      </w:r>
      <w:r w:rsidRPr="00A7631D">
        <w:t xml:space="preserve"> the passenger door</w:t>
      </w:r>
      <w:r w:rsidR="00860680" w:rsidRPr="00A7631D">
        <w:t xml:space="preserve">.  </w:t>
      </w:r>
      <w:r w:rsidRPr="00A7631D">
        <w:t xml:space="preserve">Pops </w:t>
      </w:r>
      <w:r w:rsidR="0077075E" w:rsidRPr="00A7631D">
        <w:t>then drove out of</w:t>
      </w:r>
      <w:r w:rsidRPr="00A7631D">
        <w:t xml:space="preserve"> the Wheels </w:t>
      </w:r>
      <w:r w:rsidR="00644017">
        <w:t>’</w:t>
      </w:r>
      <w:r w:rsidR="00983BD9">
        <w:t>N</w:t>
      </w:r>
      <w:r w:rsidRPr="00A7631D">
        <w:t xml:space="preserve"> Stuff parking lot in the</w:t>
      </w:r>
      <w:r w:rsidR="00B85190" w:rsidRPr="00A7631D">
        <w:t xml:space="preserve"> Honda, traveling in the</w:t>
      </w:r>
      <w:r w:rsidRPr="00A7631D">
        <w:t xml:space="preserve"> same direction the El Camino had gone.  </w:t>
      </w:r>
    </w:p>
    <w:p w14:paraId="45428B6F" w14:textId="3073268A" w:rsidR="00830BBC" w:rsidRPr="00A7631D" w:rsidRDefault="002206ED" w:rsidP="004572F4">
      <w:pPr>
        <w:ind w:firstLine="720"/>
      </w:pPr>
      <w:r w:rsidRPr="00A7631D">
        <w:t xml:space="preserve">Brown went toward the </w:t>
      </w:r>
      <w:r w:rsidR="00EC55D4" w:rsidRPr="00A7631D">
        <w:t>car wash</w:t>
      </w:r>
      <w:r w:rsidRPr="00A7631D">
        <w:t xml:space="preserve"> office and yelled into the building but did not </w:t>
      </w:r>
      <w:r w:rsidR="0011729C">
        <w:t>enter</w:t>
      </w:r>
      <w:r w:rsidRPr="00A7631D">
        <w:t>.  A man wearing a yellow shirt</w:t>
      </w:r>
      <w:r w:rsidR="004D5DC2" w:rsidRPr="00A7631D">
        <w:t>, who Brown identified as E.T.,</w:t>
      </w:r>
      <w:r w:rsidRPr="00A7631D">
        <w:t xml:space="preserve"> got up and ran toward him.  </w:t>
      </w:r>
      <w:r w:rsidR="00D9468E" w:rsidRPr="00A7631D">
        <w:t>E.T.</w:t>
      </w:r>
      <w:r w:rsidR="00012575" w:rsidRPr="00A7631D">
        <w:t xml:space="preserve"> told Brown that the men “shot everybody</w:t>
      </w:r>
      <w:r w:rsidR="00E13B40" w:rsidRPr="00A7631D">
        <w:t>.</w:t>
      </w:r>
      <w:r w:rsidR="007864A0" w:rsidRPr="00A7631D">
        <w:t>”</w:t>
      </w:r>
      <w:r w:rsidR="008B09F7" w:rsidRPr="00A7631D">
        <w:t xml:space="preserve"> </w:t>
      </w:r>
      <w:r w:rsidR="00E13B40" w:rsidRPr="00A7631D">
        <w:t xml:space="preserve"> </w:t>
      </w:r>
      <w:r w:rsidR="00EB10A8" w:rsidRPr="00A7631D">
        <w:t>The four remaining men in the car wash, all of whom had been shot and killed, includ</w:t>
      </w:r>
      <w:r w:rsidR="00AA2ED8">
        <w:t>ed</w:t>
      </w:r>
      <w:r w:rsidR="00EB10A8" w:rsidRPr="00A7631D">
        <w:t xml:space="preserve"> Hoard, Hurd, Potter, and</w:t>
      </w:r>
      <w:r w:rsidR="006610FF" w:rsidRPr="00A7631D">
        <w:t xml:space="preserve"> Dunn.  </w:t>
      </w:r>
      <w:r w:rsidR="00C57B01" w:rsidRPr="00A7631D">
        <w:t xml:space="preserve">From his vantage point at the </w:t>
      </w:r>
      <w:r w:rsidR="00C57B01" w:rsidRPr="00A7631D">
        <w:lastRenderedPageBreak/>
        <w:t xml:space="preserve">door, </w:t>
      </w:r>
      <w:r w:rsidR="00A33608" w:rsidRPr="00A7631D">
        <w:t xml:space="preserve">Brown could see </w:t>
      </w:r>
      <w:r w:rsidR="0080257E" w:rsidRPr="00A7631D">
        <w:t>Hurd’s</w:t>
      </w:r>
      <w:r w:rsidR="00A33608" w:rsidRPr="00A7631D">
        <w:t xml:space="preserve"> body on the floor, </w:t>
      </w:r>
      <w:r w:rsidR="0080257E" w:rsidRPr="00A7631D">
        <w:t xml:space="preserve">and </w:t>
      </w:r>
      <w:r w:rsidR="00D9468E" w:rsidRPr="00A7631D">
        <w:t>E.T.</w:t>
      </w:r>
      <w:r w:rsidR="0080257E" w:rsidRPr="00A7631D">
        <w:t xml:space="preserve"> told Brown</w:t>
      </w:r>
      <w:r w:rsidR="00EC5C9E" w:rsidRPr="00A7631D">
        <w:t xml:space="preserve"> that </w:t>
      </w:r>
      <w:r w:rsidR="0080257E" w:rsidRPr="00A7631D">
        <w:t>Hurd had been shot</w:t>
      </w:r>
      <w:r w:rsidR="00A33608" w:rsidRPr="00A7631D">
        <w:t xml:space="preserve">. </w:t>
      </w:r>
      <w:r w:rsidR="00E13B40" w:rsidRPr="00A7631D">
        <w:t xml:space="preserve"> </w:t>
      </w:r>
      <w:r w:rsidR="00D9468E" w:rsidRPr="00A7631D">
        <w:t>E.T.</w:t>
      </w:r>
      <w:r w:rsidR="007864A0" w:rsidRPr="00A7631D">
        <w:t xml:space="preserve"> went on, “I don’t know why they didn’t kill me.”  </w:t>
      </w:r>
      <w:r w:rsidR="00D9468E" w:rsidRPr="00A7631D">
        <w:t>E.T.</w:t>
      </w:r>
      <w:r w:rsidR="008B09F7" w:rsidRPr="00A7631D">
        <w:t xml:space="preserve"> look</w:t>
      </w:r>
      <w:r w:rsidR="00D53638" w:rsidRPr="00A7631D">
        <w:t>ed</w:t>
      </w:r>
      <w:r w:rsidR="008B09F7" w:rsidRPr="00A7631D">
        <w:t xml:space="preserve"> for his car keys inside the </w:t>
      </w:r>
      <w:proofErr w:type="gramStart"/>
      <w:r w:rsidR="008B09F7" w:rsidRPr="00A7631D">
        <w:t>building, but</w:t>
      </w:r>
      <w:proofErr w:type="gramEnd"/>
      <w:r w:rsidR="008B09F7" w:rsidRPr="00A7631D">
        <w:t xml:space="preserve"> was unable to find them and asked Brown for a ride because he did “not want to be around this kind </w:t>
      </w:r>
      <w:r w:rsidR="004B284B" w:rsidRPr="00A7631D">
        <w:t xml:space="preserve">[of] </w:t>
      </w:r>
      <w:r w:rsidR="008B09F7" w:rsidRPr="00A7631D">
        <w:t>mess when the police c</w:t>
      </w:r>
      <w:r w:rsidR="004B284B" w:rsidRPr="00A7631D">
        <w:t>[a]</w:t>
      </w:r>
      <w:r w:rsidR="008B09F7" w:rsidRPr="00A7631D">
        <w:t xml:space="preserve">me.”  </w:t>
      </w:r>
    </w:p>
    <w:p w14:paraId="7B22BE28" w14:textId="4F52A49A" w:rsidR="002206ED" w:rsidRPr="00A7631D" w:rsidRDefault="00A13BD6" w:rsidP="004572F4">
      <w:pPr>
        <w:ind w:firstLine="720"/>
      </w:pPr>
      <w:r w:rsidRPr="00A7631D">
        <w:t xml:space="preserve">While </w:t>
      </w:r>
      <w:r w:rsidR="00D9468E" w:rsidRPr="00A7631D">
        <w:t>E.T.</w:t>
      </w:r>
      <w:r w:rsidRPr="00A7631D">
        <w:t xml:space="preserve"> was inside the building searching for his keys</w:t>
      </w:r>
      <w:r w:rsidR="00740AB2" w:rsidRPr="00A7631D">
        <w:t>,</w:t>
      </w:r>
      <w:r w:rsidRPr="00A7631D">
        <w:t xml:space="preserve"> </w:t>
      </w:r>
      <w:r w:rsidR="006F5035" w:rsidRPr="00A7631D">
        <w:t>Potter’s</w:t>
      </w:r>
      <w:r w:rsidR="00251E43" w:rsidRPr="00A7631D">
        <w:t xml:space="preserve"> mother, </w:t>
      </w:r>
      <w:r w:rsidR="00830BBC" w:rsidRPr="00A7631D">
        <w:t>Georgetta</w:t>
      </w:r>
      <w:r w:rsidR="006F5035" w:rsidRPr="00A7631D">
        <w:t xml:space="preserve"> Hoard</w:t>
      </w:r>
      <w:r w:rsidR="00E447C7" w:rsidRPr="00A7631D">
        <w:t>,</w:t>
      </w:r>
      <w:r w:rsidR="00952AB6" w:rsidRPr="00A7631D">
        <w:rPr>
          <w:rStyle w:val="FootnoteReference"/>
        </w:rPr>
        <w:footnoteReference w:id="6"/>
      </w:r>
      <w:r w:rsidR="00830BBC" w:rsidRPr="00A7631D">
        <w:t xml:space="preserve"> </w:t>
      </w:r>
      <w:r w:rsidR="00740AB2" w:rsidRPr="00A7631D">
        <w:t xml:space="preserve">along with a friend, stopped by the </w:t>
      </w:r>
      <w:r w:rsidR="00EC55D4" w:rsidRPr="00A7631D">
        <w:t>car wash</w:t>
      </w:r>
      <w:r w:rsidR="00740AB2" w:rsidRPr="00A7631D">
        <w:t>.</w:t>
      </w:r>
      <w:r w:rsidR="00E447C7" w:rsidRPr="00A7631D">
        <w:t xml:space="preserve"> </w:t>
      </w:r>
      <w:r w:rsidR="007B4BC9" w:rsidRPr="00A7631D">
        <w:t xml:space="preserve"> </w:t>
      </w:r>
      <w:r w:rsidR="00251E43" w:rsidRPr="00A7631D">
        <w:t xml:space="preserve">Brown </w:t>
      </w:r>
      <w:r w:rsidR="007B4BC9" w:rsidRPr="00A7631D">
        <w:t>told</w:t>
      </w:r>
      <w:r w:rsidR="00251E43" w:rsidRPr="00A7631D">
        <w:t xml:space="preserve"> Georgetta</w:t>
      </w:r>
      <w:r w:rsidR="007B4BC9" w:rsidRPr="00A7631D">
        <w:t xml:space="preserve"> she should</w:t>
      </w:r>
      <w:r w:rsidR="00251E43" w:rsidRPr="00A7631D">
        <w:t xml:space="preserve"> not go into the building</w:t>
      </w:r>
      <w:r w:rsidR="000D5EDD" w:rsidRPr="00A7631D">
        <w:t xml:space="preserve">, and that </w:t>
      </w:r>
      <w:r w:rsidR="00D9468E" w:rsidRPr="00A7631D">
        <w:t>E.T.</w:t>
      </w:r>
      <w:r w:rsidR="000D5EDD" w:rsidRPr="00A7631D">
        <w:t xml:space="preserve"> told him it was “a terrible sight” inside</w:t>
      </w:r>
      <w:r w:rsidR="00251E43" w:rsidRPr="00A7631D">
        <w:t xml:space="preserve">.  </w:t>
      </w:r>
      <w:r w:rsidR="007864A0" w:rsidRPr="00A7631D">
        <w:t xml:space="preserve">Brown and </w:t>
      </w:r>
      <w:r w:rsidR="00D9468E" w:rsidRPr="00A7631D">
        <w:t>E.T.</w:t>
      </w:r>
      <w:r w:rsidR="00F305F5" w:rsidRPr="00A7631D">
        <w:t xml:space="preserve"> then</w:t>
      </w:r>
      <w:r w:rsidR="007864A0" w:rsidRPr="00A7631D">
        <w:t xml:space="preserve"> left in Brown’s car.  </w:t>
      </w:r>
    </w:p>
    <w:p w14:paraId="3053C0F8" w14:textId="6A1FD0C7" w:rsidR="009E4C43" w:rsidRPr="00A7631D" w:rsidRDefault="005E66E2" w:rsidP="004572F4">
      <w:pPr>
        <w:ind w:firstLine="720"/>
      </w:pPr>
      <w:r w:rsidRPr="00A7631D">
        <w:t xml:space="preserve">Brown called his brother </w:t>
      </w:r>
      <w:r w:rsidR="00076853" w:rsidRPr="00A7631D">
        <w:t xml:space="preserve">from the car </w:t>
      </w:r>
      <w:r w:rsidRPr="00A7631D">
        <w:t xml:space="preserve">to tell him what had happened, and Brown’s brother advised Brown and </w:t>
      </w:r>
      <w:r w:rsidR="00D9468E" w:rsidRPr="00A7631D">
        <w:t>E.T.</w:t>
      </w:r>
      <w:r w:rsidRPr="00A7631D">
        <w:t xml:space="preserve"> to return to the </w:t>
      </w:r>
      <w:r w:rsidR="00EC55D4" w:rsidRPr="00A7631D">
        <w:t>car wash</w:t>
      </w:r>
      <w:r w:rsidR="004D3CF6" w:rsidRPr="00A7631D">
        <w:t>.  They did, and</w:t>
      </w:r>
      <w:r w:rsidR="00057267" w:rsidRPr="00A7631D">
        <w:t xml:space="preserve"> both men</w:t>
      </w:r>
      <w:r w:rsidR="004D3CF6" w:rsidRPr="00A7631D">
        <w:t xml:space="preserve"> spoke with the police already on the scene.  </w:t>
      </w:r>
      <w:r w:rsidR="00834459" w:rsidRPr="00A7631D">
        <w:t xml:space="preserve">Police </w:t>
      </w:r>
      <w:r w:rsidR="00057267" w:rsidRPr="00A7631D">
        <w:t xml:space="preserve">officers then </w:t>
      </w:r>
      <w:r w:rsidR="00834459" w:rsidRPr="00A7631D">
        <w:t xml:space="preserve">took </w:t>
      </w:r>
      <w:r w:rsidR="009E4C43" w:rsidRPr="00A7631D">
        <w:t>Brown</w:t>
      </w:r>
      <w:r w:rsidR="00B644E7" w:rsidRPr="00A7631D">
        <w:t xml:space="preserve"> and </w:t>
      </w:r>
      <w:r w:rsidR="00D9468E" w:rsidRPr="00A7631D">
        <w:t>E.T.</w:t>
      </w:r>
      <w:r w:rsidR="00B644E7" w:rsidRPr="00A7631D">
        <w:t xml:space="preserve"> to the station to be interviewed</w:t>
      </w:r>
      <w:r w:rsidR="0096139B" w:rsidRPr="00A7631D">
        <w:t xml:space="preserve">, where Brown described </w:t>
      </w:r>
      <w:proofErr w:type="spellStart"/>
      <w:r w:rsidR="0096139B" w:rsidRPr="00A7631D">
        <w:t>Pops’</w:t>
      </w:r>
      <w:r w:rsidR="007F33C1" w:rsidRPr="00A7631D">
        <w:t>s</w:t>
      </w:r>
      <w:proofErr w:type="spellEnd"/>
      <w:r w:rsidR="0096139B" w:rsidRPr="00A7631D">
        <w:t xml:space="preserve"> height, age, and hairstyle.  </w:t>
      </w:r>
      <w:r w:rsidR="00057267" w:rsidRPr="00A7631D">
        <w:t>Officers observed that m</w:t>
      </w:r>
      <w:r w:rsidR="00834459" w:rsidRPr="00A7631D">
        <w:t xml:space="preserve">otor oil and dirt stains covered </w:t>
      </w:r>
      <w:r w:rsidR="00D9468E" w:rsidRPr="00A7631D">
        <w:t>E.T.’s</w:t>
      </w:r>
      <w:r w:rsidR="002339A3" w:rsidRPr="00A7631D">
        <w:t xml:space="preserve"> yellow shirt.  </w:t>
      </w:r>
    </w:p>
    <w:p w14:paraId="76F4603F" w14:textId="5AC31150" w:rsidR="0059287C" w:rsidRPr="00A7631D" w:rsidRDefault="0059287C" w:rsidP="004572F4">
      <w:pPr>
        <w:pStyle w:val="Heading4"/>
        <w:numPr>
          <w:ilvl w:val="0"/>
          <w:numId w:val="5"/>
        </w:numPr>
        <w:ind w:left="2016" w:hanging="432"/>
      </w:pPr>
      <w:r w:rsidRPr="00A7631D">
        <w:t>Investigation</w:t>
      </w:r>
    </w:p>
    <w:p w14:paraId="207A643C" w14:textId="54FE445D" w:rsidR="00F92D07" w:rsidRPr="00A7631D" w:rsidRDefault="000403AB" w:rsidP="004572F4">
      <w:pPr>
        <w:ind w:firstLine="720"/>
      </w:pPr>
      <w:r w:rsidRPr="00A7631D">
        <w:t>Compton police office</w:t>
      </w:r>
      <w:r w:rsidR="00EB542B" w:rsidRPr="00A7631D">
        <w:t>r</w:t>
      </w:r>
      <w:r w:rsidRPr="00A7631D">
        <w:t xml:space="preserve"> Bettye Jones </w:t>
      </w:r>
      <w:r w:rsidR="002C0D0E" w:rsidRPr="00A7631D">
        <w:t xml:space="preserve">was </w:t>
      </w:r>
      <w:r w:rsidR="008C1CBE" w:rsidRPr="00A7631D">
        <w:t>one of the</w:t>
      </w:r>
      <w:r w:rsidR="002C0D0E" w:rsidRPr="00A7631D">
        <w:t xml:space="preserve"> first </w:t>
      </w:r>
      <w:r w:rsidR="005C05E1" w:rsidRPr="00A7631D">
        <w:t>responder</w:t>
      </w:r>
      <w:r w:rsidR="008C1CBE" w:rsidRPr="00A7631D">
        <w:t>s</w:t>
      </w:r>
      <w:r w:rsidR="00AA2BF4" w:rsidRPr="00A7631D">
        <w:t xml:space="preserve"> </w:t>
      </w:r>
      <w:r w:rsidR="001758F3" w:rsidRPr="00A7631D">
        <w:t xml:space="preserve">to the Wheels </w:t>
      </w:r>
      <w:r w:rsidR="002D2346">
        <w:t>’</w:t>
      </w:r>
      <w:r w:rsidR="00983BD9">
        <w:t>N</w:t>
      </w:r>
      <w:r w:rsidR="001758F3" w:rsidRPr="00A7631D">
        <w:t xml:space="preserve"> Stuff</w:t>
      </w:r>
      <w:r w:rsidR="00644596" w:rsidRPr="00A7631D">
        <w:t xml:space="preserve"> scene, where she saw </w:t>
      </w:r>
      <w:r w:rsidR="005C05E1" w:rsidRPr="00A7631D">
        <w:t>two women standing</w:t>
      </w:r>
      <w:r w:rsidR="00644596" w:rsidRPr="00A7631D">
        <w:t xml:space="preserve"> outside</w:t>
      </w:r>
      <w:r w:rsidR="005F59E2" w:rsidRPr="00A7631D">
        <w:t xml:space="preserve"> — Georgetta and her friend —</w:t>
      </w:r>
      <w:r w:rsidR="00C03AD4" w:rsidRPr="00A7631D">
        <w:t xml:space="preserve"> and observed that</w:t>
      </w:r>
      <w:r w:rsidR="00AC57EF" w:rsidRPr="00A7631D">
        <w:t xml:space="preserve"> </w:t>
      </w:r>
      <w:r w:rsidR="005C05E1" w:rsidRPr="00A7631D">
        <w:t xml:space="preserve">one </w:t>
      </w:r>
      <w:r w:rsidR="002D2346">
        <w:t xml:space="preserve">was </w:t>
      </w:r>
      <w:r w:rsidR="00AC57EF" w:rsidRPr="00A7631D">
        <w:t>crying</w:t>
      </w:r>
      <w:r w:rsidR="003658AE" w:rsidRPr="00A7631D">
        <w:t xml:space="preserve"> hysterical</w:t>
      </w:r>
      <w:r w:rsidR="00AC57EF" w:rsidRPr="00A7631D">
        <w:t>ly</w:t>
      </w:r>
      <w:r w:rsidR="00282E05" w:rsidRPr="00A7631D">
        <w:t xml:space="preserve">.  </w:t>
      </w:r>
      <w:r w:rsidR="00983959" w:rsidRPr="00A7631D">
        <w:t xml:space="preserve">Jones looked through the front doors into the </w:t>
      </w:r>
      <w:r w:rsidR="00EC55D4" w:rsidRPr="00A7631D">
        <w:t>car wash</w:t>
      </w:r>
      <w:r w:rsidR="00983959" w:rsidRPr="00A7631D">
        <w:t xml:space="preserve">, and saw a body lying on the floor.  </w:t>
      </w:r>
      <w:r w:rsidR="004260AC" w:rsidRPr="00A7631D">
        <w:t>Unsure if suspects remained in the building, s</w:t>
      </w:r>
      <w:r w:rsidR="00983959" w:rsidRPr="00A7631D">
        <w:t xml:space="preserve">he </w:t>
      </w:r>
      <w:r w:rsidR="00842F0F" w:rsidRPr="00A7631D">
        <w:t>placed Georgetta and her companion in a patrol car and</w:t>
      </w:r>
      <w:r w:rsidR="00680D79" w:rsidRPr="00A7631D">
        <w:t xml:space="preserve"> entered the </w:t>
      </w:r>
      <w:r w:rsidR="00EC55D4" w:rsidRPr="00A7631D">
        <w:t>car wash</w:t>
      </w:r>
      <w:r w:rsidR="00680D79" w:rsidRPr="00A7631D">
        <w:t xml:space="preserve"> with</w:t>
      </w:r>
      <w:r w:rsidR="00983959" w:rsidRPr="00A7631D">
        <w:t xml:space="preserve"> Of</w:t>
      </w:r>
      <w:r w:rsidR="00E568B8" w:rsidRPr="00A7631D">
        <w:t>ficer Larry Urrutia</w:t>
      </w:r>
      <w:r w:rsidR="004260AC" w:rsidRPr="00A7631D">
        <w:t>.</w:t>
      </w:r>
      <w:r w:rsidR="00680D79" w:rsidRPr="00A7631D">
        <w:t xml:space="preserve">  </w:t>
      </w:r>
      <w:r w:rsidR="00416C2F" w:rsidRPr="00A7631D">
        <w:t xml:space="preserve">Initially, </w:t>
      </w:r>
      <w:r w:rsidR="00157E0E" w:rsidRPr="00A7631D">
        <w:t>Jones and Urrutia</w:t>
      </w:r>
      <w:r w:rsidR="00680D79" w:rsidRPr="00A7631D">
        <w:t xml:space="preserve"> </w:t>
      </w:r>
      <w:r w:rsidR="00680D79" w:rsidRPr="00A7631D">
        <w:lastRenderedPageBreak/>
        <w:t xml:space="preserve">saw </w:t>
      </w:r>
      <w:r w:rsidR="00CE7E17" w:rsidRPr="00A7631D">
        <w:t>three</w:t>
      </w:r>
      <w:r w:rsidR="00680D79" w:rsidRPr="00A7631D">
        <w:t xml:space="preserve"> </w:t>
      </w:r>
      <w:r w:rsidR="00630D19" w:rsidRPr="00A7631D">
        <w:t>men</w:t>
      </w:r>
      <w:r w:rsidR="00157E0E" w:rsidRPr="00A7631D">
        <w:t xml:space="preserve"> — Hurd, Potter, and Hoard,</w:t>
      </w:r>
      <w:r w:rsidR="00630D19" w:rsidRPr="00A7631D">
        <w:t xml:space="preserve"> lying </w:t>
      </w:r>
      <w:r w:rsidR="00157E0E" w:rsidRPr="00A7631D">
        <w:t xml:space="preserve">in the </w:t>
      </w:r>
      <w:r w:rsidR="00402CEB" w:rsidRPr="00A7631D">
        <w:t>building</w:t>
      </w:r>
      <w:r w:rsidR="00416C2F" w:rsidRPr="00A7631D">
        <w:t>, “obviously dead.”</w:t>
      </w:r>
      <w:r w:rsidR="00157E0E" w:rsidRPr="00A7631D">
        <w:t xml:space="preserve">  They inspected the building further and found one additional victim</w:t>
      </w:r>
      <w:r w:rsidR="007A6474" w:rsidRPr="00A7631D">
        <w:t xml:space="preserve"> — Dunn — behind a car near the back of the building.  </w:t>
      </w:r>
      <w:r w:rsidR="00042B7E" w:rsidRPr="00A7631D">
        <w:t xml:space="preserve">After </w:t>
      </w:r>
      <w:r w:rsidR="00DB57D1" w:rsidRPr="00A7631D">
        <w:t xml:space="preserve">the </w:t>
      </w:r>
      <w:r w:rsidR="00F30EEC" w:rsidRPr="00A7631D">
        <w:t>officers secured the building</w:t>
      </w:r>
      <w:r w:rsidR="004C312C" w:rsidRPr="00A7631D">
        <w:t>, p</w:t>
      </w:r>
      <w:r w:rsidR="00042B7E" w:rsidRPr="00A7631D">
        <w:t>aramedics</w:t>
      </w:r>
      <w:r w:rsidR="00630D19" w:rsidRPr="00A7631D">
        <w:t xml:space="preserve"> </w:t>
      </w:r>
      <w:r w:rsidR="004C312C" w:rsidRPr="00A7631D">
        <w:t>came in</w:t>
      </w:r>
      <w:r w:rsidR="005F454B" w:rsidRPr="00A7631D">
        <w:t xml:space="preserve">, </w:t>
      </w:r>
      <w:r w:rsidR="002670C0" w:rsidRPr="00A7631D">
        <w:t>checked the pulse of the men on the floor</w:t>
      </w:r>
      <w:r w:rsidR="005F454B" w:rsidRPr="00A7631D">
        <w:t>,</w:t>
      </w:r>
      <w:r w:rsidR="002670C0" w:rsidRPr="00A7631D">
        <w:t xml:space="preserve"> and de</w:t>
      </w:r>
      <w:r w:rsidR="006E1B1A" w:rsidRPr="00A7631D">
        <w:t xml:space="preserve">termined that all of them were deceased.  </w:t>
      </w:r>
    </w:p>
    <w:p w14:paraId="7BB543D9" w14:textId="3991947A" w:rsidR="000403AB" w:rsidRPr="00A7631D" w:rsidRDefault="005F454B" w:rsidP="004572F4">
      <w:pPr>
        <w:ind w:firstLine="720"/>
      </w:pPr>
      <w:r w:rsidRPr="00A7631D">
        <w:t xml:space="preserve">Jones noted there were blood puddles and a bloody </w:t>
      </w:r>
      <w:r w:rsidR="00A13C1F" w:rsidRPr="00A7631D">
        <w:t>foot</w:t>
      </w:r>
      <w:r w:rsidRPr="00A7631D">
        <w:t xml:space="preserve">print on the floor and was careful to ensure that officers and paramedics did not step in the blood.  </w:t>
      </w:r>
      <w:r w:rsidR="00F92D07" w:rsidRPr="00A7631D">
        <w:t xml:space="preserve">A shelf </w:t>
      </w:r>
      <w:r w:rsidR="00DD29E9" w:rsidRPr="00A7631D">
        <w:t>had fallen</w:t>
      </w:r>
      <w:r w:rsidR="00F92D07" w:rsidRPr="00A7631D">
        <w:t xml:space="preserve"> inside the </w:t>
      </w:r>
      <w:r w:rsidR="00EC55D4" w:rsidRPr="00A7631D">
        <w:t>car wash</w:t>
      </w:r>
      <w:r w:rsidR="00F92D07" w:rsidRPr="00A7631D">
        <w:t xml:space="preserve">, and the contents </w:t>
      </w:r>
      <w:r w:rsidR="00DD29E9" w:rsidRPr="00A7631D">
        <w:t xml:space="preserve">were strewn on the floor.  Jones </w:t>
      </w:r>
      <w:r w:rsidR="003E76AF" w:rsidRPr="00A7631D">
        <w:t xml:space="preserve">also </w:t>
      </w:r>
      <w:r w:rsidR="00DD29E9" w:rsidRPr="00A7631D">
        <w:t>observed that</w:t>
      </w:r>
      <w:r w:rsidR="003E76AF" w:rsidRPr="00A7631D">
        <w:t>,</w:t>
      </w:r>
      <w:r w:rsidR="00DD29E9" w:rsidRPr="00A7631D">
        <w:t xml:space="preserve"> </w:t>
      </w:r>
      <w:r w:rsidR="003E76AF" w:rsidRPr="00A7631D">
        <w:t xml:space="preserve">in the car wash parking lot, </w:t>
      </w:r>
      <w:r w:rsidR="000D2465" w:rsidRPr="00A7631D">
        <w:t xml:space="preserve">broken headlight fragments were on the ground near </w:t>
      </w:r>
      <w:r w:rsidR="00DD29E9" w:rsidRPr="00A7631D">
        <w:t>the gate</w:t>
      </w:r>
      <w:r w:rsidR="00453803" w:rsidRPr="00A7631D">
        <w:t>.  T</w:t>
      </w:r>
      <w:r w:rsidR="003E76AF" w:rsidRPr="00A7631D">
        <w:t>he gate appeared</w:t>
      </w:r>
      <w:r w:rsidR="00BC798A" w:rsidRPr="00A7631D">
        <w:t xml:space="preserve"> scratched and had paint transfer damage</w:t>
      </w:r>
      <w:r w:rsidR="00D85457" w:rsidRPr="00A7631D">
        <w:t>,</w:t>
      </w:r>
      <w:r w:rsidR="00BC798A" w:rsidRPr="00A7631D">
        <w:t xml:space="preserve"> suggesting it had been hit by a car</w:t>
      </w:r>
      <w:r w:rsidR="00917D8E" w:rsidRPr="00A7631D">
        <w:t xml:space="preserve">.  </w:t>
      </w:r>
    </w:p>
    <w:p w14:paraId="54B5151B" w14:textId="6D549F13" w:rsidR="00B63084" w:rsidRPr="00A7631D" w:rsidRDefault="00727E38" w:rsidP="004572F4">
      <w:pPr>
        <w:ind w:firstLine="720"/>
      </w:pPr>
      <w:r w:rsidRPr="00A7631D">
        <w:t xml:space="preserve">Deputy Jeff Walley, a ballistics expert, </w:t>
      </w:r>
      <w:r w:rsidR="0009529A" w:rsidRPr="00A7631D">
        <w:t xml:space="preserve">collected evidence at the scene.  </w:t>
      </w:r>
      <w:r w:rsidR="00834459" w:rsidRPr="00A7631D">
        <w:t xml:space="preserve">He recovered </w:t>
      </w:r>
      <w:r w:rsidR="004A6413" w:rsidRPr="00A7631D">
        <w:t>nine</w:t>
      </w:r>
      <w:r w:rsidR="00EB04F6" w:rsidRPr="00A7631D">
        <w:t xml:space="preserve">-millimeter and </w:t>
      </w:r>
      <w:r w:rsidR="000922B1" w:rsidRPr="00A7631D">
        <w:t>.40 caliber</w:t>
      </w:r>
      <w:r w:rsidR="00EB04F6" w:rsidRPr="00A7631D">
        <w:t xml:space="preserve"> b</w:t>
      </w:r>
      <w:r w:rsidR="0009300A" w:rsidRPr="00A7631D">
        <w:t>ullets, bullet fragments, casings</w:t>
      </w:r>
      <w:r w:rsidR="00693C31" w:rsidRPr="00A7631D">
        <w:t>, and one live round</w:t>
      </w:r>
      <w:r w:rsidR="00EB04F6" w:rsidRPr="00A7631D">
        <w:t xml:space="preserve">.  </w:t>
      </w:r>
      <w:r w:rsidR="00834459" w:rsidRPr="00A7631D">
        <w:t>Specifically, he found n</w:t>
      </w:r>
      <w:r w:rsidR="00CD798D" w:rsidRPr="00A7631D">
        <w:t xml:space="preserve">ine </w:t>
      </w:r>
      <w:r w:rsidR="000922B1" w:rsidRPr="00A7631D">
        <w:t>.40 caliber</w:t>
      </w:r>
      <w:r w:rsidR="00CD798D" w:rsidRPr="00A7631D">
        <w:t xml:space="preserve"> Smith and Wesson cartridge casings, along with 10 expended </w:t>
      </w:r>
      <w:r w:rsidR="000922B1" w:rsidRPr="00A7631D">
        <w:t>.40 caliber</w:t>
      </w:r>
      <w:r w:rsidR="00CD798D" w:rsidRPr="00A7631D">
        <w:t xml:space="preserve"> bullets or bullet fragments.  </w:t>
      </w:r>
      <w:r w:rsidR="000A6899" w:rsidRPr="00A7631D">
        <w:t>Walley determined</w:t>
      </w:r>
      <w:r w:rsidR="004857E0" w:rsidRPr="00A7631D">
        <w:t>, based on unique</w:t>
      </w:r>
      <w:r w:rsidR="009804F8" w:rsidRPr="00A7631D">
        <w:t xml:space="preserve"> gun </w:t>
      </w:r>
      <w:proofErr w:type="gramStart"/>
      <w:r w:rsidR="009804F8" w:rsidRPr="00A7631D">
        <w:t>barrel</w:t>
      </w:r>
      <w:proofErr w:type="gramEnd"/>
      <w:r w:rsidR="009804F8" w:rsidRPr="00A7631D">
        <w:t xml:space="preserve"> and firing pin manufacturing processes, that</w:t>
      </w:r>
      <w:r w:rsidR="000A6899" w:rsidRPr="00A7631D">
        <w:t xml:space="preserve"> a Glock semiautomatic pistol fired the </w:t>
      </w:r>
      <w:r w:rsidR="000922B1" w:rsidRPr="00A7631D">
        <w:t>.40 caliber</w:t>
      </w:r>
      <w:r w:rsidR="000A6899" w:rsidRPr="00A7631D">
        <w:t xml:space="preserve"> bullets </w:t>
      </w:r>
      <w:r w:rsidR="004857E0" w:rsidRPr="00A7631D">
        <w:t>found at the scene</w:t>
      </w:r>
      <w:r w:rsidR="00657682" w:rsidRPr="00A7631D">
        <w:t xml:space="preserve">.  </w:t>
      </w:r>
    </w:p>
    <w:p w14:paraId="59612BDD" w14:textId="1347D5DF" w:rsidR="0057432A" w:rsidRPr="00A7631D" w:rsidRDefault="00834459" w:rsidP="004572F4">
      <w:pPr>
        <w:ind w:firstLine="720"/>
      </w:pPr>
      <w:r w:rsidRPr="00A7631D">
        <w:t>Walley also recovered f</w:t>
      </w:r>
      <w:r w:rsidR="0014342E" w:rsidRPr="00A7631D">
        <w:t xml:space="preserve">ive </w:t>
      </w:r>
      <w:r w:rsidR="004A6413" w:rsidRPr="00A7631D">
        <w:t>nine</w:t>
      </w:r>
      <w:r w:rsidR="0014342E" w:rsidRPr="00A7631D">
        <w:t>-millimeter ex</w:t>
      </w:r>
      <w:r w:rsidR="00532371" w:rsidRPr="00A7631D">
        <w:t xml:space="preserve">pended casings and one live </w:t>
      </w:r>
      <w:r w:rsidR="004A6413" w:rsidRPr="00A7631D">
        <w:t>nine</w:t>
      </w:r>
      <w:r w:rsidR="00532371" w:rsidRPr="00A7631D">
        <w:t>-millimeter round</w:t>
      </w:r>
      <w:r w:rsidR="00242AA3" w:rsidRPr="00A7631D">
        <w:t xml:space="preserve">.  </w:t>
      </w:r>
      <w:r w:rsidRPr="00A7631D">
        <w:t xml:space="preserve">He </w:t>
      </w:r>
      <w:r w:rsidR="00532371" w:rsidRPr="00A7631D">
        <w:t>determined the</w:t>
      </w:r>
      <w:r w:rsidR="007C7B10" w:rsidRPr="00A7631D">
        <w:t>se</w:t>
      </w:r>
      <w:r w:rsidR="007B59F1" w:rsidRPr="00A7631D">
        <w:t xml:space="preserve"> rounds could have been fired from</w:t>
      </w:r>
      <w:r w:rsidR="00A8592D" w:rsidRPr="00A7631D">
        <w:t xml:space="preserve"> one of several weapons, but the only</w:t>
      </w:r>
      <w:r w:rsidR="00330A7D" w:rsidRPr="00A7631D">
        <w:t xml:space="preserve"> weapon with </w:t>
      </w:r>
      <w:r w:rsidR="002A3778" w:rsidRPr="00A7631D">
        <w:t>both a</w:t>
      </w:r>
      <w:r w:rsidR="00330A7D" w:rsidRPr="00A7631D">
        <w:t xml:space="preserve"> barrel extension and appearance</w:t>
      </w:r>
      <w:r w:rsidR="00770848" w:rsidRPr="00A7631D">
        <w:t xml:space="preserve"> </w:t>
      </w:r>
      <w:r w:rsidR="002A3778" w:rsidRPr="00A7631D">
        <w:t>different than other types of pistols, including the</w:t>
      </w:r>
      <w:r w:rsidR="007B59F1" w:rsidRPr="00A7631D">
        <w:t xml:space="preserve"> </w:t>
      </w:r>
      <w:r w:rsidR="002A3778" w:rsidRPr="00A7631D">
        <w:t xml:space="preserve">Glock used to fire the .40 caliber bullets, was </w:t>
      </w:r>
      <w:r w:rsidR="00E23212" w:rsidRPr="00A7631D">
        <w:t xml:space="preserve">an </w:t>
      </w:r>
      <w:proofErr w:type="spellStart"/>
      <w:r w:rsidR="00E23212" w:rsidRPr="00A7631D">
        <w:t>Intratec</w:t>
      </w:r>
      <w:proofErr w:type="spellEnd"/>
      <w:r w:rsidR="003544B8" w:rsidRPr="00A7631D">
        <w:t xml:space="preserve"> </w:t>
      </w:r>
      <w:r w:rsidR="00C50A40">
        <w:t>TEC-</w:t>
      </w:r>
      <w:r w:rsidR="00C50A40">
        <w:lastRenderedPageBreak/>
        <w:t>9</w:t>
      </w:r>
      <w:r w:rsidR="002A3778" w:rsidRPr="00A7631D">
        <w:t>.</w:t>
      </w:r>
      <w:r w:rsidR="00EF32F9" w:rsidRPr="00A7631D">
        <w:rPr>
          <w:rStyle w:val="FootnoteReference"/>
        </w:rPr>
        <w:footnoteReference w:id="7"/>
      </w:r>
      <w:r w:rsidR="002A3778" w:rsidRPr="00A7631D">
        <w:t xml:space="preserve">  </w:t>
      </w:r>
      <w:r w:rsidR="0044646B" w:rsidRPr="00A7631D">
        <w:t>A</w:t>
      </w:r>
      <w:r w:rsidR="003D1147" w:rsidRPr="00A7631D">
        <w:t xml:space="preserve"> </w:t>
      </w:r>
      <w:r w:rsidR="004A6413" w:rsidRPr="00A7631D">
        <w:t>nine</w:t>
      </w:r>
      <w:r w:rsidR="003D1147" w:rsidRPr="00A7631D">
        <w:t xml:space="preserve">-millimeter </w:t>
      </w:r>
      <w:r w:rsidR="007C0A7E" w:rsidRPr="00A7631D">
        <w:t>casing found at the scene</w:t>
      </w:r>
      <w:r w:rsidR="004A2CBC" w:rsidRPr="00A7631D">
        <w:t xml:space="preserve"> was dented</w:t>
      </w:r>
      <w:r w:rsidR="007C0A7E" w:rsidRPr="00A7631D">
        <w:t xml:space="preserve">, suggesting the </w:t>
      </w:r>
      <w:r w:rsidR="003D1147" w:rsidRPr="00A7631D">
        <w:t>weapon jammed</w:t>
      </w:r>
      <w:r w:rsidR="00672A59" w:rsidRPr="00A7631D">
        <w:t xml:space="preserve">, </w:t>
      </w:r>
      <w:r w:rsidR="00D10EE4" w:rsidRPr="00A7631D">
        <w:t>a malfunction in which</w:t>
      </w:r>
      <w:r w:rsidR="00672A59" w:rsidRPr="00A7631D">
        <w:t xml:space="preserve"> the ammunition does not </w:t>
      </w:r>
      <w:r w:rsidR="00D10EE4" w:rsidRPr="00A7631D">
        <w:t>work</w:t>
      </w:r>
      <w:r w:rsidR="00672A59" w:rsidRPr="00A7631D">
        <w:t xml:space="preserve"> as expected and no bullet is fired</w:t>
      </w:r>
      <w:r w:rsidR="007C0A7E" w:rsidRPr="00A7631D">
        <w:t xml:space="preserve">.  </w:t>
      </w:r>
      <w:proofErr w:type="spellStart"/>
      <w:r w:rsidR="005137D7" w:rsidRPr="00A7631D">
        <w:t>Intratec</w:t>
      </w:r>
      <w:proofErr w:type="spellEnd"/>
      <w:r w:rsidR="007E6CAB" w:rsidRPr="00A7631D">
        <w:t xml:space="preserve"> firearms are</w:t>
      </w:r>
      <w:r w:rsidR="00071D95" w:rsidRPr="00A7631D">
        <w:t xml:space="preserve"> not known to be high quality weapons and are </w:t>
      </w:r>
      <w:r w:rsidR="003B07FF" w:rsidRPr="00A7631D">
        <w:t>known to jam on occasion</w:t>
      </w:r>
      <w:r w:rsidR="00071D95" w:rsidRPr="00A7631D">
        <w:t xml:space="preserve">.  </w:t>
      </w:r>
      <w:r w:rsidR="0049303F" w:rsidRPr="00A7631D">
        <w:t>No ballistics evidence</w:t>
      </w:r>
      <w:r w:rsidR="000C1138" w:rsidRPr="00A7631D">
        <w:t xml:space="preserve"> other than from a nine-millimeter and </w:t>
      </w:r>
      <w:r w:rsidR="000922B1" w:rsidRPr="00A7631D">
        <w:t>.40 caliber</w:t>
      </w:r>
      <w:r w:rsidR="000C1138" w:rsidRPr="00A7631D">
        <w:t xml:space="preserve"> </w:t>
      </w:r>
      <w:r w:rsidR="00D90CF9" w:rsidRPr="00A7631D">
        <w:t xml:space="preserve">was found at the scene; </w:t>
      </w:r>
      <w:r w:rsidR="008F5829" w:rsidRPr="00A7631D">
        <w:t>Walley concluded only two weapons were used at the scene</w:t>
      </w:r>
      <w:r w:rsidR="007F33C1" w:rsidRPr="00A7631D">
        <w:t xml:space="preserve">:  </w:t>
      </w:r>
      <w:r w:rsidR="00E57F6D" w:rsidRPr="00A7631D">
        <w:t>a Glock that fired</w:t>
      </w:r>
      <w:r w:rsidR="008F5829" w:rsidRPr="00A7631D">
        <w:t xml:space="preserve"> </w:t>
      </w:r>
      <w:r w:rsidR="000922B1" w:rsidRPr="00A7631D">
        <w:t>.40 caliber</w:t>
      </w:r>
      <w:r w:rsidR="008F5829" w:rsidRPr="00A7631D">
        <w:t xml:space="preserve"> bullets</w:t>
      </w:r>
      <w:r w:rsidR="00E57F6D" w:rsidRPr="00A7631D">
        <w:t xml:space="preserve">, and </w:t>
      </w:r>
      <w:r w:rsidR="006E416B" w:rsidRPr="00A7631D">
        <w:t xml:space="preserve">likely an </w:t>
      </w:r>
      <w:proofErr w:type="spellStart"/>
      <w:r w:rsidR="005137D7" w:rsidRPr="00A7631D">
        <w:t>Intratec</w:t>
      </w:r>
      <w:proofErr w:type="spellEnd"/>
      <w:r w:rsidR="00163129" w:rsidRPr="00A7631D">
        <w:t xml:space="preserve"> </w:t>
      </w:r>
      <w:r w:rsidR="00C50A40">
        <w:t>TEC-9</w:t>
      </w:r>
      <w:r w:rsidR="00163129" w:rsidRPr="00A7631D">
        <w:t xml:space="preserve"> with a barrel extension that fired the</w:t>
      </w:r>
      <w:r w:rsidR="008F5829" w:rsidRPr="00A7631D">
        <w:t xml:space="preserve"> </w:t>
      </w:r>
      <w:r w:rsidR="004A6413" w:rsidRPr="00A7631D">
        <w:t>nine</w:t>
      </w:r>
      <w:r w:rsidR="008F5829" w:rsidRPr="00A7631D">
        <w:t xml:space="preserve">-millimeter bullets.  </w:t>
      </w:r>
    </w:p>
    <w:p w14:paraId="17B4A5CD" w14:textId="45E47898" w:rsidR="00DA0F43" w:rsidRPr="00A7631D" w:rsidRDefault="006E40CE" w:rsidP="004572F4">
      <w:pPr>
        <w:ind w:firstLine="720"/>
      </w:pPr>
      <w:r w:rsidRPr="00A7631D">
        <w:t>T</w:t>
      </w:r>
      <w:r w:rsidR="00212A88" w:rsidRPr="00A7631D">
        <w:t>he Of</w:t>
      </w:r>
      <w:r w:rsidR="00D004C5" w:rsidRPr="00A7631D">
        <w:t>fice of the Medical Examiner performed a</w:t>
      </w:r>
      <w:r w:rsidR="00D847F5" w:rsidRPr="00A7631D">
        <w:t xml:space="preserve">utopsies on the </w:t>
      </w:r>
      <w:r w:rsidR="00431B56" w:rsidRPr="00A7631D">
        <w:t>four</w:t>
      </w:r>
      <w:r w:rsidR="00D847F5" w:rsidRPr="00A7631D">
        <w:t xml:space="preserve"> victims t</w:t>
      </w:r>
      <w:r w:rsidR="00431B56" w:rsidRPr="00A7631D">
        <w:t>wo</w:t>
      </w:r>
      <w:r w:rsidR="00D847F5" w:rsidRPr="00A7631D">
        <w:t xml:space="preserve"> day</w:t>
      </w:r>
      <w:r w:rsidR="00431B56" w:rsidRPr="00A7631D">
        <w:t>s</w:t>
      </w:r>
      <w:r w:rsidR="00D847F5" w:rsidRPr="00A7631D">
        <w:t xml:space="preserve"> after the shooting</w:t>
      </w:r>
      <w:r w:rsidR="00431B56" w:rsidRPr="00A7631D">
        <w:t>s</w:t>
      </w:r>
      <w:r w:rsidR="00D847F5" w:rsidRPr="00A7631D">
        <w:t>.</w:t>
      </w:r>
      <w:r w:rsidR="00DA0F43" w:rsidRPr="00A7631D">
        <w:t xml:space="preserve">  </w:t>
      </w:r>
      <w:r w:rsidR="00CE1286" w:rsidRPr="00A7631D">
        <w:t>Deputy medical examiner</w:t>
      </w:r>
      <w:r w:rsidR="000006E4" w:rsidRPr="00A7631D">
        <w:t xml:space="preserve"> </w:t>
      </w:r>
      <w:r w:rsidR="00DA0F43" w:rsidRPr="00A7631D">
        <w:t>Christopher Rogers</w:t>
      </w:r>
      <w:r w:rsidR="00CE1286" w:rsidRPr="00A7631D">
        <w:t xml:space="preserve"> </w:t>
      </w:r>
      <w:r w:rsidR="00E61C0D" w:rsidRPr="00A7631D">
        <w:t xml:space="preserve">testified </w:t>
      </w:r>
      <w:r w:rsidR="00CB249C" w:rsidRPr="00A7631D">
        <w:t>that each of the</w:t>
      </w:r>
      <w:r w:rsidR="00AA5268" w:rsidRPr="00A7631D">
        <w:t xml:space="preserve"> four victims were shot in the</w:t>
      </w:r>
      <w:r w:rsidR="001057EC" w:rsidRPr="00A7631D">
        <w:t xml:space="preserve">ir heads.  Hurd suffered one </w:t>
      </w:r>
      <w:r w:rsidR="00145FE7" w:rsidRPr="00A7631D">
        <w:t xml:space="preserve">fatal </w:t>
      </w:r>
      <w:r w:rsidR="001057EC" w:rsidRPr="00A7631D">
        <w:t xml:space="preserve">gunshot wound to the back of his head, </w:t>
      </w:r>
      <w:r w:rsidR="00145FE7" w:rsidRPr="00A7631D">
        <w:t xml:space="preserve">fired from a distance of </w:t>
      </w:r>
      <w:r w:rsidR="00814219" w:rsidRPr="00A7631D">
        <w:t xml:space="preserve">at least </w:t>
      </w:r>
      <w:r w:rsidR="00145FE7" w:rsidRPr="00A7631D">
        <w:t xml:space="preserve">two feet.  </w:t>
      </w:r>
      <w:r w:rsidR="00041E10" w:rsidRPr="00A7631D">
        <w:t>Potter suffered three gunshot wounds to the back of his hea</w:t>
      </w:r>
      <w:r w:rsidR="00C72EAC" w:rsidRPr="00A7631D">
        <w:t>d</w:t>
      </w:r>
      <w:r w:rsidR="003E3E26" w:rsidRPr="00A7631D">
        <w:t xml:space="preserve">, all of which were fatal.  Potter was shot from a distance of at least two feet. </w:t>
      </w:r>
      <w:r w:rsidR="00756677" w:rsidRPr="00A7631D">
        <w:t xml:space="preserve"> </w:t>
      </w:r>
      <w:r w:rsidR="003E3E26" w:rsidRPr="00A7631D">
        <w:t xml:space="preserve">Hoard suffered three gunshot wounds to the back of his head, all of which were fatal.  </w:t>
      </w:r>
      <w:r w:rsidR="00A84FC3" w:rsidRPr="00A7631D">
        <w:t xml:space="preserve">These wounds were inflicted from a distance of at least two feet.  </w:t>
      </w:r>
      <w:r w:rsidR="00734255" w:rsidRPr="00A7631D">
        <w:t xml:space="preserve">Hoard also suffered two </w:t>
      </w:r>
      <w:r w:rsidR="003650EB" w:rsidRPr="00A7631D">
        <w:t xml:space="preserve">nonfatal </w:t>
      </w:r>
      <w:r w:rsidR="00734255" w:rsidRPr="00A7631D">
        <w:t>wounds to his hands from bullet fragments</w:t>
      </w:r>
      <w:r w:rsidR="003650EB" w:rsidRPr="00A7631D">
        <w:t xml:space="preserve">.  </w:t>
      </w:r>
      <w:r w:rsidR="002A0AEF" w:rsidRPr="00A7631D">
        <w:t>Dunn was shot five times</w:t>
      </w:r>
      <w:r w:rsidR="006F1DAF" w:rsidRPr="00A7631D">
        <w:t xml:space="preserve">, twice in his head, </w:t>
      </w:r>
      <w:r w:rsidR="00354D19" w:rsidRPr="00A7631D">
        <w:t>once</w:t>
      </w:r>
      <w:r w:rsidR="005471A3" w:rsidRPr="00A7631D">
        <w:t xml:space="preserve"> under his arm, </w:t>
      </w:r>
      <w:r w:rsidR="00354D19" w:rsidRPr="00A7631D">
        <w:t xml:space="preserve">once </w:t>
      </w:r>
      <w:r w:rsidR="005471A3" w:rsidRPr="00A7631D">
        <w:t xml:space="preserve">in his shoulder, and </w:t>
      </w:r>
      <w:r w:rsidR="00354D19" w:rsidRPr="00A7631D">
        <w:t xml:space="preserve">once </w:t>
      </w:r>
      <w:r w:rsidR="005471A3" w:rsidRPr="00A7631D">
        <w:t>to his forearm.  The shots he suffered to his head were both fatal</w:t>
      </w:r>
      <w:r w:rsidR="001F476F" w:rsidRPr="00A7631D">
        <w:t xml:space="preserve">.  </w:t>
      </w:r>
      <w:r w:rsidR="003E43C0" w:rsidRPr="00A7631D">
        <w:t xml:space="preserve">The shot to the area beneath his arm was fatal, as the bullet traveled through a vein next to his heart.  The shot he suffered to his shoulder was </w:t>
      </w:r>
      <w:r w:rsidR="000944F8" w:rsidRPr="00A7631D">
        <w:t>likely</w:t>
      </w:r>
      <w:r w:rsidR="003E43C0" w:rsidRPr="00A7631D">
        <w:t xml:space="preserve"> fatal.  The shot to his forearm was potentially fatal.  </w:t>
      </w:r>
      <w:r w:rsidR="00642C33" w:rsidRPr="00A7631D">
        <w:t>T</w:t>
      </w:r>
      <w:r w:rsidR="0050030C" w:rsidRPr="00A7631D">
        <w:t xml:space="preserve">he shots to Dunn’s head </w:t>
      </w:r>
      <w:r w:rsidR="00642C33" w:rsidRPr="00A7631D">
        <w:t>were</w:t>
      </w:r>
      <w:r w:rsidR="0050030C" w:rsidRPr="00A7631D">
        <w:t xml:space="preserve"> fired from a range of less than two feet.  </w:t>
      </w:r>
      <w:r w:rsidR="000E0D70" w:rsidRPr="00A7631D">
        <w:t xml:space="preserve">The shots to Dunn’s shoulder, </w:t>
      </w:r>
      <w:r w:rsidR="000E0D70" w:rsidRPr="00A7631D">
        <w:lastRenderedPageBreak/>
        <w:t xml:space="preserve">forearm, and arm were each </w:t>
      </w:r>
      <w:r w:rsidR="00213D99" w:rsidRPr="00A7631D">
        <w:t xml:space="preserve">fired </w:t>
      </w:r>
      <w:r w:rsidR="000E0D70" w:rsidRPr="00A7631D">
        <w:t xml:space="preserve">from a distance of at least two feet.  </w:t>
      </w:r>
    </w:p>
    <w:p w14:paraId="507E2BAE" w14:textId="768E09C1" w:rsidR="0057432A" w:rsidRPr="00A7631D" w:rsidRDefault="0057432A" w:rsidP="00D910BE">
      <w:pPr>
        <w:pStyle w:val="Heading4"/>
        <w:numPr>
          <w:ilvl w:val="0"/>
          <w:numId w:val="5"/>
        </w:numPr>
        <w:ind w:left="2016" w:hanging="432"/>
      </w:pPr>
      <w:r w:rsidRPr="00A7631D">
        <w:t>After the shooting</w:t>
      </w:r>
    </w:p>
    <w:p w14:paraId="69689D60" w14:textId="560D5F27" w:rsidR="00C2752F" w:rsidRPr="00A7631D" w:rsidRDefault="000D1427" w:rsidP="00D910BE">
      <w:pPr>
        <w:ind w:firstLine="720"/>
      </w:pPr>
      <w:r w:rsidRPr="00A7631D">
        <w:t xml:space="preserve">On the evening of the shooting </w:t>
      </w:r>
      <w:r w:rsidR="0018644E" w:rsidRPr="00A7631D">
        <w:t>o</w:t>
      </w:r>
      <w:r w:rsidRPr="00A7631D">
        <w:t xml:space="preserve">ne of </w:t>
      </w:r>
      <w:proofErr w:type="spellStart"/>
      <w:r w:rsidRPr="00A7631D">
        <w:t>Pops’s</w:t>
      </w:r>
      <w:proofErr w:type="spellEnd"/>
      <w:r w:rsidRPr="00A7631D">
        <w:t xml:space="preserve"> relatives</w:t>
      </w:r>
      <w:r w:rsidR="0018644E" w:rsidRPr="00A7631D">
        <w:t xml:space="preserve"> hosted a barbeque. </w:t>
      </w:r>
      <w:r w:rsidR="00A37C2B" w:rsidRPr="00A7631D">
        <w:t xml:space="preserve"> </w:t>
      </w:r>
      <w:r w:rsidR="0018644E" w:rsidRPr="00A7631D">
        <w:t xml:space="preserve">Larry Barnes </w:t>
      </w:r>
      <w:r w:rsidR="004B284B" w:rsidRPr="00A7631D">
        <w:t>— a friend of Pops and Wilson —</w:t>
      </w:r>
      <w:r w:rsidR="00E94A97">
        <w:t xml:space="preserve"> </w:t>
      </w:r>
      <w:r w:rsidR="0018644E" w:rsidRPr="00A7631D">
        <w:t xml:space="preserve">attended the barbeque, along with Wilson.  While there, </w:t>
      </w:r>
      <w:proofErr w:type="spellStart"/>
      <w:r w:rsidR="0018644E" w:rsidRPr="00A7631D">
        <w:t>Pops’s</w:t>
      </w:r>
      <w:proofErr w:type="spellEnd"/>
      <w:r w:rsidR="0018644E" w:rsidRPr="00A7631D">
        <w:t xml:space="preserve"> brother, Aziz Harris, asked Barnes for assistance</w:t>
      </w:r>
      <w:r w:rsidR="00E0610B" w:rsidRPr="00A7631D">
        <w:t xml:space="preserve"> burning a stolen car.  Barnes, Harris, and </w:t>
      </w:r>
      <w:proofErr w:type="spellStart"/>
      <w:r w:rsidR="00E0610B" w:rsidRPr="00A7631D">
        <w:t>Pops’s</w:t>
      </w:r>
      <w:proofErr w:type="spellEnd"/>
      <w:r w:rsidR="00E0610B" w:rsidRPr="00A7631D">
        <w:t xml:space="preserve"> girlfriend d</w:t>
      </w:r>
      <w:r w:rsidR="001019AA" w:rsidRPr="00A7631D">
        <w:t xml:space="preserve">rove in a Honda to an alley where they burned </w:t>
      </w:r>
      <w:r w:rsidR="00093188" w:rsidRPr="00A7631D">
        <w:t>Dunn’s stolen</w:t>
      </w:r>
      <w:r w:rsidR="001019AA" w:rsidRPr="00A7631D">
        <w:t xml:space="preserve"> El Camino.  </w:t>
      </w:r>
      <w:r w:rsidR="00B971AF" w:rsidRPr="00A7631D">
        <w:t xml:space="preserve">A nine-millimeter </w:t>
      </w:r>
      <w:proofErr w:type="spellStart"/>
      <w:r w:rsidR="00B971AF" w:rsidRPr="00A7631D">
        <w:t>Lorcin</w:t>
      </w:r>
      <w:proofErr w:type="spellEnd"/>
      <w:r w:rsidR="00B971AF" w:rsidRPr="00A7631D">
        <w:t xml:space="preserve"> pistol</w:t>
      </w:r>
      <w:r w:rsidR="00B971AF" w:rsidRPr="00A7631D" w:rsidDel="0053354F">
        <w:t xml:space="preserve"> </w:t>
      </w:r>
      <w:r w:rsidR="00B971AF" w:rsidRPr="00A7631D">
        <w:t xml:space="preserve">was </w:t>
      </w:r>
      <w:r w:rsidR="00B133D4" w:rsidRPr="00A7631D">
        <w:t>in t</w:t>
      </w:r>
      <w:r w:rsidR="00213D99" w:rsidRPr="00A7631D">
        <w:t xml:space="preserve">he </w:t>
      </w:r>
      <w:r w:rsidR="00B133D4" w:rsidRPr="00A7631D">
        <w:t xml:space="preserve">filter, in an </w:t>
      </w:r>
      <w:r w:rsidR="003E2380" w:rsidRPr="00A7631D">
        <w:t xml:space="preserve">area </w:t>
      </w:r>
      <w:r w:rsidR="00B133D4" w:rsidRPr="00A7631D">
        <w:t xml:space="preserve">located </w:t>
      </w:r>
      <w:r w:rsidR="003E2380" w:rsidRPr="00A7631D">
        <w:t xml:space="preserve">beneath the </w:t>
      </w:r>
      <w:r w:rsidR="00213D99" w:rsidRPr="00A7631D">
        <w:t xml:space="preserve">car’s carburetor </w:t>
      </w:r>
      <w:r w:rsidR="003E2380" w:rsidRPr="00A7631D">
        <w:t>lid</w:t>
      </w:r>
      <w:r w:rsidR="000E3129" w:rsidRPr="00A7631D">
        <w:t>.</w:t>
      </w:r>
      <w:r w:rsidR="001F4BD0" w:rsidRPr="00A7631D">
        <w:t xml:space="preserve">  The tires were in poor condition and the El Camino had no radio.  </w:t>
      </w:r>
    </w:p>
    <w:p w14:paraId="089E9AF3" w14:textId="5687716E" w:rsidR="00401CCD" w:rsidRPr="00A7631D" w:rsidRDefault="00744562" w:rsidP="00D910BE">
      <w:pPr>
        <w:ind w:firstLine="720"/>
      </w:pPr>
      <w:r w:rsidRPr="00A7631D">
        <w:t>On February 12, 1998,</w:t>
      </w:r>
      <w:r w:rsidR="00343994" w:rsidRPr="00A7631D">
        <w:t xml:space="preserve"> Detective Richard Conant</w:t>
      </w:r>
      <w:r w:rsidRPr="00A7631D">
        <w:t xml:space="preserve"> </w:t>
      </w:r>
      <w:r w:rsidR="00AB54C1" w:rsidRPr="00A7631D">
        <w:t>of the Long Beach</w:t>
      </w:r>
      <w:r w:rsidR="003D0A2F" w:rsidRPr="00A7631D">
        <w:t xml:space="preserve"> </w:t>
      </w:r>
      <w:r w:rsidR="00AB54C1" w:rsidRPr="00A7631D">
        <w:t xml:space="preserve">Police Department </w:t>
      </w:r>
      <w:r w:rsidRPr="00A7631D">
        <w:t xml:space="preserve">stopped </w:t>
      </w:r>
      <w:r w:rsidR="00406485" w:rsidRPr="00A7631D">
        <w:t xml:space="preserve">Pops, who was driving </w:t>
      </w:r>
      <w:r w:rsidR="002E2B77" w:rsidRPr="00A7631D">
        <w:t>a Camaro with chrome rims.</w:t>
      </w:r>
      <w:r w:rsidR="00375B44" w:rsidRPr="00A7631D">
        <w:t xml:space="preserve">  </w:t>
      </w:r>
      <w:r w:rsidR="009C1AC0" w:rsidRPr="00A7631D">
        <w:t xml:space="preserve">Detective Conant conducted the stop because he believed the </w:t>
      </w:r>
      <w:r w:rsidR="0045224E" w:rsidRPr="00A7631D">
        <w:t>rims</w:t>
      </w:r>
      <w:r w:rsidR="002A13B3" w:rsidRPr="00A7631D">
        <w:t xml:space="preserve"> </w:t>
      </w:r>
      <w:r w:rsidR="009C1AC0" w:rsidRPr="00A7631D">
        <w:t xml:space="preserve">matched the description of </w:t>
      </w:r>
      <w:r w:rsidR="0066516E" w:rsidRPr="00A7631D">
        <w:t>those stolen from a car</w:t>
      </w:r>
      <w:r w:rsidR="00C07D27" w:rsidRPr="00A7631D">
        <w:t xml:space="preserve"> owned by one of the victims of</w:t>
      </w:r>
      <w:r w:rsidR="009C1AC0" w:rsidRPr="00A7631D">
        <w:t xml:space="preserve"> the </w:t>
      </w:r>
      <w:r w:rsidR="00EC55D4" w:rsidRPr="00A7631D">
        <w:t>car wash</w:t>
      </w:r>
      <w:r w:rsidR="009C1AC0" w:rsidRPr="00A7631D">
        <w:t xml:space="preserve"> murders.  </w:t>
      </w:r>
      <w:proofErr w:type="spellStart"/>
      <w:r w:rsidR="00375B44" w:rsidRPr="00A7631D">
        <w:t>Pops’s</w:t>
      </w:r>
      <w:proofErr w:type="spellEnd"/>
      <w:r w:rsidR="00375B44" w:rsidRPr="00A7631D">
        <w:t xml:space="preserve"> Camaro was painted a light color</w:t>
      </w:r>
      <w:r w:rsidR="007C6B24" w:rsidRPr="00A7631D">
        <w:t xml:space="preserve">.  Three weeks before the stop, </w:t>
      </w:r>
      <w:r w:rsidR="007F7482" w:rsidRPr="00A7631D">
        <w:t>Barnes</w:t>
      </w:r>
      <w:r w:rsidR="002A13B3" w:rsidRPr="00A7631D">
        <w:t xml:space="preserve"> had</w:t>
      </w:r>
      <w:r w:rsidR="007C6B24" w:rsidRPr="00A7631D">
        <w:t xml:space="preserve"> joined</w:t>
      </w:r>
      <w:r w:rsidR="0015178B" w:rsidRPr="00A7631D">
        <w:t xml:space="preserve"> </w:t>
      </w:r>
      <w:r w:rsidR="007F7482" w:rsidRPr="00A7631D">
        <w:t>Pops, Wilson,</w:t>
      </w:r>
      <w:r w:rsidR="0015178B" w:rsidRPr="00A7631D">
        <w:t xml:space="preserve"> and others at a local bowling alley, where </w:t>
      </w:r>
      <w:r w:rsidR="007F7482" w:rsidRPr="00A7631D">
        <w:t>Barnes</w:t>
      </w:r>
      <w:r w:rsidR="0015178B" w:rsidRPr="00A7631D">
        <w:t xml:space="preserve"> noted that </w:t>
      </w:r>
      <w:proofErr w:type="spellStart"/>
      <w:r w:rsidR="0015178B" w:rsidRPr="00A7631D">
        <w:t>Pops’s</w:t>
      </w:r>
      <w:proofErr w:type="spellEnd"/>
      <w:r w:rsidR="0015178B" w:rsidRPr="00A7631D">
        <w:t xml:space="preserve"> Camaro </w:t>
      </w:r>
      <w:r w:rsidR="00401CCD" w:rsidRPr="00A7631D">
        <w:t>had been</w:t>
      </w:r>
      <w:r w:rsidR="0015178B" w:rsidRPr="00A7631D">
        <w:t xml:space="preserve"> fitted w</w:t>
      </w:r>
      <w:r w:rsidR="006A2840" w:rsidRPr="00A7631D">
        <w:t xml:space="preserve">ith </w:t>
      </w:r>
      <w:r w:rsidR="00375B44" w:rsidRPr="00A7631D">
        <w:t xml:space="preserve">rims that matched the car’s </w:t>
      </w:r>
      <w:r w:rsidR="0015178B" w:rsidRPr="00A7631D">
        <w:t xml:space="preserve">light </w:t>
      </w:r>
      <w:r w:rsidR="00375B44" w:rsidRPr="00A7631D">
        <w:t xml:space="preserve">paint color.  </w:t>
      </w:r>
      <w:r w:rsidR="001F7BF3" w:rsidRPr="00A7631D">
        <w:t>The Camaro had different rims at the time of the February 12</w:t>
      </w:r>
      <w:r w:rsidR="001C5BD6" w:rsidRPr="00A7631D">
        <w:t>, 1998</w:t>
      </w:r>
      <w:r w:rsidR="001F7BF3" w:rsidRPr="00A7631D">
        <w:t xml:space="preserve"> stop.  </w:t>
      </w:r>
    </w:p>
    <w:p w14:paraId="6B2CC49D" w14:textId="0AFB546C" w:rsidR="00884F7E" w:rsidRPr="00A7631D" w:rsidRDefault="00CC5797" w:rsidP="00D910BE">
      <w:pPr>
        <w:ind w:firstLine="720"/>
      </w:pPr>
      <w:r w:rsidRPr="00A7631D">
        <w:t xml:space="preserve">Wilson, </w:t>
      </w:r>
      <w:r w:rsidR="0019038E" w:rsidRPr="00A7631D">
        <w:t xml:space="preserve">Harris, and Barnes were </w:t>
      </w:r>
      <w:r w:rsidR="001F7BF3" w:rsidRPr="00A7631D">
        <w:t>passengers</w:t>
      </w:r>
      <w:r w:rsidR="0019038E" w:rsidRPr="00A7631D">
        <w:t xml:space="preserve"> in </w:t>
      </w:r>
      <w:proofErr w:type="spellStart"/>
      <w:r w:rsidR="00F456C0" w:rsidRPr="00A7631D">
        <w:t>Pops</w:t>
      </w:r>
      <w:r w:rsidR="001F7BF3" w:rsidRPr="00A7631D">
        <w:t>’s</w:t>
      </w:r>
      <w:proofErr w:type="spellEnd"/>
      <w:r w:rsidR="001F7BF3" w:rsidRPr="00A7631D">
        <w:t xml:space="preserve"> car when it was stopped</w:t>
      </w:r>
      <w:r w:rsidR="00F456C0" w:rsidRPr="00A7631D">
        <w:t>.</w:t>
      </w:r>
      <w:r w:rsidR="001F7BF3" w:rsidRPr="00A7631D">
        <w:t xml:space="preserve">  </w:t>
      </w:r>
      <w:r w:rsidR="008F26FC" w:rsidRPr="00A7631D">
        <w:t xml:space="preserve">Wilson became verbally combative with </w:t>
      </w:r>
      <w:r w:rsidR="004637D0" w:rsidRPr="00A7631D">
        <w:t>detectives during the stop, angry that officer</w:t>
      </w:r>
      <w:r w:rsidR="00213D99" w:rsidRPr="00A7631D">
        <w:t xml:space="preserve">s were conducting </w:t>
      </w:r>
      <w:r w:rsidR="004637D0" w:rsidRPr="00A7631D">
        <w:t xml:space="preserve">safety pat downs.  </w:t>
      </w:r>
      <w:r w:rsidR="00213D99" w:rsidRPr="00A7631D">
        <w:t xml:space="preserve">Officers arrested </w:t>
      </w:r>
      <w:r w:rsidR="00DA5B1F" w:rsidRPr="00A7631D">
        <w:t>Barnes based upon an outstanding warrant</w:t>
      </w:r>
      <w:r w:rsidR="009628FE" w:rsidRPr="00A7631D">
        <w:t>, but did not arrest</w:t>
      </w:r>
      <w:r w:rsidR="00DA5B1F" w:rsidRPr="00A7631D">
        <w:t xml:space="preserve"> Pops, Wilson</w:t>
      </w:r>
      <w:r w:rsidR="001F1A4B" w:rsidRPr="00A7631D">
        <w:t>,</w:t>
      </w:r>
      <w:r w:rsidR="00DA5B1F" w:rsidRPr="00A7631D">
        <w:t xml:space="preserve"> </w:t>
      </w:r>
      <w:r w:rsidR="009628FE" w:rsidRPr="00A7631D">
        <w:t xml:space="preserve">or </w:t>
      </w:r>
      <w:r w:rsidR="00DA5B1F" w:rsidRPr="00A7631D">
        <w:t xml:space="preserve">Harris at that time.  </w:t>
      </w:r>
    </w:p>
    <w:p w14:paraId="21016EC9" w14:textId="72BCE55C" w:rsidR="00727A4E" w:rsidRPr="00A7631D" w:rsidRDefault="00884F7E" w:rsidP="00D910BE">
      <w:pPr>
        <w:ind w:firstLine="720"/>
      </w:pPr>
      <w:r w:rsidRPr="00A7631D">
        <w:lastRenderedPageBreak/>
        <w:t>On February 22, 1998</w:t>
      </w:r>
      <w:r w:rsidR="00F75F46" w:rsidRPr="00A7631D">
        <w:t>, Bowie saw Pops at a gas station in Long Beach.  Pops was driving a Camaro with IROC rims</w:t>
      </w:r>
      <w:r w:rsidR="007E7113" w:rsidRPr="00A7631D">
        <w:t xml:space="preserve">, and Bowie believed the rims were the same as those that had been on Dunn’s car.  As Pops left the gas station, Bowie </w:t>
      </w:r>
      <w:r w:rsidR="00C05831" w:rsidRPr="00A7631D">
        <w:t>paged</w:t>
      </w:r>
      <w:r w:rsidR="009D5205" w:rsidRPr="00A7631D">
        <w:t xml:space="preserve"> </w:t>
      </w:r>
      <w:r w:rsidR="00066E80" w:rsidRPr="00A7631D">
        <w:t>Detective Reynolds</w:t>
      </w:r>
      <w:r w:rsidR="00C05831" w:rsidRPr="00A7631D">
        <w:t xml:space="preserve">, and when they spoke Bowie </w:t>
      </w:r>
      <w:r w:rsidR="00046BF8" w:rsidRPr="00A7631D">
        <w:t>urgently and fearfully</w:t>
      </w:r>
      <w:r w:rsidR="00066E80" w:rsidRPr="00A7631D">
        <w:t xml:space="preserve"> </w:t>
      </w:r>
      <w:r w:rsidR="0018171A" w:rsidRPr="00A7631D">
        <w:t xml:space="preserve">and described what he had seen.  </w:t>
      </w:r>
    </w:p>
    <w:p w14:paraId="62DB7784" w14:textId="7BA58B84" w:rsidR="00727A4E" w:rsidRPr="00A7631D" w:rsidRDefault="001B350F" w:rsidP="00D910BE">
      <w:pPr>
        <w:pStyle w:val="Heading5"/>
        <w:numPr>
          <w:ilvl w:val="0"/>
          <w:numId w:val="19"/>
        </w:numPr>
        <w:ind w:left="2448" w:hanging="432"/>
      </w:pPr>
      <w:r w:rsidRPr="00A7631D">
        <w:t>T</w:t>
      </w:r>
      <w:r w:rsidR="00727A4E" w:rsidRPr="00A7631D">
        <w:t xml:space="preserve">he </w:t>
      </w:r>
      <w:r w:rsidR="00993169" w:rsidRPr="00A7631D">
        <w:t>lineup</w:t>
      </w:r>
      <w:r w:rsidR="00727A4E" w:rsidRPr="00A7631D">
        <w:t>s</w:t>
      </w:r>
    </w:p>
    <w:p w14:paraId="4124B9D9" w14:textId="4ACC364E" w:rsidR="0045415D" w:rsidRPr="00A7631D" w:rsidRDefault="00EA39BE" w:rsidP="00D910BE">
      <w:pPr>
        <w:ind w:firstLine="720"/>
      </w:pPr>
      <w:r w:rsidRPr="00A7631D">
        <w:t xml:space="preserve">On February 11, 1998, Detective Reynolds </w:t>
      </w:r>
      <w:r w:rsidR="00EB56DB" w:rsidRPr="00A7631D">
        <w:t>showed Williams a mug book consisting of 20 photographs spread across five pages,</w:t>
      </w:r>
      <w:r w:rsidR="00CB4512" w:rsidRPr="00A7631D">
        <w:t xml:space="preserve"> </w:t>
      </w:r>
      <w:r w:rsidR="007C4A06" w:rsidRPr="00A7631D">
        <w:t xml:space="preserve">none of which depicted Pops or Wilson, </w:t>
      </w:r>
      <w:r w:rsidR="00CB4512" w:rsidRPr="00A7631D">
        <w:t xml:space="preserve">and Williams was unable to identify anyone.  </w:t>
      </w:r>
      <w:r w:rsidR="007260EE" w:rsidRPr="00A7631D">
        <w:t xml:space="preserve">Reynolds showed </w:t>
      </w:r>
      <w:r w:rsidR="00DD402F" w:rsidRPr="00A7631D">
        <w:t xml:space="preserve">the </w:t>
      </w:r>
      <w:r w:rsidR="00BA5178" w:rsidRPr="00A7631D">
        <w:t xml:space="preserve">same </w:t>
      </w:r>
      <w:r w:rsidR="00DD402F" w:rsidRPr="00A7631D">
        <w:t xml:space="preserve">mug book to </w:t>
      </w:r>
      <w:r w:rsidR="007260EE" w:rsidRPr="00A7631D">
        <w:t>Brown</w:t>
      </w:r>
      <w:r w:rsidR="00DD402F" w:rsidRPr="00A7631D">
        <w:t>, who was also unable to identify anyone.</w:t>
      </w:r>
      <w:r w:rsidR="009C3BAE" w:rsidRPr="00A7631D">
        <w:t xml:space="preserve">  </w:t>
      </w:r>
      <w:r w:rsidR="002238EA" w:rsidRPr="00A7631D">
        <w:t>On February 12, Reynolds showed Williams a</w:t>
      </w:r>
      <w:r w:rsidR="00725B47" w:rsidRPr="00A7631D">
        <w:t xml:space="preserve"> </w:t>
      </w:r>
      <w:r w:rsidR="002238EA" w:rsidRPr="00A7631D">
        <w:t>single</w:t>
      </w:r>
      <w:r w:rsidR="007B02EE" w:rsidRPr="00A7631D">
        <w:t xml:space="preserve"> </w:t>
      </w:r>
      <w:r w:rsidR="00AE27AF" w:rsidRPr="00A7631D">
        <w:t xml:space="preserve">sheet </w:t>
      </w:r>
      <w:r w:rsidR="007B02EE" w:rsidRPr="00A7631D">
        <w:t>containing six images</w:t>
      </w:r>
      <w:r w:rsidR="00D04C99">
        <w:t xml:space="preserve"> </w:t>
      </w:r>
      <w:r w:rsidR="00766672">
        <w:t>—</w:t>
      </w:r>
      <w:r w:rsidR="00D04C99">
        <w:t xml:space="preserve"> </w:t>
      </w:r>
      <w:r w:rsidR="009C3BAE" w:rsidRPr="00A7631D">
        <w:t>a “six-pack</w:t>
      </w:r>
      <w:r w:rsidR="00D04C99">
        <w:t>”</w:t>
      </w:r>
      <w:r w:rsidR="00E94A97">
        <w:t xml:space="preserve"> </w:t>
      </w:r>
      <w:r w:rsidR="0074694E">
        <w:t>—</w:t>
      </w:r>
      <w:r w:rsidR="00D04C99">
        <w:t xml:space="preserve"> </w:t>
      </w:r>
      <w:r w:rsidR="00156A20" w:rsidRPr="00A7631D">
        <w:t>with</w:t>
      </w:r>
      <w:r w:rsidR="007B02EE" w:rsidRPr="00A7631D">
        <w:t xml:space="preserve"> none of </w:t>
      </w:r>
      <w:r w:rsidR="0039487A" w:rsidRPr="00A7631D">
        <w:t>the</w:t>
      </w:r>
      <w:r w:rsidR="00156A20" w:rsidRPr="00A7631D">
        <w:t xml:space="preserve"> images</w:t>
      </w:r>
      <w:r w:rsidR="007B02EE" w:rsidRPr="00A7631D">
        <w:t xml:space="preserve"> depict</w:t>
      </w:r>
      <w:r w:rsidR="00156A20" w:rsidRPr="00A7631D">
        <w:t>ing</w:t>
      </w:r>
      <w:r w:rsidR="00536E0B" w:rsidRPr="00A7631D">
        <w:t xml:space="preserve"> Pops or Wilson</w:t>
      </w:r>
      <w:r w:rsidR="00AE27AF" w:rsidRPr="00A7631D">
        <w:t xml:space="preserve">.  </w:t>
      </w:r>
      <w:r w:rsidR="002238EA" w:rsidRPr="00A7631D">
        <w:t>Williams was unable to identify any</w:t>
      </w:r>
      <w:r w:rsidR="00F12786" w:rsidRPr="00A7631D">
        <w:t>one</w:t>
      </w:r>
      <w:r w:rsidR="00AE27AF" w:rsidRPr="00A7631D">
        <w:t>, but</w:t>
      </w:r>
      <w:r w:rsidR="00F12786" w:rsidRPr="00A7631D">
        <w:t xml:space="preserve"> he noted that the individual depicted in the number one position </w:t>
      </w:r>
      <w:r w:rsidR="00D241E8" w:rsidRPr="00A7631D">
        <w:t xml:space="preserve">“almost” </w:t>
      </w:r>
      <w:r w:rsidR="00F12786" w:rsidRPr="00A7631D">
        <w:t xml:space="preserve">looked like one of the men who </w:t>
      </w:r>
      <w:r w:rsidR="008821F3" w:rsidRPr="00A7631D">
        <w:t xml:space="preserve">participated </w:t>
      </w:r>
      <w:r w:rsidR="00F12786" w:rsidRPr="00A7631D">
        <w:t xml:space="preserve">in the shooting.  </w:t>
      </w:r>
      <w:r w:rsidR="00F01327" w:rsidRPr="00A7631D">
        <w:t xml:space="preserve">Reynolds showed that </w:t>
      </w:r>
      <w:r w:rsidR="00CA04AF" w:rsidRPr="00A7631D">
        <w:t xml:space="preserve">same </w:t>
      </w:r>
      <w:r w:rsidR="00F01327" w:rsidRPr="00A7631D">
        <w:t xml:space="preserve">six-pack to </w:t>
      </w:r>
      <w:r w:rsidR="007C4A06" w:rsidRPr="00A7631D">
        <w:t xml:space="preserve">Brown, who similarly noted that </w:t>
      </w:r>
      <w:r w:rsidR="00CA04AF" w:rsidRPr="00A7631D">
        <w:t xml:space="preserve">the person in the number one position </w:t>
      </w:r>
      <w:r w:rsidR="0035438F" w:rsidRPr="00A7631D">
        <w:t xml:space="preserve">looked closest to the driver.  </w:t>
      </w:r>
    </w:p>
    <w:p w14:paraId="6F03EC99" w14:textId="3793A324" w:rsidR="00786430" w:rsidRPr="00A7631D" w:rsidRDefault="00607650" w:rsidP="000E6B78">
      <w:pPr>
        <w:ind w:firstLine="720"/>
      </w:pPr>
      <w:r>
        <w:t>Eight days later</w:t>
      </w:r>
      <w:r w:rsidR="00D56ADF" w:rsidRPr="00A7631D">
        <w:t xml:space="preserve">, </w:t>
      </w:r>
      <w:r w:rsidR="001B679B" w:rsidRPr="00A7631D">
        <w:t xml:space="preserve">Bowie participated in a photo </w:t>
      </w:r>
      <w:r w:rsidR="00993169" w:rsidRPr="00A7631D">
        <w:t>lineup</w:t>
      </w:r>
      <w:r w:rsidR="001B679B" w:rsidRPr="00A7631D">
        <w:t xml:space="preserve">.  </w:t>
      </w:r>
      <w:r w:rsidR="00F119D9" w:rsidRPr="00A7631D">
        <w:t>Reynolds</w:t>
      </w:r>
      <w:r w:rsidR="00BA2FF5" w:rsidRPr="00A7631D">
        <w:t xml:space="preserve"> showed Bowie a mug book consisting</w:t>
      </w:r>
      <w:r w:rsidR="00F119D9" w:rsidRPr="00A7631D">
        <w:t xml:space="preserve"> of </w:t>
      </w:r>
      <w:r w:rsidR="00997AB0" w:rsidRPr="00A7631D">
        <w:t>20 photographs spread across five pages</w:t>
      </w:r>
      <w:r w:rsidR="00B80EB4" w:rsidRPr="00A7631D">
        <w:t>, as well as a single six-pack</w:t>
      </w:r>
      <w:r w:rsidR="00DF41DA" w:rsidRPr="00A7631D">
        <w:t xml:space="preserve">, </w:t>
      </w:r>
      <w:r w:rsidR="00741DCE" w:rsidRPr="00A7631D">
        <w:t>none of which depicted Pops or Wilson</w:t>
      </w:r>
      <w:r w:rsidR="00997AB0" w:rsidRPr="00A7631D">
        <w:t xml:space="preserve">.  </w:t>
      </w:r>
      <w:r w:rsidR="00927441" w:rsidRPr="00A7631D">
        <w:t xml:space="preserve">Bowie </w:t>
      </w:r>
      <w:r w:rsidR="00B80EB4" w:rsidRPr="00A7631D">
        <w:t>was unable to identify any of the individuals pictured</w:t>
      </w:r>
      <w:r w:rsidR="002D567D" w:rsidRPr="00A7631D">
        <w:t xml:space="preserve"> as those involved with the murders</w:t>
      </w:r>
      <w:r w:rsidR="00B80EB4" w:rsidRPr="00A7631D">
        <w:t xml:space="preserve">.  </w:t>
      </w:r>
      <w:r w:rsidR="00941387" w:rsidRPr="00A7631D">
        <w:t xml:space="preserve">Reynolds </w:t>
      </w:r>
      <w:r w:rsidR="00D84997" w:rsidRPr="00A7631D">
        <w:t xml:space="preserve">next </w:t>
      </w:r>
      <w:r w:rsidR="00941387" w:rsidRPr="00A7631D">
        <w:t xml:space="preserve">showed two </w:t>
      </w:r>
      <w:r w:rsidR="00D84997" w:rsidRPr="00A7631D">
        <w:t xml:space="preserve">photographs to Bowie, who, upon seeing them, became angry and began crying.  </w:t>
      </w:r>
      <w:r w:rsidR="00D946DB" w:rsidRPr="00A7631D">
        <w:t xml:space="preserve">Pointing to one of the photographs, </w:t>
      </w:r>
      <w:r w:rsidR="00932EF6" w:rsidRPr="00A7631D">
        <w:t xml:space="preserve">which depicted Pops, </w:t>
      </w:r>
      <w:r w:rsidR="00D946DB" w:rsidRPr="00A7631D">
        <w:t>Bowie said, “That’s the motherfucker right there</w:t>
      </w:r>
      <w:r w:rsidR="000C08FE" w:rsidRPr="00A7631D">
        <w:t xml:space="preserve">.”  </w:t>
      </w:r>
      <w:r w:rsidR="00213D99" w:rsidRPr="00A7631D">
        <w:t>Reynolds did not show any</w:t>
      </w:r>
      <w:r w:rsidR="00987E13" w:rsidRPr="00A7631D">
        <w:t xml:space="preserve"> photographs of Wilson to Bowie during this </w:t>
      </w:r>
      <w:r w:rsidR="00993169" w:rsidRPr="00A7631D">
        <w:t>lineup</w:t>
      </w:r>
      <w:r w:rsidR="00987E13" w:rsidRPr="00A7631D">
        <w:t xml:space="preserve">.  </w:t>
      </w:r>
    </w:p>
    <w:p w14:paraId="684EE23C" w14:textId="4CCB787E" w:rsidR="007F00D5" w:rsidRPr="00A7631D" w:rsidRDefault="00A36262" w:rsidP="000E6B78">
      <w:pPr>
        <w:ind w:firstLine="720"/>
      </w:pPr>
      <w:r w:rsidRPr="00A7631D">
        <w:lastRenderedPageBreak/>
        <w:t xml:space="preserve">On February 23, 1998, Reynolds prepared a second </w:t>
      </w:r>
      <w:r w:rsidR="003C588A" w:rsidRPr="00A7631D">
        <w:t>six-pack</w:t>
      </w:r>
      <w:r w:rsidR="00B50CE2" w:rsidRPr="00A7631D">
        <w:t>, this time</w:t>
      </w:r>
      <w:r w:rsidR="003C588A" w:rsidRPr="00A7631D">
        <w:t xml:space="preserve"> containing </w:t>
      </w:r>
      <w:r w:rsidR="00B50CE2" w:rsidRPr="00A7631D">
        <w:t xml:space="preserve">a photograph of </w:t>
      </w:r>
      <w:r w:rsidR="003C588A" w:rsidRPr="00A7631D">
        <w:t xml:space="preserve">Wilson.  </w:t>
      </w:r>
      <w:r w:rsidR="00B3195F" w:rsidRPr="00A7631D">
        <w:t xml:space="preserve">Bowie </w:t>
      </w:r>
      <w:r w:rsidR="00B50CE2" w:rsidRPr="00A7631D">
        <w:t xml:space="preserve">looked at </w:t>
      </w:r>
      <w:r w:rsidR="00B3195F" w:rsidRPr="00A7631D">
        <w:t xml:space="preserve">the </w:t>
      </w:r>
      <w:r w:rsidR="00B50CE2" w:rsidRPr="00A7631D">
        <w:t xml:space="preserve">images </w:t>
      </w:r>
      <w:r w:rsidR="00B3195F" w:rsidRPr="00A7631D">
        <w:t>and identified the person in the number two position — Wilson — as the Honda’s driver</w:t>
      </w:r>
      <w:r w:rsidR="000B2BB5" w:rsidRPr="00A7631D">
        <w:t xml:space="preserve">.  </w:t>
      </w:r>
      <w:r w:rsidR="00E66DFC" w:rsidRPr="00A7631D">
        <w:t xml:space="preserve">Bowie stated, “I know for sure that’s </w:t>
      </w:r>
      <w:proofErr w:type="gramStart"/>
      <w:r w:rsidR="00E66DFC" w:rsidRPr="00A7631D">
        <w:t>him,</w:t>
      </w:r>
      <w:proofErr w:type="gramEnd"/>
      <w:r w:rsidR="00E66DFC" w:rsidRPr="00A7631D">
        <w:t xml:space="preserve"> I know the shape of his mouth</w:t>
      </w:r>
      <w:r w:rsidR="00445323" w:rsidRPr="00A7631D">
        <w:t xml:space="preserve">.”  </w:t>
      </w:r>
      <w:r w:rsidR="00612A41" w:rsidRPr="00A7631D">
        <w:t xml:space="preserve">That same day, </w:t>
      </w:r>
      <w:r w:rsidR="00EA52FC" w:rsidRPr="00A7631D">
        <w:t>Reynolds showed Williams two different six-packs, one of which contained a photo of Pops and the other a photo of Wilson</w:t>
      </w:r>
      <w:r w:rsidR="00037D3C" w:rsidRPr="00A7631D">
        <w:t>.</w:t>
      </w:r>
      <w:r w:rsidR="00C766CE" w:rsidRPr="00A7631D">
        <w:t xml:space="preserve">  </w:t>
      </w:r>
      <w:r w:rsidR="00EA52FC" w:rsidRPr="00A7631D">
        <w:t xml:space="preserve">Williams </w:t>
      </w:r>
      <w:r w:rsidR="00C766CE" w:rsidRPr="00A7631D">
        <w:t xml:space="preserve">was unable to </w:t>
      </w:r>
      <w:r w:rsidR="00EA52FC" w:rsidRPr="00A7631D">
        <w:t>identify anyone.</w:t>
      </w:r>
      <w:r w:rsidR="00C766CE" w:rsidRPr="00A7631D">
        <w:t xml:space="preserve">  </w:t>
      </w:r>
    </w:p>
    <w:p w14:paraId="3BB2132A" w14:textId="174C1B4A" w:rsidR="00EA52FC" w:rsidRPr="00A7631D" w:rsidRDefault="00570CB1" w:rsidP="000E6B78">
      <w:pPr>
        <w:ind w:firstLine="720"/>
      </w:pPr>
      <w:r>
        <w:t>On</w:t>
      </w:r>
      <w:r w:rsidRPr="00A7631D">
        <w:t xml:space="preserve"> </w:t>
      </w:r>
      <w:r w:rsidR="00037D3C" w:rsidRPr="00A7631D">
        <w:t>February 24</w:t>
      </w:r>
      <w:r w:rsidR="0006644E" w:rsidRPr="00A7631D">
        <w:t>, Brown participated in a photo lineup</w:t>
      </w:r>
      <w:r w:rsidR="001F13A1" w:rsidRPr="00A7631D">
        <w:t>, viewing a six-pack containing an image of Wilson</w:t>
      </w:r>
      <w:r w:rsidR="0006644E" w:rsidRPr="00A7631D">
        <w:t xml:space="preserve">.  </w:t>
      </w:r>
      <w:r w:rsidR="00EE5573" w:rsidRPr="00A7631D">
        <w:t xml:space="preserve">Brown was unable to identify Wilson, although he </w:t>
      </w:r>
      <w:r w:rsidR="0006644E" w:rsidRPr="00A7631D">
        <w:t xml:space="preserve">told Detective Reynolds that the person in </w:t>
      </w:r>
      <w:r w:rsidR="001F13A1" w:rsidRPr="00A7631D">
        <w:t xml:space="preserve">the number two </w:t>
      </w:r>
      <w:r w:rsidR="0006644E" w:rsidRPr="00A7631D">
        <w:t>position</w:t>
      </w:r>
      <w:r w:rsidR="001F13A1" w:rsidRPr="00A7631D">
        <w:t xml:space="preserve"> </w:t>
      </w:r>
      <w:r w:rsidR="0006644E" w:rsidRPr="00A7631D">
        <w:t>— Wilson</w:t>
      </w:r>
      <w:r w:rsidR="001F13A1" w:rsidRPr="00A7631D">
        <w:t xml:space="preserve"> </w:t>
      </w:r>
      <w:r w:rsidR="00DA5C2B" w:rsidRPr="00A7631D">
        <w:t xml:space="preserve">— </w:t>
      </w:r>
      <w:r w:rsidR="0006644E" w:rsidRPr="00A7631D">
        <w:t xml:space="preserve">looked like he had the same complexion as the </w:t>
      </w:r>
      <w:r w:rsidR="001F13A1" w:rsidRPr="00A7631D">
        <w:t>man he saw driving</w:t>
      </w:r>
      <w:r w:rsidR="0006644E" w:rsidRPr="00A7631D">
        <w:t xml:space="preserve"> Dunn’s El Camino.  </w:t>
      </w:r>
      <w:r w:rsidR="00082D2B" w:rsidRPr="00A7631D">
        <w:t>Brown was also unable to identify Pops from</w:t>
      </w:r>
      <w:r w:rsidR="0006644E" w:rsidRPr="00A7631D">
        <w:t xml:space="preserve"> the six-pack containing </w:t>
      </w:r>
      <w:r w:rsidR="00082D2B" w:rsidRPr="00A7631D">
        <w:t>his</w:t>
      </w:r>
      <w:r w:rsidR="0006644E" w:rsidRPr="00A7631D">
        <w:t xml:space="preserve"> photo, and although Brown indicated that the photo of Pops was similar in appearance to one of the assailants</w:t>
      </w:r>
      <w:r w:rsidR="00F71F10" w:rsidRPr="00A7631D">
        <w:t xml:space="preserve">, </w:t>
      </w:r>
      <w:r w:rsidR="00FE0435" w:rsidRPr="00A7631D">
        <w:t xml:space="preserve">he said that </w:t>
      </w:r>
      <w:r w:rsidR="0052166D" w:rsidRPr="00A7631D">
        <w:t>the man he saw</w:t>
      </w:r>
      <w:r w:rsidR="00F71F10" w:rsidRPr="00A7631D">
        <w:t xml:space="preserve"> </w:t>
      </w:r>
      <w:r w:rsidR="000D40E4" w:rsidRPr="00A7631D">
        <w:t>had a</w:t>
      </w:r>
      <w:r w:rsidR="00F71F10" w:rsidRPr="00A7631D">
        <w:t xml:space="preserve"> darker </w:t>
      </w:r>
      <w:r w:rsidR="000D40E4" w:rsidRPr="00A7631D">
        <w:t>complexion than the in</w:t>
      </w:r>
      <w:r w:rsidR="00B52BD6" w:rsidRPr="00A7631D">
        <w:t>dividual depicted</w:t>
      </w:r>
      <w:r w:rsidR="0006644E" w:rsidRPr="00A7631D">
        <w:t xml:space="preserve">.  </w:t>
      </w:r>
    </w:p>
    <w:p w14:paraId="0AF1C0DC" w14:textId="11A3D9FB" w:rsidR="006C5F44" w:rsidRPr="00A7631D" w:rsidRDefault="00A63A8F" w:rsidP="000E6B78">
      <w:pPr>
        <w:ind w:firstLine="720"/>
      </w:pPr>
      <w:r w:rsidRPr="00A7631D">
        <w:t>Several months later, o</w:t>
      </w:r>
      <w:r w:rsidR="006C5F44" w:rsidRPr="00A7631D">
        <w:t xml:space="preserve">n June </w:t>
      </w:r>
      <w:r w:rsidR="004F7897" w:rsidRPr="00A7631D">
        <w:t>9</w:t>
      </w:r>
      <w:r w:rsidR="006C5F44" w:rsidRPr="00A7631D">
        <w:t>, 1998</w:t>
      </w:r>
      <w:r w:rsidR="004F7897" w:rsidRPr="00A7631D">
        <w:t xml:space="preserve">, </w:t>
      </w:r>
      <w:r w:rsidR="002569DA" w:rsidRPr="00A7631D">
        <w:t xml:space="preserve">a live </w:t>
      </w:r>
      <w:r w:rsidR="00993169" w:rsidRPr="00A7631D">
        <w:t>lineup</w:t>
      </w:r>
      <w:r w:rsidR="002569DA" w:rsidRPr="00A7631D">
        <w:t xml:space="preserve"> was conducted at the Los Angeles County Jail.  </w:t>
      </w:r>
      <w:r w:rsidR="00C400C7" w:rsidRPr="00A7631D">
        <w:t>Reynolds</w:t>
      </w:r>
      <w:r w:rsidR="00054CE2" w:rsidRPr="00A7631D">
        <w:t xml:space="preserve"> testified that Bowie</w:t>
      </w:r>
      <w:r w:rsidR="00225694" w:rsidRPr="00A7631D">
        <w:t>, Brown,</w:t>
      </w:r>
      <w:r w:rsidR="0050429F" w:rsidRPr="00A7631D">
        <w:t xml:space="preserve"> </w:t>
      </w:r>
      <w:r w:rsidR="00054CE2" w:rsidRPr="00A7631D">
        <w:t>and Williams attended t</w:t>
      </w:r>
      <w:r w:rsidR="00C20278" w:rsidRPr="00A7631D">
        <w:t>he</w:t>
      </w:r>
      <w:r w:rsidR="00054CE2" w:rsidRPr="00A7631D">
        <w:t xml:space="preserve"> witness </w:t>
      </w:r>
      <w:r w:rsidR="00993169" w:rsidRPr="00A7631D">
        <w:t>lineup</w:t>
      </w:r>
      <w:r w:rsidR="00054CE2" w:rsidRPr="00A7631D">
        <w:t xml:space="preserve">, and that </w:t>
      </w:r>
      <w:r w:rsidR="0050429F" w:rsidRPr="00A7631D">
        <w:t>they did not</w:t>
      </w:r>
      <w:r w:rsidR="00054CE2" w:rsidRPr="00A7631D">
        <w:t xml:space="preserve"> communicate with one another</w:t>
      </w:r>
      <w:r w:rsidR="00990432" w:rsidRPr="00A7631D">
        <w:t xml:space="preserve"> during the process</w:t>
      </w:r>
      <w:r w:rsidR="00054CE2" w:rsidRPr="00A7631D">
        <w:t xml:space="preserve">.  </w:t>
      </w:r>
      <w:r w:rsidR="00BE0E53" w:rsidRPr="00A7631D">
        <w:t>All three</w:t>
      </w:r>
      <w:r w:rsidR="000818AC" w:rsidRPr="00A7631D">
        <w:t xml:space="preserve"> witnesses identified Pops.  </w:t>
      </w:r>
      <w:r w:rsidR="005824C5" w:rsidRPr="00A7631D">
        <w:t>Bowie and</w:t>
      </w:r>
      <w:r w:rsidR="00EF5DAB" w:rsidRPr="00A7631D">
        <w:t xml:space="preserve"> Williams identified Wilson as the driver</w:t>
      </w:r>
      <w:r w:rsidR="00FE5F2F" w:rsidRPr="00A7631D">
        <w:t>.</w:t>
      </w:r>
      <w:r w:rsidR="002B10FC" w:rsidRPr="00A7631D">
        <w:t xml:space="preserve">  Brown could not positively identify Wilson although he </w:t>
      </w:r>
      <w:r w:rsidR="0052166D" w:rsidRPr="00A7631D">
        <w:t>believed</w:t>
      </w:r>
      <w:r w:rsidR="002B10FC" w:rsidRPr="00A7631D">
        <w:t xml:space="preserve"> Wilson was the</w:t>
      </w:r>
      <w:r w:rsidR="00FE5F2F" w:rsidRPr="00A7631D">
        <w:t xml:space="preserve"> person</w:t>
      </w:r>
      <w:r w:rsidR="002B10FC" w:rsidRPr="00A7631D">
        <w:t xml:space="preserve"> closest in appearance to the </w:t>
      </w:r>
      <w:proofErr w:type="gramStart"/>
      <w:r w:rsidR="002B10FC" w:rsidRPr="00A7631D">
        <w:t>man</w:t>
      </w:r>
      <w:proofErr w:type="gramEnd"/>
      <w:r w:rsidR="002B10FC" w:rsidRPr="00A7631D">
        <w:t xml:space="preserve"> he saw driving Dunn’s El Camino.  </w:t>
      </w:r>
      <w:r w:rsidR="00276990" w:rsidRPr="00A7631D">
        <w:t xml:space="preserve">Brown wrote on his identification card that he “only viewed [the suspect] from behind and [got] a quick view of </w:t>
      </w:r>
      <w:r w:rsidR="00D10AB3" w:rsidRPr="00A7631D">
        <w:t>[</w:t>
      </w:r>
      <w:r w:rsidR="00276990" w:rsidRPr="00A7631D">
        <w:t>his</w:t>
      </w:r>
      <w:r w:rsidR="00D10AB3" w:rsidRPr="00A7631D">
        <w:t>]</w:t>
      </w:r>
      <w:r w:rsidR="00276990" w:rsidRPr="00A7631D">
        <w:t xml:space="preserve"> face</w:t>
      </w:r>
      <w:r w:rsidR="00A0342B" w:rsidRPr="00A7631D">
        <w:t xml:space="preserve"> but [Wilson] fits best . . . .”  </w:t>
      </w:r>
    </w:p>
    <w:p w14:paraId="078579A8" w14:textId="1080A4B1" w:rsidR="00A36262" w:rsidRPr="00A7631D" w:rsidRDefault="007C17B1" w:rsidP="000E6B78">
      <w:pPr>
        <w:pStyle w:val="Heading5"/>
        <w:numPr>
          <w:ilvl w:val="0"/>
          <w:numId w:val="19"/>
        </w:numPr>
        <w:ind w:left="2448" w:hanging="432"/>
      </w:pPr>
      <w:r w:rsidRPr="00A7631D">
        <w:lastRenderedPageBreak/>
        <w:t xml:space="preserve">The </w:t>
      </w:r>
      <w:r w:rsidR="00C57725" w:rsidRPr="00A7631D">
        <w:t xml:space="preserve">searches and </w:t>
      </w:r>
      <w:r w:rsidRPr="00A7631D">
        <w:t>arrests</w:t>
      </w:r>
    </w:p>
    <w:p w14:paraId="28C480E5" w14:textId="76921690" w:rsidR="00AD368B" w:rsidRPr="00A7631D" w:rsidRDefault="007C17B1" w:rsidP="000E6B78">
      <w:r w:rsidRPr="00A7631D">
        <w:tab/>
        <w:t>On March 5, 1998</w:t>
      </w:r>
      <w:r w:rsidR="00E954F6" w:rsidRPr="00A7631D">
        <w:t xml:space="preserve">, </w:t>
      </w:r>
      <w:r w:rsidRPr="00A7631D">
        <w:t>Reynolds</w:t>
      </w:r>
      <w:r w:rsidR="00210586" w:rsidRPr="00A7631D">
        <w:t xml:space="preserve"> </w:t>
      </w:r>
      <w:r w:rsidR="005A0D12" w:rsidRPr="00A7631D">
        <w:t>obtained</w:t>
      </w:r>
      <w:r w:rsidR="00210586" w:rsidRPr="00A7631D">
        <w:t xml:space="preserve"> warrants </w:t>
      </w:r>
      <w:r w:rsidR="005A0D12" w:rsidRPr="00A7631D">
        <w:t>to</w:t>
      </w:r>
      <w:r w:rsidR="00210586" w:rsidRPr="00A7631D">
        <w:t xml:space="preserve"> </w:t>
      </w:r>
      <w:r w:rsidR="002502BC" w:rsidRPr="00A7631D">
        <w:t xml:space="preserve">search and </w:t>
      </w:r>
      <w:r w:rsidR="00210586" w:rsidRPr="00A7631D">
        <w:t xml:space="preserve">arrest </w:t>
      </w:r>
      <w:r w:rsidR="005A0D12" w:rsidRPr="00A7631D">
        <w:t>Pops</w:t>
      </w:r>
      <w:r w:rsidR="002502BC" w:rsidRPr="00A7631D">
        <w:t xml:space="preserve"> and</w:t>
      </w:r>
      <w:r w:rsidR="005A0D12" w:rsidRPr="00A7631D">
        <w:t xml:space="preserve"> Wilson</w:t>
      </w:r>
      <w:r w:rsidR="002502BC" w:rsidRPr="00A7631D">
        <w:t xml:space="preserve">.  </w:t>
      </w:r>
      <w:r w:rsidR="008D456D" w:rsidRPr="00A7631D">
        <w:t xml:space="preserve">Wilson was arrested in his home, where he was found </w:t>
      </w:r>
      <w:r w:rsidR="007F7C38" w:rsidRPr="00A7631D">
        <w:t>lying</w:t>
      </w:r>
      <w:r w:rsidR="008D456D" w:rsidRPr="00A7631D">
        <w:t xml:space="preserve"> on his couch</w:t>
      </w:r>
      <w:r w:rsidR="007F7C38" w:rsidRPr="00A7631D">
        <w:t xml:space="preserve"> with a shotgun.  </w:t>
      </w:r>
      <w:r w:rsidR="00213D99" w:rsidRPr="00A7631D">
        <w:t xml:space="preserve">Officers carried out the </w:t>
      </w:r>
      <w:r w:rsidR="00653AA0" w:rsidRPr="00A7631D">
        <w:t>search warrants simultaneously, and</w:t>
      </w:r>
      <w:r w:rsidR="00213D99" w:rsidRPr="00A7631D">
        <w:t xml:space="preserve"> during</w:t>
      </w:r>
      <w:r w:rsidR="00653AA0" w:rsidRPr="00A7631D">
        <w:t xml:space="preserve"> the</w:t>
      </w:r>
      <w:r w:rsidR="00213D99" w:rsidRPr="00A7631D">
        <w:t>ir</w:t>
      </w:r>
      <w:r w:rsidR="00653AA0" w:rsidRPr="00A7631D">
        <w:t xml:space="preserve"> search of Wilson’s home — where </w:t>
      </w:r>
      <w:r w:rsidR="00213D99" w:rsidRPr="00A7631D">
        <w:t xml:space="preserve">they found and arrested </w:t>
      </w:r>
      <w:r w:rsidR="00653AA0" w:rsidRPr="00A7631D">
        <w:t>Harris</w:t>
      </w:r>
      <w:r w:rsidR="005F5330" w:rsidRPr="00A7631D">
        <w:rPr>
          <w:rStyle w:val="FootnoteReference"/>
        </w:rPr>
        <w:footnoteReference w:id="8"/>
      </w:r>
      <w:r w:rsidR="000A63BA" w:rsidRPr="00A7631D">
        <w:t xml:space="preserve"> </w:t>
      </w:r>
      <w:r w:rsidR="00D20A93" w:rsidRPr="00A7631D">
        <w:t xml:space="preserve">— </w:t>
      </w:r>
      <w:r w:rsidR="00213D99" w:rsidRPr="00A7631D">
        <w:t xml:space="preserve">they discovered </w:t>
      </w:r>
      <w:r w:rsidR="005863B8" w:rsidRPr="00A7631D">
        <w:t xml:space="preserve">a live round of </w:t>
      </w:r>
      <w:r w:rsidR="00670BA7" w:rsidRPr="00A7631D">
        <w:t>nine</w:t>
      </w:r>
      <w:r w:rsidR="005863B8" w:rsidRPr="00A7631D">
        <w:t>-millimeter ammunition, a man’s wallet,</w:t>
      </w:r>
      <w:r w:rsidR="007E63E3" w:rsidRPr="00A7631D">
        <w:t xml:space="preserve"> </w:t>
      </w:r>
      <w:r w:rsidR="005863B8" w:rsidRPr="00A7631D">
        <w:t xml:space="preserve">a </w:t>
      </w:r>
      <w:r w:rsidR="003E0AAC" w:rsidRPr="00A7631D">
        <w:t xml:space="preserve">loaded </w:t>
      </w:r>
      <w:proofErr w:type="gramStart"/>
      <w:r w:rsidR="005863B8" w:rsidRPr="00A7631D">
        <w:t>.12</w:t>
      </w:r>
      <w:r w:rsidR="00920550" w:rsidRPr="00A7631D">
        <w:t xml:space="preserve"> </w:t>
      </w:r>
      <w:r w:rsidR="005863B8" w:rsidRPr="00A7631D">
        <w:t>g</w:t>
      </w:r>
      <w:r w:rsidR="00C416D3" w:rsidRPr="00A7631D">
        <w:t>au</w:t>
      </w:r>
      <w:r w:rsidR="005863B8" w:rsidRPr="00A7631D">
        <w:t>ge</w:t>
      </w:r>
      <w:proofErr w:type="gramEnd"/>
      <w:r w:rsidR="005863B8" w:rsidRPr="00A7631D">
        <w:t xml:space="preserve"> shotgun</w:t>
      </w:r>
      <w:r w:rsidR="00670BA7" w:rsidRPr="00A7631D">
        <w:t>, a three-ring binder</w:t>
      </w:r>
      <w:r w:rsidR="00EB7FFC" w:rsidRPr="00A7631D">
        <w:t xml:space="preserve">, </w:t>
      </w:r>
      <w:r w:rsidR="00C95134" w:rsidRPr="00A7631D">
        <w:t xml:space="preserve">and </w:t>
      </w:r>
      <w:r w:rsidR="00EB7FFC" w:rsidRPr="00A7631D">
        <w:t>a blue pad of paper</w:t>
      </w:r>
      <w:r w:rsidR="007E63E3" w:rsidRPr="00A7631D">
        <w:t xml:space="preserve">.  </w:t>
      </w:r>
      <w:r w:rsidR="008D456D" w:rsidRPr="00A7631D">
        <w:t xml:space="preserve">  </w:t>
      </w:r>
      <w:r w:rsidR="00710F09" w:rsidRPr="00A7631D">
        <w:t xml:space="preserve">  </w:t>
      </w:r>
    </w:p>
    <w:p w14:paraId="7C85FD0C" w14:textId="5DBFAE43" w:rsidR="00DE3043" w:rsidRPr="00A7631D" w:rsidRDefault="00213D99" w:rsidP="000E6B78">
      <w:pPr>
        <w:ind w:firstLine="720"/>
      </w:pPr>
      <w:r w:rsidRPr="00A7631D">
        <w:t>Officers found t</w:t>
      </w:r>
      <w:r w:rsidR="00DE3043" w:rsidRPr="00A7631D">
        <w:t xml:space="preserve">he bullet beneath a couch cushion in Wilson’s </w:t>
      </w:r>
      <w:r w:rsidR="00743933" w:rsidRPr="00A7631D">
        <w:t>home</w:t>
      </w:r>
      <w:r w:rsidR="001017B5">
        <w:t>,</w:t>
      </w:r>
      <w:r w:rsidR="00DE3043" w:rsidRPr="00A7631D">
        <w:t xml:space="preserve"> where </w:t>
      </w:r>
      <w:r w:rsidRPr="00A7631D">
        <w:t xml:space="preserve">they also located </w:t>
      </w:r>
      <w:r w:rsidR="00DE3043" w:rsidRPr="00A7631D">
        <w:t>Wilson’s wallet</w:t>
      </w:r>
      <w:r w:rsidRPr="00A7631D">
        <w:t>.</w:t>
      </w:r>
      <w:r w:rsidR="00DE3043" w:rsidRPr="00A7631D">
        <w:rPr>
          <w:rStyle w:val="FootnoteReference"/>
        </w:rPr>
        <w:footnoteReference w:id="9"/>
      </w:r>
      <w:r w:rsidR="0052166D" w:rsidRPr="00A7631D">
        <w:t xml:space="preserve"> </w:t>
      </w:r>
      <w:r w:rsidR="00DE3043" w:rsidRPr="00A7631D">
        <w:t xml:space="preserve"> </w:t>
      </w:r>
      <w:r w:rsidR="0052166D" w:rsidRPr="00A7631D">
        <w:t>The wallet held, among other contents, a</w:t>
      </w:r>
      <w:r w:rsidR="00DE3043" w:rsidRPr="00A7631D">
        <w:t xml:space="preserve"> business card from a gun store</w:t>
      </w:r>
      <w:r w:rsidR="00743933" w:rsidRPr="00A7631D">
        <w:t xml:space="preserve">, which </w:t>
      </w:r>
      <w:r w:rsidR="0052166D" w:rsidRPr="00A7631D">
        <w:t>listed prices for .26 and .30</w:t>
      </w:r>
      <w:r w:rsidR="00743933" w:rsidRPr="00A7631D">
        <w:t xml:space="preserve"> </w:t>
      </w:r>
      <w:r w:rsidR="00DB6439" w:rsidRPr="00A7631D">
        <w:t>caliber</w:t>
      </w:r>
      <w:r w:rsidR="0052166D" w:rsidRPr="00A7631D">
        <w:t xml:space="preserve"> Glock firearms, but not a .40 caliber Glock, the type used in the Wheels </w:t>
      </w:r>
      <w:r w:rsidR="000503D7">
        <w:t>’</w:t>
      </w:r>
      <w:r w:rsidR="00983BD9">
        <w:t>N</w:t>
      </w:r>
      <w:r w:rsidR="0052166D" w:rsidRPr="00A7631D">
        <w:t xml:space="preserve"> Stuff shooting.  Walley</w:t>
      </w:r>
      <w:r w:rsidR="0057410A" w:rsidRPr="00A7631D">
        <w:t>, the ballistics expert,</w:t>
      </w:r>
      <w:r w:rsidR="0052166D" w:rsidRPr="00A7631D">
        <w:t xml:space="preserve"> identified the bullet</w:t>
      </w:r>
      <w:r w:rsidR="00DE3043" w:rsidRPr="00A7631D">
        <w:t xml:space="preserve"> </w:t>
      </w:r>
      <w:r w:rsidR="0052166D" w:rsidRPr="00A7631D">
        <w:t xml:space="preserve">as </w:t>
      </w:r>
      <w:r w:rsidR="00DE3043" w:rsidRPr="00A7631D">
        <w:t>one ejected from the</w:t>
      </w:r>
      <w:r w:rsidR="0052166D" w:rsidRPr="00A7631D">
        <w:t xml:space="preserve"> same</w:t>
      </w:r>
      <w:r w:rsidR="00DE3043" w:rsidRPr="00A7631D">
        <w:t xml:space="preserve"> nine-millimeter weapon </w:t>
      </w:r>
      <w:r w:rsidR="0052166D" w:rsidRPr="00A7631D">
        <w:t xml:space="preserve">that was </w:t>
      </w:r>
      <w:r w:rsidR="00DE3043" w:rsidRPr="00A7631D">
        <w:t xml:space="preserve">used in the shooting.  </w:t>
      </w:r>
      <w:r w:rsidR="00743933" w:rsidRPr="00A7631D">
        <w:t>He</w:t>
      </w:r>
      <w:r w:rsidR="00DE3043" w:rsidRPr="00A7631D">
        <w:t xml:space="preserve"> testified the bullet could have been dropped in the </w:t>
      </w:r>
      <w:r w:rsidR="00743933" w:rsidRPr="00A7631D">
        <w:t>home</w:t>
      </w:r>
      <w:r w:rsidR="00DE3043" w:rsidRPr="00A7631D">
        <w:t xml:space="preserve"> before or after the shooting.  </w:t>
      </w:r>
    </w:p>
    <w:p w14:paraId="6EE42EF6" w14:textId="16998E61" w:rsidR="006947D1" w:rsidRPr="00A7631D" w:rsidRDefault="006947D1" w:rsidP="000E6B78">
      <w:pPr>
        <w:ind w:firstLine="720"/>
      </w:pPr>
      <w:r w:rsidRPr="00A7631D">
        <w:t xml:space="preserve">The binder </w:t>
      </w:r>
      <w:r w:rsidR="00CC3F1F" w:rsidRPr="00A7631D">
        <w:t xml:space="preserve">found in Wilson’s home </w:t>
      </w:r>
      <w:r w:rsidRPr="00A7631D">
        <w:t xml:space="preserve">contained a </w:t>
      </w:r>
      <w:r w:rsidR="00983F38" w:rsidRPr="00A7631D">
        <w:t xml:space="preserve">single </w:t>
      </w:r>
      <w:r w:rsidRPr="00A7631D">
        <w:t xml:space="preserve">newspaper clipping </w:t>
      </w:r>
      <w:r w:rsidR="0057410A" w:rsidRPr="00A7631D">
        <w:t xml:space="preserve">about </w:t>
      </w:r>
      <w:r w:rsidR="000C5AA2" w:rsidRPr="00A7631D">
        <w:t xml:space="preserve">the </w:t>
      </w:r>
      <w:r w:rsidR="00EC55D4" w:rsidRPr="00A7631D">
        <w:t>car wash</w:t>
      </w:r>
      <w:r w:rsidR="000C5AA2" w:rsidRPr="00A7631D">
        <w:t xml:space="preserve"> murders</w:t>
      </w:r>
      <w:r w:rsidR="00983F38" w:rsidRPr="00A7631D">
        <w:t xml:space="preserve">.  Officers found </w:t>
      </w:r>
      <w:r w:rsidR="000C5AA2" w:rsidRPr="00A7631D">
        <w:t xml:space="preserve">no other newspapers or clippings in Wilson’s home.  </w:t>
      </w:r>
      <w:r w:rsidR="00CF0486" w:rsidRPr="00A7631D">
        <w:t>The blue pad of paper</w:t>
      </w:r>
      <w:r w:rsidR="00A8653F" w:rsidRPr="00A7631D">
        <w:t xml:space="preserve"> found </w:t>
      </w:r>
      <w:r w:rsidR="00F32F17" w:rsidRPr="00A7631D">
        <w:t>on Wilson’s table</w:t>
      </w:r>
      <w:r w:rsidR="00A8653F" w:rsidRPr="00A7631D">
        <w:t xml:space="preserve"> contained</w:t>
      </w:r>
      <w:r w:rsidR="00124F8C" w:rsidRPr="00A7631D">
        <w:t xml:space="preserve"> pages </w:t>
      </w:r>
      <w:r w:rsidR="004B4540" w:rsidRPr="00A7631D">
        <w:t>depicting various</w:t>
      </w:r>
      <w:r w:rsidR="00124F8C" w:rsidRPr="00A7631D">
        <w:t xml:space="preserve"> drawings and a list of names.</w:t>
      </w:r>
      <w:r w:rsidR="002C06F7" w:rsidRPr="00A7631D">
        <w:t xml:space="preserve">  </w:t>
      </w:r>
      <w:r w:rsidR="00425772" w:rsidRPr="00A7631D">
        <w:t>According to Barnes</w:t>
      </w:r>
      <w:r w:rsidR="00C91D26" w:rsidRPr="00A7631D">
        <w:t>’s testimony</w:t>
      </w:r>
      <w:r w:rsidR="00425772" w:rsidRPr="00A7631D">
        <w:t>, one of the drawing</w:t>
      </w:r>
      <w:r w:rsidR="00E02BA5" w:rsidRPr="00A7631D">
        <w:t>s was</w:t>
      </w:r>
      <w:r w:rsidR="00425772" w:rsidRPr="00A7631D">
        <w:t xml:space="preserve"> of </w:t>
      </w:r>
      <w:proofErr w:type="spellStart"/>
      <w:r w:rsidR="00425772" w:rsidRPr="00A7631D">
        <w:t>Pops’s</w:t>
      </w:r>
      <w:proofErr w:type="spellEnd"/>
      <w:r w:rsidR="00425772" w:rsidRPr="00A7631D">
        <w:t xml:space="preserve"> car with the addition of IROC rims</w:t>
      </w:r>
      <w:r w:rsidR="00A44FB0" w:rsidRPr="00A7631D">
        <w:t>,</w:t>
      </w:r>
      <w:r w:rsidR="007F2B06" w:rsidRPr="00A7631D">
        <w:t xml:space="preserve"> and it was</w:t>
      </w:r>
      <w:r w:rsidR="00A44FB0" w:rsidRPr="00A7631D">
        <w:t xml:space="preserve"> labeled “the Monster Beefy</w:t>
      </w:r>
      <w:r w:rsidR="00425772" w:rsidRPr="00A7631D">
        <w:t>.</w:t>
      </w:r>
      <w:r w:rsidR="00A44FB0" w:rsidRPr="00A7631D">
        <w:t>”</w:t>
      </w:r>
      <w:r w:rsidR="00425772" w:rsidRPr="00A7631D">
        <w:t xml:space="preserve">  </w:t>
      </w:r>
      <w:r w:rsidR="00954507" w:rsidRPr="00A7631D">
        <w:t>The</w:t>
      </w:r>
      <w:r w:rsidR="007F2B06" w:rsidRPr="00A7631D">
        <w:t>re was also a</w:t>
      </w:r>
      <w:r w:rsidR="00954507" w:rsidRPr="00A7631D">
        <w:t xml:space="preserve"> drawing </w:t>
      </w:r>
      <w:r w:rsidR="007F2B06" w:rsidRPr="00A7631D">
        <w:t xml:space="preserve">of </w:t>
      </w:r>
      <w:r w:rsidR="001F1F7E" w:rsidRPr="00A7631D">
        <w:t>street signs</w:t>
      </w:r>
      <w:r w:rsidR="0024629E" w:rsidRPr="00A7631D">
        <w:t xml:space="preserve"> </w:t>
      </w:r>
      <w:r w:rsidR="006D5E28" w:rsidRPr="00A7631D">
        <w:t xml:space="preserve">labeled “55th” and </w:t>
      </w:r>
      <w:r w:rsidR="006D5E28" w:rsidRPr="00A7631D">
        <w:lastRenderedPageBreak/>
        <w:t xml:space="preserve">“Lime,” </w:t>
      </w:r>
      <w:r w:rsidR="00766A09" w:rsidRPr="00A7631D">
        <w:t xml:space="preserve">which was </w:t>
      </w:r>
      <w:r w:rsidR="00213A99" w:rsidRPr="00A7631D">
        <w:t xml:space="preserve">an intersection near </w:t>
      </w:r>
      <w:proofErr w:type="spellStart"/>
      <w:r w:rsidR="00691D3D" w:rsidRPr="00A7631D">
        <w:t>Pops’s</w:t>
      </w:r>
      <w:proofErr w:type="spellEnd"/>
      <w:r w:rsidR="00213A99" w:rsidRPr="00A7631D">
        <w:t xml:space="preserve"> </w:t>
      </w:r>
      <w:r w:rsidR="00743933" w:rsidRPr="00A7631D">
        <w:t xml:space="preserve">and Wilson’s </w:t>
      </w:r>
      <w:r w:rsidR="00213A99" w:rsidRPr="00A7631D">
        <w:t>home</w:t>
      </w:r>
      <w:r w:rsidR="00743933" w:rsidRPr="00A7631D">
        <w:t>s</w:t>
      </w:r>
      <w:r w:rsidR="00213A99" w:rsidRPr="00A7631D">
        <w:t xml:space="preserve">.  Another </w:t>
      </w:r>
      <w:r w:rsidR="00766A09" w:rsidRPr="00A7631D">
        <w:t xml:space="preserve">drawing </w:t>
      </w:r>
      <w:r w:rsidR="00213A99" w:rsidRPr="00A7631D">
        <w:t>was</w:t>
      </w:r>
      <w:r w:rsidR="0024629E" w:rsidRPr="00A7631D">
        <w:t xml:space="preserve"> a caricature</w:t>
      </w:r>
      <w:r w:rsidR="00640023" w:rsidRPr="00A7631D">
        <w:t xml:space="preserve"> </w:t>
      </w:r>
      <w:r w:rsidR="0024629E" w:rsidRPr="00A7631D">
        <w:t>of Pops</w:t>
      </w:r>
      <w:r w:rsidR="00A44FB0" w:rsidRPr="00A7631D">
        <w:t xml:space="preserve"> labeled with his moniker, “Nut</w:t>
      </w:r>
      <w:r w:rsidR="000503D7">
        <w:t>,</w:t>
      </w:r>
      <w:r w:rsidR="00A44FB0" w:rsidRPr="00A7631D">
        <w:t>”</w:t>
      </w:r>
      <w:r w:rsidR="00954507" w:rsidRPr="00A7631D">
        <w:t xml:space="preserve"> and </w:t>
      </w:r>
      <w:r w:rsidR="000503D7">
        <w:t xml:space="preserve">with </w:t>
      </w:r>
      <w:r w:rsidR="00954507" w:rsidRPr="00A7631D">
        <w:t>the word “Loco.”</w:t>
      </w:r>
      <w:r w:rsidR="00A44FB0" w:rsidRPr="00A7631D">
        <w:t xml:space="preserve">  </w:t>
      </w:r>
      <w:r w:rsidR="00470584" w:rsidRPr="00A7631D">
        <w:t xml:space="preserve">Another drawing </w:t>
      </w:r>
      <w:r w:rsidR="00E53D6F" w:rsidRPr="00A7631D">
        <w:t>showed</w:t>
      </w:r>
      <w:r w:rsidR="00470584" w:rsidRPr="00A7631D">
        <w:t xml:space="preserve"> a tattooed arm firing a semiautomatic weapon; the tattoo said “Y.M.O.,” which stands for “Young Mafia Organization,” a group to which Wilson, Pops, Harris, and Barnes belonged.  Pops was tattooed on his left and right forearms with the letters, “Y.M.O.”  </w:t>
      </w:r>
      <w:r w:rsidR="002E10E9" w:rsidRPr="00A7631D">
        <w:t>The pad of paper also held a</w:t>
      </w:r>
      <w:r w:rsidR="00E37CCB" w:rsidRPr="00A7631D">
        <w:t xml:space="preserve"> page</w:t>
      </w:r>
      <w:r w:rsidR="0003007E" w:rsidRPr="00A7631D">
        <w:t xml:space="preserve"> list</w:t>
      </w:r>
      <w:r w:rsidR="002E10E9" w:rsidRPr="00A7631D">
        <w:t>ing</w:t>
      </w:r>
      <w:r w:rsidR="0003007E" w:rsidRPr="00A7631D">
        <w:t xml:space="preserve"> the various monikers of the individuals who spent time with </w:t>
      </w:r>
      <w:r w:rsidR="00640023" w:rsidRPr="00A7631D">
        <w:t>Pops and Wilson.</w:t>
      </w:r>
      <w:r w:rsidR="00F35540" w:rsidRPr="00A7631D">
        <w:rPr>
          <w:rStyle w:val="FootnoteReference"/>
        </w:rPr>
        <w:footnoteReference w:id="10"/>
      </w:r>
      <w:r w:rsidR="00640023" w:rsidRPr="00A7631D">
        <w:t xml:space="preserve">  </w:t>
      </w:r>
    </w:p>
    <w:p w14:paraId="49CD58CF" w14:textId="7D4634F4" w:rsidR="004B4540" w:rsidRPr="00A7631D" w:rsidRDefault="00137FA9" w:rsidP="000E6B78">
      <w:pPr>
        <w:ind w:firstLine="720"/>
      </w:pPr>
      <w:r w:rsidRPr="00A7631D">
        <w:t>During the</w:t>
      </w:r>
      <w:r w:rsidR="000A22CE" w:rsidRPr="00A7631D">
        <w:t xml:space="preserve"> search of </w:t>
      </w:r>
      <w:proofErr w:type="spellStart"/>
      <w:r w:rsidR="000A22CE" w:rsidRPr="00A7631D">
        <w:t>Pops’s</w:t>
      </w:r>
      <w:proofErr w:type="spellEnd"/>
      <w:r w:rsidR="000A22CE" w:rsidRPr="00A7631D">
        <w:t xml:space="preserve"> home — where Pops was arrested — </w:t>
      </w:r>
      <w:r w:rsidRPr="00A7631D">
        <w:t>a</w:t>
      </w:r>
      <w:r w:rsidR="000A22CE" w:rsidRPr="00A7631D">
        <w:t xml:space="preserve"> Camaro fitted with IROC rims</w:t>
      </w:r>
      <w:r w:rsidR="00FD1310" w:rsidRPr="00A7631D">
        <w:t xml:space="preserve"> was seized and taken to a tow yard</w:t>
      </w:r>
      <w:r w:rsidR="000A22CE" w:rsidRPr="00A7631D">
        <w:t xml:space="preserve">.  </w:t>
      </w:r>
      <w:r w:rsidR="00A161F0" w:rsidRPr="00A7631D">
        <w:t xml:space="preserve">The IROC rims on the car were the same as those that had been fitted on Dunn’s El Camino.  </w:t>
      </w:r>
      <w:r w:rsidR="00F61920" w:rsidRPr="00A7631D">
        <w:t>Anthony</w:t>
      </w:r>
      <w:r w:rsidR="00BB1A08" w:rsidRPr="00A7631D">
        <w:t xml:space="preserve"> </w:t>
      </w:r>
      <w:proofErr w:type="spellStart"/>
      <w:r w:rsidR="00BB1A08" w:rsidRPr="00A7631D">
        <w:t>Bo</w:t>
      </w:r>
      <w:r w:rsidR="00334269" w:rsidRPr="00A7631D">
        <w:t>o</w:t>
      </w:r>
      <w:r w:rsidR="00BB1A08" w:rsidRPr="00A7631D">
        <w:t>chee</w:t>
      </w:r>
      <w:proofErr w:type="spellEnd"/>
      <w:r w:rsidR="00BB1A08" w:rsidRPr="00A7631D">
        <w:t xml:space="preserve">, </w:t>
      </w:r>
      <w:r w:rsidR="006C644B" w:rsidRPr="00A7631D">
        <w:t xml:space="preserve">who originally fit the rims on the El Camino, </w:t>
      </w:r>
      <w:r w:rsidR="00BB1A08" w:rsidRPr="00A7631D">
        <w:t xml:space="preserve">testified that the </w:t>
      </w:r>
      <w:r w:rsidR="006C644B" w:rsidRPr="00A7631D">
        <w:t xml:space="preserve">IROC </w:t>
      </w:r>
      <w:r w:rsidR="00BB1A08" w:rsidRPr="00A7631D">
        <w:t xml:space="preserve">rims had been modified to fit </w:t>
      </w:r>
      <w:r w:rsidR="007C2D50" w:rsidRPr="00A7631D">
        <w:t>that car</w:t>
      </w:r>
      <w:r w:rsidR="005B36CA" w:rsidRPr="00A7631D">
        <w:t xml:space="preserve"> by drilling larger holes to accommodate </w:t>
      </w:r>
      <w:r w:rsidR="007C2D50" w:rsidRPr="00A7631D">
        <w:t>the necessary</w:t>
      </w:r>
      <w:r w:rsidR="005B36CA" w:rsidRPr="00A7631D">
        <w:t xml:space="preserve"> screws and </w:t>
      </w:r>
      <w:proofErr w:type="spellStart"/>
      <w:r w:rsidR="004A4E3A" w:rsidRPr="00A7631D">
        <w:t>C</w:t>
      </w:r>
      <w:r w:rsidR="005B36CA" w:rsidRPr="00A7631D">
        <w:t>ragar</w:t>
      </w:r>
      <w:proofErr w:type="spellEnd"/>
      <w:r w:rsidR="005B36CA" w:rsidRPr="00A7631D">
        <w:t xml:space="preserve"> lug</w:t>
      </w:r>
      <w:r w:rsidR="003673D0" w:rsidRPr="00A7631D">
        <w:t>s</w:t>
      </w:r>
      <w:r w:rsidR="005B36CA" w:rsidRPr="00A7631D">
        <w:t>.</w:t>
      </w:r>
      <w:r w:rsidR="007C2D50" w:rsidRPr="00A7631D">
        <w:t xml:space="preserve">  </w:t>
      </w:r>
      <w:proofErr w:type="spellStart"/>
      <w:r w:rsidR="00BC5C34" w:rsidRPr="00A7631D">
        <w:t>Boochee</w:t>
      </w:r>
      <w:proofErr w:type="spellEnd"/>
      <w:r w:rsidR="00BC5C34" w:rsidRPr="00A7631D">
        <w:t xml:space="preserve"> testified that the rims had been modified a second time</w:t>
      </w:r>
      <w:r w:rsidR="00343638" w:rsidRPr="00A7631D">
        <w:t xml:space="preserve"> to fit a smaller wheel, but still utilized the </w:t>
      </w:r>
      <w:proofErr w:type="spellStart"/>
      <w:r w:rsidR="004A4E3A" w:rsidRPr="00A7631D">
        <w:t>C</w:t>
      </w:r>
      <w:r w:rsidR="00343638" w:rsidRPr="00A7631D">
        <w:t>ragar</w:t>
      </w:r>
      <w:proofErr w:type="spellEnd"/>
      <w:r w:rsidR="00343638" w:rsidRPr="00A7631D">
        <w:t xml:space="preserve"> lug</w:t>
      </w:r>
      <w:r w:rsidR="003673D0" w:rsidRPr="00A7631D">
        <w:t xml:space="preserve">s </w:t>
      </w:r>
      <w:r w:rsidR="00343638" w:rsidRPr="00A7631D">
        <w:t xml:space="preserve">originally placed on Dunn’s El Camino.  </w:t>
      </w:r>
      <w:r w:rsidR="00191375" w:rsidRPr="00A7631D">
        <w:t xml:space="preserve">Kimberly Thomas, Dunn’s girlfriend, testified she recognized the rims as having originally been placed on Dunn’s El Camino because there was an oxidation </w:t>
      </w:r>
      <w:proofErr w:type="gramStart"/>
      <w:r w:rsidR="00191375" w:rsidRPr="00A7631D">
        <w:t>spot</w:t>
      </w:r>
      <w:proofErr w:type="gramEnd"/>
      <w:r w:rsidR="00191375" w:rsidRPr="00A7631D">
        <w:t xml:space="preserve"> </w:t>
      </w:r>
      <w:r w:rsidR="00F8253B" w:rsidRPr="00A7631D">
        <w:t xml:space="preserve">she recognized </w:t>
      </w:r>
      <w:r w:rsidR="00191375" w:rsidRPr="00A7631D">
        <w:t>on one of the</w:t>
      </w:r>
      <w:r w:rsidR="00F8253B" w:rsidRPr="00A7631D">
        <w:t xml:space="preserve">m.  </w:t>
      </w:r>
    </w:p>
    <w:p w14:paraId="0FCE696F" w14:textId="2C7EFA51" w:rsidR="00DF25D5" w:rsidRPr="00A7631D" w:rsidRDefault="00E03E32" w:rsidP="000E6B78">
      <w:pPr>
        <w:pStyle w:val="Heading3"/>
        <w:numPr>
          <w:ilvl w:val="0"/>
          <w:numId w:val="2"/>
        </w:numPr>
        <w:tabs>
          <w:tab w:val="clear" w:pos="1584"/>
        </w:tabs>
        <w:ind w:left="1584" w:hanging="432"/>
      </w:pPr>
      <w:bookmarkStart w:id="22" w:name="_Toc50617030"/>
      <w:bookmarkStart w:id="23" w:name="_Toc58846814"/>
      <w:r w:rsidRPr="00A7631D">
        <w:t>Defense Case</w:t>
      </w:r>
      <w:bookmarkEnd w:id="22"/>
      <w:r w:rsidR="004653C1" w:rsidRPr="00A7631D">
        <w:t xml:space="preserve"> and Rebuttal Evidence</w:t>
      </w:r>
      <w:bookmarkEnd w:id="23"/>
    </w:p>
    <w:p w14:paraId="4139E653" w14:textId="6230382D" w:rsidR="00EB4EF5" w:rsidRPr="00A7631D" w:rsidRDefault="00E03E32" w:rsidP="000E6B78">
      <w:pPr>
        <w:pStyle w:val="NormalIndent"/>
        <w:ind w:left="0" w:firstLine="720"/>
      </w:pPr>
      <w:r w:rsidRPr="00A7631D">
        <w:t>Although Williams initially told the prosecution he was “positive” “from a glance” and had “no doubt” regarding his</w:t>
      </w:r>
      <w:r w:rsidR="00DA3D0C" w:rsidRPr="00A7631D">
        <w:t xml:space="preserve"> </w:t>
      </w:r>
      <w:r w:rsidR="00DA3D0C" w:rsidRPr="00A7631D">
        <w:lastRenderedPageBreak/>
        <w:t>preliminary hearing</w:t>
      </w:r>
      <w:r w:rsidRPr="00A7631D">
        <w:t xml:space="preserve"> identification of Pops and Wilson, he later admitted </w:t>
      </w:r>
      <w:r w:rsidR="00FA2B4E" w:rsidRPr="00A7631D">
        <w:t xml:space="preserve">he “really did not get a good look at” one of the men.  </w:t>
      </w:r>
      <w:r w:rsidR="00313BBE" w:rsidRPr="00A7631D">
        <w:t xml:space="preserve">Williams explained that he has “a habit of not staring at people I don’t know so, yeah, I looked over towards them and mind my own business, then I would maybe look again.”  </w:t>
      </w:r>
    </w:p>
    <w:p w14:paraId="71E86190" w14:textId="1D8D2C04" w:rsidR="00611AC1" w:rsidRPr="00A7631D" w:rsidRDefault="00313BBE" w:rsidP="000E6B78">
      <w:pPr>
        <w:pStyle w:val="NormalIndent"/>
        <w:ind w:left="0" w:firstLine="720"/>
      </w:pPr>
      <w:r w:rsidRPr="00A7631D">
        <w:t>Williams had a conversation with the driver of the vehicle, who he described as having a lighter complexion than the passenger</w:t>
      </w:r>
      <w:r w:rsidR="00EB4EF5" w:rsidRPr="00A7631D">
        <w:t xml:space="preserve">.  </w:t>
      </w:r>
      <w:r w:rsidR="003D28FA" w:rsidRPr="00A7631D">
        <w:t xml:space="preserve">At one point, Williams conceded during questioning that he became “confused about who was in the passenger seat and the driver’s seat.  It’s the only thing — a small thing to be confused about; otherwise, those are the two people in the car.  </w:t>
      </w:r>
      <w:r w:rsidR="00653018" w:rsidRPr="00A7631D">
        <w:t xml:space="preserve">[¶]  </w:t>
      </w:r>
      <w:r w:rsidR="003D28FA" w:rsidRPr="00A7631D">
        <w:t>Now, right now, they almost lo</w:t>
      </w:r>
      <w:r w:rsidR="00B35DEF" w:rsidRPr="00A7631D">
        <w:t>o</w:t>
      </w:r>
      <w:r w:rsidR="003D28FA" w:rsidRPr="00A7631D">
        <w:t xml:space="preserve">k similar so for me to know which one was driving and which one was in the passenger seat is hard for </w:t>
      </w:r>
      <w:proofErr w:type="gramStart"/>
      <w:r w:rsidR="003D28FA" w:rsidRPr="00A7631D">
        <w:t>me</w:t>
      </w:r>
      <w:proofErr w:type="gramEnd"/>
      <w:r w:rsidR="003D28FA" w:rsidRPr="00A7631D">
        <w:t xml:space="preserve"> but I do know those are the two people in the car, yes.”</w:t>
      </w:r>
      <w:r w:rsidR="00284B45" w:rsidRPr="00A7631D">
        <w:t xml:space="preserve">  </w:t>
      </w:r>
      <w:r w:rsidR="00FA2B4E" w:rsidRPr="00A7631D">
        <w:t xml:space="preserve">Williams also acknowledged that </w:t>
      </w:r>
      <w:r w:rsidR="00E03E32" w:rsidRPr="00A7631D">
        <w:t>he lied several times while giving testimony during the preliminary hearing</w:t>
      </w:r>
      <w:r w:rsidR="00FA2B4E" w:rsidRPr="00A7631D">
        <w:t>, although this dishonesty related to what he kn</w:t>
      </w:r>
      <w:r w:rsidR="00CC78B6" w:rsidRPr="00A7631D">
        <w:t>e</w:t>
      </w:r>
      <w:r w:rsidR="00FA2B4E" w:rsidRPr="00A7631D">
        <w:t>w about</w:t>
      </w:r>
      <w:r w:rsidR="00E03E32" w:rsidRPr="00A7631D">
        <w:t xml:space="preserve"> the sale of marijuana from the </w:t>
      </w:r>
      <w:r w:rsidR="00EC55D4" w:rsidRPr="00A7631D">
        <w:t>car wash</w:t>
      </w:r>
      <w:r w:rsidR="00FA2B4E" w:rsidRPr="00A7631D">
        <w:t>.</w:t>
      </w:r>
      <w:r w:rsidR="00E03E32" w:rsidRPr="00A7631D">
        <w:t xml:space="preserve"> </w:t>
      </w:r>
      <w:r w:rsidR="00AF6ACE" w:rsidRPr="00A7631D">
        <w:t xml:space="preserve"> </w:t>
      </w:r>
      <w:r w:rsidR="00C06E38" w:rsidRPr="00A7631D">
        <w:t xml:space="preserve">Selling marijuana from Wheels </w:t>
      </w:r>
      <w:r w:rsidR="00A26D03">
        <w:t>’</w:t>
      </w:r>
      <w:r w:rsidR="00983BD9">
        <w:t>N</w:t>
      </w:r>
      <w:r w:rsidR="00C06E38" w:rsidRPr="00A7631D">
        <w:t xml:space="preserve"> Stuff violated the terms of his probation</w:t>
      </w:r>
      <w:r w:rsidR="000D5F46" w:rsidRPr="00A7631D">
        <w:t>.</w:t>
      </w:r>
      <w:r w:rsidR="00CC5BB0" w:rsidRPr="00A7631D">
        <w:rPr>
          <w:rStyle w:val="FootnoteReference"/>
        </w:rPr>
        <w:footnoteReference w:id="11"/>
      </w:r>
      <w:r w:rsidR="000D5F46" w:rsidRPr="00A7631D">
        <w:t xml:space="preserve">  </w:t>
      </w:r>
      <w:r w:rsidR="00E03E32" w:rsidRPr="00A7631D">
        <w:t xml:space="preserve"> </w:t>
      </w:r>
    </w:p>
    <w:p w14:paraId="6EFCC129" w14:textId="29BA82F8" w:rsidR="00E03E32" w:rsidRPr="00A7631D" w:rsidRDefault="00611AC1" w:rsidP="000E6B78">
      <w:pPr>
        <w:pStyle w:val="NormalIndent"/>
        <w:ind w:left="0" w:firstLine="720"/>
      </w:pPr>
      <w:r w:rsidRPr="00A7631D">
        <w:t xml:space="preserve">Bowie’s testimony </w:t>
      </w:r>
      <w:r w:rsidR="008E4404" w:rsidRPr="00A7631D">
        <w:t>suffered from</w:t>
      </w:r>
      <w:r w:rsidRPr="00A7631D">
        <w:t xml:space="preserve"> credibility concerns.  </w:t>
      </w:r>
      <w:r w:rsidR="00461695" w:rsidRPr="00A7631D">
        <w:t xml:space="preserve">Bowie </w:t>
      </w:r>
      <w:r w:rsidR="008E4404" w:rsidRPr="00A7631D">
        <w:t>had</w:t>
      </w:r>
      <w:r w:rsidR="00461695" w:rsidRPr="00A7631D">
        <w:t xml:space="preserve"> </w:t>
      </w:r>
      <w:r w:rsidR="00723998" w:rsidRPr="00A7631D">
        <w:t>numerous</w:t>
      </w:r>
      <w:r w:rsidR="00461695" w:rsidRPr="00A7631D">
        <w:t xml:space="preserve"> prior felony convictions, including battery against</w:t>
      </w:r>
      <w:r w:rsidR="000530AB" w:rsidRPr="00A7631D">
        <w:t xml:space="preserve"> the mother of his child, robbery</w:t>
      </w:r>
      <w:r w:rsidR="008E4404" w:rsidRPr="00A7631D">
        <w:t>,</w:t>
      </w:r>
      <w:r w:rsidR="000530AB" w:rsidRPr="00A7631D">
        <w:t xml:space="preserve"> and burglar</w:t>
      </w:r>
      <w:r w:rsidR="008E4404" w:rsidRPr="00A7631D">
        <w:t>y</w:t>
      </w:r>
      <w:r w:rsidR="000530AB" w:rsidRPr="00A7631D">
        <w:t>.</w:t>
      </w:r>
      <w:r w:rsidR="0093723D" w:rsidRPr="00A7631D">
        <w:t xml:space="preserve">  </w:t>
      </w:r>
      <w:r w:rsidR="00717361" w:rsidRPr="00A7631D">
        <w:t xml:space="preserve">Bowie denied </w:t>
      </w:r>
      <w:r w:rsidR="00CA1265" w:rsidRPr="00A7631D">
        <w:t xml:space="preserve">on direct examination that he had suffered an armed robbery conviction, although he </w:t>
      </w:r>
      <w:r w:rsidR="00B77C9D" w:rsidRPr="00A7631D">
        <w:t xml:space="preserve">acknowledged </w:t>
      </w:r>
      <w:r w:rsidR="00E11427" w:rsidRPr="00A7631D">
        <w:t>on cross-examination that he suffered a robbery conviction as a juvenile in which a firearm was involved</w:t>
      </w:r>
      <w:r w:rsidR="00CA1265" w:rsidRPr="00A7631D">
        <w:t xml:space="preserve">.  </w:t>
      </w:r>
      <w:r w:rsidR="0093723D" w:rsidRPr="00A7631D">
        <w:t xml:space="preserve">Bowie maintained that Wheels </w:t>
      </w:r>
      <w:r w:rsidR="00886FA7">
        <w:t>’</w:t>
      </w:r>
      <w:r w:rsidR="00983BD9">
        <w:t>N</w:t>
      </w:r>
      <w:r w:rsidR="0093723D" w:rsidRPr="00A7631D">
        <w:t xml:space="preserve"> Stuff was a </w:t>
      </w:r>
      <w:r w:rsidR="007C5C51" w:rsidRPr="00A7631D">
        <w:t xml:space="preserve">legitimate </w:t>
      </w:r>
      <w:r w:rsidR="00EC55D4" w:rsidRPr="00A7631D">
        <w:t>car wash</w:t>
      </w:r>
      <w:r w:rsidR="007C5C51" w:rsidRPr="00A7631D">
        <w:t xml:space="preserve"> business of which he was an </w:t>
      </w:r>
      <w:r w:rsidR="007C5C51" w:rsidRPr="00A7631D">
        <w:lastRenderedPageBreak/>
        <w:t xml:space="preserve">employee, </w:t>
      </w:r>
      <w:r w:rsidR="00192F47" w:rsidRPr="00A7631D">
        <w:t>and</w:t>
      </w:r>
      <w:r w:rsidR="007C5C51" w:rsidRPr="00A7631D">
        <w:t xml:space="preserve"> he was paid</w:t>
      </w:r>
      <w:r w:rsidR="00192F47" w:rsidRPr="00A7631D">
        <w:t xml:space="preserve"> up to</w:t>
      </w:r>
      <w:r w:rsidR="007C5C51" w:rsidRPr="00A7631D">
        <w:t xml:space="preserve"> $300 per week</w:t>
      </w:r>
      <w:r w:rsidR="006F6742" w:rsidRPr="00A7631D">
        <w:t xml:space="preserve">, “assuming </w:t>
      </w:r>
      <w:r w:rsidR="00275CBB" w:rsidRPr="00A7631D">
        <w:t xml:space="preserve">that </w:t>
      </w:r>
      <w:r w:rsidR="006F6742" w:rsidRPr="00A7631D">
        <w:t xml:space="preserve">[he] made that much,” </w:t>
      </w:r>
      <w:r w:rsidR="007C5C51" w:rsidRPr="00A7631D">
        <w:t xml:space="preserve">to wash cars.  </w:t>
      </w:r>
      <w:r w:rsidR="007A0BDA" w:rsidRPr="00A7631D">
        <w:t xml:space="preserve">Williams denied paying Bowie </w:t>
      </w:r>
      <w:r w:rsidR="00FA5D8E" w:rsidRPr="00A7631D">
        <w:t>regularly</w:t>
      </w:r>
      <w:r w:rsidR="007A0BDA" w:rsidRPr="00A7631D">
        <w:t xml:space="preserve"> for his </w:t>
      </w:r>
      <w:r w:rsidR="00265E4E" w:rsidRPr="00A7631D">
        <w:t>work</w:t>
      </w:r>
      <w:r w:rsidR="007A0BDA" w:rsidRPr="00A7631D">
        <w:t>,</w:t>
      </w:r>
      <w:r w:rsidR="00265E4E" w:rsidRPr="00A7631D">
        <w:t xml:space="preserve"> testifying he sporadically paid Bowie in small amounts if he was asked,</w:t>
      </w:r>
      <w:r w:rsidR="007A0BDA" w:rsidRPr="00A7631D">
        <w:t xml:space="preserve"> and Bowie paid no income tax</w:t>
      </w:r>
      <w:r w:rsidR="004D7539" w:rsidRPr="00A7631D">
        <w:t xml:space="preserve">.  </w:t>
      </w:r>
      <w:r w:rsidR="0007779C" w:rsidRPr="00A7631D">
        <w:t xml:space="preserve">Bowie claimed never to have seen marijuana being sold from the Wheels </w:t>
      </w:r>
      <w:r w:rsidR="00886FA7">
        <w:t>’</w:t>
      </w:r>
      <w:r w:rsidR="00983BD9">
        <w:t>N</w:t>
      </w:r>
      <w:r w:rsidR="0007779C" w:rsidRPr="00A7631D">
        <w:t xml:space="preserve"> Stuff</w:t>
      </w:r>
      <w:r w:rsidR="00D97B7E" w:rsidRPr="00A7631D">
        <w:t>.  H</w:t>
      </w:r>
      <w:r w:rsidR="008E4404" w:rsidRPr="00A7631D">
        <w:t>is claim was undermined by</w:t>
      </w:r>
      <w:r w:rsidR="00E047FF" w:rsidRPr="00A7631D">
        <w:t xml:space="preserve"> </w:t>
      </w:r>
      <w:r w:rsidR="00511C26" w:rsidRPr="00A7631D">
        <w:t>Williams</w:t>
      </w:r>
      <w:r w:rsidR="008E4404" w:rsidRPr="00A7631D">
        <w:t>’s testimony that</w:t>
      </w:r>
      <w:r w:rsidR="00511C26" w:rsidRPr="00A7631D">
        <w:t xml:space="preserve"> the </w:t>
      </w:r>
      <w:r w:rsidR="008E4404" w:rsidRPr="00A7631D">
        <w:t>building’s</w:t>
      </w:r>
      <w:r w:rsidR="00511C26" w:rsidRPr="00A7631D">
        <w:t xml:space="preserve"> rent was paid from </w:t>
      </w:r>
      <w:r w:rsidR="008E4404" w:rsidRPr="00A7631D">
        <w:t xml:space="preserve">marijuana sale </w:t>
      </w:r>
      <w:r w:rsidR="00511C26" w:rsidRPr="00A7631D">
        <w:t>proceeds</w:t>
      </w:r>
      <w:r w:rsidR="008E4404" w:rsidRPr="00A7631D">
        <w:t>, and by t</w:t>
      </w:r>
      <w:r w:rsidR="00C933D0" w:rsidRPr="00A7631D">
        <w:t>h</w:t>
      </w:r>
      <w:r w:rsidR="00E047FF" w:rsidRPr="00A7631D">
        <w:t xml:space="preserve">e </w:t>
      </w:r>
      <w:r w:rsidR="00FB2BE6" w:rsidRPr="00A7631D">
        <w:t>crime scene photographs</w:t>
      </w:r>
      <w:r w:rsidR="008E4404" w:rsidRPr="00A7631D">
        <w:t>, which</w:t>
      </w:r>
      <w:r w:rsidR="00FB2BE6" w:rsidRPr="00A7631D">
        <w:t xml:space="preserve"> show</w:t>
      </w:r>
      <w:r w:rsidR="008E4404" w:rsidRPr="00A7631D">
        <w:t>ed</w:t>
      </w:r>
      <w:r w:rsidR="00FB2BE6" w:rsidRPr="00A7631D">
        <w:t xml:space="preserve"> marijuana and related drug paraphernalia visible </w:t>
      </w:r>
      <w:r w:rsidR="00F74211" w:rsidRPr="00A7631D">
        <w:t>in open locations</w:t>
      </w:r>
      <w:r w:rsidR="008E4404" w:rsidRPr="00A7631D">
        <w:t>.</w:t>
      </w:r>
      <w:r w:rsidR="00F06226" w:rsidRPr="00A7631D">
        <w:t xml:space="preserve">  Bowie</w:t>
      </w:r>
      <w:r w:rsidR="00AF6BC5" w:rsidRPr="00A7631D">
        <w:t xml:space="preserve"> also</w:t>
      </w:r>
      <w:r w:rsidR="00F06226" w:rsidRPr="00A7631D">
        <w:t xml:space="preserve"> claimed he had never testified at a trial</w:t>
      </w:r>
      <w:r w:rsidR="008E4404" w:rsidRPr="00A7631D">
        <w:t xml:space="preserve">; </w:t>
      </w:r>
      <w:r w:rsidR="00F06226" w:rsidRPr="00A7631D">
        <w:t xml:space="preserve">this statement was impeached by a minute order from his own trial showing he </w:t>
      </w:r>
      <w:r w:rsidR="002C2443" w:rsidRPr="00A7631D">
        <w:t>testified</w:t>
      </w:r>
      <w:r w:rsidR="008E4404" w:rsidRPr="00A7631D">
        <w:t xml:space="preserve">, but </w:t>
      </w:r>
      <w:r w:rsidR="00604E40" w:rsidRPr="00A7631D">
        <w:t xml:space="preserve">he </w:t>
      </w:r>
      <w:r w:rsidR="00726751" w:rsidRPr="00A7631D">
        <w:t xml:space="preserve">maintained he had not recalled </w:t>
      </w:r>
      <w:r w:rsidR="008E4404" w:rsidRPr="00A7631D">
        <w:t>doing so as his trial had occurred</w:t>
      </w:r>
      <w:r w:rsidR="00726751" w:rsidRPr="00A7631D">
        <w:t xml:space="preserve"> fifteen years prior to Wilson’s trial</w:t>
      </w:r>
      <w:r w:rsidR="002C2443" w:rsidRPr="00A7631D">
        <w:t xml:space="preserve">.  </w:t>
      </w:r>
      <w:r w:rsidR="00415A8E" w:rsidRPr="00A7631D">
        <w:t xml:space="preserve">  </w:t>
      </w:r>
    </w:p>
    <w:p w14:paraId="09A3545A" w14:textId="200A0D2A" w:rsidR="00E07867" w:rsidRPr="00A7631D" w:rsidRDefault="0041046D" w:rsidP="000E6B78">
      <w:pPr>
        <w:pStyle w:val="NormalIndent"/>
        <w:ind w:left="0" w:firstLine="720"/>
      </w:pPr>
      <w:r w:rsidRPr="00A7631D">
        <w:t>When Bowie identified Wilson, he told</w:t>
      </w:r>
      <w:r w:rsidR="00E07867" w:rsidRPr="00A7631D">
        <w:t xml:space="preserve"> Chavers he recalled what the driver looked like because of “th</w:t>
      </w:r>
      <w:r w:rsidR="00ED68E4" w:rsidRPr="00A7631D">
        <w:t>e</w:t>
      </w:r>
      <w:r w:rsidR="00E07867" w:rsidRPr="00A7631D">
        <w:t xml:space="preserve"> smirky grin on his face.”  </w:t>
      </w:r>
      <w:r w:rsidR="007E3745" w:rsidRPr="00A7631D">
        <w:t>P</w:t>
      </w:r>
      <w:r w:rsidR="00962A10" w:rsidRPr="00A7631D">
        <w:t xml:space="preserve">olice graphic artist John Shannon testified </w:t>
      </w:r>
      <w:r w:rsidR="007E3745" w:rsidRPr="00A7631D">
        <w:t xml:space="preserve">Bowie’s description of the driver was not sufficiently specific to </w:t>
      </w:r>
      <w:r w:rsidR="00266006" w:rsidRPr="00A7631D">
        <w:t>permit him to create a sketch</w:t>
      </w:r>
      <w:r w:rsidR="00BD5200" w:rsidRPr="00A7631D">
        <w:t>.  He testified that</w:t>
      </w:r>
      <w:r w:rsidR="00B9204B" w:rsidRPr="00A7631D">
        <w:t xml:space="preserve"> Bowie </w:t>
      </w:r>
      <w:r w:rsidR="008A2B84" w:rsidRPr="00A7631D">
        <w:t xml:space="preserve">did not say anything about Wilson’s mouth shape or </w:t>
      </w:r>
      <w:r w:rsidR="000E049F" w:rsidRPr="00A7631D">
        <w:t xml:space="preserve">a </w:t>
      </w:r>
      <w:r w:rsidR="008A2B84" w:rsidRPr="00A7631D">
        <w:t>smirk</w:t>
      </w:r>
      <w:r w:rsidR="00447956" w:rsidRPr="00A7631D">
        <w:t>,</w:t>
      </w:r>
      <w:r w:rsidR="008A2B84" w:rsidRPr="00A7631D">
        <w:t xml:space="preserve"> </w:t>
      </w:r>
      <w:r w:rsidR="00447956" w:rsidRPr="00A7631D">
        <w:t>only</w:t>
      </w:r>
      <w:r w:rsidR="00A95993" w:rsidRPr="00A7631D">
        <w:t xml:space="preserve"> describing</w:t>
      </w:r>
      <w:r w:rsidR="00447956" w:rsidRPr="00A7631D">
        <w:t xml:space="preserve"> that</w:t>
      </w:r>
      <w:r w:rsidR="00B9204B" w:rsidRPr="00A7631D">
        <w:t xml:space="preserve"> the driver had a receding hairline</w:t>
      </w:r>
      <w:r w:rsidR="00BD5200" w:rsidRPr="00A7631D">
        <w:t xml:space="preserve">, </w:t>
      </w:r>
      <w:r w:rsidR="00B9204B" w:rsidRPr="00A7631D">
        <w:t>tight eyes</w:t>
      </w:r>
      <w:r w:rsidR="00257280" w:rsidRPr="00A7631D">
        <w:t>, or “something like that</w:t>
      </w:r>
      <w:r w:rsidR="00BD5200" w:rsidRPr="00A7631D">
        <w:t>.</w:t>
      </w:r>
      <w:r w:rsidR="00257280" w:rsidRPr="00A7631D">
        <w:t xml:space="preserve">”  </w:t>
      </w:r>
      <w:r w:rsidR="0015392A" w:rsidRPr="00A7631D">
        <w:t xml:space="preserve">Shannon </w:t>
      </w:r>
      <w:r w:rsidR="0005726C" w:rsidRPr="00A7631D">
        <w:t xml:space="preserve">explained that when a suspect possessed some unusual feature, </w:t>
      </w:r>
      <w:r w:rsidR="000E049F" w:rsidRPr="00A7631D">
        <w:t xml:space="preserve">witnesses were </w:t>
      </w:r>
      <w:proofErr w:type="gramStart"/>
      <w:r w:rsidR="000E049F" w:rsidRPr="00A7631D">
        <w:t>usually</w:t>
      </w:r>
      <w:r w:rsidR="0015392A" w:rsidRPr="00A7631D">
        <w:t xml:space="preserve"> able</w:t>
      </w:r>
      <w:proofErr w:type="gramEnd"/>
      <w:r w:rsidR="0015392A" w:rsidRPr="00A7631D">
        <w:t xml:space="preserve"> to describe </w:t>
      </w:r>
      <w:r w:rsidR="004D40B4" w:rsidRPr="00A7631D">
        <w:t>that</w:t>
      </w:r>
      <w:r w:rsidR="0005726C" w:rsidRPr="00A7631D">
        <w:t xml:space="preserve"> </w:t>
      </w:r>
      <w:r w:rsidR="0015392A" w:rsidRPr="00A7631D">
        <w:t>detail to him</w:t>
      </w:r>
      <w:r w:rsidR="004D40B4" w:rsidRPr="00A7631D">
        <w:t xml:space="preserve">.  </w:t>
      </w:r>
      <w:r w:rsidR="006C4B45" w:rsidRPr="00A7631D">
        <w:t xml:space="preserve">Williams and Brown </w:t>
      </w:r>
      <w:r w:rsidR="002771E0" w:rsidRPr="00A7631D">
        <w:t xml:space="preserve">believed </w:t>
      </w:r>
      <w:r w:rsidR="006C4B45" w:rsidRPr="00A7631D">
        <w:t xml:space="preserve">the driver </w:t>
      </w:r>
      <w:r w:rsidR="002771E0" w:rsidRPr="00A7631D">
        <w:t>wore</w:t>
      </w:r>
      <w:r w:rsidR="006C4B45" w:rsidRPr="00A7631D">
        <w:t xml:space="preserve"> a cap with writing on it, </w:t>
      </w:r>
      <w:r w:rsidR="002771E0" w:rsidRPr="00A7631D">
        <w:t xml:space="preserve">while </w:t>
      </w:r>
      <w:r w:rsidR="006C4B45" w:rsidRPr="00A7631D">
        <w:t xml:space="preserve">Bowie described the driver’s hairline.  </w:t>
      </w:r>
      <w:r w:rsidR="00257280" w:rsidRPr="00A7631D">
        <w:t>Wilson argued he did not have a receding hairline</w:t>
      </w:r>
      <w:r w:rsidR="006A3317" w:rsidRPr="00A7631D">
        <w:t xml:space="preserve"> in 1998, nor did his eyes</w:t>
      </w:r>
      <w:r w:rsidR="00257280" w:rsidRPr="00A7631D">
        <w:t xml:space="preserve"> appear “tight</w:t>
      </w:r>
      <w:r w:rsidR="006A3317" w:rsidRPr="00A7631D">
        <w:t>.</w:t>
      </w:r>
      <w:r w:rsidR="00257280" w:rsidRPr="00A7631D">
        <w:t>”</w:t>
      </w:r>
      <w:r w:rsidR="00A312C6" w:rsidRPr="00A7631D">
        <w:t xml:space="preserve">  </w:t>
      </w:r>
    </w:p>
    <w:p w14:paraId="7F7530F0" w14:textId="41334740" w:rsidR="006151E7" w:rsidRPr="00A7631D" w:rsidRDefault="006151E7" w:rsidP="000E6B78">
      <w:pPr>
        <w:ind w:firstLine="720"/>
      </w:pPr>
      <w:r w:rsidRPr="00A7631D">
        <w:t>Brown</w:t>
      </w:r>
      <w:r w:rsidR="00765297">
        <w:t xml:space="preserve"> </w:t>
      </w:r>
      <w:r w:rsidR="00B112C2">
        <w:t xml:space="preserve">had </w:t>
      </w:r>
      <w:r w:rsidR="00602698" w:rsidRPr="00A7631D">
        <w:t xml:space="preserve">testified that he saw the El Camino and </w:t>
      </w:r>
      <w:r w:rsidR="006A25CD" w:rsidRPr="00A7631D">
        <w:t xml:space="preserve">the </w:t>
      </w:r>
      <w:r w:rsidR="00602698" w:rsidRPr="00A7631D">
        <w:t xml:space="preserve">Honda leaving Wheels </w:t>
      </w:r>
      <w:r w:rsidR="00FA6B16">
        <w:t>’</w:t>
      </w:r>
      <w:r w:rsidR="00983BD9">
        <w:t>N</w:t>
      </w:r>
      <w:r w:rsidR="00602698" w:rsidRPr="00A7631D">
        <w:t xml:space="preserve"> Stuff the morning of the shooting</w:t>
      </w:r>
      <w:r w:rsidR="00B112C2">
        <w:t>.</w:t>
      </w:r>
      <w:r w:rsidR="006C0466">
        <w:t xml:space="preserve"> </w:t>
      </w:r>
      <w:r w:rsidR="00B112C2">
        <w:t xml:space="preserve"> He </w:t>
      </w:r>
      <w:r w:rsidRPr="00A7631D">
        <w:t xml:space="preserve">began his employment with </w:t>
      </w:r>
      <w:r w:rsidR="00602698" w:rsidRPr="00A7631D">
        <w:t xml:space="preserve">the </w:t>
      </w:r>
      <w:r w:rsidR="00EC55D4" w:rsidRPr="00A7631D">
        <w:t>car wash</w:t>
      </w:r>
      <w:r w:rsidRPr="00A7631D">
        <w:t xml:space="preserve"> </w:t>
      </w:r>
      <w:r w:rsidR="00E93E1D" w:rsidRPr="00A7631D">
        <w:t>weeks after</w:t>
      </w:r>
      <w:r w:rsidRPr="00A7631D">
        <w:t xml:space="preserve"> his release from county jail, where he was incarcerated after suffering </w:t>
      </w:r>
      <w:r w:rsidRPr="00A7631D">
        <w:lastRenderedPageBreak/>
        <w:t>felony convictions for conspiracy and telephone fraud</w:t>
      </w:r>
      <w:r w:rsidR="0076716E" w:rsidRPr="00A7631D">
        <w:t xml:space="preserve"> in 1993</w:t>
      </w:r>
      <w:r w:rsidRPr="00A7631D">
        <w:t xml:space="preserve">. </w:t>
      </w:r>
      <w:r w:rsidR="000A1931" w:rsidRPr="00A7631D">
        <w:t xml:space="preserve"> </w:t>
      </w:r>
      <w:r w:rsidR="00A97146" w:rsidRPr="00A7631D">
        <w:t xml:space="preserve">Brown </w:t>
      </w:r>
      <w:r w:rsidR="00602698" w:rsidRPr="00A7631D">
        <w:t xml:space="preserve">was unable to identify </w:t>
      </w:r>
      <w:r w:rsidR="003C56EC" w:rsidRPr="00A7631D">
        <w:t xml:space="preserve">Wilson as the driver </w:t>
      </w:r>
      <w:r w:rsidR="00A97146" w:rsidRPr="00A7631D">
        <w:t>during</w:t>
      </w:r>
      <w:r w:rsidR="003C56EC" w:rsidRPr="00A7631D">
        <w:t xml:space="preserve"> the February 24, 1998 photographic lineup</w:t>
      </w:r>
      <w:r w:rsidR="007F69C6" w:rsidRPr="00A7631D">
        <w:t>, and</w:t>
      </w:r>
      <w:r w:rsidR="00A97146" w:rsidRPr="00A7631D">
        <w:t xml:space="preserve"> </w:t>
      </w:r>
      <w:r w:rsidR="00B728C5" w:rsidRPr="00A7631D">
        <w:t xml:space="preserve">Wilson </w:t>
      </w:r>
      <w:r w:rsidR="007F69C6" w:rsidRPr="00A7631D">
        <w:t>argues he</w:t>
      </w:r>
      <w:r w:rsidR="00A97146" w:rsidRPr="00A7631D">
        <w:t xml:space="preserve"> erroneously</w:t>
      </w:r>
      <w:r w:rsidR="003C56EC" w:rsidRPr="00A7631D">
        <w:t xml:space="preserve"> identified </w:t>
      </w:r>
      <w:r w:rsidR="00090671" w:rsidRPr="00A7631D">
        <w:t>another man</w:t>
      </w:r>
      <w:r w:rsidR="00425FE2" w:rsidRPr="00A7631D">
        <w:t xml:space="preserve"> as </w:t>
      </w:r>
      <w:r w:rsidR="007F69C6" w:rsidRPr="00A7631D">
        <w:t xml:space="preserve">someone who </w:t>
      </w:r>
      <w:r w:rsidR="00E61983" w:rsidRPr="00A7631D">
        <w:t>resembl</w:t>
      </w:r>
      <w:r w:rsidR="007F69C6" w:rsidRPr="00A7631D">
        <w:t>ed</w:t>
      </w:r>
      <w:r w:rsidR="00E61983" w:rsidRPr="00A7631D">
        <w:t xml:space="preserve"> </w:t>
      </w:r>
      <w:r w:rsidR="00425FE2" w:rsidRPr="00A7631D">
        <w:t>the driver</w:t>
      </w:r>
      <w:r w:rsidR="000F16C2" w:rsidRPr="00A7631D">
        <w:t>.</w:t>
      </w:r>
      <w:r w:rsidRPr="00A7631D">
        <w:t xml:space="preserve"> </w:t>
      </w:r>
      <w:r w:rsidR="000F16C2" w:rsidRPr="00A7631D">
        <w:t xml:space="preserve"> </w:t>
      </w:r>
    </w:p>
    <w:p w14:paraId="799FC0B4" w14:textId="4EF86746" w:rsidR="007E7799" w:rsidRPr="00A7631D" w:rsidRDefault="00E61983" w:rsidP="000E6B78">
      <w:pPr>
        <w:ind w:firstLine="720"/>
      </w:pPr>
      <w:r w:rsidRPr="00A7631D">
        <w:t>Wilson presented evidence that he was not involved with burning the El Camino</w:t>
      </w:r>
      <w:r w:rsidR="00334269" w:rsidRPr="00A7631D">
        <w:t>.</w:t>
      </w:r>
      <w:r w:rsidR="002B6698" w:rsidRPr="00A7631D">
        <w:t xml:space="preserve">  </w:t>
      </w:r>
      <w:r w:rsidR="007E7799" w:rsidRPr="00A7631D">
        <w:t xml:space="preserve">Joseph Black, a defense expert employed by one of the manufacturers of IROC rims, testified </w:t>
      </w:r>
      <w:r w:rsidR="00F83CBD">
        <w:t xml:space="preserve">that </w:t>
      </w:r>
      <w:r w:rsidR="007E7799" w:rsidRPr="00A7631D">
        <w:t xml:space="preserve">the rims on Dunn’s El Camino appeared consistent with a 1984 rim style, and were not the same style as the rims sold with the 1988 Camaro.  He testified that he did not believe IROC rims required modification to be fit on an El Camino.  </w:t>
      </w:r>
    </w:p>
    <w:p w14:paraId="2686DAC9" w14:textId="4E535A81" w:rsidR="000F665F" w:rsidRPr="00A7631D" w:rsidRDefault="00B874DB" w:rsidP="00A7631D">
      <w:pPr>
        <w:ind w:firstLine="720"/>
      </w:pPr>
      <w:r w:rsidRPr="00A7631D">
        <w:t xml:space="preserve">With regard to the binder found in Wilson’s </w:t>
      </w:r>
      <w:r w:rsidR="00743933" w:rsidRPr="00A7631D">
        <w:t>home</w:t>
      </w:r>
      <w:r w:rsidRPr="00A7631D">
        <w:t>, no evidence</w:t>
      </w:r>
      <w:r w:rsidR="000F665F" w:rsidRPr="00A7631D">
        <w:t xml:space="preserve"> suggested</w:t>
      </w:r>
      <w:r w:rsidRPr="00A7631D">
        <w:t xml:space="preserve"> that Wilson made any of the drawings or that he composed the list of Y.M.O. members</w:t>
      </w:r>
      <w:r w:rsidR="00161248" w:rsidRPr="00A7631D">
        <w:t xml:space="preserve">.  </w:t>
      </w:r>
      <w:r w:rsidR="00C86674" w:rsidRPr="00A7631D">
        <w:t xml:space="preserve">No drawings of Wilson appeared in the binder.  </w:t>
      </w:r>
    </w:p>
    <w:p w14:paraId="00402B84" w14:textId="2CD4CB72" w:rsidR="00092245" w:rsidRPr="00A7631D" w:rsidRDefault="00D24FDA" w:rsidP="000E6B78">
      <w:pPr>
        <w:ind w:firstLine="720"/>
      </w:pPr>
      <w:r w:rsidRPr="00A7631D">
        <w:t>None of the f</w:t>
      </w:r>
      <w:r w:rsidR="00092245" w:rsidRPr="00A7631D">
        <w:t>ingerpri</w:t>
      </w:r>
      <w:r w:rsidR="001156C4" w:rsidRPr="00A7631D">
        <w:t xml:space="preserve">nts collected from the </w:t>
      </w:r>
      <w:r w:rsidR="00EC55D4" w:rsidRPr="00A7631D">
        <w:t>car wash</w:t>
      </w:r>
      <w:r w:rsidR="002F5732" w:rsidRPr="00A7631D">
        <w:t xml:space="preserve"> </w:t>
      </w:r>
      <w:r w:rsidR="00403FF7" w:rsidRPr="00A7631D">
        <w:t>could be traced to Pops or Wilson</w:t>
      </w:r>
      <w:r w:rsidR="001156C4" w:rsidRPr="00A7631D">
        <w:t xml:space="preserve">.   </w:t>
      </w:r>
    </w:p>
    <w:p w14:paraId="7E81951E" w14:textId="6D5C191A" w:rsidR="00750590" w:rsidRPr="00A7631D" w:rsidRDefault="002E02BD" w:rsidP="000E6B78">
      <w:pPr>
        <w:ind w:firstLine="720"/>
      </w:pPr>
      <w:r w:rsidRPr="00A7631D">
        <w:t>D</w:t>
      </w:r>
      <w:r w:rsidR="00A17FF8" w:rsidRPr="00A7631D">
        <w:t xml:space="preserve">eputy Public Defender Jeanmarie </w:t>
      </w:r>
      <w:proofErr w:type="spellStart"/>
      <w:r w:rsidR="00A17FF8" w:rsidRPr="00A7631D">
        <w:t>Klingenbeck</w:t>
      </w:r>
      <w:proofErr w:type="spellEnd"/>
      <w:r w:rsidR="00A17FF8" w:rsidRPr="00A7631D">
        <w:t>, a close friend of Deputy Public Defender Cheryl Jones (</w:t>
      </w:r>
      <w:proofErr w:type="spellStart"/>
      <w:r w:rsidR="00A17FF8" w:rsidRPr="00A7631D">
        <w:t>Pops’s</w:t>
      </w:r>
      <w:proofErr w:type="spellEnd"/>
      <w:r w:rsidR="00A17FF8" w:rsidRPr="00A7631D">
        <w:t xml:space="preserve"> attorney) attended</w:t>
      </w:r>
      <w:r w:rsidRPr="00A7631D">
        <w:t xml:space="preserve"> the live </w:t>
      </w:r>
      <w:r w:rsidR="00993169" w:rsidRPr="00A7631D">
        <w:t>lineup</w:t>
      </w:r>
      <w:r w:rsidR="00054B25" w:rsidRPr="00A7631D">
        <w:t xml:space="preserve"> </w:t>
      </w:r>
      <w:r w:rsidR="00A17FF8" w:rsidRPr="00A7631D">
        <w:t xml:space="preserve">in June 1998.  </w:t>
      </w:r>
      <w:r w:rsidR="00DC002C" w:rsidRPr="00A7631D">
        <w:t xml:space="preserve">She </w:t>
      </w:r>
      <w:r w:rsidR="00A457DE" w:rsidRPr="00A7631D">
        <w:t xml:space="preserve">sat a few rows behind </w:t>
      </w:r>
      <w:r w:rsidR="00343A24" w:rsidRPr="00A7631D">
        <w:t>the three witnesses</w:t>
      </w:r>
      <w:r w:rsidR="00A457DE" w:rsidRPr="00A7631D">
        <w:t xml:space="preserve"> — </w:t>
      </w:r>
      <w:r w:rsidR="00343A24" w:rsidRPr="00A7631D">
        <w:t>Bowie, Williams, and B</w:t>
      </w:r>
      <w:r w:rsidR="00A457DE" w:rsidRPr="00A7631D">
        <w:t>r</w:t>
      </w:r>
      <w:r w:rsidR="00343A24" w:rsidRPr="00A7631D">
        <w:t>own</w:t>
      </w:r>
      <w:r w:rsidR="00A457DE" w:rsidRPr="00A7631D">
        <w:t xml:space="preserve"> — who </w:t>
      </w:r>
      <w:r w:rsidR="00CD236F" w:rsidRPr="00A7631D">
        <w:t>each sat</w:t>
      </w:r>
      <w:r w:rsidR="00A457DE" w:rsidRPr="00A7631D">
        <w:t xml:space="preserve"> about six feet away from one another in a row of school desks with empty desks between them.  </w:t>
      </w:r>
      <w:proofErr w:type="spellStart"/>
      <w:r w:rsidR="00274A19" w:rsidRPr="00A7631D">
        <w:t>Klingenbeck</w:t>
      </w:r>
      <w:proofErr w:type="spellEnd"/>
      <w:r w:rsidR="00274A19" w:rsidRPr="00A7631D">
        <w:t xml:space="preserve"> noticed the</w:t>
      </w:r>
      <w:r w:rsidR="00343A24" w:rsidRPr="00A7631D">
        <w:t xml:space="preserve"> </w:t>
      </w:r>
      <w:r w:rsidR="00274A19" w:rsidRPr="00A7631D">
        <w:t xml:space="preserve">witnesses </w:t>
      </w:r>
      <w:r w:rsidR="008B25C6" w:rsidRPr="00A7631D">
        <w:t xml:space="preserve">motioning toward each other, “like kids would do when they were copying off papers.”  </w:t>
      </w:r>
      <w:proofErr w:type="spellStart"/>
      <w:r w:rsidR="00971EE8" w:rsidRPr="00A7631D">
        <w:t>Klingenbeck</w:t>
      </w:r>
      <w:proofErr w:type="spellEnd"/>
      <w:r w:rsidR="00971EE8" w:rsidRPr="00A7631D">
        <w:t xml:space="preserve"> took notes once she noticed what she perceived as “unusual activity,” but she did not inform the officers </w:t>
      </w:r>
      <w:r w:rsidR="00FA0347" w:rsidRPr="00A7631D">
        <w:t>at</w:t>
      </w:r>
      <w:r w:rsidR="00971EE8" w:rsidRPr="00A7631D">
        <w:t xml:space="preserve"> the </w:t>
      </w:r>
      <w:r w:rsidR="00993169" w:rsidRPr="00A7631D">
        <w:t>lineup</w:t>
      </w:r>
      <w:r w:rsidR="00971EE8" w:rsidRPr="00A7631D">
        <w:t xml:space="preserve"> </w:t>
      </w:r>
      <w:r w:rsidR="003D4AFC" w:rsidRPr="00A7631D">
        <w:t>about</w:t>
      </w:r>
      <w:r w:rsidR="00FA0347" w:rsidRPr="00A7631D">
        <w:t xml:space="preserve"> her observations.  </w:t>
      </w:r>
      <w:proofErr w:type="spellStart"/>
      <w:r w:rsidR="00972C4B" w:rsidRPr="00A7631D">
        <w:t>Klingenbeck</w:t>
      </w:r>
      <w:proofErr w:type="spellEnd"/>
      <w:r w:rsidR="00972C4B" w:rsidRPr="00A7631D">
        <w:t xml:space="preserve"> </w:t>
      </w:r>
      <w:r w:rsidR="00A2460D" w:rsidRPr="00A7631D">
        <w:t xml:space="preserve">told </w:t>
      </w:r>
      <w:r w:rsidR="000A5318" w:rsidRPr="00A7631D">
        <w:t>Jones,</w:t>
      </w:r>
      <w:r w:rsidR="00972C4B" w:rsidRPr="00A7631D">
        <w:t xml:space="preserve"> her friend and fellow public defender</w:t>
      </w:r>
      <w:r w:rsidR="000A5318" w:rsidRPr="00A7631D">
        <w:t xml:space="preserve">, </w:t>
      </w:r>
      <w:r w:rsidR="00A2460D" w:rsidRPr="00A7631D">
        <w:t xml:space="preserve">about what she saw, and she </w:t>
      </w:r>
      <w:r w:rsidR="00B56B8E" w:rsidRPr="00A7631D">
        <w:t xml:space="preserve">provided a </w:t>
      </w:r>
      <w:r w:rsidR="00B56B8E" w:rsidRPr="00A7631D">
        <w:lastRenderedPageBreak/>
        <w:t>statement to Jones a few months before trial</w:t>
      </w:r>
      <w:r w:rsidR="00A2460D" w:rsidRPr="00A7631D">
        <w:t xml:space="preserve">.  </w:t>
      </w:r>
      <w:proofErr w:type="spellStart"/>
      <w:r w:rsidR="00A2460D" w:rsidRPr="00A7631D">
        <w:t>Klingenbeck</w:t>
      </w:r>
      <w:proofErr w:type="spellEnd"/>
      <w:r w:rsidR="00B56B8E" w:rsidRPr="00A7631D">
        <w:t xml:space="preserve"> testified at trial</w:t>
      </w:r>
      <w:r w:rsidR="00476D10" w:rsidRPr="00A7631D">
        <w:t xml:space="preserve"> as to her observations.  </w:t>
      </w:r>
    </w:p>
    <w:p w14:paraId="3B729BA6" w14:textId="4BEA5293" w:rsidR="00AC6A0B" w:rsidRPr="00A7631D" w:rsidRDefault="002F4372" w:rsidP="000E6B78">
      <w:pPr>
        <w:ind w:firstLine="720"/>
      </w:pPr>
      <w:r w:rsidRPr="00A7631D">
        <w:t>Deputy Sheriff</w:t>
      </w:r>
      <w:r w:rsidR="00C307B1" w:rsidRPr="00A7631D">
        <w:t xml:space="preserve"> William Gilbert</w:t>
      </w:r>
      <w:r w:rsidRPr="00A7631D">
        <w:t xml:space="preserve"> of the Los Angeles County Sheriff’s Department</w:t>
      </w:r>
      <w:r w:rsidR="00C307B1" w:rsidRPr="00A7631D">
        <w:t xml:space="preserve"> supervised the June 9, 1998 live lineup, </w:t>
      </w:r>
      <w:r w:rsidR="00BC17A8" w:rsidRPr="00A7631D">
        <w:t xml:space="preserve">and he </w:t>
      </w:r>
      <w:r w:rsidR="00C307B1" w:rsidRPr="00A7631D">
        <w:t xml:space="preserve">testified regarding the procedures and safeguards in place. </w:t>
      </w:r>
      <w:r w:rsidR="00DF5755" w:rsidRPr="00A7631D">
        <w:t xml:space="preserve"> Gilbert </w:t>
      </w:r>
      <w:r w:rsidR="0040613F" w:rsidRPr="00A7631D">
        <w:t xml:space="preserve">described how </w:t>
      </w:r>
      <w:r w:rsidR="003D0AB9" w:rsidRPr="00A7631D">
        <w:t xml:space="preserve">witnesses </w:t>
      </w:r>
      <w:r w:rsidR="00430157" w:rsidRPr="00A7631D">
        <w:t>are</w:t>
      </w:r>
      <w:r w:rsidR="00F806D3" w:rsidRPr="00A7631D">
        <w:t xml:space="preserve"> </w:t>
      </w:r>
      <w:r w:rsidR="004F35A8" w:rsidRPr="00A7631D">
        <w:t xml:space="preserve">generally </w:t>
      </w:r>
      <w:r w:rsidR="00F806D3" w:rsidRPr="00A7631D">
        <w:t>seated</w:t>
      </w:r>
      <w:r w:rsidR="0040613F" w:rsidRPr="00A7631D">
        <w:t xml:space="preserve"> at </w:t>
      </w:r>
      <w:r w:rsidR="00430157" w:rsidRPr="00A7631D">
        <w:t>a</w:t>
      </w:r>
      <w:r w:rsidR="0040613F" w:rsidRPr="00A7631D">
        <w:t xml:space="preserve"> lineup</w:t>
      </w:r>
      <w:r w:rsidR="00430157" w:rsidRPr="00A7631D">
        <w:t xml:space="preserve">, explaining that because there are seven seats in a row, three witnesses would be seated with two chairs between each person.  </w:t>
      </w:r>
      <w:r w:rsidR="00FC7B6F" w:rsidRPr="00A7631D">
        <w:t xml:space="preserve">Witnesses are reminded </w:t>
      </w:r>
      <w:r w:rsidR="004566E4" w:rsidRPr="00A7631D">
        <w:t>“</w:t>
      </w:r>
      <w:r w:rsidR="00FC7B6F" w:rsidRPr="00A7631D">
        <w:t xml:space="preserve">that </w:t>
      </w:r>
      <w:r w:rsidR="004566E4" w:rsidRPr="00A7631D">
        <w:t xml:space="preserve">there is no talking, </w:t>
      </w:r>
      <w:proofErr w:type="gramStart"/>
      <w:r w:rsidR="004566E4" w:rsidRPr="00A7631D">
        <w:t>communicating</w:t>
      </w:r>
      <w:proofErr w:type="gramEnd"/>
      <w:r w:rsidR="004566E4" w:rsidRPr="00A7631D">
        <w:t xml:space="preserve"> or looking around in any way, shape or form,</w:t>
      </w:r>
      <w:r w:rsidR="00D30569" w:rsidRPr="00A7631D">
        <w:t xml:space="preserve"> [and they are instructed] to</w:t>
      </w:r>
      <w:r w:rsidR="004566E4" w:rsidRPr="00A7631D">
        <w:t xml:space="preserve"> look straight ahead</w:t>
      </w:r>
      <w:r w:rsidR="00D30569" w:rsidRPr="00A7631D">
        <w:t xml:space="preserve">.”  </w:t>
      </w:r>
      <w:r w:rsidR="00AC6A0B" w:rsidRPr="00A7631D">
        <w:t xml:space="preserve">Gilbert testified that he monitored the lineup from </w:t>
      </w:r>
      <w:r w:rsidR="00E46AAD" w:rsidRPr="00A7631D">
        <w:t>a</w:t>
      </w:r>
      <w:r w:rsidR="00AC6A0B" w:rsidRPr="00A7631D">
        <w:t xml:space="preserve"> window in front of the stage</w:t>
      </w:r>
      <w:r w:rsidR="00E46AAD" w:rsidRPr="00A7631D">
        <w:t>, where he could see the lineup participants and the witnesses in the gallery</w:t>
      </w:r>
      <w:r w:rsidR="00AC6A0B" w:rsidRPr="00A7631D">
        <w:t xml:space="preserve">.  If </w:t>
      </w:r>
      <w:r w:rsidR="00226140" w:rsidRPr="00A7631D">
        <w:t>any</w:t>
      </w:r>
      <w:r w:rsidR="00AC6A0B" w:rsidRPr="00A7631D">
        <w:t xml:space="preserve"> witness</w:t>
      </w:r>
      <w:r w:rsidR="00226140" w:rsidRPr="00A7631D">
        <w:t xml:space="preserve"> communication had been observed, the lineup would have been cancelled.</w:t>
      </w:r>
      <w:r w:rsidR="00AC6A0B" w:rsidRPr="00A7631D">
        <w:t xml:space="preserve">  </w:t>
      </w:r>
      <w:r w:rsidR="00226140" w:rsidRPr="00A7631D">
        <w:t>T</w:t>
      </w:r>
      <w:r w:rsidR="00AC6A0B" w:rsidRPr="00A7631D">
        <w:t>he</w:t>
      </w:r>
      <w:r w:rsidR="00B70503" w:rsidRPr="00A7631D">
        <w:t xml:space="preserve"> witnesses are illuminated by the light behind a</w:t>
      </w:r>
      <w:r w:rsidR="00E853B6" w:rsidRPr="00A7631D">
        <w:t xml:space="preserve"> two-way mirror, and the area where witnesses are seated is too dim to read a newspaper.</w:t>
      </w:r>
      <w:r w:rsidR="00AC6A0B" w:rsidRPr="00A7631D">
        <w:t xml:space="preserve">  </w:t>
      </w:r>
    </w:p>
    <w:p w14:paraId="235F2453" w14:textId="47638B76" w:rsidR="00EE67F4" w:rsidRPr="00A7631D" w:rsidRDefault="00D9629F" w:rsidP="000E6B78">
      <w:pPr>
        <w:ind w:firstLine="720"/>
      </w:pPr>
      <w:r w:rsidRPr="00A7631D">
        <w:t xml:space="preserve">Attorneys </w:t>
      </w:r>
      <w:r w:rsidR="00D30569" w:rsidRPr="00A7631D">
        <w:t>attending the lineup</w:t>
      </w:r>
      <w:r w:rsidR="00B870F7" w:rsidRPr="00A7631D">
        <w:t xml:space="preserve"> </w:t>
      </w:r>
      <w:r w:rsidRPr="00A7631D">
        <w:t>are</w:t>
      </w:r>
      <w:r w:rsidR="00B870F7" w:rsidRPr="00A7631D">
        <w:t xml:space="preserve"> seated between six and eight rows behind the witnesses</w:t>
      </w:r>
      <w:r w:rsidR="00346E92" w:rsidRPr="00A7631D">
        <w:t xml:space="preserve">, and they are required to </w:t>
      </w:r>
      <w:r w:rsidR="008E516E" w:rsidRPr="00A7631D">
        <w:t>identify themselves</w:t>
      </w:r>
      <w:r w:rsidR="00F43CDF" w:rsidRPr="00A7631D">
        <w:t>, and to state why they’re attending the lineup,</w:t>
      </w:r>
      <w:r w:rsidR="00346E92" w:rsidRPr="00A7631D">
        <w:t xml:space="preserve"> before </w:t>
      </w:r>
      <w:r w:rsidR="00F43CDF" w:rsidRPr="00A7631D">
        <w:t>it</w:t>
      </w:r>
      <w:r w:rsidR="00346E92" w:rsidRPr="00A7631D">
        <w:t xml:space="preserve"> begins</w:t>
      </w:r>
      <w:r w:rsidR="00E853B6" w:rsidRPr="00A7631D">
        <w:t>.</w:t>
      </w:r>
      <w:r w:rsidR="00607EF1" w:rsidRPr="00A7631D">
        <w:t xml:space="preserve">  </w:t>
      </w:r>
      <w:proofErr w:type="spellStart"/>
      <w:r w:rsidR="00607EF1" w:rsidRPr="00A7631D">
        <w:t>Klingenbeck</w:t>
      </w:r>
      <w:proofErr w:type="spellEnd"/>
      <w:r w:rsidR="00607EF1" w:rsidRPr="00A7631D">
        <w:t xml:space="preserve"> intimated she was an attorney related to the case, and</w:t>
      </w:r>
      <w:r w:rsidR="00E46AAD" w:rsidRPr="00A7631D">
        <w:t xml:space="preserve"> Gilbert testified</w:t>
      </w:r>
      <w:r w:rsidR="00A12985" w:rsidRPr="00A7631D">
        <w:t xml:space="preserve"> that if she</w:t>
      </w:r>
      <w:r w:rsidR="00607EF1" w:rsidRPr="00A7631D">
        <w:t xml:space="preserve"> had indicated that she </w:t>
      </w:r>
      <w:r w:rsidR="001267ED" w:rsidRPr="00A7631D">
        <w:t xml:space="preserve">was </w:t>
      </w:r>
      <w:r w:rsidR="00607EF1" w:rsidRPr="00A7631D">
        <w:t>merely accompan</w:t>
      </w:r>
      <w:r w:rsidR="001267ED" w:rsidRPr="00A7631D">
        <w:t>ying</w:t>
      </w:r>
      <w:r w:rsidR="00607EF1" w:rsidRPr="00A7631D">
        <w:t xml:space="preserve"> attorney Jones she would have been asked to wait outside.  </w:t>
      </w:r>
      <w:r w:rsidR="007565C9" w:rsidRPr="00A7631D">
        <w:t>The paperwork Gilbert completed in conjunction with the lineup notes no</w:t>
      </w:r>
      <w:r w:rsidR="008713C9" w:rsidRPr="00A7631D">
        <w:t xml:space="preserve"> objections or incidents related to improper witness communication</w:t>
      </w:r>
      <w:r w:rsidR="00843BB8" w:rsidRPr="00A7631D">
        <w:t xml:space="preserve">.  </w:t>
      </w:r>
    </w:p>
    <w:p w14:paraId="7D353601" w14:textId="3598ACEA" w:rsidR="00CF11E3" w:rsidRPr="00A7631D" w:rsidRDefault="008F194F" w:rsidP="00A7631D">
      <w:pPr>
        <w:pStyle w:val="Heading2"/>
        <w:numPr>
          <w:ilvl w:val="0"/>
          <w:numId w:val="1"/>
        </w:numPr>
      </w:pPr>
      <w:bookmarkStart w:id="24" w:name="_Toc58846815"/>
      <w:bookmarkStart w:id="25" w:name="_Toc50617032"/>
      <w:r w:rsidRPr="00A7631D">
        <w:lastRenderedPageBreak/>
        <w:t>Penalty Phase</w:t>
      </w:r>
      <w:bookmarkEnd w:id="24"/>
      <w:bookmarkEnd w:id="25"/>
    </w:p>
    <w:p w14:paraId="6CC8F043" w14:textId="5CA34651" w:rsidR="00B00FA7" w:rsidRPr="00A7631D" w:rsidRDefault="000743F1" w:rsidP="000E6B78">
      <w:pPr>
        <w:pStyle w:val="Heading3"/>
        <w:numPr>
          <w:ilvl w:val="0"/>
          <w:numId w:val="8"/>
        </w:numPr>
        <w:ind w:left="1584" w:hanging="432"/>
      </w:pPr>
      <w:bookmarkStart w:id="26" w:name="_Toc58846816"/>
      <w:bookmarkStart w:id="27" w:name="_Toc50617033"/>
      <w:r w:rsidRPr="00A7631D">
        <w:t>Prosecution</w:t>
      </w:r>
      <w:r w:rsidR="007120FE" w:rsidRPr="00A7631D">
        <w:t xml:space="preserve"> Case</w:t>
      </w:r>
      <w:bookmarkEnd w:id="26"/>
      <w:bookmarkEnd w:id="27"/>
    </w:p>
    <w:p w14:paraId="2288141D" w14:textId="744EEAFB" w:rsidR="00C13D00" w:rsidRPr="00A7631D" w:rsidRDefault="00C13D00" w:rsidP="000E6B78">
      <w:pPr>
        <w:ind w:firstLine="720"/>
      </w:pPr>
      <w:r w:rsidRPr="00A7631D">
        <w:t>Hurd’s sister, Charmain</w:t>
      </w:r>
      <w:r w:rsidR="00B00FA7" w:rsidRPr="00A7631D">
        <w:t xml:space="preserve">e Hurd, testified about the toll his death took on his family, including his five children.  </w:t>
      </w:r>
    </w:p>
    <w:p w14:paraId="44CC9335" w14:textId="5C576A12" w:rsidR="009F778B" w:rsidRPr="00A7631D" w:rsidRDefault="009F778B" w:rsidP="000E6B78">
      <w:pPr>
        <w:ind w:firstLine="720"/>
      </w:pPr>
      <w:r w:rsidRPr="00A7631D">
        <w:t xml:space="preserve">Wilson’s prior </w:t>
      </w:r>
      <w:r w:rsidR="00C54DAF" w:rsidRPr="00A7631D">
        <w:t xml:space="preserve">robbery </w:t>
      </w:r>
      <w:r w:rsidRPr="00A7631D">
        <w:t>conviction</w:t>
      </w:r>
      <w:r w:rsidR="00C54DAF" w:rsidRPr="00A7631D">
        <w:t xml:space="preserve"> was</w:t>
      </w:r>
      <w:r w:rsidRPr="00A7631D">
        <w:t xml:space="preserve"> admitted via stipulation</w:t>
      </w:r>
      <w:r w:rsidR="00C54DAF" w:rsidRPr="00A7631D">
        <w:t xml:space="preserve">.  </w:t>
      </w:r>
      <w:r w:rsidR="007842E7" w:rsidRPr="00A7631D">
        <w:t>Wilson</w:t>
      </w:r>
      <w:r w:rsidR="0066370C" w:rsidRPr="00A7631D">
        <w:t xml:space="preserve"> </w:t>
      </w:r>
      <w:r w:rsidR="00BA3C2D" w:rsidRPr="00A7631D">
        <w:t>ple</w:t>
      </w:r>
      <w:r w:rsidR="004C2C62" w:rsidRPr="00A7631D">
        <w:t>a</w:t>
      </w:r>
      <w:r w:rsidR="00BA3C2D" w:rsidRPr="00A7631D">
        <w:t>d</w:t>
      </w:r>
      <w:r w:rsidR="004C2C62" w:rsidRPr="00A7631D">
        <w:t>ed</w:t>
      </w:r>
      <w:r w:rsidR="00BA3C2D" w:rsidRPr="00A7631D">
        <w:t xml:space="preserve"> guilty to a robbery in which he drove the getaway car while his </w:t>
      </w:r>
      <w:r w:rsidR="0066370C" w:rsidRPr="00A7631D">
        <w:t xml:space="preserve">accomplice robbed a 53-year-old woman of cash from her </w:t>
      </w:r>
      <w:r w:rsidR="00425263" w:rsidRPr="00A7631D">
        <w:t>Aid to Families with Dependent Children (“</w:t>
      </w:r>
      <w:r w:rsidR="0066370C" w:rsidRPr="00A7631D">
        <w:t>AFDC</w:t>
      </w:r>
      <w:r w:rsidR="005146E5" w:rsidRPr="00A7631D">
        <w:t>”)</w:t>
      </w:r>
      <w:r w:rsidR="0066370C" w:rsidRPr="00A7631D">
        <w:t xml:space="preserve"> check by threatening to kill her companion</w:t>
      </w:r>
      <w:r w:rsidR="00BA3C2D" w:rsidRPr="00A7631D">
        <w:t>.  Wilson was 18 years old at the time of that offense and was ordered to serve 120 days</w:t>
      </w:r>
      <w:r w:rsidR="003C16EB" w:rsidRPr="00A7631D">
        <w:t xml:space="preserve"> in county jail.  </w:t>
      </w:r>
    </w:p>
    <w:p w14:paraId="38047A93" w14:textId="431F6D06" w:rsidR="000743F1" w:rsidRPr="00A7631D" w:rsidRDefault="000743F1" w:rsidP="000E6B78">
      <w:pPr>
        <w:pStyle w:val="Heading3"/>
        <w:numPr>
          <w:ilvl w:val="0"/>
          <w:numId w:val="8"/>
        </w:numPr>
        <w:ind w:left="1584" w:hanging="432"/>
      </w:pPr>
      <w:bookmarkStart w:id="28" w:name="_Toc58846817"/>
      <w:bookmarkStart w:id="29" w:name="_Toc50617034"/>
      <w:r w:rsidRPr="00A7631D">
        <w:t>Defense Case</w:t>
      </w:r>
      <w:bookmarkEnd w:id="28"/>
      <w:bookmarkEnd w:id="29"/>
    </w:p>
    <w:p w14:paraId="666AAED4" w14:textId="63137B5E" w:rsidR="007877D7" w:rsidRPr="00A7631D" w:rsidRDefault="00753872" w:rsidP="000E6B78">
      <w:pPr>
        <w:ind w:firstLine="720"/>
      </w:pPr>
      <w:r w:rsidRPr="00A7631D">
        <w:t>Marcellette James, an old family friend</w:t>
      </w:r>
      <w:r w:rsidR="00DE6D98" w:rsidRPr="00A7631D">
        <w:t xml:space="preserve">, began writing to Wilson following his incarceration.  </w:t>
      </w:r>
      <w:r w:rsidR="00EF35BD" w:rsidRPr="00A7631D">
        <w:t xml:space="preserve">As a child, James found Wilson to be happy, smart, and perceptive.  </w:t>
      </w:r>
      <w:r w:rsidR="004548E9" w:rsidRPr="00A7631D">
        <w:t xml:space="preserve">She believed he was </w:t>
      </w:r>
      <w:r w:rsidR="00B152F0" w:rsidRPr="00A7631D">
        <w:t xml:space="preserve">fairly </w:t>
      </w:r>
      <w:r w:rsidR="004548E9" w:rsidRPr="00A7631D">
        <w:t>well supported by his family</w:t>
      </w:r>
      <w:r w:rsidR="00B152F0" w:rsidRPr="00A7631D">
        <w:t>, particularly his dad, during the</w:t>
      </w:r>
      <w:r w:rsidR="00ED21EC" w:rsidRPr="00A7631D">
        <w:t xml:space="preserve"> years of his childhood during which the two were acquainted</w:t>
      </w:r>
      <w:r w:rsidR="004548E9" w:rsidRPr="00A7631D">
        <w:t xml:space="preserve">.  During </w:t>
      </w:r>
      <w:r w:rsidR="00F95C4F" w:rsidRPr="00A7631D">
        <w:t xml:space="preserve">the first year of </w:t>
      </w:r>
      <w:r w:rsidR="004548E9" w:rsidRPr="00A7631D">
        <w:t xml:space="preserve">Wilson’s incarceration, James sent him dozens of letters, cards, and Christian pamphlets.  </w:t>
      </w:r>
      <w:r w:rsidR="00985E1B" w:rsidRPr="00A7631D">
        <w:t xml:space="preserve">The two spoke frequently on the telephone.  James </w:t>
      </w:r>
      <w:r w:rsidR="00A3721A" w:rsidRPr="00A7631D">
        <w:t>and</w:t>
      </w:r>
      <w:r w:rsidR="00985E1B" w:rsidRPr="00A7631D">
        <w:t xml:space="preserve"> Wilson </w:t>
      </w:r>
      <w:r w:rsidR="00A3721A" w:rsidRPr="00A7631D">
        <w:t xml:space="preserve">fell in love </w:t>
      </w:r>
      <w:r w:rsidR="00985E1B" w:rsidRPr="00A7631D">
        <w:t xml:space="preserve">through their correspondence and </w:t>
      </w:r>
      <w:r w:rsidR="00A3721A" w:rsidRPr="00A7631D">
        <w:t>continued writing letters even after Wilson’s telephone privileges were re</w:t>
      </w:r>
      <w:r w:rsidR="00196D52" w:rsidRPr="00A7631D">
        <w:t xml:space="preserve">voked.  </w:t>
      </w:r>
      <w:r w:rsidR="002B5354" w:rsidRPr="00A7631D">
        <w:t>James testified that Wilson’s being charged with</w:t>
      </w:r>
      <w:r w:rsidR="00C45CF9" w:rsidRPr="00A7631D">
        <w:t xml:space="preserve"> </w:t>
      </w:r>
      <w:r w:rsidR="002B5354" w:rsidRPr="00A7631D">
        <w:t>murdering four people did not change her feelings for him.</w:t>
      </w:r>
      <w:r w:rsidR="00BA3B50" w:rsidRPr="00A7631D">
        <w:t xml:space="preserve">  </w:t>
      </w:r>
      <w:r w:rsidR="007877D7" w:rsidRPr="00A7631D">
        <w:t xml:space="preserve">James and Wilson did not speak about the murders, but James believed Wilson to be innocent and considered him a “very mature man.”  </w:t>
      </w:r>
      <w:r w:rsidR="00A23D89" w:rsidRPr="00A7631D">
        <w:t>James testified</w:t>
      </w:r>
      <w:r w:rsidR="00D62D21" w:rsidRPr="00A7631D">
        <w:t xml:space="preserve"> she</w:t>
      </w:r>
      <w:r w:rsidR="00473796" w:rsidRPr="00A7631D">
        <w:t xml:space="preserve"> “matured spiritually” because of her relationship with</w:t>
      </w:r>
      <w:r w:rsidR="00261C12" w:rsidRPr="00A7631D">
        <w:t xml:space="preserve"> Wilson</w:t>
      </w:r>
      <w:r w:rsidR="00473796" w:rsidRPr="00A7631D">
        <w:t xml:space="preserve"> and were he to receive </w:t>
      </w:r>
      <w:r w:rsidR="00A23D89" w:rsidRPr="00A7631D">
        <w:t xml:space="preserve">the death penalty </w:t>
      </w:r>
      <w:r w:rsidR="008E327D" w:rsidRPr="00A7631D">
        <w:t>“it could be killing a part of” her</w:t>
      </w:r>
      <w:r w:rsidR="00261C12" w:rsidRPr="00A7631D">
        <w:t xml:space="preserve">.  </w:t>
      </w:r>
    </w:p>
    <w:p w14:paraId="2845223B" w14:textId="6786FF70" w:rsidR="00DF75BA" w:rsidRPr="00A7631D" w:rsidRDefault="00463730" w:rsidP="000E6B78">
      <w:pPr>
        <w:ind w:firstLine="720"/>
      </w:pPr>
      <w:r w:rsidRPr="00A7631D">
        <w:lastRenderedPageBreak/>
        <w:t xml:space="preserve">Wilson also presented evidence of his childhood and upbringing.  </w:t>
      </w:r>
      <w:r w:rsidR="001E78EA" w:rsidRPr="00A7631D">
        <w:t xml:space="preserve">Byron </w:t>
      </w:r>
      <w:r w:rsidR="00521D14" w:rsidRPr="00A7631D">
        <w:t xml:space="preserve">Paul </w:t>
      </w:r>
      <w:r w:rsidR="001E78EA" w:rsidRPr="00A7631D">
        <w:t>Wilson, Sr., Wilson’s father, testified</w:t>
      </w:r>
      <w:r w:rsidR="008C4439" w:rsidRPr="00A7631D">
        <w:t xml:space="preserve"> </w:t>
      </w:r>
      <w:r w:rsidR="00826D77" w:rsidRPr="00A7631D">
        <w:t xml:space="preserve">the family lived in </w:t>
      </w:r>
      <w:r w:rsidR="00755C99" w:rsidRPr="00A7631D">
        <w:t>Long Beach</w:t>
      </w:r>
      <w:r w:rsidR="00826D77" w:rsidRPr="00A7631D">
        <w:t xml:space="preserve"> when Wilson was </w:t>
      </w:r>
      <w:r w:rsidR="00755C99" w:rsidRPr="00A7631D">
        <w:t>born</w:t>
      </w:r>
      <w:r w:rsidR="00826D77" w:rsidRPr="00A7631D">
        <w:t>, and Byron worked</w:t>
      </w:r>
      <w:r w:rsidR="00260D2F" w:rsidRPr="00A7631D">
        <w:t xml:space="preserve"> in housekeeping at Fairview State Hospital</w:t>
      </w:r>
      <w:r w:rsidR="00755C99" w:rsidRPr="00A7631D">
        <w:t xml:space="preserve"> at that time</w:t>
      </w:r>
      <w:r w:rsidR="00260D2F" w:rsidRPr="00A7631D">
        <w:t xml:space="preserve">.  </w:t>
      </w:r>
      <w:r w:rsidR="002D0E23" w:rsidRPr="00A7631D">
        <w:t>Byron was educated at a local community college and trade college, after which he</w:t>
      </w:r>
      <w:r w:rsidR="00C326B4" w:rsidRPr="00A7631D">
        <w:t xml:space="preserve"> gained employment at </w:t>
      </w:r>
      <w:proofErr w:type="spellStart"/>
      <w:r w:rsidR="00C326B4" w:rsidRPr="00A7631D">
        <w:t>Univox</w:t>
      </w:r>
      <w:proofErr w:type="spellEnd"/>
      <w:r w:rsidR="00C326B4" w:rsidRPr="00A7631D">
        <w:t xml:space="preserve"> doing technical troubleshooting work</w:t>
      </w:r>
      <w:r w:rsidR="00B30DE9" w:rsidRPr="00A7631D">
        <w:t xml:space="preserve"> from 1983</w:t>
      </w:r>
      <w:r w:rsidR="003617D0">
        <w:t>–</w:t>
      </w:r>
      <w:r w:rsidR="00B30DE9" w:rsidRPr="00A7631D">
        <w:t>1987</w:t>
      </w:r>
      <w:r w:rsidR="00C326B4" w:rsidRPr="00A7631D">
        <w:t xml:space="preserve">.  </w:t>
      </w:r>
      <w:r w:rsidR="00DF75BA" w:rsidRPr="00A7631D">
        <w:t xml:space="preserve">Byron used alcohol and cocaine during this period.  </w:t>
      </w:r>
      <w:r w:rsidR="00B30DE9" w:rsidRPr="00A7631D">
        <w:t xml:space="preserve">Wilson’s mother, Tonya Wilson, worked as a secretary in a school district </w:t>
      </w:r>
      <w:r w:rsidR="00167660" w:rsidRPr="00A7631D">
        <w:t>around</w:t>
      </w:r>
      <w:r w:rsidR="00B30DE9" w:rsidRPr="00A7631D">
        <w:t xml:space="preserve"> this time</w:t>
      </w:r>
      <w:r w:rsidR="0069257B" w:rsidRPr="00A7631D">
        <w:t>, from 1982</w:t>
      </w:r>
      <w:r w:rsidR="003617D0">
        <w:t>–</w:t>
      </w:r>
      <w:r w:rsidR="0069257B" w:rsidRPr="00A7631D">
        <w:t>1990</w:t>
      </w:r>
      <w:r w:rsidR="00B30DE9" w:rsidRPr="00A7631D">
        <w:t xml:space="preserve">.  </w:t>
      </w:r>
      <w:r w:rsidR="00F75116" w:rsidRPr="00A7631D">
        <w:t xml:space="preserve">Byron testified that </w:t>
      </w:r>
      <w:r w:rsidR="00433B43" w:rsidRPr="00A7631D">
        <w:t xml:space="preserve">during the period he was employed by </w:t>
      </w:r>
      <w:proofErr w:type="spellStart"/>
      <w:r w:rsidR="00433B43" w:rsidRPr="00A7631D">
        <w:t>Univox</w:t>
      </w:r>
      <w:proofErr w:type="spellEnd"/>
      <w:r w:rsidR="00433B43" w:rsidRPr="00A7631D">
        <w:t xml:space="preserve">, </w:t>
      </w:r>
      <w:r w:rsidR="00F75116" w:rsidRPr="00A7631D">
        <w:t>Tonya</w:t>
      </w:r>
      <w:r w:rsidR="00B30DE9" w:rsidRPr="00A7631D">
        <w:t xml:space="preserve"> also</w:t>
      </w:r>
      <w:r w:rsidR="00011021" w:rsidRPr="00A7631D">
        <w:t xml:space="preserve"> casually</w:t>
      </w:r>
      <w:r w:rsidR="00B30DE9" w:rsidRPr="00A7631D">
        <w:t xml:space="preserve"> drank alcohol and used drugs, </w:t>
      </w:r>
      <w:r w:rsidR="00C75DBD" w:rsidRPr="00A7631D">
        <w:t>mainly marijuana</w:t>
      </w:r>
      <w:r w:rsidR="00B30DE9" w:rsidRPr="00A7631D">
        <w:t xml:space="preserve">.  </w:t>
      </w:r>
    </w:p>
    <w:p w14:paraId="7DEA0935" w14:textId="53AEFDD9" w:rsidR="0078111F" w:rsidRPr="00A7631D" w:rsidRDefault="00B30DE9" w:rsidP="000E6B78">
      <w:pPr>
        <w:ind w:firstLine="720"/>
      </w:pPr>
      <w:r w:rsidRPr="00A7631D">
        <w:t>Byron and T</w:t>
      </w:r>
      <w:r w:rsidR="00E371C9" w:rsidRPr="00A7631D">
        <w:t>o</w:t>
      </w:r>
      <w:r w:rsidRPr="00A7631D">
        <w:t>nya’s marriage</w:t>
      </w:r>
      <w:r w:rsidR="0069743B" w:rsidRPr="00A7631D">
        <w:t xml:space="preserve"> </w:t>
      </w:r>
      <w:proofErr w:type="gramStart"/>
      <w:r w:rsidR="0069743B" w:rsidRPr="00A7631D">
        <w:t>was</w:t>
      </w:r>
      <w:proofErr w:type="gramEnd"/>
      <w:r w:rsidR="0069743B" w:rsidRPr="00A7631D">
        <w:t xml:space="preserve"> </w:t>
      </w:r>
      <w:r w:rsidR="008B5063" w:rsidRPr="00A7631D">
        <w:t xml:space="preserve">initially </w:t>
      </w:r>
      <w:r w:rsidR="0069743B" w:rsidRPr="00A7631D">
        <w:t>“okay,” despite periods of infidelity.  They moved to Avenal for Byron’s work in 1987</w:t>
      </w:r>
      <w:r w:rsidR="00ED3A66" w:rsidRPr="00A7631D">
        <w:t>, and to Novato</w:t>
      </w:r>
      <w:r w:rsidR="00F91EFC" w:rsidRPr="00A7631D">
        <w:t xml:space="preserve"> in 1989 when he became employed by San Quentin State Prison.  Their drug use consistently increased </w:t>
      </w:r>
      <w:r w:rsidR="003E0E7A" w:rsidRPr="00A7631D">
        <w:t xml:space="preserve">as the years passed. </w:t>
      </w:r>
      <w:r w:rsidR="00E1764C" w:rsidRPr="00A7631D">
        <w:t xml:space="preserve"> </w:t>
      </w:r>
      <w:r w:rsidR="007F0AE9" w:rsidRPr="00A7631D">
        <w:t>Following another move for Byron’s job</w:t>
      </w:r>
      <w:r w:rsidR="003A2BB2" w:rsidRPr="00A7631D">
        <w:t xml:space="preserve"> when Wilson was about 11, he began so</w:t>
      </w:r>
      <w:r w:rsidR="0004562F" w:rsidRPr="00A7631D">
        <w:t>cializing with Byron’s and</w:t>
      </w:r>
      <w:r w:rsidR="00A21935" w:rsidRPr="00A7631D">
        <w:t xml:space="preserve"> </w:t>
      </w:r>
      <w:r w:rsidR="00694022" w:rsidRPr="00A7631D">
        <w:t>T</w:t>
      </w:r>
      <w:r w:rsidR="00E371C9" w:rsidRPr="00A7631D">
        <w:t>o</w:t>
      </w:r>
      <w:r w:rsidR="00694022" w:rsidRPr="00A7631D">
        <w:t>nya</w:t>
      </w:r>
      <w:r w:rsidR="0004562F" w:rsidRPr="00A7631D">
        <w:t>’s friends, all of whom used drugs together.  T</w:t>
      </w:r>
      <w:r w:rsidR="00E371C9" w:rsidRPr="00A7631D">
        <w:t>o</w:t>
      </w:r>
      <w:r w:rsidR="0004562F" w:rsidRPr="00A7631D">
        <w:t xml:space="preserve">nya </w:t>
      </w:r>
      <w:r w:rsidR="00694022" w:rsidRPr="00A7631D">
        <w:t>described the</w:t>
      </w:r>
      <w:r w:rsidR="0004562F" w:rsidRPr="00A7631D">
        <w:t>i</w:t>
      </w:r>
      <w:r w:rsidR="00694022" w:rsidRPr="00A7631D">
        <w:t>r</w:t>
      </w:r>
      <w:r w:rsidR="004F29F4" w:rsidRPr="00A7631D">
        <w:t xml:space="preserve"> </w:t>
      </w:r>
      <w:r w:rsidR="0004562F" w:rsidRPr="00A7631D">
        <w:t>family as dysfunctional.</w:t>
      </w:r>
      <w:r w:rsidR="00C46259" w:rsidRPr="00A7631D">
        <w:t xml:space="preserve">  </w:t>
      </w:r>
      <w:r w:rsidR="0078111F" w:rsidRPr="00A7631D">
        <w:t>When T</w:t>
      </w:r>
      <w:r w:rsidR="00457844" w:rsidRPr="00A7631D">
        <w:t>o</w:t>
      </w:r>
      <w:r w:rsidR="0078111F" w:rsidRPr="00A7631D">
        <w:t xml:space="preserve">nya was under the influence of drugs “she became a changed person,” sometimes physically attacking Wilson and Byron.  </w:t>
      </w:r>
    </w:p>
    <w:p w14:paraId="52981731" w14:textId="52DE94A4" w:rsidR="005C1799" w:rsidRPr="00A7631D" w:rsidRDefault="00254576" w:rsidP="000E6B78">
      <w:pPr>
        <w:ind w:firstLine="720"/>
      </w:pPr>
      <w:r w:rsidRPr="00A7631D">
        <w:t>T</w:t>
      </w:r>
      <w:r w:rsidR="00E371C9" w:rsidRPr="00A7631D">
        <w:t>o</w:t>
      </w:r>
      <w:r w:rsidRPr="00A7631D">
        <w:t xml:space="preserve">nya oversaw Wilson’s education and spoke with his teachers when necessary.  She testified that </w:t>
      </w:r>
      <w:r w:rsidR="00C46259" w:rsidRPr="00A7631D">
        <w:t xml:space="preserve">in elementary school </w:t>
      </w:r>
      <w:r w:rsidRPr="00A7631D">
        <w:t xml:space="preserve">Wilson was a “class clown,” </w:t>
      </w:r>
      <w:r w:rsidR="00E312F9" w:rsidRPr="00A7631D">
        <w:t xml:space="preserve">and he was placed in special education classes.  </w:t>
      </w:r>
      <w:r w:rsidR="00C46259" w:rsidRPr="00A7631D">
        <w:t xml:space="preserve">Wilson kept to himself with </w:t>
      </w:r>
      <w:r w:rsidR="000030E7" w:rsidRPr="00A7631D">
        <w:t>friends and peers, and when he tried to have friends over to his home Wilson would become so withdrawn T</w:t>
      </w:r>
      <w:r w:rsidR="00457844" w:rsidRPr="00A7631D">
        <w:t>o</w:t>
      </w:r>
      <w:r w:rsidR="000030E7" w:rsidRPr="00A7631D">
        <w:t xml:space="preserve">nya asked the child’s parent to come and retrieve their child.  </w:t>
      </w:r>
    </w:p>
    <w:p w14:paraId="3D91FF99" w14:textId="3B8F78CE" w:rsidR="00DE4D01" w:rsidRPr="00A7631D" w:rsidRDefault="00C43E16" w:rsidP="000E6B78">
      <w:pPr>
        <w:ind w:firstLine="720"/>
      </w:pPr>
      <w:r w:rsidRPr="00A7631D">
        <w:lastRenderedPageBreak/>
        <w:t>The family</w:t>
      </w:r>
      <w:r w:rsidR="00DE4D01" w:rsidRPr="00A7631D">
        <w:t xml:space="preserve"> moved to Los Angeles</w:t>
      </w:r>
      <w:r w:rsidR="004A59B8" w:rsidRPr="00A7631D">
        <w:t xml:space="preserve">, </w:t>
      </w:r>
      <w:r w:rsidR="00167660" w:rsidRPr="00A7631D">
        <w:t>and</w:t>
      </w:r>
      <w:r w:rsidR="004A59B8" w:rsidRPr="00A7631D">
        <w:t xml:space="preserve"> </w:t>
      </w:r>
      <w:r w:rsidRPr="00A7631D">
        <w:t>although</w:t>
      </w:r>
      <w:r w:rsidR="004A59B8" w:rsidRPr="00A7631D">
        <w:t xml:space="preserve"> Wilson preferred living in small towns </w:t>
      </w:r>
      <w:r w:rsidRPr="00A7631D">
        <w:t>he eventually adjusted and grew to like it</w:t>
      </w:r>
      <w:r w:rsidR="004A59B8" w:rsidRPr="00A7631D">
        <w:t xml:space="preserve">.  </w:t>
      </w:r>
      <w:r w:rsidR="00927679" w:rsidRPr="00A7631D">
        <w:t xml:space="preserve">Byron’s drug abuse worsened, and he </w:t>
      </w:r>
      <w:r w:rsidR="00AA5D7F" w:rsidRPr="00A7631D">
        <w:t>resigned from his job due to his drug use and a back injury.  He and T</w:t>
      </w:r>
      <w:r w:rsidR="00457844" w:rsidRPr="00A7631D">
        <w:t>o</w:t>
      </w:r>
      <w:r w:rsidR="00AA5D7F" w:rsidRPr="00A7631D">
        <w:t xml:space="preserve">nya </w:t>
      </w:r>
      <w:r w:rsidR="00AF4F89" w:rsidRPr="00A7631D">
        <w:t>separated, and the two divorced</w:t>
      </w:r>
      <w:r w:rsidR="00F7255F" w:rsidRPr="00A7631D">
        <w:t xml:space="preserve"> in 1997.  T</w:t>
      </w:r>
      <w:r w:rsidR="00457844" w:rsidRPr="00A7631D">
        <w:t>o</w:t>
      </w:r>
      <w:r w:rsidR="00F7255F" w:rsidRPr="00A7631D">
        <w:t xml:space="preserve">nya’s mother died in 1997, </w:t>
      </w:r>
      <w:r w:rsidR="00CC2D60" w:rsidRPr="00A7631D">
        <w:t>and following that loss and a drug relapse, she</w:t>
      </w:r>
      <w:r w:rsidR="00844DA4" w:rsidRPr="00A7631D">
        <w:t xml:space="preserve"> was arrested and convicted of a felony.</w:t>
      </w:r>
      <w:r w:rsidR="00213794" w:rsidRPr="00A7631D">
        <w:t xml:space="preserve">  Byron and T</w:t>
      </w:r>
      <w:r w:rsidR="00457844" w:rsidRPr="00A7631D">
        <w:t>o</w:t>
      </w:r>
      <w:r w:rsidR="00213794" w:rsidRPr="00A7631D">
        <w:t>nya both lost contact with Wilson</w:t>
      </w:r>
      <w:r w:rsidR="00812D2B" w:rsidRPr="00A7631D">
        <w:t xml:space="preserve"> while they lived in Los Angeles</w:t>
      </w:r>
      <w:r w:rsidR="002F68E2" w:rsidRPr="00A7631D">
        <w:t xml:space="preserve">.  </w:t>
      </w:r>
    </w:p>
    <w:p w14:paraId="2E84EE1A" w14:textId="3F9EBF56" w:rsidR="005C1799" w:rsidRPr="00A7631D" w:rsidRDefault="005C1799" w:rsidP="000E6B78">
      <w:pPr>
        <w:ind w:firstLine="720"/>
      </w:pPr>
      <w:r w:rsidRPr="00A7631D">
        <w:t>T</w:t>
      </w:r>
      <w:r w:rsidR="00457844" w:rsidRPr="00A7631D">
        <w:t>o</w:t>
      </w:r>
      <w:r w:rsidRPr="00A7631D">
        <w:t xml:space="preserve">nya testified about </w:t>
      </w:r>
      <w:r w:rsidR="00AB26A2" w:rsidRPr="00A7631D">
        <w:t xml:space="preserve">an incident in Wilson’s childhood </w:t>
      </w:r>
      <w:r w:rsidR="00167660" w:rsidRPr="00A7631D">
        <w:t>when</w:t>
      </w:r>
      <w:r w:rsidR="00AB26A2" w:rsidRPr="00A7631D">
        <w:t xml:space="preserve"> h</w:t>
      </w:r>
      <w:r w:rsidR="0044542D" w:rsidRPr="00A7631D">
        <w:t xml:space="preserve">e called 911 after she collapsed due to an ectopic pregnancy.  </w:t>
      </w:r>
      <w:r w:rsidR="007E3078" w:rsidRPr="00A7631D">
        <w:t xml:space="preserve">Byron testified that </w:t>
      </w:r>
      <w:r w:rsidR="00926229" w:rsidRPr="00A7631D">
        <w:t xml:space="preserve">Wilson — </w:t>
      </w:r>
      <w:r w:rsidR="00167660" w:rsidRPr="00A7631D">
        <w:t xml:space="preserve">then </w:t>
      </w:r>
      <w:r w:rsidR="00926229" w:rsidRPr="00A7631D">
        <w:t>age</w:t>
      </w:r>
      <w:r w:rsidR="00167660" w:rsidRPr="00A7631D">
        <w:t>d</w:t>
      </w:r>
      <w:r w:rsidR="00926229" w:rsidRPr="00A7631D">
        <w:t xml:space="preserve"> seven or eight —</w:t>
      </w:r>
      <w:r w:rsidR="004B0984">
        <w:t xml:space="preserve"> </w:t>
      </w:r>
      <w:r w:rsidR="007E3078" w:rsidRPr="00A7631D">
        <w:t xml:space="preserve">helped </w:t>
      </w:r>
      <w:r w:rsidR="00926229" w:rsidRPr="00A7631D">
        <w:t xml:space="preserve">care for </w:t>
      </w:r>
      <w:r w:rsidR="007E3078" w:rsidRPr="00A7631D">
        <w:t>his mother</w:t>
      </w:r>
      <w:r w:rsidR="00926229" w:rsidRPr="00A7631D">
        <w:t xml:space="preserve"> when she was ill with cancer and when</w:t>
      </w:r>
      <w:r w:rsidR="0044542D" w:rsidRPr="00A7631D">
        <w:t xml:space="preserve"> </w:t>
      </w:r>
      <w:r w:rsidR="00BF04DA" w:rsidRPr="00A7631D">
        <w:t xml:space="preserve">she </w:t>
      </w:r>
      <w:r w:rsidR="0044542D" w:rsidRPr="00A7631D">
        <w:t xml:space="preserve">was injured in a car accident after having taken </w:t>
      </w:r>
      <w:r w:rsidR="000D45A4" w:rsidRPr="00A7631D">
        <w:t xml:space="preserve">PCP.  </w:t>
      </w:r>
    </w:p>
    <w:p w14:paraId="27A65653" w14:textId="747B837A" w:rsidR="005F410A" w:rsidRPr="00A7631D" w:rsidRDefault="009A0C2C" w:rsidP="000E6B78">
      <w:pPr>
        <w:ind w:firstLine="720"/>
      </w:pPr>
      <w:r w:rsidRPr="00A7631D">
        <w:t xml:space="preserve">Despite their lack of contact, Byron testified that he </w:t>
      </w:r>
      <w:r w:rsidR="00D20A27" w:rsidRPr="00A7631D">
        <w:t>did not want Wilson to be executed because Wilson was his only child.  T</w:t>
      </w:r>
      <w:r w:rsidR="00457844" w:rsidRPr="00A7631D">
        <w:t>o</w:t>
      </w:r>
      <w:r w:rsidR="00D20A27" w:rsidRPr="00A7631D">
        <w:t>nya te</w:t>
      </w:r>
      <w:r w:rsidR="00792A4A" w:rsidRPr="00A7631D">
        <w:t xml:space="preserve">stified that she loved Wilson and did not want him to receive the death penalty.  </w:t>
      </w:r>
    </w:p>
    <w:p w14:paraId="706C3636" w14:textId="41025DCE" w:rsidR="00CE1A2C" w:rsidRPr="00A7631D" w:rsidRDefault="00CE1A2C" w:rsidP="000E6B78">
      <w:pPr>
        <w:ind w:firstLine="720"/>
      </w:pPr>
      <w:r w:rsidRPr="00A7631D">
        <w:t xml:space="preserve">Wilson’s elementary school special education teacher, Barry Carlson, testified that </w:t>
      </w:r>
      <w:r w:rsidR="00BF04DA" w:rsidRPr="00A7631D">
        <w:t>Wilson</w:t>
      </w:r>
      <w:r w:rsidRPr="00A7631D">
        <w:t xml:space="preserve"> suffered from attention deficit disorder as a child.  </w:t>
      </w:r>
      <w:r w:rsidR="0012172C" w:rsidRPr="00A7631D">
        <w:t>Wilson</w:t>
      </w:r>
      <w:r w:rsidRPr="00A7631D">
        <w:t xml:space="preserve"> was capable of learning well when given individual attention and appeared happy in grade school — particularly when his teacher worked with him.  He was easily distracted </w:t>
      </w:r>
      <w:r w:rsidR="00C00D6F" w:rsidRPr="00A7631D">
        <w:t xml:space="preserve">when left alone, </w:t>
      </w:r>
      <w:r w:rsidRPr="00A7631D">
        <w:t xml:space="preserve">and </w:t>
      </w:r>
      <w:r w:rsidR="00C00D6F" w:rsidRPr="00A7631D">
        <w:t xml:space="preserve">more </w:t>
      </w:r>
      <w:r w:rsidRPr="00A7631D">
        <w:t>hyperactive</w:t>
      </w:r>
      <w:r w:rsidR="00C00D6F" w:rsidRPr="00A7631D">
        <w:t xml:space="preserve"> than other children</w:t>
      </w:r>
      <w:r w:rsidR="0028631B" w:rsidRPr="00A7631D">
        <w:t xml:space="preserve"> with the same diagnosis</w:t>
      </w:r>
      <w:r w:rsidRPr="00A7631D">
        <w:t xml:space="preserve">.  </w:t>
      </w:r>
    </w:p>
    <w:p w14:paraId="06ADAF7B" w14:textId="7F07A61F" w:rsidR="007E63AF" w:rsidRPr="00A7631D" w:rsidRDefault="00AF6F25" w:rsidP="000E6B78">
      <w:pPr>
        <w:ind w:firstLine="720"/>
      </w:pPr>
      <w:r w:rsidRPr="00A7631D">
        <w:t xml:space="preserve">Dr. Efrain </w:t>
      </w:r>
      <w:proofErr w:type="spellStart"/>
      <w:r w:rsidRPr="00A7631D">
        <w:t>Beliz</w:t>
      </w:r>
      <w:proofErr w:type="spellEnd"/>
      <w:r w:rsidR="00AC5E07" w:rsidRPr="00A7631D">
        <w:t>,</w:t>
      </w:r>
      <w:r w:rsidRPr="00A7631D">
        <w:t xml:space="preserve"> a clinical psychologist providing expert testimony for</w:t>
      </w:r>
      <w:r w:rsidR="00AC5E07" w:rsidRPr="00A7631D">
        <w:t xml:space="preserve"> </w:t>
      </w:r>
      <w:r w:rsidRPr="00A7631D">
        <w:t>Wilson</w:t>
      </w:r>
      <w:r w:rsidR="00AC5E07" w:rsidRPr="00A7631D">
        <w:t>,</w:t>
      </w:r>
      <w:r w:rsidR="009A6828" w:rsidRPr="00A7631D">
        <w:t xml:space="preserve"> </w:t>
      </w:r>
      <w:r w:rsidRPr="00A7631D">
        <w:t>opined</w:t>
      </w:r>
      <w:r w:rsidR="00D41E23" w:rsidRPr="00A7631D">
        <w:t xml:space="preserve"> that it was likely he suffered from</w:t>
      </w:r>
      <w:r w:rsidR="009A6828" w:rsidRPr="00A7631D">
        <w:t xml:space="preserve"> attention deficit hyperactive disorder </w:t>
      </w:r>
      <w:r w:rsidR="00E21085" w:rsidRPr="00A7631D">
        <w:t xml:space="preserve">(ADHD) </w:t>
      </w:r>
      <w:r w:rsidR="00D41E23" w:rsidRPr="00A7631D">
        <w:t xml:space="preserve">in elementary and high school.  </w:t>
      </w:r>
      <w:r w:rsidR="003F560C">
        <w:t xml:space="preserve">Over the course of two days, </w:t>
      </w:r>
      <w:r w:rsidR="00544D58" w:rsidRPr="00A7631D">
        <w:t xml:space="preserve">Dr. </w:t>
      </w:r>
      <w:proofErr w:type="spellStart"/>
      <w:r w:rsidR="00544D58" w:rsidRPr="00A7631D">
        <w:t>Beliz</w:t>
      </w:r>
      <w:proofErr w:type="spellEnd"/>
      <w:r w:rsidR="00544D58" w:rsidRPr="00A7631D">
        <w:t xml:space="preserve"> interviewed Wilson for 13 hours.  </w:t>
      </w:r>
      <w:r w:rsidR="00875C83" w:rsidRPr="00A7631D">
        <w:t xml:space="preserve">Dr. </w:t>
      </w:r>
      <w:proofErr w:type="spellStart"/>
      <w:r w:rsidR="00875C83" w:rsidRPr="00A7631D">
        <w:t>Beliz</w:t>
      </w:r>
      <w:proofErr w:type="spellEnd"/>
      <w:r w:rsidR="00875C83" w:rsidRPr="00A7631D">
        <w:t xml:space="preserve"> explained that </w:t>
      </w:r>
      <w:r w:rsidR="00875C83" w:rsidRPr="00A7631D">
        <w:lastRenderedPageBreak/>
        <w:t>ADHD sufferers are impulsive and disruptive</w:t>
      </w:r>
      <w:r w:rsidR="0012172C" w:rsidRPr="00A7631D">
        <w:t xml:space="preserve">, and that </w:t>
      </w:r>
      <w:r w:rsidR="00875C83" w:rsidRPr="00A7631D">
        <w:t xml:space="preserve">children with ADHD face an increased risk of developing substance abuse issues.  Because those suffering from ADHD </w:t>
      </w:r>
      <w:r w:rsidR="0012172C" w:rsidRPr="00A7631D">
        <w:t xml:space="preserve">possess </w:t>
      </w:r>
      <w:r w:rsidR="00875C83" w:rsidRPr="00A7631D">
        <w:t xml:space="preserve">poor social skills, Dr. </w:t>
      </w:r>
      <w:proofErr w:type="spellStart"/>
      <w:r w:rsidR="00875C83" w:rsidRPr="00A7631D">
        <w:t>Beliz</w:t>
      </w:r>
      <w:proofErr w:type="spellEnd"/>
      <w:r w:rsidR="00875C83" w:rsidRPr="00A7631D">
        <w:t xml:space="preserve"> opined </w:t>
      </w:r>
      <w:r w:rsidR="0012172C" w:rsidRPr="00A7631D">
        <w:t>they</w:t>
      </w:r>
      <w:r w:rsidR="00875C83" w:rsidRPr="00A7631D">
        <w:t xml:space="preserve"> </w:t>
      </w:r>
      <w:r w:rsidR="0012172C" w:rsidRPr="00A7631D">
        <w:t xml:space="preserve">are </w:t>
      </w:r>
      <w:r w:rsidR="00875C83" w:rsidRPr="00A7631D">
        <w:t xml:space="preserve">vulnerable to social manipulation and gang involvement.  </w:t>
      </w:r>
    </w:p>
    <w:p w14:paraId="7CAF8A02" w14:textId="02C3458B" w:rsidR="009924CC" w:rsidRPr="00A7631D" w:rsidRDefault="00150763" w:rsidP="00A7631D">
      <w:pPr>
        <w:pStyle w:val="Heading1"/>
      </w:pPr>
      <w:bookmarkStart w:id="30" w:name="_Toc58846818"/>
      <w:bookmarkStart w:id="31" w:name="_Toc50617035"/>
      <w:r w:rsidRPr="00A7631D">
        <w:t xml:space="preserve">II. </w:t>
      </w:r>
      <w:bookmarkEnd w:id="30"/>
      <w:bookmarkEnd w:id="31"/>
      <w:r w:rsidR="00C26890">
        <w:t>Guilt Phase</w:t>
      </w:r>
    </w:p>
    <w:p w14:paraId="754E61E3" w14:textId="62434F3C" w:rsidR="00150763" w:rsidRPr="00A7631D" w:rsidRDefault="00150763" w:rsidP="00A7631D">
      <w:pPr>
        <w:pStyle w:val="Heading2"/>
        <w:numPr>
          <w:ilvl w:val="0"/>
          <w:numId w:val="3"/>
        </w:numPr>
      </w:pPr>
      <w:bookmarkStart w:id="32" w:name="_Toc58846819"/>
      <w:bookmarkStart w:id="33" w:name="_Toc50617036"/>
      <w:r w:rsidRPr="00A7631D">
        <w:t>Identification of Wilson Was Proper</w:t>
      </w:r>
      <w:bookmarkEnd w:id="32"/>
      <w:r w:rsidRPr="00A7631D">
        <w:t xml:space="preserve"> </w:t>
      </w:r>
      <w:bookmarkEnd w:id="33"/>
    </w:p>
    <w:p w14:paraId="517BB768" w14:textId="4B439892" w:rsidR="00FC16B7" w:rsidRPr="00A7631D" w:rsidRDefault="00FC16B7" w:rsidP="000E6B78">
      <w:pPr>
        <w:ind w:firstLine="720"/>
      </w:pPr>
      <w:r w:rsidRPr="00A7631D">
        <w:t>Wilson argues</w:t>
      </w:r>
      <w:r w:rsidR="0074500A" w:rsidRPr="00A7631D">
        <w:t xml:space="preserve"> the trial court erred by denying a motion to suppress Bowie’s and Brown’s identification</w:t>
      </w:r>
      <w:r w:rsidR="00587AB5" w:rsidRPr="00A7631D">
        <w:t>s</w:t>
      </w:r>
      <w:r w:rsidR="0074500A" w:rsidRPr="00A7631D">
        <w:t xml:space="preserve"> of him</w:t>
      </w:r>
      <w:r w:rsidR="00BC203A" w:rsidRPr="00A7631D">
        <w:t>.</w:t>
      </w:r>
      <w:r w:rsidR="008A0889" w:rsidRPr="00A7631D">
        <w:rPr>
          <w:rStyle w:val="FootnoteReference"/>
        </w:rPr>
        <w:footnoteReference w:id="12"/>
      </w:r>
      <w:r w:rsidR="00BC203A" w:rsidRPr="00A7631D">
        <w:t xml:space="preserve">  He </w:t>
      </w:r>
      <w:r w:rsidR="007D4125" w:rsidRPr="00A7631D">
        <w:t xml:space="preserve">alleges the identification procedures were unduly suggestive and the resulting identifications unreliable, rendering their admissions violative of his rights under the </w:t>
      </w:r>
      <w:r w:rsidR="00C02D7F" w:rsidRPr="00A7631D">
        <w:t>D</w:t>
      </w:r>
      <w:r w:rsidR="007D4125" w:rsidRPr="00A7631D">
        <w:t xml:space="preserve">ue </w:t>
      </w:r>
      <w:r w:rsidR="00C02D7F" w:rsidRPr="00A7631D">
        <w:t>P</w:t>
      </w:r>
      <w:r w:rsidR="007D4125" w:rsidRPr="00A7631D">
        <w:t xml:space="preserve">rocess </w:t>
      </w:r>
      <w:r w:rsidR="00C02D7F" w:rsidRPr="00A7631D">
        <w:t>C</w:t>
      </w:r>
      <w:r w:rsidR="007D4125" w:rsidRPr="00A7631D">
        <w:t xml:space="preserve">lause to the United States Constitution.  For the reasons that follow, </w:t>
      </w:r>
      <w:r w:rsidR="005F40C2" w:rsidRPr="00A7631D">
        <w:t>we</w:t>
      </w:r>
      <w:r w:rsidR="007D4125" w:rsidRPr="00A7631D">
        <w:t xml:space="preserve"> conclude his claim lacks merit.</w:t>
      </w:r>
    </w:p>
    <w:p w14:paraId="2139FC6B" w14:textId="03E04396" w:rsidR="003C345B" w:rsidRPr="00A7631D" w:rsidRDefault="003C345B" w:rsidP="000E6B78">
      <w:pPr>
        <w:pStyle w:val="Heading3"/>
        <w:numPr>
          <w:ilvl w:val="0"/>
          <w:numId w:val="7"/>
        </w:numPr>
        <w:tabs>
          <w:tab w:val="clear" w:pos="1584"/>
        </w:tabs>
        <w:ind w:left="1584" w:hanging="432"/>
      </w:pPr>
      <w:bookmarkStart w:id="34" w:name="_Toc58846820"/>
      <w:bookmarkStart w:id="35" w:name="_Toc50617037"/>
      <w:r w:rsidRPr="00A7631D">
        <w:t>Background</w:t>
      </w:r>
      <w:bookmarkEnd w:id="34"/>
      <w:bookmarkEnd w:id="35"/>
    </w:p>
    <w:p w14:paraId="6E5D87B3" w14:textId="091EC223" w:rsidR="00E406BA" w:rsidRPr="00A7631D" w:rsidRDefault="00E406BA" w:rsidP="000E6B78">
      <w:pPr>
        <w:pStyle w:val="Heading4"/>
        <w:numPr>
          <w:ilvl w:val="1"/>
          <w:numId w:val="3"/>
        </w:numPr>
        <w:ind w:left="2016" w:hanging="432"/>
      </w:pPr>
      <w:r w:rsidRPr="00A7631D">
        <w:t>Bowie’s Identification</w:t>
      </w:r>
    </w:p>
    <w:p w14:paraId="4B4837EE" w14:textId="243B1B47" w:rsidR="00362A55" w:rsidRPr="00A7631D" w:rsidRDefault="00FA5599" w:rsidP="000E6B78">
      <w:pPr>
        <w:ind w:firstLine="720"/>
      </w:pPr>
      <w:r w:rsidRPr="00A7631D">
        <w:t xml:space="preserve">While Bowie was using the payphone outside the Wheels </w:t>
      </w:r>
      <w:r w:rsidR="004B0984">
        <w:t>’</w:t>
      </w:r>
      <w:r w:rsidR="00983BD9">
        <w:t>N</w:t>
      </w:r>
      <w:r w:rsidRPr="00A7631D">
        <w:t xml:space="preserve"> Stuff on </w:t>
      </w:r>
      <w:r w:rsidR="00476E66" w:rsidRPr="00A7631D">
        <w:t>January 25,</w:t>
      </w:r>
      <w:r w:rsidRPr="00A7631D">
        <w:t xml:space="preserve"> 1998</w:t>
      </w:r>
      <w:r w:rsidR="00CE3692" w:rsidRPr="00A7631D">
        <w:t xml:space="preserve">, he saw two men parked </w:t>
      </w:r>
      <w:r w:rsidR="00095556" w:rsidRPr="00A7631D">
        <w:t xml:space="preserve">outside the </w:t>
      </w:r>
      <w:r w:rsidR="00EC55D4" w:rsidRPr="00A7631D">
        <w:t>car wash</w:t>
      </w:r>
      <w:r w:rsidR="00CE3692" w:rsidRPr="00A7631D">
        <w:t>.  The passenger, Pops, pointed a semiauto</w:t>
      </w:r>
      <w:r w:rsidR="00BF3AF5" w:rsidRPr="00A7631D">
        <w:t xml:space="preserve">matic handgun at Bowie, then got out of the car and held the gun against Bowie’s body.  </w:t>
      </w:r>
      <w:r w:rsidR="00D02677" w:rsidRPr="00A7631D">
        <w:t xml:space="preserve">Bowie also saw the driver, </w:t>
      </w:r>
      <w:r w:rsidR="00F80700" w:rsidRPr="00A7631D">
        <w:t xml:space="preserve">whom he later identified as </w:t>
      </w:r>
      <w:r w:rsidR="00D02677" w:rsidRPr="00A7631D">
        <w:t xml:space="preserve">Wilson, </w:t>
      </w:r>
      <w:r w:rsidR="00FD7482">
        <w:t>get</w:t>
      </w:r>
      <w:r w:rsidR="00D02677" w:rsidRPr="00A7631D">
        <w:t xml:space="preserve"> out of the </w:t>
      </w:r>
      <w:proofErr w:type="gramStart"/>
      <w:r w:rsidR="00D02677" w:rsidRPr="00A7631D">
        <w:t>car</w:t>
      </w:r>
      <w:proofErr w:type="gramEnd"/>
      <w:r w:rsidR="00D02677" w:rsidRPr="00A7631D">
        <w:t xml:space="preserve"> and </w:t>
      </w:r>
      <w:r w:rsidR="001C15B0" w:rsidRPr="00A7631D">
        <w:t>h</w:t>
      </w:r>
      <w:r w:rsidR="00FD7482">
        <w:t>o</w:t>
      </w:r>
      <w:r w:rsidR="001C15B0" w:rsidRPr="00A7631D">
        <w:t xml:space="preserve">ld </w:t>
      </w:r>
      <w:r w:rsidR="00362A55" w:rsidRPr="00A7631D">
        <w:t xml:space="preserve">a gun </w:t>
      </w:r>
      <w:r w:rsidR="001C15B0" w:rsidRPr="00A7631D">
        <w:t xml:space="preserve">against </w:t>
      </w:r>
      <w:r w:rsidR="00FD7482">
        <w:t>Bowie’s</w:t>
      </w:r>
      <w:r w:rsidR="001C15B0" w:rsidRPr="00A7631D">
        <w:t xml:space="preserve"> back</w:t>
      </w:r>
      <w:r w:rsidR="00362A55" w:rsidRPr="00A7631D">
        <w:t xml:space="preserve">.  Pops and Wilson marched Bowie into the </w:t>
      </w:r>
      <w:r w:rsidR="00EC55D4" w:rsidRPr="00A7631D">
        <w:t>car wash</w:t>
      </w:r>
      <w:r w:rsidR="003B4AB2" w:rsidRPr="00A7631D">
        <w:t>, and the events of the shooting transpired</w:t>
      </w:r>
      <w:r w:rsidR="00362A55" w:rsidRPr="00A7631D">
        <w:t xml:space="preserve">.  </w:t>
      </w:r>
    </w:p>
    <w:p w14:paraId="4BA92CE2" w14:textId="0641D2A2" w:rsidR="00CA2E6E" w:rsidRPr="00A7631D" w:rsidRDefault="00CA0FB8" w:rsidP="000E6B78">
      <w:pPr>
        <w:ind w:firstLine="720"/>
      </w:pPr>
      <w:r w:rsidRPr="00A7631D">
        <w:lastRenderedPageBreak/>
        <w:t>Bowie went to the police station the day</w:t>
      </w:r>
      <w:r w:rsidR="007E28B5" w:rsidRPr="00A7631D">
        <w:t xml:space="preserve"> after the shootings</w:t>
      </w:r>
      <w:r w:rsidR="00444B0C" w:rsidRPr="00A7631D">
        <w:t xml:space="preserve">, </w:t>
      </w:r>
      <w:r w:rsidR="00116858" w:rsidRPr="00A7631D">
        <w:t xml:space="preserve">and although he </w:t>
      </w:r>
      <w:r w:rsidR="00444B0C" w:rsidRPr="00A7631D">
        <w:t>was unable to describe his assailants clearly enough for a sketch artist to produce a composite drawing</w:t>
      </w:r>
      <w:r w:rsidR="00116858" w:rsidRPr="00A7631D">
        <w:t>, he told Chavers</w:t>
      </w:r>
      <w:r w:rsidR="0059153F" w:rsidRPr="00A7631D">
        <w:t xml:space="preserve"> that the driver had a “funny shaped mouth</w:t>
      </w:r>
      <w:r w:rsidR="001C15B0" w:rsidRPr="00A7631D">
        <w:t>.</w:t>
      </w:r>
      <w:r w:rsidR="0059153F" w:rsidRPr="00A7631D">
        <w:t>”</w:t>
      </w:r>
      <w:r w:rsidR="00A609EA" w:rsidRPr="00A7631D">
        <w:t xml:space="preserve">  </w:t>
      </w:r>
      <w:r w:rsidR="008E0DC1" w:rsidRPr="00A7631D">
        <w:t xml:space="preserve">Bowie </w:t>
      </w:r>
      <w:r w:rsidR="0059153F" w:rsidRPr="00A7631D">
        <w:t xml:space="preserve">also </w:t>
      </w:r>
      <w:r w:rsidR="00E406BA" w:rsidRPr="00A7631D">
        <w:t>said</w:t>
      </w:r>
      <w:r w:rsidR="008E0DC1" w:rsidRPr="00A7631D">
        <w:t xml:space="preserve"> that he would be able to identify </w:t>
      </w:r>
      <w:r w:rsidR="00216599" w:rsidRPr="00A7631D">
        <w:t xml:space="preserve">his assailants if he saw them again.  </w:t>
      </w:r>
      <w:r w:rsidR="00A609EA" w:rsidRPr="00A7631D">
        <w:t xml:space="preserve">Bowie </w:t>
      </w:r>
      <w:r w:rsidR="00673FE3" w:rsidRPr="00A7631D">
        <w:t xml:space="preserve">participated in a </w:t>
      </w:r>
      <w:r w:rsidR="004A6262" w:rsidRPr="00A7631D">
        <w:t>photo</w:t>
      </w:r>
      <w:r w:rsidR="008372E7" w:rsidRPr="00A7631D">
        <w:t>graphic</w:t>
      </w:r>
      <w:r w:rsidR="004A6262" w:rsidRPr="00A7631D">
        <w:t xml:space="preserve"> lineup on February 19, 1998 — less than one month after the shooting —</w:t>
      </w:r>
      <w:r w:rsidR="00D11154" w:rsidRPr="00A7631D">
        <w:t xml:space="preserve"> but was shown no photos of Wilson and did not identify any </w:t>
      </w:r>
      <w:r w:rsidR="003E1DB4" w:rsidRPr="00A7631D">
        <w:t xml:space="preserve">of the </w:t>
      </w:r>
      <w:r w:rsidR="00D11154" w:rsidRPr="00A7631D">
        <w:t xml:space="preserve">photos </w:t>
      </w:r>
      <w:r w:rsidR="003E1DB4" w:rsidRPr="00A7631D">
        <w:t xml:space="preserve">he was shown </w:t>
      </w:r>
      <w:r w:rsidR="00D11154" w:rsidRPr="00A7631D">
        <w:t>as being of Wilson.</w:t>
      </w:r>
      <w:r w:rsidR="00E052D7" w:rsidRPr="00A7631D">
        <w:rPr>
          <w:rStyle w:val="FootnoteReference"/>
        </w:rPr>
        <w:footnoteReference w:id="13"/>
      </w:r>
      <w:r w:rsidR="003E1DB4" w:rsidRPr="00A7631D">
        <w:t xml:space="preserve">  </w:t>
      </w:r>
      <w:r w:rsidR="008D12D2" w:rsidRPr="00A7631D">
        <w:t xml:space="preserve">On February 23, 1998, </w:t>
      </w:r>
      <w:r w:rsidR="00754039" w:rsidRPr="00A7631D">
        <w:t xml:space="preserve">Bowie </w:t>
      </w:r>
      <w:r w:rsidR="000F622C" w:rsidRPr="00A7631D">
        <w:t>returned to the police station to view</w:t>
      </w:r>
      <w:r w:rsidR="00754039" w:rsidRPr="00A7631D">
        <w:t xml:space="preserve"> a different photo lineup that did include a photo of Wilson</w:t>
      </w:r>
      <w:r w:rsidR="00691F20" w:rsidRPr="00A7631D">
        <w:t xml:space="preserve"> and of</w:t>
      </w:r>
      <w:r w:rsidR="00C469AD" w:rsidRPr="00A7631D">
        <w:t xml:space="preserve"> five other men</w:t>
      </w:r>
      <w:r w:rsidR="000F622C" w:rsidRPr="00A7631D">
        <w:t xml:space="preserve">.  </w:t>
      </w:r>
      <w:r w:rsidR="008D12D2" w:rsidRPr="00A7631D">
        <w:t>Bowie identified Wilson as the Honda’s driver</w:t>
      </w:r>
      <w:r w:rsidR="004C73F5" w:rsidRPr="00A7631D">
        <w:t>, saying</w:t>
      </w:r>
      <w:r w:rsidR="008D12D2" w:rsidRPr="00A7631D">
        <w:t xml:space="preserve">, “I know for sure that’s </w:t>
      </w:r>
      <w:proofErr w:type="gramStart"/>
      <w:r w:rsidR="008D12D2" w:rsidRPr="00A7631D">
        <w:t>him,</w:t>
      </w:r>
      <w:proofErr w:type="gramEnd"/>
      <w:r w:rsidR="008D12D2" w:rsidRPr="00A7631D">
        <w:t xml:space="preserve"> I know the shape of his mouth.”  </w:t>
      </w:r>
    </w:p>
    <w:p w14:paraId="2C381506" w14:textId="5CCF3F5B" w:rsidR="008D12D2" w:rsidRPr="00A7631D" w:rsidRDefault="004B3350" w:rsidP="000E6B78">
      <w:pPr>
        <w:ind w:firstLine="720"/>
      </w:pPr>
      <w:r w:rsidRPr="00A7631D">
        <w:t xml:space="preserve">At a </w:t>
      </w:r>
      <w:r w:rsidR="00A61FDE" w:rsidRPr="00A7631D">
        <w:t>subsequent live lineup</w:t>
      </w:r>
      <w:r w:rsidR="00B70A3F" w:rsidRPr="00A7631D">
        <w:t xml:space="preserve"> on June 9, 1998</w:t>
      </w:r>
      <w:r w:rsidR="00A61FDE" w:rsidRPr="00A7631D">
        <w:t xml:space="preserve">, and at the preliminary hearing, </w:t>
      </w:r>
      <w:r w:rsidR="0010283F" w:rsidRPr="00A7631D">
        <w:t xml:space="preserve">Bowie </w:t>
      </w:r>
      <w:r w:rsidR="00CA2E6E" w:rsidRPr="00A7631D">
        <w:t>had no difficulty identifying Wilson</w:t>
      </w:r>
      <w:r w:rsidR="00463221" w:rsidRPr="00A7631D">
        <w:t>, highlighting the distinctive shape of Wilson’s mouth.</w:t>
      </w:r>
      <w:r w:rsidR="00542609" w:rsidRPr="00A7631D">
        <w:t xml:space="preserve"> </w:t>
      </w:r>
      <w:r w:rsidR="003E5468" w:rsidRPr="00A7631D">
        <w:t xml:space="preserve"> </w:t>
      </w:r>
      <w:r w:rsidR="00542609" w:rsidRPr="00A7631D">
        <w:t xml:space="preserve">Bowie </w:t>
      </w:r>
      <w:r w:rsidR="00CD7600" w:rsidRPr="00A7631D">
        <w:t xml:space="preserve">testified </w:t>
      </w:r>
      <w:r w:rsidR="00463221" w:rsidRPr="00A7631D">
        <w:t xml:space="preserve">at </w:t>
      </w:r>
      <w:r w:rsidR="00AC7C02" w:rsidRPr="00A7631D">
        <w:t>the preliminary hearing</w:t>
      </w:r>
      <w:r w:rsidR="00463221" w:rsidRPr="00A7631D">
        <w:t xml:space="preserve"> that </w:t>
      </w:r>
      <w:r w:rsidR="00542609" w:rsidRPr="00A7631D">
        <w:t xml:space="preserve">he had described </w:t>
      </w:r>
      <w:r w:rsidR="00463221" w:rsidRPr="00A7631D">
        <w:t>Wilson’s</w:t>
      </w:r>
      <w:r w:rsidR="00542609" w:rsidRPr="00A7631D">
        <w:t xml:space="preserve"> smirk to </w:t>
      </w:r>
      <w:r w:rsidR="00F8060C" w:rsidRPr="00A7631D">
        <w:t>police officers when he first spoke with them the day after the shooting</w:t>
      </w:r>
      <w:r w:rsidR="00A4386D" w:rsidRPr="00A7631D">
        <w:t>.  L</w:t>
      </w:r>
      <w:r w:rsidR="00471A92" w:rsidRPr="00A7631D">
        <w:t>ater</w:t>
      </w:r>
      <w:r w:rsidR="00A4386D" w:rsidRPr="00A7631D">
        <w:t>, he was</w:t>
      </w:r>
      <w:r w:rsidR="00471A92" w:rsidRPr="00A7631D">
        <w:t xml:space="preserve"> unable to recall whether he had told Chavers that Wilson had a unique mouth shape when he first gave a statement to her</w:t>
      </w:r>
      <w:r w:rsidR="00A4386D" w:rsidRPr="00A7631D">
        <w:t xml:space="preserve"> or only sometime later</w:t>
      </w:r>
      <w:r w:rsidR="00F8060C" w:rsidRPr="00A7631D">
        <w:t xml:space="preserve">.  </w:t>
      </w:r>
    </w:p>
    <w:p w14:paraId="47C71161" w14:textId="2DB527A1" w:rsidR="00776260" w:rsidRPr="00A7631D" w:rsidRDefault="00776260" w:rsidP="000E6B78">
      <w:pPr>
        <w:pStyle w:val="Heading4"/>
        <w:numPr>
          <w:ilvl w:val="1"/>
          <w:numId w:val="3"/>
        </w:numPr>
        <w:ind w:left="2016" w:hanging="432"/>
      </w:pPr>
      <w:r w:rsidRPr="00A7631D">
        <w:lastRenderedPageBreak/>
        <w:t>Brown’s Identification</w:t>
      </w:r>
    </w:p>
    <w:p w14:paraId="590CFBD1" w14:textId="786B46EA" w:rsidR="0009093E" w:rsidRPr="00A7631D" w:rsidRDefault="0009093E" w:rsidP="000E6B78">
      <w:pPr>
        <w:ind w:firstLine="720"/>
      </w:pPr>
      <w:r w:rsidRPr="00A7631D">
        <w:t xml:space="preserve">Brown arrived at the </w:t>
      </w:r>
      <w:r w:rsidR="00EC55D4" w:rsidRPr="00A7631D">
        <w:t>car wash</w:t>
      </w:r>
      <w:r w:rsidR="00012774" w:rsidRPr="00A7631D">
        <w:t xml:space="preserve"> right after the shooting </w:t>
      </w:r>
      <w:r w:rsidRPr="00A7631D">
        <w:t xml:space="preserve">as Wilson and Pops were fleeing the scene.  He saw </w:t>
      </w:r>
      <w:r w:rsidR="00920188" w:rsidRPr="00A7631D">
        <w:t xml:space="preserve">a person he described as </w:t>
      </w:r>
      <w:r w:rsidRPr="00A7631D">
        <w:t>a light-skinned Black</w:t>
      </w:r>
      <w:r w:rsidR="00453E0B" w:rsidRPr="00A7631D">
        <w:t xml:space="preserve"> man</w:t>
      </w:r>
      <w:r w:rsidRPr="00A7631D">
        <w:t xml:space="preserve"> driving Dunn’s El Camino out of the parking lot.  </w:t>
      </w:r>
      <w:r w:rsidR="00AD79A4" w:rsidRPr="00A7631D">
        <w:t>Pops g</w:t>
      </w:r>
      <w:r w:rsidR="00092FC7" w:rsidRPr="00A7631D">
        <w:t>ot</w:t>
      </w:r>
      <w:r w:rsidR="00AD79A4" w:rsidRPr="00A7631D">
        <w:t xml:space="preserve"> into his car </w:t>
      </w:r>
      <w:r w:rsidR="00AD5547">
        <w:t>to</w:t>
      </w:r>
      <w:r w:rsidR="00AD79A4" w:rsidRPr="00A7631D">
        <w:t xml:space="preserve"> leave the scene</w:t>
      </w:r>
      <w:r w:rsidR="00092FC7" w:rsidRPr="00A7631D">
        <w:t xml:space="preserve">, fleeing </w:t>
      </w:r>
      <w:r w:rsidRPr="00A7631D">
        <w:t xml:space="preserve">when the gun </w:t>
      </w:r>
      <w:r w:rsidR="00AD5547">
        <w:t>he</w:t>
      </w:r>
      <w:r w:rsidRPr="00A7631D">
        <w:t xml:space="preserve"> fired at </w:t>
      </w:r>
      <w:r w:rsidR="00AD5547">
        <w:t>Brown</w:t>
      </w:r>
      <w:r w:rsidRPr="00A7631D">
        <w:t xml:space="preserve"> jammed. </w:t>
      </w:r>
      <w:r w:rsidR="00E25261" w:rsidRPr="00A7631D">
        <w:t xml:space="preserve"> </w:t>
      </w:r>
    </w:p>
    <w:p w14:paraId="5B9E57D9" w14:textId="6768B78E" w:rsidR="00802438" w:rsidRPr="00A7631D" w:rsidRDefault="007E28B5" w:rsidP="000E6B78">
      <w:pPr>
        <w:ind w:firstLine="720"/>
      </w:pPr>
      <w:r w:rsidRPr="00A7631D">
        <w:t>Brown participated in a photo lineup on February 11, 1998</w:t>
      </w:r>
      <w:r w:rsidR="00521D31" w:rsidRPr="00A7631D">
        <w:t xml:space="preserve">, but none of the photos he was shown depicted Wilson, and he was not able to identify anyone.  </w:t>
      </w:r>
      <w:r w:rsidR="00585F70" w:rsidRPr="00A7631D">
        <w:t xml:space="preserve">The next day he was shown a different six-pack, </w:t>
      </w:r>
      <w:r w:rsidR="005B2C2C" w:rsidRPr="00A7631D">
        <w:t>which also did not contain an image of Wilson</w:t>
      </w:r>
      <w:r w:rsidR="00917954" w:rsidRPr="00A7631D">
        <w:t xml:space="preserve">, but </w:t>
      </w:r>
      <w:r w:rsidR="00585F70" w:rsidRPr="00A7631D">
        <w:t xml:space="preserve">he </w:t>
      </w:r>
      <w:r w:rsidR="005B2C2C" w:rsidRPr="00A7631D">
        <w:t>pointed to a picture</w:t>
      </w:r>
      <w:r w:rsidR="00EB6F1B" w:rsidRPr="00A7631D">
        <w:t>,</w:t>
      </w:r>
      <w:r w:rsidR="005B2C2C" w:rsidRPr="00A7631D">
        <w:t xml:space="preserve"> noting the person looked closest to the</w:t>
      </w:r>
      <w:r w:rsidR="00585F70" w:rsidRPr="00A7631D">
        <w:t xml:space="preserve"> El Camino driver</w:t>
      </w:r>
      <w:r w:rsidR="005B2C2C" w:rsidRPr="00A7631D">
        <w:t xml:space="preserve">.  </w:t>
      </w:r>
      <w:r w:rsidR="0054206F" w:rsidRPr="00A7631D">
        <w:t xml:space="preserve">On February 24, 1998, he </w:t>
      </w:r>
      <w:r w:rsidR="00FD3902" w:rsidRPr="00A7631D">
        <w:t>participated in a third photo lineup</w:t>
      </w:r>
      <w:r w:rsidR="0054206F" w:rsidRPr="00A7631D">
        <w:t xml:space="preserve"> — this time including a photo of Wilson — and although he did not identify Wilson</w:t>
      </w:r>
      <w:r w:rsidR="00E25261" w:rsidRPr="00A7631D">
        <w:t>,</w:t>
      </w:r>
      <w:r w:rsidR="0054206F" w:rsidRPr="00A7631D">
        <w:t xml:space="preserve"> he noted </w:t>
      </w:r>
      <w:r w:rsidR="006D4979" w:rsidRPr="00A7631D">
        <w:t>Wilson</w:t>
      </w:r>
      <w:r w:rsidR="00A61FDD" w:rsidRPr="00A7631D">
        <w:t xml:space="preserve"> had the same complexion as the man he saw driving the El Camino.  </w:t>
      </w:r>
      <w:r w:rsidR="00B70A3F" w:rsidRPr="00A7631D">
        <w:t>At the</w:t>
      </w:r>
      <w:r w:rsidR="00D43D88" w:rsidRPr="00A7631D">
        <w:t xml:space="preserve"> live lineup on June 9, 1998</w:t>
      </w:r>
      <w:r w:rsidR="00B70A3F" w:rsidRPr="00A7631D">
        <w:t>, Brown was unable</w:t>
      </w:r>
      <w:r w:rsidR="00A2311F" w:rsidRPr="00A7631D">
        <w:t xml:space="preserve"> to</w:t>
      </w:r>
      <w:r w:rsidR="00E72E69" w:rsidRPr="00A7631D">
        <w:t xml:space="preserve"> identify Wilson with certainty, </w:t>
      </w:r>
      <w:r w:rsidR="00317221" w:rsidRPr="00A7631D">
        <w:t>writing</w:t>
      </w:r>
      <w:r w:rsidR="00D43D88" w:rsidRPr="00A7631D">
        <w:t xml:space="preserve"> on his identification card that he “only viewed [the suspect] from behind and [got] a quick view of </w:t>
      </w:r>
      <w:r w:rsidR="003D4469" w:rsidRPr="00A7631D">
        <w:t>[</w:t>
      </w:r>
      <w:r w:rsidR="00D43D88" w:rsidRPr="00A7631D">
        <w:t>his</w:t>
      </w:r>
      <w:r w:rsidR="003D4469" w:rsidRPr="00A7631D">
        <w:t>]</w:t>
      </w:r>
      <w:r w:rsidR="00D43D88" w:rsidRPr="00A7631D">
        <w:t xml:space="preserve"> face but [Wilson] fits best</w:t>
      </w:r>
      <w:r w:rsidR="008A2CD0" w:rsidRPr="00A7631D">
        <w:t> </w:t>
      </w:r>
      <w:r w:rsidR="00D43D88" w:rsidRPr="00A7631D">
        <w:t>.</w:t>
      </w:r>
      <w:r w:rsidR="008A2CD0" w:rsidRPr="00A7631D">
        <w:t> </w:t>
      </w:r>
      <w:r w:rsidR="00D43D88" w:rsidRPr="00A7631D">
        <w:t>.</w:t>
      </w:r>
      <w:r w:rsidR="008A2CD0" w:rsidRPr="00A7631D">
        <w:t> </w:t>
      </w:r>
      <w:r w:rsidR="00D43D88" w:rsidRPr="00A7631D">
        <w:t>.</w:t>
      </w:r>
      <w:r w:rsidR="008A2CD0" w:rsidRPr="00A7631D">
        <w:t> </w:t>
      </w:r>
      <w:r w:rsidR="00D43D88" w:rsidRPr="00A7631D">
        <w:t xml:space="preserve">.”  </w:t>
      </w:r>
      <w:r w:rsidR="003466B7" w:rsidRPr="00A7631D">
        <w:t xml:space="preserve">Brown </w:t>
      </w:r>
      <w:r w:rsidR="00165C9B" w:rsidRPr="00A7631D">
        <w:t xml:space="preserve">did not </w:t>
      </w:r>
      <w:r w:rsidR="006D4979" w:rsidRPr="00A7631D">
        <w:t xml:space="preserve">positively </w:t>
      </w:r>
      <w:r w:rsidR="00165C9B" w:rsidRPr="00A7631D">
        <w:t xml:space="preserve">identify Wilson at the preliminary </w:t>
      </w:r>
      <w:proofErr w:type="gramStart"/>
      <w:r w:rsidR="00165C9B" w:rsidRPr="00A7631D">
        <w:t>hearing, but</w:t>
      </w:r>
      <w:proofErr w:type="gramEnd"/>
      <w:r w:rsidR="00165C9B" w:rsidRPr="00A7631D">
        <w:t xml:space="preserve"> testified</w:t>
      </w:r>
      <w:r w:rsidR="0085491F">
        <w:t xml:space="preserve"> that</w:t>
      </w:r>
      <w:r w:rsidR="00165C9B" w:rsidRPr="00A7631D">
        <w:t xml:space="preserve"> “[t]he light complected guy</w:t>
      </w:r>
      <w:r w:rsidR="00921303" w:rsidRPr="00A7631D">
        <w:t xml:space="preserve">” — Wilson — “would probably best fit the description but I only </w:t>
      </w:r>
      <w:r w:rsidR="005E7C88" w:rsidRPr="00A7631D">
        <w:t>seen [sic]</w:t>
      </w:r>
      <w:r w:rsidR="00921303" w:rsidRPr="00A7631D">
        <w:t xml:space="preserve"> him from the rear view and glanced at the front view.”  </w:t>
      </w:r>
    </w:p>
    <w:p w14:paraId="210C1728" w14:textId="470FBC7B" w:rsidR="00E43D9E" w:rsidRPr="00A7631D" w:rsidRDefault="00A86D96" w:rsidP="000E6B78">
      <w:pPr>
        <w:ind w:firstLine="720"/>
      </w:pPr>
      <w:r w:rsidRPr="00A7631D">
        <w:t>Wilson</w:t>
      </w:r>
      <w:r w:rsidR="00707DC6" w:rsidRPr="00A7631D">
        <w:t xml:space="preserve"> sought to ex</w:t>
      </w:r>
      <w:r w:rsidR="00081B22" w:rsidRPr="00A7631D">
        <w:t xml:space="preserve">clude evidence of Bowie’s and Brown’s pretrial identifications of </w:t>
      </w:r>
      <w:r w:rsidRPr="00A7631D">
        <w:t>him</w:t>
      </w:r>
      <w:r w:rsidR="003C0E78" w:rsidRPr="00A7631D">
        <w:t xml:space="preserve"> </w:t>
      </w:r>
      <w:r w:rsidR="00081B22" w:rsidRPr="00A7631D">
        <w:t>under</w:t>
      </w:r>
      <w:r w:rsidR="003C0E78" w:rsidRPr="00A7631D">
        <w:t xml:space="preserve"> Evidence Code section 402,</w:t>
      </w:r>
      <w:r w:rsidR="00081B22" w:rsidRPr="00A7631D">
        <w:t xml:space="preserve"> arguing the procedures used by the police were unduly suggestive and the identifications tainted</w:t>
      </w:r>
      <w:r w:rsidR="003C0E78" w:rsidRPr="00A7631D">
        <w:t xml:space="preserve">.  </w:t>
      </w:r>
      <w:r w:rsidR="00DD2160" w:rsidRPr="00A7631D">
        <w:t xml:space="preserve">The trial court heard </w:t>
      </w:r>
      <w:r w:rsidR="00E43D9E" w:rsidRPr="00A7631D">
        <w:t>the</w:t>
      </w:r>
      <w:r w:rsidR="00DD2160" w:rsidRPr="00A7631D">
        <w:t xml:space="preserve"> motion to exclude on March 19, 1999; Bowie appeared at the hearing, but </w:t>
      </w:r>
      <w:r w:rsidR="003C0E78" w:rsidRPr="00A7631D">
        <w:t>Brown did not</w:t>
      </w:r>
      <w:r w:rsidR="00DD2160" w:rsidRPr="00A7631D">
        <w:t xml:space="preserve">.  </w:t>
      </w:r>
      <w:r w:rsidR="00003532" w:rsidRPr="00A7631D">
        <w:t>T</w:t>
      </w:r>
      <w:r w:rsidR="003C0E78" w:rsidRPr="00A7631D">
        <w:t xml:space="preserve">he trial court ruled the procedures </w:t>
      </w:r>
      <w:r w:rsidR="002A3616" w:rsidRPr="00A7631D">
        <w:lastRenderedPageBreak/>
        <w:t xml:space="preserve">employed in connection with Bowie’s identification </w:t>
      </w:r>
      <w:r w:rsidR="003C0E78" w:rsidRPr="00A7631D">
        <w:t>were not suggestive</w:t>
      </w:r>
      <w:r w:rsidR="002A3616" w:rsidRPr="00A7631D">
        <w:t xml:space="preserve"> </w:t>
      </w:r>
      <w:r w:rsidR="00C6695E" w:rsidRPr="00A7631D">
        <w:t>and it</w:t>
      </w:r>
      <w:r w:rsidR="00F627F0" w:rsidRPr="00A7631D">
        <w:t xml:space="preserve"> permitted the introduction of Bowie’s identification</w:t>
      </w:r>
      <w:r w:rsidR="006B5E52" w:rsidRPr="00A7631D">
        <w:t xml:space="preserve">.  </w:t>
      </w:r>
      <w:r w:rsidR="00481C6C" w:rsidRPr="00A7631D">
        <w:t xml:space="preserve">The trial court deferred ruling on the suggestiveness of Brown’s identification pending </w:t>
      </w:r>
      <w:r w:rsidR="000936D8" w:rsidRPr="00A7631D">
        <w:t>his</w:t>
      </w:r>
      <w:r w:rsidR="00481C6C" w:rsidRPr="00A7631D">
        <w:t xml:space="preserve"> appearance</w:t>
      </w:r>
      <w:r w:rsidR="00F627F0" w:rsidRPr="00A7631D">
        <w:t xml:space="preserve"> at the </w:t>
      </w:r>
      <w:r w:rsidR="000936D8" w:rsidRPr="00A7631D">
        <w:t>Evidence Code section 402</w:t>
      </w:r>
      <w:r w:rsidR="00F627F0" w:rsidRPr="00A7631D">
        <w:t xml:space="preserve"> hearing</w:t>
      </w:r>
      <w:r w:rsidR="000936D8" w:rsidRPr="00A7631D">
        <w:t>.</w:t>
      </w:r>
      <w:r w:rsidR="00F627F0" w:rsidRPr="00A7631D">
        <w:t xml:space="preserve"> </w:t>
      </w:r>
      <w:r w:rsidR="000936D8" w:rsidRPr="00A7631D">
        <w:t xml:space="preserve"> Brown’s appearance was never secured, and he did not testify at trial; </w:t>
      </w:r>
      <w:r w:rsidR="0009698D" w:rsidRPr="00A7631D">
        <w:t>the trial court</w:t>
      </w:r>
      <w:r w:rsidR="000936D8" w:rsidRPr="00A7631D">
        <w:t xml:space="preserve"> instead declared </w:t>
      </w:r>
      <w:r w:rsidR="0009698D" w:rsidRPr="00A7631D">
        <w:t xml:space="preserve">him </w:t>
      </w:r>
      <w:proofErr w:type="gramStart"/>
      <w:r w:rsidR="000936D8" w:rsidRPr="00A7631D">
        <w:t>unavailable</w:t>
      </w:r>
      <w:proofErr w:type="gramEnd"/>
      <w:r w:rsidR="000936D8" w:rsidRPr="00A7631D">
        <w:t xml:space="preserve"> and </w:t>
      </w:r>
      <w:r w:rsidR="001A0B2E" w:rsidRPr="00A7631D">
        <w:t xml:space="preserve">counsel read </w:t>
      </w:r>
      <w:r w:rsidR="000936D8" w:rsidRPr="00A7631D">
        <w:t xml:space="preserve">his preliminary hearing testimony to the jury.  </w:t>
      </w:r>
    </w:p>
    <w:p w14:paraId="1615FD6B" w14:textId="5576CE8F" w:rsidR="00357E05" w:rsidRPr="00A7631D" w:rsidRDefault="00E43D9E" w:rsidP="000E6B78">
      <w:pPr>
        <w:pStyle w:val="Heading3"/>
        <w:numPr>
          <w:ilvl w:val="0"/>
          <w:numId w:val="7"/>
        </w:numPr>
        <w:ind w:left="1584" w:hanging="432"/>
      </w:pPr>
      <w:bookmarkStart w:id="36" w:name="_Toc58846821"/>
      <w:bookmarkStart w:id="37" w:name="_Toc50617038"/>
      <w:r w:rsidRPr="00A7631D">
        <w:t>Discussion</w:t>
      </w:r>
      <w:bookmarkEnd w:id="36"/>
      <w:bookmarkEnd w:id="37"/>
      <w:r w:rsidR="003C0E78" w:rsidRPr="00A7631D">
        <w:t xml:space="preserve"> </w:t>
      </w:r>
    </w:p>
    <w:p w14:paraId="3D5235CF" w14:textId="0B3C3C30" w:rsidR="00A66C91" w:rsidRPr="00A7631D" w:rsidRDefault="00E875E1" w:rsidP="000E6B78">
      <w:pPr>
        <w:ind w:firstLine="720"/>
      </w:pPr>
      <w:r w:rsidRPr="00A7631D">
        <w:t>Wilson claims his right to due process was violated by the introduction of Brown’s and Bowie’s identifications.</w:t>
      </w:r>
      <w:r w:rsidR="00E202FE" w:rsidRPr="00A7631D">
        <w:t xml:space="preserve">  </w:t>
      </w:r>
      <w:r w:rsidR="00EB6F1B" w:rsidRPr="00A7631D">
        <w:t>A</w:t>
      </w:r>
      <w:r w:rsidR="008B7431" w:rsidRPr="00A7631D">
        <w:t xml:space="preserve"> violation occurs “</w:t>
      </w:r>
      <w:r w:rsidR="00005707">
        <w:t> </w:t>
      </w:r>
      <w:r w:rsidR="008B7431" w:rsidRPr="00A7631D">
        <w:t>‘</w:t>
      </w:r>
      <w:r w:rsidR="00C81345" w:rsidRPr="00A7631D">
        <w:t>only if the identification procedure is “so impermissibly suggestive as to give rise to a very substantial likelihood of irreparable misidentification.”</w:t>
      </w:r>
      <w:r w:rsidR="00005707">
        <w:t> </w:t>
      </w:r>
      <w:r w:rsidR="00C81345" w:rsidRPr="00A7631D">
        <w:t>’</w:t>
      </w:r>
      <w:r w:rsidR="00D17A52">
        <w:t> </w:t>
      </w:r>
      <w:r w:rsidR="00F4304C" w:rsidRPr="00A7631D">
        <w:t>”</w:t>
      </w:r>
      <w:r w:rsidR="00C81345" w:rsidRPr="00A7631D">
        <w:t xml:space="preserve">  </w:t>
      </w:r>
      <w:r w:rsidR="00F4304C" w:rsidRPr="00A7631D">
        <w:t>(</w:t>
      </w:r>
      <w:r w:rsidR="00F4304C" w:rsidRPr="00A7631D">
        <w:rPr>
          <w:i/>
          <w:iCs/>
        </w:rPr>
        <w:t>People v. Sanchez</w:t>
      </w:r>
      <w:r w:rsidR="00F4304C" w:rsidRPr="00A7631D">
        <w:t xml:space="preserve"> (2019) 7 Cal.5th 14, 35.) </w:t>
      </w:r>
      <w:r w:rsidR="001F0DEB" w:rsidRPr="00A7631D">
        <w:t xml:space="preserve"> If we </w:t>
      </w:r>
      <w:r w:rsidR="00EB6F1B" w:rsidRPr="00A7631D">
        <w:t>determine the procedure was suggestive, no due process violation arises if</w:t>
      </w:r>
      <w:r w:rsidR="00C157BE" w:rsidRPr="00A7631D">
        <w:t xml:space="preserve"> “</w:t>
      </w:r>
      <w:r w:rsidR="00005707">
        <w:t> </w:t>
      </w:r>
      <w:r w:rsidR="00C157BE" w:rsidRPr="00A7631D">
        <w:t>‘</w:t>
      </w:r>
      <w:r w:rsidR="00D17A52">
        <w:t> </w:t>
      </w:r>
      <w:r w:rsidR="000D2F44">
        <w:t>“</w:t>
      </w:r>
      <w:r w:rsidR="007A7FD1" w:rsidRPr="00A7631D">
        <w:t xml:space="preserve">the identification itself was nevertheless </w:t>
      </w:r>
      <w:proofErr w:type="gramStart"/>
      <w:r w:rsidR="007A7FD1" w:rsidRPr="00A7631D">
        <w:t>reliable</w:t>
      </w:r>
      <w:proofErr w:type="gramEnd"/>
      <w:r w:rsidR="007A7FD1" w:rsidRPr="00A7631D">
        <w:t xml:space="preserve"> under the totality of the </w:t>
      </w:r>
      <w:r w:rsidR="000D2F44">
        <w:br/>
      </w:r>
      <w:r w:rsidR="007A7FD1" w:rsidRPr="00A7631D">
        <w:t>circumstances.</w:t>
      </w:r>
      <w:r w:rsidR="000D2F44">
        <w:t>”</w:t>
      </w:r>
      <w:r w:rsidR="00005707">
        <w:t> </w:t>
      </w:r>
      <w:r w:rsidR="007A7FD1" w:rsidRPr="00A7631D">
        <w:t>’</w:t>
      </w:r>
      <w:r w:rsidR="00005707">
        <w:t> </w:t>
      </w:r>
      <w:r w:rsidR="004134EB" w:rsidRPr="00A7631D">
        <w:t>”  (</w:t>
      </w:r>
      <w:r w:rsidR="004134EB" w:rsidRPr="00A7631D">
        <w:rPr>
          <w:i/>
          <w:iCs/>
        </w:rPr>
        <w:t>People v. Clark</w:t>
      </w:r>
      <w:r w:rsidR="004134EB" w:rsidRPr="00A7631D">
        <w:t xml:space="preserve"> (2016) 63 Cal.4th </w:t>
      </w:r>
      <w:r w:rsidR="00A36F51" w:rsidRPr="00A7631D">
        <w:t>522, 5</w:t>
      </w:r>
      <w:r w:rsidR="008E5C58" w:rsidRPr="00A7631D">
        <w:t>5</w:t>
      </w:r>
      <w:r w:rsidR="00A36F51" w:rsidRPr="00A7631D">
        <w:t>6</w:t>
      </w:r>
      <w:r w:rsidR="00977AA5" w:rsidRPr="00A7631D">
        <w:t xml:space="preserve"> (</w:t>
      </w:r>
      <w:r w:rsidR="00977AA5" w:rsidRPr="00A7631D">
        <w:rPr>
          <w:i/>
          <w:iCs/>
        </w:rPr>
        <w:t>Clark</w:t>
      </w:r>
      <w:r w:rsidR="00977AA5" w:rsidRPr="00A7631D">
        <w:t>)</w:t>
      </w:r>
      <w:r w:rsidR="00A36F51" w:rsidRPr="00A7631D">
        <w:t xml:space="preserve">, quoting </w:t>
      </w:r>
      <w:r w:rsidR="007A7FD1" w:rsidRPr="00A7631D">
        <w:rPr>
          <w:i/>
          <w:iCs/>
        </w:rPr>
        <w:t>People v. Kennedy</w:t>
      </w:r>
      <w:r w:rsidR="007A7FD1" w:rsidRPr="00A7631D">
        <w:t xml:space="preserve"> (2005) 36 Cal.4th 595, 608</w:t>
      </w:r>
      <w:r w:rsidR="00977AA5" w:rsidRPr="00A7631D">
        <w:t xml:space="preserve"> (</w:t>
      </w:r>
      <w:r w:rsidR="00977AA5" w:rsidRPr="00A7631D">
        <w:rPr>
          <w:i/>
          <w:iCs/>
        </w:rPr>
        <w:t>Kennedy</w:t>
      </w:r>
      <w:r w:rsidR="00977AA5" w:rsidRPr="00A7631D">
        <w:t>)</w:t>
      </w:r>
      <w:r w:rsidR="007A7FD1" w:rsidRPr="00A7631D">
        <w:t xml:space="preserve">.) </w:t>
      </w:r>
      <w:r w:rsidR="008E5C58" w:rsidRPr="00A7631D">
        <w:t xml:space="preserve"> </w:t>
      </w:r>
      <w:r w:rsidR="002F3855" w:rsidRPr="00A7631D">
        <w:t>In assessing the totality of the circumstances, we consider “</w:t>
      </w:r>
      <w:r w:rsidR="00005707">
        <w:t> </w:t>
      </w:r>
      <w:r w:rsidR="00977AA5" w:rsidRPr="00A7631D">
        <w:t>‘</w:t>
      </w:r>
      <w:r w:rsidR="00C81345" w:rsidRPr="00A7631D">
        <w:t>such factors as the opportunity of the witness to view the suspect at the time of the offense, the witness’s degree of attention at the time of the offense, the accuracy of his or her prior description of the suspect, the level of certainty demonstrated at the time of the identification, and the lapse of time between the offense and the identification.</w:t>
      </w:r>
      <w:r w:rsidR="00C37702" w:rsidRPr="00A7631D">
        <w:t xml:space="preserve">’ </w:t>
      </w:r>
      <w:r w:rsidR="00977AA5" w:rsidRPr="00A7631D">
        <w:t xml:space="preserve"> </w:t>
      </w:r>
      <w:r w:rsidR="00C37702" w:rsidRPr="00A7631D">
        <w:t>[Citations.]  ‘</w:t>
      </w:r>
      <w:r w:rsidR="00C81345" w:rsidRPr="00A7631D">
        <w:t>Against these factors is to be weighed the corrupting effect of the suggestive identification itself.</w:t>
      </w:r>
      <w:r w:rsidR="00C37702" w:rsidRPr="00A7631D">
        <w:t>’  [Citation.]”</w:t>
      </w:r>
      <w:r w:rsidR="00977AA5" w:rsidRPr="00A7631D">
        <w:t xml:space="preserve">  (</w:t>
      </w:r>
      <w:r w:rsidR="00977AA5" w:rsidRPr="00A7631D">
        <w:rPr>
          <w:i/>
          <w:iCs/>
        </w:rPr>
        <w:t>Sanchez</w:t>
      </w:r>
      <w:r w:rsidR="00977AA5" w:rsidRPr="00A7631D">
        <w:t>,</w:t>
      </w:r>
      <w:r w:rsidR="00BA72AA" w:rsidRPr="00A7631D">
        <w:t xml:space="preserve"> </w:t>
      </w:r>
      <w:r w:rsidR="00977AA5" w:rsidRPr="00A7631D">
        <w:t>at pp. 35</w:t>
      </w:r>
      <w:r w:rsidR="001F7B25">
        <w:t>–</w:t>
      </w:r>
      <w:r w:rsidR="00977AA5" w:rsidRPr="00A7631D">
        <w:t>36.)</w:t>
      </w:r>
      <w:r w:rsidR="00C37702" w:rsidRPr="00A7631D">
        <w:t xml:space="preserve">  </w:t>
      </w:r>
    </w:p>
    <w:p w14:paraId="723F7F51" w14:textId="20DDC73E" w:rsidR="00E14880" w:rsidRPr="00A7631D" w:rsidRDefault="00C04161" w:rsidP="00E23EC0">
      <w:pPr>
        <w:ind w:firstLine="720"/>
      </w:pPr>
      <w:r w:rsidRPr="00A7631D">
        <w:lastRenderedPageBreak/>
        <w:t>A</w:t>
      </w:r>
      <w:r w:rsidR="00C31FBD" w:rsidRPr="00A7631D">
        <w:t xml:space="preserve"> defendant’s claim that an</w:t>
      </w:r>
      <w:r w:rsidR="00E13369" w:rsidRPr="00A7631D">
        <w:t xml:space="preserve"> identification procedure was unduly suggestive</w:t>
      </w:r>
      <w:r w:rsidR="00C31FBD" w:rsidRPr="00A7631D">
        <w:t xml:space="preserve"> </w:t>
      </w:r>
      <w:r w:rsidR="00141FC6" w:rsidRPr="00A7631D">
        <w:t>i</w:t>
      </w:r>
      <w:r w:rsidR="00C31FBD" w:rsidRPr="00A7631D">
        <w:t>s</w:t>
      </w:r>
      <w:r w:rsidR="006F3989" w:rsidRPr="00A7631D">
        <w:t xml:space="preserve"> </w:t>
      </w:r>
      <w:r w:rsidR="00E13369" w:rsidRPr="00A7631D">
        <w:t xml:space="preserve">a “mixed </w:t>
      </w:r>
      <w:r w:rsidR="006F3989" w:rsidRPr="00A7631D">
        <w:t>question of law and fact</w:t>
      </w:r>
      <w:r w:rsidR="0001564C" w:rsidRPr="00A7631D">
        <w:t>.</w:t>
      </w:r>
      <w:r w:rsidR="00C31FBD" w:rsidRPr="00A7631D">
        <w:t>”</w:t>
      </w:r>
      <w:r w:rsidRPr="00A7631D">
        <w:t xml:space="preserve"> </w:t>
      </w:r>
      <w:r w:rsidR="004E3E78" w:rsidRPr="00A7631D">
        <w:t xml:space="preserve"> </w:t>
      </w:r>
      <w:r w:rsidR="00C31FBD" w:rsidRPr="00A7631D">
        <w:t>(</w:t>
      </w:r>
      <w:r w:rsidR="00C31FBD" w:rsidRPr="00A7631D">
        <w:rPr>
          <w:i/>
          <w:iCs/>
        </w:rPr>
        <w:t>Clark</w:t>
      </w:r>
      <w:r w:rsidR="00C31FBD" w:rsidRPr="00A7631D">
        <w:t xml:space="preserve">, </w:t>
      </w:r>
      <w:r w:rsidR="00C31FBD" w:rsidRPr="00A7631D">
        <w:rPr>
          <w:i/>
          <w:iCs/>
        </w:rPr>
        <w:t>supra</w:t>
      </w:r>
      <w:r w:rsidR="00C31FBD" w:rsidRPr="00A7631D">
        <w:t xml:space="preserve">, 63 Cal.4th at p. 557; see also </w:t>
      </w:r>
      <w:r w:rsidR="00C31FBD" w:rsidRPr="00A7631D">
        <w:rPr>
          <w:i/>
          <w:iCs/>
        </w:rPr>
        <w:t>Kennedy</w:t>
      </w:r>
      <w:r w:rsidR="00C31FBD" w:rsidRPr="00A7631D">
        <w:t xml:space="preserve">, </w:t>
      </w:r>
      <w:r w:rsidR="00C31FBD" w:rsidRPr="00A7631D">
        <w:rPr>
          <w:i/>
          <w:iCs/>
        </w:rPr>
        <w:t>supra</w:t>
      </w:r>
      <w:r w:rsidR="00C31FBD" w:rsidRPr="00A7631D">
        <w:t xml:space="preserve">, </w:t>
      </w:r>
      <w:r w:rsidR="00E25261" w:rsidRPr="00A7631D">
        <w:t xml:space="preserve">36 Cal.4th </w:t>
      </w:r>
      <w:r w:rsidR="00C31FBD" w:rsidRPr="00A7631D">
        <w:t xml:space="preserve">at p. 609.)  This </w:t>
      </w:r>
      <w:r w:rsidRPr="00A7631D">
        <w:t>standard of review applies</w:t>
      </w:r>
      <w:r w:rsidR="00C31FBD" w:rsidRPr="00A7631D">
        <w:t xml:space="preserve"> because “the facts are established, the law is undisputed, and the issue</w:t>
      </w:r>
      <w:r w:rsidR="000F3085" w:rsidRPr="00A7631D">
        <w:t>” we must resolve</w:t>
      </w:r>
      <w:r w:rsidR="00C31FBD" w:rsidRPr="00A7631D">
        <w:t xml:space="preserve"> </w:t>
      </w:r>
      <w:r w:rsidR="000F3085" w:rsidRPr="00A7631D">
        <w:t>“</w:t>
      </w:r>
      <w:r w:rsidR="00C31FBD" w:rsidRPr="00A7631D">
        <w:t>is whether the law as applied to the established facts is violated.”  (</w:t>
      </w:r>
      <w:r w:rsidR="00C31FBD" w:rsidRPr="00A7631D">
        <w:rPr>
          <w:i/>
          <w:iCs/>
        </w:rPr>
        <w:t>Kennedy</w:t>
      </w:r>
      <w:r w:rsidR="00C31FBD" w:rsidRPr="00A7631D">
        <w:t xml:space="preserve">, </w:t>
      </w:r>
      <w:r w:rsidR="00C31FBD" w:rsidRPr="00A7631D">
        <w:rPr>
          <w:i/>
          <w:iCs/>
        </w:rPr>
        <w:t>supra</w:t>
      </w:r>
      <w:r w:rsidR="00C31FBD" w:rsidRPr="00A7631D">
        <w:t xml:space="preserve">, at p. 608.)  We review the so-called “historical facts,” those factual determinations that underpinned the trial court’s </w:t>
      </w:r>
      <w:r w:rsidR="000F3085" w:rsidRPr="00A7631D">
        <w:t>conclusion that</w:t>
      </w:r>
      <w:r w:rsidR="00C31FBD" w:rsidRPr="00A7631D">
        <w:t xml:space="preserve"> the identification procedure was </w:t>
      </w:r>
      <w:r w:rsidR="000F3085" w:rsidRPr="00A7631D">
        <w:t xml:space="preserve">or was not </w:t>
      </w:r>
      <w:r w:rsidR="00C31FBD" w:rsidRPr="00A7631D">
        <w:t>suggestive, “</w:t>
      </w:r>
      <w:r w:rsidR="00212EE4" w:rsidRPr="00A7631D">
        <w:t>under a deferential standard</w:t>
      </w:r>
      <w:r w:rsidR="00C31FBD" w:rsidRPr="00A7631D">
        <w:t>.</w:t>
      </w:r>
      <w:r w:rsidR="00212EE4" w:rsidRPr="00A7631D">
        <w:t>”</w:t>
      </w:r>
      <w:r w:rsidR="00C31FBD" w:rsidRPr="00A7631D">
        <w:t xml:space="preserve"> (</w:t>
      </w:r>
      <w:r w:rsidR="00C31FBD" w:rsidRPr="00A7631D">
        <w:rPr>
          <w:i/>
          <w:iCs/>
        </w:rPr>
        <w:t>Clark</w:t>
      </w:r>
      <w:r w:rsidR="00C31FBD" w:rsidRPr="00A7631D">
        <w:t xml:space="preserve">, </w:t>
      </w:r>
      <w:r w:rsidR="00C31FBD" w:rsidRPr="00A7631D">
        <w:rPr>
          <w:i/>
          <w:iCs/>
        </w:rPr>
        <w:t>supra</w:t>
      </w:r>
      <w:r w:rsidR="00C31FBD" w:rsidRPr="00A7631D">
        <w:t>, at p. 557.)  This standard acknowledges that the trial court may have made “credibility determinations,” that “contribute[d] to deciding the facts of what had already happened, [but] were not dispositive of the inquiry because the trial court did not have a ‘first-person vantage’</w:t>
      </w:r>
      <w:r w:rsidR="00D17A52">
        <w:t> </w:t>
      </w:r>
      <w:r w:rsidR="00401A78" w:rsidRPr="00A7631D">
        <w:t>” to whatever “</w:t>
      </w:r>
      <w:r w:rsidR="00C31FBD" w:rsidRPr="00A7631D">
        <w:t>facts occurred outside of court.”  (</w:t>
      </w:r>
      <w:r w:rsidR="00C31FBD" w:rsidRPr="00A7631D">
        <w:rPr>
          <w:i/>
          <w:iCs/>
        </w:rPr>
        <w:t>Kennedy</w:t>
      </w:r>
      <w:r w:rsidR="00C31FBD" w:rsidRPr="00A7631D">
        <w:t xml:space="preserve">, </w:t>
      </w:r>
      <w:r w:rsidR="00C31FBD" w:rsidRPr="00A7631D">
        <w:rPr>
          <w:i/>
          <w:iCs/>
        </w:rPr>
        <w:t>supra</w:t>
      </w:r>
      <w:r w:rsidR="00C31FBD" w:rsidRPr="00A7631D">
        <w:t>, at p. 609.)</w:t>
      </w:r>
    </w:p>
    <w:p w14:paraId="5F51737C" w14:textId="3A3882F9" w:rsidR="00B76422" w:rsidRPr="00A7631D" w:rsidRDefault="005A1776" w:rsidP="00E23EC0">
      <w:pPr>
        <w:ind w:firstLine="720"/>
      </w:pPr>
      <w:r w:rsidRPr="00A7631D">
        <w:t>What Wilson</w:t>
      </w:r>
      <w:r w:rsidR="008C4AFF" w:rsidRPr="00A7631D">
        <w:t xml:space="preserve"> argues</w:t>
      </w:r>
      <w:r w:rsidRPr="00A7631D">
        <w:t xml:space="preserve"> is that</w:t>
      </w:r>
      <w:r w:rsidR="008C4AFF" w:rsidRPr="00A7631D">
        <w:t xml:space="preserve"> Bowie’s identification of his photograph was unduly suggestive because </w:t>
      </w:r>
      <w:r w:rsidR="00E36EC4" w:rsidRPr="00A7631D">
        <w:t xml:space="preserve">the </w:t>
      </w:r>
      <w:r w:rsidR="00AC5FF7" w:rsidRPr="00A7631D">
        <w:t xml:space="preserve">six-pack </w:t>
      </w:r>
      <w:r w:rsidR="00E36EC4" w:rsidRPr="00A7631D">
        <w:t xml:space="preserve">array shown to Bowie made </w:t>
      </w:r>
      <w:r w:rsidR="008C4AFF" w:rsidRPr="00A7631D">
        <w:t xml:space="preserve">Wilson appear distinct from the other five individuals </w:t>
      </w:r>
      <w:r w:rsidR="00AC5FF7" w:rsidRPr="00A7631D">
        <w:t>depicted</w:t>
      </w:r>
      <w:r w:rsidR="008C4AFF" w:rsidRPr="00A7631D">
        <w:t xml:space="preserve">.  </w:t>
      </w:r>
      <w:r w:rsidR="007B75E2" w:rsidRPr="00A7631D">
        <w:t xml:space="preserve">As a result, </w:t>
      </w:r>
      <w:r w:rsidR="00A528D8" w:rsidRPr="00A7631D">
        <w:t>Wilson</w:t>
      </w:r>
      <w:r w:rsidR="008C4AFF" w:rsidRPr="00A7631D">
        <w:t xml:space="preserve"> claims</w:t>
      </w:r>
      <w:r w:rsidR="007B75E2" w:rsidRPr="00A7631D">
        <w:t>,</w:t>
      </w:r>
      <w:r w:rsidR="008C4AFF" w:rsidRPr="00A7631D">
        <w:t xml:space="preserve"> the lineup </w:t>
      </w:r>
      <w:r w:rsidR="00AC7BBB" w:rsidRPr="00A7631D">
        <w:t xml:space="preserve">was </w:t>
      </w:r>
      <w:r w:rsidR="008C4AFF" w:rsidRPr="00A7631D">
        <w:t>suggestive</w:t>
      </w:r>
      <w:r w:rsidR="007B75E2" w:rsidRPr="00A7631D">
        <w:t xml:space="preserve"> because his image stood out to Bowie</w:t>
      </w:r>
      <w:r w:rsidR="008C4AFF" w:rsidRPr="00A7631D">
        <w:t xml:space="preserve">.  In particular, </w:t>
      </w:r>
      <w:r w:rsidR="00A528D8" w:rsidRPr="00A7631D">
        <w:t>Wilson</w:t>
      </w:r>
      <w:r w:rsidR="00C46BAD" w:rsidRPr="00A7631D">
        <w:t xml:space="preserve"> contends Bowie found </w:t>
      </w:r>
      <w:r w:rsidR="008C4AFF" w:rsidRPr="00A7631D">
        <w:t xml:space="preserve">the shape of </w:t>
      </w:r>
      <w:r w:rsidR="00C46BAD" w:rsidRPr="00A7631D">
        <w:t>his mouth</w:t>
      </w:r>
      <w:r w:rsidR="008C4AFF" w:rsidRPr="00A7631D">
        <w:t xml:space="preserve"> remarkable, and </w:t>
      </w:r>
      <w:r w:rsidR="00A528D8" w:rsidRPr="00A7631D">
        <w:t>he</w:t>
      </w:r>
      <w:r w:rsidR="008C4AFF" w:rsidRPr="00A7631D">
        <w:t xml:space="preserve"> argues no other person </w:t>
      </w:r>
      <w:r w:rsidR="00AC5FF7" w:rsidRPr="00A7631D">
        <w:t>had a similar mouth shape</w:t>
      </w:r>
      <w:r w:rsidR="008C4AFF" w:rsidRPr="00A7631D">
        <w:t xml:space="preserve">.  </w:t>
      </w:r>
      <w:r w:rsidR="00A528D8" w:rsidRPr="00A7631D">
        <w:t>Wilson</w:t>
      </w:r>
      <w:r w:rsidR="008C4AFF" w:rsidRPr="00A7631D">
        <w:t xml:space="preserve"> </w:t>
      </w:r>
      <w:r w:rsidR="00C9417E" w:rsidRPr="00A7631D">
        <w:t>argues</w:t>
      </w:r>
      <w:r w:rsidR="008C4AFF" w:rsidRPr="00A7631D">
        <w:t xml:space="preserve"> </w:t>
      </w:r>
      <w:r w:rsidR="00C9417E" w:rsidRPr="00A7631D">
        <w:t>there should have been</w:t>
      </w:r>
      <w:r w:rsidR="008C4AFF" w:rsidRPr="00A7631D">
        <w:t xml:space="preserve"> “fillers” in the photo array</w:t>
      </w:r>
      <w:r w:rsidR="00C9417E" w:rsidRPr="00A7631D">
        <w:t>;</w:t>
      </w:r>
      <w:r w:rsidR="008C4AFF" w:rsidRPr="00A7631D">
        <w:t xml:space="preserve"> that is, </w:t>
      </w:r>
      <w:r w:rsidR="00C9417E" w:rsidRPr="00A7631D">
        <w:t xml:space="preserve">he claims the array should have included </w:t>
      </w:r>
      <w:r w:rsidR="008C4AFF" w:rsidRPr="00A7631D">
        <w:t>photographs of other individuals who shared the characteristic</w:t>
      </w:r>
      <w:r w:rsidR="00C9417E" w:rsidRPr="00A7631D">
        <w:t xml:space="preserve"> mouth shape </w:t>
      </w:r>
      <w:r w:rsidR="008C4AFF" w:rsidRPr="00A7631D">
        <w:t xml:space="preserve">Bowie found unique.  Because Bowie believed Wilson to be the only individual in the array with the uniquely shaped mouth, </w:t>
      </w:r>
      <w:r w:rsidR="00CC09F6" w:rsidRPr="00A7631D">
        <w:t>he</w:t>
      </w:r>
      <w:r w:rsidR="00C9417E" w:rsidRPr="00A7631D">
        <w:t xml:space="preserve"> argues, </w:t>
      </w:r>
      <w:r w:rsidR="008C4AFF" w:rsidRPr="00A7631D">
        <w:t xml:space="preserve">the procedure was impermissibly suggestive.  </w:t>
      </w:r>
    </w:p>
    <w:p w14:paraId="4622B625" w14:textId="6DDA98D5" w:rsidR="00625E45" w:rsidRPr="00A7631D" w:rsidRDefault="00CC09F6" w:rsidP="00E23EC0">
      <w:pPr>
        <w:ind w:firstLine="720"/>
      </w:pPr>
      <w:r w:rsidRPr="00A7631D">
        <w:lastRenderedPageBreak/>
        <w:t>Wilson</w:t>
      </w:r>
      <w:r w:rsidR="00B76422" w:rsidRPr="00A7631D">
        <w:t xml:space="preserve"> did not object on this basis </w:t>
      </w:r>
      <w:r w:rsidR="001A3CD1" w:rsidRPr="00A7631D">
        <w:t xml:space="preserve">before the trial </w:t>
      </w:r>
      <w:proofErr w:type="gramStart"/>
      <w:r w:rsidR="001A3CD1" w:rsidRPr="00A7631D">
        <w:t>court</w:t>
      </w:r>
      <w:r w:rsidR="00373D08" w:rsidRPr="00A7631D">
        <w:t>, but</w:t>
      </w:r>
      <w:proofErr w:type="gramEnd"/>
      <w:r w:rsidR="00373D08" w:rsidRPr="00A7631D">
        <w:t xml:space="preserve"> </w:t>
      </w:r>
      <w:r w:rsidR="00093A0D" w:rsidRPr="00A7631D">
        <w:t xml:space="preserve">claims </w:t>
      </w:r>
      <w:r w:rsidR="00373D08" w:rsidRPr="00A7631D">
        <w:t xml:space="preserve">he has not forfeited </w:t>
      </w:r>
      <w:r w:rsidR="00996DF0" w:rsidRPr="00A7631D">
        <w:t xml:space="preserve">the argument because </w:t>
      </w:r>
      <w:r w:rsidR="00B209E5" w:rsidRPr="00A7631D">
        <w:t xml:space="preserve">he joined </w:t>
      </w:r>
      <w:proofErr w:type="spellStart"/>
      <w:r w:rsidR="00B209E5" w:rsidRPr="00A7631D">
        <w:t>Pops’s</w:t>
      </w:r>
      <w:proofErr w:type="spellEnd"/>
      <w:r w:rsidR="00B209E5" w:rsidRPr="00A7631D">
        <w:t xml:space="preserve"> motion to </w:t>
      </w:r>
      <w:r w:rsidR="00BC4216" w:rsidRPr="00A7631D">
        <w:t>exclude</w:t>
      </w:r>
      <w:r w:rsidR="00B209E5" w:rsidRPr="00A7631D">
        <w:t xml:space="preserve"> and the motion </w:t>
      </w:r>
      <w:r w:rsidR="007645D7" w:rsidRPr="00A7631D">
        <w:t>“cited the correct objection</w:t>
      </w:r>
      <w:r w:rsidR="00B17FE5" w:rsidRPr="00A7631D">
        <w:t>.</w:t>
      </w:r>
      <w:r w:rsidR="009C71BA" w:rsidRPr="00A7631D">
        <w:t>”</w:t>
      </w:r>
      <w:r w:rsidR="00110203" w:rsidRPr="00A7631D">
        <w:rPr>
          <w:rStyle w:val="FootnoteReference"/>
        </w:rPr>
        <w:footnoteReference w:id="14"/>
      </w:r>
      <w:r w:rsidR="00DD4EE6" w:rsidRPr="00A7631D">
        <w:t xml:space="preserve">  </w:t>
      </w:r>
      <w:r w:rsidR="007B7CF1" w:rsidRPr="00A7631D">
        <w:t xml:space="preserve">Even if the argument is not forfeited </w:t>
      </w:r>
      <w:r w:rsidR="00394ABE" w:rsidRPr="00A7631D">
        <w:t>(</w:t>
      </w:r>
      <w:r w:rsidR="00394ABE" w:rsidRPr="00A7631D">
        <w:rPr>
          <w:i/>
          <w:iCs/>
        </w:rPr>
        <w:t xml:space="preserve">People v. </w:t>
      </w:r>
      <w:r w:rsidR="00394ABE" w:rsidRPr="00A7631D">
        <w:rPr>
          <w:i/>
          <w:iCs/>
        </w:rPr>
        <w:lastRenderedPageBreak/>
        <w:t>Cunningham</w:t>
      </w:r>
      <w:r w:rsidR="00A700D9">
        <w:t xml:space="preserve">, </w:t>
      </w:r>
      <w:r w:rsidR="00A700D9" w:rsidRPr="00A700D9">
        <w:rPr>
          <w:i/>
          <w:iCs/>
        </w:rPr>
        <w:t>supra</w:t>
      </w:r>
      <w:r w:rsidR="00A700D9">
        <w:t xml:space="preserve">, </w:t>
      </w:r>
      <w:r w:rsidR="00970CB9" w:rsidRPr="00A700D9">
        <w:t>25</w:t>
      </w:r>
      <w:r w:rsidR="00970CB9" w:rsidRPr="00A7631D">
        <w:t xml:space="preserve"> Cal.4th </w:t>
      </w:r>
      <w:r w:rsidR="00A700D9">
        <w:t>at p</w:t>
      </w:r>
      <w:r w:rsidR="001A31E5">
        <w:t>.</w:t>
      </w:r>
      <w:r w:rsidR="00970CB9" w:rsidRPr="00A7631D">
        <w:t xml:space="preserve"> 989), </w:t>
      </w:r>
      <w:r w:rsidR="003A777D" w:rsidRPr="00A7631D">
        <w:t xml:space="preserve">we </w:t>
      </w:r>
      <w:r w:rsidR="007B7CF1" w:rsidRPr="00A7631D">
        <w:t>conclude it lacks merit</w:t>
      </w:r>
      <w:r w:rsidR="007B7CF1" w:rsidRPr="00A7631D">
        <w:rPr>
          <w:szCs w:val="26"/>
        </w:rPr>
        <w:t xml:space="preserve">.  </w:t>
      </w:r>
      <w:r w:rsidR="00DF7BD2" w:rsidRPr="00A7631D">
        <w:rPr>
          <w:szCs w:val="26"/>
        </w:rPr>
        <w:t>In evaluating the suggestiveness of a photo array, we</w:t>
      </w:r>
      <w:r w:rsidR="00C036E9" w:rsidRPr="00A7631D">
        <w:rPr>
          <w:szCs w:val="26"/>
        </w:rPr>
        <w:t xml:space="preserve"> consider “whether anything caused defendant to </w:t>
      </w:r>
      <w:r w:rsidR="00C036E9" w:rsidRPr="00A7631D">
        <w:rPr>
          <w:rFonts w:hint="eastAsia"/>
          <w:szCs w:val="26"/>
        </w:rPr>
        <w:t>‘</w:t>
      </w:r>
      <w:r w:rsidR="00C036E9" w:rsidRPr="00A7631D">
        <w:rPr>
          <w:szCs w:val="26"/>
        </w:rPr>
        <w:t>stand out</w:t>
      </w:r>
      <w:r w:rsidR="00C036E9" w:rsidRPr="00A7631D">
        <w:rPr>
          <w:rFonts w:hint="eastAsia"/>
          <w:szCs w:val="26"/>
        </w:rPr>
        <w:t>’</w:t>
      </w:r>
      <w:r w:rsidR="00C036E9" w:rsidRPr="00A7631D">
        <w:rPr>
          <w:szCs w:val="26"/>
        </w:rPr>
        <w:t xml:space="preserve"> from the others in a way that would suggest the witness should select him.</w:t>
      </w:r>
      <w:r w:rsidR="00C036E9" w:rsidRPr="00A7631D">
        <w:rPr>
          <w:rFonts w:hint="eastAsia"/>
          <w:szCs w:val="26"/>
        </w:rPr>
        <w:t>”</w:t>
      </w:r>
      <w:r w:rsidR="00BB3F1D" w:rsidRPr="00A7631D">
        <w:rPr>
          <w:szCs w:val="26"/>
        </w:rPr>
        <w:t xml:space="preserve">  (</w:t>
      </w:r>
      <w:r w:rsidR="00BB3F1D" w:rsidRPr="00A7631D">
        <w:rPr>
          <w:i/>
          <w:iCs/>
          <w:szCs w:val="26"/>
        </w:rPr>
        <w:t>P</w:t>
      </w:r>
      <w:r w:rsidR="00C036E9" w:rsidRPr="00A7631D">
        <w:rPr>
          <w:i/>
          <w:iCs/>
          <w:szCs w:val="26"/>
          <w:bdr w:val="none" w:sz="0" w:space="0" w:color="auto" w:frame="1"/>
        </w:rPr>
        <w:t>eople v. Carpenter</w:t>
      </w:r>
      <w:r w:rsidR="00C036E9" w:rsidRPr="00A7631D">
        <w:rPr>
          <w:szCs w:val="26"/>
        </w:rPr>
        <w:t xml:space="preserve"> (1997) 15 Cal.4th 312, 367.)</w:t>
      </w:r>
      <w:r w:rsidR="00DF7BD2" w:rsidRPr="00A7631D">
        <w:rPr>
          <w:szCs w:val="26"/>
        </w:rPr>
        <w:t xml:space="preserve"> </w:t>
      </w:r>
      <w:r w:rsidR="0002343A" w:rsidRPr="00A7631D">
        <w:rPr>
          <w:szCs w:val="26"/>
        </w:rPr>
        <w:t xml:space="preserve"> </w:t>
      </w:r>
      <w:r w:rsidR="00842EDA" w:rsidRPr="00A7631D">
        <w:rPr>
          <w:szCs w:val="26"/>
        </w:rPr>
        <w:t>Standing out</w:t>
      </w:r>
      <w:r w:rsidR="00006C30" w:rsidRPr="00A7631D">
        <w:rPr>
          <w:szCs w:val="26"/>
        </w:rPr>
        <w:t xml:space="preserve"> requires more than the defendant </w:t>
      </w:r>
      <w:r w:rsidR="00730D13" w:rsidRPr="00A7631D">
        <w:rPr>
          <w:szCs w:val="26"/>
        </w:rPr>
        <w:t xml:space="preserve">potentially </w:t>
      </w:r>
      <w:r w:rsidR="00006C30" w:rsidRPr="00A7631D">
        <w:rPr>
          <w:szCs w:val="26"/>
        </w:rPr>
        <w:t>being a different race than others pictured or having a photo background slightly different than other images in the array.</w:t>
      </w:r>
      <w:r w:rsidR="00742C85" w:rsidRPr="00A7631D">
        <w:t xml:space="preserve">  </w:t>
      </w:r>
      <w:r w:rsidR="004E5815" w:rsidRPr="00A7631D">
        <w:t>(</w:t>
      </w:r>
      <w:r w:rsidR="004E5815" w:rsidRPr="00A7631D">
        <w:rPr>
          <w:i/>
          <w:iCs/>
        </w:rPr>
        <w:t>Clark</w:t>
      </w:r>
      <w:r w:rsidR="004E5815" w:rsidRPr="00A7631D">
        <w:t xml:space="preserve">, </w:t>
      </w:r>
      <w:r w:rsidR="004E5815" w:rsidRPr="00A7631D">
        <w:rPr>
          <w:i/>
          <w:iCs/>
        </w:rPr>
        <w:t>supra</w:t>
      </w:r>
      <w:r w:rsidR="004E5815" w:rsidRPr="00A7631D">
        <w:t>, 63 Cal.4th at pp. 556</w:t>
      </w:r>
      <w:r w:rsidR="001F7B25">
        <w:t>–</w:t>
      </w:r>
      <w:r w:rsidR="004E5815" w:rsidRPr="00A7631D">
        <w:t xml:space="preserve">558.) </w:t>
      </w:r>
      <w:r w:rsidR="004E5815" w:rsidRPr="00A7631D">
        <w:rPr>
          <w:i/>
          <w:iCs/>
        </w:rPr>
        <w:t xml:space="preserve"> </w:t>
      </w:r>
      <w:r w:rsidR="003240EC" w:rsidRPr="00A7631D">
        <w:t>We have noted that identifying “apparent racial or ethnic identity is something that is harder to quantify and agree on.”  (</w:t>
      </w:r>
      <w:r w:rsidR="003240EC" w:rsidRPr="00A7631D">
        <w:rPr>
          <w:i/>
          <w:iCs/>
        </w:rPr>
        <w:t>I</w:t>
      </w:r>
      <w:r w:rsidR="00704160">
        <w:rPr>
          <w:i/>
          <w:iCs/>
        </w:rPr>
        <w:t>d</w:t>
      </w:r>
      <w:r w:rsidR="003240EC" w:rsidRPr="00A7631D">
        <w:t>.</w:t>
      </w:r>
      <w:r w:rsidR="00704160">
        <w:t xml:space="preserve"> at p. 557.</w:t>
      </w:r>
      <w:r w:rsidR="003240EC" w:rsidRPr="00A7631D">
        <w:t xml:space="preserve">)  </w:t>
      </w:r>
      <w:r w:rsidR="000B71D6" w:rsidRPr="00A7631D">
        <w:t xml:space="preserve">In </w:t>
      </w:r>
      <w:r w:rsidR="000B71D6" w:rsidRPr="00A7631D">
        <w:rPr>
          <w:i/>
          <w:iCs/>
        </w:rPr>
        <w:t>Clark</w:t>
      </w:r>
      <w:r w:rsidR="000B71D6" w:rsidRPr="00A7631D">
        <w:t>, t</w:t>
      </w:r>
      <w:r w:rsidR="00B31AAF" w:rsidRPr="00A7631D">
        <w:t xml:space="preserve">he defendant was a </w:t>
      </w:r>
      <w:r w:rsidR="00742C85" w:rsidRPr="00A7631D">
        <w:t xml:space="preserve">light-skinned </w:t>
      </w:r>
      <w:r w:rsidR="00F74414" w:rsidRPr="00A7631D">
        <w:t>B</w:t>
      </w:r>
      <w:r w:rsidR="00742C85" w:rsidRPr="00A7631D">
        <w:t xml:space="preserve">lack man with a distinctively large mustache, </w:t>
      </w:r>
      <w:r w:rsidR="00B31AAF" w:rsidRPr="00A7631D">
        <w:t>and the other images in the six-pack showed</w:t>
      </w:r>
      <w:r w:rsidR="00742C85" w:rsidRPr="00A7631D">
        <w:t xml:space="preserve"> men of a similar complexion</w:t>
      </w:r>
      <w:r w:rsidR="00BB6EAA" w:rsidRPr="00A7631D">
        <w:t xml:space="preserve"> but a potentially different race, all</w:t>
      </w:r>
      <w:r w:rsidR="00742C85" w:rsidRPr="00A7631D">
        <w:t xml:space="preserve"> with similar facial hair.  </w:t>
      </w:r>
      <w:r w:rsidR="00B061BF" w:rsidRPr="00A7631D">
        <w:t>(</w:t>
      </w:r>
      <w:r w:rsidR="00B061BF" w:rsidRPr="00A7631D">
        <w:rPr>
          <w:i/>
          <w:iCs/>
        </w:rPr>
        <w:t>Ibid</w:t>
      </w:r>
      <w:r w:rsidR="00B061BF" w:rsidRPr="00A7631D">
        <w:t xml:space="preserve">.)  </w:t>
      </w:r>
      <w:r w:rsidR="00E214AE" w:rsidRPr="00A7631D">
        <w:t xml:space="preserve">We concluded in </w:t>
      </w:r>
      <w:r w:rsidR="00CB39C4" w:rsidRPr="00A7631D">
        <w:t>that case</w:t>
      </w:r>
      <w:r w:rsidR="00E214AE" w:rsidRPr="00A7631D">
        <w:t xml:space="preserve"> that nothing in the identification procedure made the witness select the defendant’s photograph from among the others, even accounting for the background tone and the potentially distinct races of those pictured.  (</w:t>
      </w:r>
      <w:r w:rsidR="00E214AE" w:rsidRPr="00A7631D">
        <w:rPr>
          <w:i/>
          <w:iCs/>
        </w:rPr>
        <w:t>Id.</w:t>
      </w:r>
      <w:r w:rsidR="00E214AE" w:rsidRPr="00A7631D">
        <w:t xml:space="preserve"> at p. 557.) </w:t>
      </w:r>
      <w:r w:rsidR="00BE03DA" w:rsidRPr="00A7631D">
        <w:t xml:space="preserve"> </w:t>
      </w:r>
      <w:r w:rsidR="00DB5157" w:rsidRPr="00A7631D">
        <w:t xml:space="preserve">We acknowledged </w:t>
      </w:r>
      <w:r w:rsidR="00F348DC" w:rsidRPr="00A7631D">
        <w:t>law enforcement</w:t>
      </w:r>
      <w:r w:rsidR="00DB5157" w:rsidRPr="00A7631D">
        <w:t xml:space="preserve"> faced a challenge in</w:t>
      </w:r>
      <w:r w:rsidR="0046566C" w:rsidRPr="00A7631D">
        <w:t xml:space="preserve"> finding images </w:t>
      </w:r>
      <w:r w:rsidR="00F348DC" w:rsidRPr="00A7631D">
        <w:t>similar to</w:t>
      </w:r>
      <w:r w:rsidR="0046566C" w:rsidRPr="00A7631D">
        <w:t xml:space="preserve"> the defendant’s and </w:t>
      </w:r>
      <w:r w:rsidR="00F37690" w:rsidRPr="00A7631D">
        <w:t xml:space="preserve">met it as best they </w:t>
      </w:r>
      <w:r w:rsidR="003252C6" w:rsidRPr="00A7631D">
        <w:t>could</w:t>
      </w:r>
      <w:r w:rsidR="00535FC9" w:rsidRPr="00A7631D">
        <w:t xml:space="preserve">.  </w:t>
      </w:r>
    </w:p>
    <w:p w14:paraId="66408613" w14:textId="11A62F21" w:rsidR="009773CF" w:rsidRPr="00A7631D" w:rsidRDefault="00D9520B" w:rsidP="00E23EC0">
      <w:pPr>
        <w:ind w:firstLine="720"/>
      </w:pPr>
      <w:r w:rsidRPr="00A7631D">
        <w:t xml:space="preserve">Like the six-pack shown to the witness in </w:t>
      </w:r>
      <w:r w:rsidRPr="00A7631D">
        <w:rPr>
          <w:i/>
          <w:iCs/>
        </w:rPr>
        <w:t>Clark</w:t>
      </w:r>
      <w:r w:rsidRPr="00A7631D">
        <w:t xml:space="preserve">, the images shown to Bowie all depicted men </w:t>
      </w:r>
      <w:r w:rsidR="00E1201B" w:rsidRPr="00A7631D">
        <w:t>with similar complexions</w:t>
      </w:r>
      <w:r w:rsidRPr="00A7631D">
        <w:t xml:space="preserve">. </w:t>
      </w:r>
      <w:r w:rsidR="001435BD" w:rsidRPr="00A7631D">
        <w:t xml:space="preserve"> (</w:t>
      </w:r>
      <w:r w:rsidR="001435BD" w:rsidRPr="00A7631D">
        <w:rPr>
          <w:i/>
          <w:iCs/>
        </w:rPr>
        <w:t>Clark</w:t>
      </w:r>
      <w:r w:rsidR="001435BD" w:rsidRPr="00A7631D">
        <w:t xml:space="preserve">, </w:t>
      </w:r>
      <w:r w:rsidR="001435BD" w:rsidRPr="00A7631D">
        <w:rPr>
          <w:i/>
          <w:iCs/>
        </w:rPr>
        <w:t>supra</w:t>
      </w:r>
      <w:r w:rsidR="001435BD" w:rsidRPr="00A7631D">
        <w:t>, 63 Cal.4th at p. 557.</w:t>
      </w:r>
      <w:r w:rsidR="00EF4225" w:rsidRPr="00A7631D">
        <w:t>)</w:t>
      </w:r>
      <w:r w:rsidR="00531C35" w:rsidRPr="00A7631D">
        <w:t xml:space="preserve"> </w:t>
      </w:r>
      <w:r w:rsidRPr="00A7631D">
        <w:t xml:space="preserve"> </w:t>
      </w:r>
      <w:r w:rsidR="005F60D7" w:rsidRPr="00A7631D">
        <w:t>Wilson</w:t>
      </w:r>
      <w:r w:rsidR="00911227" w:rsidRPr="00A7631D">
        <w:t xml:space="preserve">’s </w:t>
      </w:r>
      <w:r w:rsidR="00911227" w:rsidRPr="00A7631D">
        <w:lastRenderedPageBreak/>
        <w:t xml:space="preserve">concern is not </w:t>
      </w:r>
      <w:r w:rsidR="000360FA">
        <w:t xml:space="preserve">primarily </w:t>
      </w:r>
      <w:r w:rsidR="00911227" w:rsidRPr="00A7631D">
        <w:t xml:space="preserve">with the race of </w:t>
      </w:r>
      <w:r w:rsidR="00BD294B" w:rsidRPr="00A7631D">
        <w:t>the men depicted</w:t>
      </w:r>
      <w:r w:rsidR="00911227" w:rsidRPr="00A7631D">
        <w:t xml:space="preserve">, but </w:t>
      </w:r>
      <w:r w:rsidR="00E63D07" w:rsidRPr="00A7631D">
        <w:t xml:space="preserve">with </w:t>
      </w:r>
      <w:r w:rsidR="00911227" w:rsidRPr="00A7631D">
        <w:t>their facial expression;</w:t>
      </w:r>
      <w:r w:rsidR="00BD294B" w:rsidRPr="00A7631D">
        <w:t xml:space="preserve"> </w:t>
      </w:r>
      <w:r w:rsidR="00C02AB5" w:rsidRPr="00A7631D">
        <w:t>Wilson</w:t>
      </w:r>
      <w:r w:rsidR="008F190A" w:rsidRPr="00A7631D">
        <w:t xml:space="preserve"> </w:t>
      </w:r>
      <w:r w:rsidR="00E63D07" w:rsidRPr="00A7631D">
        <w:t xml:space="preserve">claims he </w:t>
      </w:r>
      <w:r w:rsidR="008F190A" w:rsidRPr="00A7631D">
        <w:t>was the only person smirking, and Bowie testified he knew Wilson by his s</w:t>
      </w:r>
      <w:r w:rsidR="00C02AB5" w:rsidRPr="00A7631D">
        <w:t xml:space="preserve">mirky grin.  </w:t>
      </w:r>
      <w:r w:rsidRPr="00A7631D">
        <w:t>Our review of the images does not reveal anything unique about the mouth shape i</w:t>
      </w:r>
      <w:r w:rsidR="006C385D" w:rsidRPr="00A7631D">
        <w:t xml:space="preserve">n </w:t>
      </w:r>
      <w:r w:rsidR="005F60D7" w:rsidRPr="00A7631D">
        <w:t>Wilson’s</w:t>
      </w:r>
      <w:r w:rsidR="006C385D" w:rsidRPr="00A7631D">
        <w:t xml:space="preserve"> </w:t>
      </w:r>
      <w:r w:rsidRPr="00A7631D">
        <w:t>photo</w:t>
      </w:r>
      <w:r w:rsidR="006C385D" w:rsidRPr="00A7631D">
        <w:t>, nor does the shape of his mouth appear distinctive compared to the other photographs.</w:t>
      </w:r>
      <w:r w:rsidR="009773CF" w:rsidRPr="00A7631D">
        <w:t xml:space="preserve">  </w:t>
      </w:r>
      <w:r w:rsidR="00BB4A0B" w:rsidRPr="00A7631D">
        <w:t>Even if it had</w:t>
      </w:r>
      <w:r w:rsidR="004A5CDC" w:rsidRPr="00A7631D">
        <w:t xml:space="preserve">, </w:t>
      </w:r>
      <w:r w:rsidR="00A916FE" w:rsidRPr="00A7631D">
        <w:t xml:space="preserve">the identification was not unduly suggestive </w:t>
      </w:r>
      <w:r w:rsidR="00076125" w:rsidRPr="00A7631D">
        <w:t>because</w:t>
      </w:r>
      <w:r w:rsidR="00C81770" w:rsidRPr="00A7631D">
        <w:t xml:space="preserve"> nothing</w:t>
      </w:r>
      <w:r w:rsidR="00615E68" w:rsidRPr="00A7631D">
        <w:t xml:space="preserve"> </w:t>
      </w:r>
      <w:r w:rsidR="00FD76D0" w:rsidRPr="00A7631D">
        <w:t>made defendant</w:t>
      </w:r>
      <w:r w:rsidR="00C81770" w:rsidRPr="00A7631D">
        <w:t xml:space="preserve"> </w:t>
      </w:r>
      <w:r w:rsidR="00FD76D0" w:rsidRPr="00A7631D">
        <w:t>“</w:t>
      </w:r>
      <w:r w:rsidR="00005707">
        <w:t> </w:t>
      </w:r>
      <w:r w:rsidR="00C81770" w:rsidRPr="00A7631D">
        <w:t>‘stand out’</w:t>
      </w:r>
      <w:r w:rsidR="00D17A52">
        <w:t> </w:t>
      </w:r>
      <w:r w:rsidR="00FD76D0" w:rsidRPr="00A7631D">
        <w:t>”</w:t>
      </w:r>
      <w:r w:rsidR="00C81770" w:rsidRPr="00A7631D">
        <w:t xml:space="preserve"> from </w:t>
      </w:r>
      <w:r w:rsidR="00FD76D0" w:rsidRPr="00A7631D">
        <w:t xml:space="preserve">the other </w:t>
      </w:r>
      <w:r w:rsidR="002360C3" w:rsidRPr="00A7631D">
        <w:t>men depicted.  (</w:t>
      </w:r>
      <w:r w:rsidR="002360C3" w:rsidRPr="00A7631D">
        <w:rPr>
          <w:i/>
          <w:iCs/>
        </w:rPr>
        <w:t>People v. Carpenter</w:t>
      </w:r>
      <w:r w:rsidR="002360C3" w:rsidRPr="00A7631D">
        <w:t xml:space="preserve">, </w:t>
      </w:r>
      <w:r w:rsidR="002360C3" w:rsidRPr="00A7631D">
        <w:rPr>
          <w:i/>
          <w:iCs/>
        </w:rPr>
        <w:t>supra</w:t>
      </w:r>
      <w:r w:rsidR="002360C3" w:rsidRPr="00A7631D">
        <w:t xml:space="preserve">, 15 Cal.4th at p. 367.)  </w:t>
      </w:r>
      <w:r w:rsidR="00A51D0D" w:rsidRPr="00A7631D">
        <w:t>As</w:t>
      </w:r>
      <w:r w:rsidR="004A6105" w:rsidRPr="00A7631D">
        <w:t xml:space="preserve"> i</w:t>
      </w:r>
      <w:r w:rsidR="00E90010" w:rsidRPr="00A7631D">
        <w:t xml:space="preserve">n </w:t>
      </w:r>
      <w:r w:rsidR="00E90010" w:rsidRPr="00A7631D">
        <w:rPr>
          <w:i/>
          <w:iCs/>
        </w:rPr>
        <w:t>Carpenter</w:t>
      </w:r>
      <w:r w:rsidR="00E90010" w:rsidRPr="00A7631D">
        <w:t xml:space="preserve">, </w:t>
      </w:r>
      <w:r w:rsidR="004A6105" w:rsidRPr="00A7631D">
        <w:t>Wilson “</w:t>
      </w:r>
      <w:r w:rsidR="00E90010" w:rsidRPr="00A7631D">
        <w:t xml:space="preserve">was neither the oldest nor the youngest of the </w:t>
      </w:r>
      <w:r w:rsidR="00101F78" w:rsidRPr="00A7631D">
        <w:t xml:space="preserve">[six-pack] </w:t>
      </w:r>
      <w:r w:rsidR="00E90010" w:rsidRPr="00A7631D">
        <w:t>participants, neither the tallest nor the shortest, neither the heaviest nor the lightest.</w:t>
      </w:r>
      <w:r w:rsidR="008F1948" w:rsidRPr="00A7631D">
        <w:t>”</w:t>
      </w:r>
      <w:r w:rsidR="00101F78" w:rsidRPr="00A7631D">
        <w:t xml:space="preserve">  (</w:t>
      </w:r>
      <w:r w:rsidR="00101F78" w:rsidRPr="00A7631D">
        <w:rPr>
          <w:i/>
          <w:iCs/>
        </w:rPr>
        <w:t>Ibid</w:t>
      </w:r>
      <w:r w:rsidR="00101F78" w:rsidRPr="00A7631D">
        <w:t xml:space="preserve">.)  </w:t>
      </w:r>
    </w:p>
    <w:p w14:paraId="65423A06" w14:textId="2068A64C" w:rsidR="00C626ED" w:rsidRPr="00A7631D" w:rsidRDefault="00D764D5" w:rsidP="00E23EC0">
      <w:pPr>
        <w:ind w:firstLine="720"/>
      </w:pPr>
      <w:r w:rsidRPr="00A7631D">
        <w:t xml:space="preserve">All of the men in </w:t>
      </w:r>
      <w:r w:rsidR="0049431E" w:rsidRPr="00A7631D">
        <w:t>defendant’s</w:t>
      </w:r>
      <w:r w:rsidRPr="00A7631D">
        <w:t xml:space="preserve"> six-pack were distinct in some respect from one another, with varying hairstyles and clothing</w:t>
      </w:r>
      <w:r w:rsidR="009C7617" w:rsidRPr="00A7631D">
        <w:t xml:space="preserve">, and each of the image backgrounds was somewhat </w:t>
      </w:r>
      <w:r w:rsidR="0049431E" w:rsidRPr="00A7631D">
        <w:t>different</w:t>
      </w:r>
      <w:r w:rsidR="009C7617" w:rsidRPr="00A7631D">
        <w:t>.  But</w:t>
      </w:r>
      <w:r w:rsidR="00076125" w:rsidRPr="00A7631D">
        <w:t xml:space="preserve"> “nothing in the lineup suggested that the witness should select defendant</w:t>
      </w:r>
      <w:r w:rsidR="00A916FE" w:rsidRPr="00A7631D">
        <w:t>.”</w:t>
      </w:r>
      <w:r w:rsidR="00F7495D" w:rsidRPr="00A7631D">
        <w:t xml:space="preserve">  </w:t>
      </w:r>
      <w:r w:rsidR="00076125" w:rsidRPr="00A7631D">
        <w:t>(</w:t>
      </w:r>
      <w:r w:rsidR="00F7495D" w:rsidRPr="00A7631D">
        <w:rPr>
          <w:i/>
          <w:iCs/>
        </w:rPr>
        <w:t>Peo</w:t>
      </w:r>
      <w:r w:rsidR="00076125" w:rsidRPr="00A7631D">
        <w:rPr>
          <w:i/>
          <w:iCs/>
        </w:rPr>
        <w:t>ple v. Gonzalez</w:t>
      </w:r>
      <w:r w:rsidR="00076125" w:rsidRPr="00A7631D">
        <w:t xml:space="preserve"> (</w:t>
      </w:r>
      <w:r w:rsidR="001D3237" w:rsidRPr="00A7631D">
        <w:t>2006) 38 Cal.4th 932, 943</w:t>
      </w:r>
      <w:r w:rsidR="00DB4915" w:rsidRPr="00A7631D">
        <w:t xml:space="preserve">.)  </w:t>
      </w:r>
      <w:r w:rsidR="000170A6" w:rsidRPr="00A7631D">
        <w:t xml:space="preserve">In </w:t>
      </w:r>
      <w:r w:rsidR="000170A6" w:rsidRPr="00A7631D">
        <w:rPr>
          <w:i/>
          <w:iCs/>
        </w:rPr>
        <w:t>Gonzalez</w:t>
      </w:r>
      <w:r w:rsidR="000170A6" w:rsidRPr="00A7631D">
        <w:t xml:space="preserve">, the </w:t>
      </w:r>
      <w:r w:rsidR="001D3237" w:rsidRPr="00A7631D">
        <w:t>defendant</w:t>
      </w:r>
      <w:r w:rsidR="000170A6" w:rsidRPr="00A7631D">
        <w:t xml:space="preserve"> claimed his identification from a photo array in which he was the only person with </w:t>
      </w:r>
      <w:r w:rsidR="00245920" w:rsidRPr="00A7631D">
        <w:t xml:space="preserve">a </w:t>
      </w:r>
      <w:r w:rsidR="00806717">
        <w:br/>
      </w:r>
      <w:r w:rsidR="00245920" w:rsidRPr="00A7631D">
        <w:t>“</w:t>
      </w:r>
      <w:r w:rsidR="00005707">
        <w:t> </w:t>
      </w:r>
      <w:r w:rsidR="00806717">
        <w:t>‘</w:t>
      </w:r>
      <w:r w:rsidR="00245920" w:rsidRPr="00A7631D">
        <w:t>droopy</w:t>
      </w:r>
      <w:r w:rsidR="00806717">
        <w:t>’</w:t>
      </w:r>
      <w:r w:rsidR="00D17A52">
        <w:t> </w:t>
      </w:r>
      <w:r w:rsidR="00245920" w:rsidRPr="00A7631D">
        <w:t>” eye,</w:t>
      </w:r>
      <w:r w:rsidR="001D3237" w:rsidRPr="00A7631D">
        <w:t xml:space="preserve"> </w:t>
      </w:r>
      <w:r w:rsidR="00245920" w:rsidRPr="00A7631D">
        <w:t>and whose photo had a discolored background</w:t>
      </w:r>
      <w:r w:rsidR="00D2247E" w:rsidRPr="00A7631D">
        <w:t>, was improper.  (</w:t>
      </w:r>
      <w:r w:rsidR="00D2247E" w:rsidRPr="00A7631D">
        <w:rPr>
          <w:i/>
          <w:iCs/>
        </w:rPr>
        <w:t>Ibid.</w:t>
      </w:r>
      <w:r w:rsidR="00D2247E" w:rsidRPr="00A7631D">
        <w:t xml:space="preserve">) </w:t>
      </w:r>
      <w:r w:rsidR="00D96153" w:rsidRPr="00A7631D">
        <w:t xml:space="preserve"> </w:t>
      </w:r>
      <w:r w:rsidR="00C1032C" w:rsidRPr="00A7631D">
        <w:t>Witnesses had not previously described the</w:t>
      </w:r>
      <w:r w:rsidR="00AD5DFC" w:rsidRPr="00A7631D">
        <w:t xml:space="preserve"> defendant as having a distinctive eye, </w:t>
      </w:r>
      <w:r w:rsidR="00EB0C9D" w:rsidRPr="00A7631D">
        <w:t>nor did we</w:t>
      </w:r>
      <w:r w:rsidR="006A5ED1" w:rsidRPr="00A7631D">
        <w:t xml:space="preserve"> find</w:t>
      </w:r>
      <w:r w:rsidR="00321A0D" w:rsidRPr="00A7631D">
        <w:t xml:space="preserve"> anything particularly unique about the defendant’s eye in the image.  (</w:t>
      </w:r>
      <w:r w:rsidR="00321A0D" w:rsidRPr="00A7631D">
        <w:rPr>
          <w:i/>
          <w:iCs/>
        </w:rPr>
        <w:t>Ibid</w:t>
      </w:r>
      <w:r w:rsidR="00321A0D" w:rsidRPr="00A7631D">
        <w:t xml:space="preserve">.)  </w:t>
      </w:r>
      <w:r w:rsidR="0097688D" w:rsidRPr="00A7631D">
        <w:t xml:space="preserve">We </w:t>
      </w:r>
      <w:r w:rsidR="009E4EF8" w:rsidRPr="00A7631D">
        <w:t>held</w:t>
      </w:r>
      <w:r w:rsidR="0097688D" w:rsidRPr="00A7631D">
        <w:t xml:space="preserve"> the identification </w:t>
      </w:r>
      <w:r w:rsidR="009E4EF8" w:rsidRPr="00A7631D">
        <w:t xml:space="preserve">was not </w:t>
      </w:r>
      <w:r w:rsidR="0097688D" w:rsidRPr="00A7631D">
        <w:t xml:space="preserve">unduly suggestive.  </w:t>
      </w:r>
      <w:r w:rsidR="009E4EF8" w:rsidRPr="00A7631D">
        <w:t>Likewise, here, a</w:t>
      </w:r>
      <w:r w:rsidR="00321A0D" w:rsidRPr="00A7631D">
        <w:t xml:space="preserve">lthough Bowie </w:t>
      </w:r>
      <w:proofErr w:type="gramStart"/>
      <w:r w:rsidR="00321A0D" w:rsidRPr="00A7631D">
        <w:t>testified</w:t>
      </w:r>
      <w:proofErr w:type="gramEnd"/>
      <w:r w:rsidR="00321A0D" w:rsidRPr="00A7631D">
        <w:t xml:space="preserve"> he was able to recognize Wilson by his smirk, </w:t>
      </w:r>
      <w:r w:rsidR="00C20C65" w:rsidRPr="00A7631D">
        <w:t>there was</w:t>
      </w:r>
      <w:r w:rsidR="00B93F01" w:rsidRPr="00A7631D">
        <w:t xml:space="preserve"> nothing</w:t>
      </w:r>
      <w:r w:rsidR="001A1A6C" w:rsidRPr="00A7631D">
        <w:t xml:space="preserve"> unique about </w:t>
      </w:r>
      <w:r w:rsidR="005F60D7" w:rsidRPr="00A7631D">
        <w:t>Wilson’s</w:t>
      </w:r>
      <w:r w:rsidR="001A1A6C" w:rsidRPr="00A7631D">
        <w:t xml:space="preserve"> mouth </w:t>
      </w:r>
      <w:r w:rsidR="00401360" w:rsidRPr="00A7631D">
        <w:t xml:space="preserve">readily visible </w:t>
      </w:r>
      <w:r w:rsidR="008C2F6E" w:rsidRPr="00A7631D">
        <w:t>in the image.  (</w:t>
      </w:r>
      <w:r w:rsidR="008C2F6E" w:rsidRPr="00A7631D">
        <w:rPr>
          <w:i/>
          <w:iCs/>
        </w:rPr>
        <w:t>Ibid</w:t>
      </w:r>
      <w:r w:rsidR="008C2F6E" w:rsidRPr="00A7631D">
        <w:t>.)</w:t>
      </w:r>
      <w:r w:rsidR="006F3A6D" w:rsidRPr="00A7631D">
        <w:t xml:space="preserve">  To the extent Wilson’s mouth shape was distinct from the other individuals depicted, we have acknowledged all humans appear somewhat different fr</w:t>
      </w:r>
      <w:r w:rsidR="002B7FC3" w:rsidRPr="00A7631D">
        <w:t>o</w:t>
      </w:r>
      <w:r w:rsidR="006F3A6D" w:rsidRPr="00A7631D">
        <w:t>m one another.  (</w:t>
      </w:r>
      <w:r w:rsidR="006F3A6D" w:rsidRPr="00A7631D">
        <w:rPr>
          <w:i/>
          <w:iCs/>
        </w:rPr>
        <w:t>People v. Lucas</w:t>
      </w:r>
      <w:r w:rsidR="006F3A6D" w:rsidRPr="00A7631D">
        <w:t xml:space="preserve"> (2014) 60 Cal.4th </w:t>
      </w:r>
      <w:r w:rsidR="00CA590E" w:rsidRPr="00A7631D">
        <w:t>153, 237</w:t>
      </w:r>
      <w:r w:rsidR="00B93F01" w:rsidRPr="00A7631D">
        <w:t>; see also</w:t>
      </w:r>
      <w:r w:rsidR="00B93F01" w:rsidRPr="00A7631D">
        <w:rPr>
          <w:i/>
          <w:iCs/>
        </w:rPr>
        <w:t xml:space="preserve"> People v. Carpenter</w:t>
      </w:r>
      <w:r w:rsidR="00B93F01" w:rsidRPr="00A7631D">
        <w:t xml:space="preserve">, </w:t>
      </w:r>
      <w:r w:rsidR="00B93F01" w:rsidRPr="00A7631D">
        <w:rPr>
          <w:i/>
          <w:iCs/>
        </w:rPr>
        <w:t>supra</w:t>
      </w:r>
      <w:r w:rsidR="00B93F01" w:rsidRPr="00A7631D">
        <w:t xml:space="preserve">, 15 </w:t>
      </w:r>
      <w:r w:rsidR="00B93F01" w:rsidRPr="00A7631D">
        <w:lastRenderedPageBreak/>
        <w:t>Cal.4th at p. 367</w:t>
      </w:r>
      <w:r w:rsidR="004D292B" w:rsidRPr="00A7631D">
        <w:t xml:space="preserve"> [“Because human beings do not look exactly alike, differences are inevitable”</w:t>
      </w:r>
      <w:r w:rsidR="00395CC1" w:rsidRPr="00A7631D">
        <w:t>]</w:t>
      </w:r>
      <w:r w:rsidR="00CA590E" w:rsidRPr="00A7631D">
        <w:t xml:space="preserve">.)  </w:t>
      </w:r>
      <w:r w:rsidR="006542EC" w:rsidRPr="00A7631D">
        <w:t>B</w:t>
      </w:r>
      <w:r w:rsidR="00A536A9" w:rsidRPr="00A7631D">
        <w:t xml:space="preserve">ecause </w:t>
      </w:r>
      <w:r w:rsidR="00B24F45" w:rsidRPr="00A7631D">
        <w:t>nothing made Wilson</w:t>
      </w:r>
      <w:r w:rsidR="00520A48" w:rsidRPr="00A7631D">
        <w:t>’s image</w:t>
      </w:r>
      <w:r w:rsidR="00B24F45" w:rsidRPr="00A7631D">
        <w:t xml:space="preserve"> stand out</w:t>
      </w:r>
      <w:r w:rsidR="00A536A9" w:rsidRPr="00A7631D">
        <w:t xml:space="preserve">, </w:t>
      </w:r>
      <w:r w:rsidR="00F2089B" w:rsidRPr="00A7631D">
        <w:t>we conclude the identification was not impermissibly suggestive</w:t>
      </w:r>
      <w:r w:rsidR="00F47A63" w:rsidRPr="00A7631D">
        <w:t>.  (</w:t>
      </w:r>
      <w:r w:rsidR="00630754" w:rsidRPr="00A7631D">
        <w:rPr>
          <w:i/>
          <w:iCs/>
        </w:rPr>
        <w:t>Gonzalez</w:t>
      </w:r>
      <w:r w:rsidR="00630754" w:rsidRPr="00A7631D">
        <w:t xml:space="preserve">, at p. 943; </w:t>
      </w:r>
      <w:r w:rsidR="00630754" w:rsidRPr="00A7631D">
        <w:rPr>
          <w:i/>
          <w:iCs/>
        </w:rPr>
        <w:t>Carpenter</w:t>
      </w:r>
      <w:r w:rsidR="00630754" w:rsidRPr="00A7631D">
        <w:t>, at p. 367</w:t>
      </w:r>
      <w:r w:rsidR="00F47A63" w:rsidRPr="00A7631D">
        <w:t xml:space="preserve">.)  </w:t>
      </w:r>
    </w:p>
    <w:p w14:paraId="3733C116" w14:textId="2716A1AD" w:rsidR="00C07301" w:rsidRPr="00A7631D" w:rsidRDefault="008F3C43" w:rsidP="00A7631D">
      <w:pPr>
        <w:ind w:firstLine="720"/>
      </w:pPr>
      <w:r w:rsidRPr="00A7631D">
        <w:t>Wilson also argues Brown’s identification</w:t>
      </w:r>
      <w:r w:rsidR="00BE2B0A" w:rsidRPr="00A7631D">
        <w:t xml:space="preserve"> w</w:t>
      </w:r>
      <w:r w:rsidR="000C739B" w:rsidRPr="00A7631D">
        <w:t>as</w:t>
      </w:r>
      <w:r w:rsidR="00BE2B0A" w:rsidRPr="00A7631D">
        <w:t xml:space="preserve"> unreliable</w:t>
      </w:r>
      <w:r w:rsidR="00812495" w:rsidRPr="00A7631D">
        <w:t xml:space="preserve">.  </w:t>
      </w:r>
      <w:r w:rsidR="000004F0" w:rsidRPr="00A7631D">
        <w:t xml:space="preserve">To evaluate </w:t>
      </w:r>
      <w:r w:rsidR="00F26AD5">
        <w:t>this argument</w:t>
      </w:r>
      <w:r w:rsidR="000004F0" w:rsidRPr="00A7631D">
        <w:t xml:space="preserve">, “we consider (1) whether the identification procedure was unduly suggestive and unnecessary, and, if so, (2) whether the identification itself was nevertheless </w:t>
      </w:r>
      <w:proofErr w:type="gramStart"/>
      <w:r w:rsidR="000004F0" w:rsidRPr="00A7631D">
        <w:t>reliable</w:t>
      </w:r>
      <w:proofErr w:type="gramEnd"/>
      <w:r w:rsidR="000004F0" w:rsidRPr="00A7631D">
        <w:t xml:space="preserve"> under the totality of the circumstances.”</w:t>
      </w:r>
      <w:r w:rsidR="000004F0" w:rsidRPr="00E02E5C">
        <w:rPr>
          <w:i/>
        </w:rPr>
        <w:t xml:space="preserve">  </w:t>
      </w:r>
      <w:r w:rsidR="000004F0" w:rsidRPr="00A7631D">
        <w:t>(</w:t>
      </w:r>
      <w:r w:rsidR="000004F0" w:rsidRPr="00A7631D">
        <w:rPr>
          <w:i/>
          <w:iCs/>
        </w:rPr>
        <w:t>People v. Cunningham</w:t>
      </w:r>
      <w:r w:rsidR="008F43B6">
        <w:t xml:space="preserve">, </w:t>
      </w:r>
      <w:r w:rsidR="008F43B6" w:rsidRPr="008F43B6">
        <w:rPr>
          <w:i/>
          <w:iCs/>
        </w:rPr>
        <w:t>supra</w:t>
      </w:r>
      <w:r w:rsidR="008F43B6">
        <w:t xml:space="preserve">, </w:t>
      </w:r>
      <w:r w:rsidR="000004F0" w:rsidRPr="00A7631D">
        <w:t xml:space="preserve">25 Cal.4th </w:t>
      </w:r>
      <w:r w:rsidR="008F43B6">
        <w:t>at p.</w:t>
      </w:r>
      <w:r w:rsidR="000004F0" w:rsidRPr="00A7631D">
        <w:t xml:space="preserve"> 989.)  </w:t>
      </w:r>
      <w:r w:rsidR="00E6499D">
        <w:t xml:space="preserve">Because we did not find </w:t>
      </w:r>
      <w:r w:rsidR="006D292A">
        <w:t>the identification</w:t>
      </w:r>
      <w:r w:rsidR="006D292A" w:rsidRPr="00A7631D">
        <w:t xml:space="preserve"> </w:t>
      </w:r>
      <w:r w:rsidR="006D292A">
        <w:t>procedure unduly suggestive</w:t>
      </w:r>
      <w:r w:rsidR="00E6499D">
        <w:t>,</w:t>
      </w:r>
      <w:r w:rsidR="006D292A">
        <w:t xml:space="preserve"> we turn next to whether the identification itself was </w:t>
      </w:r>
      <w:proofErr w:type="gramStart"/>
      <w:r w:rsidR="006D292A">
        <w:t>reliable</w:t>
      </w:r>
      <w:proofErr w:type="gramEnd"/>
      <w:r w:rsidR="006D292A">
        <w:t xml:space="preserve"> under a totality of the circumstances.  We conclude </w:t>
      </w:r>
      <w:r w:rsidR="00E6499D">
        <w:t xml:space="preserve">that </w:t>
      </w:r>
      <w:r w:rsidR="006D292A">
        <w:t>it was.</w:t>
      </w:r>
      <w:r w:rsidR="000004F0" w:rsidRPr="00A7631D">
        <w:t xml:space="preserve">  </w:t>
      </w:r>
    </w:p>
    <w:p w14:paraId="140C9776" w14:textId="4DDC6B41" w:rsidR="00D3587D" w:rsidRPr="00A7631D" w:rsidRDefault="00812495" w:rsidP="00E02E5C">
      <w:pPr>
        <w:ind w:firstLine="720"/>
      </w:pPr>
      <w:r w:rsidRPr="00A7631D">
        <w:t>Brown did not positively identify Wilson during the photo lineup</w:t>
      </w:r>
      <w:r w:rsidR="000C739B" w:rsidRPr="00A7631D">
        <w:t xml:space="preserve"> that contained his </w:t>
      </w:r>
      <w:proofErr w:type="gramStart"/>
      <w:r w:rsidR="000C739B" w:rsidRPr="00A7631D">
        <w:t>image</w:t>
      </w:r>
      <w:r w:rsidRPr="00A7631D">
        <w:t>, but</w:t>
      </w:r>
      <w:proofErr w:type="gramEnd"/>
      <w:r w:rsidRPr="00A7631D">
        <w:t xml:space="preserve"> said the image of Wilson most closely res</w:t>
      </w:r>
      <w:r w:rsidR="006A4EA4" w:rsidRPr="00A7631D">
        <w:t xml:space="preserve">embled the skin tone of the man who drove away in Dunn’s El Camino.  </w:t>
      </w:r>
      <w:r w:rsidR="009A168A" w:rsidRPr="00A7631D">
        <w:t>Brown</w:t>
      </w:r>
      <w:r w:rsidR="00A83940" w:rsidRPr="00A7631D">
        <w:t xml:space="preserve"> acknowledge</w:t>
      </w:r>
      <w:r w:rsidR="00690B72" w:rsidRPr="00A7631D">
        <w:t>d</w:t>
      </w:r>
      <w:r w:rsidR="00A83940" w:rsidRPr="00A7631D">
        <w:t xml:space="preserve"> at that time he did not get a good look at </w:t>
      </w:r>
      <w:r w:rsidR="0052788F" w:rsidRPr="00A7631D">
        <w:t>the driver</w:t>
      </w:r>
      <w:r w:rsidR="00A83940" w:rsidRPr="00A7631D">
        <w:t xml:space="preserve">.  </w:t>
      </w:r>
      <w:r w:rsidR="0052788F" w:rsidRPr="00A7631D">
        <w:t xml:space="preserve">Brown had selected an image at a prior </w:t>
      </w:r>
      <w:r w:rsidR="001B7C95" w:rsidRPr="00A7631D">
        <w:t xml:space="preserve">photo </w:t>
      </w:r>
      <w:r w:rsidR="0052788F" w:rsidRPr="00A7631D">
        <w:t xml:space="preserve">lineup, but the person selected was not Wilson.  </w:t>
      </w:r>
      <w:r w:rsidR="00497D9D" w:rsidRPr="00A7631D">
        <w:t xml:space="preserve">Following his tepid identification of </w:t>
      </w:r>
      <w:r w:rsidR="0082458F" w:rsidRPr="00A7631D">
        <w:t xml:space="preserve">a person who resembled the driver, </w:t>
      </w:r>
      <w:r w:rsidR="00497D9D" w:rsidRPr="00A7631D">
        <w:t>Wilson</w:t>
      </w:r>
      <w:r w:rsidR="0082458F" w:rsidRPr="00A7631D">
        <w:t>,</w:t>
      </w:r>
      <w:r w:rsidR="00497D9D" w:rsidRPr="00A7631D">
        <w:t xml:space="preserve"> in a photographic lineup, </w:t>
      </w:r>
      <w:r w:rsidR="006A4EA4" w:rsidRPr="00A7631D">
        <w:t xml:space="preserve">Brown briefly saw Wilson and Pops </w:t>
      </w:r>
      <w:r w:rsidR="0070156B" w:rsidRPr="00A7631D">
        <w:t xml:space="preserve">when he appeared for </w:t>
      </w:r>
      <w:r w:rsidR="00954587" w:rsidRPr="00A7631D">
        <w:t>a</w:t>
      </w:r>
      <w:r w:rsidR="0070156B" w:rsidRPr="00A7631D">
        <w:t xml:space="preserve"> </w:t>
      </w:r>
      <w:r w:rsidR="00954587" w:rsidRPr="00A7631D">
        <w:t>continuance</w:t>
      </w:r>
      <w:r w:rsidR="0070156B" w:rsidRPr="00A7631D">
        <w:t xml:space="preserve"> hearing in May.  </w:t>
      </w:r>
      <w:r w:rsidR="000352F8" w:rsidRPr="00A7631D">
        <w:t>A</w:t>
      </w:r>
      <w:r w:rsidR="00234942" w:rsidRPr="00A7631D">
        <w:t xml:space="preserve"> month </w:t>
      </w:r>
      <w:r w:rsidR="00E66E41" w:rsidRPr="00A7631D">
        <w:t>later</w:t>
      </w:r>
      <w:r w:rsidR="000352F8" w:rsidRPr="00A7631D">
        <w:t xml:space="preserve">, Brown participated in a </w:t>
      </w:r>
      <w:r w:rsidR="00A83940" w:rsidRPr="00A7631D">
        <w:t>live lineup</w:t>
      </w:r>
      <w:r w:rsidR="00E66E41" w:rsidRPr="00A7631D">
        <w:t>.  He did not positive</w:t>
      </w:r>
      <w:r w:rsidR="00E02E5C">
        <w:t>ly</w:t>
      </w:r>
      <w:r w:rsidR="00E66E41" w:rsidRPr="00A7631D">
        <w:t xml:space="preserve"> identify Wilson, but indicated </w:t>
      </w:r>
      <w:r w:rsidR="000C100D" w:rsidRPr="00A7631D">
        <w:t>he most closely resembled the person Brown saw</w:t>
      </w:r>
      <w:r w:rsidR="00E66E41" w:rsidRPr="00A7631D">
        <w:t xml:space="preserve"> driving the El Camino, acknowledging he</w:t>
      </w:r>
      <w:r w:rsidR="000C100D" w:rsidRPr="00A7631D">
        <w:t xml:space="preserve"> did not get a good look at the driver</w:t>
      </w:r>
      <w:r w:rsidR="00D10069" w:rsidRPr="00A7631D">
        <w:t xml:space="preserve"> and saw him from the back</w:t>
      </w:r>
      <w:r w:rsidR="000C100D" w:rsidRPr="00A7631D">
        <w:t xml:space="preserve">.  </w:t>
      </w:r>
      <w:r w:rsidR="00D10069" w:rsidRPr="00A7631D">
        <w:t>At the preliminary hearing, Brown again noted that</w:t>
      </w:r>
      <w:r w:rsidR="00697601" w:rsidRPr="00A7631D">
        <w:t xml:space="preserve"> — of the two defendants —</w:t>
      </w:r>
      <w:r w:rsidR="00D10069" w:rsidRPr="00A7631D">
        <w:t xml:space="preserve"> Wilson most closely resembled the El Camino driver, although he was unable to view that person from the front.</w:t>
      </w:r>
    </w:p>
    <w:p w14:paraId="183EB99B" w14:textId="5F2B9D34" w:rsidR="005A5A79" w:rsidRPr="00A7631D" w:rsidRDefault="005A5A79" w:rsidP="00A7631D">
      <w:pPr>
        <w:ind w:firstLine="720"/>
      </w:pPr>
      <w:r w:rsidRPr="00A7631D">
        <w:lastRenderedPageBreak/>
        <w:t>Wilson argues that Brown’s photo identification was unreliable because</w:t>
      </w:r>
      <w:r w:rsidR="009C0005" w:rsidRPr="00A7631D">
        <w:t xml:space="preserve">, after failing to select an image of </w:t>
      </w:r>
      <w:r w:rsidRPr="00A7631D">
        <w:t>Wilson</w:t>
      </w:r>
      <w:r w:rsidR="009C0005" w:rsidRPr="00A7631D">
        <w:t xml:space="preserve"> during two photo lineups,</w:t>
      </w:r>
      <w:r w:rsidRPr="00A7631D">
        <w:t xml:space="preserve"> his participation in a subsequent photo lineup </w:t>
      </w:r>
      <w:r w:rsidR="00303EC0" w:rsidRPr="00A7631D">
        <w:t>implied to Brown that</w:t>
      </w:r>
      <w:r w:rsidRPr="00A7631D">
        <w:t xml:space="preserve"> he failed to identify the proper suspect initially.  </w:t>
      </w:r>
      <w:r w:rsidR="000E5C6D" w:rsidRPr="00A7631D">
        <w:t>W</w:t>
      </w:r>
      <w:r w:rsidRPr="00A7631D">
        <w:t>e have previously concluded a witness viewing multiple photo lineups and making an identification each time was not the product of unduly suggestive procedure</w:t>
      </w:r>
      <w:r w:rsidR="001A14B8" w:rsidRPr="00A7631D">
        <w:t xml:space="preserve"> and conclude that is true here</w:t>
      </w:r>
      <w:r w:rsidRPr="00A7631D">
        <w:t xml:space="preserve">.  (See, e.g., </w:t>
      </w:r>
      <w:r w:rsidRPr="00A7631D">
        <w:rPr>
          <w:i/>
          <w:iCs/>
        </w:rPr>
        <w:t>People v. Johnson</w:t>
      </w:r>
      <w:r w:rsidRPr="00A7631D">
        <w:t xml:space="preserve"> (1992) 3 Cal.4th 1183, 1213</w:t>
      </w:r>
      <w:r w:rsidR="001F7B25">
        <w:t>–</w:t>
      </w:r>
      <w:r w:rsidRPr="00A7631D">
        <w:t>1218.)  Brown viewed several photographic lineups</w:t>
      </w:r>
      <w:r w:rsidR="00761564" w:rsidRPr="00A7631D">
        <w:t>, did not positively identify Wilson in any of them</w:t>
      </w:r>
      <w:r w:rsidR="000805EF" w:rsidRPr="00A7631D">
        <w:t xml:space="preserve"> — although he twice noted </w:t>
      </w:r>
      <w:r w:rsidR="000B7E2D" w:rsidRPr="00A7631D">
        <w:t>images</w:t>
      </w:r>
      <w:r w:rsidR="000805EF" w:rsidRPr="00A7631D">
        <w:t xml:space="preserve"> resembled the person he saw</w:t>
      </w:r>
      <w:r w:rsidR="000B7E2D" w:rsidRPr="00A7631D">
        <w:t xml:space="preserve">, one of which depicted Wilson — </w:t>
      </w:r>
      <w:r w:rsidR="00761564" w:rsidRPr="00A7631D">
        <w:t xml:space="preserve">and </w:t>
      </w:r>
      <w:r w:rsidR="006D410D" w:rsidRPr="00A7631D">
        <w:t xml:space="preserve">was given no indication </w:t>
      </w:r>
      <w:r w:rsidR="000B7E2D" w:rsidRPr="00A7631D">
        <w:t>that he failed</w:t>
      </w:r>
      <w:r w:rsidR="000805EF" w:rsidRPr="00A7631D">
        <w:t xml:space="preserve"> select the correct image</w:t>
      </w:r>
      <w:r w:rsidR="000B7E2D" w:rsidRPr="00A7631D">
        <w:t>.</w:t>
      </w:r>
      <w:r w:rsidR="00AD2854" w:rsidRPr="00A7631D">
        <w:t xml:space="preserve">  </w:t>
      </w:r>
      <w:r w:rsidR="00FF5660" w:rsidRPr="00A7631D">
        <w:t>We conclude the procedure used in the photographic lineup was not unduly suggestive and unnecessary.</w:t>
      </w:r>
      <w:r w:rsidR="000B7E2D" w:rsidRPr="00A7631D">
        <w:t xml:space="preserve"> </w:t>
      </w:r>
    </w:p>
    <w:p w14:paraId="0568ABC4" w14:textId="7C9273A9" w:rsidR="00D20300" w:rsidRPr="00A7631D" w:rsidRDefault="00B52A06" w:rsidP="00B977D5">
      <w:pPr>
        <w:ind w:firstLine="720"/>
      </w:pPr>
      <w:r w:rsidRPr="00A7631D">
        <w:t xml:space="preserve">Wilson also </w:t>
      </w:r>
      <w:r w:rsidR="00BC119F">
        <w:t>contends</w:t>
      </w:r>
      <w:r w:rsidRPr="00A7631D">
        <w:t xml:space="preserve"> that the passage of time between the crime and his participation in the live lineup rendered it unreliable.  </w:t>
      </w:r>
      <w:r w:rsidR="00BB6EAE" w:rsidRPr="00A7631D">
        <w:t xml:space="preserve">The Attorney General assumes for the sake of argument, as do we, that Brown’s brief sighting of Wilson </w:t>
      </w:r>
      <w:r w:rsidR="00B039B8" w:rsidRPr="00A7631D">
        <w:t>at the continuance hearing rendered</w:t>
      </w:r>
      <w:r w:rsidR="00BB6EAE" w:rsidRPr="00A7631D">
        <w:t xml:space="preserve"> </w:t>
      </w:r>
      <w:r w:rsidR="00A24006" w:rsidRPr="00A7631D">
        <w:t xml:space="preserve">the subsequent live lineup </w:t>
      </w:r>
      <w:r w:rsidR="00B039B8" w:rsidRPr="00A7631D">
        <w:t>“</w:t>
      </w:r>
      <w:r w:rsidR="00BB6EAE" w:rsidRPr="00A7631D">
        <w:t>suggestive to some degree</w:t>
      </w:r>
      <w:r w:rsidR="00A24006" w:rsidRPr="00A7631D">
        <w:t>.”</w:t>
      </w:r>
      <w:r w:rsidR="00BB6EAE" w:rsidRPr="00A7631D">
        <w:t xml:space="preserve">  Even where an identification </w:t>
      </w:r>
      <w:r w:rsidR="00224384" w:rsidRPr="00A7631D">
        <w:t xml:space="preserve">procedure </w:t>
      </w:r>
      <w:r w:rsidR="00BB6EAE" w:rsidRPr="00A7631D">
        <w:t>is</w:t>
      </w:r>
      <w:r w:rsidR="00224384" w:rsidRPr="00A7631D">
        <w:t xml:space="preserve"> </w:t>
      </w:r>
      <w:r w:rsidR="00BB6EAE" w:rsidRPr="00A7631D">
        <w:t xml:space="preserve">suggestive, we will find no due process violation if it was </w:t>
      </w:r>
      <w:proofErr w:type="gramStart"/>
      <w:r w:rsidR="00BB6EAE" w:rsidRPr="00A7631D">
        <w:t>reliable</w:t>
      </w:r>
      <w:proofErr w:type="gramEnd"/>
      <w:r w:rsidR="00BB6EAE" w:rsidRPr="00A7631D">
        <w:t xml:space="preserve"> under a totality of the circumstances</w:t>
      </w:r>
      <w:r w:rsidR="00224384" w:rsidRPr="00A7631D">
        <w:t>, as Brown’s hesitant identification of Wilson was.</w:t>
      </w:r>
      <w:r w:rsidR="00BB6EAE" w:rsidRPr="00A7631D">
        <w:t xml:space="preserve">  (</w:t>
      </w:r>
      <w:r w:rsidR="00BB6EAE" w:rsidRPr="00A7631D">
        <w:rPr>
          <w:i/>
          <w:iCs/>
        </w:rPr>
        <w:t>Clark</w:t>
      </w:r>
      <w:r w:rsidR="00BB6EAE" w:rsidRPr="00A7631D">
        <w:t xml:space="preserve">, </w:t>
      </w:r>
      <w:r w:rsidR="00BB6EAE" w:rsidRPr="00A7631D">
        <w:rPr>
          <w:i/>
          <w:iCs/>
        </w:rPr>
        <w:t>supra</w:t>
      </w:r>
      <w:r w:rsidR="00BB6EAE" w:rsidRPr="00A7631D">
        <w:t xml:space="preserve">, 63 Cal.4th at p. 556.)  </w:t>
      </w:r>
      <w:r w:rsidR="004E6BB4" w:rsidRPr="00A7631D">
        <w:t>Th</w:t>
      </w:r>
      <w:r w:rsidR="00C6417B" w:rsidRPr="00A7631D">
        <w:t>e</w:t>
      </w:r>
      <w:r w:rsidR="004E6BB4" w:rsidRPr="00A7631D">
        <w:t xml:space="preserve"> circumstances</w:t>
      </w:r>
      <w:r w:rsidR="00C6417B" w:rsidRPr="00A7631D">
        <w:t xml:space="preserve"> we evaluate</w:t>
      </w:r>
      <w:r w:rsidR="004E6BB4" w:rsidRPr="00A7631D">
        <w:t xml:space="preserve"> include </w:t>
      </w:r>
      <w:r w:rsidR="00B15051" w:rsidRPr="00A7631D">
        <w:t xml:space="preserve">how well </w:t>
      </w:r>
      <w:r w:rsidR="00DB64D4" w:rsidRPr="00A7631D">
        <w:t xml:space="preserve">and attentively </w:t>
      </w:r>
      <w:r w:rsidR="00B15051" w:rsidRPr="00A7631D">
        <w:t>the witness viewed the suspect</w:t>
      </w:r>
      <w:r w:rsidR="00DB64D4" w:rsidRPr="00A7631D">
        <w:t>, the accuracy of a</w:t>
      </w:r>
      <w:r w:rsidR="003C100A" w:rsidRPr="00A7631D">
        <w:t>ny</w:t>
      </w:r>
      <w:r w:rsidR="00DB64D4" w:rsidRPr="00A7631D">
        <w:t xml:space="preserve"> prior description, how </w:t>
      </w:r>
      <w:r w:rsidR="00095D90" w:rsidRPr="00A7631D">
        <w:t xml:space="preserve">much time passed between the offense and identification, and the witness’s degree of certainty — all weighed against the “corrupting effect” of the </w:t>
      </w:r>
      <w:r w:rsidR="00D73226" w:rsidRPr="00A7631D">
        <w:t>identification</w:t>
      </w:r>
      <w:r w:rsidR="00095D90" w:rsidRPr="00A7631D">
        <w:t>.  (</w:t>
      </w:r>
      <w:r w:rsidR="00B15051" w:rsidRPr="00A7631D">
        <w:rPr>
          <w:i/>
          <w:iCs/>
        </w:rPr>
        <w:t>People v. Sanchez</w:t>
      </w:r>
      <w:r w:rsidR="00B15051" w:rsidRPr="00A7631D">
        <w:t xml:space="preserve">, </w:t>
      </w:r>
      <w:r w:rsidR="00B15051" w:rsidRPr="00A7631D">
        <w:rPr>
          <w:i/>
          <w:iCs/>
        </w:rPr>
        <w:t>supra</w:t>
      </w:r>
      <w:r w:rsidR="00B15051" w:rsidRPr="00A7631D">
        <w:t>, 7 Cal.5th at p. 36.)</w:t>
      </w:r>
      <w:r w:rsidR="004E6BB4" w:rsidRPr="00A7631D">
        <w:t xml:space="preserve">  </w:t>
      </w:r>
    </w:p>
    <w:p w14:paraId="4765BB0B" w14:textId="1461231E" w:rsidR="005335B6" w:rsidRPr="00A7631D" w:rsidRDefault="00197EC0" w:rsidP="00C058B4">
      <w:pPr>
        <w:ind w:firstLine="720"/>
      </w:pPr>
      <w:r w:rsidRPr="00A7631D">
        <w:lastRenderedPageBreak/>
        <w:t xml:space="preserve">Wilson argues that the passage of several months between the crime and the live lineup </w:t>
      </w:r>
      <w:r w:rsidR="00A56BF7" w:rsidRPr="00A7631D">
        <w:t xml:space="preserve">rendered the identification unreliable.  </w:t>
      </w:r>
      <w:r w:rsidR="00A35031" w:rsidRPr="00A7631D">
        <w:t xml:space="preserve">Brown’s </w:t>
      </w:r>
      <w:r w:rsidR="00675B70" w:rsidRPr="00A7631D">
        <w:t xml:space="preserve"> </w:t>
      </w:r>
      <w:r w:rsidR="007F16FB" w:rsidRPr="00A7631D">
        <w:t>identifications at the live lineup and preliminary hearing were uncertain; in both instances he indicated that, of the choices available, Wilson most closely resembled the man he saw</w:t>
      </w:r>
      <w:r w:rsidR="00E85C45" w:rsidRPr="00A7631D">
        <w:t xml:space="preserve"> because his complexion was closest</w:t>
      </w:r>
      <w:r w:rsidR="007F16FB" w:rsidRPr="00A7631D">
        <w:t>.</w:t>
      </w:r>
      <w:r w:rsidR="00DA3523" w:rsidRPr="00A7631D">
        <w:t xml:space="preserve">  </w:t>
      </w:r>
      <w:r w:rsidR="002F4EAE" w:rsidRPr="00A7631D">
        <w:t>Brown acknowledged he was unable to carefully observe the El Camino’s driver</w:t>
      </w:r>
      <w:r w:rsidR="00B35115" w:rsidRPr="00A7631D">
        <w:t xml:space="preserve">, and he provided no contemporaneous description of that person.  </w:t>
      </w:r>
      <w:r w:rsidR="00FE3F57">
        <w:t>Brown’s</w:t>
      </w:r>
      <w:r w:rsidR="00293353" w:rsidRPr="00A7631D">
        <w:t xml:space="preserve"> failure to definitively identify Wilson at the live lineup</w:t>
      </w:r>
      <w:r w:rsidR="00604573">
        <w:t>, even after seeing Wilson in person and in a photograph,</w:t>
      </w:r>
      <w:r w:rsidR="00206488">
        <w:t xml:space="preserve"> indicates the procedure was not </w:t>
      </w:r>
      <w:r w:rsidR="008B04C8">
        <w:t xml:space="preserve">unduly </w:t>
      </w:r>
      <w:r w:rsidR="00206488">
        <w:t xml:space="preserve">suggestive.  </w:t>
      </w:r>
      <w:r w:rsidR="00B85C68">
        <w:t>The reliability of Brown’s</w:t>
      </w:r>
      <w:r w:rsidR="00533FF2">
        <w:t xml:space="preserve"> identification was not </w:t>
      </w:r>
      <w:r w:rsidR="00B85C68">
        <w:t>undermined</w:t>
      </w:r>
      <w:r w:rsidR="00E91F51" w:rsidRPr="00A7631D">
        <w:t xml:space="preserve">.  </w:t>
      </w:r>
      <w:r w:rsidR="00761945" w:rsidRPr="00A7631D">
        <w:t xml:space="preserve">(See </w:t>
      </w:r>
      <w:r w:rsidR="00761945" w:rsidRPr="00A7631D">
        <w:rPr>
          <w:i/>
          <w:iCs/>
        </w:rPr>
        <w:t>People v. Alexander</w:t>
      </w:r>
      <w:r w:rsidR="00761945" w:rsidRPr="00A7631D">
        <w:t xml:space="preserve"> (2010) 49 Cal.4th 873, 902</w:t>
      </w:r>
      <w:r w:rsidR="001801E6" w:rsidRPr="00A7631D">
        <w:t xml:space="preserve"> </w:t>
      </w:r>
      <w:r w:rsidR="0005352E" w:rsidRPr="00A7631D">
        <w:t>[witness’s failure to make in-court identification of the defendant suggests that showing the witness photographs of the defendant the night before trial was not unduly suggestive</w:t>
      </w:r>
      <w:r w:rsidR="005D5DB3" w:rsidRPr="00A7631D">
        <w:t>]</w:t>
      </w:r>
      <w:r w:rsidR="00761945" w:rsidRPr="00A7631D">
        <w:t>.)</w:t>
      </w:r>
      <w:r w:rsidR="00BB71F8" w:rsidRPr="00A7631D">
        <w:t xml:space="preserve">  </w:t>
      </w:r>
    </w:p>
    <w:p w14:paraId="7B6DAA6C" w14:textId="52A195E6" w:rsidR="001A053F" w:rsidRPr="00A7631D" w:rsidRDefault="00F32DCA" w:rsidP="00A7631D">
      <w:pPr>
        <w:ind w:firstLine="720"/>
      </w:pPr>
      <w:r w:rsidRPr="00A7631D">
        <w:t>The passage of time between crime and identification, like the other circumstances, must be weighed against the damaging nature of the identification.  (</w:t>
      </w:r>
      <w:r w:rsidRPr="00A7631D">
        <w:rPr>
          <w:i/>
          <w:iCs/>
        </w:rPr>
        <w:t>Clark</w:t>
      </w:r>
      <w:r w:rsidRPr="00A7631D">
        <w:t xml:space="preserve">, </w:t>
      </w:r>
      <w:r w:rsidRPr="00A7631D">
        <w:rPr>
          <w:i/>
          <w:iCs/>
        </w:rPr>
        <w:t>supra</w:t>
      </w:r>
      <w:r w:rsidRPr="00A7631D">
        <w:t xml:space="preserve">, 63 Cal.4th at p. 556; </w:t>
      </w:r>
      <w:r w:rsidRPr="00A7631D">
        <w:rPr>
          <w:i/>
          <w:iCs/>
        </w:rPr>
        <w:t>People v. Sanchez</w:t>
      </w:r>
      <w:r w:rsidRPr="00A7631D">
        <w:t xml:space="preserve">, </w:t>
      </w:r>
      <w:r w:rsidRPr="00A7631D">
        <w:rPr>
          <w:i/>
          <w:iCs/>
        </w:rPr>
        <w:t>supra</w:t>
      </w:r>
      <w:r w:rsidRPr="00A7631D">
        <w:t>, 7 Cal.5th at pp. 35</w:t>
      </w:r>
      <w:r w:rsidR="001F7B25">
        <w:t>–</w:t>
      </w:r>
      <w:r w:rsidRPr="00A7631D">
        <w:t xml:space="preserve">36.)  </w:t>
      </w:r>
      <w:r w:rsidR="00D47F1A" w:rsidRPr="00A7631D">
        <w:t xml:space="preserve">Here, the “corrupting effect” of the identification </w:t>
      </w:r>
      <w:r w:rsidR="001D6599" w:rsidRPr="00A7631D">
        <w:t xml:space="preserve">was minimal.  </w:t>
      </w:r>
      <w:r w:rsidR="00D47F1A" w:rsidRPr="00A7631D">
        <w:t>(</w:t>
      </w:r>
      <w:r w:rsidR="00D47F1A" w:rsidRPr="00A7631D">
        <w:rPr>
          <w:i/>
          <w:iCs/>
        </w:rPr>
        <w:t>Sanchez</w:t>
      </w:r>
      <w:r w:rsidR="00D47F1A" w:rsidRPr="00A7631D">
        <w:t xml:space="preserve">, at p. 36.)  </w:t>
      </w:r>
      <w:r w:rsidR="00C90190">
        <w:t>Identifying Wilson a</w:t>
      </w:r>
      <w:r w:rsidR="00773DE7">
        <w:t>s the driver was not reliant on</w:t>
      </w:r>
      <w:r w:rsidR="00E14AAB">
        <w:t xml:space="preserve"> </w:t>
      </w:r>
      <w:r w:rsidR="005D3E90">
        <w:t>Brown’s testimony</w:t>
      </w:r>
      <w:r w:rsidR="001A1171">
        <w:t>.  His</w:t>
      </w:r>
      <w:r w:rsidR="00357391" w:rsidRPr="00A7631D">
        <w:t xml:space="preserve"> identifications were consistently uncertain</w:t>
      </w:r>
      <w:r w:rsidR="003B5AF1" w:rsidRPr="00A7631D">
        <w:t>.  If useful to any degree they bolstered the more definitive identifications provided by Bowi</w:t>
      </w:r>
      <w:r w:rsidR="00B1325E" w:rsidRPr="00A7631D">
        <w:t>e, and of Williams — who also positively identified Wilson as the driver during the live lineup</w:t>
      </w:r>
      <w:r w:rsidR="003B5AF1" w:rsidRPr="00A7631D">
        <w:t>.</w:t>
      </w:r>
      <w:r w:rsidR="00D63507" w:rsidRPr="00A7631D">
        <w:t xml:space="preserve">  </w:t>
      </w:r>
      <w:r w:rsidR="006D02EE" w:rsidRPr="00A7631D">
        <w:t xml:space="preserve">Moreover, Brown’s identifications — at the live lineup months after the crime, but also at the photographic lineup just weeks after it — were </w:t>
      </w:r>
      <w:r w:rsidR="00F95D25" w:rsidRPr="00A7631D">
        <w:t xml:space="preserve">consistently uncertain and equivocal.  </w:t>
      </w:r>
      <w:r w:rsidR="00B21A22" w:rsidRPr="00A7631D">
        <w:t>Considering the totality of circumstances, we</w:t>
      </w:r>
      <w:r w:rsidR="00F95D25" w:rsidRPr="00A7631D">
        <w:t xml:space="preserve"> </w:t>
      </w:r>
      <w:r w:rsidR="00F95D25" w:rsidRPr="00A7631D">
        <w:lastRenderedPageBreak/>
        <w:t xml:space="preserve">conclude </w:t>
      </w:r>
      <w:r w:rsidR="00D21255" w:rsidRPr="00A7631D">
        <w:t xml:space="preserve">Brown’s uncertain identification was </w:t>
      </w:r>
      <w:proofErr w:type="gramStart"/>
      <w:r w:rsidR="00D21255" w:rsidRPr="00A7631D">
        <w:t>reliable</w:t>
      </w:r>
      <w:proofErr w:type="gramEnd"/>
      <w:r w:rsidR="00D21255" w:rsidRPr="00A7631D">
        <w:t>, and</w:t>
      </w:r>
      <w:r w:rsidR="00F95D25" w:rsidRPr="00A7631D">
        <w:t xml:space="preserve"> </w:t>
      </w:r>
      <w:r w:rsidR="00DF7F47" w:rsidRPr="00A7631D">
        <w:t xml:space="preserve">no violation of </w:t>
      </w:r>
      <w:r w:rsidR="00B54E4C" w:rsidRPr="00A7631D">
        <w:t>Wilson’s right to due process</w:t>
      </w:r>
      <w:r w:rsidR="00DF7F47" w:rsidRPr="00A7631D">
        <w:t xml:space="preserve"> occurred</w:t>
      </w:r>
      <w:r w:rsidR="00B54E4C" w:rsidRPr="00A7631D">
        <w:t xml:space="preserve">. </w:t>
      </w:r>
    </w:p>
    <w:p w14:paraId="4E0842B6" w14:textId="6AD3E6FA" w:rsidR="00150763" w:rsidRPr="00A7631D" w:rsidRDefault="00EB0F74" w:rsidP="00A7631D">
      <w:pPr>
        <w:pStyle w:val="Heading2"/>
        <w:numPr>
          <w:ilvl w:val="0"/>
          <w:numId w:val="3"/>
        </w:numPr>
      </w:pPr>
      <w:bookmarkStart w:id="38" w:name="_Toc58846823"/>
      <w:bookmarkStart w:id="39" w:name="_Toc50617040"/>
      <w:r w:rsidRPr="00A7631D">
        <w:t xml:space="preserve">Wilson’s Confrontation Right Was Not Violated by the Trial </w:t>
      </w:r>
      <w:r w:rsidR="00A0473B" w:rsidRPr="00A7631D">
        <w:tab/>
      </w:r>
      <w:r w:rsidRPr="00A7631D">
        <w:t>Court’s Admission of Brown’s Testimony</w:t>
      </w:r>
      <w:bookmarkEnd w:id="38"/>
      <w:r w:rsidRPr="00A7631D">
        <w:t xml:space="preserve"> </w:t>
      </w:r>
      <w:bookmarkEnd w:id="39"/>
    </w:p>
    <w:p w14:paraId="498F9EC9" w14:textId="6D3A6B3D" w:rsidR="00EB7940" w:rsidRPr="00A7631D" w:rsidRDefault="00882812" w:rsidP="000B2EC1">
      <w:pPr>
        <w:ind w:firstLine="720"/>
      </w:pPr>
      <w:r w:rsidRPr="00A7631D">
        <w:t xml:space="preserve">Wilson argues his </w:t>
      </w:r>
      <w:r w:rsidR="00254A7B" w:rsidRPr="00A7631D">
        <w:t>Sixth Amendment confrontation right was violated by the admission of Brown’s preliminary hearing testimony</w:t>
      </w:r>
      <w:r w:rsidR="00EB7940" w:rsidRPr="00A7631D">
        <w:t>.</w:t>
      </w:r>
      <w:r w:rsidR="00012345" w:rsidRPr="00A7631D">
        <w:t xml:space="preserve">  </w:t>
      </w:r>
      <w:r w:rsidR="00055FF7" w:rsidRPr="00A7631D">
        <w:t>Wilson</w:t>
      </w:r>
      <w:r w:rsidR="00012345" w:rsidRPr="00A7631D">
        <w:t xml:space="preserve"> </w:t>
      </w:r>
      <w:r w:rsidR="00053317" w:rsidRPr="00A7631D">
        <w:t>acknowledges</w:t>
      </w:r>
      <w:r w:rsidR="00E9091A" w:rsidRPr="00A7631D">
        <w:t xml:space="preserve"> he was able to cross-examine Brown</w:t>
      </w:r>
      <w:r w:rsidR="005E5244" w:rsidRPr="00A7631D">
        <w:t>’s testimonial statements</w:t>
      </w:r>
      <w:r w:rsidR="00CC7584" w:rsidRPr="00A7631D">
        <w:t xml:space="preserve"> at the preliminary hearing</w:t>
      </w:r>
      <w:r w:rsidR="00053317" w:rsidRPr="00A7631D">
        <w:t>,</w:t>
      </w:r>
      <w:r w:rsidR="005E5244" w:rsidRPr="00A7631D">
        <w:t xml:space="preserve"> but argues</w:t>
      </w:r>
      <w:r w:rsidR="008A398E" w:rsidRPr="00A7631D">
        <w:t xml:space="preserve"> </w:t>
      </w:r>
      <w:r w:rsidR="005E5244" w:rsidRPr="00A7631D">
        <w:t>Brown</w:t>
      </w:r>
      <w:r w:rsidR="00B90CA9" w:rsidRPr="00A7631D">
        <w:t xml:space="preserve"> </w:t>
      </w:r>
      <w:r w:rsidR="005E5244" w:rsidRPr="00A7631D">
        <w:t xml:space="preserve">was not </w:t>
      </w:r>
      <w:r w:rsidR="000C2A3E" w:rsidRPr="00A7631D">
        <w:t>“</w:t>
      </w:r>
      <w:r w:rsidR="005E5244" w:rsidRPr="00A7631D">
        <w:t>unavailable</w:t>
      </w:r>
      <w:r w:rsidR="000C2A3E" w:rsidRPr="00A7631D">
        <w:t xml:space="preserve">” </w:t>
      </w:r>
      <w:r w:rsidR="001B1173" w:rsidRPr="00A7631D">
        <w:t xml:space="preserve">to testify at his trial </w:t>
      </w:r>
      <w:r w:rsidR="00A24BB7" w:rsidRPr="00A7631D">
        <w:t xml:space="preserve">as that term was understood by the </w:t>
      </w:r>
      <w:r w:rsidR="001B1173" w:rsidRPr="00A7631D">
        <w:t>f</w:t>
      </w:r>
      <w:r w:rsidR="00A24BB7" w:rsidRPr="00A7631D">
        <w:t>ramers</w:t>
      </w:r>
      <w:r w:rsidR="00053317" w:rsidRPr="00A7631D">
        <w:t xml:space="preserve"> of the </w:t>
      </w:r>
      <w:r w:rsidR="001B1173" w:rsidRPr="00A7631D">
        <w:t>federal</w:t>
      </w:r>
      <w:r w:rsidR="00053317" w:rsidRPr="00A7631D">
        <w:t xml:space="preserve"> Constitution</w:t>
      </w:r>
      <w:r w:rsidR="00B90CA9" w:rsidRPr="00A7631D">
        <w:t xml:space="preserve">.  </w:t>
      </w:r>
      <w:r w:rsidR="00626AC4" w:rsidRPr="00A7631D">
        <w:t>Wilson</w:t>
      </w:r>
      <w:r w:rsidR="00053317" w:rsidRPr="00A7631D">
        <w:t xml:space="preserve"> </w:t>
      </w:r>
      <w:r w:rsidR="00783D4F" w:rsidRPr="00A7631D">
        <w:t>further argues admission of Brown’s preliminary hearing testimony constituted error because</w:t>
      </w:r>
      <w:r w:rsidR="00B90CA9" w:rsidRPr="00A7631D">
        <w:t xml:space="preserve"> the prosecution failed to exercise diligence in attempting to secure his testimony</w:t>
      </w:r>
      <w:r w:rsidR="00783D4F" w:rsidRPr="00A7631D">
        <w:t xml:space="preserve"> at trial</w:t>
      </w:r>
      <w:r w:rsidR="005E5244" w:rsidRPr="00A7631D">
        <w:t xml:space="preserve">.  </w:t>
      </w:r>
      <w:r w:rsidR="00CC5B16" w:rsidRPr="00A7631D">
        <w:t>We</w:t>
      </w:r>
      <w:r w:rsidR="00705CD9" w:rsidRPr="00A7631D">
        <w:t xml:space="preserve"> conclude </w:t>
      </w:r>
      <w:r w:rsidR="00BA44C5" w:rsidRPr="00A7631D">
        <w:t xml:space="preserve">that </w:t>
      </w:r>
      <w:r w:rsidR="00783D4F" w:rsidRPr="00A7631D">
        <w:t>Brown was “unavailable</w:t>
      </w:r>
      <w:r w:rsidR="00BA44C5" w:rsidRPr="00A7631D">
        <w:t>,</w:t>
      </w:r>
      <w:r w:rsidR="00783D4F" w:rsidRPr="00A7631D">
        <w:t xml:space="preserve">” </w:t>
      </w:r>
      <w:r w:rsidR="00A252BA" w:rsidRPr="00A7631D">
        <w:t xml:space="preserve">the prosecution exercised diligence in attempting to secure </w:t>
      </w:r>
      <w:r w:rsidR="00BA44C5" w:rsidRPr="00A7631D">
        <w:t>his</w:t>
      </w:r>
      <w:r w:rsidR="00A252BA" w:rsidRPr="00A7631D">
        <w:t xml:space="preserve"> testimony, and introduction of </w:t>
      </w:r>
      <w:r w:rsidR="00BA44C5" w:rsidRPr="00A7631D">
        <w:t>Brown’s</w:t>
      </w:r>
      <w:r w:rsidR="00A252BA" w:rsidRPr="00A7631D">
        <w:t xml:space="preserve"> preliminary hearing testimony </w:t>
      </w:r>
      <w:r w:rsidR="0073259B" w:rsidRPr="00A7631D">
        <w:t>did not violate Wilson’s confrontation right</w:t>
      </w:r>
      <w:r w:rsidR="002B7499" w:rsidRPr="00A7631D">
        <w:t>.</w:t>
      </w:r>
      <w:r w:rsidR="00F807C1" w:rsidRPr="00A7631D">
        <w:t xml:space="preserve"> </w:t>
      </w:r>
    </w:p>
    <w:p w14:paraId="699E0EC2" w14:textId="6CAEDBFC" w:rsidR="00EB7940" w:rsidRPr="00A7631D" w:rsidRDefault="00EB7940" w:rsidP="00307120">
      <w:pPr>
        <w:pStyle w:val="Heading3"/>
        <w:numPr>
          <w:ilvl w:val="0"/>
          <w:numId w:val="10"/>
        </w:numPr>
        <w:ind w:left="1584" w:hanging="432"/>
      </w:pPr>
      <w:bookmarkStart w:id="40" w:name="_Toc58846824"/>
      <w:bookmarkStart w:id="41" w:name="_Toc50617041"/>
      <w:r w:rsidRPr="00A7631D">
        <w:t>Background</w:t>
      </w:r>
      <w:bookmarkEnd w:id="40"/>
      <w:bookmarkEnd w:id="41"/>
    </w:p>
    <w:p w14:paraId="487CC347" w14:textId="698393DF" w:rsidR="00261A01" w:rsidRPr="00A7631D" w:rsidRDefault="0006628B" w:rsidP="00307120">
      <w:pPr>
        <w:ind w:firstLine="720"/>
      </w:pPr>
      <w:r w:rsidRPr="00A7631D">
        <w:t>Brown was initially a cooperative witness</w:t>
      </w:r>
      <w:r w:rsidR="00AC15B8" w:rsidRPr="00A7631D">
        <w:t>.  He returned</w:t>
      </w:r>
      <w:r w:rsidRPr="00A7631D">
        <w:t xml:space="preserve"> to the scene of the shooting</w:t>
      </w:r>
      <w:r w:rsidR="00383D5B" w:rsidRPr="00A7631D">
        <w:t xml:space="preserve">, </w:t>
      </w:r>
      <w:r w:rsidR="00AC15B8" w:rsidRPr="00A7631D">
        <w:t>spoke with police on several occasions</w:t>
      </w:r>
      <w:r w:rsidR="00383D5B" w:rsidRPr="00A7631D">
        <w:t>, and participated in a live lineup</w:t>
      </w:r>
      <w:r w:rsidR="00AC15B8" w:rsidRPr="00A7631D">
        <w:t>.</w:t>
      </w:r>
      <w:r w:rsidR="00F075BA" w:rsidRPr="00A7631D">
        <w:t xml:space="preserve">  </w:t>
      </w:r>
      <w:r w:rsidR="00222D11" w:rsidRPr="00A7631D">
        <w:t xml:space="preserve">He was subpoenaed to, and did, testify at the preliminary hearing on June 24, 1998.  </w:t>
      </w:r>
      <w:r w:rsidR="0051440B" w:rsidRPr="00A7631D">
        <w:t xml:space="preserve">Nearly a year later, in </w:t>
      </w:r>
      <w:r w:rsidR="00570B9F" w:rsidRPr="00A7631D">
        <w:t xml:space="preserve">March 1999, the prosecution alerted the court to a potential problem with securing Brown’s testimony at trial.  </w:t>
      </w:r>
      <w:r w:rsidR="00C77136" w:rsidRPr="00A7631D">
        <w:t>Brown had received a</w:t>
      </w:r>
      <w:r w:rsidR="007F4CE1" w:rsidRPr="00A7631D">
        <w:t xml:space="preserve"> phone call from </w:t>
      </w:r>
      <w:r w:rsidR="00351AEA" w:rsidRPr="00A7631D">
        <w:t xml:space="preserve">Tracy Batts, </w:t>
      </w:r>
      <w:r w:rsidR="002E7A93" w:rsidRPr="00A7631D">
        <w:t>a man</w:t>
      </w:r>
      <w:r w:rsidR="007F4CE1" w:rsidRPr="00A7631D">
        <w:t xml:space="preserve"> incarcerated on charges unrelated to this case</w:t>
      </w:r>
      <w:r w:rsidR="00970B71" w:rsidRPr="00A7631D">
        <w:t xml:space="preserve">, </w:t>
      </w:r>
      <w:r w:rsidR="007F4CE1" w:rsidRPr="00A7631D">
        <w:t xml:space="preserve">who </w:t>
      </w:r>
      <w:r w:rsidR="0044251A" w:rsidRPr="00A7631D">
        <w:t>warned</w:t>
      </w:r>
      <w:r w:rsidR="007F4CE1" w:rsidRPr="00A7631D">
        <w:t xml:space="preserve"> Brown </w:t>
      </w:r>
      <w:r w:rsidR="0044251A" w:rsidRPr="00A7631D">
        <w:t xml:space="preserve">against testifying </w:t>
      </w:r>
      <w:r w:rsidR="003D5284" w:rsidRPr="00A7631D">
        <w:t>at trial</w:t>
      </w:r>
      <w:r w:rsidR="0044251A" w:rsidRPr="00A7631D">
        <w:t xml:space="preserve">.  </w:t>
      </w:r>
      <w:r w:rsidR="00970B71" w:rsidRPr="00A7631D">
        <w:t>T</w:t>
      </w:r>
      <w:r w:rsidR="006F3500" w:rsidRPr="00A7631D">
        <w:t xml:space="preserve">he prosecution </w:t>
      </w:r>
      <w:r w:rsidR="00970B71" w:rsidRPr="00A7631D">
        <w:t xml:space="preserve">subsequently learned that Batts orchestrated a witness killing in his own case.  </w:t>
      </w:r>
      <w:r w:rsidR="0033031E" w:rsidRPr="00A7631D">
        <w:t>The prosecution understood Brown took the threat seriously</w:t>
      </w:r>
      <w:r w:rsidR="001C2F22" w:rsidRPr="00A7631D">
        <w:t>.  Brown</w:t>
      </w:r>
      <w:r w:rsidR="0033031E" w:rsidRPr="00A7631D">
        <w:t xml:space="preserve"> </w:t>
      </w:r>
      <w:r w:rsidR="0044251A" w:rsidRPr="00A7631D">
        <w:t xml:space="preserve">told prosecutors he would testify if he </w:t>
      </w:r>
      <w:proofErr w:type="gramStart"/>
      <w:r w:rsidR="0044251A" w:rsidRPr="00A7631D">
        <w:t>was</w:t>
      </w:r>
      <w:proofErr w:type="gramEnd"/>
      <w:r w:rsidR="0044251A" w:rsidRPr="00A7631D">
        <w:t xml:space="preserve"> </w:t>
      </w:r>
      <w:r w:rsidR="0044251A" w:rsidRPr="00A7631D">
        <w:lastRenderedPageBreak/>
        <w:t>“dragged into court</w:t>
      </w:r>
      <w:r w:rsidR="0033031E" w:rsidRPr="00A7631D">
        <w:t>,</w:t>
      </w:r>
      <w:r w:rsidR="0044251A" w:rsidRPr="00A7631D">
        <w:t>”</w:t>
      </w:r>
      <w:r w:rsidR="00BF3C31" w:rsidRPr="00A7631D">
        <w:t xml:space="preserve"> </w:t>
      </w:r>
      <w:r w:rsidR="001C2F22" w:rsidRPr="00A7631D">
        <w:t xml:space="preserve">but </w:t>
      </w:r>
      <w:r w:rsidR="00BF3C31" w:rsidRPr="00A7631D">
        <w:t xml:space="preserve">the prosecution believed it would be able to secure his testimony </w:t>
      </w:r>
      <w:r w:rsidR="005A439A" w:rsidRPr="00A7631D">
        <w:t xml:space="preserve">with </w:t>
      </w:r>
      <w:r w:rsidR="00BF3C31" w:rsidRPr="00A7631D">
        <w:t>sufficient time</w:t>
      </w:r>
      <w:r w:rsidR="005A439A" w:rsidRPr="00A7631D">
        <w:t xml:space="preserve"> to work with him</w:t>
      </w:r>
      <w:r w:rsidR="00BF3C31" w:rsidRPr="00A7631D">
        <w:t>.</w:t>
      </w:r>
    </w:p>
    <w:p w14:paraId="1971B677" w14:textId="414A4E54" w:rsidR="00676C5E" w:rsidRPr="00A7631D" w:rsidRDefault="000E6E75" w:rsidP="00307120">
      <w:pPr>
        <w:ind w:firstLine="720"/>
      </w:pPr>
      <w:r w:rsidRPr="00A7631D">
        <w:t xml:space="preserve">The prosecution </w:t>
      </w:r>
      <w:r w:rsidR="00C024B5" w:rsidRPr="00A7631D">
        <w:t>requested that Brown attend a hearing</w:t>
      </w:r>
      <w:r w:rsidR="00856A1B" w:rsidRPr="00A7631D">
        <w:t xml:space="preserve"> in March 1999 </w:t>
      </w:r>
      <w:r w:rsidR="005A439A" w:rsidRPr="00A7631D">
        <w:t xml:space="preserve">but </w:t>
      </w:r>
      <w:r w:rsidR="00803B0A" w:rsidRPr="00A7631D">
        <w:t xml:space="preserve">did not believe </w:t>
      </w:r>
      <w:r w:rsidR="00C024B5" w:rsidRPr="00A7631D">
        <w:t>his</w:t>
      </w:r>
      <w:r w:rsidR="00803B0A" w:rsidRPr="00A7631D">
        <w:t xml:space="preserve"> attendance could be secured so quickly.  That proved prescient, and</w:t>
      </w:r>
      <w:r w:rsidR="00800CEA" w:rsidRPr="00A7631D">
        <w:t xml:space="preserve"> despite the prosecution’s efforts to secure </w:t>
      </w:r>
      <w:r w:rsidR="00803B0A" w:rsidRPr="00A7631D">
        <w:t xml:space="preserve">his </w:t>
      </w:r>
      <w:r w:rsidR="00800CEA" w:rsidRPr="00A7631D">
        <w:t xml:space="preserve">appearance, </w:t>
      </w:r>
      <w:r w:rsidR="00803B0A" w:rsidRPr="00A7631D">
        <w:t xml:space="preserve">Brown </w:t>
      </w:r>
      <w:r w:rsidR="00800CEA" w:rsidRPr="00A7631D">
        <w:t xml:space="preserve">did not attend the hearing.  </w:t>
      </w:r>
      <w:r w:rsidR="009F6A5D" w:rsidRPr="00A7631D">
        <w:t>T</w:t>
      </w:r>
      <w:r w:rsidR="00FB7BA6" w:rsidRPr="00A7631D">
        <w:t xml:space="preserve">he prosecution </w:t>
      </w:r>
      <w:r w:rsidR="00C024B5" w:rsidRPr="00A7631D">
        <w:t xml:space="preserve">then </w:t>
      </w:r>
      <w:r w:rsidR="00FB7BA6" w:rsidRPr="00A7631D">
        <w:t>subpoenaed Brown</w:t>
      </w:r>
      <w:r w:rsidR="009F6A5D" w:rsidRPr="00A7631D">
        <w:t xml:space="preserve"> to appear </w:t>
      </w:r>
      <w:r w:rsidR="00C024B5" w:rsidRPr="00A7631D">
        <w:t xml:space="preserve">for a hearing </w:t>
      </w:r>
      <w:r w:rsidR="009F6A5D" w:rsidRPr="00A7631D">
        <w:t>in May 1999</w:t>
      </w:r>
      <w:r w:rsidR="00191B3F" w:rsidRPr="00A7631D">
        <w:t xml:space="preserve">.  </w:t>
      </w:r>
      <w:r w:rsidR="000F0A8B" w:rsidRPr="00A7631D">
        <w:t>Brown signed the subpoena</w:t>
      </w:r>
      <w:r w:rsidR="007E43E2" w:rsidRPr="00A7631D">
        <w:t xml:space="preserve"> but</w:t>
      </w:r>
      <w:r w:rsidR="00E93574" w:rsidRPr="00A7631D">
        <w:t xml:space="preserve"> did not appear</w:t>
      </w:r>
      <w:r w:rsidR="00430D1C" w:rsidRPr="00A7631D">
        <w:t xml:space="preserve">, although </w:t>
      </w:r>
      <w:r w:rsidR="00676C5E" w:rsidRPr="00A7631D">
        <w:t xml:space="preserve">he indicated he would meet with Detective </w:t>
      </w:r>
      <w:r w:rsidR="000139EA" w:rsidRPr="00A7631D">
        <w:t xml:space="preserve">Frederick </w:t>
      </w:r>
      <w:r w:rsidR="00676C5E" w:rsidRPr="00A7631D">
        <w:t xml:space="preserve">Reynolds </w:t>
      </w:r>
      <w:r w:rsidR="00B6095F" w:rsidRPr="00A7631D">
        <w:t xml:space="preserve">— a law enforcement contact with whom he had been in touch throughout the investigation — </w:t>
      </w:r>
      <w:r w:rsidR="00676C5E" w:rsidRPr="00A7631D">
        <w:t xml:space="preserve">shortly thereafter. </w:t>
      </w:r>
      <w:r w:rsidR="00E93574" w:rsidRPr="00A7631D">
        <w:t xml:space="preserve"> </w:t>
      </w:r>
      <w:r w:rsidR="00676C5E" w:rsidRPr="00A7631D">
        <w:t xml:space="preserve">Brown did not attend that meeting. </w:t>
      </w:r>
      <w:r w:rsidR="00F01B0B" w:rsidRPr="00A7631D">
        <w:t xml:space="preserve"> </w:t>
      </w:r>
    </w:p>
    <w:p w14:paraId="29643D2F" w14:textId="067B6DF6" w:rsidR="00B30DCF" w:rsidRPr="00A7631D" w:rsidRDefault="00E5733E" w:rsidP="00A7631D">
      <w:pPr>
        <w:ind w:firstLine="720"/>
      </w:pPr>
      <w:r w:rsidRPr="00A7631D">
        <w:t>Trial began on May 26, 1999, and on June 7, 1999</w:t>
      </w:r>
      <w:r w:rsidR="002B1FB1">
        <w:t>,</w:t>
      </w:r>
      <w:r w:rsidR="00177D73" w:rsidRPr="00A7631D">
        <w:t xml:space="preserve"> the prosecution sought — and the</w:t>
      </w:r>
      <w:r w:rsidR="003D1EE5" w:rsidRPr="00A7631D">
        <w:t xml:space="preserve"> court ordered — a body attachment for Brown</w:t>
      </w:r>
      <w:r w:rsidR="001E40EE" w:rsidRPr="00A7631D">
        <w:t xml:space="preserve"> with bail set at $50,000</w:t>
      </w:r>
      <w:r w:rsidR="003D1EE5" w:rsidRPr="00A7631D">
        <w:t xml:space="preserve">.  </w:t>
      </w:r>
      <w:r w:rsidR="006D13E4" w:rsidRPr="00A7631D">
        <w:t xml:space="preserve">The prosecution noted that if it could not secure Brown’s presence at trial it would seek to introduce his preliminary hearing testimony.  </w:t>
      </w:r>
      <w:r w:rsidR="00126C67" w:rsidRPr="00A7631D">
        <w:t xml:space="preserve">The prosecution </w:t>
      </w:r>
      <w:r w:rsidR="00B25F44" w:rsidRPr="00A7631D">
        <w:t>made efforts</w:t>
      </w:r>
      <w:r w:rsidR="00840744" w:rsidRPr="00A7631D">
        <w:t xml:space="preserve"> — detailed below —</w:t>
      </w:r>
      <w:r w:rsidR="00B25F44" w:rsidRPr="00A7631D">
        <w:t xml:space="preserve"> to</w:t>
      </w:r>
      <w:r w:rsidR="00126C67" w:rsidRPr="00A7631D">
        <w:t xml:space="preserve"> secure Brown’s testimony</w:t>
      </w:r>
      <w:r w:rsidR="000432DC" w:rsidRPr="00A7631D">
        <w:t>, and although</w:t>
      </w:r>
      <w:r w:rsidR="00094C84" w:rsidRPr="00A7631D">
        <w:t xml:space="preserve"> </w:t>
      </w:r>
      <w:r w:rsidR="00126C67" w:rsidRPr="00A7631D">
        <w:t xml:space="preserve">Brown agreed to come to </w:t>
      </w:r>
      <w:proofErr w:type="gramStart"/>
      <w:r w:rsidR="00126C67" w:rsidRPr="00A7631D">
        <w:t>court</w:t>
      </w:r>
      <w:proofErr w:type="gramEnd"/>
      <w:r w:rsidR="00126C67" w:rsidRPr="00A7631D">
        <w:t xml:space="preserve"> </w:t>
      </w:r>
      <w:r w:rsidR="00094C84" w:rsidRPr="00A7631D">
        <w:t xml:space="preserve">he again </w:t>
      </w:r>
      <w:r w:rsidR="00126C67" w:rsidRPr="00A7631D">
        <w:t xml:space="preserve">failed to appear.  </w:t>
      </w:r>
    </w:p>
    <w:p w14:paraId="1968330E" w14:textId="0D744D24" w:rsidR="00AA5A1C" w:rsidRPr="00A7631D" w:rsidRDefault="0024659A" w:rsidP="005170C1">
      <w:pPr>
        <w:ind w:firstLine="720"/>
      </w:pPr>
      <w:r w:rsidRPr="00A7631D">
        <w:t xml:space="preserve">On June 17, 1999, the court held a hearing to address whether the prosecution </w:t>
      </w:r>
      <w:r w:rsidR="00840744" w:rsidRPr="00A7631D">
        <w:t xml:space="preserve">had </w:t>
      </w:r>
      <w:r w:rsidRPr="00A7631D">
        <w:t>exercised due diligence in seeking Brown’s appearance at trial</w:t>
      </w:r>
      <w:r w:rsidR="006D13E4" w:rsidRPr="00A7631D">
        <w:t>.  Detective Reynolds testified</w:t>
      </w:r>
      <w:r w:rsidR="00B30DCF" w:rsidRPr="00A7631D">
        <w:t xml:space="preserve"> about his efforts to secure Brown’s testimony, which included serving</w:t>
      </w:r>
      <w:r w:rsidR="006D13E4" w:rsidRPr="00A7631D">
        <w:t xml:space="preserve"> Brown with a subpoena at</w:t>
      </w:r>
      <w:r w:rsidR="00245458" w:rsidRPr="00A7631D">
        <w:t xml:space="preserve"> his workplace,</w:t>
      </w:r>
      <w:r w:rsidR="006D13E4" w:rsidRPr="00A7631D">
        <w:t xml:space="preserve"> </w:t>
      </w:r>
      <w:r w:rsidR="009D5A12" w:rsidRPr="00A7631D">
        <w:t xml:space="preserve">Melvin </w:t>
      </w:r>
      <w:r w:rsidR="006D13E4" w:rsidRPr="00A7631D">
        <w:t xml:space="preserve">Hoard’s </w:t>
      </w:r>
      <w:r w:rsidR="0096394D" w:rsidRPr="00A7631D">
        <w:t>autobody shop</w:t>
      </w:r>
      <w:r w:rsidR="00245458" w:rsidRPr="00A7631D">
        <w:t xml:space="preserve">, </w:t>
      </w:r>
      <w:r w:rsidR="00795A6E" w:rsidRPr="00A7631D">
        <w:t>on May 20, 1999</w:t>
      </w:r>
      <w:r w:rsidR="00317075" w:rsidRPr="00A7631D">
        <w:t xml:space="preserve">.  Detective Reynolds returned to </w:t>
      </w:r>
      <w:r w:rsidR="00970783" w:rsidRPr="00A7631D">
        <w:t xml:space="preserve">Melvin’s </w:t>
      </w:r>
      <w:r w:rsidR="00317075" w:rsidRPr="00A7631D">
        <w:t xml:space="preserve"> autobody shop the next day, and Brow</w:t>
      </w:r>
      <w:r w:rsidR="00970783" w:rsidRPr="00A7631D">
        <w:t xml:space="preserve">n was not there.  </w:t>
      </w:r>
      <w:r w:rsidR="00647229" w:rsidRPr="00A7631D">
        <w:t>Melvin</w:t>
      </w:r>
      <w:r w:rsidR="00795A6E" w:rsidRPr="00A7631D">
        <w:t xml:space="preserve"> did not </w:t>
      </w:r>
      <w:r w:rsidR="001F093B" w:rsidRPr="00A7631D">
        <w:t xml:space="preserve">know where he was.  </w:t>
      </w:r>
      <w:r w:rsidR="004E6D4F" w:rsidRPr="00A7631D">
        <w:t xml:space="preserve">Over the next few weeks, Detective Reynolds attempted to contact Brown </w:t>
      </w:r>
      <w:r w:rsidR="008A5165" w:rsidRPr="00A7631D">
        <w:t xml:space="preserve">at his </w:t>
      </w:r>
      <w:r w:rsidR="008A5165" w:rsidRPr="00A7631D">
        <w:lastRenderedPageBreak/>
        <w:t>last known address multiple times</w:t>
      </w:r>
      <w:r w:rsidR="008B5B9D" w:rsidRPr="00A7631D">
        <w:t xml:space="preserve">.  He also sought to contact Brown </w:t>
      </w:r>
      <w:r w:rsidR="004E6D4F" w:rsidRPr="00A7631D">
        <w:t xml:space="preserve">at </w:t>
      </w:r>
      <w:r w:rsidR="00426555" w:rsidRPr="00A7631D">
        <w:t>the home of his</w:t>
      </w:r>
      <w:r w:rsidR="004E6D4F" w:rsidRPr="00A7631D">
        <w:t xml:space="preserve"> ex-</w:t>
      </w:r>
      <w:r w:rsidR="00426555" w:rsidRPr="00A7631D">
        <w:t>girlfriend, Nicole Washington</w:t>
      </w:r>
      <w:r w:rsidR="000A02DD" w:rsidRPr="00A7631D">
        <w:t xml:space="preserve">.  </w:t>
      </w:r>
      <w:r w:rsidR="0071710B" w:rsidRPr="00A7631D">
        <w:t>Detective Reynolds</w:t>
      </w:r>
      <w:r w:rsidR="000A02DD" w:rsidRPr="00A7631D">
        <w:t xml:space="preserve"> spoke with Washington in June 1999, and she </w:t>
      </w:r>
      <w:r w:rsidR="00152121" w:rsidRPr="00A7631D">
        <w:t xml:space="preserve">claimed </w:t>
      </w:r>
      <w:r w:rsidR="000A02DD" w:rsidRPr="00A7631D">
        <w:t xml:space="preserve">Brown had not been to her home for months, </w:t>
      </w:r>
      <w:r w:rsidR="00152121" w:rsidRPr="00A7631D">
        <w:t xml:space="preserve">that </w:t>
      </w:r>
      <w:r w:rsidR="00245D84" w:rsidRPr="00A7631D">
        <w:t xml:space="preserve">Brown </w:t>
      </w:r>
      <w:r w:rsidR="000A02DD" w:rsidRPr="00A7631D">
        <w:t>would not tell Washington his address</w:t>
      </w:r>
      <w:r w:rsidR="00F5521E" w:rsidRPr="00A7631D">
        <w:t xml:space="preserve">, noting </w:t>
      </w:r>
      <w:r w:rsidR="000A02DD" w:rsidRPr="00A7631D">
        <w:t>he was afraid</w:t>
      </w:r>
      <w:r w:rsidR="00F5521E" w:rsidRPr="00A7631D">
        <w:t xml:space="preserve"> to appear in court.</w:t>
      </w:r>
      <w:r w:rsidR="00C23402" w:rsidRPr="00A7631D">
        <w:t xml:space="preserve"> </w:t>
      </w:r>
    </w:p>
    <w:p w14:paraId="6855DDA5" w14:textId="08E899A0" w:rsidR="00AF2FF9" w:rsidRPr="00A7631D" w:rsidRDefault="00C23402" w:rsidP="005170C1">
      <w:pPr>
        <w:ind w:firstLine="720"/>
      </w:pPr>
      <w:r w:rsidRPr="00A7631D">
        <w:t xml:space="preserve">During this period of time, Brown and Detective Reynolds </w:t>
      </w:r>
      <w:r w:rsidR="00CD236F" w:rsidRPr="00A7631D">
        <w:t xml:space="preserve">spoke </w:t>
      </w:r>
      <w:r w:rsidR="006A6BD8" w:rsidRPr="00A7631D">
        <w:t xml:space="preserve">frequently </w:t>
      </w:r>
      <w:r w:rsidRPr="00A7631D">
        <w:t xml:space="preserve">by telephone, and despite Brown </w:t>
      </w:r>
      <w:r w:rsidR="006A6BD8" w:rsidRPr="00A7631D">
        <w:t>making plans</w:t>
      </w:r>
      <w:r w:rsidR="00E9301A" w:rsidRPr="00A7631D">
        <w:t xml:space="preserve"> to meet</w:t>
      </w:r>
      <w:r w:rsidRPr="00A7631D">
        <w:t xml:space="preserve"> Detective Reynolds </w:t>
      </w:r>
      <w:r w:rsidR="00E9301A" w:rsidRPr="00A7631D">
        <w:t xml:space="preserve">on several occasions, he consistently failed to keep their appointments.  </w:t>
      </w:r>
      <w:r w:rsidR="00BE7EB5" w:rsidRPr="00A7631D">
        <w:t>Detective Reynolds</w:t>
      </w:r>
      <w:r w:rsidR="00007A66" w:rsidRPr="00A7631D">
        <w:t xml:space="preserve"> searched for arrest records for Brown and</w:t>
      </w:r>
      <w:r w:rsidR="00BE7EB5" w:rsidRPr="00A7631D">
        <w:t xml:space="preserve"> confirmed </w:t>
      </w:r>
      <w:r w:rsidR="00007A66" w:rsidRPr="00A7631D">
        <w:t xml:space="preserve">he </w:t>
      </w:r>
      <w:r w:rsidR="00BE7EB5" w:rsidRPr="00A7631D">
        <w:t>had not been arrested</w:t>
      </w:r>
      <w:r w:rsidR="0048534E" w:rsidRPr="00A7631D">
        <w:t>.</w:t>
      </w:r>
      <w:r w:rsidR="00643AC7" w:rsidRPr="00A7631D">
        <w:t xml:space="preserve">  </w:t>
      </w:r>
      <w:r w:rsidR="002E3014" w:rsidRPr="00A7631D">
        <w:t xml:space="preserve">Neither Detective Reynolds nor the prosecution team </w:t>
      </w:r>
      <w:r w:rsidR="005D06DA" w:rsidRPr="00A7631D">
        <w:t xml:space="preserve">checked local hospital records, </w:t>
      </w:r>
      <w:r w:rsidR="000E640C" w:rsidRPr="00A7631D">
        <w:t>voter registration</w:t>
      </w:r>
      <w:r w:rsidR="00E67E9C" w:rsidRPr="00A7631D">
        <w:t>,</w:t>
      </w:r>
      <w:r w:rsidR="00AA701E" w:rsidRPr="00A7631D">
        <w:t xml:space="preserve"> or</w:t>
      </w:r>
      <w:r w:rsidR="00E67E9C" w:rsidRPr="00A7631D">
        <w:t xml:space="preserve"> </w:t>
      </w:r>
      <w:r w:rsidR="00DE4648" w:rsidRPr="00A7631D">
        <w:t>the post office</w:t>
      </w:r>
      <w:r w:rsidR="00A6465B" w:rsidRPr="00A7631D">
        <w:t xml:space="preserve">.  </w:t>
      </w:r>
      <w:r w:rsidR="008B13F2" w:rsidRPr="00A7631D">
        <w:t>While</w:t>
      </w:r>
      <w:r w:rsidR="00CD236F" w:rsidRPr="00A7631D">
        <w:t xml:space="preserve"> Detective Reynolds investigated</w:t>
      </w:r>
      <w:r w:rsidR="008B13F2" w:rsidRPr="00A7631D">
        <w:t xml:space="preserve"> Brown’s</w:t>
      </w:r>
      <w:r w:rsidR="00E5090F" w:rsidRPr="00A7631D">
        <w:t xml:space="preserve"> last known address</w:t>
      </w:r>
      <w:r w:rsidR="00BC0561" w:rsidRPr="00A7631D">
        <w:t xml:space="preserve">, </w:t>
      </w:r>
      <w:r w:rsidR="00E5090F" w:rsidRPr="00A7631D">
        <w:t>employer</w:t>
      </w:r>
      <w:r w:rsidR="00BC0561" w:rsidRPr="00A7631D">
        <w:t xml:space="preserve">, and frequent </w:t>
      </w:r>
      <w:r w:rsidR="002B1FB1">
        <w:t>hangouts</w:t>
      </w:r>
      <w:r w:rsidR="00E5090F" w:rsidRPr="00A7631D">
        <w:t xml:space="preserve">, </w:t>
      </w:r>
      <w:r w:rsidR="00CD236F" w:rsidRPr="00A7631D">
        <w:t>he</w:t>
      </w:r>
      <w:r w:rsidR="00EB6C5B" w:rsidRPr="00A7631D">
        <w:t xml:space="preserve"> and </w:t>
      </w:r>
      <w:r w:rsidR="00E5090F" w:rsidRPr="00A7631D">
        <w:t>the prosecution team did not</w:t>
      </w:r>
      <w:r w:rsidR="00A6465B" w:rsidRPr="00A7631D">
        <w:t xml:space="preserve"> </w:t>
      </w:r>
      <w:r w:rsidR="0087140E" w:rsidRPr="00A7631D">
        <w:t>try</w:t>
      </w:r>
      <w:r w:rsidR="00BC0561" w:rsidRPr="00A7631D">
        <w:t xml:space="preserve"> to find Brown via public assistance rosters</w:t>
      </w:r>
      <w:r w:rsidR="002E3014" w:rsidRPr="00A7631D">
        <w:t>.</w:t>
      </w:r>
    </w:p>
    <w:p w14:paraId="2541209B" w14:textId="2217206A" w:rsidR="0042585C" w:rsidRPr="00A7631D" w:rsidRDefault="002E3014" w:rsidP="005170C1">
      <w:pPr>
        <w:ind w:firstLine="720"/>
      </w:pPr>
      <w:r w:rsidRPr="00A7631D">
        <w:t xml:space="preserve"> </w:t>
      </w:r>
      <w:r w:rsidR="00AC4C55" w:rsidRPr="00A7631D">
        <w:t xml:space="preserve"> </w:t>
      </w:r>
      <w:r w:rsidR="00AA5A1C" w:rsidRPr="00A7631D">
        <w:t>Defense counsel urged the trial court to conclude the prosecution had not exercised due diligence in seeking Brown’s appearance at</w:t>
      </w:r>
      <w:r w:rsidR="00935DBF" w:rsidRPr="00A7631D">
        <w:t xml:space="preserve"> trial.  The trial court ruled otherwise, concluding that </w:t>
      </w:r>
      <w:r w:rsidR="00C94F07" w:rsidRPr="00A7631D">
        <w:t xml:space="preserve">Brown </w:t>
      </w:r>
      <w:r w:rsidR="004021F3" w:rsidRPr="00A7631D">
        <w:t>made “active efforts to avoid”</w:t>
      </w:r>
      <w:r w:rsidR="00C94F07" w:rsidRPr="00A7631D">
        <w:t xml:space="preserve"> </w:t>
      </w:r>
      <w:r w:rsidR="00AC213D" w:rsidRPr="00A7631D">
        <w:t xml:space="preserve">Detective </w:t>
      </w:r>
      <w:r w:rsidR="00C94F07" w:rsidRPr="00A7631D">
        <w:t>Reynolds</w:t>
      </w:r>
      <w:r w:rsidR="007A33F7" w:rsidRPr="00A7631D">
        <w:t xml:space="preserve">.  </w:t>
      </w:r>
      <w:r w:rsidR="000A7025" w:rsidRPr="00A7631D">
        <w:t>The court ruled that h</w:t>
      </w:r>
      <w:r w:rsidR="00AC213D" w:rsidRPr="00A7631D">
        <w:t xml:space="preserve">ad </w:t>
      </w:r>
      <w:r w:rsidR="00ED7622" w:rsidRPr="00A7631D">
        <w:t xml:space="preserve">the prosecution team been able to </w:t>
      </w:r>
      <w:proofErr w:type="gramStart"/>
      <w:r w:rsidR="00ED7622" w:rsidRPr="00A7631D">
        <w:t>make</w:t>
      </w:r>
      <w:r w:rsidR="009E4891" w:rsidRPr="00A7631D">
        <w:t xml:space="preserve"> </w:t>
      </w:r>
      <w:r w:rsidR="00C94F07" w:rsidRPr="00A7631D">
        <w:t>contact with</w:t>
      </w:r>
      <w:proofErr w:type="gramEnd"/>
      <w:r w:rsidR="00C94F07" w:rsidRPr="00A7631D">
        <w:t xml:space="preserve"> Brown </w:t>
      </w:r>
      <w:r w:rsidR="000A7025" w:rsidRPr="00A7631D">
        <w:t xml:space="preserve">on or </w:t>
      </w:r>
      <w:r w:rsidR="00C94F07" w:rsidRPr="00A7631D">
        <w:t>after May 20, 1999</w:t>
      </w:r>
      <w:r w:rsidR="009E4891" w:rsidRPr="00A7631D">
        <w:t xml:space="preserve">, efforts to secure a bond or </w:t>
      </w:r>
      <w:r w:rsidR="009B3C24" w:rsidRPr="00A7631D">
        <w:t>to</w:t>
      </w:r>
      <w:r w:rsidR="009E4891" w:rsidRPr="00A7631D">
        <w:t xml:space="preserve"> arrest</w:t>
      </w:r>
      <w:r w:rsidR="009B3C24" w:rsidRPr="00A7631D">
        <w:t xml:space="preserve"> Brown</w:t>
      </w:r>
      <w:r w:rsidR="009E4891" w:rsidRPr="00A7631D">
        <w:t xml:space="preserve"> would have </w:t>
      </w:r>
      <w:r w:rsidR="009B3C24" w:rsidRPr="00A7631D">
        <w:t>occurred</w:t>
      </w:r>
      <w:r w:rsidR="009E4891" w:rsidRPr="00A7631D">
        <w:t xml:space="preserve"> at that time.  The trial court declared Brown unavailable and permitted his preliminary hearing testimony to be read </w:t>
      </w:r>
      <w:r w:rsidR="00AA5A1C" w:rsidRPr="00A7631D">
        <w:t>to</w:t>
      </w:r>
      <w:r w:rsidR="00F81FB7" w:rsidRPr="00A7631D">
        <w:t xml:space="preserve"> </w:t>
      </w:r>
      <w:r w:rsidR="00AA5A1C" w:rsidRPr="00A7631D">
        <w:t>the jury.</w:t>
      </w:r>
    </w:p>
    <w:p w14:paraId="0CB14303" w14:textId="47BCBF7D" w:rsidR="00183F51" w:rsidRPr="00A7631D" w:rsidRDefault="0042585C" w:rsidP="00A7631D">
      <w:pPr>
        <w:ind w:firstLine="720"/>
      </w:pPr>
      <w:r w:rsidRPr="00A7631D">
        <w:t xml:space="preserve">Brown was not the only reluctant witness in this case.  The prosecution believed that Barnes, a juvenile probationer, would be hesitant to testify and sought a bond to secure his appearance, arguing to the court it was likely Barnes would </w:t>
      </w:r>
      <w:r w:rsidRPr="00A7631D">
        <w:lastRenderedPageBreak/>
        <w:t xml:space="preserve">make himself scarce during the pendency of the trial.  The court ordered the bond, Barnes failed to post it, and he was remanded to custody.  Barnes did not testify at the preliminary hearing.  The prosecution also sought to secure the appearance of a third reluctant witness who was subpoenaed and failed to appear at the preliminary hearing.  As with Brown, the prosecution engaged in a multitude of efforts to secure the witness’s appearance, speaking to the witness’s family, associates, and generally saturating the area over a “considerable” period of time.  The prosecutor ultimately released the witness without bond, having decided not to use the witness’s testimony at trial. </w:t>
      </w:r>
      <w:r w:rsidR="00AA5A1C" w:rsidRPr="00A7631D">
        <w:t xml:space="preserve"> </w:t>
      </w:r>
      <w:r w:rsidR="00F81FB7" w:rsidRPr="00A7631D">
        <w:t xml:space="preserve"> </w:t>
      </w:r>
    </w:p>
    <w:p w14:paraId="45120956" w14:textId="51F1EA56" w:rsidR="00EB7940" w:rsidRPr="00A7631D" w:rsidRDefault="00EB7940" w:rsidP="00E01243">
      <w:pPr>
        <w:pStyle w:val="Heading3"/>
        <w:numPr>
          <w:ilvl w:val="0"/>
          <w:numId w:val="10"/>
        </w:numPr>
        <w:ind w:left="1584" w:hanging="432"/>
      </w:pPr>
      <w:bookmarkStart w:id="42" w:name="_Toc58846825"/>
      <w:bookmarkStart w:id="43" w:name="_Toc50617042"/>
      <w:r w:rsidRPr="00A7631D">
        <w:t>Discussion</w:t>
      </w:r>
      <w:bookmarkEnd w:id="42"/>
      <w:bookmarkEnd w:id="43"/>
    </w:p>
    <w:p w14:paraId="751D33E1" w14:textId="26E6F87C" w:rsidR="00FE53F1" w:rsidRPr="00A7631D" w:rsidRDefault="00795583" w:rsidP="00E01243">
      <w:pPr>
        <w:pStyle w:val="NormalIndent"/>
        <w:ind w:left="0" w:firstLine="720"/>
      </w:pPr>
      <w:r w:rsidRPr="00A7631D">
        <w:t xml:space="preserve">The </w:t>
      </w:r>
      <w:r w:rsidR="005106AB" w:rsidRPr="00A7631D">
        <w:t>C</w:t>
      </w:r>
      <w:r w:rsidRPr="00A7631D">
        <w:t xml:space="preserve">onfrontation </w:t>
      </w:r>
      <w:r w:rsidR="005106AB" w:rsidRPr="00A7631D">
        <w:t>C</w:t>
      </w:r>
      <w:r w:rsidRPr="00A7631D">
        <w:t>lauses of the state and federal Constitutions guarantee defendant</w:t>
      </w:r>
      <w:r w:rsidR="00C8071C" w:rsidRPr="00A7631D">
        <w:t>s</w:t>
      </w:r>
      <w:r w:rsidRPr="00A7631D">
        <w:t xml:space="preserve"> the right to </w:t>
      </w:r>
      <w:r w:rsidR="00C8071C" w:rsidRPr="00A7631D">
        <w:t xml:space="preserve">confront the witnesses against them.  </w:t>
      </w:r>
      <w:r w:rsidR="00217C01" w:rsidRPr="00A7631D">
        <w:t xml:space="preserve">(U.S. Const., 6th Amend.; Cal. Const., art. 1, § 15.) </w:t>
      </w:r>
      <w:r w:rsidR="004148DB" w:rsidRPr="00A7631D">
        <w:t xml:space="preserve"> </w:t>
      </w:r>
      <w:r w:rsidR="001F1EA2" w:rsidRPr="00A7631D">
        <w:t>“</w:t>
      </w:r>
      <w:r w:rsidR="00217C01" w:rsidRPr="00A7631D">
        <w:t xml:space="preserve">The right of confrontation </w:t>
      </w:r>
      <w:r w:rsidR="004148DB" w:rsidRPr="00A7631D">
        <w:t>‘</w:t>
      </w:r>
      <w:r w:rsidR="00217C01" w:rsidRPr="00A7631D">
        <w:t xml:space="preserve">seeks </w:t>
      </w:r>
      <w:r w:rsidR="004148DB" w:rsidRPr="00A7631D">
        <w:t>“</w:t>
      </w:r>
      <w:r w:rsidR="00217C01" w:rsidRPr="00A7631D">
        <w:t xml:space="preserve">to ensure that the defendant is able to conduct a </w:t>
      </w:r>
      <w:r w:rsidR="004148DB" w:rsidRPr="00A7631D">
        <w:t>‘</w:t>
      </w:r>
      <w:r w:rsidR="00217C01" w:rsidRPr="00A7631D">
        <w:t>personal examination and cross-examination of the witness</w:t>
      </w:r>
      <w:r w:rsidR="0017304D" w:rsidRPr="00A7631D">
        <w:t>.</w:t>
      </w:r>
      <w:r w:rsidR="001A7496" w:rsidRPr="00A7631D">
        <w:t>’</w:t>
      </w:r>
      <w:r w:rsidR="00686CAE">
        <w:t> </w:t>
      </w:r>
      <w:r w:rsidR="001F1EA2" w:rsidRPr="00A7631D">
        <w:t>”</w:t>
      </w:r>
      <w:r w:rsidR="00686CAE">
        <w:t> </w:t>
      </w:r>
      <w:r w:rsidR="001F1EA2" w:rsidRPr="00A7631D">
        <w:t>’</w:t>
      </w:r>
      <w:r w:rsidR="00686CAE">
        <w:t> </w:t>
      </w:r>
      <w:r w:rsidR="001F1EA2" w:rsidRPr="00A7631D">
        <w:t>”</w:t>
      </w:r>
      <w:r w:rsidR="00217C01" w:rsidRPr="00A7631D">
        <w:t xml:space="preserve"> </w:t>
      </w:r>
      <w:r w:rsidR="0017304D" w:rsidRPr="00A7631D">
        <w:t xml:space="preserve"> (</w:t>
      </w:r>
      <w:r w:rsidR="0017304D" w:rsidRPr="00A7631D">
        <w:rPr>
          <w:i/>
          <w:iCs/>
        </w:rPr>
        <w:t>People v. Herrera</w:t>
      </w:r>
      <w:r w:rsidR="0017304D" w:rsidRPr="00A7631D">
        <w:t xml:space="preserve"> (2010)</w:t>
      </w:r>
      <w:r w:rsidR="0017304D" w:rsidRPr="00A7631D">
        <w:rPr>
          <w:i/>
          <w:iCs/>
        </w:rPr>
        <w:t xml:space="preserve"> </w:t>
      </w:r>
      <w:r w:rsidR="0017304D" w:rsidRPr="00A7631D">
        <w:t>49 Cal.4th 613, 620</w:t>
      </w:r>
      <w:r w:rsidR="001F7B25">
        <w:t>–</w:t>
      </w:r>
      <w:r w:rsidR="0017304D" w:rsidRPr="00A7631D">
        <w:t>621.)</w:t>
      </w:r>
      <w:r w:rsidR="00763998" w:rsidRPr="00A7631D">
        <w:t xml:space="preserve">  Via the confrontation right, a defendant is able to compel </w:t>
      </w:r>
      <w:r w:rsidR="00C7556F" w:rsidRPr="00A7631D">
        <w:t xml:space="preserve">prosecution witnesses to appear before the jury so their credibility may be assessed.  </w:t>
      </w:r>
      <w:r w:rsidR="007F293C" w:rsidRPr="00A7631D">
        <w:t>(</w:t>
      </w:r>
      <w:r w:rsidR="007F293C" w:rsidRPr="00A7631D">
        <w:rPr>
          <w:i/>
          <w:iCs/>
        </w:rPr>
        <w:t>Id</w:t>
      </w:r>
      <w:r w:rsidR="007F293C" w:rsidRPr="00A7631D">
        <w:t>.</w:t>
      </w:r>
      <w:r w:rsidR="00F828BD" w:rsidRPr="00A7631D">
        <w:t xml:space="preserve"> at p. 621</w:t>
      </w:r>
      <w:r w:rsidR="0087140E" w:rsidRPr="00A7631D">
        <w:t>.</w:t>
      </w:r>
      <w:r w:rsidR="007F293C" w:rsidRPr="00A7631D">
        <w:t>)</w:t>
      </w:r>
      <w:r w:rsidR="003831B3" w:rsidRPr="00A7631D">
        <w:t xml:space="preserve">  </w:t>
      </w:r>
    </w:p>
    <w:p w14:paraId="3B58607C" w14:textId="6C4FEE6A" w:rsidR="00DF15C8" w:rsidRPr="00A7631D" w:rsidRDefault="00546DA9" w:rsidP="00E01243">
      <w:pPr>
        <w:pStyle w:val="NormalIndent"/>
        <w:ind w:left="0" w:firstLine="720"/>
      </w:pPr>
      <w:r>
        <w:t xml:space="preserve">Although the constitutional right of confrontation is important, it is not absolute.  </w:t>
      </w:r>
      <w:r w:rsidR="00F828BD" w:rsidRPr="00A7631D">
        <w:t>(</w:t>
      </w:r>
      <w:r w:rsidR="00D124EB" w:rsidRPr="00A7631D">
        <w:rPr>
          <w:i/>
          <w:iCs/>
        </w:rPr>
        <w:t xml:space="preserve">People v. </w:t>
      </w:r>
      <w:r w:rsidR="00FE53F1" w:rsidRPr="00A7631D">
        <w:rPr>
          <w:i/>
          <w:iCs/>
        </w:rPr>
        <w:t>Herrera</w:t>
      </w:r>
      <w:r w:rsidR="00FE53F1" w:rsidRPr="00A7631D">
        <w:t xml:space="preserve">, </w:t>
      </w:r>
      <w:r w:rsidR="00FE53F1" w:rsidRPr="00A7631D">
        <w:rPr>
          <w:i/>
          <w:iCs/>
        </w:rPr>
        <w:t>supra</w:t>
      </w:r>
      <w:r w:rsidR="00FE53F1" w:rsidRPr="00A7631D">
        <w:t xml:space="preserve">, </w:t>
      </w:r>
      <w:r w:rsidR="00A035EF" w:rsidRPr="00A7631D">
        <w:t>49 Cal.4th at p. 621</w:t>
      </w:r>
      <w:r w:rsidR="00F828BD" w:rsidRPr="00A7631D">
        <w:t xml:space="preserve">.)  </w:t>
      </w:r>
      <w:r w:rsidR="00724C50" w:rsidRPr="00A7631D">
        <w:t xml:space="preserve">If a witness is unavailable but had previously testified against the defendant and was subject to cross-examination at that time, that prior testimony may be admitted.  </w:t>
      </w:r>
      <w:r w:rsidR="00EA1533" w:rsidRPr="00A7631D">
        <w:t>(</w:t>
      </w:r>
      <w:r w:rsidR="00EA1533" w:rsidRPr="00A7631D">
        <w:rPr>
          <w:i/>
          <w:iCs/>
        </w:rPr>
        <w:t>Ibid</w:t>
      </w:r>
      <w:r w:rsidR="00EA1533" w:rsidRPr="00A7631D">
        <w:t xml:space="preserve">., citing </w:t>
      </w:r>
      <w:r w:rsidR="005066BD" w:rsidRPr="00A7631D">
        <w:rPr>
          <w:i/>
          <w:iCs/>
        </w:rPr>
        <w:t>Barber v. Page</w:t>
      </w:r>
      <w:r w:rsidR="005066BD" w:rsidRPr="00A7631D">
        <w:t xml:space="preserve"> (1968) 390 U.S. 719, 722</w:t>
      </w:r>
      <w:r w:rsidR="00C24FED" w:rsidRPr="00A7631D">
        <w:t xml:space="preserve">; </w:t>
      </w:r>
      <w:r w:rsidR="00B76AAF" w:rsidRPr="00A7631D">
        <w:rPr>
          <w:i/>
          <w:iCs/>
        </w:rPr>
        <w:t xml:space="preserve">People v. </w:t>
      </w:r>
      <w:r w:rsidR="005066BD" w:rsidRPr="00A7631D">
        <w:rPr>
          <w:i/>
          <w:iCs/>
        </w:rPr>
        <w:t>Cromer</w:t>
      </w:r>
      <w:r w:rsidR="00B76AAF" w:rsidRPr="00A7631D">
        <w:t xml:space="preserve"> (2001) 24 Cal.4th 889,</w:t>
      </w:r>
      <w:r w:rsidR="005066BD" w:rsidRPr="00A7631D">
        <w:t xml:space="preserve"> 897.) </w:t>
      </w:r>
      <w:r w:rsidR="004474CD" w:rsidRPr="00A7631D">
        <w:t xml:space="preserve"> </w:t>
      </w:r>
      <w:r w:rsidR="00A02537" w:rsidRPr="00A7631D">
        <w:t xml:space="preserve">Evidence Code section 1291 codifies this exception to the </w:t>
      </w:r>
      <w:r w:rsidR="006A620A" w:rsidRPr="00A7631D">
        <w:t>C</w:t>
      </w:r>
      <w:r w:rsidR="00A02537" w:rsidRPr="00A7631D">
        <w:t xml:space="preserve">onfrontation </w:t>
      </w:r>
      <w:r w:rsidR="006A620A" w:rsidRPr="00A7631D">
        <w:t>C</w:t>
      </w:r>
      <w:r w:rsidR="00A02537" w:rsidRPr="00A7631D">
        <w:t xml:space="preserve">lauses, stating, </w:t>
      </w:r>
      <w:r w:rsidR="00A02537" w:rsidRPr="00A7631D">
        <w:lastRenderedPageBreak/>
        <w:t>“Evidence of former testimony is not made inadmissible by the hearsay rule if the declarant is unavailable as a witness and: </w:t>
      </w:r>
      <w:r w:rsidR="003459CB" w:rsidRPr="00A7631D">
        <w:t>[¶]</w:t>
      </w:r>
      <w:r w:rsidR="003459CB">
        <w:t xml:space="preserve"> </w:t>
      </w:r>
      <w:r w:rsidR="00A02537" w:rsidRPr="00A7631D">
        <w:t>. . . [¶] (2) The party against whom the former testimony is offered was a party to the action or proceeding in which the testimony was given and had the right and opportunity to cross-examine the declarant with an interest and motive similar to that which he has at the hearing.”</w:t>
      </w:r>
      <w:r w:rsidR="00F30A00">
        <w:t xml:space="preserve">  (Evid. Code, § 1291, subds. (a), (a)(2).)</w:t>
      </w:r>
      <w:r w:rsidR="00A02537" w:rsidRPr="00A7631D">
        <w:t xml:space="preserve">  </w:t>
      </w:r>
      <w:r w:rsidR="003A588C" w:rsidRPr="00A7631D">
        <w:t>We have held th</w:t>
      </w:r>
      <w:r w:rsidR="0087140E" w:rsidRPr="00A7631D">
        <w:t>is</w:t>
      </w:r>
      <w:r w:rsidR="003A588C" w:rsidRPr="00A7631D">
        <w:t xml:space="preserve"> exception permit</w:t>
      </w:r>
      <w:r w:rsidR="0087140E" w:rsidRPr="00A7631D">
        <w:t>s</w:t>
      </w:r>
      <w:r w:rsidR="003A588C" w:rsidRPr="00A7631D">
        <w:t xml:space="preserve"> </w:t>
      </w:r>
      <w:r w:rsidR="00C92ADC" w:rsidRPr="00A7631D">
        <w:t>an unavailable witness’s preliminary hearing testimony to be admitted at trial.</w:t>
      </w:r>
      <w:r w:rsidR="004474CD" w:rsidRPr="00A7631D">
        <w:t xml:space="preserve"> (</w:t>
      </w:r>
      <w:r w:rsidR="004474CD" w:rsidRPr="00A7631D">
        <w:rPr>
          <w:i/>
          <w:iCs/>
        </w:rPr>
        <w:t>Herrera,</w:t>
      </w:r>
      <w:r w:rsidR="004474CD" w:rsidRPr="00A7631D">
        <w:t xml:space="preserve"> </w:t>
      </w:r>
      <w:r w:rsidR="00D124EB" w:rsidRPr="00A7631D">
        <w:rPr>
          <w:i/>
          <w:iCs/>
        </w:rPr>
        <w:t>supra</w:t>
      </w:r>
      <w:r w:rsidR="00D124EB" w:rsidRPr="00A7631D">
        <w:t xml:space="preserve">, </w:t>
      </w:r>
      <w:r w:rsidR="004474CD" w:rsidRPr="00A7631D">
        <w:t>at p. 621</w:t>
      </w:r>
      <w:r w:rsidR="00C92ADC" w:rsidRPr="00A7631D">
        <w:t xml:space="preserve">; </w:t>
      </w:r>
      <w:r w:rsidR="005066BD" w:rsidRPr="00A7631D">
        <w:rPr>
          <w:i/>
          <w:iCs/>
        </w:rPr>
        <w:t xml:space="preserve">People v. </w:t>
      </w:r>
      <w:proofErr w:type="spellStart"/>
      <w:r w:rsidR="005066BD" w:rsidRPr="00A7631D">
        <w:rPr>
          <w:i/>
          <w:iCs/>
        </w:rPr>
        <w:t>Seijas</w:t>
      </w:r>
      <w:proofErr w:type="spellEnd"/>
      <w:r w:rsidR="005066BD" w:rsidRPr="00A7631D">
        <w:t xml:space="preserve"> (2005) 36 Cal.4th 291, 303.)</w:t>
      </w:r>
      <w:r w:rsidR="00DF15C8" w:rsidRPr="00A7631D">
        <w:t xml:space="preserve">  </w:t>
      </w:r>
    </w:p>
    <w:p w14:paraId="76491858" w14:textId="5343C6FC" w:rsidR="009C61AC" w:rsidRPr="00A7631D" w:rsidRDefault="00626AC4" w:rsidP="00E01243">
      <w:pPr>
        <w:pStyle w:val="NormalIndent"/>
        <w:ind w:left="0" w:firstLine="720"/>
      </w:pPr>
      <w:r w:rsidRPr="00A7631D">
        <w:t>Wilson</w:t>
      </w:r>
      <w:r w:rsidR="006455FF" w:rsidRPr="00A7631D">
        <w:t xml:space="preserve"> argues </w:t>
      </w:r>
      <w:r w:rsidR="00726406" w:rsidRPr="00A7631D">
        <w:t xml:space="preserve">the trial court erred by admitting Brown’s preliminary hearing testimony because he was </w:t>
      </w:r>
      <w:proofErr w:type="gramStart"/>
      <w:r w:rsidR="00726406" w:rsidRPr="00A7631D">
        <w:t>not unavailable</w:t>
      </w:r>
      <w:proofErr w:type="gramEnd"/>
      <w:r w:rsidR="00726406" w:rsidRPr="00A7631D">
        <w:t xml:space="preserve"> to testify at trial </w:t>
      </w:r>
      <w:r w:rsidR="006455FF" w:rsidRPr="00A7631D">
        <w:t xml:space="preserve">as that term was understood when the </w:t>
      </w:r>
      <w:r w:rsidR="00C25C19" w:rsidRPr="00A7631D">
        <w:t xml:space="preserve">federal </w:t>
      </w:r>
      <w:r w:rsidR="006455FF" w:rsidRPr="00A7631D">
        <w:t xml:space="preserve">Confrontation Clause was drafted, </w:t>
      </w:r>
      <w:r w:rsidR="00726406" w:rsidRPr="00A7631D">
        <w:t xml:space="preserve">and even under a modern interpretation of unavailability </w:t>
      </w:r>
      <w:r w:rsidR="00335565" w:rsidRPr="00A7631D">
        <w:t>the prosecution did not exercis</w:t>
      </w:r>
      <w:r w:rsidR="00DB3F64" w:rsidRPr="00A7631D">
        <w:t>e</w:t>
      </w:r>
      <w:r w:rsidR="00335565" w:rsidRPr="00A7631D">
        <w:t xml:space="preserve"> diligence in attempting to secure Brown’s presence at trial</w:t>
      </w:r>
      <w:r w:rsidR="00637C91" w:rsidRPr="00A7631D">
        <w:t>.</w:t>
      </w:r>
      <w:r w:rsidR="00DA1B6B" w:rsidRPr="00A7631D">
        <w:t xml:space="preserve"> </w:t>
      </w:r>
      <w:r w:rsidR="006455FF" w:rsidRPr="00A7631D">
        <w:t xml:space="preserve"> </w:t>
      </w:r>
      <w:r w:rsidR="002C07D7" w:rsidRPr="00A7631D">
        <w:t>Wilson argues that b</w:t>
      </w:r>
      <w:r w:rsidR="00ED0851" w:rsidRPr="00A7631D">
        <w:t xml:space="preserve">ecause Brown was not “dead, in extremis, </w:t>
      </w:r>
      <w:r w:rsidR="006A04A4" w:rsidRPr="00A7631D">
        <w:t xml:space="preserve">[] </w:t>
      </w:r>
      <w:r w:rsidR="00ED0851" w:rsidRPr="00A7631D">
        <w:t xml:space="preserve">detained by the defendant,” </w:t>
      </w:r>
      <w:r w:rsidR="006A04A4" w:rsidRPr="00A7631D">
        <w:t>or</w:t>
      </w:r>
      <w:r w:rsidR="00C94C6E" w:rsidRPr="00A7631D">
        <w:t xml:space="preserve"> outside the trial court’s jurisdiction, </w:t>
      </w:r>
      <w:r w:rsidR="00ED0851" w:rsidRPr="00A7631D">
        <w:t xml:space="preserve">Brown’s preliminary hearing testimony should not have been introduced. </w:t>
      </w:r>
      <w:r w:rsidR="0014257A" w:rsidRPr="00A7631D">
        <w:t xml:space="preserve"> Wilson </w:t>
      </w:r>
      <w:r w:rsidR="006A04A4" w:rsidRPr="00A7631D">
        <w:t xml:space="preserve">urges us to </w:t>
      </w:r>
      <w:r w:rsidR="009A5B4F" w:rsidRPr="00A7631D">
        <w:t xml:space="preserve">adopt the originalist </w:t>
      </w:r>
      <w:r w:rsidR="00217C65" w:rsidRPr="00A7631D">
        <w:t>interpretation of “unavailability” because the high court’s decision in</w:t>
      </w:r>
      <w:r w:rsidR="0014257A" w:rsidRPr="00A7631D">
        <w:t xml:space="preserve"> </w:t>
      </w:r>
      <w:r w:rsidR="0014257A" w:rsidRPr="00A7631D">
        <w:rPr>
          <w:i/>
          <w:iCs/>
        </w:rPr>
        <w:t>Crawford</w:t>
      </w:r>
      <w:r w:rsidR="003E1811" w:rsidRPr="00A7631D">
        <w:rPr>
          <w:i/>
          <w:iCs/>
        </w:rPr>
        <w:t xml:space="preserve"> v. Washington</w:t>
      </w:r>
      <w:r w:rsidR="003E1811" w:rsidRPr="00A7631D">
        <w:t xml:space="preserve"> (2004) </w:t>
      </w:r>
      <w:r w:rsidR="003C1851" w:rsidRPr="00A7631D">
        <w:t xml:space="preserve">541 U.S. </w:t>
      </w:r>
      <w:r w:rsidR="00E6064A" w:rsidRPr="00A7631D">
        <w:t>36</w:t>
      </w:r>
      <w:r w:rsidR="005D3ACE">
        <w:t>, 68</w:t>
      </w:r>
      <w:r w:rsidR="00E6064A" w:rsidRPr="00A7631D">
        <w:t xml:space="preserve"> (</w:t>
      </w:r>
      <w:r w:rsidR="00E6064A" w:rsidRPr="00A7631D">
        <w:rPr>
          <w:i/>
          <w:iCs/>
        </w:rPr>
        <w:t>Crawford</w:t>
      </w:r>
      <w:r w:rsidR="00E6064A" w:rsidRPr="00A7631D">
        <w:t>)</w:t>
      </w:r>
      <w:r w:rsidR="0014257A" w:rsidRPr="00A7631D">
        <w:t xml:space="preserve"> commands conformity with </w:t>
      </w:r>
      <w:r w:rsidR="003E1811" w:rsidRPr="00A7631D">
        <w:t>the common law at the time of this nation’s founding</w:t>
      </w:r>
      <w:r w:rsidR="003C1851" w:rsidRPr="00A7631D">
        <w:t xml:space="preserve">.  </w:t>
      </w:r>
    </w:p>
    <w:p w14:paraId="2761DA17" w14:textId="112573F7" w:rsidR="00B15F0D" w:rsidRPr="00A7631D" w:rsidRDefault="00630203" w:rsidP="00E01243">
      <w:pPr>
        <w:pStyle w:val="NormalIndent"/>
        <w:ind w:left="0" w:firstLine="720"/>
        <w:rPr>
          <w:szCs w:val="26"/>
        </w:rPr>
      </w:pPr>
      <w:r w:rsidRPr="00A7631D">
        <w:rPr>
          <w:szCs w:val="26"/>
        </w:rPr>
        <w:t xml:space="preserve">In </w:t>
      </w:r>
      <w:r w:rsidRPr="00A7631D">
        <w:rPr>
          <w:i/>
          <w:iCs/>
          <w:szCs w:val="26"/>
        </w:rPr>
        <w:t>Crawford</w:t>
      </w:r>
      <w:r w:rsidR="00962E26" w:rsidRPr="00A7631D">
        <w:rPr>
          <w:szCs w:val="26"/>
        </w:rPr>
        <w:t xml:space="preserve">, the court </w:t>
      </w:r>
      <w:r w:rsidR="00546DA9">
        <w:rPr>
          <w:szCs w:val="26"/>
        </w:rPr>
        <w:t>underscored that</w:t>
      </w:r>
      <w:r w:rsidR="0052096D" w:rsidRPr="00A7631D">
        <w:rPr>
          <w:szCs w:val="26"/>
        </w:rPr>
        <w:t xml:space="preserve"> “reliability of evidence” is</w:t>
      </w:r>
      <w:r w:rsidR="00962E26" w:rsidRPr="00A7631D">
        <w:rPr>
          <w:szCs w:val="26"/>
        </w:rPr>
        <w:t xml:space="preserve"> </w:t>
      </w:r>
      <w:r w:rsidR="006876A6">
        <w:rPr>
          <w:szCs w:val="26"/>
        </w:rPr>
        <w:t>a goal</w:t>
      </w:r>
      <w:r w:rsidR="00034DE5" w:rsidRPr="00A7631D">
        <w:rPr>
          <w:szCs w:val="26"/>
        </w:rPr>
        <w:t xml:space="preserve"> </w:t>
      </w:r>
      <w:r w:rsidR="00BC6234" w:rsidRPr="00A7631D">
        <w:rPr>
          <w:szCs w:val="26"/>
        </w:rPr>
        <w:t>embodied in</w:t>
      </w:r>
      <w:r w:rsidR="00034DE5" w:rsidRPr="00A7631D">
        <w:rPr>
          <w:szCs w:val="26"/>
        </w:rPr>
        <w:t xml:space="preserve"> the Confrontation Clause</w:t>
      </w:r>
      <w:r w:rsidR="00BC6234" w:rsidRPr="00A7631D">
        <w:rPr>
          <w:szCs w:val="26"/>
        </w:rPr>
        <w:t>.</w:t>
      </w:r>
      <w:r w:rsidR="00F84688" w:rsidRPr="00A7631D">
        <w:rPr>
          <w:szCs w:val="26"/>
        </w:rPr>
        <w:t xml:space="preserve">  (</w:t>
      </w:r>
      <w:r w:rsidR="00F84688" w:rsidRPr="00A7631D">
        <w:rPr>
          <w:i/>
          <w:iCs/>
          <w:szCs w:val="26"/>
        </w:rPr>
        <w:t>Crawford</w:t>
      </w:r>
      <w:r w:rsidR="00F84688" w:rsidRPr="00A7631D">
        <w:rPr>
          <w:szCs w:val="26"/>
        </w:rPr>
        <w:t xml:space="preserve">, </w:t>
      </w:r>
      <w:r w:rsidR="00F84688" w:rsidRPr="00A7631D">
        <w:rPr>
          <w:i/>
          <w:iCs/>
          <w:szCs w:val="26"/>
        </w:rPr>
        <w:t>supra</w:t>
      </w:r>
      <w:r w:rsidR="00F84688" w:rsidRPr="00A7631D">
        <w:rPr>
          <w:szCs w:val="26"/>
        </w:rPr>
        <w:t xml:space="preserve">, 541 U.S. at p. 61.)  </w:t>
      </w:r>
      <w:r w:rsidR="00C207CA">
        <w:rPr>
          <w:szCs w:val="26"/>
        </w:rPr>
        <w:t>One way reliability is</w:t>
      </w:r>
      <w:r w:rsidR="00FE02EE">
        <w:rPr>
          <w:szCs w:val="26"/>
        </w:rPr>
        <w:t xml:space="preserve"> tested is</w:t>
      </w:r>
      <w:r w:rsidR="00DE268B" w:rsidRPr="00A7631D">
        <w:rPr>
          <w:szCs w:val="26"/>
        </w:rPr>
        <w:t xml:space="preserve"> “</w:t>
      </w:r>
      <w:r w:rsidR="009C61AC" w:rsidRPr="00A7631D">
        <w:rPr>
          <w:szCs w:val="26"/>
        </w:rPr>
        <w:t>in the crucible of cross-examination.</w:t>
      </w:r>
      <w:r w:rsidR="00DE268B" w:rsidRPr="00A7631D">
        <w:rPr>
          <w:szCs w:val="26"/>
        </w:rPr>
        <w:t>”  (</w:t>
      </w:r>
      <w:r w:rsidR="00DE268B" w:rsidRPr="00A7631D">
        <w:rPr>
          <w:i/>
          <w:iCs/>
          <w:szCs w:val="26"/>
        </w:rPr>
        <w:t>Ibid</w:t>
      </w:r>
      <w:r w:rsidR="00DE268B" w:rsidRPr="00A7631D">
        <w:rPr>
          <w:szCs w:val="26"/>
        </w:rPr>
        <w:t>.)</w:t>
      </w:r>
      <w:r w:rsidR="003262B7" w:rsidRPr="00A7631D">
        <w:rPr>
          <w:szCs w:val="26"/>
        </w:rPr>
        <w:t xml:space="preserve">  </w:t>
      </w:r>
      <w:r w:rsidR="002F4FDD" w:rsidRPr="00A7631D">
        <w:rPr>
          <w:szCs w:val="26"/>
        </w:rPr>
        <w:t>In acknowledging that</w:t>
      </w:r>
      <w:r w:rsidR="00E81469" w:rsidRPr="00A7631D">
        <w:rPr>
          <w:szCs w:val="26"/>
        </w:rPr>
        <w:t xml:space="preserve"> “[r]</w:t>
      </w:r>
      <w:proofErr w:type="spellStart"/>
      <w:r w:rsidR="00E81469" w:rsidRPr="00A7631D">
        <w:rPr>
          <w:szCs w:val="26"/>
        </w:rPr>
        <w:t>eliability</w:t>
      </w:r>
      <w:proofErr w:type="spellEnd"/>
      <w:r w:rsidR="00E81469" w:rsidRPr="00A7631D">
        <w:rPr>
          <w:szCs w:val="26"/>
        </w:rPr>
        <w:t xml:space="preserve"> is an amorphous, if not entirely subjective, concept” </w:t>
      </w:r>
      <w:r w:rsidR="002F4FDD" w:rsidRPr="00A7631D">
        <w:rPr>
          <w:szCs w:val="26"/>
        </w:rPr>
        <w:t>(</w:t>
      </w:r>
      <w:r w:rsidR="002F4FDD" w:rsidRPr="00A7631D">
        <w:rPr>
          <w:i/>
          <w:iCs/>
          <w:szCs w:val="26"/>
        </w:rPr>
        <w:t>i</w:t>
      </w:r>
      <w:r w:rsidR="00E81469" w:rsidRPr="00A7631D">
        <w:rPr>
          <w:i/>
          <w:iCs/>
          <w:szCs w:val="26"/>
        </w:rPr>
        <w:t>d</w:t>
      </w:r>
      <w:r w:rsidR="00E81469" w:rsidRPr="00A7631D">
        <w:rPr>
          <w:szCs w:val="26"/>
        </w:rPr>
        <w:t>. at p. 63)</w:t>
      </w:r>
      <w:r w:rsidR="002F4FDD" w:rsidRPr="00A7631D">
        <w:rPr>
          <w:szCs w:val="26"/>
        </w:rPr>
        <w:t>, t</w:t>
      </w:r>
      <w:r w:rsidR="006E4A74" w:rsidRPr="00A7631D">
        <w:rPr>
          <w:szCs w:val="26"/>
        </w:rPr>
        <w:t xml:space="preserve">he court </w:t>
      </w:r>
      <w:r w:rsidR="00C405AE">
        <w:rPr>
          <w:szCs w:val="26"/>
        </w:rPr>
        <w:t xml:space="preserve">held </w:t>
      </w:r>
      <w:r w:rsidR="005B25F9" w:rsidRPr="00A7631D">
        <w:rPr>
          <w:szCs w:val="26"/>
        </w:rPr>
        <w:t>that “[w]</w:t>
      </w:r>
      <w:r w:rsidR="00901F5D" w:rsidRPr="00A7631D">
        <w:rPr>
          <w:szCs w:val="26"/>
        </w:rPr>
        <w:t xml:space="preserve">here </w:t>
      </w:r>
      <w:r w:rsidR="00901F5D" w:rsidRPr="00A7631D">
        <w:rPr>
          <w:szCs w:val="26"/>
        </w:rPr>
        <w:lastRenderedPageBreak/>
        <w:t>testimonial evidence is at issue” — as it is here — “the Sixth Amendment demands what the common law required:  unavailability and a prior opportunity for cross-examination”</w:t>
      </w:r>
      <w:r w:rsidR="005B25F9" w:rsidRPr="00A7631D">
        <w:rPr>
          <w:szCs w:val="26"/>
        </w:rPr>
        <w:t xml:space="preserve"> (</w:t>
      </w:r>
      <w:r w:rsidR="00D61768" w:rsidRPr="00A7631D">
        <w:rPr>
          <w:i/>
          <w:iCs/>
          <w:szCs w:val="26"/>
        </w:rPr>
        <w:t>i</w:t>
      </w:r>
      <w:r w:rsidR="005B25F9" w:rsidRPr="00A7631D">
        <w:rPr>
          <w:i/>
          <w:iCs/>
          <w:szCs w:val="26"/>
        </w:rPr>
        <w:t>d.</w:t>
      </w:r>
      <w:r w:rsidR="005B25F9" w:rsidRPr="00A7631D">
        <w:rPr>
          <w:szCs w:val="26"/>
        </w:rPr>
        <w:t xml:space="preserve"> at p. 68)</w:t>
      </w:r>
      <w:r w:rsidR="00D61768" w:rsidRPr="00A7631D">
        <w:rPr>
          <w:szCs w:val="26"/>
        </w:rPr>
        <w:t xml:space="preserve">.  </w:t>
      </w:r>
      <w:r w:rsidR="00D61768" w:rsidRPr="00A7631D">
        <w:rPr>
          <w:i/>
          <w:iCs/>
          <w:szCs w:val="26"/>
        </w:rPr>
        <w:t>Crawford</w:t>
      </w:r>
      <w:r w:rsidR="00D61768" w:rsidRPr="00A7631D">
        <w:rPr>
          <w:szCs w:val="26"/>
        </w:rPr>
        <w:t xml:space="preserve"> did not define unavailability, </w:t>
      </w:r>
      <w:r w:rsidR="007726B6" w:rsidRPr="00A7631D">
        <w:rPr>
          <w:szCs w:val="26"/>
        </w:rPr>
        <w:t>but in a pre-</w:t>
      </w:r>
      <w:r w:rsidR="009318E2" w:rsidRPr="00A7631D">
        <w:rPr>
          <w:i/>
          <w:iCs/>
          <w:shd w:val="clear" w:color="auto" w:fill="FFFFFF"/>
        </w:rPr>
        <w:t>Crawford</w:t>
      </w:r>
      <w:r w:rsidR="007726B6" w:rsidRPr="00A7631D">
        <w:rPr>
          <w:shd w:val="clear" w:color="auto" w:fill="FFFFFF"/>
        </w:rPr>
        <w:t xml:space="preserve"> decision,</w:t>
      </w:r>
      <w:r w:rsidR="009318E2" w:rsidRPr="00A7631D">
        <w:rPr>
          <w:shd w:val="clear" w:color="auto" w:fill="FFFFFF"/>
        </w:rPr>
        <w:t xml:space="preserve"> the court</w:t>
      </w:r>
      <w:r w:rsidR="007B204E" w:rsidRPr="00A7631D">
        <w:rPr>
          <w:shd w:val="clear" w:color="auto" w:fill="FFFFFF"/>
        </w:rPr>
        <w:t xml:space="preserve"> </w:t>
      </w:r>
      <w:r w:rsidR="009A2C4B" w:rsidRPr="00A7631D">
        <w:rPr>
          <w:shd w:val="clear" w:color="auto" w:fill="FFFFFF"/>
        </w:rPr>
        <w:t>explained</w:t>
      </w:r>
      <w:r w:rsidR="007B204E" w:rsidRPr="00A7631D">
        <w:rPr>
          <w:shd w:val="clear" w:color="auto" w:fill="FFFFFF"/>
        </w:rPr>
        <w:t xml:space="preserve"> the “basic litmus of Sixth Amendment unavailability” as follows: </w:t>
      </w:r>
      <w:r w:rsidR="00F4724C">
        <w:rPr>
          <w:shd w:val="clear" w:color="auto" w:fill="FFFFFF"/>
        </w:rPr>
        <w:t xml:space="preserve"> </w:t>
      </w:r>
      <w:r w:rsidR="007B204E" w:rsidRPr="00A7631D">
        <w:rPr>
          <w:shd w:val="clear" w:color="auto" w:fill="FFFFFF"/>
        </w:rPr>
        <w:t>“</w:t>
      </w:r>
      <w:r w:rsidR="00005707">
        <w:rPr>
          <w:shd w:val="clear" w:color="auto" w:fill="FFFFFF"/>
        </w:rPr>
        <w:t> </w:t>
      </w:r>
      <w:r w:rsidR="007B204E" w:rsidRPr="00A7631D">
        <w:rPr>
          <w:shd w:val="clear" w:color="auto" w:fill="FFFFFF"/>
        </w:rPr>
        <w:t xml:space="preserve">‘[A] witness is not “unavailable” for purposes of the . . . exception to the confrontation requirement unless the prosecutorial authorities have made a </w:t>
      </w:r>
      <w:r w:rsidR="007B204E" w:rsidRPr="00A7631D">
        <w:rPr>
          <w:rStyle w:val="Emphasis"/>
          <w:bdr w:val="none" w:sz="0" w:space="0" w:color="auto" w:frame="1"/>
        </w:rPr>
        <w:t>good-faith effort</w:t>
      </w:r>
      <w:r w:rsidR="007B204E" w:rsidRPr="00A7631D">
        <w:rPr>
          <w:shd w:val="clear" w:color="auto" w:fill="FFFFFF"/>
        </w:rPr>
        <w:t xml:space="preserve"> to obtain his presence at trial.’</w:t>
      </w:r>
      <w:r w:rsidR="00D17A52">
        <w:rPr>
          <w:shd w:val="clear" w:color="auto" w:fill="FFFFFF"/>
        </w:rPr>
        <w:t> </w:t>
      </w:r>
      <w:r w:rsidR="007B204E" w:rsidRPr="00A7631D">
        <w:rPr>
          <w:shd w:val="clear" w:color="auto" w:fill="FFFFFF"/>
        </w:rPr>
        <w:t>”</w:t>
      </w:r>
      <w:r w:rsidR="007B204E" w:rsidRPr="00065E63">
        <w:rPr>
          <w:shd w:val="clear" w:color="auto" w:fill="FFFFFF"/>
        </w:rPr>
        <w:t xml:space="preserve">  </w:t>
      </w:r>
      <w:r w:rsidR="007B204E" w:rsidRPr="00A7631D">
        <w:rPr>
          <w:szCs w:val="26"/>
        </w:rPr>
        <w:t>(</w:t>
      </w:r>
      <w:r w:rsidR="00C37A46" w:rsidRPr="00A7631D">
        <w:rPr>
          <w:i/>
          <w:iCs/>
          <w:szCs w:val="26"/>
        </w:rPr>
        <w:t xml:space="preserve">Ohio v. Roberts </w:t>
      </w:r>
      <w:r w:rsidR="00C37A46" w:rsidRPr="00A7631D">
        <w:rPr>
          <w:szCs w:val="26"/>
        </w:rPr>
        <w:t>(1980) 448 U.S. 56, 74.)</w:t>
      </w:r>
      <w:r w:rsidR="001973DB">
        <w:rPr>
          <w:rStyle w:val="FootnoteReference"/>
          <w:szCs w:val="26"/>
        </w:rPr>
        <w:footnoteReference w:id="15"/>
      </w:r>
      <w:r w:rsidR="00C37A46" w:rsidRPr="00A7631D">
        <w:rPr>
          <w:szCs w:val="26"/>
        </w:rPr>
        <w:t xml:space="preserve">  </w:t>
      </w:r>
      <w:r w:rsidR="0050765D" w:rsidRPr="00A7631D">
        <w:rPr>
          <w:szCs w:val="26"/>
        </w:rPr>
        <w:t xml:space="preserve">California law </w:t>
      </w:r>
      <w:r w:rsidR="00536A1B" w:rsidRPr="00A7631D">
        <w:rPr>
          <w:szCs w:val="26"/>
        </w:rPr>
        <w:t>is</w:t>
      </w:r>
      <w:r w:rsidR="000A39B8" w:rsidRPr="00A7631D">
        <w:rPr>
          <w:szCs w:val="26"/>
        </w:rPr>
        <w:t xml:space="preserve"> </w:t>
      </w:r>
      <w:r w:rsidR="00657B29" w:rsidRPr="00A7631D">
        <w:rPr>
          <w:szCs w:val="26"/>
        </w:rPr>
        <w:t xml:space="preserve">in accord.  </w:t>
      </w:r>
      <w:r w:rsidR="004505AB" w:rsidRPr="00A7631D">
        <w:rPr>
          <w:szCs w:val="26"/>
        </w:rPr>
        <w:t xml:space="preserve">Evidence Code section </w:t>
      </w:r>
      <w:r w:rsidR="003D6CBE" w:rsidRPr="00A7631D">
        <w:rPr>
          <w:szCs w:val="26"/>
        </w:rPr>
        <w:t>240</w:t>
      </w:r>
      <w:r w:rsidR="004505AB" w:rsidRPr="00A7631D">
        <w:rPr>
          <w:szCs w:val="26"/>
        </w:rPr>
        <w:t xml:space="preserve"> </w:t>
      </w:r>
      <w:r w:rsidR="00AD69CE" w:rsidRPr="00A7631D">
        <w:rPr>
          <w:szCs w:val="26"/>
        </w:rPr>
        <w:t>includes in its definition of</w:t>
      </w:r>
      <w:r w:rsidR="004505AB" w:rsidRPr="00A7631D">
        <w:rPr>
          <w:szCs w:val="26"/>
        </w:rPr>
        <w:t xml:space="preserve"> u</w:t>
      </w:r>
      <w:r w:rsidR="000A39B8" w:rsidRPr="00A7631D">
        <w:rPr>
          <w:szCs w:val="26"/>
        </w:rPr>
        <w:t xml:space="preserve">navailability </w:t>
      </w:r>
      <w:r w:rsidR="007D3BC4" w:rsidRPr="00A7631D">
        <w:rPr>
          <w:szCs w:val="26"/>
        </w:rPr>
        <w:t>a witness who is “[a]</w:t>
      </w:r>
      <w:proofErr w:type="spellStart"/>
      <w:r w:rsidR="007D3BC4" w:rsidRPr="00A7631D">
        <w:rPr>
          <w:szCs w:val="26"/>
        </w:rPr>
        <w:t>bsent</w:t>
      </w:r>
      <w:proofErr w:type="spellEnd"/>
      <w:r w:rsidR="007D3BC4" w:rsidRPr="00A7631D">
        <w:rPr>
          <w:szCs w:val="26"/>
        </w:rPr>
        <w:t xml:space="preserve"> from the hearing and the proponent of his or her statement has exercised reasonable diligence but has been unable to procure his or her attendance by the court’s process.”  (Evid. Code,</w:t>
      </w:r>
      <w:r w:rsidR="004624AE" w:rsidRPr="00A7631D">
        <w:rPr>
          <w:szCs w:val="26"/>
        </w:rPr>
        <w:t xml:space="preserve"> § 240, </w:t>
      </w:r>
      <w:proofErr w:type="spellStart"/>
      <w:r w:rsidR="004624AE" w:rsidRPr="00A7631D">
        <w:rPr>
          <w:szCs w:val="26"/>
        </w:rPr>
        <w:t>subd</w:t>
      </w:r>
      <w:proofErr w:type="spellEnd"/>
      <w:r w:rsidR="004624AE" w:rsidRPr="00A7631D">
        <w:rPr>
          <w:szCs w:val="26"/>
        </w:rPr>
        <w:t>. (a)(5).)</w:t>
      </w:r>
    </w:p>
    <w:p w14:paraId="26F740BA" w14:textId="78C83972" w:rsidR="00E51988" w:rsidRPr="00A7631D" w:rsidRDefault="00924477" w:rsidP="00E01243">
      <w:pPr>
        <w:pStyle w:val="NormalIndent"/>
        <w:ind w:left="0" w:firstLine="720"/>
        <w:rPr>
          <w:szCs w:val="26"/>
        </w:rPr>
      </w:pPr>
      <w:r w:rsidRPr="00A7631D">
        <w:rPr>
          <w:szCs w:val="26"/>
        </w:rPr>
        <w:t>We recently explained that</w:t>
      </w:r>
      <w:r w:rsidR="005A5318" w:rsidRPr="00A7631D">
        <w:rPr>
          <w:szCs w:val="26"/>
        </w:rPr>
        <w:t xml:space="preserve"> prior testimony of an unavailable witness may</w:t>
      </w:r>
      <w:r w:rsidR="00DB3F64" w:rsidRPr="00A7631D">
        <w:rPr>
          <w:szCs w:val="26"/>
        </w:rPr>
        <w:t xml:space="preserve"> be</w:t>
      </w:r>
      <w:r w:rsidRPr="00A7631D">
        <w:rPr>
          <w:szCs w:val="26"/>
        </w:rPr>
        <w:t xml:space="preserve"> </w:t>
      </w:r>
      <w:r w:rsidR="005A5318" w:rsidRPr="00A7631D">
        <w:rPr>
          <w:szCs w:val="26"/>
        </w:rPr>
        <w:t xml:space="preserve">admitted if, at that prior hearing, </w:t>
      </w:r>
      <w:r w:rsidRPr="00A7631D">
        <w:rPr>
          <w:szCs w:val="26"/>
        </w:rPr>
        <w:t>“the defendant had the opportunity to cross-examine the witness</w:t>
      </w:r>
      <w:r w:rsidR="005A5318" w:rsidRPr="00A7631D">
        <w:rPr>
          <w:szCs w:val="26"/>
        </w:rPr>
        <w:t xml:space="preserve"> . . . .</w:t>
      </w:r>
      <w:r w:rsidRPr="00A7631D">
        <w:rPr>
          <w:szCs w:val="26"/>
        </w:rPr>
        <w:t>”  (</w:t>
      </w:r>
      <w:r w:rsidRPr="00A7631D">
        <w:rPr>
          <w:i/>
          <w:iCs/>
          <w:szCs w:val="26"/>
        </w:rPr>
        <w:t>People v. Sánchez</w:t>
      </w:r>
      <w:r w:rsidRPr="00A7631D">
        <w:rPr>
          <w:szCs w:val="26"/>
        </w:rPr>
        <w:t xml:space="preserve"> (2016) 63 Cal.4th 411, 440 (</w:t>
      </w:r>
      <w:r w:rsidRPr="00A7631D">
        <w:rPr>
          <w:i/>
          <w:iCs/>
          <w:szCs w:val="26"/>
        </w:rPr>
        <w:t>Sánchez</w:t>
      </w:r>
      <w:r w:rsidRPr="00A7631D">
        <w:rPr>
          <w:szCs w:val="26"/>
        </w:rPr>
        <w:t xml:space="preserve">).)  </w:t>
      </w:r>
      <w:r w:rsidR="00E14145" w:rsidRPr="00A7631D">
        <w:rPr>
          <w:szCs w:val="26"/>
        </w:rPr>
        <w:t>The prosecution must demonstrate that</w:t>
      </w:r>
      <w:r w:rsidR="00E51988" w:rsidRPr="00A7631D">
        <w:rPr>
          <w:szCs w:val="26"/>
        </w:rPr>
        <w:t xml:space="preserve"> </w:t>
      </w:r>
      <w:r w:rsidR="00E14145" w:rsidRPr="00A7631D">
        <w:rPr>
          <w:szCs w:val="26"/>
        </w:rPr>
        <w:t>“</w:t>
      </w:r>
      <w:r w:rsidR="00E51988" w:rsidRPr="00A7631D">
        <w:rPr>
          <w:szCs w:val="26"/>
        </w:rPr>
        <w:t xml:space="preserve">the witness is unavailable and, additionally, that it made a </w:t>
      </w:r>
      <w:r w:rsidR="00687886" w:rsidRPr="00A7631D">
        <w:rPr>
          <w:szCs w:val="26"/>
        </w:rPr>
        <w:t>‘</w:t>
      </w:r>
      <w:r w:rsidR="00E51988" w:rsidRPr="00A7631D">
        <w:rPr>
          <w:szCs w:val="26"/>
        </w:rPr>
        <w:t>good-faith effort</w:t>
      </w:r>
      <w:r w:rsidR="00687886" w:rsidRPr="00A7631D">
        <w:rPr>
          <w:szCs w:val="26"/>
        </w:rPr>
        <w:t>’ [citation]</w:t>
      </w:r>
      <w:r w:rsidR="00E51988" w:rsidRPr="00A7631D">
        <w:rPr>
          <w:szCs w:val="26"/>
        </w:rPr>
        <w:t xml:space="preserve"> or, equivalently, exercised reasonable or due diligence to obtain the witness</w:t>
      </w:r>
      <w:r w:rsidR="00687886" w:rsidRPr="00A7631D">
        <w:rPr>
          <w:szCs w:val="26"/>
        </w:rPr>
        <w:t>’s</w:t>
      </w:r>
      <w:r w:rsidR="00E51988" w:rsidRPr="00A7631D">
        <w:rPr>
          <w:szCs w:val="26"/>
        </w:rPr>
        <w:t xml:space="preserve"> presence at trial.</w:t>
      </w:r>
      <w:r w:rsidR="001A3FBD" w:rsidRPr="00A7631D">
        <w:rPr>
          <w:szCs w:val="26"/>
        </w:rPr>
        <w:t>”  (</w:t>
      </w:r>
      <w:r w:rsidR="001A3FBD" w:rsidRPr="00A7631D">
        <w:rPr>
          <w:i/>
          <w:iCs/>
          <w:szCs w:val="26"/>
        </w:rPr>
        <w:t>Ibid</w:t>
      </w:r>
      <w:r w:rsidR="001A3FBD" w:rsidRPr="00A7631D">
        <w:rPr>
          <w:szCs w:val="26"/>
        </w:rPr>
        <w:t xml:space="preserve">.)  </w:t>
      </w:r>
      <w:r w:rsidR="0052051F" w:rsidRPr="00A7631D">
        <w:rPr>
          <w:szCs w:val="26"/>
        </w:rPr>
        <w:lastRenderedPageBreak/>
        <w:t>While d</w:t>
      </w:r>
      <w:r w:rsidR="001A3FBD" w:rsidRPr="00A7631D">
        <w:rPr>
          <w:szCs w:val="26"/>
        </w:rPr>
        <w:t>ue diligence</w:t>
      </w:r>
      <w:r w:rsidR="0052051F" w:rsidRPr="00A7631D">
        <w:rPr>
          <w:szCs w:val="26"/>
        </w:rPr>
        <w:t xml:space="preserve"> lacks a precise definition, we have explained that it</w:t>
      </w:r>
      <w:r w:rsidR="00063946" w:rsidRPr="00A7631D">
        <w:rPr>
          <w:szCs w:val="26"/>
        </w:rPr>
        <w:t xml:space="preserve"> “ ‘ “</w:t>
      </w:r>
      <w:r w:rsidR="00E51988" w:rsidRPr="00A7631D">
        <w:rPr>
          <w:szCs w:val="26"/>
        </w:rPr>
        <w:t xml:space="preserve">connotes persevering application, untiring efforts in good earnest, </w:t>
      </w:r>
      <w:r w:rsidR="00063946" w:rsidRPr="00A7631D">
        <w:rPr>
          <w:szCs w:val="26"/>
        </w:rPr>
        <w:t xml:space="preserve">[and] </w:t>
      </w:r>
      <w:r w:rsidR="00E51988" w:rsidRPr="00A7631D">
        <w:rPr>
          <w:szCs w:val="26"/>
        </w:rPr>
        <w:t>efforts of a substantial character.</w:t>
      </w:r>
      <w:r w:rsidR="0052051F" w:rsidRPr="00A7631D">
        <w:rPr>
          <w:szCs w:val="26"/>
        </w:rPr>
        <w:t>”</w:t>
      </w:r>
      <w:r w:rsidR="00005707">
        <w:rPr>
          <w:szCs w:val="26"/>
        </w:rPr>
        <w:t> </w:t>
      </w:r>
      <w:r w:rsidR="00E51988" w:rsidRPr="00A7631D">
        <w:rPr>
          <w:szCs w:val="26"/>
        </w:rPr>
        <w:t>’</w:t>
      </w:r>
      <w:r w:rsidR="00005707">
        <w:rPr>
          <w:szCs w:val="26"/>
        </w:rPr>
        <w:t> </w:t>
      </w:r>
      <w:r w:rsidR="00E51988" w:rsidRPr="00A7631D">
        <w:rPr>
          <w:szCs w:val="26"/>
        </w:rPr>
        <w:t xml:space="preserve">” </w:t>
      </w:r>
      <w:r w:rsidR="0052051F" w:rsidRPr="00A7631D">
        <w:rPr>
          <w:szCs w:val="26"/>
        </w:rPr>
        <w:t xml:space="preserve"> </w:t>
      </w:r>
      <w:r w:rsidR="00063946" w:rsidRPr="00A7631D">
        <w:rPr>
          <w:szCs w:val="26"/>
        </w:rPr>
        <w:t>(</w:t>
      </w:r>
      <w:r w:rsidR="00063946" w:rsidRPr="00A7631D">
        <w:rPr>
          <w:i/>
          <w:iCs/>
          <w:szCs w:val="26"/>
        </w:rPr>
        <w:t>Ibid</w:t>
      </w:r>
      <w:r w:rsidR="00063946" w:rsidRPr="00A7631D">
        <w:rPr>
          <w:szCs w:val="26"/>
        </w:rPr>
        <w:t>.)  We eva</w:t>
      </w:r>
      <w:r w:rsidR="00E37C25" w:rsidRPr="00A7631D">
        <w:rPr>
          <w:szCs w:val="26"/>
        </w:rPr>
        <w:t>luate whether the prosecution timely searched for the unavailable witness,</w:t>
      </w:r>
      <w:r w:rsidR="00685E1C" w:rsidRPr="00A7631D">
        <w:rPr>
          <w:szCs w:val="26"/>
        </w:rPr>
        <w:t xml:space="preserve"> whether the prosecution “competently explored” leads </w:t>
      </w:r>
      <w:r w:rsidR="00DB70E5" w:rsidRPr="00A7631D">
        <w:rPr>
          <w:szCs w:val="26"/>
        </w:rPr>
        <w:t>on the witness’s location, and</w:t>
      </w:r>
      <w:r w:rsidR="00E37C25" w:rsidRPr="00A7631D">
        <w:rPr>
          <w:szCs w:val="26"/>
        </w:rPr>
        <w:t xml:space="preserve"> the</w:t>
      </w:r>
      <w:r w:rsidR="00DB70E5" w:rsidRPr="00A7631D">
        <w:rPr>
          <w:szCs w:val="26"/>
        </w:rPr>
        <w:t xml:space="preserve"> overall</w:t>
      </w:r>
      <w:r w:rsidR="00E37C25" w:rsidRPr="00A7631D">
        <w:rPr>
          <w:szCs w:val="26"/>
        </w:rPr>
        <w:t xml:space="preserve"> import of the unavailable witness’s testimony</w:t>
      </w:r>
      <w:r w:rsidR="00DB70E5" w:rsidRPr="00A7631D">
        <w:rPr>
          <w:szCs w:val="26"/>
        </w:rPr>
        <w:t xml:space="preserve">.  </w:t>
      </w:r>
      <w:r w:rsidR="00E51988" w:rsidRPr="00A7631D">
        <w:rPr>
          <w:szCs w:val="26"/>
        </w:rPr>
        <w:t>(</w:t>
      </w:r>
      <w:r w:rsidR="00E51988" w:rsidRPr="00A7631D">
        <w:rPr>
          <w:i/>
          <w:iCs/>
          <w:szCs w:val="26"/>
        </w:rPr>
        <w:t>Ibid</w:t>
      </w:r>
      <w:r w:rsidR="00E51988" w:rsidRPr="00A7631D">
        <w:rPr>
          <w:szCs w:val="26"/>
        </w:rPr>
        <w:t xml:space="preserve">.) </w:t>
      </w:r>
      <w:r w:rsidR="00065DFE" w:rsidRPr="00A7631D">
        <w:rPr>
          <w:szCs w:val="26"/>
        </w:rPr>
        <w:t xml:space="preserve"> </w:t>
      </w:r>
      <w:r w:rsidR="008E1301" w:rsidRPr="00A7631D">
        <w:rPr>
          <w:szCs w:val="26"/>
        </w:rPr>
        <w:t xml:space="preserve">We </w:t>
      </w:r>
      <w:r w:rsidR="00065DFE" w:rsidRPr="00A7631D">
        <w:rPr>
          <w:szCs w:val="26"/>
        </w:rPr>
        <w:t xml:space="preserve">review </w:t>
      </w:r>
      <w:r w:rsidR="008E1301" w:rsidRPr="00A7631D">
        <w:rPr>
          <w:szCs w:val="26"/>
        </w:rPr>
        <w:t xml:space="preserve">de novo </w:t>
      </w:r>
      <w:r w:rsidR="00065DFE" w:rsidRPr="00A7631D">
        <w:rPr>
          <w:szCs w:val="26"/>
        </w:rPr>
        <w:t>the trial court’s unavailability determination</w:t>
      </w:r>
      <w:r w:rsidR="008E1301" w:rsidRPr="00A7631D">
        <w:rPr>
          <w:szCs w:val="26"/>
        </w:rPr>
        <w:t>,</w:t>
      </w:r>
      <w:r w:rsidR="001B18D8" w:rsidRPr="00A7631D">
        <w:rPr>
          <w:szCs w:val="26"/>
        </w:rPr>
        <w:t xml:space="preserve"> although we defer to the trial court’s determination of historical facts supported by substantial evidence.  (</w:t>
      </w:r>
      <w:r w:rsidR="001B18D8" w:rsidRPr="00A7631D">
        <w:rPr>
          <w:i/>
          <w:iCs/>
          <w:szCs w:val="26"/>
        </w:rPr>
        <w:t>Ibid</w:t>
      </w:r>
      <w:r w:rsidR="001B18D8" w:rsidRPr="00A7631D">
        <w:rPr>
          <w:szCs w:val="26"/>
        </w:rPr>
        <w:t xml:space="preserve">.)  </w:t>
      </w:r>
    </w:p>
    <w:p w14:paraId="4D6DC95C" w14:textId="07E2437F" w:rsidR="00646C33" w:rsidRPr="00A7631D" w:rsidRDefault="00CA5A66" w:rsidP="00E01243">
      <w:pPr>
        <w:pStyle w:val="NormalIndent"/>
        <w:ind w:left="0" w:firstLine="720"/>
      </w:pPr>
      <w:r w:rsidRPr="00A7631D">
        <w:t xml:space="preserve">Wilson argues </w:t>
      </w:r>
      <w:r w:rsidR="00891C3D" w:rsidRPr="00A7631D">
        <w:t>the trial cour</w:t>
      </w:r>
      <w:r w:rsidR="00C63CEE" w:rsidRPr="00A7631D">
        <w:t>t erred by finding</w:t>
      </w:r>
      <w:r w:rsidR="00891C3D" w:rsidRPr="00A7631D">
        <w:t xml:space="preserve"> Brown unavailable because</w:t>
      </w:r>
      <w:r w:rsidR="00B64F59" w:rsidRPr="00A7631D">
        <w:t xml:space="preserve"> the prosecution did not exercise </w:t>
      </w:r>
      <w:r w:rsidR="006416BF" w:rsidRPr="00A7631D">
        <w:t xml:space="preserve">good faith or </w:t>
      </w:r>
      <w:r w:rsidR="00B64F59" w:rsidRPr="00A7631D">
        <w:t xml:space="preserve">reasonable diligence in attempting to secure </w:t>
      </w:r>
      <w:r w:rsidR="00C63CEE" w:rsidRPr="00A7631D">
        <w:t>his</w:t>
      </w:r>
      <w:r w:rsidR="00B64F59" w:rsidRPr="00A7631D">
        <w:t xml:space="preserve"> trial testimony.</w:t>
      </w:r>
      <w:r w:rsidR="006E33BC" w:rsidRPr="00A7631D">
        <w:t xml:space="preserve"> </w:t>
      </w:r>
      <w:r w:rsidR="00B64F59" w:rsidRPr="00A7631D">
        <w:t xml:space="preserve"> </w:t>
      </w:r>
      <w:r w:rsidR="00861A1F">
        <w:t>We’re</w:t>
      </w:r>
      <w:r w:rsidR="00176AE5">
        <w:t xml:space="preserve"> </w:t>
      </w:r>
      <w:r w:rsidR="00B70C12" w:rsidRPr="00A7631D">
        <w:t>not persuaded</w:t>
      </w:r>
      <w:r w:rsidR="00580BA1" w:rsidRPr="00A7631D">
        <w:t xml:space="preserve">.  </w:t>
      </w:r>
      <w:r w:rsidR="006D4699" w:rsidRPr="00A7631D">
        <w:t xml:space="preserve">The prosecution initially had no reason to suspect </w:t>
      </w:r>
      <w:r w:rsidR="00F80200" w:rsidRPr="00A7631D">
        <w:t>Brown would be a reluctant or unavailable witness</w:t>
      </w:r>
      <w:r w:rsidR="00F533D6" w:rsidRPr="00A7631D">
        <w:t xml:space="preserve"> </w:t>
      </w:r>
      <w:r w:rsidR="008A6E42" w:rsidRPr="00A7631D">
        <w:t>—</w:t>
      </w:r>
      <w:r w:rsidR="00F533D6" w:rsidRPr="00A7631D">
        <w:t xml:space="preserve"> he </w:t>
      </w:r>
      <w:r w:rsidR="008A6E42" w:rsidRPr="00A7631D">
        <w:t xml:space="preserve">willingly </w:t>
      </w:r>
      <w:r w:rsidR="00F533D6" w:rsidRPr="00A7631D">
        <w:t xml:space="preserve">participated in </w:t>
      </w:r>
      <w:r w:rsidR="00F2752E" w:rsidRPr="00A7631D">
        <w:t>identification</w:t>
      </w:r>
      <w:r w:rsidR="00F533D6" w:rsidRPr="00A7631D">
        <w:t xml:space="preserve"> and preliminary hearing proceedings in June 1998.  </w:t>
      </w:r>
      <w:r w:rsidR="00332FC8" w:rsidRPr="00A7631D">
        <w:t>It was n</w:t>
      </w:r>
      <w:r w:rsidR="008A6E42" w:rsidRPr="00A7631D">
        <w:t>ot until</w:t>
      </w:r>
      <w:r w:rsidR="009515FD">
        <w:t xml:space="preserve"> March 1999 that the prosecution understood Brown </w:t>
      </w:r>
      <w:r w:rsidR="00D658D7">
        <w:t>was apprehensive</w:t>
      </w:r>
      <w:r w:rsidR="009515FD">
        <w:t>, and not until</w:t>
      </w:r>
      <w:r w:rsidR="008A6E42" w:rsidRPr="00A7631D">
        <w:t xml:space="preserve"> May 1999</w:t>
      </w:r>
      <w:r w:rsidR="00332FC8" w:rsidRPr="00A7631D">
        <w:t xml:space="preserve"> that serious concerns began to arise about his participation in proceedings.  On May 20, 1999, Brown was subpoenaed to appear</w:t>
      </w:r>
      <w:r w:rsidR="00C17B56" w:rsidRPr="00A7631D">
        <w:t xml:space="preserve"> at trial, but failed to do so.  Detective Reynolds</w:t>
      </w:r>
      <w:r w:rsidR="005761EF" w:rsidRPr="00A7631D">
        <w:t xml:space="preserve"> </w:t>
      </w:r>
      <w:r w:rsidR="00F46F33" w:rsidRPr="00A7631D">
        <w:t xml:space="preserve">tried to contact Brown at </w:t>
      </w:r>
      <w:r w:rsidR="004C6BAD" w:rsidRPr="00A7631D">
        <w:t xml:space="preserve">Melvin </w:t>
      </w:r>
      <w:r w:rsidR="00F46F33" w:rsidRPr="00A7631D">
        <w:t xml:space="preserve">Hoard’s body shop, where Brown worked, but failed in his efforts.  Brown and Detective Reynolds spoke several times by telephone </w:t>
      </w:r>
      <w:r w:rsidR="00114019" w:rsidRPr="00A7631D">
        <w:t>in May and June 1999</w:t>
      </w:r>
      <w:r w:rsidR="00F46F33" w:rsidRPr="00A7631D">
        <w:t>, and</w:t>
      </w:r>
      <w:r w:rsidR="00383C6F" w:rsidRPr="00A7631D">
        <w:t xml:space="preserve"> although</w:t>
      </w:r>
      <w:r w:rsidR="00F46F33" w:rsidRPr="00A7631D">
        <w:t xml:space="preserve"> Brown promised he would meet with Detective Reynolds</w:t>
      </w:r>
      <w:r w:rsidR="00383C6F" w:rsidRPr="00A7631D">
        <w:t xml:space="preserve"> t</w:t>
      </w:r>
      <w:r w:rsidR="00120F54" w:rsidRPr="00A7631D">
        <w:t xml:space="preserve">hose meetings did not occur.  </w:t>
      </w:r>
      <w:r w:rsidR="00646C33" w:rsidRPr="00A7631D">
        <w:t xml:space="preserve">During these calls, Brown consistently refused to reveal his address or </w:t>
      </w:r>
      <w:r w:rsidR="00667A6E" w:rsidRPr="00A7631D">
        <w:t xml:space="preserve">permanent </w:t>
      </w:r>
      <w:r w:rsidR="00646C33" w:rsidRPr="00A7631D">
        <w:t xml:space="preserve">phone number.  </w:t>
      </w:r>
      <w:r w:rsidR="00120F54" w:rsidRPr="00A7631D">
        <w:t xml:space="preserve">Detective Reynolds visited </w:t>
      </w:r>
      <w:r w:rsidR="00667A6E" w:rsidRPr="00A7631D">
        <w:t>Brown’s</w:t>
      </w:r>
      <w:r w:rsidR="00120F54" w:rsidRPr="00A7631D">
        <w:t xml:space="preserve"> last known address</w:t>
      </w:r>
      <w:r w:rsidR="00700376" w:rsidRPr="00A7631D">
        <w:t xml:space="preserve"> three times</w:t>
      </w:r>
      <w:r w:rsidR="000F700F" w:rsidRPr="00A7631D">
        <w:t>, but a neighbor told Detective Reynolds that Brown had not been seen there for about two months</w:t>
      </w:r>
      <w:r w:rsidR="009B3A16" w:rsidRPr="00A7631D">
        <w:t xml:space="preserve">, and Brown’s ex-girlfriend confirmed </w:t>
      </w:r>
      <w:r w:rsidR="00F60CA8" w:rsidRPr="00A7631D">
        <w:t xml:space="preserve">he had </w:t>
      </w:r>
      <w:r w:rsidR="00F60CA8" w:rsidRPr="00A7631D">
        <w:lastRenderedPageBreak/>
        <w:t xml:space="preserve">moved away </w:t>
      </w:r>
      <w:r w:rsidR="00062BA4" w:rsidRPr="00A7631D">
        <w:t xml:space="preserve">to an unknown location </w:t>
      </w:r>
      <w:r w:rsidR="00F60CA8" w:rsidRPr="00A7631D">
        <w:t>after the shootings due to fear of testifying</w:t>
      </w:r>
      <w:r w:rsidR="000F700F" w:rsidRPr="00A7631D">
        <w:t xml:space="preserve">.  </w:t>
      </w:r>
      <w:r w:rsidR="008946B4" w:rsidRPr="00A7631D">
        <w:t>Brown’s ex-girlfriend had received</w:t>
      </w:r>
      <w:r w:rsidR="00AC0B91" w:rsidRPr="00A7631D">
        <w:t xml:space="preserve"> collect</w:t>
      </w:r>
      <w:r w:rsidR="008946B4" w:rsidRPr="00A7631D">
        <w:t xml:space="preserve"> calls </w:t>
      </w:r>
      <w:r w:rsidR="00AC0B91" w:rsidRPr="00A7631D">
        <w:t>from</w:t>
      </w:r>
      <w:r w:rsidR="000D167C" w:rsidRPr="00A7631D">
        <w:t xml:space="preserve"> people looking for Brown.  </w:t>
      </w:r>
    </w:p>
    <w:p w14:paraId="5EB85B9C" w14:textId="58192EDF" w:rsidR="007214E4" w:rsidRPr="00A7631D" w:rsidRDefault="00A41CA1" w:rsidP="00E01243">
      <w:pPr>
        <w:pStyle w:val="NormalIndent"/>
        <w:ind w:left="0" w:firstLine="720"/>
      </w:pPr>
      <w:r w:rsidRPr="00A7631D">
        <w:t xml:space="preserve">Detective Reynolds visited </w:t>
      </w:r>
      <w:r w:rsidR="00AC0B91" w:rsidRPr="00A7631D">
        <w:t xml:space="preserve">Melvin </w:t>
      </w:r>
      <w:r w:rsidRPr="00A7631D">
        <w:t xml:space="preserve">Hoard’s shop </w:t>
      </w:r>
      <w:r w:rsidR="00862A62" w:rsidRPr="00A7631D">
        <w:t>a few more times</w:t>
      </w:r>
      <w:r w:rsidR="00646C33" w:rsidRPr="00A7631D">
        <w:t xml:space="preserve"> in June 1999</w:t>
      </w:r>
      <w:r w:rsidR="00C6508B" w:rsidRPr="00A7631D">
        <w:t xml:space="preserve"> — </w:t>
      </w:r>
      <w:proofErr w:type="spellStart"/>
      <w:r w:rsidR="00862A62" w:rsidRPr="00A7631D">
        <w:t>once</w:t>
      </w:r>
      <w:proofErr w:type="spellEnd"/>
      <w:r w:rsidRPr="00A7631D">
        <w:t xml:space="preserve"> after Brown told him the two could meet there</w:t>
      </w:r>
      <w:r w:rsidR="00C6508B" w:rsidRPr="00A7631D">
        <w:t xml:space="preserve"> —</w:t>
      </w:r>
      <w:r w:rsidRPr="00A7631D">
        <w:t xml:space="preserve"> but Brown was </w:t>
      </w:r>
      <w:r w:rsidR="00862A62" w:rsidRPr="00A7631D">
        <w:t>never</w:t>
      </w:r>
      <w:r w:rsidRPr="00A7631D">
        <w:t xml:space="preserve"> there.  </w:t>
      </w:r>
      <w:r w:rsidR="00062BA4" w:rsidRPr="00A7631D">
        <w:t>Detective Reynolds visited</w:t>
      </w:r>
      <w:r w:rsidR="00700376" w:rsidRPr="00A7631D">
        <w:t xml:space="preserve"> another location where Brown was said to frequent, but he did not see Brown there.  </w:t>
      </w:r>
      <w:r w:rsidR="00BC72A4" w:rsidRPr="00A7631D">
        <w:t>In mid</w:t>
      </w:r>
      <w:r w:rsidR="009B3A16" w:rsidRPr="00A7631D">
        <w:t xml:space="preserve">-June 1999, after Brown failed to make it to a scheduled meeting with Detective Reynolds at the police station, Detective Reynolds confirmed Brown was not in custody.  </w:t>
      </w:r>
      <w:r w:rsidR="00F111CC" w:rsidRPr="00A7631D">
        <w:t>The</w:t>
      </w:r>
      <w:r w:rsidR="007214E4" w:rsidRPr="00A7631D">
        <w:t>se many</w:t>
      </w:r>
      <w:r w:rsidR="00F111CC" w:rsidRPr="00A7631D">
        <w:t xml:space="preserve"> efforts undertaken by Detective Reynolds </w:t>
      </w:r>
      <w:r w:rsidR="007214E4" w:rsidRPr="00A7631D">
        <w:t xml:space="preserve">on behalf of the prosecution </w:t>
      </w:r>
      <w:r w:rsidR="00F111CC" w:rsidRPr="00A7631D">
        <w:t xml:space="preserve">are the very definition of </w:t>
      </w:r>
      <w:r w:rsidR="00C35802" w:rsidRPr="00A7631D">
        <w:t>“ ‘ “persevering application, untiring efforts in good earnest, [and]</w:t>
      </w:r>
      <w:r w:rsidR="00C4185C" w:rsidRPr="00A7631D">
        <w:t xml:space="preserve"> efforts of a substantial character.” ’ ”  (</w:t>
      </w:r>
      <w:r w:rsidR="00C4185C" w:rsidRPr="00A7631D">
        <w:rPr>
          <w:i/>
          <w:iCs/>
        </w:rPr>
        <w:t>S</w:t>
      </w:r>
      <w:r w:rsidR="00B27CCE" w:rsidRPr="00A7631D">
        <w:rPr>
          <w:i/>
          <w:iCs/>
        </w:rPr>
        <w:t>á</w:t>
      </w:r>
      <w:r w:rsidR="00C4185C" w:rsidRPr="00A7631D">
        <w:rPr>
          <w:i/>
          <w:iCs/>
        </w:rPr>
        <w:t>nchez</w:t>
      </w:r>
      <w:r w:rsidR="00C4185C" w:rsidRPr="00A7631D">
        <w:t xml:space="preserve">, </w:t>
      </w:r>
      <w:r w:rsidR="00C4185C" w:rsidRPr="00A7631D">
        <w:rPr>
          <w:i/>
          <w:iCs/>
        </w:rPr>
        <w:t>supra</w:t>
      </w:r>
      <w:r w:rsidR="00C4185C" w:rsidRPr="00A7631D">
        <w:t xml:space="preserve">, 63 Cal.4th at p. 440.)  </w:t>
      </w:r>
    </w:p>
    <w:p w14:paraId="6D3E097D" w14:textId="42DA6382" w:rsidR="00655CC8" w:rsidRPr="00A7631D" w:rsidRDefault="002E644B" w:rsidP="00E01243">
      <w:pPr>
        <w:pStyle w:val="NormalIndent"/>
        <w:ind w:left="0" w:firstLine="720"/>
        <w:rPr>
          <w:i/>
          <w:iCs/>
        </w:rPr>
      </w:pPr>
      <w:r w:rsidRPr="00A7631D">
        <w:t>Wilson contends the prosecution could, and should, have done more to find Brown</w:t>
      </w:r>
      <w:r w:rsidR="00DA492F" w:rsidRPr="00A7631D">
        <w:t xml:space="preserve">, and suggests several avenues of inquiry </w:t>
      </w:r>
      <w:r w:rsidR="009D016D" w:rsidRPr="00A7631D">
        <w:t xml:space="preserve">about his whereabouts </w:t>
      </w:r>
      <w:r w:rsidR="00B546E3">
        <w:t xml:space="preserve">that were </w:t>
      </w:r>
      <w:r w:rsidR="00DA492F" w:rsidRPr="00A7631D">
        <w:t xml:space="preserve">not </w:t>
      </w:r>
      <w:r w:rsidR="00BF5CDF" w:rsidRPr="00A7631D">
        <w:t>pursued</w:t>
      </w:r>
      <w:r w:rsidR="00DA492F" w:rsidRPr="00A7631D">
        <w:t>.</w:t>
      </w:r>
      <w:r w:rsidR="00E07BC5" w:rsidRPr="00A7631D">
        <w:t xml:space="preserve"> </w:t>
      </w:r>
      <w:r w:rsidR="007214E4" w:rsidRPr="00A7631D">
        <w:t xml:space="preserve"> He </w:t>
      </w:r>
      <w:r w:rsidR="004C5E54" w:rsidRPr="00A7631D">
        <w:t>argues, for example,</w:t>
      </w:r>
      <w:r w:rsidR="007214E4" w:rsidRPr="00A7631D">
        <w:t xml:space="preserve"> that the prosecution </w:t>
      </w:r>
      <w:r w:rsidR="004C5E54" w:rsidRPr="00A7631D">
        <w:t>could have che</w:t>
      </w:r>
      <w:r w:rsidR="00E42CB2" w:rsidRPr="00A7631D">
        <w:t>cked with</w:t>
      </w:r>
      <w:r w:rsidR="002A0C3A" w:rsidRPr="00A7631D">
        <w:t xml:space="preserve"> Brown’s relatives</w:t>
      </w:r>
      <w:r w:rsidR="00E42CB2" w:rsidRPr="00A7631D">
        <w:t xml:space="preserve">, </w:t>
      </w:r>
      <w:r w:rsidR="002A0C3A" w:rsidRPr="00A7631D">
        <w:t>assign</w:t>
      </w:r>
      <w:r w:rsidR="00345EED" w:rsidRPr="00A7631D">
        <w:t>ed</w:t>
      </w:r>
      <w:r w:rsidR="002A0C3A" w:rsidRPr="00A7631D">
        <w:t xml:space="preserve"> </w:t>
      </w:r>
      <w:r w:rsidR="00E42CB2" w:rsidRPr="00A7631D">
        <w:t>multiple</w:t>
      </w:r>
      <w:r w:rsidR="002A0C3A" w:rsidRPr="00A7631D">
        <w:t xml:space="preserve"> investigators to the task of locating Brown, </w:t>
      </w:r>
      <w:r w:rsidR="00EC6B28" w:rsidRPr="00A7631D">
        <w:t xml:space="preserve">or </w:t>
      </w:r>
      <w:r w:rsidR="0074727A" w:rsidRPr="00A7631D">
        <w:t>sought records from</w:t>
      </w:r>
      <w:r w:rsidR="00EC6B28" w:rsidRPr="00A7631D">
        <w:t xml:space="preserve"> </w:t>
      </w:r>
      <w:r w:rsidR="002A0C3A" w:rsidRPr="00A7631D">
        <w:t xml:space="preserve">the Department of Motor Vehicles.  </w:t>
      </w:r>
      <w:r w:rsidR="004233D6" w:rsidRPr="00A7631D">
        <w:t xml:space="preserve">Notwithstanding </w:t>
      </w:r>
      <w:r w:rsidR="00BF5CDF" w:rsidRPr="00A7631D">
        <w:t>these possibilities</w:t>
      </w:r>
      <w:r w:rsidR="004233D6" w:rsidRPr="00A7631D">
        <w:t>, t</w:t>
      </w:r>
      <w:r w:rsidR="00345EED" w:rsidRPr="00A7631D">
        <w:t>he prosecution</w:t>
      </w:r>
      <w:r w:rsidR="00BF5CDF" w:rsidRPr="00A7631D">
        <w:t xml:space="preserve"> can be said to have</w:t>
      </w:r>
      <w:r w:rsidR="00345EED" w:rsidRPr="00A7631D">
        <w:t xml:space="preserve"> “competently </w:t>
      </w:r>
      <w:r w:rsidR="0011319D" w:rsidRPr="00A7631D">
        <w:t>explored” numerous leads</w:t>
      </w:r>
      <w:r w:rsidR="00265FA3" w:rsidRPr="00A7631D">
        <w:t>, in a manner consistent with its responsibility under the Confrontation Clause</w:t>
      </w:r>
      <w:r w:rsidR="0011319D" w:rsidRPr="00A7631D">
        <w:t>.  (</w:t>
      </w:r>
      <w:r w:rsidR="0011319D" w:rsidRPr="00A7631D">
        <w:rPr>
          <w:i/>
          <w:iCs/>
        </w:rPr>
        <w:t>S</w:t>
      </w:r>
      <w:r w:rsidR="00B27CCE" w:rsidRPr="00A7631D">
        <w:rPr>
          <w:i/>
          <w:iCs/>
        </w:rPr>
        <w:t>á</w:t>
      </w:r>
      <w:r w:rsidR="0011319D" w:rsidRPr="00A7631D">
        <w:rPr>
          <w:i/>
          <w:iCs/>
        </w:rPr>
        <w:t>nchez</w:t>
      </w:r>
      <w:r w:rsidR="0011319D" w:rsidRPr="00A7631D">
        <w:t xml:space="preserve">, </w:t>
      </w:r>
      <w:r w:rsidR="0011319D" w:rsidRPr="00A7631D">
        <w:rPr>
          <w:i/>
          <w:iCs/>
        </w:rPr>
        <w:t>supra</w:t>
      </w:r>
      <w:r w:rsidR="0011319D" w:rsidRPr="00A7631D">
        <w:t xml:space="preserve">, 63 Cal.4th at p. 440.) </w:t>
      </w:r>
      <w:r w:rsidR="0011319D" w:rsidRPr="00A7631D">
        <w:rPr>
          <w:i/>
          <w:iCs/>
        </w:rPr>
        <w:t xml:space="preserve"> </w:t>
      </w:r>
      <w:r w:rsidR="00626AC4" w:rsidRPr="00A7631D">
        <w:t>Wilson</w:t>
      </w:r>
      <w:r w:rsidR="00D71C03" w:rsidRPr="00A7631D">
        <w:t xml:space="preserve"> argues that</w:t>
      </w:r>
      <w:r w:rsidR="0017581E" w:rsidRPr="00A7631D">
        <w:t xml:space="preserve"> the prosecution should</w:t>
      </w:r>
      <w:r w:rsidR="002F13B4" w:rsidRPr="00A7631D">
        <w:t xml:space="preserve"> have</w:t>
      </w:r>
      <w:r w:rsidR="0005033E" w:rsidRPr="00A7631D">
        <w:t xml:space="preserve"> done more to secure Brown’s testimony</w:t>
      </w:r>
      <w:r w:rsidR="0017581E" w:rsidRPr="00A7631D">
        <w:t xml:space="preserve">.  </w:t>
      </w:r>
      <w:r w:rsidR="00D71C03" w:rsidRPr="00A7631D">
        <w:t>He cites</w:t>
      </w:r>
      <w:r w:rsidR="00CD5CA5" w:rsidRPr="00A7631D">
        <w:t xml:space="preserve"> the prosecution’s efforts in </w:t>
      </w:r>
      <w:r w:rsidR="00CD5CA5" w:rsidRPr="00A7631D">
        <w:rPr>
          <w:i/>
          <w:iCs/>
        </w:rPr>
        <w:t xml:space="preserve">People v. </w:t>
      </w:r>
      <w:proofErr w:type="spellStart"/>
      <w:r w:rsidR="00CD5CA5" w:rsidRPr="00A7631D">
        <w:rPr>
          <w:i/>
          <w:iCs/>
        </w:rPr>
        <w:t>Bunyard</w:t>
      </w:r>
      <w:proofErr w:type="spellEnd"/>
      <w:r w:rsidR="00CD5CA5" w:rsidRPr="00A7631D">
        <w:t xml:space="preserve"> (2009) 45 Cal.4th 836 (</w:t>
      </w:r>
      <w:proofErr w:type="spellStart"/>
      <w:r w:rsidR="00CD5CA5" w:rsidRPr="00A7631D">
        <w:rPr>
          <w:i/>
          <w:iCs/>
        </w:rPr>
        <w:t>Bunyard</w:t>
      </w:r>
      <w:proofErr w:type="spellEnd"/>
      <w:r w:rsidR="00CD5CA5" w:rsidRPr="00A7631D">
        <w:t>)</w:t>
      </w:r>
      <w:r w:rsidR="00BD21AE" w:rsidRPr="00A7631D">
        <w:t xml:space="preserve"> as an example of what should have been done here, including</w:t>
      </w:r>
      <w:r w:rsidR="0017581E" w:rsidRPr="00A7631D">
        <w:t xml:space="preserve">:  </w:t>
      </w:r>
      <w:r w:rsidR="00194160" w:rsidRPr="00A7631D">
        <w:t xml:space="preserve">repeatedly seeking the witness out at his last known address, asking for information on his whereabouts from acquaintances </w:t>
      </w:r>
      <w:r w:rsidR="00194160" w:rsidRPr="00A7631D">
        <w:lastRenderedPageBreak/>
        <w:t xml:space="preserve">and relatives, </w:t>
      </w:r>
      <w:r w:rsidR="00D824EA" w:rsidRPr="00A7631D">
        <w:t>and returning to locations the witness was known to frequent.  (</w:t>
      </w:r>
      <w:r w:rsidR="00D824EA" w:rsidRPr="00A7631D">
        <w:rPr>
          <w:i/>
          <w:iCs/>
        </w:rPr>
        <w:t>Id</w:t>
      </w:r>
      <w:r w:rsidR="00D824EA" w:rsidRPr="00A7631D">
        <w:t>.</w:t>
      </w:r>
      <w:r w:rsidR="0016184F" w:rsidRPr="00A7631D">
        <w:t xml:space="preserve"> at p. 855.</w:t>
      </w:r>
      <w:r w:rsidR="00D824EA" w:rsidRPr="00A7631D">
        <w:t xml:space="preserve">)  </w:t>
      </w:r>
      <w:r w:rsidR="0033493D" w:rsidRPr="00A7631D">
        <w:t xml:space="preserve">We held those efforts demonstrated </w:t>
      </w:r>
      <w:proofErr w:type="gramStart"/>
      <w:r w:rsidR="0033493D" w:rsidRPr="00A7631D">
        <w:t xml:space="preserve">diligence, </w:t>
      </w:r>
      <w:r w:rsidR="00BD21AE" w:rsidRPr="00A7631D">
        <w:t>and</w:t>
      </w:r>
      <w:proofErr w:type="gramEnd"/>
      <w:r w:rsidR="00BD21AE" w:rsidRPr="00A7631D">
        <w:t xml:space="preserve"> </w:t>
      </w:r>
      <w:r w:rsidR="00C23C80">
        <w:t xml:space="preserve">conclude here that </w:t>
      </w:r>
      <w:r w:rsidR="00BD21AE" w:rsidRPr="00A7631D">
        <w:t>the prosecution engaged in equivalently diligent efforts</w:t>
      </w:r>
      <w:r w:rsidR="0033493D" w:rsidRPr="00A7631D">
        <w:t>.  (</w:t>
      </w:r>
      <w:r w:rsidR="0033493D" w:rsidRPr="00A7631D">
        <w:rPr>
          <w:i/>
          <w:iCs/>
        </w:rPr>
        <w:t>Ibid</w:t>
      </w:r>
      <w:r w:rsidR="0033493D" w:rsidRPr="00A7631D">
        <w:t xml:space="preserve">.) </w:t>
      </w:r>
      <w:r w:rsidR="0033493D" w:rsidRPr="00A7631D">
        <w:rPr>
          <w:i/>
          <w:iCs/>
        </w:rPr>
        <w:t xml:space="preserve"> </w:t>
      </w:r>
    </w:p>
    <w:p w14:paraId="679E62EC" w14:textId="4F284360" w:rsidR="00BD39A8" w:rsidRPr="00A7631D" w:rsidRDefault="002E4497" w:rsidP="00E01243">
      <w:pPr>
        <w:pStyle w:val="NormalIndent"/>
        <w:ind w:left="0" w:firstLine="720"/>
      </w:pPr>
      <w:r w:rsidRPr="00A7631D">
        <w:t xml:space="preserve">What the prosecution did here contrasts with cases where </w:t>
      </w:r>
      <w:r w:rsidR="003669D9" w:rsidRPr="00A7631D">
        <w:t>courts have</w:t>
      </w:r>
      <w:r w:rsidRPr="00A7631D">
        <w:t xml:space="preserve"> found deficiencies </w:t>
      </w:r>
      <w:r w:rsidR="0074694E">
        <w:t>—</w:t>
      </w:r>
      <w:r w:rsidRPr="00A7631D">
        <w:t> cases where</w:t>
      </w:r>
      <w:r w:rsidR="00161D36" w:rsidRPr="00A7631D">
        <w:t xml:space="preserve"> </w:t>
      </w:r>
      <w:r w:rsidR="009D1CA4" w:rsidRPr="00A7631D">
        <w:t xml:space="preserve">review did not reveal </w:t>
      </w:r>
      <w:r w:rsidR="0005033E" w:rsidRPr="00A7631D">
        <w:t xml:space="preserve">“adequate diligence, </w:t>
      </w:r>
      <w:r w:rsidR="009D1CA4" w:rsidRPr="00A7631D">
        <w:t xml:space="preserve">[and where] </w:t>
      </w:r>
      <w:r w:rsidR="0005033E" w:rsidRPr="00A7631D">
        <w:t>the efforts of the prosecutor or defense counsel have been perfunctory or obviously negligent.</w:t>
      </w:r>
      <w:r w:rsidR="00C40073" w:rsidRPr="00A7631D">
        <w:t>”  (</w:t>
      </w:r>
      <w:proofErr w:type="spellStart"/>
      <w:r w:rsidR="00383BA3" w:rsidRPr="00A7631D">
        <w:rPr>
          <w:i/>
          <w:iCs/>
        </w:rPr>
        <w:t>Bunyard</w:t>
      </w:r>
      <w:proofErr w:type="spellEnd"/>
      <w:r w:rsidR="00383BA3" w:rsidRPr="00A7631D">
        <w:t xml:space="preserve">, </w:t>
      </w:r>
      <w:r w:rsidR="00383BA3" w:rsidRPr="00A7631D">
        <w:rPr>
          <w:i/>
          <w:iCs/>
        </w:rPr>
        <w:t>supra</w:t>
      </w:r>
      <w:r w:rsidR="00383BA3" w:rsidRPr="00A7631D">
        <w:t>, 45 Cal.4th at p. 855</w:t>
      </w:r>
      <w:r w:rsidR="00C40073" w:rsidRPr="00A7631D">
        <w:t xml:space="preserve">.)  </w:t>
      </w:r>
      <w:r w:rsidR="000C6EB6" w:rsidRPr="00A7631D">
        <w:t xml:space="preserve">In contrast, </w:t>
      </w:r>
      <w:r w:rsidR="00914960" w:rsidRPr="00A7631D">
        <w:t>“diligence has been found when the prosecution’s efforts are timely, reasonably extensive and carried out over a reasonable period.”  (</w:t>
      </w:r>
      <w:r w:rsidR="00914960" w:rsidRPr="00A7631D">
        <w:rPr>
          <w:i/>
          <w:iCs/>
        </w:rPr>
        <w:t>Id.</w:t>
      </w:r>
      <w:r w:rsidR="000C6EB6" w:rsidRPr="00A7631D">
        <w:t xml:space="preserve"> </w:t>
      </w:r>
      <w:r w:rsidR="002424A9" w:rsidRPr="00A7631D">
        <w:t xml:space="preserve">at p. 856.)  </w:t>
      </w:r>
      <w:r w:rsidR="00C40073" w:rsidRPr="00A7631D">
        <w:t>Detective Reynolds</w:t>
      </w:r>
      <w:r w:rsidR="007D62B7" w:rsidRPr="00A7631D">
        <w:t>’s</w:t>
      </w:r>
      <w:r w:rsidR="00C40073" w:rsidRPr="00A7631D">
        <w:t xml:space="preserve"> efforts </w:t>
      </w:r>
      <w:r w:rsidR="00FD079B" w:rsidRPr="00A7631D">
        <w:t xml:space="preserve">to secure Brown’s testimony once it became clear he would no longer cooperate spanned a month and included pursuit of multiple avenues of inquiry.  </w:t>
      </w:r>
      <w:r w:rsidR="00320F09" w:rsidRPr="00A7631D">
        <w:t>T</w:t>
      </w:r>
      <w:r w:rsidR="00FD079B" w:rsidRPr="00A7631D">
        <w:t>he efforts were</w:t>
      </w:r>
      <w:r w:rsidR="00C40073" w:rsidRPr="00A7631D">
        <w:t xml:space="preserve"> far from perfunctory or negligent.</w:t>
      </w:r>
      <w:r w:rsidR="005B336F" w:rsidRPr="00A7631D">
        <w:t xml:space="preserve">  </w:t>
      </w:r>
      <w:r w:rsidR="00405342" w:rsidRPr="00A7631D">
        <w:t xml:space="preserve">Simply because Wilson suggests Detective Reynolds could have taken different steps does not mean </w:t>
      </w:r>
      <w:proofErr w:type="gramStart"/>
      <w:r w:rsidR="00405342" w:rsidRPr="00A7631D">
        <w:t>those</w:t>
      </w:r>
      <w:proofErr w:type="gramEnd"/>
      <w:r w:rsidR="00405342" w:rsidRPr="00A7631D">
        <w:t xml:space="preserve"> he did take </w:t>
      </w:r>
      <w:r w:rsidR="00426637" w:rsidRPr="00A7631D">
        <w:t>lacked</w:t>
      </w:r>
      <w:r w:rsidR="00405342" w:rsidRPr="00A7631D">
        <w:t xml:space="preserve"> diligence. </w:t>
      </w:r>
    </w:p>
    <w:p w14:paraId="3C5A4720" w14:textId="0DA4DFC7" w:rsidR="002147F6" w:rsidRPr="00A7631D" w:rsidRDefault="002B6D53" w:rsidP="00A7631D">
      <w:pPr>
        <w:pStyle w:val="NormalIndent"/>
        <w:ind w:left="0" w:firstLine="720"/>
      </w:pPr>
      <w:r w:rsidRPr="00A7631D">
        <w:t xml:space="preserve">Wilson </w:t>
      </w:r>
      <w:r w:rsidR="00BF217D" w:rsidRPr="00A7631D">
        <w:t>correctly notes we consider the i</w:t>
      </w:r>
      <w:r w:rsidR="00B7238F" w:rsidRPr="00A7631D">
        <w:t xml:space="preserve">mport of Brown’s </w:t>
      </w:r>
      <w:r w:rsidR="00BF217D" w:rsidRPr="00A7631D">
        <w:t>testimony in evaluating the reasonableness of the prosecution’s efforts.</w:t>
      </w:r>
      <w:r w:rsidR="00EB4EEA" w:rsidRPr="00A7631D">
        <w:t xml:space="preserve">  (</w:t>
      </w:r>
      <w:r w:rsidR="00EB4EEA" w:rsidRPr="00A7631D">
        <w:rPr>
          <w:i/>
          <w:iCs/>
        </w:rPr>
        <w:t>S</w:t>
      </w:r>
      <w:r w:rsidR="00414A4E" w:rsidRPr="00A7631D">
        <w:rPr>
          <w:i/>
          <w:iCs/>
        </w:rPr>
        <w:t>á</w:t>
      </w:r>
      <w:r w:rsidR="00EB4EEA" w:rsidRPr="00A7631D">
        <w:rPr>
          <w:i/>
          <w:iCs/>
        </w:rPr>
        <w:t>nchez</w:t>
      </w:r>
      <w:r w:rsidR="00EB4EEA" w:rsidRPr="00A7631D">
        <w:t xml:space="preserve">, </w:t>
      </w:r>
      <w:r w:rsidR="00EB4EEA" w:rsidRPr="00A7631D">
        <w:rPr>
          <w:i/>
          <w:iCs/>
        </w:rPr>
        <w:t>supra</w:t>
      </w:r>
      <w:r w:rsidR="00EB4EEA" w:rsidRPr="00A7631D">
        <w:t>, 63 Cal.4th at p. 440</w:t>
      </w:r>
      <w:r w:rsidR="006D646B" w:rsidRPr="00A7631D">
        <w:t>.)</w:t>
      </w:r>
      <w:r w:rsidR="00744490" w:rsidRPr="00A7631D">
        <w:t xml:space="preserve">  While Brown’s testimony was </w:t>
      </w:r>
      <w:r w:rsidR="00B2257B" w:rsidRPr="00A7631D">
        <w:t>helpful to the prosecution’s case</w:t>
      </w:r>
      <w:r w:rsidR="00744490" w:rsidRPr="00A7631D">
        <w:t xml:space="preserve">, it was not critical.  </w:t>
      </w:r>
      <w:r w:rsidR="00B2257B" w:rsidRPr="00A7631D">
        <w:t>Brown witnessed</w:t>
      </w:r>
      <w:r w:rsidR="00096AF6" w:rsidRPr="00A7631D">
        <w:t xml:space="preserve"> his coworker Dunn’s El Camino being hastily driven out of the Wheels </w:t>
      </w:r>
      <w:r w:rsidR="00BF444D">
        <w:t>’</w:t>
      </w:r>
      <w:r w:rsidR="00983BD9">
        <w:t>N</w:t>
      </w:r>
      <w:r w:rsidR="00096AF6" w:rsidRPr="00A7631D">
        <w:t xml:space="preserve"> Stuff parking lot the morning of the shooting, but </w:t>
      </w:r>
      <w:r w:rsidR="00BF444D">
        <w:t xml:space="preserve">he </w:t>
      </w:r>
      <w:r w:rsidR="00096AF6" w:rsidRPr="00A7631D">
        <w:t xml:space="preserve">was not able to positively identify Wilson as the driver of that car.  </w:t>
      </w:r>
      <w:r w:rsidR="002F2A75" w:rsidRPr="00A7631D">
        <w:t>Brown noted that Wilson looked like the driver but acknowledge</w:t>
      </w:r>
      <w:r w:rsidR="003D4839" w:rsidRPr="00A7631D">
        <w:t>d</w:t>
      </w:r>
      <w:r w:rsidR="002F2A75" w:rsidRPr="00A7631D">
        <w:t xml:space="preserve"> his uncertainty</w:t>
      </w:r>
      <w:r w:rsidR="00DE3651" w:rsidRPr="00A7631D">
        <w:t xml:space="preserve">.  </w:t>
      </w:r>
      <w:r w:rsidR="00830124" w:rsidRPr="00A7631D">
        <w:t xml:space="preserve">In contrast, </w:t>
      </w:r>
      <w:r w:rsidR="0085330E" w:rsidRPr="00A7631D">
        <w:t>B</w:t>
      </w:r>
      <w:r w:rsidR="003A3BD5" w:rsidRPr="00A7631D">
        <w:t xml:space="preserve">owie </w:t>
      </w:r>
      <w:r w:rsidR="008E57F5" w:rsidRPr="00A7631D">
        <w:t>unequivocally identified Wilson</w:t>
      </w:r>
      <w:r w:rsidR="000F56D6" w:rsidRPr="00A7631D">
        <w:t xml:space="preserve"> as one of the two assailants.  </w:t>
      </w:r>
    </w:p>
    <w:p w14:paraId="57FFDBB2" w14:textId="0D6FCAEE" w:rsidR="00FB3130" w:rsidRPr="00A7631D" w:rsidRDefault="00E21DCC" w:rsidP="00A7631D">
      <w:pPr>
        <w:pStyle w:val="NormalIndent"/>
        <w:ind w:left="0" w:firstLine="720"/>
      </w:pPr>
      <w:r w:rsidRPr="00A7631D">
        <w:t xml:space="preserve">Wilson argues we must also consider the fact that this is a capital case in our evaluation of the prosecution’s diligence.  We </w:t>
      </w:r>
      <w:r w:rsidRPr="00A7631D">
        <w:lastRenderedPageBreak/>
        <w:t>have not</w:t>
      </w:r>
      <w:r w:rsidR="008844C0" w:rsidRPr="00A7631D">
        <w:t xml:space="preserve"> previously</w:t>
      </w:r>
      <w:r w:rsidRPr="00A7631D">
        <w:t xml:space="preserve"> held the nature of the charged offense </w:t>
      </w:r>
      <w:r w:rsidR="008844C0" w:rsidRPr="00A7631D">
        <w:t xml:space="preserve">is </w:t>
      </w:r>
      <w:r w:rsidRPr="00A7631D">
        <w:t xml:space="preserve">a factor in assessing diligence, but nevertheless conclude the prosecution’s efforts to secure Brown’s testimony were diligent despite the nature of the charged offenses.  (See </w:t>
      </w:r>
      <w:r w:rsidRPr="00A7631D">
        <w:rPr>
          <w:i/>
          <w:iCs/>
        </w:rPr>
        <w:t>Cook v. McCune</w:t>
      </w:r>
      <w:r w:rsidRPr="00A7631D">
        <w:t xml:space="preserve"> (10th Cir. 2003) 323 F.3d 825, 835 [“[T]he more serious the crime for which the defendant is being tried, the greater the effort the government should put forth to produce the witness at trial</w:t>
      </w:r>
      <w:r w:rsidR="00A53A21">
        <w:t>”</w:t>
      </w:r>
      <w:r w:rsidRPr="00A7631D">
        <w:t xml:space="preserve">]; </w:t>
      </w:r>
      <w:r w:rsidRPr="00A7631D">
        <w:rPr>
          <w:i/>
          <w:iCs/>
        </w:rPr>
        <w:t>McCandless v. Vaughn</w:t>
      </w:r>
      <w:r w:rsidRPr="00A7631D">
        <w:t xml:space="preserve"> (10th Cir. 1999) 172 F.3d 255, 266 [same].)</w:t>
      </w:r>
    </w:p>
    <w:p w14:paraId="4F86BFC6" w14:textId="400FC470" w:rsidR="00CA5A66" w:rsidRPr="00A7631D" w:rsidRDefault="002E3872" w:rsidP="009322AF">
      <w:pPr>
        <w:pStyle w:val="NormalIndent"/>
        <w:ind w:left="0" w:firstLine="720"/>
      </w:pPr>
      <w:r w:rsidRPr="00A7631D">
        <w:t>Federal authority</w:t>
      </w:r>
      <w:r w:rsidR="008C40F3" w:rsidRPr="00A7631D">
        <w:t xml:space="preserve"> also</w:t>
      </w:r>
      <w:r w:rsidR="00FB3130" w:rsidRPr="00A7631D">
        <w:t xml:space="preserve"> suggests that “a good measure of reasonableness</w:t>
      </w:r>
      <w:r w:rsidR="00A21C41" w:rsidRPr="00A7631D">
        <w:t xml:space="preserve"> </w:t>
      </w:r>
      <w:r w:rsidR="00FB3130" w:rsidRPr="00A7631D">
        <w:t>is to require the State to make the same sort of effort to locate and secure the witness for trial that it would have made if it did not have the prior testimony available.”</w:t>
      </w:r>
      <w:r w:rsidR="00A21C41" w:rsidRPr="00A7631D">
        <w:t xml:space="preserve">  </w:t>
      </w:r>
      <w:r w:rsidR="00141070" w:rsidRPr="00A7631D">
        <w:t>(</w:t>
      </w:r>
      <w:r w:rsidR="00141070" w:rsidRPr="00A7631D">
        <w:rPr>
          <w:i/>
          <w:iCs/>
        </w:rPr>
        <w:t>Cook v. McCune</w:t>
      </w:r>
      <w:r w:rsidR="00141070" w:rsidRPr="00A7631D">
        <w:t xml:space="preserve">, </w:t>
      </w:r>
      <w:r w:rsidR="00141070" w:rsidRPr="00A7631D">
        <w:rPr>
          <w:i/>
          <w:iCs/>
        </w:rPr>
        <w:t>supra</w:t>
      </w:r>
      <w:r w:rsidR="00141070" w:rsidRPr="00A7631D">
        <w:t xml:space="preserve">, 323 F.3d at p. </w:t>
      </w:r>
      <w:r w:rsidR="008232A0" w:rsidRPr="00A7631D">
        <w:t>836</w:t>
      </w:r>
      <w:r w:rsidR="00A21C41" w:rsidRPr="00A7631D">
        <w:t xml:space="preserve">.)  In </w:t>
      </w:r>
      <w:r w:rsidR="00141070" w:rsidRPr="00A7631D">
        <w:rPr>
          <w:i/>
          <w:iCs/>
        </w:rPr>
        <w:t>McCandless v. Vaughn</w:t>
      </w:r>
      <w:r w:rsidR="00141070" w:rsidRPr="00A7631D">
        <w:t xml:space="preserve">, </w:t>
      </w:r>
      <w:r w:rsidR="00141070" w:rsidRPr="00A7631D">
        <w:rPr>
          <w:i/>
          <w:iCs/>
        </w:rPr>
        <w:t>supra</w:t>
      </w:r>
      <w:r w:rsidR="00141070" w:rsidRPr="00A7631D">
        <w:t>, 172 F.3d at p</w:t>
      </w:r>
      <w:r w:rsidR="0029674A">
        <w:t>age</w:t>
      </w:r>
      <w:r w:rsidR="0029674A" w:rsidRPr="00A7631D">
        <w:t xml:space="preserve"> </w:t>
      </w:r>
      <w:r w:rsidR="009C5B13" w:rsidRPr="00A7631D">
        <w:t>269</w:t>
      </w:r>
      <w:r w:rsidR="00A21C41" w:rsidRPr="00A7631D">
        <w:t xml:space="preserve">, the court </w:t>
      </w:r>
      <w:r w:rsidR="00F6649A" w:rsidRPr="00A7631D">
        <w:t>conclud</w:t>
      </w:r>
      <w:r w:rsidR="00A21C41" w:rsidRPr="00A7631D">
        <w:t>ed a</w:t>
      </w:r>
      <w:r w:rsidR="00F6649A" w:rsidRPr="00A7631D">
        <w:t xml:space="preserve"> Confrontation </w:t>
      </w:r>
      <w:r w:rsidR="008F7EE5" w:rsidRPr="00A7631D">
        <w:t xml:space="preserve">Clause </w:t>
      </w:r>
      <w:r w:rsidR="00A21C41" w:rsidRPr="00A7631D">
        <w:t>violation arose when</w:t>
      </w:r>
      <w:r w:rsidR="008F7EE5" w:rsidRPr="00A7631D">
        <w:t xml:space="preserve"> </w:t>
      </w:r>
      <w:r w:rsidR="000F7708" w:rsidRPr="00A7631D">
        <w:t xml:space="preserve">unduly minimal efforts </w:t>
      </w:r>
      <w:r w:rsidR="0002033A" w:rsidRPr="00A7631D">
        <w:t xml:space="preserve">were used </w:t>
      </w:r>
      <w:r w:rsidR="000F7708" w:rsidRPr="00A7631D">
        <w:t>to secure the presence of a witness at trial who had provided prior testimony when compared against</w:t>
      </w:r>
      <w:r w:rsidR="0002033A" w:rsidRPr="00A7631D">
        <w:t xml:space="preserve"> what</w:t>
      </w:r>
      <w:r w:rsidR="000F7708" w:rsidRPr="00A7631D">
        <w:t xml:space="preserve"> efforts </w:t>
      </w:r>
      <w:r w:rsidR="0002033A" w:rsidRPr="00A7631D">
        <w:t xml:space="preserve">would have been undertaken </w:t>
      </w:r>
      <w:r w:rsidR="000F7708" w:rsidRPr="00A7631D">
        <w:t>to secure attendance by a witness who had not</w:t>
      </w:r>
      <w:r w:rsidR="0002033A" w:rsidRPr="00A7631D">
        <w:t xml:space="preserve">.  Here, </w:t>
      </w:r>
      <w:r w:rsidR="006132E3">
        <w:t>the</w:t>
      </w:r>
      <w:r w:rsidR="0002033A" w:rsidRPr="00A7631D">
        <w:t xml:space="preserve"> efforts to secure Brown’s testimony</w:t>
      </w:r>
      <w:r w:rsidR="006132E3">
        <w:t xml:space="preserve"> are not directly</w:t>
      </w:r>
      <w:r w:rsidR="0002033A" w:rsidRPr="00A7631D">
        <w:t xml:space="preserve"> compar</w:t>
      </w:r>
      <w:r w:rsidR="006132E3">
        <w:t xml:space="preserve">able to the efforts </w:t>
      </w:r>
      <w:r w:rsidR="001016E8">
        <w:t xml:space="preserve">undertaken </w:t>
      </w:r>
      <w:r w:rsidR="00C8428C">
        <w:t>with</w:t>
      </w:r>
      <w:r w:rsidR="0002033A" w:rsidRPr="00A7631D">
        <w:t xml:space="preserve"> </w:t>
      </w:r>
      <w:r w:rsidR="001951B7" w:rsidRPr="00A7631D">
        <w:t>the two other reluctant witnesses</w:t>
      </w:r>
      <w:r w:rsidR="00C8428C">
        <w:t xml:space="preserve">.  </w:t>
      </w:r>
      <w:r w:rsidR="002C1997">
        <w:t>But</w:t>
      </w:r>
      <w:r w:rsidR="006132E3">
        <w:t xml:space="preserve"> </w:t>
      </w:r>
      <w:r w:rsidR="00287BD0">
        <w:t>they</w:t>
      </w:r>
      <w:r w:rsidR="006132E3">
        <w:t xml:space="preserve"> were </w:t>
      </w:r>
      <w:r w:rsidR="00B56664">
        <w:t>sufficient</w:t>
      </w:r>
      <w:r w:rsidR="001951B7" w:rsidRPr="00A7631D">
        <w:t xml:space="preserve">.  </w:t>
      </w:r>
      <w:r w:rsidR="00281078" w:rsidRPr="00A7631D">
        <w:t xml:space="preserve">The prosecution believed Barnes would be reluctant at the outset of proceedings and promptly sought a bond; Barnes was placed in custody after failing to post the bond, and he did not testify at the preliminary hearing. </w:t>
      </w:r>
      <w:r w:rsidR="00287BD0">
        <w:t xml:space="preserve"> A third</w:t>
      </w:r>
      <w:r w:rsidR="00281078" w:rsidRPr="00A7631D">
        <w:t xml:space="preserve"> witness failed to appear</w:t>
      </w:r>
      <w:r w:rsidR="008F3FDB" w:rsidRPr="00A7631D">
        <w:t xml:space="preserve"> at the preliminary hearing after being s</w:t>
      </w:r>
      <w:r w:rsidR="00281078" w:rsidRPr="00A7631D">
        <w:t>ubpoenaed</w:t>
      </w:r>
      <w:r w:rsidR="001951B7" w:rsidRPr="00A7631D">
        <w:t xml:space="preserve">, </w:t>
      </w:r>
      <w:r w:rsidR="00287BD0">
        <w:t xml:space="preserve">and </w:t>
      </w:r>
      <w:r w:rsidR="001951B7" w:rsidRPr="00A7631D">
        <w:t>t</w:t>
      </w:r>
      <w:r w:rsidR="00F55485" w:rsidRPr="00A7631D">
        <w:t xml:space="preserve">he prosecution </w:t>
      </w:r>
      <w:r w:rsidR="00D33A25">
        <w:t xml:space="preserve">visited </w:t>
      </w:r>
      <w:r w:rsidR="00F55485" w:rsidRPr="00A7631D">
        <w:t xml:space="preserve">the area where the witness was known to spend time, talking to </w:t>
      </w:r>
      <w:r w:rsidR="000D0FF2" w:rsidRPr="00A7631D">
        <w:t xml:space="preserve">the witness’s </w:t>
      </w:r>
      <w:r w:rsidR="00F55485" w:rsidRPr="00A7631D">
        <w:t xml:space="preserve">friends and family members </w:t>
      </w:r>
      <w:r w:rsidR="000D0FF2" w:rsidRPr="00A7631D">
        <w:t>on multiple occasions</w:t>
      </w:r>
      <w:r w:rsidR="00F55485" w:rsidRPr="00A7631D">
        <w:t>.</w:t>
      </w:r>
      <w:r w:rsidR="00357052">
        <w:t xml:space="preserve">  </w:t>
      </w:r>
      <w:r w:rsidR="00F55485" w:rsidRPr="00A7631D">
        <w:t xml:space="preserve">  Ultimately</w:t>
      </w:r>
      <w:r w:rsidR="006D2068">
        <w:t>,</w:t>
      </w:r>
      <w:r w:rsidR="00F55485" w:rsidRPr="00A7631D">
        <w:t xml:space="preserve"> </w:t>
      </w:r>
      <w:r w:rsidR="008F3FDB" w:rsidRPr="00A7631D">
        <w:t>the prosecution elected to proceed without that witness’s</w:t>
      </w:r>
      <w:r w:rsidR="00281078" w:rsidRPr="00A7631D">
        <w:t xml:space="preserve"> </w:t>
      </w:r>
      <w:r w:rsidR="000D0FF2" w:rsidRPr="00A7631D">
        <w:t>testimony.</w:t>
      </w:r>
      <w:r w:rsidR="005D5C6B" w:rsidRPr="00A7631D">
        <w:t xml:space="preserve"> </w:t>
      </w:r>
      <w:r w:rsidR="008C40F3" w:rsidRPr="00A7631D">
        <w:t xml:space="preserve"> </w:t>
      </w:r>
      <w:r w:rsidR="006F0D0C">
        <w:t xml:space="preserve">Compared </w:t>
      </w:r>
      <w:r w:rsidR="005819A6">
        <w:t>against</w:t>
      </w:r>
      <w:r w:rsidR="006F0D0C">
        <w:t xml:space="preserve"> this third witness, t</w:t>
      </w:r>
      <w:r w:rsidR="00A82368" w:rsidRPr="00A7631D">
        <w:t xml:space="preserve">he </w:t>
      </w:r>
      <w:r w:rsidR="00A82368" w:rsidRPr="00A7631D">
        <w:lastRenderedPageBreak/>
        <w:t xml:space="preserve">prosecution expended greater efforts to </w:t>
      </w:r>
      <w:r w:rsidR="006F0D0C">
        <w:t>locate Brown</w:t>
      </w:r>
      <w:r w:rsidR="004F5CAF">
        <w:t xml:space="preserve"> </w:t>
      </w:r>
      <w:r w:rsidR="00A82368" w:rsidRPr="00A7631D">
        <w:t>— talking to friends and family, visiting his last known addresses and workplace on multiple occasions, and searching arrest records — and Brown had provided prior testimony.</w:t>
      </w:r>
      <w:r w:rsidR="004F5CAF">
        <w:t xml:space="preserve">  </w:t>
      </w:r>
      <w:r w:rsidR="00096A97">
        <w:t>It is harder to compare the prosecution’s efforts to secure</w:t>
      </w:r>
      <w:r w:rsidR="004F5CAF">
        <w:t xml:space="preserve"> Brown’s </w:t>
      </w:r>
      <w:r w:rsidR="009E1476">
        <w:t xml:space="preserve">testimony </w:t>
      </w:r>
      <w:r w:rsidR="00096A97">
        <w:t>a</w:t>
      </w:r>
      <w:r w:rsidR="008C1C26">
        <w:t xml:space="preserve">gainst </w:t>
      </w:r>
      <w:r w:rsidR="005D6263">
        <w:t xml:space="preserve">the effort undertaken with </w:t>
      </w:r>
      <w:r w:rsidR="004F5CAF">
        <w:t xml:space="preserve">Barnes, </w:t>
      </w:r>
      <w:r w:rsidR="00096A97">
        <w:t>because</w:t>
      </w:r>
      <w:r w:rsidR="004F5CAF">
        <w:t xml:space="preserve"> the latter was </w:t>
      </w:r>
      <w:r w:rsidR="00096A97">
        <w:t>reluctant from the outset</w:t>
      </w:r>
      <w:r w:rsidR="004F5CAF">
        <w:t xml:space="preserve"> and a bond was immediately issued</w:t>
      </w:r>
      <w:r w:rsidR="000556C4">
        <w:t xml:space="preserve">.  </w:t>
      </w:r>
      <w:r w:rsidR="00076E44">
        <w:t>This difference</w:t>
      </w:r>
      <w:r w:rsidR="00CA4992">
        <w:t xml:space="preserve"> </w:t>
      </w:r>
      <w:r w:rsidR="000556C4">
        <w:t xml:space="preserve">reflects Brown’s initial willingness to work with the prosecution, not that he provided prior testimony. </w:t>
      </w:r>
      <w:r w:rsidR="00096A97">
        <w:t xml:space="preserve"> </w:t>
      </w:r>
      <w:r w:rsidR="00D97B4C">
        <w:t>In any event, we conclude the prosecution was reasonably diligent in its efforts to secure Brown’s testimony.</w:t>
      </w:r>
      <w:r w:rsidR="000556C4">
        <w:t xml:space="preserve"> </w:t>
      </w:r>
    </w:p>
    <w:p w14:paraId="6F2E7321" w14:textId="3DF0215A" w:rsidR="006C385A" w:rsidRPr="00A7631D" w:rsidRDefault="00A0473B" w:rsidP="00A7631D">
      <w:pPr>
        <w:pStyle w:val="Heading2"/>
        <w:numPr>
          <w:ilvl w:val="0"/>
          <w:numId w:val="3"/>
        </w:numPr>
      </w:pPr>
      <w:r w:rsidRPr="00A7631D">
        <w:t xml:space="preserve"> </w:t>
      </w:r>
      <w:bookmarkStart w:id="44" w:name="_Toc58846826"/>
      <w:bookmarkStart w:id="45" w:name="_Toc50617043"/>
      <w:r w:rsidR="00EB0F74" w:rsidRPr="00A7631D">
        <w:t>Second Degree Murder Instructional Error Allegation</w:t>
      </w:r>
      <w:bookmarkEnd w:id="44"/>
      <w:r w:rsidR="00EB0F74" w:rsidRPr="00A7631D">
        <w:t xml:space="preserve"> </w:t>
      </w:r>
      <w:bookmarkEnd w:id="45"/>
    </w:p>
    <w:p w14:paraId="38E2E56D" w14:textId="403C42FA" w:rsidR="006C385A" w:rsidRPr="00A7631D" w:rsidRDefault="00626AC4" w:rsidP="004972B9">
      <w:pPr>
        <w:ind w:firstLine="720"/>
        <w:rPr>
          <w:szCs w:val="26"/>
        </w:rPr>
      </w:pPr>
      <w:r w:rsidRPr="00A7631D">
        <w:rPr>
          <w:szCs w:val="26"/>
        </w:rPr>
        <w:t>Wilson</w:t>
      </w:r>
      <w:r w:rsidR="00A43305" w:rsidRPr="00A7631D">
        <w:rPr>
          <w:szCs w:val="26"/>
        </w:rPr>
        <w:t xml:space="preserve"> contends the trial court erred by failing to instruct the jury, </w:t>
      </w:r>
      <w:proofErr w:type="spellStart"/>
      <w:r w:rsidR="00A43305" w:rsidRPr="00A7631D">
        <w:rPr>
          <w:szCs w:val="26"/>
        </w:rPr>
        <w:t>sua</w:t>
      </w:r>
      <w:proofErr w:type="spellEnd"/>
      <w:r w:rsidR="00A43305" w:rsidRPr="00A7631D">
        <w:rPr>
          <w:szCs w:val="26"/>
        </w:rPr>
        <w:t xml:space="preserve"> sponte, on the lesser included offense of unpremeditated </w:t>
      </w:r>
      <w:proofErr w:type="gramStart"/>
      <w:r w:rsidR="00A43305" w:rsidRPr="00A7631D">
        <w:rPr>
          <w:szCs w:val="26"/>
        </w:rPr>
        <w:t>second degree</w:t>
      </w:r>
      <w:proofErr w:type="gramEnd"/>
      <w:r w:rsidR="00A43305" w:rsidRPr="00A7631D">
        <w:rPr>
          <w:szCs w:val="26"/>
        </w:rPr>
        <w:t xml:space="preserve"> murder.  Because there was insufficient evidence to support that instruction, </w:t>
      </w:r>
      <w:r w:rsidR="00575AFC" w:rsidRPr="00A7631D">
        <w:rPr>
          <w:szCs w:val="26"/>
        </w:rPr>
        <w:t>we</w:t>
      </w:r>
      <w:r w:rsidR="00AD1DB9" w:rsidRPr="00A7631D">
        <w:rPr>
          <w:szCs w:val="26"/>
        </w:rPr>
        <w:t xml:space="preserve"> </w:t>
      </w:r>
      <w:r w:rsidR="00A43305" w:rsidRPr="00A7631D">
        <w:rPr>
          <w:szCs w:val="26"/>
        </w:rPr>
        <w:t>conclude no error occurred.</w:t>
      </w:r>
    </w:p>
    <w:p w14:paraId="61666B66" w14:textId="797B3260" w:rsidR="00A43305" w:rsidRPr="00A7631D" w:rsidRDefault="00A43305" w:rsidP="004972B9">
      <w:pPr>
        <w:pStyle w:val="Heading3"/>
        <w:numPr>
          <w:ilvl w:val="0"/>
          <w:numId w:val="13"/>
        </w:numPr>
        <w:ind w:left="1584" w:hanging="432"/>
        <w:rPr>
          <w:szCs w:val="26"/>
        </w:rPr>
      </w:pPr>
      <w:bookmarkStart w:id="46" w:name="_Toc58846827"/>
      <w:bookmarkStart w:id="47" w:name="_Toc50617044"/>
      <w:r w:rsidRPr="00A7631D">
        <w:t>Background</w:t>
      </w:r>
      <w:bookmarkEnd w:id="46"/>
      <w:bookmarkEnd w:id="47"/>
    </w:p>
    <w:p w14:paraId="1685EAD1" w14:textId="1BDAC370" w:rsidR="009773D5" w:rsidRPr="00A7631D" w:rsidRDefault="009773D5" w:rsidP="004972B9">
      <w:pPr>
        <w:ind w:firstLine="720"/>
        <w:rPr>
          <w:szCs w:val="26"/>
        </w:rPr>
      </w:pPr>
      <w:r w:rsidRPr="00A7631D">
        <w:rPr>
          <w:szCs w:val="26"/>
        </w:rPr>
        <w:t xml:space="preserve">On the morning of </w:t>
      </w:r>
      <w:r w:rsidR="006F0B2C" w:rsidRPr="00A7631D">
        <w:rPr>
          <w:szCs w:val="26"/>
        </w:rPr>
        <w:t>the shooting</w:t>
      </w:r>
      <w:r w:rsidRPr="00A7631D">
        <w:rPr>
          <w:szCs w:val="26"/>
        </w:rPr>
        <w:t>, Wilson</w:t>
      </w:r>
      <w:r w:rsidR="006F0B2C" w:rsidRPr="00A7631D">
        <w:rPr>
          <w:szCs w:val="26"/>
        </w:rPr>
        <w:t xml:space="preserve"> and</w:t>
      </w:r>
      <w:r w:rsidRPr="00A7631D">
        <w:rPr>
          <w:szCs w:val="26"/>
        </w:rPr>
        <w:t xml:space="preserve"> Pops waited in a car outside Wheels </w:t>
      </w:r>
      <w:r w:rsidR="002F4402">
        <w:rPr>
          <w:szCs w:val="26"/>
        </w:rPr>
        <w:t>’</w:t>
      </w:r>
      <w:r w:rsidR="00983BD9">
        <w:rPr>
          <w:szCs w:val="26"/>
        </w:rPr>
        <w:t>N</w:t>
      </w:r>
      <w:r w:rsidRPr="00A7631D">
        <w:rPr>
          <w:szCs w:val="26"/>
        </w:rPr>
        <w:t xml:space="preserve"> Stuff.  Williams approached the car and asked them what they needed.  They told Williams they were looking for some “sounds,” </w:t>
      </w:r>
      <w:r w:rsidR="0087540C" w:rsidRPr="00A7631D">
        <w:rPr>
          <w:szCs w:val="26"/>
        </w:rPr>
        <w:t>but after being told they should go look elsewhere they</w:t>
      </w:r>
      <w:r w:rsidRPr="00A7631D">
        <w:rPr>
          <w:szCs w:val="26"/>
        </w:rPr>
        <w:t xml:space="preserve"> remained in the car for some time.  Bowie arrive</w:t>
      </w:r>
      <w:r w:rsidR="0087540C" w:rsidRPr="00A7631D">
        <w:rPr>
          <w:szCs w:val="26"/>
        </w:rPr>
        <w:t>d</w:t>
      </w:r>
      <w:r w:rsidRPr="00A7631D">
        <w:rPr>
          <w:szCs w:val="26"/>
        </w:rPr>
        <w:t xml:space="preserve"> at the </w:t>
      </w:r>
      <w:r w:rsidR="00EC55D4" w:rsidRPr="00A7631D">
        <w:rPr>
          <w:szCs w:val="26"/>
        </w:rPr>
        <w:t>car wash</w:t>
      </w:r>
      <w:r w:rsidRPr="00A7631D">
        <w:rPr>
          <w:szCs w:val="26"/>
        </w:rPr>
        <w:t xml:space="preserve">, and as </w:t>
      </w:r>
      <w:r w:rsidR="00C178E0" w:rsidRPr="00A7631D">
        <w:rPr>
          <w:szCs w:val="26"/>
        </w:rPr>
        <w:t>he</w:t>
      </w:r>
      <w:r w:rsidRPr="00A7631D">
        <w:rPr>
          <w:szCs w:val="26"/>
        </w:rPr>
        <w:t xml:space="preserve"> stopped to talk on a payphone </w:t>
      </w:r>
      <w:r w:rsidR="00C178E0" w:rsidRPr="00A7631D">
        <w:rPr>
          <w:szCs w:val="26"/>
        </w:rPr>
        <w:t xml:space="preserve">before going inside </w:t>
      </w:r>
      <w:r w:rsidRPr="00A7631D">
        <w:rPr>
          <w:szCs w:val="26"/>
        </w:rPr>
        <w:t xml:space="preserve">Wilson and Pops forced </w:t>
      </w:r>
      <w:r w:rsidR="0047522B" w:rsidRPr="00A7631D">
        <w:rPr>
          <w:szCs w:val="26"/>
        </w:rPr>
        <w:t>him</w:t>
      </w:r>
      <w:r w:rsidRPr="00A7631D">
        <w:rPr>
          <w:szCs w:val="26"/>
        </w:rPr>
        <w:t xml:space="preserve"> into the </w:t>
      </w:r>
      <w:r w:rsidR="00EC55D4" w:rsidRPr="00A7631D">
        <w:rPr>
          <w:szCs w:val="26"/>
        </w:rPr>
        <w:t>car wash</w:t>
      </w:r>
      <w:r w:rsidR="007040E5" w:rsidRPr="00A7631D">
        <w:rPr>
          <w:szCs w:val="26"/>
        </w:rPr>
        <w:t xml:space="preserve"> at </w:t>
      </w:r>
      <w:proofErr w:type="gramStart"/>
      <w:r w:rsidR="007040E5" w:rsidRPr="00A7631D">
        <w:rPr>
          <w:szCs w:val="26"/>
        </w:rPr>
        <w:t>gunpoint</w:t>
      </w:r>
      <w:r w:rsidRPr="00A7631D">
        <w:rPr>
          <w:szCs w:val="26"/>
        </w:rPr>
        <w:t>, and</w:t>
      </w:r>
      <w:proofErr w:type="gramEnd"/>
      <w:r w:rsidRPr="00A7631D">
        <w:rPr>
          <w:szCs w:val="26"/>
        </w:rPr>
        <w:t xml:space="preserve"> ordered everyone inside to lay on the ground.</w:t>
      </w:r>
      <w:r w:rsidR="0047522B" w:rsidRPr="00A7631D">
        <w:rPr>
          <w:szCs w:val="26"/>
        </w:rPr>
        <w:t xml:space="preserve"> </w:t>
      </w:r>
      <w:r w:rsidRPr="00A7631D">
        <w:rPr>
          <w:szCs w:val="26"/>
        </w:rPr>
        <w:t xml:space="preserve"> Wilson </w:t>
      </w:r>
      <w:r w:rsidR="00524C56" w:rsidRPr="00A7631D">
        <w:rPr>
          <w:szCs w:val="26"/>
        </w:rPr>
        <w:t>was heard asking for</w:t>
      </w:r>
      <w:r w:rsidR="00A02DC9" w:rsidRPr="00A7631D">
        <w:rPr>
          <w:szCs w:val="26"/>
        </w:rPr>
        <w:t xml:space="preserve"> </w:t>
      </w:r>
      <w:r w:rsidRPr="00A7631D">
        <w:rPr>
          <w:szCs w:val="26"/>
        </w:rPr>
        <w:t>money and “shit</w:t>
      </w:r>
      <w:r w:rsidR="00686EFC" w:rsidRPr="00A7631D">
        <w:rPr>
          <w:szCs w:val="26"/>
        </w:rPr>
        <w:t>,</w:t>
      </w:r>
      <w:r w:rsidRPr="00A7631D">
        <w:rPr>
          <w:szCs w:val="26"/>
        </w:rPr>
        <w:t>”</w:t>
      </w:r>
      <w:r w:rsidR="00A02DC9" w:rsidRPr="00A7631D">
        <w:rPr>
          <w:szCs w:val="26"/>
        </w:rPr>
        <w:t xml:space="preserve"> presumably meaning</w:t>
      </w:r>
      <w:r w:rsidRPr="00A7631D">
        <w:rPr>
          <w:szCs w:val="26"/>
        </w:rPr>
        <w:t xml:space="preserve"> </w:t>
      </w:r>
      <w:r w:rsidR="00A02DC9" w:rsidRPr="00A7631D">
        <w:rPr>
          <w:szCs w:val="26"/>
        </w:rPr>
        <w:t xml:space="preserve">drugs, and both </w:t>
      </w:r>
      <w:r w:rsidR="009E23F4" w:rsidRPr="00A7631D">
        <w:rPr>
          <w:szCs w:val="26"/>
        </w:rPr>
        <w:t>he and Pops</w:t>
      </w:r>
      <w:r w:rsidR="002879E0" w:rsidRPr="00A7631D">
        <w:rPr>
          <w:szCs w:val="26"/>
        </w:rPr>
        <w:t xml:space="preserve"> </w:t>
      </w:r>
      <w:r w:rsidRPr="00A7631D">
        <w:rPr>
          <w:szCs w:val="26"/>
        </w:rPr>
        <w:t xml:space="preserve">rummaged through the </w:t>
      </w:r>
      <w:r w:rsidR="00EC55D4" w:rsidRPr="00A7631D">
        <w:rPr>
          <w:szCs w:val="26"/>
        </w:rPr>
        <w:t>car wash</w:t>
      </w:r>
      <w:r w:rsidR="002879E0" w:rsidRPr="00A7631D">
        <w:rPr>
          <w:szCs w:val="26"/>
        </w:rPr>
        <w:t xml:space="preserve"> before shooting and killing</w:t>
      </w:r>
      <w:r w:rsidRPr="00A7631D">
        <w:rPr>
          <w:szCs w:val="26"/>
        </w:rPr>
        <w:t xml:space="preserve"> four of the men inside.</w:t>
      </w:r>
      <w:r w:rsidR="00686EFC" w:rsidRPr="00A7631D">
        <w:rPr>
          <w:szCs w:val="26"/>
        </w:rPr>
        <w:t xml:space="preserve">  </w:t>
      </w:r>
      <w:r w:rsidRPr="00A7631D">
        <w:rPr>
          <w:szCs w:val="26"/>
        </w:rPr>
        <w:lastRenderedPageBreak/>
        <w:t>Wilson fled the scene in Dunn’s El Camino and Pops left in the Honda in which the two men had arrived.</w:t>
      </w:r>
      <w:r w:rsidR="00E938F4" w:rsidRPr="00A7631D">
        <w:rPr>
          <w:szCs w:val="26"/>
        </w:rPr>
        <w:t xml:space="preserve">  </w:t>
      </w:r>
      <w:r w:rsidRPr="00A7631D">
        <w:rPr>
          <w:szCs w:val="26"/>
        </w:rPr>
        <w:t xml:space="preserve">When police arrived at the </w:t>
      </w:r>
      <w:r w:rsidR="00EC55D4" w:rsidRPr="00A7631D">
        <w:rPr>
          <w:szCs w:val="26"/>
        </w:rPr>
        <w:t xml:space="preserve">car </w:t>
      </w:r>
      <w:proofErr w:type="gramStart"/>
      <w:r w:rsidR="00EC55D4" w:rsidRPr="00A7631D">
        <w:rPr>
          <w:szCs w:val="26"/>
        </w:rPr>
        <w:t>wash</w:t>
      </w:r>
      <w:proofErr w:type="gramEnd"/>
      <w:r w:rsidRPr="00A7631D">
        <w:rPr>
          <w:szCs w:val="26"/>
        </w:rPr>
        <w:t xml:space="preserve"> they found the victims’ pockets had been searched, and saw that empty boxes were scattered across the floor.  Williams testified that from the pictures taken at the scene, there appeared to be far less marijuana in the shop following the shooting than there had been that morning.  </w:t>
      </w:r>
    </w:p>
    <w:p w14:paraId="2A8E0E26" w14:textId="39F7FAED" w:rsidR="009773D5" w:rsidRPr="00A7631D" w:rsidRDefault="009773D5" w:rsidP="004972B9">
      <w:pPr>
        <w:rPr>
          <w:b/>
          <w:bCs/>
          <w:i/>
          <w:iCs/>
          <w:szCs w:val="26"/>
        </w:rPr>
      </w:pPr>
      <w:r w:rsidRPr="00A7631D">
        <w:rPr>
          <w:szCs w:val="26"/>
        </w:rPr>
        <w:tab/>
        <w:t>The information charged Wilson with four counts of murder “with malice aforethought” in violation of section 187, subdivision (a).  He was also charged with</w:t>
      </w:r>
      <w:r w:rsidR="00EC3593" w:rsidRPr="00A7631D">
        <w:rPr>
          <w:szCs w:val="26"/>
        </w:rPr>
        <w:t>, and the jury found true,</w:t>
      </w:r>
      <w:r w:rsidRPr="00A7631D">
        <w:rPr>
          <w:szCs w:val="26"/>
        </w:rPr>
        <w:t xml:space="preserve"> multiple-murder, burglary-murder, and robbery-murder special circumstances.  Despite the charging language, the prosecutor only pursued a felony-murder theory at trial, and the jury was only instructed on that theory.  </w:t>
      </w:r>
    </w:p>
    <w:p w14:paraId="18CF68FC" w14:textId="3EA9FE8D" w:rsidR="005715E2" w:rsidRPr="00003BE3" w:rsidRDefault="005715E2" w:rsidP="004972B9">
      <w:pPr>
        <w:pStyle w:val="Heading3"/>
        <w:numPr>
          <w:ilvl w:val="0"/>
          <w:numId w:val="13"/>
        </w:numPr>
        <w:ind w:left="1584" w:hanging="432"/>
      </w:pPr>
      <w:bookmarkStart w:id="48" w:name="_Toc58846828"/>
      <w:bookmarkStart w:id="49" w:name="_Toc50617045"/>
      <w:r w:rsidRPr="00003BE3">
        <w:t>Discussion</w:t>
      </w:r>
      <w:bookmarkEnd w:id="48"/>
      <w:bookmarkEnd w:id="49"/>
    </w:p>
    <w:p w14:paraId="6869A1E7" w14:textId="2BF4E162" w:rsidR="009773D5" w:rsidRPr="00A7631D" w:rsidRDefault="00626AC4" w:rsidP="004972B9">
      <w:pPr>
        <w:ind w:firstLine="720"/>
        <w:rPr>
          <w:szCs w:val="26"/>
        </w:rPr>
      </w:pPr>
      <w:r w:rsidRPr="00A7631D">
        <w:rPr>
          <w:szCs w:val="26"/>
        </w:rPr>
        <w:t>Wilson</w:t>
      </w:r>
      <w:r w:rsidR="009773D5" w:rsidRPr="00A7631D">
        <w:rPr>
          <w:szCs w:val="26"/>
        </w:rPr>
        <w:t xml:space="preserve"> claims the trial court erred by failing to instruct the jury on </w:t>
      </w:r>
      <w:proofErr w:type="spellStart"/>
      <w:r w:rsidR="009773D5" w:rsidRPr="00A7631D">
        <w:rPr>
          <w:szCs w:val="26"/>
        </w:rPr>
        <w:t>nonpremeditated</w:t>
      </w:r>
      <w:proofErr w:type="spellEnd"/>
      <w:r w:rsidR="009773D5" w:rsidRPr="00A7631D">
        <w:rPr>
          <w:szCs w:val="26"/>
        </w:rPr>
        <w:t xml:space="preserve"> second degree murder.  We review such claims of error de novo.  (</w:t>
      </w:r>
      <w:r w:rsidR="009773D5" w:rsidRPr="00A7631D">
        <w:rPr>
          <w:i/>
          <w:iCs/>
          <w:szCs w:val="26"/>
        </w:rPr>
        <w:t>People v. Souza</w:t>
      </w:r>
      <w:r w:rsidR="009773D5" w:rsidRPr="00A7631D">
        <w:rPr>
          <w:szCs w:val="26"/>
        </w:rPr>
        <w:t xml:space="preserve"> (2012) 54 Cal.4th 90, 113; </w:t>
      </w:r>
      <w:r w:rsidR="009773D5" w:rsidRPr="00A7631D">
        <w:rPr>
          <w:i/>
          <w:iCs/>
          <w:szCs w:val="26"/>
        </w:rPr>
        <w:t xml:space="preserve">People v. </w:t>
      </w:r>
      <w:proofErr w:type="spellStart"/>
      <w:r w:rsidR="009773D5" w:rsidRPr="00A7631D">
        <w:rPr>
          <w:i/>
          <w:iCs/>
          <w:szCs w:val="26"/>
        </w:rPr>
        <w:t>Licas</w:t>
      </w:r>
      <w:proofErr w:type="spellEnd"/>
      <w:r w:rsidR="009773D5" w:rsidRPr="00A7631D">
        <w:rPr>
          <w:szCs w:val="26"/>
        </w:rPr>
        <w:t xml:space="preserve"> (2007) 41 Cal.4th 362, 366.)  “</w:t>
      </w:r>
      <w:r w:rsidR="00005707">
        <w:rPr>
          <w:szCs w:val="26"/>
        </w:rPr>
        <w:t> </w:t>
      </w:r>
      <w:r w:rsidR="009773D5" w:rsidRPr="00A7631D">
        <w:rPr>
          <w:szCs w:val="26"/>
        </w:rPr>
        <w:t>‘</w:t>
      </w:r>
      <w:r w:rsidR="00005707">
        <w:rPr>
          <w:szCs w:val="26"/>
        </w:rPr>
        <w:t> </w:t>
      </w:r>
      <w:r w:rsidR="009773D5" w:rsidRPr="00A7631D">
        <w:rPr>
          <w:szCs w:val="26"/>
        </w:rPr>
        <w:t>“</w:t>
      </w:r>
      <w:r w:rsidR="00005707">
        <w:rPr>
          <w:szCs w:val="26"/>
        </w:rPr>
        <w:t> </w:t>
      </w:r>
      <w:r w:rsidR="009773D5" w:rsidRPr="00A7631D">
        <w:rPr>
          <w:szCs w:val="26"/>
        </w:rPr>
        <w:t>‘[I]t is settled that in criminal cases, even in the absence of a request, the trial court must instruct on the general principles of law relevant to the issues raised by the evidence.’  [Citation.]</w:t>
      </w:r>
      <w:r w:rsidR="00BD3FFE">
        <w:rPr>
          <w:szCs w:val="26"/>
        </w:rPr>
        <w:t xml:space="preserve">  </w:t>
      </w:r>
      <w:r w:rsidR="009773D5" w:rsidRPr="00A7631D">
        <w:rPr>
          <w:szCs w:val="26"/>
        </w:rPr>
        <w:t>That obligation has been held to include giving instructions on lesser included offenses when the evidence raises a question as to whether all of the elements of the charged offense were present [citation], but not when there is no evidence that the offense was less than that charged.  [Citations.]”</w:t>
      </w:r>
      <w:r w:rsidR="00005707">
        <w:rPr>
          <w:szCs w:val="26"/>
        </w:rPr>
        <w:t> </w:t>
      </w:r>
      <w:r w:rsidR="009773D5" w:rsidRPr="00A7631D">
        <w:rPr>
          <w:szCs w:val="26"/>
        </w:rPr>
        <w:t>’</w:t>
      </w:r>
      <w:r w:rsidR="00B47795">
        <w:rPr>
          <w:szCs w:val="26"/>
        </w:rPr>
        <w:t> </w:t>
      </w:r>
      <w:r w:rsidR="009773D5" w:rsidRPr="00A7631D">
        <w:rPr>
          <w:szCs w:val="26"/>
        </w:rPr>
        <w:t xml:space="preserve">”  </w:t>
      </w:r>
      <w:r w:rsidR="00B7292F" w:rsidRPr="00A7631D">
        <w:rPr>
          <w:szCs w:val="26"/>
        </w:rPr>
        <w:t>(</w:t>
      </w:r>
      <w:r w:rsidR="00B7292F" w:rsidRPr="00A7631D">
        <w:rPr>
          <w:i/>
          <w:iCs/>
          <w:szCs w:val="26"/>
        </w:rPr>
        <w:t xml:space="preserve">People v. Valdez </w:t>
      </w:r>
      <w:r w:rsidR="00B7292F" w:rsidRPr="00A7631D">
        <w:rPr>
          <w:szCs w:val="26"/>
        </w:rPr>
        <w:t>(2004) 32 Cal.4th 73, 115.)</w:t>
      </w:r>
      <w:r w:rsidR="00B7292F" w:rsidRPr="00A7631D" w:rsidDel="00B7292F">
        <w:rPr>
          <w:szCs w:val="26"/>
        </w:rPr>
        <w:t xml:space="preserve"> </w:t>
      </w:r>
      <w:r w:rsidR="0078199F" w:rsidRPr="00A7631D">
        <w:rPr>
          <w:szCs w:val="26"/>
        </w:rPr>
        <w:t xml:space="preserve">  </w:t>
      </w:r>
    </w:p>
    <w:p w14:paraId="37750ADD" w14:textId="10F28673" w:rsidR="009773D5" w:rsidRPr="00A7631D" w:rsidRDefault="009773D5" w:rsidP="004972B9">
      <w:pPr>
        <w:ind w:firstLine="720"/>
        <w:rPr>
          <w:szCs w:val="26"/>
        </w:rPr>
      </w:pPr>
      <w:r w:rsidRPr="00A7631D">
        <w:rPr>
          <w:szCs w:val="26"/>
        </w:rPr>
        <w:t xml:space="preserve">To determine if a lesser offense is included in a greater offense, we consider whether the pleading charging the </w:t>
      </w:r>
      <w:r w:rsidRPr="00A7631D">
        <w:rPr>
          <w:szCs w:val="26"/>
        </w:rPr>
        <w:lastRenderedPageBreak/>
        <w:t>defendant described the offense in such a manner that the offender, if guilty, must necessarily have also committed the lesser crime.  (</w:t>
      </w:r>
      <w:r w:rsidRPr="00A7631D">
        <w:rPr>
          <w:i/>
          <w:iCs/>
          <w:szCs w:val="26"/>
        </w:rPr>
        <w:t>People v. Smith</w:t>
      </w:r>
      <w:r w:rsidRPr="00A7631D">
        <w:rPr>
          <w:szCs w:val="26"/>
        </w:rPr>
        <w:t> (2013) 57 Cal.4th 232, 240.)  There must be</w:t>
      </w:r>
      <w:r w:rsidR="001F4954" w:rsidRPr="00A7631D">
        <w:rPr>
          <w:szCs w:val="26"/>
        </w:rPr>
        <w:t>, at a minimum,</w:t>
      </w:r>
      <w:r w:rsidRPr="00A7631D">
        <w:rPr>
          <w:szCs w:val="26"/>
        </w:rPr>
        <w:t xml:space="preserve"> substantial evidence demonstrating the lesser offense was committed.  (</w:t>
      </w:r>
      <w:r w:rsidRPr="00A7631D">
        <w:rPr>
          <w:i/>
          <w:iCs/>
          <w:szCs w:val="26"/>
        </w:rPr>
        <w:t xml:space="preserve">People v. </w:t>
      </w:r>
      <w:proofErr w:type="spellStart"/>
      <w:r w:rsidRPr="00A7631D">
        <w:rPr>
          <w:i/>
          <w:iCs/>
          <w:szCs w:val="26"/>
        </w:rPr>
        <w:t>Westerfield</w:t>
      </w:r>
      <w:proofErr w:type="spellEnd"/>
      <w:r w:rsidRPr="00A7631D">
        <w:rPr>
          <w:szCs w:val="26"/>
        </w:rPr>
        <w:t xml:space="preserve"> (2019) 6 Cal.5th 632, 718</w:t>
      </w:r>
      <w:r w:rsidR="006D33E8" w:rsidRPr="00A7631D">
        <w:rPr>
          <w:szCs w:val="26"/>
        </w:rPr>
        <w:t xml:space="preserve"> (</w:t>
      </w:r>
      <w:proofErr w:type="spellStart"/>
      <w:r w:rsidR="006D33E8" w:rsidRPr="00A7631D">
        <w:rPr>
          <w:i/>
          <w:iCs/>
          <w:szCs w:val="26"/>
        </w:rPr>
        <w:t>Westerfield</w:t>
      </w:r>
      <w:proofErr w:type="spellEnd"/>
      <w:r w:rsidR="006D33E8" w:rsidRPr="00A7631D">
        <w:rPr>
          <w:szCs w:val="26"/>
        </w:rPr>
        <w:t>)</w:t>
      </w:r>
      <w:r w:rsidRPr="00A7631D">
        <w:rPr>
          <w:szCs w:val="26"/>
        </w:rPr>
        <w:t xml:space="preserve">.)  In general, “a trial court errs if it fails to instruct, </w:t>
      </w:r>
      <w:proofErr w:type="spellStart"/>
      <w:r w:rsidRPr="00A7631D">
        <w:rPr>
          <w:szCs w:val="26"/>
        </w:rPr>
        <w:t>sua</w:t>
      </w:r>
      <w:proofErr w:type="spellEnd"/>
      <w:r w:rsidRPr="00A7631D">
        <w:rPr>
          <w:szCs w:val="26"/>
        </w:rPr>
        <w:t xml:space="preserve"> sponte, on all theories of a lesser included offense which finds substantial support in the evidence.”  (</w:t>
      </w:r>
      <w:r w:rsidRPr="00A7631D">
        <w:rPr>
          <w:i/>
          <w:iCs/>
          <w:szCs w:val="26"/>
        </w:rPr>
        <w:t xml:space="preserve">People v. </w:t>
      </w:r>
      <w:proofErr w:type="spellStart"/>
      <w:r w:rsidRPr="00A7631D">
        <w:rPr>
          <w:i/>
          <w:iCs/>
          <w:szCs w:val="26"/>
        </w:rPr>
        <w:t>Breverman</w:t>
      </w:r>
      <w:proofErr w:type="spellEnd"/>
      <w:r w:rsidRPr="00A7631D">
        <w:rPr>
          <w:szCs w:val="26"/>
        </w:rPr>
        <w:t xml:space="preserve"> (199</w:t>
      </w:r>
      <w:r w:rsidR="004B6D65" w:rsidRPr="00A7631D">
        <w:rPr>
          <w:szCs w:val="26"/>
        </w:rPr>
        <w:t>8</w:t>
      </w:r>
      <w:r w:rsidRPr="00A7631D">
        <w:rPr>
          <w:szCs w:val="26"/>
        </w:rPr>
        <w:t>) 19 Cal.4th 142, 162.)  Substantial support requires introduction of “</w:t>
      </w:r>
      <w:r w:rsidR="00CB26B7">
        <w:rPr>
          <w:szCs w:val="26"/>
        </w:rPr>
        <w:t> </w:t>
      </w:r>
      <w:r w:rsidRPr="00A7631D">
        <w:rPr>
          <w:szCs w:val="26"/>
        </w:rPr>
        <w:t>‘</w:t>
      </w:r>
      <w:r w:rsidR="00CB26B7">
        <w:rPr>
          <w:szCs w:val="26"/>
        </w:rPr>
        <w:t> </w:t>
      </w:r>
      <w:r w:rsidRPr="00A7631D">
        <w:rPr>
          <w:szCs w:val="26"/>
        </w:rPr>
        <w:t>“</w:t>
      </w:r>
      <w:r w:rsidR="00CB26B7">
        <w:rPr>
          <w:szCs w:val="26"/>
        </w:rPr>
        <w:t> </w:t>
      </w:r>
      <w:r w:rsidR="00321565">
        <w:rPr>
          <w:szCs w:val="26"/>
        </w:rPr>
        <w:t>‘ </w:t>
      </w:r>
      <w:r w:rsidR="00546C2E">
        <w:rPr>
          <w:szCs w:val="26"/>
        </w:rPr>
        <w:t>“</w:t>
      </w:r>
      <w:r w:rsidRPr="00A7631D">
        <w:rPr>
          <w:szCs w:val="26"/>
        </w:rPr>
        <w:t xml:space="preserve">evidence sufficient to </w:t>
      </w:r>
      <w:r w:rsidR="007D5EFD">
        <w:rPr>
          <w:szCs w:val="26"/>
        </w:rPr>
        <w:t>‘</w:t>
      </w:r>
      <w:r w:rsidRPr="00A7631D">
        <w:rPr>
          <w:szCs w:val="26"/>
        </w:rPr>
        <w:t>deserve consideration by the jury,</w:t>
      </w:r>
      <w:r w:rsidR="007D5EFD">
        <w:rPr>
          <w:szCs w:val="26"/>
        </w:rPr>
        <w:t>’</w:t>
      </w:r>
      <w:r w:rsidRPr="00A7631D">
        <w:rPr>
          <w:szCs w:val="26"/>
        </w:rPr>
        <w:t xml:space="preserve"> that is, evidence that a reasonable jury could find persuasive.”</w:t>
      </w:r>
      <w:r w:rsidR="00321565">
        <w:rPr>
          <w:szCs w:val="26"/>
        </w:rPr>
        <w:t> </w:t>
      </w:r>
      <w:r w:rsidR="00840E8C">
        <w:rPr>
          <w:szCs w:val="26"/>
        </w:rPr>
        <w:t>’</w:t>
      </w:r>
      <w:r w:rsidR="00321565">
        <w:rPr>
          <w:szCs w:val="26"/>
        </w:rPr>
        <w:t> </w:t>
      </w:r>
      <w:r w:rsidRPr="00A7631D">
        <w:rPr>
          <w:szCs w:val="26"/>
        </w:rPr>
        <w:t>”</w:t>
      </w:r>
      <w:r w:rsidR="00321565">
        <w:rPr>
          <w:szCs w:val="26"/>
        </w:rPr>
        <w:t> </w:t>
      </w:r>
      <w:r w:rsidR="00840E8C">
        <w:rPr>
          <w:szCs w:val="26"/>
        </w:rPr>
        <w:t>’</w:t>
      </w:r>
      <w:r w:rsidR="00321565">
        <w:rPr>
          <w:szCs w:val="26"/>
        </w:rPr>
        <w:t>  [</w:t>
      </w:r>
      <w:r w:rsidR="00546C2E">
        <w:rPr>
          <w:szCs w:val="26"/>
        </w:rPr>
        <w:t>Citation.]”</w:t>
      </w:r>
      <w:r w:rsidRPr="00A7631D">
        <w:rPr>
          <w:szCs w:val="26"/>
        </w:rPr>
        <w:t xml:space="preserve">  (</w:t>
      </w:r>
      <w:proofErr w:type="spellStart"/>
      <w:r w:rsidRPr="00A7631D">
        <w:rPr>
          <w:i/>
          <w:iCs/>
          <w:szCs w:val="26"/>
        </w:rPr>
        <w:t>Westerfield</w:t>
      </w:r>
      <w:proofErr w:type="spellEnd"/>
      <w:r w:rsidRPr="00A7631D">
        <w:rPr>
          <w:szCs w:val="26"/>
        </w:rPr>
        <w:t xml:space="preserve">, at p. 718, quoting </w:t>
      </w:r>
      <w:r w:rsidRPr="00A7631D">
        <w:rPr>
          <w:i/>
          <w:iCs/>
          <w:szCs w:val="26"/>
        </w:rPr>
        <w:t>People v. Valdez</w:t>
      </w:r>
      <w:r w:rsidRPr="00A7631D">
        <w:rPr>
          <w:szCs w:val="26"/>
        </w:rPr>
        <w:t xml:space="preserve">, </w:t>
      </w:r>
      <w:r w:rsidRPr="00A7631D">
        <w:rPr>
          <w:i/>
          <w:iCs/>
          <w:szCs w:val="26"/>
        </w:rPr>
        <w:t>supra</w:t>
      </w:r>
      <w:r w:rsidRPr="00A7631D">
        <w:rPr>
          <w:szCs w:val="26"/>
        </w:rPr>
        <w:t xml:space="preserve">, 32 Cal.4th at p. 116.)  </w:t>
      </w:r>
    </w:p>
    <w:p w14:paraId="202E8200" w14:textId="376B910B" w:rsidR="009773D5" w:rsidRPr="00A7631D" w:rsidRDefault="009773D5" w:rsidP="004972B9">
      <w:pPr>
        <w:ind w:firstLine="720"/>
        <w:rPr>
          <w:szCs w:val="26"/>
        </w:rPr>
      </w:pPr>
      <w:r w:rsidRPr="00A7631D">
        <w:rPr>
          <w:szCs w:val="26"/>
        </w:rPr>
        <w:t>Here, although Wilson was charged with four counts of murder “with malice aforethought</w:t>
      </w:r>
      <w:r w:rsidR="002D08B8" w:rsidRPr="00A7631D">
        <w:rPr>
          <w:szCs w:val="26"/>
        </w:rPr>
        <w:t>,</w:t>
      </w:r>
      <w:r w:rsidRPr="00A7631D">
        <w:rPr>
          <w:szCs w:val="26"/>
        </w:rPr>
        <w:t xml:space="preserve">” the prosecutor exclusively pursued a felony-murder theory, and the jury was only instructed on that theory.  “[W]e </w:t>
      </w:r>
      <w:proofErr w:type="gramStart"/>
      <w:r w:rsidRPr="00A7631D">
        <w:rPr>
          <w:szCs w:val="26"/>
        </w:rPr>
        <w:t>have</w:t>
      </w:r>
      <w:proofErr w:type="gramEnd"/>
      <w:r w:rsidRPr="00A7631D">
        <w:rPr>
          <w:szCs w:val="26"/>
        </w:rPr>
        <w:t xml:space="preserve"> previously declined to address the question of whether second degree murder is a lesser included offense of first degree felony murder.”  (</w:t>
      </w:r>
      <w:proofErr w:type="spellStart"/>
      <w:r w:rsidRPr="00A7631D">
        <w:rPr>
          <w:i/>
          <w:iCs/>
          <w:szCs w:val="26"/>
        </w:rPr>
        <w:t>Westerfield</w:t>
      </w:r>
      <w:proofErr w:type="spellEnd"/>
      <w:r w:rsidRPr="00A7631D">
        <w:rPr>
          <w:szCs w:val="26"/>
        </w:rPr>
        <w:t xml:space="preserve">, </w:t>
      </w:r>
      <w:r w:rsidRPr="00A7631D">
        <w:rPr>
          <w:i/>
          <w:iCs/>
          <w:szCs w:val="26"/>
        </w:rPr>
        <w:t>supra</w:t>
      </w:r>
      <w:r w:rsidRPr="00A7631D">
        <w:rPr>
          <w:szCs w:val="26"/>
        </w:rPr>
        <w:t xml:space="preserve">, 6 Cal.5th at p. 717.)  Wilson argues that, because he was charged with first degree premeditated murder, second degree </w:t>
      </w:r>
      <w:proofErr w:type="spellStart"/>
      <w:r w:rsidRPr="00A7631D">
        <w:rPr>
          <w:szCs w:val="26"/>
        </w:rPr>
        <w:t>nonpremeditated</w:t>
      </w:r>
      <w:proofErr w:type="spellEnd"/>
      <w:r w:rsidRPr="00A7631D">
        <w:rPr>
          <w:szCs w:val="26"/>
        </w:rPr>
        <w:t xml:space="preserve"> murder — i.e., “</w:t>
      </w:r>
      <w:r w:rsidR="005A6163" w:rsidRPr="00A7631D">
        <w:rPr>
          <w:szCs w:val="26"/>
        </w:rPr>
        <w:t> </w:t>
      </w:r>
      <w:r w:rsidRPr="00A7631D">
        <w:rPr>
          <w:szCs w:val="26"/>
        </w:rPr>
        <w:t>‘</w:t>
      </w:r>
      <w:r w:rsidR="005A6163" w:rsidRPr="00A7631D">
        <w:rPr>
          <w:szCs w:val="26"/>
        </w:rPr>
        <w:t> </w:t>
      </w:r>
      <w:r w:rsidRPr="00A7631D">
        <w:rPr>
          <w:szCs w:val="26"/>
        </w:rPr>
        <w:t xml:space="preserve">“the unlawful killing of a human being with malice, but without the additional elements . . . that would support a conviction of </w:t>
      </w:r>
      <w:proofErr w:type="gramStart"/>
      <w:r w:rsidRPr="00A7631D">
        <w:rPr>
          <w:szCs w:val="26"/>
        </w:rPr>
        <w:t>first degree</w:t>
      </w:r>
      <w:proofErr w:type="gramEnd"/>
      <w:r w:rsidRPr="00A7631D">
        <w:rPr>
          <w:szCs w:val="26"/>
        </w:rPr>
        <w:t xml:space="preserve"> murder”</w:t>
      </w:r>
      <w:r w:rsidR="00005707">
        <w:rPr>
          <w:szCs w:val="26"/>
        </w:rPr>
        <w:t> </w:t>
      </w:r>
      <w:r w:rsidRPr="00A7631D">
        <w:rPr>
          <w:szCs w:val="26"/>
        </w:rPr>
        <w:t>’</w:t>
      </w:r>
      <w:r w:rsidR="00005707">
        <w:rPr>
          <w:szCs w:val="26"/>
        </w:rPr>
        <w:t> </w:t>
      </w:r>
      <w:r w:rsidRPr="00A7631D">
        <w:rPr>
          <w:szCs w:val="26"/>
        </w:rPr>
        <w:t>” — is necessarily a lesser included offense.  (</w:t>
      </w:r>
      <w:r w:rsidRPr="00A7631D">
        <w:rPr>
          <w:i/>
          <w:iCs/>
          <w:szCs w:val="26"/>
        </w:rPr>
        <w:t xml:space="preserve">People v. Banks </w:t>
      </w:r>
      <w:r w:rsidRPr="00A7631D">
        <w:rPr>
          <w:szCs w:val="26"/>
        </w:rPr>
        <w:t>(2014) 59 Cal.4th 111</w:t>
      </w:r>
      <w:r w:rsidR="00326CD2" w:rsidRPr="00A7631D">
        <w:rPr>
          <w:szCs w:val="26"/>
        </w:rPr>
        <w:t>3</w:t>
      </w:r>
      <w:r w:rsidRPr="00A7631D">
        <w:rPr>
          <w:szCs w:val="26"/>
        </w:rPr>
        <w:t>, 1160 (</w:t>
      </w:r>
      <w:r w:rsidRPr="00A7631D">
        <w:rPr>
          <w:i/>
          <w:iCs/>
          <w:szCs w:val="26"/>
        </w:rPr>
        <w:t>Banks</w:t>
      </w:r>
      <w:r w:rsidRPr="00A7631D">
        <w:rPr>
          <w:szCs w:val="26"/>
        </w:rPr>
        <w:t xml:space="preserve">).)  In </w:t>
      </w:r>
      <w:r w:rsidRPr="00A7631D">
        <w:rPr>
          <w:i/>
          <w:iCs/>
          <w:szCs w:val="26"/>
        </w:rPr>
        <w:t>Banks</w:t>
      </w:r>
      <w:r w:rsidR="00232E94">
        <w:rPr>
          <w:i/>
          <w:iCs/>
          <w:szCs w:val="26"/>
        </w:rPr>
        <w:t>,</w:t>
      </w:r>
      <w:r w:rsidRPr="00A7631D">
        <w:rPr>
          <w:szCs w:val="26"/>
        </w:rPr>
        <w:t xml:space="preserve"> the defendant was charged with “willfully killing [the victim] with malice aforethought</w:t>
      </w:r>
      <w:r w:rsidR="009C3717" w:rsidRPr="00A7631D">
        <w:rPr>
          <w:szCs w:val="26"/>
        </w:rPr>
        <w:t>.</w:t>
      </w:r>
      <w:r w:rsidRPr="00A7631D">
        <w:rPr>
          <w:szCs w:val="26"/>
        </w:rPr>
        <w:t xml:space="preserve">” </w:t>
      </w:r>
      <w:r w:rsidR="009C3717" w:rsidRPr="00A7631D">
        <w:rPr>
          <w:szCs w:val="26"/>
        </w:rPr>
        <w:t xml:space="preserve"> What we concluded is that </w:t>
      </w:r>
      <w:r w:rsidRPr="00A7631D">
        <w:rPr>
          <w:szCs w:val="26"/>
        </w:rPr>
        <w:t xml:space="preserve">“second degree murder was plainly a lesser included offense of felony murder </w:t>
      </w:r>
      <w:r w:rsidRPr="00A7631D">
        <w:rPr>
          <w:i/>
          <w:iCs/>
          <w:szCs w:val="26"/>
        </w:rPr>
        <w:t>as charged</w:t>
      </w:r>
      <w:r w:rsidRPr="00A7631D">
        <w:rPr>
          <w:szCs w:val="26"/>
        </w:rPr>
        <w:t xml:space="preserve"> . . . .”  (</w:t>
      </w:r>
      <w:r w:rsidRPr="00A7631D">
        <w:rPr>
          <w:i/>
          <w:iCs/>
          <w:szCs w:val="26"/>
        </w:rPr>
        <w:t>Ibid</w:t>
      </w:r>
      <w:r w:rsidRPr="00A7631D">
        <w:rPr>
          <w:szCs w:val="26"/>
        </w:rPr>
        <w:t xml:space="preserve">.)  </w:t>
      </w:r>
    </w:p>
    <w:p w14:paraId="0E5EAE78" w14:textId="0EAB7F91" w:rsidR="00740170" w:rsidRPr="00A7631D" w:rsidRDefault="00704277" w:rsidP="00A7631D">
      <w:pPr>
        <w:ind w:firstLine="720"/>
        <w:rPr>
          <w:szCs w:val="26"/>
        </w:rPr>
      </w:pPr>
      <w:r>
        <w:rPr>
          <w:szCs w:val="26"/>
        </w:rPr>
        <w:lastRenderedPageBreak/>
        <w:t>A</w:t>
      </w:r>
      <w:r w:rsidR="00F8668B" w:rsidRPr="00A7631D">
        <w:rPr>
          <w:szCs w:val="26"/>
        </w:rPr>
        <w:t xml:space="preserve">s in </w:t>
      </w:r>
      <w:r w:rsidR="00F8668B" w:rsidRPr="00A7631D">
        <w:rPr>
          <w:i/>
          <w:iCs/>
          <w:szCs w:val="26"/>
        </w:rPr>
        <w:t>Banks</w:t>
      </w:r>
      <w:r w:rsidR="00F8668B" w:rsidRPr="00A7631D">
        <w:rPr>
          <w:szCs w:val="26"/>
        </w:rPr>
        <w:t>,</w:t>
      </w:r>
      <w:r w:rsidR="006B5C1C" w:rsidRPr="00A7631D">
        <w:rPr>
          <w:szCs w:val="26"/>
        </w:rPr>
        <w:t xml:space="preserve"> second degree murder</w:t>
      </w:r>
      <w:r w:rsidR="009773D5" w:rsidRPr="00A7631D">
        <w:rPr>
          <w:szCs w:val="26"/>
        </w:rPr>
        <w:t xml:space="preserve"> was “plainly” a lesser included offense of the murder </w:t>
      </w:r>
      <w:r w:rsidR="006B5C1C" w:rsidRPr="00A7631D">
        <w:rPr>
          <w:szCs w:val="26"/>
        </w:rPr>
        <w:t>“</w:t>
      </w:r>
      <w:r w:rsidR="006B5C1C" w:rsidRPr="00A7631D">
        <w:rPr>
          <w:i/>
          <w:iCs/>
          <w:szCs w:val="26"/>
        </w:rPr>
        <w:t>as charged</w:t>
      </w:r>
      <w:r w:rsidR="00F8668B" w:rsidRPr="00A7631D">
        <w:rPr>
          <w:szCs w:val="26"/>
        </w:rPr>
        <w:t>.</w:t>
      </w:r>
      <w:r w:rsidR="006B5C1C" w:rsidRPr="00A7631D">
        <w:rPr>
          <w:szCs w:val="26"/>
        </w:rPr>
        <w:t>”</w:t>
      </w:r>
      <w:r w:rsidR="001F1E90" w:rsidRPr="00A7631D">
        <w:rPr>
          <w:szCs w:val="26"/>
        </w:rPr>
        <w:t xml:space="preserve"> </w:t>
      </w:r>
      <w:r w:rsidR="00F8668B" w:rsidRPr="00A7631D">
        <w:rPr>
          <w:szCs w:val="26"/>
        </w:rPr>
        <w:t xml:space="preserve"> </w:t>
      </w:r>
      <w:r w:rsidR="00C65D01" w:rsidRPr="00A7631D">
        <w:rPr>
          <w:szCs w:val="26"/>
        </w:rPr>
        <w:t>(</w:t>
      </w:r>
      <w:r w:rsidR="00C65D01" w:rsidRPr="00A7631D">
        <w:rPr>
          <w:i/>
          <w:iCs/>
          <w:szCs w:val="26"/>
        </w:rPr>
        <w:t>Banks</w:t>
      </w:r>
      <w:r w:rsidR="00C65D01" w:rsidRPr="00A7631D">
        <w:rPr>
          <w:szCs w:val="26"/>
        </w:rPr>
        <w:t xml:space="preserve">, </w:t>
      </w:r>
      <w:r w:rsidR="00C65D01" w:rsidRPr="00A7631D">
        <w:rPr>
          <w:i/>
          <w:iCs/>
          <w:szCs w:val="26"/>
        </w:rPr>
        <w:t>supra</w:t>
      </w:r>
      <w:r w:rsidR="00C65D01" w:rsidRPr="00A7631D">
        <w:rPr>
          <w:szCs w:val="26"/>
        </w:rPr>
        <w:t xml:space="preserve">, 59 Cal.4th at p. 1160.)  </w:t>
      </w:r>
      <w:r w:rsidR="0047358D">
        <w:rPr>
          <w:szCs w:val="26"/>
        </w:rPr>
        <w:t>Nevertheless, we conclude the</w:t>
      </w:r>
      <w:r w:rsidR="00902BE7">
        <w:rPr>
          <w:szCs w:val="26"/>
        </w:rPr>
        <w:t xml:space="preserve"> trial court’s decision to forgo</w:t>
      </w:r>
      <w:r w:rsidR="00C93712">
        <w:rPr>
          <w:szCs w:val="26"/>
        </w:rPr>
        <w:t xml:space="preserve"> a</w:t>
      </w:r>
      <w:r w:rsidR="00902BE7">
        <w:rPr>
          <w:szCs w:val="26"/>
        </w:rPr>
        <w:t xml:space="preserve"> </w:t>
      </w:r>
      <w:proofErr w:type="spellStart"/>
      <w:r w:rsidR="00C93712" w:rsidRPr="00A7631D">
        <w:rPr>
          <w:szCs w:val="26"/>
        </w:rPr>
        <w:t>nonpremeditated</w:t>
      </w:r>
      <w:proofErr w:type="spellEnd"/>
      <w:r w:rsidR="00C93712" w:rsidRPr="00A7631D">
        <w:rPr>
          <w:szCs w:val="26"/>
        </w:rPr>
        <w:t xml:space="preserve"> </w:t>
      </w:r>
      <w:r w:rsidR="0047358D">
        <w:rPr>
          <w:szCs w:val="26"/>
        </w:rPr>
        <w:t>second-degree murder</w:t>
      </w:r>
      <w:r w:rsidR="00E359AD">
        <w:rPr>
          <w:szCs w:val="26"/>
        </w:rPr>
        <w:t xml:space="preserve"> instruction </w:t>
      </w:r>
      <w:r w:rsidR="00712607">
        <w:rPr>
          <w:szCs w:val="26"/>
        </w:rPr>
        <w:t>was proper</w:t>
      </w:r>
      <w:r w:rsidR="0047358D">
        <w:rPr>
          <w:szCs w:val="26"/>
        </w:rPr>
        <w:t xml:space="preserve">.  </w:t>
      </w:r>
      <w:r w:rsidR="00CB1600">
        <w:rPr>
          <w:szCs w:val="26"/>
        </w:rPr>
        <w:t>“</w:t>
      </w:r>
      <w:r w:rsidR="00E4024C">
        <w:rPr>
          <w:szCs w:val="26"/>
        </w:rPr>
        <w:t> </w:t>
      </w:r>
      <w:r w:rsidR="00CB1600">
        <w:rPr>
          <w:szCs w:val="26"/>
        </w:rPr>
        <w:t>‘</w:t>
      </w:r>
      <w:r w:rsidR="00E4024C">
        <w:rPr>
          <w:szCs w:val="26"/>
        </w:rPr>
        <w:t> </w:t>
      </w:r>
      <w:r w:rsidR="00CB1600">
        <w:rPr>
          <w:szCs w:val="26"/>
        </w:rPr>
        <w:t>“</w:t>
      </w:r>
      <w:r w:rsidR="00007324">
        <w:rPr>
          <w:szCs w:val="26"/>
        </w:rPr>
        <w:t>[T]</w:t>
      </w:r>
      <w:r w:rsidR="009773D5" w:rsidRPr="00A7631D">
        <w:rPr>
          <w:szCs w:val="26"/>
        </w:rPr>
        <w:t>here</w:t>
      </w:r>
      <w:r w:rsidR="00C66274">
        <w:rPr>
          <w:szCs w:val="26"/>
        </w:rPr>
        <w:t xml:space="preserve"> is no evidence that the offense was less than that charged.  [Citations.]”</w:t>
      </w:r>
      <w:r w:rsidR="00E4024C">
        <w:rPr>
          <w:szCs w:val="26"/>
        </w:rPr>
        <w:t> </w:t>
      </w:r>
      <w:r w:rsidR="00C66274">
        <w:rPr>
          <w:szCs w:val="26"/>
        </w:rPr>
        <w:t>’</w:t>
      </w:r>
      <w:r w:rsidR="00E4024C">
        <w:rPr>
          <w:szCs w:val="26"/>
        </w:rPr>
        <w:t> </w:t>
      </w:r>
      <w:r w:rsidR="00C66274">
        <w:rPr>
          <w:szCs w:val="26"/>
        </w:rPr>
        <w:t>”  (</w:t>
      </w:r>
      <w:r w:rsidR="005E59D4" w:rsidRPr="00664D8C">
        <w:rPr>
          <w:rStyle w:val="DeltaViewMoveDestination"/>
          <w:i/>
          <w:color w:val="auto"/>
          <w:szCs w:val="26"/>
          <w:u w:val="none"/>
        </w:rPr>
        <w:t xml:space="preserve">People v. </w:t>
      </w:r>
      <w:r w:rsidR="00C66274" w:rsidRPr="00664D8C">
        <w:rPr>
          <w:rStyle w:val="DeltaViewMoveDestination"/>
          <w:i/>
          <w:color w:val="auto"/>
          <w:szCs w:val="26"/>
          <w:u w:val="none"/>
        </w:rPr>
        <w:t xml:space="preserve">Valdez, supra, </w:t>
      </w:r>
      <w:r w:rsidR="00C66274" w:rsidRPr="00664D8C">
        <w:rPr>
          <w:rStyle w:val="DeltaViewMoveDestination"/>
          <w:color w:val="auto"/>
          <w:szCs w:val="26"/>
          <w:u w:val="none"/>
        </w:rPr>
        <w:t>32 Cal.4th 73, 115.)</w:t>
      </w:r>
      <w:r w:rsidR="009773D5" w:rsidRPr="00E2211A">
        <w:rPr>
          <w:szCs w:val="26"/>
        </w:rPr>
        <w:t xml:space="preserve">  </w:t>
      </w:r>
      <w:r w:rsidR="00120986" w:rsidRPr="00A7631D">
        <w:rPr>
          <w:szCs w:val="26"/>
        </w:rPr>
        <w:t>Wilson</w:t>
      </w:r>
      <w:r w:rsidR="009773D5" w:rsidRPr="00A7631D">
        <w:rPr>
          <w:szCs w:val="26"/>
        </w:rPr>
        <w:t xml:space="preserve"> </w:t>
      </w:r>
      <w:r w:rsidR="00273BE7" w:rsidRPr="00A7631D">
        <w:rPr>
          <w:szCs w:val="26"/>
        </w:rPr>
        <w:t>posits</w:t>
      </w:r>
      <w:r w:rsidR="009773D5" w:rsidRPr="00A7631D">
        <w:rPr>
          <w:szCs w:val="26"/>
        </w:rPr>
        <w:t xml:space="preserve"> a version of events in which he and Pops went to the </w:t>
      </w:r>
      <w:r w:rsidR="00EC55D4" w:rsidRPr="00A7631D">
        <w:rPr>
          <w:szCs w:val="26"/>
        </w:rPr>
        <w:t>car wash</w:t>
      </w:r>
      <w:r w:rsidR="009773D5" w:rsidRPr="00A7631D">
        <w:rPr>
          <w:szCs w:val="26"/>
        </w:rPr>
        <w:t xml:space="preserve"> to buy marijuana and an unexpected confrontation inside the building occurred, culminating in the shooting and deaths of four individuals.  </w:t>
      </w:r>
      <w:r w:rsidR="008A0E4D" w:rsidRPr="00A7631D">
        <w:rPr>
          <w:szCs w:val="26"/>
        </w:rPr>
        <w:t xml:space="preserve">That version is </w:t>
      </w:r>
      <w:r w:rsidR="00E83146" w:rsidRPr="00A7631D">
        <w:rPr>
          <w:szCs w:val="26"/>
        </w:rPr>
        <w:t>unsupported</w:t>
      </w:r>
      <w:r w:rsidR="005C3A36" w:rsidRPr="00A7631D">
        <w:rPr>
          <w:szCs w:val="26"/>
        </w:rPr>
        <w:t xml:space="preserve">.  </w:t>
      </w:r>
    </w:p>
    <w:p w14:paraId="6B83FF34" w14:textId="37EFDC86" w:rsidR="009773D5" w:rsidRPr="00A7631D" w:rsidRDefault="00EC35EF" w:rsidP="004972B9">
      <w:pPr>
        <w:ind w:firstLine="720"/>
        <w:rPr>
          <w:szCs w:val="26"/>
        </w:rPr>
      </w:pPr>
      <w:r>
        <w:rPr>
          <w:szCs w:val="26"/>
        </w:rPr>
        <w:t>What the</w:t>
      </w:r>
      <w:r w:rsidR="005C3A36" w:rsidRPr="00A7631D">
        <w:rPr>
          <w:szCs w:val="26"/>
        </w:rPr>
        <w:t xml:space="preserve"> evidence </w:t>
      </w:r>
      <w:r w:rsidR="00FF5A99" w:rsidRPr="00A7631D">
        <w:rPr>
          <w:szCs w:val="26"/>
        </w:rPr>
        <w:t>demonstrated</w:t>
      </w:r>
      <w:r>
        <w:rPr>
          <w:szCs w:val="26"/>
        </w:rPr>
        <w:t xml:space="preserve"> is</w:t>
      </w:r>
      <w:r w:rsidR="005C3A36" w:rsidRPr="00A7631D">
        <w:rPr>
          <w:szCs w:val="26"/>
        </w:rPr>
        <w:t xml:space="preserve"> that each of the murders occurred during a burglary or robbery</w:t>
      </w:r>
      <w:r w:rsidR="00932F8A" w:rsidRPr="00A7631D">
        <w:rPr>
          <w:szCs w:val="26"/>
        </w:rPr>
        <w:t xml:space="preserve">; </w:t>
      </w:r>
      <w:proofErr w:type="gramStart"/>
      <w:r w:rsidR="00932F8A" w:rsidRPr="00A7631D">
        <w:rPr>
          <w:szCs w:val="26"/>
        </w:rPr>
        <w:t>indeed</w:t>
      </w:r>
      <w:proofErr w:type="gramEnd"/>
      <w:r w:rsidR="00932F8A" w:rsidRPr="00A7631D">
        <w:rPr>
          <w:szCs w:val="26"/>
        </w:rPr>
        <w:t xml:space="preserve"> Wilson was convicted of both offenses. </w:t>
      </w:r>
      <w:r w:rsidR="005B415C" w:rsidRPr="00A7631D">
        <w:rPr>
          <w:szCs w:val="26"/>
        </w:rPr>
        <w:t xml:space="preserve"> There was scant evidence from which a reasonable jury could have concluded Wilson committed second degree murder, but not </w:t>
      </w:r>
      <w:proofErr w:type="gramStart"/>
      <w:r w:rsidR="005B415C" w:rsidRPr="00A7631D">
        <w:rPr>
          <w:szCs w:val="26"/>
        </w:rPr>
        <w:t>first degree</w:t>
      </w:r>
      <w:proofErr w:type="gramEnd"/>
      <w:r w:rsidR="005B415C" w:rsidRPr="00A7631D">
        <w:rPr>
          <w:szCs w:val="26"/>
        </w:rPr>
        <w:t xml:space="preserve"> murder. </w:t>
      </w:r>
      <w:r w:rsidR="00992F3D" w:rsidRPr="00A7631D">
        <w:rPr>
          <w:szCs w:val="26"/>
        </w:rPr>
        <w:t xml:space="preserve"> </w:t>
      </w:r>
      <w:r w:rsidR="00EF4D20" w:rsidRPr="00A7631D">
        <w:rPr>
          <w:szCs w:val="26"/>
        </w:rPr>
        <w:t>Wilson and Pops were armed</w:t>
      </w:r>
      <w:r w:rsidR="00354E38">
        <w:rPr>
          <w:szCs w:val="26"/>
        </w:rPr>
        <w:t xml:space="preserve">. </w:t>
      </w:r>
      <w:r w:rsidR="00EF4D20" w:rsidRPr="00A7631D">
        <w:rPr>
          <w:szCs w:val="26"/>
        </w:rPr>
        <w:t xml:space="preserve"> </w:t>
      </w:r>
      <w:r w:rsidR="00354E38">
        <w:rPr>
          <w:szCs w:val="26"/>
        </w:rPr>
        <w:t>T</w:t>
      </w:r>
      <w:r w:rsidR="00EF4D20" w:rsidRPr="00A7631D">
        <w:rPr>
          <w:szCs w:val="26"/>
        </w:rPr>
        <w:t>hey waited in their car for between 15 and 20 minutes</w:t>
      </w:r>
      <w:r w:rsidR="001C3B01">
        <w:rPr>
          <w:szCs w:val="26"/>
        </w:rPr>
        <w:t xml:space="preserve">, with </w:t>
      </w:r>
      <w:r w:rsidR="00354E38" w:rsidRPr="000675F9">
        <w:rPr>
          <w:szCs w:val="26"/>
        </w:rPr>
        <w:t xml:space="preserve">Williams </w:t>
      </w:r>
      <w:r w:rsidR="00354E38">
        <w:rPr>
          <w:szCs w:val="26"/>
        </w:rPr>
        <w:t>first spott</w:t>
      </w:r>
      <w:r w:rsidR="001C3B01">
        <w:rPr>
          <w:szCs w:val="26"/>
        </w:rPr>
        <w:t>ing them</w:t>
      </w:r>
      <w:r w:rsidR="00354E38" w:rsidRPr="000675F9">
        <w:rPr>
          <w:szCs w:val="26"/>
        </w:rPr>
        <w:t xml:space="preserve"> when he arrived at the </w:t>
      </w:r>
      <w:r w:rsidR="00354E38">
        <w:rPr>
          <w:szCs w:val="26"/>
        </w:rPr>
        <w:t>car wash</w:t>
      </w:r>
      <w:r w:rsidR="001C3B01">
        <w:rPr>
          <w:szCs w:val="26"/>
        </w:rPr>
        <w:t>, spending</w:t>
      </w:r>
      <w:r w:rsidR="00354E38" w:rsidRPr="000675F9">
        <w:rPr>
          <w:szCs w:val="26"/>
        </w:rPr>
        <w:t xml:space="preserve"> 15 minutes inside</w:t>
      </w:r>
      <w:r w:rsidR="00354E38">
        <w:rPr>
          <w:szCs w:val="26"/>
        </w:rPr>
        <w:t>,</w:t>
      </w:r>
      <w:r w:rsidR="00354E38" w:rsidRPr="000675F9">
        <w:rPr>
          <w:szCs w:val="26"/>
        </w:rPr>
        <w:t xml:space="preserve"> then approach</w:t>
      </w:r>
      <w:r w:rsidR="001C3B01">
        <w:rPr>
          <w:szCs w:val="26"/>
        </w:rPr>
        <w:t>ing</w:t>
      </w:r>
      <w:r w:rsidR="00354E38" w:rsidRPr="000675F9">
        <w:rPr>
          <w:szCs w:val="26"/>
        </w:rPr>
        <w:t xml:space="preserve"> them </w:t>
      </w:r>
      <w:r w:rsidR="00354E38">
        <w:rPr>
          <w:szCs w:val="26"/>
        </w:rPr>
        <w:t>to ask what they needed.</w:t>
      </w:r>
      <w:r w:rsidR="00354E38" w:rsidRPr="000675F9">
        <w:rPr>
          <w:szCs w:val="26"/>
        </w:rPr>
        <w:t xml:space="preserve"> </w:t>
      </w:r>
      <w:r w:rsidR="00354E38">
        <w:rPr>
          <w:szCs w:val="26"/>
        </w:rPr>
        <w:t xml:space="preserve"> </w:t>
      </w:r>
      <w:r w:rsidR="001C3B01">
        <w:rPr>
          <w:szCs w:val="26"/>
        </w:rPr>
        <w:t xml:space="preserve"> </w:t>
      </w:r>
      <w:r w:rsidR="00354E38" w:rsidRPr="000675F9">
        <w:rPr>
          <w:szCs w:val="26"/>
        </w:rPr>
        <w:t xml:space="preserve">After </w:t>
      </w:r>
      <w:r w:rsidR="001C3B01">
        <w:rPr>
          <w:szCs w:val="26"/>
        </w:rPr>
        <w:t>Williams</w:t>
      </w:r>
      <w:r w:rsidR="00354E38">
        <w:rPr>
          <w:szCs w:val="26"/>
        </w:rPr>
        <w:t xml:space="preserve"> spoke with </w:t>
      </w:r>
      <w:r w:rsidR="001C3B01">
        <w:rPr>
          <w:szCs w:val="26"/>
        </w:rPr>
        <w:t>Pops and Wilson</w:t>
      </w:r>
      <w:r w:rsidR="00354E38" w:rsidRPr="000675F9">
        <w:rPr>
          <w:szCs w:val="26"/>
        </w:rPr>
        <w:t>, he put water in his radiator and left</w:t>
      </w:r>
      <w:r w:rsidR="00354E38">
        <w:rPr>
          <w:szCs w:val="26"/>
        </w:rPr>
        <w:t xml:space="preserve"> the car wash; they were still in their car at this point, suggesting they were outside of the car wash for at least 15 to 20 minutes</w:t>
      </w:r>
      <w:r w:rsidR="00791727">
        <w:rPr>
          <w:szCs w:val="26"/>
        </w:rPr>
        <w:t xml:space="preserve">.  </w:t>
      </w:r>
      <w:r w:rsidR="00ED18FD">
        <w:rPr>
          <w:szCs w:val="26"/>
        </w:rPr>
        <w:t>During their conversation with Williams, they</w:t>
      </w:r>
      <w:r w:rsidR="00EF4D20" w:rsidRPr="00A7631D">
        <w:rPr>
          <w:szCs w:val="26"/>
        </w:rPr>
        <w:t xml:space="preserve"> </w:t>
      </w:r>
      <w:r w:rsidR="005B415C" w:rsidRPr="00A7631D">
        <w:rPr>
          <w:szCs w:val="26"/>
        </w:rPr>
        <w:t xml:space="preserve">declined </w:t>
      </w:r>
      <w:r w:rsidR="00ED18FD">
        <w:rPr>
          <w:szCs w:val="26"/>
        </w:rPr>
        <w:t>his</w:t>
      </w:r>
      <w:r w:rsidR="00ED18FD" w:rsidRPr="00A7631D">
        <w:rPr>
          <w:szCs w:val="26"/>
        </w:rPr>
        <w:t xml:space="preserve"> </w:t>
      </w:r>
      <w:r w:rsidR="005B415C" w:rsidRPr="00A7631D">
        <w:rPr>
          <w:szCs w:val="26"/>
        </w:rPr>
        <w:t>overture to sell them marijuana</w:t>
      </w:r>
      <w:r w:rsidR="00ED18FD">
        <w:rPr>
          <w:szCs w:val="26"/>
        </w:rPr>
        <w:t>.  They then</w:t>
      </w:r>
      <w:r w:rsidR="00EF4D20" w:rsidRPr="00A7631D">
        <w:rPr>
          <w:szCs w:val="26"/>
        </w:rPr>
        <w:t xml:space="preserve"> led Bowie into the car wash at gunpoint demanding to know “where . . . the money and where</w:t>
      </w:r>
      <w:r w:rsidR="004F088E">
        <w:rPr>
          <w:szCs w:val="26"/>
        </w:rPr>
        <w:br/>
      </w:r>
      <w:r w:rsidR="00EF4D20" w:rsidRPr="00A7631D">
        <w:rPr>
          <w:szCs w:val="26"/>
        </w:rPr>
        <w:t xml:space="preserve"> . . . the shit” were kept.  </w:t>
      </w:r>
      <w:r w:rsidR="00A86485">
        <w:rPr>
          <w:szCs w:val="26"/>
        </w:rPr>
        <w:t>Finally, o</w:t>
      </w:r>
      <w:r w:rsidR="00740170" w:rsidRPr="00A7631D">
        <w:rPr>
          <w:szCs w:val="26"/>
        </w:rPr>
        <w:t>n</w:t>
      </w:r>
      <w:r w:rsidR="004024A0" w:rsidRPr="00A7631D">
        <w:rPr>
          <w:szCs w:val="26"/>
        </w:rPr>
        <w:t>ce inside</w:t>
      </w:r>
      <w:r w:rsidR="008041E5" w:rsidRPr="00A7631D">
        <w:rPr>
          <w:szCs w:val="26"/>
        </w:rPr>
        <w:t xml:space="preserve">, </w:t>
      </w:r>
      <w:r w:rsidR="005C3A36" w:rsidRPr="00A7631D">
        <w:rPr>
          <w:szCs w:val="26"/>
        </w:rPr>
        <w:t xml:space="preserve">Wilson and Pops </w:t>
      </w:r>
      <w:r w:rsidR="004024A0" w:rsidRPr="00A7631D">
        <w:rPr>
          <w:szCs w:val="26"/>
        </w:rPr>
        <w:t xml:space="preserve">forced </w:t>
      </w:r>
      <w:r w:rsidR="00740170" w:rsidRPr="00A7631D">
        <w:rPr>
          <w:szCs w:val="26"/>
        </w:rPr>
        <w:t>those in the</w:t>
      </w:r>
      <w:r w:rsidR="004024A0" w:rsidRPr="00A7631D">
        <w:rPr>
          <w:szCs w:val="26"/>
        </w:rPr>
        <w:t xml:space="preserve"> car wash to lie on the ground</w:t>
      </w:r>
      <w:r w:rsidR="00740170" w:rsidRPr="00A7631D">
        <w:rPr>
          <w:szCs w:val="26"/>
        </w:rPr>
        <w:t xml:space="preserve"> while </w:t>
      </w:r>
      <w:r w:rsidR="00AF64CA">
        <w:rPr>
          <w:szCs w:val="26"/>
        </w:rPr>
        <w:t>Wilson and Pops</w:t>
      </w:r>
      <w:r w:rsidR="00BB72E5" w:rsidRPr="00A7631D">
        <w:rPr>
          <w:szCs w:val="26"/>
        </w:rPr>
        <w:t xml:space="preserve"> searched through the building</w:t>
      </w:r>
      <w:r w:rsidR="00740170" w:rsidRPr="00A7631D">
        <w:rPr>
          <w:szCs w:val="26"/>
        </w:rPr>
        <w:t xml:space="preserve"> before </w:t>
      </w:r>
      <w:r w:rsidR="005C3A36" w:rsidRPr="00A7631D">
        <w:rPr>
          <w:szCs w:val="26"/>
        </w:rPr>
        <w:t>sho</w:t>
      </w:r>
      <w:r w:rsidR="00740170" w:rsidRPr="00A7631D">
        <w:rPr>
          <w:szCs w:val="26"/>
        </w:rPr>
        <w:t xml:space="preserve">oting </w:t>
      </w:r>
      <w:r w:rsidR="005C3A36" w:rsidRPr="00A7631D">
        <w:rPr>
          <w:szCs w:val="26"/>
        </w:rPr>
        <w:t>the four victims</w:t>
      </w:r>
      <w:r w:rsidR="00BB72E5" w:rsidRPr="00A7631D">
        <w:rPr>
          <w:szCs w:val="26"/>
        </w:rPr>
        <w:t>.</w:t>
      </w:r>
      <w:r w:rsidR="008A0E4D" w:rsidRPr="00A7631D">
        <w:rPr>
          <w:szCs w:val="26"/>
        </w:rPr>
        <w:t xml:space="preserve">  </w:t>
      </w:r>
      <w:r w:rsidR="008B1714" w:rsidRPr="00A7631D">
        <w:rPr>
          <w:szCs w:val="26"/>
        </w:rPr>
        <w:t xml:space="preserve">In light of these </w:t>
      </w:r>
      <w:r w:rsidR="003547C6" w:rsidRPr="00A7631D">
        <w:rPr>
          <w:szCs w:val="26"/>
        </w:rPr>
        <w:t>facts</w:t>
      </w:r>
      <w:r w:rsidR="00CB32A6" w:rsidRPr="00A7631D">
        <w:rPr>
          <w:szCs w:val="26"/>
        </w:rPr>
        <w:t xml:space="preserve">, </w:t>
      </w:r>
      <w:r w:rsidR="00F65CAD">
        <w:rPr>
          <w:szCs w:val="26"/>
        </w:rPr>
        <w:t xml:space="preserve">including the methodical, execution-style killings of the four victims, </w:t>
      </w:r>
      <w:r w:rsidR="009773D5" w:rsidRPr="00A7631D">
        <w:rPr>
          <w:szCs w:val="26"/>
        </w:rPr>
        <w:t xml:space="preserve">Wilson’s theory does </w:t>
      </w:r>
      <w:r w:rsidR="009773D5" w:rsidRPr="00A7631D">
        <w:rPr>
          <w:szCs w:val="26"/>
        </w:rPr>
        <w:lastRenderedPageBreak/>
        <w:t xml:space="preserve">not “support a </w:t>
      </w:r>
      <w:proofErr w:type="gramStart"/>
      <w:r w:rsidR="009773D5" w:rsidRPr="00A7631D">
        <w:rPr>
          <w:szCs w:val="26"/>
        </w:rPr>
        <w:t>second degree</w:t>
      </w:r>
      <w:proofErr w:type="gramEnd"/>
      <w:r w:rsidR="009773D5" w:rsidRPr="00A7631D">
        <w:rPr>
          <w:szCs w:val="26"/>
        </w:rPr>
        <w:t xml:space="preserve"> murder instruction, but merely points to evidence that there may have been a struggle,</w:t>
      </w:r>
      <w:r w:rsidR="008A0E4D" w:rsidRPr="00A7631D">
        <w:rPr>
          <w:szCs w:val="26"/>
        </w:rPr>
        <w:t>”</w:t>
      </w:r>
      <w:r w:rsidR="009773D5" w:rsidRPr="00A7631D">
        <w:rPr>
          <w:szCs w:val="26"/>
        </w:rPr>
        <w:t xml:space="preserve"> a fact not in dispute here.  (</w:t>
      </w:r>
      <w:r w:rsidR="009773D5" w:rsidRPr="00A7631D">
        <w:rPr>
          <w:i/>
          <w:iCs/>
          <w:szCs w:val="26"/>
        </w:rPr>
        <w:t>People v. Valdez</w:t>
      </w:r>
      <w:r w:rsidR="009773D5" w:rsidRPr="00A7631D">
        <w:rPr>
          <w:szCs w:val="26"/>
        </w:rPr>
        <w:t xml:space="preserve">, </w:t>
      </w:r>
      <w:r w:rsidR="009773D5" w:rsidRPr="00A7631D">
        <w:rPr>
          <w:i/>
          <w:iCs/>
          <w:szCs w:val="26"/>
        </w:rPr>
        <w:t>supra</w:t>
      </w:r>
      <w:r w:rsidR="009773D5" w:rsidRPr="00A7631D">
        <w:rPr>
          <w:szCs w:val="26"/>
        </w:rPr>
        <w:t>, 3</w:t>
      </w:r>
      <w:r w:rsidR="00AC03C3">
        <w:rPr>
          <w:szCs w:val="26"/>
        </w:rPr>
        <w:t>2</w:t>
      </w:r>
      <w:r w:rsidR="009773D5" w:rsidRPr="00A7631D">
        <w:rPr>
          <w:szCs w:val="26"/>
        </w:rPr>
        <w:t xml:space="preserve"> Cal.4th at p. 116.)  Indeed, Bowie testified there was “</w:t>
      </w:r>
      <w:r w:rsidR="007338B3" w:rsidRPr="00A7631D">
        <w:rPr>
          <w:szCs w:val="26"/>
        </w:rPr>
        <w:t>a lot of ruckus</w:t>
      </w:r>
      <w:r w:rsidR="00DA69B4" w:rsidRPr="00A7631D">
        <w:rPr>
          <w:szCs w:val="26"/>
        </w:rPr>
        <w:t>,</w:t>
      </w:r>
      <w:r w:rsidR="009773D5" w:rsidRPr="00A7631D">
        <w:rPr>
          <w:szCs w:val="26"/>
        </w:rPr>
        <w:t>” “struggling</w:t>
      </w:r>
      <w:r w:rsidR="001051E5" w:rsidRPr="00A7631D">
        <w:rPr>
          <w:szCs w:val="26"/>
        </w:rPr>
        <w:t xml:space="preserve"> or something</w:t>
      </w:r>
      <w:r w:rsidR="00DA69B4" w:rsidRPr="00A7631D">
        <w:rPr>
          <w:szCs w:val="26"/>
        </w:rPr>
        <w:t>,</w:t>
      </w:r>
      <w:r w:rsidR="003A62BC" w:rsidRPr="00A7631D">
        <w:rPr>
          <w:szCs w:val="26"/>
        </w:rPr>
        <w:t>” and “a bunch of commotion</w:t>
      </w:r>
      <w:r w:rsidR="00DA69B4" w:rsidRPr="00A7631D">
        <w:rPr>
          <w:szCs w:val="26"/>
        </w:rPr>
        <w:t>.</w:t>
      </w:r>
      <w:r w:rsidR="003A62BC" w:rsidRPr="00A7631D">
        <w:rPr>
          <w:szCs w:val="26"/>
        </w:rPr>
        <w:t>”</w:t>
      </w:r>
      <w:r w:rsidR="009773D5" w:rsidRPr="00A7631D">
        <w:rPr>
          <w:szCs w:val="26"/>
        </w:rPr>
        <w:t xml:space="preserve"> </w:t>
      </w:r>
      <w:r w:rsidR="00DA69B4" w:rsidRPr="00A7631D">
        <w:rPr>
          <w:szCs w:val="26"/>
        </w:rPr>
        <w:t xml:space="preserve"> Williams testified that there appeared to be far less marijuana in the shop following the shootings than what was present when he had been there earlier that morning.  Boxes were found strewn about the car wash following the shooting, and Pops and Wilson had searched the victims’ pockets.  </w:t>
      </w:r>
      <w:r w:rsidR="00ED4294" w:rsidRPr="00A7631D">
        <w:rPr>
          <w:szCs w:val="26"/>
        </w:rPr>
        <w:t xml:space="preserve">Wilson’s theory that </w:t>
      </w:r>
      <w:r w:rsidR="009773D5" w:rsidRPr="00A7631D">
        <w:rPr>
          <w:szCs w:val="26"/>
        </w:rPr>
        <w:t>the struggle resulted from a drug purchase gone wrong is purely speculative, which we have held “</w:t>
      </w:r>
      <w:r w:rsidR="00005707">
        <w:rPr>
          <w:szCs w:val="26"/>
        </w:rPr>
        <w:t> </w:t>
      </w:r>
      <w:r w:rsidR="009773D5" w:rsidRPr="00A7631D">
        <w:rPr>
          <w:szCs w:val="26"/>
        </w:rPr>
        <w:t>‘is an insufficient basis upon which to require the giving of an instruction on a lesser offense.’</w:t>
      </w:r>
      <w:r w:rsidR="00B47795">
        <w:rPr>
          <w:szCs w:val="26"/>
        </w:rPr>
        <w:t> </w:t>
      </w:r>
      <w:r w:rsidR="009773D5" w:rsidRPr="00A7631D">
        <w:rPr>
          <w:szCs w:val="26"/>
        </w:rPr>
        <w:t>”  (</w:t>
      </w:r>
      <w:proofErr w:type="spellStart"/>
      <w:r w:rsidR="009773D5" w:rsidRPr="00A7631D">
        <w:rPr>
          <w:i/>
          <w:iCs/>
          <w:szCs w:val="26"/>
        </w:rPr>
        <w:t>Westerfield</w:t>
      </w:r>
      <w:proofErr w:type="spellEnd"/>
      <w:r w:rsidR="009773D5" w:rsidRPr="00A7631D">
        <w:rPr>
          <w:szCs w:val="26"/>
        </w:rPr>
        <w:t xml:space="preserve">, </w:t>
      </w:r>
      <w:r w:rsidR="009773D5" w:rsidRPr="00A7631D">
        <w:rPr>
          <w:i/>
          <w:iCs/>
          <w:szCs w:val="26"/>
        </w:rPr>
        <w:t>supra</w:t>
      </w:r>
      <w:r w:rsidR="009773D5" w:rsidRPr="00A7631D">
        <w:rPr>
          <w:szCs w:val="26"/>
        </w:rPr>
        <w:t>, 6 Cal.5th at p. 718.)</w:t>
      </w:r>
    </w:p>
    <w:p w14:paraId="41E25CEF" w14:textId="0C054A8F" w:rsidR="009773D5" w:rsidRPr="00A7631D" w:rsidRDefault="009773D5" w:rsidP="00E17FAF">
      <w:pPr>
        <w:ind w:firstLine="720"/>
        <w:rPr>
          <w:szCs w:val="26"/>
        </w:rPr>
      </w:pPr>
      <w:r w:rsidRPr="00A7631D">
        <w:rPr>
          <w:szCs w:val="26"/>
        </w:rPr>
        <w:t xml:space="preserve">Both </w:t>
      </w:r>
      <w:proofErr w:type="gramStart"/>
      <w:r w:rsidRPr="00A7631D">
        <w:rPr>
          <w:szCs w:val="26"/>
        </w:rPr>
        <w:t>first and second degree</w:t>
      </w:r>
      <w:proofErr w:type="gramEnd"/>
      <w:r w:rsidRPr="00A7631D">
        <w:rPr>
          <w:szCs w:val="26"/>
        </w:rPr>
        <w:t xml:space="preserve"> murder require proof of an unlawful killing committed with malice aforethought, but only the former </w:t>
      </w:r>
      <w:r w:rsidR="00DE5D6E" w:rsidRPr="00A7631D">
        <w:rPr>
          <w:szCs w:val="26"/>
        </w:rPr>
        <w:t>requires</w:t>
      </w:r>
      <w:r w:rsidRPr="00A7631D">
        <w:rPr>
          <w:szCs w:val="26"/>
        </w:rPr>
        <w:t xml:space="preserve"> evidence of willfulness, premeditation, and deliberation.</w:t>
      </w:r>
      <w:r w:rsidRPr="00A7631D">
        <w:rPr>
          <w:rStyle w:val="FootnoteReference"/>
          <w:szCs w:val="26"/>
        </w:rPr>
        <w:footnoteReference w:id="16"/>
      </w:r>
      <w:r w:rsidRPr="00A7631D">
        <w:rPr>
          <w:i/>
          <w:iCs/>
          <w:szCs w:val="26"/>
        </w:rPr>
        <w:t xml:space="preserve">  </w:t>
      </w:r>
      <w:r w:rsidRPr="00A7631D">
        <w:rPr>
          <w:szCs w:val="26"/>
        </w:rPr>
        <w:t>(</w:t>
      </w:r>
      <w:r w:rsidRPr="00A7631D">
        <w:rPr>
          <w:i/>
          <w:iCs/>
          <w:szCs w:val="26"/>
        </w:rPr>
        <w:t xml:space="preserve">People v. Chiu </w:t>
      </w:r>
      <w:r w:rsidRPr="00A7631D">
        <w:rPr>
          <w:szCs w:val="26"/>
        </w:rPr>
        <w:t xml:space="preserve">(2014) 59 Cal.4th 155, 325.)  Wilson and Pops brought weapons to the </w:t>
      </w:r>
      <w:r w:rsidR="00EC55D4" w:rsidRPr="00A7631D">
        <w:rPr>
          <w:szCs w:val="26"/>
        </w:rPr>
        <w:t>car wash</w:t>
      </w:r>
      <w:r w:rsidRPr="00A7631D">
        <w:rPr>
          <w:szCs w:val="26"/>
        </w:rPr>
        <w:t xml:space="preserve">, </w:t>
      </w:r>
      <w:proofErr w:type="gramStart"/>
      <w:r w:rsidRPr="00A7631D">
        <w:rPr>
          <w:szCs w:val="26"/>
        </w:rPr>
        <w:t>watched</w:t>
      </w:r>
      <w:proofErr w:type="gramEnd"/>
      <w:r w:rsidRPr="00A7631D">
        <w:rPr>
          <w:szCs w:val="26"/>
        </w:rPr>
        <w:t xml:space="preserve"> and waited, and eventually entered, stole marijuana and cash, and shot four people.  Such evidence demonstrate</w:t>
      </w:r>
      <w:r w:rsidR="00AD5F0F" w:rsidRPr="00A7631D">
        <w:rPr>
          <w:szCs w:val="26"/>
        </w:rPr>
        <w:t>s</w:t>
      </w:r>
      <w:r w:rsidRPr="00A7631D">
        <w:rPr>
          <w:szCs w:val="26"/>
        </w:rPr>
        <w:t xml:space="preserve"> deliberation and premeditation.  (</w:t>
      </w:r>
      <w:r w:rsidRPr="00A7631D">
        <w:rPr>
          <w:i/>
          <w:iCs/>
          <w:szCs w:val="26"/>
        </w:rPr>
        <w:t>People v. Koontz</w:t>
      </w:r>
      <w:r w:rsidRPr="00A7631D">
        <w:rPr>
          <w:szCs w:val="26"/>
        </w:rPr>
        <w:t xml:space="preserve"> (2002) 27 Cal.4th 1041, 1081</w:t>
      </w:r>
      <w:r w:rsidR="007A304B">
        <w:rPr>
          <w:szCs w:val="26"/>
        </w:rPr>
        <w:t>–</w:t>
      </w:r>
      <w:r w:rsidRPr="00A7631D">
        <w:rPr>
          <w:szCs w:val="26"/>
        </w:rPr>
        <w:t xml:space="preserve">1082.)  </w:t>
      </w:r>
      <w:r w:rsidR="003D40F4" w:rsidRPr="00A7631D">
        <w:t>On these facts, no reasonable jury could have concluded that Wilson acted without willfulness, premeditation, and deliberation.</w:t>
      </w:r>
      <w:r w:rsidRPr="00A7631D">
        <w:rPr>
          <w:szCs w:val="26"/>
        </w:rPr>
        <w:t xml:space="preserve">  T</w:t>
      </w:r>
      <w:r w:rsidR="00946F7B" w:rsidRPr="00A7631D">
        <w:rPr>
          <w:szCs w:val="26"/>
        </w:rPr>
        <w:t xml:space="preserve">o the extent some evidence may exist to dispel a finding of premeditation and deliberation — and </w:t>
      </w:r>
      <w:r w:rsidR="00622861" w:rsidRPr="00A7631D">
        <w:rPr>
          <w:szCs w:val="26"/>
        </w:rPr>
        <w:t>there is none</w:t>
      </w:r>
      <w:r w:rsidR="00063CAA" w:rsidRPr="00A7631D">
        <w:rPr>
          <w:szCs w:val="26"/>
        </w:rPr>
        <w:t xml:space="preserve"> </w:t>
      </w:r>
      <w:r w:rsidR="00063CAA" w:rsidRPr="00A7631D">
        <w:rPr>
          <w:szCs w:val="26"/>
        </w:rPr>
        <w:lastRenderedPageBreak/>
        <w:t>here</w:t>
      </w:r>
      <w:r w:rsidR="00946F7B" w:rsidRPr="00A7631D">
        <w:rPr>
          <w:szCs w:val="26"/>
        </w:rPr>
        <w:t xml:space="preserve"> — </w:t>
      </w:r>
      <w:r w:rsidR="00EB2F37" w:rsidRPr="00A7631D">
        <w:rPr>
          <w:szCs w:val="26"/>
        </w:rPr>
        <w:t xml:space="preserve">we </w:t>
      </w:r>
      <w:r w:rsidR="00622861" w:rsidRPr="00A7631D">
        <w:rPr>
          <w:szCs w:val="26"/>
        </w:rPr>
        <w:t>note t</w:t>
      </w:r>
      <w:r w:rsidRPr="00A7631D">
        <w:rPr>
          <w:szCs w:val="26"/>
        </w:rPr>
        <w:t>he “</w:t>
      </w:r>
      <w:r w:rsidR="00EB2F37" w:rsidRPr="00A7631D">
        <w:rPr>
          <w:szCs w:val="26"/>
        </w:rPr>
        <w:t> </w:t>
      </w:r>
      <w:r w:rsidRPr="00A7631D">
        <w:rPr>
          <w:szCs w:val="26"/>
        </w:rPr>
        <w:t>‘substantial evidence requirement is not satisfied by “</w:t>
      </w:r>
      <w:r w:rsidR="00005707">
        <w:rPr>
          <w:szCs w:val="26"/>
        </w:rPr>
        <w:t> </w:t>
      </w:r>
      <w:r w:rsidRPr="00A7631D">
        <w:rPr>
          <w:szCs w:val="26"/>
        </w:rPr>
        <w:t>‘any evidence . . . no matter how weak</w:t>
      </w:r>
      <w:r w:rsidR="004C3349">
        <w:rPr>
          <w:szCs w:val="26"/>
        </w:rPr>
        <w:t>,</w:t>
      </w:r>
      <w:r w:rsidRPr="00A7631D">
        <w:rPr>
          <w:szCs w:val="26"/>
        </w:rPr>
        <w:t>’</w:t>
      </w:r>
      <w:r w:rsidR="00B47795">
        <w:rPr>
          <w:szCs w:val="26"/>
        </w:rPr>
        <w:t> </w:t>
      </w:r>
      <w:r w:rsidRPr="00A7631D">
        <w:rPr>
          <w:szCs w:val="26"/>
        </w:rPr>
        <w:t xml:space="preserve">” but rather by evidence from which a reasonable jury could conclude “that the lesser offense, </w:t>
      </w:r>
      <w:r w:rsidRPr="00A7631D">
        <w:rPr>
          <w:i/>
          <w:iCs/>
          <w:szCs w:val="26"/>
        </w:rPr>
        <w:t>but not the greater</w:t>
      </w:r>
      <w:r w:rsidRPr="00A7631D">
        <w:rPr>
          <w:szCs w:val="26"/>
        </w:rPr>
        <w:t>, was committed.”</w:t>
      </w:r>
      <w:r w:rsidR="00005707">
        <w:rPr>
          <w:szCs w:val="26"/>
        </w:rPr>
        <w:t> </w:t>
      </w:r>
      <w:r w:rsidRPr="00A7631D">
        <w:rPr>
          <w:szCs w:val="26"/>
        </w:rPr>
        <w:t>’</w:t>
      </w:r>
      <w:r w:rsidR="00005707">
        <w:rPr>
          <w:szCs w:val="26"/>
        </w:rPr>
        <w:t> </w:t>
      </w:r>
      <w:r w:rsidRPr="00A7631D">
        <w:rPr>
          <w:szCs w:val="26"/>
        </w:rPr>
        <w:t>”  (</w:t>
      </w:r>
      <w:r w:rsidRPr="00A7631D">
        <w:rPr>
          <w:i/>
          <w:iCs/>
          <w:szCs w:val="26"/>
        </w:rPr>
        <w:t>Banks</w:t>
      </w:r>
      <w:r w:rsidRPr="00A7631D">
        <w:rPr>
          <w:szCs w:val="26"/>
        </w:rPr>
        <w:t xml:space="preserve">, </w:t>
      </w:r>
      <w:r w:rsidRPr="00A7631D">
        <w:rPr>
          <w:i/>
          <w:iCs/>
          <w:szCs w:val="26"/>
        </w:rPr>
        <w:t>supra</w:t>
      </w:r>
      <w:r w:rsidRPr="00A7631D">
        <w:rPr>
          <w:szCs w:val="26"/>
        </w:rPr>
        <w:t xml:space="preserve">, 59 Cal.4th at </w:t>
      </w:r>
      <w:r w:rsidR="004C3349">
        <w:rPr>
          <w:szCs w:val="26"/>
        </w:rPr>
        <w:t>p</w:t>
      </w:r>
      <w:r w:rsidRPr="00A7631D">
        <w:rPr>
          <w:szCs w:val="26"/>
        </w:rPr>
        <w:t xml:space="preserve">p. </w:t>
      </w:r>
      <w:r w:rsidR="004C3349">
        <w:rPr>
          <w:szCs w:val="26"/>
        </w:rPr>
        <w:t>1160–</w:t>
      </w:r>
      <w:r w:rsidRPr="00A7631D">
        <w:rPr>
          <w:szCs w:val="26"/>
        </w:rPr>
        <w:t>1161, italics added.)  On this evidence the jury could only conclude that first degree murder was committed, whether under a premeditation or felony murder theory.  Because no reasonable jury would have been able to conclude</w:t>
      </w:r>
      <w:r w:rsidR="00063CAA" w:rsidRPr="00A7631D">
        <w:rPr>
          <w:szCs w:val="26"/>
        </w:rPr>
        <w:t xml:space="preserve"> </w:t>
      </w:r>
      <w:r w:rsidRPr="00A7631D">
        <w:rPr>
          <w:szCs w:val="26"/>
        </w:rPr>
        <w:t>that Wilson committed</w:t>
      </w:r>
      <w:r w:rsidR="009C3200" w:rsidRPr="00A7631D">
        <w:rPr>
          <w:szCs w:val="26"/>
        </w:rPr>
        <w:t xml:space="preserve"> only</w:t>
      </w:r>
      <w:r w:rsidRPr="00A7631D">
        <w:rPr>
          <w:szCs w:val="26"/>
        </w:rPr>
        <w:t xml:space="preserve"> the lesser offense of </w:t>
      </w:r>
      <w:proofErr w:type="spellStart"/>
      <w:r w:rsidRPr="00A7631D">
        <w:rPr>
          <w:szCs w:val="26"/>
        </w:rPr>
        <w:t>nonpremeditated</w:t>
      </w:r>
      <w:proofErr w:type="spellEnd"/>
      <w:r w:rsidRPr="00A7631D">
        <w:rPr>
          <w:szCs w:val="26"/>
        </w:rPr>
        <w:t xml:space="preserve"> second degree murder, the trial court did not err by failing to instruct the jury on that offense.  (</w:t>
      </w:r>
      <w:proofErr w:type="spellStart"/>
      <w:r w:rsidRPr="00A7631D">
        <w:rPr>
          <w:i/>
          <w:iCs/>
          <w:szCs w:val="26"/>
        </w:rPr>
        <w:t>Westerfield</w:t>
      </w:r>
      <w:proofErr w:type="spellEnd"/>
      <w:r w:rsidRPr="00A7631D">
        <w:rPr>
          <w:szCs w:val="26"/>
        </w:rPr>
        <w:t xml:space="preserve">, </w:t>
      </w:r>
      <w:r w:rsidRPr="00A7631D">
        <w:rPr>
          <w:i/>
          <w:iCs/>
          <w:szCs w:val="26"/>
        </w:rPr>
        <w:t>supra</w:t>
      </w:r>
      <w:r w:rsidRPr="00A7631D">
        <w:rPr>
          <w:szCs w:val="26"/>
        </w:rPr>
        <w:t xml:space="preserve">, 6 Cal.5th at p. 717.)    </w:t>
      </w:r>
    </w:p>
    <w:p w14:paraId="08150899" w14:textId="2EF41073" w:rsidR="009773D5" w:rsidRPr="00A7631D" w:rsidRDefault="00120986" w:rsidP="00E17FAF">
      <w:pPr>
        <w:ind w:firstLine="720"/>
        <w:rPr>
          <w:szCs w:val="26"/>
        </w:rPr>
      </w:pPr>
      <w:r w:rsidRPr="00A7631D">
        <w:rPr>
          <w:szCs w:val="26"/>
        </w:rPr>
        <w:t>Wilson</w:t>
      </w:r>
      <w:r w:rsidR="009773D5" w:rsidRPr="00A7631D">
        <w:rPr>
          <w:szCs w:val="26"/>
        </w:rPr>
        <w:t xml:space="preserve"> claims the trial court’s failure to provide a </w:t>
      </w:r>
      <w:proofErr w:type="gramStart"/>
      <w:r w:rsidR="009773D5" w:rsidRPr="00A7631D">
        <w:rPr>
          <w:szCs w:val="26"/>
        </w:rPr>
        <w:t>second degree</w:t>
      </w:r>
      <w:proofErr w:type="gramEnd"/>
      <w:r w:rsidR="009773D5" w:rsidRPr="00A7631D">
        <w:rPr>
          <w:szCs w:val="26"/>
        </w:rPr>
        <w:t xml:space="preserve"> murder instruction runs afoul of the United States Supreme Court’s decision in </w:t>
      </w:r>
      <w:r w:rsidR="009773D5" w:rsidRPr="00A7631D">
        <w:rPr>
          <w:i/>
          <w:iCs/>
          <w:szCs w:val="26"/>
        </w:rPr>
        <w:t>Beck v. Alabama</w:t>
      </w:r>
      <w:r w:rsidR="009773D5" w:rsidRPr="00A7631D">
        <w:rPr>
          <w:szCs w:val="26"/>
        </w:rPr>
        <w:t> (1980) 447 U.S. 625, 638 (</w:t>
      </w:r>
      <w:r w:rsidR="009773D5" w:rsidRPr="00A7631D">
        <w:rPr>
          <w:i/>
          <w:iCs/>
          <w:szCs w:val="26"/>
        </w:rPr>
        <w:t>Beck</w:t>
      </w:r>
      <w:r w:rsidR="009773D5" w:rsidRPr="00A7631D">
        <w:rPr>
          <w:szCs w:val="26"/>
        </w:rPr>
        <w:t xml:space="preserve">).  A trial court satisfies </w:t>
      </w:r>
      <w:r w:rsidR="009773D5" w:rsidRPr="00A7631D">
        <w:rPr>
          <w:i/>
          <w:iCs/>
          <w:szCs w:val="26"/>
        </w:rPr>
        <w:t>Beck</w:t>
      </w:r>
      <w:r w:rsidR="009773D5" w:rsidRPr="00A7631D">
        <w:rPr>
          <w:szCs w:val="26"/>
        </w:rPr>
        <w:t xml:space="preserve"> when the jury is provided a noncapital third option beyond the “</w:t>
      </w:r>
      <w:r w:rsidR="00B47795">
        <w:rPr>
          <w:szCs w:val="26"/>
        </w:rPr>
        <w:t> </w:t>
      </w:r>
      <w:r w:rsidR="00A05F55">
        <w:rPr>
          <w:szCs w:val="26"/>
        </w:rPr>
        <w:t>‘</w:t>
      </w:r>
      <w:r w:rsidR="009773D5" w:rsidRPr="00A7631D">
        <w:rPr>
          <w:szCs w:val="26"/>
        </w:rPr>
        <w:t>all-or-nothing choice between capital murder and innocence.</w:t>
      </w:r>
      <w:r w:rsidR="00A05F55">
        <w:rPr>
          <w:szCs w:val="26"/>
        </w:rPr>
        <w:t>’</w:t>
      </w:r>
      <w:r w:rsidR="00B47795">
        <w:rPr>
          <w:szCs w:val="26"/>
        </w:rPr>
        <w:t> </w:t>
      </w:r>
      <w:r w:rsidR="00A05F55">
        <w:rPr>
          <w:szCs w:val="26"/>
        </w:rPr>
        <w:t>”</w:t>
      </w:r>
      <w:r w:rsidR="009773D5" w:rsidRPr="00A7631D">
        <w:rPr>
          <w:szCs w:val="26"/>
        </w:rPr>
        <w:t xml:space="preserve">  (</w:t>
      </w:r>
      <w:proofErr w:type="spellStart"/>
      <w:r w:rsidR="009773D5" w:rsidRPr="00A7631D">
        <w:rPr>
          <w:i/>
          <w:iCs/>
          <w:szCs w:val="26"/>
        </w:rPr>
        <w:t>Schad</w:t>
      </w:r>
      <w:proofErr w:type="spellEnd"/>
      <w:r w:rsidR="009773D5" w:rsidRPr="00A7631D">
        <w:rPr>
          <w:i/>
          <w:iCs/>
          <w:szCs w:val="26"/>
        </w:rPr>
        <w:t xml:space="preserve"> v. Arizona</w:t>
      </w:r>
      <w:r w:rsidR="009773D5" w:rsidRPr="00A7631D">
        <w:rPr>
          <w:szCs w:val="26"/>
        </w:rPr>
        <w:t xml:space="preserve"> (1991) 501 U.S. 624, 647.)  </w:t>
      </w:r>
      <w:r w:rsidR="003355C2" w:rsidRPr="00A7631D">
        <w:rPr>
          <w:szCs w:val="26"/>
        </w:rPr>
        <w:t>W</w:t>
      </w:r>
      <w:r w:rsidR="009773D5" w:rsidRPr="00A7631D">
        <w:rPr>
          <w:szCs w:val="26"/>
        </w:rPr>
        <w:t xml:space="preserve">here substantial evidence does not support an instruction on the lesser offense, </w:t>
      </w:r>
      <w:r w:rsidR="009773D5" w:rsidRPr="00A7631D">
        <w:rPr>
          <w:i/>
          <w:iCs/>
          <w:szCs w:val="26"/>
        </w:rPr>
        <w:t>Beck</w:t>
      </w:r>
      <w:r w:rsidR="009773D5" w:rsidRPr="00A7631D">
        <w:rPr>
          <w:szCs w:val="26"/>
        </w:rPr>
        <w:t xml:space="preserve"> is not implicated.  (</w:t>
      </w:r>
      <w:r w:rsidR="009773D5" w:rsidRPr="00A7631D">
        <w:rPr>
          <w:i/>
          <w:iCs/>
          <w:szCs w:val="26"/>
        </w:rPr>
        <w:t>People v. Smith</w:t>
      </w:r>
      <w:r w:rsidR="00982067">
        <w:rPr>
          <w:szCs w:val="26"/>
        </w:rPr>
        <w:t xml:space="preserve"> (2018) </w:t>
      </w:r>
      <w:r w:rsidR="009773D5" w:rsidRPr="00A7631D">
        <w:rPr>
          <w:szCs w:val="26"/>
        </w:rPr>
        <w:t xml:space="preserve">4 Cal.5th </w:t>
      </w:r>
      <w:r w:rsidR="00982067">
        <w:rPr>
          <w:szCs w:val="26"/>
        </w:rPr>
        <w:t>1134,</w:t>
      </w:r>
      <w:r w:rsidR="009773D5" w:rsidRPr="00A7631D">
        <w:rPr>
          <w:szCs w:val="26"/>
        </w:rPr>
        <w:t xml:space="preserve"> 1167.)  We have previously concluded no error under </w:t>
      </w:r>
      <w:r w:rsidR="009773D5" w:rsidRPr="00A7631D">
        <w:rPr>
          <w:i/>
          <w:iCs/>
          <w:szCs w:val="26"/>
        </w:rPr>
        <w:t>Beck</w:t>
      </w:r>
      <w:r w:rsidR="009773D5" w:rsidRPr="00A7631D">
        <w:rPr>
          <w:szCs w:val="26"/>
        </w:rPr>
        <w:t xml:space="preserve"> flows from a trial court’s failure to provide a </w:t>
      </w:r>
      <w:proofErr w:type="spellStart"/>
      <w:r w:rsidR="009773D5" w:rsidRPr="00A7631D">
        <w:rPr>
          <w:szCs w:val="26"/>
        </w:rPr>
        <w:t>sua</w:t>
      </w:r>
      <w:proofErr w:type="spellEnd"/>
      <w:r w:rsidR="009773D5" w:rsidRPr="00A7631D">
        <w:rPr>
          <w:szCs w:val="26"/>
        </w:rPr>
        <w:t xml:space="preserve"> sponte second degree murder instruction where substantial evidence would not support such an instruction and we affirm that holding here.  (</w:t>
      </w:r>
      <w:proofErr w:type="spellStart"/>
      <w:r w:rsidR="009773D5" w:rsidRPr="00A7631D">
        <w:rPr>
          <w:i/>
          <w:iCs/>
          <w:szCs w:val="26"/>
        </w:rPr>
        <w:t>Westerfield</w:t>
      </w:r>
      <w:proofErr w:type="spellEnd"/>
      <w:r w:rsidR="009773D5" w:rsidRPr="00A7631D">
        <w:rPr>
          <w:szCs w:val="26"/>
        </w:rPr>
        <w:t xml:space="preserve">, </w:t>
      </w:r>
      <w:r w:rsidR="009773D5" w:rsidRPr="00A7631D">
        <w:rPr>
          <w:i/>
          <w:iCs/>
          <w:szCs w:val="26"/>
        </w:rPr>
        <w:t>supra</w:t>
      </w:r>
      <w:r w:rsidR="009773D5" w:rsidRPr="00A7631D">
        <w:rPr>
          <w:szCs w:val="26"/>
        </w:rPr>
        <w:t>, 6 Cal.5th at pp. 717</w:t>
      </w:r>
      <w:r w:rsidR="009773D5" w:rsidRPr="00A7631D">
        <w:rPr>
          <w:szCs w:val="26"/>
        </w:rPr>
        <w:softHyphen/>
      </w:r>
      <w:r w:rsidR="009773D5" w:rsidRPr="00A7631D">
        <w:rPr>
          <w:szCs w:val="26"/>
        </w:rPr>
        <w:softHyphen/>
      </w:r>
      <w:r w:rsidR="00992682">
        <w:rPr>
          <w:szCs w:val="26"/>
        </w:rPr>
        <w:t>–</w:t>
      </w:r>
      <w:r w:rsidR="009773D5" w:rsidRPr="00A7631D">
        <w:rPr>
          <w:szCs w:val="26"/>
        </w:rPr>
        <w:t>718.)</w:t>
      </w:r>
    </w:p>
    <w:p w14:paraId="08FEF8E5" w14:textId="709B8C3A" w:rsidR="001B796C" w:rsidRPr="00A7631D" w:rsidRDefault="00A0473B" w:rsidP="00A7631D">
      <w:pPr>
        <w:pStyle w:val="Heading2"/>
        <w:numPr>
          <w:ilvl w:val="0"/>
          <w:numId w:val="3"/>
        </w:numPr>
      </w:pPr>
      <w:r w:rsidRPr="00A7631D">
        <w:tab/>
      </w:r>
      <w:bookmarkStart w:id="50" w:name="_Toc58846829"/>
      <w:bookmarkStart w:id="51" w:name="_Toc50617046"/>
      <w:r w:rsidR="001B796C" w:rsidRPr="00A7631D">
        <w:t>Theft as Lesser Included Offense of Dunn Robbery</w:t>
      </w:r>
      <w:bookmarkEnd w:id="50"/>
      <w:bookmarkEnd w:id="51"/>
    </w:p>
    <w:p w14:paraId="6DEC8F40" w14:textId="75F49C6D" w:rsidR="0075439A" w:rsidRPr="00A7631D" w:rsidRDefault="00120986" w:rsidP="00A7631D">
      <w:pPr>
        <w:ind w:firstLine="720"/>
        <w:rPr>
          <w:szCs w:val="26"/>
        </w:rPr>
      </w:pPr>
      <w:r w:rsidRPr="00A7631D">
        <w:t>Wilson</w:t>
      </w:r>
      <w:r w:rsidR="00E00235" w:rsidRPr="00A7631D">
        <w:t xml:space="preserve"> argues</w:t>
      </w:r>
      <w:r w:rsidR="00610639" w:rsidRPr="00A7631D">
        <w:t xml:space="preserve"> the trial court </w:t>
      </w:r>
      <w:r w:rsidR="00CC18C7" w:rsidRPr="00A7631D">
        <w:t xml:space="preserve">erred by failing to instruct the jury, </w:t>
      </w:r>
      <w:proofErr w:type="spellStart"/>
      <w:r w:rsidR="00CC18C7" w:rsidRPr="00A7631D">
        <w:t>sua</w:t>
      </w:r>
      <w:proofErr w:type="spellEnd"/>
      <w:r w:rsidR="00CC18C7" w:rsidRPr="00A7631D">
        <w:t xml:space="preserve"> sponte, </w:t>
      </w:r>
      <w:r w:rsidR="00610639" w:rsidRPr="00A7631D">
        <w:t>on the lesser included offense of theft</w:t>
      </w:r>
      <w:r w:rsidR="00CC18C7" w:rsidRPr="00A7631D">
        <w:t xml:space="preserve">.  </w:t>
      </w:r>
      <w:r w:rsidR="00F1616E">
        <w:rPr>
          <w:szCs w:val="26"/>
        </w:rPr>
        <w:lastRenderedPageBreak/>
        <w:t xml:space="preserve">Although </w:t>
      </w:r>
      <w:r w:rsidR="00632C52" w:rsidRPr="00A7631D">
        <w:rPr>
          <w:szCs w:val="26"/>
        </w:rPr>
        <w:t>the issue is close</w:t>
      </w:r>
      <w:r w:rsidR="00F1616E">
        <w:rPr>
          <w:szCs w:val="26"/>
        </w:rPr>
        <w:t xml:space="preserve">, </w:t>
      </w:r>
      <w:r w:rsidR="00260C12">
        <w:rPr>
          <w:szCs w:val="26"/>
        </w:rPr>
        <w:t>we conclude</w:t>
      </w:r>
      <w:r w:rsidR="002D2ED1">
        <w:rPr>
          <w:szCs w:val="26"/>
        </w:rPr>
        <w:t xml:space="preserve"> </w:t>
      </w:r>
      <w:r w:rsidR="0075439A" w:rsidRPr="00A7631D">
        <w:rPr>
          <w:szCs w:val="26"/>
        </w:rPr>
        <w:t>no instruction on theft was warranted.</w:t>
      </w:r>
    </w:p>
    <w:p w14:paraId="389F1D31" w14:textId="374BAE99" w:rsidR="00CC18C7" w:rsidRPr="00570320" w:rsidRDefault="00120986" w:rsidP="00C865CE">
      <w:pPr>
        <w:ind w:firstLine="720"/>
        <w:rPr>
          <w:szCs w:val="26"/>
        </w:rPr>
      </w:pPr>
      <w:r w:rsidRPr="00A7631D">
        <w:t>Wilson</w:t>
      </w:r>
      <w:r w:rsidR="00CC18C7" w:rsidRPr="00A7631D">
        <w:t xml:space="preserve"> was found guilty of robbing Dunn of his El Camino car.  </w:t>
      </w:r>
      <w:r w:rsidR="0075439A" w:rsidRPr="00A7631D">
        <w:t xml:space="preserve">He </w:t>
      </w:r>
      <w:r w:rsidR="00CC18C7" w:rsidRPr="00A7631D">
        <w:t xml:space="preserve">claims the intent to steal </w:t>
      </w:r>
      <w:r w:rsidR="0075439A" w:rsidRPr="00A7631D">
        <w:t xml:space="preserve">could </w:t>
      </w:r>
      <w:r w:rsidR="00CC18C7" w:rsidRPr="00A7631D">
        <w:t xml:space="preserve">have been formed after force was used in this case, warranting an instruction on the lesser included theft offense.  </w:t>
      </w:r>
      <w:r w:rsidR="006D55BD" w:rsidRPr="00A7631D">
        <w:t xml:space="preserve">(See </w:t>
      </w:r>
      <w:r w:rsidR="006D55BD" w:rsidRPr="00A7631D">
        <w:rPr>
          <w:i/>
        </w:rPr>
        <w:t>People v. Powell</w:t>
      </w:r>
      <w:r w:rsidR="006D55BD" w:rsidRPr="00A7631D">
        <w:t xml:space="preserve"> (2018) 6 Cal.5th 136, 165; </w:t>
      </w:r>
      <w:r w:rsidR="006D55BD" w:rsidRPr="00A7631D">
        <w:rPr>
          <w:i/>
        </w:rPr>
        <w:t xml:space="preserve">People v. </w:t>
      </w:r>
      <w:proofErr w:type="spellStart"/>
      <w:r w:rsidR="006D55BD" w:rsidRPr="00A7631D">
        <w:rPr>
          <w:i/>
        </w:rPr>
        <w:t>Breverman</w:t>
      </w:r>
      <w:proofErr w:type="spellEnd"/>
      <w:r w:rsidR="00EC7D07" w:rsidRPr="00A7631D">
        <w:t xml:space="preserve">, </w:t>
      </w:r>
      <w:r w:rsidR="00EC7D07" w:rsidRPr="00A7631D">
        <w:rPr>
          <w:i/>
          <w:iCs/>
        </w:rPr>
        <w:t>supra</w:t>
      </w:r>
      <w:r w:rsidR="00EC7D07" w:rsidRPr="00A7631D">
        <w:t xml:space="preserve">, </w:t>
      </w:r>
      <w:r w:rsidR="006D55BD" w:rsidRPr="00A7631D">
        <w:t xml:space="preserve">19 Cal.4th </w:t>
      </w:r>
      <w:r w:rsidR="004B6D65" w:rsidRPr="00A7631D">
        <w:t>at p.</w:t>
      </w:r>
      <w:r w:rsidR="006D55BD" w:rsidRPr="00A7631D">
        <w:t xml:space="preserve"> 162</w:t>
      </w:r>
      <w:r w:rsidR="000450A1" w:rsidRPr="00A7631D">
        <w:t xml:space="preserve">.)  As </w:t>
      </w:r>
      <w:r w:rsidRPr="00A7631D">
        <w:t>Wilson</w:t>
      </w:r>
      <w:r w:rsidR="000450A1" w:rsidRPr="00A7631D">
        <w:t xml:space="preserve"> notes, theft</w:t>
      </w:r>
      <w:r w:rsidR="00E70EE0" w:rsidRPr="00A7631D">
        <w:t xml:space="preserve"> is a lesser included offense of robbery if</w:t>
      </w:r>
      <w:r w:rsidR="002B6219" w:rsidRPr="00A7631D">
        <w:t xml:space="preserve"> </w:t>
      </w:r>
      <w:r w:rsidR="00EB6BA3" w:rsidRPr="00A7631D">
        <w:t xml:space="preserve">the intent to steal is formed </w:t>
      </w:r>
      <w:r w:rsidR="00354657" w:rsidRPr="00A7631D">
        <w:t>“</w:t>
      </w:r>
      <w:r w:rsidR="00EB6BA3" w:rsidRPr="00A7631D">
        <w:t>after force was used.</w:t>
      </w:r>
      <w:r w:rsidR="008821BE" w:rsidRPr="00A7631D">
        <w:t>”</w:t>
      </w:r>
      <w:r w:rsidR="00442A0F" w:rsidRPr="00A7631D">
        <w:t xml:space="preserve"> </w:t>
      </w:r>
      <w:r w:rsidR="00354657" w:rsidRPr="00A7631D">
        <w:t xml:space="preserve"> (</w:t>
      </w:r>
      <w:r w:rsidR="00EB6BA3" w:rsidRPr="00A7631D">
        <w:rPr>
          <w:i/>
          <w:iCs/>
        </w:rPr>
        <w:t>People v. Turner</w:t>
      </w:r>
      <w:r w:rsidR="00EB6BA3" w:rsidRPr="00A7631D">
        <w:t xml:space="preserve"> (1990) 50 </w:t>
      </w:r>
      <w:r w:rsidR="00E57618" w:rsidRPr="00A7631D">
        <w:t>Cal</w:t>
      </w:r>
      <w:r w:rsidR="00EB6BA3" w:rsidRPr="00A7631D">
        <w:t>.3d 668, 688</w:t>
      </w:r>
      <w:r w:rsidR="00D84CE3" w:rsidRPr="00A7631D">
        <w:t>.</w:t>
      </w:r>
      <w:r w:rsidR="00AC1A9E" w:rsidRPr="00A7631D">
        <w:t>)</w:t>
      </w:r>
      <w:r w:rsidR="00EC1E89" w:rsidRPr="00A7631D">
        <w:t xml:space="preserve">  </w:t>
      </w:r>
      <w:r w:rsidR="003F2B42">
        <w:t xml:space="preserve">The Attorney General may be understood </w:t>
      </w:r>
      <w:r w:rsidR="00546DA9">
        <w:t>to</w:t>
      </w:r>
      <w:r w:rsidR="003F2B42">
        <w:t xml:space="preserve"> </w:t>
      </w:r>
      <w:r w:rsidR="00546DA9">
        <w:t>argue</w:t>
      </w:r>
      <w:r w:rsidR="003F2B42">
        <w:t xml:space="preserve"> that no</w:t>
      </w:r>
      <w:r w:rsidR="007F197A">
        <w:t xml:space="preserve"> instruction is warranted if the intent to steal preceded the use of force.  </w:t>
      </w:r>
      <w:r w:rsidR="00546DA9">
        <w:t>But this</w:t>
      </w:r>
      <w:r w:rsidR="007F197A">
        <w:t xml:space="preserve"> is not </w:t>
      </w:r>
      <w:r w:rsidR="00322389">
        <w:t xml:space="preserve">the correct standard.  </w:t>
      </w:r>
      <w:r w:rsidR="00C66274" w:rsidRPr="00570320">
        <w:rPr>
          <w:rStyle w:val="DeltaViewInsertion"/>
          <w:color w:val="auto"/>
          <w:szCs w:val="26"/>
          <w:u w:val="none"/>
        </w:rPr>
        <w:t xml:space="preserve">The obligation to instruct on a lesser included offense arises whenever the </w:t>
      </w:r>
      <w:r w:rsidR="00C66274" w:rsidRPr="00C865CE">
        <w:rPr>
          <w:rStyle w:val="DeltaViewInsertion"/>
          <w:color w:val="auto"/>
          <w:szCs w:val="26"/>
          <w:u w:val="none"/>
        </w:rPr>
        <w:t>evidence</w:t>
      </w:r>
      <w:r w:rsidR="00C865CE">
        <w:rPr>
          <w:rStyle w:val="DeltaViewInsertion"/>
          <w:color w:val="auto"/>
          <w:szCs w:val="26"/>
          <w:u w:val="none"/>
        </w:rPr>
        <w:t xml:space="preserve"> </w:t>
      </w:r>
      <w:r w:rsidR="00C66274" w:rsidRPr="00C865CE">
        <w:rPr>
          <w:rStyle w:val="DeltaViewInsertion"/>
          <w:color w:val="auto"/>
          <w:szCs w:val="26"/>
          <w:u w:val="none"/>
        </w:rPr>
        <w:t>“</w:t>
      </w:r>
      <w:r w:rsidR="00C865CE">
        <w:rPr>
          <w:rStyle w:val="DeltaViewInsertion"/>
          <w:color w:val="auto"/>
          <w:szCs w:val="26"/>
          <w:u w:val="none"/>
        </w:rPr>
        <w:t> </w:t>
      </w:r>
      <w:r w:rsidR="00C66274" w:rsidRPr="00C865CE">
        <w:rPr>
          <w:rStyle w:val="DeltaViewInsertion"/>
          <w:color w:val="auto"/>
          <w:szCs w:val="26"/>
          <w:u w:val="none"/>
        </w:rPr>
        <w:t>‘</w:t>
      </w:r>
      <w:r w:rsidR="00C865CE">
        <w:rPr>
          <w:rStyle w:val="DeltaViewInsertion"/>
          <w:color w:val="auto"/>
          <w:szCs w:val="26"/>
          <w:u w:val="none"/>
        </w:rPr>
        <w:t> </w:t>
      </w:r>
      <w:r w:rsidR="00C66274" w:rsidRPr="00C865CE">
        <w:rPr>
          <w:rStyle w:val="DeltaViewInsertion"/>
          <w:color w:val="auto"/>
          <w:szCs w:val="26"/>
          <w:u w:val="none"/>
        </w:rPr>
        <w:t xml:space="preserve">“raises </w:t>
      </w:r>
      <w:r w:rsidR="00C66274" w:rsidRPr="00570320">
        <w:rPr>
          <w:rStyle w:val="DeltaViewInsertion"/>
          <w:color w:val="auto"/>
          <w:szCs w:val="26"/>
          <w:u w:val="none"/>
        </w:rPr>
        <w:t>a question as to whether all the elements of the [greater] offense were present.”</w:t>
      </w:r>
      <w:r w:rsidR="005E59D4" w:rsidRPr="00570320">
        <w:rPr>
          <w:rStyle w:val="DeltaViewInsertion"/>
          <w:color w:val="auto"/>
          <w:szCs w:val="26"/>
          <w:u w:val="none"/>
        </w:rPr>
        <w:t> </w:t>
      </w:r>
      <w:r w:rsidR="00C66274" w:rsidRPr="00570320">
        <w:rPr>
          <w:rStyle w:val="DeltaViewInsertion"/>
          <w:color w:val="auto"/>
          <w:szCs w:val="26"/>
          <w:u w:val="none"/>
        </w:rPr>
        <w:t>’</w:t>
      </w:r>
      <w:r w:rsidR="005E59D4" w:rsidRPr="00570320">
        <w:rPr>
          <w:rStyle w:val="DeltaViewInsertion"/>
          <w:color w:val="auto"/>
          <w:szCs w:val="26"/>
          <w:u w:val="none"/>
        </w:rPr>
        <w:t> </w:t>
      </w:r>
      <w:r w:rsidR="00C66274" w:rsidRPr="00570320">
        <w:rPr>
          <w:rStyle w:val="DeltaViewInsertion"/>
          <w:color w:val="auto"/>
          <w:szCs w:val="26"/>
          <w:u w:val="none"/>
        </w:rPr>
        <w:t>”  (</w:t>
      </w:r>
      <w:r w:rsidR="005E59D4" w:rsidRPr="00570320">
        <w:rPr>
          <w:rStyle w:val="DeltaViewInsertion"/>
          <w:i/>
          <w:iCs/>
          <w:color w:val="auto"/>
          <w:szCs w:val="26"/>
          <w:u w:val="none"/>
        </w:rPr>
        <w:t xml:space="preserve">People v. </w:t>
      </w:r>
      <w:r w:rsidR="00C66274" w:rsidRPr="00570320">
        <w:rPr>
          <w:rStyle w:val="DeltaViewInsertion"/>
          <w:i/>
          <w:iCs/>
          <w:color w:val="auto"/>
          <w:szCs w:val="26"/>
          <w:u w:val="none"/>
        </w:rPr>
        <w:t>Valdez</w:t>
      </w:r>
      <w:r w:rsidR="00C66274" w:rsidRPr="00570320">
        <w:rPr>
          <w:rStyle w:val="DeltaViewInsertion"/>
          <w:color w:val="auto"/>
          <w:szCs w:val="26"/>
          <w:u w:val="none"/>
        </w:rPr>
        <w:t xml:space="preserve">, </w:t>
      </w:r>
      <w:r w:rsidR="00C66274" w:rsidRPr="00570320">
        <w:rPr>
          <w:rStyle w:val="DeltaViewInsertion"/>
          <w:i/>
          <w:iCs/>
          <w:color w:val="auto"/>
          <w:szCs w:val="26"/>
          <w:u w:val="none"/>
        </w:rPr>
        <w:t>supra</w:t>
      </w:r>
      <w:r w:rsidR="00C66274" w:rsidRPr="00570320">
        <w:rPr>
          <w:rStyle w:val="DeltaViewInsertion"/>
          <w:color w:val="auto"/>
          <w:szCs w:val="26"/>
          <w:u w:val="none"/>
        </w:rPr>
        <w:t>, 32 Cal.4th at p. 115.)</w:t>
      </w:r>
      <w:r w:rsidR="00151723" w:rsidRPr="00570320">
        <w:rPr>
          <w:rStyle w:val="DeltaViewInsertion"/>
          <w:color w:val="auto"/>
          <w:szCs w:val="26"/>
        </w:rPr>
        <w:t xml:space="preserve">  </w:t>
      </w:r>
      <w:r w:rsidR="001D749F" w:rsidRPr="00A7631D">
        <w:t>“T</w:t>
      </w:r>
      <w:r w:rsidR="00EC4390" w:rsidRPr="00A7631D">
        <w:t>his substantial evidence requirement is not satisfied by ‘</w:t>
      </w:r>
      <w:r w:rsidR="00B47795">
        <w:t> </w:t>
      </w:r>
      <w:r w:rsidR="00EC4390" w:rsidRPr="00A7631D">
        <w:t>“</w:t>
      </w:r>
      <w:r w:rsidR="00EC4390" w:rsidRPr="00A7631D">
        <w:rPr>
          <w:i/>
          <w:iCs/>
        </w:rPr>
        <w:t>any evidence</w:t>
      </w:r>
      <w:r w:rsidR="00EC4390" w:rsidRPr="00A7631D">
        <w:t xml:space="preserve"> . . . no matter how weak,”</w:t>
      </w:r>
      <w:r w:rsidR="00005707">
        <w:t> </w:t>
      </w:r>
      <w:r w:rsidR="00EC4390" w:rsidRPr="00A7631D">
        <w:t>’ but rather by evidence from which a jury composed of reasonable persons could conclude ‘</w:t>
      </w:r>
      <w:r w:rsidR="00EC4390" w:rsidRPr="00570320">
        <w:t>that the lesser offense, but not the greater, was committed.’</w:t>
      </w:r>
      <w:r w:rsidR="00B47795" w:rsidRPr="00570320">
        <w:t> </w:t>
      </w:r>
      <w:r w:rsidR="00EC4390" w:rsidRPr="00570320">
        <w:t>”  (</w:t>
      </w:r>
      <w:r w:rsidR="00151723" w:rsidRPr="00570320">
        <w:rPr>
          <w:i/>
          <w:iCs/>
        </w:rPr>
        <w:t>People v. Avila</w:t>
      </w:r>
      <w:r w:rsidR="00151723" w:rsidRPr="00570320">
        <w:t xml:space="preserve"> (2009) 46 Cal.4th 680, 705</w:t>
      </w:r>
      <w:r w:rsidR="00EC4390" w:rsidRPr="00570320">
        <w:t xml:space="preserve">, emphasis added.)  </w:t>
      </w:r>
      <w:r w:rsidR="00151723" w:rsidRPr="00570320">
        <w:rPr>
          <w:rStyle w:val="DeltaViewInsertion"/>
          <w:color w:val="auto"/>
          <w:szCs w:val="26"/>
          <w:u w:val="none"/>
        </w:rPr>
        <w:t xml:space="preserve">Here, the obligation to instruct on theft would have arisen if a reasonable jury could </w:t>
      </w:r>
      <w:r w:rsidR="00CB1600" w:rsidRPr="00570320">
        <w:rPr>
          <w:rStyle w:val="DeltaViewInsertion"/>
          <w:color w:val="auto"/>
          <w:szCs w:val="26"/>
          <w:u w:val="none"/>
        </w:rPr>
        <w:t xml:space="preserve">have </w:t>
      </w:r>
      <w:r w:rsidR="00151723" w:rsidRPr="00570320">
        <w:rPr>
          <w:rStyle w:val="DeltaViewInsertion"/>
          <w:color w:val="auto"/>
          <w:szCs w:val="26"/>
          <w:u w:val="none"/>
        </w:rPr>
        <w:t>conclude</w:t>
      </w:r>
      <w:r w:rsidR="00CB1600" w:rsidRPr="00570320">
        <w:rPr>
          <w:rStyle w:val="DeltaViewInsertion"/>
          <w:color w:val="auto"/>
          <w:szCs w:val="26"/>
          <w:u w:val="none"/>
        </w:rPr>
        <w:t>d</w:t>
      </w:r>
      <w:r w:rsidR="00151723" w:rsidRPr="00570320">
        <w:rPr>
          <w:rStyle w:val="DeltaViewInsertion"/>
          <w:color w:val="auto"/>
          <w:szCs w:val="26"/>
          <w:u w:val="none"/>
        </w:rPr>
        <w:t xml:space="preserve"> that Wilson committed theft, but not robbery when he took the El Camino, i.e., if there were evidence from which a reasonable jury could conclude that Wilson formed the intent to steal the El Camino after force was used.</w:t>
      </w:r>
      <w:r w:rsidR="00151723" w:rsidRPr="00570320">
        <w:rPr>
          <w:szCs w:val="26"/>
        </w:rPr>
        <w:t xml:space="preserve"> </w:t>
      </w:r>
    </w:p>
    <w:p w14:paraId="4B2FBCE3" w14:textId="5F5959C5" w:rsidR="00A45B42" w:rsidRPr="00A7631D" w:rsidRDefault="00120986" w:rsidP="002D2ED1">
      <w:pPr>
        <w:ind w:firstLine="720"/>
      </w:pPr>
      <w:r w:rsidRPr="00A7631D">
        <w:t>Wilson</w:t>
      </w:r>
      <w:r w:rsidR="00EF2B9B" w:rsidRPr="00A7631D">
        <w:t xml:space="preserve"> claims Brown saw someone driving the El Camino only after the </w:t>
      </w:r>
      <w:r w:rsidR="00EC55D4" w:rsidRPr="00A7631D">
        <w:t>car wash</w:t>
      </w:r>
      <w:r w:rsidR="00EF2B9B" w:rsidRPr="00A7631D">
        <w:t xml:space="preserve"> assault had concluded.  From this evidence, he argues it is reasonable to surmise the intent to steal the El Camino was formulated only after the assault, as he </w:t>
      </w:r>
      <w:r w:rsidR="00EF2B9B" w:rsidRPr="00A7631D">
        <w:lastRenderedPageBreak/>
        <w:t>wished to use the car as a getaway vehicle.  He argues this inference is particularly reasonable in light of the large number of shots fired</w:t>
      </w:r>
      <w:r w:rsidR="00A50C31" w:rsidRPr="00A7631D">
        <w:t xml:space="preserve"> and</w:t>
      </w:r>
      <w:r w:rsidR="00EF2B9B" w:rsidRPr="00A7631D">
        <w:t xml:space="preserve"> the presence of witnesses.  </w:t>
      </w:r>
      <w:r w:rsidRPr="00A7631D">
        <w:t>Wilson</w:t>
      </w:r>
      <w:r w:rsidR="00EF2B9B" w:rsidRPr="00A7631D">
        <w:t xml:space="preserve"> argues he could have anticipated a significant police response, and Bowie’s testimony that he heard sirens and saw police at the </w:t>
      </w:r>
      <w:r w:rsidR="00EC55D4" w:rsidRPr="00A7631D">
        <w:t>car wash</w:t>
      </w:r>
      <w:r w:rsidR="00EF2B9B" w:rsidRPr="00A7631D">
        <w:t xml:space="preserve"> </w:t>
      </w:r>
      <w:r w:rsidR="002C7998" w:rsidRPr="00A7631D">
        <w:t>quickly</w:t>
      </w:r>
      <w:r w:rsidR="00EF2B9B" w:rsidRPr="00A7631D">
        <w:t xml:space="preserve"> following the shooting confirm</w:t>
      </w:r>
      <w:r w:rsidR="00063CAA" w:rsidRPr="00A7631D">
        <w:t>s</w:t>
      </w:r>
      <w:r w:rsidR="00EF2B9B" w:rsidRPr="00A7631D">
        <w:t xml:space="preserve"> that </w:t>
      </w:r>
      <w:r w:rsidRPr="00A7631D">
        <w:t>Wilson</w:t>
      </w:r>
      <w:r w:rsidR="00EF2B9B" w:rsidRPr="00A7631D">
        <w:t>’s concern was well founded.</w:t>
      </w:r>
      <w:r w:rsidR="008C352F" w:rsidRPr="00A7631D">
        <w:t xml:space="preserve">  </w:t>
      </w:r>
      <w:r w:rsidRPr="00A7631D">
        <w:t>Wilson</w:t>
      </w:r>
      <w:r w:rsidR="00932CD0" w:rsidRPr="00A7631D">
        <w:t xml:space="preserve"> further argue</w:t>
      </w:r>
      <w:r w:rsidR="00EF143E" w:rsidRPr="00A7631D">
        <w:t>s</w:t>
      </w:r>
      <w:r w:rsidR="00932CD0" w:rsidRPr="00A7631D">
        <w:t xml:space="preserve"> that the decision to burn the car immediately following its use also suggests no intent could have been formed prior to the violent act because there was no intent to sell it or its component parts.  </w:t>
      </w:r>
    </w:p>
    <w:p w14:paraId="68E14E51" w14:textId="61A76DC2" w:rsidR="00F60BCD" w:rsidRPr="00A7631D" w:rsidRDefault="00120986" w:rsidP="002D2ED1">
      <w:pPr>
        <w:ind w:firstLine="720"/>
      </w:pPr>
      <w:r w:rsidRPr="00A7631D">
        <w:t>Wilson</w:t>
      </w:r>
      <w:r w:rsidR="00932CD0" w:rsidRPr="00A7631D">
        <w:t xml:space="preserve">’s claim </w:t>
      </w:r>
      <w:r w:rsidR="00B1309F" w:rsidRPr="00A7631D">
        <w:t>lacks merit</w:t>
      </w:r>
      <w:r w:rsidR="001905CA" w:rsidRPr="00A7631D">
        <w:t xml:space="preserve">.  Here, </w:t>
      </w:r>
      <w:r w:rsidR="005D4734" w:rsidRPr="00A7631D">
        <w:t xml:space="preserve">little if any evidence </w:t>
      </w:r>
      <w:r w:rsidR="001905CA" w:rsidRPr="00A7631D">
        <w:t>suggest</w:t>
      </w:r>
      <w:r w:rsidR="00546DA9">
        <w:t>s</w:t>
      </w:r>
      <w:r w:rsidR="001905CA" w:rsidRPr="00A7631D">
        <w:t xml:space="preserve"> </w:t>
      </w:r>
      <w:r w:rsidR="00676F1C" w:rsidRPr="00A7631D">
        <w:t>Wilson “formed the intent to steal only after shooting” the victims.  (</w:t>
      </w:r>
      <w:r w:rsidR="00676F1C" w:rsidRPr="00A7631D">
        <w:rPr>
          <w:i/>
          <w:iCs/>
        </w:rPr>
        <w:t>People v. Powell</w:t>
      </w:r>
      <w:r w:rsidR="00FE3170" w:rsidRPr="00A7631D">
        <w:t xml:space="preserve">, </w:t>
      </w:r>
      <w:r w:rsidR="00FE3170" w:rsidRPr="00A7631D">
        <w:rPr>
          <w:i/>
          <w:iCs/>
        </w:rPr>
        <w:t>supra</w:t>
      </w:r>
      <w:r w:rsidR="00FE3170" w:rsidRPr="00A7631D">
        <w:t>,</w:t>
      </w:r>
      <w:r w:rsidR="00676F1C" w:rsidRPr="00A7631D">
        <w:t xml:space="preserve"> 6 Cal.5th </w:t>
      </w:r>
      <w:r w:rsidR="00FE3170" w:rsidRPr="00A7631D">
        <w:t>at p.</w:t>
      </w:r>
      <w:r w:rsidR="00676F1C" w:rsidRPr="00A7631D">
        <w:t xml:space="preserve"> 165</w:t>
      </w:r>
      <w:r w:rsidR="008B2B4B" w:rsidRPr="00A7631D">
        <w:t xml:space="preserve">; see also </w:t>
      </w:r>
      <w:r w:rsidR="008B2B4B" w:rsidRPr="00A7631D">
        <w:rPr>
          <w:i/>
          <w:iCs/>
          <w:szCs w:val="26"/>
        </w:rPr>
        <w:t>People v. Valdez</w:t>
      </w:r>
      <w:r w:rsidR="008B2B4B" w:rsidRPr="00A7631D">
        <w:rPr>
          <w:szCs w:val="26"/>
        </w:rPr>
        <w:t xml:space="preserve">, </w:t>
      </w:r>
      <w:r w:rsidR="008B2B4B" w:rsidRPr="00A7631D">
        <w:rPr>
          <w:i/>
          <w:iCs/>
          <w:szCs w:val="26"/>
        </w:rPr>
        <w:t>supra</w:t>
      </w:r>
      <w:r w:rsidR="008B2B4B" w:rsidRPr="00A7631D">
        <w:rPr>
          <w:szCs w:val="26"/>
        </w:rPr>
        <w:t>, 32 Cal.4th at p. 115 [“</w:t>
      </w:r>
      <w:r w:rsidR="00DD7743">
        <w:rPr>
          <w:szCs w:val="26"/>
        </w:rPr>
        <w:t> </w:t>
      </w:r>
      <w:r w:rsidR="008B2B4B" w:rsidRPr="00A7631D">
        <w:rPr>
          <w:szCs w:val="26"/>
        </w:rPr>
        <w:t>‘</w:t>
      </w:r>
      <w:r w:rsidR="00DD7743">
        <w:rPr>
          <w:szCs w:val="26"/>
        </w:rPr>
        <w:t> </w:t>
      </w:r>
      <w:r w:rsidR="008B2B4B" w:rsidRPr="00A7631D">
        <w:rPr>
          <w:szCs w:val="26"/>
        </w:rPr>
        <w:t>“giving instructions on lesser included offenses [is warranted] when the evidence raises a question as to whether all of the elements of the charged offense were present [citation], but not when there is no evidence that the offense was less than that charged.  [Citations.]”</w:t>
      </w:r>
      <w:r w:rsidR="00005707">
        <w:rPr>
          <w:szCs w:val="26"/>
        </w:rPr>
        <w:t> </w:t>
      </w:r>
      <w:r w:rsidR="008B2B4B" w:rsidRPr="00A7631D">
        <w:rPr>
          <w:szCs w:val="26"/>
        </w:rPr>
        <w:t>’</w:t>
      </w:r>
      <w:r w:rsidR="00005707">
        <w:rPr>
          <w:szCs w:val="26"/>
        </w:rPr>
        <w:t> </w:t>
      </w:r>
      <w:r w:rsidR="008B2B4B" w:rsidRPr="00A7631D">
        <w:rPr>
          <w:szCs w:val="26"/>
        </w:rPr>
        <w:t>”]</w:t>
      </w:r>
      <w:r w:rsidR="00676F1C" w:rsidRPr="00A7631D">
        <w:t>.)</w:t>
      </w:r>
      <w:r w:rsidR="005D4734" w:rsidRPr="00A7631D">
        <w:t xml:space="preserve">  </w:t>
      </w:r>
      <w:r w:rsidR="00151723">
        <w:t>Overwhelming</w:t>
      </w:r>
      <w:r w:rsidR="00151723" w:rsidRPr="00A7631D">
        <w:t xml:space="preserve"> </w:t>
      </w:r>
      <w:r w:rsidR="006A2DA7" w:rsidRPr="00A7631D">
        <w:t xml:space="preserve">evidence </w:t>
      </w:r>
      <w:r w:rsidR="00546DA9">
        <w:t>supports the conclusion that</w:t>
      </w:r>
      <w:r w:rsidR="00546DA9" w:rsidRPr="00A7631D">
        <w:t xml:space="preserve"> </w:t>
      </w:r>
      <w:r w:rsidR="00634DC5" w:rsidRPr="00A7631D">
        <w:t>Wilson</w:t>
      </w:r>
      <w:r w:rsidR="00A315F6" w:rsidRPr="00A7631D">
        <w:t xml:space="preserve"> and his accompli</w:t>
      </w:r>
      <w:r w:rsidR="00634DC5" w:rsidRPr="00A7631D">
        <w:t>ce</w:t>
      </w:r>
      <w:r w:rsidR="00A315F6" w:rsidRPr="00A7631D">
        <w:t xml:space="preserve"> formed the </w:t>
      </w:r>
      <w:r w:rsidR="00271717" w:rsidRPr="00A7631D">
        <w:t>intent to steal the</w:t>
      </w:r>
      <w:r w:rsidR="006A2DA7" w:rsidRPr="00A7631D">
        <w:t xml:space="preserve"> El Camino prior to entering the </w:t>
      </w:r>
      <w:r w:rsidR="00EC55D4" w:rsidRPr="00A7631D">
        <w:t>car wash</w:t>
      </w:r>
      <w:r w:rsidR="006A2DA7" w:rsidRPr="00A7631D">
        <w:t xml:space="preserve">.  </w:t>
      </w:r>
      <w:r w:rsidRPr="00A7631D">
        <w:t>Wilson</w:t>
      </w:r>
      <w:r w:rsidR="006A2DA7" w:rsidRPr="00A7631D">
        <w:t xml:space="preserve"> waited in his car, armed, for some time before entering the building.  </w:t>
      </w:r>
      <w:r w:rsidR="004A5207" w:rsidRPr="00A7631D">
        <w:t>The</w:t>
      </w:r>
      <w:r w:rsidR="006A2DA7" w:rsidRPr="00A7631D">
        <w:t xml:space="preserve"> El Camino </w:t>
      </w:r>
      <w:r w:rsidR="009F0BD1" w:rsidRPr="00A7631D">
        <w:t xml:space="preserve">pulled into the </w:t>
      </w:r>
      <w:r w:rsidR="00DB6439" w:rsidRPr="00A7631D">
        <w:t xml:space="preserve">Wheels </w:t>
      </w:r>
      <w:r w:rsidR="001B2FBC">
        <w:t>’</w:t>
      </w:r>
      <w:r w:rsidR="00983BD9">
        <w:t>N</w:t>
      </w:r>
      <w:r w:rsidR="00DB6439" w:rsidRPr="00A7631D">
        <w:t xml:space="preserve"> Stuff</w:t>
      </w:r>
      <w:r w:rsidR="009F0BD1" w:rsidRPr="00A7631D">
        <w:t xml:space="preserve"> parking lot</w:t>
      </w:r>
      <w:r w:rsidR="004A5207" w:rsidRPr="00A7631D">
        <w:t>, at which point</w:t>
      </w:r>
      <w:r w:rsidR="00755258" w:rsidRPr="00A7631D">
        <w:t xml:space="preserve"> </w:t>
      </w:r>
      <w:r w:rsidR="00334269" w:rsidRPr="00A7631D">
        <w:t>Wilson</w:t>
      </w:r>
      <w:r w:rsidR="00755258" w:rsidRPr="00A7631D">
        <w:t xml:space="preserve"> and Pops force</w:t>
      </w:r>
      <w:r w:rsidR="004A5207" w:rsidRPr="00A7631D">
        <w:t>d</w:t>
      </w:r>
      <w:r w:rsidR="00755258" w:rsidRPr="00A7631D">
        <w:t xml:space="preserve"> Bowie into the building</w:t>
      </w:r>
      <w:r w:rsidR="00593420" w:rsidRPr="00A7631D">
        <w:t xml:space="preserve"> at gunpoint</w:t>
      </w:r>
      <w:r w:rsidR="004A5207" w:rsidRPr="00A7631D">
        <w:t xml:space="preserve">.  Once inside, they ensured Bowie’s silence until Dunn had entered the building, then </w:t>
      </w:r>
      <w:r w:rsidR="00755258" w:rsidRPr="00A7631D">
        <w:t>demand</w:t>
      </w:r>
      <w:r w:rsidR="004A5207" w:rsidRPr="00A7631D">
        <w:t>ed</w:t>
      </w:r>
      <w:r w:rsidR="006A2DA7" w:rsidRPr="00A7631D">
        <w:t xml:space="preserve"> the building’s occupants</w:t>
      </w:r>
      <w:r w:rsidR="004A5207" w:rsidRPr="00A7631D">
        <w:t xml:space="preserve"> — including Dunn —</w:t>
      </w:r>
      <w:r w:rsidR="006A2DA7" w:rsidRPr="00A7631D">
        <w:t xml:space="preserve"> </w:t>
      </w:r>
      <w:r w:rsidR="00593420" w:rsidRPr="00A7631D">
        <w:t>lay on</w:t>
      </w:r>
      <w:r w:rsidR="006A2DA7" w:rsidRPr="00A7631D">
        <w:t xml:space="preserve"> the ground</w:t>
      </w:r>
      <w:r w:rsidR="004A5207" w:rsidRPr="00A7631D">
        <w:t>.  At this point they</w:t>
      </w:r>
      <w:r w:rsidR="006A2DA7" w:rsidRPr="00A7631D">
        <w:t xml:space="preserve"> ask</w:t>
      </w:r>
      <w:r w:rsidR="004A5207" w:rsidRPr="00A7631D">
        <w:t>ed</w:t>
      </w:r>
      <w:r w:rsidR="006A2DA7" w:rsidRPr="00A7631D">
        <w:t xml:space="preserve"> where the money and “shit” were kept</w:t>
      </w:r>
      <w:r w:rsidR="004A5207" w:rsidRPr="00A7631D">
        <w:t xml:space="preserve">, shot the victims, took money and marijuana, and </w:t>
      </w:r>
      <w:r w:rsidR="0074694E">
        <w:t>—</w:t>
      </w:r>
      <w:r w:rsidR="00400738" w:rsidRPr="00A7631D">
        <w:t xml:space="preserve"> although it is not clear whether or how the keys to the El Camino were obtained — Wilson then </w:t>
      </w:r>
      <w:r w:rsidR="004A5207" w:rsidRPr="00A7631D">
        <w:t>stole the El Camino</w:t>
      </w:r>
      <w:r w:rsidR="006A2DA7" w:rsidRPr="00A7631D">
        <w:t>.</w:t>
      </w:r>
      <w:r w:rsidR="004A5207" w:rsidRPr="00A7631D">
        <w:t xml:space="preserve">  After the robbery,</w:t>
      </w:r>
      <w:r w:rsidR="006A2DA7" w:rsidRPr="00A7631D">
        <w:t xml:space="preserve"> </w:t>
      </w:r>
      <w:r w:rsidR="005169D5" w:rsidRPr="00A7631D">
        <w:lastRenderedPageBreak/>
        <w:t>Pops retained the El Camino’s rims</w:t>
      </w:r>
      <w:r w:rsidR="00962CC4" w:rsidRPr="00A7631D">
        <w:t>, and installed them on his Camaro</w:t>
      </w:r>
      <w:r w:rsidR="005169D5" w:rsidRPr="00A7631D">
        <w:t xml:space="preserve">.  </w:t>
      </w:r>
    </w:p>
    <w:p w14:paraId="6852F5BD" w14:textId="629C4286" w:rsidR="00E23E10" w:rsidRPr="00A7631D" w:rsidRDefault="00272B12" w:rsidP="00A7631D">
      <w:pPr>
        <w:ind w:firstLine="720"/>
      </w:pPr>
      <w:r w:rsidRPr="00A7631D">
        <w:t>Wilson</w:t>
      </w:r>
      <w:r w:rsidR="005169D5" w:rsidRPr="00A7631D">
        <w:t xml:space="preserve"> </w:t>
      </w:r>
      <w:r w:rsidR="00FF6E65" w:rsidRPr="00A7631D">
        <w:t>argues</w:t>
      </w:r>
      <w:r w:rsidR="005169D5" w:rsidRPr="00A7631D">
        <w:t xml:space="preserve"> there was no evidence </w:t>
      </w:r>
      <w:r w:rsidR="00F60BCD" w:rsidRPr="00A7631D">
        <w:t xml:space="preserve">that </w:t>
      </w:r>
      <w:r w:rsidR="005169D5" w:rsidRPr="00A7631D">
        <w:t xml:space="preserve">Pops knew </w:t>
      </w:r>
      <w:r w:rsidRPr="00A7631D">
        <w:t xml:space="preserve">about the El Camino or its rims </w:t>
      </w:r>
      <w:r w:rsidR="005169D5" w:rsidRPr="00A7631D">
        <w:t xml:space="preserve">prior to the incident at the </w:t>
      </w:r>
      <w:r w:rsidR="00EC55D4" w:rsidRPr="00A7631D">
        <w:t>car wash</w:t>
      </w:r>
      <w:r w:rsidR="004A5207" w:rsidRPr="00A7631D">
        <w:t xml:space="preserve">, and </w:t>
      </w:r>
      <w:r w:rsidR="008B6534" w:rsidRPr="00A7631D">
        <w:t xml:space="preserve">merely </w:t>
      </w:r>
      <w:r w:rsidR="004A5207" w:rsidRPr="00A7631D">
        <w:t xml:space="preserve">stole the car as a convenient getaway vehicle.  </w:t>
      </w:r>
      <w:r w:rsidR="00733E6D" w:rsidRPr="00A7631D">
        <w:t xml:space="preserve">While </w:t>
      </w:r>
      <w:r w:rsidR="00E64F9B">
        <w:t xml:space="preserve">it’s conceivable </w:t>
      </w:r>
      <w:r w:rsidR="00F34F35" w:rsidRPr="00A7631D">
        <w:t>that Wilson and Pops decided to flee the scene in different cars and the El Camino’s theft was merely opportunistic</w:t>
      </w:r>
      <w:r w:rsidR="00604F63" w:rsidRPr="00A7631D">
        <w:t>,</w:t>
      </w:r>
      <w:r w:rsidR="00167F2D">
        <w:t xml:space="preserve"> at least</w:t>
      </w:r>
      <w:r w:rsidR="00604F63" w:rsidRPr="00A7631D">
        <w:t xml:space="preserve"> t</w:t>
      </w:r>
      <w:r w:rsidR="008B6534" w:rsidRPr="00A7631D">
        <w:t xml:space="preserve">wo </w:t>
      </w:r>
      <w:r w:rsidR="00604F63" w:rsidRPr="00A7631D">
        <w:t xml:space="preserve">points </w:t>
      </w:r>
      <w:r w:rsidR="008B6534" w:rsidRPr="00A7631D">
        <w:t xml:space="preserve">undermine this </w:t>
      </w:r>
      <w:r w:rsidR="00604F63" w:rsidRPr="00A7631D">
        <w:t>theory</w:t>
      </w:r>
      <w:r w:rsidR="00C81D0F" w:rsidRPr="00A7631D">
        <w:t xml:space="preserve">. </w:t>
      </w:r>
      <w:r w:rsidR="00EA10DD" w:rsidRPr="00A7631D">
        <w:t xml:space="preserve"> </w:t>
      </w:r>
    </w:p>
    <w:p w14:paraId="1BA8436D" w14:textId="3BE90C94" w:rsidR="00334269" w:rsidRPr="00A7631D" w:rsidRDefault="004A5207" w:rsidP="009B2259">
      <w:pPr>
        <w:ind w:firstLine="720"/>
      </w:pPr>
      <w:r w:rsidRPr="00A7631D">
        <w:t>First, even if Wilson and Pops did not know about the El Camino and its specialized rims before they drove</w:t>
      </w:r>
      <w:r w:rsidR="00BB0832" w:rsidRPr="00A7631D">
        <w:t xml:space="preserve"> to Wheels </w:t>
      </w:r>
      <w:r w:rsidR="003C0E5E">
        <w:t>’</w:t>
      </w:r>
      <w:r w:rsidR="00983BD9">
        <w:t>N</w:t>
      </w:r>
      <w:r w:rsidR="00BB0832" w:rsidRPr="00A7631D">
        <w:t xml:space="preserve"> Stuff,</w:t>
      </w:r>
      <w:r w:rsidR="00EA10DD" w:rsidRPr="00A7631D">
        <w:t xml:space="preserve"> a jury could easily conclude</w:t>
      </w:r>
      <w:r w:rsidR="005376C6" w:rsidRPr="00A7631D">
        <w:t xml:space="preserve"> the intent to steal the </w:t>
      </w:r>
      <w:r w:rsidR="00BB0832" w:rsidRPr="00A7631D">
        <w:t>car —</w:t>
      </w:r>
      <w:r w:rsidR="005376C6" w:rsidRPr="00A7631D">
        <w:t xml:space="preserve"> once </w:t>
      </w:r>
      <w:r w:rsidR="00BB0832" w:rsidRPr="00A7631D">
        <w:t>they were</w:t>
      </w:r>
      <w:r w:rsidR="005376C6" w:rsidRPr="00A7631D">
        <w:t xml:space="preserve"> aware of it</w:t>
      </w:r>
      <w:r w:rsidR="00BB0832" w:rsidRPr="00A7631D">
        <w:t xml:space="preserve"> —</w:t>
      </w:r>
      <w:r w:rsidR="005376C6" w:rsidRPr="00A7631D">
        <w:t xml:space="preserve"> was formed prior to the murders</w:t>
      </w:r>
      <w:r w:rsidR="00EA10DD" w:rsidRPr="00A7631D">
        <w:t xml:space="preserve">.  </w:t>
      </w:r>
      <w:r w:rsidR="00BB0832" w:rsidRPr="00A7631D">
        <w:t xml:space="preserve">A jury could </w:t>
      </w:r>
      <w:r w:rsidR="00646726" w:rsidRPr="00A7631D">
        <w:t xml:space="preserve">so </w:t>
      </w:r>
      <w:r w:rsidR="008B6534" w:rsidRPr="00A7631D">
        <w:t>infer</w:t>
      </w:r>
      <w:r w:rsidR="00BB0832" w:rsidRPr="00A7631D">
        <w:t xml:space="preserve"> from </w:t>
      </w:r>
      <w:r w:rsidR="00693B92" w:rsidRPr="00A7631D">
        <w:t xml:space="preserve">how </w:t>
      </w:r>
      <w:r w:rsidR="00BB0832" w:rsidRPr="00A7631D">
        <w:t xml:space="preserve">Pops </w:t>
      </w:r>
      <w:r w:rsidR="00D2601B" w:rsidRPr="00A7631D">
        <w:t>used</w:t>
      </w:r>
      <w:r w:rsidR="00693B92" w:rsidRPr="00A7631D">
        <w:t xml:space="preserve"> the rims</w:t>
      </w:r>
      <w:r w:rsidR="00D2601B" w:rsidRPr="00A7631D">
        <w:t xml:space="preserve"> after the shooting</w:t>
      </w:r>
      <w:r w:rsidR="00BB0832" w:rsidRPr="00A7631D">
        <w:t>.  The</w:t>
      </w:r>
      <w:r w:rsidR="005435C1" w:rsidRPr="00A7631D">
        <w:t xml:space="preserve"> El Camino’s</w:t>
      </w:r>
      <w:r w:rsidR="00EA10DD" w:rsidRPr="00A7631D">
        <w:t xml:space="preserve"> rims would not have fit most </w:t>
      </w:r>
      <w:r w:rsidR="004C6AF5" w:rsidRPr="00A7631D">
        <w:t>tires</w:t>
      </w:r>
      <w:r w:rsidR="00EA10DD" w:rsidRPr="00A7631D">
        <w:t xml:space="preserve">, having been manufactured for use with a Camaro, and requiring special modification </w:t>
      </w:r>
      <w:r w:rsidR="004C6AF5" w:rsidRPr="00A7631D">
        <w:t>to be placed on an El Camino, as Dunn had done</w:t>
      </w:r>
      <w:r w:rsidR="005169D5" w:rsidRPr="00A7631D">
        <w:t xml:space="preserve">. </w:t>
      </w:r>
      <w:r w:rsidR="00697AE3" w:rsidRPr="00A7631D">
        <w:t xml:space="preserve"> </w:t>
      </w:r>
      <w:r w:rsidR="00BB0832" w:rsidRPr="00A7631D">
        <w:t>The evidence suggested Pops was interested in obtaining the</w:t>
      </w:r>
      <w:r w:rsidR="00697AE3" w:rsidRPr="00A7631D">
        <w:t xml:space="preserve"> rims</w:t>
      </w:r>
      <w:r w:rsidR="00BB0832" w:rsidRPr="00A7631D">
        <w:t>,</w:t>
      </w:r>
      <w:r w:rsidR="00697AE3" w:rsidRPr="00A7631D">
        <w:t xml:space="preserve"> as </w:t>
      </w:r>
      <w:r w:rsidR="005435C1" w:rsidRPr="00A7631D">
        <w:t>he</w:t>
      </w:r>
      <w:r w:rsidR="00697AE3" w:rsidRPr="00A7631D">
        <w:t xml:space="preserve"> immediately </w:t>
      </w:r>
      <w:r w:rsidR="00F1744F" w:rsidRPr="00A7631D">
        <w:t>added them to</w:t>
      </w:r>
      <w:r w:rsidR="00697AE3" w:rsidRPr="00A7631D">
        <w:t xml:space="preserve"> his car</w:t>
      </w:r>
      <w:r w:rsidR="00BB0832" w:rsidRPr="00A7631D">
        <w:t>, the only other make of car on which the rims would have fit</w:t>
      </w:r>
      <w:r w:rsidR="00F1744F" w:rsidRPr="00A7631D">
        <w:t>.</w:t>
      </w:r>
      <w:r w:rsidR="00BB0832" w:rsidRPr="00A7631D">
        <w:t xml:space="preserve">  </w:t>
      </w:r>
      <w:r w:rsidR="00334269" w:rsidRPr="00A7631D">
        <w:t xml:space="preserve">Moreover, </w:t>
      </w:r>
      <w:proofErr w:type="spellStart"/>
      <w:r w:rsidR="00BB0832" w:rsidRPr="00A7631D">
        <w:t>Pops’</w:t>
      </w:r>
      <w:r w:rsidR="00691D1D" w:rsidRPr="00A7631D">
        <w:t>s</w:t>
      </w:r>
      <w:proofErr w:type="spellEnd"/>
      <w:r w:rsidR="00BB0832" w:rsidRPr="00A7631D">
        <w:t xml:space="preserve"> Camaro already had</w:t>
      </w:r>
      <w:r w:rsidR="00697AE3" w:rsidRPr="00A7631D">
        <w:t xml:space="preserve"> </w:t>
      </w:r>
      <w:r w:rsidR="00225372" w:rsidRPr="00A7631D">
        <w:t xml:space="preserve">custom </w:t>
      </w:r>
      <w:r w:rsidR="00697AE3" w:rsidRPr="00A7631D">
        <w:t xml:space="preserve">rims that matched </w:t>
      </w:r>
      <w:r w:rsidR="00BB0832" w:rsidRPr="00A7631D">
        <w:t>the car’s</w:t>
      </w:r>
      <w:r w:rsidR="00697AE3" w:rsidRPr="00A7631D">
        <w:t xml:space="preserve"> </w:t>
      </w:r>
      <w:r w:rsidR="00910010" w:rsidRPr="00A7631D">
        <w:t>exterior paint</w:t>
      </w:r>
      <w:r w:rsidR="00225372" w:rsidRPr="00A7631D">
        <w:t xml:space="preserve"> color</w:t>
      </w:r>
      <w:r w:rsidR="00334269" w:rsidRPr="00A7631D">
        <w:t>, suggesting he valued the IROC rims above those already on his car</w:t>
      </w:r>
      <w:r w:rsidR="00BB0832" w:rsidRPr="00A7631D">
        <w:t xml:space="preserve">.  </w:t>
      </w:r>
      <w:r w:rsidR="00334269" w:rsidRPr="00A7631D">
        <w:t xml:space="preserve">A drawing of </w:t>
      </w:r>
      <w:proofErr w:type="spellStart"/>
      <w:r w:rsidR="00334269" w:rsidRPr="00A7631D">
        <w:t>Pops’s</w:t>
      </w:r>
      <w:proofErr w:type="spellEnd"/>
      <w:r w:rsidR="00334269" w:rsidRPr="00A7631D">
        <w:t xml:space="preserve"> Camaro sporting the prized IROC rims was found in Wilson’s home after the crime.  This evidence</w:t>
      </w:r>
      <w:r w:rsidR="00BB0832" w:rsidRPr="00A7631D">
        <w:t xml:space="preserve"> </w:t>
      </w:r>
      <w:r w:rsidR="00F1744F" w:rsidRPr="00A7631D">
        <w:t>suggests</w:t>
      </w:r>
      <w:r w:rsidR="009122F8" w:rsidRPr="00A7631D">
        <w:t xml:space="preserve"> the car was taken not sim</w:t>
      </w:r>
      <w:r w:rsidRPr="00A7631D">
        <w:t>p</w:t>
      </w:r>
      <w:r w:rsidR="009122F8" w:rsidRPr="00A7631D">
        <w:t>ly as a convenient getaway</w:t>
      </w:r>
      <w:r w:rsidR="00BB0832" w:rsidRPr="00A7631D">
        <w:t>, but because Pops and Wilson valued it</w:t>
      </w:r>
      <w:r w:rsidR="009122F8" w:rsidRPr="00A7631D">
        <w:t>.</w:t>
      </w:r>
      <w:r w:rsidR="00BB0832" w:rsidRPr="00A7631D">
        <w:t xml:space="preserve">  </w:t>
      </w:r>
    </w:p>
    <w:p w14:paraId="7BB5945B" w14:textId="76302867" w:rsidR="006A2DA7" w:rsidRPr="00A7631D" w:rsidRDefault="00334269" w:rsidP="009B2259">
      <w:pPr>
        <w:ind w:firstLine="720"/>
      </w:pPr>
      <w:r w:rsidRPr="00A7631D">
        <w:t>Second, Wilson’s</w:t>
      </w:r>
      <w:r w:rsidR="006A2DA7" w:rsidRPr="00A7631D">
        <w:t xml:space="preserve"> theory that the El Camino was stolen only after the </w:t>
      </w:r>
      <w:r w:rsidR="00B307C6" w:rsidRPr="00A7631D">
        <w:t>shootings</w:t>
      </w:r>
      <w:r w:rsidR="006A2DA7" w:rsidRPr="00A7631D">
        <w:t xml:space="preserve"> for use as a getaway car</w:t>
      </w:r>
      <w:r w:rsidR="0072411F" w:rsidRPr="00A7631D">
        <w:t xml:space="preserve"> also</w:t>
      </w:r>
      <w:r w:rsidR="006A2DA7" w:rsidRPr="00A7631D">
        <w:t xml:space="preserve"> seems </w:t>
      </w:r>
      <w:r w:rsidR="00293699" w:rsidRPr="00A7631D">
        <w:t>unlikely</w:t>
      </w:r>
      <w:r w:rsidR="006A2DA7" w:rsidRPr="00A7631D">
        <w:t xml:space="preserve"> because </w:t>
      </w:r>
      <w:r w:rsidRPr="00A7631D">
        <w:t>Pops and Wilson</w:t>
      </w:r>
      <w:r w:rsidR="006A2DA7" w:rsidRPr="00A7631D">
        <w:t xml:space="preserve"> arrived </w:t>
      </w:r>
      <w:r w:rsidR="009F3073" w:rsidRPr="00A7631D">
        <w:t>at</w:t>
      </w:r>
      <w:r w:rsidR="006A2DA7" w:rsidRPr="00A7631D">
        <w:t xml:space="preserve"> the </w:t>
      </w:r>
      <w:r w:rsidR="00EC55D4" w:rsidRPr="00A7631D">
        <w:t>car wash</w:t>
      </w:r>
      <w:r w:rsidR="00FE62EC" w:rsidRPr="00A7631D">
        <w:t xml:space="preserve"> </w:t>
      </w:r>
      <w:r w:rsidR="006A2DA7" w:rsidRPr="00A7631D">
        <w:t xml:space="preserve">in </w:t>
      </w:r>
      <w:r w:rsidRPr="00A7631D">
        <w:t>their</w:t>
      </w:r>
      <w:r w:rsidR="006A2DA7" w:rsidRPr="00A7631D">
        <w:t xml:space="preserve"> own car</w:t>
      </w:r>
      <w:r w:rsidRPr="00A7631D">
        <w:t>, obviating the need for a getaway vehicle.</w:t>
      </w:r>
      <w:r w:rsidR="00604F63" w:rsidRPr="00A7631D">
        <w:t xml:space="preserve">  Further, we note the El Camino was not the only vehicle at the car wash; </w:t>
      </w:r>
      <w:r w:rsidR="00604F63" w:rsidRPr="00A7631D">
        <w:lastRenderedPageBreak/>
        <w:t xml:space="preserve">Pops and Wilson rummaged through a car parked inside the car wash building </w:t>
      </w:r>
      <w:r w:rsidR="006C6D9C" w:rsidRPr="00A7631D">
        <w:t>but</w:t>
      </w:r>
      <w:r w:rsidR="00725201" w:rsidRPr="00A7631D">
        <w:t xml:space="preserve"> did not take that car — for </w:t>
      </w:r>
      <w:proofErr w:type="gramStart"/>
      <w:r w:rsidR="00725201" w:rsidRPr="00A7631D">
        <w:t>reasons</w:t>
      </w:r>
      <w:proofErr w:type="gramEnd"/>
      <w:r w:rsidR="00725201" w:rsidRPr="00A7631D">
        <w:t xml:space="preserve"> the record does not reflect.</w:t>
      </w:r>
      <w:r w:rsidRPr="00A7631D">
        <w:t xml:space="preserve">  </w:t>
      </w:r>
      <w:r w:rsidR="000563B7" w:rsidRPr="00A7631D">
        <w:t>E.T., one of the men inside the car wash who was not shot, was unable to find his car keys</w:t>
      </w:r>
      <w:r w:rsidR="00B710B0" w:rsidRPr="00A7631D">
        <w:t xml:space="preserve"> after the violence concluded and left the scene with Brown.  </w:t>
      </w:r>
      <w:r w:rsidR="00DB0743" w:rsidRPr="00A7631D">
        <w:t xml:space="preserve">Even if he possessed keys or access to multiple vehicles parked at the car wash, </w:t>
      </w:r>
      <w:r w:rsidR="00725201" w:rsidRPr="00A7631D">
        <w:t xml:space="preserve">Pops did not take </w:t>
      </w:r>
      <w:r w:rsidR="0032634E" w:rsidRPr="00A7631D">
        <w:t>leave the scene using one of those cars.  Instead, he drove away in</w:t>
      </w:r>
      <w:r w:rsidR="00FE62EC" w:rsidRPr="00A7631D">
        <w:t xml:space="preserve"> the same vehicle</w:t>
      </w:r>
      <w:r w:rsidRPr="00A7631D">
        <w:t xml:space="preserve"> </w:t>
      </w:r>
      <w:r w:rsidR="00725201" w:rsidRPr="00A7631D">
        <w:t xml:space="preserve">he </w:t>
      </w:r>
      <w:r w:rsidR="001B5292" w:rsidRPr="00A7631D">
        <w:t>brought to the car wash</w:t>
      </w:r>
      <w:r w:rsidR="00E833CF" w:rsidRPr="00A7631D">
        <w:t>.  Surely</w:t>
      </w:r>
      <w:r w:rsidRPr="00A7631D">
        <w:t xml:space="preserve"> Wilson </w:t>
      </w:r>
      <w:r w:rsidR="00E833CF" w:rsidRPr="00A7631D">
        <w:t>could have done</w:t>
      </w:r>
      <w:r w:rsidRPr="00A7631D">
        <w:t xml:space="preserve"> likewise.</w:t>
      </w:r>
      <w:r w:rsidR="00DF05C1" w:rsidRPr="00A7631D">
        <w:t xml:space="preserve">  </w:t>
      </w:r>
      <w:r w:rsidR="00293699" w:rsidRPr="00A7631D">
        <w:t xml:space="preserve">Accordingly, </w:t>
      </w:r>
      <w:r w:rsidR="001A4819" w:rsidRPr="00A7631D">
        <w:t>we</w:t>
      </w:r>
      <w:r w:rsidR="00293699" w:rsidRPr="00A7631D">
        <w:t xml:space="preserve"> conclude </w:t>
      </w:r>
      <w:r w:rsidR="00151723">
        <w:t>t</w:t>
      </w:r>
      <w:r w:rsidR="00167F2D">
        <w:t xml:space="preserve">he </w:t>
      </w:r>
      <w:r w:rsidR="006A2DA7" w:rsidRPr="00A7631D">
        <w:t>trial court properly did not provide an instruction on the lesser included offense of theft.</w:t>
      </w:r>
      <w:r w:rsidR="00D81DB1" w:rsidRPr="00A7631D">
        <w:t xml:space="preserve">  (</w:t>
      </w:r>
      <w:r w:rsidR="00D81DB1" w:rsidRPr="00A7631D">
        <w:rPr>
          <w:i/>
        </w:rPr>
        <w:t>People v. Friend</w:t>
      </w:r>
      <w:r w:rsidR="00D81DB1" w:rsidRPr="00A7631D">
        <w:t xml:space="preserve"> </w:t>
      </w:r>
      <w:r w:rsidR="00095E1E">
        <w:t xml:space="preserve">(2009) </w:t>
      </w:r>
      <w:r w:rsidR="00D81DB1" w:rsidRPr="00A7631D">
        <w:t xml:space="preserve">47 Cal.4th </w:t>
      </w:r>
      <w:r w:rsidR="00095E1E">
        <w:t>1,</w:t>
      </w:r>
      <w:r w:rsidR="00D81DB1" w:rsidRPr="00A7631D">
        <w:t xml:space="preserve"> 52 [“There was no substantial evidence that defendant formed an intent to steal only after he</w:t>
      </w:r>
      <w:r w:rsidR="00E776EC" w:rsidRPr="00A7631D">
        <w:t> </w:t>
      </w:r>
      <w:r w:rsidR="00D81DB1" w:rsidRPr="00A7631D">
        <w:t>.</w:t>
      </w:r>
      <w:r w:rsidR="00E776EC" w:rsidRPr="00A7631D">
        <w:t> </w:t>
      </w:r>
      <w:r w:rsidR="00D81DB1" w:rsidRPr="00A7631D">
        <w:t>.</w:t>
      </w:r>
      <w:r w:rsidR="00E776EC" w:rsidRPr="00A7631D">
        <w:t> </w:t>
      </w:r>
      <w:r w:rsidR="00D81DB1" w:rsidRPr="00A7631D">
        <w:t>.</w:t>
      </w:r>
      <w:r w:rsidR="00E776EC" w:rsidRPr="00A7631D">
        <w:t> </w:t>
      </w:r>
      <w:r w:rsidR="00D81DB1" w:rsidRPr="00A7631D">
        <w:t>fatally [injured] the victim, and thus no factual predicate for instructing the jury on theft as a lesser included offense”].)</w:t>
      </w:r>
    </w:p>
    <w:p w14:paraId="63340D4F" w14:textId="4277FBF8" w:rsidR="00495E68" w:rsidRPr="00A7631D" w:rsidRDefault="00495E68" w:rsidP="00A7631D">
      <w:pPr>
        <w:pStyle w:val="Heading2"/>
      </w:pPr>
      <w:bookmarkStart w:id="52" w:name="_Toc58846830"/>
      <w:r w:rsidRPr="00A7631D">
        <w:t xml:space="preserve">E. </w:t>
      </w:r>
      <w:r w:rsidR="00251819" w:rsidRPr="00A7631D">
        <w:tab/>
      </w:r>
      <w:r w:rsidRPr="00A7631D">
        <w:t>Guilt Phase Instructional Error Claims</w:t>
      </w:r>
      <w:bookmarkEnd w:id="52"/>
      <w:r w:rsidRPr="00A7631D">
        <w:t xml:space="preserve"> </w:t>
      </w:r>
    </w:p>
    <w:p w14:paraId="5EEF83C3" w14:textId="6E12A5F2" w:rsidR="00495E68" w:rsidRPr="00A7631D" w:rsidRDefault="00495E68" w:rsidP="007A4071">
      <w:pPr>
        <w:rPr>
          <w:rFonts w:cstheme="minorHAnsi"/>
          <w:szCs w:val="26"/>
        </w:rPr>
      </w:pPr>
      <w:r w:rsidRPr="00A7631D">
        <w:rPr>
          <w:rFonts w:cstheme="minorHAnsi"/>
          <w:szCs w:val="26"/>
        </w:rPr>
        <w:tab/>
        <w:t>Wilson contends the related jury instructions, CALJIC Nos. 2.01 and 8.83, undermined the requirement of proof beyond reasonable doubt because they “informed the jurors that if Wilson reasonably appeared to be guilty, they could find him guilty — even if they entertained a reasonable doubt as to guilt.”  We have previously rejected similar challenges to these instructions, and Wilson presents no persuasive reason to do otherwise here.  (</w:t>
      </w:r>
      <w:r w:rsidRPr="00A7631D">
        <w:rPr>
          <w:rFonts w:cstheme="minorHAnsi"/>
          <w:i/>
          <w:szCs w:val="26"/>
        </w:rPr>
        <w:t>People v. Frederickson</w:t>
      </w:r>
      <w:r w:rsidRPr="00A7631D">
        <w:rPr>
          <w:rFonts w:cstheme="minorHAnsi"/>
          <w:szCs w:val="26"/>
        </w:rPr>
        <w:t xml:space="preserve"> (2020) 8 Cal.5th 963, 1019.)</w:t>
      </w:r>
    </w:p>
    <w:p w14:paraId="259EB78B" w14:textId="25C3E89F" w:rsidR="00495E68" w:rsidRPr="00A7631D" w:rsidRDefault="00495E68" w:rsidP="009655C9">
      <w:pPr>
        <w:rPr>
          <w:szCs w:val="26"/>
        </w:rPr>
      </w:pPr>
      <w:r w:rsidRPr="00A7631D">
        <w:rPr>
          <w:rFonts w:cstheme="minorHAnsi"/>
          <w:szCs w:val="26"/>
        </w:rPr>
        <w:tab/>
      </w:r>
      <w:r w:rsidRPr="00A7631D">
        <w:rPr>
          <w:szCs w:val="26"/>
        </w:rPr>
        <w:t xml:space="preserve">Wilson also </w:t>
      </w:r>
      <w:r w:rsidR="00CA6D40">
        <w:rPr>
          <w:szCs w:val="26"/>
        </w:rPr>
        <w:t>posits</w:t>
      </w:r>
      <w:r w:rsidRPr="00A7631D">
        <w:rPr>
          <w:szCs w:val="26"/>
        </w:rPr>
        <w:t xml:space="preserve"> that four other instructions the jury received, CALJIC Nos. 2.21.2, 2.22, 2.27, and 2.51, “magnified the harm” caused by instructing the jury with CALJIC Nos. 2.01 and 8.83 because “the instructions implicitly replaced the ‘reasonable doubt’ standard with the ‘preponderance of evidence’ </w:t>
      </w:r>
      <w:proofErr w:type="gramStart"/>
      <w:r w:rsidRPr="00A7631D">
        <w:rPr>
          <w:szCs w:val="26"/>
        </w:rPr>
        <w:lastRenderedPageBreak/>
        <w:t>test, and</w:t>
      </w:r>
      <w:proofErr w:type="gramEnd"/>
      <w:r w:rsidRPr="00A7631D">
        <w:rPr>
          <w:szCs w:val="26"/>
        </w:rPr>
        <w:t xml:space="preserve"> violated the constitutional prohibition against convicting a capital defendant on any lesser standard of proof.”  As Wilson acknowledges, we have previously rejected this argument, and he advances no persuasive reason to reconsider our prior rejection of substantially similar challenges to these instructions.  Accordingly, we again conclude that CALJIC Nos. 2.21.2, 2.22, 2.27, and 2.51 do not undermine or dilute the reasonable doubt standard.  (</w:t>
      </w:r>
      <w:r w:rsidRPr="00A7631D">
        <w:rPr>
          <w:i/>
          <w:iCs/>
          <w:szCs w:val="26"/>
        </w:rPr>
        <w:t>People v. Beck and Cruz</w:t>
      </w:r>
      <w:r w:rsidRPr="00A7631D">
        <w:rPr>
          <w:szCs w:val="26"/>
        </w:rPr>
        <w:t xml:space="preserve"> (2019) 8 Cal.5th 548, 653–654.)  </w:t>
      </w:r>
    </w:p>
    <w:p w14:paraId="000966E4" w14:textId="1C09ACCB" w:rsidR="001B796C" w:rsidRPr="00A7631D" w:rsidRDefault="001B796C" w:rsidP="009655C9">
      <w:pPr>
        <w:pStyle w:val="Heading2"/>
        <w:numPr>
          <w:ilvl w:val="0"/>
          <w:numId w:val="20"/>
        </w:numPr>
      </w:pPr>
      <w:bookmarkStart w:id="53" w:name="_Toc58846831"/>
      <w:bookmarkStart w:id="54" w:name="_Toc50617047"/>
      <w:r w:rsidRPr="00A7631D">
        <w:t>Sufficiency of Evidence of Hurd Robbery</w:t>
      </w:r>
      <w:bookmarkEnd w:id="53"/>
      <w:r w:rsidRPr="00A7631D">
        <w:t xml:space="preserve"> </w:t>
      </w:r>
      <w:bookmarkEnd w:id="54"/>
    </w:p>
    <w:p w14:paraId="03BCF334" w14:textId="651725D5" w:rsidR="00F1542F" w:rsidRPr="00A7631D" w:rsidRDefault="00120986" w:rsidP="009655C9">
      <w:pPr>
        <w:autoSpaceDE w:val="0"/>
        <w:autoSpaceDN w:val="0"/>
        <w:adjustRightInd w:val="0"/>
        <w:ind w:firstLine="720"/>
        <w:rPr>
          <w:rFonts w:cstheme="minorHAnsi"/>
          <w:i/>
          <w:szCs w:val="26"/>
        </w:rPr>
      </w:pPr>
      <w:r w:rsidRPr="00A7631D">
        <w:rPr>
          <w:rFonts w:cstheme="minorHAnsi"/>
          <w:szCs w:val="26"/>
        </w:rPr>
        <w:t>Wilson</w:t>
      </w:r>
      <w:r w:rsidR="00F1542F" w:rsidRPr="00A7631D">
        <w:rPr>
          <w:rFonts w:cstheme="minorHAnsi"/>
          <w:szCs w:val="26"/>
        </w:rPr>
        <w:t xml:space="preserve"> contends the trial court erred by failing to enter judgment of acquittal of the Hurd robbery because insufficient evidence supported his conviction </w:t>
      </w:r>
      <w:r w:rsidR="00BA23DB">
        <w:rPr>
          <w:rFonts w:cstheme="minorHAnsi"/>
          <w:szCs w:val="26"/>
        </w:rPr>
        <w:t>for</w:t>
      </w:r>
      <w:r w:rsidR="00F1542F" w:rsidRPr="00A7631D">
        <w:rPr>
          <w:rFonts w:cstheme="minorHAnsi"/>
          <w:szCs w:val="26"/>
        </w:rPr>
        <w:t xml:space="preserve"> that offense.  Following our independent review of the evidence, </w:t>
      </w:r>
      <w:r w:rsidR="0001649D" w:rsidRPr="00A7631D">
        <w:rPr>
          <w:rFonts w:cstheme="minorHAnsi"/>
          <w:szCs w:val="26"/>
        </w:rPr>
        <w:t>we</w:t>
      </w:r>
      <w:r w:rsidR="00F1542F" w:rsidRPr="00A7631D">
        <w:rPr>
          <w:rFonts w:cstheme="minorHAnsi"/>
          <w:szCs w:val="26"/>
        </w:rPr>
        <w:t xml:space="preserve"> agree with the trial court’s ruling.</w:t>
      </w:r>
    </w:p>
    <w:p w14:paraId="02CAB21E" w14:textId="1B1259AD" w:rsidR="00F1542F" w:rsidRPr="00A7631D" w:rsidRDefault="00F1542F" w:rsidP="009655C9">
      <w:pPr>
        <w:pStyle w:val="Heading3"/>
        <w:numPr>
          <w:ilvl w:val="0"/>
          <w:numId w:val="6"/>
        </w:numPr>
        <w:tabs>
          <w:tab w:val="clear" w:pos="1584"/>
        </w:tabs>
        <w:ind w:left="1584" w:hanging="432"/>
      </w:pPr>
      <w:bookmarkStart w:id="55" w:name="_Toc58846832"/>
      <w:bookmarkStart w:id="56" w:name="_Toc50617048"/>
      <w:r w:rsidRPr="00A7631D">
        <w:t>Background</w:t>
      </w:r>
      <w:bookmarkEnd w:id="55"/>
      <w:bookmarkEnd w:id="56"/>
      <w:r w:rsidRPr="00A7631D">
        <w:t xml:space="preserve"> </w:t>
      </w:r>
    </w:p>
    <w:p w14:paraId="351FC7B7" w14:textId="5BBDD3DA" w:rsidR="00F1542F" w:rsidRPr="00A7631D" w:rsidRDefault="00F1542F" w:rsidP="009655C9">
      <w:pPr>
        <w:autoSpaceDE w:val="0"/>
        <w:autoSpaceDN w:val="0"/>
        <w:adjustRightInd w:val="0"/>
        <w:ind w:firstLine="720"/>
        <w:rPr>
          <w:szCs w:val="26"/>
        </w:rPr>
      </w:pPr>
      <w:r w:rsidRPr="00A7631D">
        <w:rPr>
          <w:rFonts w:cstheme="minorHAnsi"/>
          <w:szCs w:val="26"/>
        </w:rPr>
        <w:t>Williams and Hurd</w:t>
      </w:r>
      <w:r w:rsidR="00B22410" w:rsidRPr="00A7631D">
        <w:rPr>
          <w:rFonts w:cstheme="minorHAnsi"/>
          <w:szCs w:val="26"/>
        </w:rPr>
        <w:t>, lifelong friends,</w:t>
      </w:r>
      <w:r w:rsidRPr="00A7631D">
        <w:rPr>
          <w:rFonts w:cstheme="minorHAnsi"/>
          <w:szCs w:val="26"/>
        </w:rPr>
        <w:t xml:space="preserve"> co-owned the Wheels </w:t>
      </w:r>
      <w:r w:rsidR="003C0E5E">
        <w:rPr>
          <w:rFonts w:cstheme="minorHAnsi"/>
          <w:szCs w:val="26"/>
        </w:rPr>
        <w:t>’</w:t>
      </w:r>
      <w:r w:rsidR="00983BD9">
        <w:rPr>
          <w:rFonts w:cstheme="minorHAnsi"/>
          <w:szCs w:val="26"/>
        </w:rPr>
        <w:t>N</w:t>
      </w:r>
      <w:r w:rsidRPr="00A7631D">
        <w:rPr>
          <w:rFonts w:cstheme="minorHAnsi"/>
          <w:szCs w:val="26"/>
        </w:rPr>
        <w:t xml:space="preserve"> Stuff </w:t>
      </w:r>
      <w:r w:rsidR="00EC55D4" w:rsidRPr="00A7631D">
        <w:rPr>
          <w:rFonts w:cstheme="minorHAnsi"/>
          <w:szCs w:val="26"/>
        </w:rPr>
        <w:t>car wash</w:t>
      </w:r>
      <w:r w:rsidRPr="00A7631D">
        <w:rPr>
          <w:rFonts w:cstheme="minorHAnsi"/>
          <w:szCs w:val="26"/>
        </w:rPr>
        <w:t xml:space="preserve">.  </w:t>
      </w:r>
      <w:r w:rsidR="000B7E9B" w:rsidRPr="00A7631D">
        <w:rPr>
          <w:rFonts w:cstheme="minorHAnsi"/>
          <w:szCs w:val="26"/>
        </w:rPr>
        <w:t xml:space="preserve">They had both suffered prior convictions of marijuana possession for sale.  </w:t>
      </w:r>
      <w:r w:rsidRPr="00A7631D">
        <w:rPr>
          <w:rFonts w:cstheme="minorHAnsi"/>
          <w:szCs w:val="26"/>
        </w:rPr>
        <w:t>While washing cars was part of the business conducted</w:t>
      </w:r>
      <w:r w:rsidR="000B7E9B" w:rsidRPr="00A7631D">
        <w:rPr>
          <w:rFonts w:cstheme="minorHAnsi"/>
          <w:szCs w:val="26"/>
        </w:rPr>
        <w:t xml:space="preserve"> at Wheels </w:t>
      </w:r>
      <w:r w:rsidR="003C0E5E">
        <w:rPr>
          <w:rFonts w:cstheme="minorHAnsi"/>
          <w:szCs w:val="26"/>
        </w:rPr>
        <w:t>’</w:t>
      </w:r>
      <w:r w:rsidR="00983BD9">
        <w:rPr>
          <w:rFonts w:cstheme="minorHAnsi"/>
          <w:szCs w:val="26"/>
        </w:rPr>
        <w:t>N</w:t>
      </w:r>
      <w:r w:rsidR="000B7E9B" w:rsidRPr="00A7631D">
        <w:rPr>
          <w:rFonts w:cstheme="minorHAnsi"/>
          <w:szCs w:val="26"/>
        </w:rPr>
        <w:t xml:space="preserve"> Stuff</w:t>
      </w:r>
      <w:r w:rsidRPr="00A7631D">
        <w:rPr>
          <w:rFonts w:cstheme="minorHAnsi"/>
          <w:szCs w:val="26"/>
        </w:rPr>
        <w:t xml:space="preserve">, a major part of the business activities included selling marijuana.  </w:t>
      </w:r>
      <w:r w:rsidR="005F5AF5" w:rsidRPr="00A7631D">
        <w:rPr>
          <w:rFonts w:cstheme="minorHAnsi"/>
          <w:szCs w:val="26"/>
        </w:rPr>
        <w:t xml:space="preserve">The building’s rent was paid from marijuana sale proceeds.  </w:t>
      </w:r>
      <w:r w:rsidRPr="00A7631D">
        <w:rPr>
          <w:rFonts w:cstheme="minorHAnsi"/>
          <w:szCs w:val="26"/>
        </w:rPr>
        <w:t xml:space="preserve">Williams testified that marijuana was present at the business on a daily basis.  </w:t>
      </w:r>
      <w:r w:rsidR="007D04D8" w:rsidRPr="00A7631D">
        <w:rPr>
          <w:rFonts w:cstheme="minorHAnsi"/>
          <w:szCs w:val="26"/>
        </w:rPr>
        <w:t xml:space="preserve">The individuals who frequented the shop, both customers and employees, tended to carry large amounts of money — upwards of $10,000. </w:t>
      </w:r>
      <w:r w:rsidR="00386DFE" w:rsidRPr="00A7631D">
        <w:rPr>
          <w:rFonts w:cstheme="minorHAnsi"/>
          <w:szCs w:val="26"/>
        </w:rPr>
        <w:t xml:space="preserve"> </w:t>
      </w:r>
      <w:r w:rsidR="0037174A" w:rsidRPr="00A7631D">
        <w:rPr>
          <w:rFonts w:cstheme="minorHAnsi"/>
          <w:szCs w:val="26"/>
        </w:rPr>
        <w:t xml:space="preserve">When Wilson entered the Wheels </w:t>
      </w:r>
      <w:r w:rsidR="00DA66F4">
        <w:rPr>
          <w:rFonts w:cstheme="minorHAnsi"/>
          <w:szCs w:val="26"/>
        </w:rPr>
        <w:t>’</w:t>
      </w:r>
      <w:r w:rsidR="00983BD9">
        <w:rPr>
          <w:rFonts w:cstheme="minorHAnsi"/>
          <w:szCs w:val="26"/>
        </w:rPr>
        <w:t>N</w:t>
      </w:r>
      <w:r w:rsidR="0037174A" w:rsidRPr="00A7631D">
        <w:rPr>
          <w:rFonts w:cstheme="minorHAnsi"/>
          <w:szCs w:val="26"/>
        </w:rPr>
        <w:t xml:space="preserve"> Stuff on the day of the shooting, he demanded to know the location of money and “shit,” by which he presumably meant drugs.  </w:t>
      </w:r>
      <w:r w:rsidR="008E11FB" w:rsidRPr="00A7631D">
        <w:rPr>
          <w:rFonts w:cstheme="minorHAnsi"/>
          <w:szCs w:val="26"/>
        </w:rPr>
        <w:t xml:space="preserve">  </w:t>
      </w:r>
    </w:p>
    <w:p w14:paraId="223B9D6A" w14:textId="4BD8CFB6" w:rsidR="00B448B9" w:rsidRPr="00A7631D" w:rsidRDefault="00417C95" w:rsidP="009655C9">
      <w:pPr>
        <w:autoSpaceDE w:val="0"/>
        <w:autoSpaceDN w:val="0"/>
        <w:adjustRightInd w:val="0"/>
        <w:rPr>
          <w:rFonts w:cstheme="minorHAnsi"/>
          <w:szCs w:val="26"/>
        </w:rPr>
      </w:pPr>
      <w:r w:rsidRPr="00A7631D">
        <w:rPr>
          <w:rFonts w:cstheme="minorHAnsi"/>
          <w:szCs w:val="26"/>
        </w:rPr>
        <w:tab/>
        <w:t xml:space="preserve">Following </w:t>
      </w:r>
      <w:r w:rsidR="00154541" w:rsidRPr="00A7631D">
        <w:rPr>
          <w:rFonts w:cstheme="minorHAnsi"/>
          <w:szCs w:val="26"/>
        </w:rPr>
        <w:t>presentation of the foregoing evidence during the</w:t>
      </w:r>
      <w:r w:rsidR="00B448B9" w:rsidRPr="00A7631D">
        <w:rPr>
          <w:rFonts w:cstheme="minorHAnsi"/>
          <w:szCs w:val="26"/>
        </w:rPr>
        <w:t xml:space="preserve"> prosecution’s case-in-chief, Wilson </w:t>
      </w:r>
      <w:r w:rsidR="007E430C" w:rsidRPr="00A7631D">
        <w:rPr>
          <w:rFonts w:cstheme="minorHAnsi"/>
          <w:szCs w:val="26"/>
        </w:rPr>
        <w:t xml:space="preserve">unsuccessfully </w:t>
      </w:r>
      <w:r w:rsidR="00B448B9" w:rsidRPr="00A7631D">
        <w:rPr>
          <w:rFonts w:cstheme="minorHAnsi"/>
          <w:szCs w:val="26"/>
        </w:rPr>
        <w:t xml:space="preserve">moved for </w:t>
      </w:r>
      <w:r w:rsidR="00B448B9" w:rsidRPr="00A7631D">
        <w:rPr>
          <w:rFonts w:cstheme="minorHAnsi"/>
          <w:szCs w:val="26"/>
        </w:rPr>
        <w:lastRenderedPageBreak/>
        <w:t>acquittal of the Hurd robbery charge under section 1118.1</w:t>
      </w:r>
      <w:r w:rsidR="007E430C" w:rsidRPr="00A7631D">
        <w:rPr>
          <w:rFonts w:cstheme="minorHAnsi"/>
          <w:szCs w:val="26"/>
        </w:rPr>
        <w:t>, arguing the prosecution failed to present sufficient evidence to support a conviction.</w:t>
      </w:r>
      <w:r w:rsidR="004C4289" w:rsidRPr="00A7631D">
        <w:rPr>
          <w:rFonts w:cstheme="minorHAnsi"/>
          <w:szCs w:val="26"/>
        </w:rPr>
        <w:t xml:space="preserve">  </w:t>
      </w:r>
    </w:p>
    <w:p w14:paraId="4C213F08" w14:textId="77777777" w:rsidR="00F1542F" w:rsidRPr="00A7631D" w:rsidRDefault="00F1542F" w:rsidP="009655C9">
      <w:pPr>
        <w:pStyle w:val="Heading3"/>
        <w:numPr>
          <w:ilvl w:val="0"/>
          <w:numId w:val="6"/>
        </w:numPr>
        <w:tabs>
          <w:tab w:val="clear" w:pos="1584"/>
        </w:tabs>
        <w:ind w:left="1584" w:hanging="432"/>
      </w:pPr>
      <w:bookmarkStart w:id="57" w:name="_Toc58846833"/>
      <w:bookmarkStart w:id="58" w:name="_Toc50617049"/>
      <w:r w:rsidRPr="00A7631D">
        <w:t>Discussion</w:t>
      </w:r>
      <w:bookmarkEnd w:id="57"/>
      <w:bookmarkEnd w:id="58"/>
    </w:p>
    <w:p w14:paraId="327C02A1" w14:textId="21F6E427" w:rsidR="00F1542F" w:rsidRPr="00A7631D" w:rsidRDefault="00F1542F" w:rsidP="009655C9">
      <w:pPr>
        <w:autoSpaceDE w:val="0"/>
        <w:autoSpaceDN w:val="0"/>
        <w:adjustRightInd w:val="0"/>
        <w:rPr>
          <w:rFonts w:cstheme="minorHAnsi"/>
          <w:szCs w:val="26"/>
        </w:rPr>
      </w:pPr>
      <w:r w:rsidRPr="00A7631D">
        <w:rPr>
          <w:rFonts w:cstheme="minorHAnsi"/>
          <w:szCs w:val="26"/>
        </w:rPr>
        <w:tab/>
      </w:r>
      <w:r w:rsidR="00EC4277" w:rsidRPr="00A7631D">
        <w:rPr>
          <w:rFonts w:cstheme="minorHAnsi"/>
          <w:szCs w:val="26"/>
        </w:rPr>
        <w:t xml:space="preserve">When </w:t>
      </w:r>
      <w:r w:rsidR="004D27A2">
        <w:rPr>
          <w:rFonts w:cstheme="minorHAnsi"/>
          <w:szCs w:val="26"/>
        </w:rPr>
        <w:t xml:space="preserve">a </w:t>
      </w:r>
      <w:r w:rsidR="00EC4277" w:rsidRPr="00A7631D">
        <w:rPr>
          <w:rFonts w:cstheme="minorHAnsi"/>
          <w:szCs w:val="26"/>
        </w:rPr>
        <w:t xml:space="preserve">trial court rules on a motion for a judgment of acquittal under section 1118.1, the standard </w:t>
      </w:r>
      <w:r w:rsidR="00C07889" w:rsidRPr="00A7631D">
        <w:rPr>
          <w:rFonts w:cstheme="minorHAnsi"/>
          <w:szCs w:val="26"/>
        </w:rPr>
        <w:t xml:space="preserve">the trial court must apply is the same as what the appellate court applies when reviewing the sufficiency of the evidence supporting conviction.  </w:t>
      </w:r>
      <w:r w:rsidR="00663168" w:rsidRPr="00A7631D">
        <w:rPr>
          <w:rFonts w:cstheme="minorHAnsi"/>
          <w:szCs w:val="26"/>
        </w:rPr>
        <w:t>A section</w:t>
      </w:r>
      <w:r w:rsidR="00DE42B0" w:rsidRPr="00A7631D">
        <w:rPr>
          <w:rFonts w:cstheme="minorHAnsi"/>
          <w:szCs w:val="26"/>
        </w:rPr>
        <w:t xml:space="preserve"> 1118.1</w:t>
      </w:r>
      <w:r w:rsidR="00663168" w:rsidRPr="00A7631D">
        <w:rPr>
          <w:rFonts w:cstheme="minorHAnsi"/>
          <w:szCs w:val="26"/>
        </w:rPr>
        <w:t xml:space="preserve"> motion is used to </w:t>
      </w:r>
      <w:r w:rsidR="00156C78" w:rsidRPr="00A7631D">
        <w:rPr>
          <w:rFonts w:cstheme="minorHAnsi"/>
          <w:szCs w:val="26"/>
        </w:rPr>
        <w:t>cull the “</w:t>
      </w:r>
      <w:r w:rsidR="00005707">
        <w:rPr>
          <w:rFonts w:cstheme="minorHAnsi"/>
          <w:szCs w:val="26"/>
        </w:rPr>
        <w:t> </w:t>
      </w:r>
      <w:r w:rsidR="00156C78" w:rsidRPr="00A7631D">
        <w:rPr>
          <w:rFonts w:cstheme="minorHAnsi"/>
          <w:szCs w:val="26"/>
        </w:rPr>
        <w:t>‘</w:t>
      </w:r>
      <w:r w:rsidR="00005707">
        <w:rPr>
          <w:rFonts w:cstheme="minorHAnsi"/>
          <w:szCs w:val="26"/>
        </w:rPr>
        <w:t> </w:t>
      </w:r>
      <w:r w:rsidR="00156C78" w:rsidRPr="00A7631D">
        <w:rPr>
          <w:rFonts w:cstheme="minorHAnsi"/>
          <w:szCs w:val="26"/>
        </w:rPr>
        <w:t>“</w:t>
      </w:r>
      <w:r w:rsidR="00790065" w:rsidRPr="00A7631D">
        <w:rPr>
          <w:rFonts w:cstheme="minorHAnsi"/>
          <w:szCs w:val="26"/>
        </w:rPr>
        <w:t>few instances in which the prosecution fails to make even a prima facie case.</w:t>
      </w:r>
      <w:r w:rsidR="00156C78" w:rsidRPr="00A7631D">
        <w:rPr>
          <w:rFonts w:cstheme="minorHAnsi"/>
          <w:szCs w:val="26"/>
        </w:rPr>
        <w:t>”</w:t>
      </w:r>
      <w:r w:rsidR="00005707">
        <w:rPr>
          <w:rFonts w:cstheme="minorHAnsi"/>
          <w:szCs w:val="26"/>
        </w:rPr>
        <w:t> </w:t>
      </w:r>
      <w:r w:rsidR="00156C78" w:rsidRPr="00A7631D">
        <w:rPr>
          <w:rFonts w:cstheme="minorHAnsi"/>
          <w:szCs w:val="26"/>
        </w:rPr>
        <w:t>’</w:t>
      </w:r>
      <w:r w:rsidR="00005707">
        <w:rPr>
          <w:rFonts w:cstheme="minorHAnsi"/>
          <w:szCs w:val="26"/>
        </w:rPr>
        <w:t> </w:t>
      </w:r>
      <w:r w:rsidR="00D545BD" w:rsidRPr="00A7631D">
        <w:rPr>
          <w:rFonts w:cstheme="minorHAnsi"/>
          <w:szCs w:val="26"/>
        </w:rPr>
        <w:t xml:space="preserve">” </w:t>
      </w:r>
      <w:r w:rsidR="0012105E" w:rsidRPr="00A7631D">
        <w:rPr>
          <w:rFonts w:cstheme="minorHAnsi"/>
          <w:szCs w:val="26"/>
        </w:rPr>
        <w:t xml:space="preserve"> </w:t>
      </w:r>
      <w:r w:rsidR="0012105E" w:rsidRPr="00A7631D">
        <w:rPr>
          <w:rFonts w:cstheme="minorHAnsi"/>
          <w:szCs w:val="26"/>
          <w:shd w:val="clear" w:color="auto" w:fill="FFFFFF"/>
        </w:rPr>
        <w:t>(</w:t>
      </w:r>
      <w:r w:rsidR="0012105E" w:rsidRPr="00A7631D">
        <w:rPr>
          <w:i/>
          <w:iCs/>
          <w:szCs w:val="26"/>
          <w:bdr w:val="none" w:sz="0" w:space="0" w:color="auto" w:frame="1"/>
          <w:shd w:val="clear" w:color="auto" w:fill="FFFFFF"/>
        </w:rPr>
        <w:t>People v. Dalton</w:t>
      </w:r>
      <w:r w:rsidR="0012105E" w:rsidRPr="00A7631D">
        <w:rPr>
          <w:szCs w:val="26"/>
          <w:bdr w:val="none" w:sz="0" w:space="0" w:color="auto" w:frame="1"/>
          <w:shd w:val="clear" w:color="auto" w:fill="FFFFFF"/>
        </w:rPr>
        <w:t xml:space="preserve"> (2019) 7 Cal.5th 166, </w:t>
      </w:r>
      <w:r w:rsidR="0012105E" w:rsidRPr="00A7631D">
        <w:rPr>
          <w:rFonts w:cstheme="minorHAnsi"/>
          <w:szCs w:val="26"/>
        </w:rPr>
        <w:t>249.)</w:t>
      </w:r>
      <w:r w:rsidR="00820324">
        <w:rPr>
          <w:rFonts w:cstheme="minorHAnsi"/>
          <w:szCs w:val="26"/>
        </w:rPr>
        <w:t xml:space="preserve"> </w:t>
      </w:r>
      <w:r w:rsidR="00790065" w:rsidRPr="00A7631D">
        <w:rPr>
          <w:rFonts w:cstheme="minorHAnsi"/>
          <w:szCs w:val="26"/>
        </w:rPr>
        <w:t xml:space="preserve"> </w:t>
      </w:r>
      <w:r w:rsidR="007F5E9F" w:rsidRPr="00A7631D">
        <w:rPr>
          <w:rFonts w:cstheme="minorHAnsi"/>
          <w:szCs w:val="26"/>
        </w:rPr>
        <w:t>A court r</w:t>
      </w:r>
      <w:r w:rsidR="0012105E" w:rsidRPr="00A7631D">
        <w:rPr>
          <w:rFonts w:cstheme="minorHAnsi"/>
          <w:szCs w:val="26"/>
        </w:rPr>
        <w:t>esolv</w:t>
      </w:r>
      <w:r w:rsidR="007F5E9F" w:rsidRPr="00A7631D">
        <w:rPr>
          <w:rFonts w:cstheme="minorHAnsi"/>
          <w:szCs w:val="26"/>
        </w:rPr>
        <w:t>es</w:t>
      </w:r>
      <w:r w:rsidR="0012105E" w:rsidRPr="00A7631D">
        <w:rPr>
          <w:rFonts w:cstheme="minorHAnsi"/>
          <w:szCs w:val="26"/>
        </w:rPr>
        <w:t xml:space="preserve"> a section 1118.1 motion </w:t>
      </w:r>
      <w:r w:rsidR="007F5E9F" w:rsidRPr="00A7631D">
        <w:rPr>
          <w:rFonts w:cstheme="minorHAnsi"/>
          <w:szCs w:val="26"/>
        </w:rPr>
        <w:t>by determining whether the prosecution presented sufficient evidence</w:t>
      </w:r>
      <w:r w:rsidR="00CF3373" w:rsidRPr="00A7631D">
        <w:rPr>
          <w:rFonts w:cstheme="minorHAnsi"/>
          <w:szCs w:val="26"/>
        </w:rPr>
        <w:t>, measured from the moment the section 1118.1 motion is made,</w:t>
      </w:r>
      <w:r w:rsidR="007F5E9F" w:rsidRPr="00A7631D">
        <w:rPr>
          <w:rFonts w:cstheme="minorHAnsi"/>
          <w:szCs w:val="26"/>
        </w:rPr>
        <w:t xml:space="preserve"> to </w:t>
      </w:r>
      <w:r w:rsidR="00261A66" w:rsidRPr="00A7631D">
        <w:rPr>
          <w:rFonts w:cstheme="minorHAnsi"/>
          <w:szCs w:val="26"/>
        </w:rPr>
        <w:t>permit the jury to resolve the issue.  (</w:t>
      </w:r>
      <w:r w:rsidR="00261A66" w:rsidRPr="00A7631D">
        <w:rPr>
          <w:rFonts w:cstheme="minorHAnsi"/>
          <w:i/>
          <w:iCs/>
          <w:szCs w:val="26"/>
        </w:rPr>
        <w:t>Ibid</w:t>
      </w:r>
      <w:r w:rsidR="00261A66" w:rsidRPr="00A7631D">
        <w:rPr>
          <w:rFonts w:cstheme="minorHAnsi"/>
          <w:szCs w:val="26"/>
        </w:rPr>
        <w:t>.)</w:t>
      </w:r>
      <w:r w:rsidR="00790065" w:rsidRPr="00A7631D">
        <w:rPr>
          <w:rFonts w:cstheme="minorHAnsi"/>
          <w:szCs w:val="26"/>
        </w:rPr>
        <w:t xml:space="preserve"> </w:t>
      </w:r>
      <w:r w:rsidR="00D545BD" w:rsidRPr="00A7631D">
        <w:rPr>
          <w:rFonts w:cstheme="minorHAnsi"/>
          <w:szCs w:val="26"/>
        </w:rPr>
        <w:t xml:space="preserve"> </w:t>
      </w:r>
      <w:r w:rsidR="00CF315B" w:rsidRPr="00A7631D">
        <w:rPr>
          <w:rFonts w:cstheme="minorHAnsi"/>
          <w:szCs w:val="26"/>
        </w:rPr>
        <w:t>We review the trial court’s determination de novo.  (</w:t>
      </w:r>
      <w:r w:rsidR="00CF315B" w:rsidRPr="00A7631D">
        <w:rPr>
          <w:rFonts w:cstheme="minorHAnsi"/>
          <w:i/>
          <w:iCs/>
          <w:szCs w:val="26"/>
        </w:rPr>
        <w:t>Ibid</w:t>
      </w:r>
      <w:r w:rsidR="00CF315B" w:rsidRPr="00A7631D">
        <w:rPr>
          <w:rFonts w:cstheme="minorHAnsi"/>
          <w:szCs w:val="26"/>
        </w:rPr>
        <w:t>.)</w:t>
      </w:r>
      <w:r w:rsidR="00D545BD" w:rsidRPr="00A7631D">
        <w:rPr>
          <w:rFonts w:cstheme="minorHAnsi"/>
          <w:szCs w:val="26"/>
        </w:rPr>
        <w:t xml:space="preserve"> </w:t>
      </w:r>
    </w:p>
    <w:p w14:paraId="2CFCAD3E" w14:textId="44D70F65" w:rsidR="00C71ACC" w:rsidRPr="00A7631D" w:rsidRDefault="00CA6D40" w:rsidP="009655C9">
      <w:pPr>
        <w:autoSpaceDE w:val="0"/>
        <w:autoSpaceDN w:val="0"/>
        <w:adjustRightInd w:val="0"/>
        <w:ind w:firstLine="720"/>
        <w:rPr>
          <w:rFonts w:cstheme="minorHAnsi"/>
          <w:szCs w:val="26"/>
        </w:rPr>
      </w:pPr>
      <w:r>
        <w:rPr>
          <w:rFonts w:cstheme="minorHAnsi"/>
          <w:szCs w:val="26"/>
        </w:rPr>
        <w:t>Here is how r</w:t>
      </w:r>
      <w:r w:rsidR="00C71ACC" w:rsidRPr="00A7631D">
        <w:rPr>
          <w:rFonts w:cstheme="minorHAnsi"/>
          <w:szCs w:val="26"/>
        </w:rPr>
        <w:t>obbery — the charged offense — is define</w:t>
      </w:r>
      <w:r>
        <w:rPr>
          <w:rFonts w:cstheme="minorHAnsi"/>
          <w:szCs w:val="26"/>
        </w:rPr>
        <w:t xml:space="preserve">d:  </w:t>
      </w:r>
      <w:r w:rsidR="00C71ACC" w:rsidRPr="00A7631D">
        <w:rPr>
          <w:rFonts w:cstheme="minorHAnsi"/>
          <w:szCs w:val="26"/>
        </w:rPr>
        <w:t>“the felonious taking of personal property in the possession of another, from his person or immediate presence, and against his will, accomplished by means of force or fear.”  (§ 211.)  Robbery requires the “specific intent to permanently deprive” the victim of his or her property.  (</w:t>
      </w:r>
      <w:r w:rsidR="00C71ACC" w:rsidRPr="00A7631D">
        <w:rPr>
          <w:rFonts w:cstheme="minorHAnsi"/>
          <w:i/>
          <w:szCs w:val="26"/>
        </w:rPr>
        <w:t>People v. Young</w:t>
      </w:r>
      <w:r w:rsidR="00C71ACC" w:rsidRPr="00A7631D">
        <w:rPr>
          <w:rFonts w:cstheme="minorHAnsi"/>
          <w:szCs w:val="26"/>
        </w:rPr>
        <w:t xml:space="preserve"> (2005) 34 Cal.4th 1149, 1176.)</w:t>
      </w:r>
    </w:p>
    <w:p w14:paraId="7372156D" w14:textId="1CD8A627" w:rsidR="00F1542F" w:rsidRPr="00A7631D" w:rsidRDefault="00F1542F" w:rsidP="009655C9">
      <w:pPr>
        <w:rPr>
          <w:rFonts w:cstheme="minorHAnsi"/>
          <w:szCs w:val="26"/>
        </w:rPr>
      </w:pPr>
      <w:r w:rsidRPr="00A7631D">
        <w:rPr>
          <w:rFonts w:cstheme="minorHAnsi"/>
          <w:szCs w:val="26"/>
        </w:rPr>
        <w:tab/>
        <w:t xml:space="preserve">Wilson contends </w:t>
      </w:r>
      <w:r w:rsidR="00F9240F" w:rsidRPr="00A7631D">
        <w:rPr>
          <w:rFonts w:cstheme="minorHAnsi"/>
          <w:szCs w:val="26"/>
        </w:rPr>
        <w:t>insufficient evidence supported the Hurd robbery charge</w:t>
      </w:r>
      <w:r w:rsidR="00B6499B" w:rsidRPr="00A7631D">
        <w:rPr>
          <w:rFonts w:cstheme="minorHAnsi"/>
          <w:szCs w:val="26"/>
        </w:rPr>
        <w:t xml:space="preserve"> because,</w:t>
      </w:r>
      <w:r w:rsidRPr="00A7631D">
        <w:rPr>
          <w:rFonts w:cstheme="minorHAnsi"/>
          <w:szCs w:val="26"/>
        </w:rPr>
        <w:t xml:space="preserve"> while </w:t>
      </w:r>
      <w:r w:rsidR="00B6499B" w:rsidRPr="00A7631D">
        <w:rPr>
          <w:rFonts w:cstheme="minorHAnsi"/>
          <w:szCs w:val="26"/>
        </w:rPr>
        <w:t xml:space="preserve">true that </w:t>
      </w:r>
      <w:r w:rsidRPr="00A7631D">
        <w:rPr>
          <w:rFonts w:cstheme="minorHAnsi"/>
          <w:szCs w:val="26"/>
        </w:rPr>
        <w:t xml:space="preserve">Hurd was a co-owner of the </w:t>
      </w:r>
      <w:r w:rsidR="00EC55D4" w:rsidRPr="00A7631D">
        <w:rPr>
          <w:rFonts w:cstheme="minorHAnsi"/>
          <w:szCs w:val="26"/>
        </w:rPr>
        <w:t>car wash</w:t>
      </w:r>
      <w:r w:rsidRPr="00A7631D">
        <w:rPr>
          <w:rFonts w:cstheme="minorHAnsi"/>
          <w:szCs w:val="26"/>
        </w:rPr>
        <w:t xml:space="preserve"> business, there was no evidence that he was involved in the marijuana business.  Wilson argues, in essence, that the marijuana enterprise was Williams’s business alone.  </w:t>
      </w:r>
      <w:r w:rsidR="00B6499B" w:rsidRPr="00A7631D">
        <w:rPr>
          <w:rFonts w:cstheme="minorHAnsi"/>
          <w:szCs w:val="26"/>
        </w:rPr>
        <w:t xml:space="preserve">This interpretation is not supported by the evidence.  </w:t>
      </w:r>
      <w:r w:rsidRPr="00A7631D">
        <w:rPr>
          <w:rFonts w:cstheme="minorHAnsi"/>
          <w:szCs w:val="26"/>
        </w:rPr>
        <w:t xml:space="preserve">Williams testified that he and Hurd were lifelong friends who owned the </w:t>
      </w:r>
      <w:r w:rsidRPr="00A7631D">
        <w:rPr>
          <w:rFonts w:cstheme="minorHAnsi"/>
          <w:szCs w:val="26"/>
        </w:rPr>
        <w:lastRenderedPageBreak/>
        <w:t xml:space="preserve">Wheels </w:t>
      </w:r>
      <w:r w:rsidR="00234ABC">
        <w:rPr>
          <w:rFonts w:cstheme="minorHAnsi"/>
          <w:szCs w:val="26"/>
        </w:rPr>
        <w:t>’</w:t>
      </w:r>
      <w:r w:rsidR="00983BD9">
        <w:rPr>
          <w:rFonts w:cstheme="minorHAnsi"/>
          <w:szCs w:val="26"/>
        </w:rPr>
        <w:t>N</w:t>
      </w:r>
      <w:r w:rsidRPr="00A7631D">
        <w:rPr>
          <w:rFonts w:cstheme="minorHAnsi"/>
          <w:szCs w:val="26"/>
        </w:rPr>
        <w:t xml:space="preserve"> Stuff together</w:t>
      </w:r>
      <w:r w:rsidR="008C73E4" w:rsidRPr="00A7631D">
        <w:rPr>
          <w:rFonts w:cstheme="minorHAnsi"/>
          <w:szCs w:val="26"/>
        </w:rPr>
        <w:t xml:space="preserve"> and paid rent on the building fro</w:t>
      </w:r>
      <w:r w:rsidR="006730AB" w:rsidRPr="00A7631D">
        <w:rPr>
          <w:rFonts w:cstheme="minorHAnsi"/>
          <w:szCs w:val="26"/>
        </w:rPr>
        <w:t>m proceeds of marijuana sales</w:t>
      </w:r>
      <w:r w:rsidRPr="00A7631D">
        <w:rPr>
          <w:rFonts w:cstheme="minorHAnsi"/>
          <w:szCs w:val="26"/>
        </w:rPr>
        <w:t xml:space="preserve">.  </w:t>
      </w:r>
      <w:r w:rsidR="002D1800" w:rsidRPr="00A7631D">
        <w:rPr>
          <w:szCs w:val="26"/>
        </w:rPr>
        <w:t>Both</w:t>
      </w:r>
      <w:r w:rsidR="00F507FE" w:rsidRPr="00A7631D">
        <w:rPr>
          <w:szCs w:val="26"/>
        </w:rPr>
        <w:t xml:space="preserve"> had </w:t>
      </w:r>
      <w:r w:rsidR="00F507FE" w:rsidRPr="00A7631D">
        <w:rPr>
          <w:rFonts w:cstheme="minorHAnsi"/>
          <w:szCs w:val="26"/>
        </w:rPr>
        <w:t xml:space="preserve">been arrested for possession of marijuana for sale. </w:t>
      </w:r>
      <w:r w:rsidR="00D33205" w:rsidRPr="00A7631D">
        <w:rPr>
          <w:rFonts w:cstheme="minorHAnsi"/>
          <w:szCs w:val="26"/>
        </w:rPr>
        <w:t xml:space="preserve"> </w:t>
      </w:r>
      <w:r w:rsidR="003817BA" w:rsidRPr="00A7631D">
        <w:rPr>
          <w:rFonts w:cstheme="minorHAnsi"/>
          <w:szCs w:val="26"/>
        </w:rPr>
        <w:t>It was well known</w:t>
      </w:r>
      <w:r w:rsidR="00DC607F" w:rsidRPr="00A7631D">
        <w:rPr>
          <w:rFonts w:cstheme="minorHAnsi"/>
          <w:szCs w:val="26"/>
        </w:rPr>
        <w:t xml:space="preserve"> </w:t>
      </w:r>
      <w:r w:rsidR="003817BA" w:rsidRPr="00A7631D">
        <w:rPr>
          <w:rFonts w:cstheme="minorHAnsi"/>
          <w:szCs w:val="26"/>
        </w:rPr>
        <w:t xml:space="preserve">that </w:t>
      </w:r>
      <w:r w:rsidR="00EC55D4" w:rsidRPr="00A7631D">
        <w:rPr>
          <w:rFonts w:cstheme="minorHAnsi"/>
          <w:szCs w:val="26"/>
        </w:rPr>
        <w:t>car wash</w:t>
      </w:r>
      <w:r w:rsidR="003817BA" w:rsidRPr="00A7631D">
        <w:rPr>
          <w:rFonts w:cstheme="minorHAnsi"/>
          <w:szCs w:val="26"/>
        </w:rPr>
        <w:t xml:space="preserve"> employees</w:t>
      </w:r>
      <w:r w:rsidR="00BE73D9" w:rsidRPr="00A7631D">
        <w:rPr>
          <w:rFonts w:cstheme="minorHAnsi"/>
          <w:szCs w:val="26"/>
        </w:rPr>
        <w:t xml:space="preserve"> — including Hurd —</w:t>
      </w:r>
      <w:r w:rsidR="00864E9F" w:rsidRPr="00A7631D">
        <w:rPr>
          <w:rFonts w:cstheme="minorHAnsi"/>
          <w:szCs w:val="26"/>
        </w:rPr>
        <w:t xml:space="preserve"> </w:t>
      </w:r>
      <w:r w:rsidR="003817BA" w:rsidRPr="00A7631D">
        <w:rPr>
          <w:rFonts w:cstheme="minorHAnsi"/>
          <w:szCs w:val="26"/>
        </w:rPr>
        <w:t xml:space="preserve">sold marijuana </w:t>
      </w:r>
      <w:r w:rsidR="009B4C3E" w:rsidRPr="00A7631D">
        <w:rPr>
          <w:rFonts w:cstheme="minorHAnsi"/>
          <w:szCs w:val="26"/>
        </w:rPr>
        <w:t xml:space="preserve">and tended to carry large amounts of cash.  </w:t>
      </w:r>
      <w:r w:rsidR="00C332F8" w:rsidRPr="00A7631D">
        <w:rPr>
          <w:szCs w:val="26"/>
        </w:rPr>
        <w:t xml:space="preserve">Wilson </w:t>
      </w:r>
      <w:r w:rsidR="008A6AFA" w:rsidRPr="00A7631D">
        <w:rPr>
          <w:szCs w:val="26"/>
        </w:rPr>
        <w:t>likely knew this, as he and Pops sought</w:t>
      </w:r>
      <w:r w:rsidR="00DB525C" w:rsidRPr="00A7631D">
        <w:rPr>
          <w:szCs w:val="26"/>
        </w:rPr>
        <w:t xml:space="preserve"> the location of</w:t>
      </w:r>
      <w:r w:rsidR="00C332F8" w:rsidRPr="00A7631D">
        <w:rPr>
          <w:szCs w:val="26"/>
        </w:rPr>
        <w:t xml:space="preserve"> money and “shit” </w:t>
      </w:r>
      <w:r w:rsidR="00DB525C" w:rsidRPr="00A7631D">
        <w:rPr>
          <w:szCs w:val="26"/>
        </w:rPr>
        <w:t>immediately upon entering</w:t>
      </w:r>
      <w:r w:rsidR="00C332F8" w:rsidRPr="00A7631D">
        <w:rPr>
          <w:szCs w:val="26"/>
        </w:rPr>
        <w:t xml:space="preserve">.  </w:t>
      </w:r>
    </w:p>
    <w:p w14:paraId="3AB8204C" w14:textId="3E6AF1C5" w:rsidR="00A50C55" w:rsidRPr="00A7631D" w:rsidRDefault="00F1542F" w:rsidP="009655C9">
      <w:pPr>
        <w:rPr>
          <w:rFonts w:cstheme="minorHAnsi"/>
          <w:szCs w:val="26"/>
        </w:rPr>
      </w:pPr>
      <w:r w:rsidRPr="00A7631D">
        <w:rPr>
          <w:rFonts w:cstheme="minorHAnsi"/>
          <w:szCs w:val="26"/>
        </w:rPr>
        <w:tab/>
        <w:t>Wilson argues</w:t>
      </w:r>
      <w:r w:rsidR="00862E8C" w:rsidRPr="00A7631D">
        <w:rPr>
          <w:rFonts w:cstheme="minorHAnsi"/>
          <w:szCs w:val="26"/>
        </w:rPr>
        <w:t xml:space="preserve"> </w:t>
      </w:r>
      <w:r w:rsidR="00DB525C" w:rsidRPr="00A7631D">
        <w:rPr>
          <w:rFonts w:cstheme="minorHAnsi"/>
          <w:szCs w:val="26"/>
        </w:rPr>
        <w:t xml:space="preserve">that </w:t>
      </w:r>
      <w:r w:rsidR="00862E8C" w:rsidRPr="00A7631D">
        <w:rPr>
          <w:rFonts w:cstheme="minorHAnsi"/>
          <w:szCs w:val="26"/>
        </w:rPr>
        <w:t>this evidence was insufficient to support a robbery charge</w:t>
      </w:r>
      <w:r w:rsidRPr="00A7631D">
        <w:rPr>
          <w:rFonts w:cstheme="minorHAnsi"/>
          <w:szCs w:val="26"/>
        </w:rPr>
        <w:t xml:space="preserve"> because Hurd was not part of the marijuana business, no money or drugs were stolen from him directly, </w:t>
      </w:r>
      <w:r w:rsidR="00862E8C" w:rsidRPr="00A7631D">
        <w:rPr>
          <w:rFonts w:cstheme="minorHAnsi"/>
          <w:szCs w:val="26"/>
        </w:rPr>
        <w:t xml:space="preserve">and </w:t>
      </w:r>
      <w:r w:rsidRPr="00A7631D">
        <w:rPr>
          <w:rFonts w:cstheme="minorHAnsi"/>
          <w:szCs w:val="26"/>
        </w:rPr>
        <w:t xml:space="preserve">he suffered no deprivation sufficient to constitute robbery.  </w:t>
      </w:r>
      <w:r w:rsidR="00A50C55" w:rsidRPr="00A7631D">
        <w:rPr>
          <w:rFonts w:cstheme="minorHAnsi"/>
          <w:szCs w:val="26"/>
        </w:rPr>
        <w:t xml:space="preserve">He also claims his motion for acquittal should have been granted because Hurd lacked constructive possession of the property — that is, the money and drugs — alleged to have been taken from Wheels </w:t>
      </w:r>
      <w:r w:rsidR="006429CE">
        <w:rPr>
          <w:rFonts w:cstheme="minorHAnsi"/>
          <w:szCs w:val="26"/>
        </w:rPr>
        <w:t>’</w:t>
      </w:r>
      <w:r w:rsidR="00983BD9">
        <w:rPr>
          <w:rFonts w:cstheme="minorHAnsi"/>
          <w:szCs w:val="26"/>
        </w:rPr>
        <w:t>N</w:t>
      </w:r>
      <w:r w:rsidR="00A50C55" w:rsidRPr="00A7631D">
        <w:rPr>
          <w:rFonts w:cstheme="minorHAnsi"/>
          <w:szCs w:val="26"/>
        </w:rPr>
        <w:t xml:space="preserve"> Stuff.  </w:t>
      </w:r>
      <w:r w:rsidR="0001649D" w:rsidRPr="00A7631D">
        <w:rPr>
          <w:rFonts w:cstheme="minorHAnsi"/>
          <w:szCs w:val="26"/>
        </w:rPr>
        <w:t>We are</w:t>
      </w:r>
      <w:r w:rsidR="00A50C55" w:rsidRPr="00A7631D">
        <w:rPr>
          <w:rFonts w:cstheme="minorHAnsi"/>
          <w:szCs w:val="26"/>
        </w:rPr>
        <w:t xml:space="preserve"> unpersuaded.</w:t>
      </w:r>
    </w:p>
    <w:p w14:paraId="02D55A0D" w14:textId="0A147139" w:rsidR="0019217C" w:rsidRPr="00A7631D" w:rsidRDefault="003B0907" w:rsidP="009655C9">
      <w:pPr>
        <w:ind w:firstLine="720"/>
        <w:rPr>
          <w:rFonts w:cstheme="minorHAnsi"/>
          <w:szCs w:val="26"/>
        </w:rPr>
      </w:pPr>
      <w:r w:rsidRPr="00A7631D">
        <w:rPr>
          <w:rFonts w:cstheme="minorHAnsi"/>
          <w:szCs w:val="26"/>
        </w:rPr>
        <w:t xml:space="preserve">The element of possession under the robbery statute can be </w:t>
      </w:r>
      <w:r w:rsidR="006C6ADA" w:rsidRPr="00A7631D">
        <w:rPr>
          <w:rFonts w:cstheme="minorHAnsi"/>
          <w:szCs w:val="26"/>
        </w:rPr>
        <w:t>established in multiple</w:t>
      </w:r>
      <w:r w:rsidRPr="00A7631D">
        <w:rPr>
          <w:rFonts w:cstheme="minorHAnsi"/>
          <w:szCs w:val="26"/>
        </w:rPr>
        <w:t xml:space="preserve"> ways.  </w:t>
      </w:r>
      <w:r w:rsidR="00A31EDC" w:rsidRPr="00A7631D">
        <w:rPr>
          <w:rFonts w:cstheme="minorHAnsi"/>
          <w:szCs w:val="26"/>
        </w:rPr>
        <w:t>Possession or direct physical control over an object will suffice</w:t>
      </w:r>
      <w:r w:rsidR="006E635E" w:rsidRPr="00A7631D">
        <w:rPr>
          <w:rFonts w:cstheme="minorHAnsi"/>
          <w:szCs w:val="26"/>
        </w:rPr>
        <w:t xml:space="preserve"> but </w:t>
      </w:r>
      <w:r w:rsidR="00943335" w:rsidRPr="00A7631D">
        <w:rPr>
          <w:rFonts w:cstheme="minorHAnsi"/>
          <w:szCs w:val="26"/>
        </w:rPr>
        <w:t>neither is</w:t>
      </w:r>
      <w:r w:rsidR="006E635E" w:rsidRPr="00A7631D">
        <w:rPr>
          <w:rFonts w:cstheme="minorHAnsi"/>
          <w:szCs w:val="26"/>
        </w:rPr>
        <w:t xml:space="preserve"> essential.  (</w:t>
      </w:r>
      <w:r w:rsidR="006E635E" w:rsidRPr="00A7631D">
        <w:rPr>
          <w:rFonts w:cstheme="minorHAnsi"/>
          <w:i/>
          <w:szCs w:val="26"/>
        </w:rPr>
        <w:t>People v. Scott</w:t>
      </w:r>
      <w:r w:rsidR="006E635E" w:rsidRPr="00A7631D">
        <w:rPr>
          <w:rFonts w:cstheme="minorHAnsi"/>
          <w:szCs w:val="26"/>
        </w:rPr>
        <w:t xml:space="preserve"> (2009) 45 Cal.4th 743, 749–750.)  Constructive possession</w:t>
      </w:r>
      <w:r w:rsidR="00C40E59" w:rsidRPr="00A7631D">
        <w:rPr>
          <w:rFonts w:cstheme="minorHAnsi"/>
          <w:szCs w:val="26"/>
        </w:rPr>
        <w:t xml:space="preserve"> by an employee</w:t>
      </w:r>
      <w:r w:rsidR="006E635E" w:rsidRPr="00A7631D">
        <w:rPr>
          <w:rFonts w:cstheme="minorHAnsi"/>
          <w:szCs w:val="26"/>
        </w:rPr>
        <w:t xml:space="preserve"> is also sufficient to establish the element</w:t>
      </w:r>
      <w:r w:rsidR="00C40E59" w:rsidRPr="00A7631D">
        <w:rPr>
          <w:rFonts w:cstheme="minorHAnsi"/>
          <w:szCs w:val="26"/>
        </w:rPr>
        <w:t>.  (</w:t>
      </w:r>
      <w:r w:rsidR="00C40E59" w:rsidRPr="00A7631D">
        <w:rPr>
          <w:rFonts w:cstheme="minorHAnsi"/>
          <w:i/>
          <w:iCs/>
          <w:szCs w:val="26"/>
        </w:rPr>
        <w:t>Ibid</w:t>
      </w:r>
      <w:r w:rsidR="00C40E59" w:rsidRPr="00A7631D">
        <w:rPr>
          <w:rFonts w:cstheme="minorHAnsi"/>
          <w:szCs w:val="26"/>
        </w:rPr>
        <w:t xml:space="preserve">.)  </w:t>
      </w:r>
      <w:r w:rsidR="00A50C55" w:rsidRPr="00A7631D">
        <w:rPr>
          <w:rFonts w:cstheme="minorHAnsi"/>
          <w:szCs w:val="26"/>
        </w:rPr>
        <w:t xml:space="preserve">In </w:t>
      </w:r>
      <w:r w:rsidR="00A50C55" w:rsidRPr="00A7631D">
        <w:rPr>
          <w:rFonts w:cstheme="minorHAnsi"/>
          <w:i/>
          <w:szCs w:val="26"/>
        </w:rPr>
        <w:t xml:space="preserve">Scott, </w:t>
      </w:r>
      <w:r w:rsidR="00A50C55" w:rsidRPr="00A7631D">
        <w:rPr>
          <w:rFonts w:cstheme="minorHAnsi"/>
          <w:szCs w:val="26"/>
        </w:rPr>
        <w:t xml:space="preserve">we </w:t>
      </w:r>
      <w:r w:rsidR="00B766AF" w:rsidRPr="00A7631D">
        <w:rPr>
          <w:rFonts w:cstheme="minorHAnsi"/>
          <w:szCs w:val="26"/>
        </w:rPr>
        <w:t>explained that because anyone committing robbery</w:t>
      </w:r>
      <w:r w:rsidR="00AB6FCC" w:rsidRPr="00A7631D">
        <w:rPr>
          <w:rFonts w:cstheme="minorHAnsi"/>
          <w:szCs w:val="26"/>
        </w:rPr>
        <w:t xml:space="preserve"> in a business establishment</w:t>
      </w:r>
      <w:r w:rsidR="00B766AF" w:rsidRPr="00A7631D">
        <w:rPr>
          <w:rFonts w:cstheme="minorHAnsi"/>
          <w:szCs w:val="26"/>
        </w:rPr>
        <w:t xml:space="preserve"> </w:t>
      </w:r>
      <w:r w:rsidR="00AB6FCC" w:rsidRPr="00A7631D">
        <w:rPr>
          <w:rFonts w:cstheme="minorHAnsi"/>
          <w:szCs w:val="26"/>
        </w:rPr>
        <w:t>w</w:t>
      </w:r>
      <w:r w:rsidR="00B766AF" w:rsidRPr="00A7631D">
        <w:rPr>
          <w:rFonts w:cstheme="minorHAnsi"/>
          <w:szCs w:val="26"/>
        </w:rPr>
        <w:t xml:space="preserve">ould perceive an employee as capable of resisting, </w:t>
      </w:r>
      <w:r w:rsidR="00A50C55" w:rsidRPr="00A7631D">
        <w:rPr>
          <w:rFonts w:cstheme="minorHAnsi"/>
          <w:szCs w:val="26"/>
        </w:rPr>
        <w:t>“all on</w:t>
      </w:r>
      <w:r w:rsidR="00A273FA">
        <w:rPr>
          <w:rFonts w:cstheme="minorHAnsi"/>
          <w:szCs w:val="26"/>
        </w:rPr>
        <w:t>-</w:t>
      </w:r>
      <w:r w:rsidR="00A50C55" w:rsidRPr="00A7631D">
        <w:rPr>
          <w:rFonts w:cstheme="minorHAnsi"/>
          <w:szCs w:val="26"/>
        </w:rPr>
        <w:t>duty employees have constructive possession of their employer’s property during a robbery</w:t>
      </w:r>
      <w:r w:rsidR="00B766AF" w:rsidRPr="00A7631D">
        <w:rPr>
          <w:rFonts w:cstheme="minorHAnsi"/>
          <w:szCs w:val="26"/>
        </w:rPr>
        <w:t>.”</w:t>
      </w:r>
      <w:r w:rsidR="009207DA" w:rsidRPr="00A7631D">
        <w:rPr>
          <w:rFonts w:cstheme="minorHAnsi"/>
          <w:szCs w:val="26"/>
        </w:rPr>
        <w:t xml:space="preserve">  (</w:t>
      </w:r>
      <w:r w:rsidR="009207DA" w:rsidRPr="00A7631D">
        <w:rPr>
          <w:rFonts w:cstheme="minorHAnsi"/>
          <w:i/>
          <w:iCs/>
          <w:szCs w:val="26"/>
        </w:rPr>
        <w:t>Id</w:t>
      </w:r>
      <w:r w:rsidR="009207DA" w:rsidRPr="00A7631D">
        <w:rPr>
          <w:rFonts w:cstheme="minorHAnsi"/>
          <w:szCs w:val="26"/>
        </w:rPr>
        <w:t>. at p. 755.)  A</w:t>
      </w:r>
      <w:r w:rsidR="004B1908" w:rsidRPr="00A7631D">
        <w:rPr>
          <w:rFonts w:cstheme="minorHAnsi"/>
          <w:szCs w:val="26"/>
        </w:rPr>
        <w:t xml:space="preserve"> wrongdoer’s</w:t>
      </w:r>
      <w:r w:rsidR="007C2778" w:rsidRPr="00A7631D">
        <w:rPr>
          <w:rFonts w:cstheme="minorHAnsi"/>
          <w:szCs w:val="26"/>
        </w:rPr>
        <w:t xml:space="preserve"> decision to threaten or use force against an employee</w:t>
      </w:r>
      <w:r w:rsidR="004B1908" w:rsidRPr="00A7631D">
        <w:rPr>
          <w:rFonts w:cstheme="minorHAnsi"/>
          <w:szCs w:val="26"/>
        </w:rPr>
        <w:t xml:space="preserve"> </w:t>
      </w:r>
      <w:r w:rsidR="007C2778" w:rsidRPr="00A7631D">
        <w:rPr>
          <w:rFonts w:cstheme="minorHAnsi"/>
          <w:szCs w:val="26"/>
        </w:rPr>
        <w:t>“is</w:t>
      </w:r>
      <w:r w:rsidR="00A50C55" w:rsidRPr="00A7631D">
        <w:rPr>
          <w:rFonts w:cstheme="minorHAnsi"/>
          <w:szCs w:val="26"/>
        </w:rPr>
        <w:t xml:space="preserve"> not likely to turn on fine distinctions regarding a particular employee</w:t>
      </w:r>
      <w:r w:rsidR="00A87B60" w:rsidRPr="00A7631D">
        <w:rPr>
          <w:rFonts w:cstheme="minorHAnsi"/>
          <w:szCs w:val="26"/>
        </w:rPr>
        <w:t>’</w:t>
      </w:r>
      <w:r w:rsidR="00A50C55" w:rsidRPr="00A7631D">
        <w:rPr>
          <w:rFonts w:cstheme="minorHAnsi"/>
          <w:szCs w:val="26"/>
        </w:rPr>
        <w:t>s actual or implied authority</w:t>
      </w:r>
      <w:r w:rsidR="006E023D" w:rsidRPr="00A7631D">
        <w:rPr>
          <w:rFonts w:cstheme="minorHAnsi"/>
          <w:szCs w:val="26"/>
        </w:rPr>
        <w:t>.</w:t>
      </w:r>
      <w:r w:rsidR="00A50C55" w:rsidRPr="00A7631D">
        <w:rPr>
          <w:rFonts w:cstheme="minorHAnsi"/>
          <w:szCs w:val="26"/>
        </w:rPr>
        <w:t>”</w:t>
      </w:r>
      <w:r w:rsidR="00AA218F" w:rsidRPr="00A7631D">
        <w:rPr>
          <w:rFonts w:cstheme="minorHAnsi"/>
          <w:szCs w:val="26"/>
        </w:rPr>
        <w:t xml:space="preserve"> </w:t>
      </w:r>
      <w:r w:rsidR="00A50C55" w:rsidRPr="00A7631D">
        <w:rPr>
          <w:rFonts w:cstheme="minorHAnsi"/>
          <w:szCs w:val="26"/>
        </w:rPr>
        <w:t xml:space="preserve"> (</w:t>
      </w:r>
      <w:r w:rsidR="00AA218F" w:rsidRPr="00A7631D">
        <w:rPr>
          <w:rFonts w:cstheme="minorHAnsi"/>
          <w:i/>
          <w:szCs w:val="26"/>
        </w:rPr>
        <w:t>Ibid</w:t>
      </w:r>
      <w:r w:rsidR="00A50C55" w:rsidRPr="00A7631D">
        <w:rPr>
          <w:rFonts w:cstheme="minorHAnsi"/>
          <w:szCs w:val="26"/>
        </w:rPr>
        <w:t xml:space="preserve">.)  </w:t>
      </w:r>
    </w:p>
    <w:p w14:paraId="7A19705B" w14:textId="756BBDE2" w:rsidR="00104B87" w:rsidRPr="00A7631D" w:rsidRDefault="0019217C" w:rsidP="009655C9">
      <w:pPr>
        <w:ind w:firstLine="720"/>
        <w:rPr>
          <w:rFonts w:cstheme="minorHAnsi"/>
          <w:szCs w:val="26"/>
        </w:rPr>
      </w:pPr>
      <w:r w:rsidRPr="00A7631D">
        <w:rPr>
          <w:rFonts w:cstheme="minorHAnsi"/>
          <w:szCs w:val="26"/>
        </w:rPr>
        <w:t xml:space="preserve">Whether </w:t>
      </w:r>
      <w:r w:rsidR="00D02399" w:rsidRPr="00A7631D">
        <w:rPr>
          <w:rFonts w:cstheme="minorHAnsi"/>
          <w:szCs w:val="26"/>
        </w:rPr>
        <w:t xml:space="preserve">the evidence supported </w:t>
      </w:r>
      <w:r w:rsidRPr="00A7631D">
        <w:rPr>
          <w:rFonts w:cstheme="minorHAnsi"/>
          <w:szCs w:val="26"/>
        </w:rPr>
        <w:t>Hurd’s</w:t>
      </w:r>
      <w:r w:rsidR="00D02399" w:rsidRPr="00A7631D">
        <w:rPr>
          <w:rFonts w:cstheme="minorHAnsi"/>
          <w:szCs w:val="26"/>
        </w:rPr>
        <w:t xml:space="preserve"> constructive or actual</w:t>
      </w:r>
      <w:r w:rsidRPr="00A7631D">
        <w:rPr>
          <w:rFonts w:cstheme="minorHAnsi"/>
          <w:szCs w:val="26"/>
        </w:rPr>
        <w:t xml:space="preserve"> possession</w:t>
      </w:r>
      <w:r w:rsidR="00D02399" w:rsidRPr="00A7631D">
        <w:rPr>
          <w:rFonts w:cstheme="minorHAnsi"/>
          <w:szCs w:val="26"/>
        </w:rPr>
        <w:t xml:space="preserve">, it </w:t>
      </w:r>
      <w:r w:rsidR="00A50C55" w:rsidRPr="00A7631D">
        <w:rPr>
          <w:rFonts w:cstheme="minorHAnsi"/>
          <w:szCs w:val="26"/>
        </w:rPr>
        <w:t xml:space="preserve">was sufficient for a jury to have concluded </w:t>
      </w:r>
      <w:r w:rsidR="00A50C55" w:rsidRPr="00A7631D">
        <w:rPr>
          <w:rFonts w:cstheme="minorHAnsi"/>
          <w:szCs w:val="26"/>
        </w:rPr>
        <w:lastRenderedPageBreak/>
        <w:t>Wilson intended to permanently deprive Hurd of money, marijuana, or both</w:t>
      </w:r>
      <w:r w:rsidR="00A50C55" w:rsidRPr="00A7631D">
        <w:rPr>
          <w:szCs w:val="26"/>
        </w:rPr>
        <w:t xml:space="preserve">.  (§ 211; </w:t>
      </w:r>
      <w:r w:rsidR="00A50C55" w:rsidRPr="001450FB">
        <w:rPr>
          <w:i/>
          <w:iCs/>
          <w:szCs w:val="26"/>
        </w:rPr>
        <w:t>People v. Dalton</w:t>
      </w:r>
      <w:r w:rsidR="00A50C55" w:rsidRPr="001450FB">
        <w:rPr>
          <w:szCs w:val="26"/>
        </w:rPr>
        <w:t xml:space="preserve">, </w:t>
      </w:r>
      <w:r w:rsidR="00A50C55" w:rsidRPr="001450FB">
        <w:rPr>
          <w:i/>
          <w:iCs/>
          <w:szCs w:val="26"/>
        </w:rPr>
        <w:t>supra</w:t>
      </w:r>
      <w:r w:rsidR="00A50C55" w:rsidRPr="001450FB">
        <w:rPr>
          <w:szCs w:val="26"/>
        </w:rPr>
        <w:t>, 7 Cal.5th at p. 249.)</w:t>
      </w:r>
      <w:r w:rsidR="00862E8C" w:rsidRPr="001450FB">
        <w:rPr>
          <w:rFonts w:cstheme="minorHAnsi"/>
          <w:szCs w:val="26"/>
        </w:rPr>
        <w:t xml:space="preserve"> </w:t>
      </w:r>
      <w:r w:rsidR="00133ED3" w:rsidRPr="001450FB">
        <w:rPr>
          <w:rFonts w:cstheme="minorHAnsi"/>
          <w:szCs w:val="26"/>
        </w:rPr>
        <w:t xml:space="preserve"> The trial court concluded as much, </w:t>
      </w:r>
      <w:r w:rsidR="00980377" w:rsidRPr="001450FB">
        <w:rPr>
          <w:rFonts w:cstheme="minorHAnsi"/>
          <w:szCs w:val="26"/>
        </w:rPr>
        <w:t>stating</w:t>
      </w:r>
      <w:r w:rsidR="00133ED3" w:rsidRPr="001450FB">
        <w:rPr>
          <w:rFonts w:cstheme="minorHAnsi"/>
          <w:szCs w:val="26"/>
        </w:rPr>
        <w:t xml:space="preserve"> the jury “could find a robbery </w:t>
      </w:r>
      <w:r w:rsidR="00A05D30" w:rsidRPr="001450FB">
        <w:rPr>
          <w:rFonts w:cstheme="minorHAnsi"/>
          <w:szCs w:val="26"/>
        </w:rPr>
        <w:t>of</w:t>
      </w:r>
      <w:r w:rsidR="00133ED3" w:rsidRPr="001450FB">
        <w:rPr>
          <w:rFonts w:cstheme="minorHAnsi"/>
          <w:szCs w:val="26"/>
        </w:rPr>
        <w:t xml:space="preserve"> the people connected </w:t>
      </w:r>
      <w:r w:rsidR="00950C39" w:rsidRPr="001450FB">
        <w:rPr>
          <w:rFonts w:cstheme="minorHAnsi"/>
          <w:szCs w:val="26"/>
        </w:rPr>
        <w:t>to</w:t>
      </w:r>
      <w:r w:rsidR="00133ED3" w:rsidRPr="001450FB">
        <w:rPr>
          <w:rFonts w:cstheme="minorHAnsi"/>
          <w:szCs w:val="26"/>
        </w:rPr>
        <w:t xml:space="preserve"> the business based on the narcotics.”  </w:t>
      </w:r>
      <w:r w:rsidR="00AC6A08" w:rsidRPr="001450FB">
        <w:rPr>
          <w:rFonts w:cstheme="minorHAnsi"/>
          <w:szCs w:val="26"/>
        </w:rPr>
        <w:t>Our independent review leads us to the same conclusion.</w:t>
      </w:r>
      <w:r w:rsidR="00D41E35" w:rsidRPr="001450FB">
        <w:rPr>
          <w:rFonts w:cstheme="minorHAnsi"/>
          <w:szCs w:val="26"/>
        </w:rPr>
        <w:t xml:space="preserve"> </w:t>
      </w:r>
      <w:r w:rsidR="004C118A" w:rsidRPr="001450FB">
        <w:rPr>
          <w:rFonts w:cstheme="minorHAnsi"/>
          <w:szCs w:val="26"/>
        </w:rPr>
        <w:t xml:space="preserve"> </w:t>
      </w:r>
      <w:r w:rsidR="00F1542F" w:rsidRPr="001450FB">
        <w:rPr>
          <w:rFonts w:cstheme="minorHAnsi"/>
          <w:szCs w:val="26"/>
        </w:rPr>
        <w:t>(</w:t>
      </w:r>
      <w:r w:rsidR="00F1542F" w:rsidRPr="001450FB">
        <w:rPr>
          <w:rFonts w:cstheme="minorHAnsi"/>
          <w:i/>
          <w:szCs w:val="26"/>
        </w:rPr>
        <w:t>Dalton</w:t>
      </w:r>
      <w:r w:rsidR="00F1542F" w:rsidRPr="001450FB">
        <w:rPr>
          <w:rFonts w:cstheme="minorHAnsi"/>
          <w:szCs w:val="26"/>
        </w:rPr>
        <w:t>,</w:t>
      </w:r>
      <w:r w:rsidR="00F1542F" w:rsidRPr="00A7631D">
        <w:rPr>
          <w:rFonts w:cstheme="minorHAnsi"/>
          <w:szCs w:val="26"/>
        </w:rPr>
        <w:t xml:space="preserve"> at p. 249.)</w:t>
      </w:r>
      <w:r w:rsidR="006C295B" w:rsidRPr="00A7631D">
        <w:rPr>
          <w:rFonts w:cstheme="minorHAnsi"/>
          <w:szCs w:val="26"/>
        </w:rPr>
        <w:t xml:space="preserve">  That</w:t>
      </w:r>
      <w:r w:rsidR="00CE045B" w:rsidRPr="00A7631D">
        <w:rPr>
          <w:rFonts w:cstheme="minorHAnsi"/>
          <w:szCs w:val="26"/>
        </w:rPr>
        <w:t xml:space="preserve"> a different trier of fact </w:t>
      </w:r>
      <w:r w:rsidR="006C295B" w:rsidRPr="00A7631D">
        <w:rPr>
          <w:rFonts w:cstheme="minorHAnsi"/>
          <w:szCs w:val="26"/>
        </w:rPr>
        <w:t>could have concluded otherwise</w:t>
      </w:r>
      <w:r w:rsidR="00CE045B" w:rsidRPr="00A7631D">
        <w:rPr>
          <w:rFonts w:cstheme="minorHAnsi"/>
          <w:szCs w:val="26"/>
        </w:rPr>
        <w:t xml:space="preserve"> does not mean the verdict is not supported by </w:t>
      </w:r>
      <w:r w:rsidR="004B5F04" w:rsidRPr="00A7631D">
        <w:rPr>
          <w:rFonts w:cstheme="minorHAnsi"/>
          <w:szCs w:val="26"/>
        </w:rPr>
        <w:t>the</w:t>
      </w:r>
      <w:r w:rsidR="00CE045B" w:rsidRPr="00A7631D">
        <w:rPr>
          <w:rFonts w:cstheme="minorHAnsi"/>
          <w:szCs w:val="26"/>
        </w:rPr>
        <w:t xml:space="preserve"> evidence.  (</w:t>
      </w:r>
      <w:r w:rsidR="00CE045B" w:rsidRPr="00A7631D">
        <w:rPr>
          <w:rFonts w:cstheme="minorHAnsi"/>
          <w:i/>
          <w:szCs w:val="26"/>
        </w:rPr>
        <w:t xml:space="preserve">People v. </w:t>
      </w:r>
      <w:proofErr w:type="spellStart"/>
      <w:r w:rsidR="00CE045B" w:rsidRPr="00A7631D">
        <w:rPr>
          <w:rFonts w:cstheme="minorHAnsi"/>
          <w:i/>
          <w:szCs w:val="26"/>
        </w:rPr>
        <w:t>Farnam</w:t>
      </w:r>
      <w:proofErr w:type="spellEnd"/>
      <w:r w:rsidR="00CE045B" w:rsidRPr="00A7631D">
        <w:rPr>
          <w:rFonts w:cstheme="minorHAnsi"/>
          <w:szCs w:val="26"/>
        </w:rPr>
        <w:t xml:space="preserve"> (2002) 28 Cal.4th 107, 143.)  We are not free to reform the verdict simply because another theory is plausible.  (</w:t>
      </w:r>
      <w:r w:rsidR="00CE045B" w:rsidRPr="00A7631D">
        <w:rPr>
          <w:rFonts w:cstheme="minorHAnsi"/>
          <w:i/>
          <w:szCs w:val="26"/>
        </w:rPr>
        <w:t>People v. Jackson</w:t>
      </w:r>
      <w:r w:rsidR="00CE045B" w:rsidRPr="00A7631D">
        <w:rPr>
          <w:rFonts w:cstheme="minorHAnsi"/>
          <w:szCs w:val="26"/>
        </w:rPr>
        <w:t xml:space="preserve"> (2016) 1 Cal.5th 269, 345 [“</w:t>
      </w:r>
      <w:r w:rsidR="00005707">
        <w:rPr>
          <w:rFonts w:cstheme="minorHAnsi"/>
          <w:szCs w:val="26"/>
        </w:rPr>
        <w:t> </w:t>
      </w:r>
      <w:r w:rsidR="00CE045B" w:rsidRPr="00A7631D">
        <w:rPr>
          <w:rFonts w:cstheme="minorHAnsi"/>
          <w:szCs w:val="26"/>
        </w:rPr>
        <w:t>‘If the circumstances reasonably justify the trier of fact’s findings, reversal of the judgment is not warranted simply because the circumstances might also reasonably be reconciled with a contrary finding’ ”].)</w:t>
      </w:r>
    </w:p>
    <w:p w14:paraId="3763A8C4" w14:textId="44374D23" w:rsidR="00F1542F" w:rsidRPr="00A7631D" w:rsidRDefault="00F1542F" w:rsidP="009655C9">
      <w:pPr>
        <w:ind w:firstLine="720"/>
        <w:rPr>
          <w:szCs w:val="26"/>
        </w:rPr>
      </w:pPr>
      <w:r w:rsidRPr="00A7631D">
        <w:rPr>
          <w:rFonts w:cstheme="minorHAnsi"/>
          <w:szCs w:val="26"/>
        </w:rPr>
        <w:t>A reasonable jury could</w:t>
      </w:r>
      <w:r w:rsidR="00104B87" w:rsidRPr="00A7631D">
        <w:rPr>
          <w:rFonts w:cstheme="minorHAnsi"/>
          <w:szCs w:val="26"/>
        </w:rPr>
        <w:t xml:space="preserve"> have</w:t>
      </w:r>
      <w:r w:rsidRPr="00A7631D">
        <w:rPr>
          <w:rFonts w:cstheme="minorHAnsi"/>
          <w:szCs w:val="26"/>
        </w:rPr>
        <w:t xml:space="preserve"> infer</w:t>
      </w:r>
      <w:r w:rsidR="00104B87" w:rsidRPr="00A7631D">
        <w:rPr>
          <w:rFonts w:cstheme="minorHAnsi"/>
          <w:szCs w:val="26"/>
        </w:rPr>
        <w:t xml:space="preserve">red </w:t>
      </w:r>
      <w:r w:rsidRPr="00A7631D">
        <w:rPr>
          <w:rFonts w:cstheme="minorHAnsi"/>
          <w:szCs w:val="26"/>
        </w:rPr>
        <w:t>from the evidence presented</w:t>
      </w:r>
      <w:r w:rsidR="00104B87" w:rsidRPr="00A7631D">
        <w:rPr>
          <w:rFonts w:cstheme="minorHAnsi"/>
          <w:szCs w:val="26"/>
        </w:rPr>
        <w:t xml:space="preserve"> — and </w:t>
      </w:r>
      <w:r w:rsidR="006E023D" w:rsidRPr="00A7631D">
        <w:rPr>
          <w:rFonts w:cstheme="minorHAnsi"/>
          <w:szCs w:val="26"/>
        </w:rPr>
        <w:t xml:space="preserve">this jury </w:t>
      </w:r>
      <w:r w:rsidR="00104B87" w:rsidRPr="00A7631D">
        <w:rPr>
          <w:rFonts w:cstheme="minorHAnsi"/>
          <w:szCs w:val="26"/>
        </w:rPr>
        <w:t xml:space="preserve">did — </w:t>
      </w:r>
      <w:r w:rsidRPr="00A7631D">
        <w:rPr>
          <w:rFonts w:cstheme="minorHAnsi"/>
          <w:szCs w:val="26"/>
        </w:rPr>
        <w:t xml:space="preserve">that Wilson intended to permanently deprive Hurd of his money, belongings, and marijuana.  Because it appears the evidence was sufficient to substantiate a robbery conviction, </w:t>
      </w:r>
      <w:r w:rsidR="0001649D" w:rsidRPr="00A7631D">
        <w:rPr>
          <w:rFonts w:cstheme="minorHAnsi"/>
          <w:szCs w:val="26"/>
        </w:rPr>
        <w:t xml:space="preserve">we </w:t>
      </w:r>
      <w:r w:rsidR="0062220B" w:rsidRPr="00A7631D">
        <w:rPr>
          <w:rFonts w:cstheme="minorHAnsi"/>
          <w:szCs w:val="26"/>
        </w:rPr>
        <w:t>conclude the trial court committed no error in denying Wilson’s motion for acquittal under section 1118.1.</w:t>
      </w:r>
      <w:r w:rsidR="00AC6A08" w:rsidRPr="00A7631D">
        <w:rPr>
          <w:rFonts w:cstheme="minorHAnsi"/>
          <w:szCs w:val="26"/>
        </w:rPr>
        <w:t xml:space="preserve">    </w:t>
      </w:r>
    </w:p>
    <w:p w14:paraId="6940C0BA" w14:textId="0E9AADB2" w:rsidR="006C385A" w:rsidRPr="00A7631D" w:rsidRDefault="001B796C" w:rsidP="00B520AA">
      <w:pPr>
        <w:pStyle w:val="Heading2"/>
        <w:numPr>
          <w:ilvl w:val="0"/>
          <w:numId w:val="20"/>
        </w:numPr>
      </w:pPr>
      <w:bookmarkStart w:id="59" w:name="_Toc58846834"/>
      <w:bookmarkStart w:id="60" w:name="_Toc50617050"/>
      <w:r w:rsidRPr="00A7631D">
        <w:t>Prejudicial Hearsay Admission Allegation</w:t>
      </w:r>
      <w:bookmarkEnd w:id="59"/>
      <w:r w:rsidRPr="00A7631D">
        <w:t xml:space="preserve"> </w:t>
      </w:r>
      <w:bookmarkEnd w:id="60"/>
    </w:p>
    <w:p w14:paraId="328FC7C9" w14:textId="5F06510A" w:rsidR="00B616C6" w:rsidRPr="00A7631D" w:rsidRDefault="00B616C6" w:rsidP="00B520AA">
      <w:pPr>
        <w:ind w:firstLine="720"/>
        <w:rPr>
          <w:szCs w:val="26"/>
        </w:rPr>
      </w:pPr>
      <w:r w:rsidRPr="00A7631D">
        <w:rPr>
          <w:szCs w:val="26"/>
        </w:rPr>
        <w:t xml:space="preserve">Wilson argues </w:t>
      </w:r>
      <w:r w:rsidR="002670B5" w:rsidRPr="00A7631D">
        <w:rPr>
          <w:szCs w:val="26"/>
        </w:rPr>
        <w:t xml:space="preserve">the trial court erred in admitting </w:t>
      </w:r>
      <w:r w:rsidRPr="00A7631D">
        <w:rPr>
          <w:szCs w:val="26"/>
        </w:rPr>
        <w:t xml:space="preserve">the pages of the writing tablet containing drawings and a list of names.  He claims the documents were improperly authenticated and constituted hearsay, and their admission violated his confrontation rights.  For the reasons that follow, </w:t>
      </w:r>
      <w:r w:rsidR="0001649D" w:rsidRPr="00A7631D">
        <w:rPr>
          <w:szCs w:val="26"/>
        </w:rPr>
        <w:t>we</w:t>
      </w:r>
      <w:r w:rsidRPr="00A7631D">
        <w:rPr>
          <w:szCs w:val="26"/>
        </w:rPr>
        <w:t xml:space="preserve"> conclude Wilson’s claims lack merit.</w:t>
      </w:r>
    </w:p>
    <w:p w14:paraId="50F03FE3" w14:textId="77777777" w:rsidR="00B616C6" w:rsidRPr="00A7631D" w:rsidRDefault="00B616C6" w:rsidP="00B520AA">
      <w:pPr>
        <w:pStyle w:val="Heading3"/>
        <w:keepLines/>
        <w:numPr>
          <w:ilvl w:val="0"/>
          <w:numId w:val="11"/>
        </w:numPr>
        <w:tabs>
          <w:tab w:val="clear" w:pos="1584"/>
        </w:tabs>
        <w:ind w:left="1584" w:hanging="432"/>
        <w:rPr>
          <w:i w:val="0"/>
          <w:iCs/>
          <w:szCs w:val="26"/>
        </w:rPr>
      </w:pPr>
      <w:bookmarkStart w:id="61" w:name="_Toc58846835"/>
      <w:bookmarkStart w:id="62" w:name="_Toc50617051"/>
      <w:r w:rsidRPr="00A7631D">
        <w:rPr>
          <w:iCs/>
          <w:szCs w:val="26"/>
        </w:rPr>
        <w:lastRenderedPageBreak/>
        <w:t>Background</w:t>
      </w:r>
      <w:bookmarkEnd w:id="61"/>
      <w:bookmarkEnd w:id="62"/>
    </w:p>
    <w:p w14:paraId="2BCFC773" w14:textId="03DBBA4B" w:rsidR="00B616C6" w:rsidRPr="00A7631D" w:rsidRDefault="00B616C6" w:rsidP="00B520AA">
      <w:pPr>
        <w:ind w:firstLine="720"/>
        <w:rPr>
          <w:szCs w:val="26"/>
        </w:rPr>
      </w:pPr>
      <w:r w:rsidRPr="00A7631D">
        <w:rPr>
          <w:szCs w:val="26"/>
        </w:rPr>
        <w:t>Following execution of a search warrant at Wilson’s home, officers seized — among other items — a writing tablet containing several drawings and a list of names.</w:t>
      </w:r>
      <w:r w:rsidR="008704F8" w:rsidRPr="00A7631D">
        <w:rPr>
          <w:szCs w:val="26"/>
        </w:rPr>
        <w:t xml:space="preserve"> </w:t>
      </w:r>
      <w:r w:rsidRPr="00A7631D">
        <w:rPr>
          <w:szCs w:val="26"/>
        </w:rPr>
        <w:t xml:space="preserve"> The prosecution </w:t>
      </w:r>
      <w:r w:rsidR="008704F8" w:rsidRPr="00A7631D">
        <w:rPr>
          <w:szCs w:val="26"/>
        </w:rPr>
        <w:t>sought</w:t>
      </w:r>
      <w:r w:rsidRPr="00A7631D">
        <w:rPr>
          <w:szCs w:val="26"/>
        </w:rPr>
        <w:t xml:space="preserve"> to introduce</w:t>
      </w:r>
      <w:r w:rsidR="008704F8" w:rsidRPr="00A7631D">
        <w:rPr>
          <w:szCs w:val="26"/>
        </w:rPr>
        <w:t xml:space="preserve"> some of</w:t>
      </w:r>
      <w:r w:rsidRPr="00A7631D">
        <w:rPr>
          <w:szCs w:val="26"/>
        </w:rPr>
        <w:t xml:space="preserve"> the documents, includ</w:t>
      </w:r>
      <w:r w:rsidR="009941BC" w:rsidRPr="00A7631D">
        <w:rPr>
          <w:szCs w:val="26"/>
        </w:rPr>
        <w:t>ing</w:t>
      </w:r>
      <w:r w:rsidRPr="00A7631D">
        <w:rPr>
          <w:szCs w:val="26"/>
        </w:rPr>
        <w:t xml:space="preserve">:  (1) a depiction of a firearm being fired; (2) a drawing of a </w:t>
      </w:r>
      <w:r w:rsidR="002521FC" w:rsidRPr="00A7631D">
        <w:rPr>
          <w:szCs w:val="26"/>
        </w:rPr>
        <w:t>man</w:t>
      </w:r>
      <w:r w:rsidRPr="00A7631D">
        <w:rPr>
          <w:szCs w:val="26"/>
        </w:rPr>
        <w:t xml:space="preserve"> holding a firearm with the words “Nut LOCO” at the top of the page; (3) a caricature-style drawing of a muscled male standing at a street corner with street signs reading “55th” and “Lime,” the corner near Wilson’s home, the moniker “Nut” at the top of the page, and a drawing of a car with what appeared to be IROC rims labeled “THE MONSTER BEEFY”; (4) a drawing of a figure’s chest, right forearm tattooed with the letters “Y.M.O.</w:t>
      </w:r>
      <w:r w:rsidR="00497A8E">
        <w:rPr>
          <w:szCs w:val="26"/>
        </w:rPr>
        <w:t>,</w:t>
      </w:r>
      <w:r w:rsidRPr="00A7631D">
        <w:rPr>
          <w:szCs w:val="26"/>
        </w:rPr>
        <w:t>” and hand holding a firearm being fired; and (5) a list of 22 nicknames, including Pops, Wilson, and people who spent time with them.</w:t>
      </w:r>
      <w:r w:rsidRPr="00A7631D">
        <w:rPr>
          <w:b/>
          <w:bCs/>
          <w:szCs w:val="26"/>
          <w:vertAlign w:val="superscript"/>
        </w:rPr>
        <w:t xml:space="preserve"> </w:t>
      </w:r>
      <w:r w:rsidRPr="00A7631D">
        <w:rPr>
          <w:szCs w:val="26"/>
        </w:rPr>
        <w:t xml:space="preserve"> </w:t>
      </w:r>
    </w:p>
    <w:p w14:paraId="2F69D427" w14:textId="3B932158" w:rsidR="00B616C6" w:rsidRPr="00A7631D" w:rsidRDefault="0056265A" w:rsidP="00B520AA">
      <w:pPr>
        <w:ind w:firstLine="720"/>
        <w:rPr>
          <w:szCs w:val="26"/>
        </w:rPr>
      </w:pPr>
      <w:r w:rsidRPr="00A7631D">
        <w:rPr>
          <w:szCs w:val="26"/>
        </w:rPr>
        <w:t>At a pretrial hearing held under</w:t>
      </w:r>
      <w:r w:rsidR="00B616C6" w:rsidRPr="00A7631D">
        <w:rPr>
          <w:szCs w:val="26"/>
        </w:rPr>
        <w:t xml:space="preserve"> Evidence Code section 402, the prosecutor presented evidence that the </w:t>
      </w:r>
      <w:r w:rsidR="00743933" w:rsidRPr="00A7631D">
        <w:rPr>
          <w:szCs w:val="26"/>
        </w:rPr>
        <w:t>home</w:t>
      </w:r>
      <w:r w:rsidR="00B616C6" w:rsidRPr="00A7631D">
        <w:rPr>
          <w:szCs w:val="26"/>
        </w:rPr>
        <w:t xml:space="preserve"> from which the tablet was seized was Wilson’s residence</w:t>
      </w:r>
      <w:r w:rsidR="000D5081" w:rsidRPr="00A7631D">
        <w:rPr>
          <w:szCs w:val="26"/>
        </w:rPr>
        <w:t xml:space="preserve">. </w:t>
      </w:r>
      <w:r w:rsidR="00B616C6" w:rsidRPr="00A7631D">
        <w:rPr>
          <w:szCs w:val="26"/>
        </w:rPr>
        <w:t xml:space="preserve"> </w:t>
      </w:r>
      <w:r w:rsidR="000D5081" w:rsidRPr="00A7631D">
        <w:rPr>
          <w:szCs w:val="26"/>
        </w:rPr>
        <w:t xml:space="preserve">He </w:t>
      </w:r>
      <w:r w:rsidR="00B616C6" w:rsidRPr="00A7631D">
        <w:rPr>
          <w:szCs w:val="26"/>
        </w:rPr>
        <w:t xml:space="preserve">argued that the drawings and list were admissible as circumstantial evidence demonstrating </w:t>
      </w:r>
      <w:r w:rsidR="00E30F42">
        <w:rPr>
          <w:szCs w:val="26"/>
        </w:rPr>
        <w:t xml:space="preserve">that </w:t>
      </w:r>
      <w:r w:rsidR="00B616C6" w:rsidRPr="00A7631D">
        <w:rPr>
          <w:szCs w:val="26"/>
        </w:rPr>
        <w:t>the drawings were prepared close in time to the shootings</w:t>
      </w:r>
      <w:r w:rsidR="000D5081" w:rsidRPr="00A7631D">
        <w:rPr>
          <w:szCs w:val="26"/>
        </w:rPr>
        <w:t>,</w:t>
      </w:r>
      <w:r w:rsidR="00B616C6" w:rsidRPr="00A7631D">
        <w:rPr>
          <w:szCs w:val="26"/>
        </w:rPr>
        <w:t xml:space="preserve"> </w:t>
      </w:r>
      <w:r w:rsidR="000D5081" w:rsidRPr="00A7631D">
        <w:rPr>
          <w:szCs w:val="26"/>
        </w:rPr>
        <w:t>that they were</w:t>
      </w:r>
      <w:r w:rsidR="00B616C6" w:rsidRPr="00A7631D">
        <w:rPr>
          <w:szCs w:val="26"/>
        </w:rPr>
        <w:t xml:space="preserve"> found on Wilson’s kitchen table in plain view, and that they demonstrated a relationship between Pops and Wilson.  </w:t>
      </w:r>
      <w:r w:rsidR="00120986" w:rsidRPr="00A7631D">
        <w:rPr>
          <w:szCs w:val="26"/>
        </w:rPr>
        <w:t>Wilson</w:t>
      </w:r>
      <w:r w:rsidR="00B616C6" w:rsidRPr="00A7631D">
        <w:rPr>
          <w:szCs w:val="26"/>
        </w:rPr>
        <w:t xml:space="preserve"> argued the drawings and list constituted inadmissible hearsay, that they were incapable of authentication because they were found in a common area of his residence, and that there was no evidence he personally created the documents.  The trial court tentatively ruled the evidence was admissible as “relevant circumstantial evidence o</w:t>
      </w:r>
      <w:r w:rsidR="007F5015" w:rsidRPr="00A7631D">
        <w:rPr>
          <w:szCs w:val="26"/>
        </w:rPr>
        <w:t>n</w:t>
      </w:r>
      <w:r w:rsidR="00B616C6" w:rsidRPr="00A7631D">
        <w:rPr>
          <w:szCs w:val="26"/>
        </w:rPr>
        <w:t xml:space="preserve"> motive </w:t>
      </w:r>
      <w:r w:rsidR="00D55389">
        <w:rPr>
          <w:szCs w:val="26"/>
        </w:rPr>
        <w:t>—</w:t>
      </w:r>
      <w:r w:rsidR="00B616C6" w:rsidRPr="00A7631D">
        <w:rPr>
          <w:szCs w:val="26"/>
        </w:rPr>
        <w:t xml:space="preserve"> the connection between the defendants and circumstantial evidence of the possession of the guns by the </w:t>
      </w:r>
      <w:r w:rsidR="00B616C6" w:rsidRPr="00A7631D">
        <w:rPr>
          <w:szCs w:val="26"/>
        </w:rPr>
        <w:lastRenderedPageBreak/>
        <w:t>defendants</w:t>
      </w:r>
      <w:r w:rsidR="00094506" w:rsidRPr="00A7631D">
        <w:rPr>
          <w:szCs w:val="26"/>
        </w:rPr>
        <w:t xml:space="preserve"> . . . .</w:t>
      </w:r>
      <w:r w:rsidR="00B616C6" w:rsidRPr="00A7631D">
        <w:rPr>
          <w:szCs w:val="26"/>
        </w:rPr>
        <w:t xml:space="preserve">”  The court affirmed its tentative ruling on June 7, 1999, clarifying the drawings and list would be admitted for the limited purposes of connecting Pops to Wilson’s residence where the items were seized, and to confirm the association between Pops and Wilson.  </w:t>
      </w:r>
    </w:p>
    <w:p w14:paraId="09FCA2C1" w14:textId="77777777" w:rsidR="00B616C6" w:rsidRPr="00A7631D" w:rsidRDefault="00B616C6" w:rsidP="00B520AA">
      <w:pPr>
        <w:pStyle w:val="Heading3"/>
        <w:keepLines/>
        <w:numPr>
          <w:ilvl w:val="0"/>
          <w:numId w:val="11"/>
        </w:numPr>
        <w:tabs>
          <w:tab w:val="clear" w:pos="1584"/>
        </w:tabs>
        <w:ind w:left="1584" w:hanging="432"/>
        <w:rPr>
          <w:i w:val="0"/>
          <w:iCs/>
          <w:szCs w:val="26"/>
        </w:rPr>
      </w:pPr>
      <w:bookmarkStart w:id="63" w:name="_Toc58846836"/>
      <w:bookmarkStart w:id="64" w:name="_Toc50617052"/>
      <w:r w:rsidRPr="00A7631D">
        <w:rPr>
          <w:iCs/>
          <w:szCs w:val="26"/>
        </w:rPr>
        <w:t>Discussion</w:t>
      </w:r>
      <w:bookmarkEnd w:id="63"/>
      <w:bookmarkEnd w:id="64"/>
    </w:p>
    <w:p w14:paraId="3BFC7DA3" w14:textId="1D9C9D70" w:rsidR="00B616C6" w:rsidRPr="00A7631D" w:rsidRDefault="00120986" w:rsidP="00B520AA">
      <w:pPr>
        <w:ind w:firstLine="720"/>
        <w:rPr>
          <w:szCs w:val="26"/>
        </w:rPr>
      </w:pPr>
      <w:r w:rsidRPr="00A7631D">
        <w:rPr>
          <w:szCs w:val="26"/>
        </w:rPr>
        <w:t>Wilson</w:t>
      </w:r>
      <w:r w:rsidR="00B616C6" w:rsidRPr="00A7631D">
        <w:rPr>
          <w:szCs w:val="26"/>
        </w:rPr>
        <w:t xml:space="preserve"> argues the trial court erred by admitting the drawings and list of names because they constituted improperly authenticated writings under Evidence Code sections 250 and 1401, and because they constituted inadmissible hearsay with no applicable exception justifying their admission</w:t>
      </w:r>
      <w:r w:rsidR="00386D6B" w:rsidRPr="00A7631D">
        <w:rPr>
          <w:szCs w:val="26"/>
        </w:rPr>
        <w:t>.  We</w:t>
      </w:r>
      <w:r w:rsidR="00B616C6" w:rsidRPr="00A7631D">
        <w:rPr>
          <w:szCs w:val="26"/>
        </w:rPr>
        <w:t xml:space="preserve"> conclude </w:t>
      </w:r>
      <w:r w:rsidRPr="00A7631D">
        <w:rPr>
          <w:szCs w:val="26"/>
        </w:rPr>
        <w:t>Wilson</w:t>
      </w:r>
      <w:r w:rsidR="00B616C6" w:rsidRPr="00A7631D">
        <w:rPr>
          <w:szCs w:val="26"/>
        </w:rPr>
        <w:t>’s arguments lack merit.</w:t>
      </w:r>
    </w:p>
    <w:p w14:paraId="606CA08B" w14:textId="57C48EC1" w:rsidR="00B616C6" w:rsidRPr="00A7631D" w:rsidRDefault="00B616C6" w:rsidP="00B520AA">
      <w:pPr>
        <w:ind w:firstLine="720"/>
        <w:rPr>
          <w:szCs w:val="26"/>
        </w:rPr>
      </w:pPr>
      <w:r w:rsidRPr="00A7631D">
        <w:rPr>
          <w:szCs w:val="26"/>
        </w:rPr>
        <w:t>Evidence Code section 250 defines a “</w:t>
      </w:r>
      <w:r w:rsidR="00005707">
        <w:rPr>
          <w:szCs w:val="26"/>
        </w:rPr>
        <w:t> </w:t>
      </w:r>
      <w:r w:rsidRPr="00A7631D">
        <w:rPr>
          <w:szCs w:val="26"/>
        </w:rPr>
        <w:t>‘writing’</w:t>
      </w:r>
      <w:r w:rsidR="00005707">
        <w:rPr>
          <w:szCs w:val="26"/>
        </w:rPr>
        <w:t> </w:t>
      </w:r>
      <w:r w:rsidRPr="00A7631D">
        <w:rPr>
          <w:szCs w:val="26"/>
        </w:rPr>
        <w:t>” to include “every . . . means of recording upon any tangible thing, any form of communication or representation, including letters, words, pictures, . . . or combinations thereof, and any record thereby created, regardless of the manner in which the record has been stored.”  “</w:t>
      </w:r>
      <w:r w:rsidRPr="00A7631D">
        <w:rPr>
          <w:szCs w:val="26"/>
          <w:shd w:val="clear" w:color="auto" w:fill="FFFFFF"/>
        </w:rPr>
        <w:t xml:space="preserve">Authentication of a writing is required before it may be received in evidence.”  (Evid. Code, § 1401, </w:t>
      </w:r>
      <w:proofErr w:type="spellStart"/>
      <w:r w:rsidRPr="00A7631D">
        <w:rPr>
          <w:szCs w:val="26"/>
          <w:shd w:val="clear" w:color="auto" w:fill="FFFFFF"/>
        </w:rPr>
        <w:t>subd</w:t>
      </w:r>
      <w:proofErr w:type="spellEnd"/>
      <w:r w:rsidRPr="00A7631D">
        <w:rPr>
          <w:szCs w:val="26"/>
          <w:shd w:val="clear" w:color="auto" w:fill="FFFFFF"/>
        </w:rPr>
        <w:t xml:space="preserve">. (a).)  </w:t>
      </w:r>
      <w:r w:rsidRPr="00A7631D">
        <w:rPr>
          <w:szCs w:val="26"/>
        </w:rPr>
        <w:t>“</w:t>
      </w:r>
      <w:r w:rsidRPr="00A7631D">
        <w:rPr>
          <w:szCs w:val="26"/>
          <w:shd w:val="clear" w:color="auto" w:fill="FFFFFF"/>
        </w:rPr>
        <w:t>Authentication . . . means . . . the introduction of evidence sufficient to sustain a finding that it is the writing that the proponent of the evidence claims it is . . . .”  (Evid. Code, § 1400.)</w:t>
      </w:r>
    </w:p>
    <w:p w14:paraId="4257D587" w14:textId="2854A851" w:rsidR="00B616C6" w:rsidRPr="00A7631D" w:rsidRDefault="00120986" w:rsidP="00B520AA">
      <w:pPr>
        <w:ind w:firstLine="720"/>
        <w:rPr>
          <w:szCs w:val="26"/>
          <w:bdr w:val="none" w:sz="0" w:space="0" w:color="auto" w:frame="1"/>
          <w:shd w:val="clear" w:color="auto" w:fill="FFFFFF"/>
        </w:rPr>
      </w:pPr>
      <w:r w:rsidRPr="00A7631D">
        <w:rPr>
          <w:szCs w:val="26"/>
        </w:rPr>
        <w:t>Wilson</w:t>
      </w:r>
      <w:r w:rsidR="00B616C6" w:rsidRPr="00A7631D">
        <w:rPr>
          <w:szCs w:val="26"/>
        </w:rPr>
        <w:t xml:space="preserve"> argues that the list and drawings were writings within the meaning of Evidence Code section 250 but were inadmissible because they were not properly authenticated.  He argues there was no direct evidence the documents were authored by him, and neither the location in which they were </w:t>
      </w:r>
      <w:proofErr w:type="gramStart"/>
      <w:r w:rsidR="00B616C6" w:rsidRPr="00A7631D">
        <w:rPr>
          <w:szCs w:val="26"/>
        </w:rPr>
        <w:t>found</w:t>
      </w:r>
      <w:proofErr w:type="gramEnd"/>
      <w:r w:rsidR="00B616C6" w:rsidRPr="00A7631D">
        <w:rPr>
          <w:szCs w:val="26"/>
        </w:rPr>
        <w:t xml:space="preserve"> nor their accessibility </w:t>
      </w:r>
      <w:r w:rsidR="0032304D" w:rsidRPr="00A7631D">
        <w:rPr>
          <w:szCs w:val="26"/>
        </w:rPr>
        <w:t>was</w:t>
      </w:r>
      <w:r w:rsidR="00B616C6" w:rsidRPr="00A7631D">
        <w:rPr>
          <w:szCs w:val="26"/>
        </w:rPr>
        <w:t xml:space="preserve"> sufficient to prove ownership.  We review a trial court’s determination that a document constitutes a writing and that it is properly authenticated under </w:t>
      </w:r>
      <w:r w:rsidR="00B616C6" w:rsidRPr="00A7631D">
        <w:rPr>
          <w:szCs w:val="26"/>
        </w:rPr>
        <w:lastRenderedPageBreak/>
        <w:t>the abuse of discretion standard.  (</w:t>
      </w:r>
      <w:r w:rsidR="00B616C6" w:rsidRPr="00A7631D">
        <w:rPr>
          <w:i/>
          <w:iCs/>
          <w:szCs w:val="26"/>
        </w:rPr>
        <w:t>People v.</w:t>
      </w:r>
      <w:r w:rsidR="00B616C6" w:rsidRPr="00A7631D">
        <w:rPr>
          <w:szCs w:val="26"/>
        </w:rPr>
        <w:t xml:space="preserve"> </w:t>
      </w:r>
      <w:r w:rsidR="00B616C6" w:rsidRPr="00A7631D">
        <w:rPr>
          <w:i/>
          <w:iCs/>
          <w:szCs w:val="26"/>
        </w:rPr>
        <w:t xml:space="preserve">Lucas </w:t>
      </w:r>
      <w:r w:rsidR="00B616C6" w:rsidRPr="00A7631D">
        <w:rPr>
          <w:szCs w:val="26"/>
        </w:rPr>
        <w:t xml:space="preserve">(1995) 12 </w:t>
      </w:r>
      <w:r w:rsidR="003E3F47" w:rsidRPr="00A7631D">
        <w:rPr>
          <w:szCs w:val="26"/>
        </w:rPr>
        <w:t>Cal</w:t>
      </w:r>
      <w:r w:rsidR="00B616C6" w:rsidRPr="00A7631D">
        <w:rPr>
          <w:szCs w:val="26"/>
        </w:rPr>
        <w:t xml:space="preserve">.4th 415, 466; see </w:t>
      </w:r>
      <w:r w:rsidR="00B616C6" w:rsidRPr="00A7631D">
        <w:rPr>
          <w:i/>
          <w:iCs/>
          <w:szCs w:val="26"/>
        </w:rPr>
        <w:t>People</w:t>
      </w:r>
      <w:r w:rsidR="00B616C6" w:rsidRPr="006E56CF">
        <w:rPr>
          <w:i/>
          <w:iCs/>
          <w:szCs w:val="26"/>
        </w:rPr>
        <w:t xml:space="preserve"> </w:t>
      </w:r>
      <w:r w:rsidR="00B616C6" w:rsidRPr="0033058D">
        <w:rPr>
          <w:i/>
          <w:iCs/>
          <w:szCs w:val="26"/>
        </w:rPr>
        <w:t xml:space="preserve">v. </w:t>
      </w:r>
      <w:r w:rsidR="00B616C6" w:rsidRPr="00A7631D">
        <w:rPr>
          <w:i/>
          <w:iCs/>
          <w:szCs w:val="26"/>
        </w:rPr>
        <w:t xml:space="preserve">Guerra </w:t>
      </w:r>
      <w:r w:rsidR="00B616C6" w:rsidRPr="00A7631D">
        <w:rPr>
          <w:szCs w:val="26"/>
        </w:rPr>
        <w:t xml:space="preserve">(2006) 37 </w:t>
      </w:r>
      <w:r w:rsidR="00384B37" w:rsidRPr="00A7631D">
        <w:rPr>
          <w:szCs w:val="26"/>
        </w:rPr>
        <w:t>Cal</w:t>
      </w:r>
      <w:r w:rsidR="00B616C6" w:rsidRPr="00A7631D">
        <w:rPr>
          <w:szCs w:val="26"/>
        </w:rPr>
        <w:t xml:space="preserve">.4th 1067, 1113 [“The abuse of discretion standard of review applies to any ruling by a trial court on the admissibility of evidence”].)  </w:t>
      </w:r>
      <w:r w:rsidR="00B616C6" w:rsidRPr="00A7631D">
        <w:rPr>
          <w:szCs w:val="26"/>
          <w:shd w:val="clear" w:color="auto" w:fill="FFFFFF"/>
        </w:rPr>
        <w:t xml:space="preserve">Under this standard, a trial court’s ruling will not be disturbed, and reversal of the judgment is not required, unless the trial court exercised its discretion in an arbitrary, capricious, or patently absurd manner that resulted in a manifest </w:t>
      </w:r>
      <w:proofErr w:type="gramStart"/>
      <w:r w:rsidR="00B616C6" w:rsidRPr="00A7631D">
        <w:rPr>
          <w:szCs w:val="26"/>
          <w:shd w:val="clear" w:color="auto" w:fill="FFFFFF"/>
        </w:rPr>
        <w:t>miscarriage of justice</w:t>
      </w:r>
      <w:proofErr w:type="gramEnd"/>
      <w:r w:rsidR="00B616C6" w:rsidRPr="00A7631D">
        <w:rPr>
          <w:szCs w:val="26"/>
          <w:shd w:val="clear" w:color="auto" w:fill="FFFFFF"/>
        </w:rPr>
        <w:t xml:space="preserve">.  </w:t>
      </w:r>
      <w:r w:rsidR="00B616C6" w:rsidRPr="00A7631D">
        <w:rPr>
          <w:szCs w:val="26"/>
          <w:bdr w:val="none" w:sz="0" w:space="0" w:color="auto" w:frame="1"/>
          <w:shd w:val="clear" w:color="auto" w:fill="FFFFFF"/>
        </w:rPr>
        <w:t>(</w:t>
      </w:r>
      <w:r w:rsidR="00B616C6" w:rsidRPr="00A7631D">
        <w:rPr>
          <w:i/>
          <w:iCs/>
          <w:szCs w:val="26"/>
          <w:bdr w:val="none" w:sz="0" w:space="0" w:color="auto" w:frame="1"/>
          <w:shd w:val="clear" w:color="auto" w:fill="FFFFFF"/>
        </w:rPr>
        <w:t>People v. Guerra</w:t>
      </w:r>
      <w:r w:rsidR="00B616C6" w:rsidRPr="00A7631D">
        <w:rPr>
          <w:szCs w:val="26"/>
          <w:bdr w:val="none" w:sz="0" w:space="0" w:color="auto" w:frame="1"/>
          <w:shd w:val="clear" w:color="auto" w:fill="FFFFFF"/>
        </w:rPr>
        <w:t xml:space="preserve">, </w:t>
      </w:r>
      <w:r w:rsidR="00B616C6" w:rsidRPr="00A7631D">
        <w:rPr>
          <w:i/>
          <w:iCs/>
          <w:szCs w:val="26"/>
          <w:bdr w:val="none" w:sz="0" w:space="0" w:color="auto" w:frame="1"/>
          <w:shd w:val="clear" w:color="auto" w:fill="FFFFFF"/>
        </w:rPr>
        <w:t>supra</w:t>
      </w:r>
      <w:r w:rsidR="00B616C6" w:rsidRPr="00A7631D">
        <w:rPr>
          <w:szCs w:val="26"/>
          <w:bdr w:val="none" w:sz="0" w:space="0" w:color="auto" w:frame="1"/>
          <w:shd w:val="clear" w:color="auto" w:fill="FFFFFF"/>
        </w:rPr>
        <w:t xml:space="preserve">, at p. 1113, citing </w:t>
      </w:r>
      <w:r w:rsidR="00B616C6" w:rsidRPr="00A7631D">
        <w:rPr>
          <w:rStyle w:val="Emphasis"/>
          <w:szCs w:val="26"/>
          <w:bdr w:val="none" w:sz="0" w:space="0" w:color="auto" w:frame="1"/>
          <w:shd w:val="clear" w:color="auto" w:fill="FFFFFF"/>
        </w:rPr>
        <w:t>People v. Rodriguez</w:t>
      </w:r>
      <w:r w:rsidR="00B616C6" w:rsidRPr="00A7631D">
        <w:rPr>
          <w:szCs w:val="26"/>
          <w:bdr w:val="none" w:sz="0" w:space="0" w:color="auto" w:frame="1"/>
          <w:shd w:val="clear" w:color="auto" w:fill="FFFFFF"/>
        </w:rPr>
        <w:t> (1999) 20 Cal.4th 1, 9</w:t>
      </w:r>
      <w:r w:rsidR="0034021F" w:rsidRPr="00A7631D">
        <w:rPr>
          <w:szCs w:val="26"/>
          <w:bdr w:val="none" w:sz="0" w:space="0" w:color="auto" w:frame="1"/>
          <w:shd w:val="clear" w:color="auto" w:fill="FFFFFF"/>
        </w:rPr>
        <w:softHyphen/>
      </w:r>
      <w:r w:rsidR="00CC4A36">
        <w:rPr>
          <w:szCs w:val="26"/>
          <w:bdr w:val="none" w:sz="0" w:space="0" w:color="auto" w:frame="1"/>
          <w:shd w:val="clear" w:color="auto" w:fill="FFFFFF"/>
        </w:rPr>
        <w:t>–</w:t>
      </w:r>
      <w:r w:rsidR="00B616C6" w:rsidRPr="00A7631D">
        <w:rPr>
          <w:szCs w:val="26"/>
          <w:bdr w:val="none" w:sz="0" w:space="0" w:color="auto" w:frame="1"/>
          <w:shd w:val="clear" w:color="auto" w:fill="FFFFFF"/>
        </w:rPr>
        <w:t xml:space="preserve">10.) </w:t>
      </w:r>
    </w:p>
    <w:p w14:paraId="3EA77E80" w14:textId="67537BDD" w:rsidR="00B616C6" w:rsidRPr="00A7631D" w:rsidRDefault="00B616C6" w:rsidP="00B520AA">
      <w:pPr>
        <w:ind w:firstLine="720"/>
        <w:rPr>
          <w:szCs w:val="26"/>
        </w:rPr>
      </w:pPr>
      <w:r w:rsidRPr="00A7631D">
        <w:rPr>
          <w:szCs w:val="26"/>
        </w:rPr>
        <w:t>A</w:t>
      </w:r>
      <w:r w:rsidRPr="00A7631D">
        <w:rPr>
          <w:szCs w:val="26"/>
          <w:shd w:val="clear" w:color="auto" w:fill="FFFFFF"/>
        </w:rPr>
        <w:t xml:space="preserve"> writing can be authenticated by circumstantial evidence and by its contents.</w:t>
      </w:r>
      <w:r w:rsidRPr="00A7631D">
        <w:rPr>
          <w:i/>
          <w:iCs/>
          <w:szCs w:val="26"/>
        </w:rPr>
        <w:t xml:space="preserve"> </w:t>
      </w:r>
      <w:r w:rsidR="00A70311" w:rsidRPr="00A7631D">
        <w:rPr>
          <w:i/>
          <w:iCs/>
          <w:szCs w:val="26"/>
        </w:rPr>
        <w:t xml:space="preserve"> </w:t>
      </w:r>
      <w:r w:rsidRPr="00A7631D">
        <w:rPr>
          <w:szCs w:val="26"/>
        </w:rPr>
        <w:t>(</w:t>
      </w:r>
      <w:r w:rsidRPr="00A7631D">
        <w:rPr>
          <w:i/>
          <w:iCs/>
          <w:szCs w:val="26"/>
        </w:rPr>
        <w:t>People v. Skiles</w:t>
      </w:r>
      <w:r w:rsidRPr="00A7631D">
        <w:rPr>
          <w:szCs w:val="26"/>
        </w:rPr>
        <w:t xml:space="preserve"> (2011) 51 Cal.4th 1178, 1187.)  </w:t>
      </w:r>
      <w:r w:rsidR="00120986" w:rsidRPr="00A7631D">
        <w:rPr>
          <w:szCs w:val="26"/>
          <w:shd w:val="clear" w:color="auto" w:fill="FFFFFF"/>
        </w:rPr>
        <w:t>Wilson</w:t>
      </w:r>
      <w:r w:rsidRPr="00A7631D">
        <w:rPr>
          <w:szCs w:val="26"/>
          <w:shd w:val="clear" w:color="auto" w:fill="FFFFFF"/>
        </w:rPr>
        <w:t xml:space="preserve"> argues </w:t>
      </w:r>
      <w:r w:rsidR="002E4F98" w:rsidRPr="00A7631D">
        <w:rPr>
          <w:szCs w:val="26"/>
          <w:shd w:val="clear" w:color="auto" w:fill="FFFFFF"/>
        </w:rPr>
        <w:t>proof</w:t>
      </w:r>
      <w:r w:rsidRPr="00A7631D">
        <w:rPr>
          <w:szCs w:val="26"/>
          <w:shd w:val="clear" w:color="auto" w:fill="FFFFFF"/>
        </w:rPr>
        <w:t xml:space="preserve"> of authentication was flawed because </w:t>
      </w:r>
      <w:r w:rsidR="002E4F98" w:rsidRPr="00A7631D">
        <w:rPr>
          <w:szCs w:val="26"/>
          <w:shd w:val="clear" w:color="auto" w:fill="FFFFFF"/>
        </w:rPr>
        <w:t>no evidence demonstrated</w:t>
      </w:r>
      <w:r w:rsidRPr="00A7631D">
        <w:rPr>
          <w:szCs w:val="26"/>
          <w:shd w:val="clear" w:color="auto" w:fill="FFFFFF"/>
        </w:rPr>
        <w:t xml:space="preserve"> that he brought the tablet into the residence or that it belonged to him, and nothing suggested that he authored the writings.</w:t>
      </w:r>
    </w:p>
    <w:p w14:paraId="3AACC1E7" w14:textId="676B1123" w:rsidR="00B616C6" w:rsidRPr="00A7631D" w:rsidRDefault="00B616C6" w:rsidP="00B520AA">
      <w:pPr>
        <w:ind w:firstLine="720"/>
        <w:rPr>
          <w:szCs w:val="26"/>
        </w:rPr>
      </w:pPr>
      <w:r w:rsidRPr="00A7631D">
        <w:rPr>
          <w:szCs w:val="26"/>
          <w:bdr w:val="none" w:sz="0" w:space="0" w:color="auto" w:frame="1"/>
          <w:shd w:val="clear" w:color="auto" w:fill="FFFFFF"/>
        </w:rPr>
        <w:t xml:space="preserve">As </w:t>
      </w:r>
      <w:r w:rsidR="00120986" w:rsidRPr="00A7631D">
        <w:rPr>
          <w:szCs w:val="26"/>
          <w:bdr w:val="none" w:sz="0" w:space="0" w:color="auto" w:frame="1"/>
          <w:shd w:val="clear" w:color="auto" w:fill="FFFFFF"/>
        </w:rPr>
        <w:t>Wilson</w:t>
      </w:r>
      <w:r w:rsidRPr="00A7631D">
        <w:rPr>
          <w:szCs w:val="26"/>
          <w:bdr w:val="none" w:sz="0" w:space="0" w:color="auto" w:frame="1"/>
          <w:shd w:val="clear" w:color="auto" w:fill="FFFFFF"/>
        </w:rPr>
        <w:t xml:space="preserve"> concedes, </w:t>
      </w:r>
      <w:r w:rsidR="00930B95">
        <w:rPr>
          <w:szCs w:val="26"/>
          <w:bdr w:val="none" w:sz="0" w:space="0" w:color="auto" w:frame="1"/>
          <w:shd w:val="clear" w:color="auto" w:fill="FFFFFF"/>
        </w:rPr>
        <w:t xml:space="preserve">however, </w:t>
      </w:r>
      <w:r w:rsidRPr="00A7631D">
        <w:rPr>
          <w:szCs w:val="26"/>
          <w:bdr w:val="none" w:sz="0" w:space="0" w:color="auto" w:frame="1"/>
          <w:shd w:val="clear" w:color="auto" w:fill="FFFFFF"/>
        </w:rPr>
        <w:t xml:space="preserve">authentication of a writing can </w:t>
      </w:r>
      <w:proofErr w:type="gramStart"/>
      <w:r w:rsidRPr="00A7631D">
        <w:rPr>
          <w:szCs w:val="26"/>
          <w:bdr w:val="none" w:sz="0" w:space="0" w:color="auto" w:frame="1"/>
          <w:shd w:val="clear" w:color="auto" w:fill="FFFFFF"/>
        </w:rPr>
        <w:t>occur</w:t>
      </w:r>
      <w:proofErr w:type="gramEnd"/>
      <w:r w:rsidRPr="00A7631D">
        <w:rPr>
          <w:szCs w:val="26"/>
          <w:bdr w:val="none" w:sz="0" w:space="0" w:color="auto" w:frame="1"/>
          <w:shd w:val="clear" w:color="auto" w:fill="FFFFFF"/>
        </w:rPr>
        <w:t xml:space="preserve"> via numerous methods, including presentation of circumstantial evidence, and by introducing evidence </w:t>
      </w:r>
      <w:r w:rsidR="0064640E" w:rsidRPr="00A7631D">
        <w:rPr>
          <w:szCs w:val="26"/>
          <w:bdr w:val="none" w:sz="0" w:space="0" w:color="auto" w:frame="1"/>
          <w:shd w:val="clear" w:color="auto" w:fill="FFFFFF"/>
        </w:rPr>
        <w:t>showing</w:t>
      </w:r>
      <w:r w:rsidRPr="00A7631D">
        <w:rPr>
          <w:szCs w:val="26"/>
          <w:bdr w:val="none" w:sz="0" w:space="0" w:color="auto" w:frame="1"/>
          <w:shd w:val="clear" w:color="auto" w:fill="FFFFFF"/>
        </w:rPr>
        <w:t xml:space="preserve"> where documents were found or by whom they were authored.  Here, the trial court concluded that the list of names and drawings were properly authenticated by location, content, and circumstantial evidence.  </w:t>
      </w:r>
      <w:r w:rsidRPr="00A7631D">
        <w:rPr>
          <w:szCs w:val="26"/>
        </w:rPr>
        <w:t xml:space="preserve">The writing tablet was found in Wilson’s residence.  The prosecution had two witnesses testify as to the contents of the drawings and the list.  Tanesha Martin testified that she believed Pops was the man depicted in the drawing entitled “Nut LOCO” who was holding a gun.  Martin testified that the drawing entitled “Nut and the Monster Beefy” looked </w:t>
      </w:r>
      <w:r w:rsidR="00E57AB9" w:rsidRPr="00A7631D">
        <w:rPr>
          <w:szCs w:val="26"/>
        </w:rPr>
        <w:t xml:space="preserve">a bit </w:t>
      </w:r>
      <w:r w:rsidRPr="00A7631D">
        <w:rPr>
          <w:szCs w:val="26"/>
        </w:rPr>
        <w:t xml:space="preserve">like Pops and his Camaro.  Barnes also identified Pops as the male figure in the drawing entitled “Nut and the Monster Beefy.” </w:t>
      </w:r>
      <w:r w:rsidR="00B576F5">
        <w:rPr>
          <w:szCs w:val="26"/>
        </w:rPr>
        <w:t xml:space="preserve"> </w:t>
      </w:r>
      <w:r w:rsidRPr="00A7631D">
        <w:rPr>
          <w:szCs w:val="26"/>
        </w:rPr>
        <w:t xml:space="preserve">Barnes additionally identified the car in the </w:t>
      </w:r>
      <w:r w:rsidRPr="00A7631D">
        <w:rPr>
          <w:szCs w:val="26"/>
        </w:rPr>
        <w:lastRenderedPageBreak/>
        <w:t xml:space="preserve">drawing as </w:t>
      </w:r>
      <w:proofErr w:type="spellStart"/>
      <w:r w:rsidRPr="00A7631D">
        <w:rPr>
          <w:szCs w:val="26"/>
        </w:rPr>
        <w:t>Pops’s</w:t>
      </w:r>
      <w:proofErr w:type="spellEnd"/>
      <w:r w:rsidRPr="00A7631D">
        <w:rPr>
          <w:szCs w:val="26"/>
        </w:rPr>
        <w:t xml:space="preserve"> Camaro with the IROC rims. Barnes identified the letters “Y.M.O.” on the drawing of the forearm shooting a gun to mean “Young Mafia Organization,” a group to which Barnes, Pops, Wilson, and Harris belonged. </w:t>
      </w:r>
      <w:r w:rsidR="00B576F5">
        <w:rPr>
          <w:szCs w:val="26"/>
        </w:rPr>
        <w:t xml:space="preserve"> </w:t>
      </w:r>
      <w:r w:rsidRPr="00A7631D">
        <w:rPr>
          <w:szCs w:val="26"/>
        </w:rPr>
        <w:t xml:space="preserve">The parties stipulated that Pops had the letters “Y M O” tattooed on both of his forearms.  As to the list of monikers, Barnes testified that the nickname “Nut” on the list was Pops, the nickname “Scrap” was </w:t>
      </w:r>
      <w:proofErr w:type="spellStart"/>
      <w:r w:rsidRPr="00A7631D">
        <w:rPr>
          <w:szCs w:val="26"/>
        </w:rPr>
        <w:t>Pops’s</w:t>
      </w:r>
      <w:proofErr w:type="spellEnd"/>
      <w:r w:rsidRPr="00A7631D">
        <w:rPr>
          <w:szCs w:val="26"/>
        </w:rPr>
        <w:t xml:space="preserve"> brother Harris, the nickname “Bird” was Wilson, and the nickname “</w:t>
      </w:r>
      <w:proofErr w:type="spellStart"/>
      <w:r w:rsidRPr="00A7631D">
        <w:rPr>
          <w:szCs w:val="26"/>
        </w:rPr>
        <w:t>Sm</w:t>
      </w:r>
      <w:r w:rsidR="00586D7E" w:rsidRPr="00A7631D">
        <w:rPr>
          <w:szCs w:val="26"/>
        </w:rPr>
        <w:t>e</w:t>
      </w:r>
      <w:r w:rsidRPr="00A7631D">
        <w:rPr>
          <w:szCs w:val="26"/>
        </w:rPr>
        <w:t>rf</w:t>
      </w:r>
      <w:proofErr w:type="spellEnd"/>
      <w:r w:rsidRPr="00A7631D">
        <w:rPr>
          <w:szCs w:val="26"/>
        </w:rPr>
        <w:t xml:space="preserve">” was Barnes’s own nickname. </w:t>
      </w:r>
      <w:r w:rsidR="003E3F47" w:rsidRPr="00A7631D">
        <w:rPr>
          <w:szCs w:val="26"/>
        </w:rPr>
        <w:t xml:space="preserve"> </w:t>
      </w:r>
      <w:r w:rsidRPr="00A7631D">
        <w:rPr>
          <w:szCs w:val="26"/>
        </w:rPr>
        <w:t xml:space="preserve"> </w:t>
      </w:r>
    </w:p>
    <w:p w14:paraId="109786C0" w14:textId="1C54EBDA" w:rsidR="00B616C6" w:rsidRPr="00A7631D" w:rsidRDefault="00B616C6" w:rsidP="00B520AA">
      <w:pPr>
        <w:ind w:firstLine="720"/>
        <w:rPr>
          <w:szCs w:val="26"/>
        </w:rPr>
      </w:pPr>
      <w:r w:rsidRPr="00A7631D">
        <w:rPr>
          <w:szCs w:val="26"/>
        </w:rPr>
        <w:t xml:space="preserve"> The trial court did not abuse its discretion by concluding the writings were adequately authenticated. </w:t>
      </w:r>
      <w:r w:rsidR="00276C39">
        <w:rPr>
          <w:szCs w:val="26"/>
        </w:rPr>
        <w:t xml:space="preserve"> </w:t>
      </w:r>
      <w:r w:rsidR="002427D5">
        <w:rPr>
          <w:szCs w:val="26"/>
        </w:rPr>
        <w:t>The purpose for which any writing is admitted “</w:t>
      </w:r>
      <w:r w:rsidR="00581D20" w:rsidRPr="00581D20">
        <w:rPr>
          <w:szCs w:val="26"/>
        </w:rPr>
        <w:t>will determine what must be shown for authentication</w:t>
      </w:r>
      <w:r w:rsidR="002427D5">
        <w:rPr>
          <w:szCs w:val="26"/>
        </w:rPr>
        <w:t>.”  (</w:t>
      </w:r>
      <w:r w:rsidR="002427D5" w:rsidRPr="006A0A8F">
        <w:rPr>
          <w:i/>
          <w:iCs/>
          <w:szCs w:val="26"/>
        </w:rPr>
        <w:t>People v. Goldsmith</w:t>
      </w:r>
      <w:r w:rsidR="002427D5" w:rsidRPr="00581D20">
        <w:rPr>
          <w:szCs w:val="26"/>
        </w:rPr>
        <w:t xml:space="preserve"> (2014) 59 Cal.4th 258, 267</w:t>
      </w:r>
      <w:r w:rsidR="002427D5">
        <w:rPr>
          <w:szCs w:val="26"/>
        </w:rPr>
        <w:t xml:space="preserve">.)  A </w:t>
      </w:r>
      <w:r w:rsidR="00581D20" w:rsidRPr="00581D20">
        <w:rPr>
          <w:szCs w:val="26"/>
        </w:rPr>
        <w:t xml:space="preserve">trier of fact </w:t>
      </w:r>
      <w:r w:rsidR="002427D5">
        <w:rPr>
          <w:szCs w:val="26"/>
        </w:rPr>
        <w:t xml:space="preserve">must be able </w:t>
      </w:r>
      <w:r w:rsidR="005A76D0">
        <w:rPr>
          <w:szCs w:val="26"/>
        </w:rPr>
        <w:t xml:space="preserve">to determine that a writing is what it appears to be. </w:t>
      </w:r>
      <w:r w:rsidR="00A67E04">
        <w:rPr>
          <w:szCs w:val="26"/>
        </w:rPr>
        <w:t xml:space="preserve"> (</w:t>
      </w:r>
      <w:r w:rsidR="00A67E04">
        <w:rPr>
          <w:i/>
          <w:iCs/>
          <w:szCs w:val="26"/>
        </w:rPr>
        <w:t>Ibid</w:t>
      </w:r>
      <w:r w:rsidR="00A67E04">
        <w:rPr>
          <w:szCs w:val="26"/>
        </w:rPr>
        <w:t xml:space="preserve">.)  </w:t>
      </w:r>
      <w:r w:rsidR="00581D20" w:rsidRPr="00581D20">
        <w:rPr>
          <w:szCs w:val="26"/>
        </w:rPr>
        <w:t>“</w:t>
      </w:r>
      <w:r w:rsidR="00005707">
        <w:rPr>
          <w:szCs w:val="26"/>
        </w:rPr>
        <w:t> </w:t>
      </w:r>
      <w:r w:rsidR="00A67E04">
        <w:rPr>
          <w:szCs w:val="26"/>
        </w:rPr>
        <w:t>‘</w:t>
      </w:r>
      <w:r w:rsidR="00581D20" w:rsidRPr="00581D20">
        <w:rPr>
          <w:szCs w:val="26"/>
        </w:rPr>
        <w:t>As long as the evidence would support a finding of authenticity, the writing is admissible.</w:t>
      </w:r>
      <w:r w:rsidR="005A76D0">
        <w:rPr>
          <w:szCs w:val="26"/>
        </w:rPr>
        <w:t>’</w:t>
      </w:r>
      <w:r w:rsidR="00D17A52">
        <w:rPr>
          <w:szCs w:val="26"/>
        </w:rPr>
        <w:t> </w:t>
      </w:r>
      <w:r w:rsidR="00242B9C">
        <w:rPr>
          <w:szCs w:val="26"/>
        </w:rPr>
        <w:t>”  (</w:t>
      </w:r>
      <w:r w:rsidR="00BA2668">
        <w:rPr>
          <w:i/>
          <w:iCs/>
          <w:szCs w:val="26"/>
        </w:rPr>
        <w:t>Ibid.</w:t>
      </w:r>
      <w:r w:rsidR="00242B9C">
        <w:rPr>
          <w:szCs w:val="26"/>
        </w:rPr>
        <w:t>)</w:t>
      </w:r>
      <w:r w:rsidRPr="00A7631D">
        <w:rPr>
          <w:szCs w:val="26"/>
        </w:rPr>
        <w:t xml:space="preserve"> </w:t>
      </w:r>
      <w:r w:rsidR="005A76D0">
        <w:rPr>
          <w:szCs w:val="26"/>
        </w:rPr>
        <w:t xml:space="preserve"> </w:t>
      </w:r>
      <w:r w:rsidR="00242B9C">
        <w:rPr>
          <w:szCs w:val="26"/>
        </w:rPr>
        <w:t>Here, t</w:t>
      </w:r>
      <w:r w:rsidR="006B625E" w:rsidRPr="00A7631D">
        <w:rPr>
          <w:szCs w:val="26"/>
        </w:rPr>
        <w:t xml:space="preserve">he location of the documents supported authentication:  </w:t>
      </w:r>
      <w:r w:rsidR="003723DB" w:rsidRPr="00A7631D">
        <w:rPr>
          <w:szCs w:val="26"/>
        </w:rPr>
        <w:t>law enforcement officials</w:t>
      </w:r>
      <w:r w:rsidRPr="00A7631D">
        <w:rPr>
          <w:szCs w:val="26"/>
        </w:rPr>
        <w:t xml:space="preserve"> found</w:t>
      </w:r>
      <w:r w:rsidR="003723DB" w:rsidRPr="00A7631D">
        <w:rPr>
          <w:szCs w:val="26"/>
        </w:rPr>
        <w:t xml:space="preserve"> them</w:t>
      </w:r>
      <w:r w:rsidRPr="00A7631D">
        <w:rPr>
          <w:szCs w:val="26"/>
        </w:rPr>
        <w:t xml:space="preserve"> in Wilson’s residence</w:t>
      </w:r>
      <w:r w:rsidR="002A4310" w:rsidRPr="00A7631D">
        <w:rPr>
          <w:szCs w:val="26"/>
        </w:rPr>
        <w:t>.  The content of the documents also supported authentication:  they</w:t>
      </w:r>
      <w:r w:rsidRPr="00A7631D">
        <w:rPr>
          <w:szCs w:val="26"/>
        </w:rPr>
        <w:t xml:space="preserve"> referenced Wilson, Pops, and </w:t>
      </w:r>
      <w:r w:rsidR="001B7B9E" w:rsidRPr="00A7631D">
        <w:rPr>
          <w:szCs w:val="26"/>
        </w:rPr>
        <w:t xml:space="preserve">other </w:t>
      </w:r>
      <w:r w:rsidRPr="00A7631D">
        <w:rPr>
          <w:szCs w:val="26"/>
        </w:rPr>
        <w:t>witnesses.</w:t>
      </w:r>
      <w:r w:rsidR="001B7B9E" w:rsidRPr="00A7631D">
        <w:rPr>
          <w:szCs w:val="26"/>
        </w:rPr>
        <w:t xml:space="preserve">  Finally, Pops and Wilson</w:t>
      </w:r>
      <w:r w:rsidR="00720943" w:rsidRPr="00A7631D">
        <w:rPr>
          <w:szCs w:val="26"/>
        </w:rPr>
        <w:t xml:space="preserve"> were connected by circumstantial evidence</w:t>
      </w:r>
      <w:r w:rsidR="001B7B9E" w:rsidRPr="00A7631D">
        <w:rPr>
          <w:szCs w:val="26"/>
        </w:rPr>
        <w:t>.  In addition to the documents’ contents,</w:t>
      </w:r>
      <w:r w:rsidRPr="00A7631D">
        <w:rPr>
          <w:szCs w:val="26"/>
        </w:rPr>
        <w:t xml:space="preserve"> Martin’s and Barnes’s testimony confirmed that the drawings depicted Pops, and the list referred to Pops, Wilson, Barnes, and Harris.  (Evid. Code</w:t>
      </w:r>
      <w:r w:rsidR="003E3F47" w:rsidRPr="00A7631D">
        <w:rPr>
          <w:szCs w:val="26"/>
        </w:rPr>
        <w:t>,</w:t>
      </w:r>
      <w:r w:rsidRPr="00A7631D">
        <w:rPr>
          <w:szCs w:val="26"/>
        </w:rPr>
        <w:t xml:space="preserve"> §§ 1400, 1410, 1421.)  </w:t>
      </w:r>
      <w:r w:rsidR="003D055D" w:rsidRPr="00A7631D">
        <w:rPr>
          <w:szCs w:val="26"/>
        </w:rPr>
        <w:t>Accordingly, we conclude</w:t>
      </w:r>
      <w:r w:rsidRPr="00A7631D">
        <w:rPr>
          <w:szCs w:val="26"/>
        </w:rPr>
        <w:t xml:space="preserve"> </w:t>
      </w:r>
      <w:r w:rsidR="00A401FB" w:rsidRPr="00A7631D">
        <w:rPr>
          <w:szCs w:val="26"/>
        </w:rPr>
        <w:t xml:space="preserve">the trial court did not err in finding </w:t>
      </w:r>
      <w:r w:rsidRPr="00A7631D">
        <w:rPr>
          <w:szCs w:val="26"/>
        </w:rPr>
        <w:t xml:space="preserve">the documents were properly authenticated. </w:t>
      </w:r>
    </w:p>
    <w:p w14:paraId="20192056" w14:textId="417C5EF1" w:rsidR="00B616C6" w:rsidRPr="00C179AC" w:rsidRDefault="00120986" w:rsidP="00C179AC">
      <w:pPr>
        <w:pStyle w:val="paragraph"/>
        <w:spacing w:before="0" w:beforeAutospacing="0" w:afterAutospacing="0"/>
        <w:ind w:firstLine="720"/>
        <w:textAlignment w:val="baseline"/>
        <w:rPr>
          <w:sz w:val="27"/>
        </w:rPr>
      </w:pPr>
      <w:r w:rsidRPr="00C179AC">
        <w:rPr>
          <w:sz w:val="27"/>
        </w:rPr>
        <w:t>Wilson</w:t>
      </w:r>
      <w:r w:rsidR="00B616C6" w:rsidRPr="00C179AC">
        <w:rPr>
          <w:sz w:val="27"/>
        </w:rPr>
        <w:t xml:space="preserve"> next argues that the list of monikers and drawings </w:t>
      </w:r>
      <w:r w:rsidR="003D055D" w:rsidRPr="00C179AC">
        <w:rPr>
          <w:sz w:val="27"/>
        </w:rPr>
        <w:t>constituted</w:t>
      </w:r>
      <w:r w:rsidR="00B616C6" w:rsidRPr="00C179AC">
        <w:rPr>
          <w:sz w:val="27"/>
        </w:rPr>
        <w:t xml:space="preserve"> inadmissible hearsay because they were admitted for, and the prosecution sought to rely on, the truth of their implied incriminatory propositions.  Our review “focuses on </w:t>
      </w:r>
      <w:r w:rsidR="00B616C6" w:rsidRPr="00C179AC">
        <w:rPr>
          <w:sz w:val="27"/>
        </w:rPr>
        <w:lastRenderedPageBreak/>
        <w:t xml:space="preserve">whether the documents supported the </w:t>
      </w:r>
      <w:proofErr w:type="spellStart"/>
      <w:r w:rsidR="00B616C6" w:rsidRPr="00C179AC">
        <w:rPr>
          <w:sz w:val="27"/>
        </w:rPr>
        <w:t>nonhearsay</w:t>
      </w:r>
      <w:proofErr w:type="spellEnd"/>
      <w:r w:rsidR="00B616C6" w:rsidRPr="00C179AC">
        <w:rPr>
          <w:sz w:val="27"/>
        </w:rPr>
        <w:t xml:space="preserve"> purposes identified by the court and whether those purposes were relevant to an actual issue in dispute.”  (</w:t>
      </w:r>
      <w:r w:rsidR="00B616C6" w:rsidRPr="00C179AC">
        <w:rPr>
          <w:i/>
          <w:sz w:val="27"/>
        </w:rPr>
        <w:t>People v.</w:t>
      </w:r>
      <w:r w:rsidR="00B616C6" w:rsidRPr="00C179AC">
        <w:rPr>
          <w:sz w:val="27"/>
        </w:rPr>
        <w:t xml:space="preserve"> </w:t>
      </w:r>
      <w:proofErr w:type="spellStart"/>
      <w:r w:rsidR="00B616C6" w:rsidRPr="00C179AC">
        <w:rPr>
          <w:i/>
          <w:sz w:val="27"/>
        </w:rPr>
        <w:t>Bunyard</w:t>
      </w:r>
      <w:proofErr w:type="spellEnd"/>
      <w:r w:rsidR="00B616C6" w:rsidRPr="00C179AC">
        <w:rPr>
          <w:i/>
          <w:sz w:val="27"/>
        </w:rPr>
        <w:t xml:space="preserve"> </w:t>
      </w:r>
      <w:r w:rsidR="00B616C6" w:rsidRPr="00C179AC">
        <w:rPr>
          <w:sz w:val="27"/>
        </w:rPr>
        <w:t xml:space="preserve">(1988) 45 </w:t>
      </w:r>
      <w:r w:rsidR="003F57EC" w:rsidRPr="00C179AC">
        <w:rPr>
          <w:sz w:val="27"/>
        </w:rPr>
        <w:t>Cal</w:t>
      </w:r>
      <w:r w:rsidR="00B616C6" w:rsidRPr="00C179AC">
        <w:rPr>
          <w:sz w:val="27"/>
        </w:rPr>
        <w:t xml:space="preserve">.3d 1189, 1204, quoting </w:t>
      </w:r>
      <w:r w:rsidR="00B616C6" w:rsidRPr="00C179AC">
        <w:rPr>
          <w:i/>
          <w:sz w:val="27"/>
        </w:rPr>
        <w:t>People v.</w:t>
      </w:r>
      <w:r w:rsidR="00B616C6" w:rsidRPr="00C179AC">
        <w:rPr>
          <w:sz w:val="27"/>
        </w:rPr>
        <w:t xml:space="preserve"> </w:t>
      </w:r>
      <w:r w:rsidR="00B616C6" w:rsidRPr="00C179AC">
        <w:rPr>
          <w:i/>
          <w:sz w:val="27"/>
        </w:rPr>
        <w:t xml:space="preserve">Armendariz </w:t>
      </w:r>
      <w:r w:rsidR="00B616C6" w:rsidRPr="00C179AC">
        <w:rPr>
          <w:sz w:val="27"/>
        </w:rPr>
        <w:t xml:space="preserve">(1984) 37 </w:t>
      </w:r>
      <w:r w:rsidR="003E3F47" w:rsidRPr="00C179AC">
        <w:rPr>
          <w:sz w:val="27"/>
        </w:rPr>
        <w:t>Cal</w:t>
      </w:r>
      <w:r w:rsidR="00B616C6" w:rsidRPr="00C179AC">
        <w:rPr>
          <w:sz w:val="27"/>
        </w:rPr>
        <w:t xml:space="preserve">.3d 573, 585.) </w:t>
      </w:r>
    </w:p>
    <w:p w14:paraId="7EFA39A3" w14:textId="7D2E3D01" w:rsidR="00B616C6" w:rsidRPr="00C179AC" w:rsidRDefault="00B616C6" w:rsidP="00C179AC">
      <w:pPr>
        <w:pStyle w:val="paragraph"/>
        <w:spacing w:before="0" w:beforeAutospacing="0" w:afterAutospacing="0"/>
        <w:ind w:firstLine="720"/>
        <w:textAlignment w:val="baseline"/>
        <w:rPr>
          <w:sz w:val="27"/>
          <w:bdr w:val="none" w:sz="0" w:space="0" w:color="auto" w:frame="1"/>
          <w:shd w:val="clear" w:color="auto" w:fill="FFFFFF"/>
        </w:rPr>
      </w:pPr>
      <w:r w:rsidRPr="00C179AC">
        <w:rPr>
          <w:sz w:val="27"/>
          <w:shd w:val="clear" w:color="auto" w:fill="FFFFFF"/>
        </w:rPr>
        <w:t>When an out-of-court statement is offered for any relevant purpose other than to prove the truth of the matter stated, the statement is not hearsay.</w:t>
      </w:r>
      <w:r w:rsidRPr="00C179AC">
        <w:rPr>
          <w:i/>
          <w:sz w:val="27"/>
          <w:bdr w:val="none" w:sz="0" w:space="0" w:color="auto" w:frame="1"/>
          <w:shd w:val="clear" w:color="auto" w:fill="FFFFFF"/>
        </w:rPr>
        <w:t xml:space="preserve">  </w:t>
      </w:r>
      <w:r w:rsidRPr="00C179AC">
        <w:rPr>
          <w:sz w:val="27"/>
          <w:bdr w:val="none" w:sz="0" w:space="0" w:color="auto" w:frame="1"/>
          <w:shd w:val="clear" w:color="auto" w:fill="FFFFFF"/>
        </w:rPr>
        <w:t>(</w:t>
      </w:r>
      <w:r w:rsidRPr="00C179AC">
        <w:rPr>
          <w:i/>
          <w:sz w:val="27"/>
          <w:bdr w:val="none" w:sz="0" w:space="0" w:color="auto" w:frame="1"/>
          <w:shd w:val="clear" w:color="auto" w:fill="FFFFFF"/>
        </w:rPr>
        <w:t>People v. Armstrong</w:t>
      </w:r>
      <w:r w:rsidRPr="00C179AC">
        <w:rPr>
          <w:sz w:val="27"/>
          <w:bdr w:val="none" w:sz="0" w:space="0" w:color="auto" w:frame="1"/>
          <w:shd w:val="clear" w:color="auto" w:fill="FFFFFF"/>
        </w:rPr>
        <w:t xml:space="preserve"> (2019) 6 Cal.5th 735, 786.)  </w:t>
      </w:r>
      <w:r w:rsidRPr="00C179AC">
        <w:rPr>
          <w:sz w:val="27"/>
          <w:bdr w:val="none" w:sz="0" w:space="0" w:color="auto" w:frame="1"/>
        </w:rPr>
        <w:t xml:space="preserve">Evidence </w:t>
      </w:r>
      <w:r w:rsidR="00F45B26" w:rsidRPr="00C179AC">
        <w:rPr>
          <w:sz w:val="27"/>
          <w:bdr w:val="none" w:sz="0" w:space="0" w:color="auto" w:frame="1"/>
        </w:rPr>
        <w:t xml:space="preserve">is generally </w:t>
      </w:r>
      <w:r w:rsidR="00BB0351">
        <w:rPr>
          <w:sz w:val="27"/>
          <w:bdr w:val="none" w:sz="0" w:space="0" w:color="auto" w:frame="1"/>
        </w:rPr>
        <w:t>relevant if it</w:t>
      </w:r>
      <w:r w:rsidRPr="00C179AC">
        <w:rPr>
          <w:sz w:val="27"/>
          <w:bdr w:val="none" w:sz="0" w:space="0" w:color="auto" w:frame="1"/>
        </w:rPr>
        <w:t xml:space="preserve"> “</w:t>
      </w:r>
      <w:r w:rsidR="00005707">
        <w:rPr>
          <w:sz w:val="27"/>
          <w:bdr w:val="none" w:sz="0" w:space="0" w:color="auto" w:frame="1"/>
        </w:rPr>
        <w:t> </w:t>
      </w:r>
      <w:r w:rsidR="003629D2">
        <w:rPr>
          <w:sz w:val="27"/>
          <w:bdr w:val="none" w:sz="0" w:space="0" w:color="auto" w:frame="1"/>
        </w:rPr>
        <w:t>‘</w:t>
      </w:r>
      <w:r w:rsidRPr="00C179AC">
        <w:rPr>
          <w:sz w:val="27"/>
          <w:bdr w:val="none" w:sz="0" w:space="0" w:color="auto" w:frame="1"/>
        </w:rPr>
        <w:t xml:space="preserve">tends </w:t>
      </w:r>
      <w:r w:rsidR="003629D2">
        <w:rPr>
          <w:sz w:val="27"/>
          <w:bdr w:val="none" w:sz="0" w:space="0" w:color="auto" w:frame="1"/>
        </w:rPr>
        <w:t>“</w:t>
      </w:r>
      <w:r w:rsidRPr="00C179AC">
        <w:rPr>
          <w:sz w:val="27"/>
          <w:bdr w:val="none" w:sz="0" w:space="0" w:color="auto" w:frame="1"/>
        </w:rPr>
        <w:t>logically, naturally, and by reasonable inference</w:t>
      </w:r>
      <w:r w:rsidR="003629D2">
        <w:rPr>
          <w:sz w:val="27"/>
          <w:bdr w:val="none" w:sz="0" w:space="0" w:color="auto" w:frame="1"/>
        </w:rPr>
        <w:t>”</w:t>
      </w:r>
      <w:r w:rsidRPr="00C179AC">
        <w:rPr>
          <w:sz w:val="27"/>
          <w:bdr w:val="none" w:sz="0" w:space="0" w:color="auto" w:frame="1"/>
        </w:rPr>
        <w:t xml:space="preserve"> to establish material facts such as identity, intent, or motive</w:t>
      </w:r>
      <w:r w:rsidR="00F45B26" w:rsidRPr="00C179AC">
        <w:rPr>
          <w:sz w:val="27"/>
          <w:bdr w:val="none" w:sz="0" w:space="0" w:color="auto" w:frame="1"/>
        </w:rPr>
        <w:t>.</w:t>
      </w:r>
      <w:r w:rsidR="003629D2">
        <w:rPr>
          <w:sz w:val="27"/>
          <w:bdr w:val="none" w:sz="0" w:space="0" w:color="auto" w:frame="1"/>
        </w:rPr>
        <w:t>’</w:t>
      </w:r>
      <w:r w:rsidR="00D17A52">
        <w:rPr>
          <w:sz w:val="27"/>
          <w:bdr w:val="none" w:sz="0" w:space="0" w:color="auto" w:frame="1"/>
        </w:rPr>
        <w:t> </w:t>
      </w:r>
      <w:r w:rsidRPr="00C179AC">
        <w:rPr>
          <w:sz w:val="27"/>
          <w:bdr w:val="none" w:sz="0" w:space="0" w:color="auto" w:frame="1"/>
        </w:rPr>
        <w:t xml:space="preserve">”  </w:t>
      </w:r>
      <w:r w:rsidRPr="00C179AC">
        <w:rPr>
          <w:sz w:val="27"/>
          <w:bdr w:val="none" w:sz="0" w:space="0" w:color="auto" w:frame="1"/>
          <w:shd w:val="clear" w:color="auto" w:fill="FFFFFF"/>
        </w:rPr>
        <w:t>(</w:t>
      </w:r>
      <w:r w:rsidRPr="00C179AC">
        <w:rPr>
          <w:rStyle w:val="cohl"/>
          <w:i/>
          <w:sz w:val="27"/>
          <w:bdr w:val="none" w:sz="0" w:space="0" w:color="auto" w:frame="1"/>
        </w:rPr>
        <w:t xml:space="preserve">People v. </w:t>
      </w:r>
      <w:proofErr w:type="spellStart"/>
      <w:r w:rsidRPr="00C179AC">
        <w:rPr>
          <w:rStyle w:val="cohl"/>
          <w:i/>
          <w:sz w:val="27"/>
          <w:bdr w:val="none" w:sz="0" w:space="0" w:color="auto" w:frame="1"/>
        </w:rPr>
        <w:t>Riccardi</w:t>
      </w:r>
      <w:proofErr w:type="spellEnd"/>
      <w:r w:rsidRPr="00C179AC">
        <w:rPr>
          <w:rStyle w:val="cohl"/>
          <w:i/>
          <w:sz w:val="27"/>
          <w:bdr w:val="none" w:sz="0" w:space="0" w:color="auto" w:frame="1"/>
        </w:rPr>
        <w:t xml:space="preserve"> </w:t>
      </w:r>
      <w:r w:rsidRPr="00C179AC">
        <w:rPr>
          <w:rStyle w:val="cohl"/>
          <w:sz w:val="27"/>
          <w:bdr w:val="none" w:sz="0" w:space="0" w:color="auto" w:frame="1"/>
        </w:rPr>
        <w:t xml:space="preserve">(2012) 54 Cal.4th 758, 815, quoting </w:t>
      </w:r>
      <w:r w:rsidRPr="00C179AC">
        <w:rPr>
          <w:i/>
          <w:sz w:val="27"/>
          <w:bdr w:val="none" w:sz="0" w:space="0" w:color="auto" w:frame="1"/>
          <w:shd w:val="clear" w:color="auto" w:fill="FFFFFF"/>
        </w:rPr>
        <w:t xml:space="preserve">People v. </w:t>
      </w:r>
      <w:proofErr w:type="spellStart"/>
      <w:r w:rsidRPr="00C179AC">
        <w:rPr>
          <w:i/>
          <w:sz w:val="27"/>
          <w:bdr w:val="none" w:sz="0" w:space="0" w:color="auto" w:frame="1"/>
          <w:shd w:val="clear" w:color="auto" w:fill="FFFFFF"/>
        </w:rPr>
        <w:t>Garceau</w:t>
      </w:r>
      <w:proofErr w:type="spellEnd"/>
      <w:r w:rsidRPr="00C179AC">
        <w:rPr>
          <w:sz w:val="27"/>
          <w:bdr w:val="none" w:sz="0" w:space="0" w:color="auto" w:frame="1"/>
          <w:shd w:val="clear" w:color="auto" w:fill="FFFFFF"/>
        </w:rPr>
        <w:t> (1993) 6 Cal.4th 140, 177</w:t>
      </w:r>
      <w:r w:rsidRPr="00C179AC">
        <w:rPr>
          <w:sz w:val="27"/>
        </w:rPr>
        <w:t xml:space="preserve">.)  </w:t>
      </w:r>
      <w:r w:rsidRPr="00C179AC">
        <w:rPr>
          <w:sz w:val="27"/>
          <w:bdr w:val="none" w:sz="0" w:space="0" w:color="auto" w:frame="1"/>
          <w:shd w:val="clear" w:color="auto" w:fill="FFFFFF"/>
        </w:rPr>
        <w:t xml:space="preserve">Because </w:t>
      </w:r>
      <w:r w:rsidR="005065DA">
        <w:rPr>
          <w:sz w:val="27"/>
          <w:bdr w:val="none" w:sz="0" w:space="0" w:color="auto" w:frame="1"/>
          <w:shd w:val="clear" w:color="auto" w:fill="FFFFFF"/>
        </w:rPr>
        <w:t>otherwise relevant evidence</w:t>
      </w:r>
      <w:r w:rsidR="00C8620A">
        <w:rPr>
          <w:sz w:val="27"/>
          <w:bdr w:val="none" w:sz="0" w:space="0" w:color="auto" w:frame="1"/>
          <w:shd w:val="clear" w:color="auto" w:fill="FFFFFF"/>
        </w:rPr>
        <w:t xml:space="preserve"> not offered for its truth falls</w:t>
      </w:r>
      <w:r w:rsidRPr="00C179AC">
        <w:rPr>
          <w:sz w:val="27"/>
          <w:bdr w:val="none" w:sz="0" w:space="0" w:color="auto" w:frame="1"/>
          <w:shd w:val="clear" w:color="auto" w:fill="FFFFFF"/>
        </w:rPr>
        <w:t xml:space="preserve"> outside the hearsay rule entirely, the party offering that evidence is not required to demonstrate an exception to the hearsay rule to justify its admission.  (</w:t>
      </w:r>
      <w:r w:rsidRPr="00C179AC">
        <w:rPr>
          <w:i/>
          <w:sz w:val="27"/>
          <w:bdr w:val="none" w:sz="0" w:space="0" w:color="auto" w:frame="1"/>
          <w:shd w:val="clear" w:color="auto" w:fill="FFFFFF"/>
        </w:rPr>
        <w:t>People v. Dalto</w:t>
      </w:r>
      <w:r w:rsidR="00D866E6" w:rsidRPr="00C179AC">
        <w:rPr>
          <w:i/>
          <w:sz w:val="27"/>
          <w:bdr w:val="none" w:sz="0" w:space="0" w:color="auto" w:frame="1"/>
          <w:shd w:val="clear" w:color="auto" w:fill="FFFFFF"/>
        </w:rPr>
        <w:t>n</w:t>
      </w:r>
      <w:r w:rsidR="00D866E6" w:rsidRPr="00C179AC">
        <w:rPr>
          <w:sz w:val="27"/>
          <w:bdr w:val="none" w:sz="0" w:space="0" w:color="auto" w:frame="1"/>
          <w:shd w:val="clear" w:color="auto" w:fill="FFFFFF"/>
        </w:rPr>
        <w:t xml:space="preserve">, </w:t>
      </w:r>
      <w:r w:rsidR="00D866E6" w:rsidRPr="00C179AC">
        <w:rPr>
          <w:i/>
          <w:sz w:val="27"/>
          <w:bdr w:val="none" w:sz="0" w:space="0" w:color="auto" w:frame="1"/>
          <w:shd w:val="clear" w:color="auto" w:fill="FFFFFF"/>
        </w:rPr>
        <w:t>supra</w:t>
      </w:r>
      <w:r w:rsidR="00D866E6" w:rsidRPr="00C179AC">
        <w:rPr>
          <w:sz w:val="27"/>
          <w:bdr w:val="none" w:sz="0" w:space="0" w:color="auto" w:frame="1"/>
          <w:shd w:val="clear" w:color="auto" w:fill="FFFFFF"/>
        </w:rPr>
        <w:t>,</w:t>
      </w:r>
      <w:r w:rsidRPr="00C179AC">
        <w:rPr>
          <w:sz w:val="27"/>
          <w:bdr w:val="none" w:sz="0" w:space="0" w:color="auto" w:frame="1"/>
          <w:shd w:val="clear" w:color="auto" w:fill="FFFFFF"/>
        </w:rPr>
        <w:t xml:space="preserve"> 7 Cal.5th </w:t>
      </w:r>
      <w:r w:rsidR="00DC3DEE" w:rsidRPr="00C179AC">
        <w:rPr>
          <w:sz w:val="27"/>
          <w:bdr w:val="none" w:sz="0" w:space="0" w:color="auto" w:frame="1"/>
          <w:shd w:val="clear" w:color="auto" w:fill="FFFFFF"/>
        </w:rPr>
        <w:t>at p.</w:t>
      </w:r>
      <w:r w:rsidRPr="00C179AC">
        <w:rPr>
          <w:sz w:val="27"/>
          <w:bdr w:val="none" w:sz="0" w:space="0" w:color="auto" w:frame="1"/>
          <w:shd w:val="clear" w:color="auto" w:fill="FFFFFF"/>
        </w:rPr>
        <w:t xml:space="preserve"> 232.)   </w:t>
      </w:r>
    </w:p>
    <w:p w14:paraId="60821D78" w14:textId="04D80BDE" w:rsidR="00B616C6" w:rsidRPr="00C179AC" w:rsidRDefault="00B616C6" w:rsidP="00C179AC">
      <w:pPr>
        <w:pStyle w:val="paragraph"/>
        <w:spacing w:before="0" w:beforeAutospacing="0" w:afterAutospacing="0"/>
        <w:ind w:firstLine="360"/>
        <w:textAlignment w:val="baseline"/>
        <w:rPr>
          <w:sz w:val="27"/>
        </w:rPr>
      </w:pPr>
      <w:r w:rsidRPr="00C179AC">
        <w:rPr>
          <w:sz w:val="27"/>
          <w:bdr w:val="none" w:sz="0" w:space="0" w:color="auto" w:frame="1"/>
          <w:shd w:val="clear" w:color="auto" w:fill="FFFFFF"/>
        </w:rPr>
        <w:tab/>
      </w:r>
      <w:r w:rsidRPr="00C179AC">
        <w:rPr>
          <w:sz w:val="27"/>
        </w:rPr>
        <w:t>Here, the</w:t>
      </w:r>
      <w:r w:rsidR="007C4B85" w:rsidRPr="00C179AC">
        <w:rPr>
          <w:sz w:val="27"/>
        </w:rPr>
        <w:t xml:space="preserve"> court initially identified the</w:t>
      </w:r>
      <w:r w:rsidRPr="00C179AC">
        <w:rPr>
          <w:sz w:val="27"/>
        </w:rPr>
        <w:t xml:space="preserve"> </w:t>
      </w:r>
      <w:proofErr w:type="spellStart"/>
      <w:r w:rsidRPr="00C179AC">
        <w:rPr>
          <w:sz w:val="27"/>
        </w:rPr>
        <w:t>nonhearsay</w:t>
      </w:r>
      <w:proofErr w:type="spellEnd"/>
      <w:r w:rsidRPr="00C179AC">
        <w:rPr>
          <w:sz w:val="27"/>
        </w:rPr>
        <w:t xml:space="preserve"> purposes for admitting the writings </w:t>
      </w:r>
      <w:r w:rsidR="007C4B85" w:rsidRPr="00C179AC">
        <w:rPr>
          <w:sz w:val="27"/>
        </w:rPr>
        <w:t>as</w:t>
      </w:r>
      <w:r w:rsidRPr="00C179AC">
        <w:rPr>
          <w:sz w:val="27"/>
        </w:rPr>
        <w:t xml:space="preserve"> connecting Pops to Wilson’s residence, associating Pops with Wilson, and associating both Pops and Wilson with Barnes and Harris to corroborate Barnes’s testimony regarding his relationships with Pops, Wilson, and Harris.  The court later confirmed the drawings and list were admissible for the limited purposes of connecting Pops to Wilson’s home and to confirm their association.  These </w:t>
      </w:r>
      <w:proofErr w:type="spellStart"/>
      <w:r w:rsidRPr="00C179AC">
        <w:rPr>
          <w:sz w:val="27"/>
        </w:rPr>
        <w:t>nonhearsay</w:t>
      </w:r>
      <w:proofErr w:type="spellEnd"/>
      <w:r w:rsidRPr="00C179AC">
        <w:rPr>
          <w:sz w:val="27"/>
        </w:rPr>
        <w:t xml:space="preserve"> purposes were relevant to establish identity — that is, that the alleged shooters, Pops and Wilson, had a relationship to each other.  The existence of this relationship aided in demonstrating that the two men could have committed the crime together.  </w:t>
      </w:r>
      <w:r w:rsidR="00632757" w:rsidRPr="00C179AC">
        <w:rPr>
          <w:sz w:val="27"/>
        </w:rPr>
        <w:t>What’s more</w:t>
      </w:r>
      <w:r w:rsidRPr="00C179AC">
        <w:rPr>
          <w:sz w:val="27"/>
        </w:rPr>
        <w:t xml:space="preserve">, the documents were relevant to establish a connection between Pops </w:t>
      </w:r>
      <w:r w:rsidRPr="00C179AC">
        <w:rPr>
          <w:sz w:val="27"/>
        </w:rPr>
        <w:lastRenderedPageBreak/>
        <w:t>and Wilson’s residence because a nine-millimeter cartridge expended from the same firearm used in the murders was found at Wilson’s residence.  Barnes’s testimony identifying Pops and his car in the drawings</w:t>
      </w:r>
      <w:r w:rsidR="00131AB8" w:rsidRPr="00C179AC">
        <w:rPr>
          <w:sz w:val="27"/>
        </w:rPr>
        <w:t>,</w:t>
      </w:r>
      <w:r w:rsidRPr="00C179AC">
        <w:rPr>
          <w:sz w:val="27"/>
        </w:rPr>
        <w:t xml:space="preserve"> as well as </w:t>
      </w:r>
      <w:r w:rsidR="00131AB8" w:rsidRPr="00C179AC">
        <w:rPr>
          <w:sz w:val="27"/>
        </w:rPr>
        <w:t xml:space="preserve">his testimony about </w:t>
      </w:r>
      <w:r w:rsidRPr="00C179AC">
        <w:rPr>
          <w:sz w:val="27"/>
        </w:rPr>
        <w:t>the monikers of all four men</w:t>
      </w:r>
      <w:r w:rsidR="00131AB8" w:rsidRPr="00C179AC">
        <w:rPr>
          <w:sz w:val="27"/>
        </w:rPr>
        <w:t>,</w:t>
      </w:r>
      <w:r w:rsidRPr="00C179AC">
        <w:rPr>
          <w:sz w:val="27"/>
        </w:rPr>
        <w:t xml:space="preserve"> further corroborated these various connections and relationships.  </w:t>
      </w:r>
      <w:r w:rsidR="00843F82" w:rsidRPr="00C179AC">
        <w:rPr>
          <w:sz w:val="27"/>
        </w:rPr>
        <w:t>Thus</w:t>
      </w:r>
      <w:r w:rsidRPr="00C179AC">
        <w:rPr>
          <w:sz w:val="27"/>
        </w:rPr>
        <w:t xml:space="preserve">, the </w:t>
      </w:r>
      <w:r w:rsidR="00843F82" w:rsidRPr="00C179AC">
        <w:rPr>
          <w:sz w:val="27"/>
        </w:rPr>
        <w:t xml:space="preserve">trial court did not err by concluding the </w:t>
      </w:r>
      <w:r w:rsidRPr="00C179AC">
        <w:rPr>
          <w:sz w:val="27"/>
        </w:rPr>
        <w:t xml:space="preserve">evidence supported the </w:t>
      </w:r>
      <w:proofErr w:type="spellStart"/>
      <w:r w:rsidRPr="00C179AC">
        <w:rPr>
          <w:sz w:val="27"/>
        </w:rPr>
        <w:t>nonhearsay</w:t>
      </w:r>
      <w:proofErr w:type="spellEnd"/>
      <w:r w:rsidRPr="00C179AC">
        <w:rPr>
          <w:sz w:val="27"/>
        </w:rPr>
        <w:t xml:space="preserve"> purposes for which it was </w:t>
      </w:r>
      <w:proofErr w:type="gramStart"/>
      <w:r w:rsidRPr="00C179AC">
        <w:rPr>
          <w:sz w:val="27"/>
        </w:rPr>
        <w:t>admitted</w:t>
      </w:r>
      <w:proofErr w:type="gramEnd"/>
      <w:r w:rsidRPr="00C179AC">
        <w:rPr>
          <w:sz w:val="27"/>
        </w:rPr>
        <w:t xml:space="preserve"> and those purposes were relevant to issues in dispute.</w:t>
      </w:r>
      <w:r w:rsidRPr="00C179AC">
        <w:rPr>
          <w:rStyle w:val="FootnoteReference"/>
        </w:rPr>
        <w:footnoteReference w:id="17"/>
      </w:r>
      <w:r w:rsidRPr="00C179AC">
        <w:rPr>
          <w:b/>
          <w:sz w:val="27"/>
          <w:vertAlign w:val="superscript"/>
        </w:rPr>
        <w:t xml:space="preserve"> </w:t>
      </w:r>
      <w:r w:rsidRPr="00C179AC">
        <w:rPr>
          <w:sz w:val="27"/>
        </w:rPr>
        <w:t xml:space="preserve"> (</w:t>
      </w:r>
      <w:r w:rsidRPr="00C179AC">
        <w:rPr>
          <w:i/>
          <w:sz w:val="27"/>
        </w:rPr>
        <w:t>People v.</w:t>
      </w:r>
      <w:r w:rsidRPr="00C179AC">
        <w:rPr>
          <w:sz w:val="27"/>
        </w:rPr>
        <w:t xml:space="preserve"> </w:t>
      </w:r>
      <w:proofErr w:type="spellStart"/>
      <w:r w:rsidRPr="00C179AC">
        <w:rPr>
          <w:i/>
          <w:sz w:val="27"/>
        </w:rPr>
        <w:t>Bunyard</w:t>
      </w:r>
      <w:proofErr w:type="spellEnd"/>
      <w:r w:rsidRPr="00C179AC">
        <w:rPr>
          <w:sz w:val="27"/>
        </w:rPr>
        <w:t xml:space="preserve">, </w:t>
      </w:r>
      <w:r w:rsidRPr="00C179AC">
        <w:rPr>
          <w:i/>
          <w:sz w:val="27"/>
        </w:rPr>
        <w:t>supra</w:t>
      </w:r>
      <w:r w:rsidRPr="00C179AC">
        <w:rPr>
          <w:sz w:val="27"/>
        </w:rPr>
        <w:t xml:space="preserve">, 45 </w:t>
      </w:r>
      <w:r w:rsidR="00657C49" w:rsidRPr="00C179AC">
        <w:rPr>
          <w:sz w:val="27"/>
        </w:rPr>
        <w:t>Cal.</w:t>
      </w:r>
      <w:r w:rsidRPr="00C179AC">
        <w:rPr>
          <w:sz w:val="27"/>
        </w:rPr>
        <w:t>3d at p. 1204.)</w:t>
      </w:r>
    </w:p>
    <w:p w14:paraId="7AB17D26" w14:textId="728655D4" w:rsidR="00B616C6" w:rsidRPr="00C179AC" w:rsidRDefault="00120986" w:rsidP="00C179AC">
      <w:pPr>
        <w:pStyle w:val="paragraph"/>
        <w:spacing w:before="0" w:beforeAutospacing="0" w:afterAutospacing="0"/>
        <w:ind w:firstLine="720"/>
        <w:textAlignment w:val="baseline"/>
        <w:rPr>
          <w:sz w:val="27"/>
        </w:rPr>
      </w:pPr>
      <w:r w:rsidRPr="00C179AC">
        <w:rPr>
          <w:sz w:val="27"/>
        </w:rPr>
        <w:t>Wilson</w:t>
      </w:r>
      <w:r w:rsidR="00B616C6" w:rsidRPr="00C179AC">
        <w:rPr>
          <w:sz w:val="27"/>
        </w:rPr>
        <w:t xml:space="preserve"> argues</w:t>
      </w:r>
      <w:r w:rsidR="00D707B1" w:rsidRPr="00C179AC">
        <w:rPr>
          <w:sz w:val="27"/>
        </w:rPr>
        <w:t xml:space="preserve"> that</w:t>
      </w:r>
      <w:r w:rsidR="00B616C6" w:rsidRPr="00C179AC">
        <w:rPr>
          <w:sz w:val="27"/>
        </w:rPr>
        <w:t xml:space="preserve"> our decision in </w:t>
      </w:r>
      <w:r w:rsidR="00B616C6" w:rsidRPr="00C179AC">
        <w:rPr>
          <w:i/>
          <w:sz w:val="27"/>
        </w:rPr>
        <w:t xml:space="preserve">People v. Lewis </w:t>
      </w:r>
      <w:r w:rsidR="00B616C6" w:rsidRPr="00C179AC">
        <w:rPr>
          <w:sz w:val="27"/>
        </w:rPr>
        <w:t>(2008) 43 Cal.4th 415 (</w:t>
      </w:r>
      <w:r w:rsidR="00B616C6" w:rsidRPr="00C179AC">
        <w:rPr>
          <w:i/>
          <w:sz w:val="27"/>
        </w:rPr>
        <w:t>Lewis</w:t>
      </w:r>
      <w:r w:rsidR="00B616C6" w:rsidRPr="00C179AC">
        <w:rPr>
          <w:sz w:val="27"/>
        </w:rPr>
        <w:t xml:space="preserve">) renders the evidence inadmissible.  In </w:t>
      </w:r>
      <w:r w:rsidR="00B616C6" w:rsidRPr="00C179AC">
        <w:rPr>
          <w:i/>
          <w:sz w:val="27"/>
        </w:rPr>
        <w:t xml:space="preserve">Lewis, </w:t>
      </w:r>
      <w:r w:rsidR="00B616C6" w:rsidRPr="00C179AC">
        <w:rPr>
          <w:sz w:val="27"/>
        </w:rPr>
        <w:t>we held that caricature drawings found in the defendant’s residence depicting a sawed-off shotgun were hearsay because they were offered for the truth of the assertion that the defendant committed robberies with a sawed-off shotgun.  (</w:t>
      </w:r>
      <w:r w:rsidR="00024E4F" w:rsidRPr="00C179AC">
        <w:rPr>
          <w:i/>
          <w:sz w:val="27"/>
        </w:rPr>
        <w:t>I</w:t>
      </w:r>
      <w:r w:rsidR="00B616C6" w:rsidRPr="00C179AC">
        <w:rPr>
          <w:i/>
          <w:sz w:val="27"/>
        </w:rPr>
        <w:t xml:space="preserve">d. </w:t>
      </w:r>
      <w:r w:rsidR="00B616C6" w:rsidRPr="00C179AC">
        <w:rPr>
          <w:sz w:val="27"/>
        </w:rPr>
        <w:t>at p. 498.)  We concluded that because no exception to the hearsay rule justified their introduction, the court erred by admitting them.  (</w:t>
      </w:r>
      <w:r w:rsidR="00B616C6" w:rsidRPr="00C179AC">
        <w:rPr>
          <w:i/>
          <w:sz w:val="27"/>
        </w:rPr>
        <w:t>Ibid</w:t>
      </w:r>
      <w:r w:rsidR="00B616C6" w:rsidRPr="00C179AC">
        <w:rPr>
          <w:sz w:val="27"/>
        </w:rPr>
        <w:t xml:space="preserve">.)  </w:t>
      </w:r>
      <w:r w:rsidR="00B616C6" w:rsidRPr="00C179AC">
        <w:rPr>
          <w:rStyle w:val="normaltextrun"/>
          <w:sz w:val="27"/>
        </w:rPr>
        <w:t xml:space="preserve">The erroneous admissions, </w:t>
      </w:r>
      <w:r w:rsidR="00B616C6" w:rsidRPr="00C179AC">
        <w:rPr>
          <w:rStyle w:val="normaltextrun"/>
          <w:sz w:val="27"/>
        </w:rPr>
        <w:lastRenderedPageBreak/>
        <w:t xml:space="preserve">however, did not prejudice </w:t>
      </w:r>
      <w:r w:rsidRPr="00C179AC">
        <w:rPr>
          <w:rStyle w:val="normaltextrun"/>
          <w:sz w:val="27"/>
        </w:rPr>
        <w:t xml:space="preserve">the </w:t>
      </w:r>
      <w:r w:rsidR="00B616C6" w:rsidRPr="00C179AC">
        <w:rPr>
          <w:rStyle w:val="normaltextrun"/>
          <w:sz w:val="27"/>
        </w:rPr>
        <w:t>defendant because the drawings added “next to nothing to the evidence of defendant’s guilt of the</w:t>
      </w:r>
      <w:r w:rsidR="005D751B" w:rsidRPr="00C179AC">
        <w:rPr>
          <w:rStyle w:val="normaltextrun"/>
          <w:sz w:val="27"/>
        </w:rPr>
        <w:t xml:space="preserve"> </w:t>
      </w:r>
      <w:r w:rsidR="00B616C6" w:rsidRPr="00C179AC">
        <w:rPr>
          <w:rStyle w:val="normaltextrun"/>
          <w:sz w:val="27"/>
        </w:rPr>
        <w:t>crimes . . . .”</w:t>
      </w:r>
      <w:r w:rsidR="005D751B" w:rsidRPr="00C179AC">
        <w:rPr>
          <w:rStyle w:val="normaltextrun"/>
          <w:sz w:val="27"/>
        </w:rPr>
        <w:t xml:space="preserve">  </w:t>
      </w:r>
      <w:r w:rsidR="00B616C6" w:rsidRPr="00C179AC">
        <w:rPr>
          <w:rStyle w:val="normaltextrun"/>
          <w:sz w:val="27"/>
        </w:rPr>
        <w:t>(</w:t>
      </w:r>
      <w:r w:rsidR="00B616C6" w:rsidRPr="00C179AC">
        <w:rPr>
          <w:rStyle w:val="normaltextrun"/>
          <w:i/>
          <w:sz w:val="27"/>
        </w:rPr>
        <w:t>I</w:t>
      </w:r>
      <w:r w:rsidR="003629D2">
        <w:rPr>
          <w:rStyle w:val="normaltextrun"/>
          <w:i/>
          <w:sz w:val="27"/>
        </w:rPr>
        <w:t>d</w:t>
      </w:r>
      <w:r w:rsidR="00B616C6" w:rsidRPr="00C179AC">
        <w:rPr>
          <w:rStyle w:val="normaltextrun"/>
          <w:sz w:val="27"/>
        </w:rPr>
        <w:t>.</w:t>
      </w:r>
      <w:r w:rsidR="003629D2">
        <w:rPr>
          <w:rStyle w:val="normaltextrun"/>
          <w:sz w:val="27"/>
        </w:rPr>
        <w:t xml:space="preserve"> at p. 499.</w:t>
      </w:r>
      <w:r w:rsidR="00B616C6" w:rsidRPr="00C179AC">
        <w:rPr>
          <w:rStyle w:val="normaltextrun"/>
          <w:sz w:val="27"/>
        </w:rPr>
        <w:t>) </w:t>
      </w:r>
      <w:r w:rsidR="00B616C6" w:rsidRPr="00C179AC">
        <w:rPr>
          <w:rStyle w:val="eop"/>
          <w:sz w:val="27"/>
        </w:rPr>
        <w:t xml:space="preserve"> </w:t>
      </w:r>
      <w:r w:rsidR="00B616C6" w:rsidRPr="00C179AC">
        <w:rPr>
          <w:rStyle w:val="eop"/>
          <w:i/>
          <w:sz w:val="27"/>
        </w:rPr>
        <w:t xml:space="preserve">Lewis </w:t>
      </w:r>
      <w:r w:rsidR="00B616C6" w:rsidRPr="00C179AC">
        <w:rPr>
          <w:rStyle w:val="eop"/>
          <w:sz w:val="27"/>
        </w:rPr>
        <w:t xml:space="preserve">does not inform our analysis here because the list of names and the drawings found in Wilson’s </w:t>
      </w:r>
      <w:r w:rsidR="00743933" w:rsidRPr="00C179AC">
        <w:rPr>
          <w:rStyle w:val="eop"/>
          <w:sz w:val="27"/>
        </w:rPr>
        <w:t>home</w:t>
      </w:r>
      <w:r w:rsidR="00B616C6" w:rsidRPr="00C179AC">
        <w:rPr>
          <w:rStyle w:val="eop"/>
          <w:sz w:val="27"/>
        </w:rPr>
        <w:t xml:space="preserve">, unlike the drawing found in </w:t>
      </w:r>
      <w:r w:rsidR="00B616C6" w:rsidRPr="00C179AC">
        <w:rPr>
          <w:rStyle w:val="eop"/>
          <w:i/>
          <w:sz w:val="27"/>
        </w:rPr>
        <w:t>Lewis</w:t>
      </w:r>
      <w:r w:rsidR="00B616C6" w:rsidRPr="00C179AC">
        <w:rPr>
          <w:rStyle w:val="eop"/>
          <w:sz w:val="27"/>
        </w:rPr>
        <w:t xml:space="preserve">, were not offered for their truth.  </w:t>
      </w:r>
      <w:r w:rsidR="0085108B" w:rsidRPr="00C179AC">
        <w:rPr>
          <w:rStyle w:val="eop"/>
          <w:sz w:val="27"/>
        </w:rPr>
        <w:t xml:space="preserve">Had </w:t>
      </w:r>
      <w:r w:rsidR="009D197B" w:rsidRPr="00C179AC">
        <w:rPr>
          <w:rStyle w:val="eop"/>
          <w:sz w:val="27"/>
        </w:rPr>
        <w:t>these names</w:t>
      </w:r>
      <w:r w:rsidR="0085108B" w:rsidRPr="00C179AC">
        <w:rPr>
          <w:rStyle w:val="eop"/>
          <w:sz w:val="27"/>
        </w:rPr>
        <w:t xml:space="preserve"> been offered to demonstrate that Pops possessed the weapon he was depicted holding, our analysis m</w:t>
      </w:r>
      <w:r w:rsidR="00F572AE">
        <w:rPr>
          <w:rStyle w:val="eop"/>
          <w:sz w:val="27"/>
        </w:rPr>
        <w:t>ight</w:t>
      </w:r>
      <w:r w:rsidR="0085108B" w:rsidRPr="00C179AC">
        <w:rPr>
          <w:rStyle w:val="eop"/>
          <w:sz w:val="27"/>
        </w:rPr>
        <w:t xml:space="preserve"> be different.  But that </w:t>
      </w:r>
      <w:r w:rsidR="007F50D4" w:rsidRPr="00C179AC">
        <w:rPr>
          <w:rStyle w:val="eop"/>
          <w:sz w:val="27"/>
        </w:rPr>
        <w:t>is simply</w:t>
      </w:r>
      <w:r w:rsidR="0085108B" w:rsidRPr="00C179AC">
        <w:rPr>
          <w:rStyle w:val="eop"/>
          <w:sz w:val="27"/>
        </w:rPr>
        <w:t xml:space="preserve"> not the case;</w:t>
      </w:r>
      <w:r w:rsidR="007F50D4" w:rsidRPr="00C179AC">
        <w:rPr>
          <w:rStyle w:val="eop"/>
          <w:sz w:val="27"/>
        </w:rPr>
        <w:t xml:space="preserve"> the list and drawings </w:t>
      </w:r>
      <w:r w:rsidR="00B616C6" w:rsidRPr="00C179AC">
        <w:rPr>
          <w:rStyle w:val="eop"/>
          <w:sz w:val="27"/>
        </w:rPr>
        <w:t xml:space="preserve">were instead offered for the </w:t>
      </w:r>
      <w:proofErr w:type="spellStart"/>
      <w:r w:rsidR="00B616C6" w:rsidRPr="00C179AC">
        <w:rPr>
          <w:rStyle w:val="eop"/>
          <w:sz w:val="27"/>
        </w:rPr>
        <w:t>nonhearsay</w:t>
      </w:r>
      <w:proofErr w:type="spellEnd"/>
      <w:r w:rsidR="00B616C6" w:rsidRPr="00C179AC">
        <w:rPr>
          <w:rStyle w:val="eop"/>
          <w:sz w:val="27"/>
        </w:rPr>
        <w:t xml:space="preserve"> purpose of identity, that is, establishing a relationship between Pops and Wilson, and connecting Pops to Wilson’s residence.  </w:t>
      </w:r>
    </w:p>
    <w:p w14:paraId="061B24FA" w14:textId="3C3140BC" w:rsidR="00B616C6" w:rsidRPr="00A7631D" w:rsidRDefault="003E4134" w:rsidP="00C179AC">
      <w:pPr>
        <w:ind w:firstLine="720"/>
        <w:rPr>
          <w:szCs w:val="26"/>
        </w:rPr>
      </w:pPr>
      <w:r w:rsidRPr="00A7631D">
        <w:rPr>
          <w:szCs w:val="26"/>
        </w:rPr>
        <w:t>In any event, w</w:t>
      </w:r>
      <w:r w:rsidR="00B616C6" w:rsidRPr="00A7631D">
        <w:rPr>
          <w:szCs w:val="26"/>
        </w:rPr>
        <w:t xml:space="preserve">ere we to have found error in the trial court’s admission of the list and drawings, it would have been harmless under any </w:t>
      </w:r>
      <w:proofErr w:type="gramStart"/>
      <w:r w:rsidR="00B616C6" w:rsidRPr="00A7631D">
        <w:rPr>
          <w:szCs w:val="26"/>
        </w:rPr>
        <w:t>standard.</w:t>
      </w:r>
      <w:proofErr w:type="gramEnd"/>
      <w:r w:rsidR="00B616C6" w:rsidRPr="00A7631D">
        <w:rPr>
          <w:szCs w:val="26"/>
        </w:rPr>
        <w:t xml:space="preserve">  (</w:t>
      </w:r>
      <w:r w:rsidR="00B616C6" w:rsidRPr="00A7631D">
        <w:rPr>
          <w:i/>
          <w:iCs/>
          <w:szCs w:val="26"/>
        </w:rPr>
        <w:t>Chapman v. Californi</w:t>
      </w:r>
      <w:r w:rsidR="00D73377">
        <w:rPr>
          <w:i/>
          <w:iCs/>
          <w:szCs w:val="26"/>
        </w:rPr>
        <w:t>a</w:t>
      </w:r>
      <w:r w:rsidR="00D73377">
        <w:rPr>
          <w:szCs w:val="26"/>
        </w:rPr>
        <w:t xml:space="preserve"> (1967)</w:t>
      </w:r>
      <w:r w:rsidR="006B31EB" w:rsidRPr="00A7631D">
        <w:rPr>
          <w:szCs w:val="26"/>
        </w:rPr>
        <w:t xml:space="preserve"> </w:t>
      </w:r>
      <w:r w:rsidR="00B616C6" w:rsidRPr="00A7631D">
        <w:rPr>
          <w:szCs w:val="26"/>
        </w:rPr>
        <w:t xml:space="preserve">386 U.S. </w:t>
      </w:r>
      <w:r w:rsidR="00D73377">
        <w:rPr>
          <w:szCs w:val="26"/>
        </w:rPr>
        <w:t>18,</w:t>
      </w:r>
      <w:r w:rsidR="00B616C6" w:rsidRPr="00A7631D">
        <w:rPr>
          <w:szCs w:val="26"/>
        </w:rPr>
        <w:t xml:space="preserve"> 24; </w:t>
      </w:r>
      <w:r w:rsidR="00B616C6" w:rsidRPr="00A7631D">
        <w:rPr>
          <w:i/>
          <w:iCs/>
          <w:szCs w:val="26"/>
        </w:rPr>
        <w:t>People v. Watson</w:t>
      </w:r>
      <w:r w:rsidR="003339A9">
        <w:rPr>
          <w:szCs w:val="26"/>
        </w:rPr>
        <w:t xml:space="preserve"> (1956)</w:t>
      </w:r>
      <w:r w:rsidR="006B31EB" w:rsidRPr="00A7631D">
        <w:rPr>
          <w:szCs w:val="26"/>
        </w:rPr>
        <w:t xml:space="preserve"> </w:t>
      </w:r>
      <w:r w:rsidR="00B616C6" w:rsidRPr="00A7631D">
        <w:rPr>
          <w:szCs w:val="26"/>
        </w:rPr>
        <w:t xml:space="preserve">46 Cal.2d </w:t>
      </w:r>
      <w:r w:rsidR="003339A9">
        <w:rPr>
          <w:szCs w:val="26"/>
        </w:rPr>
        <w:t>818,</w:t>
      </w:r>
      <w:r w:rsidR="00B616C6" w:rsidRPr="00A7631D">
        <w:rPr>
          <w:szCs w:val="26"/>
        </w:rPr>
        <w:t xml:space="preserve"> 836.)  Substantial evidence of </w:t>
      </w:r>
      <w:r w:rsidR="004F0E3A" w:rsidRPr="00A7631D">
        <w:rPr>
          <w:szCs w:val="26"/>
        </w:rPr>
        <w:t xml:space="preserve">Wilson’s guilt and the </w:t>
      </w:r>
      <w:r w:rsidR="002F5F0D" w:rsidRPr="00A7631D">
        <w:rPr>
          <w:szCs w:val="26"/>
        </w:rPr>
        <w:t>connection between Wilson and Pops was introduced</w:t>
      </w:r>
      <w:r w:rsidR="00C347B6" w:rsidRPr="00A7631D">
        <w:rPr>
          <w:szCs w:val="26"/>
        </w:rPr>
        <w:t xml:space="preserve">, including </w:t>
      </w:r>
      <w:r w:rsidR="000879B6" w:rsidRPr="00A7631D">
        <w:rPr>
          <w:szCs w:val="26"/>
        </w:rPr>
        <w:t>the nine-millimeter round found in Wilson’s home that matched the expended casings found at the scene, evidence that Pops placed</w:t>
      </w:r>
      <w:r w:rsidR="00D337FC" w:rsidRPr="00A7631D">
        <w:rPr>
          <w:szCs w:val="26"/>
        </w:rPr>
        <w:t xml:space="preserve"> </w:t>
      </w:r>
      <w:r w:rsidR="00A11DC5" w:rsidRPr="00A7631D">
        <w:rPr>
          <w:szCs w:val="26"/>
        </w:rPr>
        <w:t xml:space="preserve">onto his car </w:t>
      </w:r>
      <w:r w:rsidR="00D337FC" w:rsidRPr="00A7631D">
        <w:rPr>
          <w:szCs w:val="26"/>
        </w:rPr>
        <w:t>the</w:t>
      </w:r>
      <w:r w:rsidR="00A87BB6" w:rsidRPr="00A7631D">
        <w:rPr>
          <w:szCs w:val="26"/>
        </w:rPr>
        <w:t xml:space="preserve"> IROC rims from the El Camino</w:t>
      </w:r>
      <w:r w:rsidR="000879B6" w:rsidRPr="00A7631D">
        <w:rPr>
          <w:szCs w:val="26"/>
        </w:rPr>
        <w:t xml:space="preserve"> </w:t>
      </w:r>
      <w:r w:rsidR="00A87BB6" w:rsidRPr="00A7631D">
        <w:rPr>
          <w:szCs w:val="26"/>
        </w:rPr>
        <w:t xml:space="preserve">Wilson </w:t>
      </w:r>
      <w:r w:rsidR="00A11DC5" w:rsidRPr="00A7631D">
        <w:rPr>
          <w:szCs w:val="26"/>
        </w:rPr>
        <w:t>stole</w:t>
      </w:r>
      <w:r w:rsidR="00A87BB6" w:rsidRPr="00A7631D">
        <w:rPr>
          <w:szCs w:val="26"/>
        </w:rPr>
        <w:t xml:space="preserve">, </w:t>
      </w:r>
      <w:r w:rsidR="00C10EB0" w:rsidRPr="00A7631D">
        <w:rPr>
          <w:szCs w:val="26"/>
        </w:rPr>
        <w:t xml:space="preserve">Barnes’s testimony </w:t>
      </w:r>
      <w:r w:rsidR="00025F35" w:rsidRPr="00A7631D">
        <w:rPr>
          <w:szCs w:val="26"/>
        </w:rPr>
        <w:t>that he was friendly with</w:t>
      </w:r>
      <w:r w:rsidR="00C10EB0" w:rsidRPr="00A7631D">
        <w:rPr>
          <w:szCs w:val="26"/>
        </w:rPr>
        <w:t xml:space="preserve"> Pops and Wilson, and</w:t>
      </w:r>
      <w:r w:rsidR="00A87BB6" w:rsidRPr="00A7631D">
        <w:rPr>
          <w:szCs w:val="26"/>
        </w:rPr>
        <w:t xml:space="preserve"> </w:t>
      </w:r>
      <w:r w:rsidR="00025F35" w:rsidRPr="00A7631D">
        <w:rPr>
          <w:szCs w:val="26"/>
        </w:rPr>
        <w:t xml:space="preserve">his testimony </w:t>
      </w:r>
      <w:r w:rsidR="00A87BB6" w:rsidRPr="00A7631D">
        <w:rPr>
          <w:szCs w:val="26"/>
        </w:rPr>
        <w:t>that he</w:t>
      </w:r>
      <w:r w:rsidR="00C10EB0" w:rsidRPr="00A7631D">
        <w:rPr>
          <w:szCs w:val="26"/>
        </w:rPr>
        <w:t xml:space="preserve"> assisted with burning the El Camino</w:t>
      </w:r>
      <w:r w:rsidR="00D337FC" w:rsidRPr="00A7631D">
        <w:rPr>
          <w:szCs w:val="26"/>
        </w:rPr>
        <w:t xml:space="preserve"> following the murders.  </w:t>
      </w:r>
      <w:r w:rsidR="00B616C6" w:rsidRPr="00A7631D">
        <w:rPr>
          <w:szCs w:val="26"/>
        </w:rPr>
        <w:t xml:space="preserve">Like the drawing in </w:t>
      </w:r>
      <w:r w:rsidR="00B616C6" w:rsidRPr="00A7631D">
        <w:rPr>
          <w:i/>
          <w:iCs/>
          <w:szCs w:val="26"/>
        </w:rPr>
        <w:t>Lewis</w:t>
      </w:r>
      <w:r w:rsidR="00B616C6" w:rsidRPr="00A7631D">
        <w:rPr>
          <w:szCs w:val="26"/>
        </w:rPr>
        <w:t xml:space="preserve">, the writings introduced here </w:t>
      </w:r>
      <w:r w:rsidR="00B616C6" w:rsidRPr="00A7631D">
        <w:rPr>
          <w:rStyle w:val="normaltextrun"/>
          <w:szCs w:val="26"/>
        </w:rPr>
        <w:t xml:space="preserve">added “next to nothing to the evidence of </w:t>
      </w:r>
      <w:r w:rsidR="00120986" w:rsidRPr="00A7631D">
        <w:rPr>
          <w:rStyle w:val="normaltextrun"/>
          <w:szCs w:val="26"/>
        </w:rPr>
        <w:t>[Wilson’s]</w:t>
      </w:r>
      <w:r w:rsidR="00B616C6" w:rsidRPr="00A7631D">
        <w:rPr>
          <w:rStyle w:val="normaltextrun"/>
          <w:szCs w:val="26"/>
        </w:rPr>
        <w:t xml:space="preserve"> guilt of the crimes.”</w:t>
      </w:r>
      <w:r w:rsidR="00AD6DCD" w:rsidRPr="00A7631D">
        <w:rPr>
          <w:rStyle w:val="normaltextrun"/>
          <w:szCs w:val="26"/>
        </w:rPr>
        <w:t xml:space="preserve">  </w:t>
      </w:r>
      <w:r w:rsidR="00B616C6" w:rsidRPr="00A7631D">
        <w:rPr>
          <w:rStyle w:val="normaltextrun"/>
          <w:szCs w:val="26"/>
        </w:rPr>
        <w:t>(</w:t>
      </w:r>
      <w:r w:rsidR="00B616C6" w:rsidRPr="00A7631D">
        <w:rPr>
          <w:rStyle w:val="normaltextrun"/>
          <w:i/>
          <w:iCs/>
          <w:szCs w:val="26"/>
        </w:rPr>
        <w:t>Lewis</w:t>
      </w:r>
      <w:r w:rsidR="00B616C6" w:rsidRPr="00A7631D">
        <w:rPr>
          <w:rStyle w:val="normaltextrun"/>
          <w:szCs w:val="26"/>
        </w:rPr>
        <w:t xml:space="preserve">, </w:t>
      </w:r>
      <w:r w:rsidR="00B616C6" w:rsidRPr="00A7631D">
        <w:rPr>
          <w:rStyle w:val="normaltextrun"/>
          <w:i/>
          <w:iCs/>
          <w:szCs w:val="26"/>
        </w:rPr>
        <w:t>supra</w:t>
      </w:r>
      <w:r w:rsidR="00B616C6" w:rsidRPr="00A7631D">
        <w:rPr>
          <w:rStyle w:val="normaltextrun"/>
          <w:szCs w:val="26"/>
        </w:rPr>
        <w:t>, 43 Cal.4th at p. 49</w:t>
      </w:r>
      <w:r w:rsidR="00971305">
        <w:rPr>
          <w:rStyle w:val="normaltextrun"/>
          <w:szCs w:val="26"/>
        </w:rPr>
        <w:t>9</w:t>
      </w:r>
      <w:r w:rsidR="00B616C6" w:rsidRPr="00A7631D">
        <w:rPr>
          <w:rStyle w:val="normaltextrun"/>
          <w:i/>
          <w:iCs/>
          <w:szCs w:val="26"/>
        </w:rPr>
        <w:t>.</w:t>
      </w:r>
      <w:r w:rsidR="00B616C6" w:rsidRPr="00A7631D">
        <w:rPr>
          <w:rStyle w:val="normaltextrun"/>
          <w:szCs w:val="26"/>
        </w:rPr>
        <w:t>)  Any error in their admission would have been harmless.</w:t>
      </w:r>
    </w:p>
    <w:p w14:paraId="27B1A2B2" w14:textId="43442F1D" w:rsidR="001B796C" w:rsidRPr="00A7631D" w:rsidRDefault="001B796C" w:rsidP="00A7631D">
      <w:pPr>
        <w:pStyle w:val="Heading1"/>
      </w:pPr>
      <w:bookmarkStart w:id="65" w:name="_Toc58846837"/>
      <w:bookmarkStart w:id="66" w:name="_Toc50617053"/>
      <w:r w:rsidRPr="00A7631D">
        <w:t>I</w:t>
      </w:r>
      <w:r w:rsidR="00A45837">
        <w:t>II</w:t>
      </w:r>
      <w:r w:rsidRPr="00A7631D">
        <w:t xml:space="preserve">.  </w:t>
      </w:r>
      <w:r w:rsidR="004C73C3" w:rsidRPr="00A7631D">
        <w:t>Jury Misconduct</w:t>
      </w:r>
      <w:bookmarkEnd w:id="65"/>
      <w:bookmarkEnd w:id="66"/>
    </w:p>
    <w:p w14:paraId="4BCB59F5" w14:textId="11E48979" w:rsidR="00DB0B42" w:rsidRPr="00A7631D" w:rsidRDefault="00DB0B42" w:rsidP="00D910CC">
      <w:r w:rsidRPr="00A7631D">
        <w:tab/>
      </w:r>
      <w:r w:rsidR="00120986" w:rsidRPr="00A7631D">
        <w:t>Wilson</w:t>
      </w:r>
      <w:r w:rsidRPr="00A7631D">
        <w:t xml:space="preserve"> asserts the trial court erred by denying his motion for new trial </w:t>
      </w:r>
      <w:r w:rsidR="008049A5" w:rsidRPr="00A7631D">
        <w:t>based on alleged juror misconduct</w:t>
      </w:r>
      <w:r w:rsidRPr="00A7631D">
        <w:t xml:space="preserve">.  </w:t>
      </w:r>
      <w:r w:rsidR="004964BF" w:rsidRPr="00A7631D">
        <w:t xml:space="preserve">He </w:t>
      </w:r>
      <w:r w:rsidR="008049A5" w:rsidRPr="00A7631D">
        <w:t>claims</w:t>
      </w:r>
      <w:r w:rsidR="004964BF" w:rsidRPr="00A7631D">
        <w:t xml:space="preserve"> th</w:t>
      </w:r>
      <w:r w:rsidR="00E35957" w:rsidRPr="00A7631D">
        <w:t xml:space="preserve">at </w:t>
      </w:r>
      <w:r w:rsidR="00E35957" w:rsidRPr="00A7631D">
        <w:lastRenderedPageBreak/>
        <w:t xml:space="preserve">Juror No. 9 committed misconduct by failing to disclose her prior </w:t>
      </w:r>
      <w:r w:rsidR="008F3CE2" w:rsidRPr="00A7631D">
        <w:t xml:space="preserve">jury </w:t>
      </w:r>
      <w:r w:rsidR="00E35957" w:rsidRPr="00A7631D">
        <w:t>service</w:t>
      </w:r>
      <w:r w:rsidR="008F3CE2" w:rsidRPr="00A7631D">
        <w:t>, and the court’s denial of his new trial motion based on that misconduct was error</w:t>
      </w:r>
      <w:r w:rsidR="00801541" w:rsidRPr="00A7631D">
        <w:t xml:space="preserve">.  </w:t>
      </w:r>
      <w:r w:rsidR="008049A5" w:rsidRPr="00A7631D">
        <w:t xml:space="preserve">Wilson further </w:t>
      </w:r>
      <w:r w:rsidR="009B53D4" w:rsidRPr="00A7631D">
        <w:t>alleges</w:t>
      </w:r>
      <w:r w:rsidR="008049A5" w:rsidRPr="00A7631D">
        <w:t xml:space="preserve"> the trial court abused its discretion by failing to adequately investigate </w:t>
      </w:r>
      <w:r w:rsidR="009B53D4" w:rsidRPr="00A7631D">
        <w:t xml:space="preserve">claims </w:t>
      </w:r>
      <w:r w:rsidR="008D3C77" w:rsidRPr="00A7631D">
        <w:t xml:space="preserve">of juror misconduct </w:t>
      </w:r>
      <w:r w:rsidR="00516572" w:rsidRPr="00A7631D">
        <w:t xml:space="preserve">he </w:t>
      </w:r>
      <w:r w:rsidR="008D3C77" w:rsidRPr="00A7631D">
        <w:t xml:space="preserve">raised in his </w:t>
      </w:r>
      <w:r w:rsidR="00516572" w:rsidRPr="00A7631D">
        <w:t xml:space="preserve">new trial </w:t>
      </w:r>
      <w:r w:rsidR="008D3C77" w:rsidRPr="00A7631D">
        <w:t>motion</w:t>
      </w:r>
      <w:r w:rsidR="008049A5" w:rsidRPr="00A7631D">
        <w:t xml:space="preserve">, despite holding an evidentiary hearing to address those claims, by not </w:t>
      </w:r>
      <w:r w:rsidR="009A1E8B" w:rsidRPr="00A7631D">
        <w:t xml:space="preserve">calling more jurors to testify, not </w:t>
      </w:r>
      <w:r w:rsidR="00516572" w:rsidRPr="00A7631D">
        <w:t>sufficiently</w:t>
      </w:r>
      <w:r w:rsidR="009A1E8B" w:rsidRPr="00A7631D">
        <w:t xml:space="preserve"> questioning those who did, and not permitting defense counsel to examine the jurors.</w:t>
      </w:r>
      <w:r w:rsidR="002A16AB" w:rsidRPr="00A7631D">
        <w:t xml:space="preserve">  </w:t>
      </w:r>
      <w:r w:rsidR="000A1642" w:rsidRPr="00A7631D">
        <w:t>For the reasons that follow, we conclude t</w:t>
      </w:r>
      <w:r w:rsidR="002A16AB" w:rsidRPr="00A7631D">
        <w:t>hese claims lack merit.</w:t>
      </w:r>
    </w:p>
    <w:p w14:paraId="6815CA7C" w14:textId="751208E4" w:rsidR="004A4794" w:rsidRPr="00A7631D" w:rsidRDefault="001B796C" w:rsidP="006A3FC0">
      <w:pPr>
        <w:pStyle w:val="Heading2"/>
        <w:numPr>
          <w:ilvl w:val="0"/>
          <w:numId w:val="22"/>
        </w:numPr>
      </w:pPr>
      <w:bookmarkStart w:id="67" w:name="_Toc58846838"/>
      <w:bookmarkStart w:id="68" w:name="_Toc50617054"/>
      <w:r w:rsidRPr="00A7631D">
        <w:t>Juror No. 9’s Recollection of Prior Death Penalty Jury Experience</w:t>
      </w:r>
      <w:bookmarkEnd w:id="67"/>
      <w:r w:rsidRPr="00A7631D">
        <w:t xml:space="preserve"> </w:t>
      </w:r>
      <w:bookmarkEnd w:id="68"/>
    </w:p>
    <w:p w14:paraId="2C4B4516" w14:textId="2230A8F7" w:rsidR="00E6027A" w:rsidRPr="00A7631D" w:rsidRDefault="00E6027A" w:rsidP="00D910CC">
      <w:pPr>
        <w:pStyle w:val="Heading3"/>
        <w:numPr>
          <w:ilvl w:val="0"/>
          <w:numId w:val="15"/>
        </w:numPr>
        <w:ind w:left="1584" w:hanging="432"/>
      </w:pPr>
      <w:bookmarkStart w:id="69" w:name="_Toc58846839"/>
      <w:bookmarkStart w:id="70" w:name="_Toc50617055"/>
      <w:r w:rsidRPr="00A7631D">
        <w:t>Background</w:t>
      </w:r>
      <w:bookmarkEnd w:id="69"/>
      <w:bookmarkEnd w:id="70"/>
    </w:p>
    <w:p w14:paraId="74B977CF" w14:textId="2E732622" w:rsidR="00EC11B2" w:rsidRPr="00A7631D" w:rsidRDefault="003939A0" w:rsidP="00D910CC">
      <w:pPr>
        <w:ind w:firstLine="720"/>
      </w:pPr>
      <w:r w:rsidRPr="00A7631D">
        <w:t>J</w:t>
      </w:r>
      <w:r w:rsidR="00E96CA1" w:rsidRPr="00A7631D">
        <w:t>uror No. 9, a 35-year-old</w:t>
      </w:r>
      <w:r w:rsidR="00093DC9" w:rsidRPr="00A7631D">
        <w:t xml:space="preserve"> </w:t>
      </w:r>
      <w:r w:rsidR="002503CF" w:rsidRPr="00A7631D">
        <w:t xml:space="preserve">law firm </w:t>
      </w:r>
      <w:r w:rsidR="00093DC9" w:rsidRPr="00A7631D">
        <w:t xml:space="preserve">docket clerk, </w:t>
      </w:r>
      <w:r w:rsidR="00EF2BF9" w:rsidRPr="00A7631D">
        <w:t>stated</w:t>
      </w:r>
      <w:r w:rsidR="00093DC9" w:rsidRPr="00A7631D">
        <w:t xml:space="preserve"> i</w:t>
      </w:r>
      <w:r w:rsidR="00EC11B2" w:rsidRPr="00A7631D">
        <w:t xml:space="preserve">n her </w:t>
      </w:r>
      <w:r w:rsidR="00EC7B21" w:rsidRPr="00A7631D">
        <w:t xml:space="preserve">jury </w:t>
      </w:r>
      <w:r w:rsidR="00EC11B2" w:rsidRPr="00A7631D">
        <w:t xml:space="preserve">questionnaire </w:t>
      </w:r>
      <w:r w:rsidR="00437C7C" w:rsidRPr="00A7631D">
        <w:t>that she had served as a juror in a civil matter</w:t>
      </w:r>
      <w:r w:rsidR="009B1092" w:rsidRPr="00A7631D">
        <w:t xml:space="preserve"> in 1992</w:t>
      </w:r>
      <w:r w:rsidR="00EF2BF9" w:rsidRPr="00A7631D">
        <w:t>.  She</w:t>
      </w:r>
      <w:r w:rsidR="00093DC9" w:rsidRPr="00A7631D">
        <w:t xml:space="preserve"> failed</w:t>
      </w:r>
      <w:r w:rsidR="009F3EA8" w:rsidRPr="00A7631D">
        <w:t>, inadvertently,</w:t>
      </w:r>
      <w:r w:rsidR="00093DC9" w:rsidRPr="00A7631D">
        <w:t xml:space="preserve"> to note her earlier experience as an alternate on a</w:t>
      </w:r>
      <w:r w:rsidR="00EB6174" w:rsidRPr="00A7631D">
        <w:t xml:space="preserve"> murder trial</w:t>
      </w:r>
      <w:r w:rsidR="009B1092" w:rsidRPr="00A7631D">
        <w:t xml:space="preserve">.  </w:t>
      </w:r>
      <w:r w:rsidR="00C56131" w:rsidRPr="00A7631D">
        <w:t>Question 40A asked prospective jurors to</w:t>
      </w:r>
      <w:r w:rsidR="00CF3664" w:rsidRPr="00A7631D">
        <w:t xml:space="preserve"> identify </w:t>
      </w:r>
      <w:r w:rsidR="00D02A6D" w:rsidRPr="00A7631D">
        <w:t>whether they had</w:t>
      </w:r>
      <w:r w:rsidR="00CF3664" w:rsidRPr="00A7631D">
        <w:t xml:space="preserve"> </w:t>
      </w:r>
      <w:r w:rsidR="00D02A6D" w:rsidRPr="00A7631D">
        <w:t>“</w:t>
      </w:r>
      <w:r w:rsidR="00B208B0" w:rsidRPr="00A7631D">
        <w:t xml:space="preserve">been a juror in the past,” and, if so, to list the year the trial occurred, whether it was civil or criminal, </w:t>
      </w:r>
      <w:r w:rsidR="00CE1D4A" w:rsidRPr="00A7631D">
        <w:t xml:space="preserve">the nature of the charge, and whether a verdict had been reached.  </w:t>
      </w:r>
      <w:r w:rsidR="00781DFE" w:rsidRPr="00A7631D">
        <w:t xml:space="preserve">Juror No. 9 listed a 1992 personal injury trial on which she had served as a juror but listed no other cases.  </w:t>
      </w:r>
    </w:p>
    <w:p w14:paraId="299F6C03" w14:textId="77CEF7F3" w:rsidR="00B65557" w:rsidRPr="00A7631D" w:rsidRDefault="00B65557" w:rsidP="00D910CC">
      <w:pPr>
        <w:ind w:firstLine="720"/>
      </w:pPr>
      <w:r w:rsidRPr="00A7631D">
        <w:t xml:space="preserve">During voir dire, </w:t>
      </w:r>
      <w:r w:rsidR="00984A06" w:rsidRPr="00A7631D">
        <w:t xml:space="preserve">Juror No. 9 was questioned exclusively about her views on, and ability to impose, the death penalty.  She indicated she could impose the death penalty if appropriate and would evaluate the evidence — even if emotional — before deciding upon the appropriate penalty.  </w:t>
      </w:r>
      <w:r w:rsidR="0028505C" w:rsidRPr="00A7631D">
        <w:t>T</w:t>
      </w:r>
      <w:r w:rsidRPr="00A7631D">
        <w:t xml:space="preserve">he prospective juror in the </w:t>
      </w:r>
      <w:r w:rsidR="006576E0">
        <w:t xml:space="preserve">number </w:t>
      </w:r>
      <w:r w:rsidRPr="00A7631D">
        <w:t xml:space="preserve">12 position, who was examined </w:t>
      </w:r>
      <w:r w:rsidR="0028505C" w:rsidRPr="00A7631D">
        <w:t xml:space="preserve">shortly </w:t>
      </w:r>
      <w:r w:rsidRPr="00A7631D">
        <w:t>before Juror No. 9</w:t>
      </w:r>
      <w:r w:rsidR="000D39BF" w:rsidRPr="00A7631D">
        <w:t xml:space="preserve">, responded to questions about her prior service as an </w:t>
      </w:r>
      <w:r w:rsidR="000D39BF" w:rsidRPr="00A7631D">
        <w:lastRenderedPageBreak/>
        <w:t xml:space="preserve">alternate juror on a death penalty case.  </w:t>
      </w:r>
      <w:r w:rsidR="00210951" w:rsidRPr="00A7631D">
        <w:t>Later that afternoon, following a break and additional questioning,</w:t>
      </w:r>
      <w:r w:rsidR="00C378E1" w:rsidRPr="00A7631D">
        <w:t xml:space="preserve"> </w:t>
      </w:r>
      <w:r w:rsidR="00FA0EFA" w:rsidRPr="00A7631D">
        <w:t xml:space="preserve">Pops and Wilson utilized a joint peremptory strike to excuse the prospective juror in the </w:t>
      </w:r>
      <w:r w:rsidR="00D43447">
        <w:t>number</w:t>
      </w:r>
      <w:r w:rsidR="00E77B31">
        <w:t xml:space="preserve"> </w:t>
      </w:r>
      <w:r w:rsidR="00FA0EFA" w:rsidRPr="00A7631D">
        <w:t xml:space="preserve">12 position, which occurred in front of Juror No. 9.  </w:t>
      </w:r>
      <w:r w:rsidR="009536AA" w:rsidRPr="00A7631D">
        <w:t>Juror No. 9 was empaneled and served on Wilson’s jury</w:t>
      </w:r>
      <w:r w:rsidR="00D205B5" w:rsidRPr="00A7631D">
        <w:t xml:space="preserve">.  </w:t>
      </w:r>
    </w:p>
    <w:p w14:paraId="3FA703FD" w14:textId="2551B5D5" w:rsidR="00D205B5" w:rsidRPr="00A7631D" w:rsidRDefault="00F441BF" w:rsidP="00D910CC">
      <w:pPr>
        <w:ind w:firstLine="720"/>
      </w:pPr>
      <w:r w:rsidRPr="00A7631D">
        <w:t>Following the death verdict, d</w:t>
      </w:r>
      <w:r w:rsidR="00E44DB2" w:rsidRPr="00A7631D">
        <w:t>efense counsel</w:t>
      </w:r>
      <w:r w:rsidRPr="00A7631D">
        <w:t xml:space="preserve"> conducted interviews with jurors.  </w:t>
      </w:r>
      <w:r w:rsidR="00EB4B7D" w:rsidRPr="00A7631D">
        <w:t xml:space="preserve">In her interview, </w:t>
      </w:r>
      <w:r w:rsidR="00E44DB2" w:rsidRPr="00A7631D">
        <w:t>Juror No. 9</w:t>
      </w:r>
      <w:r w:rsidR="00EB4B7D" w:rsidRPr="00A7631D">
        <w:t xml:space="preserve"> </w:t>
      </w:r>
      <w:r w:rsidR="00DA191D" w:rsidRPr="00A7631D">
        <w:t xml:space="preserve">told counsel she </w:t>
      </w:r>
      <w:r w:rsidR="00153788" w:rsidRPr="00A7631D">
        <w:t xml:space="preserve">wanted to put the experience of serving as a juror on Wilson’s case behind her </w:t>
      </w:r>
      <w:r w:rsidR="00D860FE" w:rsidRPr="00A7631D">
        <w:t>“</w:t>
      </w:r>
      <w:r w:rsidR="00153788" w:rsidRPr="00A7631D">
        <w:t>because it seemed to be lingering on</w:t>
      </w:r>
      <w:r w:rsidR="00D860FE" w:rsidRPr="00A7631D">
        <w:t xml:space="preserve"> and on, and she had been through this experience before</w:t>
      </w:r>
      <w:r w:rsidR="00EF67BE" w:rsidRPr="00A7631D">
        <w:t>,</w:t>
      </w:r>
      <w:r w:rsidR="00D860FE" w:rsidRPr="00A7631D">
        <w:t>”</w:t>
      </w:r>
      <w:r w:rsidR="00EF67BE" w:rsidRPr="00A7631D">
        <w:t xml:space="preserve"> having served on a death penalty case many years earlier.</w:t>
      </w:r>
      <w:r w:rsidR="00D860FE" w:rsidRPr="00A7631D">
        <w:t xml:space="preserve">  </w:t>
      </w:r>
      <w:r w:rsidR="00E62186" w:rsidRPr="00A7631D">
        <w:t xml:space="preserve">This conversation marked the first time she alerted anyone involved with this case to the fact that she </w:t>
      </w:r>
      <w:r w:rsidR="00ED1112" w:rsidRPr="00A7631D">
        <w:t xml:space="preserve">newly recalled her prior jury service.  </w:t>
      </w:r>
      <w:r w:rsidR="002F7FEB" w:rsidRPr="00A7631D">
        <w:t xml:space="preserve">In a phone call </w:t>
      </w:r>
      <w:r w:rsidR="0061121E" w:rsidRPr="00A7631D">
        <w:t>with</w:t>
      </w:r>
      <w:r w:rsidR="00025117" w:rsidRPr="00A7631D">
        <w:t xml:space="preserve"> defense counsel </w:t>
      </w:r>
      <w:r w:rsidR="002F7FEB" w:rsidRPr="00A7631D">
        <w:t xml:space="preserve">a few days </w:t>
      </w:r>
      <w:r w:rsidR="0061121E" w:rsidRPr="00A7631D">
        <w:t xml:space="preserve">later, </w:t>
      </w:r>
      <w:r w:rsidR="00025117" w:rsidRPr="00A7631D">
        <w:t xml:space="preserve">Juror No. 9 </w:t>
      </w:r>
      <w:r w:rsidR="002F7FEB" w:rsidRPr="00A7631D">
        <w:t xml:space="preserve">clarified she </w:t>
      </w:r>
      <w:r w:rsidR="00025117" w:rsidRPr="00A7631D">
        <w:t>was</w:t>
      </w:r>
      <w:r w:rsidR="002F7FEB" w:rsidRPr="00A7631D">
        <w:t xml:space="preserve"> as an alternate</w:t>
      </w:r>
      <w:r w:rsidR="009667F1" w:rsidRPr="00A7631D">
        <w:t xml:space="preserve"> juror</w:t>
      </w:r>
      <w:r w:rsidR="00840CF3" w:rsidRPr="00A7631D">
        <w:t xml:space="preserve"> </w:t>
      </w:r>
      <w:r w:rsidR="002754E8" w:rsidRPr="00A7631D">
        <w:t>o</w:t>
      </w:r>
      <w:r w:rsidR="00840CF3" w:rsidRPr="00A7631D">
        <w:t xml:space="preserve">n </w:t>
      </w:r>
      <w:r w:rsidR="00AA655C" w:rsidRPr="00A7631D">
        <w:t>a</w:t>
      </w:r>
      <w:r w:rsidR="00840CF3" w:rsidRPr="00A7631D">
        <w:t xml:space="preserve"> murder trial, </w:t>
      </w:r>
      <w:r w:rsidR="00594770" w:rsidRPr="00A7631D">
        <w:t>and that it</w:t>
      </w:r>
      <w:r w:rsidR="00840CF3" w:rsidRPr="00A7631D">
        <w:t xml:space="preserve"> may have been a juvenile, not capital, case</w:t>
      </w:r>
      <w:r w:rsidR="00E104CE" w:rsidRPr="00A7631D">
        <w:t xml:space="preserve">.  </w:t>
      </w:r>
      <w:r w:rsidR="00A453C4" w:rsidRPr="00A7631D">
        <w:t xml:space="preserve">Juror No. 9 </w:t>
      </w:r>
      <w:r w:rsidR="007338F1" w:rsidRPr="00A7631D">
        <w:t>said</w:t>
      </w:r>
      <w:r w:rsidR="00A453C4" w:rsidRPr="00A7631D">
        <w:t xml:space="preserve"> it was difficult to remember the details of the case because it had occurred some 15 years prior to Wilson’s trial.  </w:t>
      </w:r>
    </w:p>
    <w:p w14:paraId="6288E7B4" w14:textId="1D99EF63" w:rsidR="00CB2AAA" w:rsidRPr="00A7631D" w:rsidRDefault="00CB2AAA" w:rsidP="00D910CC">
      <w:pPr>
        <w:ind w:firstLine="720"/>
      </w:pPr>
      <w:r w:rsidRPr="00A7631D">
        <w:t xml:space="preserve">Defense counsel sought a court order of Juror No. 9’s </w:t>
      </w:r>
      <w:r w:rsidR="00594770" w:rsidRPr="00A7631D">
        <w:t xml:space="preserve">jury service </w:t>
      </w:r>
      <w:r w:rsidRPr="00A7631D">
        <w:t>records</w:t>
      </w:r>
      <w:r w:rsidR="004043C8" w:rsidRPr="00A7631D">
        <w:t>.  The records indicated that between 1985 and 1999</w:t>
      </w:r>
      <w:r w:rsidR="009D47A7" w:rsidRPr="00A7631D">
        <w:t xml:space="preserve">, </w:t>
      </w:r>
      <w:r w:rsidR="004043C8" w:rsidRPr="00A7631D">
        <w:t xml:space="preserve">Juror No. 9 had served </w:t>
      </w:r>
      <w:r w:rsidR="00316966" w:rsidRPr="00A7631D">
        <w:t xml:space="preserve">on </w:t>
      </w:r>
      <w:r w:rsidR="009D47A7" w:rsidRPr="00A7631D">
        <w:t>two trials, a</w:t>
      </w:r>
      <w:r w:rsidR="004043C8" w:rsidRPr="00A7631D">
        <w:t xml:space="preserve"> 1993</w:t>
      </w:r>
      <w:r w:rsidR="009D47A7" w:rsidRPr="00A7631D">
        <w:t xml:space="preserve"> matter and Wilson’s trial —</w:t>
      </w:r>
      <w:r w:rsidR="00C62B5E" w:rsidRPr="00A7631D">
        <w:t xml:space="preserve"> </w:t>
      </w:r>
      <w:r w:rsidR="009D47A7" w:rsidRPr="00A7631D">
        <w:t xml:space="preserve">consistent with her questionnaire responses.  </w:t>
      </w:r>
      <w:r w:rsidR="0079370E" w:rsidRPr="00A7631D">
        <w:t>No records were maintained regarding jury service predating 1985</w:t>
      </w:r>
      <w:r w:rsidR="00BA392A" w:rsidRPr="00A7631D">
        <w:t xml:space="preserve">; the murder trial on which Juror No. 9 served as an alternate took place in 1984.  </w:t>
      </w:r>
    </w:p>
    <w:p w14:paraId="23A3E902" w14:textId="1FED2A54" w:rsidR="003D796C" w:rsidRPr="00A7631D" w:rsidRDefault="00CD6905" w:rsidP="00D910CC">
      <w:pPr>
        <w:ind w:firstLine="720"/>
      </w:pPr>
      <w:r w:rsidRPr="00A7631D">
        <w:t>Wilson moved for a new trial, arguing Juror No. 9 committed misconduct by intentionally concealing her p</w:t>
      </w:r>
      <w:r w:rsidR="00A85E81" w:rsidRPr="00A7631D">
        <w:t xml:space="preserve">rior service on a murder case.  </w:t>
      </w:r>
      <w:r w:rsidR="007565ED" w:rsidRPr="00A7631D">
        <w:t xml:space="preserve">On March 24, 2000, the court conducted an evidentiary hearing </w:t>
      </w:r>
      <w:r w:rsidR="009A5296" w:rsidRPr="00A7631D">
        <w:t xml:space="preserve">regarding the alleged juror </w:t>
      </w:r>
      <w:r w:rsidR="009A5296" w:rsidRPr="00A7631D">
        <w:lastRenderedPageBreak/>
        <w:t>misconduct.</w:t>
      </w:r>
      <w:r w:rsidR="004D35EE" w:rsidRPr="00A7631D">
        <w:rPr>
          <w:rStyle w:val="FootnoteReference"/>
        </w:rPr>
        <w:footnoteReference w:id="18"/>
      </w:r>
      <w:r w:rsidR="009A5296" w:rsidRPr="00A7631D">
        <w:t xml:space="preserve">  Juror No. 9 testified that she </w:t>
      </w:r>
      <w:r w:rsidR="009A0080" w:rsidRPr="00A7631D">
        <w:t xml:space="preserve">had told defense counsel, during </w:t>
      </w:r>
      <w:r w:rsidR="009378ED" w:rsidRPr="00A7631D">
        <w:t>their post-trial interview</w:t>
      </w:r>
      <w:r w:rsidR="009A0080" w:rsidRPr="00A7631D">
        <w:t xml:space="preserve">, that she had served on a prior </w:t>
      </w:r>
      <w:r w:rsidR="00EC11B2" w:rsidRPr="00A7631D">
        <w:t xml:space="preserve">death penalty case as an alternate juror.  </w:t>
      </w:r>
      <w:r w:rsidR="009538B0" w:rsidRPr="00A7631D">
        <w:t>She</w:t>
      </w:r>
      <w:r w:rsidR="00E75AEC" w:rsidRPr="00A7631D">
        <w:t xml:space="preserve"> </w:t>
      </w:r>
      <w:r w:rsidR="00094F64" w:rsidRPr="00A7631D">
        <w:t>did not list her</w:t>
      </w:r>
      <w:r w:rsidR="00E75AEC" w:rsidRPr="00A7631D">
        <w:t xml:space="preserve"> prior service </w:t>
      </w:r>
      <w:r w:rsidR="00094F64" w:rsidRPr="00A7631D">
        <w:t xml:space="preserve">in </w:t>
      </w:r>
      <w:r w:rsidR="00E75AEC" w:rsidRPr="00A7631D">
        <w:t xml:space="preserve">her juror questionnaire because she “had just forgotten about it.”  </w:t>
      </w:r>
      <w:r w:rsidR="00EF46E5" w:rsidRPr="00A7631D">
        <w:t xml:space="preserve">She </w:t>
      </w:r>
      <w:r w:rsidR="001A7C18" w:rsidRPr="00A7631D">
        <w:t>said the questionnaire was</w:t>
      </w:r>
      <w:r w:rsidR="00080A14" w:rsidRPr="00A7631D">
        <w:t xml:space="preserve"> “lengthy” and she “was trying to get through it</w:t>
      </w:r>
      <w:r w:rsidR="001A7C18" w:rsidRPr="00A7631D">
        <w:t>,</w:t>
      </w:r>
      <w:r w:rsidR="003E673D" w:rsidRPr="00A7631D">
        <w:t>”</w:t>
      </w:r>
      <w:r w:rsidR="001A7C18" w:rsidRPr="00A7631D">
        <w:t xml:space="preserve"> </w:t>
      </w:r>
      <w:r w:rsidR="0046106B" w:rsidRPr="00A7631D">
        <w:t>noting she</w:t>
      </w:r>
      <w:r w:rsidR="005F5F0F" w:rsidRPr="00A7631D">
        <w:t xml:space="preserve"> simply did not recall </w:t>
      </w:r>
      <w:r w:rsidR="0046106B" w:rsidRPr="00A7631D">
        <w:t>her prior service when filling it out.</w:t>
      </w:r>
      <w:r w:rsidR="003E673D" w:rsidRPr="00A7631D">
        <w:t xml:space="preserve">  </w:t>
      </w:r>
      <w:r w:rsidR="00FB2F26" w:rsidRPr="00A7631D">
        <w:t xml:space="preserve">She also did not </w:t>
      </w:r>
      <w:r w:rsidR="00221007" w:rsidRPr="00A7631D">
        <w:t>mention</w:t>
      </w:r>
      <w:r w:rsidR="00FB2F26" w:rsidRPr="00A7631D">
        <w:t xml:space="preserve"> </w:t>
      </w:r>
      <w:r w:rsidR="003135F7" w:rsidRPr="00A7631D">
        <w:t>her prior service during</w:t>
      </w:r>
      <w:r w:rsidR="001C2C4C" w:rsidRPr="00A7631D">
        <w:t xml:space="preserve"> voir dire</w:t>
      </w:r>
      <w:r w:rsidR="008C503A" w:rsidRPr="00A7631D">
        <w:t>,</w:t>
      </w:r>
      <w:r w:rsidR="00EE10E4" w:rsidRPr="00A7631D">
        <w:t xml:space="preserve"> although she was not asked about </w:t>
      </w:r>
      <w:r w:rsidR="008C503A" w:rsidRPr="00A7631D">
        <w:t>it, despite</w:t>
      </w:r>
      <w:r w:rsidR="003135F7" w:rsidRPr="00A7631D">
        <w:t xml:space="preserve"> a</w:t>
      </w:r>
      <w:r w:rsidR="005416E2" w:rsidRPr="00A7631D">
        <w:t xml:space="preserve">nother </w:t>
      </w:r>
      <w:r w:rsidR="003135F7" w:rsidRPr="00A7631D">
        <w:t>prospective juror discuss</w:t>
      </w:r>
      <w:r w:rsidR="008C503A" w:rsidRPr="00A7631D">
        <w:t>ing</w:t>
      </w:r>
      <w:r w:rsidR="003135F7" w:rsidRPr="00A7631D">
        <w:t xml:space="preserve"> their</w:t>
      </w:r>
      <w:r w:rsidR="001C2C4C" w:rsidRPr="00A7631D">
        <w:t xml:space="preserve"> </w:t>
      </w:r>
      <w:r w:rsidR="00B94EF6" w:rsidRPr="00A7631D">
        <w:t xml:space="preserve">prior service as an alternate on a capital trial, </w:t>
      </w:r>
      <w:r w:rsidR="008C503A" w:rsidRPr="00A7631D">
        <w:t>who</w:t>
      </w:r>
      <w:r w:rsidR="00B94EF6" w:rsidRPr="00A7631D">
        <w:t xml:space="preserve"> was</w:t>
      </w:r>
      <w:r w:rsidR="00A25C7D" w:rsidRPr="00A7631D">
        <w:t xml:space="preserve"> subsequently</w:t>
      </w:r>
      <w:r w:rsidR="00B94EF6" w:rsidRPr="00A7631D">
        <w:t xml:space="preserve"> peremptorily excused.</w:t>
      </w:r>
      <w:r w:rsidR="000419E6" w:rsidRPr="00A7631D">
        <w:t xml:space="preserve"> </w:t>
      </w:r>
      <w:r w:rsidR="001C2C4C" w:rsidRPr="00A7631D">
        <w:t xml:space="preserve"> </w:t>
      </w:r>
      <w:r w:rsidR="00CC3734" w:rsidRPr="00A7631D">
        <w:t xml:space="preserve">Juror No. 9 </w:t>
      </w:r>
      <w:r w:rsidR="00D10A87" w:rsidRPr="00A7631D">
        <w:t xml:space="preserve">testified that she had </w:t>
      </w:r>
      <w:r w:rsidR="002501E9" w:rsidRPr="00A7631D">
        <w:t>remembered</w:t>
      </w:r>
      <w:r w:rsidR="00CC3734" w:rsidRPr="00A7631D">
        <w:t xml:space="preserve"> her prior service</w:t>
      </w:r>
      <w:r w:rsidR="00A266AD" w:rsidRPr="00A7631D">
        <w:t xml:space="preserve"> “months</w:t>
      </w:r>
      <w:r w:rsidR="00980B0D" w:rsidRPr="00A7631D">
        <w:t> </w:t>
      </w:r>
      <w:r w:rsidR="00A266AD" w:rsidRPr="00A7631D">
        <w:t>.</w:t>
      </w:r>
      <w:r w:rsidR="00980B0D" w:rsidRPr="00A7631D">
        <w:t> </w:t>
      </w:r>
      <w:r w:rsidR="00A266AD" w:rsidRPr="00A7631D">
        <w:t>.</w:t>
      </w:r>
      <w:r w:rsidR="00980B0D" w:rsidRPr="00A7631D">
        <w:t> </w:t>
      </w:r>
      <w:r w:rsidR="00A266AD" w:rsidRPr="00A7631D">
        <w:t>.</w:t>
      </w:r>
      <w:r w:rsidR="00980B0D" w:rsidRPr="00A7631D">
        <w:t> </w:t>
      </w:r>
      <w:r w:rsidR="00A266AD" w:rsidRPr="00A7631D">
        <w:t xml:space="preserve">or weeks into” </w:t>
      </w:r>
      <w:r w:rsidR="00CC3734" w:rsidRPr="00A7631D">
        <w:t xml:space="preserve">Wilson’s </w:t>
      </w:r>
      <w:r w:rsidR="00A266AD" w:rsidRPr="00A7631D">
        <w:t>trial, and certainly after the jury</w:t>
      </w:r>
      <w:r w:rsidR="00CC3734" w:rsidRPr="00A7631D">
        <w:t xml:space="preserve"> began hearing evidence</w:t>
      </w:r>
      <w:r w:rsidR="00442EF1" w:rsidRPr="00A7631D">
        <w:t xml:space="preserve">.  </w:t>
      </w:r>
      <w:r w:rsidR="00D10A87" w:rsidRPr="00A7631D">
        <w:t xml:space="preserve">When the court </w:t>
      </w:r>
      <w:r w:rsidR="00A266AD" w:rsidRPr="00A7631D">
        <w:t>asked her</w:t>
      </w:r>
      <w:r w:rsidR="00D10A87" w:rsidRPr="00A7631D">
        <w:t xml:space="preserve"> why she did not report her prior service once she remembered it, she explained she “just really honestly didn’t think about it.”  </w:t>
      </w:r>
    </w:p>
    <w:p w14:paraId="0EFEA6BD" w14:textId="2D3A1AD8" w:rsidR="00596CF7" w:rsidRPr="00A7631D" w:rsidRDefault="00253A9B" w:rsidP="00D910CC">
      <w:pPr>
        <w:ind w:firstLine="720"/>
      </w:pPr>
      <w:r w:rsidRPr="00A7631D">
        <w:t>Wilson’s attorney argued at the evidentiary hearing that Juror No. 9’s failure to disclose her prior service at any point during the trial</w:t>
      </w:r>
      <w:r w:rsidR="00C82C3A" w:rsidRPr="00A7631D">
        <w:t xml:space="preserve"> constituted “a concealment of a very material fact.”  When the court pressed counsel on whether he was asserting </w:t>
      </w:r>
      <w:proofErr w:type="gramStart"/>
      <w:r w:rsidR="00C82C3A" w:rsidRPr="00A7631D">
        <w:t>Juror</w:t>
      </w:r>
      <w:proofErr w:type="gramEnd"/>
      <w:r w:rsidR="00C82C3A" w:rsidRPr="00A7631D">
        <w:t xml:space="preserve"> No. 9 had lied when she gave testimony before the court, Wilson’s coun</w:t>
      </w:r>
      <w:r w:rsidR="00751811" w:rsidRPr="00A7631D">
        <w:t>sel clarified that he did not believe Juror No. 9 was being untruthful, and his use of the word “concealment” was a “term of art</w:t>
      </w:r>
      <w:r w:rsidR="00AF6EE9" w:rsidRPr="00A7631D">
        <w:t>.”  The court</w:t>
      </w:r>
      <w:r w:rsidR="0057178D" w:rsidRPr="00A7631D">
        <w:t xml:space="preserve"> </w:t>
      </w:r>
      <w:r w:rsidR="00CB0704" w:rsidRPr="00A7631D">
        <w:t>found</w:t>
      </w:r>
      <w:r w:rsidR="00767E9A" w:rsidRPr="00A7631D">
        <w:t xml:space="preserve"> Juror No. 9 </w:t>
      </w:r>
      <w:r w:rsidR="00CB0704" w:rsidRPr="00A7631D">
        <w:t xml:space="preserve">“very credible” and </w:t>
      </w:r>
      <w:r w:rsidR="00767E9A" w:rsidRPr="00A7631D">
        <w:t xml:space="preserve">did not </w:t>
      </w:r>
      <w:r w:rsidR="00CB0704" w:rsidRPr="00A7631D">
        <w:t xml:space="preserve">believe she </w:t>
      </w:r>
      <w:r w:rsidR="00767E9A" w:rsidRPr="00A7631D">
        <w:t>“intentionally conceal</w:t>
      </w:r>
      <w:r w:rsidR="00CB0704" w:rsidRPr="00A7631D">
        <w:t>ed</w:t>
      </w:r>
      <w:r w:rsidR="00767E9A" w:rsidRPr="00A7631D">
        <w:t xml:space="preserve"> anything</w:t>
      </w:r>
      <w:r w:rsidR="00CB0704" w:rsidRPr="00A7631D">
        <w:t xml:space="preserve">.”  </w:t>
      </w:r>
      <w:r w:rsidR="001531FE" w:rsidRPr="00A7631D">
        <w:t xml:space="preserve">The questionnaire’s phrasing regarding prior </w:t>
      </w:r>
      <w:r w:rsidR="001531FE" w:rsidRPr="00A7631D">
        <w:lastRenderedPageBreak/>
        <w:t>service, the court noted, was not altogether clear as to whether service as an alternate should have been included.</w:t>
      </w:r>
      <w:r w:rsidR="00015CC8" w:rsidRPr="00A7631D">
        <w:rPr>
          <w:rStyle w:val="FootnoteReference"/>
        </w:rPr>
        <w:footnoteReference w:id="19"/>
      </w:r>
      <w:r w:rsidR="001531FE" w:rsidRPr="00A7631D">
        <w:t xml:space="preserve">  </w:t>
      </w:r>
    </w:p>
    <w:p w14:paraId="401FF79B" w14:textId="7AF86F7C" w:rsidR="007565ED" w:rsidRPr="00A7631D" w:rsidRDefault="00983CB4" w:rsidP="00D910CC">
      <w:pPr>
        <w:ind w:firstLine="720"/>
      </w:pPr>
      <w:r w:rsidRPr="00A7631D">
        <w:t>The court continued the matter to conduct further research</w:t>
      </w:r>
      <w:r w:rsidR="00596CF7" w:rsidRPr="00A7631D">
        <w:t xml:space="preserve"> and heard argument again on April 7, 2000.  </w:t>
      </w:r>
      <w:r w:rsidR="00746F69" w:rsidRPr="00A7631D">
        <w:t>Following</w:t>
      </w:r>
      <w:r w:rsidR="00663157" w:rsidRPr="00A7631D">
        <w:t xml:space="preserve"> that second hearing, the court denied the new trial motion, reiterating its finding that Juror No. 9 was “credible</w:t>
      </w:r>
      <w:r w:rsidR="00227F32" w:rsidRPr="00A7631D">
        <w:t xml:space="preserve">.”  </w:t>
      </w:r>
      <w:r w:rsidR="0055518F" w:rsidRPr="00A7631D">
        <w:t>T</w:t>
      </w:r>
      <w:r w:rsidR="00227F32" w:rsidRPr="00A7631D">
        <w:t>he court explained</w:t>
      </w:r>
      <w:r w:rsidR="00934120" w:rsidRPr="00A7631D">
        <w:t xml:space="preserve"> that </w:t>
      </w:r>
      <w:r w:rsidR="000E44CB" w:rsidRPr="00A7631D">
        <w:t>Juror No. 9’s prior service was 15 or 16 years before Wilson’s trial</w:t>
      </w:r>
      <w:r w:rsidR="00BC255C" w:rsidRPr="00A7631D">
        <w:t xml:space="preserve">, </w:t>
      </w:r>
      <w:r w:rsidR="00934120" w:rsidRPr="00A7631D">
        <w:t xml:space="preserve">it was unclear whether </w:t>
      </w:r>
      <w:r w:rsidR="00BC255C" w:rsidRPr="00A7631D">
        <w:t>that</w:t>
      </w:r>
      <w:r w:rsidR="00934120" w:rsidRPr="00A7631D">
        <w:t xml:space="preserve"> service was on a juvenile matter or a death penalty matter, and in any event</w:t>
      </w:r>
      <w:r w:rsidR="008E6E74" w:rsidRPr="00A7631D">
        <w:t xml:space="preserve"> the fact she was an alternate made her service “a lot easier to forget” because she was not involved in rendering a verdict.  </w:t>
      </w:r>
      <w:r w:rsidR="00AA0793" w:rsidRPr="00A7631D">
        <w:t>Although Juror No. 9 recalled at some point during the trial that she had this prior experience, the court</w:t>
      </w:r>
      <w:r w:rsidR="006D44C9" w:rsidRPr="00A7631D">
        <w:t xml:space="preserve"> concluded nothing in the </w:t>
      </w:r>
      <w:r w:rsidR="00A36BD8" w:rsidRPr="00A7631D">
        <w:t xml:space="preserve">questionnaire or the jury’s </w:t>
      </w:r>
      <w:r w:rsidR="006D44C9" w:rsidRPr="00A7631D">
        <w:t xml:space="preserve">instructions would have alerted her </w:t>
      </w:r>
      <w:r w:rsidR="005121FF" w:rsidRPr="00A7631D">
        <w:t>that she was obliged to bring</w:t>
      </w:r>
      <w:r w:rsidR="006D44C9" w:rsidRPr="00A7631D">
        <w:t xml:space="preserve"> it up.</w:t>
      </w:r>
      <w:r w:rsidR="00A36BD8" w:rsidRPr="00A7631D">
        <w:t xml:space="preserve">  Finally, the court concluded that</w:t>
      </w:r>
      <w:r w:rsidR="00C40CF8" w:rsidRPr="00A7631D">
        <w:t xml:space="preserve"> Juror No. 9’s inadvertent omission did not constitute actual bias under </w:t>
      </w:r>
      <w:proofErr w:type="gramStart"/>
      <w:r w:rsidR="00C40CF8" w:rsidRPr="00A7631D">
        <w:rPr>
          <w:i/>
          <w:iCs/>
        </w:rPr>
        <w:t>In</w:t>
      </w:r>
      <w:proofErr w:type="gramEnd"/>
      <w:r w:rsidR="00C40CF8" w:rsidRPr="00A7631D">
        <w:rPr>
          <w:i/>
          <w:iCs/>
        </w:rPr>
        <w:t xml:space="preserve"> re Hamilton</w:t>
      </w:r>
      <w:r w:rsidR="00C40CF8" w:rsidRPr="00A7631D">
        <w:t xml:space="preserve"> (1999) 20 Cal.4th </w:t>
      </w:r>
      <w:r w:rsidR="00C07736" w:rsidRPr="00A7631D">
        <w:t>273.</w:t>
      </w:r>
      <w:r w:rsidR="00C07736" w:rsidRPr="00A7631D">
        <w:rPr>
          <w:rStyle w:val="FootnoteReference"/>
        </w:rPr>
        <w:footnoteReference w:id="20"/>
      </w:r>
      <w:r w:rsidR="00C07736" w:rsidRPr="00A7631D">
        <w:t xml:space="preserve">  </w:t>
      </w:r>
    </w:p>
    <w:p w14:paraId="4D86BC10" w14:textId="01111647" w:rsidR="00B22917" w:rsidRPr="00A7631D" w:rsidRDefault="00B22917" w:rsidP="00D910CC">
      <w:pPr>
        <w:pStyle w:val="Heading3"/>
        <w:numPr>
          <w:ilvl w:val="0"/>
          <w:numId w:val="15"/>
        </w:numPr>
        <w:ind w:left="1584" w:hanging="432"/>
      </w:pPr>
      <w:bookmarkStart w:id="71" w:name="_Toc58846840"/>
      <w:bookmarkStart w:id="72" w:name="_Toc50617056"/>
      <w:r w:rsidRPr="00A7631D">
        <w:t>Discussion</w:t>
      </w:r>
      <w:bookmarkEnd w:id="71"/>
      <w:bookmarkEnd w:id="72"/>
    </w:p>
    <w:p w14:paraId="03D5A413" w14:textId="43F7C3D2" w:rsidR="00A63DF4" w:rsidRPr="00A7631D" w:rsidRDefault="00EC1C1E" w:rsidP="00D910CC">
      <w:pPr>
        <w:ind w:firstLine="720"/>
      </w:pPr>
      <w:r w:rsidRPr="00A7631D">
        <w:t xml:space="preserve">Wilson argues </w:t>
      </w:r>
      <w:r w:rsidR="0075186B" w:rsidRPr="00A7631D">
        <w:t xml:space="preserve">Juror No. 9 committed misconduct by intentionally concealing her prior service on a murder </w:t>
      </w:r>
      <w:r w:rsidR="00FC1195" w:rsidRPr="00A7631D">
        <w:t xml:space="preserve">trial’s </w:t>
      </w:r>
      <w:r w:rsidR="0075186B" w:rsidRPr="00A7631D">
        <w:lastRenderedPageBreak/>
        <w:t>jury once she remembered it during</w:t>
      </w:r>
      <w:r w:rsidR="00FC1195" w:rsidRPr="00A7631D">
        <w:t xml:space="preserve"> his</w:t>
      </w:r>
      <w:r w:rsidR="0075186B" w:rsidRPr="00A7631D">
        <w:t xml:space="preserve"> trial.</w:t>
      </w:r>
      <w:r w:rsidR="00F51496" w:rsidRPr="00A7631D">
        <w:t xml:space="preserve">  </w:t>
      </w:r>
      <w:r w:rsidR="00227080" w:rsidRPr="00A7631D">
        <w:t>“The law concerning juror concealment is settled.</w:t>
      </w:r>
      <w:r w:rsidR="00154E8D" w:rsidRPr="00A7631D">
        <w:t xml:space="preserve"> . . . </w:t>
      </w:r>
      <w:r w:rsidR="00AA161E">
        <w:t>‘</w:t>
      </w:r>
      <w:r w:rsidR="00154E8D" w:rsidRPr="00A7631D">
        <w:t xml:space="preserve">[An] </w:t>
      </w:r>
      <w:r w:rsidR="00227080" w:rsidRPr="00A7631D">
        <w:t xml:space="preserve">accused </w:t>
      </w:r>
      <w:r w:rsidR="00154E8D" w:rsidRPr="00A7631D">
        <w:t>. . .</w:t>
      </w:r>
      <w:r w:rsidR="00227080" w:rsidRPr="00A7631D">
        <w:t xml:space="preserve"> has a constitutional right to a trial by impartial jurors.  [Citations.]  </w:t>
      </w:r>
      <w:r w:rsidR="00AA161E">
        <w:t>“</w:t>
      </w:r>
      <w:r w:rsidR="00B47795">
        <w:t> </w:t>
      </w:r>
      <w:r w:rsidR="00AA161E">
        <w:t>‘</w:t>
      </w:r>
      <w:r w:rsidR="00B47795">
        <w:t> </w:t>
      </w:r>
      <w:r w:rsidR="00AA161E">
        <w:t>“</w:t>
      </w:r>
      <w:r w:rsidR="00227080" w:rsidRPr="00A7631D">
        <w:t>The right to unbiased and unprejudiced jurors is an inseparable and inalienable part of the right to trial by jury guaranteed by the Constitution.</w:t>
      </w:r>
      <w:r w:rsidR="00AA161E">
        <w:t>”</w:t>
      </w:r>
      <w:r w:rsidR="00B47795">
        <w:t> </w:t>
      </w:r>
      <w:r w:rsidR="00227080" w:rsidRPr="00A7631D">
        <w:t>’</w:t>
      </w:r>
      <w:r w:rsidR="00B47795">
        <w:t> </w:t>
      </w:r>
      <w:r w:rsidR="00227080" w:rsidRPr="00A7631D">
        <w:t>”</w:t>
      </w:r>
      <w:r w:rsidR="00B47795">
        <w:t> </w:t>
      </w:r>
      <w:r w:rsidR="00227080" w:rsidRPr="00A7631D">
        <w:t>’</w:t>
      </w:r>
      <w:r w:rsidR="00B47795">
        <w:t> </w:t>
      </w:r>
      <w:r w:rsidR="00227080" w:rsidRPr="00A7631D">
        <w:t>”  (</w:t>
      </w:r>
      <w:r w:rsidR="00227080" w:rsidRPr="00A7631D">
        <w:rPr>
          <w:i/>
          <w:iCs/>
        </w:rPr>
        <w:t>In re Manriquez</w:t>
      </w:r>
      <w:r w:rsidR="00227080" w:rsidRPr="00A7631D">
        <w:t xml:space="preserve"> (2018) 5 Cal.5th 785, 797</w:t>
      </w:r>
      <w:r w:rsidR="005B3BD9" w:rsidRPr="00A7631D">
        <w:t xml:space="preserve"> (</w:t>
      </w:r>
      <w:r w:rsidR="005B3BD9" w:rsidRPr="00A7631D">
        <w:rPr>
          <w:i/>
          <w:iCs/>
        </w:rPr>
        <w:t>Manriquez</w:t>
      </w:r>
      <w:r w:rsidR="005B3BD9" w:rsidRPr="00A7631D">
        <w:t>)</w:t>
      </w:r>
      <w:r w:rsidR="00227080" w:rsidRPr="00A7631D">
        <w:t>.)</w:t>
      </w:r>
      <w:r w:rsidR="009319EC" w:rsidRPr="00A7631D">
        <w:t xml:space="preserve">  </w:t>
      </w:r>
      <w:r w:rsidR="007B5ECA" w:rsidRPr="00A7631D">
        <w:t xml:space="preserve">If a juror actively conceals factual information or falsifies </w:t>
      </w:r>
      <w:r w:rsidR="00972FB5" w:rsidRPr="00A7631D">
        <w:t>voir dire responses</w:t>
      </w:r>
      <w:r w:rsidR="007B5ECA" w:rsidRPr="00A7631D">
        <w:t xml:space="preserve">, the process of selecting jurors is </w:t>
      </w:r>
      <w:r w:rsidR="009319EC" w:rsidRPr="00A7631D">
        <w:t>undermine</w:t>
      </w:r>
      <w:r w:rsidR="007B5ECA" w:rsidRPr="00A7631D">
        <w:t>d.  (</w:t>
      </w:r>
      <w:r w:rsidR="007B5ECA" w:rsidRPr="00A7631D">
        <w:rPr>
          <w:i/>
          <w:iCs/>
        </w:rPr>
        <w:t>Ibid</w:t>
      </w:r>
      <w:r w:rsidR="007B5ECA" w:rsidRPr="00A7631D">
        <w:t xml:space="preserve">.)  </w:t>
      </w:r>
      <w:r w:rsidR="00826956" w:rsidRPr="00A7631D">
        <w:t xml:space="preserve">Wilson argues Juror No. 9’s failure to </w:t>
      </w:r>
      <w:r w:rsidR="00C71FD3" w:rsidRPr="00A7631D">
        <w:t>list</w:t>
      </w:r>
      <w:r w:rsidR="00826956" w:rsidRPr="00A7631D">
        <w:t xml:space="preserve"> </w:t>
      </w:r>
      <w:r w:rsidR="00C71FD3" w:rsidRPr="00A7631D">
        <w:t>her prior jury service in the questionnaire, disclos</w:t>
      </w:r>
      <w:r w:rsidR="00387306" w:rsidRPr="00A7631D">
        <w:t>e</w:t>
      </w:r>
      <w:r w:rsidR="00C71FD3" w:rsidRPr="00A7631D">
        <w:t xml:space="preserve"> it during voir dire, or </w:t>
      </w:r>
      <w:r w:rsidR="00387306" w:rsidRPr="00A7631D">
        <w:t xml:space="preserve">— in particular — </w:t>
      </w:r>
      <w:r w:rsidR="007D16DD" w:rsidRPr="00A7631D">
        <w:t xml:space="preserve">bring it to the court’s attention once she remembered it </w:t>
      </w:r>
      <w:r w:rsidR="00B1143F" w:rsidRPr="00A7631D">
        <w:t xml:space="preserve">— </w:t>
      </w:r>
      <w:r w:rsidR="007D16DD" w:rsidRPr="00A7631D">
        <w:t>constitute</w:t>
      </w:r>
      <w:r w:rsidR="00EC322C" w:rsidRPr="00A7631D">
        <w:t>d</w:t>
      </w:r>
      <w:r w:rsidR="007D16DD" w:rsidRPr="00A7631D">
        <w:t xml:space="preserve"> intentional concealment.  </w:t>
      </w:r>
    </w:p>
    <w:p w14:paraId="3D9FEA4B" w14:textId="0821C58B" w:rsidR="00574CF8" w:rsidRPr="00A7631D" w:rsidRDefault="001D312C" w:rsidP="00D910CC">
      <w:pPr>
        <w:ind w:firstLine="720"/>
      </w:pPr>
      <w:r w:rsidRPr="00A7631D">
        <w:t>While intentionally concealing</w:t>
      </w:r>
      <w:r w:rsidR="009411FF" w:rsidRPr="00A7631D">
        <w:t xml:space="preserve"> juror information may be sufficient to demonstrate bias warranting disqualification, a juror’s </w:t>
      </w:r>
      <w:r w:rsidR="001C3249" w:rsidRPr="00A7631D">
        <w:t>“</w:t>
      </w:r>
      <w:r w:rsidR="00B47795">
        <w:t> </w:t>
      </w:r>
      <w:r w:rsidR="008B2C34">
        <w:t>‘</w:t>
      </w:r>
      <w:r w:rsidR="001C3249" w:rsidRPr="00A7631D">
        <w:t xml:space="preserve">inadvertent or </w:t>
      </w:r>
      <w:r w:rsidR="00511A12" w:rsidRPr="00A7631D">
        <w:t>unintentional</w:t>
      </w:r>
      <w:r w:rsidR="001C3249" w:rsidRPr="00A7631D">
        <w:t xml:space="preserve"> failure</w:t>
      </w:r>
      <w:r w:rsidR="00C30FA6" w:rsidRPr="00A7631D">
        <w:t>[]</w:t>
      </w:r>
      <w:r w:rsidR="001C3249" w:rsidRPr="00A7631D">
        <w:t xml:space="preserve"> to disclose</w:t>
      </w:r>
      <w:r w:rsidR="008B2C34">
        <w:t>’</w:t>
      </w:r>
      <w:r w:rsidR="00D17A52">
        <w:t> </w:t>
      </w:r>
      <w:r w:rsidR="001C3249" w:rsidRPr="00A7631D">
        <w:t>” information is treated differently.  (</w:t>
      </w:r>
      <w:r w:rsidR="001C3249" w:rsidRPr="00A7631D">
        <w:rPr>
          <w:i/>
          <w:iCs/>
        </w:rPr>
        <w:t>People v. San Nicolas</w:t>
      </w:r>
      <w:r w:rsidR="001C3249" w:rsidRPr="00A7631D">
        <w:t xml:space="preserve"> (2004) 34 Cal.4th 614, 644 (</w:t>
      </w:r>
      <w:r w:rsidR="001C3249" w:rsidRPr="00A7631D">
        <w:rPr>
          <w:i/>
          <w:iCs/>
        </w:rPr>
        <w:t>San Nicolas</w:t>
      </w:r>
      <w:r w:rsidR="001C3249" w:rsidRPr="00A7631D">
        <w:t xml:space="preserve">).) </w:t>
      </w:r>
      <w:r w:rsidR="007A6833" w:rsidRPr="00A7631D">
        <w:t xml:space="preserve"> In the case of unintentional failure to disclose, the trial court</w:t>
      </w:r>
      <w:r w:rsidR="0047399A" w:rsidRPr="00A7631D">
        <w:t xml:space="preserve"> evaluates whether a juror is so biased that </w:t>
      </w:r>
      <w:r w:rsidR="00C30FA6" w:rsidRPr="00A7631D">
        <w:t>they</w:t>
      </w:r>
      <w:r w:rsidR="0047399A" w:rsidRPr="00A7631D">
        <w:t xml:space="preserve"> cannot perform the duties required of </w:t>
      </w:r>
      <w:r w:rsidR="00C30FA6" w:rsidRPr="00A7631D">
        <w:t>them</w:t>
      </w:r>
      <w:r w:rsidR="0047399A" w:rsidRPr="00A7631D">
        <w:t>.</w:t>
      </w:r>
      <w:r w:rsidR="000C3E25" w:rsidRPr="00A7631D">
        <w:t xml:space="preserve">  (</w:t>
      </w:r>
      <w:r w:rsidR="000C3E25" w:rsidRPr="00A7631D">
        <w:rPr>
          <w:i/>
          <w:iCs/>
        </w:rPr>
        <w:t>Ibid</w:t>
      </w:r>
      <w:r w:rsidR="000C3E25" w:rsidRPr="00A7631D">
        <w:t xml:space="preserve">.)  </w:t>
      </w:r>
      <w:r w:rsidR="000D6D65" w:rsidRPr="00A7631D">
        <w:t>We accord deference to any credibility determination made by the trial court in its evaluation of concealment.  (</w:t>
      </w:r>
      <w:r w:rsidR="000D6D65" w:rsidRPr="00A7631D">
        <w:rPr>
          <w:i/>
          <w:iCs/>
        </w:rPr>
        <w:t>Id</w:t>
      </w:r>
      <w:r w:rsidR="000D6D65" w:rsidRPr="00A7631D">
        <w:t>. at p. 646.)</w:t>
      </w:r>
    </w:p>
    <w:p w14:paraId="7E68A0CC" w14:textId="2F984DD9" w:rsidR="00CC7E9B" w:rsidRPr="00A7631D" w:rsidRDefault="007A5967" w:rsidP="00D910CC">
      <w:pPr>
        <w:ind w:firstLine="720"/>
      </w:pPr>
      <w:r w:rsidRPr="00A7631D">
        <w:t xml:space="preserve">Wilson suggests that because Juror No. 9 executed her questionnaire </w:t>
      </w:r>
      <w:r w:rsidR="00B544DC" w:rsidRPr="00A7631D">
        <w:t>under</w:t>
      </w:r>
      <w:r w:rsidRPr="00A7631D">
        <w:t xml:space="preserve"> penalty of perjury</w:t>
      </w:r>
      <w:r w:rsidR="00BA1A23" w:rsidRPr="00A7631D">
        <w:t xml:space="preserve"> — which attaches serious consequences to lies and omissions, </w:t>
      </w:r>
      <w:r w:rsidRPr="00A7631D">
        <w:t xml:space="preserve">and </w:t>
      </w:r>
      <w:r w:rsidR="00027262" w:rsidRPr="00A7631D">
        <w:t xml:space="preserve">because </w:t>
      </w:r>
      <w:r w:rsidR="00BA1A23" w:rsidRPr="00A7631D">
        <w:t>the questionnaire</w:t>
      </w:r>
      <w:r w:rsidRPr="00A7631D">
        <w:t xml:space="preserve"> asked about her prior jury service, </w:t>
      </w:r>
      <w:r w:rsidR="00027262" w:rsidRPr="00A7631D">
        <w:t>her</w:t>
      </w:r>
      <w:r w:rsidRPr="00A7631D">
        <w:t xml:space="preserve"> failure to disclose</w:t>
      </w:r>
      <w:r w:rsidR="00E27FEE" w:rsidRPr="00A7631D">
        <w:t xml:space="preserve"> </w:t>
      </w:r>
      <w:r w:rsidR="00027262" w:rsidRPr="00A7631D">
        <w:t xml:space="preserve">that prior service </w:t>
      </w:r>
      <w:r w:rsidR="00027262" w:rsidRPr="00A7631D">
        <w:rPr>
          <w:i/>
          <w:iCs/>
        </w:rPr>
        <w:t>at any point in the trial</w:t>
      </w:r>
      <w:r w:rsidR="00027262" w:rsidRPr="00A7631D">
        <w:t xml:space="preserve"> constituted concealment </w:t>
      </w:r>
      <w:r w:rsidR="00A630BD" w:rsidRPr="00A7631D">
        <w:t xml:space="preserve">demonstrating bias.  </w:t>
      </w:r>
      <w:r w:rsidR="00A63DF4" w:rsidRPr="00A7631D">
        <w:t xml:space="preserve">The trial court found Juror No. 9 credible when she testified that she did not remember her prior jury service when completing her questionnaire or </w:t>
      </w:r>
      <w:r w:rsidR="00A63DF4" w:rsidRPr="00A7631D">
        <w:lastRenderedPageBreak/>
        <w:t>responding during voir dire.  It also found credible that she was not aware she should alert the court when she recalled her prior service mid-trial.</w:t>
      </w:r>
      <w:r w:rsidR="00606D9B">
        <w:t xml:space="preserve"> </w:t>
      </w:r>
      <w:r w:rsidR="00A63DF4" w:rsidRPr="00A7631D">
        <w:t xml:space="preserve"> </w:t>
      </w:r>
      <w:r w:rsidR="00104727" w:rsidRPr="00A7631D">
        <w:t>Wilson</w:t>
      </w:r>
      <w:r w:rsidR="00A630BD" w:rsidRPr="00A7631D">
        <w:t xml:space="preserve"> argues </w:t>
      </w:r>
      <w:r w:rsidR="00104727" w:rsidRPr="00A7631D">
        <w:t>these</w:t>
      </w:r>
      <w:r w:rsidR="00A630BD" w:rsidRPr="00A7631D">
        <w:t xml:space="preserve"> credibility </w:t>
      </w:r>
      <w:r w:rsidR="00DB6439" w:rsidRPr="00A7631D">
        <w:t>findings should</w:t>
      </w:r>
      <w:r w:rsidR="00A630BD" w:rsidRPr="00A7631D">
        <w:t xml:space="preserve"> be discounted because the c</w:t>
      </w:r>
      <w:r w:rsidR="00635B1A" w:rsidRPr="00A7631D">
        <w:t xml:space="preserve">onclusion was made with respect to whether she recalled her prior service at the time she completed the questionnaire, not </w:t>
      </w:r>
      <w:r w:rsidR="00310DFC" w:rsidRPr="00A7631D">
        <w:t xml:space="preserve">as to </w:t>
      </w:r>
      <w:r w:rsidR="00635B1A" w:rsidRPr="00A7631D">
        <w:t>whether she was credible about why she failed to disclose it later.</w:t>
      </w:r>
      <w:r w:rsidR="00071FE3" w:rsidRPr="00A7631D">
        <w:t xml:space="preserve">  The record does not support this </w:t>
      </w:r>
      <w:r w:rsidR="00FB6555" w:rsidRPr="00A7631D">
        <w:t>assertion</w:t>
      </w:r>
      <w:r w:rsidR="00071FE3" w:rsidRPr="00A7631D">
        <w:t>.</w:t>
      </w:r>
    </w:p>
    <w:p w14:paraId="0B0DFBBE" w14:textId="10EF0F30" w:rsidR="006F0460" w:rsidRPr="00A7631D" w:rsidRDefault="00BA49C9" w:rsidP="00D910CC">
      <w:pPr>
        <w:ind w:firstLine="720"/>
      </w:pPr>
      <w:r w:rsidRPr="00A7631D">
        <w:t xml:space="preserve">A trial court has the discretion to determine whether a juror’s </w:t>
      </w:r>
      <w:r w:rsidR="007A5967" w:rsidRPr="00A7631D">
        <w:t>“</w:t>
      </w:r>
      <w:r w:rsidR="004F5BFF" w:rsidRPr="00A7631D">
        <w:t> </w:t>
      </w:r>
      <w:r w:rsidR="007A5967" w:rsidRPr="00A7631D">
        <w:t>‘</w:t>
      </w:r>
      <w:r w:rsidR="00E27FEE" w:rsidRPr="00A7631D">
        <w:t>failure to disclose is intentional or unintentional</w:t>
      </w:r>
      <w:r w:rsidRPr="00A7631D">
        <w:t>’</w:t>
      </w:r>
      <w:r w:rsidR="004F5BFF" w:rsidRPr="00A7631D">
        <w:t> </w:t>
      </w:r>
      <w:r w:rsidRPr="00A7631D">
        <w:t>”</w:t>
      </w:r>
      <w:r w:rsidR="00E27FEE" w:rsidRPr="00A7631D">
        <w:t xml:space="preserve"> </w:t>
      </w:r>
      <w:r w:rsidRPr="00A7631D">
        <w:t xml:space="preserve">and </w:t>
      </w:r>
      <w:r w:rsidR="007C1F3B" w:rsidRPr="00A7631D">
        <w:t xml:space="preserve">whether </w:t>
      </w:r>
      <w:r w:rsidR="007E481A" w:rsidRPr="00A7631D">
        <w:t>the</w:t>
      </w:r>
      <w:r w:rsidRPr="00A7631D">
        <w:t xml:space="preserve"> juror is biased.  (</w:t>
      </w:r>
      <w:r w:rsidRPr="00A7631D">
        <w:rPr>
          <w:i/>
          <w:iCs/>
        </w:rPr>
        <w:t>San Nicolas</w:t>
      </w:r>
      <w:r w:rsidRPr="00A7631D">
        <w:t xml:space="preserve">, </w:t>
      </w:r>
      <w:r w:rsidRPr="00A7631D">
        <w:rPr>
          <w:i/>
          <w:iCs/>
        </w:rPr>
        <w:t>supra</w:t>
      </w:r>
      <w:r w:rsidRPr="00A7631D">
        <w:t xml:space="preserve">, 34 Cal.4th at p. 644.)  Unless the record clearly demonstrates a juror’s bias, </w:t>
      </w:r>
      <w:r w:rsidR="00B973A6" w:rsidRPr="00A7631D">
        <w:t>the trial judge is best situated to evaluate a juror’s intentions through the voir dire process.</w:t>
      </w:r>
      <w:r w:rsidR="00E27FEE" w:rsidRPr="00A7631D">
        <w:t xml:space="preserve"> </w:t>
      </w:r>
      <w:r w:rsidR="00B973A6" w:rsidRPr="00A7631D">
        <w:t xml:space="preserve"> </w:t>
      </w:r>
      <w:r w:rsidR="006F0460" w:rsidRPr="00A7631D">
        <w:t>(</w:t>
      </w:r>
      <w:r w:rsidRPr="00A7631D">
        <w:rPr>
          <w:i/>
          <w:iCs/>
        </w:rPr>
        <w:t>Ibid</w:t>
      </w:r>
      <w:r w:rsidR="006F0460" w:rsidRPr="00A7631D">
        <w:t xml:space="preserve">.)  The court expressly asked why Juror No. 9 did not report her prior service to the court once she remembered it, and she </w:t>
      </w:r>
      <w:r w:rsidR="00B52980" w:rsidRPr="00A7631D">
        <w:t xml:space="preserve">responded that she simply did not think to do so.  The court found </w:t>
      </w:r>
      <w:r w:rsidR="00E834EA" w:rsidRPr="00A7631D">
        <w:t>this</w:t>
      </w:r>
      <w:r w:rsidR="00B52980" w:rsidRPr="00A7631D">
        <w:t xml:space="preserve"> </w:t>
      </w:r>
      <w:r w:rsidR="002C4644" w:rsidRPr="00A7631D">
        <w:t xml:space="preserve">testimony </w:t>
      </w:r>
      <w:r w:rsidR="006F679B" w:rsidRPr="00A7631D">
        <w:t xml:space="preserve">“very </w:t>
      </w:r>
      <w:r w:rsidR="00B52980" w:rsidRPr="00A7631D">
        <w:t>credible</w:t>
      </w:r>
      <w:r w:rsidR="000F5617" w:rsidRPr="00A7631D">
        <w:t>,</w:t>
      </w:r>
      <w:r w:rsidR="006F679B" w:rsidRPr="00A7631D">
        <w:t>”</w:t>
      </w:r>
      <w:r w:rsidR="000F5617" w:rsidRPr="00A7631D">
        <w:t xml:space="preserve"> and noted </w:t>
      </w:r>
      <w:r w:rsidR="00E10F02" w:rsidRPr="00A7631D">
        <w:t xml:space="preserve">she was never </w:t>
      </w:r>
      <w:r w:rsidR="00820AC9" w:rsidRPr="00A7631D">
        <w:t xml:space="preserve">instructed </w:t>
      </w:r>
      <w:r w:rsidR="00504BE9" w:rsidRPr="00A7631D">
        <w:t>to bring to the court’s attention something she remembered after completing her questionnaire or responding to voir dire</w:t>
      </w:r>
      <w:r w:rsidR="000F5617" w:rsidRPr="00A7631D">
        <w:t>.</w:t>
      </w:r>
      <w:r w:rsidR="00B52980" w:rsidRPr="00A7631D">
        <w:t xml:space="preserve"> </w:t>
      </w:r>
      <w:r w:rsidR="00404710" w:rsidRPr="00A7631D">
        <w:t xml:space="preserve"> </w:t>
      </w:r>
      <w:r w:rsidR="00BD5DFA" w:rsidRPr="00A7631D">
        <w:t xml:space="preserve">We accord </w:t>
      </w:r>
      <w:r w:rsidR="00A36440" w:rsidRPr="00A7631D">
        <w:t>this</w:t>
      </w:r>
      <w:r w:rsidR="000F5617" w:rsidRPr="00A7631D">
        <w:t xml:space="preserve"> credibility</w:t>
      </w:r>
      <w:r w:rsidR="00BD5DFA" w:rsidRPr="00A7631D">
        <w:t xml:space="preserve"> finding deference</w:t>
      </w:r>
      <w:r w:rsidR="00A36440" w:rsidRPr="00A7631D">
        <w:t>, as well</w:t>
      </w:r>
      <w:r w:rsidR="00BD5DFA" w:rsidRPr="00A7631D">
        <w:t>.  (</w:t>
      </w:r>
      <w:r w:rsidR="00BD5DFA" w:rsidRPr="00A7631D">
        <w:rPr>
          <w:i/>
          <w:iCs/>
        </w:rPr>
        <w:t>Ibid</w:t>
      </w:r>
      <w:r w:rsidR="00BD5DFA" w:rsidRPr="00A7631D">
        <w:t>.)</w:t>
      </w:r>
    </w:p>
    <w:p w14:paraId="5C8E22D6" w14:textId="3D2AF0F2" w:rsidR="00255961" w:rsidRPr="00A7631D" w:rsidRDefault="00FE4314" w:rsidP="00D910CC">
      <w:pPr>
        <w:ind w:firstLine="720"/>
      </w:pPr>
      <w:r w:rsidRPr="00A7631D">
        <w:t>Wilson argues that</w:t>
      </w:r>
      <w:r w:rsidR="00AD305D" w:rsidRPr="00A7631D">
        <w:t xml:space="preserve"> because</w:t>
      </w:r>
      <w:r w:rsidRPr="00A7631D">
        <w:t xml:space="preserve"> </w:t>
      </w:r>
      <w:r w:rsidR="00AD305D" w:rsidRPr="00A7631D">
        <w:t>Juror No. 9 failed to disclose her prior jury service, her inherently biased presence on the jury constituted a structur</w:t>
      </w:r>
      <w:r w:rsidR="00E96F06" w:rsidRPr="00A7631D">
        <w:t>al</w:t>
      </w:r>
      <w:r w:rsidR="00AD305D" w:rsidRPr="00A7631D">
        <w:t xml:space="preserve"> defect warranting reversal</w:t>
      </w:r>
      <w:r w:rsidR="00FF2B64" w:rsidRPr="00A7631D">
        <w:t xml:space="preserve">.  He further contends that even if her failure to disclose her prior jury service </w:t>
      </w:r>
      <w:r w:rsidR="00825B7D" w:rsidRPr="00A7631D">
        <w:t xml:space="preserve">only raised a presumption of prejudice, that presumption was not rebutted.  Neither of these arguments is meritorious. </w:t>
      </w:r>
      <w:r w:rsidR="00AD305D" w:rsidRPr="00A7631D">
        <w:t xml:space="preserve"> </w:t>
      </w:r>
      <w:r w:rsidR="00350D26" w:rsidRPr="00A7631D">
        <w:t>While we have acknowledged that, “in a rare case, a court ultimately may determine that a juror’s innocent concealment masked a substantial likelihood of actual bias</w:t>
      </w:r>
      <w:r w:rsidR="00255961" w:rsidRPr="00A7631D">
        <w:t>,</w:t>
      </w:r>
      <w:r w:rsidR="00350D26" w:rsidRPr="00A7631D">
        <w:t>”</w:t>
      </w:r>
      <w:r w:rsidR="00255961" w:rsidRPr="00A7631D">
        <w:t xml:space="preserve"> </w:t>
      </w:r>
      <w:r w:rsidR="00825B7D" w:rsidRPr="00A7631D">
        <w:t xml:space="preserve">Juror No. 9’s failure to </w:t>
      </w:r>
      <w:r w:rsidR="00E96F06" w:rsidRPr="00A7631D">
        <w:t>disclose her prior service</w:t>
      </w:r>
      <w:r w:rsidR="00255961" w:rsidRPr="00A7631D">
        <w:t xml:space="preserve"> </w:t>
      </w:r>
      <w:r w:rsidR="00F05A98" w:rsidRPr="00A7631D">
        <w:t>does not demonstrate such bias</w:t>
      </w:r>
      <w:r w:rsidR="00255961" w:rsidRPr="00A7631D">
        <w:t>.</w:t>
      </w:r>
      <w:r w:rsidR="00350D26" w:rsidRPr="00A7631D">
        <w:t xml:space="preserve">  </w:t>
      </w:r>
      <w:r w:rsidR="00350D26" w:rsidRPr="00A7631D">
        <w:lastRenderedPageBreak/>
        <w:t>(</w:t>
      </w:r>
      <w:r w:rsidR="00350D26" w:rsidRPr="00A7631D">
        <w:rPr>
          <w:i/>
          <w:iCs/>
        </w:rPr>
        <w:t>Manriquez</w:t>
      </w:r>
      <w:r w:rsidR="00350D26" w:rsidRPr="00A7631D">
        <w:t xml:space="preserve">, </w:t>
      </w:r>
      <w:r w:rsidR="00350D26" w:rsidRPr="00A7631D">
        <w:rPr>
          <w:i/>
          <w:iCs/>
        </w:rPr>
        <w:t>supra</w:t>
      </w:r>
      <w:r w:rsidR="00350D26" w:rsidRPr="00A7631D">
        <w:t>, 5 Cal.5th at p. 798.)</w:t>
      </w:r>
      <w:r w:rsidR="00255961" w:rsidRPr="00A7631D">
        <w:t xml:space="preserve">  In </w:t>
      </w:r>
      <w:r w:rsidR="00255961" w:rsidRPr="00A7631D">
        <w:rPr>
          <w:i/>
          <w:iCs/>
        </w:rPr>
        <w:t>Manriquez</w:t>
      </w:r>
      <w:r w:rsidR="00255961" w:rsidRPr="00A7631D">
        <w:t>, a juror failed to disclose in her questionnaire the fact that she suffered physical and sexual abuse as a child, despite the questionnaire inquiring about whether prospective jurors had been the victim</w:t>
      </w:r>
      <w:r w:rsidR="00BD4A72" w:rsidRPr="00A7631D">
        <w:t>s</w:t>
      </w:r>
      <w:r w:rsidR="00255961" w:rsidRPr="00A7631D">
        <w:t xml:space="preserve"> of crimes.  (</w:t>
      </w:r>
      <w:r w:rsidR="00255961" w:rsidRPr="00A7631D">
        <w:rPr>
          <w:i/>
          <w:iCs/>
        </w:rPr>
        <w:t>Manriquez</w:t>
      </w:r>
      <w:r w:rsidR="00255961" w:rsidRPr="00A7631D">
        <w:t xml:space="preserve">, </w:t>
      </w:r>
      <w:r w:rsidR="00255961" w:rsidRPr="00A7631D">
        <w:rPr>
          <w:i/>
          <w:iCs/>
        </w:rPr>
        <w:t>supra</w:t>
      </w:r>
      <w:r w:rsidR="00255961" w:rsidRPr="00A7631D">
        <w:t>, 5 Cal.5th at pp. 793</w:t>
      </w:r>
      <w:r w:rsidR="00CC3F2A">
        <w:t>–</w:t>
      </w:r>
      <w:r w:rsidR="00255961" w:rsidRPr="00A7631D">
        <w:t xml:space="preserve">794.)  After the trial, the juror </w:t>
      </w:r>
      <w:r w:rsidR="00C07561" w:rsidRPr="00A7631D">
        <w:t>voluntarily responded to a questionnaire, and in it she</w:t>
      </w:r>
      <w:r w:rsidR="005D4C2B" w:rsidRPr="00A7631D">
        <w:t xml:space="preserve"> disclosed her child</w:t>
      </w:r>
      <w:r w:rsidR="00B21437" w:rsidRPr="00A7631D">
        <w:t xml:space="preserve">hood abuse </w:t>
      </w:r>
      <w:r w:rsidR="00C07561" w:rsidRPr="00A7631D">
        <w:t>to explain</w:t>
      </w:r>
      <w:r w:rsidR="00B21437" w:rsidRPr="00A7631D">
        <w:t xml:space="preserve"> why she found the</w:t>
      </w:r>
      <w:r w:rsidR="00C07561" w:rsidRPr="00A7631D">
        <w:t xml:space="preserve"> petitioner’s</w:t>
      </w:r>
      <w:r w:rsidR="00B21437" w:rsidRPr="00A7631D">
        <w:t xml:space="preserve"> mitigating evidence </w:t>
      </w:r>
      <w:r w:rsidR="00C07561" w:rsidRPr="00A7631D">
        <w:t>of</w:t>
      </w:r>
      <w:r w:rsidR="00B21437" w:rsidRPr="00A7631D">
        <w:t xml:space="preserve"> abuse unpersuasive.</w:t>
      </w:r>
      <w:r w:rsidR="00255961" w:rsidRPr="00A7631D">
        <w:t xml:space="preserve">  (</w:t>
      </w:r>
      <w:r w:rsidR="00255961" w:rsidRPr="00A7631D">
        <w:rPr>
          <w:i/>
          <w:iCs/>
        </w:rPr>
        <w:t>Ibid</w:t>
      </w:r>
      <w:r w:rsidR="00255961" w:rsidRPr="00A7631D">
        <w:t xml:space="preserve">.)  She later attested that she did not conceal her abuse in filling out </w:t>
      </w:r>
      <w:r w:rsidR="005D4C2B" w:rsidRPr="00A7631D">
        <w:t>her jury</w:t>
      </w:r>
      <w:r w:rsidR="00255961" w:rsidRPr="00A7631D">
        <w:t xml:space="preserve"> </w:t>
      </w:r>
      <w:proofErr w:type="gramStart"/>
      <w:r w:rsidR="00255961" w:rsidRPr="00A7631D">
        <w:t>questionnaire, but</w:t>
      </w:r>
      <w:proofErr w:type="gramEnd"/>
      <w:r w:rsidR="00255961" w:rsidRPr="00A7631D">
        <w:t xml:space="preserve"> did not believe it was responsive to questions because she thought the questionnaire pertained exclusively to her experiences as an adult.  (</w:t>
      </w:r>
      <w:r w:rsidR="00255961" w:rsidRPr="00A7631D">
        <w:rPr>
          <w:i/>
          <w:iCs/>
        </w:rPr>
        <w:t>Id</w:t>
      </w:r>
      <w:r w:rsidR="00255961" w:rsidRPr="00A7631D">
        <w:t>. at pp. 794</w:t>
      </w:r>
      <w:r w:rsidR="001F7B25">
        <w:t>–</w:t>
      </w:r>
      <w:r w:rsidR="00255961" w:rsidRPr="00A7631D">
        <w:t>795.)</w:t>
      </w:r>
    </w:p>
    <w:p w14:paraId="53DB55C4" w14:textId="336A5B9E" w:rsidR="00255961" w:rsidRPr="00A7631D" w:rsidRDefault="00AA6481" w:rsidP="00D910CC">
      <w:pPr>
        <w:ind w:firstLine="720"/>
      </w:pPr>
      <w:r w:rsidRPr="00A7631D">
        <w:t>Following our order to show cause, the</w:t>
      </w:r>
      <w:r w:rsidR="00255961" w:rsidRPr="00A7631D">
        <w:t xml:space="preserve"> juror testified </w:t>
      </w:r>
      <w:r w:rsidR="00180E34" w:rsidRPr="00A7631D">
        <w:t xml:space="preserve">at </w:t>
      </w:r>
      <w:r w:rsidR="003D2CDF" w:rsidRPr="00A7631D">
        <w:t>a</w:t>
      </w:r>
      <w:r w:rsidR="00180E34" w:rsidRPr="00A7631D">
        <w:t xml:space="preserve"> reference hearing </w:t>
      </w:r>
      <w:r w:rsidR="00255961" w:rsidRPr="00A7631D">
        <w:t>that she had not thought the abuse or violence she suffered as a child was resp</w:t>
      </w:r>
      <w:r w:rsidR="00180E34" w:rsidRPr="00A7631D">
        <w:t>onsive</w:t>
      </w:r>
      <w:r w:rsidR="00255961" w:rsidRPr="00A7631D">
        <w:t xml:space="preserve"> to the questionnaire</w:t>
      </w:r>
      <w:r w:rsidR="00180E34" w:rsidRPr="00A7631D">
        <w:t>’s inquiries about suffering violence or past criminal activity</w:t>
      </w:r>
      <w:r w:rsidR="00255961" w:rsidRPr="00A7631D">
        <w:t xml:space="preserve"> because she was a child</w:t>
      </w:r>
      <w:r w:rsidR="003D2CDF" w:rsidRPr="00A7631D">
        <w:t xml:space="preserve"> when it </w:t>
      </w:r>
      <w:proofErr w:type="gramStart"/>
      <w:r w:rsidR="003D2CDF" w:rsidRPr="00A7631D">
        <w:t>occurred</w:t>
      </w:r>
      <w:proofErr w:type="gramEnd"/>
      <w:r w:rsidR="00180E34" w:rsidRPr="00A7631D">
        <w:t xml:space="preserve"> and such abuse was relatively normalized during the era in which she was raised</w:t>
      </w:r>
      <w:r w:rsidR="00255961" w:rsidRPr="00A7631D">
        <w:t>.  (</w:t>
      </w:r>
      <w:r w:rsidR="00255961" w:rsidRPr="00A7631D">
        <w:rPr>
          <w:i/>
          <w:iCs/>
        </w:rPr>
        <w:t>Manriquez</w:t>
      </w:r>
      <w:r w:rsidR="00255961" w:rsidRPr="00A7631D">
        <w:t xml:space="preserve">, </w:t>
      </w:r>
      <w:r w:rsidR="00255961" w:rsidRPr="00A7631D">
        <w:rPr>
          <w:i/>
          <w:iCs/>
        </w:rPr>
        <w:t>supra</w:t>
      </w:r>
      <w:r w:rsidR="00255961" w:rsidRPr="00A7631D">
        <w:t>, 5 Cal.5th at pp. 796, 801.)</w:t>
      </w:r>
      <w:r w:rsidR="0037508D" w:rsidRPr="00A7631D">
        <w:t xml:space="preserve">  We </w:t>
      </w:r>
      <w:r w:rsidR="000645C0" w:rsidRPr="00A7631D">
        <w:t>concluded substantial evidence supported the referee’s finding</w:t>
      </w:r>
      <w:r w:rsidR="00A45D10" w:rsidRPr="00A7631D">
        <w:t xml:space="preserve">s that the juror’s nondisclosure was not intentional and did not </w:t>
      </w:r>
      <w:r w:rsidR="00057F58" w:rsidRPr="00A7631D">
        <w:t>indicate</w:t>
      </w:r>
      <w:r w:rsidR="00A45D10" w:rsidRPr="00A7631D">
        <w:t xml:space="preserve"> bias</w:t>
      </w:r>
      <w:r w:rsidR="00057F58" w:rsidRPr="00A7631D">
        <w:t xml:space="preserve"> (</w:t>
      </w:r>
      <w:r w:rsidR="00057F58" w:rsidRPr="00A7631D">
        <w:rPr>
          <w:i/>
          <w:iCs/>
        </w:rPr>
        <w:t>i</w:t>
      </w:r>
      <w:r w:rsidR="00A45D10" w:rsidRPr="00A7631D">
        <w:rPr>
          <w:i/>
          <w:iCs/>
        </w:rPr>
        <w:t>d.</w:t>
      </w:r>
      <w:r w:rsidR="00A45D10" w:rsidRPr="00A7631D">
        <w:t xml:space="preserve"> at pp. </w:t>
      </w:r>
      <w:r w:rsidR="001D31D6" w:rsidRPr="00A7631D">
        <w:t>809</w:t>
      </w:r>
      <w:r w:rsidR="00A51281">
        <w:t>–</w:t>
      </w:r>
      <w:r w:rsidR="001D31D6" w:rsidRPr="00A7631D">
        <w:t>810</w:t>
      </w:r>
      <w:r w:rsidR="00057F58" w:rsidRPr="00A7631D">
        <w:t xml:space="preserve">), and independently concluded </w:t>
      </w:r>
      <w:r w:rsidR="00E35163" w:rsidRPr="00A7631D">
        <w:t xml:space="preserve">that although it constituted misconduct to fail to </w:t>
      </w:r>
      <w:r w:rsidR="00006E07" w:rsidRPr="00A7631D">
        <w:t xml:space="preserve">complete the questionnaire accurately, </w:t>
      </w:r>
      <w:r w:rsidR="00057F58" w:rsidRPr="00A7631D">
        <w:t>the juror was not actually biased (</w:t>
      </w:r>
      <w:r w:rsidR="00057F58" w:rsidRPr="00A7631D">
        <w:rPr>
          <w:i/>
          <w:iCs/>
        </w:rPr>
        <w:t>id</w:t>
      </w:r>
      <w:r w:rsidR="00057F58" w:rsidRPr="00A7631D">
        <w:t xml:space="preserve">. at p. </w:t>
      </w:r>
      <w:r w:rsidR="00E61D1D" w:rsidRPr="00A7631D">
        <w:t>819).</w:t>
      </w:r>
      <w:r w:rsidR="00006E07" w:rsidRPr="00A7631D">
        <w:t xml:space="preserve">  </w:t>
      </w:r>
    </w:p>
    <w:p w14:paraId="20761ADE" w14:textId="12497EDD" w:rsidR="00255961" w:rsidRPr="00A7631D" w:rsidRDefault="00255961" w:rsidP="00D910CC">
      <w:pPr>
        <w:ind w:firstLine="720"/>
      </w:pPr>
      <w:r w:rsidRPr="00A7631D">
        <w:t xml:space="preserve">In </w:t>
      </w:r>
      <w:r w:rsidRPr="00A7631D">
        <w:rPr>
          <w:i/>
          <w:iCs/>
        </w:rPr>
        <w:t>San Nicolas</w:t>
      </w:r>
      <w:r w:rsidRPr="00A7631D">
        <w:t>, a juror failed to disclose in his questionnaire and during voir dire that he had suffered prior arrest</w:t>
      </w:r>
      <w:r w:rsidR="00354395" w:rsidRPr="00A7631D">
        <w:t>s</w:t>
      </w:r>
      <w:r w:rsidRPr="00A7631D">
        <w:t>, had been falsely arrested, and had been the victim of a violent crime as a child.</w:t>
      </w:r>
      <w:r w:rsidR="00FF2679" w:rsidRPr="00A7631D">
        <w:t xml:space="preserve">  </w:t>
      </w:r>
      <w:r w:rsidR="008E6BCB" w:rsidRPr="00A7631D">
        <w:t>(</w:t>
      </w:r>
      <w:r w:rsidR="008E6BCB" w:rsidRPr="00A7631D">
        <w:rPr>
          <w:i/>
          <w:iCs/>
        </w:rPr>
        <w:t>San Nicolas</w:t>
      </w:r>
      <w:r w:rsidR="008E6BCB" w:rsidRPr="00A7631D">
        <w:t xml:space="preserve">, </w:t>
      </w:r>
      <w:r w:rsidR="00F80650">
        <w:rPr>
          <w:i/>
          <w:iCs/>
        </w:rPr>
        <w:t>supra</w:t>
      </w:r>
      <w:r w:rsidR="00F80650">
        <w:t>,</w:t>
      </w:r>
      <w:r w:rsidR="00F80650">
        <w:rPr>
          <w:i/>
          <w:iCs/>
        </w:rPr>
        <w:t xml:space="preserve"> </w:t>
      </w:r>
      <w:r w:rsidR="0066111A" w:rsidRPr="00A7631D">
        <w:t xml:space="preserve">34 Cal.4th </w:t>
      </w:r>
      <w:r w:rsidR="008E6BCB" w:rsidRPr="00A7631D">
        <w:t>at pp. 644</w:t>
      </w:r>
      <w:r w:rsidR="0037668A">
        <w:t>–</w:t>
      </w:r>
      <w:r w:rsidR="008E6BCB" w:rsidRPr="00A7631D">
        <w:t xml:space="preserve">646.)  </w:t>
      </w:r>
      <w:r w:rsidR="00282E62" w:rsidRPr="00A7631D">
        <w:t xml:space="preserve">The defendant moved for new trial on the grounds of </w:t>
      </w:r>
      <w:r w:rsidR="00282E62" w:rsidRPr="00A7631D">
        <w:lastRenderedPageBreak/>
        <w:t>juror misconduct</w:t>
      </w:r>
      <w:r w:rsidR="002D3635" w:rsidRPr="00A7631D">
        <w:t>, an evidentiary hearing followed</w:t>
      </w:r>
      <w:r w:rsidR="001B750A" w:rsidRPr="00A7631D">
        <w:t xml:space="preserve">, and </w:t>
      </w:r>
      <w:r w:rsidR="00282E62" w:rsidRPr="00A7631D">
        <w:t>the trial court conclu</w:t>
      </w:r>
      <w:r w:rsidR="002D3635" w:rsidRPr="00A7631D">
        <w:t>ded</w:t>
      </w:r>
      <w:r w:rsidR="00282E62" w:rsidRPr="00A7631D">
        <w:t xml:space="preserve"> the juror’s failures to disclose the prior arrest</w:t>
      </w:r>
      <w:r w:rsidR="00354395" w:rsidRPr="00A7631D">
        <w:t>s</w:t>
      </w:r>
      <w:r w:rsidR="00282E62" w:rsidRPr="00A7631D">
        <w:t xml:space="preserve"> and false arrest were </w:t>
      </w:r>
      <w:r w:rsidR="0017423D" w:rsidRPr="00A7631D">
        <w:t>“inadvertent or unintentional, and there was no resulting bias</w:t>
      </w:r>
      <w:r w:rsidR="001B750A" w:rsidRPr="00A7631D">
        <w:t>.</w:t>
      </w:r>
      <w:r w:rsidR="0017423D" w:rsidRPr="00A7631D">
        <w:t>”</w:t>
      </w:r>
      <w:r w:rsidR="001B750A" w:rsidRPr="00A7631D">
        <w:t xml:space="preserve"> </w:t>
      </w:r>
      <w:r w:rsidR="0017423D" w:rsidRPr="00A7631D">
        <w:t xml:space="preserve"> (</w:t>
      </w:r>
      <w:r w:rsidR="0017423D" w:rsidRPr="00A7631D">
        <w:rPr>
          <w:i/>
          <w:iCs/>
        </w:rPr>
        <w:t>Id.</w:t>
      </w:r>
      <w:r w:rsidR="0017423D" w:rsidRPr="00A7631D">
        <w:t xml:space="preserve"> at p. </w:t>
      </w:r>
      <w:r w:rsidR="00107853" w:rsidRPr="00A7631D">
        <w:t>645</w:t>
      </w:r>
      <w:r w:rsidR="001B750A" w:rsidRPr="00A7631D">
        <w:t xml:space="preserve">.)  </w:t>
      </w:r>
      <w:r w:rsidR="00CC7B33" w:rsidRPr="00A7631D">
        <w:t>T</w:t>
      </w:r>
      <w:r w:rsidR="0063017C" w:rsidRPr="00A7631D">
        <w:t>his conclusion was supported by</w:t>
      </w:r>
      <w:r w:rsidR="002D3635" w:rsidRPr="00A7631D">
        <w:t xml:space="preserve"> substantial evidence</w:t>
      </w:r>
      <w:r w:rsidR="0063017C" w:rsidRPr="00A7631D">
        <w:t xml:space="preserve">, as was the court’s conclusion that the juror’s </w:t>
      </w:r>
      <w:r w:rsidR="001B750A" w:rsidRPr="00A7631D">
        <w:t xml:space="preserve">failure to disclose his status as victim of a violent crime </w:t>
      </w:r>
      <w:r w:rsidR="00484231" w:rsidRPr="00A7631D">
        <w:t>was not deliberate and he was not biased.  (</w:t>
      </w:r>
      <w:r w:rsidR="00484231" w:rsidRPr="00A7631D">
        <w:rPr>
          <w:i/>
          <w:iCs/>
        </w:rPr>
        <w:t>Id.</w:t>
      </w:r>
      <w:r w:rsidR="00484231" w:rsidRPr="00A7631D">
        <w:t xml:space="preserve"> at pp. 645, 648.)</w:t>
      </w:r>
    </w:p>
    <w:p w14:paraId="3D947D6F" w14:textId="68387DE1" w:rsidR="0081392C" w:rsidRPr="00A7631D" w:rsidRDefault="000A1642" w:rsidP="00D910CC">
      <w:pPr>
        <w:ind w:firstLine="720"/>
      </w:pPr>
      <w:r w:rsidRPr="00A7631D">
        <w:t>W</w:t>
      </w:r>
      <w:r w:rsidR="00FF5780" w:rsidRPr="00A7631D">
        <w:t xml:space="preserve">e likewise conclude here that Juror No. 9’s failure to disclose her prior jury service on a murder trial, even if capital, </w:t>
      </w:r>
      <w:r w:rsidR="0055423A" w:rsidRPr="00A7631D">
        <w:t xml:space="preserve">did not </w:t>
      </w:r>
      <w:r w:rsidR="00801429" w:rsidRPr="00A7631D">
        <w:t>demonstrate bias</w:t>
      </w:r>
      <w:r w:rsidR="009C4D7B" w:rsidRPr="00A7631D">
        <w:t>, and no</w:t>
      </w:r>
      <w:r w:rsidR="00801429" w:rsidRPr="00A7631D">
        <w:t xml:space="preserve"> </w:t>
      </w:r>
      <w:r w:rsidR="0055423A" w:rsidRPr="00A7631D">
        <w:t xml:space="preserve">misconduct </w:t>
      </w:r>
      <w:r w:rsidR="009C4D7B" w:rsidRPr="00A7631D">
        <w:t>occurred</w:t>
      </w:r>
      <w:r w:rsidR="00CB393E" w:rsidRPr="00A7631D">
        <w:t xml:space="preserve">.  </w:t>
      </w:r>
      <w:r w:rsidR="007955ED" w:rsidRPr="00A7631D">
        <w:t xml:space="preserve">Juror No. 3 had prior experience as a juror on a murder trial and Juror No. 2 had previously served on a jury in a drive-by shooting case with three victims.  </w:t>
      </w:r>
      <w:r w:rsidR="00CB393E" w:rsidRPr="00A7631D">
        <w:t>Wilson contends all jurors who had prior capital experience were excused from service via peremptory challenge</w:t>
      </w:r>
      <w:r w:rsidR="00301488" w:rsidRPr="00A7631D">
        <w:t xml:space="preserve">.  </w:t>
      </w:r>
      <w:r w:rsidR="0077457E" w:rsidRPr="00A7631D">
        <w:t>W</w:t>
      </w:r>
      <w:r w:rsidR="00F85B57" w:rsidRPr="00A7631D">
        <w:t xml:space="preserve">hether </w:t>
      </w:r>
      <w:r w:rsidR="003431F2" w:rsidRPr="00A7631D">
        <w:t>Juror No. 9</w:t>
      </w:r>
      <w:r w:rsidR="00F85B57" w:rsidRPr="00A7631D">
        <w:t>’s undisclosed prior service was on a capital trial or a murder trial</w:t>
      </w:r>
      <w:r w:rsidR="009A111B" w:rsidRPr="00A7631D">
        <w:t xml:space="preserve"> is beside the point</w:t>
      </w:r>
      <w:r w:rsidR="00BD0A6F" w:rsidRPr="00A7631D">
        <w:t>;</w:t>
      </w:r>
      <w:r w:rsidR="00F85B57" w:rsidRPr="00A7631D">
        <w:t xml:space="preserve"> when </w:t>
      </w:r>
      <w:r w:rsidR="00DF4B5E" w:rsidRPr="00A7631D">
        <w:t xml:space="preserve">assessing whether it is substantially likely a juror was actually biased, </w:t>
      </w:r>
      <w:r w:rsidR="00DF5404" w:rsidRPr="00A7631D">
        <w:t>our inquiry is “</w:t>
      </w:r>
      <w:r w:rsidR="00B47795">
        <w:t> </w:t>
      </w:r>
      <w:r w:rsidR="00DF5404" w:rsidRPr="00A7631D">
        <w:t>‘</w:t>
      </w:r>
      <w:r w:rsidR="00494BEB" w:rsidRPr="00A7631D">
        <w:t>not whether the juror would have been stricken by one of the parties, but whether the juror</w:t>
      </w:r>
      <w:r w:rsidR="00D24B50" w:rsidRPr="00A7631D">
        <w:t>’</w:t>
      </w:r>
      <w:r w:rsidR="00494BEB" w:rsidRPr="00A7631D">
        <w:t xml:space="preserve">s concealment (or nondisclosure) </w:t>
      </w:r>
      <w:proofErr w:type="gramStart"/>
      <w:r w:rsidR="00494BEB" w:rsidRPr="00A7631D">
        <w:t>evidences</w:t>
      </w:r>
      <w:proofErr w:type="gramEnd"/>
      <w:r w:rsidR="00494BEB" w:rsidRPr="00A7631D">
        <w:t xml:space="preserve"> bias.</w:t>
      </w:r>
      <w:r w:rsidR="00DF5404" w:rsidRPr="00A7631D">
        <w:t>’</w:t>
      </w:r>
      <w:r w:rsidR="00D17A52">
        <w:t> </w:t>
      </w:r>
      <w:r w:rsidR="00DF5404" w:rsidRPr="00A7631D">
        <w:t>”  (</w:t>
      </w:r>
      <w:r w:rsidR="00DF5404" w:rsidRPr="00A7631D">
        <w:rPr>
          <w:i/>
          <w:iCs/>
        </w:rPr>
        <w:t>Manriquez</w:t>
      </w:r>
      <w:r w:rsidR="00DF5404" w:rsidRPr="00A7631D">
        <w:t xml:space="preserve">, </w:t>
      </w:r>
      <w:r w:rsidR="00DF5404" w:rsidRPr="00A7631D">
        <w:rPr>
          <w:i/>
          <w:iCs/>
        </w:rPr>
        <w:t>supra</w:t>
      </w:r>
      <w:r w:rsidR="00DF5404" w:rsidRPr="00A7631D">
        <w:t>, 5 Cal.5th at p. 798.)</w:t>
      </w:r>
      <w:r w:rsidR="00D769DA" w:rsidRPr="00A7631D">
        <w:t xml:space="preserve">  Juror No. 9’s inadvertent nondisclosure of her prior jury service</w:t>
      </w:r>
      <w:r w:rsidR="00313516" w:rsidRPr="00A7631D">
        <w:t xml:space="preserve"> did not evidence bias, and the trial court’s denial of Wilson’s new trial motion </w:t>
      </w:r>
      <w:r w:rsidR="00D10101" w:rsidRPr="00A7631D">
        <w:t>was not error</w:t>
      </w:r>
      <w:r w:rsidR="00755E80" w:rsidRPr="00A7631D">
        <w:t>.</w:t>
      </w:r>
    </w:p>
    <w:p w14:paraId="7E05A4FF" w14:textId="52DD91EF" w:rsidR="001B796C" w:rsidRPr="00A7631D" w:rsidRDefault="001B796C" w:rsidP="006A3FC0">
      <w:pPr>
        <w:pStyle w:val="Heading2"/>
        <w:numPr>
          <w:ilvl w:val="0"/>
          <w:numId w:val="22"/>
        </w:numPr>
      </w:pPr>
      <w:bookmarkStart w:id="73" w:name="_Toc58846841"/>
      <w:bookmarkStart w:id="74" w:name="_Toc50617057"/>
      <w:r w:rsidRPr="00A7631D">
        <w:t>Trial Court’s Alleged Failure to Investigate Juror Misconduct</w:t>
      </w:r>
      <w:bookmarkEnd w:id="73"/>
      <w:r w:rsidRPr="00A7631D">
        <w:t xml:space="preserve"> </w:t>
      </w:r>
      <w:bookmarkEnd w:id="74"/>
    </w:p>
    <w:p w14:paraId="6398AA1F" w14:textId="1184748F" w:rsidR="002A16AB" w:rsidRPr="00A7631D" w:rsidRDefault="002A16AB" w:rsidP="00D910CC">
      <w:pPr>
        <w:ind w:firstLine="720"/>
        <w:rPr>
          <w:szCs w:val="26"/>
        </w:rPr>
      </w:pPr>
      <w:r w:rsidRPr="00A7631D">
        <w:rPr>
          <w:szCs w:val="26"/>
        </w:rPr>
        <w:t xml:space="preserve">In addition to the misconduct alleged regarding Juror No. 9’s prior service, Wilson </w:t>
      </w:r>
      <w:r w:rsidR="00BD0A6F" w:rsidRPr="00A7631D">
        <w:rPr>
          <w:szCs w:val="26"/>
        </w:rPr>
        <w:t>claims</w:t>
      </w:r>
      <w:r w:rsidRPr="00A7631D">
        <w:rPr>
          <w:szCs w:val="26"/>
        </w:rPr>
        <w:t xml:space="preserve"> the trial court failed to </w:t>
      </w:r>
      <w:r w:rsidR="00FF2FF9" w:rsidRPr="00A7631D">
        <w:rPr>
          <w:szCs w:val="26"/>
        </w:rPr>
        <w:t xml:space="preserve">conduct an adequate inquiry </w:t>
      </w:r>
      <w:r w:rsidR="00F44BDB" w:rsidRPr="00A7631D">
        <w:rPr>
          <w:szCs w:val="26"/>
        </w:rPr>
        <w:t xml:space="preserve">of </w:t>
      </w:r>
      <w:r w:rsidR="00FF2FF9" w:rsidRPr="00A7631D">
        <w:rPr>
          <w:szCs w:val="26"/>
        </w:rPr>
        <w:t>alleged misconduct involving Juror Nos. 1, 6, 7, 10, 11, and 12</w:t>
      </w:r>
      <w:r w:rsidR="003767E8" w:rsidRPr="00A7631D">
        <w:rPr>
          <w:szCs w:val="26"/>
        </w:rPr>
        <w:t>, and remand</w:t>
      </w:r>
      <w:r w:rsidR="00BD0A6F" w:rsidRPr="00A7631D">
        <w:rPr>
          <w:szCs w:val="26"/>
        </w:rPr>
        <w:t xml:space="preserve"> </w:t>
      </w:r>
      <w:r w:rsidR="00326CD2" w:rsidRPr="00A7631D">
        <w:rPr>
          <w:szCs w:val="26"/>
        </w:rPr>
        <w:t>i</w:t>
      </w:r>
      <w:r w:rsidR="00BD0A6F" w:rsidRPr="00A7631D">
        <w:rPr>
          <w:szCs w:val="26"/>
        </w:rPr>
        <w:t>s warranted</w:t>
      </w:r>
      <w:r w:rsidR="003767E8" w:rsidRPr="00A7631D">
        <w:rPr>
          <w:szCs w:val="26"/>
        </w:rPr>
        <w:t xml:space="preserve"> to determine </w:t>
      </w:r>
      <w:r w:rsidR="003767E8" w:rsidRPr="00A7631D">
        <w:rPr>
          <w:szCs w:val="26"/>
        </w:rPr>
        <w:lastRenderedPageBreak/>
        <w:t xml:space="preserve">the extent of the possible misconduct.  </w:t>
      </w:r>
      <w:r w:rsidR="00410617">
        <w:rPr>
          <w:szCs w:val="26"/>
        </w:rPr>
        <w:t>We</w:t>
      </w:r>
      <w:r w:rsidR="003767E8" w:rsidRPr="00A7631D">
        <w:rPr>
          <w:szCs w:val="26"/>
        </w:rPr>
        <w:t xml:space="preserve"> conclude the court’s inquiry was adequate, and </w:t>
      </w:r>
      <w:r w:rsidR="00E57F30" w:rsidRPr="00A7631D">
        <w:rPr>
          <w:szCs w:val="26"/>
        </w:rPr>
        <w:t>that the court</w:t>
      </w:r>
      <w:r w:rsidR="003767E8" w:rsidRPr="00A7631D">
        <w:rPr>
          <w:szCs w:val="26"/>
        </w:rPr>
        <w:t xml:space="preserve"> did not abuse its discretion </w:t>
      </w:r>
      <w:r w:rsidR="00E57F30" w:rsidRPr="00A7631D">
        <w:rPr>
          <w:szCs w:val="26"/>
        </w:rPr>
        <w:t>by denying the motion for new trial based on alleged misconduct.</w:t>
      </w:r>
    </w:p>
    <w:p w14:paraId="60680B22" w14:textId="66785598" w:rsidR="00E57F30" w:rsidRPr="00A7631D" w:rsidRDefault="00E57F30" w:rsidP="00D910CC">
      <w:pPr>
        <w:pStyle w:val="Heading3"/>
        <w:numPr>
          <w:ilvl w:val="0"/>
          <w:numId w:val="18"/>
        </w:numPr>
        <w:ind w:left="1584" w:hanging="432"/>
        <w:rPr>
          <w:szCs w:val="26"/>
        </w:rPr>
      </w:pPr>
      <w:bookmarkStart w:id="75" w:name="_Toc58846842"/>
      <w:bookmarkStart w:id="76" w:name="_Toc50617058"/>
      <w:r w:rsidRPr="00A7631D">
        <w:rPr>
          <w:szCs w:val="26"/>
        </w:rPr>
        <w:t>Background</w:t>
      </w:r>
      <w:bookmarkEnd w:id="75"/>
      <w:bookmarkEnd w:id="76"/>
    </w:p>
    <w:p w14:paraId="31789BE9" w14:textId="7A8E552C" w:rsidR="00105DF3" w:rsidRPr="00A7631D" w:rsidRDefault="00105DF3" w:rsidP="00D910CC">
      <w:pPr>
        <w:pStyle w:val="NormalIndent"/>
        <w:ind w:left="0" w:firstLine="720"/>
        <w:rPr>
          <w:szCs w:val="26"/>
        </w:rPr>
      </w:pPr>
      <w:r w:rsidRPr="00A7631D">
        <w:rPr>
          <w:szCs w:val="26"/>
        </w:rPr>
        <w:t xml:space="preserve">Following </w:t>
      </w:r>
      <w:r w:rsidR="0026060B" w:rsidRPr="00A7631D">
        <w:rPr>
          <w:szCs w:val="26"/>
        </w:rPr>
        <w:t>the death verdict</w:t>
      </w:r>
      <w:r w:rsidRPr="00A7631D">
        <w:rPr>
          <w:szCs w:val="26"/>
        </w:rPr>
        <w:t xml:space="preserve">, </w:t>
      </w:r>
      <w:proofErr w:type="spellStart"/>
      <w:r w:rsidRPr="00A7631D">
        <w:rPr>
          <w:szCs w:val="26"/>
        </w:rPr>
        <w:t>Pops’</w:t>
      </w:r>
      <w:r w:rsidR="00820AF8" w:rsidRPr="00A7631D">
        <w:rPr>
          <w:szCs w:val="26"/>
        </w:rPr>
        <w:t>s</w:t>
      </w:r>
      <w:proofErr w:type="spellEnd"/>
      <w:r w:rsidRPr="00A7631D">
        <w:rPr>
          <w:szCs w:val="26"/>
        </w:rPr>
        <w:t xml:space="preserve"> attorney</w:t>
      </w:r>
      <w:r w:rsidR="0055536E">
        <w:rPr>
          <w:szCs w:val="26"/>
        </w:rPr>
        <w:t>, Jones,</w:t>
      </w:r>
      <w:r w:rsidR="00E218DA" w:rsidRPr="00A7631D">
        <w:rPr>
          <w:szCs w:val="26"/>
        </w:rPr>
        <w:t xml:space="preserve"> </w:t>
      </w:r>
      <w:r w:rsidR="00873B10" w:rsidRPr="00A7631D">
        <w:rPr>
          <w:szCs w:val="26"/>
        </w:rPr>
        <w:t>contacted</w:t>
      </w:r>
      <w:r w:rsidR="0026060B" w:rsidRPr="00A7631D">
        <w:rPr>
          <w:szCs w:val="26"/>
        </w:rPr>
        <w:t xml:space="preserve"> </w:t>
      </w:r>
      <w:r w:rsidR="00873B10" w:rsidRPr="00A7631D">
        <w:rPr>
          <w:szCs w:val="26"/>
        </w:rPr>
        <w:t>jurors</w:t>
      </w:r>
      <w:r w:rsidR="0026060B" w:rsidRPr="00A7631D">
        <w:rPr>
          <w:szCs w:val="26"/>
        </w:rPr>
        <w:t xml:space="preserve">.  </w:t>
      </w:r>
      <w:r w:rsidR="00B270E5" w:rsidRPr="00A7631D">
        <w:rPr>
          <w:szCs w:val="26"/>
        </w:rPr>
        <w:t>One of the jurors complained, and</w:t>
      </w:r>
      <w:r w:rsidR="009D4D1E" w:rsidRPr="00A7631D">
        <w:rPr>
          <w:szCs w:val="26"/>
        </w:rPr>
        <w:t xml:space="preserve"> the court ordered counsel to stop contacting jurors.  </w:t>
      </w:r>
      <w:r w:rsidR="00B41B5F" w:rsidRPr="00A7631D">
        <w:rPr>
          <w:szCs w:val="26"/>
        </w:rPr>
        <w:t>Before the no contact order was issued, defense counsel</w:t>
      </w:r>
      <w:r w:rsidR="00175FC8">
        <w:rPr>
          <w:szCs w:val="26"/>
        </w:rPr>
        <w:t>’</w:t>
      </w:r>
      <w:r w:rsidR="00B41B5F" w:rsidRPr="00A7631D">
        <w:rPr>
          <w:szCs w:val="26"/>
        </w:rPr>
        <w:t>s conversations with some jurors revealed</w:t>
      </w:r>
      <w:r w:rsidR="007D319B" w:rsidRPr="00A7631D">
        <w:rPr>
          <w:szCs w:val="26"/>
        </w:rPr>
        <w:t xml:space="preserve"> a juror had discussed </w:t>
      </w:r>
      <w:r w:rsidR="00F4478F" w:rsidRPr="00A7631D">
        <w:rPr>
          <w:szCs w:val="26"/>
        </w:rPr>
        <w:t xml:space="preserve">a </w:t>
      </w:r>
      <w:r w:rsidR="00A20A22" w:rsidRPr="00A7631D">
        <w:rPr>
          <w:szCs w:val="26"/>
        </w:rPr>
        <w:t xml:space="preserve">publicized murder case during deliberations, which counsel contended constituted misconduct. </w:t>
      </w:r>
      <w:r w:rsidR="00B41B5F" w:rsidRPr="00A7631D">
        <w:rPr>
          <w:szCs w:val="26"/>
        </w:rPr>
        <w:t xml:space="preserve"> </w:t>
      </w:r>
      <w:r w:rsidR="00E218DA" w:rsidRPr="00A7631D">
        <w:rPr>
          <w:szCs w:val="26"/>
        </w:rPr>
        <w:t>Defense counsel</w:t>
      </w:r>
      <w:r w:rsidR="00841B53" w:rsidRPr="00A7631D">
        <w:rPr>
          <w:szCs w:val="26"/>
        </w:rPr>
        <w:t xml:space="preserve"> </w:t>
      </w:r>
      <w:r w:rsidR="00B949FA" w:rsidRPr="00A7631D">
        <w:rPr>
          <w:szCs w:val="26"/>
        </w:rPr>
        <w:t>asked</w:t>
      </w:r>
      <w:r w:rsidR="004266D4" w:rsidRPr="00A7631D">
        <w:rPr>
          <w:szCs w:val="26"/>
        </w:rPr>
        <w:t xml:space="preserve"> </w:t>
      </w:r>
      <w:r w:rsidR="00B949FA" w:rsidRPr="00A7631D">
        <w:rPr>
          <w:szCs w:val="26"/>
        </w:rPr>
        <w:t xml:space="preserve">the court to lift the no-contact order, </w:t>
      </w:r>
      <w:r w:rsidR="00BE0151" w:rsidRPr="00A7631D">
        <w:rPr>
          <w:szCs w:val="26"/>
        </w:rPr>
        <w:t>and</w:t>
      </w:r>
      <w:r w:rsidR="004266D4" w:rsidRPr="00A7631D">
        <w:rPr>
          <w:szCs w:val="26"/>
        </w:rPr>
        <w:t xml:space="preserve"> the People opposed</w:t>
      </w:r>
      <w:r w:rsidR="00BE0151" w:rsidRPr="00A7631D">
        <w:rPr>
          <w:szCs w:val="26"/>
        </w:rPr>
        <w:t xml:space="preserve"> their motion but </w:t>
      </w:r>
      <w:r w:rsidR="006E0C5F" w:rsidRPr="00A7631D">
        <w:rPr>
          <w:szCs w:val="26"/>
        </w:rPr>
        <w:t>urged the court to question jurors under oath to bring swift resolution</w:t>
      </w:r>
      <w:r w:rsidR="00674B65" w:rsidRPr="00A7631D">
        <w:rPr>
          <w:szCs w:val="26"/>
        </w:rPr>
        <w:t xml:space="preserve"> to the misconduct allegation.  </w:t>
      </w:r>
      <w:r w:rsidR="007F5464" w:rsidRPr="00A7631D">
        <w:rPr>
          <w:szCs w:val="26"/>
        </w:rPr>
        <w:t xml:space="preserve">The court </w:t>
      </w:r>
      <w:r w:rsidR="00E54F63" w:rsidRPr="00A7631D">
        <w:rPr>
          <w:szCs w:val="26"/>
        </w:rPr>
        <w:t xml:space="preserve">did not lift the order, but it </w:t>
      </w:r>
      <w:r w:rsidR="007F5464" w:rsidRPr="00A7631D">
        <w:rPr>
          <w:szCs w:val="26"/>
        </w:rPr>
        <w:t>called Juror No</w:t>
      </w:r>
      <w:r w:rsidR="00674B65" w:rsidRPr="00A7631D">
        <w:rPr>
          <w:szCs w:val="26"/>
        </w:rPr>
        <w:t>s</w:t>
      </w:r>
      <w:r w:rsidR="007F5464" w:rsidRPr="00A7631D">
        <w:rPr>
          <w:szCs w:val="26"/>
        </w:rPr>
        <w:t xml:space="preserve">. 6 and 7 to provide sworn testimony </w:t>
      </w:r>
      <w:r w:rsidR="0070071D" w:rsidRPr="00A7631D">
        <w:rPr>
          <w:szCs w:val="26"/>
        </w:rPr>
        <w:t xml:space="preserve">regarding </w:t>
      </w:r>
      <w:r w:rsidR="00131542" w:rsidRPr="00A7631D">
        <w:rPr>
          <w:szCs w:val="26"/>
        </w:rPr>
        <w:t xml:space="preserve">attorney </w:t>
      </w:r>
      <w:r w:rsidR="0070071D" w:rsidRPr="00A7631D">
        <w:rPr>
          <w:szCs w:val="26"/>
        </w:rPr>
        <w:t>Jones’s ass</w:t>
      </w:r>
      <w:r w:rsidR="007F5464" w:rsidRPr="00A7631D">
        <w:rPr>
          <w:szCs w:val="26"/>
        </w:rPr>
        <w:t>ertion</w:t>
      </w:r>
      <w:r w:rsidR="00462768" w:rsidRPr="00A7631D">
        <w:rPr>
          <w:szCs w:val="26"/>
        </w:rPr>
        <w:t xml:space="preserve">.  </w:t>
      </w:r>
    </w:p>
    <w:p w14:paraId="0F0DD3D5" w14:textId="17480F65" w:rsidR="002C0CFA" w:rsidRPr="00A7631D" w:rsidRDefault="00462768" w:rsidP="00D910CC">
      <w:pPr>
        <w:pStyle w:val="NormalIndent"/>
        <w:ind w:left="0" w:firstLine="720"/>
        <w:rPr>
          <w:szCs w:val="26"/>
        </w:rPr>
      </w:pPr>
      <w:r w:rsidRPr="00A7631D">
        <w:rPr>
          <w:szCs w:val="26"/>
        </w:rPr>
        <w:t>Juror No. 7</w:t>
      </w:r>
      <w:r w:rsidR="0060162F" w:rsidRPr="00A7631D">
        <w:rPr>
          <w:szCs w:val="26"/>
        </w:rPr>
        <w:t xml:space="preserve"> </w:t>
      </w:r>
      <w:r w:rsidR="003119D8" w:rsidRPr="00A7631D">
        <w:rPr>
          <w:szCs w:val="26"/>
        </w:rPr>
        <w:t xml:space="preserve">testified </w:t>
      </w:r>
      <w:r w:rsidR="00D63FFA" w:rsidRPr="00A7631D">
        <w:rPr>
          <w:szCs w:val="26"/>
        </w:rPr>
        <w:t>that</w:t>
      </w:r>
      <w:r w:rsidR="00FC53EF" w:rsidRPr="00A7631D">
        <w:rPr>
          <w:szCs w:val="26"/>
        </w:rPr>
        <w:t xml:space="preserve"> the penalty vote for Wilson had</w:t>
      </w:r>
      <w:r w:rsidR="00B73B3E" w:rsidRPr="00A7631D">
        <w:rPr>
          <w:szCs w:val="26"/>
        </w:rPr>
        <w:t xml:space="preserve"> </w:t>
      </w:r>
      <w:r w:rsidR="00D63FFA" w:rsidRPr="00A7631D">
        <w:rPr>
          <w:szCs w:val="26"/>
        </w:rPr>
        <w:t>been split</w:t>
      </w:r>
      <w:r w:rsidR="00C56EEB" w:rsidRPr="00A7631D">
        <w:rPr>
          <w:szCs w:val="26"/>
        </w:rPr>
        <w:t xml:space="preserve"> </w:t>
      </w:r>
      <w:r w:rsidR="007F0935" w:rsidRPr="00A7631D">
        <w:rPr>
          <w:szCs w:val="26"/>
        </w:rPr>
        <w:t xml:space="preserve">nine to three, with </w:t>
      </w:r>
      <w:r w:rsidR="00C56EEB" w:rsidRPr="00A7631D">
        <w:rPr>
          <w:szCs w:val="26"/>
        </w:rPr>
        <w:t xml:space="preserve">nine jurors voting for death and three for life.  </w:t>
      </w:r>
      <w:r w:rsidR="007F0935" w:rsidRPr="00A7631D">
        <w:rPr>
          <w:szCs w:val="26"/>
        </w:rPr>
        <w:t xml:space="preserve">The </w:t>
      </w:r>
      <w:r w:rsidR="001039E3" w:rsidRPr="00A7631D">
        <w:rPr>
          <w:szCs w:val="26"/>
        </w:rPr>
        <w:t xml:space="preserve">court </w:t>
      </w:r>
      <w:r w:rsidR="00CE73A8" w:rsidRPr="00A7631D">
        <w:rPr>
          <w:szCs w:val="26"/>
        </w:rPr>
        <w:t>dismissed</w:t>
      </w:r>
      <w:r w:rsidR="001039E3" w:rsidRPr="00A7631D">
        <w:rPr>
          <w:szCs w:val="26"/>
        </w:rPr>
        <w:t xml:space="preserve"> the</w:t>
      </w:r>
      <w:r w:rsidR="00CE73A8" w:rsidRPr="00A7631D">
        <w:rPr>
          <w:szCs w:val="26"/>
        </w:rPr>
        <w:t xml:space="preserve"> </w:t>
      </w:r>
      <w:r w:rsidR="001039E3" w:rsidRPr="00A7631D">
        <w:rPr>
          <w:szCs w:val="26"/>
        </w:rPr>
        <w:t xml:space="preserve">jurors </w:t>
      </w:r>
      <w:r w:rsidR="00CE73A8" w:rsidRPr="00A7631D">
        <w:rPr>
          <w:szCs w:val="26"/>
        </w:rPr>
        <w:t xml:space="preserve">for a weekend, and </w:t>
      </w:r>
      <w:r w:rsidR="006051DC" w:rsidRPr="00A7631D">
        <w:rPr>
          <w:szCs w:val="26"/>
        </w:rPr>
        <w:t xml:space="preserve">upon </w:t>
      </w:r>
      <w:r w:rsidR="00CE73A8" w:rsidRPr="00A7631D">
        <w:rPr>
          <w:szCs w:val="26"/>
        </w:rPr>
        <w:t>return</w:t>
      </w:r>
      <w:r w:rsidR="00872346" w:rsidRPr="00A7631D">
        <w:rPr>
          <w:szCs w:val="26"/>
        </w:rPr>
        <w:t>ing</w:t>
      </w:r>
      <w:r w:rsidR="00CE73A8" w:rsidRPr="00A7631D">
        <w:rPr>
          <w:szCs w:val="26"/>
        </w:rPr>
        <w:t xml:space="preserve"> </w:t>
      </w:r>
      <w:r w:rsidR="00B6778F" w:rsidRPr="00A7631D">
        <w:rPr>
          <w:szCs w:val="26"/>
        </w:rPr>
        <w:t xml:space="preserve">they </w:t>
      </w:r>
      <w:r w:rsidR="00872346" w:rsidRPr="00A7631D">
        <w:rPr>
          <w:szCs w:val="26"/>
        </w:rPr>
        <w:t>took an informal vote, reveal</w:t>
      </w:r>
      <w:r w:rsidR="00957CCB" w:rsidRPr="00A7631D">
        <w:rPr>
          <w:szCs w:val="26"/>
        </w:rPr>
        <w:t>ing</w:t>
      </w:r>
      <w:r w:rsidR="00872346" w:rsidRPr="00A7631D">
        <w:rPr>
          <w:szCs w:val="26"/>
        </w:rPr>
        <w:t xml:space="preserve"> </w:t>
      </w:r>
      <w:r w:rsidR="00F84782" w:rsidRPr="00A7631D">
        <w:rPr>
          <w:szCs w:val="26"/>
        </w:rPr>
        <w:t>unanimity in favor of</w:t>
      </w:r>
      <w:r w:rsidR="00B6778F" w:rsidRPr="00A7631D">
        <w:rPr>
          <w:szCs w:val="26"/>
        </w:rPr>
        <w:t xml:space="preserve"> death.  </w:t>
      </w:r>
      <w:r w:rsidR="00F84782" w:rsidRPr="00A7631D">
        <w:rPr>
          <w:szCs w:val="26"/>
        </w:rPr>
        <w:t>Those who had voted for life shared why their</w:t>
      </w:r>
      <w:r w:rsidR="00481E80" w:rsidRPr="00A7631D">
        <w:rPr>
          <w:szCs w:val="26"/>
        </w:rPr>
        <w:t xml:space="preserve"> votes had shifted,</w:t>
      </w:r>
      <w:r w:rsidR="00F84782" w:rsidRPr="00A7631D">
        <w:rPr>
          <w:szCs w:val="26"/>
        </w:rPr>
        <w:t xml:space="preserve"> and </w:t>
      </w:r>
      <w:r w:rsidR="00481E80" w:rsidRPr="00A7631D">
        <w:rPr>
          <w:szCs w:val="26"/>
        </w:rPr>
        <w:t xml:space="preserve">Juror No. </w:t>
      </w:r>
      <w:r w:rsidR="00F502ED" w:rsidRPr="00A7631D">
        <w:rPr>
          <w:szCs w:val="26"/>
        </w:rPr>
        <w:t xml:space="preserve">7 </w:t>
      </w:r>
      <w:r w:rsidR="00F84782" w:rsidRPr="00A7631D">
        <w:rPr>
          <w:szCs w:val="26"/>
        </w:rPr>
        <w:t xml:space="preserve">testified </w:t>
      </w:r>
      <w:r w:rsidR="00F502ED" w:rsidRPr="00A7631D">
        <w:rPr>
          <w:szCs w:val="26"/>
        </w:rPr>
        <w:t>that Juror No. 6</w:t>
      </w:r>
      <w:r w:rsidR="00481E80" w:rsidRPr="00A7631D">
        <w:rPr>
          <w:szCs w:val="26"/>
        </w:rPr>
        <w:t xml:space="preserve"> told the others she </w:t>
      </w:r>
      <w:r w:rsidR="0064539A" w:rsidRPr="00A7631D">
        <w:rPr>
          <w:szCs w:val="26"/>
        </w:rPr>
        <w:t xml:space="preserve">had seen </w:t>
      </w:r>
      <w:r w:rsidR="00481E80" w:rsidRPr="00A7631D">
        <w:rPr>
          <w:szCs w:val="26"/>
        </w:rPr>
        <w:t xml:space="preserve">a news story </w:t>
      </w:r>
      <w:r w:rsidR="0064539A" w:rsidRPr="00A7631D">
        <w:rPr>
          <w:szCs w:val="26"/>
        </w:rPr>
        <w:t xml:space="preserve">over the weekend </w:t>
      </w:r>
      <w:r w:rsidR="00481E80" w:rsidRPr="00A7631D">
        <w:rPr>
          <w:szCs w:val="26"/>
        </w:rPr>
        <w:t xml:space="preserve">about a shooting in Atlanta </w:t>
      </w:r>
      <w:r w:rsidR="00B2577C" w:rsidRPr="00A7631D">
        <w:rPr>
          <w:szCs w:val="26"/>
        </w:rPr>
        <w:t>that</w:t>
      </w:r>
      <w:r w:rsidR="00DD2676" w:rsidRPr="00A7631D">
        <w:rPr>
          <w:szCs w:val="26"/>
        </w:rPr>
        <w:t xml:space="preserve"> made her “take a closer look at the cas</w:t>
      </w:r>
      <w:r w:rsidR="00B2577C" w:rsidRPr="00A7631D">
        <w:rPr>
          <w:szCs w:val="26"/>
        </w:rPr>
        <w:t>e</w:t>
      </w:r>
      <w:r w:rsidR="00666164" w:rsidRPr="00A7631D">
        <w:rPr>
          <w:szCs w:val="26"/>
        </w:rPr>
        <w:t xml:space="preserve"> that she was on</w:t>
      </w:r>
      <w:r w:rsidR="00B2577C" w:rsidRPr="00A7631D">
        <w:rPr>
          <w:szCs w:val="26"/>
        </w:rPr>
        <w:t xml:space="preserve">,” and </w:t>
      </w:r>
      <w:r w:rsidR="00352199" w:rsidRPr="00A7631D">
        <w:rPr>
          <w:szCs w:val="26"/>
        </w:rPr>
        <w:t>“honestly in her min</w:t>
      </w:r>
      <w:r w:rsidR="00DD2676" w:rsidRPr="00A7631D">
        <w:rPr>
          <w:szCs w:val="26"/>
        </w:rPr>
        <w:t xml:space="preserve">d” Wilson “deserved the death penalty.”  </w:t>
      </w:r>
      <w:r w:rsidR="002A2F2D" w:rsidRPr="00A7631D">
        <w:rPr>
          <w:szCs w:val="26"/>
        </w:rPr>
        <w:t xml:space="preserve">She had </w:t>
      </w:r>
      <w:r w:rsidR="001F3B12" w:rsidRPr="00A7631D">
        <w:rPr>
          <w:szCs w:val="26"/>
        </w:rPr>
        <w:t xml:space="preserve">indicated when she </w:t>
      </w:r>
      <w:r w:rsidR="002A2F2D" w:rsidRPr="00A7631D">
        <w:rPr>
          <w:szCs w:val="26"/>
        </w:rPr>
        <w:t>voted for life the week before</w:t>
      </w:r>
      <w:r w:rsidR="001F3B12" w:rsidRPr="00A7631D">
        <w:rPr>
          <w:szCs w:val="26"/>
        </w:rPr>
        <w:t xml:space="preserve"> that </w:t>
      </w:r>
      <w:r w:rsidR="002A2F2D" w:rsidRPr="00A7631D">
        <w:rPr>
          <w:szCs w:val="26"/>
        </w:rPr>
        <w:t xml:space="preserve">her vote had been wavering.  </w:t>
      </w:r>
    </w:p>
    <w:p w14:paraId="6A2F4E34" w14:textId="24658E4F" w:rsidR="00462768" w:rsidRPr="00A7631D" w:rsidRDefault="00BF259C" w:rsidP="00D910CC">
      <w:pPr>
        <w:pStyle w:val="NormalIndent"/>
        <w:ind w:left="0" w:firstLine="720"/>
        <w:rPr>
          <w:szCs w:val="26"/>
        </w:rPr>
      </w:pPr>
      <w:r w:rsidRPr="00A7631D">
        <w:rPr>
          <w:szCs w:val="26"/>
        </w:rPr>
        <w:t xml:space="preserve">Juror No. 7 </w:t>
      </w:r>
      <w:r w:rsidR="002C0CFA" w:rsidRPr="00A7631D">
        <w:rPr>
          <w:szCs w:val="26"/>
        </w:rPr>
        <w:t>testified that he thought</w:t>
      </w:r>
      <w:r w:rsidRPr="00A7631D">
        <w:rPr>
          <w:szCs w:val="26"/>
        </w:rPr>
        <w:t xml:space="preserve"> the jurors followed the instructions at all times, and that</w:t>
      </w:r>
      <w:r w:rsidR="00A555FD" w:rsidRPr="00A7631D">
        <w:rPr>
          <w:szCs w:val="26"/>
        </w:rPr>
        <w:t xml:space="preserve"> the discussion regarding </w:t>
      </w:r>
      <w:r w:rsidR="00A555FD" w:rsidRPr="00A7631D">
        <w:rPr>
          <w:szCs w:val="26"/>
        </w:rPr>
        <w:lastRenderedPageBreak/>
        <w:t xml:space="preserve">the Atlanta crime occurred only after the poll indicating the verdict was unanimous had </w:t>
      </w:r>
      <w:r w:rsidR="003D65E4" w:rsidRPr="00A7631D">
        <w:rPr>
          <w:szCs w:val="26"/>
        </w:rPr>
        <w:t>occurred.  Juror No. 7 recalled that Juror No. 12 had also voted for life the week before</w:t>
      </w:r>
      <w:r w:rsidR="007B1004" w:rsidRPr="00A7631D">
        <w:rPr>
          <w:szCs w:val="26"/>
        </w:rPr>
        <w:t xml:space="preserve">, believing it to be a harsh enough form of punishment, but </w:t>
      </w:r>
      <w:r w:rsidR="00B21A15" w:rsidRPr="00A7631D">
        <w:rPr>
          <w:szCs w:val="26"/>
        </w:rPr>
        <w:t xml:space="preserve">Juror No. 7 </w:t>
      </w:r>
      <w:r w:rsidR="005973BE" w:rsidRPr="00A7631D">
        <w:rPr>
          <w:szCs w:val="26"/>
        </w:rPr>
        <w:t xml:space="preserve">also </w:t>
      </w:r>
      <w:r w:rsidR="00B21A15" w:rsidRPr="00A7631D">
        <w:rPr>
          <w:szCs w:val="26"/>
        </w:rPr>
        <w:t>thought Juror No. 12</w:t>
      </w:r>
      <w:r w:rsidR="005973BE" w:rsidRPr="00A7631D">
        <w:rPr>
          <w:szCs w:val="26"/>
        </w:rPr>
        <w:t xml:space="preserve"> would vote with the majority.  Juror No. 7 testified that all of the jurors, including Juror No. 12, exercised independent judgment in voting, rather than blindly following the majority</w:t>
      </w:r>
      <w:r w:rsidR="00021C35" w:rsidRPr="00A7631D">
        <w:rPr>
          <w:szCs w:val="26"/>
        </w:rPr>
        <w:t xml:space="preserve">; Juror No. 12 actively deliberated and analyzed the issues. </w:t>
      </w:r>
    </w:p>
    <w:p w14:paraId="17149EF5" w14:textId="73DA5FFA" w:rsidR="0053044E" w:rsidRPr="00A7631D" w:rsidRDefault="0053044E" w:rsidP="00D910CC">
      <w:pPr>
        <w:pStyle w:val="NormalIndent"/>
        <w:ind w:left="0" w:firstLine="720"/>
        <w:rPr>
          <w:szCs w:val="26"/>
        </w:rPr>
      </w:pPr>
      <w:r w:rsidRPr="00A7631D">
        <w:rPr>
          <w:szCs w:val="26"/>
        </w:rPr>
        <w:t xml:space="preserve">Juror No. 6 </w:t>
      </w:r>
      <w:r w:rsidR="00C9248F" w:rsidRPr="00A7631D">
        <w:rPr>
          <w:szCs w:val="26"/>
        </w:rPr>
        <w:t>also testified</w:t>
      </w:r>
      <w:r w:rsidR="00BD5921" w:rsidRPr="00A7631D">
        <w:rPr>
          <w:szCs w:val="26"/>
        </w:rPr>
        <w:t>.  She</w:t>
      </w:r>
      <w:r w:rsidR="00461CCF" w:rsidRPr="00A7631D">
        <w:rPr>
          <w:szCs w:val="26"/>
        </w:rPr>
        <w:t xml:space="preserve"> confirmed a</w:t>
      </w:r>
      <w:r w:rsidR="003A7787" w:rsidRPr="00A7631D">
        <w:rPr>
          <w:szCs w:val="26"/>
        </w:rPr>
        <w:t xml:space="preserve"> </w:t>
      </w:r>
      <w:r w:rsidR="000C1378" w:rsidRPr="00A7631D">
        <w:rPr>
          <w:szCs w:val="26"/>
        </w:rPr>
        <w:t xml:space="preserve">unanimous </w:t>
      </w:r>
      <w:r w:rsidR="003A7787" w:rsidRPr="00A7631D">
        <w:rPr>
          <w:szCs w:val="26"/>
        </w:rPr>
        <w:t>poll</w:t>
      </w:r>
      <w:r w:rsidR="000C1378" w:rsidRPr="00A7631D">
        <w:rPr>
          <w:szCs w:val="26"/>
        </w:rPr>
        <w:t xml:space="preserve"> was taken after jurors returned from the weekend, and that </w:t>
      </w:r>
      <w:r w:rsidR="0013572D" w:rsidRPr="00A7631D">
        <w:rPr>
          <w:szCs w:val="26"/>
        </w:rPr>
        <w:t>some</w:t>
      </w:r>
      <w:r w:rsidR="007D712E" w:rsidRPr="00A7631D">
        <w:rPr>
          <w:szCs w:val="26"/>
        </w:rPr>
        <w:t xml:space="preserve"> of the</w:t>
      </w:r>
      <w:r w:rsidR="000C1378" w:rsidRPr="00A7631D">
        <w:rPr>
          <w:szCs w:val="26"/>
        </w:rPr>
        <w:t xml:space="preserve"> jurors </w:t>
      </w:r>
      <w:r w:rsidR="007D712E" w:rsidRPr="00A7631D">
        <w:rPr>
          <w:szCs w:val="26"/>
        </w:rPr>
        <w:t xml:space="preserve">who formerly voted for life </w:t>
      </w:r>
      <w:r w:rsidR="000C1378" w:rsidRPr="00A7631D">
        <w:rPr>
          <w:szCs w:val="26"/>
        </w:rPr>
        <w:t xml:space="preserve">discussed why </w:t>
      </w:r>
      <w:r w:rsidR="0013572D" w:rsidRPr="00A7631D">
        <w:rPr>
          <w:szCs w:val="26"/>
        </w:rPr>
        <w:t xml:space="preserve">their votes had changed.  </w:t>
      </w:r>
      <w:r w:rsidR="000E0145" w:rsidRPr="00A7631D">
        <w:rPr>
          <w:szCs w:val="26"/>
        </w:rPr>
        <w:t>She</w:t>
      </w:r>
      <w:r w:rsidR="004532EF" w:rsidRPr="00A7631D">
        <w:rPr>
          <w:szCs w:val="26"/>
        </w:rPr>
        <w:t xml:space="preserve"> remembered </w:t>
      </w:r>
      <w:r w:rsidR="007D712E" w:rsidRPr="00A7631D">
        <w:rPr>
          <w:szCs w:val="26"/>
        </w:rPr>
        <w:t>addressing her</w:t>
      </w:r>
      <w:r w:rsidR="000E0145" w:rsidRPr="00A7631D">
        <w:rPr>
          <w:szCs w:val="26"/>
        </w:rPr>
        <w:t xml:space="preserve"> changed vote, but she did not </w:t>
      </w:r>
      <w:r w:rsidR="007D712E" w:rsidRPr="00A7631D">
        <w:rPr>
          <w:szCs w:val="26"/>
        </w:rPr>
        <w:t xml:space="preserve">recall </w:t>
      </w:r>
      <w:r w:rsidR="000E0145" w:rsidRPr="00A7631D">
        <w:rPr>
          <w:szCs w:val="26"/>
        </w:rPr>
        <w:t xml:space="preserve">exactly what she said, and did not </w:t>
      </w:r>
      <w:r w:rsidR="007D712E" w:rsidRPr="00A7631D">
        <w:rPr>
          <w:szCs w:val="26"/>
        </w:rPr>
        <w:t xml:space="preserve">remember </w:t>
      </w:r>
      <w:r w:rsidR="000E0145" w:rsidRPr="00A7631D">
        <w:rPr>
          <w:szCs w:val="26"/>
        </w:rPr>
        <w:t xml:space="preserve">mentioning the Atlanta </w:t>
      </w:r>
      <w:r w:rsidR="0072132F" w:rsidRPr="00A7631D">
        <w:rPr>
          <w:szCs w:val="26"/>
        </w:rPr>
        <w:t xml:space="preserve">crime that day.  She </w:t>
      </w:r>
      <w:r w:rsidR="00B247AE" w:rsidRPr="00A7631D">
        <w:rPr>
          <w:szCs w:val="26"/>
        </w:rPr>
        <w:t>testified that she had read</w:t>
      </w:r>
      <w:r w:rsidR="00EF2FC5" w:rsidRPr="00A7631D">
        <w:rPr>
          <w:szCs w:val="26"/>
        </w:rPr>
        <w:t xml:space="preserve"> </w:t>
      </w:r>
      <w:r w:rsidR="00D23BE2" w:rsidRPr="00A7631D">
        <w:rPr>
          <w:szCs w:val="26"/>
        </w:rPr>
        <w:t xml:space="preserve">an </w:t>
      </w:r>
      <w:r w:rsidR="00B272A3" w:rsidRPr="00A7631D">
        <w:rPr>
          <w:szCs w:val="26"/>
        </w:rPr>
        <w:t>I</w:t>
      </w:r>
      <w:r w:rsidR="00D23BE2" w:rsidRPr="00A7631D">
        <w:rPr>
          <w:szCs w:val="26"/>
        </w:rPr>
        <w:t xml:space="preserve">nternet article </w:t>
      </w:r>
      <w:r w:rsidR="00EF2FC5" w:rsidRPr="00A7631D">
        <w:rPr>
          <w:szCs w:val="26"/>
        </w:rPr>
        <w:t>and watch</w:t>
      </w:r>
      <w:r w:rsidR="00B247AE" w:rsidRPr="00A7631D">
        <w:rPr>
          <w:szCs w:val="26"/>
        </w:rPr>
        <w:t>ed a</w:t>
      </w:r>
      <w:r w:rsidR="00EF2FC5" w:rsidRPr="00A7631D">
        <w:rPr>
          <w:szCs w:val="26"/>
        </w:rPr>
        <w:t xml:space="preserve"> news</w:t>
      </w:r>
      <w:r w:rsidR="00B247AE" w:rsidRPr="00A7631D">
        <w:rPr>
          <w:szCs w:val="26"/>
        </w:rPr>
        <w:t xml:space="preserve"> program</w:t>
      </w:r>
      <w:r w:rsidR="00EF2FC5" w:rsidRPr="00A7631D">
        <w:rPr>
          <w:szCs w:val="26"/>
        </w:rPr>
        <w:t xml:space="preserve"> about the Atlanta </w:t>
      </w:r>
      <w:r w:rsidR="0038102D" w:rsidRPr="00A7631D">
        <w:rPr>
          <w:szCs w:val="26"/>
        </w:rPr>
        <w:t xml:space="preserve">shootings, and remembered that the jurors </w:t>
      </w:r>
      <w:proofErr w:type="gramStart"/>
      <w:r w:rsidR="0038102D" w:rsidRPr="00A7631D">
        <w:rPr>
          <w:szCs w:val="26"/>
        </w:rPr>
        <w:t xml:space="preserve">had </w:t>
      </w:r>
      <w:r w:rsidR="0072132F" w:rsidRPr="00A7631D">
        <w:rPr>
          <w:szCs w:val="26"/>
        </w:rPr>
        <w:t>a discussion about</w:t>
      </w:r>
      <w:proofErr w:type="gramEnd"/>
      <w:r w:rsidR="0072132F" w:rsidRPr="00A7631D">
        <w:rPr>
          <w:szCs w:val="26"/>
        </w:rPr>
        <w:t xml:space="preserve"> </w:t>
      </w:r>
      <w:r w:rsidR="0038102D" w:rsidRPr="00A7631D">
        <w:rPr>
          <w:szCs w:val="26"/>
        </w:rPr>
        <w:t>that</w:t>
      </w:r>
      <w:r w:rsidR="0072132F" w:rsidRPr="00A7631D">
        <w:rPr>
          <w:szCs w:val="26"/>
        </w:rPr>
        <w:t xml:space="preserve"> crime </w:t>
      </w:r>
      <w:r w:rsidR="00D80B68" w:rsidRPr="00A7631D">
        <w:rPr>
          <w:szCs w:val="26"/>
        </w:rPr>
        <w:t>generally</w:t>
      </w:r>
      <w:r w:rsidR="005E251E" w:rsidRPr="00A7631D">
        <w:rPr>
          <w:szCs w:val="26"/>
        </w:rPr>
        <w:t xml:space="preserve">, but </w:t>
      </w:r>
      <w:r w:rsidR="005B6CDF" w:rsidRPr="00A7631D">
        <w:rPr>
          <w:szCs w:val="26"/>
        </w:rPr>
        <w:t xml:space="preserve">she </w:t>
      </w:r>
      <w:r w:rsidR="005E251E" w:rsidRPr="00A7631D">
        <w:rPr>
          <w:szCs w:val="26"/>
        </w:rPr>
        <w:t>did not know precisely when that conversation occurred</w:t>
      </w:r>
      <w:r w:rsidR="00D80B68" w:rsidRPr="00A7631D">
        <w:rPr>
          <w:szCs w:val="26"/>
        </w:rPr>
        <w:t xml:space="preserve">.  </w:t>
      </w:r>
      <w:r w:rsidR="001C68B4" w:rsidRPr="00A7631D">
        <w:rPr>
          <w:szCs w:val="26"/>
        </w:rPr>
        <w:t xml:space="preserve">When asked whether she was emotionally affected by the Atlanta shootings, Juror No. 6 testified that she was an emotional person and </w:t>
      </w:r>
      <w:r w:rsidR="00C64563" w:rsidRPr="00A7631D">
        <w:rPr>
          <w:szCs w:val="26"/>
        </w:rPr>
        <w:t>tended to dwell on things like the Atlanta shooting “ever</w:t>
      </w:r>
      <w:r w:rsidR="00D92FCD" w:rsidRPr="00A7631D">
        <w:rPr>
          <w:szCs w:val="26"/>
        </w:rPr>
        <w:t>y</w:t>
      </w:r>
      <w:r w:rsidR="00C64563" w:rsidRPr="00A7631D">
        <w:rPr>
          <w:szCs w:val="26"/>
        </w:rPr>
        <w:t xml:space="preserve"> time something like that happens,” but that the emotional impact of that crime had dissipated for her before </w:t>
      </w:r>
      <w:r w:rsidR="001039E3" w:rsidRPr="00A7631D">
        <w:rPr>
          <w:szCs w:val="26"/>
        </w:rPr>
        <w:t>jurors completed the</w:t>
      </w:r>
      <w:r w:rsidR="00C64563" w:rsidRPr="00A7631D">
        <w:rPr>
          <w:szCs w:val="26"/>
        </w:rPr>
        <w:t xml:space="preserve"> poll an</w:t>
      </w:r>
      <w:r w:rsidR="00D92FCD" w:rsidRPr="00A7631D">
        <w:rPr>
          <w:szCs w:val="26"/>
        </w:rPr>
        <w:t xml:space="preserve">d </w:t>
      </w:r>
      <w:r w:rsidR="001039E3" w:rsidRPr="00A7631D">
        <w:rPr>
          <w:szCs w:val="26"/>
        </w:rPr>
        <w:t xml:space="preserve">reached the </w:t>
      </w:r>
      <w:r w:rsidR="00D92FCD" w:rsidRPr="00A7631D">
        <w:rPr>
          <w:szCs w:val="26"/>
        </w:rPr>
        <w:t xml:space="preserve">ensuing penalty verdict.  </w:t>
      </w:r>
    </w:p>
    <w:p w14:paraId="5C9ACB7C" w14:textId="7555D34A" w:rsidR="00042DE3" w:rsidRPr="00A7631D" w:rsidRDefault="00235152" w:rsidP="00D910CC">
      <w:pPr>
        <w:pStyle w:val="NormalIndent"/>
        <w:ind w:left="0" w:firstLine="720"/>
        <w:rPr>
          <w:szCs w:val="26"/>
        </w:rPr>
      </w:pPr>
      <w:r w:rsidRPr="00A7631D">
        <w:rPr>
          <w:szCs w:val="26"/>
        </w:rPr>
        <w:t>After it heard testimony from Juror Nos. 6 and 7</w:t>
      </w:r>
      <w:r w:rsidR="00AB11F4" w:rsidRPr="00A7631D">
        <w:rPr>
          <w:szCs w:val="26"/>
        </w:rPr>
        <w:t xml:space="preserve"> and </w:t>
      </w:r>
      <w:r w:rsidR="00B437E6" w:rsidRPr="00A7631D">
        <w:rPr>
          <w:szCs w:val="26"/>
        </w:rPr>
        <w:t xml:space="preserve">argument from the parties, the court </w:t>
      </w:r>
      <w:r w:rsidR="00480E05" w:rsidRPr="00A7631D">
        <w:rPr>
          <w:szCs w:val="26"/>
        </w:rPr>
        <w:t>sought</w:t>
      </w:r>
      <w:r w:rsidR="00797B09" w:rsidRPr="00A7631D">
        <w:rPr>
          <w:szCs w:val="26"/>
        </w:rPr>
        <w:t xml:space="preserve"> testimony from</w:t>
      </w:r>
      <w:r w:rsidR="00B437E6" w:rsidRPr="00A7631D">
        <w:rPr>
          <w:szCs w:val="26"/>
        </w:rPr>
        <w:t xml:space="preserve"> Juror No. 1</w:t>
      </w:r>
      <w:r w:rsidR="00797B09" w:rsidRPr="00A7631D">
        <w:rPr>
          <w:szCs w:val="26"/>
        </w:rPr>
        <w:t xml:space="preserve">2, as well.  </w:t>
      </w:r>
      <w:r w:rsidR="008C3650" w:rsidRPr="00A7631D">
        <w:rPr>
          <w:szCs w:val="26"/>
        </w:rPr>
        <w:t xml:space="preserve">Juror No. 12 confirmed that before the jurors departed for the weekend the vote had been </w:t>
      </w:r>
      <w:r w:rsidR="00B41ECA" w:rsidRPr="00A7631D">
        <w:rPr>
          <w:szCs w:val="26"/>
        </w:rPr>
        <w:t xml:space="preserve">nine to three, and he was one of the three jurors who had voted for life.  </w:t>
      </w:r>
      <w:r w:rsidR="00021D13" w:rsidRPr="00A7631D">
        <w:rPr>
          <w:szCs w:val="26"/>
        </w:rPr>
        <w:t xml:space="preserve">He </w:t>
      </w:r>
      <w:r w:rsidR="00021D13" w:rsidRPr="00A7631D">
        <w:rPr>
          <w:szCs w:val="26"/>
        </w:rPr>
        <w:lastRenderedPageBreak/>
        <w:t xml:space="preserve">believed the poll taken when jurors returned after </w:t>
      </w:r>
      <w:r w:rsidR="00D90598" w:rsidRPr="00A7631D">
        <w:rPr>
          <w:szCs w:val="26"/>
        </w:rPr>
        <w:t xml:space="preserve">the </w:t>
      </w:r>
      <w:r w:rsidR="00021D13" w:rsidRPr="00A7631D">
        <w:rPr>
          <w:szCs w:val="26"/>
        </w:rPr>
        <w:t>weekend was still nine to three</w:t>
      </w:r>
      <w:r w:rsidR="008053B3" w:rsidRPr="00A7631D">
        <w:rPr>
          <w:szCs w:val="26"/>
        </w:rPr>
        <w:t xml:space="preserve">, and he said he would vote with the majority if 11 jurors voted for death.  </w:t>
      </w:r>
      <w:r w:rsidR="00827C25" w:rsidRPr="00A7631D">
        <w:rPr>
          <w:szCs w:val="26"/>
        </w:rPr>
        <w:t xml:space="preserve">Juror No. 12 eventually changed his </w:t>
      </w:r>
      <w:proofErr w:type="gramStart"/>
      <w:r w:rsidR="00827C25" w:rsidRPr="00A7631D">
        <w:rPr>
          <w:szCs w:val="26"/>
        </w:rPr>
        <w:t>vote, but</w:t>
      </w:r>
      <w:proofErr w:type="gramEnd"/>
      <w:r w:rsidR="00827C25" w:rsidRPr="00A7631D">
        <w:rPr>
          <w:szCs w:val="26"/>
        </w:rPr>
        <w:t xml:space="preserve"> did so not simply to go along with the majority; he testified that the heinous nature of the crime</w:t>
      </w:r>
      <w:r w:rsidR="00C66C17" w:rsidRPr="00A7631D">
        <w:rPr>
          <w:szCs w:val="26"/>
        </w:rPr>
        <w:t xml:space="preserve"> and</w:t>
      </w:r>
      <w:r w:rsidR="00C57980" w:rsidRPr="00A7631D">
        <w:rPr>
          <w:szCs w:val="26"/>
        </w:rPr>
        <w:t xml:space="preserve"> his own</w:t>
      </w:r>
      <w:r w:rsidR="00C66C17" w:rsidRPr="00A7631D">
        <w:rPr>
          <w:szCs w:val="26"/>
        </w:rPr>
        <w:t xml:space="preserve"> “scr</w:t>
      </w:r>
      <w:r w:rsidR="00D97E51" w:rsidRPr="00A7631D">
        <w:rPr>
          <w:szCs w:val="26"/>
        </w:rPr>
        <w:t xml:space="preserve">upulous[]” evaluation of witness testimony ultimately changed his mind.  </w:t>
      </w:r>
      <w:r w:rsidR="0082361A" w:rsidRPr="00A7631D">
        <w:rPr>
          <w:szCs w:val="26"/>
        </w:rPr>
        <w:t xml:space="preserve">He did not recall which other jurors initially voted for life, except that they were both female.  </w:t>
      </w:r>
      <w:r w:rsidR="00A86108" w:rsidRPr="00A7631D">
        <w:rPr>
          <w:szCs w:val="26"/>
        </w:rPr>
        <w:t>He did not recall a discussion regarding the Atlanta crimes</w:t>
      </w:r>
      <w:r w:rsidR="00092A9E" w:rsidRPr="00A7631D">
        <w:rPr>
          <w:szCs w:val="26"/>
        </w:rPr>
        <w:t xml:space="preserve"> and </w:t>
      </w:r>
      <w:r w:rsidR="000F7682" w:rsidRPr="00A7631D">
        <w:rPr>
          <w:szCs w:val="26"/>
        </w:rPr>
        <w:t xml:space="preserve">testified </w:t>
      </w:r>
      <w:r w:rsidR="00092A9E" w:rsidRPr="00A7631D">
        <w:rPr>
          <w:szCs w:val="26"/>
        </w:rPr>
        <w:t xml:space="preserve">that it was not a factor affecting his deliberative process.  </w:t>
      </w:r>
    </w:p>
    <w:p w14:paraId="334E9D17" w14:textId="6C4DDA4C" w:rsidR="007D6E73" w:rsidRPr="00A7631D" w:rsidRDefault="00042DE3" w:rsidP="00D910CC">
      <w:pPr>
        <w:pStyle w:val="NormalIndent"/>
        <w:ind w:left="0" w:firstLine="720"/>
        <w:rPr>
          <w:szCs w:val="26"/>
        </w:rPr>
      </w:pPr>
      <w:r w:rsidRPr="00A7631D">
        <w:rPr>
          <w:szCs w:val="26"/>
        </w:rPr>
        <w:t xml:space="preserve">After Juror No. 12 testified, defense counsel persisted in requesting the court grant </w:t>
      </w:r>
      <w:r w:rsidR="000F7682" w:rsidRPr="00A7631D">
        <w:rPr>
          <w:szCs w:val="26"/>
        </w:rPr>
        <w:t xml:space="preserve">the parties </w:t>
      </w:r>
      <w:r w:rsidRPr="00A7631D">
        <w:rPr>
          <w:szCs w:val="26"/>
        </w:rPr>
        <w:t>permission to contact jurors.  The court ultimately</w:t>
      </w:r>
      <w:r w:rsidR="00F43C26" w:rsidRPr="00A7631D">
        <w:rPr>
          <w:szCs w:val="26"/>
        </w:rPr>
        <w:t xml:space="preserve"> agreed to send</w:t>
      </w:r>
      <w:r w:rsidR="005B6CDF" w:rsidRPr="00A7631D">
        <w:rPr>
          <w:szCs w:val="26"/>
        </w:rPr>
        <w:t xml:space="preserve"> a</w:t>
      </w:r>
      <w:r w:rsidR="00F43C26" w:rsidRPr="00A7631D">
        <w:rPr>
          <w:szCs w:val="26"/>
        </w:rPr>
        <w:t xml:space="preserve"> letter to jurors asking if they would consent to contact, and following receipt of consent </w:t>
      </w:r>
      <w:r w:rsidR="00166FDC" w:rsidRPr="00A7631D">
        <w:rPr>
          <w:szCs w:val="26"/>
        </w:rPr>
        <w:t xml:space="preserve">from several jurors, </w:t>
      </w:r>
      <w:r w:rsidR="00F43C26" w:rsidRPr="00A7631D">
        <w:rPr>
          <w:szCs w:val="26"/>
        </w:rPr>
        <w:t>the court continued</w:t>
      </w:r>
      <w:r w:rsidR="008852E9" w:rsidRPr="00A7631D">
        <w:rPr>
          <w:szCs w:val="26"/>
        </w:rPr>
        <w:t xml:space="preserve"> the new trial motion to provide defense counsel an opportunity to contact those jurors who had responded.</w:t>
      </w:r>
      <w:r w:rsidR="00AD1B39" w:rsidRPr="00A7631D">
        <w:rPr>
          <w:rStyle w:val="FootnoteReference"/>
          <w:szCs w:val="26"/>
        </w:rPr>
        <w:footnoteReference w:id="21"/>
      </w:r>
      <w:r w:rsidR="008852E9" w:rsidRPr="00A7631D">
        <w:rPr>
          <w:szCs w:val="26"/>
        </w:rPr>
        <w:t xml:space="preserve">   </w:t>
      </w:r>
    </w:p>
    <w:p w14:paraId="3E27E8BE" w14:textId="3A900FA2" w:rsidR="00864247" w:rsidRPr="00A7631D" w:rsidRDefault="002F78AF" w:rsidP="00D910CC">
      <w:pPr>
        <w:pStyle w:val="NormalIndent"/>
        <w:ind w:left="0" w:firstLine="720"/>
        <w:rPr>
          <w:szCs w:val="26"/>
        </w:rPr>
      </w:pPr>
      <w:proofErr w:type="spellStart"/>
      <w:r w:rsidRPr="00A7631D">
        <w:rPr>
          <w:szCs w:val="26"/>
        </w:rPr>
        <w:t>Pops’s</w:t>
      </w:r>
      <w:proofErr w:type="spellEnd"/>
      <w:r w:rsidRPr="00A7631D">
        <w:rPr>
          <w:szCs w:val="26"/>
        </w:rPr>
        <w:t xml:space="preserve"> attorney, </w:t>
      </w:r>
      <w:r w:rsidR="00AE0066" w:rsidRPr="00A7631D">
        <w:rPr>
          <w:szCs w:val="26"/>
        </w:rPr>
        <w:t>Jones</w:t>
      </w:r>
      <w:r w:rsidRPr="00A7631D">
        <w:rPr>
          <w:szCs w:val="26"/>
        </w:rPr>
        <w:t>,</w:t>
      </w:r>
      <w:r w:rsidR="00CD0CBD" w:rsidRPr="00A7631D">
        <w:rPr>
          <w:szCs w:val="26"/>
        </w:rPr>
        <w:t xml:space="preserve"> </w:t>
      </w:r>
      <w:r w:rsidR="0008720F" w:rsidRPr="00A7631D">
        <w:rPr>
          <w:szCs w:val="26"/>
        </w:rPr>
        <w:t>contacted Juror No. 1</w:t>
      </w:r>
      <w:r w:rsidR="00AE0066" w:rsidRPr="00A7631D">
        <w:rPr>
          <w:szCs w:val="26"/>
        </w:rPr>
        <w:t>, who told her that Juror No</w:t>
      </w:r>
      <w:r w:rsidR="00844F1E" w:rsidRPr="00A7631D">
        <w:rPr>
          <w:szCs w:val="26"/>
        </w:rPr>
        <w:t>s</w:t>
      </w:r>
      <w:r w:rsidR="00AE0066" w:rsidRPr="00A7631D">
        <w:rPr>
          <w:szCs w:val="26"/>
        </w:rPr>
        <w:t>. 6 and 12 had initially voted for life</w:t>
      </w:r>
      <w:r w:rsidR="00A55C40" w:rsidRPr="00A7631D">
        <w:rPr>
          <w:szCs w:val="26"/>
        </w:rPr>
        <w:t xml:space="preserve"> but their votes changed in the poll immediately following the jurors’ return from the weekend</w:t>
      </w:r>
      <w:r w:rsidR="00520B47" w:rsidRPr="00A7631D">
        <w:rPr>
          <w:szCs w:val="26"/>
        </w:rPr>
        <w:t xml:space="preserve">.  Juror No. 1 told Jones that there was a conversation amongst jurors following the poll during which </w:t>
      </w:r>
      <w:r w:rsidR="001039E3" w:rsidRPr="00A7631D">
        <w:rPr>
          <w:szCs w:val="26"/>
        </w:rPr>
        <w:t>jurors discussed</w:t>
      </w:r>
      <w:r w:rsidR="00520B47" w:rsidRPr="00A7631D">
        <w:rPr>
          <w:szCs w:val="26"/>
        </w:rPr>
        <w:t xml:space="preserve"> </w:t>
      </w:r>
      <w:r w:rsidR="001039E3" w:rsidRPr="00A7631D">
        <w:rPr>
          <w:szCs w:val="26"/>
        </w:rPr>
        <w:t xml:space="preserve">the </w:t>
      </w:r>
      <w:r w:rsidR="00520B47" w:rsidRPr="00A7631D">
        <w:rPr>
          <w:szCs w:val="26"/>
        </w:rPr>
        <w:t>Atlanta crimes</w:t>
      </w:r>
      <w:r w:rsidR="003C6BFA" w:rsidRPr="00A7631D">
        <w:rPr>
          <w:szCs w:val="26"/>
        </w:rPr>
        <w:t>.  Juror No. 6</w:t>
      </w:r>
      <w:r w:rsidR="001B6B94" w:rsidRPr="00A7631D">
        <w:rPr>
          <w:szCs w:val="26"/>
        </w:rPr>
        <w:t xml:space="preserve"> </w:t>
      </w:r>
      <w:r w:rsidR="00DA38B1" w:rsidRPr="00A7631D">
        <w:rPr>
          <w:szCs w:val="26"/>
        </w:rPr>
        <w:t xml:space="preserve">purportedly said she </w:t>
      </w:r>
      <w:r w:rsidR="001B6B94" w:rsidRPr="00A7631D">
        <w:rPr>
          <w:szCs w:val="26"/>
        </w:rPr>
        <w:t xml:space="preserve">believed she needed to put her sympathy for Wilson’s family aside after </w:t>
      </w:r>
      <w:r w:rsidR="00D062E4" w:rsidRPr="00A7631D">
        <w:rPr>
          <w:szCs w:val="26"/>
        </w:rPr>
        <w:t>hearing news about the Atlanta crimes</w:t>
      </w:r>
      <w:r w:rsidR="00DA38B1" w:rsidRPr="00A7631D">
        <w:rPr>
          <w:szCs w:val="26"/>
        </w:rPr>
        <w:t xml:space="preserve">; Juror No. 10 purportedly said his </w:t>
      </w:r>
      <w:r w:rsidR="006269DE" w:rsidRPr="00A7631D">
        <w:rPr>
          <w:szCs w:val="26"/>
        </w:rPr>
        <w:t>country of origin taught that “[</w:t>
      </w:r>
      <w:proofErr w:type="spellStart"/>
      <w:r w:rsidR="006269DE" w:rsidRPr="00A7631D">
        <w:rPr>
          <w:szCs w:val="26"/>
        </w:rPr>
        <w:t>i</w:t>
      </w:r>
      <w:proofErr w:type="spellEnd"/>
      <w:r w:rsidR="006269DE" w:rsidRPr="00A7631D">
        <w:rPr>
          <w:szCs w:val="26"/>
        </w:rPr>
        <w:t xml:space="preserve">]f you </w:t>
      </w:r>
      <w:r w:rsidR="006269DE" w:rsidRPr="00A7631D">
        <w:rPr>
          <w:szCs w:val="26"/>
        </w:rPr>
        <w:lastRenderedPageBreak/>
        <w:t>kill someone, t</w:t>
      </w:r>
      <w:r w:rsidR="00924B05" w:rsidRPr="00A7631D">
        <w:rPr>
          <w:szCs w:val="26"/>
        </w:rPr>
        <w:t>he</w:t>
      </w:r>
      <w:r w:rsidR="006269DE" w:rsidRPr="00A7631D">
        <w:rPr>
          <w:szCs w:val="26"/>
        </w:rPr>
        <w:t xml:space="preserve">n you are killed”; </w:t>
      </w:r>
      <w:r w:rsidR="00800F71" w:rsidRPr="00A7631D">
        <w:rPr>
          <w:szCs w:val="26"/>
        </w:rPr>
        <w:t>Juror No</w:t>
      </w:r>
      <w:r w:rsidR="000B3D7C" w:rsidRPr="00A7631D">
        <w:rPr>
          <w:szCs w:val="26"/>
        </w:rPr>
        <w:t>s</w:t>
      </w:r>
      <w:r w:rsidR="00800F71" w:rsidRPr="00A7631D">
        <w:rPr>
          <w:szCs w:val="26"/>
        </w:rPr>
        <w:t xml:space="preserve">. </w:t>
      </w:r>
      <w:r w:rsidR="000B3D7C" w:rsidRPr="00A7631D">
        <w:rPr>
          <w:szCs w:val="26"/>
        </w:rPr>
        <w:t xml:space="preserve">10 and/or </w:t>
      </w:r>
      <w:r w:rsidR="00800F71" w:rsidRPr="00A7631D">
        <w:rPr>
          <w:szCs w:val="26"/>
        </w:rPr>
        <w:t xml:space="preserve">11 </w:t>
      </w:r>
      <w:r w:rsidR="000B3D7C" w:rsidRPr="00A7631D">
        <w:rPr>
          <w:szCs w:val="26"/>
        </w:rPr>
        <w:t>purportedly asked the jurors why</w:t>
      </w:r>
      <w:r w:rsidR="009E5DF9" w:rsidRPr="00A7631D">
        <w:rPr>
          <w:szCs w:val="26"/>
        </w:rPr>
        <w:t xml:space="preserve"> </w:t>
      </w:r>
      <w:r w:rsidR="000B3D7C" w:rsidRPr="00A7631D">
        <w:rPr>
          <w:szCs w:val="26"/>
        </w:rPr>
        <w:t xml:space="preserve">Pops and </w:t>
      </w:r>
      <w:r w:rsidR="009E5DF9" w:rsidRPr="00A7631D">
        <w:rPr>
          <w:szCs w:val="26"/>
        </w:rPr>
        <w:t>Wilson should</w:t>
      </w:r>
      <w:r w:rsidR="000B3D7C" w:rsidRPr="00A7631D">
        <w:rPr>
          <w:szCs w:val="26"/>
        </w:rPr>
        <w:t xml:space="preserve"> s</w:t>
      </w:r>
      <w:r w:rsidR="009E5DF9" w:rsidRPr="00A7631D">
        <w:rPr>
          <w:szCs w:val="26"/>
        </w:rPr>
        <w:t>it in prison while they</w:t>
      </w:r>
      <w:r w:rsidR="00AF2806" w:rsidRPr="00A7631D">
        <w:rPr>
          <w:szCs w:val="26"/>
        </w:rPr>
        <w:t xml:space="preserve"> — the citizens —</w:t>
      </w:r>
      <w:r w:rsidR="009E5DF9" w:rsidRPr="00A7631D">
        <w:rPr>
          <w:szCs w:val="26"/>
        </w:rPr>
        <w:t xml:space="preserve"> paid for it; a</w:t>
      </w:r>
      <w:r w:rsidR="006269DE" w:rsidRPr="00A7631D">
        <w:rPr>
          <w:szCs w:val="26"/>
        </w:rPr>
        <w:t>nd</w:t>
      </w:r>
      <w:r w:rsidR="009E5DF9" w:rsidRPr="00A7631D">
        <w:rPr>
          <w:szCs w:val="26"/>
        </w:rPr>
        <w:t>,</w:t>
      </w:r>
      <w:r w:rsidR="006269DE" w:rsidRPr="00A7631D">
        <w:rPr>
          <w:szCs w:val="26"/>
        </w:rPr>
        <w:t xml:space="preserve"> Juror No. 12</w:t>
      </w:r>
      <w:r w:rsidR="00B81DBF" w:rsidRPr="00A7631D">
        <w:rPr>
          <w:szCs w:val="26"/>
        </w:rPr>
        <w:t xml:space="preserve"> said he was “comfortable” with </w:t>
      </w:r>
      <w:r w:rsidR="004C380C" w:rsidRPr="00A7631D">
        <w:rPr>
          <w:szCs w:val="26"/>
        </w:rPr>
        <w:t xml:space="preserve">voting for life or for death.  Jones reported that Juror No. 1 initially agreed to sign a declaration </w:t>
      </w:r>
      <w:r w:rsidR="002040CD" w:rsidRPr="00A7631D">
        <w:rPr>
          <w:szCs w:val="26"/>
        </w:rPr>
        <w:t>attesting to these impressions, but after relations between Jones and Juror No. 1 soured, Juror No. 1 ultimately indicated she</w:t>
      </w:r>
      <w:r w:rsidR="004822B5" w:rsidRPr="00A7631D">
        <w:rPr>
          <w:szCs w:val="26"/>
        </w:rPr>
        <w:t xml:space="preserve"> did not want to be contacted again, and she did not sign a declaration.  </w:t>
      </w:r>
      <w:r w:rsidR="001039E3" w:rsidRPr="00A7631D">
        <w:rPr>
          <w:szCs w:val="26"/>
        </w:rPr>
        <w:t xml:space="preserve">Jones submitted a declaration attesting to her conversation with Juror No. 1 </w:t>
      </w:r>
      <w:r w:rsidR="004822B5" w:rsidRPr="00A7631D">
        <w:rPr>
          <w:szCs w:val="26"/>
        </w:rPr>
        <w:t xml:space="preserve">regarding </w:t>
      </w:r>
      <w:r w:rsidR="001039E3" w:rsidRPr="00A7631D">
        <w:rPr>
          <w:szCs w:val="26"/>
        </w:rPr>
        <w:t xml:space="preserve">the juror’s conversation with </w:t>
      </w:r>
      <w:r w:rsidR="004822B5" w:rsidRPr="00A7631D">
        <w:rPr>
          <w:szCs w:val="26"/>
        </w:rPr>
        <w:t xml:space="preserve">fellow jurors.  </w:t>
      </w:r>
      <w:r w:rsidR="005068DC" w:rsidRPr="00A7631D">
        <w:rPr>
          <w:szCs w:val="26"/>
        </w:rPr>
        <w:t xml:space="preserve">The trial court declined to </w:t>
      </w:r>
      <w:r w:rsidR="008F494D" w:rsidRPr="00A7631D">
        <w:rPr>
          <w:szCs w:val="26"/>
        </w:rPr>
        <w:t xml:space="preserve">obtain Juror No. 1’s testimony, </w:t>
      </w:r>
      <w:r w:rsidR="00B82869" w:rsidRPr="00A7631D">
        <w:rPr>
          <w:szCs w:val="26"/>
        </w:rPr>
        <w:t>because “this juror . . . is, obviously, very reluctant</w:t>
      </w:r>
      <w:r w:rsidR="0041657E" w:rsidRPr="00A7631D">
        <w:rPr>
          <w:szCs w:val="26"/>
        </w:rPr>
        <w:t>.</w:t>
      </w:r>
      <w:r w:rsidR="00B82869" w:rsidRPr="00A7631D">
        <w:rPr>
          <w:szCs w:val="26"/>
        </w:rPr>
        <w:t>”</w:t>
      </w:r>
      <w:r w:rsidR="0041657E" w:rsidRPr="00A7631D">
        <w:rPr>
          <w:szCs w:val="26"/>
        </w:rPr>
        <w:t xml:space="preserve">  The trial court also declined to </w:t>
      </w:r>
      <w:r w:rsidR="007149D1" w:rsidRPr="00A7631D">
        <w:rPr>
          <w:szCs w:val="26"/>
        </w:rPr>
        <w:t>call Juror</w:t>
      </w:r>
      <w:r w:rsidR="008F0772" w:rsidRPr="00A7631D">
        <w:rPr>
          <w:szCs w:val="26"/>
        </w:rPr>
        <w:t xml:space="preserve"> Nos. 10 or 11 </w:t>
      </w:r>
      <w:r w:rsidR="0041657E" w:rsidRPr="00A7631D">
        <w:rPr>
          <w:szCs w:val="26"/>
        </w:rPr>
        <w:t xml:space="preserve">to testify </w:t>
      </w:r>
      <w:r w:rsidR="008F0772" w:rsidRPr="00A7631D">
        <w:rPr>
          <w:szCs w:val="26"/>
        </w:rPr>
        <w:t>because there was no evidence their alleged statements “were anything other than transitory comments in passing, provoking no discussion by other jurors.”</w:t>
      </w:r>
      <w:r w:rsidR="00B82869" w:rsidRPr="00A7631D">
        <w:rPr>
          <w:szCs w:val="26"/>
        </w:rPr>
        <w:t xml:space="preserve">  </w:t>
      </w:r>
    </w:p>
    <w:p w14:paraId="592AD5BC" w14:textId="1AD41AB8" w:rsidR="003266C9" w:rsidRPr="00A7631D" w:rsidRDefault="00602B5C" w:rsidP="00D910CC">
      <w:pPr>
        <w:pStyle w:val="NormalIndent"/>
        <w:ind w:left="0" w:firstLine="720"/>
        <w:rPr>
          <w:szCs w:val="26"/>
        </w:rPr>
      </w:pPr>
      <w:proofErr w:type="spellStart"/>
      <w:r w:rsidRPr="00A7631D">
        <w:rPr>
          <w:szCs w:val="26"/>
        </w:rPr>
        <w:t>Pops</w:t>
      </w:r>
      <w:r w:rsidR="00850F16" w:rsidRPr="00A7631D">
        <w:rPr>
          <w:szCs w:val="26"/>
        </w:rPr>
        <w:t>’s</w:t>
      </w:r>
      <w:proofErr w:type="spellEnd"/>
      <w:r w:rsidR="00850F16" w:rsidRPr="00A7631D">
        <w:rPr>
          <w:szCs w:val="26"/>
        </w:rPr>
        <w:t xml:space="preserve"> </w:t>
      </w:r>
      <w:r w:rsidRPr="00A7631D">
        <w:rPr>
          <w:szCs w:val="26"/>
        </w:rPr>
        <w:t>motion for new trial, joined by Wilson, argu</w:t>
      </w:r>
      <w:r w:rsidR="00850F16" w:rsidRPr="00A7631D">
        <w:rPr>
          <w:szCs w:val="26"/>
        </w:rPr>
        <w:t>ed</w:t>
      </w:r>
      <w:r w:rsidRPr="00A7631D">
        <w:rPr>
          <w:szCs w:val="26"/>
        </w:rPr>
        <w:t xml:space="preserve"> that Juror No. 12</w:t>
      </w:r>
      <w:r w:rsidR="00DF4F1E" w:rsidRPr="00A7631D">
        <w:rPr>
          <w:szCs w:val="26"/>
        </w:rPr>
        <w:t xml:space="preserve"> committed misconduct by </w:t>
      </w:r>
      <w:r w:rsidR="0062049D" w:rsidRPr="00A7631D">
        <w:rPr>
          <w:szCs w:val="26"/>
        </w:rPr>
        <w:t>siding with the majority</w:t>
      </w:r>
      <w:r w:rsidR="00686B09" w:rsidRPr="00A7631D">
        <w:rPr>
          <w:szCs w:val="26"/>
        </w:rPr>
        <w:t xml:space="preserve"> instead of weighing the evidence</w:t>
      </w:r>
      <w:r w:rsidR="0062049D" w:rsidRPr="00A7631D">
        <w:rPr>
          <w:szCs w:val="26"/>
        </w:rPr>
        <w:t xml:space="preserve">.  In the alternative, they argued Juror No. 12 relied on </w:t>
      </w:r>
      <w:r w:rsidR="00FB337C" w:rsidRPr="00A7631D">
        <w:rPr>
          <w:szCs w:val="26"/>
        </w:rPr>
        <w:t xml:space="preserve">evidence outside of the case, namely </w:t>
      </w:r>
      <w:r w:rsidR="0062049D" w:rsidRPr="00A7631D">
        <w:rPr>
          <w:szCs w:val="26"/>
        </w:rPr>
        <w:t xml:space="preserve">Juror No. 6’s </w:t>
      </w:r>
      <w:r w:rsidR="00FB337C" w:rsidRPr="00A7631D">
        <w:rPr>
          <w:szCs w:val="26"/>
        </w:rPr>
        <w:t>statements</w:t>
      </w:r>
      <w:r w:rsidR="0062049D" w:rsidRPr="00A7631D">
        <w:rPr>
          <w:szCs w:val="26"/>
        </w:rPr>
        <w:t xml:space="preserve"> concerning the Atlanta crim</w:t>
      </w:r>
      <w:r w:rsidR="00FB337C" w:rsidRPr="00A7631D">
        <w:rPr>
          <w:szCs w:val="26"/>
        </w:rPr>
        <w:t xml:space="preserve">e — </w:t>
      </w:r>
      <w:r w:rsidR="002D701E" w:rsidRPr="00A7631D">
        <w:rPr>
          <w:szCs w:val="26"/>
        </w:rPr>
        <w:t xml:space="preserve">which constituted misconduct because it violated his oath as a juror.  </w:t>
      </w:r>
      <w:r w:rsidR="001523CA" w:rsidRPr="00A7631D">
        <w:rPr>
          <w:szCs w:val="26"/>
        </w:rPr>
        <w:t xml:space="preserve">They argued Juror No. 6 </w:t>
      </w:r>
      <w:r w:rsidR="003637BB" w:rsidRPr="00A7631D">
        <w:rPr>
          <w:szCs w:val="26"/>
        </w:rPr>
        <w:t xml:space="preserve">likewise </w:t>
      </w:r>
      <w:r w:rsidR="001523CA" w:rsidRPr="00A7631D">
        <w:rPr>
          <w:szCs w:val="26"/>
        </w:rPr>
        <w:t xml:space="preserve">committed misconduct by relying on information about the Atlanta crime to reach a verdict.  </w:t>
      </w:r>
      <w:r w:rsidR="00C6250E" w:rsidRPr="00A7631D">
        <w:rPr>
          <w:szCs w:val="26"/>
        </w:rPr>
        <w:t xml:space="preserve">Defense counsel objected to the court’s refusal to allow them to question the jurors, claiming the court’s questioning </w:t>
      </w:r>
      <w:r w:rsidR="00EB0449" w:rsidRPr="00A7631D">
        <w:rPr>
          <w:szCs w:val="26"/>
        </w:rPr>
        <w:t>was leading and permitted the jurors to deny misconduct.</w:t>
      </w:r>
      <w:r w:rsidR="00DA493D" w:rsidRPr="00A7631D">
        <w:rPr>
          <w:szCs w:val="26"/>
        </w:rPr>
        <w:t xml:space="preserve">  </w:t>
      </w:r>
    </w:p>
    <w:p w14:paraId="1E37C1E9" w14:textId="0C5B1580" w:rsidR="005068DC" w:rsidRPr="00A7631D" w:rsidRDefault="00A275D9" w:rsidP="00D910CC">
      <w:pPr>
        <w:pStyle w:val="NormalIndent"/>
        <w:ind w:left="0" w:firstLine="720"/>
        <w:rPr>
          <w:szCs w:val="26"/>
        </w:rPr>
      </w:pPr>
      <w:r w:rsidRPr="00A7631D">
        <w:rPr>
          <w:szCs w:val="26"/>
        </w:rPr>
        <w:t>The court conclude</w:t>
      </w:r>
      <w:r w:rsidR="00864247" w:rsidRPr="00A7631D">
        <w:rPr>
          <w:szCs w:val="26"/>
        </w:rPr>
        <w:t>d</w:t>
      </w:r>
      <w:r w:rsidRPr="00A7631D">
        <w:rPr>
          <w:szCs w:val="26"/>
        </w:rPr>
        <w:t xml:space="preserve"> Juror No. 6 had not deliberated over the weekend before her vote changed, and noted jurors </w:t>
      </w:r>
      <w:r w:rsidR="006720E2" w:rsidRPr="00A7631D">
        <w:rPr>
          <w:szCs w:val="26"/>
        </w:rPr>
        <w:t>necessarily thought about the case du</w:t>
      </w:r>
      <w:r w:rsidR="00C67B3A" w:rsidRPr="00A7631D">
        <w:rPr>
          <w:szCs w:val="26"/>
        </w:rPr>
        <w:t xml:space="preserve">ring their non-deliberative </w:t>
      </w:r>
      <w:r w:rsidR="00AD1ECB" w:rsidRPr="00A7631D">
        <w:rPr>
          <w:szCs w:val="26"/>
        </w:rPr>
        <w:lastRenderedPageBreak/>
        <w:t>time</w:t>
      </w:r>
      <w:r w:rsidR="00864247" w:rsidRPr="00A7631D">
        <w:rPr>
          <w:szCs w:val="26"/>
        </w:rPr>
        <w:t xml:space="preserve">.  </w:t>
      </w:r>
      <w:r w:rsidR="003266C9" w:rsidRPr="00A7631D">
        <w:rPr>
          <w:szCs w:val="26"/>
        </w:rPr>
        <w:t xml:space="preserve">Wilson claims </w:t>
      </w:r>
      <w:r w:rsidR="00F24F24" w:rsidRPr="00A7631D">
        <w:rPr>
          <w:szCs w:val="26"/>
        </w:rPr>
        <w:t xml:space="preserve">— incorrectly — that </w:t>
      </w:r>
      <w:r w:rsidR="003266C9" w:rsidRPr="00A7631D">
        <w:rPr>
          <w:szCs w:val="26"/>
        </w:rPr>
        <w:t xml:space="preserve">the court did not expressly rule on </w:t>
      </w:r>
      <w:r w:rsidR="00C048E3" w:rsidRPr="00A7631D">
        <w:rPr>
          <w:szCs w:val="26"/>
        </w:rPr>
        <w:t xml:space="preserve">his </w:t>
      </w:r>
      <w:r w:rsidR="003266C9" w:rsidRPr="00A7631D">
        <w:rPr>
          <w:szCs w:val="26"/>
        </w:rPr>
        <w:t>motion for new trial, but</w:t>
      </w:r>
      <w:r w:rsidR="00A55BC5" w:rsidRPr="00A7631D">
        <w:rPr>
          <w:szCs w:val="26"/>
        </w:rPr>
        <w:t xml:space="preserve"> at a hearing on April 7, 2000 — during which Juror No. 9’s alleged misconduct was addressed — the court </w:t>
      </w:r>
      <w:r w:rsidR="0058219E" w:rsidRPr="00A7631D">
        <w:rPr>
          <w:szCs w:val="26"/>
        </w:rPr>
        <w:t>stated it was “prepared to deny all the motions</w:t>
      </w:r>
      <w:r w:rsidR="002D3D8C" w:rsidRPr="00A7631D">
        <w:rPr>
          <w:szCs w:val="26"/>
        </w:rPr>
        <w:t>.</w:t>
      </w:r>
      <w:r w:rsidR="00C048E3" w:rsidRPr="00A7631D">
        <w:rPr>
          <w:szCs w:val="26"/>
        </w:rPr>
        <w:t>”</w:t>
      </w:r>
      <w:r w:rsidR="002D3D8C" w:rsidRPr="00A7631D">
        <w:rPr>
          <w:szCs w:val="26"/>
        </w:rPr>
        <w:t xml:space="preserve"> </w:t>
      </w:r>
      <w:r w:rsidR="0058219E" w:rsidRPr="00A7631D">
        <w:rPr>
          <w:szCs w:val="26"/>
        </w:rPr>
        <w:t xml:space="preserve"> </w:t>
      </w:r>
      <w:r w:rsidR="009E6D85" w:rsidRPr="00A7631D">
        <w:rPr>
          <w:szCs w:val="26"/>
        </w:rPr>
        <w:t>On that same day, the trial</w:t>
      </w:r>
      <w:r w:rsidR="002D3D8C" w:rsidRPr="00A7631D">
        <w:rPr>
          <w:szCs w:val="26"/>
        </w:rPr>
        <w:t xml:space="preserve"> court</w:t>
      </w:r>
      <w:r w:rsidR="009E6D85" w:rsidRPr="00A7631D">
        <w:rPr>
          <w:szCs w:val="26"/>
        </w:rPr>
        <w:t xml:space="preserve"> denied the outstanding motions for new trial, including those related to Juror Nos. 6, 9, and 12.  </w:t>
      </w:r>
    </w:p>
    <w:p w14:paraId="26B1473D" w14:textId="2FA21646" w:rsidR="006A0EE9" w:rsidRPr="00A7631D" w:rsidRDefault="006A0EE9" w:rsidP="00D910CC">
      <w:pPr>
        <w:pStyle w:val="Heading3"/>
        <w:numPr>
          <w:ilvl w:val="0"/>
          <w:numId w:val="18"/>
        </w:numPr>
        <w:ind w:left="1584" w:hanging="432"/>
        <w:rPr>
          <w:szCs w:val="26"/>
        </w:rPr>
      </w:pPr>
      <w:bookmarkStart w:id="77" w:name="_Toc58846843"/>
      <w:bookmarkStart w:id="78" w:name="_Toc50617059"/>
      <w:r w:rsidRPr="00A7631D">
        <w:rPr>
          <w:szCs w:val="26"/>
        </w:rPr>
        <w:t>Discussion</w:t>
      </w:r>
      <w:bookmarkEnd w:id="77"/>
      <w:bookmarkEnd w:id="78"/>
    </w:p>
    <w:p w14:paraId="21025AD2" w14:textId="2B9E8F73" w:rsidR="002D3E78" w:rsidRPr="00A7631D" w:rsidRDefault="00CE2083" w:rsidP="00D910CC">
      <w:pPr>
        <w:ind w:firstLine="720"/>
        <w:rPr>
          <w:szCs w:val="26"/>
          <w:shd w:val="clear" w:color="auto" w:fill="FFFFFF"/>
        </w:rPr>
      </w:pPr>
      <w:r w:rsidRPr="00A7631D">
        <w:rPr>
          <w:szCs w:val="26"/>
        </w:rPr>
        <w:t xml:space="preserve">Wilson contends the trial court </w:t>
      </w:r>
      <w:r w:rsidR="00D43A87" w:rsidRPr="00A7631D">
        <w:rPr>
          <w:szCs w:val="26"/>
        </w:rPr>
        <w:t xml:space="preserve">failed to adequately investigate </w:t>
      </w:r>
      <w:r w:rsidR="00C635D7" w:rsidRPr="00A7631D">
        <w:rPr>
          <w:szCs w:val="26"/>
        </w:rPr>
        <w:t>his allegations of</w:t>
      </w:r>
      <w:r w:rsidR="00D43A87" w:rsidRPr="00A7631D">
        <w:rPr>
          <w:szCs w:val="26"/>
        </w:rPr>
        <w:t xml:space="preserve"> juror misconduct by not exercising its discretion to permit the parties to call and question jurors at the hearing</w:t>
      </w:r>
      <w:r w:rsidR="00C635D7" w:rsidRPr="00A7631D">
        <w:rPr>
          <w:szCs w:val="26"/>
        </w:rPr>
        <w:t>s o</w:t>
      </w:r>
      <w:r w:rsidR="00045C34" w:rsidRPr="00A7631D">
        <w:rPr>
          <w:szCs w:val="26"/>
        </w:rPr>
        <w:t>n</w:t>
      </w:r>
      <w:r w:rsidR="00C635D7" w:rsidRPr="00A7631D">
        <w:rPr>
          <w:szCs w:val="26"/>
        </w:rPr>
        <w:t xml:space="preserve"> his motions for new trial</w:t>
      </w:r>
      <w:r w:rsidR="007C4274" w:rsidRPr="00A7631D">
        <w:rPr>
          <w:szCs w:val="26"/>
        </w:rPr>
        <w:t>.</w:t>
      </w:r>
      <w:r w:rsidR="00915E9C" w:rsidRPr="00A7631D">
        <w:rPr>
          <w:szCs w:val="26"/>
        </w:rPr>
        <w:t xml:space="preserve"> </w:t>
      </w:r>
      <w:r w:rsidR="002D3E78" w:rsidRPr="00A7631D">
        <w:rPr>
          <w:szCs w:val="26"/>
        </w:rPr>
        <w:t xml:space="preserve"> </w:t>
      </w:r>
      <w:r w:rsidR="0078396B">
        <w:rPr>
          <w:szCs w:val="26"/>
        </w:rPr>
        <w:t>We</w:t>
      </w:r>
      <w:r w:rsidR="00CC7B33" w:rsidRPr="00A7631D">
        <w:rPr>
          <w:szCs w:val="26"/>
        </w:rPr>
        <w:t xml:space="preserve"> </w:t>
      </w:r>
      <w:r w:rsidR="0036351F" w:rsidRPr="00A7631D">
        <w:rPr>
          <w:szCs w:val="26"/>
        </w:rPr>
        <w:t xml:space="preserve">conclude this claim lacks merit.  </w:t>
      </w:r>
      <w:r w:rsidR="007B2773" w:rsidRPr="00A7631D">
        <w:rPr>
          <w:szCs w:val="26"/>
        </w:rPr>
        <w:t>A trial court</w:t>
      </w:r>
      <w:r w:rsidR="00591AC7" w:rsidRPr="00A7631D">
        <w:rPr>
          <w:szCs w:val="26"/>
        </w:rPr>
        <w:t xml:space="preserve"> has broad </w:t>
      </w:r>
      <w:r w:rsidR="007B2773" w:rsidRPr="00A7631D">
        <w:rPr>
          <w:szCs w:val="26"/>
        </w:rPr>
        <w:t xml:space="preserve">discretion to </w:t>
      </w:r>
      <w:r w:rsidR="001A317E" w:rsidRPr="00A7631D">
        <w:rPr>
          <w:szCs w:val="26"/>
        </w:rPr>
        <w:t>resolve</w:t>
      </w:r>
      <w:r w:rsidR="007B2773" w:rsidRPr="00A7631D">
        <w:rPr>
          <w:szCs w:val="26"/>
        </w:rPr>
        <w:t xml:space="preserve"> a motion</w:t>
      </w:r>
      <w:r w:rsidR="001A317E" w:rsidRPr="00A7631D">
        <w:rPr>
          <w:szCs w:val="26"/>
        </w:rPr>
        <w:t xml:space="preserve"> for new trial</w:t>
      </w:r>
      <w:r w:rsidR="00FD7626" w:rsidRPr="00A7631D">
        <w:rPr>
          <w:szCs w:val="26"/>
        </w:rPr>
        <w:t>.  (</w:t>
      </w:r>
      <w:r w:rsidR="00EF1386" w:rsidRPr="00A7631D">
        <w:rPr>
          <w:i/>
          <w:iCs/>
          <w:szCs w:val="26"/>
        </w:rPr>
        <w:t xml:space="preserve">People v. </w:t>
      </w:r>
      <w:proofErr w:type="spellStart"/>
      <w:r w:rsidR="00EF1386" w:rsidRPr="00A7631D">
        <w:rPr>
          <w:i/>
          <w:iCs/>
          <w:szCs w:val="26"/>
        </w:rPr>
        <w:t>Manibusan</w:t>
      </w:r>
      <w:proofErr w:type="spellEnd"/>
      <w:r w:rsidR="00EF1386" w:rsidRPr="00A7631D">
        <w:rPr>
          <w:szCs w:val="26"/>
        </w:rPr>
        <w:t xml:space="preserve"> (2013) 58 Cal.4th </w:t>
      </w:r>
      <w:r w:rsidR="00323FC1" w:rsidRPr="00A7631D">
        <w:rPr>
          <w:szCs w:val="26"/>
        </w:rPr>
        <w:t>40, 52 (</w:t>
      </w:r>
      <w:proofErr w:type="spellStart"/>
      <w:r w:rsidR="00323FC1" w:rsidRPr="00A7631D">
        <w:rPr>
          <w:i/>
          <w:iCs/>
          <w:szCs w:val="26"/>
        </w:rPr>
        <w:t>Manibusan</w:t>
      </w:r>
      <w:proofErr w:type="spellEnd"/>
      <w:r w:rsidR="00323FC1" w:rsidRPr="00A7631D">
        <w:rPr>
          <w:szCs w:val="26"/>
        </w:rPr>
        <w:t>)</w:t>
      </w:r>
      <w:r w:rsidR="00FD7626" w:rsidRPr="00A7631D">
        <w:rPr>
          <w:szCs w:val="26"/>
        </w:rPr>
        <w:t xml:space="preserve">.)  </w:t>
      </w:r>
      <w:r w:rsidR="00632F04" w:rsidRPr="00A7631D">
        <w:rPr>
          <w:szCs w:val="26"/>
        </w:rPr>
        <w:t>While “</w:t>
      </w:r>
      <w:r w:rsidR="00632F04" w:rsidRPr="00A7631D">
        <w:rPr>
          <w:szCs w:val="26"/>
          <w:shd w:val="clear" w:color="auto" w:fill="FFFFFF"/>
        </w:rPr>
        <w:t xml:space="preserve">a new trial may be warranted if a jury engages in misconduct that prevents impartial consideration of the case,” the trial court </w:t>
      </w:r>
      <w:r w:rsidR="00820A0F" w:rsidRPr="00A7631D">
        <w:rPr>
          <w:szCs w:val="26"/>
          <w:shd w:val="clear" w:color="auto" w:fill="FFFFFF"/>
        </w:rPr>
        <w:t>is obliged only “to ‘</w:t>
      </w:r>
      <w:r w:rsidR="00D17A52">
        <w:rPr>
          <w:szCs w:val="26"/>
          <w:shd w:val="clear" w:color="auto" w:fill="FFFFFF"/>
        </w:rPr>
        <w:t> </w:t>
      </w:r>
      <w:r w:rsidR="00820A0F" w:rsidRPr="00A7631D">
        <w:rPr>
          <w:szCs w:val="26"/>
          <w:shd w:val="clear" w:color="auto" w:fill="FFFFFF"/>
        </w:rPr>
        <w:t>“</w:t>
      </w:r>
      <w:r w:rsidR="00B47795">
        <w:rPr>
          <w:szCs w:val="26"/>
          <w:shd w:val="clear" w:color="auto" w:fill="FFFFFF"/>
        </w:rPr>
        <w:t> </w:t>
      </w:r>
      <w:r w:rsidR="00820A0F" w:rsidRPr="00A7631D">
        <w:rPr>
          <w:szCs w:val="26"/>
          <w:shd w:val="clear" w:color="auto" w:fill="FFFFFF"/>
        </w:rPr>
        <w:t>‘make whatever inquiry is reasonably necessary’</w:t>
      </w:r>
      <w:r w:rsidR="00D17A52">
        <w:rPr>
          <w:szCs w:val="26"/>
          <w:shd w:val="clear" w:color="auto" w:fill="FFFFFF"/>
        </w:rPr>
        <w:t> </w:t>
      </w:r>
      <w:r w:rsidR="00820A0F" w:rsidRPr="00A7631D">
        <w:rPr>
          <w:szCs w:val="26"/>
          <w:shd w:val="clear" w:color="auto" w:fill="FFFFFF"/>
        </w:rPr>
        <w:t>” to resolve the matter.</w:t>
      </w:r>
      <w:r w:rsidR="005659D3" w:rsidRPr="00A7631D">
        <w:rPr>
          <w:szCs w:val="26"/>
          <w:shd w:val="clear" w:color="auto" w:fill="FFFFFF"/>
        </w:rPr>
        <w:t>’</w:t>
      </w:r>
      <w:r w:rsidR="00D17A52">
        <w:rPr>
          <w:szCs w:val="26"/>
          <w:shd w:val="clear" w:color="auto" w:fill="FFFFFF"/>
        </w:rPr>
        <w:t> </w:t>
      </w:r>
      <w:r w:rsidR="00820A0F" w:rsidRPr="00A7631D">
        <w:rPr>
          <w:szCs w:val="26"/>
          <w:shd w:val="clear" w:color="auto" w:fill="FFFFFF"/>
        </w:rPr>
        <w:t>”</w:t>
      </w:r>
      <w:r w:rsidR="005659D3" w:rsidRPr="00A7631D">
        <w:rPr>
          <w:szCs w:val="26"/>
          <w:shd w:val="clear" w:color="auto" w:fill="FFFFFF"/>
        </w:rPr>
        <w:t xml:space="preserve">  (</w:t>
      </w:r>
      <w:r w:rsidR="005659D3" w:rsidRPr="00A7631D">
        <w:rPr>
          <w:i/>
          <w:iCs/>
          <w:szCs w:val="26"/>
          <w:shd w:val="clear" w:color="auto" w:fill="FFFFFF"/>
        </w:rPr>
        <w:t>People v. Mora and Rangel</w:t>
      </w:r>
      <w:r w:rsidR="005659D3" w:rsidRPr="00A7631D">
        <w:rPr>
          <w:szCs w:val="26"/>
          <w:shd w:val="clear" w:color="auto" w:fill="FFFFFF"/>
        </w:rPr>
        <w:t xml:space="preserve"> (2018) </w:t>
      </w:r>
      <w:r w:rsidR="001C2907" w:rsidRPr="00A7631D">
        <w:rPr>
          <w:szCs w:val="26"/>
          <w:shd w:val="clear" w:color="auto" w:fill="FFFFFF"/>
        </w:rPr>
        <w:t>5 Cal.5th 442, 517</w:t>
      </w:r>
      <w:r w:rsidR="00926D0A" w:rsidRPr="00A7631D">
        <w:rPr>
          <w:szCs w:val="26"/>
          <w:shd w:val="clear" w:color="auto" w:fill="FFFFFF"/>
        </w:rPr>
        <w:t xml:space="preserve"> (</w:t>
      </w:r>
      <w:r w:rsidR="00926D0A" w:rsidRPr="00A7631D">
        <w:rPr>
          <w:i/>
          <w:iCs/>
          <w:szCs w:val="26"/>
          <w:shd w:val="clear" w:color="auto" w:fill="FFFFFF"/>
        </w:rPr>
        <w:t>Mora and Rangel</w:t>
      </w:r>
      <w:r w:rsidR="00926D0A" w:rsidRPr="00A7631D">
        <w:rPr>
          <w:szCs w:val="26"/>
          <w:shd w:val="clear" w:color="auto" w:fill="FFFFFF"/>
        </w:rPr>
        <w:t>)</w:t>
      </w:r>
      <w:r w:rsidR="001C2907" w:rsidRPr="00A7631D">
        <w:rPr>
          <w:szCs w:val="26"/>
          <w:shd w:val="clear" w:color="auto" w:fill="FFFFFF"/>
        </w:rPr>
        <w:t xml:space="preserve">.)  When the allegations of misconduct are based on the hearsay assertions of counsel — as with Jones’s declaration pertaining to Juror No. 1’s alleged statements — </w:t>
      </w:r>
      <w:r w:rsidR="00651DF4" w:rsidRPr="00A7631D">
        <w:rPr>
          <w:szCs w:val="26"/>
          <w:shd w:val="clear" w:color="auto" w:fill="FFFFFF"/>
        </w:rPr>
        <w:t>we have held</w:t>
      </w:r>
      <w:r w:rsidR="00D06DB7" w:rsidRPr="00A7631D">
        <w:rPr>
          <w:szCs w:val="26"/>
          <w:shd w:val="clear" w:color="auto" w:fill="FFFFFF"/>
        </w:rPr>
        <w:t xml:space="preserve"> that evidence “</w:t>
      </w:r>
      <w:r w:rsidR="0041437E" w:rsidRPr="00A7631D">
        <w:rPr>
          <w:szCs w:val="26"/>
          <w:shd w:val="clear" w:color="auto" w:fill="FFFFFF"/>
        </w:rPr>
        <w:t> </w:t>
      </w:r>
      <w:r w:rsidR="00D06DB7" w:rsidRPr="00A7631D">
        <w:rPr>
          <w:szCs w:val="26"/>
          <w:shd w:val="clear" w:color="auto" w:fill="FFFFFF"/>
        </w:rPr>
        <w:t>‘</w:t>
      </w:r>
      <w:r w:rsidR="00651DF4" w:rsidRPr="00A7631D">
        <w:rPr>
          <w:szCs w:val="26"/>
          <w:shd w:val="clear" w:color="auto" w:fill="FFFFFF"/>
        </w:rPr>
        <w:t>insufficient to establish an abuse of discretion in either denying the motion or declining to conduct an evidentiary hearing.</w:t>
      </w:r>
      <w:r w:rsidR="00D06DB7" w:rsidRPr="00A7631D">
        <w:rPr>
          <w:szCs w:val="26"/>
          <w:shd w:val="clear" w:color="auto" w:fill="FFFFFF"/>
        </w:rPr>
        <w:t>’</w:t>
      </w:r>
      <w:r w:rsidR="00D17A52">
        <w:rPr>
          <w:szCs w:val="26"/>
          <w:shd w:val="clear" w:color="auto" w:fill="FFFFFF"/>
        </w:rPr>
        <w:t> </w:t>
      </w:r>
      <w:r w:rsidR="00651DF4" w:rsidRPr="00A7631D">
        <w:rPr>
          <w:szCs w:val="26"/>
          <w:shd w:val="clear" w:color="auto" w:fill="FFFFFF"/>
        </w:rPr>
        <w:t>”</w:t>
      </w:r>
      <w:r w:rsidR="00323FC1" w:rsidRPr="00A7631D">
        <w:rPr>
          <w:szCs w:val="26"/>
          <w:shd w:val="clear" w:color="auto" w:fill="FFFFFF"/>
        </w:rPr>
        <w:t xml:space="preserve"> </w:t>
      </w:r>
      <w:r w:rsidR="00D06DB7" w:rsidRPr="00A7631D">
        <w:rPr>
          <w:szCs w:val="26"/>
          <w:shd w:val="clear" w:color="auto" w:fill="FFFFFF"/>
        </w:rPr>
        <w:t xml:space="preserve"> (</w:t>
      </w:r>
      <w:r w:rsidR="00D06DB7" w:rsidRPr="00A7631D">
        <w:rPr>
          <w:i/>
          <w:iCs/>
          <w:szCs w:val="26"/>
          <w:shd w:val="clear" w:color="auto" w:fill="FFFFFF"/>
        </w:rPr>
        <w:t>Ibid</w:t>
      </w:r>
      <w:r w:rsidR="002749DF" w:rsidRPr="00A7631D">
        <w:rPr>
          <w:szCs w:val="26"/>
          <w:shd w:val="clear" w:color="auto" w:fill="FFFFFF"/>
        </w:rPr>
        <w:t xml:space="preserve">.)  </w:t>
      </w:r>
    </w:p>
    <w:p w14:paraId="570D3BE9" w14:textId="2CF9E683" w:rsidR="00E47A66" w:rsidRPr="00A7631D" w:rsidRDefault="00392A13" w:rsidP="00D910CC">
      <w:pPr>
        <w:ind w:firstLine="720"/>
        <w:rPr>
          <w:szCs w:val="26"/>
          <w:shd w:val="clear" w:color="auto" w:fill="FFFFFF"/>
        </w:rPr>
      </w:pPr>
      <w:r w:rsidRPr="00A7631D">
        <w:rPr>
          <w:szCs w:val="26"/>
          <w:shd w:val="clear" w:color="auto" w:fill="FFFFFF"/>
        </w:rPr>
        <w:t>The trial court fulfilled its obligation</w:t>
      </w:r>
      <w:r w:rsidR="00CD0CBD" w:rsidRPr="00A7631D">
        <w:rPr>
          <w:szCs w:val="26"/>
          <w:shd w:val="clear" w:color="auto" w:fill="FFFFFF"/>
        </w:rPr>
        <w:t xml:space="preserve"> in this case by</w:t>
      </w:r>
      <w:r w:rsidRPr="00A7631D">
        <w:rPr>
          <w:szCs w:val="26"/>
          <w:shd w:val="clear" w:color="auto" w:fill="FFFFFF"/>
        </w:rPr>
        <w:t xml:space="preserve"> </w:t>
      </w:r>
      <w:r w:rsidR="00520BEA" w:rsidRPr="00A7631D">
        <w:rPr>
          <w:szCs w:val="26"/>
          <w:shd w:val="clear" w:color="auto" w:fill="FFFFFF"/>
        </w:rPr>
        <w:t xml:space="preserve">conducting several hearings to determine whether misconduct occurred.  After hearing testimony from Juror Nos. 6, 7, and 12, the trial court </w:t>
      </w:r>
      <w:r w:rsidR="00384E3B" w:rsidRPr="00A7631D">
        <w:rPr>
          <w:szCs w:val="26"/>
          <w:shd w:val="clear" w:color="auto" w:fill="FFFFFF"/>
        </w:rPr>
        <w:t xml:space="preserve">found no misconduct.  It was under no obligation to obtain testimony from every juror, and </w:t>
      </w:r>
      <w:r w:rsidR="00B95E39" w:rsidRPr="00A7631D">
        <w:rPr>
          <w:szCs w:val="26"/>
          <w:shd w:val="clear" w:color="auto" w:fill="FFFFFF"/>
        </w:rPr>
        <w:t xml:space="preserve">no error resulted from </w:t>
      </w:r>
      <w:r w:rsidR="00B95E39" w:rsidRPr="00A7631D">
        <w:rPr>
          <w:szCs w:val="26"/>
          <w:shd w:val="clear" w:color="auto" w:fill="FFFFFF"/>
        </w:rPr>
        <w:lastRenderedPageBreak/>
        <w:t xml:space="preserve">its decision not to obtain testimony from Juror Nos. 1, 10, or 11.  </w:t>
      </w:r>
      <w:r w:rsidR="00BC258E" w:rsidRPr="00A7631D">
        <w:rPr>
          <w:szCs w:val="26"/>
          <w:shd w:val="clear" w:color="auto" w:fill="FFFFFF"/>
        </w:rPr>
        <w:t>As</w:t>
      </w:r>
      <w:r w:rsidR="00B95E39" w:rsidRPr="00A7631D">
        <w:rPr>
          <w:szCs w:val="26"/>
          <w:shd w:val="clear" w:color="auto" w:fill="FFFFFF"/>
        </w:rPr>
        <w:t xml:space="preserve"> to Juror No. 1, </w:t>
      </w:r>
      <w:r w:rsidR="00BC258E" w:rsidRPr="00A7631D">
        <w:rPr>
          <w:szCs w:val="26"/>
          <w:shd w:val="clear" w:color="auto" w:fill="FFFFFF"/>
        </w:rPr>
        <w:t xml:space="preserve">the only basis to conduct </w:t>
      </w:r>
      <w:r w:rsidR="004C6EE3" w:rsidRPr="00A7631D">
        <w:rPr>
          <w:szCs w:val="26"/>
          <w:shd w:val="clear" w:color="auto" w:fill="FFFFFF"/>
        </w:rPr>
        <w:t xml:space="preserve">a </w:t>
      </w:r>
      <w:r w:rsidR="00BC258E" w:rsidRPr="00A7631D">
        <w:rPr>
          <w:szCs w:val="26"/>
          <w:shd w:val="clear" w:color="auto" w:fill="FFFFFF"/>
        </w:rPr>
        <w:t>further inquiry was Jones’s statement regarding their phone conversation.  This evidence</w:t>
      </w:r>
      <w:r w:rsidR="001D6379" w:rsidRPr="00A7631D">
        <w:rPr>
          <w:szCs w:val="26"/>
          <w:shd w:val="clear" w:color="auto" w:fill="FFFFFF"/>
        </w:rPr>
        <w:t xml:space="preserve"> was hearsay; </w:t>
      </w:r>
      <w:r w:rsidR="00766BF0" w:rsidRPr="00A7631D">
        <w:rPr>
          <w:szCs w:val="26"/>
          <w:shd w:val="clear" w:color="auto" w:fill="FFFFFF"/>
        </w:rPr>
        <w:t xml:space="preserve">accordingly, no error followed from the trial court’s decision not to </w:t>
      </w:r>
      <w:r w:rsidR="001D6379" w:rsidRPr="00A7631D">
        <w:rPr>
          <w:szCs w:val="26"/>
          <w:shd w:val="clear" w:color="auto" w:fill="FFFFFF"/>
        </w:rPr>
        <w:t>hold an evidentiary hearing or by denying the new trial motion.  (</w:t>
      </w:r>
      <w:r w:rsidR="001D6379" w:rsidRPr="00A7631D">
        <w:rPr>
          <w:i/>
          <w:iCs/>
          <w:szCs w:val="26"/>
          <w:shd w:val="clear" w:color="auto" w:fill="FFFFFF"/>
        </w:rPr>
        <w:t>Mora and Rangel</w:t>
      </w:r>
      <w:r w:rsidR="001D6379" w:rsidRPr="00A7631D">
        <w:rPr>
          <w:szCs w:val="26"/>
          <w:shd w:val="clear" w:color="auto" w:fill="FFFFFF"/>
        </w:rPr>
        <w:t xml:space="preserve">, </w:t>
      </w:r>
      <w:r w:rsidR="001D6379" w:rsidRPr="00A7631D">
        <w:rPr>
          <w:i/>
          <w:iCs/>
          <w:szCs w:val="26"/>
          <w:shd w:val="clear" w:color="auto" w:fill="FFFFFF"/>
        </w:rPr>
        <w:t>supra</w:t>
      </w:r>
      <w:r w:rsidR="001D6379" w:rsidRPr="00A7631D">
        <w:rPr>
          <w:szCs w:val="26"/>
          <w:shd w:val="clear" w:color="auto" w:fill="FFFFFF"/>
        </w:rPr>
        <w:t xml:space="preserve">, 5 Cal.5th at p. 517.)  </w:t>
      </w:r>
      <w:r w:rsidR="00CC7B33" w:rsidRPr="00A7631D">
        <w:rPr>
          <w:szCs w:val="26"/>
          <w:shd w:val="clear" w:color="auto" w:fill="FFFFFF"/>
        </w:rPr>
        <w:t>We might</w:t>
      </w:r>
      <w:r w:rsidR="00FE5583" w:rsidRPr="00A7631D">
        <w:rPr>
          <w:szCs w:val="26"/>
          <w:shd w:val="clear" w:color="auto" w:fill="FFFFFF"/>
        </w:rPr>
        <w:t xml:space="preserve"> likewise conclude no abuse of discretion resulted from the trial court’s conclusion that Juror No. 6</w:t>
      </w:r>
      <w:r w:rsidR="00E47A66" w:rsidRPr="00A7631D">
        <w:rPr>
          <w:szCs w:val="26"/>
          <w:shd w:val="clear" w:color="auto" w:fill="FFFFFF"/>
        </w:rPr>
        <w:t xml:space="preserve"> did not commit misconduct (see </w:t>
      </w:r>
      <w:r w:rsidR="00E47A66" w:rsidRPr="00A7631D">
        <w:rPr>
          <w:i/>
          <w:iCs/>
          <w:szCs w:val="26"/>
          <w:shd w:val="clear" w:color="auto" w:fill="FFFFFF"/>
        </w:rPr>
        <w:t>i</w:t>
      </w:r>
      <w:r w:rsidR="00927C47" w:rsidRPr="00A7631D">
        <w:rPr>
          <w:i/>
          <w:iCs/>
          <w:szCs w:val="26"/>
          <w:shd w:val="clear" w:color="auto" w:fill="FFFFFF"/>
        </w:rPr>
        <w:t>bi</w:t>
      </w:r>
      <w:r w:rsidR="00E47A66" w:rsidRPr="00A7631D">
        <w:rPr>
          <w:i/>
          <w:iCs/>
          <w:szCs w:val="26"/>
          <w:shd w:val="clear" w:color="auto" w:fill="FFFFFF"/>
        </w:rPr>
        <w:t>d</w:t>
      </w:r>
      <w:r w:rsidR="00E47A66" w:rsidRPr="00A7631D">
        <w:rPr>
          <w:szCs w:val="26"/>
          <w:shd w:val="clear" w:color="auto" w:fill="FFFFFF"/>
        </w:rPr>
        <w:t>.), although that is not Wilson’s assertion.</w:t>
      </w:r>
    </w:p>
    <w:p w14:paraId="47C03AF9" w14:textId="3BA95656" w:rsidR="00B10071" w:rsidRPr="00A7631D" w:rsidRDefault="00E47A66" w:rsidP="00D910CC">
      <w:pPr>
        <w:ind w:firstLine="720"/>
        <w:rPr>
          <w:szCs w:val="26"/>
          <w:shd w:val="clear" w:color="auto" w:fill="FFFFFF"/>
        </w:rPr>
      </w:pPr>
      <w:r w:rsidRPr="00A7631D">
        <w:rPr>
          <w:szCs w:val="26"/>
          <w:shd w:val="clear" w:color="auto" w:fill="FFFFFF"/>
        </w:rPr>
        <w:t>Instead, Wilson claims the court</w:t>
      </w:r>
      <w:r w:rsidR="00340952" w:rsidRPr="00A7631D">
        <w:rPr>
          <w:szCs w:val="26"/>
          <w:shd w:val="clear" w:color="auto" w:fill="FFFFFF"/>
        </w:rPr>
        <w:t xml:space="preserve"> erred by not adequately investigating the alleged misconduct.  This assertion is both unfounded — the court conducted multiple evidentiary hearings — and unavailing; the</w:t>
      </w:r>
      <w:r w:rsidR="00EC1EBA" w:rsidRPr="00A7631D">
        <w:rPr>
          <w:szCs w:val="26"/>
          <w:shd w:val="clear" w:color="auto" w:fill="FFFFFF"/>
        </w:rPr>
        <w:t xml:space="preserve"> basis for the alleged misconduct </w:t>
      </w:r>
      <w:r w:rsidR="006B2BD2" w:rsidRPr="00A7631D">
        <w:rPr>
          <w:szCs w:val="26"/>
          <w:shd w:val="clear" w:color="auto" w:fill="FFFFFF"/>
        </w:rPr>
        <w:t xml:space="preserve">related to Juror No. 6 </w:t>
      </w:r>
      <w:r w:rsidR="00EC1EBA" w:rsidRPr="00A7631D">
        <w:rPr>
          <w:szCs w:val="26"/>
          <w:shd w:val="clear" w:color="auto" w:fill="FFFFFF"/>
        </w:rPr>
        <w:t xml:space="preserve">was </w:t>
      </w:r>
      <w:r w:rsidR="006B2BD2" w:rsidRPr="00A7631D">
        <w:rPr>
          <w:szCs w:val="26"/>
          <w:shd w:val="clear" w:color="auto" w:fill="FFFFFF"/>
        </w:rPr>
        <w:t>a hearsay statement made by defense counsel.  We have made clear that</w:t>
      </w:r>
      <w:r w:rsidR="002B3CD8" w:rsidRPr="00A7631D">
        <w:rPr>
          <w:szCs w:val="26"/>
        </w:rPr>
        <w:t xml:space="preserve"> </w:t>
      </w:r>
      <w:r w:rsidR="002C0A9E" w:rsidRPr="00A7631D">
        <w:rPr>
          <w:szCs w:val="26"/>
          <w:shd w:val="clear" w:color="auto" w:fill="FFFFFF"/>
        </w:rPr>
        <w:t>“[a]</w:t>
      </w:r>
      <w:r w:rsidR="002B3CD8" w:rsidRPr="00A7631D">
        <w:rPr>
          <w:szCs w:val="26"/>
          <w:shd w:val="clear" w:color="auto" w:fill="FFFFFF"/>
        </w:rPr>
        <w:t xml:space="preserve"> court must hold an evidentiary hearing on alleged jury misconduct only when the defendant shows </w:t>
      </w:r>
      <w:r w:rsidR="002C0A9E" w:rsidRPr="00A7631D">
        <w:rPr>
          <w:szCs w:val="26"/>
          <w:shd w:val="clear" w:color="auto" w:fill="FFFFFF"/>
        </w:rPr>
        <w:t>‘</w:t>
      </w:r>
      <w:r w:rsidR="002B3CD8" w:rsidRPr="00A7631D">
        <w:rPr>
          <w:szCs w:val="26"/>
          <w:shd w:val="clear" w:color="auto" w:fill="FFFFFF"/>
        </w:rPr>
        <w:t xml:space="preserve">a strong possibility that prejudicial misconduct has occurred. </w:t>
      </w:r>
      <w:r w:rsidR="002C0A9E" w:rsidRPr="00A7631D">
        <w:rPr>
          <w:szCs w:val="26"/>
          <w:shd w:val="clear" w:color="auto" w:fill="FFFFFF"/>
        </w:rPr>
        <w:t xml:space="preserve"> </w:t>
      </w:r>
      <w:r w:rsidR="002B3CD8" w:rsidRPr="00A7631D">
        <w:rPr>
          <w:szCs w:val="26"/>
          <w:shd w:val="clear" w:color="auto" w:fill="FFFFFF"/>
        </w:rPr>
        <w:t>Even upon such a showing, an evidentiary hearing will generally be unnecessary unless the parties</w:t>
      </w:r>
      <w:r w:rsidR="002C0A9E" w:rsidRPr="00A7631D">
        <w:rPr>
          <w:szCs w:val="26"/>
          <w:shd w:val="clear" w:color="auto" w:fill="FFFFFF"/>
        </w:rPr>
        <w:t>’</w:t>
      </w:r>
      <w:r w:rsidR="002B3CD8" w:rsidRPr="00A7631D">
        <w:rPr>
          <w:szCs w:val="26"/>
          <w:shd w:val="clear" w:color="auto" w:fill="FFFFFF"/>
        </w:rPr>
        <w:t xml:space="preserve"> evidence presents a material conflict that can only be resolved at such a hearing.</w:t>
      </w:r>
      <w:r w:rsidR="002C0A9E" w:rsidRPr="00A7631D">
        <w:rPr>
          <w:szCs w:val="26"/>
          <w:shd w:val="clear" w:color="auto" w:fill="FFFFFF"/>
        </w:rPr>
        <w:t>’</w:t>
      </w:r>
      <w:r w:rsidR="00D17A52">
        <w:rPr>
          <w:szCs w:val="26"/>
          <w:shd w:val="clear" w:color="auto" w:fill="FFFFFF"/>
        </w:rPr>
        <w:t> </w:t>
      </w:r>
      <w:r w:rsidR="002C0A9E" w:rsidRPr="00A7631D">
        <w:rPr>
          <w:szCs w:val="26"/>
          <w:shd w:val="clear" w:color="auto" w:fill="FFFFFF"/>
        </w:rPr>
        <w:t>”  (</w:t>
      </w:r>
      <w:proofErr w:type="spellStart"/>
      <w:r w:rsidR="002B3CD8" w:rsidRPr="00A7631D">
        <w:rPr>
          <w:i/>
          <w:iCs/>
          <w:szCs w:val="26"/>
          <w:shd w:val="clear" w:color="auto" w:fill="FFFFFF"/>
        </w:rPr>
        <w:t>Manibusan</w:t>
      </w:r>
      <w:proofErr w:type="spellEnd"/>
      <w:r w:rsidR="00323FC1" w:rsidRPr="00A7631D">
        <w:rPr>
          <w:szCs w:val="26"/>
          <w:shd w:val="clear" w:color="auto" w:fill="FFFFFF"/>
        </w:rPr>
        <w:t xml:space="preserve">, </w:t>
      </w:r>
      <w:r w:rsidR="00323FC1" w:rsidRPr="00A7631D">
        <w:rPr>
          <w:i/>
          <w:iCs/>
          <w:szCs w:val="26"/>
          <w:shd w:val="clear" w:color="auto" w:fill="FFFFFF"/>
        </w:rPr>
        <w:t>supra</w:t>
      </w:r>
      <w:r w:rsidR="00323FC1" w:rsidRPr="00A7631D">
        <w:rPr>
          <w:szCs w:val="26"/>
          <w:shd w:val="clear" w:color="auto" w:fill="FFFFFF"/>
        </w:rPr>
        <w:t xml:space="preserve">, </w:t>
      </w:r>
      <w:r w:rsidR="002B3CD8" w:rsidRPr="00A7631D">
        <w:rPr>
          <w:szCs w:val="26"/>
          <w:shd w:val="clear" w:color="auto" w:fill="FFFFFF"/>
        </w:rPr>
        <w:t xml:space="preserve">58 Cal.4th </w:t>
      </w:r>
      <w:r w:rsidR="00323FC1" w:rsidRPr="00A7631D">
        <w:rPr>
          <w:szCs w:val="26"/>
          <w:shd w:val="clear" w:color="auto" w:fill="FFFFFF"/>
        </w:rPr>
        <w:t>at p.</w:t>
      </w:r>
      <w:r w:rsidR="002C0A9E" w:rsidRPr="00A7631D">
        <w:rPr>
          <w:szCs w:val="26"/>
          <w:shd w:val="clear" w:color="auto" w:fill="FFFFFF"/>
        </w:rPr>
        <w:t xml:space="preserve"> 55.)</w:t>
      </w:r>
      <w:r w:rsidR="00FE3937" w:rsidRPr="00A7631D">
        <w:rPr>
          <w:szCs w:val="26"/>
          <w:shd w:val="clear" w:color="auto" w:fill="FFFFFF"/>
        </w:rPr>
        <w:t xml:space="preserve">  </w:t>
      </w:r>
      <w:r w:rsidR="00420E7F" w:rsidRPr="00A7631D">
        <w:rPr>
          <w:szCs w:val="26"/>
          <w:shd w:val="clear" w:color="auto" w:fill="FFFFFF"/>
        </w:rPr>
        <w:t xml:space="preserve">No such conflict </w:t>
      </w:r>
      <w:r w:rsidR="00B10071" w:rsidRPr="00A7631D">
        <w:rPr>
          <w:szCs w:val="26"/>
          <w:shd w:val="clear" w:color="auto" w:fill="FFFFFF"/>
        </w:rPr>
        <w:t>existed</w:t>
      </w:r>
      <w:r w:rsidR="00EF237F" w:rsidRPr="00A7631D">
        <w:rPr>
          <w:szCs w:val="26"/>
          <w:shd w:val="clear" w:color="auto" w:fill="FFFFFF"/>
        </w:rPr>
        <w:t xml:space="preserve"> here.  </w:t>
      </w:r>
      <w:r w:rsidR="00DC5A43" w:rsidRPr="00A7631D">
        <w:rPr>
          <w:szCs w:val="26"/>
          <w:shd w:val="clear" w:color="auto" w:fill="FFFFFF"/>
        </w:rPr>
        <w:t xml:space="preserve">To the extent Wilson presented evidence intimating </w:t>
      </w:r>
      <w:r w:rsidR="00EF237F" w:rsidRPr="00A7631D">
        <w:rPr>
          <w:szCs w:val="26"/>
          <w:shd w:val="clear" w:color="auto" w:fill="FFFFFF"/>
        </w:rPr>
        <w:t>jurors were influenced by matters outside the record</w:t>
      </w:r>
      <w:r w:rsidR="00DC5A43" w:rsidRPr="00A7631D">
        <w:rPr>
          <w:szCs w:val="26"/>
          <w:shd w:val="clear" w:color="auto" w:fill="FFFFFF"/>
        </w:rPr>
        <w:t>, the court’s evidentiary hearing resolved that concern</w:t>
      </w:r>
      <w:r w:rsidR="00D74F3D" w:rsidRPr="00A7631D">
        <w:rPr>
          <w:szCs w:val="26"/>
          <w:shd w:val="clear" w:color="auto" w:fill="FFFFFF"/>
        </w:rPr>
        <w:t xml:space="preserve">.  </w:t>
      </w:r>
      <w:r w:rsidR="00116B68" w:rsidRPr="00A7631D">
        <w:rPr>
          <w:szCs w:val="26"/>
        </w:rPr>
        <w:t>“</w:t>
      </w:r>
      <w:r w:rsidR="00116B68" w:rsidRPr="00A7631D">
        <w:rPr>
          <w:szCs w:val="26"/>
          <w:shd w:val="clear" w:color="auto" w:fill="FFFFFF"/>
        </w:rPr>
        <w:t>As we have explained, deliberating jurors ‘may be particularly reluctant to express themselves freely in the jury room if their mental processes are subject to immediate judicial scrutiny.</w:t>
      </w:r>
      <w:r w:rsidR="00D3778A" w:rsidRPr="00A7631D">
        <w:rPr>
          <w:szCs w:val="26"/>
          <w:shd w:val="clear" w:color="auto" w:fill="FFFFFF"/>
        </w:rPr>
        <w:t>’</w:t>
      </w:r>
      <w:r w:rsidR="00D17A52">
        <w:rPr>
          <w:szCs w:val="26"/>
          <w:shd w:val="clear" w:color="auto" w:fill="FFFFFF"/>
        </w:rPr>
        <w:t> </w:t>
      </w:r>
      <w:r w:rsidR="00D3778A" w:rsidRPr="00A7631D">
        <w:rPr>
          <w:szCs w:val="26"/>
          <w:shd w:val="clear" w:color="auto" w:fill="FFFFFF"/>
        </w:rPr>
        <w:t>”  (</w:t>
      </w:r>
      <w:r w:rsidR="00D3778A" w:rsidRPr="00A7631D">
        <w:rPr>
          <w:i/>
          <w:iCs/>
          <w:szCs w:val="26"/>
          <w:shd w:val="clear" w:color="auto" w:fill="FFFFFF"/>
        </w:rPr>
        <w:t>Id.</w:t>
      </w:r>
      <w:r w:rsidR="00D3778A" w:rsidRPr="00A7631D">
        <w:rPr>
          <w:szCs w:val="26"/>
          <w:shd w:val="clear" w:color="auto" w:fill="FFFFFF"/>
        </w:rPr>
        <w:t xml:space="preserve"> at p. 5</w:t>
      </w:r>
      <w:r w:rsidR="00E31391">
        <w:rPr>
          <w:szCs w:val="26"/>
          <w:shd w:val="clear" w:color="auto" w:fill="FFFFFF"/>
        </w:rPr>
        <w:t>3</w:t>
      </w:r>
      <w:r w:rsidR="00D3778A" w:rsidRPr="00A7631D">
        <w:rPr>
          <w:szCs w:val="26"/>
          <w:shd w:val="clear" w:color="auto" w:fill="FFFFFF"/>
        </w:rPr>
        <w:t xml:space="preserve">.)  Once </w:t>
      </w:r>
      <w:r w:rsidR="00A33397" w:rsidRPr="00A7631D">
        <w:rPr>
          <w:szCs w:val="26"/>
          <w:shd w:val="clear" w:color="auto" w:fill="FFFFFF"/>
        </w:rPr>
        <w:t>the trial “</w:t>
      </w:r>
      <w:r w:rsidR="00116B68" w:rsidRPr="00A7631D">
        <w:rPr>
          <w:szCs w:val="26"/>
          <w:shd w:val="clear" w:color="auto" w:fill="FFFFFF"/>
        </w:rPr>
        <w:t xml:space="preserve">court is satisfied that the juror in question </w:t>
      </w:r>
      <w:r w:rsidR="00A33397" w:rsidRPr="00A7631D">
        <w:rPr>
          <w:szCs w:val="26"/>
          <w:shd w:val="clear" w:color="auto" w:fill="FFFFFF"/>
        </w:rPr>
        <w:t>‘</w:t>
      </w:r>
      <w:r w:rsidR="00116B68" w:rsidRPr="00A7631D">
        <w:rPr>
          <w:szCs w:val="26"/>
          <w:shd w:val="clear" w:color="auto" w:fill="FFFFFF"/>
        </w:rPr>
        <w:t xml:space="preserve">is participating in deliberations and has not expressed an intention to disregard </w:t>
      </w:r>
      <w:r w:rsidR="00116B68" w:rsidRPr="00A7631D">
        <w:rPr>
          <w:szCs w:val="26"/>
          <w:shd w:val="clear" w:color="auto" w:fill="FFFFFF"/>
        </w:rPr>
        <w:lastRenderedPageBreak/>
        <w:t>the court</w:t>
      </w:r>
      <w:r w:rsidR="00A33397" w:rsidRPr="00A7631D">
        <w:rPr>
          <w:szCs w:val="26"/>
          <w:shd w:val="clear" w:color="auto" w:fill="FFFFFF"/>
        </w:rPr>
        <w:t>’</w:t>
      </w:r>
      <w:r w:rsidR="00116B68" w:rsidRPr="00A7631D">
        <w:rPr>
          <w:szCs w:val="26"/>
          <w:shd w:val="clear" w:color="auto" w:fill="FFFFFF"/>
        </w:rPr>
        <w:t>s instructions or otherwise committed misconduct,</w:t>
      </w:r>
      <w:r w:rsidR="00C922A8" w:rsidRPr="00A7631D">
        <w:rPr>
          <w:szCs w:val="26"/>
          <w:shd w:val="clear" w:color="auto" w:fill="FFFFFF"/>
        </w:rPr>
        <w:t>’ </w:t>
      </w:r>
      <w:r w:rsidR="00A33397" w:rsidRPr="00A7631D">
        <w:rPr>
          <w:szCs w:val="26"/>
          <w:shd w:val="clear" w:color="auto" w:fill="FFFFFF"/>
        </w:rPr>
        <w:t xml:space="preserve">” the </w:t>
      </w:r>
      <w:r w:rsidR="007423EA" w:rsidRPr="00A7631D">
        <w:rPr>
          <w:szCs w:val="26"/>
          <w:shd w:val="clear" w:color="auto" w:fill="FFFFFF"/>
        </w:rPr>
        <w:t>court is not obliged to conduct further inquiry.  (</w:t>
      </w:r>
      <w:r w:rsidR="007423EA" w:rsidRPr="00A7631D">
        <w:rPr>
          <w:i/>
          <w:iCs/>
          <w:szCs w:val="26"/>
          <w:shd w:val="clear" w:color="auto" w:fill="FFFFFF"/>
        </w:rPr>
        <w:t>Ibid</w:t>
      </w:r>
      <w:r w:rsidR="007423EA" w:rsidRPr="00A7631D">
        <w:rPr>
          <w:szCs w:val="26"/>
          <w:shd w:val="clear" w:color="auto" w:fill="FFFFFF"/>
        </w:rPr>
        <w:t xml:space="preserve">.)  </w:t>
      </w:r>
      <w:r w:rsidR="00306910" w:rsidRPr="00A7631D">
        <w:rPr>
          <w:szCs w:val="26"/>
          <w:shd w:val="clear" w:color="auto" w:fill="FFFFFF"/>
        </w:rPr>
        <w:t>After conducting multiple hearings, the</w:t>
      </w:r>
      <w:r w:rsidR="007423EA" w:rsidRPr="00A7631D">
        <w:rPr>
          <w:szCs w:val="26"/>
          <w:shd w:val="clear" w:color="auto" w:fill="FFFFFF"/>
        </w:rPr>
        <w:t xml:space="preserve"> trial court was satisfied that the deliberations were not tainted by misconduct, </w:t>
      </w:r>
      <w:r w:rsidR="00306910" w:rsidRPr="00A7631D">
        <w:rPr>
          <w:szCs w:val="26"/>
          <w:shd w:val="clear" w:color="auto" w:fill="FFFFFF"/>
        </w:rPr>
        <w:t>and its denial of</w:t>
      </w:r>
      <w:r w:rsidR="009872A0" w:rsidRPr="00A7631D">
        <w:rPr>
          <w:szCs w:val="26"/>
        </w:rPr>
        <w:t xml:space="preserve"> Wilson’s new trial motion did not constitute an abuse of discretion.</w:t>
      </w:r>
      <w:r w:rsidR="00306910" w:rsidRPr="00A7631D">
        <w:rPr>
          <w:szCs w:val="26"/>
        </w:rPr>
        <w:t xml:space="preserve">  (</w:t>
      </w:r>
      <w:r w:rsidR="00306910" w:rsidRPr="00A7631D">
        <w:rPr>
          <w:i/>
          <w:iCs/>
          <w:szCs w:val="26"/>
        </w:rPr>
        <w:t>Ibid</w:t>
      </w:r>
      <w:r w:rsidR="00306910" w:rsidRPr="00A7631D">
        <w:rPr>
          <w:szCs w:val="26"/>
        </w:rPr>
        <w:t>.)</w:t>
      </w:r>
    </w:p>
    <w:p w14:paraId="5BC83C34" w14:textId="25EA9CC1" w:rsidR="00042A4A" w:rsidRPr="00A7631D" w:rsidRDefault="009B0D6E" w:rsidP="00D910CC">
      <w:pPr>
        <w:ind w:firstLine="720"/>
        <w:rPr>
          <w:szCs w:val="26"/>
          <w:shd w:val="clear" w:color="auto" w:fill="FFFFFF"/>
        </w:rPr>
      </w:pPr>
      <w:r w:rsidRPr="00A7631D">
        <w:rPr>
          <w:szCs w:val="26"/>
          <w:shd w:val="clear" w:color="auto" w:fill="FFFFFF"/>
        </w:rPr>
        <w:t xml:space="preserve">In an effort to avoid this conclusion, Wilson’s argument is not that the denial of the new trial motion or failure to hold a hearing constituted an abuse of discretion, but rather that </w:t>
      </w:r>
      <w:r w:rsidR="007036BE" w:rsidRPr="00A7631D">
        <w:rPr>
          <w:szCs w:val="26"/>
          <w:shd w:val="clear" w:color="auto" w:fill="FFFFFF"/>
        </w:rPr>
        <w:t xml:space="preserve">the court erred by failing to </w:t>
      </w:r>
      <w:r w:rsidR="00065066" w:rsidRPr="00A7631D">
        <w:rPr>
          <w:szCs w:val="26"/>
          <w:shd w:val="clear" w:color="auto" w:fill="FFFFFF"/>
        </w:rPr>
        <w:t xml:space="preserve">permit </w:t>
      </w:r>
      <w:r w:rsidR="00120986" w:rsidRPr="00A7631D">
        <w:rPr>
          <w:szCs w:val="26"/>
          <w:shd w:val="clear" w:color="auto" w:fill="FFFFFF"/>
        </w:rPr>
        <w:t>him</w:t>
      </w:r>
      <w:r w:rsidR="00065066" w:rsidRPr="00A7631D">
        <w:rPr>
          <w:szCs w:val="26"/>
          <w:shd w:val="clear" w:color="auto" w:fill="FFFFFF"/>
        </w:rPr>
        <w:t xml:space="preserve"> to interview jurors</w:t>
      </w:r>
      <w:r w:rsidR="00CE3BAA" w:rsidRPr="00A7631D">
        <w:rPr>
          <w:szCs w:val="26"/>
          <w:shd w:val="clear" w:color="auto" w:fill="FFFFFF"/>
        </w:rPr>
        <w:t xml:space="preserve">.  Wilson </w:t>
      </w:r>
      <w:r w:rsidR="00D74A6A" w:rsidRPr="00A7631D">
        <w:rPr>
          <w:szCs w:val="26"/>
          <w:shd w:val="clear" w:color="auto" w:fill="FFFFFF"/>
        </w:rPr>
        <w:t>asserts</w:t>
      </w:r>
      <w:r w:rsidR="00733744">
        <w:rPr>
          <w:szCs w:val="26"/>
          <w:shd w:val="clear" w:color="auto" w:fill="FFFFFF"/>
        </w:rPr>
        <w:t xml:space="preserve"> that</w:t>
      </w:r>
      <w:r w:rsidR="00CE3BAA" w:rsidRPr="00A7631D">
        <w:rPr>
          <w:szCs w:val="26"/>
          <w:shd w:val="clear" w:color="auto" w:fill="FFFFFF"/>
        </w:rPr>
        <w:t xml:space="preserve"> “[t]he testimony of the jurors was a poor substitute for the </w:t>
      </w:r>
      <w:r w:rsidR="00D74A6A" w:rsidRPr="00A7631D">
        <w:rPr>
          <w:szCs w:val="26"/>
          <w:shd w:val="clear" w:color="auto" w:fill="FFFFFF"/>
        </w:rPr>
        <w:t>interviews</w:t>
      </w:r>
      <w:r w:rsidR="00CE3BAA" w:rsidRPr="00A7631D">
        <w:rPr>
          <w:szCs w:val="26"/>
          <w:shd w:val="clear" w:color="auto" w:fill="FFFFFF"/>
        </w:rPr>
        <w:t xml:space="preserve"> the attorneys were asking to do”</w:t>
      </w:r>
      <w:r w:rsidR="00D74A6A" w:rsidRPr="00A7631D">
        <w:rPr>
          <w:szCs w:val="26"/>
          <w:shd w:val="clear" w:color="auto" w:fill="FFFFFF"/>
        </w:rPr>
        <w:t xml:space="preserve"> because the court’s hearings did not “clear up the facts” to </w:t>
      </w:r>
      <w:r w:rsidR="00120986" w:rsidRPr="00A7631D">
        <w:rPr>
          <w:szCs w:val="26"/>
          <w:shd w:val="clear" w:color="auto" w:fill="FFFFFF"/>
        </w:rPr>
        <w:t>his</w:t>
      </w:r>
      <w:r w:rsidR="00D74A6A" w:rsidRPr="00A7631D">
        <w:rPr>
          <w:szCs w:val="26"/>
          <w:shd w:val="clear" w:color="auto" w:fill="FFFFFF"/>
        </w:rPr>
        <w:t xml:space="preserve"> satisfaction.  </w:t>
      </w:r>
      <w:r w:rsidR="00D74A6A" w:rsidRPr="00A7631D">
        <w:rPr>
          <w:szCs w:val="26"/>
        </w:rPr>
        <w:t>This argument lacks merit.  Trial court</w:t>
      </w:r>
      <w:r w:rsidR="00CE199B" w:rsidRPr="00A7631D">
        <w:rPr>
          <w:szCs w:val="26"/>
        </w:rPr>
        <w:t>s</w:t>
      </w:r>
      <w:r w:rsidR="00D74A6A" w:rsidRPr="00A7631D">
        <w:rPr>
          <w:szCs w:val="26"/>
        </w:rPr>
        <w:t xml:space="preserve"> are under no obligation to </w:t>
      </w:r>
      <w:r w:rsidR="00042A4A" w:rsidRPr="00A7631D">
        <w:rPr>
          <w:szCs w:val="26"/>
        </w:rPr>
        <w:t xml:space="preserve">conduct evidentiary hearings at all when the allegations of misconduct are based on hearsay, as was the case here, and are certainly not required to </w:t>
      </w:r>
      <w:r w:rsidR="00D74A6A" w:rsidRPr="00A7631D">
        <w:rPr>
          <w:szCs w:val="26"/>
        </w:rPr>
        <w:t>permit the parties — rather than the court — to examine</w:t>
      </w:r>
      <w:r w:rsidR="00CE199B" w:rsidRPr="00A7631D">
        <w:rPr>
          <w:szCs w:val="26"/>
        </w:rPr>
        <w:t xml:space="preserve"> witnesses.  </w:t>
      </w:r>
      <w:r w:rsidR="00042A4A" w:rsidRPr="00A7631D">
        <w:rPr>
          <w:szCs w:val="26"/>
        </w:rPr>
        <w:t>(</w:t>
      </w:r>
      <w:r w:rsidR="00042A4A" w:rsidRPr="00A7631D">
        <w:rPr>
          <w:i/>
          <w:iCs/>
          <w:szCs w:val="26"/>
          <w:shd w:val="clear" w:color="auto" w:fill="FFFFFF"/>
        </w:rPr>
        <w:t>Mora and Rangel</w:t>
      </w:r>
      <w:r w:rsidR="00042A4A" w:rsidRPr="00A7631D">
        <w:rPr>
          <w:szCs w:val="26"/>
          <w:shd w:val="clear" w:color="auto" w:fill="FFFFFF"/>
        </w:rPr>
        <w:t xml:space="preserve">, </w:t>
      </w:r>
      <w:r w:rsidR="00042A4A" w:rsidRPr="00A7631D">
        <w:rPr>
          <w:i/>
          <w:iCs/>
          <w:szCs w:val="26"/>
          <w:shd w:val="clear" w:color="auto" w:fill="FFFFFF"/>
        </w:rPr>
        <w:t>supra</w:t>
      </w:r>
      <w:r w:rsidR="00042A4A" w:rsidRPr="00A7631D">
        <w:rPr>
          <w:szCs w:val="26"/>
          <w:shd w:val="clear" w:color="auto" w:fill="FFFFFF"/>
        </w:rPr>
        <w:t xml:space="preserve">, 5 Cal.5th at p. 517.)  </w:t>
      </w:r>
    </w:p>
    <w:p w14:paraId="54D5CF20" w14:textId="45D8A5F2" w:rsidR="00351382" w:rsidRPr="00A7631D" w:rsidRDefault="00CE199B" w:rsidP="00D910CC">
      <w:pPr>
        <w:ind w:firstLine="720"/>
        <w:rPr>
          <w:szCs w:val="26"/>
          <w:shd w:val="clear" w:color="auto" w:fill="FFFFFF"/>
        </w:rPr>
      </w:pPr>
      <w:r w:rsidRPr="00A7631D">
        <w:rPr>
          <w:szCs w:val="26"/>
        </w:rPr>
        <w:t xml:space="preserve">To the extent Wilson is claiming error arose from the court’s refusal to grant </w:t>
      </w:r>
      <w:r w:rsidR="00120986" w:rsidRPr="00A7631D">
        <w:rPr>
          <w:szCs w:val="26"/>
        </w:rPr>
        <w:t>him</w:t>
      </w:r>
      <w:r w:rsidRPr="00A7631D">
        <w:rPr>
          <w:szCs w:val="26"/>
        </w:rPr>
        <w:t xml:space="preserve"> access to jurors outside of the courtroom</w:t>
      </w:r>
      <w:r w:rsidR="00D53C18" w:rsidRPr="00A7631D">
        <w:rPr>
          <w:szCs w:val="26"/>
        </w:rPr>
        <w:t xml:space="preserve">, the argument is even less </w:t>
      </w:r>
      <w:r w:rsidR="0039618F" w:rsidRPr="00A7631D">
        <w:rPr>
          <w:szCs w:val="26"/>
        </w:rPr>
        <w:t>persuasive</w:t>
      </w:r>
      <w:r w:rsidR="00D53C18" w:rsidRPr="00A7631D">
        <w:rPr>
          <w:szCs w:val="26"/>
        </w:rPr>
        <w:t>; such int</w:t>
      </w:r>
      <w:r w:rsidR="00E17529" w:rsidRPr="00A7631D">
        <w:rPr>
          <w:szCs w:val="26"/>
        </w:rPr>
        <w:t>erviews would have, at best, resulted in unsworn hearsay statements</w:t>
      </w:r>
      <w:r w:rsidR="00D53C18" w:rsidRPr="00A7631D">
        <w:rPr>
          <w:szCs w:val="26"/>
        </w:rPr>
        <w:t xml:space="preserve"> </w:t>
      </w:r>
      <w:r w:rsidR="00DE74DB" w:rsidRPr="00A7631D">
        <w:rPr>
          <w:szCs w:val="26"/>
        </w:rPr>
        <w:t xml:space="preserve">alleging misconduct occurred.  Even if those statements had been obtained, the court would have committed no error in declining to do the very act that occurred here — conduct an evidentiary hearing.  (See </w:t>
      </w:r>
      <w:r w:rsidR="00DE74DB" w:rsidRPr="00A7631D">
        <w:rPr>
          <w:i/>
          <w:iCs/>
          <w:szCs w:val="26"/>
          <w:shd w:val="clear" w:color="auto" w:fill="FFFFFF"/>
        </w:rPr>
        <w:t>Mora and Rangel</w:t>
      </w:r>
      <w:r w:rsidR="00DE74DB" w:rsidRPr="00A7631D">
        <w:rPr>
          <w:szCs w:val="26"/>
          <w:shd w:val="clear" w:color="auto" w:fill="FFFFFF"/>
        </w:rPr>
        <w:t xml:space="preserve">, </w:t>
      </w:r>
      <w:r w:rsidR="00DE74DB" w:rsidRPr="00A7631D">
        <w:rPr>
          <w:i/>
          <w:iCs/>
          <w:szCs w:val="26"/>
          <w:shd w:val="clear" w:color="auto" w:fill="FFFFFF"/>
        </w:rPr>
        <w:t>supra</w:t>
      </w:r>
      <w:r w:rsidR="00DE74DB" w:rsidRPr="00A7631D">
        <w:rPr>
          <w:szCs w:val="26"/>
          <w:shd w:val="clear" w:color="auto" w:fill="FFFFFF"/>
        </w:rPr>
        <w:t xml:space="preserve">, 5 Cal.5th at p. 517.)  </w:t>
      </w:r>
      <w:r w:rsidR="009554CF" w:rsidRPr="00A7631D">
        <w:rPr>
          <w:szCs w:val="26"/>
        </w:rPr>
        <w:t xml:space="preserve">The court did conduct a hearing, and determined no misconduct occurred.  </w:t>
      </w:r>
      <w:r w:rsidR="00D47555" w:rsidRPr="00A7631D">
        <w:rPr>
          <w:szCs w:val="26"/>
        </w:rPr>
        <w:t>This decision was “</w:t>
      </w:r>
      <w:r w:rsidR="00B47795">
        <w:rPr>
          <w:szCs w:val="26"/>
        </w:rPr>
        <w:t> </w:t>
      </w:r>
      <w:r w:rsidR="00D64D9C" w:rsidRPr="00A7631D">
        <w:rPr>
          <w:szCs w:val="26"/>
        </w:rPr>
        <w:t>‘</w:t>
      </w:r>
      <w:r w:rsidR="00D47555" w:rsidRPr="00A7631D">
        <w:rPr>
          <w:szCs w:val="26"/>
          <w:shd w:val="clear" w:color="auto" w:fill="FFFFFF"/>
        </w:rPr>
        <w:t>within the sound discretion of the trial court,</w:t>
      </w:r>
      <w:r w:rsidR="00D64D9C" w:rsidRPr="00A7631D">
        <w:rPr>
          <w:szCs w:val="26"/>
          <w:shd w:val="clear" w:color="auto" w:fill="FFFFFF"/>
        </w:rPr>
        <w:t>’</w:t>
      </w:r>
      <w:r w:rsidR="00D17A52">
        <w:rPr>
          <w:szCs w:val="26"/>
          <w:shd w:val="clear" w:color="auto" w:fill="FFFFFF"/>
        </w:rPr>
        <w:t> </w:t>
      </w:r>
      <w:r w:rsidR="00D47555" w:rsidRPr="00A7631D">
        <w:rPr>
          <w:szCs w:val="26"/>
          <w:shd w:val="clear" w:color="auto" w:fill="FFFFFF"/>
        </w:rPr>
        <w:t xml:space="preserve">” and </w:t>
      </w:r>
      <w:r w:rsidR="00950461" w:rsidRPr="00A7631D">
        <w:rPr>
          <w:szCs w:val="26"/>
          <w:shd w:val="clear" w:color="auto" w:fill="FFFFFF"/>
        </w:rPr>
        <w:t xml:space="preserve">the trial </w:t>
      </w:r>
      <w:r w:rsidR="00E953EA">
        <w:rPr>
          <w:szCs w:val="26"/>
          <w:shd w:val="clear" w:color="auto" w:fill="FFFFFF"/>
        </w:rPr>
        <w:t>“</w:t>
      </w:r>
      <w:r w:rsidR="00B47795">
        <w:rPr>
          <w:szCs w:val="26"/>
          <w:shd w:val="clear" w:color="auto" w:fill="FFFFFF"/>
        </w:rPr>
        <w:t> </w:t>
      </w:r>
      <w:r w:rsidR="00E953EA">
        <w:rPr>
          <w:szCs w:val="26"/>
          <w:shd w:val="clear" w:color="auto" w:fill="FFFFFF"/>
        </w:rPr>
        <w:t>‘</w:t>
      </w:r>
      <w:r w:rsidR="00950461" w:rsidRPr="00A7631D">
        <w:rPr>
          <w:szCs w:val="26"/>
          <w:shd w:val="clear" w:color="auto" w:fill="FFFFFF"/>
        </w:rPr>
        <w:t>court d</w:t>
      </w:r>
      <w:r w:rsidR="00E953EA">
        <w:rPr>
          <w:szCs w:val="26"/>
          <w:shd w:val="clear" w:color="auto" w:fill="FFFFFF"/>
        </w:rPr>
        <w:t>[</w:t>
      </w:r>
      <w:r w:rsidR="00950461" w:rsidRPr="00A7631D">
        <w:rPr>
          <w:szCs w:val="26"/>
          <w:shd w:val="clear" w:color="auto" w:fill="FFFFFF"/>
        </w:rPr>
        <w:t>id</w:t>
      </w:r>
      <w:r w:rsidR="00E953EA">
        <w:rPr>
          <w:szCs w:val="26"/>
          <w:shd w:val="clear" w:color="auto" w:fill="FFFFFF"/>
        </w:rPr>
        <w:t>]</w:t>
      </w:r>
      <w:r w:rsidR="00950461" w:rsidRPr="00A7631D">
        <w:rPr>
          <w:szCs w:val="26"/>
          <w:shd w:val="clear" w:color="auto" w:fill="FFFFFF"/>
        </w:rPr>
        <w:t xml:space="preserve"> not</w:t>
      </w:r>
      <w:r w:rsidR="006C2673" w:rsidRPr="00A7631D">
        <w:rPr>
          <w:szCs w:val="26"/>
          <w:shd w:val="clear" w:color="auto" w:fill="FFFFFF"/>
        </w:rPr>
        <w:t xml:space="preserve"> abuse</w:t>
      </w:r>
      <w:r w:rsidR="00D64D9C" w:rsidRPr="00A7631D">
        <w:rPr>
          <w:szCs w:val="26"/>
          <w:shd w:val="clear" w:color="auto" w:fill="FFFFFF"/>
        </w:rPr>
        <w:t xml:space="preserve"> </w:t>
      </w:r>
      <w:r w:rsidR="00950461" w:rsidRPr="00A7631D">
        <w:rPr>
          <w:szCs w:val="26"/>
          <w:shd w:val="clear" w:color="auto" w:fill="FFFFFF"/>
        </w:rPr>
        <w:t>its</w:t>
      </w:r>
      <w:r w:rsidR="00D64D9C" w:rsidRPr="00A7631D">
        <w:rPr>
          <w:szCs w:val="26"/>
          <w:shd w:val="clear" w:color="auto" w:fill="FFFFFF"/>
        </w:rPr>
        <w:t xml:space="preserve"> discretion </w:t>
      </w:r>
      <w:r w:rsidR="00B47795">
        <w:rPr>
          <w:szCs w:val="26"/>
          <w:shd w:val="clear" w:color="auto" w:fill="FFFFFF"/>
        </w:rPr>
        <w:t> </w:t>
      </w:r>
      <w:r w:rsidR="00D47555" w:rsidRPr="00A7631D">
        <w:rPr>
          <w:szCs w:val="26"/>
          <w:shd w:val="clear" w:color="auto" w:fill="FFFFFF"/>
        </w:rPr>
        <w:t xml:space="preserve">simply because it </w:t>
      </w:r>
      <w:proofErr w:type="gramStart"/>
      <w:r w:rsidR="00D47555" w:rsidRPr="00A7631D">
        <w:rPr>
          <w:szCs w:val="26"/>
          <w:shd w:val="clear" w:color="auto" w:fill="FFFFFF"/>
        </w:rPr>
        <w:t>fail</w:t>
      </w:r>
      <w:proofErr w:type="gramEnd"/>
      <w:r w:rsidR="00950461" w:rsidRPr="00A7631D">
        <w:rPr>
          <w:szCs w:val="26"/>
          <w:shd w:val="clear" w:color="auto" w:fill="FFFFFF"/>
        </w:rPr>
        <w:t>[ed]</w:t>
      </w:r>
      <w:r w:rsidR="00D47555" w:rsidRPr="00A7631D">
        <w:rPr>
          <w:szCs w:val="26"/>
          <w:shd w:val="clear" w:color="auto" w:fill="FFFFFF"/>
        </w:rPr>
        <w:t xml:space="preserve"> to </w:t>
      </w:r>
      <w:r w:rsidR="00D47555" w:rsidRPr="00A7631D">
        <w:rPr>
          <w:szCs w:val="26"/>
          <w:shd w:val="clear" w:color="auto" w:fill="FFFFFF"/>
        </w:rPr>
        <w:lastRenderedPageBreak/>
        <w:t>investigate any and all new information</w:t>
      </w:r>
      <w:r w:rsidR="00F93E44" w:rsidRPr="00A7631D">
        <w:rPr>
          <w:szCs w:val="26"/>
          <w:shd w:val="clear" w:color="auto" w:fill="FFFFFF"/>
        </w:rPr>
        <w:t> </w:t>
      </w:r>
      <w:r w:rsidR="00950461" w:rsidRPr="00A7631D">
        <w:rPr>
          <w:szCs w:val="26"/>
          <w:shd w:val="clear" w:color="auto" w:fill="FFFFFF"/>
        </w:rPr>
        <w:t>.</w:t>
      </w:r>
      <w:r w:rsidR="00F93E44" w:rsidRPr="00A7631D">
        <w:rPr>
          <w:szCs w:val="26"/>
          <w:shd w:val="clear" w:color="auto" w:fill="FFFFFF"/>
        </w:rPr>
        <w:t> </w:t>
      </w:r>
      <w:r w:rsidR="00D64D9C" w:rsidRPr="00A7631D">
        <w:rPr>
          <w:szCs w:val="26"/>
          <w:shd w:val="clear" w:color="auto" w:fill="FFFFFF"/>
        </w:rPr>
        <w:t>.</w:t>
      </w:r>
      <w:r w:rsidR="00F93E44" w:rsidRPr="00A7631D">
        <w:rPr>
          <w:szCs w:val="26"/>
          <w:shd w:val="clear" w:color="auto" w:fill="FFFFFF"/>
        </w:rPr>
        <w:t> </w:t>
      </w:r>
      <w:r w:rsidR="00D37CE9" w:rsidRPr="00A7631D">
        <w:rPr>
          <w:szCs w:val="26"/>
          <w:shd w:val="clear" w:color="auto" w:fill="FFFFFF"/>
        </w:rPr>
        <w:t>.</w:t>
      </w:r>
      <w:r w:rsidR="00D64D9C" w:rsidRPr="00A7631D">
        <w:rPr>
          <w:szCs w:val="26"/>
          <w:shd w:val="clear" w:color="auto" w:fill="FFFFFF"/>
        </w:rPr>
        <w:t>’</w:t>
      </w:r>
      <w:r w:rsidR="00D17A52">
        <w:rPr>
          <w:szCs w:val="26"/>
          <w:shd w:val="clear" w:color="auto" w:fill="FFFFFF"/>
        </w:rPr>
        <w:t> </w:t>
      </w:r>
      <w:r w:rsidR="00D47555" w:rsidRPr="00A7631D">
        <w:rPr>
          <w:szCs w:val="26"/>
          <w:shd w:val="clear" w:color="auto" w:fill="FFFFFF"/>
        </w:rPr>
        <w:t>”</w:t>
      </w:r>
      <w:r w:rsidR="00D37CE9" w:rsidRPr="00A7631D">
        <w:rPr>
          <w:szCs w:val="26"/>
          <w:shd w:val="clear" w:color="auto" w:fill="FFFFFF"/>
        </w:rPr>
        <w:t xml:space="preserve"> or allegations raised by </w:t>
      </w:r>
      <w:r w:rsidR="00120986" w:rsidRPr="00A7631D">
        <w:rPr>
          <w:szCs w:val="26"/>
          <w:shd w:val="clear" w:color="auto" w:fill="FFFFFF"/>
        </w:rPr>
        <w:t>Wilson</w:t>
      </w:r>
      <w:r w:rsidR="006E30D3" w:rsidRPr="00A7631D">
        <w:rPr>
          <w:szCs w:val="26"/>
          <w:shd w:val="clear" w:color="auto" w:fill="FFFFFF"/>
        </w:rPr>
        <w:t>.</w:t>
      </w:r>
      <w:r w:rsidR="00D64D9C" w:rsidRPr="00A7631D">
        <w:rPr>
          <w:szCs w:val="26"/>
          <w:shd w:val="clear" w:color="auto" w:fill="FFFFFF"/>
        </w:rPr>
        <w:t xml:space="preserve">  (</w:t>
      </w:r>
      <w:proofErr w:type="spellStart"/>
      <w:r w:rsidR="00D64D9C" w:rsidRPr="00A7631D">
        <w:rPr>
          <w:i/>
          <w:iCs/>
          <w:szCs w:val="26"/>
          <w:shd w:val="clear" w:color="auto" w:fill="FFFFFF"/>
        </w:rPr>
        <w:t>Manibusan</w:t>
      </w:r>
      <w:proofErr w:type="spellEnd"/>
      <w:r w:rsidR="00D64D9C" w:rsidRPr="00A7631D">
        <w:rPr>
          <w:szCs w:val="26"/>
          <w:shd w:val="clear" w:color="auto" w:fill="FFFFFF"/>
        </w:rPr>
        <w:t xml:space="preserve">, </w:t>
      </w:r>
      <w:r w:rsidR="00D64D9C" w:rsidRPr="00A7631D">
        <w:rPr>
          <w:i/>
          <w:iCs/>
          <w:szCs w:val="26"/>
          <w:shd w:val="clear" w:color="auto" w:fill="FFFFFF"/>
        </w:rPr>
        <w:t>supra</w:t>
      </w:r>
      <w:r w:rsidR="00D64D9C" w:rsidRPr="00A7631D">
        <w:rPr>
          <w:szCs w:val="26"/>
          <w:shd w:val="clear" w:color="auto" w:fill="FFFFFF"/>
        </w:rPr>
        <w:t xml:space="preserve">, </w:t>
      </w:r>
      <w:r w:rsidR="00E93776" w:rsidRPr="00A7631D">
        <w:rPr>
          <w:szCs w:val="26"/>
          <w:shd w:val="clear" w:color="auto" w:fill="FFFFFF"/>
        </w:rPr>
        <w:t xml:space="preserve">58 Cal.4th at p. 52.) </w:t>
      </w:r>
      <w:r w:rsidR="006E30D3" w:rsidRPr="00A7631D">
        <w:rPr>
          <w:szCs w:val="26"/>
          <w:shd w:val="clear" w:color="auto" w:fill="FFFFFF"/>
        </w:rPr>
        <w:t xml:space="preserve"> </w:t>
      </w:r>
    </w:p>
    <w:p w14:paraId="1C352885" w14:textId="67E42BE0" w:rsidR="00F9731A" w:rsidRPr="00A7631D" w:rsidRDefault="00A45837" w:rsidP="00A7631D">
      <w:pPr>
        <w:pStyle w:val="Heading1"/>
        <w:rPr>
          <w:szCs w:val="26"/>
        </w:rPr>
      </w:pPr>
      <w:bookmarkStart w:id="79" w:name="_Toc58846844"/>
      <w:bookmarkStart w:id="80" w:name="_Toc50617062"/>
      <w:r>
        <w:rPr>
          <w:szCs w:val="26"/>
        </w:rPr>
        <w:t>IV.</w:t>
      </w:r>
      <w:r w:rsidR="00F9731A" w:rsidRPr="00A7631D">
        <w:rPr>
          <w:szCs w:val="26"/>
        </w:rPr>
        <w:t xml:space="preserve">  Penalty Phase</w:t>
      </w:r>
      <w:bookmarkEnd w:id="79"/>
      <w:bookmarkEnd w:id="80"/>
    </w:p>
    <w:p w14:paraId="3E60388E" w14:textId="255D1EAD" w:rsidR="00A0473B" w:rsidRPr="00A7631D" w:rsidRDefault="00A0473B" w:rsidP="006A3FC0">
      <w:pPr>
        <w:pStyle w:val="Heading2"/>
        <w:numPr>
          <w:ilvl w:val="0"/>
          <w:numId w:val="23"/>
        </w:numPr>
        <w:rPr>
          <w:szCs w:val="26"/>
        </w:rPr>
      </w:pPr>
      <w:bookmarkStart w:id="81" w:name="_Toc58846845"/>
      <w:bookmarkStart w:id="82" w:name="_Toc50617063"/>
      <w:r w:rsidRPr="00A7631D">
        <w:rPr>
          <w:szCs w:val="26"/>
        </w:rPr>
        <w:t>Constitutionality of California’s Death Penalty Statutory Scheme</w:t>
      </w:r>
      <w:bookmarkEnd w:id="81"/>
      <w:r w:rsidRPr="00A7631D">
        <w:rPr>
          <w:szCs w:val="26"/>
        </w:rPr>
        <w:t xml:space="preserve"> </w:t>
      </w:r>
      <w:bookmarkEnd w:id="82"/>
    </w:p>
    <w:p w14:paraId="5D64C4B9" w14:textId="2B22A950" w:rsidR="00A771BB" w:rsidRPr="00A7631D" w:rsidRDefault="00120986" w:rsidP="00A067EE">
      <w:pPr>
        <w:ind w:firstLine="720"/>
        <w:rPr>
          <w:szCs w:val="26"/>
        </w:rPr>
      </w:pPr>
      <w:r w:rsidRPr="00A7631D">
        <w:rPr>
          <w:szCs w:val="26"/>
        </w:rPr>
        <w:t>Wilson</w:t>
      </w:r>
      <w:r w:rsidR="00A771BB" w:rsidRPr="00A7631D">
        <w:rPr>
          <w:szCs w:val="26"/>
        </w:rPr>
        <w:t xml:space="preserve"> raises several objections to the constitutionality of California’s death penalty scheme.  </w:t>
      </w:r>
      <w:r w:rsidR="00F01294">
        <w:rPr>
          <w:szCs w:val="26"/>
        </w:rPr>
        <w:t>W</w:t>
      </w:r>
      <w:r w:rsidR="00A771BB" w:rsidRPr="00A7631D">
        <w:rPr>
          <w:szCs w:val="26"/>
        </w:rPr>
        <w:t>e decline to reconsider our existing precedent and reject these objections, on the merits, as follows:</w:t>
      </w:r>
    </w:p>
    <w:p w14:paraId="5FA098D7" w14:textId="71656BF3" w:rsidR="004A7CD2" w:rsidRPr="00A7631D" w:rsidRDefault="00B16DD6" w:rsidP="00A067EE">
      <w:pPr>
        <w:ind w:firstLine="720"/>
        <w:rPr>
          <w:szCs w:val="26"/>
        </w:rPr>
      </w:pPr>
      <w:r w:rsidRPr="00A7631D">
        <w:rPr>
          <w:szCs w:val="26"/>
        </w:rPr>
        <w:t>The</w:t>
      </w:r>
      <w:r w:rsidR="00EA6FB3" w:rsidRPr="00A7631D">
        <w:rPr>
          <w:szCs w:val="26"/>
        </w:rPr>
        <w:t xml:space="preserve"> special circumstances</w:t>
      </w:r>
      <w:r w:rsidRPr="00A7631D">
        <w:rPr>
          <w:szCs w:val="26"/>
        </w:rPr>
        <w:t xml:space="preserve"> qualifying a defendant for the death penalty, as set </w:t>
      </w:r>
      <w:r w:rsidR="00470F04" w:rsidRPr="00A7631D">
        <w:rPr>
          <w:szCs w:val="26"/>
        </w:rPr>
        <w:t xml:space="preserve">out in section 190.2, </w:t>
      </w:r>
      <w:r w:rsidR="00EA6FB3" w:rsidRPr="00A7631D">
        <w:rPr>
          <w:szCs w:val="26"/>
        </w:rPr>
        <w:t>are not unconstitutionally overbroad</w:t>
      </w:r>
      <w:r w:rsidR="00470F04" w:rsidRPr="00A7631D">
        <w:rPr>
          <w:szCs w:val="26"/>
        </w:rPr>
        <w:t>, nor are they so numerous</w:t>
      </w:r>
      <w:r w:rsidR="00082814" w:rsidRPr="00A7631D">
        <w:rPr>
          <w:szCs w:val="26"/>
        </w:rPr>
        <w:t xml:space="preserve"> that the constitutionally required narrowing function cannot be performed</w:t>
      </w:r>
      <w:r w:rsidR="00EA6FB3" w:rsidRPr="00A7631D">
        <w:rPr>
          <w:szCs w:val="26"/>
        </w:rPr>
        <w:t>.  (</w:t>
      </w:r>
      <w:r w:rsidR="00EA6FB3" w:rsidRPr="00A7631D">
        <w:rPr>
          <w:i/>
          <w:szCs w:val="26"/>
        </w:rPr>
        <w:t>People v. Bell</w:t>
      </w:r>
      <w:r w:rsidR="00EA6FB3" w:rsidRPr="00A7631D">
        <w:rPr>
          <w:szCs w:val="26"/>
        </w:rPr>
        <w:t xml:space="preserve"> (2019) 7 Cal.5th 70, 130</w:t>
      </w:r>
      <w:r w:rsidR="00082814" w:rsidRPr="00A7631D">
        <w:rPr>
          <w:szCs w:val="26"/>
        </w:rPr>
        <w:t xml:space="preserve">; </w:t>
      </w:r>
      <w:r w:rsidR="00EA6FB3" w:rsidRPr="00A7631D">
        <w:rPr>
          <w:i/>
          <w:szCs w:val="26"/>
        </w:rPr>
        <w:t>People v. Williams</w:t>
      </w:r>
      <w:r w:rsidR="00EA6FB3" w:rsidRPr="00A7631D">
        <w:rPr>
          <w:szCs w:val="26"/>
        </w:rPr>
        <w:t xml:space="preserve"> (2010) 49 Cal.4th 405, 469.)  </w:t>
      </w:r>
    </w:p>
    <w:p w14:paraId="1300418E" w14:textId="0ACC59FF" w:rsidR="00D44756" w:rsidRPr="00A7631D" w:rsidRDefault="007E459D" w:rsidP="00A067EE">
      <w:pPr>
        <w:ind w:firstLine="720"/>
        <w:rPr>
          <w:szCs w:val="26"/>
        </w:rPr>
      </w:pPr>
      <w:r w:rsidRPr="00A7631D">
        <w:rPr>
          <w:szCs w:val="26"/>
        </w:rPr>
        <w:t xml:space="preserve">There is no basis in our precedent to conclude that </w:t>
      </w:r>
      <w:r w:rsidR="004C556F" w:rsidRPr="00A7631D">
        <w:rPr>
          <w:szCs w:val="26"/>
        </w:rPr>
        <w:t xml:space="preserve">a </w:t>
      </w:r>
      <w:r w:rsidR="004E10CF" w:rsidRPr="00A7631D">
        <w:rPr>
          <w:szCs w:val="26"/>
        </w:rPr>
        <w:t xml:space="preserve">trier of fact </w:t>
      </w:r>
      <w:r w:rsidRPr="00A7631D">
        <w:rPr>
          <w:szCs w:val="26"/>
        </w:rPr>
        <w:t>imposes the death penalty in an arbitrary or capricious manner when the trier of fact considers</w:t>
      </w:r>
      <w:r w:rsidR="007E2A37" w:rsidRPr="00A7631D">
        <w:rPr>
          <w:szCs w:val="26"/>
        </w:rPr>
        <w:t xml:space="preserve"> </w:t>
      </w:r>
      <w:r w:rsidR="004E10CF" w:rsidRPr="00A7631D">
        <w:rPr>
          <w:szCs w:val="26"/>
        </w:rPr>
        <w:t>the circumstances of the crime under section 190.3, factor (a)</w:t>
      </w:r>
      <w:r w:rsidR="004A7FB0" w:rsidRPr="00A7631D">
        <w:rPr>
          <w:szCs w:val="26"/>
        </w:rPr>
        <w:t>.</w:t>
      </w:r>
      <w:r w:rsidR="00D96AE7" w:rsidRPr="00A7631D">
        <w:rPr>
          <w:szCs w:val="26"/>
        </w:rPr>
        <w:t xml:space="preserve"> </w:t>
      </w:r>
      <w:r w:rsidR="004A7CD2" w:rsidRPr="00A7631D">
        <w:rPr>
          <w:szCs w:val="26"/>
        </w:rPr>
        <w:t xml:space="preserve"> (</w:t>
      </w:r>
      <w:r w:rsidR="004A7CD2" w:rsidRPr="00A7631D">
        <w:rPr>
          <w:i/>
          <w:iCs/>
          <w:szCs w:val="26"/>
        </w:rPr>
        <w:t>People v. Fayed</w:t>
      </w:r>
      <w:r w:rsidR="004A7CD2" w:rsidRPr="00A7631D">
        <w:rPr>
          <w:szCs w:val="26"/>
        </w:rPr>
        <w:t xml:space="preserve"> (2020) 9 Cal.5th 147, 213.)  </w:t>
      </w:r>
    </w:p>
    <w:p w14:paraId="55181D3B" w14:textId="66043733" w:rsidR="00E61C7C" w:rsidRPr="00A7631D" w:rsidRDefault="00C504A6" w:rsidP="00A067EE">
      <w:pPr>
        <w:ind w:firstLine="720"/>
        <w:rPr>
          <w:szCs w:val="26"/>
        </w:rPr>
      </w:pPr>
      <w:r w:rsidRPr="00A7631D">
        <w:rPr>
          <w:szCs w:val="26"/>
        </w:rPr>
        <w:t>We have previously held that t</w:t>
      </w:r>
      <w:r w:rsidR="005B208B" w:rsidRPr="00A7631D">
        <w:rPr>
          <w:szCs w:val="26"/>
        </w:rPr>
        <w:t>he</w:t>
      </w:r>
      <w:r w:rsidR="00E61C7C" w:rsidRPr="00A7631D">
        <w:rPr>
          <w:szCs w:val="26"/>
        </w:rPr>
        <w:t xml:space="preserve"> </w:t>
      </w:r>
      <w:r w:rsidR="00D44756" w:rsidRPr="00A7631D">
        <w:rPr>
          <w:szCs w:val="26"/>
        </w:rPr>
        <w:t xml:space="preserve">death </w:t>
      </w:r>
      <w:r w:rsidR="00E61C7C" w:rsidRPr="00A7631D">
        <w:rPr>
          <w:szCs w:val="26"/>
        </w:rPr>
        <w:t xml:space="preserve">penalty is </w:t>
      </w:r>
      <w:proofErr w:type="gramStart"/>
      <w:r w:rsidR="00E61C7C" w:rsidRPr="00A7631D">
        <w:rPr>
          <w:szCs w:val="26"/>
        </w:rPr>
        <w:t>not unconstitutional</w:t>
      </w:r>
      <w:proofErr w:type="gramEnd"/>
      <w:r w:rsidR="00E61C7C" w:rsidRPr="00A7631D">
        <w:rPr>
          <w:szCs w:val="26"/>
        </w:rPr>
        <w:t xml:space="preserve"> “</w:t>
      </w:r>
      <w:r w:rsidR="00B47795">
        <w:rPr>
          <w:szCs w:val="26"/>
        </w:rPr>
        <w:t> </w:t>
      </w:r>
      <w:r w:rsidR="00E61C7C" w:rsidRPr="00A7631D">
        <w:rPr>
          <w:szCs w:val="26"/>
        </w:rPr>
        <w:t>‘</w:t>
      </w:r>
      <w:r w:rsidR="00B47795">
        <w:rPr>
          <w:szCs w:val="26"/>
        </w:rPr>
        <w:t> </w:t>
      </w:r>
      <w:r w:rsidR="00E953EA">
        <w:rPr>
          <w:szCs w:val="26"/>
        </w:rPr>
        <w:t>“</w:t>
      </w:r>
      <w:r w:rsidR="00E61C7C" w:rsidRPr="00A7631D">
        <w:rPr>
          <w:szCs w:val="26"/>
        </w:rPr>
        <w:t>for failing to require proof beyond a reasonable doubt that aggravating factors exist, outweigh the mitigating factors, and render death the appropriate punishment.</w:t>
      </w:r>
      <w:r w:rsidR="00E953EA">
        <w:rPr>
          <w:szCs w:val="26"/>
        </w:rPr>
        <w:t xml:space="preserve">” </w:t>
      </w:r>
      <w:r w:rsidR="00317226">
        <w:rPr>
          <w:szCs w:val="26"/>
        </w:rPr>
        <w:t xml:space="preserve"> </w:t>
      </w:r>
      <w:r w:rsidR="00E953EA">
        <w:rPr>
          <w:szCs w:val="26"/>
        </w:rPr>
        <w:t>[Citation.]</w:t>
      </w:r>
      <w:r w:rsidR="00E61C7C" w:rsidRPr="00A7631D">
        <w:rPr>
          <w:szCs w:val="26"/>
        </w:rPr>
        <w:t>’</w:t>
      </w:r>
      <w:r w:rsidR="00D17A52">
        <w:rPr>
          <w:szCs w:val="26"/>
        </w:rPr>
        <w:t> </w:t>
      </w:r>
      <w:r w:rsidR="00E61C7C" w:rsidRPr="00A7631D">
        <w:rPr>
          <w:szCs w:val="26"/>
        </w:rPr>
        <w:t xml:space="preserve">” </w:t>
      </w:r>
      <w:r w:rsidR="00D44756" w:rsidRPr="00A7631D">
        <w:rPr>
          <w:szCs w:val="26"/>
        </w:rPr>
        <w:t xml:space="preserve"> </w:t>
      </w:r>
      <w:r w:rsidR="00E61C7C" w:rsidRPr="00A7631D">
        <w:rPr>
          <w:szCs w:val="26"/>
        </w:rPr>
        <w:t>(</w:t>
      </w:r>
      <w:r w:rsidR="00E61C7C" w:rsidRPr="00A7631D">
        <w:rPr>
          <w:i/>
          <w:iCs/>
          <w:szCs w:val="26"/>
        </w:rPr>
        <w:t>People v. Henriquez</w:t>
      </w:r>
      <w:r w:rsidR="00E61C7C" w:rsidRPr="00A7631D">
        <w:rPr>
          <w:szCs w:val="26"/>
        </w:rPr>
        <w:t xml:space="preserve"> (2017) 4 Cal.5th 1, 45.) </w:t>
      </w:r>
      <w:r w:rsidR="00B665EA" w:rsidRPr="00A7631D">
        <w:rPr>
          <w:szCs w:val="26"/>
        </w:rPr>
        <w:t xml:space="preserve"> </w:t>
      </w:r>
      <w:r w:rsidR="005B208B" w:rsidRPr="00A7631D">
        <w:rPr>
          <w:szCs w:val="26"/>
        </w:rPr>
        <w:t>W</w:t>
      </w:r>
      <w:r w:rsidR="00E61C7C" w:rsidRPr="00A7631D">
        <w:rPr>
          <w:szCs w:val="26"/>
        </w:rPr>
        <w:t xml:space="preserve">e </w:t>
      </w:r>
      <w:r w:rsidR="002F1B47" w:rsidRPr="00A7631D">
        <w:rPr>
          <w:szCs w:val="26"/>
        </w:rPr>
        <w:t xml:space="preserve">also </w:t>
      </w:r>
      <w:r w:rsidR="00E61C7C" w:rsidRPr="00A7631D">
        <w:rPr>
          <w:szCs w:val="26"/>
        </w:rPr>
        <w:t>have consistently held the death penalty does not constitute an increased sentence</w:t>
      </w:r>
      <w:r w:rsidR="00B665EA" w:rsidRPr="00A7631D">
        <w:rPr>
          <w:szCs w:val="26"/>
        </w:rPr>
        <w:t>.  (</w:t>
      </w:r>
      <w:r w:rsidR="00B665EA" w:rsidRPr="00A7631D">
        <w:rPr>
          <w:i/>
          <w:iCs/>
          <w:szCs w:val="26"/>
        </w:rPr>
        <w:t>People v. Scott</w:t>
      </w:r>
      <w:r w:rsidR="00B665EA" w:rsidRPr="00A7631D">
        <w:rPr>
          <w:szCs w:val="26"/>
        </w:rPr>
        <w:t xml:space="preserve"> (2015) 61 Cal.4th 363, 407.) </w:t>
      </w:r>
      <w:r w:rsidR="00E61C7C" w:rsidRPr="00A7631D">
        <w:rPr>
          <w:szCs w:val="26"/>
        </w:rPr>
        <w:t xml:space="preserve"> </w:t>
      </w:r>
      <w:r w:rsidR="002F1B47" w:rsidRPr="00A7631D">
        <w:rPr>
          <w:szCs w:val="26"/>
        </w:rPr>
        <w:t>And we have determined that t</w:t>
      </w:r>
      <w:r w:rsidR="00E61C7C" w:rsidRPr="00A7631D">
        <w:rPr>
          <w:szCs w:val="26"/>
        </w:rPr>
        <w:t xml:space="preserve">hese conclusions are </w:t>
      </w:r>
      <w:r w:rsidR="000F43E0" w:rsidRPr="00A7631D">
        <w:rPr>
          <w:szCs w:val="26"/>
        </w:rPr>
        <w:t>un</w:t>
      </w:r>
      <w:r w:rsidR="00E61C7C" w:rsidRPr="00A7631D">
        <w:rPr>
          <w:szCs w:val="26"/>
        </w:rPr>
        <w:t xml:space="preserve">altered by </w:t>
      </w:r>
      <w:proofErr w:type="spellStart"/>
      <w:r w:rsidR="00E61C7C" w:rsidRPr="00A7631D">
        <w:rPr>
          <w:i/>
          <w:iCs/>
          <w:szCs w:val="26"/>
        </w:rPr>
        <w:t>Apprendi</w:t>
      </w:r>
      <w:proofErr w:type="spellEnd"/>
      <w:r w:rsidR="00E61C7C" w:rsidRPr="00A7631D">
        <w:rPr>
          <w:i/>
          <w:iCs/>
          <w:szCs w:val="26"/>
        </w:rPr>
        <w:t xml:space="preserve"> v. New Jersey</w:t>
      </w:r>
      <w:r w:rsidR="00E61C7C" w:rsidRPr="00A7631D">
        <w:rPr>
          <w:szCs w:val="26"/>
        </w:rPr>
        <w:t xml:space="preserve"> (2000) 530 U.S. 466, </w:t>
      </w:r>
      <w:r w:rsidR="00E61C7C" w:rsidRPr="00A7631D">
        <w:rPr>
          <w:i/>
          <w:iCs/>
          <w:szCs w:val="26"/>
        </w:rPr>
        <w:t>Ring v. Arizona</w:t>
      </w:r>
      <w:r w:rsidR="00E61C7C" w:rsidRPr="00A7631D">
        <w:rPr>
          <w:szCs w:val="26"/>
        </w:rPr>
        <w:t xml:space="preserve"> (2002) 536 U.S. 584, </w:t>
      </w:r>
      <w:r w:rsidR="00E61C7C" w:rsidRPr="00A7631D">
        <w:rPr>
          <w:i/>
          <w:iCs/>
          <w:szCs w:val="26"/>
        </w:rPr>
        <w:t xml:space="preserve">Blakely v. </w:t>
      </w:r>
      <w:r w:rsidR="00E61C7C" w:rsidRPr="00A7631D">
        <w:rPr>
          <w:i/>
          <w:iCs/>
          <w:szCs w:val="26"/>
        </w:rPr>
        <w:lastRenderedPageBreak/>
        <w:t>Washington</w:t>
      </w:r>
      <w:r w:rsidR="00E61C7C" w:rsidRPr="00A7631D">
        <w:rPr>
          <w:szCs w:val="26"/>
        </w:rPr>
        <w:t xml:space="preserve"> (2004) 542 U.S. 296, or </w:t>
      </w:r>
      <w:r w:rsidR="00E61C7C" w:rsidRPr="00A7631D">
        <w:rPr>
          <w:i/>
          <w:iCs/>
          <w:szCs w:val="26"/>
        </w:rPr>
        <w:t>Cunningham v. California</w:t>
      </w:r>
      <w:r w:rsidR="00E61C7C" w:rsidRPr="00A7631D">
        <w:rPr>
          <w:szCs w:val="26"/>
        </w:rPr>
        <w:t xml:space="preserve"> (2007) 549 U.S. 270.</w:t>
      </w:r>
      <w:r w:rsidR="00A04F8B" w:rsidRPr="00A7631D">
        <w:rPr>
          <w:szCs w:val="26"/>
        </w:rPr>
        <w:t xml:space="preserve">  (</w:t>
      </w:r>
      <w:r w:rsidR="00A04F8B" w:rsidRPr="00A7631D">
        <w:rPr>
          <w:i/>
          <w:iCs/>
          <w:szCs w:val="26"/>
        </w:rPr>
        <w:t>People v. Scott</w:t>
      </w:r>
      <w:r w:rsidR="00A04F8B" w:rsidRPr="00A7631D">
        <w:rPr>
          <w:szCs w:val="26"/>
        </w:rPr>
        <w:t xml:space="preserve">, </w:t>
      </w:r>
      <w:r w:rsidR="00A04F8B" w:rsidRPr="00A7631D">
        <w:rPr>
          <w:i/>
          <w:iCs/>
          <w:szCs w:val="26"/>
        </w:rPr>
        <w:t>supra</w:t>
      </w:r>
      <w:r w:rsidR="00A04F8B" w:rsidRPr="00A7631D">
        <w:rPr>
          <w:szCs w:val="26"/>
        </w:rPr>
        <w:t>, 61 Cal.4th at p. 407.)</w:t>
      </w:r>
      <w:r w:rsidR="00E61C7C" w:rsidRPr="00A7631D">
        <w:rPr>
          <w:szCs w:val="26"/>
        </w:rPr>
        <w:t xml:space="preserve">  </w:t>
      </w:r>
    </w:p>
    <w:p w14:paraId="19264F8E" w14:textId="668D14F9" w:rsidR="00E61C7C" w:rsidRPr="00A7631D" w:rsidRDefault="00A93146" w:rsidP="00A067EE">
      <w:pPr>
        <w:ind w:firstLine="720"/>
        <w:rPr>
          <w:szCs w:val="26"/>
        </w:rPr>
      </w:pPr>
      <w:r w:rsidRPr="00A7631D">
        <w:rPr>
          <w:szCs w:val="26"/>
        </w:rPr>
        <w:t>Defendant</w:t>
      </w:r>
      <w:r w:rsidR="002F1B47" w:rsidRPr="00A7631D">
        <w:rPr>
          <w:szCs w:val="26"/>
        </w:rPr>
        <w:t xml:space="preserve"> does not give us any reason to revisit these issues </w:t>
      </w:r>
      <w:r w:rsidR="00235ED7">
        <w:rPr>
          <w:szCs w:val="26"/>
        </w:rPr>
        <w:t xml:space="preserve">or </w:t>
      </w:r>
      <w:r w:rsidR="002F1B47" w:rsidRPr="00A7631D">
        <w:rPr>
          <w:szCs w:val="26"/>
        </w:rPr>
        <w:t>to find</w:t>
      </w:r>
      <w:r w:rsidRPr="00A7631D">
        <w:rPr>
          <w:szCs w:val="26"/>
        </w:rPr>
        <w:t xml:space="preserve"> that </w:t>
      </w:r>
      <w:r w:rsidR="00E61C7C" w:rsidRPr="00A7631D">
        <w:rPr>
          <w:szCs w:val="26"/>
        </w:rPr>
        <w:t xml:space="preserve">California’s capital punishment scheme </w:t>
      </w:r>
      <w:r w:rsidRPr="00A7631D">
        <w:rPr>
          <w:szCs w:val="26"/>
        </w:rPr>
        <w:t>violates</w:t>
      </w:r>
      <w:r w:rsidR="00E61C7C" w:rsidRPr="00A7631D">
        <w:rPr>
          <w:szCs w:val="26"/>
        </w:rPr>
        <w:t xml:space="preserve"> the </w:t>
      </w:r>
      <w:r w:rsidR="00442ED1" w:rsidRPr="00A7631D">
        <w:rPr>
          <w:szCs w:val="26"/>
        </w:rPr>
        <w:t xml:space="preserve">Eighth Amendment’s prohibition against </w:t>
      </w:r>
      <w:r w:rsidR="00E61C7C" w:rsidRPr="00A7631D">
        <w:rPr>
          <w:szCs w:val="26"/>
        </w:rPr>
        <w:t xml:space="preserve">cruel and unusual punishment, </w:t>
      </w:r>
      <w:r w:rsidR="00C53851" w:rsidRPr="00A7631D">
        <w:rPr>
          <w:szCs w:val="26"/>
        </w:rPr>
        <w:t>or</w:t>
      </w:r>
      <w:r w:rsidR="00E61C7C" w:rsidRPr="00A7631D">
        <w:rPr>
          <w:szCs w:val="26"/>
        </w:rPr>
        <w:t xml:space="preserve"> the </w:t>
      </w:r>
      <w:r w:rsidR="00716433" w:rsidRPr="00A7631D">
        <w:rPr>
          <w:szCs w:val="26"/>
        </w:rPr>
        <w:t xml:space="preserve">Fourteenth Amendment’s guarantee of </w:t>
      </w:r>
      <w:r w:rsidR="00E61C7C" w:rsidRPr="00A7631D">
        <w:rPr>
          <w:szCs w:val="26"/>
        </w:rPr>
        <w:t xml:space="preserve">due process does not require the jury find unanimously and beyond a reasonable doubt that aggravating factors outweigh mitigating factors. </w:t>
      </w:r>
      <w:r w:rsidR="00716433" w:rsidRPr="00A7631D">
        <w:rPr>
          <w:szCs w:val="26"/>
        </w:rPr>
        <w:t xml:space="preserve"> </w:t>
      </w:r>
      <w:r w:rsidR="00E61C7C" w:rsidRPr="00A7631D">
        <w:rPr>
          <w:szCs w:val="26"/>
        </w:rPr>
        <w:t>(</w:t>
      </w:r>
      <w:r w:rsidR="00E61C7C" w:rsidRPr="00A7631D">
        <w:rPr>
          <w:i/>
          <w:iCs/>
          <w:szCs w:val="26"/>
        </w:rPr>
        <w:t>People v. Jones</w:t>
      </w:r>
      <w:r w:rsidR="00E61C7C" w:rsidRPr="00A7631D">
        <w:rPr>
          <w:szCs w:val="26"/>
        </w:rPr>
        <w:t> (2017) 3 Cal.5th 583, 618</w:t>
      </w:r>
      <w:r w:rsidR="00812C7E">
        <w:rPr>
          <w:szCs w:val="26"/>
        </w:rPr>
        <w:t>–</w:t>
      </w:r>
      <w:r w:rsidR="00E61C7C" w:rsidRPr="00A7631D">
        <w:rPr>
          <w:szCs w:val="26"/>
        </w:rPr>
        <w:t xml:space="preserve">619.) </w:t>
      </w:r>
      <w:r w:rsidR="00CF0857" w:rsidRPr="00A7631D">
        <w:rPr>
          <w:szCs w:val="26"/>
        </w:rPr>
        <w:t xml:space="preserve"> Nor </w:t>
      </w:r>
      <w:r w:rsidR="00A0297B" w:rsidRPr="00A7631D">
        <w:rPr>
          <w:szCs w:val="26"/>
        </w:rPr>
        <w:t>does defendant give us any reason to depart from our precedent holding that</w:t>
      </w:r>
      <w:r w:rsidR="00CF0857" w:rsidRPr="00A7631D">
        <w:rPr>
          <w:szCs w:val="26"/>
        </w:rPr>
        <w:t xml:space="preserve"> the death penalty statutory scheme </w:t>
      </w:r>
      <w:r w:rsidR="00CB05B8" w:rsidRPr="00A7631D">
        <w:rPr>
          <w:szCs w:val="26"/>
        </w:rPr>
        <w:t xml:space="preserve">is not </w:t>
      </w:r>
      <w:r w:rsidR="001E5E17" w:rsidRPr="00A7631D">
        <w:rPr>
          <w:szCs w:val="26"/>
        </w:rPr>
        <w:t xml:space="preserve">rendered </w:t>
      </w:r>
      <w:r w:rsidR="00175F8D" w:rsidRPr="00A7631D">
        <w:rPr>
          <w:szCs w:val="26"/>
        </w:rPr>
        <w:t>infirm under the federal Constitution</w:t>
      </w:r>
      <w:r w:rsidR="00CF0857" w:rsidRPr="00A7631D">
        <w:rPr>
          <w:szCs w:val="26"/>
        </w:rPr>
        <w:t xml:space="preserve"> </w:t>
      </w:r>
      <w:r w:rsidR="001E5E17" w:rsidRPr="00A7631D">
        <w:rPr>
          <w:szCs w:val="26"/>
        </w:rPr>
        <w:t>by failing to</w:t>
      </w:r>
      <w:r w:rsidR="00CF0857" w:rsidRPr="00A7631D">
        <w:rPr>
          <w:szCs w:val="26"/>
        </w:rPr>
        <w:t xml:space="preserve"> demand written findings or unanimity as to</w:t>
      </w:r>
      <w:r w:rsidR="00A11C45" w:rsidRPr="00A7631D">
        <w:rPr>
          <w:szCs w:val="26"/>
        </w:rPr>
        <w:t xml:space="preserve"> the existence of particular</w:t>
      </w:r>
      <w:r w:rsidR="00CF0857" w:rsidRPr="00A7631D">
        <w:rPr>
          <w:szCs w:val="26"/>
        </w:rPr>
        <w:t xml:space="preserve"> aggravating factors</w:t>
      </w:r>
      <w:r w:rsidR="00A11C45" w:rsidRPr="00A7631D">
        <w:rPr>
          <w:szCs w:val="26"/>
        </w:rPr>
        <w:t xml:space="preserve">. </w:t>
      </w:r>
      <w:r w:rsidR="00CF0857" w:rsidRPr="00A7631D">
        <w:rPr>
          <w:szCs w:val="26"/>
        </w:rPr>
        <w:t> (</w:t>
      </w:r>
      <w:r w:rsidR="00CF0857" w:rsidRPr="00A7631D">
        <w:rPr>
          <w:i/>
          <w:iCs/>
          <w:szCs w:val="26"/>
        </w:rPr>
        <w:t>People v. Lopez </w:t>
      </w:r>
      <w:r w:rsidR="00CF0857" w:rsidRPr="00A7631D">
        <w:rPr>
          <w:szCs w:val="26"/>
        </w:rPr>
        <w:t>(2018) 5 Cal.5th 339, 370</w:t>
      </w:r>
      <w:r w:rsidR="001568A5" w:rsidRPr="00A7631D">
        <w:rPr>
          <w:szCs w:val="26"/>
        </w:rPr>
        <w:t xml:space="preserve">; </w:t>
      </w:r>
      <w:r w:rsidR="001568A5" w:rsidRPr="00A7631D">
        <w:rPr>
          <w:i/>
          <w:iCs/>
          <w:szCs w:val="26"/>
        </w:rPr>
        <w:t xml:space="preserve">People v. </w:t>
      </w:r>
      <w:proofErr w:type="spellStart"/>
      <w:r w:rsidR="001568A5" w:rsidRPr="00A7631D">
        <w:rPr>
          <w:i/>
          <w:iCs/>
          <w:szCs w:val="26"/>
        </w:rPr>
        <w:t>Silveria</w:t>
      </w:r>
      <w:proofErr w:type="spellEnd"/>
      <w:r w:rsidR="001568A5" w:rsidRPr="00A7631D">
        <w:rPr>
          <w:i/>
          <w:iCs/>
          <w:szCs w:val="26"/>
        </w:rPr>
        <w:t xml:space="preserve"> and Travis</w:t>
      </w:r>
      <w:r w:rsidR="001568A5" w:rsidRPr="00A7631D">
        <w:rPr>
          <w:szCs w:val="26"/>
        </w:rPr>
        <w:t xml:space="preserve"> (2020) </w:t>
      </w:r>
      <w:r w:rsidR="000C1526" w:rsidRPr="00A7631D">
        <w:rPr>
          <w:szCs w:val="26"/>
        </w:rPr>
        <w:t xml:space="preserve">10 </w:t>
      </w:r>
      <w:r w:rsidR="001568A5" w:rsidRPr="00A7631D">
        <w:rPr>
          <w:szCs w:val="26"/>
        </w:rPr>
        <w:t xml:space="preserve">Cal.5th </w:t>
      </w:r>
      <w:r w:rsidR="000C1526" w:rsidRPr="00A7631D">
        <w:rPr>
          <w:szCs w:val="26"/>
        </w:rPr>
        <w:t xml:space="preserve">195, </w:t>
      </w:r>
      <w:r w:rsidR="00657BD6" w:rsidRPr="00A7631D">
        <w:rPr>
          <w:szCs w:val="26"/>
        </w:rPr>
        <w:t>326</w:t>
      </w:r>
      <w:r w:rsidR="00CF0857" w:rsidRPr="00A7631D">
        <w:rPr>
          <w:szCs w:val="26"/>
        </w:rPr>
        <w:t>.)</w:t>
      </w:r>
    </w:p>
    <w:p w14:paraId="40391B0A" w14:textId="4D1A955C" w:rsidR="00112D22" w:rsidRPr="00A7631D" w:rsidRDefault="00B4569C" w:rsidP="00A067EE">
      <w:pPr>
        <w:ind w:firstLine="720"/>
        <w:rPr>
          <w:szCs w:val="26"/>
        </w:rPr>
      </w:pPr>
      <w:r w:rsidRPr="00A7631D">
        <w:rPr>
          <w:szCs w:val="26"/>
          <w:shd w:val="clear" w:color="auto" w:fill="FFFFFF"/>
        </w:rPr>
        <w:t>There is no requirement that the jury be instructed concerning burden of proof at the penalty phase,</w:t>
      </w:r>
      <w:r w:rsidR="008A23C3" w:rsidRPr="00A7631D">
        <w:rPr>
          <w:szCs w:val="26"/>
          <w:shd w:val="clear" w:color="auto" w:fill="FFFFFF"/>
        </w:rPr>
        <w:t xml:space="preserve"> nor must it </w:t>
      </w:r>
      <w:r w:rsidR="00A44A3E" w:rsidRPr="00A7631D">
        <w:rPr>
          <w:szCs w:val="26"/>
          <w:shd w:val="clear" w:color="auto" w:fill="FFFFFF"/>
        </w:rPr>
        <w:t xml:space="preserve">be </w:t>
      </w:r>
      <w:r w:rsidR="008A23C3" w:rsidRPr="00A7631D">
        <w:rPr>
          <w:szCs w:val="26"/>
          <w:shd w:val="clear" w:color="auto" w:fill="FFFFFF"/>
        </w:rPr>
        <w:t>instructed on a “</w:t>
      </w:r>
      <w:r w:rsidR="00B47795">
        <w:rPr>
          <w:szCs w:val="26"/>
          <w:shd w:val="clear" w:color="auto" w:fill="FFFFFF"/>
        </w:rPr>
        <w:t> </w:t>
      </w:r>
      <w:r w:rsidR="00FB2CD5">
        <w:rPr>
          <w:szCs w:val="26"/>
          <w:shd w:val="clear" w:color="auto" w:fill="FFFFFF"/>
        </w:rPr>
        <w:t>‘</w:t>
      </w:r>
      <w:r w:rsidR="00B47795">
        <w:rPr>
          <w:szCs w:val="26"/>
          <w:shd w:val="clear" w:color="auto" w:fill="FFFFFF"/>
        </w:rPr>
        <w:t> </w:t>
      </w:r>
      <w:r w:rsidR="00FB2CD5">
        <w:rPr>
          <w:szCs w:val="26"/>
          <w:shd w:val="clear" w:color="auto" w:fill="FFFFFF"/>
        </w:rPr>
        <w:t>“</w:t>
      </w:r>
      <w:r w:rsidR="00B47795">
        <w:rPr>
          <w:szCs w:val="26"/>
          <w:shd w:val="clear" w:color="auto" w:fill="FFFFFF"/>
        </w:rPr>
        <w:t> </w:t>
      </w:r>
      <w:r w:rsidR="00FB2CD5">
        <w:rPr>
          <w:szCs w:val="26"/>
          <w:shd w:val="clear" w:color="auto" w:fill="FFFFFF"/>
        </w:rPr>
        <w:t>‘</w:t>
      </w:r>
      <w:r w:rsidR="008A23C3" w:rsidRPr="00A7631D">
        <w:rPr>
          <w:szCs w:val="26"/>
          <w:shd w:val="clear" w:color="auto" w:fill="FFFFFF"/>
        </w:rPr>
        <w:t>presumption of life</w:t>
      </w:r>
      <w:r w:rsidR="00FB2CD5">
        <w:rPr>
          <w:szCs w:val="26"/>
          <w:shd w:val="clear" w:color="auto" w:fill="FFFFFF"/>
        </w:rPr>
        <w:t>’</w:t>
      </w:r>
      <w:r w:rsidR="00B47795">
        <w:rPr>
          <w:szCs w:val="26"/>
          <w:shd w:val="clear" w:color="auto" w:fill="FFFFFF"/>
        </w:rPr>
        <w:t> </w:t>
      </w:r>
      <w:r w:rsidR="00FB2CD5">
        <w:rPr>
          <w:szCs w:val="26"/>
          <w:shd w:val="clear" w:color="auto" w:fill="FFFFFF"/>
        </w:rPr>
        <w:t>”</w:t>
      </w:r>
      <w:r w:rsidR="00B47795">
        <w:rPr>
          <w:szCs w:val="26"/>
          <w:shd w:val="clear" w:color="auto" w:fill="FFFFFF"/>
        </w:rPr>
        <w:t> </w:t>
      </w:r>
      <w:r w:rsidR="00FB2CD5">
        <w:rPr>
          <w:szCs w:val="26"/>
          <w:shd w:val="clear" w:color="auto" w:fill="FFFFFF"/>
        </w:rPr>
        <w:t>’</w:t>
      </w:r>
      <w:r w:rsidR="00D17A52">
        <w:rPr>
          <w:szCs w:val="26"/>
          <w:shd w:val="clear" w:color="auto" w:fill="FFFFFF"/>
        </w:rPr>
        <w:t> </w:t>
      </w:r>
      <w:r w:rsidR="008A23C3" w:rsidRPr="00A7631D">
        <w:rPr>
          <w:szCs w:val="26"/>
          <w:shd w:val="clear" w:color="auto" w:fill="FFFFFF"/>
        </w:rPr>
        <w:t xml:space="preserve">” to satisfy </w:t>
      </w:r>
      <w:r w:rsidR="00636012" w:rsidRPr="00A7631D">
        <w:rPr>
          <w:szCs w:val="26"/>
          <w:shd w:val="clear" w:color="auto" w:fill="FFFFFF"/>
        </w:rPr>
        <w:t xml:space="preserve">a defendant’s constitutional rights to due process, equal protection, a reliable determination of sentence, or freedom from cruel and </w:t>
      </w:r>
      <w:r w:rsidR="00BB60E1" w:rsidRPr="00A7631D">
        <w:rPr>
          <w:szCs w:val="26"/>
          <w:shd w:val="clear" w:color="auto" w:fill="FFFFFF"/>
        </w:rPr>
        <w:t xml:space="preserve">unusual punishment.  </w:t>
      </w:r>
      <w:r w:rsidR="008A23C3" w:rsidRPr="00A7631D">
        <w:rPr>
          <w:szCs w:val="26"/>
          <w:shd w:val="clear" w:color="auto" w:fill="FFFFFF"/>
        </w:rPr>
        <w:t>(</w:t>
      </w:r>
      <w:r w:rsidR="00BB60E1" w:rsidRPr="00A7631D">
        <w:rPr>
          <w:i/>
          <w:iCs/>
          <w:szCs w:val="26"/>
          <w:shd w:val="clear" w:color="auto" w:fill="FFFFFF"/>
        </w:rPr>
        <w:t xml:space="preserve">People v. </w:t>
      </w:r>
      <w:r w:rsidR="008A23C3" w:rsidRPr="00A7631D">
        <w:rPr>
          <w:i/>
          <w:iCs/>
          <w:szCs w:val="26"/>
          <w:bdr w:val="none" w:sz="0" w:space="0" w:color="auto" w:frame="1"/>
        </w:rPr>
        <w:t>Fayed</w:t>
      </w:r>
      <w:r w:rsidR="008A23C3" w:rsidRPr="00A7631D">
        <w:rPr>
          <w:rStyle w:val="apple-converted-space"/>
          <w:szCs w:val="26"/>
        </w:rPr>
        <w:t xml:space="preserve">, </w:t>
      </w:r>
      <w:r w:rsidR="008A23C3" w:rsidRPr="00A7631D">
        <w:rPr>
          <w:rStyle w:val="apple-converted-space"/>
          <w:i/>
          <w:iCs/>
          <w:szCs w:val="26"/>
        </w:rPr>
        <w:t>supra</w:t>
      </w:r>
      <w:r w:rsidR="008A23C3" w:rsidRPr="00A7631D">
        <w:rPr>
          <w:szCs w:val="26"/>
        </w:rPr>
        <w:t>, 9 Cal.5th at p. 213.)</w:t>
      </w:r>
      <w:r w:rsidR="008A23C3" w:rsidRPr="00A7631D">
        <w:rPr>
          <w:szCs w:val="26"/>
          <w:shd w:val="clear" w:color="auto" w:fill="FFFFFF"/>
        </w:rPr>
        <w:t xml:space="preserve"> </w:t>
      </w:r>
    </w:p>
    <w:p w14:paraId="7FD060BC" w14:textId="0FE0C10B" w:rsidR="004F2101" w:rsidRPr="00A7631D" w:rsidRDefault="00C53851" w:rsidP="00A067EE">
      <w:pPr>
        <w:ind w:firstLine="720"/>
        <w:rPr>
          <w:szCs w:val="26"/>
        </w:rPr>
      </w:pPr>
      <w:r w:rsidRPr="00A7631D">
        <w:rPr>
          <w:szCs w:val="26"/>
        </w:rPr>
        <w:t>Nor does the</w:t>
      </w:r>
      <w:r w:rsidR="004F2101" w:rsidRPr="00A7631D">
        <w:rPr>
          <w:szCs w:val="26"/>
        </w:rPr>
        <w:t xml:space="preserve"> use of unadjudicated offenses under section 190.3, factor (b) </w:t>
      </w:r>
      <w:r w:rsidR="008358E3" w:rsidRPr="00A7631D">
        <w:rPr>
          <w:szCs w:val="26"/>
        </w:rPr>
        <w:t xml:space="preserve">constitute a violation of </w:t>
      </w:r>
      <w:r w:rsidR="004F2101" w:rsidRPr="00A7631D">
        <w:rPr>
          <w:szCs w:val="26"/>
        </w:rPr>
        <w:t xml:space="preserve">due process principles. </w:t>
      </w:r>
      <w:r w:rsidR="00874BD6" w:rsidRPr="00A7631D">
        <w:rPr>
          <w:szCs w:val="26"/>
        </w:rPr>
        <w:t xml:space="preserve"> </w:t>
      </w:r>
      <w:r w:rsidR="004F2101" w:rsidRPr="00A7631D">
        <w:rPr>
          <w:szCs w:val="26"/>
        </w:rPr>
        <w:t>(</w:t>
      </w:r>
      <w:r w:rsidR="00AB1CD7" w:rsidRPr="00A7631D">
        <w:rPr>
          <w:i/>
          <w:iCs/>
          <w:szCs w:val="26"/>
        </w:rPr>
        <w:t>People v. Fayed</w:t>
      </w:r>
      <w:r w:rsidR="00AB1CD7" w:rsidRPr="00A7631D">
        <w:rPr>
          <w:szCs w:val="26"/>
        </w:rPr>
        <w:t xml:space="preserve">, </w:t>
      </w:r>
      <w:r w:rsidR="00AB1CD7" w:rsidRPr="00A7631D">
        <w:rPr>
          <w:i/>
          <w:iCs/>
          <w:szCs w:val="26"/>
        </w:rPr>
        <w:t>supra</w:t>
      </w:r>
      <w:r w:rsidR="00AB1CD7" w:rsidRPr="00A7631D">
        <w:rPr>
          <w:szCs w:val="26"/>
        </w:rPr>
        <w:t>, 9 Cal.5th</w:t>
      </w:r>
      <w:r w:rsidR="004F2101" w:rsidRPr="00A7631D">
        <w:rPr>
          <w:szCs w:val="26"/>
        </w:rPr>
        <w:t xml:space="preserve"> at p. 214.)</w:t>
      </w:r>
      <w:r w:rsidR="00112D22" w:rsidRPr="00A7631D">
        <w:rPr>
          <w:szCs w:val="26"/>
        </w:rPr>
        <w:t xml:space="preserve">  </w:t>
      </w:r>
      <w:r w:rsidR="007710EE" w:rsidRPr="00A7631D">
        <w:rPr>
          <w:szCs w:val="26"/>
        </w:rPr>
        <w:t>Section 190.3</w:t>
      </w:r>
      <w:r w:rsidR="008967B9" w:rsidRPr="00A7631D">
        <w:rPr>
          <w:szCs w:val="26"/>
        </w:rPr>
        <w:t>’s use of the word “</w:t>
      </w:r>
      <w:r w:rsidR="00B47795">
        <w:rPr>
          <w:szCs w:val="26"/>
        </w:rPr>
        <w:t> </w:t>
      </w:r>
      <w:r w:rsidR="008967B9" w:rsidRPr="00A7631D">
        <w:rPr>
          <w:szCs w:val="26"/>
        </w:rPr>
        <w:t>‘</w:t>
      </w:r>
      <w:r w:rsidR="00112D22" w:rsidRPr="00A7631D">
        <w:rPr>
          <w:szCs w:val="26"/>
        </w:rPr>
        <w:t xml:space="preserve">extreme’ </w:t>
      </w:r>
      <w:r w:rsidR="007F5752">
        <w:rPr>
          <w:szCs w:val="26"/>
        </w:rPr>
        <w:t xml:space="preserve">. . . </w:t>
      </w:r>
      <w:r w:rsidR="00112D22" w:rsidRPr="00A7631D">
        <w:rPr>
          <w:szCs w:val="26"/>
        </w:rPr>
        <w:t xml:space="preserve">in the list of mitigating factors </w:t>
      </w:r>
      <w:r w:rsidR="008967B9" w:rsidRPr="00A7631D">
        <w:rPr>
          <w:szCs w:val="26"/>
        </w:rPr>
        <w:t>. . .</w:t>
      </w:r>
      <w:r w:rsidR="00112D22" w:rsidRPr="00A7631D">
        <w:rPr>
          <w:szCs w:val="26"/>
        </w:rPr>
        <w:t xml:space="preserve"> does not act as a barrier to the jury</w:t>
      </w:r>
      <w:r w:rsidR="008967B9" w:rsidRPr="00A7631D">
        <w:rPr>
          <w:szCs w:val="26"/>
        </w:rPr>
        <w:t>’</w:t>
      </w:r>
      <w:r w:rsidR="00112D22" w:rsidRPr="00A7631D">
        <w:rPr>
          <w:szCs w:val="26"/>
        </w:rPr>
        <w:t xml:space="preserve">s consideration of mitigating </w:t>
      </w:r>
      <w:r w:rsidR="00112D22" w:rsidRPr="00A7631D">
        <w:rPr>
          <w:szCs w:val="26"/>
        </w:rPr>
        <w:lastRenderedPageBreak/>
        <w:t>evidence in violation of the federal Constitution.”  (</w:t>
      </w:r>
      <w:r w:rsidR="00AB1CD7" w:rsidRPr="00A7631D">
        <w:rPr>
          <w:i/>
          <w:iCs/>
          <w:szCs w:val="26"/>
        </w:rPr>
        <w:t>People v. Mitchell</w:t>
      </w:r>
      <w:r w:rsidR="00AB1CD7" w:rsidRPr="00A7631D">
        <w:rPr>
          <w:szCs w:val="26"/>
        </w:rPr>
        <w:t> (2019) 7 Cal.5th 561,</w:t>
      </w:r>
      <w:r w:rsidR="00112D22" w:rsidRPr="00A7631D">
        <w:rPr>
          <w:szCs w:val="26"/>
        </w:rPr>
        <w:t xml:space="preserve"> 588.)</w:t>
      </w:r>
    </w:p>
    <w:p w14:paraId="0386712E" w14:textId="318A37EC" w:rsidR="00432683" w:rsidRPr="00A7631D" w:rsidRDefault="000C3A75" w:rsidP="00A067EE">
      <w:pPr>
        <w:ind w:firstLine="720"/>
        <w:rPr>
          <w:szCs w:val="26"/>
        </w:rPr>
      </w:pPr>
      <w:r w:rsidRPr="00A7631D">
        <w:rPr>
          <w:szCs w:val="26"/>
        </w:rPr>
        <w:t xml:space="preserve">The phrase </w:t>
      </w:r>
      <w:r w:rsidR="008358E3" w:rsidRPr="00A7631D">
        <w:rPr>
          <w:szCs w:val="26"/>
        </w:rPr>
        <w:t>“</w:t>
      </w:r>
      <w:r w:rsidR="00B47795">
        <w:rPr>
          <w:szCs w:val="26"/>
        </w:rPr>
        <w:t> </w:t>
      </w:r>
      <w:r w:rsidR="00CA4756">
        <w:rPr>
          <w:szCs w:val="26"/>
        </w:rPr>
        <w:t>‘</w:t>
      </w:r>
      <w:r w:rsidR="00B47795">
        <w:rPr>
          <w:szCs w:val="26"/>
        </w:rPr>
        <w:t> </w:t>
      </w:r>
      <w:r w:rsidR="00CA4756">
        <w:rPr>
          <w:szCs w:val="26"/>
        </w:rPr>
        <w:t>“</w:t>
      </w:r>
      <w:r w:rsidR="00B47795">
        <w:rPr>
          <w:szCs w:val="26"/>
        </w:rPr>
        <w:t> </w:t>
      </w:r>
      <w:r w:rsidR="00CA4756">
        <w:rPr>
          <w:szCs w:val="26"/>
        </w:rPr>
        <w:t>‘</w:t>
      </w:r>
      <w:r w:rsidRPr="00A7631D">
        <w:rPr>
          <w:szCs w:val="26"/>
        </w:rPr>
        <w:t>so substantial</w:t>
      </w:r>
      <w:r w:rsidR="00CA4756">
        <w:rPr>
          <w:szCs w:val="26"/>
        </w:rPr>
        <w:t>’</w:t>
      </w:r>
      <w:r w:rsidR="00B47795">
        <w:rPr>
          <w:szCs w:val="26"/>
        </w:rPr>
        <w:t> </w:t>
      </w:r>
      <w:r w:rsidR="00CA4756">
        <w:rPr>
          <w:szCs w:val="26"/>
        </w:rPr>
        <w:t>”</w:t>
      </w:r>
      <w:r w:rsidR="00B47795">
        <w:rPr>
          <w:szCs w:val="26"/>
        </w:rPr>
        <w:t> </w:t>
      </w:r>
      <w:r w:rsidR="00CA4756">
        <w:rPr>
          <w:szCs w:val="26"/>
        </w:rPr>
        <w:t>’</w:t>
      </w:r>
      <w:r w:rsidR="00B47795">
        <w:rPr>
          <w:szCs w:val="26"/>
        </w:rPr>
        <w:t> </w:t>
      </w:r>
      <w:r w:rsidR="008358E3" w:rsidRPr="00A7631D">
        <w:rPr>
          <w:szCs w:val="26"/>
        </w:rPr>
        <w:t xml:space="preserve">” </w:t>
      </w:r>
      <w:r w:rsidR="00361728" w:rsidRPr="00A7631D">
        <w:rPr>
          <w:szCs w:val="26"/>
        </w:rPr>
        <w:t xml:space="preserve">— when </w:t>
      </w:r>
      <w:r w:rsidR="008358E3" w:rsidRPr="00A7631D">
        <w:rPr>
          <w:szCs w:val="26"/>
        </w:rPr>
        <w:t xml:space="preserve">used </w:t>
      </w:r>
      <w:r w:rsidR="003656AC" w:rsidRPr="00A7631D">
        <w:rPr>
          <w:szCs w:val="26"/>
        </w:rPr>
        <w:t>to compare</w:t>
      </w:r>
      <w:r w:rsidRPr="00A7631D">
        <w:rPr>
          <w:szCs w:val="26"/>
        </w:rPr>
        <w:t xml:space="preserve"> mitigating and aggravating factors</w:t>
      </w:r>
      <w:r w:rsidR="00A27FB9" w:rsidRPr="00A7631D">
        <w:rPr>
          <w:szCs w:val="26"/>
        </w:rPr>
        <w:t xml:space="preserve"> </w:t>
      </w:r>
      <w:r w:rsidR="00361728" w:rsidRPr="00A7631D">
        <w:rPr>
          <w:szCs w:val="26"/>
        </w:rPr>
        <w:t xml:space="preserve">— </w:t>
      </w:r>
      <w:r w:rsidRPr="00A7631D">
        <w:rPr>
          <w:szCs w:val="26"/>
        </w:rPr>
        <w:t xml:space="preserve">does not render </w:t>
      </w:r>
      <w:r w:rsidR="00335D79" w:rsidRPr="00A7631D">
        <w:rPr>
          <w:szCs w:val="26"/>
        </w:rPr>
        <w:t xml:space="preserve">CALJIC No. 8.88 </w:t>
      </w:r>
      <w:r w:rsidRPr="00A7631D">
        <w:rPr>
          <w:szCs w:val="26"/>
        </w:rPr>
        <w:t>unconstitutional.  (</w:t>
      </w:r>
      <w:r w:rsidRPr="00A7631D">
        <w:rPr>
          <w:i/>
          <w:szCs w:val="26"/>
        </w:rPr>
        <w:t>People v. Landry</w:t>
      </w:r>
      <w:r w:rsidR="003927A5" w:rsidRPr="00A7631D">
        <w:rPr>
          <w:szCs w:val="26"/>
        </w:rPr>
        <w:t xml:space="preserve"> (2016)</w:t>
      </w:r>
      <w:r w:rsidRPr="00A7631D">
        <w:rPr>
          <w:szCs w:val="26"/>
        </w:rPr>
        <w:t xml:space="preserve"> 2 Cal.5th </w:t>
      </w:r>
      <w:r w:rsidR="003927A5" w:rsidRPr="00A7631D">
        <w:rPr>
          <w:szCs w:val="26"/>
        </w:rPr>
        <w:t>52,</w:t>
      </w:r>
      <w:r w:rsidRPr="00A7631D">
        <w:rPr>
          <w:szCs w:val="26"/>
        </w:rPr>
        <w:t xml:space="preserve"> 123.)</w:t>
      </w:r>
      <w:r w:rsidR="00335D79" w:rsidRPr="00A7631D">
        <w:rPr>
          <w:szCs w:val="26"/>
        </w:rPr>
        <w:t xml:space="preserve">  Nor is the instruction “ ‘</w:t>
      </w:r>
      <w:r w:rsidR="00D17A52">
        <w:rPr>
          <w:szCs w:val="26"/>
        </w:rPr>
        <w:t> </w:t>
      </w:r>
      <w:r w:rsidR="00023FE7">
        <w:rPr>
          <w:szCs w:val="26"/>
        </w:rPr>
        <w:t>“</w:t>
      </w:r>
      <w:r w:rsidR="00335D79" w:rsidRPr="00A7631D">
        <w:rPr>
          <w:szCs w:val="26"/>
        </w:rPr>
        <w:t>unconstitutional for failing to inform the jury that</w:t>
      </w:r>
      <w:r w:rsidR="00023FE7">
        <w:rPr>
          <w:szCs w:val="26"/>
        </w:rPr>
        <w:t>: . . .</w:t>
      </w:r>
      <w:r w:rsidR="00335D79" w:rsidRPr="00A7631D">
        <w:rPr>
          <w:szCs w:val="26"/>
        </w:rPr>
        <w:t xml:space="preserve"> death must be the appropriate penalty, not just a warranted penalty.</w:t>
      </w:r>
      <w:r w:rsidR="00023FE7">
        <w:rPr>
          <w:szCs w:val="26"/>
        </w:rPr>
        <w:t>”</w:t>
      </w:r>
      <w:r w:rsidR="00B47795">
        <w:rPr>
          <w:szCs w:val="26"/>
        </w:rPr>
        <w:t> </w:t>
      </w:r>
      <w:r w:rsidR="00335D79" w:rsidRPr="00A7631D">
        <w:rPr>
          <w:szCs w:val="26"/>
        </w:rPr>
        <w:t>’</w:t>
      </w:r>
      <w:r w:rsidR="00B47795">
        <w:rPr>
          <w:szCs w:val="26"/>
        </w:rPr>
        <w:t> </w:t>
      </w:r>
      <w:r w:rsidR="00335D79" w:rsidRPr="00A7631D">
        <w:rPr>
          <w:szCs w:val="26"/>
        </w:rPr>
        <w:t>”</w:t>
      </w:r>
      <w:r w:rsidR="004E27AF" w:rsidRPr="00A7631D">
        <w:rPr>
          <w:szCs w:val="26"/>
        </w:rPr>
        <w:t xml:space="preserve"> </w:t>
      </w:r>
      <w:r w:rsidR="00335D79" w:rsidRPr="00A7631D">
        <w:rPr>
          <w:szCs w:val="26"/>
        </w:rPr>
        <w:t xml:space="preserve"> (</w:t>
      </w:r>
      <w:r w:rsidR="00335D79" w:rsidRPr="00A7631D">
        <w:rPr>
          <w:i/>
          <w:iCs/>
          <w:szCs w:val="26"/>
        </w:rPr>
        <w:t>People v. Mitchell</w:t>
      </w:r>
      <w:r w:rsidR="00AB1CD7" w:rsidRPr="00A7631D">
        <w:rPr>
          <w:szCs w:val="26"/>
        </w:rPr>
        <w:t xml:space="preserve">, </w:t>
      </w:r>
      <w:r w:rsidR="00AB1CD7" w:rsidRPr="00A7631D">
        <w:rPr>
          <w:i/>
          <w:iCs/>
          <w:szCs w:val="26"/>
        </w:rPr>
        <w:t>supra</w:t>
      </w:r>
      <w:r w:rsidR="00AB1CD7" w:rsidRPr="00A7631D">
        <w:rPr>
          <w:szCs w:val="26"/>
        </w:rPr>
        <w:t xml:space="preserve">, </w:t>
      </w:r>
      <w:r w:rsidR="00335D79" w:rsidRPr="00A7631D">
        <w:rPr>
          <w:szCs w:val="26"/>
        </w:rPr>
        <w:t xml:space="preserve">7 Cal.5th </w:t>
      </w:r>
      <w:r w:rsidR="00AB1CD7" w:rsidRPr="00A7631D">
        <w:rPr>
          <w:szCs w:val="26"/>
        </w:rPr>
        <w:t>at p.</w:t>
      </w:r>
      <w:r w:rsidR="00335D79" w:rsidRPr="00A7631D">
        <w:rPr>
          <w:szCs w:val="26"/>
        </w:rPr>
        <w:t xml:space="preserve"> 589.)</w:t>
      </w:r>
      <w:r w:rsidR="003066A3" w:rsidRPr="00A7631D">
        <w:rPr>
          <w:szCs w:val="26"/>
        </w:rPr>
        <w:t xml:space="preserve">  </w:t>
      </w:r>
      <w:r w:rsidR="00D46288" w:rsidRPr="00A7631D">
        <w:rPr>
          <w:szCs w:val="26"/>
        </w:rPr>
        <w:t>Error does not “flow</w:t>
      </w:r>
      <w:r w:rsidR="00E7359C" w:rsidRPr="00A7631D">
        <w:rPr>
          <w:szCs w:val="26"/>
        </w:rPr>
        <w:t>[]</w:t>
      </w:r>
      <w:r w:rsidR="00692ECC" w:rsidRPr="00A7631D">
        <w:rPr>
          <w:szCs w:val="26"/>
          <w:shd w:val="clear" w:color="auto" w:fill="FFFFFF"/>
        </w:rPr>
        <w:t xml:space="preserve"> from a failure to instruct the jury that if mitigating factors</w:t>
      </w:r>
      <w:r w:rsidR="00692ECC" w:rsidRPr="00A7631D">
        <w:rPr>
          <w:rStyle w:val="apple-converted-space"/>
          <w:szCs w:val="26"/>
          <w:shd w:val="clear" w:color="auto" w:fill="FFFFFF"/>
        </w:rPr>
        <w:t> </w:t>
      </w:r>
      <w:r w:rsidR="00692ECC" w:rsidRPr="00A7631D">
        <w:rPr>
          <w:szCs w:val="26"/>
          <w:shd w:val="clear" w:color="auto" w:fill="FFFFFF"/>
        </w:rPr>
        <w:t>outweigh aggravating factors, life is the appropriate sentence.”</w:t>
      </w:r>
      <w:r w:rsidR="003927A5" w:rsidRPr="00A7631D">
        <w:rPr>
          <w:szCs w:val="26"/>
          <w:shd w:val="clear" w:color="auto" w:fill="FFFFFF"/>
        </w:rPr>
        <w:t xml:space="preserve"> </w:t>
      </w:r>
      <w:r w:rsidR="00692ECC" w:rsidRPr="00A7631D">
        <w:rPr>
          <w:szCs w:val="26"/>
        </w:rPr>
        <w:t xml:space="preserve"> (</w:t>
      </w:r>
      <w:r w:rsidR="00692ECC" w:rsidRPr="00A7631D">
        <w:rPr>
          <w:i/>
          <w:iCs/>
          <w:szCs w:val="26"/>
          <w:bdr w:val="none" w:sz="0" w:space="0" w:color="auto" w:frame="1"/>
        </w:rPr>
        <w:t>Mora and Rangel</w:t>
      </w:r>
      <w:r w:rsidR="00926D0A" w:rsidRPr="00A7631D">
        <w:rPr>
          <w:rStyle w:val="apple-converted-space"/>
          <w:szCs w:val="26"/>
        </w:rPr>
        <w:t xml:space="preserve">, </w:t>
      </w:r>
      <w:r w:rsidR="00926D0A" w:rsidRPr="00A7631D">
        <w:rPr>
          <w:rStyle w:val="apple-converted-space"/>
          <w:i/>
          <w:iCs/>
          <w:szCs w:val="26"/>
        </w:rPr>
        <w:t>supra</w:t>
      </w:r>
      <w:r w:rsidR="00926D0A" w:rsidRPr="00A7631D">
        <w:rPr>
          <w:rStyle w:val="apple-converted-space"/>
          <w:szCs w:val="26"/>
        </w:rPr>
        <w:t>,</w:t>
      </w:r>
      <w:r w:rsidR="00692ECC" w:rsidRPr="00A7631D">
        <w:rPr>
          <w:szCs w:val="26"/>
        </w:rPr>
        <w:t xml:space="preserve"> 5 Cal.5th </w:t>
      </w:r>
      <w:r w:rsidR="00926D0A" w:rsidRPr="00A7631D">
        <w:rPr>
          <w:szCs w:val="26"/>
        </w:rPr>
        <w:t>at p.</w:t>
      </w:r>
      <w:r w:rsidR="00692ECC" w:rsidRPr="00A7631D">
        <w:rPr>
          <w:szCs w:val="26"/>
        </w:rPr>
        <w:t xml:space="preserve"> 519.)</w:t>
      </w:r>
    </w:p>
    <w:p w14:paraId="751DA40F" w14:textId="173F315E" w:rsidR="007B09F8" w:rsidRPr="00A7631D" w:rsidRDefault="00A026B0" w:rsidP="00A067EE">
      <w:pPr>
        <w:ind w:firstLine="720"/>
        <w:rPr>
          <w:rFonts w:eastAsiaTheme="minorEastAsia"/>
          <w:szCs w:val="26"/>
        </w:rPr>
      </w:pPr>
      <w:r w:rsidRPr="00A7631D">
        <w:rPr>
          <w:rFonts w:eastAsiaTheme="minorEastAsia"/>
          <w:szCs w:val="26"/>
        </w:rPr>
        <w:t xml:space="preserve">The trial court was not obliged to provide a jury instruction indicating </w:t>
      </w:r>
      <w:r w:rsidR="00B54A69" w:rsidRPr="00A7631D">
        <w:rPr>
          <w:rFonts w:eastAsiaTheme="minorEastAsia"/>
          <w:szCs w:val="26"/>
        </w:rPr>
        <w:t xml:space="preserve">it was a defendant’s burden to demonstrate factors in mitigation were present, </w:t>
      </w:r>
      <w:r w:rsidR="00E10E53" w:rsidRPr="00A7631D">
        <w:rPr>
          <w:rFonts w:eastAsiaTheme="minorEastAsia"/>
          <w:szCs w:val="26"/>
        </w:rPr>
        <w:t xml:space="preserve">nor </w:t>
      </w:r>
      <w:r w:rsidR="005411C8" w:rsidRPr="00A7631D">
        <w:rPr>
          <w:rFonts w:eastAsiaTheme="minorEastAsia"/>
          <w:szCs w:val="26"/>
        </w:rPr>
        <w:t>did the court need to instruct the jury it was required to unanimously find any mitigating factor was present</w:t>
      </w:r>
      <w:r w:rsidR="004D5C2A" w:rsidRPr="00A7631D">
        <w:rPr>
          <w:rFonts w:eastAsiaTheme="minorEastAsia"/>
          <w:szCs w:val="26"/>
        </w:rPr>
        <w:t xml:space="preserve">. </w:t>
      </w:r>
      <w:r w:rsidR="00B105A8" w:rsidRPr="00A7631D">
        <w:rPr>
          <w:rFonts w:eastAsiaTheme="minorEastAsia"/>
          <w:szCs w:val="26"/>
        </w:rPr>
        <w:t xml:space="preserve"> </w:t>
      </w:r>
      <w:r w:rsidR="00432683" w:rsidRPr="00A7631D">
        <w:rPr>
          <w:rFonts w:eastAsiaTheme="minorEastAsia"/>
          <w:szCs w:val="26"/>
        </w:rPr>
        <w:t>(</w:t>
      </w:r>
      <w:r w:rsidR="00432683" w:rsidRPr="00A7631D">
        <w:rPr>
          <w:rFonts w:eastAsiaTheme="minorEastAsia"/>
          <w:i/>
          <w:iCs/>
          <w:szCs w:val="26"/>
        </w:rPr>
        <w:t>People v. Jones</w:t>
      </w:r>
      <w:r w:rsidR="007B7360" w:rsidRPr="00A7631D">
        <w:rPr>
          <w:rFonts w:eastAsiaTheme="minorEastAsia"/>
          <w:szCs w:val="26"/>
        </w:rPr>
        <w:t xml:space="preserve">, </w:t>
      </w:r>
      <w:r w:rsidR="007B7360" w:rsidRPr="00A7631D">
        <w:rPr>
          <w:rFonts w:eastAsiaTheme="minorEastAsia"/>
          <w:i/>
          <w:iCs/>
          <w:szCs w:val="26"/>
        </w:rPr>
        <w:t>supra</w:t>
      </w:r>
      <w:r w:rsidR="007B7360" w:rsidRPr="00A7631D">
        <w:rPr>
          <w:rFonts w:eastAsiaTheme="minorEastAsia"/>
          <w:szCs w:val="26"/>
        </w:rPr>
        <w:t>,</w:t>
      </w:r>
      <w:r w:rsidR="00432683" w:rsidRPr="00A7631D">
        <w:rPr>
          <w:rFonts w:eastAsiaTheme="minorEastAsia"/>
          <w:szCs w:val="26"/>
        </w:rPr>
        <w:t xml:space="preserve"> 3 Cal.5th </w:t>
      </w:r>
      <w:r w:rsidR="007B7360" w:rsidRPr="00A7631D">
        <w:rPr>
          <w:rFonts w:eastAsiaTheme="minorEastAsia"/>
          <w:szCs w:val="26"/>
        </w:rPr>
        <w:t>at p.</w:t>
      </w:r>
      <w:r w:rsidR="00432683" w:rsidRPr="00A7631D">
        <w:rPr>
          <w:rFonts w:eastAsiaTheme="minorEastAsia"/>
          <w:szCs w:val="26"/>
        </w:rPr>
        <w:t xml:space="preserve"> 620.)</w:t>
      </w:r>
      <w:r w:rsidR="00B105A8" w:rsidRPr="00A7631D">
        <w:rPr>
          <w:rFonts w:eastAsiaTheme="minorEastAsia"/>
          <w:szCs w:val="26"/>
        </w:rPr>
        <w:t xml:space="preserve"> </w:t>
      </w:r>
      <w:r w:rsidR="00D90CC8" w:rsidRPr="00A7631D">
        <w:rPr>
          <w:rFonts w:eastAsiaTheme="minorEastAsia"/>
          <w:szCs w:val="26"/>
        </w:rPr>
        <w:t xml:space="preserve"> </w:t>
      </w:r>
    </w:p>
    <w:p w14:paraId="0709FD01" w14:textId="1E903593" w:rsidR="00690B28" w:rsidRPr="00A7631D" w:rsidRDefault="004678E6" w:rsidP="00A067EE">
      <w:pPr>
        <w:ind w:firstLine="720"/>
        <w:rPr>
          <w:szCs w:val="26"/>
        </w:rPr>
      </w:pPr>
      <w:r w:rsidRPr="00A7631D">
        <w:rPr>
          <w:szCs w:val="26"/>
        </w:rPr>
        <w:t>“The trial court has no obligation to delete from CALJIC No. 8.85 inapplicable mitigating factors.”  (</w:t>
      </w:r>
      <w:r w:rsidR="00FF3D90" w:rsidRPr="00A7631D">
        <w:rPr>
          <w:i/>
          <w:iCs/>
          <w:szCs w:val="26"/>
        </w:rPr>
        <w:t xml:space="preserve">People v. </w:t>
      </w:r>
      <w:r w:rsidRPr="00A7631D">
        <w:rPr>
          <w:i/>
          <w:iCs/>
          <w:szCs w:val="26"/>
        </w:rPr>
        <w:t>Mitchell</w:t>
      </w:r>
      <w:r w:rsidRPr="00A7631D">
        <w:rPr>
          <w:szCs w:val="26"/>
        </w:rPr>
        <w:t xml:space="preserve">, </w:t>
      </w:r>
      <w:r w:rsidRPr="00A7631D">
        <w:rPr>
          <w:i/>
          <w:iCs/>
          <w:szCs w:val="26"/>
        </w:rPr>
        <w:t>supra</w:t>
      </w:r>
      <w:r w:rsidRPr="00A7631D">
        <w:rPr>
          <w:szCs w:val="26"/>
        </w:rPr>
        <w:t>, 7 Cal.5th at p. 589.)</w:t>
      </w:r>
      <w:r w:rsidR="007B09F8" w:rsidRPr="00A7631D">
        <w:rPr>
          <w:szCs w:val="26"/>
        </w:rPr>
        <w:t xml:space="preserve">  </w:t>
      </w:r>
      <w:r w:rsidR="00247E97" w:rsidRPr="00A7631D">
        <w:rPr>
          <w:szCs w:val="26"/>
        </w:rPr>
        <w:t>There is likewise no requirement</w:t>
      </w:r>
      <w:r w:rsidR="007B09F8" w:rsidRPr="00A7631D">
        <w:rPr>
          <w:szCs w:val="26"/>
        </w:rPr>
        <w:t xml:space="preserve"> </w:t>
      </w:r>
      <w:r w:rsidR="00247E97" w:rsidRPr="00A7631D">
        <w:rPr>
          <w:szCs w:val="26"/>
        </w:rPr>
        <w:t>“</w:t>
      </w:r>
      <w:r w:rsidR="007B09F8" w:rsidRPr="00A7631D">
        <w:rPr>
          <w:szCs w:val="26"/>
        </w:rPr>
        <w:t xml:space="preserve">that the court designate which factors are aggravating or mitigating or instruct the jury that certain factors are relevant only in mitigation.” </w:t>
      </w:r>
      <w:r w:rsidR="003927A5" w:rsidRPr="00A7631D">
        <w:rPr>
          <w:szCs w:val="26"/>
        </w:rPr>
        <w:t xml:space="preserve"> </w:t>
      </w:r>
      <w:r w:rsidR="007B09F8" w:rsidRPr="00A7631D">
        <w:rPr>
          <w:szCs w:val="26"/>
        </w:rPr>
        <w:t>(</w:t>
      </w:r>
      <w:r w:rsidR="00AD3AF0" w:rsidRPr="00A7631D">
        <w:rPr>
          <w:i/>
          <w:iCs/>
          <w:szCs w:val="26"/>
        </w:rPr>
        <w:t xml:space="preserve">People v. </w:t>
      </w:r>
      <w:proofErr w:type="spellStart"/>
      <w:r w:rsidR="007B09F8" w:rsidRPr="00A7631D">
        <w:rPr>
          <w:i/>
          <w:iCs/>
          <w:szCs w:val="26"/>
        </w:rPr>
        <w:t>Winbush</w:t>
      </w:r>
      <w:proofErr w:type="spellEnd"/>
      <w:r w:rsidR="00AD3AF0" w:rsidRPr="00A7631D">
        <w:rPr>
          <w:szCs w:val="26"/>
        </w:rPr>
        <w:t xml:space="preserve"> (201</w:t>
      </w:r>
      <w:r w:rsidR="002C3F77" w:rsidRPr="00A7631D">
        <w:rPr>
          <w:szCs w:val="26"/>
        </w:rPr>
        <w:t>7</w:t>
      </w:r>
      <w:r w:rsidR="00AD3AF0" w:rsidRPr="00A7631D">
        <w:rPr>
          <w:szCs w:val="26"/>
        </w:rPr>
        <w:t xml:space="preserve">) </w:t>
      </w:r>
      <w:r w:rsidR="007B09F8" w:rsidRPr="00A7631D">
        <w:rPr>
          <w:szCs w:val="26"/>
        </w:rPr>
        <w:t xml:space="preserve">2 Cal.5th </w:t>
      </w:r>
      <w:r w:rsidR="00AD3AF0" w:rsidRPr="00A7631D">
        <w:rPr>
          <w:szCs w:val="26"/>
        </w:rPr>
        <w:t>402,</w:t>
      </w:r>
      <w:r w:rsidR="007B09F8" w:rsidRPr="00A7631D">
        <w:rPr>
          <w:szCs w:val="26"/>
        </w:rPr>
        <w:t xml:space="preserve"> 490.)</w:t>
      </w:r>
    </w:p>
    <w:p w14:paraId="0BFFD84D" w14:textId="201054EC" w:rsidR="00624BE8" w:rsidRPr="00A7631D" w:rsidRDefault="00690B28" w:rsidP="00A067EE">
      <w:pPr>
        <w:ind w:firstLine="720"/>
        <w:rPr>
          <w:szCs w:val="26"/>
        </w:rPr>
      </w:pPr>
      <w:r w:rsidRPr="00A7631D">
        <w:rPr>
          <w:szCs w:val="26"/>
        </w:rPr>
        <w:t xml:space="preserve">The federal Constitution does not require intercase proportionality review, assessing the relative culpability of </w:t>
      </w:r>
      <w:r w:rsidR="00120986" w:rsidRPr="00A7631D">
        <w:rPr>
          <w:szCs w:val="26"/>
        </w:rPr>
        <w:t xml:space="preserve">a </w:t>
      </w:r>
      <w:r w:rsidRPr="00A7631D">
        <w:rPr>
          <w:szCs w:val="26"/>
        </w:rPr>
        <w:t>defendant’s case compared to other murders.  (</w:t>
      </w:r>
      <w:r w:rsidRPr="00A7631D">
        <w:rPr>
          <w:i/>
          <w:iCs/>
          <w:szCs w:val="26"/>
        </w:rPr>
        <w:t>People v. Bell</w:t>
      </w:r>
      <w:r w:rsidRPr="00A7631D">
        <w:rPr>
          <w:szCs w:val="26"/>
        </w:rPr>
        <w:t xml:space="preserve">, </w:t>
      </w:r>
      <w:r w:rsidRPr="00A7631D">
        <w:rPr>
          <w:i/>
          <w:iCs/>
          <w:szCs w:val="26"/>
        </w:rPr>
        <w:t>supra</w:t>
      </w:r>
      <w:r w:rsidRPr="00A7631D">
        <w:rPr>
          <w:szCs w:val="26"/>
        </w:rPr>
        <w:t>, 7 Cal.5th at p. 131.)</w:t>
      </w:r>
      <w:r w:rsidR="009D2756" w:rsidRPr="00A7631D">
        <w:rPr>
          <w:szCs w:val="26"/>
        </w:rPr>
        <w:t xml:space="preserve">  </w:t>
      </w:r>
      <w:r w:rsidRPr="00A7631D">
        <w:rPr>
          <w:szCs w:val="26"/>
        </w:rPr>
        <w:t>“</w:t>
      </w:r>
      <w:r w:rsidR="00B47795">
        <w:rPr>
          <w:szCs w:val="26"/>
        </w:rPr>
        <w:t> </w:t>
      </w:r>
      <w:r w:rsidR="007F5752">
        <w:rPr>
          <w:szCs w:val="26"/>
        </w:rPr>
        <w:t>‘</w:t>
      </w:r>
      <w:r w:rsidRPr="00A7631D">
        <w:rPr>
          <w:szCs w:val="26"/>
        </w:rPr>
        <w:t xml:space="preserve">The capital sentencing scheme does not violate equal protection by denying to capital </w:t>
      </w:r>
      <w:r w:rsidRPr="00A7631D">
        <w:rPr>
          <w:szCs w:val="26"/>
        </w:rPr>
        <w:lastRenderedPageBreak/>
        <w:t>defendants procedural safeguards that are available to noncapital defendants.</w:t>
      </w:r>
      <w:r w:rsidR="007F5752">
        <w:rPr>
          <w:szCs w:val="26"/>
        </w:rPr>
        <w:t>’</w:t>
      </w:r>
      <w:r w:rsidR="00D17A52">
        <w:rPr>
          <w:szCs w:val="26"/>
        </w:rPr>
        <w:t> </w:t>
      </w:r>
      <w:r w:rsidRPr="00A7631D">
        <w:rPr>
          <w:szCs w:val="26"/>
        </w:rPr>
        <w:t xml:space="preserve">” </w:t>
      </w:r>
      <w:r w:rsidR="009D2756" w:rsidRPr="00A7631D">
        <w:rPr>
          <w:szCs w:val="26"/>
        </w:rPr>
        <w:t xml:space="preserve"> </w:t>
      </w:r>
      <w:r w:rsidRPr="00A7631D">
        <w:rPr>
          <w:szCs w:val="26"/>
        </w:rPr>
        <w:t>(</w:t>
      </w:r>
      <w:r w:rsidRPr="00A7631D">
        <w:rPr>
          <w:i/>
          <w:iCs/>
          <w:szCs w:val="26"/>
        </w:rPr>
        <w:t>People v. Fred</w:t>
      </w:r>
      <w:r w:rsidR="008208A8" w:rsidRPr="00A7631D">
        <w:rPr>
          <w:i/>
          <w:iCs/>
          <w:szCs w:val="26"/>
        </w:rPr>
        <w:t>e</w:t>
      </w:r>
      <w:r w:rsidRPr="00A7631D">
        <w:rPr>
          <w:i/>
          <w:iCs/>
          <w:szCs w:val="26"/>
        </w:rPr>
        <w:t>rickson</w:t>
      </w:r>
      <w:r w:rsidR="008208A8" w:rsidRPr="00A7631D">
        <w:rPr>
          <w:szCs w:val="26"/>
        </w:rPr>
        <w:t xml:space="preserve">, </w:t>
      </w:r>
      <w:r w:rsidR="008208A8" w:rsidRPr="00A7631D">
        <w:rPr>
          <w:i/>
          <w:iCs/>
          <w:szCs w:val="26"/>
        </w:rPr>
        <w:t>supra</w:t>
      </w:r>
      <w:r w:rsidR="008208A8" w:rsidRPr="00A7631D">
        <w:rPr>
          <w:szCs w:val="26"/>
        </w:rPr>
        <w:t>,</w:t>
      </w:r>
      <w:r w:rsidR="008208A8" w:rsidRPr="00A7631D">
        <w:rPr>
          <w:i/>
          <w:iCs/>
          <w:szCs w:val="26"/>
        </w:rPr>
        <w:t xml:space="preserve"> </w:t>
      </w:r>
      <w:r w:rsidRPr="00A7631D">
        <w:rPr>
          <w:szCs w:val="26"/>
        </w:rPr>
        <w:t xml:space="preserve">8 Cal.5th </w:t>
      </w:r>
      <w:r w:rsidR="008208A8" w:rsidRPr="00A7631D">
        <w:rPr>
          <w:szCs w:val="26"/>
        </w:rPr>
        <w:t>at p.</w:t>
      </w:r>
      <w:r w:rsidR="00CF1521" w:rsidRPr="00A7631D">
        <w:rPr>
          <w:szCs w:val="26"/>
        </w:rPr>
        <w:t xml:space="preserve"> </w:t>
      </w:r>
      <w:r w:rsidRPr="00A7631D">
        <w:rPr>
          <w:szCs w:val="26"/>
        </w:rPr>
        <w:t>1027.</w:t>
      </w:r>
      <w:r w:rsidR="00786B96" w:rsidRPr="00A7631D">
        <w:rPr>
          <w:szCs w:val="26"/>
        </w:rPr>
        <w:t xml:space="preserve">)  </w:t>
      </w:r>
      <w:r w:rsidR="00CE043E" w:rsidRPr="00A7631D">
        <w:rPr>
          <w:szCs w:val="26"/>
        </w:rPr>
        <w:t>Defendant does not present a persuasive argument that i</w:t>
      </w:r>
      <w:r w:rsidRPr="00A7631D">
        <w:rPr>
          <w:szCs w:val="26"/>
        </w:rPr>
        <w:t>nternational law prohibit</w:t>
      </w:r>
      <w:r w:rsidR="00CE043E" w:rsidRPr="00A7631D">
        <w:rPr>
          <w:szCs w:val="26"/>
        </w:rPr>
        <w:t>s</w:t>
      </w:r>
      <w:r w:rsidRPr="00A7631D">
        <w:rPr>
          <w:szCs w:val="26"/>
        </w:rPr>
        <w:t xml:space="preserve"> application of the death penalty </w:t>
      </w:r>
      <w:r w:rsidR="003C4D93" w:rsidRPr="00A7631D">
        <w:rPr>
          <w:szCs w:val="26"/>
        </w:rPr>
        <w:t>in this case, or in the United States</w:t>
      </w:r>
      <w:r w:rsidRPr="00A7631D">
        <w:rPr>
          <w:szCs w:val="26"/>
        </w:rPr>
        <w:t>.</w:t>
      </w:r>
      <w:r w:rsidR="00EA6EC8" w:rsidRPr="00A7631D">
        <w:rPr>
          <w:szCs w:val="26"/>
        </w:rPr>
        <w:t xml:space="preserve"> </w:t>
      </w:r>
      <w:r w:rsidRPr="00A7631D">
        <w:rPr>
          <w:szCs w:val="26"/>
        </w:rPr>
        <w:t xml:space="preserve"> </w:t>
      </w:r>
      <w:r w:rsidR="00EA6EC8" w:rsidRPr="00A7631D">
        <w:rPr>
          <w:szCs w:val="26"/>
        </w:rPr>
        <w:t>T</w:t>
      </w:r>
      <w:r w:rsidRPr="00A7631D">
        <w:rPr>
          <w:szCs w:val="26"/>
        </w:rPr>
        <w:t>h</w:t>
      </w:r>
      <w:r w:rsidR="00CF6C7B" w:rsidRPr="00A7631D">
        <w:rPr>
          <w:szCs w:val="26"/>
        </w:rPr>
        <w:t>is country reserved the right to impose the death penalty when it signed</w:t>
      </w:r>
      <w:r w:rsidRPr="00A7631D">
        <w:rPr>
          <w:szCs w:val="26"/>
        </w:rPr>
        <w:t xml:space="preserve"> the International Covenant on Civil and Political Rights.</w:t>
      </w:r>
      <w:r w:rsidR="00CF6C7B" w:rsidRPr="00A7631D">
        <w:rPr>
          <w:szCs w:val="26"/>
        </w:rPr>
        <w:t xml:space="preserve"> </w:t>
      </w:r>
      <w:r w:rsidRPr="00A7631D">
        <w:rPr>
          <w:szCs w:val="26"/>
        </w:rPr>
        <w:t xml:space="preserve"> (</w:t>
      </w:r>
      <w:r w:rsidRPr="00A7631D">
        <w:rPr>
          <w:i/>
          <w:iCs/>
          <w:szCs w:val="26"/>
        </w:rPr>
        <w:t>People v. Capers</w:t>
      </w:r>
      <w:r w:rsidR="00C20CA8" w:rsidRPr="00A7631D">
        <w:rPr>
          <w:szCs w:val="26"/>
        </w:rPr>
        <w:t xml:space="preserve"> (2019) </w:t>
      </w:r>
      <w:r w:rsidRPr="00A7631D">
        <w:rPr>
          <w:szCs w:val="26"/>
        </w:rPr>
        <w:t>7 Cal.5th 989</w:t>
      </w:r>
      <w:r w:rsidR="00C20CA8" w:rsidRPr="00A7631D">
        <w:rPr>
          <w:szCs w:val="26"/>
        </w:rPr>
        <w:t>,</w:t>
      </w:r>
      <w:r w:rsidRPr="00A7631D">
        <w:rPr>
          <w:szCs w:val="26"/>
        </w:rPr>
        <w:t xml:space="preserve"> 1017.)</w:t>
      </w:r>
    </w:p>
    <w:p w14:paraId="0C6668F2" w14:textId="4971D131" w:rsidR="00F9731A" w:rsidRPr="00A7631D" w:rsidRDefault="006A3FC0" w:rsidP="00A7631D">
      <w:pPr>
        <w:pStyle w:val="Heading2"/>
      </w:pPr>
      <w:bookmarkStart w:id="83" w:name="_Toc58846846"/>
      <w:bookmarkStart w:id="84" w:name="_Toc50617064"/>
      <w:r>
        <w:t>B</w:t>
      </w:r>
      <w:r w:rsidR="00F9731A" w:rsidRPr="00A7631D">
        <w:t xml:space="preserve">. </w:t>
      </w:r>
      <w:r w:rsidR="00F9731A" w:rsidRPr="00A7631D">
        <w:tab/>
        <w:t>Cumulative Error</w:t>
      </w:r>
      <w:bookmarkEnd w:id="83"/>
      <w:r w:rsidR="00F9731A" w:rsidRPr="00A7631D">
        <w:t xml:space="preserve"> </w:t>
      </w:r>
      <w:bookmarkEnd w:id="84"/>
    </w:p>
    <w:p w14:paraId="7326D937" w14:textId="6626D6C9" w:rsidR="00805AA4" w:rsidRPr="00A7631D" w:rsidRDefault="00120986" w:rsidP="00A067EE">
      <w:pPr>
        <w:ind w:firstLine="720"/>
      </w:pPr>
      <w:r w:rsidRPr="00A7631D">
        <w:t>Wilson</w:t>
      </w:r>
      <w:r w:rsidR="000226E5" w:rsidRPr="00A7631D">
        <w:t xml:space="preserve"> contends the combined guilt and penalty phase errors require reversal of his conviction and death sentence, even if the errors are not prejudicial when considered individually.  </w:t>
      </w:r>
      <w:r w:rsidR="00CD3BAB" w:rsidRPr="00A7631D">
        <w:t>W</w:t>
      </w:r>
      <w:r w:rsidR="00805AA4" w:rsidRPr="00A7631D">
        <w:t>e</w:t>
      </w:r>
      <w:r w:rsidR="008F0408" w:rsidRPr="00A7631D">
        <w:t xml:space="preserve"> </w:t>
      </w:r>
      <w:r w:rsidR="000226E5" w:rsidRPr="00A7631D">
        <w:t>have found no error, so no prejudice can accumulate.</w:t>
      </w:r>
    </w:p>
    <w:p w14:paraId="1C4170E7" w14:textId="7ED776AD" w:rsidR="00CE7FBB" w:rsidRPr="00A7631D" w:rsidRDefault="00CE7FBB" w:rsidP="004D469C">
      <w:pPr>
        <w:pStyle w:val="Heading1"/>
      </w:pPr>
      <w:bookmarkStart w:id="85" w:name="_Toc31888638"/>
      <w:bookmarkStart w:id="86" w:name="_Toc34223194"/>
      <w:bookmarkStart w:id="87" w:name="_Toc58846847"/>
      <w:bookmarkStart w:id="88" w:name="_Toc50617065"/>
      <w:r w:rsidRPr="00A7631D">
        <w:t>V.  Disposition</w:t>
      </w:r>
      <w:bookmarkEnd w:id="85"/>
      <w:bookmarkEnd w:id="86"/>
      <w:bookmarkEnd w:id="87"/>
      <w:bookmarkEnd w:id="88"/>
    </w:p>
    <w:p w14:paraId="139C4C40" w14:textId="7B0ABE7F" w:rsidR="00CE7FBB" w:rsidRPr="00A7631D" w:rsidRDefault="00CE7FBB" w:rsidP="00A067EE">
      <w:pPr>
        <w:tabs>
          <w:tab w:val="left" w:pos="720"/>
          <w:tab w:val="left" w:pos="1170"/>
        </w:tabs>
        <w:rPr>
          <w:szCs w:val="26"/>
        </w:rPr>
      </w:pPr>
      <w:r w:rsidRPr="00A7631D">
        <w:rPr>
          <w:szCs w:val="26"/>
        </w:rPr>
        <w:tab/>
      </w:r>
      <w:r w:rsidR="00096F86" w:rsidRPr="00A7631D">
        <w:rPr>
          <w:szCs w:val="26"/>
        </w:rPr>
        <w:t>W</w:t>
      </w:r>
      <w:r w:rsidRPr="00A7631D">
        <w:rPr>
          <w:szCs w:val="26"/>
        </w:rPr>
        <w:t>e affirm the judgment.</w:t>
      </w:r>
    </w:p>
    <w:p w14:paraId="5733E82B" w14:textId="38B98AE1" w:rsidR="00E12B3A" w:rsidRPr="00CF5541" w:rsidRDefault="00CE7FBB" w:rsidP="00E918F1">
      <w:pPr>
        <w:tabs>
          <w:tab w:val="left" w:pos="720"/>
          <w:tab w:val="left" w:pos="1170"/>
        </w:tabs>
        <w:rPr>
          <w:b/>
          <w:szCs w:val="24"/>
        </w:rPr>
      </w:pPr>
      <w:r w:rsidRPr="00A7631D">
        <w:rPr>
          <w:szCs w:val="24"/>
        </w:rPr>
        <w:tab/>
      </w:r>
      <w:r w:rsidRPr="00A7631D">
        <w:rPr>
          <w:szCs w:val="24"/>
        </w:rPr>
        <w:tab/>
      </w:r>
      <w:r w:rsidRPr="00A7631D">
        <w:rPr>
          <w:szCs w:val="24"/>
        </w:rPr>
        <w:tab/>
      </w:r>
      <w:r w:rsidRPr="00A7631D">
        <w:rPr>
          <w:szCs w:val="24"/>
        </w:rPr>
        <w:tab/>
      </w:r>
      <w:r w:rsidRPr="00A7631D">
        <w:rPr>
          <w:szCs w:val="24"/>
        </w:rPr>
        <w:tab/>
      </w:r>
      <w:r w:rsidRPr="00A7631D">
        <w:rPr>
          <w:szCs w:val="24"/>
        </w:rPr>
        <w:tab/>
      </w:r>
      <w:r w:rsidRPr="00A7631D">
        <w:rPr>
          <w:szCs w:val="24"/>
        </w:rPr>
        <w:tab/>
      </w:r>
      <w:r w:rsidRPr="00A7631D">
        <w:rPr>
          <w:szCs w:val="24"/>
        </w:rPr>
        <w:tab/>
      </w:r>
      <w:r w:rsidRPr="00A7631D">
        <w:rPr>
          <w:szCs w:val="24"/>
        </w:rPr>
        <w:tab/>
      </w:r>
      <w:r w:rsidRPr="00A7631D">
        <w:rPr>
          <w:b/>
          <w:szCs w:val="24"/>
        </w:rPr>
        <w:t>CUÉLLAR, J.</w:t>
      </w:r>
    </w:p>
    <w:p w14:paraId="387C2E62" w14:textId="77777777" w:rsidR="00CF5541" w:rsidRDefault="00CF5541" w:rsidP="00CF5541">
      <w:pPr>
        <w:tabs>
          <w:tab w:val="left" w:pos="1440"/>
        </w:tabs>
        <w:rPr>
          <w:b/>
          <w:bCs/>
        </w:rPr>
      </w:pPr>
      <w:bookmarkStart w:id="89" w:name="initials"/>
      <w:bookmarkEnd w:id="89"/>
      <w:r>
        <w:rPr>
          <w:b/>
          <w:bCs/>
        </w:rPr>
        <w:t>We Concur:</w:t>
      </w:r>
    </w:p>
    <w:p w14:paraId="0F0C2884" w14:textId="30B1C2CC" w:rsidR="00CF5541" w:rsidRDefault="00CF5541" w:rsidP="00CF5541">
      <w:pPr>
        <w:jc w:val="left"/>
        <w:rPr>
          <w:b/>
          <w:bCs/>
        </w:rPr>
      </w:pPr>
      <w:r>
        <w:rPr>
          <w:b/>
          <w:bCs/>
        </w:rPr>
        <w:t>CANTIL-SAKAUYE, C. J.</w:t>
      </w:r>
      <w:r>
        <w:rPr>
          <w:b/>
          <w:bCs/>
        </w:rPr>
        <w:br/>
        <w:t>CORRIGAN, J.</w:t>
      </w:r>
      <w:r>
        <w:rPr>
          <w:b/>
          <w:bCs/>
        </w:rPr>
        <w:br/>
        <w:t>LIU, J.</w:t>
      </w:r>
      <w:r>
        <w:rPr>
          <w:b/>
          <w:bCs/>
        </w:rPr>
        <w:br/>
      </w:r>
      <w:r w:rsidR="00353176">
        <w:rPr>
          <w:b/>
          <w:bCs/>
        </w:rPr>
        <w:t>KRUGER</w:t>
      </w:r>
      <w:r>
        <w:rPr>
          <w:b/>
          <w:bCs/>
        </w:rPr>
        <w:t>, J.</w:t>
      </w:r>
      <w:r>
        <w:rPr>
          <w:b/>
          <w:bCs/>
        </w:rPr>
        <w:br/>
      </w:r>
      <w:r w:rsidR="00353176">
        <w:rPr>
          <w:b/>
          <w:bCs/>
        </w:rPr>
        <w:t>GROBAN</w:t>
      </w:r>
      <w:r>
        <w:rPr>
          <w:b/>
          <w:bCs/>
        </w:rPr>
        <w:t>, J.</w:t>
      </w:r>
      <w:r w:rsidR="00353176" w:rsidRPr="00353176">
        <w:rPr>
          <w:b/>
          <w:bCs/>
        </w:rPr>
        <w:t xml:space="preserve"> </w:t>
      </w:r>
      <w:r w:rsidR="00353176">
        <w:rPr>
          <w:b/>
          <w:bCs/>
        </w:rPr>
        <w:br/>
        <w:t>KRAUSE, J.</w:t>
      </w:r>
      <w:r w:rsidR="00353176" w:rsidRPr="00E660EB">
        <w:rPr>
          <w:vertAlign w:val="superscript"/>
        </w:rPr>
        <w:t>*</w:t>
      </w:r>
    </w:p>
    <w:p w14:paraId="63B5121A" w14:textId="356D2F3A" w:rsidR="00CF5541" w:rsidRDefault="00CF5541" w:rsidP="00CF5541">
      <w:pPr>
        <w:jc w:val="left"/>
      </w:pPr>
    </w:p>
    <w:p w14:paraId="34844E61" w14:textId="77777777" w:rsidR="00CF5541" w:rsidRDefault="00CF5541" w:rsidP="00CF5541">
      <w:pPr>
        <w:pStyle w:val="FootnoteText"/>
      </w:pPr>
      <w:r>
        <w:t>________________________</w:t>
      </w:r>
    </w:p>
    <w:p w14:paraId="33773321" w14:textId="77777777" w:rsidR="00C434E7" w:rsidRDefault="00CF5541" w:rsidP="00353176">
      <w:pPr>
        <w:tabs>
          <w:tab w:val="left" w:pos="1440"/>
        </w:tabs>
        <w:spacing w:line="300" w:lineRule="exact"/>
        <w:rPr>
          <w:sz w:val="24"/>
          <w:szCs w:val="24"/>
        </w:rPr>
        <w:sectPr w:rsidR="00C434E7" w:rsidSect="00781236">
          <w:footerReference w:type="first" r:id="rId12"/>
          <w:pgSz w:w="12240" w:h="15840"/>
          <w:pgMar w:top="1800" w:right="2160" w:bottom="1440" w:left="2160" w:header="720" w:footer="720" w:gutter="0"/>
          <w:pgNumType w:start="1"/>
          <w:cols w:space="720"/>
          <w:titlePg/>
          <w:docGrid w:linePitch="367"/>
        </w:sectPr>
      </w:pPr>
      <w:r>
        <w:rPr>
          <w:rStyle w:val="FootnoteReference"/>
          <w:sz w:val="22"/>
          <w:szCs w:val="22"/>
        </w:rPr>
        <w:t>*</w:t>
      </w:r>
      <w:r>
        <w:rPr>
          <w:sz w:val="22"/>
          <w:szCs w:val="22"/>
        </w:rPr>
        <w:t xml:space="preserve"> </w:t>
      </w:r>
      <w:r w:rsidRPr="00E660EB">
        <w:rPr>
          <w:szCs w:val="27"/>
        </w:rPr>
        <w:t>Associate Justice of the Court of Appeal, Third Appellate District, assigned by the Chief Justice pursuant to article VI, section 6 of the California Constitution.</w:t>
      </w:r>
    </w:p>
    <w:p w14:paraId="1634F1A4" w14:textId="77777777" w:rsidR="00C434E7" w:rsidRPr="00C434E7" w:rsidRDefault="00C434E7" w:rsidP="00C434E7">
      <w:pPr>
        <w:spacing w:after="0" w:line="240" w:lineRule="auto"/>
        <w:jc w:val="left"/>
        <w:rPr>
          <w:i/>
          <w:sz w:val="24"/>
          <w:szCs w:val="24"/>
        </w:rPr>
      </w:pPr>
      <w:r w:rsidRPr="00C434E7">
        <w:rPr>
          <w:i/>
          <w:sz w:val="24"/>
          <w:szCs w:val="24"/>
        </w:rPr>
        <w:lastRenderedPageBreak/>
        <w:t>See next page for addresses and telephone numbers for counsel who argued in Supreme Court.</w:t>
      </w:r>
    </w:p>
    <w:p w14:paraId="0826E66A" w14:textId="77777777" w:rsidR="00C434E7" w:rsidRPr="00C434E7" w:rsidRDefault="00C434E7" w:rsidP="00C434E7">
      <w:pPr>
        <w:spacing w:after="0" w:line="240" w:lineRule="auto"/>
        <w:jc w:val="left"/>
        <w:rPr>
          <w:i/>
          <w:sz w:val="24"/>
          <w:szCs w:val="24"/>
        </w:rPr>
      </w:pPr>
    </w:p>
    <w:p w14:paraId="57622F12" w14:textId="77777777" w:rsidR="00C434E7" w:rsidRPr="00C434E7" w:rsidRDefault="00C434E7" w:rsidP="00C434E7">
      <w:pPr>
        <w:spacing w:after="0" w:line="240" w:lineRule="auto"/>
        <w:jc w:val="left"/>
        <w:rPr>
          <w:b/>
          <w:sz w:val="24"/>
          <w:szCs w:val="24"/>
        </w:rPr>
      </w:pPr>
      <w:r w:rsidRPr="00C434E7">
        <w:rPr>
          <w:b/>
          <w:sz w:val="24"/>
          <w:szCs w:val="24"/>
        </w:rPr>
        <w:t xml:space="preserve">Name of Opinion  </w:t>
      </w:r>
      <w:r w:rsidRPr="00C434E7">
        <w:rPr>
          <w:bCs/>
          <w:sz w:val="24"/>
          <w:szCs w:val="24"/>
        </w:rPr>
        <w:t>People v. Wilson</w:t>
      </w:r>
      <w:r w:rsidRPr="00C434E7">
        <w:rPr>
          <w:b/>
          <w:sz w:val="24"/>
          <w:szCs w:val="24"/>
        </w:rPr>
        <w:t xml:space="preserve"> </w:t>
      </w:r>
      <w:r w:rsidRPr="00C434E7">
        <w:rPr>
          <w:bCs/>
          <w:sz w:val="24"/>
          <w:szCs w:val="24"/>
        </w:rPr>
        <w:t xml:space="preserve"> </w:t>
      </w:r>
      <w:r w:rsidRPr="00C434E7">
        <w:rPr>
          <w:sz w:val="24"/>
          <w:szCs w:val="24"/>
        </w:rPr>
        <w:t xml:space="preserve"> </w:t>
      </w:r>
      <w:r w:rsidRPr="00C434E7">
        <w:rPr>
          <w:b/>
          <w:sz w:val="24"/>
          <w:szCs w:val="24"/>
        </w:rPr>
        <w:t xml:space="preserve">__________________________________________________________________ </w:t>
      </w:r>
    </w:p>
    <w:p w14:paraId="6CB4B913" w14:textId="77777777" w:rsidR="00C434E7" w:rsidRPr="00C434E7" w:rsidRDefault="00C434E7" w:rsidP="00C434E7">
      <w:pPr>
        <w:spacing w:after="0" w:line="240" w:lineRule="auto"/>
        <w:jc w:val="left"/>
        <w:rPr>
          <w:b/>
          <w:sz w:val="24"/>
          <w:szCs w:val="24"/>
        </w:rPr>
      </w:pPr>
    </w:p>
    <w:p w14:paraId="6C2D118D" w14:textId="77777777" w:rsidR="00C434E7" w:rsidRPr="00C434E7" w:rsidRDefault="00C434E7" w:rsidP="00C434E7">
      <w:pPr>
        <w:spacing w:after="0" w:line="360" w:lineRule="auto"/>
        <w:jc w:val="left"/>
        <w:rPr>
          <w:sz w:val="24"/>
          <w:szCs w:val="24"/>
        </w:rPr>
      </w:pPr>
      <w:r w:rsidRPr="00C434E7">
        <w:rPr>
          <w:b/>
          <w:bCs/>
          <w:sz w:val="24"/>
          <w:szCs w:val="24"/>
          <w:u w:val="single"/>
        </w:rPr>
        <w:t>Procedural Posture</w:t>
      </w:r>
      <w:r w:rsidRPr="00C434E7">
        <w:rPr>
          <w:b/>
          <w:bCs/>
          <w:sz w:val="24"/>
          <w:szCs w:val="24"/>
        </w:rPr>
        <w:t xml:space="preserve"> </w:t>
      </w:r>
      <w:r w:rsidRPr="00C434E7">
        <w:rPr>
          <w:sz w:val="24"/>
          <w:szCs w:val="24"/>
        </w:rPr>
        <w:t>(see XX below)</w:t>
      </w:r>
    </w:p>
    <w:p w14:paraId="18072D9C" w14:textId="77777777" w:rsidR="00C434E7" w:rsidRPr="00C434E7" w:rsidRDefault="00C434E7" w:rsidP="00C434E7">
      <w:pPr>
        <w:spacing w:after="0" w:line="240" w:lineRule="auto"/>
        <w:jc w:val="left"/>
        <w:rPr>
          <w:b/>
          <w:bCs/>
          <w:sz w:val="24"/>
          <w:szCs w:val="24"/>
        </w:rPr>
      </w:pPr>
      <w:r w:rsidRPr="00C434E7">
        <w:rPr>
          <w:b/>
          <w:bCs/>
          <w:sz w:val="24"/>
          <w:szCs w:val="24"/>
        </w:rPr>
        <w:t xml:space="preserve">Original Appeal </w:t>
      </w:r>
      <w:r w:rsidRPr="00C434E7">
        <w:rPr>
          <w:sz w:val="24"/>
          <w:szCs w:val="24"/>
        </w:rPr>
        <w:t>XX</w:t>
      </w:r>
    </w:p>
    <w:p w14:paraId="666D75FD" w14:textId="77777777" w:rsidR="00C434E7" w:rsidRPr="00C434E7" w:rsidRDefault="00C434E7" w:rsidP="00C434E7">
      <w:pPr>
        <w:spacing w:after="0" w:line="240" w:lineRule="auto"/>
        <w:jc w:val="left"/>
        <w:rPr>
          <w:b/>
          <w:bCs/>
          <w:sz w:val="24"/>
          <w:szCs w:val="24"/>
        </w:rPr>
      </w:pPr>
      <w:r w:rsidRPr="00C434E7">
        <w:rPr>
          <w:b/>
          <w:bCs/>
          <w:sz w:val="24"/>
          <w:szCs w:val="24"/>
        </w:rPr>
        <w:t>Original Proceeding</w:t>
      </w:r>
    </w:p>
    <w:p w14:paraId="10544D38" w14:textId="77777777" w:rsidR="00C434E7" w:rsidRPr="00C434E7" w:rsidRDefault="00C434E7" w:rsidP="00C434E7">
      <w:pPr>
        <w:spacing w:after="0" w:line="240" w:lineRule="auto"/>
        <w:jc w:val="left"/>
        <w:rPr>
          <w:sz w:val="24"/>
          <w:szCs w:val="24"/>
        </w:rPr>
      </w:pPr>
      <w:r w:rsidRPr="00C434E7">
        <w:rPr>
          <w:b/>
          <w:bCs/>
          <w:sz w:val="24"/>
          <w:szCs w:val="24"/>
        </w:rPr>
        <w:t>Review Granted</w:t>
      </w:r>
      <w:r w:rsidRPr="00C434E7">
        <w:rPr>
          <w:sz w:val="24"/>
          <w:szCs w:val="24"/>
        </w:rPr>
        <w:t xml:space="preserve"> </w:t>
      </w:r>
      <w:r w:rsidRPr="00C434E7">
        <w:rPr>
          <w:b/>
          <w:bCs/>
          <w:sz w:val="24"/>
          <w:szCs w:val="24"/>
        </w:rPr>
        <w:t xml:space="preserve">(published) </w:t>
      </w:r>
    </w:p>
    <w:p w14:paraId="0D231CD0" w14:textId="77777777" w:rsidR="00C434E7" w:rsidRPr="00C434E7" w:rsidRDefault="00C434E7" w:rsidP="00C434E7">
      <w:pPr>
        <w:spacing w:after="0" w:line="240" w:lineRule="auto"/>
        <w:jc w:val="left"/>
        <w:rPr>
          <w:sz w:val="24"/>
          <w:szCs w:val="24"/>
        </w:rPr>
      </w:pPr>
      <w:r w:rsidRPr="00C434E7">
        <w:rPr>
          <w:b/>
          <w:bCs/>
          <w:sz w:val="24"/>
          <w:szCs w:val="24"/>
        </w:rPr>
        <w:t xml:space="preserve">Review Granted (unpublished) </w:t>
      </w:r>
    </w:p>
    <w:p w14:paraId="17150546" w14:textId="77777777" w:rsidR="00C434E7" w:rsidRPr="00C434E7" w:rsidRDefault="00C434E7" w:rsidP="00C434E7">
      <w:pPr>
        <w:spacing w:after="0" w:line="240" w:lineRule="auto"/>
        <w:jc w:val="left"/>
        <w:rPr>
          <w:b/>
          <w:bCs/>
          <w:sz w:val="24"/>
          <w:szCs w:val="24"/>
        </w:rPr>
      </w:pPr>
      <w:r w:rsidRPr="00C434E7">
        <w:rPr>
          <w:b/>
          <w:bCs/>
          <w:sz w:val="24"/>
          <w:szCs w:val="24"/>
        </w:rPr>
        <w:t>Rehearing Granted</w:t>
      </w:r>
    </w:p>
    <w:p w14:paraId="1C77FA44" w14:textId="77777777" w:rsidR="00C434E7" w:rsidRPr="00C434E7" w:rsidRDefault="00C434E7" w:rsidP="00C434E7">
      <w:pPr>
        <w:spacing w:after="0" w:line="240" w:lineRule="auto"/>
        <w:jc w:val="left"/>
        <w:rPr>
          <w:b/>
          <w:sz w:val="24"/>
          <w:szCs w:val="24"/>
        </w:rPr>
      </w:pPr>
      <w:r w:rsidRPr="00C434E7">
        <w:rPr>
          <w:b/>
          <w:sz w:val="24"/>
          <w:szCs w:val="24"/>
        </w:rPr>
        <w:t xml:space="preserve">__________________________________________________________________ </w:t>
      </w:r>
    </w:p>
    <w:p w14:paraId="41C8C025" w14:textId="77777777" w:rsidR="00C434E7" w:rsidRPr="00C434E7" w:rsidRDefault="00C434E7" w:rsidP="00C434E7">
      <w:pPr>
        <w:spacing w:after="0" w:line="240" w:lineRule="auto"/>
        <w:jc w:val="left"/>
        <w:rPr>
          <w:b/>
          <w:sz w:val="24"/>
          <w:szCs w:val="24"/>
        </w:rPr>
      </w:pPr>
    </w:p>
    <w:p w14:paraId="4D80232F" w14:textId="77777777" w:rsidR="00C434E7" w:rsidRPr="00C434E7" w:rsidRDefault="00C434E7" w:rsidP="00C434E7">
      <w:pPr>
        <w:spacing w:after="0" w:line="240" w:lineRule="auto"/>
        <w:jc w:val="left"/>
        <w:rPr>
          <w:bCs/>
          <w:sz w:val="24"/>
          <w:szCs w:val="24"/>
        </w:rPr>
      </w:pPr>
      <w:r w:rsidRPr="00C434E7">
        <w:rPr>
          <w:b/>
          <w:sz w:val="24"/>
          <w:szCs w:val="24"/>
        </w:rPr>
        <w:t>Opinion No.</w:t>
      </w:r>
      <w:r w:rsidRPr="00C434E7">
        <w:rPr>
          <w:sz w:val="24"/>
          <w:szCs w:val="24"/>
        </w:rPr>
        <w:t xml:space="preserve"> S087533</w:t>
      </w:r>
    </w:p>
    <w:p w14:paraId="47D29073" w14:textId="77777777" w:rsidR="00C434E7" w:rsidRPr="00C434E7" w:rsidRDefault="00C434E7" w:rsidP="00C434E7">
      <w:pPr>
        <w:spacing w:after="0" w:line="240" w:lineRule="auto"/>
        <w:jc w:val="left"/>
        <w:rPr>
          <w:sz w:val="24"/>
          <w:szCs w:val="24"/>
        </w:rPr>
      </w:pPr>
      <w:r w:rsidRPr="00C434E7">
        <w:rPr>
          <w:b/>
          <w:sz w:val="24"/>
          <w:szCs w:val="24"/>
        </w:rPr>
        <w:t>Date Filed:</w:t>
      </w:r>
      <w:r w:rsidRPr="00C434E7">
        <w:rPr>
          <w:sz w:val="24"/>
          <w:szCs w:val="24"/>
        </w:rPr>
        <w:t xml:space="preserve">  April 12, 2021</w:t>
      </w:r>
    </w:p>
    <w:p w14:paraId="73FC6577" w14:textId="77777777" w:rsidR="00C434E7" w:rsidRPr="00C434E7" w:rsidRDefault="00C434E7" w:rsidP="00C434E7">
      <w:pPr>
        <w:spacing w:after="0" w:line="240" w:lineRule="auto"/>
        <w:jc w:val="left"/>
        <w:rPr>
          <w:b/>
          <w:sz w:val="24"/>
          <w:szCs w:val="24"/>
        </w:rPr>
      </w:pPr>
      <w:r w:rsidRPr="00C434E7">
        <w:rPr>
          <w:b/>
          <w:sz w:val="24"/>
          <w:szCs w:val="24"/>
        </w:rPr>
        <w:t xml:space="preserve">__________________________________________________________________ </w:t>
      </w:r>
    </w:p>
    <w:p w14:paraId="34CD7054" w14:textId="77777777" w:rsidR="00C434E7" w:rsidRPr="00C434E7" w:rsidRDefault="00C434E7" w:rsidP="00C434E7">
      <w:pPr>
        <w:spacing w:after="0" w:line="240" w:lineRule="auto"/>
        <w:jc w:val="left"/>
        <w:rPr>
          <w:b/>
          <w:sz w:val="24"/>
          <w:szCs w:val="24"/>
        </w:rPr>
      </w:pPr>
    </w:p>
    <w:p w14:paraId="485B2826" w14:textId="77777777" w:rsidR="00C434E7" w:rsidRPr="00C434E7" w:rsidRDefault="00C434E7" w:rsidP="00C434E7">
      <w:pPr>
        <w:spacing w:after="0" w:line="240" w:lineRule="auto"/>
        <w:jc w:val="left"/>
        <w:rPr>
          <w:bCs/>
          <w:sz w:val="24"/>
          <w:szCs w:val="24"/>
        </w:rPr>
      </w:pPr>
      <w:r w:rsidRPr="00C434E7">
        <w:rPr>
          <w:b/>
          <w:sz w:val="24"/>
          <w:szCs w:val="24"/>
        </w:rPr>
        <w:t xml:space="preserve">Court:  </w:t>
      </w:r>
      <w:r w:rsidRPr="00C434E7">
        <w:rPr>
          <w:bCs/>
          <w:sz w:val="24"/>
          <w:szCs w:val="24"/>
        </w:rPr>
        <w:t>Superior</w:t>
      </w:r>
      <w:r w:rsidRPr="00C434E7">
        <w:rPr>
          <w:b/>
          <w:sz w:val="24"/>
          <w:szCs w:val="24"/>
        </w:rPr>
        <w:t xml:space="preserve">   </w:t>
      </w:r>
    </w:p>
    <w:p w14:paraId="6C200747" w14:textId="77777777" w:rsidR="00C434E7" w:rsidRPr="00C434E7" w:rsidRDefault="00C434E7" w:rsidP="00C434E7">
      <w:pPr>
        <w:spacing w:after="0" w:line="240" w:lineRule="auto"/>
        <w:jc w:val="left"/>
        <w:rPr>
          <w:bCs/>
          <w:sz w:val="24"/>
          <w:szCs w:val="24"/>
        </w:rPr>
      </w:pPr>
      <w:r w:rsidRPr="00C434E7">
        <w:rPr>
          <w:b/>
          <w:sz w:val="24"/>
          <w:szCs w:val="24"/>
        </w:rPr>
        <w:t xml:space="preserve">County:  </w:t>
      </w:r>
      <w:r w:rsidRPr="00C434E7">
        <w:rPr>
          <w:bCs/>
          <w:sz w:val="24"/>
          <w:szCs w:val="24"/>
        </w:rPr>
        <w:t>Los Angeles</w:t>
      </w:r>
      <w:r w:rsidRPr="00C434E7">
        <w:rPr>
          <w:b/>
          <w:sz w:val="24"/>
          <w:szCs w:val="24"/>
        </w:rPr>
        <w:t xml:space="preserve">  </w:t>
      </w:r>
      <w:r w:rsidRPr="00C434E7">
        <w:rPr>
          <w:bCs/>
          <w:sz w:val="24"/>
          <w:szCs w:val="24"/>
        </w:rPr>
        <w:t xml:space="preserve"> </w:t>
      </w:r>
    </w:p>
    <w:p w14:paraId="23C427F4" w14:textId="77777777" w:rsidR="00C434E7" w:rsidRPr="00C434E7" w:rsidRDefault="00C434E7" w:rsidP="00C434E7">
      <w:pPr>
        <w:spacing w:after="0" w:line="240" w:lineRule="auto"/>
        <w:ind w:left="720" w:hanging="720"/>
        <w:jc w:val="left"/>
        <w:rPr>
          <w:bCs/>
          <w:sz w:val="24"/>
          <w:szCs w:val="24"/>
        </w:rPr>
      </w:pPr>
      <w:r w:rsidRPr="00C434E7">
        <w:rPr>
          <w:b/>
          <w:sz w:val="24"/>
          <w:szCs w:val="24"/>
        </w:rPr>
        <w:t xml:space="preserve">Judge:  </w:t>
      </w:r>
      <w:r w:rsidRPr="00C434E7">
        <w:rPr>
          <w:bCs/>
          <w:sz w:val="24"/>
          <w:szCs w:val="24"/>
        </w:rPr>
        <w:t xml:space="preserve">Curtis B. </w:t>
      </w:r>
      <w:proofErr w:type="spellStart"/>
      <w:r w:rsidRPr="00C434E7">
        <w:rPr>
          <w:bCs/>
          <w:sz w:val="24"/>
          <w:szCs w:val="24"/>
        </w:rPr>
        <w:t>Rappe</w:t>
      </w:r>
      <w:proofErr w:type="spellEnd"/>
      <w:r w:rsidRPr="00C434E7">
        <w:rPr>
          <w:b/>
          <w:sz w:val="24"/>
          <w:szCs w:val="24"/>
        </w:rPr>
        <w:t xml:space="preserve">  </w:t>
      </w:r>
      <w:r w:rsidRPr="00C434E7">
        <w:rPr>
          <w:bCs/>
          <w:sz w:val="24"/>
          <w:szCs w:val="24"/>
        </w:rPr>
        <w:t xml:space="preserve"> </w:t>
      </w:r>
    </w:p>
    <w:p w14:paraId="373D8A8A" w14:textId="77777777" w:rsidR="00C434E7" w:rsidRPr="00C434E7" w:rsidRDefault="00C434E7" w:rsidP="00C434E7">
      <w:pPr>
        <w:spacing w:after="0" w:line="240" w:lineRule="auto"/>
        <w:jc w:val="left"/>
        <w:rPr>
          <w:b/>
          <w:sz w:val="24"/>
          <w:szCs w:val="24"/>
        </w:rPr>
      </w:pPr>
      <w:r w:rsidRPr="00C434E7">
        <w:rPr>
          <w:b/>
          <w:sz w:val="24"/>
          <w:szCs w:val="24"/>
        </w:rPr>
        <w:t xml:space="preserve">__________________________________________________________________ </w:t>
      </w:r>
    </w:p>
    <w:p w14:paraId="4EF8B43D" w14:textId="77777777" w:rsidR="00C434E7" w:rsidRPr="00C434E7" w:rsidRDefault="00C434E7" w:rsidP="00C434E7">
      <w:pPr>
        <w:spacing w:after="0" w:line="240" w:lineRule="auto"/>
        <w:jc w:val="left"/>
        <w:rPr>
          <w:b/>
          <w:sz w:val="24"/>
          <w:szCs w:val="24"/>
        </w:rPr>
      </w:pPr>
    </w:p>
    <w:p w14:paraId="3627556A" w14:textId="77777777" w:rsidR="00C434E7" w:rsidRPr="00C434E7" w:rsidRDefault="00C434E7" w:rsidP="00C434E7">
      <w:pPr>
        <w:spacing w:after="0" w:line="240" w:lineRule="auto"/>
        <w:jc w:val="left"/>
        <w:rPr>
          <w:b/>
          <w:sz w:val="24"/>
          <w:szCs w:val="24"/>
        </w:rPr>
      </w:pPr>
      <w:r w:rsidRPr="00C434E7">
        <w:rPr>
          <w:b/>
          <w:sz w:val="24"/>
          <w:szCs w:val="24"/>
        </w:rPr>
        <w:t>Counsel:</w:t>
      </w:r>
    </w:p>
    <w:p w14:paraId="1E048167" w14:textId="77777777" w:rsidR="00C434E7" w:rsidRPr="00C434E7" w:rsidRDefault="00C434E7" w:rsidP="00C434E7">
      <w:pPr>
        <w:spacing w:after="0" w:line="240" w:lineRule="auto"/>
        <w:jc w:val="left"/>
        <w:rPr>
          <w:b/>
          <w:sz w:val="24"/>
          <w:szCs w:val="24"/>
        </w:rPr>
      </w:pPr>
    </w:p>
    <w:p w14:paraId="2DE5013E" w14:textId="77777777" w:rsidR="00C434E7" w:rsidRPr="00C434E7" w:rsidRDefault="00C434E7" w:rsidP="00C434E7">
      <w:pPr>
        <w:spacing w:after="0" w:line="240" w:lineRule="auto"/>
        <w:jc w:val="left"/>
        <w:rPr>
          <w:color w:val="373739"/>
          <w:sz w:val="24"/>
          <w:szCs w:val="24"/>
          <w:shd w:val="clear" w:color="auto" w:fill="FFFFFF"/>
        </w:rPr>
      </w:pPr>
      <w:bookmarkStart w:id="90" w:name="PAGE_3103"/>
      <w:bookmarkEnd w:id="90"/>
      <w:r w:rsidRPr="00C434E7">
        <w:rPr>
          <w:color w:val="000000"/>
          <w:sz w:val="24"/>
          <w:szCs w:val="24"/>
          <w:shd w:val="clear" w:color="auto" w:fill="FFFFFF"/>
        </w:rPr>
        <w:t xml:space="preserve">Michael J. </w:t>
      </w:r>
      <w:proofErr w:type="spellStart"/>
      <w:r w:rsidRPr="00C434E7">
        <w:rPr>
          <w:color w:val="000000"/>
          <w:sz w:val="24"/>
          <w:szCs w:val="24"/>
          <w:shd w:val="clear" w:color="auto" w:fill="FFFFFF"/>
        </w:rPr>
        <w:t>Hersek</w:t>
      </w:r>
      <w:proofErr w:type="spellEnd"/>
      <w:r w:rsidRPr="00C434E7">
        <w:rPr>
          <w:color w:val="000000"/>
          <w:sz w:val="24"/>
          <w:szCs w:val="24"/>
          <w:shd w:val="clear" w:color="auto" w:fill="FFFFFF"/>
        </w:rPr>
        <w:t xml:space="preserve"> and Mary K. </w:t>
      </w:r>
      <w:proofErr w:type="spellStart"/>
      <w:r w:rsidRPr="00C434E7">
        <w:rPr>
          <w:color w:val="000000"/>
          <w:sz w:val="24"/>
          <w:szCs w:val="24"/>
          <w:shd w:val="clear" w:color="auto" w:fill="FFFFFF"/>
        </w:rPr>
        <w:t>McComb</w:t>
      </w:r>
      <w:proofErr w:type="spellEnd"/>
      <w:r w:rsidRPr="00C434E7">
        <w:rPr>
          <w:color w:val="000000"/>
          <w:sz w:val="24"/>
          <w:szCs w:val="24"/>
          <w:shd w:val="clear" w:color="auto" w:fill="FFFFFF"/>
        </w:rPr>
        <w:t>, State Public Defenders</w:t>
      </w:r>
      <w:r w:rsidRPr="00C434E7">
        <w:rPr>
          <w:color w:val="373739"/>
          <w:sz w:val="24"/>
          <w:szCs w:val="24"/>
          <w:shd w:val="clear" w:color="auto" w:fill="FFFFFF"/>
        </w:rPr>
        <w:t>, under appointments by the Supreme Court, Joseph E. Chabot, Ryan R. Davis and Elias Batchelder, Deputy State Public Defenders, for Defendant and Appellant.</w:t>
      </w:r>
    </w:p>
    <w:p w14:paraId="456D8389" w14:textId="77777777" w:rsidR="00C434E7" w:rsidRPr="00C434E7" w:rsidRDefault="00C434E7" w:rsidP="00C434E7">
      <w:pPr>
        <w:spacing w:after="0" w:line="240" w:lineRule="auto"/>
        <w:jc w:val="left"/>
        <w:rPr>
          <w:color w:val="373739"/>
          <w:sz w:val="24"/>
          <w:szCs w:val="24"/>
          <w:shd w:val="clear" w:color="auto" w:fill="FFFFFF"/>
        </w:rPr>
      </w:pPr>
    </w:p>
    <w:p w14:paraId="155BFAB6" w14:textId="77777777" w:rsidR="00C434E7" w:rsidRPr="00C434E7" w:rsidRDefault="00C434E7" w:rsidP="00C434E7">
      <w:pPr>
        <w:spacing w:after="0" w:line="240" w:lineRule="auto"/>
        <w:jc w:val="left"/>
        <w:rPr>
          <w:bCs/>
          <w:sz w:val="24"/>
          <w:szCs w:val="24"/>
        </w:rPr>
      </w:pPr>
      <w:r w:rsidRPr="00C434E7">
        <w:rPr>
          <w:bCs/>
          <w:sz w:val="24"/>
          <w:szCs w:val="24"/>
        </w:rPr>
        <w:t xml:space="preserve">Kamala D. Harris and Xavier Becerra, Attorneys General, Dane R. Gillette, Chief Assistant Attorney General, Lance E. </w:t>
      </w:r>
      <w:proofErr w:type="gramStart"/>
      <w:r w:rsidRPr="00C434E7">
        <w:rPr>
          <w:bCs/>
          <w:sz w:val="24"/>
          <w:szCs w:val="24"/>
        </w:rPr>
        <w:t>Winters</w:t>
      </w:r>
      <w:proofErr w:type="gramEnd"/>
      <w:r w:rsidRPr="00C434E7">
        <w:rPr>
          <w:bCs/>
          <w:sz w:val="24"/>
          <w:szCs w:val="24"/>
        </w:rPr>
        <w:t xml:space="preserve"> and James William </w:t>
      </w:r>
      <w:proofErr w:type="spellStart"/>
      <w:r w:rsidRPr="00C434E7">
        <w:rPr>
          <w:bCs/>
          <w:sz w:val="24"/>
          <w:szCs w:val="24"/>
        </w:rPr>
        <w:t>Bilderback</w:t>
      </w:r>
      <w:proofErr w:type="spellEnd"/>
      <w:r w:rsidRPr="00C434E7">
        <w:rPr>
          <w:bCs/>
          <w:sz w:val="24"/>
          <w:szCs w:val="24"/>
        </w:rPr>
        <w:t xml:space="preserve"> II, Assistant Attorneys General, Jaime L. </w:t>
      </w:r>
      <w:proofErr w:type="spellStart"/>
      <w:r w:rsidRPr="00C434E7">
        <w:rPr>
          <w:bCs/>
          <w:sz w:val="24"/>
          <w:szCs w:val="24"/>
        </w:rPr>
        <w:t>Fuster</w:t>
      </w:r>
      <w:proofErr w:type="spellEnd"/>
      <w:r w:rsidRPr="00C434E7">
        <w:rPr>
          <w:bCs/>
          <w:sz w:val="24"/>
          <w:szCs w:val="24"/>
        </w:rPr>
        <w:t xml:space="preserve"> and Douglas L. Wilson, Deputy Attorneys General, for Plaintiff and Respondent.</w:t>
      </w:r>
    </w:p>
    <w:p w14:paraId="04ADC6BA" w14:textId="77777777" w:rsidR="00C434E7" w:rsidRPr="00C434E7" w:rsidRDefault="00C434E7" w:rsidP="00C434E7">
      <w:pPr>
        <w:spacing w:after="0" w:line="240" w:lineRule="auto"/>
        <w:jc w:val="left"/>
        <w:rPr>
          <w:color w:val="373739"/>
          <w:sz w:val="24"/>
          <w:szCs w:val="24"/>
          <w:shd w:val="clear" w:color="auto" w:fill="FFFFFF"/>
        </w:rPr>
      </w:pPr>
    </w:p>
    <w:p w14:paraId="19AD804D" w14:textId="77777777" w:rsidR="00C434E7" w:rsidRPr="00C434E7" w:rsidRDefault="00C434E7" w:rsidP="00C434E7">
      <w:pPr>
        <w:spacing w:after="0" w:line="240" w:lineRule="auto"/>
        <w:jc w:val="left"/>
        <w:rPr>
          <w:bCs/>
          <w:sz w:val="24"/>
          <w:szCs w:val="24"/>
        </w:rPr>
      </w:pPr>
      <w:r w:rsidRPr="00C434E7">
        <w:rPr>
          <w:bCs/>
          <w:sz w:val="24"/>
          <w:szCs w:val="24"/>
        </w:rPr>
        <w:br w:type="page"/>
      </w:r>
    </w:p>
    <w:p w14:paraId="301FBC53" w14:textId="77777777" w:rsidR="00C434E7" w:rsidRPr="00C434E7" w:rsidRDefault="00C434E7" w:rsidP="00C434E7">
      <w:pPr>
        <w:spacing w:after="0" w:line="240" w:lineRule="auto"/>
        <w:jc w:val="left"/>
        <w:rPr>
          <w:b/>
          <w:sz w:val="24"/>
          <w:szCs w:val="24"/>
        </w:rPr>
      </w:pPr>
      <w:r w:rsidRPr="00C434E7">
        <w:rPr>
          <w:b/>
          <w:sz w:val="24"/>
          <w:szCs w:val="24"/>
        </w:rPr>
        <w:lastRenderedPageBreak/>
        <w:t>Counsel who argued in Supreme Court (not intended for publication with opinion):</w:t>
      </w:r>
    </w:p>
    <w:p w14:paraId="4C889863" w14:textId="77777777" w:rsidR="00C434E7" w:rsidRPr="00C434E7" w:rsidRDefault="00C434E7" w:rsidP="00C434E7">
      <w:pPr>
        <w:spacing w:after="0" w:line="240" w:lineRule="auto"/>
        <w:jc w:val="left"/>
        <w:rPr>
          <w:b/>
          <w:sz w:val="24"/>
          <w:szCs w:val="24"/>
        </w:rPr>
      </w:pPr>
    </w:p>
    <w:p w14:paraId="2F4AFECF" w14:textId="77777777" w:rsidR="00C434E7" w:rsidRPr="00C434E7" w:rsidRDefault="00C434E7" w:rsidP="00C434E7">
      <w:pPr>
        <w:spacing w:after="0" w:line="240" w:lineRule="auto"/>
        <w:jc w:val="left"/>
        <w:rPr>
          <w:bCs/>
          <w:sz w:val="24"/>
          <w:szCs w:val="24"/>
        </w:rPr>
      </w:pPr>
      <w:r w:rsidRPr="00C434E7">
        <w:rPr>
          <w:bCs/>
          <w:sz w:val="24"/>
          <w:szCs w:val="24"/>
        </w:rPr>
        <w:t>Ryan R. Davis</w:t>
      </w:r>
    </w:p>
    <w:p w14:paraId="6B1E13CD" w14:textId="77777777" w:rsidR="00C434E7" w:rsidRPr="00C434E7" w:rsidRDefault="00C434E7" w:rsidP="00C434E7">
      <w:pPr>
        <w:spacing w:after="0" w:line="240" w:lineRule="auto"/>
        <w:jc w:val="left"/>
        <w:rPr>
          <w:bCs/>
          <w:sz w:val="24"/>
          <w:szCs w:val="24"/>
        </w:rPr>
      </w:pPr>
      <w:r w:rsidRPr="00C434E7">
        <w:rPr>
          <w:bCs/>
          <w:sz w:val="24"/>
          <w:szCs w:val="24"/>
        </w:rPr>
        <w:t>Deputy State Public Defender</w:t>
      </w:r>
    </w:p>
    <w:p w14:paraId="7BEAA00C" w14:textId="77777777" w:rsidR="00C434E7" w:rsidRPr="00C434E7" w:rsidRDefault="00C434E7" w:rsidP="00C434E7">
      <w:pPr>
        <w:spacing w:after="0" w:line="240" w:lineRule="auto"/>
        <w:jc w:val="left"/>
        <w:rPr>
          <w:bCs/>
          <w:sz w:val="24"/>
          <w:szCs w:val="24"/>
        </w:rPr>
      </w:pPr>
      <w:r w:rsidRPr="00C434E7">
        <w:rPr>
          <w:bCs/>
          <w:sz w:val="24"/>
          <w:szCs w:val="24"/>
        </w:rPr>
        <w:t>770 L St., Suite 1000</w:t>
      </w:r>
    </w:p>
    <w:p w14:paraId="730AE0DF" w14:textId="77777777" w:rsidR="00C434E7" w:rsidRPr="00C434E7" w:rsidRDefault="00C434E7" w:rsidP="00C434E7">
      <w:pPr>
        <w:spacing w:after="0" w:line="240" w:lineRule="auto"/>
        <w:jc w:val="left"/>
        <w:rPr>
          <w:bCs/>
          <w:sz w:val="24"/>
          <w:szCs w:val="24"/>
        </w:rPr>
      </w:pPr>
      <w:r w:rsidRPr="00C434E7">
        <w:rPr>
          <w:bCs/>
          <w:sz w:val="24"/>
          <w:szCs w:val="24"/>
        </w:rPr>
        <w:t>Sacramento, CA 95814-3362</w:t>
      </w:r>
    </w:p>
    <w:p w14:paraId="0361B63D" w14:textId="77777777" w:rsidR="00C434E7" w:rsidRPr="00C434E7" w:rsidRDefault="00C434E7" w:rsidP="00C434E7">
      <w:pPr>
        <w:spacing w:after="0" w:line="240" w:lineRule="auto"/>
        <w:jc w:val="left"/>
        <w:rPr>
          <w:bCs/>
          <w:sz w:val="24"/>
          <w:szCs w:val="24"/>
        </w:rPr>
      </w:pPr>
      <w:r w:rsidRPr="00C434E7">
        <w:rPr>
          <w:bCs/>
          <w:sz w:val="24"/>
          <w:szCs w:val="24"/>
        </w:rPr>
        <w:t>(916) 322-2676</w:t>
      </w:r>
    </w:p>
    <w:p w14:paraId="5698F2F0" w14:textId="77777777" w:rsidR="00C434E7" w:rsidRPr="00C434E7" w:rsidRDefault="00C434E7" w:rsidP="00C434E7">
      <w:pPr>
        <w:spacing w:after="0" w:line="240" w:lineRule="auto"/>
        <w:jc w:val="left"/>
        <w:rPr>
          <w:bCs/>
          <w:sz w:val="24"/>
          <w:szCs w:val="24"/>
        </w:rPr>
      </w:pPr>
    </w:p>
    <w:p w14:paraId="44ACC48B" w14:textId="77777777" w:rsidR="00C434E7" w:rsidRPr="00C434E7" w:rsidRDefault="00C434E7" w:rsidP="00C434E7">
      <w:pPr>
        <w:spacing w:after="0" w:line="240" w:lineRule="auto"/>
        <w:jc w:val="left"/>
        <w:rPr>
          <w:bCs/>
          <w:sz w:val="24"/>
          <w:szCs w:val="24"/>
        </w:rPr>
      </w:pPr>
      <w:r w:rsidRPr="00C434E7">
        <w:rPr>
          <w:bCs/>
          <w:sz w:val="24"/>
          <w:szCs w:val="24"/>
        </w:rPr>
        <w:t>Douglas L. Wilson</w:t>
      </w:r>
    </w:p>
    <w:p w14:paraId="32FCDCCB" w14:textId="77777777" w:rsidR="00C434E7" w:rsidRPr="00C434E7" w:rsidRDefault="00C434E7" w:rsidP="00C434E7">
      <w:pPr>
        <w:spacing w:after="0" w:line="240" w:lineRule="auto"/>
        <w:jc w:val="left"/>
        <w:rPr>
          <w:bCs/>
          <w:sz w:val="24"/>
          <w:szCs w:val="24"/>
        </w:rPr>
      </w:pPr>
      <w:r w:rsidRPr="00C434E7">
        <w:rPr>
          <w:bCs/>
          <w:sz w:val="24"/>
          <w:szCs w:val="24"/>
        </w:rPr>
        <w:t>Deputy Attorney General</w:t>
      </w:r>
    </w:p>
    <w:p w14:paraId="29AF187C" w14:textId="77777777" w:rsidR="00C434E7" w:rsidRPr="00C434E7" w:rsidRDefault="00C434E7" w:rsidP="00C434E7">
      <w:pPr>
        <w:spacing w:after="0" w:line="240" w:lineRule="auto"/>
        <w:jc w:val="left"/>
        <w:rPr>
          <w:bCs/>
          <w:sz w:val="24"/>
          <w:szCs w:val="24"/>
        </w:rPr>
      </w:pPr>
      <w:r w:rsidRPr="00C434E7">
        <w:rPr>
          <w:bCs/>
          <w:sz w:val="24"/>
          <w:szCs w:val="24"/>
        </w:rPr>
        <w:t>300 South Spring Street, Suite 1702</w:t>
      </w:r>
    </w:p>
    <w:p w14:paraId="3D4B247D" w14:textId="77777777" w:rsidR="00C434E7" w:rsidRPr="00C434E7" w:rsidRDefault="00C434E7" w:rsidP="00C434E7">
      <w:pPr>
        <w:spacing w:after="0" w:line="240" w:lineRule="auto"/>
        <w:jc w:val="left"/>
        <w:rPr>
          <w:bCs/>
          <w:sz w:val="24"/>
          <w:szCs w:val="24"/>
        </w:rPr>
      </w:pPr>
      <w:r w:rsidRPr="00C434E7">
        <w:rPr>
          <w:bCs/>
          <w:sz w:val="24"/>
          <w:szCs w:val="24"/>
        </w:rPr>
        <w:t>Los Angeles, CA 90013</w:t>
      </w:r>
    </w:p>
    <w:p w14:paraId="06C3A847" w14:textId="77777777" w:rsidR="00C434E7" w:rsidRPr="00C434E7" w:rsidRDefault="00C434E7" w:rsidP="00C434E7">
      <w:pPr>
        <w:spacing w:after="0" w:line="240" w:lineRule="auto"/>
        <w:jc w:val="left"/>
        <w:rPr>
          <w:bCs/>
          <w:sz w:val="24"/>
          <w:szCs w:val="24"/>
        </w:rPr>
      </w:pPr>
      <w:r w:rsidRPr="00C434E7">
        <w:rPr>
          <w:bCs/>
          <w:sz w:val="24"/>
          <w:szCs w:val="24"/>
        </w:rPr>
        <w:t>(213) 269-6184</w:t>
      </w:r>
    </w:p>
    <w:p w14:paraId="1B1B6F9B" w14:textId="77777777" w:rsidR="00C434E7" w:rsidRPr="00C434E7" w:rsidRDefault="00C434E7" w:rsidP="00C434E7">
      <w:pPr>
        <w:spacing w:after="0" w:line="240" w:lineRule="auto"/>
        <w:jc w:val="left"/>
        <w:rPr>
          <w:rFonts w:ascii="Times New Roman" w:hAnsi="Times New Roman"/>
          <w:b/>
          <w:sz w:val="24"/>
          <w:szCs w:val="24"/>
        </w:rPr>
      </w:pPr>
    </w:p>
    <w:p w14:paraId="06954F8D" w14:textId="77777777" w:rsidR="00C434E7" w:rsidRPr="00C434E7" w:rsidRDefault="00C434E7" w:rsidP="00C434E7">
      <w:pPr>
        <w:spacing w:after="0" w:line="240" w:lineRule="auto"/>
        <w:jc w:val="left"/>
        <w:rPr>
          <w:rFonts w:ascii="Times New Roman" w:hAnsi="Times New Roman"/>
          <w:sz w:val="24"/>
          <w:szCs w:val="24"/>
        </w:rPr>
      </w:pPr>
      <w:r w:rsidRPr="00C434E7">
        <w:rPr>
          <w:rFonts w:ascii="Times New Roman" w:hAnsi="Times New Roman"/>
          <w:sz w:val="24"/>
          <w:szCs w:val="24"/>
        </w:rPr>
        <w:t xml:space="preserve">  </w:t>
      </w:r>
    </w:p>
    <w:p w14:paraId="67004088" w14:textId="6444838A" w:rsidR="00CE7FBB" w:rsidRPr="00353176" w:rsidRDefault="00CE7FBB" w:rsidP="00353176">
      <w:pPr>
        <w:tabs>
          <w:tab w:val="left" w:pos="1440"/>
        </w:tabs>
        <w:spacing w:line="300" w:lineRule="exact"/>
        <w:rPr>
          <w:b/>
          <w:bCs/>
        </w:rPr>
      </w:pPr>
    </w:p>
    <w:sectPr w:rsidR="00CE7FBB" w:rsidRPr="00353176" w:rsidSect="000013F1">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BA43" w14:textId="77777777" w:rsidR="00EB1A6A" w:rsidRDefault="00EB1A6A">
      <w:r>
        <w:separator/>
      </w:r>
    </w:p>
  </w:endnote>
  <w:endnote w:type="continuationSeparator" w:id="0">
    <w:p w14:paraId="7A962EC3" w14:textId="77777777" w:rsidR="00EB1A6A" w:rsidRDefault="00EB1A6A">
      <w:r>
        <w:continuationSeparator/>
      </w:r>
    </w:p>
  </w:endnote>
  <w:endnote w:type="continuationNotice" w:id="1">
    <w:p w14:paraId="2F2B9136" w14:textId="77777777" w:rsidR="00EB1A6A" w:rsidRDefault="00EB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CE9E" w14:textId="77777777" w:rsidR="0075792A" w:rsidRDefault="0075792A" w:rsidP="00D31FB6">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95565"/>
      <w:docPartObj>
        <w:docPartGallery w:val="Page Numbers (Bottom of Page)"/>
        <w:docPartUnique/>
      </w:docPartObj>
    </w:sdtPr>
    <w:sdtEndPr>
      <w:rPr>
        <w:noProof/>
      </w:rPr>
    </w:sdtEndPr>
    <w:sdtContent>
      <w:p w14:paraId="67BABDFF" w14:textId="1143D320" w:rsidR="00A663AF" w:rsidRDefault="00C84A34">
        <w:pPr>
          <w:pStyle w:val="Footer"/>
        </w:pPr>
      </w:p>
    </w:sdtContent>
  </w:sdt>
  <w:p w14:paraId="0CB2FDD8" w14:textId="77777777" w:rsidR="00A663AF" w:rsidRDefault="00A66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043369"/>
      <w:docPartObj>
        <w:docPartGallery w:val="Page Numbers (Bottom of Page)"/>
        <w:docPartUnique/>
      </w:docPartObj>
    </w:sdtPr>
    <w:sdtEndPr>
      <w:rPr>
        <w:noProof/>
      </w:rPr>
    </w:sdtEndPr>
    <w:sdtContent>
      <w:p w14:paraId="5D65DF96" w14:textId="210BE94B" w:rsidR="00781236" w:rsidRDefault="00781236">
        <w:pPr>
          <w:pStyle w:val="Footer"/>
        </w:pPr>
        <w:r>
          <w:fldChar w:fldCharType="begin"/>
        </w:r>
        <w:r>
          <w:instrText xml:space="preserve"> PAGE   \* MERGEFORMAT </w:instrText>
        </w:r>
        <w:r>
          <w:fldChar w:fldCharType="separate"/>
        </w:r>
        <w:r>
          <w:rPr>
            <w:noProof/>
          </w:rPr>
          <w:t>2</w:t>
        </w:r>
        <w:r>
          <w:rPr>
            <w:noProof/>
          </w:rPr>
          <w:fldChar w:fldCharType="end"/>
        </w:r>
      </w:p>
    </w:sdtContent>
  </w:sdt>
  <w:p w14:paraId="60846246" w14:textId="77777777" w:rsidR="00BF134C" w:rsidRDefault="00BF13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07A7" w14:textId="77777777" w:rsidR="00623AC2" w:rsidRDefault="00C84A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769E" w14:textId="77777777" w:rsidR="00623AC2" w:rsidRDefault="00C84A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A1D0" w14:textId="77777777" w:rsidR="00623AC2" w:rsidRDefault="00C8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143C" w14:textId="77777777" w:rsidR="00EB1A6A" w:rsidRDefault="00EB1A6A">
      <w:r>
        <w:separator/>
      </w:r>
    </w:p>
  </w:footnote>
  <w:footnote w:type="continuationSeparator" w:id="0">
    <w:p w14:paraId="35EF870D" w14:textId="77777777" w:rsidR="00EB1A6A" w:rsidRDefault="00EB1A6A">
      <w:pPr>
        <w:rPr>
          <w:sz w:val="22"/>
        </w:rPr>
      </w:pPr>
      <w:r w:rsidRPr="00B66126">
        <w:continuationSeparator/>
      </w:r>
    </w:p>
  </w:footnote>
  <w:footnote w:type="continuationNotice" w:id="1">
    <w:p w14:paraId="0778A42A" w14:textId="77777777" w:rsidR="00EB1A6A" w:rsidRDefault="00EB1A6A">
      <w:pPr>
        <w:jc w:val="right"/>
        <w:rPr>
          <w:i/>
          <w:sz w:val="20"/>
        </w:rPr>
      </w:pPr>
    </w:p>
  </w:footnote>
  <w:footnote w:id="2">
    <w:p w14:paraId="5759F5A9" w14:textId="12CB755D" w:rsidR="001D3478" w:rsidRDefault="0075792A" w:rsidP="007E3CF3">
      <w:pPr>
        <w:pStyle w:val="FootnoteText"/>
      </w:pPr>
      <w:r>
        <w:rPr>
          <w:rStyle w:val="FootnoteReference"/>
        </w:rPr>
        <w:footnoteRef/>
      </w:r>
      <w:r>
        <w:t xml:space="preserve"> </w:t>
      </w:r>
      <w:r>
        <w:tab/>
        <w:t xml:space="preserve">Aswad Pops was pronounced dead at San Quentin State Prison on August 29, 2019.  (California Department of Corrections and Rehabilitation, </w:t>
      </w:r>
      <w:r>
        <w:rPr>
          <w:i/>
          <w:iCs/>
        </w:rPr>
        <w:t>News Releases</w:t>
      </w:r>
      <w:r>
        <w:t xml:space="preserve"> &lt;</w:t>
      </w:r>
      <w:r w:rsidRPr="000B4965">
        <w:t>https://www.cdcr.ca.gov/news/2019/08/30/condemned-inmates-death-investigated-as-a-suicide-2/</w:t>
      </w:r>
      <w:r>
        <w:t>&gt; [</w:t>
      </w:r>
      <w:r w:rsidRPr="006440CD">
        <w:t xml:space="preserve">as of </w:t>
      </w:r>
      <w:r w:rsidR="009A7E00">
        <w:t>Apr</w:t>
      </w:r>
      <w:r w:rsidR="007574AB">
        <w:t>.</w:t>
      </w:r>
      <w:r w:rsidR="009A7E00">
        <w:t xml:space="preserve"> 9</w:t>
      </w:r>
      <w:r w:rsidRPr="006440CD">
        <w:t xml:space="preserve">, </w:t>
      </w:r>
      <w:r w:rsidR="00726496" w:rsidRPr="006440CD">
        <w:t>202</w:t>
      </w:r>
      <w:r w:rsidR="00726496">
        <w:t>1</w:t>
      </w:r>
      <w:r>
        <w:t xml:space="preserve">].  </w:t>
      </w:r>
      <w:r w:rsidRPr="00572D37">
        <w:t xml:space="preserve">All Internet citations in this opinion </w:t>
      </w:r>
      <w:r>
        <w:t>will be</w:t>
      </w:r>
      <w:r w:rsidRPr="00572D37">
        <w:t xml:space="preserve"> archived by year, docket number</w:t>
      </w:r>
      <w:r w:rsidR="00726496">
        <w:t>,</w:t>
      </w:r>
      <w:r w:rsidRPr="00572D37">
        <w:t xml:space="preserve"> and case name at</w:t>
      </w:r>
      <w:r>
        <w:t xml:space="preserve"> &lt;http://www.courts.ca.gov/</w:t>
      </w:r>
    </w:p>
    <w:p w14:paraId="09B1D150" w14:textId="4FED22B9" w:rsidR="0075792A" w:rsidRDefault="00726496" w:rsidP="007E3CF3">
      <w:pPr>
        <w:pStyle w:val="FootnoteText"/>
      </w:pPr>
      <w:r>
        <w:t>38324.htm</w:t>
      </w:r>
      <w:r w:rsidR="0075792A">
        <w:t xml:space="preserve">&gt;.)  The appeal was permanently abated as to Pops on February 11, 2020.  </w:t>
      </w:r>
    </w:p>
  </w:footnote>
  <w:footnote w:id="3">
    <w:p w14:paraId="63BE158C" w14:textId="165A36CF" w:rsidR="0075792A" w:rsidRDefault="0075792A" w:rsidP="00A7631D">
      <w:pPr>
        <w:pStyle w:val="FootnoteText"/>
      </w:pPr>
      <w:r>
        <w:rPr>
          <w:rStyle w:val="FootnoteReference"/>
        </w:rPr>
        <w:footnoteRef/>
      </w:r>
      <w:r>
        <w:t xml:space="preserve"> </w:t>
      </w:r>
      <w:r>
        <w:tab/>
        <w:t>All further unspecified statutory references are to the Penal Code.</w:t>
      </w:r>
    </w:p>
  </w:footnote>
  <w:footnote w:id="4">
    <w:p w14:paraId="4CFCEC17" w14:textId="0DD0C7CD" w:rsidR="0075792A" w:rsidRDefault="0075792A" w:rsidP="00A7631D">
      <w:pPr>
        <w:pStyle w:val="FootnoteText"/>
      </w:pPr>
      <w:r>
        <w:rPr>
          <w:rStyle w:val="FootnoteReference"/>
        </w:rPr>
        <w:footnoteRef/>
      </w:r>
      <w:r>
        <w:t xml:space="preserve"> </w:t>
      </w:r>
      <w:r>
        <w:tab/>
        <w:t xml:space="preserve">The Wheels ’N Stuff owners permitted workers to retain tips for car </w:t>
      </w:r>
      <w:proofErr w:type="gramStart"/>
      <w:r>
        <w:t>washes, but</w:t>
      </w:r>
      <w:proofErr w:type="gramEnd"/>
      <w:r>
        <w:t xml:space="preserve"> asked that tips for larger services be shared with them.  </w:t>
      </w:r>
    </w:p>
  </w:footnote>
  <w:footnote w:id="5">
    <w:p w14:paraId="4269EB0B" w14:textId="08F48ED2" w:rsidR="0075792A" w:rsidRDefault="0075792A" w:rsidP="00A7631D">
      <w:pPr>
        <w:pStyle w:val="FootnoteText"/>
      </w:pPr>
      <w:r>
        <w:rPr>
          <w:rStyle w:val="FootnoteReference"/>
        </w:rPr>
        <w:footnoteRef/>
      </w:r>
      <w:r>
        <w:t xml:space="preserve"> </w:t>
      </w:r>
      <w:r>
        <w:tab/>
        <w:t xml:space="preserve">Bowie testified that he told Detective Chavers that Wilson had a “funny shaped mouth,” but admitted on cross-examination that he did not recall whether he described Wilson’s mouth when giving his first statement, or only later.     </w:t>
      </w:r>
    </w:p>
  </w:footnote>
  <w:footnote w:id="6">
    <w:p w14:paraId="78B4B154" w14:textId="0BD1CD84" w:rsidR="0075792A" w:rsidRDefault="0075792A" w:rsidP="00A7631D">
      <w:pPr>
        <w:pStyle w:val="FootnoteText"/>
      </w:pPr>
      <w:r>
        <w:rPr>
          <w:rStyle w:val="FootnoteReference"/>
        </w:rPr>
        <w:footnoteRef/>
      </w:r>
      <w:r>
        <w:t xml:space="preserve"> </w:t>
      </w:r>
      <w:r>
        <w:tab/>
        <w:t>Georgetta Hoard will be referred to by first name to avoid confusion with victim Michael Hoard.</w:t>
      </w:r>
    </w:p>
  </w:footnote>
  <w:footnote w:id="7">
    <w:p w14:paraId="372259AB" w14:textId="70AC49BC" w:rsidR="0075792A" w:rsidRDefault="0075792A" w:rsidP="00A7631D">
      <w:pPr>
        <w:pStyle w:val="FootnoteText"/>
      </w:pPr>
      <w:r>
        <w:rPr>
          <w:rStyle w:val="FootnoteReference"/>
        </w:rPr>
        <w:footnoteRef/>
      </w:r>
      <w:r>
        <w:t xml:space="preserve"> </w:t>
      </w:r>
      <w:r>
        <w:tab/>
      </w:r>
      <w:r w:rsidRPr="008C322C">
        <w:t xml:space="preserve">Bowie believed the weapon pointed at him was a </w:t>
      </w:r>
      <w:r>
        <w:t>TEC-9</w:t>
      </w:r>
      <w:r w:rsidR="00E43AAB">
        <w:t xml:space="preserve"> </w:t>
      </w:r>
      <w:r w:rsidRPr="008C322C">
        <w:t>with a long clip</w:t>
      </w:r>
      <w:r>
        <w:t xml:space="preserve">, and </w:t>
      </w:r>
      <w:r w:rsidRPr="008C322C">
        <w:t xml:space="preserve">Brown saw a </w:t>
      </w:r>
      <w:r>
        <w:t>TEC-9</w:t>
      </w:r>
      <w:r w:rsidRPr="008C322C">
        <w:t xml:space="preserve"> pointed at him</w:t>
      </w:r>
      <w:r>
        <w:t>.</w:t>
      </w:r>
    </w:p>
  </w:footnote>
  <w:footnote w:id="8">
    <w:p w14:paraId="0E306F41" w14:textId="66800870" w:rsidR="0075792A" w:rsidRDefault="0075792A" w:rsidP="00A7631D">
      <w:pPr>
        <w:pStyle w:val="FootnoteText"/>
      </w:pPr>
      <w:r>
        <w:rPr>
          <w:rStyle w:val="FootnoteReference"/>
        </w:rPr>
        <w:footnoteRef/>
      </w:r>
      <w:r>
        <w:t xml:space="preserve"> </w:t>
      </w:r>
      <w:r>
        <w:tab/>
        <w:t xml:space="preserve">Warrants for Harris’s and Barnes’s arrests were issued at the same time as the warrants for Pops and Wilson.  </w:t>
      </w:r>
    </w:p>
  </w:footnote>
  <w:footnote w:id="9">
    <w:p w14:paraId="3B49AC45" w14:textId="58D08F2C" w:rsidR="0075792A" w:rsidRDefault="0075792A" w:rsidP="00A7631D">
      <w:pPr>
        <w:pStyle w:val="FootnoteText"/>
      </w:pPr>
      <w:r>
        <w:rPr>
          <w:rStyle w:val="FootnoteReference"/>
        </w:rPr>
        <w:footnoteRef/>
      </w:r>
      <w:r>
        <w:t xml:space="preserve"> </w:t>
      </w:r>
      <w:r>
        <w:tab/>
        <w:t xml:space="preserve">The wallet was identified as Wilson’s because it contained a video rental card and calling card in Wilson’s name.  </w:t>
      </w:r>
    </w:p>
  </w:footnote>
  <w:footnote w:id="10">
    <w:p w14:paraId="3945161F" w14:textId="644C592E" w:rsidR="0075792A" w:rsidRDefault="0075792A" w:rsidP="00A7631D">
      <w:pPr>
        <w:pStyle w:val="FootnoteText"/>
      </w:pPr>
      <w:r>
        <w:rPr>
          <w:rStyle w:val="FootnoteReference"/>
        </w:rPr>
        <w:footnoteRef/>
      </w:r>
      <w:r>
        <w:t xml:space="preserve"> </w:t>
      </w:r>
      <w:r>
        <w:tab/>
      </w:r>
      <w:proofErr w:type="spellStart"/>
      <w:r>
        <w:t>Pops’s</w:t>
      </w:r>
      <w:proofErr w:type="spellEnd"/>
      <w:r>
        <w:t xml:space="preserve"> moniker was listed as “Nut.”  Wilson’s moniker was listed as “Bird.”  Harris’s moniker was listed as “Scrap.”  Barnes’s moniker was listed as “</w:t>
      </w:r>
      <w:proofErr w:type="spellStart"/>
      <w:r>
        <w:t>Smerf</w:t>
      </w:r>
      <w:proofErr w:type="spellEnd"/>
      <w:r>
        <w:t xml:space="preserve">,” which he had tattooed across his stomach.  </w:t>
      </w:r>
    </w:p>
  </w:footnote>
  <w:footnote w:id="11">
    <w:p w14:paraId="59EE50BB" w14:textId="61A5E0CA" w:rsidR="0075792A" w:rsidRDefault="0075792A" w:rsidP="00A7631D">
      <w:pPr>
        <w:pStyle w:val="FootnoteText"/>
      </w:pPr>
      <w:r>
        <w:rPr>
          <w:rStyle w:val="FootnoteReference"/>
        </w:rPr>
        <w:footnoteRef/>
      </w:r>
      <w:r>
        <w:t xml:space="preserve"> </w:t>
      </w:r>
      <w:r>
        <w:tab/>
        <w:t xml:space="preserve">Williams was on probation at the time of the shooting, having suffered felony convictions for possession of marijuana with intent to sell and possession of stolen property.  </w:t>
      </w:r>
    </w:p>
  </w:footnote>
  <w:footnote w:id="12">
    <w:p w14:paraId="067E8994" w14:textId="44CF1738" w:rsidR="0075792A" w:rsidRDefault="0075792A" w:rsidP="00A7631D">
      <w:pPr>
        <w:pStyle w:val="FootnoteText"/>
      </w:pPr>
      <w:r>
        <w:rPr>
          <w:rStyle w:val="FootnoteReference"/>
        </w:rPr>
        <w:footnoteRef/>
      </w:r>
      <w:r>
        <w:t xml:space="preserve"> </w:t>
      </w:r>
      <w:r>
        <w:tab/>
        <w:t xml:space="preserve">Bowie’s and Brown’s identifications, made in 1998, predate the enactment of section 859.7, which now mandates that law enforcement agencies adopt regulations for the administration of identification processes. </w:t>
      </w:r>
    </w:p>
  </w:footnote>
  <w:footnote w:id="13">
    <w:p w14:paraId="6CDE564A" w14:textId="7D41CF96" w:rsidR="0075792A" w:rsidRDefault="0075792A" w:rsidP="00A7631D">
      <w:pPr>
        <w:pStyle w:val="FootnoteText"/>
      </w:pPr>
      <w:r>
        <w:rPr>
          <w:rStyle w:val="FootnoteReference"/>
        </w:rPr>
        <w:footnoteRef/>
      </w:r>
      <w:r>
        <w:t xml:space="preserve"> </w:t>
      </w:r>
      <w:r>
        <w:tab/>
        <w:t>Bowie was able to identify Pops.  Although Bowie was shown several photo arrays — four pages with five images each, one six-pack, and two individual photographs, in that order — he did not recall the order in which officers showed the photos to him.  The photo of Pops was shown to Bowie last; it was one of the two photographs shown.  We need not decide whether this procedure was suggestive to address Wilson’s claim of error.</w:t>
      </w:r>
    </w:p>
  </w:footnote>
  <w:footnote w:id="14">
    <w:p w14:paraId="0D0D785D" w14:textId="3C702FC1" w:rsidR="0075792A" w:rsidRDefault="0075792A" w:rsidP="00A7631D">
      <w:pPr>
        <w:pStyle w:val="FootnoteText"/>
      </w:pPr>
      <w:r>
        <w:rPr>
          <w:rStyle w:val="FootnoteReference"/>
        </w:rPr>
        <w:footnoteRef/>
      </w:r>
      <w:r>
        <w:t xml:space="preserve"> </w:t>
      </w:r>
      <w:r>
        <w:tab/>
        <w:t xml:space="preserve">The forfeiture issue in this case is somewhat tangled.  Wilson joined </w:t>
      </w:r>
      <w:proofErr w:type="spellStart"/>
      <w:r>
        <w:t>Pops’s</w:t>
      </w:r>
      <w:proofErr w:type="spellEnd"/>
      <w:r>
        <w:t xml:space="preserve"> motion for an Evidence Code section 402 hearing.  In that motion, Pops argued that the way Bowie was shown his photograph was unduly suggestive because law enforcement officials presented several photographic arrays to Bowie, and then showed him just two pictures, one of which was of Pops.  Wilson joined </w:t>
      </w:r>
      <w:proofErr w:type="spellStart"/>
      <w:r>
        <w:t>Pops’s</w:t>
      </w:r>
      <w:proofErr w:type="spellEnd"/>
      <w:r>
        <w:t xml:space="preserve"> motion, and the prosecution’s response to </w:t>
      </w:r>
      <w:proofErr w:type="spellStart"/>
      <w:r>
        <w:t>Pops’s</w:t>
      </w:r>
      <w:proofErr w:type="spellEnd"/>
      <w:r>
        <w:t xml:space="preserve"> motion included an argument about the propriety of Bowie’s photographic identification of Wilson.  At the hearing, immediately before Wilson examined Bowie, the prosecution informed the court it assumed Wilson was joining </w:t>
      </w:r>
      <w:proofErr w:type="spellStart"/>
      <w:r>
        <w:t>Pops’s</w:t>
      </w:r>
      <w:proofErr w:type="spellEnd"/>
      <w:r>
        <w:t xml:space="preserve"> motion.  The trial court agreed, noting that the prosecution argued Bowie’s identification of Wilson was proper in its opposition.  Wilson then briefly questioned Bowie about that identification.  Pops made further argument to the court to exclude Bowie’s identification, and Wilson “submitted.”  </w:t>
      </w:r>
    </w:p>
    <w:p w14:paraId="479F0026" w14:textId="283BA52E" w:rsidR="0075792A" w:rsidRPr="00693951" w:rsidRDefault="0075792A" w:rsidP="00A7631D">
      <w:pPr>
        <w:pStyle w:val="FootnoteText"/>
        <w:ind w:firstLine="720"/>
      </w:pPr>
      <w:r>
        <w:t>Wilson claims the issue is not forfeited because the “</w:t>
      </w:r>
      <w:r w:rsidR="00B47795">
        <w:t> </w:t>
      </w:r>
      <w:r>
        <w:t>‘court understood the issue presented.’</w:t>
      </w:r>
      <w:r w:rsidR="00D17A52">
        <w:t> </w:t>
      </w:r>
      <w:r>
        <w:t>”  (</w:t>
      </w:r>
      <w:r>
        <w:rPr>
          <w:i/>
          <w:iCs/>
        </w:rPr>
        <w:t>People v. Clark</w:t>
      </w:r>
      <w:r>
        <w:t xml:space="preserve"> (2011) 52 Cal.4th 856, 966.)  In </w:t>
      </w:r>
      <w:r>
        <w:rPr>
          <w:i/>
          <w:iCs/>
        </w:rPr>
        <w:t xml:space="preserve">People v. </w:t>
      </w:r>
      <w:r w:rsidRPr="00F86E83">
        <w:rPr>
          <w:i/>
          <w:iCs/>
        </w:rPr>
        <w:t>Cunningham</w:t>
      </w:r>
      <w:r>
        <w:t xml:space="preserve"> (2001) 25 Cal.4th 926, 989, we held a suggestiveness claim was forfeited because defendant failed to object, but the </w:t>
      </w:r>
      <w:proofErr w:type="gramStart"/>
      <w:r>
        <w:t>first time</w:t>
      </w:r>
      <w:proofErr w:type="gramEnd"/>
      <w:r>
        <w:t xml:space="preserve"> suggestiveness was raised was in connection with a motion for judgment of acquittal.  In finding the suggestiveness claim forfeited in </w:t>
      </w:r>
      <w:r w:rsidRPr="00F86E83">
        <w:rPr>
          <w:i/>
          <w:iCs/>
        </w:rPr>
        <w:t>Cunningham</w:t>
      </w:r>
      <w:r>
        <w:t xml:space="preserve">, we cited </w:t>
      </w:r>
      <w:r w:rsidRPr="00F86E83">
        <w:t>Evidence</w:t>
      </w:r>
      <w:r>
        <w:t xml:space="preserve"> Code section 353, which permits a court’s reversal based on erroneously admitted evidence only if the defendant moved to exclude the evidence or objected to its admission, and the reviewing court found the evidence should have been excluded on the grounds stated in the objection, or admission constituted </w:t>
      </w:r>
      <w:proofErr w:type="gramStart"/>
      <w:r>
        <w:t>a miscarriage of justice</w:t>
      </w:r>
      <w:proofErr w:type="gramEnd"/>
      <w:r>
        <w:t xml:space="preserve">.  The only ground for exclusion of Bowie’s identification raised in </w:t>
      </w:r>
      <w:proofErr w:type="spellStart"/>
      <w:r>
        <w:t>Pops’s</w:t>
      </w:r>
      <w:proofErr w:type="spellEnd"/>
      <w:r>
        <w:t xml:space="preserve"> motion was based on the suggestiveness of Bowie being shown two photos, one of which depicted Pops, after he was shown several multiple-photo arrays.  Arguably, no motion to exclude Bowie’s identification based on the suggestiveness of Wilson’s mouth shape was made, although the issue was addressed at the Evidence Code section 402 hearing.  Whether Wilson forfeited this issue is a close question, but even if his suggestiveness claim is forfeited, nothing prohibits us from considering the merits of the issue, and we elect to do so here.  (See </w:t>
      </w:r>
      <w:r>
        <w:rPr>
          <w:i/>
          <w:iCs/>
        </w:rPr>
        <w:t>ibid</w:t>
      </w:r>
      <w:r>
        <w:t xml:space="preserve">.; </w:t>
      </w:r>
      <w:r>
        <w:rPr>
          <w:i/>
          <w:iCs/>
        </w:rPr>
        <w:t xml:space="preserve">People v. </w:t>
      </w:r>
      <w:r w:rsidRPr="00F86E83">
        <w:rPr>
          <w:i/>
          <w:iCs/>
        </w:rPr>
        <w:t>Medina</w:t>
      </w:r>
      <w:r>
        <w:t xml:space="preserve"> (1995) 11 Cal.4th 694, 753.)  </w:t>
      </w:r>
    </w:p>
  </w:footnote>
  <w:footnote w:id="15">
    <w:p w14:paraId="72C3BC2D" w14:textId="1885D775" w:rsidR="001973DB" w:rsidRDefault="001973DB">
      <w:pPr>
        <w:pStyle w:val="FootnoteText"/>
      </w:pPr>
      <w:r>
        <w:rPr>
          <w:rStyle w:val="FootnoteReference"/>
        </w:rPr>
        <w:footnoteRef/>
      </w:r>
      <w:r>
        <w:t xml:space="preserve"> </w:t>
      </w:r>
      <w:r>
        <w:tab/>
      </w:r>
      <w:r w:rsidR="009715D6">
        <w:t>This</w:t>
      </w:r>
      <w:r w:rsidR="00D766F8">
        <w:t xml:space="preserve"> aspect of the analysis in </w:t>
      </w:r>
      <w:r w:rsidR="00D766F8">
        <w:rPr>
          <w:i/>
          <w:iCs/>
        </w:rPr>
        <w:t xml:space="preserve">Ohio v. </w:t>
      </w:r>
      <w:r w:rsidR="00D766F8" w:rsidRPr="00D766F8">
        <w:rPr>
          <w:i/>
          <w:iCs/>
        </w:rPr>
        <w:t>Roberts</w:t>
      </w:r>
      <w:r w:rsidR="00D766F8">
        <w:t xml:space="preserve"> survive</w:t>
      </w:r>
      <w:r w:rsidR="000367C7">
        <w:t xml:space="preserve">d </w:t>
      </w:r>
      <w:r w:rsidR="00D766F8">
        <w:rPr>
          <w:i/>
          <w:iCs/>
        </w:rPr>
        <w:t>Crawford</w:t>
      </w:r>
      <w:r w:rsidR="00D766F8">
        <w:t>.</w:t>
      </w:r>
      <w:r w:rsidR="005328AD">
        <w:t xml:space="preserve"> </w:t>
      </w:r>
      <w:r w:rsidR="00D766F8">
        <w:t xml:space="preserve"> (See, e.g., </w:t>
      </w:r>
      <w:r w:rsidR="000A29E5" w:rsidRPr="00003B7D">
        <w:rPr>
          <w:i/>
          <w:iCs/>
        </w:rPr>
        <w:t>People v. Herrera</w:t>
      </w:r>
      <w:r w:rsidR="00F95CCA" w:rsidRPr="00003B7D">
        <w:t>,</w:t>
      </w:r>
      <w:r w:rsidR="00F95CCA">
        <w:rPr>
          <w:i/>
          <w:iCs/>
        </w:rPr>
        <w:t xml:space="preserve"> supra</w:t>
      </w:r>
      <w:r w:rsidR="00F95CCA" w:rsidRPr="00003B7D">
        <w:t xml:space="preserve">, </w:t>
      </w:r>
      <w:r w:rsidR="000A29E5" w:rsidRPr="000A29E5">
        <w:t xml:space="preserve">49 Cal.4th </w:t>
      </w:r>
      <w:r w:rsidR="00F95CCA">
        <w:t>at p.</w:t>
      </w:r>
      <w:r w:rsidR="000A29E5" w:rsidRPr="000A29E5">
        <w:t xml:space="preserve"> 622 [</w:t>
      </w:r>
      <w:r w:rsidR="00F43F15">
        <w:t xml:space="preserve">implicitly </w:t>
      </w:r>
      <w:r w:rsidR="0089661A">
        <w:t xml:space="preserve">acknowledging, in a </w:t>
      </w:r>
      <w:r w:rsidR="00A05731">
        <w:t>post-</w:t>
      </w:r>
      <w:r w:rsidR="00A05731">
        <w:rPr>
          <w:i/>
          <w:iCs/>
        </w:rPr>
        <w:t xml:space="preserve">Crawford </w:t>
      </w:r>
      <w:r w:rsidR="00A05731">
        <w:t>decision</w:t>
      </w:r>
      <w:r w:rsidR="0089661A">
        <w:t>, that although</w:t>
      </w:r>
      <w:r w:rsidR="000A29E5" w:rsidRPr="000A29E5">
        <w:t xml:space="preserve"> </w:t>
      </w:r>
      <w:r w:rsidR="000A29E5" w:rsidRPr="00003B7D">
        <w:rPr>
          <w:i/>
          <w:iCs/>
        </w:rPr>
        <w:t>Ohio v. Roberts</w:t>
      </w:r>
      <w:r w:rsidR="00A05731">
        <w:t xml:space="preserve"> </w:t>
      </w:r>
      <w:r w:rsidR="0089661A">
        <w:t xml:space="preserve">was disapproved on other grounds by </w:t>
      </w:r>
      <w:r w:rsidR="0089661A" w:rsidRPr="00F43F15">
        <w:rPr>
          <w:i/>
          <w:iCs/>
        </w:rPr>
        <w:t>Crawford</w:t>
      </w:r>
      <w:r w:rsidR="0089661A">
        <w:t xml:space="preserve">, </w:t>
      </w:r>
      <w:r w:rsidR="00827FE1">
        <w:t>its analysis concerning</w:t>
      </w:r>
      <w:r w:rsidR="000A29E5" w:rsidRPr="000A29E5">
        <w:t xml:space="preserve"> “[t]he ultimate question [of] whether </w:t>
      </w:r>
      <w:r w:rsidR="00827FE1">
        <w:t>[a]</w:t>
      </w:r>
      <w:r w:rsidR="000A29E5" w:rsidRPr="000A29E5">
        <w:t xml:space="preserve"> witness is unavailable despite good-faith efforts undertaken prior to trial to locate and present that witness”</w:t>
      </w:r>
      <w:r w:rsidR="00827FE1">
        <w:t xml:space="preserve"> remain</w:t>
      </w:r>
      <w:r w:rsidR="000E79AF">
        <w:t>ed</w:t>
      </w:r>
      <w:r w:rsidR="00827FE1">
        <w:t xml:space="preserve"> viable]</w:t>
      </w:r>
      <w:r w:rsidR="00D766F8">
        <w:t>.)</w:t>
      </w:r>
    </w:p>
  </w:footnote>
  <w:footnote w:id="16">
    <w:p w14:paraId="2C33D133" w14:textId="3F359D5D" w:rsidR="0075792A" w:rsidRDefault="0075792A" w:rsidP="00A7631D">
      <w:pPr>
        <w:pStyle w:val="FootnoteText"/>
      </w:pPr>
      <w:r w:rsidRPr="006244B6">
        <w:rPr>
          <w:rStyle w:val="FootnoteReference"/>
          <w:szCs w:val="26"/>
        </w:rPr>
        <w:footnoteRef/>
      </w:r>
      <w:r w:rsidRPr="006244B6">
        <w:rPr>
          <w:szCs w:val="26"/>
        </w:rPr>
        <w:t xml:space="preserve"> </w:t>
      </w:r>
      <w:r w:rsidRPr="006244B6">
        <w:rPr>
          <w:szCs w:val="26"/>
        </w:rPr>
        <w:tab/>
      </w:r>
      <w:r w:rsidRPr="00110AB3">
        <w:rPr>
          <w:szCs w:val="26"/>
        </w:rPr>
        <w:t>“</w:t>
      </w:r>
      <w:r w:rsidR="00B47795">
        <w:rPr>
          <w:szCs w:val="26"/>
        </w:rPr>
        <w:t> </w:t>
      </w:r>
      <w:r w:rsidRPr="00110AB3">
        <w:rPr>
          <w:szCs w:val="26"/>
        </w:rPr>
        <w:t>‘</w:t>
      </w:r>
      <w:r w:rsidR="00B47795">
        <w:rPr>
          <w:szCs w:val="26"/>
        </w:rPr>
        <w:t> </w:t>
      </w:r>
      <w:r>
        <w:rPr>
          <w:szCs w:val="26"/>
        </w:rPr>
        <w:t>“</w:t>
      </w:r>
      <w:r w:rsidRPr="00110AB3">
        <w:rPr>
          <w:szCs w:val="26"/>
        </w:rPr>
        <w:t>Deliberation</w:t>
      </w:r>
      <w:r>
        <w:rPr>
          <w:szCs w:val="26"/>
        </w:rPr>
        <w:t>”</w:t>
      </w:r>
      <w:r w:rsidRPr="00110AB3">
        <w:rPr>
          <w:szCs w:val="26"/>
        </w:rPr>
        <w:t xml:space="preserve"> refers to careful weighing of considerations in forming a course of action; </w:t>
      </w:r>
      <w:r>
        <w:rPr>
          <w:szCs w:val="26"/>
        </w:rPr>
        <w:t>“</w:t>
      </w:r>
      <w:r w:rsidRPr="00110AB3">
        <w:rPr>
          <w:szCs w:val="26"/>
        </w:rPr>
        <w:t>premeditation</w:t>
      </w:r>
      <w:r>
        <w:rPr>
          <w:szCs w:val="26"/>
        </w:rPr>
        <w:t>”</w:t>
      </w:r>
      <w:r w:rsidRPr="00110AB3">
        <w:rPr>
          <w:szCs w:val="26"/>
        </w:rPr>
        <w:t xml:space="preserve"> means thought over in advance.</w:t>
      </w:r>
      <w:r>
        <w:rPr>
          <w:szCs w:val="26"/>
        </w:rPr>
        <w:t>’</w:t>
      </w:r>
      <w:r w:rsidR="00D17A52">
        <w:rPr>
          <w:szCs w:val="26"/>
        </w:rPr>
        <w:t> </w:t>
      </w:r>
      <w:r w:rsidRPr="00110AB3">
        <w:rPr>
          <w:szCs w:val="26"/>
        </w:rPr>
        <w:t>”</w:t>
      </w:r>
      <w:r>
        <w:rPr>
          <w:szCs w:val="26"/>
        </w:rPr>
        <w:t xml:space="preserve">  (</w:t>
      </w:r>
      <w:r w:rsidRPr="002C7F45">
        <w:rPr>
          <w:i/>
          <w:iCs/>
          <w:szCs w:val="26"/>
        </w:rPr>
        <w:t>People v. Brooks</w:t>
      </w:r>
      <w:r w:rsidRPr="00110AB3">
        <w:rPr>
          <w:szCs w:val="26"/>
        </w:rPr>
        <w:t> (2017) 3 Cal.5th 1, 58</w:t>
      </w:r>
      <w:r>
        <w:rPr>
          <w:szCs w:val="26"/>
        </w:rPr>
        <w:t>.)</w:t>
      </w:r>
      <w:r w:rsidRPr="002C46F8">
        <w:rPr>
          <w:szCs w:val="26"/>
        </w:rPr>
        <w:t xml:space="preserve"> </w:t>
      </w:r>
      <w:r>
        <w:rPr>
          <w:szCs w:val="26"/>
        </w:rPr>
        <w:t xml:space="preserve"> </w:t>
      </w:r>
    </w:p>
  </w:footnote>
  <w:footnote w:id="17">
    <w:p w14:paraId="1F203EE8" w14:textId="4607D24C" w:rsidR="0075792A" w:rsidRPr="00225277" w:rsidRDefault="0075792A" w:rsidP="00B66126">
      <w:pPr>
        <w:spacing w:line="300" w:lineRule="exact"/>
        <w:rPr>
          <w:szCs w:val="26"/>
        </w:rPr>
      </w:pPr>
      <w:r>
        <w:rPr>
          <w:rStyle w:val="FootnoteReference"/>
        </w:rPr>
        <w:footnoteRef/>
      </w:r>
      <w:r>
        <w:t xml:space="preserve"> </w:t>
      </w:r>
      <w:r>
        <w:tab/>
      </w:r>
      <w:r>
        <w:rPr>
          <w:szCs w:val="26"/>
        </w:rPr>
        <w:t xml:space="preserve">Because the evidence was admitted for </w:t>
      </w:r>
      <w:proofErr w:type="spellStart"/>
      <w:r>
        <w:rPr>
          <w:szCs w:val="26"/>
        </w:rPr>
        <w:t>nonhearsay</w:t>
      </w:r>
      <w:proofErr w:type="spellEnd"/>
      <w:r>
        <w:rPr>
          <w:szCs w:val="26"/>
        </w:rPr>
        <w:t xml:space="preserve"> purposes, defendant’s argument that its admission constituted a violation of his confrontation rights is unavailing.  “</w:t>
      </w:r>
      <w:r w:rsidRPr="00796461">
        <w:rPr>
          <w:szCs w:val="26"/>
        </w:rPr>
        <w:t>Whether a challenged statement is hearsay is always the threshold question.</w:t>
      </w:r>
      <w:r>
        <w:rPr>
          <w:szCs w:val="26"/>
        </w:rPr>
        <w:t>”  (</w:t>
      </w:r>
      <w:r w:rsidRPr="008516CF">
        <w:rPr>
          <w:i/>
          <w:iCs/>
          <w:szCs w:val="26"/>
        </w:rPr>
        <w:t>People v. Turner</w:t>
      </w:r>
      <w:r w:rsidRPr="00796461">
        <w:rPr>
          <w:szCs w:val="26"/>
        </w:rPr>
        <w:t xml:space="preserve"> (2020</w:t>
      </w:r>
      <w:r>
        <w:rPr>
          <w:szCs w:val="26"/>
        </w:rPr>
        <w:t xml:space="preserve">) 10 Cal.5th 820, fn. 19.) </w:t>
      </w:r>
      <w:r w:rsidRPr="00796461">
        <w:rPr>
          <w:szCs w:val="26"/>
        </w:rPr>
        <w:t xml:space="preserve"> </w:t>
      </w:r>
      <w:r>
        <w:rPr>
          <w:szCs w:val="26"/>
        </w:rPr>
        <w:t>“[T]</w:t>
      </w:r>
      <w:r w:rsidRPr="00894AB6">
        <w:rPr>
          <w:szCs w:val="26"/>
        </w:rPr>
        <w:t>he confrontation clause is concerned solely with hearsay statements that are testimonial, in that they are out-of-court analogs, in purpose and form, of the testimony given by witnesses at trial.</w:t>
      </w:r>
      <w:r>
        <w:rPr>
          <w:szCs w:val="26"/>
        </w:rPr>
        <w:t xml:space="preserve">” </w:t>
      </w:r>
      <w:r w:rsidRPr="00191B87">
        <w:rPr>
          <w:szCs w:val="26"/>
        </w:rPr>
        <w:t xml:space="preserve"> (</w:t>
      </w:r>
      <w:r w:rsidRPr="00191B87">
        <w:rPr>
          <w:i/>
          <w:iCs/>
          <w:szCs w:val="26"/>
        </w:rPr>
        <w:t>People v. Cage</w:t>
      </w:r>
      <w:r w:rsidRPr="00191B87">
        <w:rPr>
          <w:szCs w:val="26"/>
        </w:rPr>
        <w:t xml:space="preserve"> (2007) 40 Cal.4th 965, 984.) </w:t>
      </w:r>
      <w:r>
        <w:rPr>
          <w:szCs w:val="26"/>
        </w:rPr>
        <w:t xml:space="preserve"> The evidence was neither hearsay nor testimonial; accordingly</w:t>
      </w:r>
      <w:r w:rsidRPr="00225277">
        <w:rPr>
          <w:szCs w:val="26"/>
        </w:rPr>
        <w:t xml:space="preserve">, no violation of defendant’s confrontation rights could have occurred. </w:t>
      </w:r>
    </w:p>
    <w:p w14:paraId="3319FD9C" w14:textId="77777777" w:rsidR="0075792A" w:rsidRDefault="0075792A" w:rsidP="00B616C6">
      <w:pPr>
        <w:pStyle w:val="FootnoteText"/>
      </w:pPr>
    </w:p>
  </w:footnote>
  <w:footnote w:id="18">
    <w:p w14:paraId="76BF60C1" w14:textId="351B8A39" w:rsidR="0075792A" w:rsidRDefault="0075792A" w:rsidP="00A7631D">
      <w:pPr>
        <w:pStyle w:val="FootnoteText"/>
      </w:pPr>
      <w:r>
        <w:rPr>
          <w:rStyle w:val="FootnoteReference"/>
        </w:rPr>
        <w:footnoteRef/>
      </w:r>
      <w:r>
        <w:t xml:space="preserve"> </w:t>
      </w:r>
      <w:r>
        <w:tab/>
        <w:t xml:space="preserve">Wilson’s counsel unsuccessfully sought the court’s permission to examine jurors, including Juror No. 9, at the hearings related to the alleged misconduct.  The trial court ruled it would be the exclusive questioning </w:t>
      </w:r>
      <w:proofErr w:type="gramStart"/>
      <w:r>
        <w:t>body, but</w:t>
      </w:r>
      <w:proofErr w:type="gramEnd"/>
      <w:r>
        <w:t xml:space="preserve"> requested “counsel . . . make any suggestions for the scope of the inquiry.”   </w:t>
      </w:r>
    </w:p>
  </w:footnote>
  <w:footnote w:id="19">
    <w:p w14:paraId="14C7DBF1" w14:textId="54DFBA12" w:rsidR="0075792A" w:rsidRDefault="0075792A" w:rsidP="00A7631D">
      <w:pPr>
        <w:pStyle w:val="FootnoteText"/>
      </w:pPr>
      <w:r>
        <w:rPr>
          <w:rStyle w:val="FootnoteReference"/>
        </w:rPr>
        <w:footnoteRef/>
      </w:r>
      <w:r>
        <w:t xml:space="preserve"> </w:t>
      </w:r>
      <w:r>
        <w:tab/>
        <w:t xml:space="preserve">Specifically, the questionnaire stated:  “If you have been a juror in the past, please provide the following information,” and listed categories including year of the case, whether it was civil or criminal, the charges (if criminal), the type of case (if civil), and whether a verdict was reached.  </w:t>
      </w:r>
    </w:p>
  </w:footnote>
  <w:footnote w:id="20">
    <w:p w14:paraId="2BB34286" w14:textId="3D1A05F5" w:rsidR="0075792A" w:rsidRPr="00C07736" w:rsidRDefault="0075792A" w:rsidP="00A7631D">
      <w:pPr>
        <w:pStyle w:val="FootnoteText"/>
      </w:pPr>
      <w:r>
        <w:rPr>
          <w:rStyle w:val="FootnoteReference"/>
        </w:rPr>
        <w:footnoteRef/>
      </w:r>
      <w:r>
        <w:t xml:space="preserve"> </w:t>
      </w:r>
      <w:r>
        <w:tab/>
        <w:t xml:space="preserve">In </w:t>
      </w:r>
      <w:r>
        <w:rPr>
          <w:i/>
          <w:iCs/>
        </w:rPr>
        <w:t>In re Hamilton</w:t>
      </w:r>
      <w:r>
        <w:t>, we explained “</w:t>
      </w:r>
      <w:r w:rsidRPr="0038396A">
        <w:t>that an honest mistake on voir dire cannot disturb a judgment in the absence of proof that the juror</w:t>
      </w:r>
      <w:r>
        <w:t>’</w:t>
      </w:r>
      <w:r w:rsidRPr="0038396A">
        <w:t>s wrong or incomplete answer hid the juror</w:t>
      </w:r>
      <w:r>
        <w:t>’</w:t>
      </w:r>
      <w:r w:rsidRPr="0038396A">
        <w:t xml:space="preserve">s actual bias. </w:t>
      </w:r>
      <w:r>
        <w:t xml:space="preserve"> </w:t>
      </w:r>
      <w:r w:rsidRPr="0038396A">
        <w:t>Moreover, the juror</w:t>
      </w:r>
      <w:r>
        <w:t>’s</w:t>
      </w:r>
      <w:r w:rsidRPr="0038396A">
        <w:t xml:space="preserve"> good faith when answering voir dire questions is the most significant indicator that there was no bias.</w:t>
      </w:r>
      <w:r>
        <w:t>”  (</w:t>
      </w:r>
      <w:r>
        <w:rPr>
          <w:i/>
          <w:iCs/>
        </w:rPr>
        <w:t>In re Hamilton</w:t>
      </w:r>
      <w:r>
        <w:t xml:space="preserve">, </w:t>
      </w:r>
      <w:r w:rsidRPr="00361510">
        <w:rPr>
          <w:i/>
          <w:iCs/>
        </w:rPr>
        <w:t>supra</w:t>
      </w:r>
      <w:r>
        <w:t xml:space="preserve">, 20 Cal.4th </w:t>
      </w:r>
      <w:r w:rsidRPr="00361510">
        <w:t>at</w:t>
      </w:r>
      <w:r>
        <w:t xml:space="preserve"> p. 300.) </w:t>
      </w:r>
    </w:p>
  </w:footnote>
  <w:footnote w:id="21">
    <w:p w14:paraId="16A02F85" w14:textId="40688602" w:rsidR="0075792A" w:rsidRDefault="0075792A" w:rsidP="00A7631D">
      <w:pPr>
        <w:pStyle w:val="FootnoteText"/>
      </w:pPr>
      <w:r>
        <w:rPr>
          <w:rStyle w:val="FootnoteReference"/>
        </w:rPr>
        <w:footnoteRef/>
      </w:r>
      <w:r>
        <w:t xml:space="preserve"> </w:t>
      </w:r>
      <w:r>
        <w:tab/>
      </w:r>
      <w:r>
        <w:rPr>
          <w:szCs w:val="26"/>
        </w:rPr>
        <w:t xml:space="preserve">It was </w:t>
      </w:r>
      <w:proofErr w:type="gramStart"/>
      <w:r>
        <w:rPr>
          <w:szCs w:val="26"/>
        </w:rPr>
        <w:t>at this juncture</w:t>
      </w:r>
      <w:proofErr w:type="gramEnd"/>
      <w:r>
        <w:rPr>
          <w:szCs w:val="26"/>
        </w:rPr>
        <w:t xml:space="preserve"> that defense counsel spoke with Juror No. 9 and learned of her prior jury service, as previously addressed.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BEDC" w14:textId="243D51AA" w:rsidR="0075792A" w:rsidRDefault="0075792A">
    <w:pPr>
      <w:pStyle w:val="Header"/>
    </w:pPr>
    <w:r>
      <w:t>PEOPLE v. WILSON</w:t>
    </w:r>
  </w:p>
  <w:p w14:paraId="5F30934B" w14:textId="23BE49F7" w:rsidR="0075792A" w:rsidRDefault="0075792A">
    <w:pPr>
      <w:pStyle w:val="Header"/>
    </w:pPr>
    <w:r>
      <w:t>Opinion of the Court by Cuéllar, J.</w:t>
    </w:r>
  </w:p>
  <w:p w14:paraId="3689F9C5" w14:textId="77777777" w:rsidR="0075792A" w:rsidRDefault="00757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45A1" w14:textId="71C56921" w:rsidR="0075792A" w:rsidRPr="00E44975" w:rsidRDefault="0075792A" w:rsidP="00E44975">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7737" w14:textId="77777777" w:rsidR="00623AC2" w:rsidRDefault="00C8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3F78" w14:textId="77777777" w:rsidR="00623AC2" w:rsidRDefault="00C84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8AE" w14:textId="77777777" w:rsidR="00623AC2" w:rsidRDefault="00C8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7E6A"/>
    <w:multiLevelType w:val="hybridMultilevel"/>
    <w:tmpl w:val="C21653E2"/>
    <w:lvl w:ilvl="0" w:tplc="87BEFDC2">
      <w:start w:val="1"/>
      <w:numFmt w:val="upperLetter"/>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6663E"/>
    <w:multiLevelType w:val="hybridMultilevel"/>
    <w:tmpl w:val="6DAE1DB8"/>
    <w:lvl w:ilvl="0" w:tplc="98267EF0">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44A64"/>
    <w:multiLevelType w:val="hybridMultilevel"/>
    <w:tmpl w:val="83667A9C"/>
    <w:lvl w:ilvl="0" w:tplc="38E87DB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0640B35"/>
    <w:multiLevelType w:val="hybridMultilevel"/>
    <w:tmpl w:val="68BEE076"/>
    <w:lvl w:ilvl="0" w:tplc="F392B3B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85D6B"/>
    <w:multiLevelType w:val="hybridMultilevel"/>
    <w:tmpl w:val="228A87AE"/>
    <w:lvl w:ilvl="0" w:tplc="8D1A94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061A"/>
    <w:multiLevelType w:val="hybridMultilevel"/>
    <w:tmpl w:val="91CE2620"/>
    <w:lvl w:ilvl="0" w:tplc="EFD4190C">
      <w:start w:val="1"/>
      <w:numFmt w:val="decimal"/>
      <w:lvlText w:val="%1."/>
      <w:lvlJc w:val="left"/>
      <w:pPr>
        <w:ind w:left="1512" w:hanging="360"/>
      </w:pPr>
      <w:rPr>
        <w:rFonts w:hint="default"/>
        <w:i/>
        <w:i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3FE7610"/>
    <w:multiLevelType w:val="hybridMultilevel"/>
    <w:tmpl w:val="3D44BE8E"/>
    <w:lvl w:ilvl="0" w:tplc="2E143A9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21D63"/>
    <w:multiLevelType w:val="hybridMultilevel"/>
    <w:tmpl w:val="9CB6696C"/>
    <w:lvl w:ilvl="0" w:tplc="BB52A79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3BAE52B3"/>
    <w:multiLevelType w:val="hybridMultilevel"/>
    <w:tmpl w:val="C1766A82"/>
    <w:lvl w:ilvl="0" w:tplc="C8F2A6C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63E98"/>
    <w:multiLevelType w:val="hybridMultilevel"/>
    <w:tmpl w:val="D75678B6"/>
    <w:lvl w:ilvl="0" w:tplc="D1121B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57E80"/>
    <w:multiLevelType w:val="hybridMultilevel"/>
    <w:tmpl w:val="4612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C7009"/>
    <w:multiLevelType w:val="hybridMultilevel"/>
    <w:tmpl w:val="6DAE1DB8"/>
    <w:lvl w:ilvl="0" w:tplc="98267EF0">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C4BDE"/>
    <w:multiLevelType w:val="hybridMultilevel"/>
    <w:tmpl w:val="64E4EF04"/>
    <w:lvl w:ilvl="0" w:tplc="23082F28">
      <w:start w:val="1"/>
      <w:numFmt w:val="decimal"/>
      <w:lvlText w:val="%1."/>
      <w:lvlJc w:val="left"/>
      <w:pPr>
        <w:ind w:left="1512" w:hanging="360"/>
      </w:pPr>
      <w:rPr>
        <w:rFonts w:hint="default"/>
        <w:i/>
        <w:i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4F024FC0"/>
    <w:multiLevelType w:val="hybridMultilevel"/>
    <w:tmpl w:val="CF245768"/>
    <w:lvl w:ilvl="0" w:tplc="DD9C3CA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521A71F2"/>
    <w:multiLevelType w:val="hybridMultilevel"/>
    <w:tmpl w:val="9566F53C"/>
    <w:lvl w:ilvl="0" w:tplc="9FDA0CF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568F7377"/>
    <w:multiLevelType w:val="hybridMultilevel"/>
    <w:tmpl w:val="828C9556"/>
    <w:lvl w:ilvl="0" w:tplc="E494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4B2B49"/>
    <w:multiLevelType w:val="hybridMultilevel"/>
    <w:tmpl w:val="8F9006D8"/>
    <w:lvl w:ilvl="0" w:tplc="FA4CDD30">
      <w:start w:val="1"/>
      <w:numFmt w:val="decimal"/>
      <w:lvlText w:val="%1."/>
      <w:lvlJc w:val="left"/>
      <w:pPr>
        <w:ind w:left="1800" w:hanging="360"/>
      </w:pPr>
      <w:rPr>
        <w:rFonts w:hint="default"/>
        <w:i/>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9B610B"/>
    <w:multiLevelType w:val="hybridMultilevel"/>
    <w:tmpl w:val="A4FE4F48"/>
    <w:lvl w:ilvl="0" w:tplc="F836C26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6999532E"/>
    <w:multiLevelType w:val="hybridMultilevel"/>
    <w:tmpl w:val="C1766A82"/>
    <w:lvl w:ilvl="0" w:tplc="C8F2A6C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2031A"/>
    <w:multiLevelType w:val="hybridMultilevel"/>
    <w:tmpl w:val="B9C8E072"/>
    <w:lvl w:ilvl="0" w:tplc="BF1C0B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4406A3"/>
    <w:multiLevelType w:val="hybridMultilevel"/>
    <w:tmpl w:val="E7F65A0C"/>
    <w:lvl w:ilvl="0" w:tplc="F63629B4">
      <w:start w:val="1"/>
      <w:numFmt w:val="decimal"/>
      <w:lvlText w:val="%1."/>
      <w:lvlJc w:val="left"/>
      <w:pPr>
        <w:ind w:left="1512" w:hanging="360"/>
      </w:pPr>
      <w:rPr>
        <w:rFonts w:hint="default"/>
        <w:i/>
        <w:i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7CD96458"/>
    <w:multiLevelType w:val="hybridMultilevel"/>
    <w:tmpl w:val="6E94A0FE"/>
    <w:lvl w:ilvl="0" w:tplc="D1EE4F1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7F0E0B46"/>
    <w:multiLevelType w:val="hybridMultilevel"/>
    <w:tmpl w:val="2B1EA356"/>
    <w:lvl w:ilvl="0" w:tplc="340AD2B6">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 w:numId="2">
    <w:abstractNumId w:val="17"/>
  </w:num>
  <w:num w:numId="3">
    <w:abstractNumId w:val="19"/>
  </w:num>
  <w:num w:numId="4">
    <w:abstractNumId w:val="3"/>
  </w:num>
  <w:num w:numId="5">
    <w:abstractNumId w:val="21"/>
  </w:num>
  <w:num w:numId="6">
    <w:abstractNumId w:val="20"/>
  </w:num>
  <w:num w:numId="7">
    <w:abstractNumId w:val="12"/>
  </w:num>
  <w:num w:numId="8">
    <w:abstractNumId w:val="14"/>
  </w:num>
  <w:num w:numId="9">
    <w:abstractNumId w:val="4"/>
  </w:num>
  <w:num w:numId="10">
    <w:abstractNumId w:val="5"/>
  </w:num>
  <w:num w:numId="11">
    <w:abstractNumId w:val="16"/>
  </w:num>
  <w:num w:numId="12">
    <w:abstractNumId w:val="10"/>
  </w:num>
  <w:num w:numId="13">
    <w:abstractNumId w:val="2"/>
  </w:num>
  <w:num w:numId="14">
    <w:abstractNumId w:val="6"/>
  </w:num>
  <w:num w:numId="15">
    <w:abstractNumId w:val="7"/>
  </w:num>
  <w:num w:numId="16">
    <w:abstractNumId w:val="9"/>
  </w:num>
  <w:num w:numId="17">
    <w:abstractNumId w:val="15"/>
  </w:num>
  <w:num w:numId="18">
    <w:abstractNumId w:val="13"/>
  </w:num>
  <w:num w:numId="19">
    <w:abstractNumId w:val="22"/>
  </w:num>
  <w:num w:numId="20">
    <w:abstractNumId w:val="1"/>
  </w:num>
  <w:num w:numId="21">
    <w:abstractNumId w:val="1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63"/>
    <w:rsid w:val="000004F0"/>
    <w:rsid w:val="000006E4"/>
    <w:rsid w:val="00001F00"/>
    <w:rsid w:val="00002188"/>
    <w:rsid w:val="00002C94"/>
    <w:rsid w:val="000030E7"/>
    <w:rsid w:val="00003532"/>
    <w:rsid w:val="000036AA"/>
    <w:rsid w:val="00003901"/>
    <w:rsid w:val="00003B22"/>
    <w:rsid w:val="00003B7D"/>
    <w:rsid w:val="00003BE3"/>
    <w:rsid w:val="000056DA"/>
    <w:rsid w:val="00005707"/>
    <w:rsid w:val="0000599E"/>
    <w:rsid w:val="00006C30"/>
    <w:rsid w:val="00006E07"/>
    <w:rsid w:val="00007324"/>
    <w:rsid w:val="000077C5"/>
    <w:rsid w:val="00007A66"/>
    <w:rsid w:val="00007DDD"/>
    <w:rsid w:val="00010744"/>
    <w:rsid w:val="00010929"/>
    <w:rsid w:val="00010C56"/>
    <w:rsid w:val="00011015"/>
    <w:rsid w:val="00011021"/>
    <w:rsid w:val="000114A3"/>
    <w:rsid w:val="00011D8F"/>
    <w:rsid w:val="00012345"/>
    <w:rsid w:val="00012575"/>
    <w:rsid w:val="00012774"/>
    <w:rsid w:val="00012CF3"/>
    <w:rsid w:val="00012ED7"/>
    <w:rsid w:val="00012EEA"/>
    <w:rsid w:val="000139EA"/>
    <w:rsid w:val="00014723"/>
    <w:rsid w:val="0001477A"/>
    <w:rsid w:val="0001564C"/>
    <w:rsid w:val="00015CC8"/>
    <w:rsid w:val="0001649D"/>
    <w:rsid w:val="000170A6"/>
    <w:rsid w:val="00017DA1"/>
    <w:rsid w:val="000202ED"/>
    <w:rsid w:val="0002033A"/>
    <w:rsid w:val="0002151A"/>
    <w:rsid w:val="00021C35"/>
    <w:rsid w:val="00021D13"/>
    <w:rsid w:val="000226E5"/>
    <w:rsid w:val="0002343A"/>
    <w:rsid w:val="00023E5A"/>
    <w:rsid w:val="00023FE7"/>
    <w:rsid w:val="00024230"/>
    <w:rsid w:val="00024B69"/>
    <w:rsid w:val="00024E4F"/>
    <w:rsid w:val="00025117"/>
    <w:rsid w:val="000255EA"/>
    <w:rsid w:val="0002568A"/>
    <w:rsid w:val="00025F35"/>
    <w:rsid w:val="0002670D"/>
    <w:rsid w:val="00026BFE"/>
    <w:rsid w:val="00027262"/>
    <w:rsid w:val="00027471"/>
    <w:rsid w:val="00027B86"/>
    <w:rsid w:val="0003007E"/>
    <w:rsid w:val="000302BF"/>
    <w:rsid w:val="00030A94"/>
    <w:rsid w:val="00030D09"/>
    <w:rsid w:val="00031A4D"/>
    <w:rsid w:val="00031CDD"/>
    <w:rsid w:val="0003253A"/>
    <w:rsid w:val="00033F57"/>
    <w:rsid w:val="00034BBF"/>
    <w:rsid w:val="00034DE5"/>
    <w:rsid w:val="000352F8"/>
    <w:rsid w:val="000354CF"/>
    <w:rsid w:val="000357FA"/>
    <w:rsid w:val="00035FD7"/>
    <w:rsid w:val="00036080"/>
    <w:rsid w:val="000360FA"/>
    <w:rsid w:val="000367C7"/>
    <w:rsid w:val="00037B47"/>
    <w:rsid w:val="00037D3C"/>
    <w:rsid w:val="000403AB"/>
    <w:rsid w:val="00040AA7"/>
    <w:rsid w:val="00040BED"/>
    <w:rsid w:val="000419E6"/>
    <w:rsid w:val="00041C74"/>
    <w:rsid w:val="00041E10"/>
    <w:rsid w:val="0004276F"/>
    <w:rsid w:val="00042A4A"/>
    <w:rsid w:val="00042A6D"/>
    <w:rsid w:val="00042B7E"/>
    <w:rsid w:val="00042C6E"/>
    <w:rsid w:val="00042DE3"/>
    <w:rsid w:val="000432DC"/>
    <w:rsid w:val="000435A0"/>
    <w:rsid w:val="00044162"/>
    <w:rsid w:val="00044716"/>
    <w:rsid w:val="00044CAF"/>
    <w:rsid w:val="000450A1"/>
    <w:rsid w:val="00045142"/>
    <w:rsid w:val="0004562F"/>
    <w:rsid w:val="00045B54"/>
    <w:rsid w:val="00045C34"/>
    <w:rsid w:val="00046913"/>
    <w:rsid w:val="00046BF8"/>
    <w:rsid w:val="00046FEC"/>
    <w:rsid w:val="00047970"/>
    <w:rsid w:val="0005033E"/>
    <w:rsid w:val="000503D7"/>
    <w:rsid w:val="00050975"/>
    <w:rsid w:val="000516AD"/>
    <w:rsid w:val="000521F9"/>
    <w:rsid w:val="0005298C"/>
    <w:rsid w:val="000530AB"/>
    <w:rsid w:val="00053317"/>
    <w:rsid w:val="0005352E"/>
    <w:rsid w:val="00053893"/>
    <w:rsid w:val="00054B25"/>
    <w:rsid w:val="00054CE2"/>
    <w:rsid w:val="000551FA"/>
    <w:rsid w:val="000555E8"/>
    <w:rsid w:val="000556C4"/>
    <w:rsid w:val="00055FF7"/>
    <w:rsid w:val="000561FF"/>
    <w:rsid w:val="00056352"/>
    <w:rsid w:val="000563B7"/>
    <w:rsid w:val="00057267"/>
    <w:rsid w:val="0005726C"/>
    <w:rsid w:val="00057444"/>
    <w:rsid w:val="00057ECB"/>
    <w:rsid w:val="00057F58"/>
    <w:rsid w:val="000601D8"/>
    <w:rsid w:val="0006076A"/>
    <w:rsid w:val="00061F45"/>
    <w:rsid w:val="00062182"/>
    <w:rsid w:val="00062B78"/>
    <w:rsid w:val="00062BA4"/>
    <w:rsid w:val="00063946"/>
    <w:rsid w:val="00063CAA"/>
    <w:rsid w:val="0006407C"/>
    <w:rsid w:val="000645C0"/>
    <w:rsid w:val="00065066"/>
    <w:rsid w:val="000659F9"/>
    <w:rsid w:val="00065DFE"/>
    <w:rsid w:val="00065E63"/>
    <w:rsid w:val="0006628B"/>
    <w:rsid w:val="0006644E"/>
    <w:rsid w:val="00066DAF"/>
    <w:rsid w:val="00066E80"/>
    <w:rsid w:val="00067766"/>
    <w:rsid w:val="00067B6E"/>
    <w:rsid w:val="00067C4E"/>
    <w:rsid w:val="00070C57"/>
    <w:rsid w:val="000715A4"/>
    <w:rsid w:val="00071D95"/>
    <w:rsid w:val="00071FE3"/>
    <w:rsid w:val="00073008"/>
    <w:rsid w:val="0007359B"/>
    <w:rsid w:val="000743F1"/>
    <w:rsid w:val="000744EC"/>
    <w:rsid w:val="00074607"/>
    <w:rsid w:val="00075E16"/>
    <w:rsid w:val="00076125"/>
    <w:rsid w:val="00076139"/>
    <w:rsid w:val="00076853"/>
    <w:rsid w:val="00076E44"/>
    <w:rsid w:val="00076ECB"/>
    <w:rsid w:val="0007757A"/>
    <w:rsid w:val="0007779C"/>
    <w:rsid w:val="00077CA5"/>
    <w:rsid w:val="000802EF"/>
    <w:rsid w:val="0008030B"/>
    <w:rsid w:val="000805EF"/>
    <w:rsid w:val="00080A14"/>
    <w:rsid w:val="000813DC"/>
    <w:rsid w:val="00081701"/>
    <w:rsid w:val="000818AC"/>
    <w:rsid w:val="00081A6F"/>
    <w:rsid w:val="00081B22"/>
    <w:rsid w:val="00081DB7"/>
    <w:rsid w:val="000824FF"/>
    <w:rsid w:val="000827DD"/>
    <w:rsid w:val="00082814"/>
    <w:rsid w:val="00082D2B"/>
    <w:rsid w:val="00083DEE"/>
    <w:rsid w:val="00085492"/>
    <w:rsid w:val="000856A8"/>
    <w:rsid w:val="00085E8C"/>
    <w:rsid w:val="00085FA2"/>
    <w:rsid w:val="0008720F"/>
    <w:rsid w:val="00087766"/>
    <w:rsid w:val="000879B6"/>
    <w:rsid w:val="0009028D"/>
    <w:rsid w:val="00090671"/>
    <w:rsid w:val="0009093E"/>
    <w:rsid w:val="00091102"/>
    <w:rsid w:val="00091428"/>
    <w:rsid w:val="000917AF"/>
    <w:rsid w:val="000918FB"/>
    <w:rsid w:val="0009198E"/>
    <w:rsid w:val="00092097"/>
    <w:rsid w:val="00092245"/>
    <w:rsid w:val="000922B1"/>
    <w:rsid w:val="000922CC"/>
    <w:rsid w:val="00092A9E"/>
    <w:rsid w:val="00092CE8"/>
    <w:rsid w:val="00092FC7"/>
    <w:rsid w:val="0009300A"/>
    <w:rsid w:val="00093188"/>
    <w:rsid w:val="000936D8"/>
    <w:rsid w:val="00093A0D"/>
    <w:rsid w:val="00093DC9"/>
    <w:rsid w:val="00093DF5"/>
    <w:rsid w:val="000944F8"/>
    <w:rsid w:val="00094506"/>
    <w:rsid w:val="00094C84"/>
    <w:rsid w:val="00094F64"/>
    <w:rsid w:val="00095287"/>
    <w:rsid w:val="0009529A"/>
    <w:rsid w:val="000953DA"/>
    <w:rsid w:val="00095556"/>
    <w:rsid w:val="0009585D"/>
    <w:rsid w:val="00095D90"/>
    <w:rsid w:val="00095E1E"/>
    <w:rsid w:val="00096260"/>
    <w:rsid w:val="0009626E"/>
    <w:rsid w:val="00096835"/>
    <w:rsid w:val="0009698D"/>
    <w:rsid w:val="00096A97"/>
    <w:rsid w:val="00096AF6"/>
    <w:rsid w:val="00096D5D"/>
    <w:rsid w:val="00096F86"/>
    <w:rsid w:val="00097305"/>
    <w:rsid w:val="00097503"/>
    <w:rsid w:val="00097634"/>
    <w:rsid w:val="000A02DD"/>
    <w:rsid w:val="000A0795"/>
    <w:rsid w:val="000A0A26"/>
    <w:rsid w:val="000A0D0F"/>
    <w:rsid w:val="000A1642"/>
    <w:rsid w:val="000A18DA"/>
    <w:rsid w:val="000A1931"/>
    <w:rsid w:val="000A22CE"/>
    <w:rsid w:val="000A29E5"/>
    <w:rsid w:val="000A32CC"/>
    <w:rsid w:val="000A39B8"/>
    <w:rsid w:val="000A4B8C"/>
    <w:rsid w:val="000A5318"/>
    <w:rsid w:val="000A63BA"/>
    <w:rsid w:val="000A6899"/>
    <w:rsid w:val="000A6F64"/>
    <w:rsid w:val="000A7025"/>
    <w:rsid w:val="000A766C"/>
    <w:rsid w:val="000A7758"/>
    <w:rsid w:val="000B0A22"/>
    <w:rsid w:val="000B0ED8"/>
    <w:rsid w:val="000B0EEF"/>
    <w:rsid w:val="000B1042"/>
    <w:rsid w:val="000B21C6"/>
    <w:rsid w:val="000B24E1"/>
    <w:rsid w:val="000B2BB5"/>
    <w:rsid w:val="000B2EC1"/>
    <w:rsid w:val="000B3B74"/>
    <w:rsid w:val="000B3D7C"/>
    <w:rsid w:val="000B417D"/>
    <w:rsid w:val="000B4965"/>
    <w:rsid w:val="000B4AF7"/>
    <w:rsid w:val="000B5BE4"/>
    <w:rsid w:val="000B6A37"/>
    <w:rsid w:val="000B71D6"/>
    <w:rsid w:val="000B7B00"/>
    <w:rsid w:val="000B7E2D"/>
    <w:rsid w:val="000B7E9B"/>
    <w:rsid w:val="000B7F25"/>
    <w:rsid w:val="000C08FE"/>
    <w:rsid w:val="000C100D"/>
    <w:rsid w:val="000C1019"/>
    <w:rsid w:val="000C1138"/>
    <w:rsid w:val="000C1378"/>
    <w:rsid w:val="000C1526"/>
    <w:rsid w:val="000C16B8"/>
    <w:rsid w:val="000C252B"/>
    <w:rsid w:val="000C258E"/>
    <w:rsid w:val="000C2A3E"/>
    <w:rsid w:val="000C3103"/>
    <w:rsid w:val="000C3A75"/>
    <w:rsid w:val="000C3E25"/>
    <w:rsid w:val="000C4033"/>
    <w:rsid w:val="000C4308"/>
    <w:rsid w:val="000C448D"/>
    <w:rsid w:val="000C4DFC"/>
    <w:rsid w:val="000C5371"/>
    <w:rsid w:val="000C5AA2"/>
    <w:rsid w:val="000C6445"/>
    <w:rsid w:val="000C6EAA"/>
    <w:rsid w:val="000C6EB6"/>
    <w:rsid w:val="000C739B"/>
    <w:rsid w:val="000C764E"/>
    <w:rsid w:val="000D0B7E"/>
    <w:rsid w:val="000D0DD7"/>
    <w:rsid w:val="000D0FF2"/>
    <w:rsid w:val="000D1427"/>
    <w:rsid w:val="000D167C"/>
    <w:rsid w:val="000D2465"/>
    <w:rsid w:val="000D2F44"/>
    <w:rsid w:val="000D39BF"/>
    <w:rsid w:val="000D39F0"/>
    <w:rsid w:val="000D40E4"/>
    <w:rsid w:val="000D45A4"/>
    <w:rsid w:val="000D47FA"/>
    <w:rsid w:val="000D488A"/>
    <w:rsid w:val="000D4E44"/>
    <w:rsid w:val="000D5081"/>
    <w:rsid w:val="000D5D1F"/>
    <w:rsid w:val="000D5EDD"/>
    <w:rsid w:val="000D5F46"/>
    <w:rsid w:val="000D5F9D"/>
    <w:rsid w:val="000D6D65"/>
    <w:rsid w:val="000E0145"/>
    <w:rsid w:val="000E049F"/>
    <w:rsid w:val="000E0B05"/>
    <w:rsid w:val="000E0D70"/>
    <w:rsid w:val="000E245F"/>
    <w:rsid w:val="000E2805"/>
    <w:rsid w:val="000E2AC2"/>
    <w:rsid w:val="000E3129"/>
    <w:rsid w:val="000E3406"/>
    <w:rsid w:val="000E3477"/>
    <w:rsid w:val="000E359D"/>
    <w:rsid w:val="000E3694"/>
    <w:rsid w:val="000E37D0"/>
    <w:rsid w:val="000E3818"/>
    <w:rsid w:val="000E3A0D"/>
    <w:rsid w:val="000E3C60"/>
    <w:rsid w:val="000E4373"/>
    <w:rsid w:val="000E44CB"/>
    <w:rsid w:val="000E4B9F"/>
    <w:rsid w:val="000E4F3B"/>
    <w:rsid w:val="000E57E3"/>
    <w:rsid w:val="000E5C6D"/>
    <w:rsid w:val="000E6157"/>
    <w:rsid w:val="000E626A"/>
    <w:rsid w:val="000E640C"/>
    <w:rsid w:val="000E6B78"/>
    <w:rsid w:val="000E6E75"/>
    <w:rsid w:val="000E79AF"/>
    <w:rsid w:val="000E7CD7"/>
    <w:rsid w:val="000F0A6D"/>
    <w:rsid w:val="000F0A8B"/>
    <w:rsid w:val="000F10FD"/>
    <w:rsid w:val="000F14FD"/>
    <w:rsid w:val="000F16C2"/>
    <w:rsid w:val="000F193D"/>
    <w:rsid w:val="000F3085"/>
    <w:rsid w:val="000F4379"/>
    <w:rsid w:val="000F43E0"/>
    <w:rsid w:val="000F4A50"/>
    <w:rsid w:val="000F4CEE"/>
    <w:rsid w:val="000F5229"/>
    <w:rsid w:val="000F5617"/>
    <w:rsid w:val="000F56D6"/>
    <w:rsid w:val="000F58CA"/>
    <w:rsid w:val="000F5DD3"/>
    <w:rsid w:val="000F622C"/>
    <w:rsid w:val="000F665F"/>
    <w:rsid w:val="000F700F"/>
    <w:rsid w:val="000F708E"/>
    <w:rsid w:val="000F7682"/>
    <w:rsid w:val="000F7708"/>
    <w:rsid w:val="00100581"/>
    <w:rsid w:val="001012AB"/>
    <w:rsid w:val="001016E8"/>
    <w:rsid w:val="001017B5"/>
    <w:rsid w:val="001019AA"/>
    <w:rsid w:val="00101F78"/>
    <w:rsid w:val="00102383"/>
    <w:rsid w:val="00102516"/>
    <w:rsid w:val="00102701"/>
    <w:rsid w:val="0010283F"/>
    <w:rsid w:val="00102F59"/>
    <w:rsid w:val="001039E3"/>
    <w:rsid w:val="00104421"/>
    <w:rsid w:val="00104727"/>
    <w:rsid w:val="0010479C"/>
    <w:rsid w:val="00104B87"/>
    <w:rsid w:val="00104BEB"/>
    <w:rsid w:val="00105157"/>
    <w:rsid w:val="001051E5"/>
    <w:rsid w:val="001057EC"/>
    <w:rsid w:val="00105BE6"/>
    <w:rsid w:val="00105DF3"/>
    <w:rsid w:val="001063E9"/>
    <w:rsid w:val="001068EC"/>
    <w:rsid w:val="00106902"/>
    <w:rsid w:val="00107853"/>
    <w:rsid w:val="00110203"/>
    <w:rsid w:val="001104A7"/>
    <w:rsid w:val="00110DD8"/>
    <w:rsid w:val="00110F71"/>
    <w:rsid w:val="00111565"/>
    <w:rsid w:val="00111CAB"/>
    <w:rsid w:val="00111F3E"/>
    <w:rsid w:val="00112D22"/>
    <w:rsid w:val="00113125"/>
    <w:rsid w:val="0011319D"/>
    <w:rsid w:val="001139B6"/>
    <w:rsid w:val="00113BDB"/>
    <w:rsid w:val="00114019"/>
    <w:rsid w:val="0011449A"/>
    <w:rsid w:val="001156C4"/>
    <w:rsid w:val="0011587F"/>
    <w:rsid w:val="00115C2A"/>
    <w:rsid w:val="00116858"/>
    <w:rsid w:val="00116B68"/>
    <w:rsid w:val="0011729C"/>
    <w:rsid w:val="00117603"/>
    <w:rsid w:val="001201BF"/>
    <w:rsid w:val="0012023E"/>
    <w:rsid w:val="00120556"/>
    <w:rsid w:val="00120986"/>
    <w:rsid w:val="00120D4D"/>
    <w:rsid w:val="00120F54"/>
    <w:rsid w:val="0012105E"/>
    <w:rsid w:val="0012117C"/>
    <w:rsid w:val="0012172C"/>
    <w:rsid w:val="001225EC"/>
    <w:rsid w:val="00122B76"/>
    <w:rsid w:val="00122CC6"/>
    <w:rsid w:val="0012410D"/>
    <w:rsid w:val="00124F8C"/>
    <w:rsid w:val="001267ED"/>
    <w:rsid w:val="00126C67"/>
    <w:rsid w:val="00127443"/>
    <w:rsid w:val="00130F82"/>
    <w:rsid w:val="00131367"/>
    <w:rsid w:val="00131542"/>
    <w:rsid w:val="001315B0"/>
    <w:rsid w:val="00131A21"/>
    <w:rsid w:val="00131AB8"/>
    <w:rsid w:val="00132201"/>
    <w:rsid w:val="00132A87"/>
    <w:rsid w:val="00132E2F"/>
    <w:rsid w:val="001337BC"/>
    <w:rsid w:val="00133AFA"/>
    <w:rsid w:val="00133ED3"/>
    <w:rsid w:val="001340AC"/>
    <w:rsid w:val="0013455B"/>
    <w:rsid w:val="00135322"/>
    <w:rsid w:val="0013572D"/>
    <w:rsid w:val="001371DF"/>
    <w:rsid w:val="00137FA9"/>
    <w:rsid w:val="001407A7"/>
    <w:rsid w:val="00141070"/>
    <w:rsid w:val="0014155A"/>
    <w:rsid w:val="00141B21"/>
    <w:rsid w:val="00141D64"/>
    <w:rsid w:val="00141FC6"/>
    <w:rsid w:val="0014257A"/>
    <w:rsid w:val="0014342E"/>
    <w:rsid w:val="001435BD"/>
    <w:rsid w:val="001439C3"/>
    <w:rsid w:val="00143A6D"/>
    <w:rsid w:val="00143CE0"/>
    <w:rsid w:val="001443E5"/>
    <w:rsid w:val="001444FE"/>
    <w:rsid w:val="0014456F"/>
    <w:rsid w:val="00144682"/>
    <w:rsid w:val="00144F87"/>
    <w:rsid w:val="001450FB"/>
    <w:rsid w:val="0014542D"/>
    <w:rsid w:val="00145C4E"/>
    <w:rsid w:val="00145FE7"/>
    <w:rsid w:val="00146D93"/>
    <w:rsid w:val="001477D7"/>
    <w:rsid w:val="001479FA"/>
    <w:rsid w:val="001501E6"/>
    <w:rsid w:val="00150620"/>
    <w:rsid w:val="00150763"/>
    <w:rsid w:val="00150877"/>
    <w:rsid w:val="00151723"/>
    <w:rsid w:val="0015178B"/>
    <w:rsid w:val="00151986"/>
    <w:rsid w:val="00151E0B"/>
    <w:rsid w:val="00152121"/>
    <w:rsid w:val="0015213B"/>
    <w:rsid w:val="001523CA"/>
    <w:rsid w:val="00152947"/>
    <w:rsid w:val="00152D21"/>
    <w:rsid w:val="001531FE"/>
    <w:rsid w:val="00153446"/>
    <w:rsid w:val="00153788"/>
    <w:rsid w:val="0015392A"/>
    <w:rsid w:val="001541BC"/>
    <w:rsid w:val="00154541"/>
    <w:rsid w:val="00154DFC"/>
    <w:rsid w:val="00154E8D"/>
    <w:rsid w:val="00155897"/>
    <w:rsid w:val="001568A5"/>
    <w:rsid w:val="00156A20"/>
    <w:rsid w:val="00156A58"/>
    <w:rsid w:val="00156C78"/>
    <w:rsid w:val="00156CB7"/>
    <w:rsid w:val="00157890"/>
    <w:rsid w:val="00157C56"/>
    <w:rsid w:val="00157E0E"/>
    <w:rsid w:val="00160B28"/>
    <w:rsid w:val="00160C7E"/>
    <w:rsid w:val="00161248"/>
    <w:rsid w:val="0016184F"/>
    <w:rsid w:val="00161D36"/>
    <w:rsid w:val="00162BF4"/>
    <w:rsid w:val="00163129"/>
    <w:rsid w:val="0016316F"/>
    <w:rsid w:val="00163357"/>
    <w:rsid w:val="00163AF4"/>
    <w:rsid w:val="00163E4E"/>
    <w:rsid w:val="00163FE0"/>
    <w:rsid w:val="0016477B"/>
    <w:rsid w:val="0016490B"/>
    <w:rsid w:val="00165C9B"/>
    <w:rsid w:val="00165E3F"/>
    <w:rsid w:val="001669E4"/>
    <w:rsid w:val="00166FDC"/>
    <w:rsid w:val="00167247"/>
    <w:rsid w:val="00167660"/>
    <w:rsid w:val="00167F2D"/>
    <w:rsid w:val="00167F6F"/>
    <w:rsid w:val="00170390"/>
    <w:rsid w:val="00171CA1"/>
    <w:rsid w:val="001722F8"/>
    <w:rsid w:val="0017254C"/>
    <w:rsid w:val="0017304D"/>
    <w:rsid w:val="001730B4"/>
    <w:rsid w:val="0017423D"/>
    <w:rsid w:val="0017581E"/>
    <w:rsid w:val="001758F3"/>
    <w:rsid w:val="00175DF3"/>
    <w:rsid w:val="00175EB6"/>
    <w:rsid w:val="00175F8D"/>
    <w:rsid w:val="00175FC8"/>
    <w:rsid w:val="00176556"/>
    <w:rsid w:val="00176AE5"/>
    <w:rsid w:val="00177362"/>
    <w:rsid w:val="00177440"/>
    <w:rsid w:val="001778E3"/>
    <w:rsid w:val="00177D73"/>
    <w:rsid w:val="001801E6"/>
    <w:rsid w:val="00180401"/>
    <w:rsid w:val="00180E34"/>
    <w:rsid w:val="001810C3"/>
    <w:rsid w:val="0018171A"/>
    <w:rsid w:val="00181820"/>
    <w:rsid w:val="00181FED"/>
    <w:rsid w:val="00182040"/>
    <w:rsid w:val="00182C2D"/>
    <w:rsid w:val="00182E1D"/>
    <w:rsid w:val="00183F51"/>
    <w:rsid w:val="001845EB"/>
    <w:rsid w:val="00184DF5"/>
    <w:rsid w:val="001860A1"/>
    <w:rsid w:val="0018644E"/>
    <w:rsid w:val="0019038E"/>
    <w:rsid w:val="001905C8"/>
    <w:rsid w:val="001905CA"/>
    <w:rsid w:val="00191375"/>
    <w:rsid w:val="00191754"/>
    <w:rsid w:val="001917EC"/>
    <w:rsid w:val="00191B3F"/>
    <w:rsid w:val="0019217C"/>
    <w:rsid w:val="00192305"/>
    <w:rsid w:val="00192E8C"/>
    <w:rsid w:val="00192F47"/>
    <w:rsid w:val="001936E2"/>
    <w:rsid w:val="00194160"/>
    <w:rsid w:val="00194C2F"/>
    <w:rsid w:val="00194ED5"/>
    <w:rsid w:val="00194FC4"/>
    <w:rsid w:val="001951B7"/>
    <w:rsid w:val="0019541A"/>
    <w:rsid w:val="001956D7"/>
    <w:rsid w:val="00195B9F"/>
    <w:rsid w:val="0019638E"/>
    <w:rsid w:val="00196AD1"/>
    <w:rsid w:val="00196BC5"/>
    <w:rsid w:val="00196D0B"/>
    <w:rsid w:val="00196D52"/>
    <w:rsid w:val="00196EC6"/>
    <w:rsid w:val="001973DB"/>
    <w:rsid w:val="00197997"/>
    <w:rsid w:val="00197C41"/>
    <w:rsid w:val="00197EC0"/>
    <w:rsid w:val="001A053F"/>
    <w:rsid w:val="001A0B2E"/>
    <w:rsid w:val="001A0CB1"/>
    <w:rsid w:val="001A1171"/>
    <w:rsid w:val="001A14B8"/>
    <w:rsid w:val="001A183D"/>
    <w:rsid w:val="001A1A6C"/>
    <w:rsid w:val="001A2716"/>
    <w:rsid w:val="001A299E"/>
    <w:rsid w:val="001A2AFC"/>
    <w:rsid w:val="001A2D67"/>
    <w:rsid w:val="001A2F1B"/>
    <w:rsid w:val="001A2F33"/>
    <w:rsid w:val="001A317E"/>
    <w:rsid w:val="001A31E5"/>
    <w:rsid w:val="001A356B"/>
    <w:rsid w:val="001A36DF"/>
    <w:rsid w:val="001A377C"/>
    <w:rsid w:val="001A3CD1"/>
    <w:rsid w:val="001A3FBD"/>
    <w:rsid w:val="001A4819"/>
    <w:rsid w:val="001A6480"/>
    <w:rsid w:val="001A685B"/>
    <w:rsid w:val="001A7496"/>
    <w:rsid w:val="001A7BA6"/>
    <w:rsid w:val="001A7C18"/>
    <w:rsid w:val="001B07B7"/>
    <w:rsid w:val="001B0CC0"/>
    <w:rsid w:val="001B0EB8"/>
    <w:rsid w:val="001B1173"/>
    <w:rsid w:val="001B18D8"/>
    <w:rsid w:val="001B2BB6"/>
    <w:rsid w:val="001B2FBC"/>
    <w:rsid w:val="001B350F"/>
    <w:rsid w:val="001B36A4"/>
    <w:rsid w:val="001B4FE9"/>
    <w:rsid w:val="001B4FFB"/>
    <w:rsid w:val="001B5292"/>
    <w:rsid w:val="001B5498"/>
    <w:rsid w:val="001B6353"/>
    <w:rsid w:val="001B679B"/>
    <w:rsid w:val="001B6B94"/>
    <w:rsid w:val="001B6E2E"/>
    <w:rsid w:val="001B715E"/>
    <w:rsid w:val="001B720F"/>
    <w:rsid w:val="001B73C3"/>
    <w:rsid w:val="001B750A"/>
    <w:rsid w:val="001B796C"/>
    <w:rsid w:val="001B7B9E"/>
    <w:rsid w:val="001B7C95"/>
    <w:rsid w:val="001C15B0"/>
    <w:rsid w:val="001C1657"/>
    <w:rsid w:val="001C1E0A"/>
    <w:rsid w:val="001C2059"/>
    <w:rsid w:val="001C2175"/>
    <w:rsid w:val="001C26CA"/>
    <w:rsid w:val="001C28A2"/>
    <w:rsid w:val="001C2907"/>
    <w:rsid w:val="001C2C4C"/>
    <w:rsid w:val="001C2F22"/>
    <w:rsid w:val="001C3249"/>
    <w:rsid w:val="001C325C"/>
    <w:rsid w:val="001C37AE"/>
    <w:rsid w:val="001C3B01"/>
    <w:rsid w:val="001C3DBC"/>
    <w:rsid w:val="001C4298"/>
    <w:rsid w:val="001C4E2E"/>
    <w:rsid w:val="001C517C"/>
    <w:rsid w:val="001C5BD6"/>
    <w:rsid w:val="001C68B4"/>
    <w:rsid w:val="001C6B55"/>
    <w:rsid w:val="001C6B8C"/>
    <w:rsid w:val="001C7341"/>
    <w:rsid w:val="001C79A2"/>
    <w:rsid w:val="001C7EAE"/>
    <w:rsid w:val="001D0550"/>
    <w:rsid w:val="001D0C7B"/>
    <w:rsid w:val="001D1A28"/>
    <w:rsid w:val="001D1CB9"/>
    <w:rsid w:val="001D1D8F"/>
    <w:rsid w:val="001D237E"/>
    <w:rsid w:val="001D312C"/>
    <w:rsid w:val="001D31D6"/>
    <w:rsid w:val="001D3237"/>
    <w:rsid w:val="001D3478"/>
    <w:rsid w:val="001D4860"/>
    <w:rsid w:val="001D5A48"/>
    <w:rsid w:val="001D6379"/>
    <w:rsid w:val="001D6599"/>
    <w:rsid w:val="001D667F"/>
    <w:rsid w:val="001D7451"/>
    <w:rsid w:val="001D749F"/>
    <w:rsid w:val="001E0D5B"/>
    <w:rsid w:val="001E1B02"/>
    <w:rsid w:val="001E1B6B"/>
    <w:rsid w:val="001E1B8B"/>
    <w:rsid w:val="001E1C19"/>
    <w:rsid w:val="001E1CF7"/>
    <w:rsid w:val="001E20E5"/>
    <w:rsid w:val="001E271E"/>
    <w:rsid w:val="001E3347"/>
    <w:rsid w:val="001E357F"/>
    <w:rsid w:val="001E3626"/>
    <w:rsid w:val="001E3722"/>
    <w:rsid w:val="001E3EA7"/>
    <w:rsid w:val="001E40EE"/>
    <w:rsid w:val="001E4EA7"/>
    <w:rsid w:val="001E5E17"/>
    <w:rsid w:val="001E66A2"/>
    <w:rsid w:val="001E6C8E"/>
    <w:rsid w:val="001E6DCC"/>
    <w:rsid w:val="001E6FC6"/>
    <w:rsid w:val="001E78EA"/>
    <w:rsid w:val="001F093B"/>
    <w:rsid w:val="001F0976"/>
    <w:rsid w:val="001F0DEB"/>
    <w:rsid w:val="001F13A1"/>
    <w:rsid w:val="001F14A8"/>
    <w:rsid w:val="001F1A4B"/>
    <w:rsid w:val="001F1AD8"/>
    <w:rsid w:val="001F1E90"/>
    <w:rsid w:val="001F1EA2"/>
    <w:rsid w:val="001F1F7E"/>
    <w:rsid w:val="001F204B"/>
    <w:rsid w:val="001F25FC"/>
    <w:rsid w:val="001F2C7F"/>
    <w:rsid w:val="001F3B12"/>
    <w:rsid w:val="001F4430"/>
    <w:rsid w:val="001F472A"/>
    <w:rsid w:val="001F476F"/>
    <w:rsid w:val="001F4954"/>
    <w:rsid w:val="001F4BD0"/>
    <w:rsid w:val="001F5CB9"/>
    <w:rsid w:val="001F5DB7"/>
    <w:rsid w:val="001F6D10"/>
    <w:rsid w:val="001F6FC3"/>
    <w:rsid w:val="001F7249"/>
    <w:rsid w:val="001F7B25"/>
    <w:rsid w:val="001F7BF3"/>
    <w:rsid w:val="002002D6"/>
    <w:rsid w:val="00200984"/>
    <w:rsid w:val="00200C54"/>
    <w:rsid w:val="002010CA"/>
    <w:rsid w:val="002016DB"/>
    <w:rsid w:val="00201E47"/>
    <w:rsid w:val="002021E3"/>
    <w:rsid w:val="00203583"/>
    <w:rsid w:val="00203767"/>
    <w:rsid w:val="0020389D"/>
    <w:rsid w:val="00203C66"/>
    <w:rsid w:val="002040CD"/>
    <w:rsid w:val="00204325"/>
    <w:rsid w:val="0020440C"/>
    <w:rsid w:val="00205D05"/>
    <w:rsid w:val="00206488"/>
    <w:rsid w:val="00206F10"/>
    <w:rsid w:val="00207431"/>
    <w:rsid w:val="00207C7C"/>
    <w:rsid w:val="002103E7"/>
    <w:rsid w:val="00210586"/>
    <w:rsid w:val="00210779"/>
    <w:rsid w:val="00210951"/>
    <w:rsid w:val="00211DA7"/>
    <w:rsid w:val="002127AA"/>
    <w:rsid w:val="002128C2"/>
    <w:rsid w:val="00212A33"/>
    <w:rsid w:val="00212A88"/>
    <w:rsid w:val="00212EE4"/>
    <w:rsid w:val="002136B6"/>
    <w:rsid w:val="00213794"/>
    <w:rsid w:val="00213A99"/>
    <w:rsid w:val="00213D99"/>
    <w:rsid w:val="00214043"/>
    <w:rsid w:val="002144E0"/>
    <w:rsid w:val="002147F6"/>
    <w:rsid w:val="00214B6E"/>
    <w:rsid w:val="002154C4"/>
    <w:rsid w:val="002156AA"/>
    <w:rsid w:val="00216599"/>
    <w:rsid w:val="00216727"/>
    <w:rsid w:val="00216781"/>
    <w:rsid w:val="00216A17"/>
    <w:rsid w:val="00217C01"/>
    <w:rsid w:val="00217C65"/>
    <w:rsid w:val="002206ED"/>
    <w:rsid w:val="00220E8A"/>
    <w:rsid w:val="00221007"/>
    <w:rsid w:val="00221075"/>
    <w:rsid w:val="00221E11"/>
    <w:rsid w:val="00221EF6"/>
    <w:rsid w:val="00222D11"/>
    <w:rsid w:val="0022334B"/>
    <w:rsid w:val="002238EA"/>
    <w:rsid w:val="00223DF9"/>
    <w:rsid w:val="00224384"/>
    <w:rsid w:val="00224447"/>
    <w:rsid w:val="00224737"/>
    <w:rsid w:val="00225372"/>
    <w:rsid w:val="00225694"/>
    <w:rsid w:val="00225A19"/>
    <w:rsid w:val="00225F20"/>
    <w:rsid w:val="00226140"/>
    <w:rsid w:val="00226C2C"/>
    <w:rsid w:val="00227080"/>
    <w:rsid w:val="00227350"/>
    <w:rsid w:val="00227A6C"/>
    <w:rsid w:val="00227F32"/>
    <w:rsid w:val="002304C7"/>
    <w:rsid w:val="00230CB0"/>
    <w:rsid w:val="00231E80"/>
    <w:rsid w:val="00232940"/>
    <w:rsid w:val="00232A5B"/>
    <w:rsid w:val="00232E94"/>
    <w:rsid w:val="002339A3"/>
    <w:rsid w:val="002345D9"/>
    <w:rsid w:val="00234942"/>
    <w:rsid w:val="00234ABC"/>
    <w:rsid w:val="00235152"/>
    <w:rsid w:val="0023530E"/>
    <w:rsid w:val="002355F7"/>
    <w:rsid w:val="00235605"/>
    <w:rsid w:val="00235ED7"/>
    <w:rsid w:val="002360C3"/>
    <w:rsid w:val="002367AE"/>
    <w:rsid w:val="00237477"/>
    <w:rsid w:val="00237694"/>
    <w:rsid w:val="00240160"/>
    <w:rsid w:val="002424A9"/>
    <w:rsid w:val="002427D5"/>
    <w:rsid w:val="0024296F"/>
    <w:rsid w:val="00242AA3"/>
    <w:rsid w:val="00242B9C"/>
    <w:rsid w:val="00243A1F"/>
    <w:rsid w:val="00244243"/>
    <w:rsid w:val="00244E16"/>
    <w:rsid w:val="00244F09"/>
    <w:rsid w:val="00245458"/>
    <w:rsid w:val="00245920"/>
    <w:rsid w:val="00245D84"/>
    <w:rsid w:val="0024629E"/>
    <w:rsid w:val="0024659A"/>
    <w:rsid w:val="002467A1"/>
    <w:rsid w:val="00246B8B"/>
    <w:rsid w:val="002479BD"/>
    <w:rsid w:val="00247E97"/>
    <w:rsid w:val="002501E9"/>
    <w:rsid w:val="002502BC"/>
    <w:rsid w:val="002503CF"/>
    <w:rsid w:val="002503D5"/>
    <w:rsid w:val="002510D0"/>
    <w:rsid w:val="00251819"/>
    <w:rsid w:val="00251C89"/>
    <w:rsid w:val="00251E43"/>
    <w:rsid w:val="002521FC"/>
    <w:rsid w:val="0025294C"/>
    <w:rsid w:val="002530F4"/>
    <w:rsid w:val="00253578"/>
    <w:rsid w:val="00253A9B"/>
    <w:rsid w:val="00254467"/>
    <w:rsid w:val="00254576"/>
    <w:rsid w:val="00254A7B"/>
    <w:rsid w:val="002551D4"/>
    <w:rsid w:val="0025544D"/>
    <w:rsid w:val="00255654"/>
    <w:rsid w:val="00255961"/>
    <w:rsid w:val="00255A19"/>
    <w:rsid w:val="002569DA"/>
    <w:rsid w:val="00256B4D"/>
    <w:rsid w:val="00256CA9"/>
    <w:rsid w:val="0025721D"/>
    <w:rsid w:val="00257280"/>
    <w:rsid w:val="00257395"/>
    <w:rsid w:val="00257A39"/>
    <w:rsid w:val="00257C35"/>
    <w:rsid w:val="0026060B"/>
    <w:rsid w:val="00260717"/>
    <w:rsid w:val="00260A21"/>
    <w:rsid w:val="00260C12"/>
    <w:rsid w:val="00260D2F"/>
    <w:rsid w:val="00261783"/>
    <w:rsid w:val="00261A01"/>
    <w:rsid w:val="00261A66"/>
    <w:rsid w:val="00261C12"/>
    <w:rsid w:val="00262021"/>
    <w:rsid w:val="002625E2"/>
    <w:rsid w:val="0026263A"/>
    <w:rsid w:val="002626FC"/>
    <w:rsid w:val="002628FA"/>
    <w:rsid w:val="00263113"/>
    <w:rsid w:val="002642F3"/>
    <w:rsid w:val="0026496C"/>
    <w:rsid w:val="00264F5C"/>
    <w:rsid w:val="00265E4E"/>
    <w:rsid w:val="00265FA3"/>
    <w:rsid w:val="00266006"/>
    <w:rsid w:val="00266D13"/>
    <w:rsid w:val="002670B5"/>
    <w:rsid w:val="002670C0"/>
    <w:rsid w:val="002671F2"/>
    <w:rsid w:val="0026760D"/>
    <w:rsid w:val="002712A5"/>
    <w:rsid w:val="00271717"/>
    <w:rsid w:val="00271AC7"/>
    <w:rsid w:val="00272B12"/>
    <w:rsid w:val="00272B72"/>
    <w:rsid w:val="0027347E"/>
    <w:rsid w:val="002738CA"/>
    <w:rsid w:val="00273BE7"/>
    <w:rsid w:val="002748C5"/>
    <w:rsid w:val="002749DF"/>
    <w:rsid w:val="00274A19"/>
    <w:rsid w:val="00274FC8"/>
    <w:rsid w:val="002753E4"/>
    <w:rsid w:val="002754E8"/>
    <w:rsid w:val="00275837"/>
    <w:rsid w:val="00275CBB"/>
    <w:rsid w:val="00276990"/>
    <w:rsid w:val="00276C39"/>
    <w:rsid w:val="002771E0"/>
    <w:rsid w:val="00281078"/>
    <w:rsid w:val="0028118A"/>
    <w:rsid w:val="00282E05"/>
    <w:rsid w:val="00282E62"/>
    <w:rsid w:val="002836AF"/>
    <w:rsid w:val="00283892"/>
    <w:rsid w:val="00283924"/>
    <w:rsid w:val="00284B45"/>
    <w:rsid w:val="0028505C"/>
    <w:rsid w:val="0028631B"/>
    <w:rsid w:val="00286650"/>
    <w:rsid w:val="00286711"/>
    <w:rsid w:val="00287624"/>
    <w:rsid w:val="002879E0"/>
    <w:rsid w:val="00287BD0"/>
    <w:rsid w:val="00287C75"/>
    <w:rsid w:val="00290592"/>
    <w:rsid w:val="0029124A"/>
    <w:rsid w:val="002919A2"/>
    <w:rsid w:val="00291A33"/>
    <w:rsid w:val="00293353"/>
    <w:rsid w:val="002934BC"/>
    <w:rsid w:val="00293699"/>
    <w:rsid w:val="00293984"/>
    <w:rsid w:val="00294C3A"/>
    <w:rsid w:val="0029674A"/>
    <w:rsid w:val="00297022"/>
    <w:rsid w:val="002A0134"/>
    <w:rsid w:val="002A098B"/>
    <w:rsid w:val="002A0AEF"/>
    <w:rsid w:val="002A0C3A"/>
    <w:rsid w:val="002A0D3A"/>
    <w:rsid w:val="002A0EAE"/>
    <w:rsid w:val="002A0ED4"/>
    <w:rsid w:val="002A13B3"/>
    <w:rsid w:val="002A13CB"/>
    <w:rsid w:val="002A16AB"/>
    <w:rsid w:val="002A1F0F"/>
    <w:rsid w:val="002A23CB"/>
    <w:rsid w:val="002A2E83"/>
    <w:rsid w:val="002A2F2D"/>
    <w:rsid w:val="002A3108"/>
    <w:rsid w:val="002A35A8"/>
    <w:rsid w:val="002A3616"/>
    <w:rsid w:val="002A3778"/>
    <w:rsid w:val="002A4310"/>
    <w:rsid w:val="002A5A53"/>
    <w:rsid w:val="002A664E"/>
    <w:rsid w:val="002B10FC"/>
    <w:rsid w:val="002B1FB1"/>
    <w:rsid w:val="002B2454"/>
    <w:rsid w:val="002B28B5"/>
    <w:rsid w:val="002B2AC9"/>
    <w:rsid w:val="002B32BE"/>
    <w:rsid w:val="002B3466"/>
    <w:rsid w:val="002B3576"/>
    <w:rsid w:val="002B3CD8"/>
    <w:rsid w:val="002B4D51"/>
    <w:rsid w:val="002B5354"/>
    <w:rsid w:val="002B5949"/>
    <w:rsid w:val="002B6219"/>
    <w:rsid w:val="002B6677"/>
    <w:rsid w:val="002B6698"/>
    <w:rsid w:val="002B6D53"/>
    <w:rsid w:val="002B7499"/>
    <w:rsid w:val="002B7F6C"/>
    <w:rsid w:val="002B7FC3"/>
    <w:rsid w:val="002C0139"/>
    <w:rsid w:val="002C06F7"/>
    <w:rsid w:val="002C07D7"/>
    <w:rsid w:val="002C09B3"/>
    <w:rsid w:val="002C0A9E"/>
    <w:rsid w:val="002C0CFA"/>
    <w:rsid w:val="002C0D0E"/>
    <w:rsid w:val="002C1270"/>
    <w:rsid w:val="002C1997"/>
    <w:rsid w:val="002C1AE8"/>
    <w:rsid w:val="002C1DD9"/>
    <w:rsid w:val="002C2443"/>
    <w:rsid w:val="002C304E"/>
    <w:rsid w:val="002C35FA"/>
    <w:rsid w:val="002C3F77"/>
    <w:rsid w:val="002C40DF"/>
    <w:rsid w:val="002C4644"/>
    <w:rsid w:val="002C642E"/>
    <w:rsid w:val="002C6B1B"/>
    <w:rsid w:val="002C7998"/>
    <w:rsid w:val="002D08B8"/>
    <w:rsid w:val="002D0E23"/>
    <w:rsid w:val="002D14AC"/>
    <w:rsid w:val="002D1800"/>
    <w:rsid w:val="002D2224"/>
    <w:rsid w:val="002D2346"/>
    <w:rsid w:val="002D24F1"/>
    <w:rsid w:val="002D2CAB"/>
    <w:rsid w:val="002D2DF5"/>
    <w:rsid w:val="002D2ED1"/>
    <w:rsid w:val="002D2F54"/>
    <w:rsid w:val="002D3635"/>
    <w:rsid w:val="002D3D8C"/>
    <w:rsid w:val="002D3E78"/>
    <w:rsid w:val="002D567D"/>
    <w:rsid w:val="002D701E"/>
    <w:rsid w:val="002D7042"/>
    <w:rsid w:val="002D7063"/>
    <w:rsid w:val="002D7760"/>
    <w:rsid w:val="002D78BB"/>
    <w:rsid w:val="002E02BD"/>
    <w:rsid w:val="002E07D5"/>
    <w:rsid w:val="002E10E9"/>
    <w:rsid w:val="002E29F2"/>
    <w:rsid w:val="002E2B77"/>
    <w:rsid w:val="002E2F72"/>
    <w:rsid w:val="002E2FFF"/>
    <w:rsid w:val="002E3014"/>
    <w:rsid w:val="002E37A6"/>
    <w:rsid w:val="002E3872"/>
    <w:rsid w:val="002E3BB3"/>
    <w:rsid w:val="002E3D80"/>
    <w:rsid w:val="002E3E34"/>
    <w:rsid w:val="002E4497"/>
    <w:rsid w:val="002E4F98"/>
    <w:rsid w:val="002E54E5"/>
    <w:rsid w:val="002E5BAE"/>
    <w:rsid w:val="002E5BF7"/>
    <w:rsid w:val="002E644B"/>
    <w:rsid w:val="002E6BE0"/>
    <w:rsid w:val="002E74BA"/>
    <w:rsid w:val="002E7983"/>
    <w:rsid w:val="002E7A93"/>
    <w:rsid w:val="002F0291"/>
    <w:rsid w:val="002F0C9C"/>
    <w:rsid w:val="002F13B4"/>
    <w:rsid w:val="002F1B47"/>
    <w:rsid w:val="002F2088"/>
    <w:rsid w:val="002F244F"/>
    <w:rsid w:val="002F2A75"/>
    <w:rsid w:val="002F323A"/>
    <w:rsid w:val="002F36A4"/>
    <w:rsid w:val="002F3855"/>
    <w:rsid w:val="002F428F"/>
    <w:rsid w:val="002F4372"/>
    <w:rsid w:val="002F4402"/>
    <w:rsid w:val="002F4804"/>
    <w:rsid w:val="002F4EAE"/>
    <w:rsid w:val="002F4FDD"/>
    <w:rsid w:val="002F5732"/>
    <w:rsid w:val="002F5F0D"/>
    <w:rsid w:val="002F68E2"/>
    <w:rsid w:val="002F6A2C"/>
    <w:rsid w:val="002F75C7"/>
    <w:rsid w:val="002F78AF"/>
    <w:rsid w:val="002F7FEB"/>
    <w:rsid w:val="00300715"/>
    <w:rsid w:val="00301488"/>
    <w:rsid w:val="00301994"/>
    <w:rsid w:val="00301F78"/>
    <w:rsid w:val="0030287B"/>
    <w:rsid w:val="003029F4"/>
    <w:rsid w:val="0030302D"/>
    <w:rsid w:val="00303B20"/>
    <w:rsid w:val="00303EC0"/>
    <w:rsid w:val="0030486D"/>
    <w:rsid w:val="00305638"/>
    <w:rsid w:val="00305B94"/>
    <w:rsid w:val="003066A3"/>
    <w:rsid w:val="00306910"/>
    <w:rsid w:val="00306B05"/>
    <w:rsid w:val="00307120"/>
    <w:rsid w:val="00307A0B"/>
    <w:rsid w:val="00307CBF"/>
    <w:rsid w:val="00307CC5"/>
    <w:rsid w:val="00310DFC"/>
    <w:rsid w:val="00311734"/>
    <w:rsid w:val="003119D8"/>
    <w:rsid w:val="00311BC7"/>
    <w:rsid w:val="0031206B"/>
    <w:rsid w:val="0031327B"/>
    <w:rsid w:val="00313516"/>
    <w:rsid w:val="003135F7"/>
    <w:rsid w:val="00313BBE"/>
    <w:rsid w:val="00313CDE"/>
    <w:rsid w:val="00313E9D"/>
    <w:rsid w:val="0031480D"/>
    <w:rsid w:val="00315FC9"/>
    <w:rsid w:val="00316966"/>
    <w:rsid w:val="00317075"/>
    <w:rsid w:val="00317221"/>
    <w:rsid w:val="00317226"/>
    <w:rsid w:val="00317483"/>
    <w:rsid w:val="00317781"/>
    <w:rsid w:val="0031797B"/>
    <w:rsid w:val="00317F0F"/>
    <w:rsid w:val="00320A51"/>
    <w:rsid w:val="00320F09"/>
    <w:rsid w:val="00321565"/>
    <w:rsid w:val="00321A0D"/>
    <w:rsid w:val="00322389"/>
    <w:rsid w:val="00322A40"/>
    <w:rsid w:val="0032304D"/>
    <w:rsid w:val="0032322A"/>
    <w:rsid w:val="00323681"/>
    <w:rsid w:val="00323A5E"/>
    <w:rsid w:val="00323FC1"/>
    <w:rsid w:val="003240EC"/>
    <w:rsid w:val="00324D27"/>
    <w:rsid w:val="0032510C"/>
    <w:rsid w:val="003252C6"/>
    <w:rsid w:val="00325C17"/>
    <w:rsid w:val="00325C8E"/>
    <w:rsid w:val="00325D0C"/>
    <w:rsid w:val="003262B7"/>
    <w:rsid w:val="0032634E"/>
    <w:rsid w:val="0032665A"/>
    <w:rsid w:val="00326663"/>
    <w:rsid w:val="003266C9"/>
    <w:rsid w:val="00326CD2"/>
    <w:rsid w:val="003271C9"/>
    <w:rsid w:val="00327A40"/>
    <w:rsid w:val="00327BC7"/>
    <w:rsid w:val="0033031E"/>
    <w:rsid w:val="0033058D"/>
    <w:rsid w:val="00330A17"/>
    <w:rsid w:val="00330A7D"/>
    <w:rsid w:val="00331571"/>
    <w:rsid w:val="00332C51"/>
    <w:rsid w:val="00332FC8"/>
    <w:rsid w:val="003337EA"/>
    <w:rsid w:val="003337EF"/>
    <w:rsid w:val="003339A9"/>
    <w:rsid w:val="00334269"/>
    <w:rsid w:val="00334767"/>
    <w:rsid w:val="0033493D"/>
    <w:rsid w:val="00335565"/>
    <w:rsid w:val="003355C2"/>
    <w:rsid w:val="00335908"/>
    <w:rsid w:val="00335D79"/>
    <w:rsid w:val="003373C6"/>
    <w:rsid w:val="0034021F"/>
    <w:rsid w:val="00340952"/>
    <w:rsid w:val="0034198F"/>
    <w:rsid w:val="00341E6F"/>
    <w:rsid w:val="003431F2"/>
    <w:rsid w:val="00343267"/>
    <w:rsid w:val="0034349A"/>
    <w:rsid w:val="00343562"/>
    <w:rsid w:val="00343638"/>
    <w:rsid w:val="00343994"/>
    <w:rsid w:val="00343A24"/>
    <w:rsid w:val="003447C2"/>
    <w:rsid w:val="00344C6F"/>
    <w:rsid w:val="0034536F"/>
    <w:rsid w:val="003459CB"/>
    <w:rsid w:val="00345EED"/>
    <w:rsid w:val="003466B7"/>
    <w:rsid w:val="00346877"/>
    <w:rsid w:val="00346BEF"/>
    <w:rsid w:val="00346E37"/>
    <w:rsid w:val="00346E92"/>
    <w:rsid w:val="0034743E"/>
    <w:rsid w:val="003477B2"/>
    <w:rsid w:val="00347A62"/>
    <w:rsid w:val="00347CAE"/>
    <w:rsid w:val="00347E51"/>
    <w:rsid w:val="00347F2C"/>
    <w:rsid w:val="003502EE"/>
    <w:rsid w:val="00350850"/>
    <w:rsid w:val="00350D26"/>
    <w:rsid w:val="00351382"/>
    <w:rsid w:val="00351AEA"/>
    <w:rsid w:val="00351DA4"/>
    <w:rsid w:val="00351F5A"/>
    <w:rsid w:val="00352199"/>
    <w:rsid w:val="0035309E"/>
    <w:rsid w:val="00353176"/>
    <w:rsid w:val="00353707"/>
    <w:rsid w:val="00353BD7"/>
    <w:rsid w:val="00353DA9"/>
    <w:rsid w:val="00354347"/>
    <w:rsid w:val="0035438F"/>
    <w:rsid w:val="00354395"/>
    <w:rsid w:val="003544B8"/>
    <w:rsid w:val="00354657"/>
    <w:rsid w:val="003547C6"/>
    <w:rsid w:val="00354D19"/>
    <w:rsid w:val="00354E38"/>
    <w:rsid w:val="00355D09"/>
    <w:rsid w:val="00357052"/>
    <w:rsid w:val="00357391"/>
    <w:rsid w:val="00357E05"/>
    <w:rsid w:val="00360CB6"/>
    <w:rsid w:val="00360D21"/>
    <w:rsid w:val="00360DE5"/>
    <w:rsid w:val="00361510"/>
    <w:rsid w:val="00361728"/>
    <w:rsid w:val="003617D0"/>
    <w:rsid w:val="00361BF9"/>
    <w:rsid w:val="003629D2"/>
    <w:rsid w:val="00362A55"/>
    <w:rsid w:val="00362A64"/>
    <w:rsid w:val="0036351F"/>
    <w:rsid w:val="0036368D"/>
    <w:rsid w:val="003637BB"/>
    <w:rsid w:val="00364791"/>
    <w:rsid w:val="003650EB"/>
    <w:rsid w:val="003656AC"/>
    <w:rsid w:val="003658AE"/>
    <w:rsid w:val="00365C5D"/>
    <w:rsid w:val="003669D9"/>
    <w:rsid w:val="003673D0"/>
    <w:rsid w:val="00370D94"/>
    <w:rsid w:val="003714AF"/>
    <w:rsid w:val="0037174A"/>
    <w:rsid w:val="003723DB"/>
    <w:rsid w:val="00372F26"/>
    <w:rsid w:val="00373D08"/>
    <w:rsid w:val="00373D7D"/>
    <w:rsid w:val="00374676"/>
    <w:rsid w:val="00374E2B"/>
    <w:rsid w:val="0037508D"/>
    <w:rsid w:val="00375B44"/>
    <w:rsid w:val="00375BDA"/>
    <w:rsid w:val="0037668A"/>
    <w:rsid w:val="003767E8"/>
    <w:rsid w:val="00376837"/>
    <w:rsid w:val="0037738C"/>
    <w:rsid w:val="003778CF"/>
    <w:rsid w:val="00377C39"/>
    <w:rsid w:val="00380718"/>
    <w:rsid w:val="0038102D"/>
    <w:rsid w:val="0038130D"/>
    <w:rsid w:val="003817BA"/>
    <w:rsid w:val="003831B3"/>
    <w:rsid w:val="0038396A"/>
    <w:rsid w:val="00383BA3"/>
    <w:rsid w:val="00383C6F"/>
    <w:rsid w:val="00383D5B"/>
    <w:rsid w:val="00384B37"/>
    <w:rsid w:val="00384E3B"/>
    <w:rsid w:val="0038523A"/>
    <w:rsid w:val="0038598A"/>
    <w:rsid w:val="00386990"/>
    <w:rsid w:val="00386D6B"/>
    <w:rsid w:val="00386DAA"/>
    <w:rsid w:val="00386DFE"/>
    <w:rsid w:val="00387306"/>
    <w:rsid w:val="0038780D"/>
    <w:rsid w:val="003878E9"/>
    <w:rsid w:val="003900F2"/>
    <w:rsid w:val="0039048C"/>
    <w:rsid w:val="00391E40"/>
    <w:rsid w:val="00391F34"/>
    <w:rsid w:val="003927A5"/>
    <w:rsid w:val="003927DE"/>
    <w:rsid w:val="00392A13"/>
    <w:rsid w:val="00392CA6"/>
    <w:rsid w:val="003939A0"/>
    <w:rsid w:val="0039487A"/>
    <w:rsid w:val="00394ABE"/>
    <w:rsid w:val="00395CC1"/>
    <w:rsid w:val="00396166"/>
    <w:rsid w:val="0039618F"/>
    <w:rsid w:val="00396288"/>
    <w:rsid w:val="00396604"/>
    <w:rsid w:val="00396763"/>
    <w:rsid w:val="00396A5F"/>
    <w:rsid w:val="0039799F"/>
    <w:rsid w:val="003A03EA"/>
    <w:rsid w:val="003A0CD7"/>
    <w:rsid w:val="003A0FA2"/>
    <w:rsid w:val="003A10AD"/>
    <w:rsid w:val="003A1380"/>
    <w:rsid w:val="003A138E"/>
    <w:rsid w:val="003A18D8"/>
    <w:rsid w:val="003A193F"/>
    <w:rsid w:val="003A264B"/>
    <w:rsid w:val="003A2ABC"/>
    <w:rsid w:val="003A2BB2"/>
    <w:rsid w:val="003A2DF0"/>
    <w:rsid w:val="003A3BD5"/>
    <w:rsid w:val="003A3D18"/>
    <w:rsid w:val="003A4AF9"/>
    <w:rsid w:val="003A4E03"/>
    <w:rsid w:val="003A588C"/>
    <w:rsid w:val="003A6296"/>
    <w:rsid w:val="003A62BC"/>
    <w:rsid w:val="003A644C"/>
    <w:rsid w:val="003A668C"/>
    <w:rsid w:val="003A777D"/>
    <w:rsid w:val="003A7787"/>
    <w:rsid w:val="003B07FF"/>
    <w:rsid w:val="003B0907"/>
    <w:rsid w:val="003B0944"/>
    <w:rsid w:val="003B1A0D"/>
    <w:rsid w:val="003B2D91"/>
    <w:rsid w:val="003B2F31"/>
    <w:rsid w:val="003B31EF"/>
    <w:rsid w:val="003B484A"/>
    <w:rsid w:val="003B4AB2"/>
    <w:rsid w:val="003B51C1"/>
    <w:rsid w:val="003B5354"/>
    <w:rsid w:val="003B53F6"/>
    <w:rsid w:val="003B5738"/>
    <w:rsid w:val="003B5AF1"/>
    <w:rsid w:val="003B6518"/>
    <w:rsid w:val="003B67AC"/>
    <w:rsid w:val="003B6D9C"/>
    <w:rsid w:val="003B71EE"/>
    <w:rsid w:val="003B71F9"/>
    <w:rsid w:val="003B781B"/>
    <w:rsid w:val="003C093F"/>
    <w:rsid w:val="003C0E5E"/>
    <w:rsid w:val="003C0E78"/>
    <w:rsid w:val="003C0ED1"/>
    <w:rsid w:val="003C100A"/>
    <w:rsid w:val="003C16EB"/>
    <w:rsid w:val="003C1851"/>
    <w:rsid w:val="003C2182"/>
    <w:rsid w:val="003C2629"/>
    <w:rsid w:val="003C2AFC"/>
    <w:rsid w:val="003C345B"/>
    <w:rsid w:val="003C3959"/>
    <w:rsid w:val="003C3EFD"/>
    <w:rsid w:val="003C411B"/>
    <w:rsid w:val="003C455E"/>
    <w:rsid w:val="003C4D93"/>
    <w:rsid w:val="003C56EC"/>
    <w:rsid w:val="003C588A"/>
    <w:rsid w:val="003C58C7"/>
    <w:rsid w:val="003C5BF5"/>
    <w:rsid w:val="003C640E"/>
    <w:rsid w:val="003C6BFA"/>
    <w:rsid w:val="003C74F3"/>
    <w:rsid w:val="003C7519"/>
    <w:rsid w:val="003C7836"/>
    <w:rsid w:val="003C7F49"/>
    <w:rsid w:val="003D055D"/>
    <w:rsid w:val="003D0A2F"/>
    <w:rsid w:val="003D0AB9"/>
    <w:rsid w:val="003D1147"/>
    <w:rsid w:val="003D1324"/>
    <w:rsid w:val="003D1B8A"/>
    <w:rsid w:val="003D1EE5"/>
    <w:rsid w:val="003D28FA"/>
    <w:rsid w:val="003D2CDF"/>
    <w:rsid w:val="003D3C25"/>
    <w:rsid w:val="003D3D96"/>
    <w:rsid w:val="003D40F4"/>
    <w:rsid w:val="003D43DD"/>
    <w:rsid w:val="003D4469"/>
    <w:rsid w:val="003D4839"/>
    <w:rsid w:val="003D4AFC"/>
    <w:rsid w:val="003D5284"/>
    <w:rsid w:val="003D5BE1"/>
    <w:rsid w:val="003D65E4"/>
    <w:rsid w:val="003D6CBE"/>
    <w:rsid w:val="003D796C"/>
    <w:rsid w:val="003E03D6"/>
    <w:rsid w:val="003E0AAC"/>
    <w:rsid w:val="003E0E7A"/>
    <w:rsid w:val="003E1811"/>
    <w:rsid w:val="003E1963"/>
    <w:rsid w:val="003E1DB4"/>
    <w:rsid w:val="003E2380"/>
    <w:rsid w:val="003E3027"/>
    <w:rsid w:val="003E34AA"/>
    <w:rsid w:val="003E3E26"/>
    <w:rsid w:val="003E3F47"/>
    <w:rsid w:val="003E3FC0"/>
    <w:rsid w:val="003E3FE0"/>
    <w:rsid w:val="003E4134"/>
    <w:rsid w:val="003E43C0"/>
    <w:rsid w:val="003E5468"/>
    <w:rsid w:val="003E56E8"/>
    <w:rsid w:val="003E673D"/>
    <w:rsid w:val="003E76AF"/>
    <w:rsid w:val="003F162D"/>
    <w:rsid w:val="003F24C1"/>
    <w:rsid w:val="003F2A5C"/>
    <w:rsid w:val="003F2B42"/>
    <w:rsid w:val="003F2D00"/>
    <w:rsid w:val="003F2E66"/>
    <w:rsid w:val="003F33DC"/>
    <w:rsid w:val="003F369C"/>
    <w:rsid w:val="003F3B9C"/>
    <w:rsid w:val="003F3BA4"/>
    <w:rsid w:val="003F48A2"/>
    <w:rsid w:val="003F4F77"/>
    <w:rsid w:val="003F560C"/>
    <w:rsid w:val="003F57EC"/>
    <w:rsid w:val="003F6211"/>
    <w:rsid w:val="003F6B36"/>
    <w:rsid w:val="003F6DB5"/>
    <w:rsid w:val="003F78D3"/>
    <w:rsid w:val="003F7BFC"/>
    <w:rsid w:val="00400661"/>
    <w:rsid w:val="00400738"/>
    <w:rsid w:val="00400915"/>
    <w:rsid w:val="00401360"/>
    <w:rsid w:val="00401A78"/>
    <w:rsid w:val="00401CCD"/>
    <w:rsid w:val="004021F3"/>
    <w:rsid w:val="004024A0"/>
    <w:rsid w:val="0040288A"/>
    <w:rsid w:val="00402A23"/>
    <w:rsid w:val="00402C4C"/>
    <w:rsid w:val="00402CEB"/>
    <w:rsid w:val="00403CD5"/>
    <w:rsid w:val="00403FF7"/>
    <w:rsid w:val="004042E3"/>
    <w:rsid w:val="004043C8"/>
    <w:rsid w:val="00404710"/>
    <w:rsid w:val="00404A34"/>
    <w:rsid w:val="00405342"/>
    <w:rsid w:val="0040613F"/>
    <w:rsid w:val="00406485"/>
    <w:rsid w:val="004067E0"/>
    <w:rsid w:val="00406C3A"/>
    <w:rsid w:val="0041046D"/>
    <w:rsid w:val="00410617"/>
    <w:rsid w:val="00410A5F"/>
    <w:rsid w:val="00410DB5"/>
    <w:rsid w:val="00411B3E"/>
    <w:rsid w:val="00411EC3"/>
    <w:rsid w:val="004127C3"/>
    <w:rsid w:val="00412D6A"/>
    <w:rsid w:val="004134EB"/>
    <w:rsid w:val="00413A23"/>
    <w:rsid w:val="0041437E"/>
    <w:rsid w:val="004148DB"/>
    <w:rsid w:val="00414A4E"/>
    <w:rsid w:val="004158DA"/>
    <w:rsid w:val="00415A8E"/>
    <w:rsid w:val="004160AE"/>
    <w:rsid w:val="0041657E"/>
    <w:rsid w:val="00416C2F"/>
    <w:rsid w:val="00417597"/>
    <w:rsid w:val="004177BB"/>
    <w:rsid w:val="00417C95"/>
    <w:rsid w:val="00420E7F"/>
    <w:rsid w:val="00421B0F"/>
    <w:rsid w:val="004233D6"/>
    <w:rsid w:val="00425263"/>
    <w:rsid w:val="004256B4"/>
    <w:rsid w:val="00425772"/>
    <w:rsid w:val="0042585C"/>
    <w:rsid w:val="00425D34"/>
    <w:rsid w:val="00425FE2"/>
    <w:rsid w:val="004260AC"/>
    <w:rsid w:val="004263DD"/>
    <w:rsid w:val="00426555"/>
    <w:rsid w:val="00426637"/>
    <w:rsid w:val="004266D4"/>
    <w:rsid w:val="00427378"/>
    <w:rsid w:val="00427632"/>
    <w:rsid w:val="00430157"/>
    <w:rsid w:val="00430D1C"/>
    <w:rsid w:val="00431072"/>
    <w:rsid w:val="00431203"/>
    <w:rsid w:val="00431B56"/>
    <w:rsid w:val="00432683"/>
    <w:rsid w:val="00432B0D"/>
    <w:rsid w:val="00433B43"/>
    <w:rsid w:val="00433C95"/>
    <w:rsid w:val="004353E6"/>
    <w:rsid w:val="004361D3"/>
    <w:rsid w:val="00436682"/>
    <w:rsid w:val="0043668B"/>
    <w:rsid w:val="00436732"/>
    <w:rsid w:val="00437796"/>
    <w:rsid w:val="00437C7C"/>
    <w:rsid w:val="00441DBB"/>
    <w:rsid w:val="00442284"/>
    <w:rsid w:val="0044251A"/>
    <w:rsid w:val="004425B1"/>
    <w:rsid w:val="004429FA"/>
    <w:rsid w:val="00442A0F"/>
    <w:rsid w:val="00442ED1"/>
    <w:rsid w:val="00442EF1"/>
    <w:rsid w:val="00443790"/>
    <w:rsid w:val="00443C14"/>
    <w:rsid w:val="004444CE"/>
    <w:rsid w:val="00444B0C"/>
    <w:rsid w:val="00445323"/>
    <w:rsid w:val="0044542D"/>
    <w:rsid w:val="00445773"/>
    <w:rsid w:val="00445932"/>
    <w:rsid w:val="00445B61"/>
    <w:rsid w:val="00445DCE"/>
    <w:rsid w:val="0044607E"/>
    <w:rsid w:val="0044646B"/>
    <w:rsid w:val="00446618"/>
    <w:rsid w:val="00446802"/>
    <w:rsid w:val="004469E1"/>
    <w:rsid w:val="004474CD"/>
    <w:rsid w:val="00447956"/>
    <w:rsid w:val="004505AB"/>
    <w:rsid w:val="00450D3F"/>
    <w:rsid w:val="00451267"/>
    <w:rsid w:val="0045161C"/>
    <w:rsid w:val="0045224E"/>
    <w:rsid w:val="00452C74"/>
    <w:rsid w:val="004532EF"/>
    <w:rsid w:val="00453803"/>
    <w:rsid w:val="00453BD4"/>
    <w:rsid w:val="00453DB5"/>
    <w:rsid w:val="00453E0B"/>
    <w:rsid w:val="004540A6"/>
    <w:rsid w:val="0045415D"/>
    <w:rsid w:val="004548E9"/>
    <w:rsid w:val="004556CF"/>
    <w:rsid w:val="004556F5"/>
    <w:rsid w:val="00455C7E"/>
    <w:rsid w:val="004566E4"/>
    <w:rsid w:val="004572F4"/>
    <w:rsid w:val="00457844"/>
    <w:rsid w:val="00457ACB"/>
    <w:rsid w:val="00457E40"/>
    <w:rsid w:val="00460082"/>
    <w:rsid w:val="00460752"/>
    <w:rsid w:val="00461043"/>
    <w:rsid w:val="0046106B"/>
    <w:rsid w:val="00461695"/>
    <w:rsid w:val="00461CCF"/>
    <w:rsid w:val="00461D5E"/>
    <w:rsid w:val="00461E66"/>
    <w:rsid w:val="004624AE"/>
    <w:rsid w:val="00462768"/>
    <w:rsid w:val="00462A5C"/>
    <w:rsid w:val="00463221"/>
    <w:rsid w:val="00463730"/>
    <w:rsid w:val="004637D0"/>
    <w:rsid w:val="00463BD3"/>
    <w:rsid w:val="00463FFB"/>
    <w:rsid w:val="00464090"/>
    <w:rsid w:val="00464B09"/>
    <w:rsid w:val="004653C1"/>
    <w:rsid w:val="00465428"/>
    <w:rsid w:val="0046566C"/>
    <w:rsid w:val="00466A2F"/>
    <w:rsid w:val="004678E6"/>
    <w:rsid w:val="00467BB1"/>
    <w:rsid w:val="004701BC"/>
    <w:rsid w:val="00470378"/>
    <w:rsid w:val="00470584"/>
    <w:rsid w:val="00470DB3"/>
    <w:rsid w:val="00470F04"/>
    <w:rsid w:val="00470FD4"/>
    <w:rsid w:val="004713C8"/>
    <w:rsid w:val="00471756"/>
    <w:rsid w:val="00471A92"/>
    <w:rsid w:val="00471DE4"/>
    <w:rsid w:val="00471FAD"/>
    <w:rsid w:val="00472007"/>
    <w:rsid w:val="004728E2"/>
    <w:rsid w:val="00472C73"/>
    <w:rsid w:val="0047358D"/>
    <w:rsid w:val="00473796"/>
    <w:rsid w:val="00473907"/>
    <w:rsid w:val="0047399A"/>
    <w:rsid w:val="00474385"/>
    <w:rsid w:val="00474A48"/>
    <w:rsid w:val="0047522B"/>
    <w:rsid w:val="0047591D"/>
    <w:rsid w:val="00475DE8"/>
    <w:rsid w:val="00476428"/>
    <w:rsid w:val="00476C8F"/>
    <w:rsid w:val="00476D10"/>
    <w:rsid w:val="00476E66"/>
    <w:rsid w:val="00476ED3"/>
    <w:rsid w:val="00477B00"/>
    <w:rsid w:val="00477B9E"/>
    <w:rsid w:val="00477F06"/>
    <w:rsid w:val="00480E05"/>
    <w:rsid w:val="00481C6C"/>
    <w:rsid w:val="00481E80"/>
    <w:rsid w:val="004822B5"/>
    <w:rsid w:val="0048266F"/>
    <w:rsid w:val="00482855"/>
    <w:rsid w:val="00482892"/>
    <w:rsid w:val="004832C2"/>
    <w:rsid w:val="00483CC2"/>
    <w:rsid w:val="00484231"/>
    <w:rsid w:val="00484AF6"/>
    <w:rsid w:val="00484DE6"/>
    <w:rsid w:val="0048501F"/>
    <w:rsid w:val="0048534A"/>
    <w:rsid w:val="0048534E"/>
    <w:rsid w:val="004857E0"/>
    <w:rsid w:val="00487A47"/>
    <w:rsid w:val="00487CF0"/>
    <w:rsid w:val="00492A53"/>
    <w:rsid w:val="00492AE9"/>
    <w:rsid w:val="0049303F"/>
    <w:rsid w:val="0049431E"/>
    <w:rsid w:val="00494BEB"/>
    <w:rsid w:val="00495632"/>
    <w:rsid w:val="00495E68"/>
    <w:rsid w:val="004964BF"/>
    <w:rsid w:val="00496BA5"/>
    <w:rsid w:val="00496C96"/>
    <w:rsid w:val="004972B9"/>
    <w:rsid w:val="00497A8E"/>
    <w:rsid w:val="00497D79"/>
    <w:rsid w:val="00497D9D"/>
    <w:rsid w:val="004A04B4"/>
    <w:rsid w:val="004A0B9B"/>
    <w:rsid w:val="004A1E3E"/>
    <w:rsid w:val="004A2CBC"/>
    <w:rsid w:val="004A3447"/>
    <w:rsid w:val="004A34A4"/>
    <w:rsid w:val="004A37CF"/>
    <w:rsid w:val="004A3937"/>
    <w:rsid w:val="004A3BE8"/>
    <w:rsid w:val="004A4794"/>
    <w:rsid w:val="004A49C5"/>
    <w:rsid w:val="004A4CB1"/>
    <w:rsid w:val="004A4D45"/>
    <w:rsid w:val="004A4DAA"/>
    <w:rsid w:val="004A4E3A"/>
    <w:rsid w:val="004A5207"/>
    <w:rsid w:val="004A5820"/>
    <w:rsid w:val="004A59B8"/>
    <w:rsid w:val="004A5CDC"/>
    <w:rsid w:val="004A5DA8"/>
    <w:rsid w:val="004A5FB6"/>
    <w:rsid w:val="004A60B6"/>
    <w:rsid w:val="004A6105"/>
    <w:rsid w:val="004A6262"/>
    <w:rsid w:val="004A6413"/>
    <w:rsid w:val="004A7CD2"/>
    <w:rsid w:val="004A7FB0"/>
    <w:rsid w:val="004B06FF"/>
    <w:rsid w:val="004B0984"/>
    <w:rsid w:val="004B0BB0"/>
    <w:rsid w:val="004B0F03"/>
    <w:rsid w:val="004B1908"/>
    <w:rsid w:val="004B284B"/>
    <w:rsid w:val="004B3350"/>
    <w:rsid w:val="004B3D8D"/>
    <w:rsid w:val="004B4033"/>
    <w:rsid w:val="004B43B3"/>
    <w:rsid w:val="004B4540"/>
    <w:rsid w:val="004B473F"/>
    <w:rsid w:val="004B5F04"/>
    <w:rsid w:val="004B6532"/>
    <w:rsid w:val="004B6992"/>
    <w:rsid w:val="004B6A8A"/>
    <w:rsid w:val="004B6C61"/>
    <w:rsid w:val="004B6D65"/>
    <w:rsid w:val="004C0799"/>
    <w:rsid w:val="004C118A"/>
    <w:rsid w:val="004C190A"/>
    <w:rsid w:val="004C1BBF"/>
    <w:rsid w:val="004C2180"/>
    <w:rsid w:val="004C2C62"/>
    <w:rsid w:val="004C312C"/>
    <w:rsid w:val="004C3199"/>
    <w:rsid w:val="004C3349"/>
    <w:rsid w:val="004C380C"/>
    <w:rsid w:val="004C3BAD"/>
    <w:rsid w:val="004C3E83"/>
    <w:rsid w:val="004C4289"/>
    <w:rsid w:val="004C5298"/>
    <w:rsid w:val="004C556F"/>
    <w:rsid w:val="004C55E9"/>
    <w:rsid w:val="004C57DE"/>
    <w:rsid w:val="004C57FD"/>
    <w:rsid w:val="004C59B7"/>
    <w:rsid w:val="004C5B13"/>
    <w:rsid w:val="004C5E54"/>
    <w:rsid w:val="004C62D4"/>
    <w:rsid w:val="004C6AF5"/>
    <w:rsid w:val="004C6BAD"/>
    <w:rsid w:val="004C6EE3"/>
    <w:rsid w:val="004C71B1"/>
    <w:rsid w:val="004C73C3"/>
    <w:rsid w:val="004C73F5"/>
    <w:rsid w:val="004D1DEB"/>
    <w:rsid w:val="004D1F7D"/>
    <w:rsid w:val="004D27A2"/>
    <w:rsid w:val="004D292B"/>
    <w:rsid w:val="004D2980"/>
    <w:rsid w:val="004D329E"/>
    <w:rsid w:val="004D35EE"/>
    <w:rsid w:val="004D3CF6"/>
    <w:rsid w:val="004D40B4"/>
    <w:rsid w:val="004D469C"/>
    <w:rsid w:val="004D4D4F"/>
    <w:rsid w:val="004D4E00"/>
    <w:rsid w:val="004D514F"/>
    <w:rsid w:val="004D5569"/>
    <w:rsid w:val="004D5BD6"/>
    <w:rsid w:val="004D5C2A"/>
    <w:rsid w:val="004D5DC2"/>
    <w:rsid w:val="004D5ECC"/>
    <w:rsid w:val="004D62FA"/>
    <w:rsid w:val="004D6785"/>
    <w:rsid w:val="004D6EDC"/>
    <w:rsid w:val="004D7007"/>
    <w:rsid w:val="004D7539"/>
    <w:rsid w:val="004E10CF"/>
    <w:rsid w:val="004E19CF"/>
    <w:rsid w:val="004E2097"/>
    <w:rsid w:val="004E2516"/>
    <w:rsid w:val="004E27AF"/>
    <w:rsid w:val="004E3032"/>
    <w:rsid w:val="004E325A"/>
    <w:rsid w:val="004E3548"/>
    <w:rsid w:val="004E3E78"/>
    <w:rsid w:val="004E4F5E"/>
    <w:rsid w:val="004E5815"/>
    <w:rsid w:val="004E5A57"/>
    <w:rsid w:val="004E6BB4"/>
    <w:rsid w:val="004E6D4F"/>
    <w:rsid w:val="004E70DA"/>
    <w:rsid w:val="004E7629"/>
    <w:rsid w:val="004E7793"/>
    <w:rsid w:val="004E7B0B"/>
    <w:rsid w:val="004E7C64"/>
    <w:rsid w:val="004E7CE9"/>
    <w:rsid w:val="004F088E"/>
    <w:rsid w:val="004F0B09"/>
    <w:rsid w:val="004F0E3A"/>
    <w:rsid w:val="004F1144"/>
    <w:rsid w:val="004F1622"/>
    <w:rsid w:val="004F1F86"/>
    <w:rsid w:val="004F2101"/>
    <w:rsid w:val="004F29F4"/>
    <w:rsid w:val="004F35A8"/>
    <w:rsid w:val="004F4429"/>
    <w:rsid w:val="004F5BFF"/>
    <w:rsid w:val="004F5CAF"/>
    <w:rsid w:val="004F639D"/>
    <w:rsid w:val="004F6B14"/>
    <w:rsid w:val="004F6D47"/>
    <w:rsid w:val="004F763E"/>
    <w:rsid w:val="004F7897"/>
    <w:rsid w:val="0050030C"/>
    <w:rsid w:val="00500590"/>
    <w:rsid w:val="00501333"/>
    <w:rsid w:val="005015E6"/>
    <w:rsid w:val="00501DEC"/>
    <w:rsid w:val="00502DB4"/>
    <w:rsid w:val="00502F03"/>
    <w:rsid w:val="005031E3"/>
    <w:rsid w:val="005034A7"/>
    <w:rsid w:val="00503893"/>
    <w:rsid w:val="00504254"/>
    <w:rsid w:val="0050429F"/>
    <w:rsid w:val="00504BE9"/>
    <w:rsid w:val="00504C9C"/>
    <w:rsid w:val="00505375"/>
    <w:rsid w:val="0050616B"/>
    <w:rsid w:val="005065DA"/>
    <w:rsid w:val="005066BD"/>
    <w:rsid w:val="005068DC"/>
    <w:rsid w:val="00506DC2"/>
    <w:rsid w:val="00507598"/>
    <w:rsid w:val="0050765D"/>
    <w:rsid w:val="00507BED"/>
    <w:rsid w:val="00510087"/>
    <w:rsid w:val="005106AB"/>
    <w:rsid w:val="005106BD"/>
    <w:rsid w:val="00510F83"/>
    <w:rsid w:val="0051107C"/>
    <w:rsid w:val="00511A12"/>
    <w:rsid w:val="00511C26"/>
    <w:rsid w:val="00511F61"/>
    <w:rsid w:val="005121FF"/>
    <w:rsid w:val="00512BB7"/>
    <w:rsid w:val="00512C50"/>
    <w:rsid w:val="00512EDA"/>
    <w:rsid w:val="005134E3"/>
    <w:rsid w:val="005137D7"/>
    <w:rsid w:val="00513B49"/>
    <w:rsid w:val="00513C7B"/>
    <w:rsid w:val="0051440B"/>
    <w:rsid w:val="0051443A"/>
    <w:rsid w:val="005146AF"/>
    <w:rsid w:val="005146E5"/>
    <w:rsid w:val="00514FD4"/>
    <w:rsid w:val="0051539A"/>
    <w:rsid w:val="00515970"/>
    <w:rsid w:val="005159CA"/>
    <w:rsid w:val="00515ABE"/>
    <w:rsid w:val="00515BFA"/>
    <w:rsid w:val="005161EB"/>
    <w:rsid w:val="00516572"/>
    <w:rsid w:val="005169D5"/>
    <w:rsid w:val="00516C52"/>
    <w:rsid w:val="005170C1"/>
    <w:rsid w:val="005172FD"/>
    <w:rsid w:val="00517651"/>
    <w:rsid w:val="0051794B"/>
    <w:rsid w:val="00517C1A"/>
    <w:rsid w:val="00517F8E"/>
    <w:rsid w:val="005200BC"/>
    <w:rsid w:val="0052051F"/>
    <w:rsid w:val="0052096D"/>
    <w:rsid w:val="00520A48"/>
    <w:rsid w:val="00520B47"/>
    <w:rsid w:val="00520BEA"/>
    <w:rsid w:val="00521542"/>
    <w:rsid w:val="0052166D"/>
    <w:rsid w:val="005216C0"/>
    <w:rsid w:val="00521D14"/>
    <w:rsid w:val="00521D31"/>
    <w:rsid w:val="00521F09"/>
    <w:rsid w:val="005224AE"/>
    <w:rsid w:val="005226B5"/>
    <w:rsid w:val="00524C56"/>
    <w:rsid w:val="005252A8"/>
    <w:rsid w:val="005254D9"/>
    <w:rsid w:val="0052605A"/>
    <w:rsid w:val="00526521"/>
    <w:rsid w:val="00527665"/>
    <w:rsid w:val="0052788F"/>
    <w:rsid w:val="00527DF8"/>
    <w:rsid w:val="0053044E"/>
    <w:rsid w:val="00530D3D"/>
    <w:rsid w:val="00531770"/>
    <w:rsid w:val="005319E0"/>
    <w:rsid w:val="00531C35"/>
    <w:rsid w:val="00531D82"/>
    <w:rsid w:val="00531FEF"/>
    <w:rsid w:val="00532371"/>
    <w:rsid w:val="005328AD"/>
    <w:rsid w:val="0053354F"/>
    <w:rsid w:val="005335B6"/>
    <w:rsid w:val="00533FF2"/>
    <w:rsid w:val="00534F97"/>
    <w:rsid w:val="0053569B"/>
    <w:rsid w:val="00535FC9"/>
    <w:rsid w:val="00536509"/>
    <w:rsid w:val="00536A1B"/>
    <w:rsid w:val="00536E0B"/>
    <w:rsid w:val="005376C6"/>
    <w:rsid w:val="005378C3"/>
    <w:rsid w:val="00541067"/>
    <w:rsid w:val="005411C8"/>
    <w:rsid w:val="005416E2"/>
    <w:rsid w:val="0054206F"/>
    <w:rsid w:val="005420D3"/>
    <w:rsid w:val="00542430"/>
    <w:rsid w:val="00542609"/>
    <w:rsid w:val="00542680"/>
    <w:rsid w:val="005435C1"/>
    <w:rsid w:val="00544D58"/>
    <w:rsid w:val="00545922"/>
    <w:rsid w:val="00545ED5"/>
    <w:rsid w:val="00546C2E"/>
    <w:rsid w:val="00546DA9"/>
    <w:rsid w:val="005471A3"/>
    <w:rsid w:val="00547779"/>
    <w:rsid w:val="005478DF"/>
    <w:rsid w:val="005501D5"/>
    <w:rsid w:val="00551574"/>
    <w:rsid w:val="005518E0"/>
    <w:rsid w:val="00551CBC"/>
    <w:rsid w:val="00551DAA"/>
    <w:rsid w:val="00552B22"/>
    <w:rsid w:val="005530CC"/>
    <w:rsid w:val="0055423A"/>
    <w:rsid w:val="0055518F"/>
    <w:rsid w:val="0055536E"/>
    <w:rsid w:val="0055590F"/>
    <w:rsid w:val="005560B1"/>
    <w:rsid w:val="005563BE"/>
    <w:rsid w:val="00556487"/>
    <w:rsid w:val="005567FE"/>
    <w:rsid w:val="00556DC7"/>
    <w:rsid w:val="00557A9D"/>
    <w:rsid w:val="00557EFC"/>
    <w:rsid w:val="0056021B"/>
    <w:rsid w:val="005617B9"/>
    <w:rsid w:val="00561A1B"/>
    <w:rsid w:val="00561BB2"/>
    <w:rsid w:val="00562162"/>
    <w:rsid w:val="0056265A"/>
    <w:rsid w:val="00562F04"/>
    <w:rsid w:val="005640CD"/>
    <w:rsid w:val="005640D2"/>
    <w:rsid w:val="0056443A"/>
    <w:rsid w:val="00564DB3"/>
    <w:rsid w:val="0056552D"/>
    <w:rsid w:val="005659D3"/>
    <w:rsid w:val="00567F6D"/>
    <w:rsid w:val="00570320"/>
    <w:rsid w:val="005704F8"/>
    <w:rsid w:val="00570B9F"/>
    <w:rsid w:val="00570CB1"/>
    <w:rsid w:val="005715E2"/>
    <w:rsid w:val="0057178D"/>
    <w:rsid w:val="005717DF"/>
    <w:rsid w:val="00572D37"/>
    <w:rsid w:val="00572FBA"/>
    <w:rsid w:val="0057316C"/>
    <w:rsid w:val="0057410A"/>
    <w:rsid w:val="0057432A"/>
    <w:rsid w:val="005744AF"/>
    <w:rsid w:val="0057477A"/>
    <w:rsid w:val="00574884"/>
    <w:rsid w:val="00574CF8"/>
    <w:rsid w:val="00574E97"/>
    <w:rsid w:val="00575393"/>
    <w:rsid w:val="00575A6B"/>
    <w:rsid w:val="00575AFC"/>
    <w:rsid w:val="00575C68"/>
    <w:rsid w:val="00575E06"/>
    <w:rsid w:val="0057608D"/>
    <w:rsid w:val="005761EF"/>
    <w:rsid w:val="00576BAE"/>
    <w:rsid w:val="005775F8"/>
    <w:rsid w:val="0058098E"/>
    <w:rsid w:val="00580BA1"/>
    <w:rsid w:val="00580EA1"/>
    <w:rsid w:val="005811A0"/>
    <w:rsid w:val="00581607"/>
    <w:rsid w:val="005819A6"/>
    <w:rsid w:val="00581D20"/>
    <w:rsid w:val="0058219E"/>
    <w:rsid w:val="005824C5"/>
    <w:rsid w:val="005827CA"/>
    <w:rsid w:val="005831B6"/>
    <w:rsid w:val="005834A0"/>
    <w:rsid w:val="00585863"/>
    <w:rsid w:val="00585F70"/>
    <w:rsid w:val="005863B8"/>
    <w:rsid w:val="0058685F"/>
    <w:rsid w:val="00586C31"/>
    <w:rsid w:val="00586D7E"/>
    <w:rsid w:val="00586DDD"/>
    <w:rsid w:val="00587AB5"/>
    <w:rsid w:val="00587E34"/>
    <w:rsid w:val="005902D5"/>
    <w:rsid w:val="00591255"/>
    <w:rsid w:val="0059136B"/>
    <w:rsid w:val="0059153F"/>
    <w:rsid w:val="00591AC7"/>
    <w:rsid w:val="00591FE8"/>
    <w:rsid w:val="0059220B"/>
    <w:rsid w:val="0059287C"/>
    <w:rsid w:val="00593299"/>
    <w:rsid w:val="00593420"/>
    <w:rsid w:val="00593481"/>
    <w:rsid w:val="00593A23"/>
    <w:rsid w:val="00593DBB"/>
    <w:rsid w:val="00594770"/>
    <w:rsid w:val="00595621"/>
    <w:rsid w:val="00595FBA"/>
    <w:rsid w:val="0059635A"/>
    <w:rsid w:val="00596CF7"/>
    <w:rsid w:val="00596FA0"/>
    <w:rsid w:val="005973BE"/>
    <w:rsid w:val="005A0D12"/>
    <w:rsid w:val="005A0F3B"/>
    <w:rsid w:val="005A14E2"/>
    <w:rsid w:val="005A169F"/>
    <w:rsid w:val="005A1776"/>
    <w:rsid w:val="005A17D0"/>
    <w:rsid w:val="005A229A"/>
    <w:rsid w:val="005A2849"/>
    <w:rsid w:val="005A3636"/>
    <w:rsid w:val="005A3A5C"/>
    <w:rsid w:val="005A4216"/>
    <w:rsid w:val="005A439A"/>
    <w:rsid w:val="005A48E1"/>
    <w:rsid w:val="005A5318"/>
    <w:rsid w:val="005A585B"/>
    <w:rsid w:val="005A5A79"/>
    <w:rsid w:val="005A6163"/>
    <w:rsid w:val="005A69D3"/>
    <w:rsid w:val="005A76D0"/>
    <w:rsid w:val="005A7823"/>
    <w:rsid w:val="005A7934"/>
    <w:rsid w:val="005A7D24"/>
    <w:rsid w:val="005B1576"/>
    <w:rsid w:val="005B1C52"/>
    <w:rsid w:val="005B208B"/>
    <w:rsid w:val="005B25F9"/>
    <w:rsid w:val="005B28B1"/>
    <w:rsid w:val="005B2C2C"/>
    <w:rsid w:val="005B2DD6"/>
    <w:rsid w:val="005B2E62"/>
    <w:rsid w:val="005B3171"/>
    <w:rsid w:val="005B336F"/>
    <w:rsid w:val="005B36CA"/>
    <w:rsid w:val="005B3BD9"/>
    <w:rsid w:val="005B3CA7"/>
    <w:rsid w:val="005B415C"/>
    <w:rsid w:val="005B5631"/>
    <w:rsid w:val="005B586B"/>
    <w:rsid w:val="005B5F76"/>
    <w:rsid w:val="005B69AC"/>
    <w:rsid w:val="005B6CDF"/>
    <w:rsid w:val="005B74C2"/>
    <w:rsid w:val="005B792F"/>
    <w:rsid w:val="005C05E1"/>
    <w:rsid w:val="005C0D4D"/>
    <w:rsid w:val="005C1176"/>
    <w:rsid w:val="005C163E"/>
    <w:rsid w:val="005C1799"/>
    <w:rsid w:val="005C1AE7"/>
    <w:rsid w:val="005C280D"/>
    <w:rsid w:val="005C28FA"/>
    <w:rsid w:val="005C3A36"/>
    <w:rsid w:val="005C3AD8"/>
    <w:rsid w:val="005C57CC"/>
    <w:rsid w:val="005C5E4E"/>
    <w:rsid w:val="005C63A8"/>
    <w:rsid w:val="005C6A41"/>
    <w:rsid w:val="005C6F8D"/>
    <w:rsid w:val="005C760E"/>
    <w:rsid w:val="005C7C07"/>
    <w:rsid w:val="005D06DA"/>
    <w:rsid w:val="005D126D"/>
    <w:rsid w:val="005D1881"/>
    <w:rsid w:val="005D2613"/>
    <w:rsid w:val="005D2888"/>
    <w:rsid w:val="005D343C"/>
    <w:rsid w:val="005D3ACE"/>
    <w:rsid w:val="005D3E90"/>
    <w:rsid w:val="005D42B4"/>
    <w:rsid w:val="005D465A"/>
    <w:rsid w:val="005D4734"/>
    <w:rsid w:val="005D49EF"/>
    <w:rsid w:val="005D4B04"/>
    <w:rsid w:val="005D4B55"/>
    <w:rsid w:val="005D4C2B"/>
    <w:rsid w:val="005D5AE3"/>
    <w:rsid w:val="005D5C6B"/>
    <w:rsid w:val="005D5CD9"/>
    <w:rsid w:val="005D5DB3"/>
    <w:rsid w:val="005D6263"/>
    <w:rsid w:val="005D696F"/>
    <w:rsid w:val="005D6F2A"/>
    <w:rsid w:val="005D751B"/>
    <w:rsid w:val="005E0340"/>
    <w:rsid w:val="005E182B"/>
    <w:rsid w:val="005E19DA"/>
    <w:rsid w:val="005E1FC3"/>
    <w:rsid w:val="005E251E"/>
    <w:rsid w:val="005E27AD"/>
    <w:rsid w:val="005E3F91"/>
    <w:rsid w:val="005E5244"/>
    <w:rsid w:val="005E59D4"/>
    <w:rsid w:val="005E6442"/>
    <w:rsid w:val="005E66E2"/>
    <w:rsid w:val="005E692C"/>
    <w:rsid w:val="005E6999"/>
    <w:rsid w:val="005E6D41"/>
    <w:rsid w:val="005E729C"/>
    <w:rsid w:val="005E790D"/>
    <w:rsid w:val="005E7C0C"/>
    <w:rsid w:val="005E7C88"/>
    <w:rsid w:val="005E7E0E"/>
    <w:rsid w:val="005F0CE8"/>
    <w:rsid w:val="005F124D"/>
    <w:rsid w:val="005F1653"/>
    <w:rsid w:val="005F309B"/>
    <w:rsid w:val="005F397F"/>
    <w:rsid w:val="005F40C2"/>
    <w:rsid w:val="005F410A"/>
    <w:rsid w:val="005F454B"/>
    <w:rsid w:val="005F5330"/>
    <w:rsid w:val="005F5632"/>
    <w:rsid w:val="005F59E2"/>
    <w:rsid w:val="005F5AF5"/>
    <w:rsid w:val="005F5BEB"/>
    <w:rsid w:val="005F5F0F"/>
    <w:rsid w:val="005F60D7"/>
    <w:rsid w:val="005F619E"/>
    <w:rsid w:val="005F6503"/>
    <w:rsid w:val="005F6873"/>
    <w:rsid w:val="005F6D2D"/>
    <w:rsid w:val="00600CFA"/>
    <w:rsid w:val="0060122B"/>
    <w:rsid w:val="0060162F"/>
    <w:rsid w:val="006017B6"/>
    <w:rsid w:val="00602698"/>
    <w:rsid w:val="00602B5C"/>
    <w:rsid w:val="006038DE"/>
    <w:rsid w:val="00603CAD"/>
    <w:rsid w:val="00604573"/>
    <w:rsid w:val="00604E40"/>
    <w:rsid w:val="00604F63"/>
    <w:rsid w:val="006051DC"/>
    <w:rsid w:val="006052F9"/>
    <w:rsid w:val="006055D5"/>
    <w:rsid w:val="006056DF"/>
    <w:rsid w:val="00605C20"/>
    <w:rsid w:val="00605D5B"/>
    <w:rsid w:val="006066C1"/>
    <w:rsid w:val="00606D9B"/>
    <w:rsid w:val="00607650"/>
    <w:rsid w:val="0060766B"/>
    <w:rsid w:val="00607EF1"/>
    <w:rsid w:val="00610639"/>
    <w:rsid w:val="00610DBF"/>
    <w:rsid w:val="0061121E"/>
    <w:rsid w:val="006118C5"/>
    <w:rsid w:val="00611AC1"/>
    <w:rsid w:val="00611CE8"/>
    <w:rsid w:val="00611D45"/>
    <w:rsid w:val="00611F9C"/>
    <w:rsid w:val="006127E6"/>
    <w:rsid w:val="00612A41"/>
    <w:rsid w:val="0061315C"/>
    <w:rsid w:val="006132E3"/>
    <w:rsid w:val="00613564"/>
    <w:rsid w:val="00613B37"/>
    <w:rsid w:val="00614FEB"/>
    <w:rsid w:val="0061503B"/>
    <w:rsid w:val="006151E7"/>
    <w:rsid w:val="00615A12"/>
    <w:rsid w:val="00615A2F"/>
    <w:rsid w:val="00615E68"/>
    <w:rsid w:val="00616220"/>
    <w:rsid w:val="00616639"/>
    <w:rsid w:val="006168CE"/>
    <w:rsid w:val="006179E9"/>
    <w:rsid w:val="00617E6E"/>
    <w:rsid w:val="00620304"/>
    <w:rsid w:val="0062049D"/>
    <w:rsid w:val="00621B4A"/>
    <w:rsid w:val="0062220B"/>
    <w:rsid w:val="00622402"/>
    <w:rsid w:val="0062258D"/>
    <w:rsid w:val="00622861"/>
    <w:rsid w:val="006231C6"/>
    <w:rsid w:val="00623E2F"/>
    <w:rsid w:val="00624028"/>
    <w:rsid w:val="00624319"/>
    <w:rsid w:val="00624BE8"/>
    <w:rsid w:val="00625663"/>
    <w:rsid w:val="00625B59"/>
    <w:rsid w:val="00625E45"/>
    <w:rsid w:val="006269DE"/>
    <w:rsid w:val="00626AC4"/>
    <w:rsid w:val="00626B83"/>
    <w:rsid w:val="0062743E"/>
    <w:rsid w:val="00627EEF"/>
    <w:rsid w:val="0063017C"/>
    <w:rsid w:val="00630203"/>
    <w:rsid w:val="00630754"/>
    <w:rsid w:val="00630D19"/>
    <w:rsid w:val="0063165A"/>
    <w:rsid w:val="0063182C"/>
    <w:rsid w:val="00632757"/>
    <w:rsid w:val="006327F5"/>
    <w:rsid w:val="00632AB4"/>
    <w:rsid w:val="00632C52"/>
    <w:rsid w:val="00632F04"/>
    <w:rsid w:val="0063354C"/>
    <w:rsid w:val="00634DC5"/>
    <w:rsid w:val="0063535A"/>
    <w:rsid w:val="006353BE"/>
    <w:rsid w:val="00635B1A"/>
    <w:rsid w:val="00636012"/>
    <w:rsid w:val="006363B0"/>
    <w:rsid w:val="0063647C"/>
    <w:rsid w:val="00636492"/>
    <w:rsid w:val="006368EE"/>
    <w:rsid w:val="00636A5B"/>
    <w:rsid w:val="00636F94"/>
    <w:rsid w:val="0063709A"/>
    <w:rsid w:val="006370D3"/>
    <w:rsid w:val="00637C91"/>
    <w:rsid w:val="00637E6A"/>
    <w:rsid w:val="00640023"/>
    <w:rsid w:val="0064098B"/>
    <w:rsid w:val="006415B2"/>
    <w:rsid w:val="006416BF"/>
    <w:rsid w:val="00641C44"/>
    <w:rsid w:val="00641D2E"/>
    <w:rsid w:val="0064200F"/>
    <w:rsid w:val="00642613"/>
    <w:rsid w:val="006429CE"/>
    <w:rsid w:val="00642C33"/>
    <w:rsid w:val="00643AC7"/>
    <w:rsid w:val="00644017"/>
    <w:rsid w:val="006440CD"/>
    <w:rsid w:val="0064416F"/>
    <w:rsid w:val="00644596"/>
    <w:rsid w:val="006448FF"/>
    <w:rsid w:val="00645278"/>
    <w:rsid w:val="0064539A"/>
    <w:rsid w:val="0064550F"/>
    <w:rsid w:val="006455FF"/>
    <w:rsid w:val="0064640E"/>
    <w:rsid w:val="00646726"/>
    <w:rsid w:val="00646780"/>
    <w:rsid w:val="00646C33"/>
    <w:rsid w:val="00647229"/>
    <w:rsid w:val="00647A26"/>
    <w:rsid w:val="006514FB"/>
    <w:rsid w:val="00651C83"/>
    <w:rsid w:val="00651CE7"/>
    <w:rsid w:val="00651DF4"/>
    <w:rsid w:val="00651E2C"/>
    <w:rsid w:val="00652B33"/>
    <w:rsid w:val="00653018"/>
    <w:rsid w:val="006532C7"/>
    <w:rsid w:val="00653AA0"/>
    <w:rsid w:val="006542EC"/>
    <w:rsid w:val="006549CD"/>
    <w:rsid w:val="00654BA0"/>
    <w:rsid w:val="00655253"/>
    <w:rsid w:val="00655B94"/>
    <w:rsid w:val="00655CC8"/>
    <w:rsid w:val="00655E2B"/>
    <w:rsid w:val="006563BC"/>
    <w:rsid w:val="00657270"/>
    <w:rsid w:val="0065760E"/>
    <w:rsid w:val="00657682"/>
    <w:rsid w:val="006576E0"/>
    <w:rsid w:val="00657B29"/>
    <w:rsid w:val="00657BD6"/>
    <w:rsid w:val="00657C49"/>
    <w:rsid w:val="00657D8A"/>
    <w:rsid w:val="00660723"/>
    <w:rsid w:val="006608F1"/>
    <w:rsid w:val="00660DD5"/>
    <w:rsid w:val="006610FF"/>
    <w:rsid w:val="0066111A"/>
    <w:rsid w:val="0066161C"/>
    <w:rsid w:val="00661EB2"/>
    <w:rsid w:val="00662182"/>
    <w:rsid w:val="00662540"/>
    <w:rsid w:val="00663157"/>
    <w:rsid w:val="00663168"/>
    <w:rsid w:val="006635B1"/>
    <w:rsid w:val="00663665"/>
    <w:rsid w:val="0066370C"/>
    <w:rsid w:val="0066372A"/>
    <w:rsid w:val="00663835"/>
    <w:rsid w:val="00663913"/>
    <w:rsid w:val="00663AA1"/>
    <w:rsid w:val="00663AB1"/>
    <w:rsid w:val="00663CA6"/>
    <w:rsid w:val="006640B6"/>
    <w:rsid w:val="006646C9"/>
    <w:rsid w:val="00664D8C"/>
    <w:rsid w:val="0066516E"/>
    <w:rsid w:val="006657E4"/>
    <w:rsid w:val="0066607A"/>
    <w:rsid w:val="00666164"/>
    <w:rsid w:val="00666203"/>
    <w:rsid w:val="006666CE"/>
    <w:rsid w:val="00666F74"/>
    <w:rsid w:val="00667216"/>
    <w:rsid w:val="00667A6E"/>
    <w:rsid w:val="00670894"/>
    <w:rsid w:val="00670BA7"/>
    <w:rsid w:val="00670E63"/>
    <w:rsid w:val="006711FA"/>
    <w:rsid w:val="00671CBD"/>
    <w:rsid w:val="006720E2"/>
    <w:rsid w:val="006724C3"/>
    <w:rsid w:val="006725C0"/>
    <w:rsid w:val="0067265D"/>
    <w:rsid w:val="00672A59"/>
    <w:rsid w:val="00672A74"/>
    <w:rsid w:val="006730AB"/>
    <w:rsid w:val="006738D2"/>
    <w:rsid w:val="00673FE3"/>
    <w:rsid w:val="00674310"/>
    <w:rsid w:val="00674824"/>
    <w:rsid w:val="00674B65"/>
    <w:rsid w:val="00675B70"/>
    <w:rsid w:val="006761AB"/>
    <w:rsid w:val="00676C5E"/>
    <w:rsid w:val="00676F1C"/>
    <w:rsid w:val="006777DE"/>
    <w:rsid w:val="006803B8"/>
    <w:rsid w:val="00680D79"/>
    <w:rsid w:val="0068159E"/>
    <w:rsid w:val="00681F01"/>
    <w:rsid w:val="0068250D"/>
    <w:rsid w:val="00682F41"/>
    <w:rsid w:val="006831AA"/>
    <w:rsid w:val="00683FA8"/>
    <w:rsid w:val="00684065"/>
    <w:rsid w:val="006844F2"/>
    <w:rsid w:val="0068463E"/>
    <w:rsid w:val="006847CB"/>
    <w:rsid w:val="00685DC7"/>
    <w:rsid w:val="00685E1C"/>
    <w:rsid w:val="006862A7"/>
    <w:rsid w:val="00686721"/>
    <w:rsid w:val="0068672D"/>
    <w:rsid w:val="00686785"/>
    <w:rsid w:val="00686B09"/>
    <w:rsid w:val="00686B2E"/>
    <w:rsid w:val="00686CAE"/>
    <w:rsid w:val="00686EFC"/>
    <w:rsid w:val="00686FCE"/>
    <w:rsid w:val="006876A6"/>
    <w:rsid w:val="00687886"/>
    <w:rsid w:val="00690B28"/>
    <w:rsid w:val="00690B72"/>
    <w:rsid w:val="00690E31"/>
    <w:rsid w:val="00690FFA"/>
    <w:rsid w:val="0069133A"/>
    <w:rsid w:val="00691467"/>
    <w:rsid w:val="0069180C"/>
    <w:rsid w:val="00691D1D"/>
    <w:rsid w:val="00691D3D"/>
    <w:rsid w:val="00691F20"/>
    <w:rsid w:val="0069257B"/>
    <w:rsid w:val="00692ECC"/>
    <w:rsid w:val="00693951"/>
    <w:rsid w:val="00693B92"/>
    <w:rsid w:val="00693C31"/>
    <w:rsid w:val="00694022"/>
    <w:rsid w:val="006946D9"/>
    <w:rsid w:val="006947D1"/>
    <w:rsid w:val="00694F34"/>
    <w:rsid w:val="00695FB5"/>
    <w:rsid w:val="006967DD"/>
    <w:rsid w:val="0069743B"/>
    <w:rsid w:val="00697601"/>
    <w:rsid w:val="00697AE3"/>
    <w:rsid w:val="006A00E6"/>
    <w:rsid w:val="006A04A4"/>
    <w:rsid w:val="006A075C"/>
    <w:rsid w:val="006A0910"/>
    <w:rsid w:val="006A0A8F"/>
    <w:rsid w:val="006A0EE9"/>
    <w:rsid w:val="006A107D"/>
    <w:rsid w:val="006A2024"/>
    <w:rsid w:val="006A25CD"/>
    <w:rsid w:val="006A26DD"/>
    <w:rsid w:val="006A2840"/>
    <w:rsid w:val="006A2DA7"/>
    <w:rsid w:val="006A3317"/>
    <w:rsid w:val="006A37A9"/>
    <w:rsid w:val="006A3FC0"/>
    <w:rsid w:val="006A4CA2"/>
    <w:rsid w:val="006A4EA4"/>
    <w:rsid w:val="006A59E8"/>
    <w:rsid w:val="006A5ED1"/>
    <w:rsid w:val="006A620A"/>
    <w:rsid w:val="006A644C"/>
    <w:rsid w:val="006A6599"/>
    <w:rsid w:val="006A66FC"/>
    <w:rsid w:val="006A6BD8"/>
    <w:rsid w:val="006A6EA0"/>
    <w:rsid w:val="006A6ED4"/>
    <w:rsid w:val="006A74B1"/>
    <w:rsid w:val="006B0770"/>
    <w:rsid w:val="006B091D"/>
    <w:rsid w:val="006B1669"/>
    <w:rsid w:val="006B252C"/>
    <w:rsid w:val="006B2A14"/>
    <w:rsid w:val="006B2BD2"/>
    <w:rsid w:val="006B31EB"/>
    <w:rsid w:val="006B34B8"/>
    <w:rsid w:val="006B376B"/>
    <w:rsid w:val="006B3D33"/>
    <w:rsid w:val="006B4B95"/>
    <w:rsid w:val="006B4DDB"/>
    <w:rsid w:val="006B549A"/>
    <w:rsid w:val="006B5B1F"/>
    <w:rsid w:val="006B5C1C"/>
    <w:rsid w:val="006B5D11"/>
    <w:rsid w:val="006B5D78"/>
    <w:rsid w:val="006B5E52"/>
    <w:rsid w:val="006B625E"/>
    <w:rsid w:val="006B6589"/>
    <w:rsid w:val="006B6E1D"/>
    <w:rsid w:val="006C0466"/>
    <w:rsid w:val="006C0898"/>
    <w:rsid w:val="006C0B4D"/>
    <w:rsid w:val="006C0C2B"/>
    <w:rsid w:val="006C1264"/>
    <w:rsid w:val="006C174A"/>
    <w:rsid w:val="006C1A37"/>
    <w:rsid w:val="006C1CD1"/>
    <w:rsid w:val="006C2021"/>
    <w:rsid w:val="006C21F1"/>
    <w:rsid w:val="006C22A8"/>
    <w:rsid w:val="006C2673"/>
    <w:rsid w:val="006C295B"/>
    <w:rsid w:val="006C342F"/>
    <w:rsid w:val="006C349C"/>
    <w:rsid w:val="006C37E7"/>
    <w:rsid w:val="006C385A"/>
    <w:rsid w:val="006C385D"/>
    <w:rsid w:val="006C3C1A"/>
    <w:rsid w:val="006C42F1"/>
    <w:rsid w:val="006C4B45"/>
    <w:rsid w:val="006C4FF1"/>
    <w:rsid w:val="006C5196"/>
    <w:rsid w:val="006C586D"/>
    <w:rsid w:val="006C5B46"/>
    <w:rsid w:val="006C5F44"/>
    <w:rsid w:val="006C63A6"/>
    <w:rsid w:val="006C644B"/>
    <w:rsid w:val="006C6682"/>
    <w:rsid w:val="006C6ADA"/>
    <w:rsid w:val="006C6D9C"/>
    <w:rsid w:val="006D0288"/>
    <w:rsid w:val="006D02EE"/>
    <w:rsid w:val="006D0434"/>
    <w:rsid w:val="006D0C48"/>
    <w:rsid w:val="006D13E4"/>
    <w:rsid w:val="006D180C"/>
    <w:rsid w:val="006D2068"/>
    <w:rsid w:val="006D2607"/>
    <w:rsid w:val="006D260C"/>
    <w:rsid w:val="006D292A"/>
    <w:rsid w:val="006D33E8"/>
    <w:rsid w:val="006D3ED7"/>
    <w:rsid w:val="006D4081"/>
    <w:rsid w:val="006D410D"/>
    <w:rsid w:val="006D44C9"/>
    <w:rsid w:val="006D4699"/>
    <w:rsid w:val="006D4979"/>
    <w:rsid w:val="006D4EC6"/>
    <w:rsid w:val="006D55BD"/>
    <w:rsid w:val="006D5B23"/>
    <w:rsid w:val="006D5E28"/>
    <w:rsid w:val="006D5FF1"/>
    <w:rsid w:val="006D646B"/>
    <w:rsid w:val="006D6509"/>
    <w:rsid w:val="006D6CC0"/>
    <w:rsid w:val="006D7484"/>
    <w:rsid w:val="006D76E4"/>
    <w:rsid w:val="006D7DC3"/>
    <w:rsid w:val="006E023D"/>
    <w:rsid w:val="006E0C5F"/>
    <w:rsid w:val="006E0C7E"/>
    <w:rsid w:val="006E1B1A"/>
    <w:rsid w:val="006E2A6E"/>
    <w:rsid w:val="006E2AAA"/>
    <w:rsid w:val="006E30D3"/>
    <w:rsid w:val="006E33BC"/>
    <w:rsid w:val="006E408B"/>
    <w:rsid w:val="006E40CE"/>
    <w:rsid w:val="006E416B"/>
    <w:rsid w:val="006E43A6"/>
    <w:rsid w:val="006E4A74"/>
    <w:rsid w:val="006E4DFB"/>
    <w:rsid w:val="006E4FEF"/>
    <w:rsid w:val="006E56CF"/>
    <w:rsid w:val="006E635E"/>
    <w:rsid w:val="006E727E"/>
    <w:rsid w:val="006E72A1"/>
    <w:rsid w:val="006E786C"/>
    <w:rsid w:val="006E7CC6"/>
    <w:rsid w:val="006E7ECF"/>
    <w:rsid w:val="006F0460"/>
    <w:rsid w:val="006F0903"/>
    <w:rsid w:val="006F0AEF"/>
    <w:rsid w:val="006F0B2C"/>
    <w:rsid w:val="006F0D0C"/>
    <w:rsid w:val="006F1DAF"/>
    <w:rsid w:val="006F2721"/>
    <w:rsid w:val="006F2EEF"/>
    <w:rsid w:val="006F3500"/>
    <w:rsid w:val="006F3989"/>
    <w:rsid w:val="006F3A6D"/>
    <w:rsid w:val="006F5035"/>
    <w:rsid w:val="006F5298"/>
    <w:rsid w:val="006F550C"/>
    <w:rsid w:val="006F622F"/>
    <w:rsid w:val="006F62D3"/>
    <w:rsid w:val="006F6742"/>
    <w:rsid w:val="006F679B"/>
    <w:rsid w:val="006F6B74"/>
    <w:rsid w:val="006F7DE8"/>
    <w:rsid w:val="00700376"/>
    <w:rsid w:val="0070071D"/>
    <w:rsid w:val="007008C5"/>
    <w:rsid w:val="00700BD7"/>
    <w:rsid w:val="0070156B"/>
    <w:rsid w:val="00701CCF"/>
    <w:rsid w:val="00701DE8"/>
    <w:rsid w:val="00702BBB"/>
    <w:rsid w:val="007036BE"/>
    <w:rsid w:val="00703EDB"/>
    <w:rsid w:val="007040E5"/>
    <w:rsid w:val="00704160"/>
    <w:rsid w:val="00704277"/>
    <w:rsid w:val="0070505E"/>
    <w:rsid w:val="00705CD9"/>
    <w:rsid w:val="0070648F"/>
    <w:rsid w:val="00706B27"/>
    <w:rsid w:val="00706B62"/>
    <w:rsid w:val="00707BC9"/>
    <w:rsid w:val="00707DC6"/>
    <w:rsid w:val="00707E2C"/>
    <w:rsid w:val="007107AA"/>
    <w:rsid w:val="00710856"/>
    <w:rsid w:val="00710A2C"/>
    <w:rsid w:val="00710F09"/>
    <w:rsid w:val="00711014"/>
    <w:rsid w:val="00711898"/>
    <w:rsid w:val="007118A2"/>
    <w:rsid w:val="00711B06"/>
    <w:rsid w:val="00711CBC"/>
    <w:rsid w:val="007120FE"/>
    <w:rsid w:val="00712607"/>
    <w:rsid w:val="00712B77"/>
    <w:rsid w:val="00712C5B"/>
    <w:rsid w:val="007134AC"/>
    <w:rsid w:val="00713D43"/>
    <w:rsid w:val="0071443B"/>
    <w:rsid w:val="007149D1"/>
    <w:rsid w:val="00714D0E"/>
    <w:rsid w:val="00715D87"/>
    <w:rsid w:val="00716219"/>
    <w:rsid w:val="00716433"/>
    <w:rsid w:val="0071710B"/>
    <w:rsid w:val="007172B5"/>
    <w:rsid w:val="00717361"/>
    <w:rsid w:val="00720943"/>
    <w:rsid w:val="00720B6D"/>
    <w:rsid w:val="00720FD1"/>
    <w:rsid w:val="0072132F"/>
    <w:rsid w:val="007214E4"/>
    <w:rsid w:val="007216BB"/>
    <w:rsid w:val="0072231F"/>
    <w:rsid w:val="00722E86"/>
    <w:rsid w:val="007232C8"/>
    <w:rsid w:val="007232CA"/>
    <w:rsid w:val="0072358C"/>
    <w:rsid w:val="0072378A"/>
    <w:rsid w:val="00723998"/>
    <w:rsid w:val="007239EF"/>
    <w:rsid w:val="007239FD"/>
    <w:rsid w:val="00723CE0"/>
    <w:rsid w:val="0072411F"/>
    <w:rsid w:val="0072484F"/>
    <w:rsid w:val="00724C50"/>
    <w:rsid w:val="007251EA"/>
    <w:rsid w:val="00725201"/>
    <w:rsid w:val="00725B47"/>
    <w:rsid w:val="00725E0C"/>
    <w:rsid w:val="007260EE"/>
    <w:rsid w:val="00726406"/>
    <w:rsid w:val="00726496"/>
    <w:rsid w:val="00726751"/>
    <w:rsid w:val="00727381"/>
    <w:rsid w:val="00727A4E"/>
    <w:rsid w:val="00727E38"/>
    <w:rsid w:val="007307C1"/>
    <w:rsid w:val="00730B44"/>
    <w:rsid w:val="00730D13"/>
    <w:rsid w:val="0073241C"/>
    <w:rsid w:val="0073259B"/>
    <w:rsid w:val="00732914"/>
    <w:rsid w:val="00733744"/>
    <w:rsid w:val="007338B3"/>
    <w:rsid w:val="007338F1"/>
    <w:rsid w:val="00733E6D"/>
    <w:rsid w:val="00734255"/>
    <w:rsid w:val="00734573"/>
    <w:rsid w:val="0073568E"/>
    <w:rsid w:val="00735731"/>
    <w:rsid w:val="007363F4"/>
    <w:rsid w:val="007366D7"/>
    <w:rsid w:val="007375E0"/>
    <w:rsid w:val="0074008A"/>
    <w:rsid w:val="00740170"/>
    <w:rsid w:val="00740515"/>
    <w:rsid w:val="00740AB2"/>
    <w:rsid w:val="00741467"/>
    <w:rsid w:val="007417DD"/>
    <w:rsid w:val="0074193C"/>
    <w:rsid w:val="00741C9B"/>
    <w:rsid w:val="00741DCE"/>
    <w:rsid w:val="007423EA"/>
    <w:rsid w:val="00742C85"/>
    <w:rsid w:val="0074379F"/>
    <w:rsid w:val="00743933"/>
    <w:rsid w:val="00744402"/>
    <w:rsid w:val="00744490"/>
    <w:rsid w:val="00744562"/>
    <w:rsid w:val="0074500A"/>
    <w:rsid w:val="0074553C"/>
    <w:rsid w:val="00745756"/>
    <w:rsid w:val="0074694E"/>
    <w:rsid w:val="00746F69"/>
    <w:rsid w:val="0074727A"/>
    <w:rsid w:val="007503C5"/>
    <w:rsid w:val="00750590"/>
    <w:rsid w:val="00751152"/>
    <w:rsid w:val="00751227"/>
    <w:rsid w:val="00751811"/>
    <w:rsid w:val="0075186B"/>
    <w:rsid w:val="007518CE"/>
    <w:rsid w:val="00751A10"/>
    <w:rsid w:val="00752555"/>
    <w:rsid w:val="00753872"/>
    <w:rsid w:val="007539DE"/>
    <w:rsid w:val="00754039"/>
    <w:rsid w:val="0075439A"/>
    <w:rsid w:val="00755258"/>
    <w:rsid w:val="00755C99"/>
    <w:rsid w:val="00755E80"/>
    <w:rsid w:val="007565C9"/>
    <w:rsid w:val="007565ED"/>
    <w:rsid w:val="00756677"/>
    <w:rsid w:val="007574AB"/>
    <w:rsid w:val="0075792A"/>
    <w:rsid w:val="00757A5A"/>
    <w:rsid w:val="00757A6D"/>
    <w:rsid w:val="00757ADA"/>
    <w:rsid w:val="00757FBA"/>
    <w:rsid w:val="00760612"/>
    <w:rsid w:val="007614CB"/>
    <w:rsid w:val="00761564"/>
    <w:rsid w:val="00761605"/>
    <w:rsid w:val="007616FA"/>
    <w:rsid w:val="00761945"/>
    <w:rsid w:val="00761EBD"/>
    <w:rsid w:val="00762445"/>
    <w:rsid w:val="00763998"/>
    <w:rsid w:val="00763EB7"/>
    <w:rsid w:val="007645D7"/>
    <w:rsid w:val="00764810"/>
    <w:rsid w:val="00765022"/>
    <w:rsid w:val="00765297"/>
    <w:rsid w:val="00765CBB"/>
    <w:rsid w:val="00766672"/>
    <w:rsid w:val="00766A09"/>
    <w:rsid w:val="00766BF0"/>
    <w:rsid w:val="0076716E"/>
    <w:rsid w:val="00767531"/>
    <w:rsid w:val="007676D9"/>
    <w:rsid w:val="00767E9A"/>
    <w:rsid w:val="007703B1"/>
    <w:rsid w:val="0077075E"/>
    <w:rsid w:val="00770848"/>
    <w:rsid w:val="007710EE"/>
    <w:rsid w:val="00771802"/>
    <w:rsid w:val="007726B6"/>
    <w:rsid w:val="00772BF2"/>
    <w:rsid w:val="00773890"/>
    <w:rsid w:val="0077398E"/>
    <w:rsid w:val="00773A59"/>
    <w:rsid w:val="00773DE7"/>
    <w:rsid w:val="0077457E"/>
    <w:rsid w:val="00774CD2"/>
    <w:rsid w:val="00775617"/>
    <w:rsid w:val="00775BA3"/>
    <w:rsid w:val="00776260"/>
    <w:rsid w:val="00776313"/>
    <w:rsid w:val="00776A8A"/>
    <w:rsid w:val="00776DC2"/>
    <w:rsid w:val="00777262"/>
    <w:rsid w:val="00777342"/>
    <w:rsid w:val="00777CD8"/>
    <w:rsid w:val="00777D71"/>
    <w:rsid w:val="00780C45"/>
    <w:rsid w:val="00780EE4"/>
    <w:rsid w:val="0078111F"/>
    <w:rsid w:val="00781236"/>
    <w:rsid w:val="0078199F"/>
    <w:rsid w:val="00781DFE"/>
    <w:rsid w:val="00782223"/>
    <w:rsid w:val="007827AE"/>
    <w:rsid w:val="00782CE5"/>
    <w:rsid w:val="00783468"/>
    <w:rsid w:val="007835D3"/>
    <w:rsid w:val="0078396B"/>
    <w:rsid w:val="00783CE8"/>
    <w:rsid w:val="00783D4F"/>
    <w:rsid w:val="007842E7"/>
    <w:rsid w:val="00784527"/>
    <w:rsid w:val="00784A50"/>
    <w:rsid w:val="00784C7F"/>
    <w:rsid w:val="00785ABE"/>
    <w:rsid w:val="00786430"/>
    <w:rsid w:val="007864A0"/>
    <w:rsid w:val="00786A1D"/>
    <w:rsid w:val="00786B96"/>
    <w:rsid w:val="00786BDB"/>
    <w:rsid w:val="00786D8F"/>
    <w:rsid w:val="00787265"/>
    <w:rsid w:val="007877D7"/>
    <w:rsid w:val="00787842"/>
    <w:rsid w:val="00787A08"/>
    <w:rsid w:val="00790037"/>
    <w:rsid w:val="00790065"/>
    <w:rsid w:val="007906E8"/>
    <w:rsid w:val="00790BEE"/>
    <w:rsid w:val="00791727"/>
    <w:rsid w:val="00791777"/>
    <w:rsid w:val="0079185C"/>
    <w:rsid w:val="0079214F"/>
    <w:rsid w:val="00792504"/>
    <w:rsid w:val="007926F3"/>
    <w:rsid w:val="007929CC"/>
    <w:rsid w:val="00792A4A"/>
    <w:rsid w:val="007936A3"/>
    <w:rsid w:val="0079370E"/>
    <w:rsid w:val="007937D1"/>
    <w:rsid w:val="00793BA7"/>
    <w:rsid w:val="00793BEC"/>
    <w:rsid w:val="00793C96"/>
    <w:rsid w:val="00793E05"/>
    <w:rsid w:val="00794142"/>
    <w:rsid w:val="0079492D"/>
    <w:rsid w:val="00795185"/>
    <w:rsid w:val="0079533D"/>
    <w:rsid w:val="00795583"/>
    <w:rsid w:val="007955ED"/>
    <w:rsid w:val="00795A6E"/>
    <w:rsid w:val="00795D12"/>
    <w:rsid w:val="00795FD0"/>
    <w:rsid w:val="00796461"/>
    <w:rsid w:val="00797B09"/>
    <w:rsid w:val="007A087D"/>
    <w:rsid w:val="007A0AF2"/>
    <w:rsid w:val="007A0BDA"/>
    <w:rsid w:val="007A0C0A"/>
    <w:rsid w:val="007A0CC1"/>
    <w:rsid w:val="007A1B88"/>
    <w:rsid w:val="007A279B"/>
    <w:rsid w:val="007A304B"/>
    <w:rsid w:val="007A3344"/>
    <w:rsid w:val="007A33F7"/>
    <w:rsid w:val="007A4071"/>
    <w:rsid w:val="007A42D8"/>
    <w:rsid w:val="007A4E21"/>
    <w:rsid w:val="007A540C"/>
    <w:rsid w:val="007A554B"/>
    <w:rsid w:val="007A5967"/>
    <w:rsid w:val="007A5AFA"/>
    <w:rsid w:val="007A6474"/>
    <w:rsid w:val="007A67DB"/>
    <w:rsid w:val="007A6833"/>
    <w:rsid w:val="007A7D31"/>
    <w:rsid w:val="007A7FD1"/>
    <w:rsid w:val="007B02EE"/>
    <w:rsid w:val="007B07BD"/>
    <w:rsid w:val="007B09F8"/>
    <w:rsid w:val="007B0BCB"/>
    <w:rsid w:val="007B1004"/>
    <w:rsid w:val="007B1C6C"/>
    <w:rsid w:val="007B2019"/>
    <w:rsid w:val="007B2031"/>
    <w:rsid w:val="007B204E"/>
    <w:rsid w:val="007B2137"/>
    <w:rsid w:val="007B2773"/>
    <w:rsid w:val="007B3ED6"/>
    <w:rsid w:val="007B40EC"/>
    <w:rsid w:val="007B4BC9"/>
    <w:rsid w:val="007B59F1"/>
    <w:rsid w:val="007B5ECA"/>
    <w:rsid w:val="007B6DA2"/>
    <w:rsid w:val="007B70EA"/>
    <w:rsid w:val="007B723E"/>
    <w:rsid w:val="007B7360"/>
    <w:rsid w:val="007B7456"/>
    <w:rsid w:val="007B7510"/>
    <w:rsid w:val="007B75E2"/>
    <w:rsid w:val="007B7BFC"/>
    <w:rsid w:val="007B7CF1"/>
    <w:rsid w:val="007C07FB"/>
    <w:rsid w:val="007C0A7E"/>
    <w:rsid w:val="007C1070"/>
    <w:rsid w:val="007C1755"/>
    <w:rsid w:val="007C17B1"/>
    <w:rsid w:val="007C1A37"/>
    <w:rsid w:val="007C1F3B"/>
    <w:rsid w:val="007C2306"/>
    <w:rsid w:val="007C24D7"/>
    <w:rsid w:val="007C26D7"/>
    <w:rsid w:val="007C2778"/>
    <w:rsid w:val="007C28D2"/>
    <w:rsid w:val="007C2934"/>
    <w:rsid w:val="007C2D50"/>
    <w:rsid w:val="007C3C31"/>
    <w:rsid w:val="007C4223"/>
    <w:rsid w:val="007C4274"/>
    <w:rsid w:val="007C4A06"/>
    <w:rsid w:val="007C4B85"/>
    <w:rsid w:val="007C4D24"/>
    <w:rsid w:val="007C4FF0"/>
    <w:rsid w:val="007C5697"/>
    <w:rsid w:val="007C5C51"/>
    <w:rsid w:val="007C624B"/>
    <w:rsid w:val="007C6B24"/>
    <w:rsid w:val="007C6FAD"/>
    <w:rsid w:val="007C76AA"/>
    <w:rsid w:val="007C7B10"/>
    <w:rsid w:val="007C7BD3"/>
    <w:rsid w:val="007C7E43"/>
    <w:rsid w:val="007D04D8"/>
    <w:rsid w:val="007D0C7E"/>
    <w:rsid w:val="007D10C0"/>
    <w:rsid w:val="007D1529"/>
    <w:rsid w:val="007D158A"/>
    <w:rsid w:val="007D16DD"/>
    <w:rsid w:val="007D1F11"/>
    <w:rsid w:val="007D2D0F"/>
    <w:rsid w:val="007D2D3D"/>
    <w:rsid w:val="007D319B"/>
    <w:rsid w:val="007D3669"/>
    <w:rsid w:val="007D36EE"/>
    <w:rsid w:val="007D3BC4"/>
    <w:rsid w:val="007D4125"/>
    <w:rsid w:val="007D41EC"/>
    <w:rsid w:val="007D4B09"/>
    <w:rsid w:val="007D5B32"/>
    <w:rsid w:val="007D5EFD"/>
    <w:rsid w:val="007D62B7"/>
    <w:rsid w:val="007D6E73"/>
    <w:rsid w:val="007D712E"/>
    <w:rsid w:val="007D726F"/>
    <w:rsid w:val="007D7BE8"/>
    <w:rsid w:val="007D7CC0"/>
    <w:rsid w:val="007E00B2"/>
    <w:rsid w:val="007E194E"/>
    <w:rsid w:val="007E1D68"/>
    <w:rsid w:val="007E2213"/>
    <w:rsid w:val="007E2895"/>
    <w:rsid w:val="007E28B5"/>
    <w:rsid w:val="007E2A37"/>
    <w:rsid w:val="007E2C11"/>
    <w:rsid w:val="007E3078"/>
    <w:rsid w:val="007E36DE"/>
    <w:rsid w:val="007E3745"/>
    <w:rsid w:val="007E3CF3"/>
    <w:rsid w:val="007E430C"/>
    <w:rsid w:val="007E43E2"/>
    <w:rsid w:val="007E459D"/>
    <w:rsid w:val="007E481A"/>
    <w:rsid w:val="007E48BC"/>
    <w:rsid w:val="007E4B52"/>
    <w:rsid w:val="007E4F63"/>
    <w:rsid w:val="007E565A"/>
    <w:rsid w:val="007E638D"/>
    <w:rsid w:val="007E63AF"/>
    <w:rsid w:val="007E63E3"/>
    <w:rsid w:val="007E64A1"/>
    <w:rsid w:val="007E64D0"/>
    <w:rsid w:val="007E659A"/>
    <w:rsid w:val="007E6947"/>
    <w:rsid w:val="007E6CAB"/>
    <w:rsid w:val="007E6CD6"/>
    <w:rsid w:val="007E7113"/>
    <w:rsid w:val="007E7649"/>
    <w:rsid w:val="007E7799"/>
    <w:rsid w:val="007E7FEC"/>
    <w:rsid w:val="007F00D5"/>
    <w:rsid w:val="007F00E4"/>
    <w:rsid w:val="007F0935"/>
    <w:rsid w:val="007F0AE9"/>
    <w:rsid w:val="007F1278"/>
    <w:rsid w:val="007F1663"/>
    <w:rsid w:val="007F16FB"/>
    <w:rsid w:val="007F17DC"/>
    <w:rsid w:val="007F197A"/>
    <w:rsid w:val="007F1E6B"/>
    <w:rsid w:val="007F24EE"/>
    <w:rsid w:val="007F293C"/>
    <w:rsid w:val="007F29BC"/>
    <w:rsid w:val="007F2B06"/>
    <w:rsid w:val="007F33C1"/>
    <w:rsid w:val="007F34B2"/>
    <w:rsid w:val="007F3B0D"/>
    <w:rsid w:val="007F3DA2"/>
    <w:rsid w:val="007F4CE1"/>
    <w:rsid w:val="007F5015"/>
    <w:rsid w:val="007F50D4"/>
    <w:rsid w:val="007F52C7"/>
    <w:rsid w:val="007F5464"/>
    <w:rsid w:val="007F5541"/>
    <w:rsid w:val="007F5674"/>
    <w:rsid w:val="007F5752"/>
    <w:rsid w:val="007F58F9"/>
    <w:rsid w:val="007F5E9F"/>
    <w:rsid w:val="007F69C6"/>
    <w:rsid w:val="007F7482"/>
    <w:rsid w:val="007F7C38"/>
    <w:rsid w:val="00800597"/>
    <w:rsid w:val="0080098F"/>
    <w:rsid w:val="00800CEA"/>
    <w:rsid w:val="00800F71"/>
    <w:rsid w:val="00801429"/>
    <w:rsid w:val="00801541"/>
    <w:rsid w:val="00801A09"/>
    <w:rsid w:val="00802438"/>
    <w:rsid w:val="0080257E"/>
    <w:rsid w:val="0080318B"/>
    <w:rsid w:val="00803B0A"/>
    <w:rsid w:val="00803DF1"/>
    <w:rsid w:val="008041E5"/>
    <w:rsid w:val="0080461E"/>
    <w:rsid w:val="0080461F"/>
    <w:rsid w:val="008049A5"/>
    <w:rsid w:val="008053B3"/>
    <w:rsid w:val="00805742"/>
    <w:rsid w:val="00805AA4"/>
    <w:rsid w:val="00805E47"/>
    <w:rsid w:val="008062CD"/>
    <w:rsid w:val="00806341"/>
    <w:rsid w:val="00806717"/>
    <w:rsid w:val="00807250"/>
    <w:rsid w:val="008075D4"/>
    <w:rsid w:val="00810272"/>
    <w:rsid w:val="00811B47"/>
    <w:rsid w:val="00812065"/>
    <w:rsid w:val="00812495"/>
    <w:rsid w:val="00812954"/>
    <w:rsid w:val="00812BE5"/>
    <w:rsid w:val="00812C2A"/>
    <w:rsid w:val="00812C7E"/>
    <w:rsid w:val="00812D2B"/>
    <w:rsid w:val="0081392C"/>
    <w:rsid w:val="00814219"/>
    <w:rsid w:val="00814860"/>
    <w:rsid w:val="00815067"/>
    <w:rsid w:val="00815886"/>
    <w:rsid w:val="00815917"/>
    <w:rsid w:val="00815BD1"/>
    <w:rsid w:val="008169D5"/>
    <w:rsid w:val="00816D4C"/>
    <w:rsid w:val="00820324"/>
    <w:rsid w:val="008207AE"/>
    <w:rsid w:val="008208A8"/>
    <w:rsid w:val="00820A0F"/>
    <w:rsid w:val="00820AC9"/>
    <w:rsid w:val="00820AF8"/>
    <w:rsid w:val="00820FF2"/>
    <w:rsid w:val="008226EF"/>
    <w:rsid w:val="00822CC2"/>
    <w:rsid w:val="008232A0"/>
    <w:rsid w:val="008234B2"/>
    <w:rsid w:val="0082361A"/>
    <w:rsid w:val="0082458F"/>
    <w:rsid w:val="00825045"/>
    <w:rsid w:val="0082560A"/>
    <w:rsid w:val="00825B7D"/>
    <w:rsid w:val="008265AD"/>
    <w:rsid w:val="0082689C"/>
    <w:rsid w:val="00826956"/>
    <w:rsid w:val="00826CAA"/>
    <w:rsid w:val="00826D6A"/>
    <w:rsid w:val="00826D77"/>
    <w:rsid w:val="00827C25"/>
    <w:rsid w:val="00827FE1"/>
    <w:rsid w:val="00830124"/>
    <w:rsid w:val="00830BBC"/>
    <w:rsid w:val="0083162A"/>
    <w:rsid w:val="00833629"/>
    <w:rsid w:val="00833AC2"/>
    <w:rsid w:val="008341D6"/>
    <w:rsid w:val="00834459"/>
    <w:rsid w:val="00834589"/>
    <w:rsid w:val="00834BC2"/>
    <w:rsid w:val="008358E3"/>
    <w:rsid w:val="00836147"/>
    <w:rsid w:val="00836F43"/>
    <w:rsid w:val="008372E7"/>
    <w:rsid w:val="00840744"/>
    <w:rsid w:val="008407BF"/>
    <w:rsid w:val="00840CF3"/>
    <w:rsid w:val="00840E8C"/>
    <w:rsid w:val="00841769"/>
    <w:rsid w:val="00841883"/>
    <w:rsid w:val="00841B53"/>
    <w:rsid w:val="00841F13"/>
    <w:rsid w:val="00842BEF"/>
    <w:rsid w:val="00842EDA"/>
    <w:rsid w:val="00842F0F"/>
    <w:rsid w:val="00843BB8"/>
    <w:rsid w:val="00843F82"/>
    <w:rsid w:val="008447EF"/>
    <w:rsid w:val="00844DA4"/>
    <w:rsid w:val="00844F1E"/>
    <w:rsid w:val="00845102"/>
    <w:rsid w:val="00845F49"/>
    <w:rsid w:val="008477DB"/>
    <w:rsid w:val="0085053A"/>
    <w:rsid w:val="008507EC"/>
    <w:rsid w:val="00850A8C"/>
    <w:rsid w:val="00850F16"/>
    <w:rsid w:val="0085108B"/>
    <w:rsid w:val="008511B2"/>
    <w:rsid w:val="008511E5"/>
    <w:rsid w:val="008516CF"/>
    <w:rsid w:val="00852CB3"/>
    <w:rsid w:val="00852D48"/>
    <w:rsid w:val="0085330E"/>
    <w:rsid w:val="0085473D"/>
    <w:rsid w:val="0085491F"/>
    <w:rsid w:val="00854B3C"/>
    <w:rsid w:val="00855119"/>
    <w:rsid w:val="008552BB"/>
    <w:rsid w:val="008565D3"/>
    <w:rsid w:val="00856A1B"/>
    <w:rsid w:val="00856CF5"/>
    <w:rsid w:val="008571D6"/>
    <w:rsid w:val="008577E4"/>
    <w:rsid w:val="00860126"/>
    <w:rsid w:val="00860680"/>
    <w:rsid w:val="00860936"/>
    <w:rsid w:val="00860C2D"/>
    <w:rsid w:val="00860E80"/>
    <w:rsid w:val="008610B1"/>
    <w:rsid w:val="008611DF"/>
    <w:rsid w:val="00861A1F"/>
    <w:rsid w:val="00861B17"/>
    <w:rsid w:val="00862182"/>
    <w:rsid w:val="008624B8"/>
    <w:rsid w:val="00862A62"/>
    <w:rsid w:val="00862E8C"/>
    <w:rsid w:val="0086393B"/>
    <w:rsid w:val="00863C18"/>
    <w:rsid w:val="00863D1E"/>
    <w:rsid w:val="00864247"/>
    <w:rsid w:val="008643A8"/>
    <w:rsid w:val="008648EF"/>
    <w:rsid w:val="00864B29"/>
    <w:rsid w:val="00864E9F"/>
    <w:rsid w:val="008655C0"/>
    <w:rsid w:val="00865B50"/>
    <w:rsid w:val="008660DA"/>
    <w:rsid w:val="008704F8"/>
    <w:rsid w:val="00870608"/>
    <w:rsid w:val="00870E73"/>
    <w:rsid w:val="008712C5"/>
    <w:rsid w:val="008713C9"/>
    <w:rsid w:val="0087140E"/>
    <w:rsid w:val="0087150B"/>
    <w:rsid w:val="008715CE"/>
    <w:rsid w:val="00871CEB"/>
    <w:rsid w:val="00871F54"/>
    <w:rsid w:val="00872346"/>
    <w:rsid w:val="00873B10"/>
    <w:rsid w:val="00873D05"/>
    <w:rsid w:val="0087430E"/>
    <w:rsid w:val="00874BD6"/>
    <w:rsid w:val="00874CC8"/>
    <w:rsid w:val="0087540C"/>
    <w:rsid w:val="00875C83"/>
    <w:rsid w:val="00876427"/>
    <w:rsid w:val="00876DA9"/>
    <w:rsid w:val="00876FC8"/>
    <w:rsid w:val="0087712D"/>
    <w:rsid w:val="008772A7"/>
    <w:rsid w:val="008775FE"/>
    <w:rsid w:val="00880028"/>
    <w:rsid w:val="008801CD"/>
    <w:rsid w:val="0088076F"/>
    <w:rsid w:val="00880936"/>
    <w:rsid w:val="00880979"/>
    <w:rsid w:val="008821BE"/>
    <w:rsid w:val="008821F3"/>
    <w:rsid w:val="008823DD"/>
    <w:rsid w:val="00882812"/>
    <w:rsid w:val="00882B61"/>
    <w:rsid w:val="008831C7"/>
    <w:rsid w:val="008844C0"/>
    <w:rsid w:val="00884B65"/>
    <w:rsid w:val="00884F7E"/>
    <w:rsid w:val="008852E9"/>
    <w:rsid w:val="0088571B"/>
    <w:rsid w:val="00885A25"/>
    <w:rsid w:val="00886546"/>
    <w:rsid w:val="00886C2C"/>
    <w:rsid w:val="00886CA6"/>
    <w:rsid w:val="00886FA7"/>
    <w:rsid w:val="00887519"/>
    <w:rsid w:val="00890510"/>
    <w:rsid w:val="00890743"/>
    <w:rsid w:val="00891586"/>
    <w:rsid w:val="00891C3D"/>
    <w:rsid w:val="00892995"/>
    <w:rsid w:val="00892C00"/>
    <w:rsid w:val="00892CD6"/>
    <w:rsid w:val="0089360F"/>
    <w:rsid w:val="00894372"/>
    <w:rsid w:val="008946B4"/>
    <w:rsid w:val="00894AB1"/>
    <w:rsid w:val="008950D0"/>
    <w:rsid w:val="00895370"/>
    <w:rsid w:val="00895E44"/>
    <w:rsid w:val="00896257"/>
    <w:rsid w:val="0089661A"/>
    <w:rsid w:val="008967B9"/>
    <w:rsid w:val="00896A88"/>
    <w:rsid w:val="00897415"/>
    <w:rsid w:val="008A0481"/>
    <w:rsid w:val="008A05CD"/>
    <w:rsid w:val="008A0769"/>
    <w:rsid w:val="008A0889"/>
    <w:rsid w:val="008A0B2F"/>
    <w:rsid w:val="008A0D3B"/>
    <w:rsid w:val="008A0D83"/>
    <w:rsid w:val="008A0E4D"/>
    <w:rsid w:val="008A102A"/>
    <w:rsid w:val="008A23C3"/>
    <w:rsid w:val="008A2B84"/>
    <w:rsid w:val="008A2CD0"/>
    <w:rsid w:val="008A398E"/>
    <w:rsid w:val="008A39EF"/>
    <w:rsid w:val="008A41C5"/>
    <w:rsid w:val="008A5165"/>
    <w:rsid w:val="008A575D"/>
    <w:rsid w:val="008A5904"/>
    <w:rsid w:val="008A5BE2"/>
    <w:rsid w:val="008A6017"/>
    <w:rsid w:val="008A694F"/>
    <w:rsid w:val="008A6AFA"/>
    <w:rsid w:val="008A6E42"/>
    <w:rsid w:val="008A6F3F"/>
    <w:rsid w:val="008A6F47"/>
    <w:rsid w:val="008B00FB"/>
    <w:rsid w:val="008B0179"/>
    <w:rsid w:val="008B04C8"/>
    <w:rsid w:val="008B09F7"/>
    <w:rsid w:val="008B0D37"/>
    <w:rsid w:val="008B13F2"/>
    <w:rsid w:val="008B1714"/>
    <w:rsid w:val="008B1A78"/>
    <w:rsid w:val="008B2431"/>
    <w:rsid w:val="008B25C6"/>
    <w:rsid w:val="008B2B4B"/>
    <w:rsid w:val="008B2C34"/>
    <w:rsid w:val="008B2CC7"/>
    <w:rsid w:val="008B31C4"/>
    <w:rsid w:val="008B33BE"/>
    <w:rsid w:val="008B3F66"/>
    <w:rsid w:val="008B473C"/>
    <w:rsid w:val="008B4779"/>
    <w:rsid w:val="008B4943"/>
    <w:rsid w:val="008B4F8C"/>
    <w:rsid w:val="008B5063"/>
    <w:rsid w:val="008B548B"/>
    <w:rsid w:val="008B5AF0"/>
    <w:rsid w:val="008B5B9D"/>
    <w:rsid w:val="008B6534"/>
    <w:rsid w:val="008B65AE"/>
    <w:rsid w:val="008B6619"/>
    <w:rsid w:val="008B66B9"/>
    <w:rsid w:val="008B7431"/>
    <w:rsid w:val="008B7707"/>
    <w:rsid w:val="008C05FE"/>
    <w:rsid w:val="008C1C26"/>
    <w:rsid w:val="008C1CBE"/>
    <w:rsid w:val="008C2F68"/>
    <w:rsid w:val="008C2F6E"/>
    <w:rsid w:val="008C322C"/>
    <w:rsid w:val="008C352F"/>
    <w:rsid w:val="008C362B"/>
    <w:rsid w:val="008C3650"/>
    <w:rsid w:val="008C40F3"/>
    <w:rsid w:val="008C4439"/>
    <w:rsid w:val="008C4A60"/>
    <w:rsid w:val="008C4AFF"/>
    <w:rsid w:val="008C503A"/>
    <w:rsid w:val="008C6DAB"/>
    <w:rsid w:val="008C73E4"/>
    <w:rsid w:val="008C7B30"/>
    <w:rsid w:val="008C7B5B"/>
    <w:rsid w:val="008C7C80"/>
    <w:rsid w:val="008D04E1"/>
    <w:rsid w:val="008D0C9A"/>
    <w:rsid w:val="008D123C"/>
    <w:rsid w:val="008D12D2"/>
    <w:rsid w:val="008D2302"/>
    <w:rsid w:val="008D2B69"/>
    <w:rsid w:val="008D2EA2"/>
    <w:rsid w:val="008D315F"/>
    <w:rsid w:val="008D3638"/>
    <w:rsid w:val="008D3AAD"/>
    <w:rsid w:val="008D3C77"/>
    <w:rsid w:val="008D4190"/>
    <w:rsid w:val="008D456D"/>
    <w:rsid w:val="008D5D01"/>
    <w:rsid w:val="008D6848"/>
    <w:rsid w:val="008D7F28"/>
    <w:rsid w:val="008E0DC1"/>
    <w:rsid w:val="008E11FB"/>
    <w:rsid w:val="008E1301"/>
    <w:rsid w:val="008E182E"/>
    <w:rsid w:val="008E1AF7"/>
    <w:rsid w:val="008E1DF1"/>
    <w:rsid w:val="008E22ED"/>
    <w:rsid w:val="008E327D"/>
    <w:rsid w:val="008E3831"/>
    <w:rsid w:val="008E4404"/>
    <w:rsid w:val="008E4AAD"/>
    <w:rsid w:val="008E4EBB"/>
    <w:rsid w:val="008E516E"/>
    <w:rsid w:val="008E54C9"/>
    <w:rsid w:val="008E57F5"/>
    <w:rsid w:val="008E5C58"/>
    <w:rsid w:val="008E606C"/>
    <w:rsid w:val="008E6529"/>
    <w:rsid w:val="008E6BCB"/>
    <w:rsid w:val="008E6E74"/>
    <w:rsid w:val="008E7261"/>
    <w:rsid w:val="008E7CC2"/>
    <w:rsid w:val="008F0408"/>
    <w:rsid w:val="008F0772"/>
    <w:rsid w:val="008F0DEF"/>
    <w:rsid w:val="008F190A"/>
    <w:rsid w:val="008F1948"/>
    <w:rsid w:val="008F194F"/>
    <w:rsid w:val="008F23C8"/>
    <w:rsid w:val="008F26FC"/>
    <w:rsid w:val="008F281A"/>
    <w:rsid w:val="008F3C43"/>
    <w:rsid w:val="008F3CE2"/>
    <w:rsid w:val="008F3FDB"/>
    <w:rsid w:val="008F43B6"/>
    <w:rsid w:val="008F4664"/>
    <w:rsid w:val="008F494D"/>
    <w:rsid w:val="008F4C25"/>
    <w:rsid w:val="008F546F"/>
    <w:rsid w:val="008F5829"/>
    <w:rsid w:val="008F6F60"/>
    <w:rsid w:val="008F7916"/>
    <w:rsid w:val="008F7B35"/>
    <w:rsid w:val="008F7CD7"/>
    <w:rsid w:val="008F7EE5"/>
    <w:rsid w:val="008F7FF0"/>
    <w:rsid w:val="009002C0"/>
    <w:rsid w:val="00900476"/>
    <w:rsid w:val="00900AA9"/>
    <w:rsid w:val="0090102D"/>
    <w:rsid w:val="00901827"/>
    <w:rsid w:val="00901F5D"/>
    <w:rsid w:val="00902060"/>
    <w:rsid w:val="009020E6"/>
    <w:rsid w:val="009022BE"/>
    <w:rsid w:val="009026A3"/>
    <w:rsid w:val="009029E7"/>
    <w:rsid w:val="00902BE7"/>
    <w:rsid w:val="009034D1"/>
    <w:rsid w:val="0090390D"/>
    <w:rsid w:val="00903987"/>
    <w:rsid w:val="00905456"/>
    <w:rsid w:val="009059A5"/>
    <w:rsid w:val="00905B3C"/>
    <w:rsid w:val="00906CAB"/>
    <w:rsid w:val="009074E8"/>
    <w:rsid w:val="009076C7"/>
    <w:rsid w:val="00910010"/>
    <w:rsid w:val="009103F2"/>
    <w:rsid w:val="00911227"/>
    <w:rsid w:val="00911382"/>
    <w:rsid w:val="0091191B"/>
    <w:rsid w:val="009121FE"/>
    <w:rsid w:val="009122F8"/>
    <w:rsid w:val="009123E9"/>
    <w:rsid w:val="009130D5"/>
    <w:rsid w:val="00913400"/>
    <w:rsid w:val="00913622"/>
    <w:rsid w:val="009143A1"/>
    <w:rsid w:val="00914960"/>
    <w:rsid w:val="0091504D"/>
    <w:rsid w:val="00915255"/>
    <w:rsid w:val="00915291"/>
    <w:rsid w:val="009155F6"/>
    <w:rsid w:val="0091574D"/>
    <w:rsid w:val="00915921"/>
    <w:rsid w:val="00915E9C"/>
    <w:rsid w:val="00915F03"/>
    <w:rsid w:val="0091612A"/>
    <w:rsid w:val="00916B5D"/>
    <w:rsid w:val="00917954"/>
    <w:rsid w:val="00917D8E"/>
    <w:rsid w:val="00917F0D"/>
    <w:rsid w:val="00920188"/>
    <w:rsid w:val="00920550"/>
    <w:rsid w:val="009207DA"/>
    <w:rsid w:val="00920E6A"/>
    <w:rsid w:val="0092109D"/>
    <w:rsid w:val="00921303"/>
    <w:rsid w:val="0092141F"/>
    <w:rsid w:val="009217EE"/>
    <w:rsid w:val="00921E0C"/>
    <w:rsid w:val="00921E92"/>
    <w:rsid w:val="009228F9"/>
    <w:rsid w:val="00922925"/>
    <w:rsid w:val="00922D9A"/>
    <w:rsid w:val="00922ECD"/>
    <w:rsid w:val="009237CA"/>
    <w:rsid w:val="00924477"/>
    <w:rsid w:val="00924562"/>
    <w:rsid w:val="00924811"/>
    <w:rsid w:val="00924B05"/>
    <w:rsid w:val="00924BCA"/>
    <w:rsid w:val="00924F8E"/>
    <w:rsid w:val="009251D5"/>
    <w:rsid w:val="0092523B"/>
    <w:rsid w:val="00926229"/>
    <w:rsid w:val="00926D0A"/>
    <w:rsid w:val="00926DC8"/>
    <w:rsid w:val="009271BD"/>
    <w:rsid w:val="00927441"/>
    <w:rsid w:val="00927679"/>
    <w:rsid w:val="0092796E"/>
    <w:rsid w:val="00927C47"/>
    <w:rsid w:val="00927D55"/>
    <w:rsid w:val="00927E95"/>
    <w:rsid w:val="00930B95"/>
    <w:rsid w:val="009318E2"/>
    <w:rsid w:val="009319EC"/>
    <w:rsid w:val="009322AF"/>
    <w:rsid w:val="009329E7"/>
    <w:rsid w:val="00932BD4"/>
    <w:rsid w:val="00932CD0"/>
    <w:rsid w:val="00932E95"/>
    <w:rsid w:val="00932EF6"/>
    <w:rsid w:val="00932F8A"/>
    <w:rsid w:val="009330C6"/>
    <w:rsid w:val="00933852"/>
    <w:rsid w:val="009338CD"/>
    <w:rsid w:val="00934120"/>
    <w:rsid w:val="00934966"/>
    <w:rsid w:val="00934EDE"/>
    <w:rsid w:val="00934F4D"/>
    <w:rsid w:val="00935067"/>
    <w:rsid w:val="00935DBF"/>
    <w:rsid w:val="0093723D"/>
    <w:rsid w:val="009372B0"/>
    <w:rsid w:val="009378ED"/>
    <w:rsid w:val="009403C5"/>
    <w:rsid w:val="00940E83"/>
    <w:rsid w:val="00941090"/>
    <w:rsid w:val="009411FF"/>
    <w:rsid w:val="009412EC"/>
    <w:rsid w:val="00941387"/>
    <w:rsid w:val="009417E8"/>
    <w:rsid w:val="00941986"/>
    <w:rsid w:val="00941EB9"/>
    <w:rsid w:val="009427A5"/>
    <w:rsid w:val="00943335"/>
    <w:rsid w:val="00943B3E"/>
    <w:rsid w:val="00943EF3"/>
    <w:rsid w:val="00944192"/>
    <w:rsid w:val="00944E7B"/>
    <w:rsid w:val="009455C6"/>
    <w:rsid w:val="00945EA0"/>
    <w:rsid w:val="00946577"/>
    <w:rsid w:val="009466B7"/>
    <w:rsid w:val="00946F7B"/>
    <w:rsid w:val="009470B1"/>
    <w:rsid w:val="00950461"/>
    <w:rsid w:val="00950578"/>
    <w:rsid w:val="00950C39"/>
    <w:rsid w:val="0095110D"/>
    <w:rsid w:val="009515FD"/>
    <w:rsid w:val="00951E4B"/>
    <w:rsid w:val="00952091"/>
    <w:rsid w:val="00952AB6"/>
    <w:rsid w:val="009535DB"/>
    <w:rsid w:val="009536AA"/>
    <w:rsid w:val="009538B0"/>
    <w:rsid w:val="00954507"/>
    <w:rsid w:val="00954587"/>
    <w:rsid w:val="009554CF"/>
    <w:rsid w:val="009568F1"/>
    <w:rsid w:val="0095713E"/>
    <w:rsid w:val="0095787B"/>
    <w:rsid w:val="00957A91"/>
    <w:rsid w:val="00957B78"/>
    <w:rsid w:val="00957CCB"/>
    <w:rsid w:val="009612A7"/>
    <w:rsid w:val="0096139B"/>
    <w:rsid w:val="00961506"/>
    <w:rsid w:val="00961AFA"/>
    <w:rsid w:val="00962011"/>
    <w:rsid w:val="009628FE"/>
    <w:rsid w:val="00962A10"/>
    <w:rsid w:val="00962CC4"/>
    <w:rsid w:val="00962E14"/>
    <w:rsid w:val="00962E26"/>
    <w:rsid w:val="0096394D"/>
    <w:rsid w:val="00964E35"/>
    <w:rsid w:val="009652D1"/>
    <w:rsid w:val="00965447"/>
    <w:rsid w:val="009655C9"/>
    <w:rsid w:val="00965DB7"/>
    <w:rsid w:val="009667F1"/>
    <w:rsid w:val="009672E9"/>
    <w:rsid w:val="00970783"/>
    <w:rsid w:val="00970B71"/>
    <w:rsid w:val="00970CB9"/>
    <w:rsid w:val="00971305"/>
    <w:rsid w:val="009715D6"/>
    <w:rsid w:val="009716B3"/>
    <w:rsid w:val="00971A19"/>
    <w:rsid w:val="00971EE8"/>
    <w:rsid w:val="009724D7"/>
    <w:rsid w:val="0097266D"/>
    <w:rsid w:val="00972C4B"/>
    <w:rsid w:val="00972FB5"/>
    <w:rsid w:val="0097394F"/>
    <w:rsid w:val="009743F2"/>
    <w:rsid w:val="009749D5"/>
    <w:rsid w:val="00975250"/>
    <w:rsid w:val="009752E8"/>
    <w:rsid w:val="009755AE"/>
    <w:rsid w:val="00976542"/>
    <w:rsid w:val="0097688D"/>
    <w:rsid w:val="009770EE"/>
    <w:rsid w:val="00977123"/>
    <w:rsid w:val="009772D5"/>
    <w:rsid w:val="009773CF"/>
    <w:rsid w:val="009773D5"/>
    <w:rsid w:val="00977407"/>
    <w:rsid w:val="009776EA"/>
    <w:rsid w:val="009778CC"/>
    <w:rsid w:val="00977AA5"/>
    <w:rsid w:val="00980377"/>
    <w:rsid w:val="009804F8"/>
    <w:rsid w:val="00980AC7"/>
    <w:rsid w:val="00980B0D"/>
    <w:rsid w:val="00982067"/>
    <w:rsid w:val="009838A2"/>
    <w:rsid w:val="00983959"/>
    <w:rsid w:val="00983BD9"/>
    <w:rsid w:val="00983CB4"/>
    <w:rsid w:val="00983F38"/>
    <w:rsid w:val="00984A06"/>
    <w:rsid w:val="00984AA8"/>
    <w:rsid w:val="00984E01"/>
    <w:rsid w:val="0098537B"/>
    <w:rsid w:val="00985E1B"/>
    <w:rsid w:val="0098641A"/>
    <w:rsid w:val="00986864"/>
    <w:rsid w:val="009872A0"/>
    <w:rsid w:val="00987542"/>
    <w:rsid w:val="00987AC3"/>
    <w:rsid w:val="00987C95"/>
    <w:rsid w:val="00987E13"/>
    <w:rsid w:val="00990432"/>
    <w:rsid w:val="0099108F"/>
    <w:rsid w:val="00991321"/>
    <w:rsid w:val="00991404"/>
    <w:rsid w:val="00991A07"/>
    <w:rsid w:val="00991B26"/>
    <w:rsid w:val="00991CC0"/>
    <w:rsid w:val="0099204A"/>
    <w:rsid w:val="009924A6"/>
    <w:rsid w:val="009924CC"/>
    <w:rsid w:val="00992682"/>
    <w:rsid w:val="00992DA0"/>
    <w:rsid w:val="00992F3D"/>
    <w:rsid w:val="00993169"/>
    <w:rsid w:val="009932DD"/>
    <w:rsid w:val="009937EE"/>
    <w:rsid w:val="009941BC"/>
    <w:rsid w:val="0099478F"/>
    <w:rsid w:val="0099582E"/>
    <w:rsid w:val="00995B6C"/>
    <w:rsid w:val="00996193"/>
    <w:rsid w:val="00996DF0"/>
    <w:rsid w:val="00997464"/>
    <w:rsid w:val="00997893"/>
    <w:rsid w:val="00997AB0"/>
    <w:rsid w:val="00997B9A"/>
    <w:rsid w:val="00997E64"/>
    <w:rsid w:val="009A0080"/>
    <w:rsid w:val="009A0B2A"/>
    <w:rsid w:val="009A0C2C"/>
    <w:rsid w:val="009A0EC5"/>
    <w:rsid w:val="009A0FA1"/>
    <w:rsid w:val="009A111B"/>
    <w:rsid w:val="009A1395"/>
    <w:rsid w:val="009A14D3"/>
    <w:rsid w:val="009A168A"/>
    <w:rsid w:val="009A17F7"/>
    <w:rsid w:val="009A1C73"/>
    <w:rsid w:val="009A1E8B"/>
    <w:rsid w:val="009A23EC"/>
    <w:rsid w:val="009A2A5D"/>
    <w:rsid w:val="009A2C4B"/>
    <w:rsid w:val="009A3EA8"/>
    <w:rsid w:val="009A4470"/>
    <w:rsid w:val="009A4590"/>
    <w:rsid w:val="009A5296"/>
    <w:rsid w:val="009A57ED"/>
    <w:rsid w:val="009A5980"/>
    <w:rsid w:val="009A5B4F"/>
    <w:rsid w:val="009A63BC"/>
    <w:rsid w:val="009A67C2"/>
    <w:rsid w:val="009A6828"/>
    <w:rsid w:val="009A6937"/>
    <w:rsid w:val="009A745D"/>
    <w:rsid w:val="009A75E2"/>
    <w:rsid w:val="009A7818"/>
    <w:rsid w:val="009A7A41"/>
    <w:rsid w:val="009A7E00"/>
    <w:rsid w:val="009B0497"/>
    <w:rsid w:val="009B0867"/>
    <w:rsid w:val="009B0A76"/>
    <w:rsid w:val="009B0A8F"/>
    <w:rsid w:val="009B0D6E"/>
    <w:rsid w:val="009B1092"/>
    <w:rsid w:val="009B1853"/>
    <w:rsid w:val="009B2259"/>
    <w:rsid w:val="009B239E"/>
    <w:rsid w:val="009B2D03"/>
    <w:rsid w:val="009B2EEA"/>
    <w:rsid w:val="009B34AD"/>
    <w:rsid w:val="009B3A16"/>
    <w:rsid w:val="009B3C24"/>
    <w:rsid w:val="009B4307"/>
    <w:rsid w:val="009B4C3E"/>
    <w:rsid w:val="009B4D2C"/>
    <w:rsid w:val="009B4D38"/>
    <w:rsid w:val="009B5122"/>
    <w:rsid w:val="009B53BA"/>
    <w:rsid w:val="009B53D4"/>
    <w:rsid w:val="009B672A"/>
    <w:rsid w:val="009C0005"/>
    <w:rsid w:val="009C0234"/>
    <w:rsid w:val="009C1AC0"/>
    <w:rsid w:val="009C1E92"/>
    <w:rsid w:val="009C3043"/>
    <w:rsid w:val="009C3200"/>
    <w:rsid w:val="009C34B8"/>
    <w:rsid w:val="009C3717"/>
    <w:rsid w:val="009C3ABF"/>
    <w:rsid w:val="009C3BAE"/>
    <w:rsid w:val="009C3E0A"/>
    <w:rsid w:val="009C3FF2"/>
    <w:rsid w:val="009C4049"/>
    <w:rsid w:val="009C41BB"/>
    <w:rsid w:val="009C4369"/>
    <w:rsid w:val="009C4463"/>
    <w:rsid w:val="009C4D7B"/>
    <w:rsid w:val="009C51A2"/>
    <w:rsid w:val="009C58F3"/>
    <w:rsid w:val="009C5B13"/>
    <w:rsid w:val="009C61AC"/>
    <w:rsid w:val="009C6486"/>
    <w:rsid w:val="009C675C"/>
    <w:rsid w:val="009C702E"/>
    <w:rsid w:val="009C71BA"/>
    <w:rsid w:val="009C7617"/>
    <w:rsid w:val="009C7C32"/>
    <w:rsid w:val="009D016D"/>
    <w:rsid w:val="009D03E8"/>
    <w:rsid w:val="009D0749"/>
    <w:rsid w:val="009D09F3"/>
    <w:rsid w:val="009D0AB7"/>
    <w:rsid w:val="009D197B"/>
    <w:rsid w:val="009D1CA4"/>
    <w:rsid w:val="009D1ED9"/>
    <w:rsid w:val="009D2756"/>
    <w:rsid w:val="009D28DB"/>
    <w:rsid w:val="009D3DFF"/>
    <w:rsid w:val="009D3F28"/>
    <w:rsid w:val="009D4569"/>
    <w:rsid w:val="009D47A7"/>
    <w:rsid w:val="009D4D1E"/>
    <w:rsid w:val="009D5205"/>
    <w:rsid w:val="009D55AD"/>
    <w:rsid w:val="009D5A12"/>
    <w:rsid w:val="009D6859"/>
    <w:rsid w:val="009D7D79"/>
    <w:rsid w:val="009E10EA"/>
    <w:rsid w:val="009E1476"/>
    <w:rsid w:val="009E1E13"/>
    <w:rsid w:val="009E23F4"/>
    <w:rsid w:val="009E261C"/>
    <w:rsid w:val="009E40DC"/>
    <w:rsid w:val="009E4891"/>
    <w:rsid w:val="009E4A9B"/>
    <w:rsid w:val="009E4C43"/>
    <w:rsid w:val="009E4ED7"/>
    <w:rsid w:val="009E4EF8"/>
    <w:rsid w:val="009E5CDB"/>
    <w:rsid w:val="009E5DF9"/>
    <w:rsid w:val="009E6310"/>
    <w:rsid w:val="009E6D85"/>
    <w:rsid w:val="009E7883"/>
    <w:rsid w:val="009F0596"/>
    <w:rsid w:val="009F089A"/>
    <w:rsid w:val="009F0BD1"/>
    <w:rsid w:val="009F0E13"/>
    <w:rsid w:val="009F15B0"/>
    <w:rsid w:val="009F1C4A"/>
    <w:rsid w:val="009F1E96"/>
    <w:rsid w:val="009F225F"/>
    <w:rsid w:val="009F2A2A"/>
    <w:rsid w:val="009F3073"/>
    <w:rsid w:val="009F308D"/>
    <w:rsid w:val="009F3EA8"/>
    <w:rsid w:val="009F41E4"/>
    <w:rsid w:val="009F4547"/>
    <w:rsid w:val="009F487B"/>
    <w:rsid w:val="009F4C75"/>
    <w:rsid w:val="009F4FD9"/>
    <w:rsid w:val="009F61DD"/>
    <w:rsid w:val="009F632C"/>
    <w:rsid w:val="009F6A5D"/>
    <w:rsid w:val="009F7133"/>
    <w:rsid w:val="009F778B"/>
    <w:rsid w:val="009F7937"/>
    <w:rsid w:val="00A00C41"/>
    <w:rsid w:val="00A00CCC"/>
    <w:rsid w:val="00A02044"/>
    <w:rsid w:val="00A02537"/>
    <w:rsid w:val="00A025FB"/>
    <w:rsid w:val="00A026B0"/>
    <w:rsid w:val="00A0297B"/>
    <w:rsid w:val="00A02DC9"/>
    <w:rsid w:val="00A02E29"/>
    <w:rsid w:val="00A030A3"/>
    <w:rsid w:val="00A0342B"/>
    <w:rsid w:val="00A035EF"/>
    <w:rsid w:val="00A03631"/>
    <w:rsid w:val="00A0384E"/>
    <w:rsid w:val="00A0473B"/>
    <w:rsid w:val="00A04EFE"/>
    <w:rsid w:val="00A04F8B"/>
    <w:rsid w:val="00A05037"/>
    <w:rsid w:val="00A051FE"/>
    <w:rsid w:val="00A05385"/>
    <w:rsid w:val="00A05731"/>
    <w:rsid w:val="00A057A3"/>
    <w:rsid w:val="00A05D30"/>
    <w:rsid w:val="00A05F55"/>
    <w:rsid w:val="00A05FD4"/>
    <w:rsid w:val="00A067EE"/>
    <w:rsid w:val="00A06BBF"/>
    <w:rsid w:val="00A06E1E"/>
    <w:rsid w:val="00A06E9F"/>
    <w:rsid w:val="00A07466"/>
    <w:rsid w:val="00A077B7"/>
    <w:rsid w:val="00A07A02"/>
    <w:rsid w:val="00A101C6"/>
    <w:rsid w:val="00A110E2"/>
    <w:rsid w:val="00A11861"/>
    <w:rsid w:val="00A11C45"/>
    <w:rsid w:val="00A11DC5"/>
    <w:rsid w:val="00A1215A"/>
    <w:rsid w:val="00A12636"/>
    <w:rsid w:val="00A12985"/>
    <w:rsid w:val="00A13BD6"/>
    <w:rsid w:val="00A13C1F"/>
    <w:rsid w:val="00A13F48"/>
    <w:rsid w:val="00A14EB3"/>
    <w:rsid w:val="00A152EF"/>
    <w:rsid w:val="00A156AD"/>
    <w:rsid w:val="00A15EC2"/>
    <w:rsid w:val="00A161F0"/>
    <w:rsid w:val="00A17849"/>
    <w:rsid w:val="00A17C03"/>
    <w:rsid w:val="00A17DDE"/>
    <w:rsid w:val="00A17DF9"/>
    <w:rsid w:val="00A17FF8"/>
    <w:rsid w:val="00A20A22"/>
    <w:rsid w:val="00A210F7"/>
    <w:rsid w:val="00A21935"/>
    <w:rsid w:val="00A21C41"/>
    <w:rsid w:val="00A22CA6"/>
    <w:rsid w:val="00A2311F"/>
    <w:rsid w:val="00A23A42"/>
    <w:rsid w:val="00A23D89"/>
    <w:rsid w:val="00A24006"/>
    <w:rsid w:val="00A24160"/>
    <w:rsid w:val="00A2460D"/>
    <w:rsid w:val="00A24BB7"/>
    <w:rsid w:val="00A252A2"/>
    <w:rsid w:val="00A252BA"/>
    <w:rsid w:val="00A25C7D"/>
    <w:rsid w:val="00A266AD"/>
    <w:rsid w:val="00A26D03"/>
    <w:rsid w:val="00A26F9E"/>
    <w:rsid w:val="00A27078"/>
    <w:rsid w:val="00A273FA"/>
    <w:rsid w:val="00A275D9"/>
    <w:rsid w:val="00A27E57"/>
    <w:rsid w:val="00A27FB9"/>
    <w:rsid w:val="00A30C81"/>
    <w:rsid w:val="00A30ED3"/>
    <w:rsid w:val="00A312C6"/>
    <w:rsid w:val="00A315E5"/>
    <w:rsid w:val="00A315F6"/>
    <w:rsid w:val="00A31B70"/>
    <w:rsid w:val="00A31EDC"/>
    <w:rsid w:val="00A31EF9"/>
    <w:rsid w:val="00A32005"/>
    <w:rsid w:val="00A32F92"/>
    <w:rsid w:val="00A33397"/>
    <w:rsid w:val="00A33608"/>
    <w:rsid w:val="00A33D20"/>
    <w:rsid w:val="00A35031"/>
    <w:rsid w:val="00A352B3"/>
    <w:rsid w:val="00A3545E"/>
    <w:rsid w:val="00A35A56"/>
    <w:rsid w:val="00A35F50"/>
    <w:rsid w:val="00A36262"/>
    <w:rsid w:val="00A36440"/>
    <w:rsid w:val="00A36708"/>
    <w:rsid w:val="00A3686A"/>
    <w:rsid w:val="00A36BD8"/>
    <w:rsid w:val="00A36F51"/>
    <w:rsid w:val="00A3721A"/>
    <w:rsid w:val="00A37C2B"/>
    <w:rsid w:val="00A401FB"/>
    <w:rsid w:val="00A40752"/>
    <w:rsid w:val="00A41371"/>
    <w:rsid w:val="00A41CA1"/>
    <w:rsid w:val="00A42B0C"/>
    <w:rsid w:val="00A42EC4"/>
    <w:rsid w:val="00A43305"/>
    <w:rsid w:val="00A43336"/>
    <w:rsid w:val="00A43418"/>
    <w:rsid w:val="00A4367D"/>
    <w:rsid w:val="00A4386D"/>
    <w:rsid w:val="00A4470D"/>
    <w:rsid w:val="00A44A3E"/>
    <w:rsid w:val="00A44D69"/>
    <w:rsid w:val="00A44FB0"/>
    <w:rsid w:val="00A45213"/>
    <w:rsid w:val="00A453C4"/>
    <w:rsid w:val="00A455AA"/>
    <w:rsid w:val="00A457DE"/>
    <w:rsid w:val="00A45837"/>
    <w:rsid w:val="00A45B42"/>
    <w:rsid w:val="00A45D10"/>
    <w:rsid w:val="00A461C0"/>
    <w:rsid w:val="00A46FB1"/>
    <w:rsid w:val="00A473F1"/>
    <w:rsid w:val="00A501CD"/>
    <w:rsid w:val="00A503BD"/>
    <w:rsid w:val="00A504EA"/>
    <w:rsid w:val="00A50743"/>
    <w:rsid w:val="00A50C31"/>
    <w:rsid w:val="00A50C55"/>
    <w:rsid w:val="00A50E09"/>
    <w:rsid w:val="00A51281"/>
    <w:rsid w:val="00A51891"/>
    <w:rsid w:val="00A51D0D"/>
    <w:rsid w:val="00A52054"/>
    <w:rsid w:val="00A528D8"/>
    <w:rsid w:val="00A536A9"/>
    <w:rsid w:val="00A53A21"/>
    <w:rsid w:val="00A555AF"/>
    <w:rsid w:val="00A555FD"/>
    <w:rsid w:val="00A55BC5"/>
    <w:rsid w:val="00A55C40"/>
    <w:rsid w:val="00A563FE"/>
    <w:rsid w:val="00A564BC"/>
    <w:rsid w:val="00A56BF7"/>
    <w:rsid w:val="00A57B80"/>
    <w:rsid w:val="00A57C3A"/>
    <w:rsid w:val="00A609EA"/>
    <w:rsid w:val="00A60A6B"/>
    <w:rsid w:val="00A60D7A"/>
    <w:rsid w:val="00A60F6E"/>
    <w:rsid w:val="00A6122E"/>
    <w:rsid w:val="00A61CB5"/>
    <w:rsid w:val="00A61FDD"/>
    <w:rsid w:val="00A61FDE"/>
    <w:rsid w:val="00A61FFE"/>
    <w:rsid w:val="00A62D9F"/>
    <w:rsid w:val="00A62FC1"/>
    <w:rsid w:val="00A630BD"/>
    <w:rsid w:val="00A63344"/>
    <w:rsid w:val="00A63A8F"/>
    <w:rsid w:val="00A63DF4"/>
    <w:rsid w:val="00A6465B"/>
    <w:rsid w:val="00A663AF"/>
    <w:rsid w:val="00A66986"/>
    <w:rsid w:val="00A66C91"/>
    <w:rsid w:val="00A66D22"/>
    <w:rsid w:val="00A673C9"/>
    <w:rsid w:val="00A6757D"/>
    <w:rsid w:val="00A676E8"/>
    <w:rsid w:val="00A67847"/>
    <w:rsid w:val="00A67D9E"/>
    <w:rsid w:val="00A67E04"/>
    <w:rsid w:val="00A67F2D"/>
    <w:rsid w:val="00A700D9"/>
    <w:rsid w:val="00A70311"/>
    <w:rsid w:val="00A7096B"/>
    <w:rsid w:val="00A713FC"/>
    <w:rsid w:val="00A716BD"/>
    <w:rsid w:val="00A725AC"/>
    <w:rsid w:val="00A73993"/>
    <w:rsid w:val="00A75A9D"/>
    <w:rsid w:val="00A75B91"/>
    <w:rsid w:val="00A7631D"/>
    <w:rsid w:val="00A769EE"/>
    <w:rsid w:val="00A76FB7"/>
    <w:rsid w:val="00A771BB"/>
    <w:rsid w:val="00A77305"/>
    <w:rsid w:val="00A7763D"/>
    <w:rsid w:val="00A7773D"/>
    <w:rsid w:val="00A77E18"/>
    <w:rsid w:val="00A8013E"/>
    <w:rsid w:val="00A80B6F"/>
    <w:rsid w:val="00A8118F"/>
    <w:rsid w:val="00A815B9"/>
    <w:rsid w:val="00A81C94"/>
    <w:rsid w:val="00A82368"/>
    <w:rsid w:val="00A82627"/>
    <w:rsid w:val="00A8280F"/>
    <w:rsid w:val="00A82F74"/>
    <w:rsid w:val="00A83940"/>
    <w:rsid w:val="00A83E3D"/>
    <w:rsid w:val="00A83F4F"/>
    <w:rsid w:val="00A8459F"/>
    <w:rsid w:val="00A8460D"/>
    <w:rsid w:val="00A84F6B"/>
    <w:rsid w:val="00A84FC3"/>
    <w:rsid w:val="00A8592D"/>
    <w:rsid w:val="00A85D32"/>
    <w:rsid w:val="00A85E81"/>
    <w:rsid w:val="00A86108"/>
    <w:rsid w:val="00A86485"/>
    <w:rsid w:val="00A8653F"/>
    <w:rsid w:val="00A867DA"/>
    <w:rsid w:val="00A86D96"/>
    <w:rsid w:val="00A878E2"/>
    <w:rsid w:val="00A87B60"/>
    <w:rsid w:val="00A87BB6"/>
    <w:rsid w:val="00A91386"/>
    <w:rsid w:val="00A916FE"/>
    <w:rsid w:val="00A92059"/>
    <w:rsid w:val="00A92251"/>
    <w:rsid w:val="00A92628"/>
    <w:rsid w:val="00A92BD0"/>
    <w:rsid w:val="00A9309C"/>
    <w:rsid w:val="00A93146"/>
    <w:rsid w:val="00A935EC"/>
    <w:rsid w:val="00A9417E"/>
    <w:rsid w:val="00A94448"/>
    <w:rsid w:val="00A946DA"/>
    <w:rsid w:val="00A95993"/>
    <w:rsid w:val="00A9635F"/>
    <w:rsid w:val="00A9639E"/>
    <w:rsid w:val="00A964C4"/>
    <w:rsid w:val="00A9681D"/>
    <w:rsid w:val="00A96CF5"/>
    <w:rsid w:val="00A97146"/>
    <w:rsid w:val="00A97578"/>
    <w:rsid w:val="00AA0135"/>
    <w:rsid w:val="00AA0150"/>
    <w:rsid w:val="00AA033F"/>
    <w:rsid w:val="00AA0793"/>
    <w:rsid w:val="00AA0AAA"/>
    <w:rsid w:val="00AA126E"/>
    <w:rsid w:val="00AA161E"/>
    <w:rsid w:val="00AA218F"/>
    <w:rsid w:val="00AA2BF4"/>
    <w:rsid w:val="00AA2ED8"/>
    <w:rsid w:val="00AA3943"/>
    <w:rsid w:val="00AA3EBC"/>
    <w:rsid w:val="00AA44A4"/>
    <w:rsid w:val="00AA5268"/>
    <w:rsid w:val="00AA5775"/>
    <w:rsid w:val="00AA5A1C"/>
    <w:rsid w:val="00AA5D7F"/>
    <w:rsid w:val="00AA6481"/>
    <w:rsid w:val="00AA655C"/>
    <w:rsid w:val="00AA65AB"/>
    <w:rsid w:val="00AA701E"/>
    <w:rsid w:val="00AA72E9"/>
    <w:rsid w:val="00AB089A"/>
    <w:rsid w:val="00AB0BCB"/>
    <w:rsid w:val="00AB11F4"/>
    <w:rsid w:val="00AB185C"/>
    <w:rsid w:val="00AB1CD7"/>
    <w:rsid w:val="00AB26A2"/>
    <w:rsid w:val="00AB30B1"/>
    <w:rsid w:val="00AB3BC0"/>
    <w:rsid w:val="00AB54C1"/>
    <w:rsid w:val="00AB5864"/>
    <w:rsid w:val="00AB593E"/>
    <w:rsid w:val="00AB6215"/>
    <w:rsid w:val="00AB6E8A"/>
    <w:rsid w:val="00AB6FCC"/>
    <w:rsid w:val="00AC0298"/>
    <w:rsid w:val="00AC03C3"/>
    <w:rsid w:val="00AC0B91"/>
    <w:rsid w:val="00AC1178"/>
    <w:rsid w:val="00AC1599"/>
    <w:rsid w:val="00AC15B8"/>
    <w:rsid w:val="00AC1A9E"/>
    <w:rsid w:val="00AC213D"/>
    <w:rsid w:val="00AC23FD"/>
    <w:rsid w:val="00AC242D"/>
    <w:rsid w:val="00AC32AC"/>
    <w:rsid w:val="00AC35CF"/>
    <w:rsid w:val="00AC3E15"/>
    <w:rsid w:val="00AC422A"/>
    <w:rsid w:val="00AC4C55"/>
    <w:rsid w:val="00AC5047"/>
    <w:rsid w:val="00AC57EF"/>
    <w:rsid w:val="00AC5E07"/>
    <w:rsid w:val="00AC5FF7"/>
    <w:rsid w:val="00AC64F2"/>
    <w:rsid w:val="00AC6A08"/>
    <w:rsid w:val="00AC6A0B"/>
    <w:rsid w:val="00AC6AAF"/>
    <w:rsid w:val="00AC7BBB"/>
    <w:rsid w:val="00AC7C02"/>
    <w:rsid w:val="00AD1606"/>
    <w:rsid w:val="00AD1B39"/>
    <w:rsid w:val="00AD1DB9"/>
    <w:rsid w:val="00AD1ECB"/>
    <w:rsid w:val="00AD2854"/>
    <w:rsid w:val="00AD305D"/>
    <w:rsid w:val="00AD368B"/>
    <w:rsid w:val="00AD38C7"/>
    <w:rsid w:val="00AD3AF0"/>
    <w:rsid w:val="00AD3E14"/>
    <w:rsid w:val="00AD506D"/>
    <w:rsid w:val="00AD551B"/>
    <w:rsid w:val="00AD5547"/>
    <w:rsid w:val="00AD5DFC"/>
    <w:rsid w:val="00AD5F0F"/>
    <w:rsid w:val="00AD6614"/>
    <w:rsid w:val="00AD6830"/>
    <w:rsid w:val="00AD69CE"/>
    <w:rsid w:val="00AD6DCD"/>
    <w:rsid w:val="00AD79A4"/>
    <w:rsid w:val="00AE0066"/>
    <w:rsid w:val="00AE10F7"/>
    <w:rsid w:val="00AE1378"/>
    <w:rsid w:val="00AE1455"/>
    <w:rsid w:val="00AE150D"/>
    <w:rsid w:val="00AE1D7D"/>
    <w:rsid w:val="00AE201C"/>
    <w:rsid w:val="00AE216E"/>
    <w:rsid w:val="00AE27AF"/>
    <w:rsid w:val="00AE3A9B"/>
    <w:rsid w:val="00AE4580"/>
    <w:rsid w:val="00AE4619"/>
    <w:rsid w:val="00AE4DC4"/>
    <w:rsid w:val="00AE4F33"/>
    <w:rsid w:val="00AE588B"/>
    <w:rsid w:val="00AE6842"/>
    <w:rsid w:val="00AE6C54"/>
    <w:rsid w:val="00AE6E0D"/>
    <w:rsid w:val="00AE7087"/>
    <w:rsid w:val="00AE7FB8"/>
    <w:rsid w:val="00AF101E"/>
    <w:rsid w:val="00AF2806"/>
    <w:rsid w:val="00AF298D"/>
    <w:rsid w:val="00AF2D36"/>
    <w:rsid w:val="00AF2F62"/>
    <w:rsid w:val="00AF2FF9"/>
    <w:rsid w:val="00AF47F2"/>
    <w:rsid w:val="00AF4818"/>
    <w:rsid w:val="00AF4F89"/>
    <w:rsid w:val="00AF5842"/>
    <w:rsid w:val="00AF64B7"/>
    <w:rsid w:val="00AF64CA"/>
    <w:rsid w:val="00AF661B"/>
    <w:rsid w:val="00AF6ABB"/>
    <w:rsid w:val="00AF6ACE"/>
    <w:rsid w:val="00AF6BC5"/>
    <w:rsid w:val="00AF6D73"/>
    <w:rsid w:val="00AF6EE9"/>
    <w:rsid w:val="00AF6F25"/>
    <w:rsid w:val="00AF77DA"/>
    <w:rsid w:val="00B00FA7"/>
    <w:rsid w:val="00B012CC"/>
    <w:rsid w:val="00B01694"/>
    <w:rsid w:val="00B02437"/>
    <w:rsid w:val="00B02488"/>
    <w:rsid w:val="00B028A4"/>
    <w:rsid w:val="00B03605"/>
    <w:rsid w:val="00B039B8"/>
    <w:rsid w:val="00B03B41"/>
    <w:rsid w:val="00B03F06"/>
    <w:rsid w:val="00B046C7"/>
    <w:rsid w:val="00B05274"/>
    <w:rsid w:val="00B05F8E"/>
    <w:rsid w:val="00B061BF"/>
    <w:rsid w:val="00B06634"/>
    <w:rsid w:val="00B07BA9"/>
    <w:rsid w:val="00B07FDF"/>
    <w:rsid w:val="00B10071"/>
    <w:rsid w:val="00B105A8"/>
    <w:rsid w:val="00B112C2"/>
    <w:rsid w:val="00B1143F"/>
    <w:rsid w:val="00B12179"/>
    <w:rsid w:val="00B122DA"/>
    <w:rsid w:val="00B12463"/>
    <w:rsid w:val="00B1309F"/>
    <w:rsid w:val="00B1325E"/>
    <w:rsid w:val="00B1329D"/>
    <w:rsid w:val="00B133D4"/>
    <w:rsid w:val="00B15051"/>
    <w:rsid w:val="00B152F0"/>
    <w:rsid w:val="00B15E9B"/>
    <w:rsid w:val="00B15F0D"/>
    <w:rsid w:val="00B16DD6"/>
    <w:rsid w:val="00B17A7E"/>
    <w:rsid w:val="00B17FE5"/>
    <w:rsid w:val="00B208B0"/>
    <w:rsid w:val="00B209E5"/>
    <w:rsid w:val="00B2108E"/>
    <w:rsid w:val="00B21391"/>
    <w:rsid w:val="00B21437"/>
    <w:rsid w:val="00B21A15"/>
    <w:rsid w:val="00B21A22"/>
    <w:rsid w:val="00B22410"/>
    <w:rsid w:val="00B2257B"/>
    <w:rsid w:val="00B22917"/>
    <w:rsid w:val="00B22D47"/>
    <w:rsid w:val="00B23A8B"/>
    <w:rsid w:val="00B23DE7"/>
    <w:rsid w:val="00B247AE"/>
    <w:rsid w:val="00B24F45"/>
    <w:rsid w:val="00B2577C"/>
    <w:rsid w:val="00B259D5"/>
    <w:rsid w:val="00B25F44"/>
    <w:rsid w:val="00B26227"/>
    <w:rsid w:val="00B2672A"/>
    <w:rsid w:val="00B26EAC"/>
    <w:rsid w:val="00B270E5"/>
    <w:rsid w:val="00B272A3"/>
    <w:rsid w:val="00B274EF"/>
    <w:rsid w:val="00B275C4"/>
    <w:rsid w:val="00B27CCE"/>
    <w:rsid w:val="00B27D23"/>
    <w:rsid w:val="00B307C6"/>
    <w:rsid w:val="00B30BD3"/>
    <w:rsid w:val="00B30DCF"/>
    <w:rsid w:val="00B30DE9"/>
    <w:rsid w:val="00B31058"/>
    <w:rsid w:val="00B315AC"/>
    <w:rsid w:val="00B3195F"/>
    <w:rsid w:val="00B31AAF"/>
    <w:rsid w:val="00B3331F"/>
    <w:rsid w:val="00B34212"/>
    <w:rsid w:val="00B35115"/>
    <w:rsid w:val="00B3555F"/>
    <w:rsid w:val="00B35AB4"/>
    <w:rsid w:val="00B35DEF"/>
    <w:rsid w:val="00B3638B"/>
    <w:rsid w:val="00B36420"/>
    <w:rsid w:val="00B3692E"/>
    <w:rsid w:val="00B41053"/>
    <w:rsid w:val="00B413B9"/>
    <w:rsid w:val="00B418B4"/>
    <w:rsid w:val="00B4197E"/>
    <w:rsid w:val="00B419F6"/>
    <w:rsid w:val="00B41B5F"/>
    <w:rsid w:val="00B41ECA"/>
    <w:rsid w:val="00B420A7"/>
    <w:rsid w:val="00B437E6"/>
    <w:rsid w:val="00B44205"/>
    <w:rsid w:val="00B448B9"/>
    <w:rsid w:val="00B44CBA"/>
    <w:rsid w:val="00B44E81"/>
    <w:rsid w:val="00B4549E"/>
    <w:rsid w:val="00B4569C"/>
    <w:rsid w:val="00B4571E"/>
    <w:rsid w:val="00B46CC4"/>
    <w:rsid w:val="00B475B9"/>
    <w:rsid w:val="00B47795"/>
    <w:rsid w:val="00B4785C"/>
    <w:rsid w:val="00B50CE2"/>
    <w:rsid w:val="00B50F48"/>
    <w:rsid w:val="00B512D3"/>
    <w:rsid w:val="00B51486"/>
    <w:rsid w:val="00B520AA"/>
    <w:rsid w:val="00B52980"/>
    <w:rsid w:val="00B52A06"/>
    <w:rsid w:val="00B52BD6"/>
    <w:rsid w:val="00B53161"/>
    <w:rsid w:val="00B53EEB"/>
    <w:rsid w:val="00B544DC"/>
    <w:rsid w:val="00B546E3"/>
    <w:rsid w:val="00B54A69"/>
    <w:rsid w:val="00B54E4C"/>
    <w:rsid w:val="00B54EA6"/>
    <w:rsid w:val="00B55442"/>
    <w:rsid w:val="00B56183"/>
    <w:rsid w:val="00B56664"/>
    <w:rsid w:val="00B567D7"/>
    <w:rsid w:val="00B56A25"/>
    <w:rsid w:val="00B56AF3"/>
    <w:rsid w:val="00B56B8E"/>
    <w:rsid w:val="00B576F5"/>
    <w:rsid w:val="00B6095F"/>
    <w:rsid w:val="00B614C6"/>
    <w:rsid w:val="00B616C6"/>
    <w:rsid w:val="00B622B7"/>
    <w:rsid w:val="00B6239B"/>
    <w:rsid w:val="00B62F44"/>
    <w:rsid w:val="00B63084"/>
    <w:rsid w:val="00B64485"/>
    <w:rsid w:val="00B644E7"/>
    <w:rsid w:val="00B645B7"/>
    <w:rsid w:val="00B6499B"/>
    <w:rsid w:val="00B64E6C"/>
    <w:rsid w:val="00B64F59"/>
    <w:rsid w:val="00B651CA"/>
    <w:rsid w:val="00B65557"/>
    <w:rsid w:val="00B6593B"/>
    <w:rsid w:val="00B659CD"/>
    <w:rsid w:val="00B65AAA"/>
    <w:rsid w:val="00B66037"/>
    <w:rsid w:val="00B66126"/>
    <w:rsid w:val="00B665EA"/>
    <w:rsid w:val="00B66873"/>
    <w:rsid w:val="00B66BEF"/>
    <w:rsid w:val="00B6713B"/>
    <w:rsid w:val="00B6778F"/>
    <w:rsid w:val="00B70503"/>
    <w:rsid w:val="00B70A3F"/>
    <w:rsid w:val="00B70A70"/>
    <w:rsid w:val="00B70B7F"/>
    <w:rsid w:val="00B70C12"/>
    <w:rsid w:val="00B710B0"/>
    <w:rsid w:val="00B715B9"/>
    <w:rsid w:val="00B7238F"/>
    <w:rsid w:val="00B728C5"/>
    <w:rsid w:val="00B7292F"/>
    <w:rsid w:val="00B72E6F"/>
    <w:rsid w:val="00B7396D"/>
    <w:rsid w:val="00B73B3E"/>
    <w:rsid w:val="00B74D60"/>
    <w:rsid w:val="00B74EC5"/>
    <w:rsid w:val="00B75082"/>
    <w:rsid w:val="00B75734"/>
    <w:rsid w:val="00B75C4E"/>
    <w:rsid w:val="00B76422"/>
    <w:rsid w:val="00B766AF"/>
    <w:rsid w:val="00B76AAF"/>
    <w:rsid w:val="00B77462"/>
    <w:rsid w:val="00B77BBB"/>
    <w:rsid w:val="00B77C9D"/>
    <w:rsid w:val="00B77D9E"/>
    <w:rsid w:val="00B80EB4"/>
    <w:rsid w:val="00B81DBF"/>
    <w:rsid w:val="00B81DC5"/>
    <w:rsid w:val="00B82869"/>
    <w:rsid w:val="00B83251"/>
    <w:rsid w:val="00B83ED1"/>
    <w:rsid w:val="00B845CA"/>
    <w:rsid w:val="00B84F41"/>
    <w:rsid w:val="00B85190"/>
    <w:rsid w:val="00B85C68"/>
    <w:rsid w:val="00B85E49"/>
    <w:rsid w:val="00B85E7C"/>
    <w:rsid w:val="00B862CE"/>
    <w:rsid w:val="00B86EAB"/>
    <w:rsid w:val="00B870F7"/>
    <w:rsid w:val="00B874DB"/>
    <w:rsid w:val="00B9071A"/>
    <w:rsid w:val="00B90726"/>
    <w:rsid w:val="00B90837"/>
    <w:rsid w:val="00B90CA9"/>
    <w:rsid w:val="00B90E25"/>
    <w:rsid w:val="00B9204B"/>
    <w:rsid w:val="00B92220"/>
    <w:rsid w:val="00B9256A"/>
    <w:rsid w:val="00B926E3"/>
    <w:rsid w:val="00B9279B"/>
    <w:rsid w:val="00B929ED"/>
    <w:rsid w:val="00B9325F"/>
    <w:rsid w:val="00B93F01"/>
    <w:rsid w:val="00B949FA"/>
    <w:rsid w:val="00B94EF6"/>
    <w:rsid w:val="00B95E39"/>
    <w:rsid w:val="00B971AF"/>
    <w:rsid w:val="00B973A6"/>
    <w:rsid w:val="00B974E2"/>
    <w:rsid w:val="00B977D5"/>
    <w:rsid w:val="00BA00DC"/>
    <w:rsid w:val="00BA1838"/>
    <w:rsid w:val="00BA1A23"/>
    <w:rsid w:val="00BA21B4"/>
    <w:rsid w:val="00BA23DB"/>
    <w:rsid w:val="00BA2565"/>
    <w:rsid w:val="00BA2668"/>
    <w:rsid w:val="00BA27ED"/>
    <w:rsid w:val="00BA2FF5"/>
    <w:rsid w:val="00BA364E"/>
    <w:rsid w:val="00BA392A"/>
    <w:rsid w:val="00BA3B50"/>
    <w:rsid w:val="00BA3C2D"/>
    <w:rsid w:val="00BA44C5"/>
    <w:rsid w:val="00BA49C9"/>
    <w:rsid w:val="00BA4A2C"/>
    <w:rsid w:val="00BA5178"/>
    <w:rsid w:val="00BA5FB3"/>
    <w:rsid w:val="00BA72AA"/>
    <w:rsid w:val="00BA74B0"/>
    <w:rsid w:val="00BA796F"/>
    <w:rsid w:val="00BA7D04"/>
    <w:rsid w:val="00BB0351"/>
    <w:rsid w:val="00BB068A"/>
    <w:rsid w:val="00BB0832"/>
    <w:rsid w:val="00BB0B8A"/>
    <w:rsid w:val="00BB1A08"/>
    <w:rsid w:val="00BB1D29"/>
    <w:rsid w:val="00BB2279"/>
    <w:rsid w:val="00BB2B44"/>
    <w:rsid w:val="00BB3F1D"/>
    <w:rsid w:val="00BB416A"/>
    <w:rsid w:val="00BB4A0B"/>
    <w:rsid w:val="00BB60E1"/>
    <w:rsid w:val="00BB6EAA"/>
    <w:rsid w:val="00BB6EAE"/>
    <w:rsid w:val="00BB71F8"/>
    <w:rsid w:val="00BB72E5"/>
    <w:rsid w:val="00BC0237"/>
    <w:rsid w:val="00BC0561"/>
    <w:rsid w:val="00BC05F6"/>
    <w:rsid w:val="00BC0BCF"/>
    <w:rsid w:val="00BC119F"/>
    <w:rsid w:val="00BC14F5"/>
    <w:rsid w:val="00BC17A8"/>
    <w:rsid w:val="00BC1F77"/>
    <w:rsid w:val="00BC203A"/>
    <w:rsid w:val="00BC255C"/>
    <w:rsid w:val="00BC258E"/>
    <w:rsid w:val="00BC347C"/>
    <w:rsid w:val="00BC353C"/>
    <w:rsid w:val="00BC4216"/>
    <w:rsid w:val="00BC4762"/>
    <w:rsid w:val="00BC483E"/>
    <w:rsid w:val="00BC4BCE"/>
    <w:rsid w:val="00BC4D6D"/>
    <w:rsid w:val="00BC5C34"/>
    <w:rsid w:val="00BC6234"/>
    <w:rsid w:val="00BC68C2"/>
    <w:rsid w:val="00BC72A4"/>
    <w:rsid w:val="00BC7532"/>
    <w:rsid w:val="00BC798A"/>
    <w:rsid w:val="00BD0A6F"/>
    <w:rsid w:val="00BD2109"/>
    <w:rsid w:val="00BD21AE"/>
    <w:rsid w:val="00BD2807"/>
    <w:rsid w:val="00BD294B"/>
    <w:rsid w:val="00BD2C08"/>
    <w:rsid w:val="00BD2FF1"/>
    <w:rsid w:val="00BD3176"/>
    <w:rsid w:val="00BD3611"/>
    <w:rsid w:val="00BD39A8"/>
    <w:rsid w:val="00BD3FFE"/>
    <w:rsid w:val="00BD477E"/>
    <w:rsid w:val="00BD4A72"/>
    <w:rsid w:val="00BD4C6B"/>
    <w:rsid w:val="00BD4CAD"/>
    <w:rsid w:val="00BD5200"/>
    <w:rsid w:val="00BD5921"/>
    <w:rsid w:val="00BD5DFA"/>
    <w:rsid w:val="00BD61B8"/>
    <w:rsid w:val="00BE0151"/>
    <w:rsid w:val="00BE03DA"/>
    <w:rsid w:val="00BE0849"/>
    <w:rsid w:val="00BE099A"/>
    <w:rsid w:val="00BE0E53"/>
    <w:rsid w:val="00BE2B0A"/>
    <w:rsid w:val="00BE3866"/>
    <w:rsid w:val="00BE3DB8"/>
    <w:rsid w:val="00BE450E"/>
    <w:rsid w:val="00BE48EC"/>
    <w:rsid w:val="00BE59D1"/>
    <w:rsid w:val="00BE5CC6"/>
    <w:rsid w:val="00BE5EAA"/>
    <w:rsid w:val="00BE6266"/>
    <w:rsid w:val="00BE6F0A"/>
    <w:rsid w:val="00BE73D9"/>
    <w:rsid w:val="00BE7E2E"/>
    <w:rsid w:val="00BE7EB5"/>
    <w:rsid w:val="00BF04DA"/>
    <w:rsid w:val="00BF065A"/>
    <w:rsid w:val="00BF0F01"/>
    <w:rsid w:val="00BF134C"/>
    <w:rsid w:val="00BF144C"/>
    <w:rsid w:val="00BF155A"/>
    <w:rsid w:val="00BF217D"/>
    <w:rsid w:val="00BF259C"/>
    <w:rsid w:val="00BF33F3"/>
    <w:rsid w:val="00BF3AF5"/>
    <w:rsid w:val="00BF3C31"/>
    <w:rsid w:val="00BF3EC6"/>
    <w:rsid w:val="00BF444D"/>
    <w:rsid w:val="00BF4463"/>
    <w:rsid w:val="00BF465B"/>
    <w:rsid w:val="00BF4822"/>
    <w:rsid w:val="00BF5B46"/>
    <w:rsid w:val="00BF5CDF"/>
    <w:rsid w:val="00C00235"/>
    <w:rsid w:val="00C00D6F"/>
    <w:rsid w:val="00C010D8"/>
    <w:rsid w:val="00C024B5"/>
    <w:rsid w:val="00C02AB5"/>
    <w:rsid w:val="00C02D7F"/>
    <w:rsid w:val="00C02EAE"/>
    <w:rsid w:val="00C035F1"/>
    <w:rsid w:val="00C036E9"/>
    <w:rsid w:val="00C0390C"/>
    <w:rsid w:val="00C03AD4"/>
    <w:rsid w:val="00C04161"/>
    <w:rsid w:val="00C045A0"/>
    <w:rsid w:val="00C048E3"/>
    <w:rsid w:val="00C05830"/>
    <w:rsid w:val="00C05831"/>
    <w:rsid w:val="00C058B4"/>
    <w:rsid w:val="00C06E38"/>
    <w:rsid w:val="00C07301"/>
    <w:rsid w:val="00C07561"/>
    <w:rsid w:val="00C07736"/>
    <w:rsid w:val="00C07889"/>
    <w:rsid w:val="00C07D27"/>
    <w:rsid w:val="00C1032C"/>
    <w:rsid w:val="00C10EB0"/>
    <w:rsid w:val="00C11638"/>
    <w:rsid w:val="00C11CCA"/>
    <w:rsid w:val="00C1308F"/>
    <w:rsid w:val="00C1309D"/>
    <w:rsid w:val="00C1360A"/>
    <w:rsid w:val="00C13802"/>
    <w:rsid w:val="00C13C7F"/>
    <w:rsid w:val="00C13D00"/>
    <w:rsid w:val="00C14707"/>
    <w:rsid w:val="00C14B76"/>
    <w:rsid w:val="00C150ED"/>
    <w:rsid w:val="00C157BE"/>
    <w:rsid w:val="00C15C3F"/>
    <w:rsid w:val="00C15F73"/>
    <w:rsid w:val="00C16641"/>
    <w:rsid w:val="00C178E0"/>
    <w:rsid w:val="00C179AC"/>
    <w:rsid w:val="00C17B56"/>
    <w:rsid w:val="00C20278"/>
    <w:rsid w:val="00C2075C"/>
    <w:rsid w:val="00C207CA"/>
    <w:rsid w:val="00C20818"/>
    <w:rsid w:val="00C20C65"/>
    <w:rsid w:val="00C20CA8"/>
    <w:rsid w:val="00C213EE"/>
    <w:rsid w:val="00C23025"/>
    <w:rsid w:val="00C23402"/>
    <w:rsid w:val="00C23C80"/>
    <w:rsid w:val="00C24FED"/>
    <w:rsid w:val="00C2592A"/>
    <w:rsid w:val="00C25C19"/>
    <w:rsid w:val="00C2679C"/>
    <w:rsid w:val="00C26890"/>
    <w:rsid w:val="00C272EB"/>
    <w:rsid w:val="00C27449"/>
    <w:rsid w:val="00C2752F"/>
    <w:rsid w:val="00C2798C"/>
    <w:rsid w:val="00C27A2B"/>
    <w:rsid w:val="00C3030E"/>
    <w:rsid w:val="00C307B1"/>
    <w:rsid w:val="00C30FA6"/>
    <w:rsid w:val="00C31774"/>
    <w:rsid w:val="00C31FBD"/>
    <w:rsid w:val="00C326B4"/>
    <w:rsid w:val="00C32D23"/>
    <w:rsid w:val="00C331C8"/>
    <w:rsid w:val="00C332F8"/>
    <w:rsid w:val="00C3390D"/>
    <w:rsid w:val="00C347B6"/>
    <w:rsid w:val="00C34901"/>
    <w:rsid w:val="00C35802"/>
    <w:rsid w:val="00C35AD6"/>
    <w:rsid w:val="00C36F9B"/>
    <w:rsid w:val="00C371B7"/>
    <w:rsid w:val="00C37702"/>
    <w:rsid w:val="00C378E1"/>
    <w:rsid w:val="00C37A46"/>
    <w:rsid w:val="00C37C1C"/>
    <w:rsid w:val="00C40073"/>
    <w:rsid w:val="00C400C7"/>
    <w:rsid w:val="00C4034D"/>
    <w:rsid w:val="00C405AE"/>
    <w:rsid w:val="00C40799"/>
    <w:rsid w:val="00C40CF8"/>
    <w:rsid w:val="00C40E59"/>
    <w:rsid w:val="00C4138E"/>
    <w:rsid w:val="00C416D3"/>
    <w:rsid w:val="00C4185C"/>
    <w:rsid w:val="00C41A77"/>
    <w:rsid w:val="00C42586"/>
    <w:rsid w:val="00C427CE"/>
    <w:rsid w:val="00C429C6"/>
    <w:rsid w:val="00C42CE0"/>
    <w:rsid w:val="00C43116"/>
    <w:rsid w:val="00C431C9"/>
    <w:rsid w:val="00C434E7"/>
    <w:rsid w:val="00C43857"/>
    <w:rsid w:val="00C43AB4"/>
    <w:rsid w:val="00C43BB6"/>
    <w:rsid w:val="00C43E16"/>
    <w:rsid w:val="00C45B4C"/>
    <w:rsid w:val="00C45CF9"/>
    <w:rsid w:val="00C45D6A"/>
    <w:rsid w:val="00C46259"/>
    <w:rsid w:val="00C469AD"/>
    <w:rsid w:val="00C46BAD"/>
    <w:rsid w:val="00C46D76"/>
    <w:rsid w:val="00C46DD9"/>
    <w:rsid w:val="00C4743D"/>
    <w:rsid w:val="00C47D4A"/>
    <w:rsid w:val="00C504A6"/>
    <w:rsid w:val="00C50A40"/>
    <w:rsid w:val="00C51005"/>
    <w:rsid w:val="00C5180A"/>
    <w:rsid w:val="00C52286"/>
    <w:rsid w:val="00C52D4F"/>
    <w:rsid w:val="00C530F6"/>
    <w:rsid w:val="00C53133"/>
    <w:rsid w:val="00C53851"/>
    <w:rsid w:val="00C540DE"/>
    <w:rsid w:val="00C546D0"/>
    <w:rsid w:val="00C549B0"/>
    <w:rsid w:val="00C54DAF"/>
    <w:rsid w:val="00C552D2"/>
    <w:rsid w:val="00C554D4"/>
    <w:rsid w:val="00C56131"/>
    <w:rsid w:val="00C5630C"/>
    <w:rsid w:val="00C56597"/>
    <w:rsid w:val="00C56EEB"/>
    <w:rsid w:val="00C5705C"/>
    <w:rsid w:val="00C57725"/>
    <w:rsid w:val="00C57980"/>
    <w:rsid w:val="00C57B01"/>
    <w:rsid w:val="00C57DC2"/>
    <w:rsid w:val="00C60CC8"/>
    <w:rsid w:val="00C60ED5"/>
    <w:rsid w:val="00C612B2"/>
    <w:rsid w:val="00C6140C"/>
    <w:rsid w:val="00C620D2"/>
    <w:rsid w:val="00C6250E"/>
    <w:rsid w:val="00C6254D"/>
    <w:rsid w:val="00C626ED"/>
    <w:rsid w:val="00C627B6"/>
    <w:rsid w:val="00C62820"/>
    <w:rsid w:val="00C62B5E"/>
    <w:rsid w:val="00C635D7"/>
    <w:rsid w:val="00C63CEE"/>
    <w:rsid w:val="00C63EF3"/>
    <w:rsid w:val="00C6417B"/>
    <w:rsid w:val="00C64563"/>
    <w:rsid w:val="00C6508B"/>
    <w:rsid w:val="00C65D01"/>
    <w:rsid w:val="00C66274"/>
    <w:rsid w:val="00C6695E"/>
    <w:rsid w:val="00C66C17"/>
    <w:rsid w:val="00C66C1C"/>
    <w:rsid w:val="00C67B3A"/>
    <w:rsid w:val="00C70079"/>
    <w:rsid w:val="00C70B64"/>
    <w:rsid w:val="00C71689"/>
    <w:rsid w:val="00C716C4"/>
    <w:rsid w:val="00C71ACC"/>
    <w:rsid w:val="00C71FD3"/>
    <w:rsid w:val="00C7227D"/>
    <w:rsid w:val="00C725C1"/>
    <w:rsid w:val="00C72D5C"/>
    <w:rsid w:val="00C72EAC"/>
    <w:rsid w:val="00C73202"/>
    <w:rsid w:val="00C744FE"/>
    <w:rsid w:val="00C74A4C"/>
    <w:rsid w:val="00C7556F"/>
    <w:rsid w:val="00C75DBD"/>
    <w:rsid w:val="00C766CE"/>
    <w:rsid w:val="00C76B6C"/>
    <w:rsid w:val="00C77136"/>
    <w:rsid w:val="00C772D3"/>
    <w:rsid w:val="00C7734B"/>
    <w:rsid w:val="00C80114"/>
    <w:rsid w:val="00C80220"/>
    <w:rsid w:val="00C80609"/>
    <w:rsid w:val="00C80645"/>
    <w:rsid w:val="00C8071C"/>
    <w:rsid w:val="00C81345"/>
    <w:rsid w:val="00C81770"/>
    <w:rsid w:val="00C81C5F"/>
    <w:rsid w:val="00C81D0F"/>
    <w:rsid w:val="00C821BC"/>
    <w:rsid w:val="00C82AC3"/>
    <w:rsid w:val="00C82ACA"/>
    <w:rsid w:val="00C82C3A"/>
    <w:rsid w:val="00C8310E"/>
    <w:rsid w:val="00C833C5"/>
    <w:rsid w:val="00C83652"/>
    <w:rsid w:val="00C839B4"/>
    <w:rsid w:val="00C840C2"/>
    <w:rsid w:val="00C8428C"/>
    <w:rsid w:val="00C8428F"/>
    <w:rsid w:val="00C84615"/>
    <w:rsid w:val="00C847D1"/>
    <w:rsid w:val="00C8620A"/>
    <w:rsid w:val="00C865CE"/>
    <w:rsid w:val="00C86674"/>
    <w:rsid w:val="00C86F5A"/>
    <w:rsid w:val="00C87077"/>
    <w:rsid w:val="00C90190"/>
    <w:rsid w:val="00C90ADE"/>
    <w:rsid w:val="00C91827"/>
    <w:rsid w:val="00C91D26"/>
    <w:rsid w:val="00C922A8"/>
    <w:rsid w:val="00C9248F"/>
    <w:rsid w:val="00C92ADC"/>
    <w:rsid w:val="00C93370"/>
    <w:rsid w:val="00C933D0"/>
    <w:rsid w:val="00C93712"/>
    <w:rsid w:val="00C94074"/>
    <w:rsid w:val="00C9417E"/>
    <w:rsid w:val="00C94846"/>
    <w:rsid w:val="00C948FF"/>
    <w:rsid w:val="00C94A52"/>
    <w:rsid w:val="00C94C6E"/>
    <w:rsid w:val="00C94F07"/>
    <w:rsid w:val="00C95134"/>
    <w:rsid w:val="00C951DE"/>
    <w:rsid w:val="00C9540A"/>
    <w:rsid w:val="00C96EB9"/>
    <w:rsid w:val="00C9705F"/>
    <w:rsid w:val="00C974D1"/>
    <w:rsid w:val="00C97515"/>
    <w:rsid w:val="00C97663"/>
    <w:rsid w:val="00C9783E"/>
    <w:rsid w:val="00CA04AF"/>
    <w:rsid w:val="00CA0FB8"/>
    <w:rsid w:val="00CA1265"/>
    <w:rsid w:val="00CA137D"/>
    <w:rsid w:val="00CA2201"/>
    <w:rsid w:val="00CA264E"/>
    <w:rsid w:val="00CA2D19"/>
    <w:rsid w:val="00CA2E6E"/>
    <w:rsid w:val="00CA3AFA"/>
    <w:rsid w:val="00CA4756"/>
    <w:rsid w:val="00CA4992"/>
    <w:rsid w:val="00CA4FB5"/>
    <w:rsid w:val="00CA55B4"/>
    <w:rsid w:val="00CA55D0"/>
    <w:rsid w:val="00CA590E"/>
    <w:rsid w:val="00CA5A66"/>
    <w:rsid w:val="00CA5DEE"/>
    <w:rsid w:val="00CA6314"/>
    <w:rsid w:val="00CA64FB"/>
    <w:rsid w:val="00CA6AB2"/>
    <w:rsid w:val="00CA6D40"/>
    <w:rsid w:val="00CB05B8"/>
    <w:rsid w:val="00CB0704"/>
    <w:rsid w:val="00CB0CBA"/>
    <w:rsid w:val="00CB1600"/>
    <w:rsid w:val="00CB1805"/>
    <w:rsid w:val="00CB248C"/>
    <w:rsid w:val="00CB249C"/>
    <w:rsid w:val="00CB2589"/>
    <w:rsid w:val="00CB26B7"/>
    <w:rsid w:val="00CB2AAA"/>
    <w:rsid w:val="00CB2ABF"/>
    <w:rsid w:val="00CB2FD3"/>
    <w:rsid w:val="00CB3205"/>
    <w:rsid w:val="00CB32A6"/>
    <w:rsid w:val="00CB393E"/>
    <w:rsid w:val="00CB39C4"/>
    <w:rsid w:val="00CB3CAB"/>
    <w:rsid w:val="00CB3D1F"/>
    <w:rsid w:val="00CB449C"/>
    <w:rsid w:val="00CB4512"/>
    <w:rsid w:val="00CB462D"/>
    <w:rsid w:val="00CB4B65"/>
    <w:rsid w:val="00CB541A"/>
    <w:rsid w:val="00CB5B44"/>
    <w:rsid w:val="00CB60F9"/>
    <w:rsid w:val="00CB61C6"/>
    <w:rsid w:val="00CB6595"/>
    <w:rsid w:val="00CB678A"/>
    <w:rsid w:val="00CB6A64"/>
    <w:rsid w:val="00CB78FD"/>
    <w:rsid w:val="00CC05D5"/>
    <w:rsid w:val="00CC08AB"/>
    <w:rsid w:val="00CC09F6"/>
    <w:rsid w:val="00CC18C7"/>
    <w:rsid w:val="00CC1996"/>
    <w:rsid w:val="00CC1E70"/>
    <w:rsid w:val="00CC254B"/>
    <w:rsid w:val="00CC2D60"/>
    <w:rsid w:val="00CC2FEB"/>
    <w:rsid w:val="00CC359A"/>
    <w:rsid w:val="00CC3734"/>
    <w:rsid w:val="00CC3F1F"/>
    <w:rsid w:val="00CC3F2A"/>
    <w:rsid w:val="00CC40A7"/>
    <w:rsid w:val="00CC437A"/>
    <w:rsid w:val="00CC47BC"/>
    <w:rsid w:val="00CC4A36"/>
    <w:rsid w:val="00CC52D3"/>
    <w:rsid w:val="00CC5797"/>
    <w:rsid w:val="00CC5B16"/>
    <w:rsid w:val="00CC5BB0"/>
    <w:rsid w:val="00CC5D71"/>
    <w:rsid w:val="00CC63FF"/>
    <w:rsid w:val="00CC6418"/>
    <w:rsid w:val="00CC699C"/>
    <w:rsid w:val="00CC6A81"/>
    <w:rsid w:val="00CC6B52"/>
    <w:rsid w:val="00CC6E36"/>
    <w:rsid w:val="00CC7200"/>
    <w:rsid w:val="00CC7584"/>
    <w:rsid w:val="00CC78B6"/>
    <w:rsid w:val="00CC7B33"/>
    <w:rsid w:val="00CC7E9B"/>
    <w:rsid w:val="00CD0816"/>
    <w:rsid w:val="00CD0C0A"/>
    <w:rsid w:val="00CD0CBD"/>
    <w:rsid w:val="00CD236F"/>
    <w:rsid w:val="00CD334D"/>
    <w:rsid w:val="00CD3BAB"/>
    <w:rsid w:val="00CD462B"/>
    <w:rsid w:val="00CD4881"/>
    <w:rsid w:val="00CD4966"/>
    <w:rsid w:val="00CD4A96"/>
    <w:rsid w:val="00CD4F6A"/>
    <w:rsid w:val="00CD580B"/>
    <w:rsid w:val="00CD59F8"/>
    <w:rsid w:val="00CD5CA5"/>
    <w:rsid w:val="00CD6603"/>
    <w:rsid w:val="00CD6905"/>
    <w:rsid w:val="00CD6ADC"/>
    <w:rsid w:val="00CD6BDE"/>
    <w:rsid w:val="00CD6C38"/>
    <w:rsid w:val="00CD7600"/>
    <w:rsid w:val="00CD7632"/>
    <w:rsid w:val="00CD798D"/>
    <w:rsid w:val="00CD7EE8"/>
    <w:rsid w:val="00CE00D5"/>
    <w:rsid w:val="00CE043E"/>
    <w:rsid w:val="00CE045B"/>
    <w:rsid w:val="00CE08BA"/>
    <w:rsid w:val="00CE0E6E"/>
    <w:rsid w:val="00CE1286"/>
    <w:rsid w:val="00CE12F7"/>
    <w:rsid w:val="00CE199B"/>
    <w:rsid w:val="00CE1A2C"/>
    <w:rsid w:val="00CE1D4A"/>
    <w:rsid w:val="00CE1F06"/>
    <w:rsid w:val="00CE1F86"/>
    <w:rsid w:val="00CE2083"/>
    <w:rsid w:val="00CE260D"/>
    <w:rsid w:val="00CE2B15"/>
    <w:rsid w:val="00CE3046"/>
    <w:rsid w:val="00CE3692"/>
    <w:rsid w:val="00CE3B04"/>
    <w:rsid w:val="00CE3BAA"/>
    <w:rsid w:val="00CE3FC1"/>
    <w:rsid w:val="00CE4633"/>
    <w:rsid w:val="00CE49B8"/>
    <w:rsid w:val="00CE5BB3"/>
    <w:rsid w:val="00CE5ECB"/>
    <w:rsid w:val="00CE613D"/>
    <w:rsid w:val="00CE6242"/>
    <w:rsid w:val="00CE62A0"/>
    <w:rsid w:val="00CE73A8"/>
    <w:rsid w:val="00CE778B"/>
    <w:rsid w:val="00CE7A52"/>
    <w:rsid w:val="00CE7CE8"/>
    <w:rsid w:val="00CE7D72"/>
    <w:rsid w:val="00CE7E17"/>
    <w:rsid w:val="00CE7FBB"/>
    <w:rsid w:val="00CF0486"/>
    <w:rsid w:val="00CF0857"/>
    <w:rsid w:val="00CF11E3"/>
    <w:rsid w:val="00CF1521"/>
    <w:rsid w:val="00CF1DBD"/>
    <w:rsid w:val="00CF2E08"/>
    <w:rsid w:val="00CF315B"/>
    <w:rsid w:val="00CF3373"/>
    <w:rsid w:val="00CF358C"/>
    <w:rsid w:val="00CF3664"/>
    <w:rsid w:val="00CF3947"/>
    <w:rsid w:val="00CF3B61"/>
    <w:rsid w:val="00CF3EF5"/>
    <w:rsid w:val="00CF5113"/>
    <w:rsid w:val="00CF5541"/>
    <w:rsid w:val="00CF5772"/>
    <w:rsid w:val="00CF57D8"/>
    <w:rsid w:val="00CF5944"/>
    <w:rsid w:val="00CF6B83"/>
    <w:rsid w:val="00CF6C7B"/>
    <w:rsid w:val="00CF6EFE"/>
    <w:rsid w:val="00CF74BA"/>
    <w:rsid w:val="00CF789D"/>
    <w:rsid w:val="00CF7A05"/>
    <w:rsid w:val="00CF7A4B"/>
    <w:rsid w:val="00D004C5"/>
    <w:rsid w:val="00D0083A"/>
    <w:rsid w:val="00D01BFC"/>
    <w:rsid w:val="00D01F0E"/>
    <w:rsid w:val="00D02399"/>
    <w:rsid w:val="00D02677"/>
    <w:rsid w:val="00D029A1"/>
    <w:rsid w:val="00D02A6D"/>
    <w:rsid w:val="00D0346B"/>
    <w:rsid w:val="00D03832"/>
    <w:rsid w:val="00D03948"/>
    <w:rsid w:val="00D03F77"/>
    <w:rsid w:val="00D047A4"/>
    <w:rsid w:val="00D047B6"/>
    <w:rsid w:val="00D04C99"/>
    <w:rsid w:val="00D058AB"/>
    <w:rsid w:val="00D062E4"/>
    <w:rsid w:val="00D06703"/>
    <w:rsid w:val="00D06DB7"/>
    <w:rsid w:val="00D07352"/>
    <w:rsid w:val="00D07C81"/>
    <w:rsid w:val="00D07F93"/>
    <w:rsid w:val="00D10069"/>
    <w:rsid w:val="00D10101"/>
    <w:rsid w:val="00D10A87"/>
    <w:rsid w:val="00D10AB3"/>
    <w:rsid w:val="00D10EE4"/>
    <w:rsid w:val="00D11154"/>
    <w:rsid w:val="00D11373"/>
    <w:rsid w:val="00D124EB"/>
    <w:rsid w:val="00D12D97"/>
    <w:rsid w:val="00D13030"/>
    <w:rsid w:val="00D14212"/>
    <w:rsid w:val="00D14DF9"/>
    <w:rsid w:val="00D156E9"/>
    <w:rsid w:val="00D16678"/>
    <w:rsid w:val="00D17187"/>
    <w:rsid w:val="00D1741A"/>
    <w:rsid w:val="00D174E1"/>
    <w:rsid w:val="00D17A52"/>
    <w:rsid w:val="00D17CBA"/>
    <w:rsid w:val="00D17F42"/>
    <w:rsid w:val="00D20300"/>
    <w:rsid w:val="00D203F6"/>
    <w:rsid w:val="00D203FB"/>
    <w:rsid w:val="00D205B5"/>
    <w:rsid w:val="00D20A27"/>
    <w:rsid w:val="00D20A93"/>
    <w:rsid w:val="00D20CE0"/>
    <w:rsid w:val="00D21255"/>
    <w:rsid w:val="00D21635"/>
    <w:rsid w:val="00D2247E"/>
    <w:rsid w:val="00D225D1"/>
    <w:rsid w:val="00D23835"/>
    <w:rsid w:val="00D23882"/>
    <w:rsid w:val="00D23BE2"/>
    <w:rsid w:val="00D241E8"/>
    <w:rsid w:val="00D24867"/>
    <w:rsid w:val="00D24B50"/>
    <w:rsid w:val="00D24FDA"/>
    <w:rsid w:val="00D2573A"/>
    <w:rsid w:val="00D2601B"/>
    <w:rsid w:val="00D26607"/>
    <w:rsid w:val="00D269CE"/>
    <w:rsid w:val="00D276B5"/>
    <w:rsid w:val="00D30569"/>
    <w:rsid w:val="00D31486"/>
    <w:rsid w:val="00D315CA"/>
    <w:rsid w:val="00D31FB6"/>
    <w:rsid w:val="00D32121"/>
    <w:rsid w:val="00D32754"/>
    <w:rsid w:val="00D33205"/>
    <w:rsid w:val="00D33238"/>
    <w:rsid w:val="00D335F4"/>
    <w:rsid w:val="00D337FC"/>
    <w:rsid w:val="00D33A25"/>
    <w:rsid w:val="00D33FB7"/>
    <w:rsid w:val="00D341FE"/>
    <w:rsid w:val="00D351C2"/>
    <w:rsid w:val="00D35660"/>
    <w:rsid w:val="00D3587D"/>
    <w:rsid w:val="00D35B38"/>
    <w:rsid w:val="00D3661A"/>
    <w:rsid w:val="00D3696D"/>
    <w:rsid w:val="00D36ABA"/>
    <w:rsid w:val="00D36CF6"/>
    <w:rsid w:val="00D3727C"/>
    <w:rsid w:val="00D3778A"/>
    <w:rsid w:val="00D37CE9"/>
    <w:rsid w:val="00D404D8"/>
    <w:rsid w:val="00D4066D"/>
    <w:rsid w:val="00D41E23"/>
    <w:rsid w:val="00D41E35"/>
    <w:rsid w:val="00D428E4"/>
    <w:rsid w:val="00D431BC"/>
    <w:rsid w:val="00D43447"/>
    <w:rsid w:val="00D43A87"/>
    <w:rsid w:val="00D43D88"/>
    <w:rsid w:val="00D44705"/>
    <w:rsid w:val="00D44756"/>
    <w:rsid w:val="00D44CA6"/>
    <w:rsid w:val="00D455BF"/>
    <w:rsid w:val="00D459E3"/>
    <w:rsid w:val="00D46168"/>
    <w:rsid w:val="00D46288"/>
    <w:rsid w:val="00D4722E"/>
    <w:rsid w:val="00D4738B"/>
    <w:rsid w:val="00D47555"/>
    <w:rsid w:val="00D47A17"/>
    <w:rsid w:val="00D47AA6"/>
    <w:rsid w:val="00D47F1A"/>
    <w:rsid w:val="00D502B6"/>
    <w:rsid w:val="00D50A1F"/>
    <w:rsid w:val="00D51287"/>
    <w:rsid w:val="00D52A18"/>
    <w:rsid w:val="00D52C4C"/>
    <w:rsid w:val="00D53638"/>
    <w:rsid w:val="00D53C18"/>
    <w:rsid w:val="00D5410A"/>
    <w:rsid w:val="00D545BD"/>
    <w:rsid w:val="00D5470E"/>
    <w:rsid w:val="00D55383"/>
    <w:rsid w:val="00D55389"/>
    <w:rsid w:val="00D55CA7"/>
    <w:rsid w:val="00D56855"/>
    <w:rsid w:val="00D56ADF"/>
    <w:rsid w:val="00D56C03"/>
    <w:rsid w:val="00D600FA"/>
    <w:rsid w:val="00D608B6"/>
    <w:rsid w:val="00D61768"/>
    <w:rsid w:val="00D618A6"/>
    <w:rsid w:val="00D6284B"/>
    <w:rsid w:val="00D62951"/>
    <w:rsid w:val="00D62D21"/>
    <w:rsid w:val="00D62E2D"/>
    <w:rsid w:val="00D6343D"/>
    <w:rsid w:val="00D63507"/>
    <w:rsid w:val="00D63FFA"/>
    <w:rsid w:val="00D64212"/>
    <w:rsid w:val="00D647F7"/>
    <w:rsid w:val="00D64D9C"/>
    <w:rsid w:val="00D658D7"/>
    <w:rsid w:val="00D66692"/>
    <w:rsid w:val="00D66733"/>
    <w:rsid w:val="00D707B1"/>
    <w:rsid w:val="00D71C03"/>
    <w:rsid w:val="00D727B4"/>
    <w:rsid w:val="00D72AFC"/>
    <w:rsid w:val="00D72D17"/>
    <w:rsid w:val="00D72EFE"/>
    <w:rsid w:val="00D73226"/>
    <w:rsid w:val="00D73377"/>
    <w:rsid w:val="00D741A8"/>
    <w:rsid w:val="00D74547"/>
    <w:rsid w:val="00D745DD"/>
    <w:rsid w:val="00D74A6A"/>
    <w:rsid w:val="00D74BB2"/>
    <w:rsid w:val="00D74F3D"/>
    <w:rsid w:val="00D758DA"/>
    <w:rsid w:val="00D761DD"/>
    <w:rsid w:val="00D7632E"/>
    <w:rsid w:val="00D764D5"/>
    <w:rsid w:val="00D7669A"/>
    <w:rsid w:val="00D766F8"/>
    <w:rsid w:val="00D769DA"/>
    <w:rsid w:val="00D76DD1"/>
    <w:rsid w:val="00D80378"/>
    <w:rsid w:val="00D8065C"/>
    <w:rsid w:val="00D80B68"/>
    <w:rsid w:val="00D80BF7"/>
    <w:rsid w:val="00D816F9"/>
    <w:rsid w:val="00D81C3D"/>
    <w:rsid w:val="00D81DB1"/>
    <w:rsid w:val="00D81E6F"/>
    <w:rsid w:val="00D824EA"/>
    <w:rsid w:val="00D83649"/>
    <w:rsid w:val="00D83B76"/>
    <w:rsid w:val="00D847F5"/>
    <w:rsid w:val="00D84997"/>
    <w:rsid w:val="00D84CE3"/>
    <w:rsid w:val="00D84F33"/>
    <w:rsid w:val="00D85457"/>
    <w:rsid w:val="00D85C3C"/>
    <w:rsid w:val="00D860FE"/>
    <w:rsid w:val="00D866E6"/>
    <w:rsid w:val="00D86753"/>
    <w:rsid w:val="00D8693C"/>
    <w:rsid w:val="00D8699E"/>
    <w:rsid w:val="00D86ADE"/>
    <w:rsid w:val="00D87DC3"/>
    <w:rsid w:val="00D90132"/>
    <w:rsid w:val="00D90262"/>
    <w:rsid w:val="00D90598"/>
    <w:rsid w:val="00D90CC8"/>
    <w:rsid w:val="00D90CF9"/>
    <w:rsid w:val="00D910BE"/>
    <w:rsid w:val="00D910CC"/>
    <w:rsid w:val="00D9138E"/>
    <w:rsid w:val="00D920A7"/>
    <w:rsid w:val="00D922A1"/>
    <w:rsid w:val="00D92FCD"/>
    <w:rsid w:val="00D93141"/>
    <w:rsid w:val="00D93676"/>
    <w:rsid w:val="00D937A1"/>
    <w:rsid w:val="00D9413A"/>
    <w:rsid w:val="00D9468E"/>
    <w:rsid w:val="00D946DB"/>
    <w:rsid w:val="00D94977"/>
    <w:rsid w:val="00D94EA8"/>
    <w:rsid w:val="00D9520B"/>
    <w:rsid w:val="00D96008"/>
    <w:rsid w:val="00D96153"/>
    <w:rsid w:val="00D96185"/>
    <w:rsid w:val="00D9625D"/>
    <w:rsid w:val="00D9629F"/>
    <w:rsid w:val="00D963A8"/>
    <w:rsid w:val="00D96AE7"/>
    <w:rsid w:val="00D96BCC"/>
    <w:rsid w:val="00D97A5E"/>
    <w:rsid w:val="00D97B1A"/>
    <w:rsid w:val="00D97B4C"/>
    <w:rsid w:val="00D97B7E"/>
    <w:rsid w:val="00D97C7A"/>
    <w:rsid w:val="00D97DA8"/>
    <w:rsid w:val="00D97E51"/>
    <w:rsid w:val="00DA092A"/>
    <w:rsid w:val="00DA0F43"/>
    <w:rsid w:val="00DA191D"/>
    <w:rsid w:val="00DA1B6B"/>
    <w:rsid w:val="00DA1E24"/>
    <w:rsid w:val="00DA2B8C"/>
    <w:rsid w:val="00DA2BC6"/>
    <w:rsid w:val="00DA3523"/>
    <w:rsid w:val="00DA38A9"/>
    <w:rsid w:val="00DA38B1"/>
    <w:rsid w:val="00DA3D0C"/>
    <w:rsid w:val="00DA492F"/>
    <w:rsid w:val="00DA493D"/>
    <w:rsid w:val="00DA56B8"/>
    <w:rsid w:val="00DA5B1F"/>
    <w:rsid w:val="00DA5C12"/>
    <w:rsid w:val="00DA5C2B"/>
    <w:rsid w:val="00DA6365"/>
    <w:rsid w:val="00DA64B0"/>
    <w:rsid w:val="00DA66F4"/>
    <w:rsid w:val="00DA69B4"/>
    <w:rsid w:val="00DA6A71"/>
    <w:rsid w:val="00DA6E94"/>
    <w:rsid w:val="00DA755D"/>
    <w:rsid w:val="00DA7DDE"/>
    <w:rsid w:val="00DB062C"/>
    <w:rsid w:val="00DB0743"/>
    <w:rsid w:val="00DB0B42"/>
    <w:rsid w:val="00DB159D"/>
    <w:rsid w:val="00DB3C3E"/>
    <w:rsid w:val="00DB3EE8"/>
    <w:rsid w:val="00DB3F64"/>
    <w:rsid w:val="00DB4596"/>
    <w:rsid w:val="00DB4915"/>
    <w:rsid w:val="00DB5157"/>
    <w:rsid w:val="00DB525C"/>
    <w:rsid w:val="00DB53E5"/>
    <w:rsid w:val="00DB57D1"/>
    <w:rsid w:val="00DB6439"/>
    <w:rsid w:val="00DB64D4"/>
    <w:rsid w:val="00DB70E5"/>
    <w:rsid w:val="00DB79D0"/>
    <w:rsid w:val="00DC0009"/>
    <w:rsid w:val="00DC002C"/>
    <w:rsid w:val="00DC0866"/>
    <w:rsid w:val="00DC10E3"/>
    <w:rsid w:val="00DC1A92"/>
    <w:rsid w:val="00DC1B96"/>
    <w:rsid w:val="00DC270F"/>
    <w:rsid w:val="00DC3DEE"/>
    <w:rsid w:val="00DC4A8F"/>
    <w:rsid w:val="00DC5A43"/>
    <w:rsid w:val="00DC5F76"/>
    <w:rsid w:val="00DC5FC6"/>
    <w:rsid w:val="00DC607F"/>
    <w:rsid w:val="00DC6414"/>
    <w:rsid w:val="00DD000B"/>
    <w:rsid w:val="00DD0B21"/>
    <w:rsid w:val="00DD1150"/>
    <w:rsid w:val="00DD1B55"/>
    <w:rsid w:val="00DD2160"/>
    <w:rsid w:val="00DD24F6"/>
    <w:rsid w:val="00DD25BE"/>
    <w:rsid w:val="00DD2676"/>
    <w:rsid w:val="00DD29E9"/>
    <w:rsid w:val="00DD34E7"/>
    <w:rsid w:val="00DD402F"/>
    <w:rsid w:val="00DD4EE3"/>
    <w:rsid w:val="00DD4EE6"/>
    <w:rsid w:val="00DD4FBE"/>
    <w:rsid w:val="00DD55A2"/>
    <w:rsid w:val="00DD5CA8"/>
    <w:rsid w:val="00DD6D07"/>
    <w:rsid w:val="00DD7191"/>
    <w:rsid w:val="00DD7560"/>
    <w:rsid w:val="00DD759C"/>
    <w:rsid w:val="00DD7743"/>
    <w:rsid w:val="00DE005B"/>
    <w:rsid w:val="00DE0237"/>
    <w:rsid w:val="00DE0416"/>
    <w:rsid w:val="00DE0534"/>
    <w:rsid w:val="00DE0B80"/>
    <w:rsid w:val="00DE1713"/>
    <w:rsid w:val="00DE1B9E"/>
    <w:rsid w:val="00DE21CB"/>
    <w:rsid w:val="00DE268B"/>
    <w:rsid w:val="00DE2CFB"/>
    <w:rsid w:val="00DE3043"/>
    <w:rsid w:val="00DE3443"/>
    <w:rsid w:val="00DE3651"/>
    <w:rsid w:val="00DE3A4F"/>
    <w:rsid w:val="00DE42B0"/>
    <w:rsid w:val="00DE4648"/>
    <w:rsid w:val="00DE4D01"/>
    <w:rsid w:val="00DE5C0A"/>
    <w:rsid w:val="00DE5D6E"/>
    <w:rsid w:val="00DE6D98"/>
    <w:rsid w:val="00DE74DB"/>
    <w:rsid w:val="00DF05C1"/>
    <w:rsid w:val="00DF093F"/>
    <w:rsid w:val="00DF12AA"/>
    <w:rsid w:val="00DF144A"/>
    <w:rsid w:val="00DF15C8"/>
    <w:rsid w:val="00DF16F8"/>
    <w:rsid w:val="00DF25D5"/>
    <w:rsid w:val="00DF285A"/>
    <w:rsid w:val="00DF316C"/>
    <w:rsid w:val="00DF35FF"/>
    <w:rsid w:val="00DF41DA"/>
    <w:rsid w:val="00DF46B4"/>
    <w:rsid w:val="00DF4B5E"/>
    <w:rsid w:val="00DF4F1E"/>
    <w:rsid w:val="00DF4F52"/>
    <w:rsid w:val="00DF50B2"/>
    <w:rsid w:val="00DF5404"/>
    <w:rsid w:val="00DF5481"/>
    <w:rsid w:val="00DF5755"/>
    <w:rsid w:val="00DF5939"/>
    <w:rsid w:val="00DF5DDD"/>
    <w:rsid w:val="00DF6044"/>
    <w:rsid w:val="00DF67DB"/>
    <w:rsid w:val="00DF720A"/>
    <w:rsid w:val="00DF73F2"/>
    <w:rsid w:val="00DF75BA"/>
    <w:rsid w:val="00DF7BD2"/>
    <w:rsid w:val="00DF7F47"/>
    <w:rsid w:val="00E00235"/>
    <w:rsid w:val="00E0026E"/>
    <w:rsid w:val="00E00D8E"/>
    <w:rsid w:val="00E01243"/>
    <w:rsid w:val="00E01288"/>
    <w:rsid w:val="00E01AD4"/>
    <w:rsid w:val="00E0209A"/>
    <w:rsid w:val="00E02207"/>
    <w:rsid w:val="00E02824"/>
    <w:rsid w:val="00E02BA5"/>
    <w:rsid w:val="00E02E5C"/>
    <w:rsid w:val="00E02E9C"/>
    <w:rsid w:val="00E03553"/>
    <w:rsid w:val="00E03E32"/>
    <w:rsid w:val="00E03F2A"/>
    <w:rsid w:val="00E047FF"/>
    <w:rsid w:val="00E048A7"/>
    <w:rsid w:val="00E04982"/>
    <w:rsid w:val="00E05067"/>
    <w:rsid w:val="00E052D7"/>
    <w:rsid w:val="00E05629"/>
    <w:rsid w:val="00E0568F"/>
    <w:rsid w:val="00E058E6"/>
    <w:rsid w:val="00E05971"/>
    <w:rsid w:val="00E05A6F"/>
    <w:rsid w:val="00E05BF0"/>
    <w:rsid w:val="00E05C55"/>
    <w:rsid w:val="00E0610B"/>
    <w:rsid w:val="00E06339"/>
    <w:rsid w:val="00E0633F"/>
    <w:rsid w:val="00E064C2"/>
    <w:rsid w:val="00E06861"/>
    <w:rsid w:val="00E071AE"/>
    <w:rsid w:val="00E0739D"/>
    <w:rsid w:val="00E077E7"/>
    <w:rsid w:val="00E07867"/>
    <w:rsid w:val="00E07BB2"/>
    <w:rsid w:val="00E07BC5"/>
    <w:rsid w:val="00E07EBE"/>
    <w:rsid w:val="00E07FCE"/>
    <w:rsid w:val="00E1031E"/>
    <w:rsid w:val="00E104CE"/>
    <w:rsid w:val="00E10603"/>
    <w:rsid w:val="00E10BD1"/>
    <w:rsid w:val="00E10D51"/>
    <w:rsid w:val="00E10E53"/>
    <w:rsid w:val="00E10F02"/>
    <w:rsid w:val="00E11427"/>
    <w:rsid w:val="00E11502"/>
    <w:rsid w:val="00E1164E"/>
    <w:rsid w:val="00E11816"/>
    <w:rsid w:val="00E1201B"/>
    <w:rsid w:val="00E120DB"/>
    <w:rsid w:val="00E12B3A"/>
    <w:rsid w:val="00E13369"/>
    <w:rsid w:val="00E134D6"/>
    <w:rsid w:val="00E13B40"/>
    <w:rsid w:val="00E14145"/>
    <w:rsid w:val="00E14880"/>
    <w:rsid w:val="00E14AAB"/>
    <w:rsid w:val="00E14DE8"/>
    <w:rsid w:val="00E15882"/>
    <w:rsid w:val="00E158CF"/>
    <w:rsid w:val="00E1644B"/>
    <w:rsid w:val="00E1742C"/>
    <w:rsid w:val="00E17529"/>
    <w:rsid w:val="00E1764C"/>
    <w:rsid w:val="00E17C2A"/>
    <w:rsid w:val="00E17C7E"/>
    <w:rsid w:val="00E17FAF"/>
    <w:rsid w:val="00E202FE"/>
    <w:rsid w:val="00E21085"/>
    <w:rsid w:val="00E214AE"/>
    <w:rsid w:val="00E218DA"/>
    <w:rsid w:val="00E21DCC"/>
    <w:rsid w:val="00E2211A"/>
    <w:rsid w:val="00E22A85"/>
    <w:rsid w:val="00E23212"/>
    <w:rsid w:val="00E2351B"/>
    <w:rsid w:val="00E23E10"/>
    <w:rsid w:val="00E23EC0"/>
    <w:rsid w:val="00E23FDF"/>
    <w:rsid w:val="00E24547"/>
    <w:rsid w:val="00E24DDE"/>
    <w:rsid w:val="00E24EE0"/>
    <w:rsid w:val="00E25261"/>
    <w:rsid w:val="00E2549C"/>
    <w:rsid w:val="00E255FD"/>
    <w:rsid w:val="00E2580F"/>
    <w:rsid w:val="00E2591C"/>
    <w:rsid w:val="00E259DE"/>
    <w:rsid w:val="00E25F0E"/>
    <w:rsid w:val="00E27029"/>
    <w:rsid w:val="00E27DF9"/>
    <w:rsid w:val="00E27FEE"/>
    <w:rsid w:val="00E3013B"/>
    <w:rsid w:val="00E302AE"/>
    <w:rsid w:val="00E30F42"/>
    <w:rsid w:val="00E3112E"/>
    <w:rsid w:val="00E312F9"/>
    <w:rsid w:val="00E31391"/>
    <w:rsid w:val="00E32E78"/>
    <w:rsid w:val="00E33379"/>
    <w:rsid w:val="00E3487D"/>
    <w:rsid w:val="00E35163"/>
    <w:rsid w:val="00E3541D"/>
    <w:rsid w:val="00E35957"/>
    <w:rsid w:val="00E359AD"/>
    <w:rsid w:val="00E36EC4"/>
    <w:rsid w:val="00E371C9"/>
    <w:rsid w:val="00E37A96"/>
    <w:rsid w:val="00E37C25"/>
    <w:rsid w:val="00E37CCB"/>
    <w:rsid w:val="00E40149"/>
    <w:rsid w:val="00E4024C"/>
    <w:rsid w:val="00E406BA"/>
    <w:rsid w:val="00E40ECB"/>
    <w:rsid w:val="00E41B26"/>
    <w:rsid w:val="00E421A7"/>
    <w:rsid w:val="00E42CB2"/>
    <w:rsid w:val="00E430AE"/>
    <w:rsid w:val="00E436EA"/>
    <w:rsid w:val="00E43AAB"/>
    <w:rsid w:val="00E43D9E"/>
    <w:rsid w:val="00E43E3A"/>
    <w:rsid w:val="00E4421C"/>
    <w:rsid w:val="00E442FA"/>
    <w:rsid w:val="00E447C7"/>
    <w:rsid w:val="00E44975"/>
    <w:rsid w:val="00E44A32"/>
    <w:rsid w:val="00E44DB2"/>
    <w:rsid w:val="00E44E2E"/>
    <w:rsid w:val="00E4540D"/>
    <w:rsid w:val="00E45653"/>
    <w:rsid w:val="00E465AB"/>
    <w:rsid w:val="00E4661C"/>
    <w:rsid w:val="00E46AAD"/>
    <w:rsid w:val="00E46C94"/>
    <w:rsid w:val="00E47A66"/>
    <w:rsid w:val="00E47FBA"/>
    <w:rsid w:val="00E5090F"/>
    <w:rsid w:val="00E51988"/>
    <w:rsid w:val="00E52039"/>
    <w:rsid w:val="00E5228A"/>
    <w:rsid w:val="00E534E9"/>
    <w:rsid w:val="00E53D65"/>
    <w:rsid w:val="00E53D6F"/>
    <w:rsid w:val="00E540DE"/>
    <w:rsid w:val="00E546B8"/>
    <w:rsid w:val="00E54D8D"/>
    <w:rsid w:val="00E54F63"/>
    <w:rsid w:val="00E55E03"/>
    <w:rsid w:val="00E55EC5"/>
    <w:rsid w:val="00E568B8"/>
    <w:rsid w:val="00E57188"/>
    <w:rsid w:val="00E5733E"/>
    <w:rsid w:val="00E57618"/>
    <w:rsid w:val="00E57AB9"/>
    <w:rsid w:val="00E57F30"/>
    <w:rsid w:val="00E57F6D"/>
    <w:rsid w:val="00E60214"/>
    <w:rsid w:val="00E6027A"/>
    <w:rsid w:val="00E603D2"/>
    <w:rsid w:val="00E6064A"/>
    <w:rsid w:val="00E61983"/>
    <w:rsid w:val="00E61A01"/>
    <w:rsid w:val="00E61C0D"/>
    <w:rsid w:val="00E61C7C"/>
    <w:rsid w:val="00E61D1D"/>
    <w:rsid w:val="00E61E2F"/>
    <w:rsid w:val="00E61F8C"/>
    <w:rsid w:val="00E62028"/>
    <w:rsid w:val="00E6206D"/>
    <w:rsid w:val="00E62186"/>
    <w:rsid w:val="00E62682"/>
    <w:rsid w:val="00E627DE"/>
    <w:rsid w:val="00E62A2F"/>
    <w:rsid w:val="00E62E0D"/>
    <w:rsid w:val="00E630A1"/>
    <w:rsid w:val="00E6310D"/>
    <w:rsid w:val="00E6391F"/>
    <w:rsid w:val="00E63D07"/>
    <w:rsid w:val="00E63FE0"/>
    <w:rsid w:val="00E64166"/>
    <w:rsid w:val="00E64592"/>
    <w:rsid w:val="00E64671"/>
    <w:rsid w:val="00E646E8"/>
    <w:rsid w:val="00E6499D"/>
    <w:rsid w:val="00E64F9B"/>
    <w:rsid w:val="00E64FE9"/>
    <w:rsid w:val="00E651BD"/>
    <w:rsid w:val="00E65EB6"/>
    <w:rsid w:val="00E660EB"/>
    <w:rsid w:val="00E66123"/>
    <w:rsid w:val="00E66DFC"/>
    <w:rsid w:val="00E66E0C"/>
    <w:rsid w:val="00E66E41"/>
    <w:rsid w:val="00E679F8"/>
    <w:rsid w:val="00E67A4F"/>
    <w:rsid w:val="00E67DBF"/>
    <w:rsid w:val="00E67E9C"/>
    <w:rsid w:val="00E70077"/>
    <w:rsid w:val="00E70120"/>
    <w:rsid w:val="00E705A9"/>
    <w:rsid w:val="00E70EE0"/>
    <w:rsid w:val="00E71FB1"/>
    <w:rsid w:val="00E72286"/>
    <w:rsid w:val="00E72E69"/>
    <w:rsid w:val="00E7331F"/>
    <w:rsid w:val="00E7359C"/>
    <w:rsid w:val="00E7503F"/>
    <w:rsid w:val="00E75230"/>
    <w:rsid w:val="00E757F0"/>
    <w:rsid w:val="00E75AEC"/>
    <w:rsid w:val="00E767A1"/>
    <w:rsid w:val="00E776EC"/>
    <w:rsid w:val="00E77B31"/>
    <w:rsid w:val="00E80A9F"/>
    <w:rsid w:val="00E80B90"/>
    <w:rsid w:val="00E810E8"/>
    <w:rsid w:val="00E81469"/>
    <w:rsid w:val="00E8221F"/>
    <w:rsid w:val="00E83146"/>
    <w:rsid w:val="00E833CF"/>
    <w:rsid w:val="00E834EA"/>
    <w:rsid w:val="00E840BD"/>
    <w:rsid w:val="00E84DC2"/>
    <w:rsid w:val="00E853B6"/>
    <w:rsid w:val="00E85C45"/>
    <w:rsid w:val="00E85C5F"/>
    <w:rsid w:val="00E85DE2"/>
    <w:rsid w:val="00E865C6"/>
    <w:rsid w:val="00E86B1D"/>
    <w:rsid w:val="00E875E1"/>
    <w:rsid w:val="00E878FC"/>
    <w:rsid w:val="00E87A06"/>
    <w:rsid w:val="00E87A4F"/>
    <w:rsid w:val="00E87A6B"/>
    <w:rsid w:val="00E90010"/>
    <w:rsid w:val="00E904D6"/>
    <w:rsid w:val="00E9091A"/>
    <w:rsid w:val="00E918F1"/>
    <w:rsid w:val="00E91F51"/>
    <w:rsid w:val="00E91FBC"/>
    <w:rsid w:val="00E92829"/>
    <w:rsid w:val="00E9283F"/>
    <w:rsid w:val="00E9301A"/>
    <w:rsid w:val="00E93231"/>
    <w:rsid w:val="00E93574"/>
    <w:rsid w:val="00E93776"/>
    <w:rsid w:val="00E938F4"/>
    <w:rsid w:val="00E93E1D"/>
    <w:rsid w:val="00E943BA"/>
    <w:rsid w:val="00E94A97"/>
    <w:rsid w:val="00E94EF0"/>
    <w:rsid w:val="00E953EA"/>
    <w:rsid w:val="00E954F6"/>
    <w:rsid w:val="00E95FF3"/>
    <w:rsid w:val="00E96568"/>
    <w:rsid w:val="00E96676"/>
    <w:rsid w:val="00E967A0"/>
    <w:rsid w:val="00E96CA1"/>
    <w:rsid w:val="00E96F06"/>
    <w:rsid w:val="00E97048"/>
    <w:rsid w:val="00E97176"/>
    <w:rsid w:val="00E975F3"/>
    <w:rsid w:val="00E977F1"/>
    <w:rsid w:val="00E97B0B"/>
    <w:rsid w:val="00EA0641"/>
    <w:rsid w:val="00EA10DD"/>
    <w:rsid w:val="00EA1533"/>
    <w:rsid w:val="00EA193D"/>
    <w:rsid w:val="00EA1BA6"/>
    <w:rsid w:val="00EA1E05"/>
    <w:rsid w:val="00EA2C8E"/>
    <w:rsid w:val="00EA31B7"/>
    <w:rsid w:val="00EA36DF"/>
    <w:rsid w:val="00EA39BE"/>
    <w:rsid w:val="00EA3BE3"/>
    <w:rsid w:val="00EA4699"/>
    <w:rsid w:val="00EA4C34"/>
    <w:rsid w:val="00EA52FC"/>
    <w:rsid w:val="00EA5E78"/>
    <w:rsid w:val="00EA6C2A"/>
    <w:rsid w:val="00EA6D37"/>
    <w:rsid w:val="00EA6EC8"/>
    <w:rsid w:val="00EA6FB3"/>
    <w:rsid w:val="00EA7082"/>
    <w:rsid w:val="00EA78F2"/>
    <w:rsid w:val="00EA7C0A"/>
    <w:rsid w:val="00EB022C"/>
    <w:rsid w:val="00EB0449"/>
    <w:rsid w:val="00EB04F6"/>
    <w:rsid w:val="00EB0C9D"/>
    <w:rsid w:val="00EB0E64"/>
    <w:rsid w:val="00EB0E9D"/>
    <w:rsid w:val="00EB0F74"/>
    <w:rsid w:val="00EB10A8"/>
    <w:rsid w:val="00EB1A6A"/>
    <w:rsid w:val="00EB2376"/>
    <w:rsid w:val="00EB2822"/>
    <w:rsid w:val="00EB2F37"/>
    <w:rsid w:val="00EB3619"/>
    <w:rsid w:val="00EB4B7D"/>
    <w:rsid w:val="00EB4EEA"/>
    <w:rsid w:val="00EB4EF5"/>
    <w:rsid w:val="00EB542B"/>
    <w:rsid w:val="00EB561C"/>
    <w:rsid w:val="00EB56DB"/>
    <w:rsid w:val="00EB5935"/>
    <w:rsid w:val="00EB5CB9"/>
    <w:rsid w:val="00EB5F15"/>
    <w:rsid w:val="00EB6174"/>
    <w:rsid w:val="00EB6AD6"/>
    <w:rsid w:val="00EB6AD8"/>
    <w:rsid w:val="00EB6BA3"/>
    <w:rsid w:val="00EB6C5B"/>
    <w:rsid w:val="00EB6F1B"/>
    <w:rsid w:val="00EB722C"/>
    <w:rsid w:val="00EB7277"/>
    <w:rsid w:val="00EB7940"/>
    <w:rsid w:val="00EB7FFC"/>
    <w:rsid w:val="00EC05A5"/>
    <w:rsid w:val="00EC11B2"/>
    <w:rsid w:val="00EC14B4"/>
    <w:rsid w:val="00EC1C1E"/>
    <w:rsid w:val="00EC1E89"/>
    <w:rsid w:val="00EC1EBA"/>
    <w:rsid w:val="00EC200E"/>
    <w:rsid w:val="00EC20FA"/>
    <w:rsid w:val="00EC322C"/>
    <w:rsid w:val="00EC348D"/>
    <w:rsid w:val="00EC3593"/>
    <w:rsid w:val="00EC35B5"/>
    <w:rsid w:val="00EC35EF"/>
    <w:rsid w:val="00EC3BB6"/>
    <w:rsid w:val="00EC4058"/>
    <w:rsid w:val="00EC4277"/>
    <w:rsid w:val="00EC4390"/>
    <w:rsid w:val="00EC44D8"/>
    <w:rsid w:val="00EC46CC"/>
    <w:rsid w:val="00EC4A6C"/>
    <w:rsid w:val="00EC4FBB"/>
    <w:rsid w:val="00EC55D4"/>
    <w:rsid w:val="00EC5C9E"/>
    <w:rsid w:val="00EC5E80"/>
    <w:rsid w:val="00EC6B28"/>
    <w:rsid w:val="00EC6F55"/>
    <w:rsid w:val="00EC7107"/>
    <w:rsid w:val="00EC7540"/>
    <w:rsid w:val="00EC7958"/>
    <w:rsid w:val="00EC7B21"/>
    <w:rsid w:val="00EC7D07"/>
    <w:rsid w:val="00ED052B"/>
    <w:rsid w:val="00ED0851"/>
    <w:rsid w:val="00ED1112"/>
    <w:rsid w:val="00ED115E"/>
    <w:rsid w:val="00ED18FD"/>
    <w:rsid w:val="00ED21EC"/>
    <w:rsid w:val="00ED2A05"/>
    <w:rsid w:val="00ED2BE7"/>
    <w:rsid w:val="00ED3A66"/>
    <w:rsid w:val="00ED3D6A"/>
    <w:rsid w:val="00ED41F9"/>
    <w:rsid w:val="00ED4294"/>
    <w:rsid w:val="00ED4B8F"/>
    <w:rsid w:val="00ED536C"/>
    <w:rsid w:val="00ED552D"/>
    <w:rsid w:val="00ED62C9"/>
    <w:rsid w:val="00ED68E4"/>
    <w:rsid w:val="00ED6B4F"/>
    <w:rsid w:val="00ED7217"/>
    <w:rsid w:val="00ED7566"/>
    <w:rsid w:val="00ED7622"/>
    <w:rsid w:val="00ED78A6"/>
    <w:rsid w:val="00EE10E4"/>
    <w:rsid w:val="00EE2459"/>
    <w:rsid w:val="00EE3EEB"/>
    <w:rsid w:val="00EE44C1"/>
    <w:rsid w:val="00EE4708"/>
    <w:rsid w:val="00EE5573"/>
    <w:rsid w:val="00EE6774"/>
    <w:rsid w:val="00EE67F4"/>
    <w:rsid w:val="00EE7764"/>
    <w:rsid w:val="00EF0F87"/>
    <w:rsid w:val="00EF1386"/>
    <w:rsid w:val="00EF143E"/>
    <w:rsid w:val="00EF168E"/>
    <w:rsid w:val="00EF237F"/>
    <w:rsid w:val="00EF2A91"/>
    <w:rsid w:val="00EF2B9B"/>
    <w:rsid w:val="00EF2BF9"/>
    <w:rsid w:val="00EF2FC5"/>
    <w:rsid w:val="00EF32F9"/>
    <w:rsid w:val="00EF35BD"/>
    <w:rsid w:val="00EF379A"/>
    <w:rsid w:val="00EF3922"/>
    <w:rsid w:val="00EF39F2"/>
    <w:rsid w:val="00EF3E2B"/>
    <w:rsid w:val="00EF4225"/>
    <w:rsid w:val="00EF46E5"/>
    <w:rsid w:val="00EF4795"/>
    <w:rsid w:val="00EF4D20"/>
    <w:rsid w:val="00EF5607"/>
    <w:rsid w:val="00EF5967"/>
    <w:rsid w:val="00EF5B4A"/>
    <w:rsid w:val="00EF5DAB"/>
    <w:rsid w:val="00EF5FD7"/>
    <w:rsid w:val="00EF67BE"/>
    <w:rsid w:val="00EF6863"/>
    <w:rsid w:val="00EF7283"/>
    <w:rsid w:val="00EF7D86"/>
    <w:rsid w:val="00F001D5"/>
    <w:rsid w:val="00F01077"/>
    <w:rsid w:val="00F01294"/>
    <w:rsid w:val="00F01327"/>
    <w:rsid w:val="00F01B0B"/>
    <w:rsid w:val="00F01D7B"/>
    <w:rsid w:val="00F03A13"/>
    <w:rsid w:val="00F03B7D"/>
    <w:rsid w:val="00F04F54"/>
    <w:rsid w:val="00F0502A"/>
    <w:rsid w:val="00F05698"/>
    <w:rsid w:val="00F05A98"/>
    <w:rsid w:val="00F05B6E"/>
    <w:rsid w:val="00F06226"/>
    <w:rsid w:val="00F0697F"/>
    <w:rsid w:val="00F07556"/>
    <w:rsid w:val="00F075BA"/>
    <w:rsid w:val="00F11086"/>
    <w:rsid w:val="00F111CC"/>
    <w:rsid w:val="00F119D9"/>
    <w:rsid w:val="00F1203A"/>
    <w:rsid w:val="00F12428"/>
    <w:rsid w:val="00F124E0"/>
    <w:rsid w:val="00F12786"/>
    <w:rsid w:val="00F128DB"/>
    <w:rsid w:val="00F133E0"/>
    <w:rsid w:val="00F1368C"/>
    <w:rsid w:val="00F13A3E"/>
    <w:rsid w:val="00F14252"/>
    <w:rsid w:val="00F14CE8"/>
    <w:rsid w:val="00F1528B"/>
    <w:rsid w:val="00F1542F"/>
    <w:rsid w:val="00F15F56"/>
    <w:rsid w:val="00F1601D"/>
    <w:rsid w:val="00F1616E"/>
    <w:rsid w:val="00F16800"/>
    <w:rsid w:val="00F16B67"/>
    <w:rsid w:val="00F16C72"/>
    <w:rsid w:val="00F16F9A"/>
    <w:rsid w:val="00F17015"/>
    <w:rsid w:val="00F1744F"/>
    <w:rsid w:val="00F2089B"/>
    <w:rsid w:val="00F20CEA"/>
    <w:rsid w:val="00F20E10"/>
    <w:rsid w:val="00F20EF7"/>
    <w:rsid w:val="00F210B2"/>
    <w:rsid w:val="00F218D4"/>
    <w:rsid w:val="00F21B9B"/>
    <w:rsid w:val="00F21DCC"/>
    <w:rsid w:val="00F233C8"/>
    <w:rsid w:val="00F2344C"/>
    <w:rsid w:val="00F23E12"/>
    <w:rsid w:val="00F2439E"/>
    <w:rsid w:val="00F24F24"/>
    <w:rsid w:val="00F25478"/>
    <w:rsid w:val="00F25725"/>
    <w:rsid w:val="00F261D1"/>
    <w:rsid w:val="00F26AD5"/>
    <w:rsid w:val="00F26DE2"/>
    <w:rsid w:val="00F26F70"/>
    <w:rsid w:val="00F26FEB"/>
    <w:rsid w:val="00F274E5"/>
    <w:rsid w:val="00F2752E"/>
    <w:rsid w:val="00F301D8"/>
    <w:rsid w:val="00F305F5"/>
    <w:rsid w:val="00F30A00"/>
    <w:rsid w:val="00F30DB8"/>
    <w:rsid w:val="00F30EEC"/>
    <w:rsid w:val="00F31509"/>
    <w:rsid w:val="00F31AE0"/>
    <w:rsid w:val="00F31BA0"/>
    <w:rsid w:val="00F32B98"/>
    <w:rsid w:val="00F32DCA"/>
    <w:rsid w:val="00F32F17"/>
    <w:rsid w:val="00F33B28"/>
    <w:rsid w:val="00F34600"/>
    <w:rsid w:val="00F348DC"/>
    <w:rsid w:val="00F34F35"/>
    <w:rsid w:val="00F35540"/>
    <w:rsid w:val="00F3568C"/>
    <w:rsid w:val="00F35888"/>
    <w:rsid w:val="00F35A8C"/>
    <w:rsid w:val="00F37690"/>
    <w:rsid w:val="00F37C68"/>
    <w:rsid w:val="00F37D5F"/>
    <w:rsid w:val="00F41B69"/>
    <w:rsid w:val="00F41D70"/>
    <w:rsid w:val="00F41E27"/>
    <w:rsid w:val="00F41E67"/>
    <w:rsid w:val="00F420EE"/>
    <w:rsid w:val="00F42185"/>
    <w:rsid w:val="00F42478"/>
    <w:rsid w:val="00F42BB5"/>
    <w:rsid w:val="00F42DF1"/>
    <w:rsid w:val="00F4304C"/>
    <w:rsid w:val="00F432E7"/>
    <w:rsid w:val="00F43C26"/>
    <w:rsid w:val="00F43CC0"/>
    <w:rsid w:val="00F43CDF"/>
    <w:rsid w:val="00F43F15"/>
    <w:rsid w:val="00F441BF"/>
    <w:rsid w:val="00F44618"/>
    <w:rsid w:val="00F4478F"/>
    <w:rsid w:val="00F44BDB"/>
    <w:rsid w:val="00F44CB1"/>
    <w:rsid w:val="00F4519D"/>
    <w:rsid w:val="00F453E9"/>
    <w:rsid w:val="00F456C0"/>
    <w:rsid w:val="00F45B26"/>
    <w:rsid w:val="00F45B87"/>
    <w:rsid w:val="00F46225"/>
    <w:rsid w:val="00F46507"/>
    <w:rsid w:val="00F46B04"/>
    <w:rsid w:val="00F46F33"/>
    <w:rsid w:val="00F4724C"/>
    <w:rsid w:val="00F476C3"/>
    <w:rsid w:val="00F4793D"/>
    <w:rsid w:val="00F47A63"/>
    <w:rsid w:val="00F501B7"/>
    <w:rsid w:val="00F502ED"/>
    <w:rsid w:val="00F507FE"/>
    <w:rsid w:val="00F51496"/>
    <w:rsid w:val="00F533D6"/>
    <w:rsid w:val="00F539F9"/>
    <w:rsid w:val="00F53AE1"/>
    <w:rsid w:val="00F54F21"/>
    <w:rsid w:val="00F5521E"/>
    <w:rsid w:val="00F55485"/>
    <w:rsid w:val="00F554EE"/>
    <w:rsid w:val="00F562DC"/>
    <w:rsid w:val="00F56877"/>
    <w:rsid w:val="00F57166"/>
    <w:rsid w:val="00F572AE"/>
    <w:rsid w:val="00F577EB"/>
    <w:rsid w:val="00F60BCD"/>
    <w:rsid w:val="00F60CA8"/>
    <w:rsid w:val="00F61920"/>
    <w:rsid w:val="00F61C48"/>
    <w:rsid w:val="00F627F0"/>
    <w:rsid w:val="00F6299C"/>
    <w:rsid w:val="00F62DA4"/>
    <w:rsid w:val="00F63C77"/>
    <w:rsid w:val="00F63E9A"/>
    <w:rsid w:val="00F645DE"/>
    <w:rsid w:val="00F64AE6"/>
    <w:rsid w:val="00F6513C"/>
    <w:rsid w:val="00F6527C"/>
    <w:rsid w:val="00F657A0"/>
    <w:rsid w:val="00F65CAD"/>
    <w:rsid w:val="00F6629B"/>
    <w:rsid w:val="00F6649A"/>
    <w:rsid w:val="00F6673F"/>
    <w:rsid w:val="00F66F8D"/>
    <w:rsid w:val="00F6762C"/>
    <w:rsid w:val="00F6764F"/>
    <w:rsid w:val="00F706A8"/>
    <w:rsid w:val="00F71A15"/>
    <w:rsid w:val="00F71BD6"/>
    <w:rsid w:val="00F71F10"/>
    <w:rsid w:val="00F7255F"/>
    <w:rsid w:val="00F72EB2"/>
    <w:rsid w:val="00F73544"/>
    <w:rsid w:val="00F736BE"/>
    <w:rsid w:val="00F73ACC"/>
    <w:rsid w:val="00F74211"/>
    <w:rsid w:val="00F74414"/>
    <w:rsid w:val="00F74573"/>
    <w:rsid w:val="00F7495D"/>
    <w:rsid w:val="00F75116"/>
    <w:rsid w:val="00F75F46"/>
    <w:rsid w:val="00F80200"/>
    <w:rsid w:val="00F80360"/>
    <w:rsid w:val="00F8060C"/>
    <w:rsid w:val="00F80650"/>
    <w:rsid w:val="00F806D3"/>
    <w:rsid w:val="00F80700"/>
    <w:rsid w:val="00F807C1"/>
    <w:rsid w:val="00F814E5"/>
    <w:rsid w:val="00F81FB7"/>
    <w:rsid w:val="00F8253B"/>
    <w:rsid w:val="00F828BD"/>
    <w:rsid w:val="00F82B79"/>
    <w:rsid w:val="00F82C04"/>
    <w:rsid w:val="00F82E4D"/>
    <w:rsid w:val="00F82E8C"/>
    <w:rsid w:val="00F830F2"/>
    <w:rsid w:val="00F8317C"/>
    <w:rsid w:val="00F83CBD"/>
    <w:rsid w:val="00F84688"/>
    <w:rsid w:val="00F84782"/>
    <w:rsid w:val="00F8525D"/>
    <w:rsid w:val="00F857BD"/>
    <w:rsid w:val="00F85B57"/>
    <w:rsid w:val="00F8668B"/>
    <w:rsid w:val="00F86E83"/>
    <w:rsid w:val="00F87120"/>
    <w:rsid w:val="00F8716B"/>
    <w:rsid w:val="00F87628"/>
    <w:rsid w:val="00F878D0"/>
    <w:rsid w:val="00F87AB6"/>
    <w:rsid w:val="00F908EB"/>
    <w:rsid w:val="00F90BAC"/>
    <w:rsid w:val="00F91850"/>
    <w:rsid w:val="00F91EFC"/>
    <w:rsid w:val="00F91F25"/>
    <w:rsid w:val="00F9240F"/>
    <w:rsid w:val="00F92767"/>
    <w:rsid w:val="00F92D07"/>
    <w:rsid w:val="00F93E44"/>
    <w:rsid w:val="00F94476"/>
    <w:rsid w:val="00F947AD"/>
    <w:rsid w:val="00F949B6"/>
    <w:rsid w:val="00F94AAB"/>
    <w:rsid w:val="00F94DCB"/>
    <w:rsid w:val="00F94F13"/>
    <w:rsid w:val="00F95C4F"/>
    <w:rsid w:val="00F95CCA"/>
    <w:rsid w:val="00F95D25"/>
    <w:rsid w:val="00F9607E"/>
    <w:rsid w:val="00F9731A"/>
    <w:rsid w:val="00F97A49"/>
    <w:rsid w:val="00FA0347"/>
    <w:rsid w:val="00FA05F3"/>
    <w:rsid w:val="00FA0DB1"/>
    <w:rsid w:val="00FA0EFA"/>
    <w:rsid w:val="00FA1059"/>
    <w:rsid w:val="00FA2171"/>
    <w:rsid w:val="00FA29A3"/>
    <w:rsid w:val="00FA2B4E"/>
    <w:rsid w:val="00FA2C62"/>
    <w:rsid w:val="00FA491D"/>
    <w:rsid w:val="00FA5599"/>
    <w:rsid w:val="00FA5D8E"/>
    <w:rsid w:val="00FA6544"/>
    <w:rsid w:val="00FA693E"/>
    <w:rsid w:val="00FA6AD8"/>
    <w:rsid w:val="00FA6B16"/>
    <w:rsid w:val="00FB0D7C"/>
    <w:rsid w:val="00FB15DC"/>
    <w:rsid w:val="00FB1D4F"/>
    <w:rsid w:val="00FB2BE6"/>
    <w:rsid w:val="00FB2CD5"/>
    <w:rsid w:val="00FB2F26"/>
    <w:rsid w:val="00FB3130"/>
    <w:rsid w:val="00FB337C"/>
    <w:rsid w:val="00FB35F9"/>
    <w:rsid w:val="00FB4163"/>
    <w:rsid w:val="00FB4407"/>
    <w:rsid w:val="00FB4E60"/>
    <w:rsid w:val="00FB543E"/>
    <w:rsid w:val="00FB650A"/>
    <w:rsid w:val="00FB6555"/>
    <w:rsid w:val="00FB75C4"/>
    <w:rsid w:val="00FB7BA6"/>
    <w:rsid w:val="00FC1195"/>
    <w:rsid w:val="00FC16B7"/>
    <w:rsid w:val="00FC18CE"/>
    <w:rsid w:val="00FC1932"/>
    <w:rsid w:val="00FC19E9"/>
    <w:rsid w:val="00FC1CFC"/>
    <w:rsid w:val="00FC2610"/>
    <w:rsid w:val="00FC2BE7"/>
    <w:rsid w:val="00FC2FF1"/>
    <w:rsid w:val="00FC3440"/>
    <w:rsid w:val="00FC3C9D"/>
    <w:rsid w:val="00FC3FC8"/>
    <w:rsid w:val="00FC4094"/>
    <w:rsid w:val="00FC44AE"/>
    <w:rsid w:val="00FC500A"/>
    <w:rsid w:val="00FC5321"/>
    <w:rsid w:val="00FC53EF"/>
    <w:rsid w:val="00FC5576"/>
    <w:rsid w:val="00FC5BFE"/>
    <w:rsid w:val="00FC5C8D"/>
    <w:rsid w:val="00FC6A24"/>
    <w:rsid w:val="00FC6A8E"/>
    <w:rsid w:val="00FC7096"/>
    <w:rsid w:val="00FC7B6F"/>
    <w:rsid w:val="00FD0559"/>
    <w:rsid w:val="00FD079B"/>
    <w:rsid w:val="00FD0FFE"/>
    <w:rsid w:val="00FD12BD"/>
    <w:rsid w:val="00FD1310"/>
    <w:rsid w:val="00FD2485"/>
    <w:rsid w:val="00FD299B"/>
    <w:rsid w:val="00FD31CF"/>
    <w:rsid w:val="00FD3902"/>
    <w:rsid w:val="00FD3BB5"/>
    <w:rsid w:val="00FD4607"/>
    <w:rsid w:val="00FD469A"/>
    <w:rsid w:val="00FD4DE5"/>
    <w:rsid w:val="00FD4F39"/>
    <w:rsid w:val="00FD575E"/>
    <w:rsid w:val="00FD6601"/>
    <w:rsid w:val="00FD67AA"/>
    <w:rsid w:val="00FD6909"/>
    <w:rsid w:val="00FD7482"/>
    <w:rsid w:val="00FD7626"/>
    <w:rsid w:val="00FD76D0"/>
    <w:rsid w:val="00FD7D83"/>
    <w:rsid w:val="00FD7EC2"/>
    <w:rsid w:val="00FD7EF5"/>
    <w:rsid w:val="00FE02EE"/>
    <w:rsid w:val="00FE0435"/>
    <w:rsid w:val="00FE11BE"/>
    <w:rsid w:val="00FE141C"/>
    <w:rsid w:val="00FE2389"/>
    <w:rsid w:val="00FE311F"/>
    <w:rsid w:val="00FE3170"/>
    <w:rsid w:val="00FE352F"/>
    <w:rsid w:val="00FE38B4"/>
    <w:rsid w:val="00FE3937"/>
    <w:rsid w:val="00FE3F57"/>
    <w:rsid w:val="00FE4314"/>
    <w:rsid w:val="00FE4551"/>
    <w:rsid w:val="00FE53F1"/>
    <w:rsid w:val="00FE5583"/>
    <w:rsid w:val="00FE56E7"/>
    <w:rsid w:val="00FE5AEB"/>
    <w:rsid w:val="00FE5F2F"/>
    <w:rsid w:val="00FE62EC"/>
    <w:rsid w:val="00FE644C"/>
    <w:rsid w:val="00FE663D"/>
    <w:rsid w:val="00FE67F7"/>
    <w:rsid w:val="00FE68E7"/>
    <w:rsid w:val="00FE71C6"/>
    <w:rsid w:val="00FE7630"/>
    <w:rsid w:val="00FE767E"/>
    <w:rsid w:val="00FE79D5"/>
    <w:rsid w:val="00FE7EA9"/>
    <w:rsid w:val="00FF0364"/>
    <w:rsid w:val="00FF065E"/>
    <w:rsid w:val="00FF19EC"/>
    <w:rsid w:val="00FF1B29"/>
    <w:rsid w:val="00FF1F32"/>
    <w:rsid w:val="00FF2409"/>
    <w:rsid w:val="00FF2679"/>
    <w:rsid w:val="00FF2B64"/>
    <w:rsid w:val="00FF2FF9"/>
    <w:rsid w:val="00FF333B"/>
    <w:rsid w:val="00FF3785"/>
    <w:rsid w:val="00FF3D90"/>
    <w:rsid w:val="00FF4A4C"/>
    <w:rsid w:val="00FF5660"/>
    <w:rsid w:val="00FF5780"/>
    <w:rsid w:val="00FF5933"/>
    <w:rsid w:val="00FF5A99"/>
    <w:rsid w:val="00FF5E3C"/>
    <w:rsid w:val="00FF61A8"/>
    <w:rsid w:val="00FF6E65"/>
    <w:rsid w:val="00FF72C4"/>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8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B6"/>
    <w:pPr>
      <w:spacing w:after="100" w:line="400" w:lineRule="exact"/>
      <w:jc w:val="both"/>
    </w:pPr>
    <w:rPr>
      <w:rFonts w:ascii="Century Schoolbook" w:hAnsi="Century Schoolbook"/>
      <w:sz w:val="27"/>
    </w:rPr>
  </w:style>
  <w:style w:type="paragraph" w:styleId="Heading1">
    <w:name w:val="heading 1"/>
    <w:basedOn w:val="Normal"/>
    <w:next w:val="Normal"/>
    <w:qFormat/>
    <w:rsid w:val="00D31FB6"/>
    <w:pPr>
      <w:keepNext/>
      <w:spacing w:before="140" w:line="240" w:lineRule="atLeast"/>
      <w:jc w:val="center"/>
      <w:outlineLvl w:val="0"/>
    </w:pPr>
    <w:rPr>
      <w:b/>
      <w:smallCaps/>
    </w:rPr>
  </w:style>
  <w:style w:type="paragraph" w:styleId="Heading2">
    <w:name w:val="heading 2"/>
    <w:basedOn w:val="Normal"/>
    <w:next w:val="Normal"/>
    <w:qFormat/>
    <w:rsid w:val="00D31FB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D31FB6"/>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D31FB6"/>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D31FB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7631D"/>
    <w:pPr>
      <w:ind w:left="720"/>
    </w:pPr>
  </w:style>
  <w:style w:type="paragraph" w:styleId="Footer">
    <w:name w:val="footer"/>
    <w:basedOn w:val="Normal"/>
    <w:link w:val="FooterChar"/>
    <w:uiPriority w:val="99"/>
    <w:qFormat/>
    <w:rsid w:val="00D31FB6"/>
    <w:pPr>
      <w:tabs>
        <w:tab w:val="center" w:pos="3960"/>
        <w:tab w:val="right" w:pos="10080"/>
      </w:tabs>
      <w:spacing w:after="0" w:line="240" w:lineRule="auto"/>
      <w:jc w:val="center"/>
    </w:pPr>
    <w:rPr>
      <w:sz w:val="22"/>
    </w:rPr>
  </w:style>
  <w:style w:type="paragraph" w:styleId="Header">
    <w:name w:val="header"/>
    <w:basedOn w:val="Normal"/>
    <w:qFormat/>
    <w:rsid w:val="00D31FB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31FB6"/>
    <w:rPr>
      <w:rFonts w:ascii="Century Schoolbook" w:hAnsi="Century Schoolbook"/>
      <w:b/>
      <w:i w:val="0"/>
      <w:position w:val="4"/>
      <w:sz w:val="27"/>
      <w:vertAlign w:val="superscript"/>
    </w:rPr>
  </w:style>
  <w:style w:type="paragraph" w:styleId="FootnoteText">
    <w:name w:val="footnote text"/>
    <w:basedOn w:val="Normal"/>
    <w:link w:val="FootnoteTextChar"/>
    <w:rsid w:val="00D31FB6"/>
    <w:pPr>
      <w:spacing w:line="300" w:lineRule="exact"/>
    </w:pPr>
  </w:style>
  <w:style w:type="paragraph" w:customStyle="1" w:styleId="Title1">
    <w:name w:val="Title1"/>
    <w:basedOn w:val="Normal"/>
    <w:rsid w:val="00A7631D"/>
    <w:pPr>
      <w:tabs>
        <w:tab w:val="left" w:pos="5760"/>
        <w:tab w:val="left" w:pos="6480"/>
      </w:tabs>
      <w:spacing w:line="240" w:lineRule="atLeast"/>
    </w:pPr>
  </w:style>
  <w:style w:type="paragraph" w:customStyle="1" w:styleId="Recommend">
    <w:name w:val="Recommend"/>
    <w:basedOn w:val="Normal"/>
    <w:rsid w:val="00A7631D"/>
  </w:style>
  <w:style w:type="paragraph" w:customStyle="1" w:styleId="Summary">
    <w:name w:val="Summary"/>
    <w:basedOn w:val="Normal"/>
    <w:rsid w:val="00A7631D"/>
    <w:pPr>
      <w:ind w:left="2160" w:hanging="2160"/>
    </w:pPr>
  </w:style>
  <w:style w:type="paragraph" w:customStyle="1" w:styleId="Text">
    <w:name w:val="Text"/>
    <w:basedOn w:val="Normal"/>
    <w:link w:val="TextChar"/>
    <w:rsid w:val="00A7631D"/>
    <w:pPr>
      <w:tabs>
        <w:tab w:val="left" w:pos="720"/>
        <w:tab w:val="left" w:pos="1440"/>
        <w:tab w:val="left" w:pos="2160"/>
        <w:tab w:val="center" w:pos="4320"/>
      </w:tabs>
      <w:spacing w:line="480" w:lineRule="atLeast"/>
      <w:ind w:firstLine="540"/>
    </w:pPr>
  </w:style>
  <w:style w:type="paragraph" w:styleId="Date">
    <w:name w:val="Date"/>
    <w:basedOn w:val="Normal"/>
    <w:semiHidden/>
    <w:rsid w:val="00A7631D"/>
    <w:pPr>
      <w:jc w:val="right"/>
    </w:pPr>
  </w:style>
  <w:style w:type="character" w:styleId="PageNumber">
    <w:name w:val="page number"/>
    <w:basedOn w:val="DefaultParagraphFont"/>
    <w:semiHidden/>
    <w:rsid w:val="00A7631D"/>
  </w:style>
  <w:style w:type="paragraph" w:customStyle="1" w:styleId="subject">
    <w:name w:val="subject"/>
    <w:basedOn w:val="Normal"/>
    <w:rsid w:val="00A7631D"/>
    <w:pPr>
      <w:tabs>
        <w:tab w:val="left" w:pos="1008"/>
      </w:tabs>
      <w:ind w:left="990" w:hanging="990"/>
    </w:pPr>
    <w:rPr>
      <w:b/>
    </w:rPr>
  </w:style>
  <w:style w:type="paragraph" w:customStyle="1" w:styleId="Titles">
    <w:name w:val="Titles"/>
    <w:basedOn w:val="Normal"/>
    <w:rsid w:val="00A7631D"/>
    <w:pPr>
      <w:tabs>
        <w:tab w:val="left" w:pos="2160"/>
      </w:tabs>
      <w:ind w:left="2160" w:hanging="2160"/>
    </w:pPr>
    <w:rPr>
      <w:b/>
    </w:rPr>
  </w:style>
  <w:style w:type="paragraph" w:styleId="TOAHeading">
    <w:name w:val="toa heading"/>
    <w:basedOn w:val="Normal"/>
    <w:next w:val="Normal"/>
    <w:semiHidden/>
    <w:rsid w:val="00A7631D"/>
    <w:pPr>
      <w:spacing w:before="120"/>
    </w:pPr>
    <w:rPr>
      <w:b/>
    </w:rPr>
  </w:style>
  <w:style w:type="paragraph" w:styleId="TOC1">
    <w:name w:val="toc 1"/>
    <w:basedOn w:val="Normal"/>
    <w:next w:val="Normal"/>
    <w:autoRedefine/>
    <w:uiPriority w:val="39"/>
    <w:rsid w:val="00D31FB6"/>
  </w:style>
  <w:style w:type="paragraph" w:styleId="TOC2">
    <w:name w:val="toc 2"/>
    <w:basedOn w:val="Normal"/>
    <w:next w:val="Normal"/>
    <w:autoRedefine/>
    <w:uiPriority w:val="39"/>
    <w:rsid w:val="00D31FB6"/>
    <w:pPr>
      <w:ind w:left="259"/>
    </w:pPr>
  </w:style>
  <w:style w:type="paragraph" w:styleId="TOC3">
    <w:name w:val="toc 3"/>
    <w:basedOn w:val="Normal"/>
    <w:next w:val="Normal"/>
    <w:autoRedefine/>
    <w:uiPriority w:val="39"/>
    <w:rsid w:val="00D31FB6"/>
    <w:pPr>
      <w:ind w:left="520"/>
    </w:pPr>
  </w:style>
  <w:style w:type="paragraph" w:styleId="TOC4">
    <w:name w:val="toc 4"/>
    <w:basedOn w:val="Normal"/>
    <w:next w:val="Normal"/>
    <w:autoRedefine/>
    <w:semiHidden/>
    <w:rsid w:val="00A7631D"/>
    <w:pPr>
      <w:ind w:left="780"/>
    </w:pPr>
  </w:style>
  <w:style w:type="paragraph" w:styleId="TOC5">
    <w:name w:val="toc 5"/>
    <w:basedOn w:val="Normal"/>
    <w:next w:val="Normal"/>
    <w:autoRedefine/>
    <w:semiHidden/>
    <w:rsid w:val="00A7631D"/>
    <w:pPr>
      <w:ind w:left="1040"/>
    </w:pPr>
  </w:style>
  <w:style w:type="paragraph" w:styleId="TOC6">
    <w:name w:val="toc 6"/>
    <w:basedOn w:val="Normal"/>
    <w:next w:val="Normal"/>
    <w:autoRedefine/>
    <w:semiHidden/>
    <w:rsid w:val="00A7631D"/>
    <w:pPr>
      <w:ind w:left="1300"/>
    </w:pPr>
  </w:style>
  <w:style w:type="paragraph" w:styleId="TOC7">
    <w:name w:val="toc 7"/>
    <w:basedOn w:val="Normal"/>
    <w:next w:val="Normal"/>
    <w:autoRedefine/>
    <w:semiHidden/>
    <w:rsid w:val="00A7631D"/>
    <w:pPr>
      <w:ind w:left="1560"/>
    </w:pPr>
  </w:style>
  <w:style w:type="paragraph" w:styleId="TOC8">
    <w:name w:val="toc 8"/>
    <w:basedOn w:val="Normal"/>
    <w:next w:val="Normal"/>
    <w:autoRedefine/>
    <w:semiHidden/>
    <w:rsid w:val="00A7631D"/>
    <w:pPr>
      <w:ind w:left="1820"/>
    </w:pPr>
  </w:style>
  <w:style w:type="paragraph" w:styleId="TOC9">
    <w:name w:val="toc 9"/>
    <w:basedOn w:val="Normal"/>
    <w:next w:val="Normal"/>
    <w:autoRedefine/>
    <w:semiHidden/>
    <w:rsid w:val="00A7631D"/>
    <w:pPr>
      <w:ind w:left="2080"/>
    </w:pPr>
  </w:style>
  <w:style w:type="paragraph" w:customStyle="1" w:styleId="Contents">
    <w:name w:val="Contents"/>
    <w:basedOn w:val="Normal"/>
    <w:rsid w:val="00A7631D"/>
    <w:pPr>
      <w:jc w:val="center"/>
    </w:pPr>
    <w:rPr>
      <w:b/>
      <w:spacing w:val="100"/>
    </w:rPr>
  </w:style>
  <w:style w:type="character" w:customStyle="1" w:styleId="Heading3Char">
    <w:name w:val="Heading 3 Char"/>
    <w:basedOn w:val="DefaultParagraphFont"/>
    <w:link w:val="Heading3"/>
    <w:rsid w:val="00150763"/>
    <w:rPr>
      <w:rFonts w:ascii="Century Schoolbook" w:hAnsi="Century Schoolbook"/>
      <w:i/>
      <w:sz w:val="27"/>
    </w:rPr>
  </w:style>
  <w:style w:type="paragraph" w:styleId="TOCHeading">
    <w:name w:val="TOC Heading"/>
    <w:basedOn w:val="Heading1"/>
    <w:next w:val="Normal"/>
    <w:uiPriority w:val="39"/>
    <w:unhideWhenUsed/>
    <w:qFormat/>
    <w:rsid w:val="004C3BAD"/>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4C3BAD"/>
    <w:rPr>
      <w:color w:val="0000FF" w:themeColor="hyperlink"/>
      <w:u w:val="single"/>
    </w:rPr>
  </w:style>
  <w:style w:type="paragraph" w:styleId="ListParagraph">
    <w:name w:val="List Paragraph"/>
    <w:basedOn w:val="Normal"/>
    <w:uiPriority w:val="34"/>
    <w:qFormat/>
    <w:rsid w:val="00E00235"/>
    <w:pPr>
      <w:ind w:left="720"/>
      <w:contextualSpacing/>
    </w:pPr>
  </w:style>
  <w:style w:type="character" w:styleId="UnresolvedMention">
    <w:name w:val="Unresolved Mention"/>
    <w:basedOn w:val="DefaultParagraphFont"/>
    <w:uiPriority w:val="99"/>
    <w:semiHidden/>
    <w:unhideWhenUsed/>
    <w:rsid w:val="00795D12"/>
    <w:rPr>
      <w:color w:val="605E5C"/>
      <w:shd w:val="clear" w:color="auto" w:fill="E1DFDD"/>
    </w:rPr>
  </w:style>
  <w:style w:type="character" w:customStyle="1" w:styleId="FooterChar">
    <w:name w:val="Footer Char"/>
    <w:basedOn w:val="DefaultParagraphFont"/>
    <w:link w:val="Footer"/>
    <w:uiPriority w:val="99"/>
    <w:rsid w:val="00666203"/>
    <w:rPr>
      <w:rFonts w:ascii="Century Schoolbook" w:hAnsi="Century Schoolbook"/>
      <w:sz w:val="22"/>
    </w:rPr>
  </w:style>
  <w:style w:type="character" w:styleId="CommentReference">
    <w:name w:val="annotation reference"/>
    <w:basedOn w:val="DefaultParagraphFont"/>
    <w:uiPriority w:val="99"/>
    <w:unhideWhenUsed/>
    <w:rsid w:val="00666203"/>
    <w:rPr>
      <w:sz w:val="16"/>
      <w:szCs w:val="16"/>
    </w:rPr>
  </w:style>
  <w:style w:type="paragraph" w:styleId="CommentText">
    <w:name w:val="annotation text"/>
    <w:basedOn w:val="Normal"/>
    <w:link w:val="CommentTextChar"/>
    <w:uiPriority w:val="99"/>
    <w:unhideWhenUsed/>
    <w:rsid w:val="00666203"/>
    <w:rPr>
      <w:rFonts w:asciiTheme="minorHAnsi" w:eastAsiaTheme="minorHAnsi" w:hAnsiTheme="minorHAnsi"/>
      <w:sz w:val="20"/>
    </w:rPr>
  </w:style>
  <w:style w:type="character" w:customStyle="1" w:styleId="CommentTextChar">
    <w:name w:val="Comment Text Char"/>
    <w:basedOn w:val="DefaultParagraphFont"/>
    <w:link w:val="CommentText"/>
    <w:uiPriority w:val="99"/>
    <w:rsid w:val="00666203"/>
    <w:rPr>
      <w:rFonts w:asciiTheme="minorHAnsi" w:eastAsiaTheme="minorHAnsi" w:hAnsiTheme="minorHAnsi"/>
    </w:rPr>
  </w:style>
  <w:style w:type="character" w:customStyle="1" w:styleId="FootnoteTextChar">
    <w:name w:val="Footnote Text Char"/>
    <w:basedOn w:val="DefaultParagraphFont"/>
    <w:link w:val="FootnoteText"/>
    <w:rsid w:val="00666203"/>
    <w:rPr>
      <w:rFonts w:ascii="Century Schoolbook" w:hAnsi="Century Schoolbook"/>
      <w:sz w:val="27"/>
    </w:rPr>
  </w:style>
  <w:style w:type="paragraph" w:styleId="BalloonText">
    <w:name w:val="Balloon Text"/>
    <w:basedOn w:val="Normal"/>
    <w:link w:val="BalloonTextChar"/>
    <w:uiPriority w:val="99"/>
    <w:semiHidden/>
    <w:unhideWhenUsed/>
    <w:rsid w:val="0066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03"/>
    <w:rPr>
      <w:rFonts w:ascii="Segoe UI" w:hAnsi="Segoe UI" w:cs="Segoe UI"/>
      <w:sz w:val="18"/>
      <w:szCs w:val="18"/>
    </w:rPr>
  </w:style>
  <w:style w:type="character" w:styleId="Emphasis">
    <w:name w:val="Emphasis"/>
    <w:basedOn w:val="DefaultParagraphFont"/>
    <w:uiPriority w:val="20"/>
    <w:qFormat/>
    <w:rsid w:val="00F1542F"/>
    <w:rPr>
      <w:i/>
      <w:iCs/>
    </w:rPr>
  </w:style>
  <w:style w:type="character" w:customStyle="1" w:styleId="cosearchterm">
    <w:name w:val="co_searchterm"/>
    <w:basedOn w:val="DefaultParagraphFont"/>
    <w:rsid w:val="00F1542F"/>
  </w:style>
  <w:style w:type="paragraph" w:styleId="CommentSubject">
    <w:name w:val="annotation subject"/>
    <w:basedOn w:val="CommentText"/>
    <w:next w:val="CommentText"/>
    <w:link w:val="CommentSubjectChar"/>
    <w:uiPriority w:val="99"/>
    <w:semiHidden/>
    <w:unhideWhenUsed/>
    <w:rsid w:val="00E534E9"/>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534E9"/>
    <w:rPr>
      <w:rFonts w:asciiTheme="minorHAnsi" w:eastAsiaTheme="minorHAnsi" w:hAnsiTheme="minorHAnsi"/>
      <w:b/>
      <w:bCs/>
    </w:rPr>
  </w:style>
  <w:style w:type="character" w:customStyle="1" w:styleId="cohl">
    <w:name w:val="co_hl"/>
    <w:basedOn w:val="DefaultParagraphFont"/>
    <w:rsid w:val="00B616C6"/>
  </w:style>
  <w:style w:type="paragraph" w:customStyle="1" w:styleId="paragraph">
    <w:name w:val="paragraph"/>
    <w:basedOn w:val="Normal"/>
    <w:rsid w:val="00D31FB6"/>
    <w:pPr>
      <w:spacing w:before="100" w:beforeAutospacing="1" w:afterAutospacing="1"/>
    </w:pPr>
    <w:rPr>
      <w:sz w:val="24"/>
      <w:szCs w:val="24"/>
    </w:rPr>
  </w:style>
  <w:style w:type="character" w:customStyle="1" w:styleId="normaltextrun">
    <w:name w:val="normaltextrun"/>
    <w:basedOn w:val="DefaultParagraphFont"/>
    <w:rsid w:val="00B616C6"/>
  </w:style>
  <w:style w:type="character" w:customStyle="1" w:styleId="eop">
    <w:name w:val="eop"/>
    <w:basedOn w:val="DefaultParagraphFont"/>
    <w:rsid w:val="00B616C6"/>
  </w:style>
  <w:style w:type="character" w:customStyle="1" w:styleId="costarpage">
    <w:name w:val="co_starpage"/>
    <w:basedOn w:val="DefaultParagraphFont"/>
    <w:rsid w:val="00E93776"/>
  </w:style>
  <w:style w:type="character" w:customStyle="1" w:styleId="apple-converted-space">
    <w:name w:val="apple-converted-space"/>
    <w:basedOn w:val="DefaultParagraphFont"/>
    <w:rsid w:val="001C3DBC"/>
  </w:style>
  <w:style w:type="character" w:customStyle="1" w:styleId="TextChar">
    <w:name w:val="Text Char"/>
    <w:basedOn w:val="DefaultParagraphFont"/>
    <w:link w:val="Text"/>
    <w:locked/>
    <w:rsid w:val="00BC4762"/>
    <w:rPr>
      <w:rFonts w:ascii="Century Schoolbook" w:hAnsi="Century Schoolbook"/>
      <w:sz w:val="27"/>
    </w:rPr>
  </w:style>
  <w:style w:type="paragraph" w:styleId="Revision">
    <w:name w:val="Revision"/>
    <w:hidden/>
    <w:uiPriority w:val="99"/>
    <w:semiHidden/>
    <w:rsid w:val="00842BEF"/>
    <w:rPr>
      <w:sz w:val="26"/>
    </w:rPr>
  </w:style>
  <w:style w:type="character" w:styleId="FollowedHyperlink">
    <w:name w:val="FollowedHyperlink"/>
    <w:basedOn w:val="DefaultParagraphFont"/>
    <w:uiPriority w:val="99"/>
    <w:semiHidden/>
    <w:unhideWhenUsed/>
    <w:rsid w:val="008C2F68"/>
    <w:rPr>
      <w:color w:val="800080" w:themeColor="followedHyperlink"/>
      <w:u w:val="single"/>
    </w:rPr>
  </w:style>
  <w:style w:type="character" w:customStyle="1" w:styleId="ssrfcpassagedeactivated">
    <w:name w:val="ss_rfcpassage_deactivated"/>
    <w:basedOn w:val="DefaultParagraphFont"/>
    <w:rsid w:val="00801A09"/>
  </w:style>
  <w:style w:type="character" w:customStyle="1" w:styleId="ssit">
    <w:name w:val="ss_it"/>
    <w:basedOn w:val="DefaultParagraphFont"/>
    <w:rsid w:val="00801A09"/>
  </w:style>
  <w:style w:type="paragraph" w:styleId="BodyText">
    <w:name w:val="Body Text"/>
    <w:basedOn w:val="Normal"/>
    <w:link w:val="BodyTextChar"/>
    <w:qFormat/>
    <w:rsid w:val="00A7631D"/>
  </w:style>
  <w:style w:type="character" w:customStyle="1" w:styleId="BodyTextChar">
    <w:name w:val="Body Text Char"/>
    <w:basedOn w:val="DefaultParagraphFont"/>
    <w:link w:val="BodyText"/>
    <w:rsid w:val="00A7631D"/>
    <w:rPr>
      <w:rFonts w:ascii="Century Schoolbook" w:hAnsi="Century Schoolbook"/>
      <w:sz w:val="27"/>
    </w:rPr>
  </w:style>
  <w:style w:type="character" w:customStyle="1" w:styleId="DeltaViewDeletion">
    <w:name w:val="DeltaView Deletion"/>
    <w:uiPriority w:val="99"/>
    <w:rsid w:val="00C66274"/>
    <w:rPr>
      <w:strike/>
      <w:color w:val="FF0000"/>
    </w:rPr>
  </w:style>
  <w:style w:type="character" w:customStyle="1" w:styleId="DeltaViewMoveDestination">
    <w:name w:val="DeltaView Move Destination"/>
    <w:uiPriority w:val="99"/>
    <w:rsid w:val="00C66274"/>
    <w:rPr>
      <w:color w:val="00C000"/>
      <w:u w:val="double"/>
    </w:rPr>
  </w:style>
  <w:style w:type="paragraph" w:customStyle="1" w:styleId="PRComments">
    <w:name w:val="PR Comments"/>
    <w:basedOn w:val="Normal"/>
    <w:rsid w:val="00C66274"/>
    <w:pPr>
      <w:spacing w:after="0" w:line="360" w:lineRule="atLeast"/>
      <w:ind w:right="-360"/>
      <w:jc w:val="left"/>
    </w:pPr>
    <w:rPr>
      <w:rFonts w:ascii="Times New Roman" w:hAnsi="Times New Roman"/>
      <w:sz w:val="26"/>
    </w:rPr>
  </w:style>
  <w:style w:type="character" w:customStyle="1" w:styleId="DeltaViewInsertion">
    <w:name w:val="DeltaView Insertion"/>
    <w:uiPriority w:val="99"/>
    <w:rsid w:val="00C6627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2058">
      <w:bodyDiv w:val="1"/>
      <w:marLeft w:val="0"/>
      <w:marRight w:val="0"/>
      <w:marTop w:val="0"/>
      <w:marBottom w:val="0"/>
      <w:divBdr>
        <w:top w:val="none" w:sz="0" w:space="0" w:color="auto"/>
        <w:left w:val="none" w:sz="0" w:space="0" w:color="auto"/>
        <w:bottom w:val="none" w:sz="0" w:space="0" w:color="auto"/>
        <w:right w:val="none" w:sz="0" w:space="0" w:color="auto"/>
      </w:divBdr>
      <w:divsChild>
        <w:div w:id="191113663">
          <w:marLeft w:val="0"/>
          <w:marRight w:val="0"/>
          <w:marTop w:val="0"/>
          <w:marBottom w:val="0"/>
          <w:divBdr>
            <w:top w:val="none" w:sz="0" w:space="0" w:color="auto"/>
            <w:left w:val="none" w:sz="0" w:space="0" w:color="auto"/>
            <w:bottom w:val="none" w:sz="0" w:space="0" w:color="auto"/>
            <w:right w:val="none" w:sz="0" w:space="0" w:color="auto"/>
          </w:divBdr>
        </w:div>
        <w:div w:id="479880833">
          <w:marLeft w:val="0"/>
          <w:marRight w:val="0"/>
          <w:marTop w:val="0"/>
          <w:marBottom w:val="0"/>
          <w:divBdr>
            <w:top w:val="none" w:sz="0" w:space="0" w:color="auto"/>
            <w:left w:val="none" w:sz="0" w:space="0" w:color="auto"/>
            <w:bottom w:val="none" w:sz="0" w:space="0" w:color="auto"/>
            <w:right w:val="none" w:sz="0" w:space="0" w:color="auto"/>
          </w:divBdr>
        </w:div>
      </w:divsChild>
    </w:div>
    <w:div w:id="401296313">
      <w:bodyDiv w:val="1"/>
      <w:marLeft w:val="0"/>
      <w:marRight w:val="0"/>
      <w:marTop w:val="0"/>
      <w:marBottom w:val="0"/>
      <w:divBdr>
        <w:top w:val="none" w:sz="0" w:space="0" w:color="auto"/>
        <w:left w:val="none" w:sz="0" w:space="0" w:color="auto"/>
        <w:bottom w:val="none" w:sz="0" w:space="0" w:color="auto"/>
        <w:right w:val="none" w:sz="0" w:space="0" w:color="auto"/>
      </w:divBdr>
    </w:div>
    <w:div w:id="915436037">
      <w:bodyDiv w:val="1"/>
      <w:marLeft w:val="0"/>
      <w:marRight w:val="0"/>
      <w:marTop w:val="0"/>
      <w:marBottom w:val="0"/>
      <w:divBdr>
        <w:top w:val="none" w:sz="0" w:space="0" w:color="auto"/>
        <w:left w:val="none" w:sz="0" w:space="0" w:color="auto"/>
        <w:bottom w:val="none" w:sz="0" w:space="0" w:color="auto"/>
        <w:right w:val="none" w:sz="0" w:space="0" w:color="auto"/>
      </w:divBdr>
    </w:div>
    <w:div w:id="1179002236">
      <w:bodyDiv w:val="1"/>
      <w:marLeft w:val="0"/>
      <w:marRight w:val="0"/>
      <w:marTop w:val="0"/>
      <w:marBottom w:val="0"/>
      <w:divBdr>
        <w:top w:val="none" w:sz="0" w:space="0" w:color="auto"/>
        <w:left w:val="none" w:sz="0" w:space="0" w:color="auto"/>
        <w:bottom w:val="none" w:sz="0" w:space="0" w:color="auto"/>
        <w:right w:val="none" w:sz="0" w:space="0" w:color="auto"/>
      </w:divBdr>
    </w:div>
    <w:div w:id="1700935640">
      <w:bodyDiv w:val="1"/>
      <w:marLeft w:val="0"/>
      <w:marRight w:val="0"/>
      <w:marTop w:val="0"/>
      <w:marBottom w:val="0"/>
      <w:divBdr>
        <w:top w:val="none" w:sz="0" w:space="0" w:color="auto"/>
        <w:left w:val="none" w:sz="0" w:space="0" w:color="auto"/>
        <w:bottom w:val="none" w:sz="0" w:space="0" w:color="auto"/>
        <w:right w:val="none" w:sz="0" w:space="0" w:color="auto"/>
      </w:divBdr>
    </w:div>
    <w:div w:id="198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A06A-D17B-4F90-B0EB-8D124FC5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22932</Words>
  <Characters>118088</Characters>
  <Application>Microsoft Office Word</Application>
  <DocSecurity>0</DocSecurity>
  <Lines>984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2021-04-12T14:52:00Z</dcterms:created>
  <dcterms:modified xsi:type="dcterms:W3CDTF">2021-04-12T14:52:00Z</dcterms:modified>
</cp:coreProperties>
</file>