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853B" w14:textId="77777777" w:rsidR="007B1CE9" w:rsidRDefault="00672545" w:rsidP="00672545">
      <w:pPr>
        <w:tabs>
          <w:tab w:val="left" w:pos="1440"/>
          <w:tab w:val="left" w:pos="4680"/>
          <w:tab w:val="center" w:pos="7200"/>
        </w:tabs>
        <w:spacing w:after="0"/>
        <w:jc w:val="center"/>
        <w:rPr>
          <w:sz w:val="36"/>
        </w:rPr>
      </w:pPr>
      <w:bookmarkStart w:id="0" w:name="_GoBack"/>
      <w:bookmarkEnd w:id="0"/>
      <w:r>
        <w:rPr>
          <w:b/>
          <w:sz w:val="36"/>
        </w:rPr>
        <w:t>IN THE SUPREME COURT OF CALIFORNIA</w:t>
      </w:r>
    </w:p>
    <w:p w14:paraId="3463D94A" w14:textId="77777777" w:rsidR="00672545" w:rsidRDefault="00672545" w:rsidP="00672545">
      <w:pPr>
        <w:tabs>
          <w:tab w:val="left" w:pos="1440"/>
          <w:tab w:val="left" w:pos="4680"/>
          <w:tab w:val="center" w:pos="7200"/>
        </w:tabs>
        <w:spacing w:after="0"/>
        <w:jc w:val="center"/>
      </w:pPr>
    </w:p>
    <w:p w14:paraId="7593AFD7" w14:textId="77777777" w:rsidR="00672545" w:rsidRDefault="00672545" w:rsidP="00672545">
      <w:pPr>
        <w:tabs>
          <w:tab w:val="left" w:pos="1440"/>
          <w:tab w:val="left" w:pos="4680"/>
          <w:tab w:val="center" w:pos="7200"/>
        </w:tabs>
        <w:spacing w:after="0"/>
        <w:jc w:val="center"/>
      </w:pPr>
      <w:r>
        <w:t>THE PEOPLE</w:t>
      </w:r>
      <w:r w:rsidR="006736B8">
        <w:t>,</w:t>
      </w:r>
    </w:p>
    <w:p w14:paraId="3DCDC1A4" w14:textId="77777777" w:rsidR="00672545" w:rsidRDefault="00672545" w:rsidP="00672545">
      <w:pPr>
        <w:tabs>
          <w:tab w:val="left" w:pos="1440"/>
          <w:tab w:val="left" w:pos="4680"/>
          <w:tab w:val="center" w:pos="7200"/>
        </w:tabs>
        <w:spacing w:after="0"/>
        <w:jc w:val="center"/>
      </w:pPr>
      <w:r>
        <w:t>Plaintiff and Respondent</w:t>
      </w:r>
      <w:r w:rsidR="006736B8">
        <w:t>,</w:t>
      </w:r>
    </w:p>
    <w:p w14:paraId="198A9835" w14:textId="77777777" w:rsidR="00672545" w:rsidRDefault="00672545" w:rsidP="00672545">
      <w:pPr>
        <w:tabs>
          <w:tab w:val="left" w:pos="1440"/>
          <w:tab w:val="left" w:pos="4680"/>
          <w:tab w:val="center" w:pos="7200"/>
        </w:tabs>
        <w:spacing w:after="0"/>
        <w:jc w:val="center"/>
      </w:pPr>
      <w:r>
        <w:t>v.</w:t>
      </w:r>
    </w:p>
    <w:p w14:paraId="74FDE4BE" w14:textId="77777777" w:rsidR="00672545" w:rsidRDefault="00672545" w:rsidP="00672545">
      <w:pPr>
        <w:tabs>
          <w:tab w:val="left" w:pos="1440"/>
          <w:tab w:val="left" w:pos="4680"/>
          <w:tab w:val="center" w:pos="7200"/>
        </w:tabs>
        <w:spacing w:after="0"/>
        <w:jc w:val="center"/>
      </w:pPr>
      <w:r>
        <w:t>DAVID ALAN WESTERFIELD</w:t>
      </w:r>
      <w:r w:rsidR="006736B8">
        <w:t>,</w:t>
      </w:r>
    </w:p>
    <w:p w14:paraId="4B3D55C4" w14:textId="77777777" w:rsidR="00672545" w:rsidRDefault="00672545" w:rsidP="00672545">
      <w:pPr>
        <w:tabs>
          <w:tab w:val="left" w:pos="1440"/>
          <w:tab w:val="left" w:pos="4680"/>
          <w:tab w:val="center" w:pos="7200"/>
        </w:tabs>
        <w:spacing w:after="0"/>
        <w:jc w:val="center"/>
      </w:pPr>
      <w:r>
        <w:t>Defendant and Appellant.</w:t>
      </w:r>
    </w:p>
    <w:p w14:paraId="0B102D14" w14:textId="77777777" w:rsidR="00672545" w:rsidRDefault="00672545" w:rsidP="00672545">
      <w:pPr>
        <w:tabs>
          <w:tab w:val="left" w:pos="1440"/>
          <w:tab w:val="left" w:pos="4680"/>
          <w:tab w:val="center" w:pos="7200"/>
        </w:tabs>
        <w:spacing w:after="0"/>
        <w:jc w:val="center"/>
      </w:pPr>
    </w:p>
    <w:p w14:paraId="069E08D3" w14:textId="77777777" w:rsidR="00672545" w:rsidRDefault="00672545" w:rsidP="00672545">
      <w:pPr>
        <w:tabs>
          <w:tab w:val="left" w:pos="1440"/>
          <w:tab w:val="left" w:pos="4680"/>
          <w:tab w:val="center" w:pos="7200"/>
        </w:tabs>
        <w:spacing w:after="0"/>
        <w:jc w:val="center"/>
      </w:pPr>
      <w:r>
        <w:t>S112691</w:t>
      </w:r>
    </w:p>
    <w:p w14:paraId="77C52EBC" w14:textId="77777777" w:rsidR="00672545" w:rsidRDefault="00672545" w:rsidP="00672545">
      <w:pPr>
        <w:tabs>
          <w:tab w:val="left" w:pos="1440"/>
          <w:tab w:val="left" w:pos="4680"/>
          <w:tab w:val="center" w:pos="7200"/>
        </w:tabs>
        <w:spacing w:after="0"/>
        <w:jc w:val="center"/>
      </w:pPr>
    </w:p>
    <w:p w14:paraId="629EE951" w14:textId="77777777" w:rsidR="00672545" w:rsidRDefault="00672545" w:rsidP="00672545">
      <w:pPr>
        <w:tabs>
          <w:tab w:val="left" w:pos="1440"/>
          <w:tab w:val="left" w:pos="4680"/>
          <w:tab w:val="center" w:pos="7200"/>
        </w:tabs>
        <w:spacing w:after="0"/>
        <w:jc w:val="center"/>
      </w:pPr>
      <w:r>
        <w:t>San Diego County</w:t>
      </w:r>
      <w:r w:rsidR="006736B8">
        <w:t xml:space="preserve"> Superior Court</w:t>
      </w:r>
    </w:p>
    <w:p w14:paraId="0569AE8F" w14:textId="77777777" w:rsidR="00672545" w:rsidRDefault="00672545" w:rsidP="00672545">
      <w:pPr>
        <w:tabs>
          <w:tab w:val="left" w:pos="1440"/>
          <w:tab w:val="left" w:pos="4680"/>
          <w:tab w:val="center" w:pos="7200"/>
        </w:tabs>
        <w:spacing w:after="0"/>
        <w:jc w:val="center"/>
      </w:pPr>
      <w:r>
        <w:t>SCD 165805</w:t>
      </w:r>
    </w:p>
    <w:p w14:paraId="425A472A" w14:textId="77777777" w:rsidR="00672545" w:rsidRDefault="00672545" w:rsidP="00672545">
      <w:pPr>
        <w:pBdr>
          <w:bottom w:val="single" w:sz="4" w:space="1" w:color="auto"/>
        </w:pBdr>
        <w:tabs>
          <w:tab w:val="left" w:pos="1440"/>
          <w:tab w:val="left" w:pos="4680"/>
          <w:tab w:val="center" w:pos="7200"/>
        </w:tabs>
        <w:spacing w:after="0"/>
        <w:jc w:val="center"/>
      </w:pPr>
    </w:p>
    <w:p w14:paraId="1C68FE56" w14:textId="77777777" w:rsidR="00672545" w:rsidRDefault="00672545" w:rsidP="00672545">
      <w:pPr>
        <w:tabs>
          <w:tab w:val="left" w:pos="1440"/>
          <w:tab w:val="left" w:pos="4680"/>
          <w:tab w:val="center" w:pos="7200"/>
        </w:tabs>
        <w:spacing w:after="0"/>
        <w:jc w:val="center"/>
      </w:pPr>
    </w:p>
    <w:p w14:paraId="4963B17E" w14:textId="77777777" w:rsidR="00E42E8B" w:rsidRPr="008E7281" w:rsidRDefault="00E42E8B" w:rsidP="00E42E8B">
      <w:pPr>
        <w:tabs>
          <w:tab w:val="left" w:pos="1440"/>
          <w:tab w:val="left" w:pos="4680"/>
          <w:tab w:val="center" w:pos="7200"/>
        </w:tabs>
        <w:spacing w:after="0"/>
        <w:jc w:val="center"/>
      </w:pPr>
      <w:r w:rsidRPr="008E7281">
        <w:t xml:space="preserve">February </w:t>
      </w:r>
      <w:r>
        <w:t>4,</w:t>
      </w:r>
      <w:r w:rsidRPr="008E7281">
        <w:t xml:space="preserve"> 2019</w:t>
      </w:r>
    </w:p>
    <w:p w14:paraId="109D0911" w14:textId="77777777" w:rsidR="00E42E8B" w:rsidRDefault="00E42E8B" w:rsidP="00E42E8B">
      <w:pPr>
        <w:tabs>
          <w:tab w:val="left" w:pos="1440"/>
          <w:tab w:val="left" w:pos="4680"/>
          <w:tab w:val="center" w:pos="7200"/>
        </w:tabs>
        <w:spacing w:after="0"/>
        <w:jc w:val="center"/>
      </w:pPr>
    </w:p>
    <w:p w14:paraId="73717FEE" w14:textId="77777777" w:rsidR="00E42E8B" w:rsidRDefault="00E42E8B" w:rsidP="00E42E8B">
      <w:pPr>
        <w:tabs>
          <w:tab w:val="left" w:pos="1440"/>
          <w:tab w:val="left" w:pos="4680"/>
          <w:tab w:val="center" w:pos="7200"/>
        </w:tabs>
        <w:spacing w:after="0"/>
        <w:jc w:val="left"/>
      </w:pPr>
      <w:r>
        <w:t>Chief Justice Cantil-Sakauye authored the opinion of the court, in which Justices Chin, Corrigan, Liu, Cuéllar, Kruger, and Slough</w:t>
      </w:r>
      <w:r w:rsidRPr="000122E5">
        <w:rPr>
          <w:rStyle w:val="FootnoteReference"/>
        </w:rPr>
        <w:footnoteReference w:customMarkFollows="1" w:id="2"/>
        <w:sym w:font="Symbol" w:char="F02A"/>
      </w:r>
      <w:r>
        <w:t xml:space="preserve"> concurred.</w:t>
      </w:r>
    </w:p>
    <w:p w14:paraId="6445B47C" w14:textId="77777777" w:rsidR="00E42E8B" w:rsidRDefault="00E42E8B" w:rsidP="00E42E8B">
      <w:pPr>
        <w:pBdr>
          <w:bottom w:val="single" w:sz="4" w:space="1" w:color="auto"/>
        </w:pBdr>
        <w:tabs>
          <w:tab w:val="left" w:pos="1440"/>
          <w:tab w:val="left" w:pos="4680"/>
          <w:tab w:val="center" w:pos="7200"/>
        </w:tabs>
        <w:spacing w:after="0"/>
        <w:jc w:val="left"/>
      </w:pPr>
    </w:p>
    <w:p w14:paraId="6129EFF5" w14:textId="77777777" w:rsidR="00E42E8B" w:rsidRPr="00672545" w:rsidRDefault="00E42E8B" w:rsidP="00E42E8B">
      <w:pPr>
        <w:pBdr>
          <w:bottom w:val="single" w:sz="4" w:space="1" w:color="auto"/>
        </w:pBdr>
        <w:tabs>
          <w:tab w:val="left" w:pos="1440"/>
          <w:tab w:val="left" w:pos="4680"/>
          <w:tab w:val="center" w:pos="7200"/>
        </w:tabs>
        <w:spacing w:line="240" w:lineRule="atLeast"/>
        <w:jc w:val="left"/>
      </w:pPr>
      <w:bookmarkStart w:id="1" w:name="Return"/>
      <w:bookmarkEnd w:id="1"/>
    </w:p>
    <w:p w14:paraId="20E76DF6" w14:textId="77777777" w:rsidR="00E42E8B" w:rsidRDefault="00E42E8B" w:rsidP="00E42E8B">
      <w:pPr>
        <w:tabs>
          <w:tab w:val="left" w:pos="1440"/>
          <w:tab w:val="left" w:pos="4680"/>
          <w:tab w:val="center" w:pos="7200"/>
        </w:tabs>
        <w:spacing w:line="240" w:lineRule="atLeast"/>
        <w:sectPr w:rsidR="00E42E8B" w:rsidSect="00672545">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p>
    <w:p w14:paraId="484A1C18" w14:textId="77777777" w:rsidR="00672545" w:rsidRDefault="00672545" w:rsidP="00672545">
      <w:pPr>
        <w:tabs>
          <w:tab w:val="left" w:pos="1440"/>
          <w:tab w:val="left" w:pos="4680"/>
          <w:tab w:val="center" w:pos="7200"/>
        </w:tabs>
        <w:jc w:val="center"/>
      </w:pPr>
      <w:r>
        <w:lastRenderedPageBreak/>
        <w:t>PEOPLE v. WESTERFIELD</w:t>
      </w:r>
    </w:p>
    <w:p w14:paraId="5E24B017" w14:textId="77777777" w:rsidR="00672545" w:rsidRDefault="00672545" w:rsidP="00672545">
      <w:pPr>
        <w:tabs>
          <w:tab w:val="left" w:pos="1440"/>
          <w:tab w:val="left" w:pos="4680"/>
          <w:tab w:val="center" w:pos="7200"/>
        </w:tabs>
        <w:jc w:val="center"/>
      </w:pPr>
      <w:r>
        <w:t>S112691</w:t>
      </w:r>
    </w:p>
    <w:p w14:paraId="4084475C" w14:textId="77777777" w:rsidR="00672545" w:rsidRDefault="00672545" w:rsidP="00672545">
      <w:pPr>
        <w:tabs>
          <w:tab w:val="left" w:pos="1440"/>
          <w:tab w:val="left" w:pos="4680"/>
          <w:tab w:val="center" w:pos="7200"/>
        </w:tabs>
        <w:jc w:val="center"/>
      </w:pPr>
    </w:p>
    <w:p w14:paraId="2DB26891" w14:textId="77777777" w:rsidR="00672545" w:rsidRDefault="00672545" w:rsidP="00672545">
      <w:pPr>
        <w:tabs>
          <w:tab w:val="left" w:pos="1440"/>
          <w:tab w:val="left" w:pos="4680"/>
          <w:tab w:val="center" w:pos="7200"/>
        </w:tabs>
        <w:jc w:val="center"/>
      </w:pPr>
      <w:r>
        <w:t>Opinion of the Court by Cantil-Sakauye</w:t>
      </w:r>
      <w:r w:rsidR="006736B8">
        <w:t>, C. J.</w:t>
      </w:r>
    </w:p>
    <w:p w14:paraId="30625BD7" w14:textId="77777777" w:rsidR="00672545" w:rsidRPr="00672545" w:rsidRDefault="00672545" w:rsidP="00672545">
      <w:pPr>
        <w:tabs>
          <w:tab w:val="left" w:pos="1440"/>
          <w:tab w:val="left" w:pos="4680"/>
          <w:tab w:val="center" w:pos="7200"/>
        </w:tabs>
        <w:jc w:val="center"/>
      </w:pPr>
    </w:p>
    <w:p w14:paraId="486A26CA" w14:textId="77777777" w:rsidR="007B1CE9" w:rsidRPr="00672545" w:rsidRDefault="00271806" w:rsidP="00672545">
      <w:pPr>
        <w:tabs>
          <w:tab w:val="left" w:pos="720"/>
          <w:tab w:val="left" w:pos="1440"/>
        </w:tabs>
      </w:pPr>
      <w:bookmarkStart w:id="2" w:name="justice"/>
      <w:bookmarkStart w:id="3" w:name="mainstory"/>
      <w:bookmarkEnd w:id="2"/>
      <w:bookmarkEnd w:id="3"/>
      <w:r w:rsidRPr="00672545">
        <w:tab/>
      </w:r>
      <w:r w:rsidR="00441107" w:rsidRPr="00672545">
        <w:t xml:space="preserve">A jury convicted defendant David Alan </w:t>
      </w:r>
      <w:proofErr w:type="spellStart"/>
      <w:r w:rsidR="00441107" w:rsidRPr="00672545">
        <w:t>Westerfield</w:t>
      </w:r>
      <w:proofErr w:type="spellEnd"/>
      <w:r w:rsidR="00441107" w:rsidRPr="00672545">
        <w:t xml:space="preserve"> of the </w:t>
      </w:r>
      <w:r w:rsidR="001B225C" w:rsidRPr="00672545">
        <w:t xml:space="preserve">2002 </w:t>
      </w:r>
      <w:r w:rsidR="00482F1B" w:rsidRPr="00672545">
        <w:t xml:space="preserve">first degree </w:t>
      </w:r>
      <w:r w:rsidR="00441107" w:rsidRPr="00672545">
        <w:t xml:space="preserve">murder of seven-year-old Danielle Van Dam.  (Pen. Code, § 187, </w:t>
      </w:r>
      <w:proofErr w:type="spellStart"/>
      <w:r w:rsidR="001E2C03" w:rsidRPr="00672545">
        <w:t>subd</w:t>
      </w:r>
      <w:proofErr w:type="spellEnd"/>
      <w:r w:rsidR="001E2C03" w:rsidRPr="00672545">
        <w:t>. (</w:t>
      </w:r>
      <w:r w:rsidR="00441107" w:rsidRPr="00672545">
        <w:t>a).</w:t>
      </w:r>
      <w:r w:rsidR="00441107" w:rsidRPr="00672545">
        <w:rPr>
          <w:rStyle w:val="FootnoteReference"/>
        </w:rPr>
        <w:footnoteReference w:id="3"/>
      </w:r>
      <w:r w:rsidR="00441107" w:rsidRPr="00672545">
        <w:t xml:space="preserve">)  It found true the special circumstance that the murder was committed during a kidnapping.  (§ 190.2, </w:t>
      </w:r>
      <w:proofErr w:type="spellStart"/>
      <w:r w:rsidR="00441107" w:rsidRPr="00672545">
        <w:t>subd</w:t>
      </w:r>
      <w:proofErr w:type="spellEnd"/>
      <w:r w:rsidR="00441107" w:rsidRPr="00672545">
        <w:t>. (a</w:t>
      </w:r>
      <w:proofErr w:type="gramStart"/>
      <w:r w:rsidR="00441107" w:rsidRPr="00672545">
        <w:t>)(</w:t>
      </w:r>
      <w:proofErr w:type="gramEnd"/>
      <w:r w:rsidR="00441107" w:rsidRPr="00672545">
        <w:t xml:space="preserve">17).)  The jury also found defendant guilty of the kidnapping of Danielle, a child under the age of 14 (§§ 207, 208, </w:t>
      </w:r>
      <w:proofErr w:type="spellStart"/>
      <w:r w:rsidR="00441107" w:rsidRPr="00672545">
        <w:t>subd</w:t>
      </w:r>
      <w:proofErr w:type="spellEnd"/>
      <w:r w:rsidR="00441107" w:rsidRPr="00672545">
        <w:t>. (b)), and misdemeanor possession of child pornography.  (</w:t>
      </w:r>
      <w:r w:rsidR="006736B8">
        <w:t xml:space="preserve">former </w:t>
      </w:r>
      <w:r w:rsidR="00441107" w:rsidRPr="00672545">
        <w:t xml:space="preserve">§ 311.11, </w:t>
      </w:r>
      <w:proofErr w:type="spellStart"/>
      <w:r w:rsidR="00441107" w:rsidRPr="00672545">
        <w:t>subd</w:t>
      </w:r>
      <w:proofErr w:type="spellEnd"/>
      <w:r w:rsidR="00441107" w:rsidRPr="00672545">
        <w:t>. (a).)</w:t>
      </w:r>
      <w:r w:rsidR="00F81CD5" w:rsidRPr="00672545">
        <w:t xml:space="preserve">  </w:t>
      </w:r>
      <w:r w:rsidR="00441107" w:rsidRPr="00672545">
        <w:t>Following the penalty phase of trial, the jury returned a verdict of death.</w:t>
      </w:r>
      <w:r w:rsidR="00F81CD5" w:rsidRPr="00672545">
        <w:t xml:space="preserve">  </w:t>
      </w:r>
      <w:r w:rsidR="00441107" w:rsidRPr="00672545">
        <w:t>The trial court denied defendant’s motion for modification of the penalty to life imprisonment without the possibility of parol</w:t>
      </w:r>
      <w:r w:rsidR="00395780" w:rsidRPr="00672545">
        <w:t>e</w:t>
      </w:r>
      <w:r w:rsidR="00441107" w:rsidRPr="00672545">
        <w:t xml:space="preserve"> (§ 190.4, </w:t>
      </w:r>
      <w:proofErr w:type="spellStart"/>
      <w:r w:rsidR="00441107" w:rsidRPr="00672545">
        <w:t>subd</w:t>
      </w:r>
      <w:proofErr w:type="spellEnd"/>
      <w:r w:rsidR="00441107" w:rsidRPr="00672545">
        <w:t xml:space="preserve">. </w:t>
      </w:r>
      <w:r w:rsidR="00395780" w:rsidRPr="00672545">
        <w:t>(e)</w:t>
      </w:r>
      <w:r w:rsidR="00441107" w:rsidRPr="00672545">
        <w:t>) and sentenced him to death on the murder count.</w:t>
      </w:r>
      <w:r w:rsidR="00F81CD5" w:rsidRPr="00672545">
        <w:t xml:space="preserve">  </w:t>
      </w:r>
      <w:r w:rsidR="00395780" w:rsidRPr="00672545">
        <w:t>The trial court sentenced defendant to a prison term of 11 years for his conviction of kidnapping</w:t>
      </w:r>
      <w:r w:rsidR="005156E9" w:rsidRPr="00672545">
        <w:t xml:space="preserve">, which it stayed pursuant to section 654.  Defendant was </w:t>
      </w:r>
      <w:r w:rsidR="00C3698F" w:rsidRPr="00672545">
        <w:t>sentenced to</w:t>
      </w:r>
      <w:r w:rsidR="005156E9" w:rsidRPr="00672545">
        <w:t xml:space="preserve"> time served for his child pornography conviction.  </w:t>
      </w:r>
    </w:p>
    <w:p w14:paraId="2B5EEB80" w14:textId="77777777" w:rsidR="00441107" w:rsidRPr="00672545" w:rsidRDefault="00441107" w:rsidP="00672545">
      <w:pPr>
        <w:tabs>
          <w:tab w:val="left" w:pos="720"/>
          <w:tab w:val="left" w:pos="1440"/>
        </w:tabs>
      </w:pPr>
      <w:r w:rsidRPr="00672545">
        <w:tab/>
        <w:t xml:space="preserve">This appeal is automatic.  (§ 1239, </w:t>
      </w:r>
      <w:proofErr w:type="spellStart"/>
      <w:r w:rsidRPr="00672545">
        <w:t>subd</w:t>
      </w:r>
      <w:proofErr w:type="spellEnd"/>
      <w:r w:rsidRPr="00672545">
        <w:t xml:space="preserve">. (b).)  </w:t>
      </w:r>
      <w:r w:rsidR="00CC6580" w:rsidRPr="00672545">
        <w:t>W</w:t>
      </w:r>
      <w:r w:rsidRPr="00672545">
        <w:t xml:space="preserve">e affirm the judgment in its entirety.  </w:t>
      </w:r>
    </w:p>
    <w:p w14:paraId="737D585A" w14:textId="77777777" w:rsidR="00441107" w:rsidRPr="00672545" w:rsidRDefault="00441107" w:rsidP="00672545">
      <w:pPr>
        <w:pStyle w:val="Heading1"/>
      </w:pPr>
      <w:bookmarkStart w:id="4" w:name="_Toc506979795"/>
      <w:r w:rsidRPr="00672545">
        <w:lastRenderedPageBreak/>
        <w:t xml:space="preserve">I.  </w:t>
      </w:r>
      <w:r w:rsidR="004F4AB5" w:rsidRPr="00672545">
        <w:t>Facts</w:t>
      </w:r>
      <w:bookmarkEnd w:id="4"/>
    </w:p>
    <w:p w14:paraId="2AB36025" w14:textId="77777777" w:rsidR="00441107" w:rsidRPr="00672545" w:rsidRDefault="00441107" w:rsidP="00672545">
      <w:pPr>
        <w:pStyle w:val="Heading2"/>
      </w:pPr>
      <w:bookmarkStart w:id="5" w:name="_Toc506979796"/>
      <w:r w:rsidRPr="00672545">
        <w:t>A.</w:t>
      </w:r>
      <w:r w:rsidR="00EA2DD4" w:rsidRPr="00672545">
        <w:t xml:space="preserve"> </w:t>
      </w:r>
      <w:r w:rsidRPr="00672545">
        <w:t xml:space="preserve"> Guilt Phase</w:t>
      </w:r>
      <w:bookmarkEnd w:id="5"/>
    </w:p>
    <w:p w14:paraId="3E7C3133" w14:textId="77777777" w:rsidR="00441107" w:rsidRPr="00672545" w:rsidRDefault="00441107" w:rsidP="00672545">
      <w:pPr>
        <w:pStyle w:val="Heading3"/>
      </w:pPr>
      <w:bookmarkStart w:id="6" w:name="_Toc506979797"/>
      <w:r w:rsidRPr="00672545">
        <w:t xml:space="preserve">1.  </w:t>
      </w:r>
      <w:r w:rsidR="004032DA" w:rsidRPr="00672545">
        <w:t>Overview</w:t>
      </w:r>
      <w:bookmarkEnd w:id="6"/>
    </w:p>
    <w:p w14:paraId="3D784F7D" w14:textId="77777777" w:rsidR="00271806" w:rsidRPr="00672545" w:rsidRDefault="00E5358D" w:rsidP="00672545">
      <w:pPr>
        <w:tabs>
          <w:tab w:val="left" w:pos="720"/>
          <w:tab w:val="left" w:pos="1440"/>
        </w:tabs>
      </w:pPr>
      <w:r w:rsidRPr="00672545">
        <w:tab/>
        <w:t>On the night of F</w:t>
      </w:r>
      <w:r w:rsidR="004456FF" w:rsidRPr="00672545">
        <w:t>riday, F</w:t>
      </w:r>
      <w:r w:rsidRPr="00672545">
        <w:t xml:space="preserve">ebruary 1, 2002, Damon Van Dam put his two sons and </w:t>
      </w:r>
      <w:r w:rsidR="00FB25F9" w:rsidRPr="00672545">
        <w:t xml:space="preserve">his </w:t>
      </w:r>
      <w:r w:rsidRPr="00672545">
        <w:t>seven-year-old daughter, Danielle, to bed</w:t>
      </w:r>
      <w:r w:rsidR="009A060D" w:rsidRPr="00672545">
        <w:t>.</w:t>
      </w:r>
      <w:r w:rsidR="00F81CD5" w:rsidRPr="00672545">
        <w:t xml:space="preserve">  </w:t>
      </w:r>
      <w:r w:rsidR="009A060D" w:rsidRPr="00672545">
        <w:t>H</w:t>
      </w:r>
      <w:r w:rsidRPr="00672545">
        <w:t>is wife, Brenda, went out with her girlfriends</w:t>
      </w:r>
      <w:r w:rsidR="00183CCD" w:rsidRPr="00672545">
        <w:t xml:space="preserve"> to a bar where they saw defendant</w:t>
      </w:r>
      <w:r w:rsidR="00BE6451" w:rsidRPr="00672545">
        <w:t xml:space="preserve">, David </w:t>
      </w:r>
      <w:proofErr w:type="spellStart"/>
      <w:r w:rsidR="00BE6451" w:rsidRPr="00672545">
        <w:t>Westerfield</w:t>
      </w:r>
      <w:proofErr w:type="spellEnd"/>
      <w:r w:rsidR="00BE6451" w:rsidRPr="00672545">
        <w:t>, who lived two doors down from the Van Dams</w:t>
      </w:r>
      <w:r w:rsidRPr="00672545">
        <w:t xml:space="preserve">.  </w:t>
      </w:r>
      <w:r w:rsidR="00437670" w:rsidRPr="00672545">
        <w:t xml:space="preserve">When </w:t>
      </w:r>
      <w:r w:rsidR="00A602FD" w:rsidRPr="00672545">
        <w:t>Brenda</w:t>
      </w:r>
      <w:r w:rsidR="006C7F1F" w:rsidRPr="00672545">
        <w:t>, her girlfriends,</w:t>
      </w:r>
      <w:r w:rsidR="00A602FD" w:rsidRPr="00672545">
        <w:t xml:space="preserve"> and </w:t>
      </w:r>
      <w:r w:rsidR="006C7F1F" w:rsidRPr="00672545">
        <w:t xml:space="preserve">two </w:t>
      </w:r>
      <w:r w:rsidR="00A7615E" w:rsidRPr="00672545">
        <w:t xml:space="preserve">male </w:t>
      </w:r>
      <w:r w:rsidR="00A602FD" w:rsidRPr="00672545">
        <w:t>friends came home</w:t>
      </w:r>
      <w:r w:rsidR="00437670" w:rsidRPr="00672545">
        <w:t>,</w:t>
      </w:r>
      <w:r w:rsidR="00A602FD" w:rsidRPr="00672545">
        <w:t xml:space="preserve"> </w:t>
      </w:r>
      <w:r w:rsidR="00A7615E" w:rsidRPr="00672545">
        <w:t>they noticed an alarm monitor was flashing</w:t>
      </w:r>
      <w:r w:rsidR="00D811B0" w:rsidRPr="00672545">
        <w:t xml:space="preserve">, and </w:t>
      </w:r>
      <w:r w:rsidR="00A7615E" w:rsidRPr="00672545">
        <w:t xml:space="preserve">the side garage door was open.  They closed the door and </w:t>
      </w:r>
      <w:r w:rsidR="00D811B0" w:rsidRPr="00672545">
        <w:t>had</w:t>
      </w:r>
      <w:r w:rsidR="00A7615E" w:rsidRPr="00672545">
        <w:t xml:space="preserve"> something to eat.  </w:t>
      </w:r>
      <w:r w:rsidR="00A602FD" w:rsidRPr="00672545">
        <w:t xml:space="preserve">Damon </w:t>
      </w:r>
      <w:r w:rsidR="006C7F1F" w:rsidRPr="00672545">
        <w:t xml:space="preserve">got up and </w:t>
      </w:r>
      <w:r w:rsidR="00A602FD" w:rsidRPr="00672545">
        <w:t xml:space="preserve">joined them.  </w:t>
      </w:r>
      <w:r w:rsidR="00437670" w:rsidRPr="00672545">
        <w:t xml:space="preserve">After the friends left, Brenda and Damon went to bed.  Sometime later during the night, </w:t>
      </w:r>
      <w:r w:rsidR="00A7615E" w:rsidRPr="00672545">
        <w:t xml:space="preserve">Damon </w:t>
      </w:r>
      <w:r w:rsidR="00D811B0" w:rsidRPr="00672545">
        <w:t>awoke</w:t>
      </w:r>
      <w:r w:rsidR="00A7615E" w:rsidRPr="00672545">
        <w:t xml:space="preserve"> and noticed </w:t>
      </w:r>
      <w:r w:rsidR="00437670" w:rsidRPr="00672545">
        <w:t>an alarm monitor flash</w:t>
      </w:r>
      <w:r w:rsidR="00A7615E" w:rsidRPr="00672545">
        <w:t xml:space="preserve">ing. </w:t>
      </w:r>
      <w:r w:rsidR="00437670" w:rsidRPr="00672545">
        <w:t xml:space="preserve"> </w:t>
      </w:r>
      <w:r w:rsidR="00D811B0" w:rsidRPr="00672545">
        <w:t xml:space="preserve">He went downstairs and </w:t>
      </w:r>
      <w:r w:rsidR="00437670" w:rsidRPr="00672545">
        <w:t xml:space="preserve">noticed </w:t>
      </w:r>
      <w:r w:rsidR="00A7615E" w:rsidRPr="00672545">
        <w:t>the</w:t>
      </w:r>
      <w:r w:rsidR="00437670" w:rsidRPr="00672545">
        <w:t xml:space="preserve"> door to the backyard was open.  He closed it and made sure the other doors were closed.  He went back to sleep without checking on the children.  </w:t>
      </w:r>
      <w:r w:rsidRPr="00672545">
        <w:t xml:space="preserve">The next morning, Danielle was </w:t>
      </w:r>
      <w:r w:rsidR="00A86CFA" w:rsidRPr="00672545">
        <w:t>missing</w:t>
      </w:r>
      <w:r w:rsidRPr="00672545">
        <w:t xml:space="preserve">.  </w:t>
      </w:r>
      <w:r w:rsidR="00ED07B9" w:rsidRPr="00672545">
        <w:t>A neighborhood search failed to find her</w:t>
      </w:r>
      <w:r w:rsidR="009A060D" w:rsidRPr="00672545">
        <w:t xml:space="preserve">, and </w:t>
      </w:r>
      <w:r w:rsidR="0009515A" w:rsidRPr="00672545">
        <w:t>defendant</w:t>
      </w:r>
      <w:r w:rsidR="00ED07B9" w:rsidRPr="00672545">
        <w:t xml:space="preserve"> was not </w:t>
      </w:r>
      <w:r w:rsidR="003B0DEC" w:rsidRPr="00672545">
        <w:t xml:space="preserve">at </w:t>
      </w:r>
      <w:r w:rsidR="00ED07B9" w:rsidRPr="00672545">
        <w:t>home.</w:t>
      </w:r>
    </w:p>
    <w:p w14:paraId="4B8E3FB5" w14:textId="77777777" w:rsidR="00DA7454" w:rsidRPr="00672545" w:rsidRDefault="00ED07B9" w:rsidP="00672545">
      <w:pPr>
        <w:tabs>
          <w:tab w:val="left" w:pos="720"/>
          <w:tab w:val="left" w:pos="1440"/>
        </w:tabs>
      </w:pPr>
      <w:r w:rsidRPr="00672545">
        <w:tab/>
      </w:r>
      <w:r w:rsidR="004456FF" w:rsidRPr="00672545">
        <w:t xml:space="preserve">Defendant spent the weekend after Danielle’s </w:t>
      </w:r>
      <w:r w:rsidR="006E3E8C" w:rsidRPr="00672545">
        <w:t>disappearance</w:t>
      </w:r>
      <w:r w:rsidR="004456FF" w:rsidRPr="00672545">
        <w:t xml:space="preserve"> driving around in his motorhome</w:t>
      </w:r>
      <w:r w:rsidR="00AD3365" w:rsidRPr="00672545">
        <w:t xml:space="preserve"> away</w:t>
      </w:r>
      <w:r w:rsidR="00901E22" w:rsidRPr="00672545">
        <w:t xml:space="preserve"> </w:t>
      </w:r>
      <w:r w:rsidR="00AD3365" w:rsidRPr="00672545">
        <w:t xml:space="preserve">from his </w:t>
      </w:r>
      <w:r w:rsidR="00E065BB" w:rsidRPr="00672545">
        <w:t>house</w:t>
      </w:r>
      <w:r w:rsidR="00AD3365" w:rsidRPr="00672545">
        <w:t xml:space="preserve"> in </w:t>
      </w:r>
      <w:r w:rsidR="003D2260">
        <w:t xml:space="preserve">the </w:t>
      </w:r>
      <w:r w:rsidR="00AD3365" w:rsidRPr="00672545">
        <w:t xml:space="preserve">Sabre Springs </w:t>
      </w:r>
      <w:r w:rsidR="003D2260">
        <w:t xml:space="preserve">neighborhood of San Diego </w:t>
      </w:r>
      <w:r w:rsidR="00901E22" w:rsidRPr="00672545">
        <w:t>to various state parks outside the San Diego area</w:t>
      </w:r>
      <w:r w:rsidR="004456FF" w:rsidRPr="00672545">
        <w:t xml:space="preserve">.  </w:t>
      </w:r>
      <w:r w:rsidR="00172BEE" w:rsidRPr="00672545">
        <w:t>He had awkward encounters with rangers and volunteers who wo</w:t>
      </w:r>
      <w:r w:rsidR="00A3062C" w:rsidRPr="00672545">
        <w:t xml:space="preserve">rked </w:t>
      </w:r>
      <w:r w:rsidR="009115C7" w:rsidRPr="00672545">
        <w:t>at the Silver Strand state park near the city of Coronado</w:t>
      </w:r>
      <w:r w:rsidR="006E3E8C" w:rsidRPr="00672545">
        <w:t>.</w:t>
      </w:r>
      <w:r w:rsidR="00DA7454" w:rsidRPr="00672545">
        <w:t xml:space="preserve">  </w:t>
      </w:r>
    </w:p>
    <w:p w14:paraId="2B2EDFAB" w14:textId="77777777" w:rsidR="00E5358D" w:rsidRPr="00672545" w:rsidRDefault="00E5358D" w:rsidP="00672545">
      <w:pPr>
        <w:tabs>
          <w:tab w:val="left" w:pos="720"/>
          <w:tab w:val="left" w:pos="1440"/>
        </w:tabs>
      </w:pPr>
      <w:r w:rsidRPr="00672545">
        <w:tab/>
      </w:r>
      <w:r w:rsidR="004456FF" w:rsidRPr="00672545">
        <w:t xml:space="preserve">On Monday </w:t>
      </w:r>
      <w:r w:rsidR="00ED43AE" w:rsidRPr="00672545">
        <w:t xml:space="preserve">morning, </w:t>
      </w:r>
      <w:r w:rsidR="004456FF" w:rsidRPr="00672545">
        <w:t xml:space="preserve">defendant arrived </w:t>
      </w:r>
      <w:r w:rsidR="0009533E" w:rsidRPr="00672545">
        <w:t xml:space="preserve">in his motorhome </w:t>
      </w:r>
      <w:r w:rsidR="004456FF" w:rsidRPr="00672545">
        <w:t xml:space="preserve">at </w:t>
      </w:r>
      <w:r w:rsidR="00407C88" w:rsidRPr="00672545">
        <w:t>his neighborhood</w:t>
      </w:r>
      <w:r w:rsidR="004456FF" w:rsidRPr="00672545">
        <w:t xml:space="preserve"> dry cleaner’s shortly after the business open</w:t>
      </w:r>
      <w:r w:rsidR="00B0697E" w:rsidRPr="00672545">
        <w:t>ed</w:t>
      </w:r>
      <w:r w:rsidR="008351FF" w:rsidRPr="00672545">
        <w:t xml:space="preserve"> to have bedding </w:t>
      </w:r>
      <w:r w:rsidR="00DF064C" w:rsidRPr="00672545">
        <w:t xml:space="preserve">and a jacket </w:t>
      </w:r>
      <w:r w:rsidR="008351FF" w:rsidRPr="00672545">
        <w:t>cleaned</w:t>
      </w:r>
      <w:r w:rsidR="004456FF" w:rsidRPr="00672545">
        <w:t>.  Although it was a cold morning, he was wearing a thin T-shirt, thin shorts, no shoes</w:t>
      </w:r>
      <w:r w:rsidR="006736B8">
        <w:t>,</w:t>
      </w:r>
      <w:r w:rsidR="004456FF" w:rsidRPr="00672545">
        <w:t xml:space="preserve"> and no socks.</w:t>
      </w:r>
      <w:r w:rsidR="00F81CD5" w:rsidRPr="00672545">
        <w:t xml:space="preserve">  </w:t>
      </w:r>
    </w:p>
    <w:p w14:paraId="40475F97" w14:textId="77777777" w:rsidR="004456FF" w:rsidRPr="00672545" w:rsidRDefault="004456FF" w:rsidP="00672545">
      <w:pPr>
        <w:tabs>
          <w:tab w:val="left" w:pos="720"/>
          <w:tab w:val="left" w:pos="1440"/>
        </w:tabs>
      </w:pPr>
      <w:r w:rsidRPr="00672545">
        <w:lastRenderedPageBreak/>
        <w:tab/>
      </w:r>
      <w:r w:rsidR="00EC6BEE" w:rsidRPr="00672545">
        <w:t xml:space="preserve">An examination of the forensic evidence revealed that the jacket that defendant left at the dry cleaner’s </w:t>
      </w:r>
      <w:r w:rsidR="00A272CF" w:rsidRPr="00672545">
        <w:t xml:space="preserve">contained Danielle’s blood.  </w:t>
      </w:r>
      <w:r w:rsidRPr="00672545">
        <w:t xml:space="preserve">Danielle’s blood was </w:t>
      </w:r>
      <w:r w:rsidR="0009533E" w:rsidRPr="00672545">
        <w:t xml:space="preserve">also </w:t>
      </w:r>
      <w:r w:rsidRPr="00672545">
        <w:t xml:space="preserve">found on the carpet of defendant’s motorhome between the bathroom and the closet; her </w:t>
      </w:r>
      <w:r w:rsidR="00D9151B" w:rsidRPr="00672545">
        <w:t>handprint</w:t>
      </w:r>
      <w:r w:rsidR="007C4200" w:rsidRPr="00672545">
        <w:t>, including several associated fingerprints,</w:t>
      </w:r>
      <w:r w:rsidR="00D9151B" w:rsidRPr="00672545">
        <w:t xml:space="preserve"> </w:t>
      </w:r>
      <w:r w:rsidR="004F264C" w:rsidRPr="00672545">
        <w:t xml:space="preserve">was </w:t>
      </w:r>
      <w:r w:rsidRPr="00672545">
        <w:t xml:space="preserve">on a cabinet above the motorhome’s bed.  Hairs </w:t>
      </w:r>
      <w:r w:rsidR="00731178" w:rsidRPr="00672545">
        <w:t>consistent with</w:t>
      </w:r>
      <w:r w:rsidRPr="00672545">
        <w:t xml:space="preserve"> </w:t>
      </w:r>
      <w:r w:rsidR="00731178" w:rsidRPr="00672545">
        <w:t xml:space="preserve">Danielle’s </w:t>
      </w:r>
      <w:r w:rsidRPr="00672545">
        <w:t>DNA profile were found in the bathroom of defendant</w:t>
      </w:r>
      <w:r w:rsidR="005465CD" w:rsidRPr="00672545">
        <w:t>’s motorhome</w:t>
      </w:r>
      <w:r w:rsidR="000E4038" w:rsidRPr="00672545">
        <w:t xml:space="preserve"> and at his residence in his</w:t>
      </w:r>
      <w:r w:rsidR="005465CD" w:rsidRPr="00672545">
        <w:t xml:space="preserve"> washing machine, dryer, and on the bedding from </w:t>
      </w:r>
      <w:r w:rsidR="00DA4FCC" w:rsidRPr="00672545">
        <w:t xml:space="preserve">his </w:t>
      </w:r>
      <w:r w:rsidR="005465CD" w:rsidRPr="00672545">
        <w:t xml:space="preserve">master bedroom.  </w:t>
      </w:r>
      <w:r w:rsidR="0009533E" w:rsidRPr="00672545">
        <w:t xml:space="preserve">Fibers matching </w:t>
      </w:r>
      <w:r w:rsidR="007F149F" w:rsidRPr="00672545">
        <w:t>others</w:t>
      </w:r>
      <w:r w:rsidR="0009533E" w:rsidRPr="00672545">
        <w:t xml:space="preserve"> </w:t>
      </w:r>
      <w:r w:rsidR="00980A5C" w:rsidRPr="00672545">
        <w:t xml:space="preserve">later </w:t>
      </w:r>
      <w:r w:rsidR="0009533E" w:rsidRPr="00672545">
        <w:t xml:space="preserve">found with Danielle’s body were </w:t>
      </w:r>
      <w:r w:rsidR="00A23100" w:rsidRPr="00672545">
        <w:t>discovered</w:t>
      </w:r>
      <w:r w:rsidR="0009533E" w:rsidRPr="00672545">
        <w:t xml:space="preserve"> </w:t>
      </w:r>
      <w:r w:rsidR="00EE325D" w:rsidRPr="00672545">
        <w:t>in defendant’s motorhome</w:t>
      </w:r>
      <w:r w:rsidR="000C2A62" w:rsidRPr="00672545">
        <w:t>,</w:t>
      </w:r>
      <w:r w:rsidR="000954D8" w:rsidRPr="00672545">
        <w:t xml:space="preserve"> </w:t>
      </w:r>
      <w:r w:rsidR="00A23100" w:rsidRPr="00672545">
        <w:t xml:space="preserve">SUV, </w:t>
      </w:r>
      <w:r w:rsidR="000954D8" w:rsidRPr="00672545">
        <w:t xml:space="preserve">laundry, </w:t>
      </w:r>
      <w:r w:rsidR="00A23100" w:rsidRPr="00672545">
        <w:t>and bedding</w:t>
      </w:r>
      <w:r w:rsidR="000954D8" w:rsidRPr="00672545">
        <w:t xml:space="preserve">. </w:t>
      </w:r>
      <w:r w:rsidR="000C2A62" w:rsidRPr="00672545">
        <w:t xml:space="preserve"> </w:t>
      </w:r>
      <w:r w:rsidR="0009533E" w:rsidRPr="00672545">
        <w:t xml:space="preserve">Fibers </w:t>
      </w:r>
      <w:proofErr w:type="gramStart"/>
      <w:r w:rsidR="0009533E" w:rsidRPr="00672545">
        <w:t>similar to</w:t>
      </w:r>
      <w:proofErr w:type="gramEnd"/>
      <w:r w:rsidR="0009533E" w:rsidRPr="00672545">
        <w:t xml:space="preserve"> </w:t>
      </w:r>
      <w:r w:rsidR="00A23100" w:rsidRPr="00672545">
        <w:t>those</w:t>
      </w:r>
      <w:r w:rsidR="0009533E" w:rsidRPr="00672545">
        <w:t xml:space="preserve"> from the carpeting in </w:t>
      </w:r>
      <w:r w:rsidR="000954D8" w:rsidRPr="00672545">
        <w:t xml:space="preserve">Danielle’s bedroom </w:t>
      </w:r>
      <w:r w:rsidR="0009533E" w:rsidRPr="00672545">
        <w:t xml:space="preserve">were found by the bed, in the bathroom, </w:t>
      </w:r>
      <w:r w:rsidR="000954D8" w:rsidRPr="00672545">
        <w:t xml:space="preserve">and </w:t>
      </w:r>
      <w:r w:rsidR="0009533E" w:rsidRPr="00672545">
        <w:t xml:space="preserve">in the hall of defendant’s motorhome.  </w:t>
      </w:r>
      <w:r w:rsidR="00EE325D" w:rsidRPr="00672545">
        <w:t xml:space="preserve">Hairs from the Van Dams’ family dog were </w:t>
      </w:r>
      <w:r w:rsidR="00A23100" w:rsidRPr="00672545">
        <w:t>discovered</w:t>
      </w:r>
      <w:r w:rsidR="00EE325D" w:rsidRPr="00672545">
        <w:t xml:space="preserve"> on one of the </w:t>
      </w:r>
      <w:proofErr w:type="gramStart"/>
      <w:r w:rsidR="00EE325D" w:rsidRPr="00672545">
        <w:t>comforters</w:t>
      </w:r>
      <w:proofErr w:type="gramEnd"/>
      <w:r w:rsidR="00EE325D" w:rsidRPr="00672545">
        <w:t xml:space="preserve"> defendant dropped off at the dry cleaner</w:t>
      </w:r>
      <w:r w:rsidR="006736B8">
        <w:t>’</w:t>
      </w:r>
      <w:r w:rsidR="00EE325D" w:rsidRPr="00672545">
        <w:t xml:space="preserve">s, on the hallway carpet and bathroom rug in defendant’s motorhome, and in defendant’s laundry.  </w:t>
      </w:r>
    </w:p>
    <w:p w14:paraId="0D2AEDBD" w14:textId="77777777" w:rsidR="00E5358D" w:rsidRPr="00672545" w:rsidRDefault="005465CD" w:rsidP="00672545">
      <w:pPr>
        <w:tabs>
          <w:tab w:val="left" w:pos="720"/>
          <w:tab w:val="left" w:pos="1440"/>
        </w:tabs>
      </w:pPr>
      <w:r w:rsidRPr="00672545">
        <w:tab/>
        <w:t xml:space="preserve">Danielle’s badly decomposed body was discovered off the side of a road in a remote part of San Diego County on February 27, 2002.  Her mummified remains had been ravaged by animals, such that no sexual assault testing could be </w:t>
      </w:r>
      <w:proofErr w:type="gramStart"/>
      <w:r w:rsidRPr="00672545">
        <w:t>performed</w:t>
      </w:r>
      <w:proofErr w:type="gramEnd"/>
      <w:r w:rsidRPr="00672545">
        <w:t xml:space="preserve"> and no definite cause of death determined.</w:t>
      </w:r>
      <w:r w:rsidR="00407C88" w:rsidRPr="00672545">
        <w:t xml:space="preserve">  The coroner </w:t>
      </w:r>
      <w:r w:rsidR="007C3676" w:rsidRPr="00672545">
        <w:t>could not rule out</w:t>
      </w:r>
      <w:r w:rsidR="00407C88" w:rsidRPr="00672545">
        <w:t xml:space="preserve"> </w:t>
      </w:r>
      <w:r w:rsidR="00B62789" w:rsidRPr="00672545">
        <w:t>suffocat</w:t>
      </w:r>
      <w:r w:rsidR="007C3676" w:rsidRPr="00672545">
        <w:t>ion</w:t>
      </w:r>
      <w:r w:rsidR="00B62789" w:rsidRPr="00672545">
        <w:t>.</w:t>
      </w:r>
      <w:r w:rsidR="00407C88" w:rsidRPr="00672545">
        <w:t xml:space="preserve">  </w:t>
      </w:r>
    </w:p>
    <w:p w14:paraId="42EF22E2" w14:textId="77777777" w:rsidR="00070238" w:rsidRPr="00672545" w:rsidRDefault="00070238" w:rsidP="00672545">
      <w:pPr>
        <w:tabs>
          <w:tab w:val="left" w:pos="720"/>
          <w:tab w:val="left" w:pos="1440"/>
        </w:tabs>
      </w:pPr>
      <w:r w:rsidRPr="00672545">
        <w:tab/>
        <w:t xml:space="preserve">In defendant’s home, officers discovered computer files containing child pornography.  </w:t>
      </w:r>
    </w:p>
    <w:p w14:paraId="6B1A0CEB" w14:textId="77777777" w:rsidR="004032DA" w:rsidRPr="00672545" w:rsidRDefault="004032DA" w:rsidP="00672545">
      <w:pPr>
        <w:tabs>
          <w:tab w:val="left" w:pos="720"/>
          <w:tab w:val="left" w:pos="1440"/>
        </w:tabs>
      </w:pPr>
      <w:r w:rsidRPr="00672545">
        <w:tab/>
        <w:t xml:space="preserve">Defendant </w:t>
      </w:r>
      <w:r w:rsidR="00317256" w:rsidRPr="00672545">
        <w:t>principally relied on</w:t>
      </w:r>
      <w:r w:rsidRPr="00672545">
        <w:t xml:space="preserve"> an alibi defense</w:t>
      </w:r>
      <w:r w:rsidR="00317256" w:rsidRPr="00672545">
        <w:t xml:space="preserve"> based</w:t>
      </w:r>
      <w:r w:rsidRPr="00672545">
        <w:t xml:space="preserve"> on entomo</w:t>
      </w:r>
      <w:r w:rsidR="00070238" w:rsidRPr="00672545">
        <w:t>logical</w:t>
      </w:r>
      <w:r w:rsidR="00DA314A" w:rsidRPr="00672545">
        <w:t xml:space="preserve"> </w:t>
      </w:r>
      <w:r w:rsidRPr="00672545">
        <w:t xml:space="preserve">evidence from Danielle’s body that suggested her death occurred sometime </w:t>
      </w:r>
      <w:proofErr w:type="gramStart"/>
      <w:r w:rsidR="00B54095" w:rsidRPr="00672545">
        <w:t>subsequent to</w:t>
      </w:r>
      <w:proofErr w:type="gramEnd"/>
      <w:r w:rsidRPr="00672545">
        <w:t xml:space="preserve"> February </w:t>
      </w:r>
      <w:r w:rsidR="00DA314A" w:rsidRPr="00672545">
        <w:t>5</w:t>
      </w:r>
      <w:r w:rsidR="008613C4" w:rsidRPr="00672545">
        <w:t>, after</w:t>
      </w:r>
      <w:r w:rsidRPr="00672545">
        <w:t xml:space="preserve"> defendant was under </w:t>
      </w:r>
      <w:r w:rsidR="00ED43AE" w:rsidRPr="00672545">
        <w:t xml:space="preserve">constant </w:t>
      </w:r>
      <w:r w:rsidR="00317256" w:rsidRPr="00672545">
        <w:t>police surveillance.</w:t>
      </w:r>
      <w:r w:rsidRPr="00672545">
        <w:t xml:space="preserve">  </w:t>
      </w:r>
    </w:p>
    <w:p w14:paraId="616E84E3" w14:textId="77777777" w:rsidR="00271806" w:rsidRPr="00672545" w:rsidRDefault="004032DA" w:rsidP="00672545">
      <w:pPr>
        <w:pStyle w:val="Heading3"/>
      </w:pPr>
      <w:bookmarkStart w:id="7" w:name="_Toc506979798"/>
      <w:r w:rsidRPr="00672545">
        <w:lastRenderedPageBreak/>
        <w:t xml:space="preserve">2.  The Prosecution’s </w:t>
      </w:r>
      <w:r w:rsidR="00C27D35" w:rsidRPr="00672545">
        <w:t xml:space="preserve">Trial </w:t>
      </w:r>
      <w:r w:rsidRPr="00672545">
        <w:t>Evidence</w:t>
      </w:r>
      <w:bookmarkEnd w:id="7"/>
    </w:p>
    <w:p w14:paraId="67ECD97F" w14:textId="77777777" w:rsidR="001B3A83" w:rsidRPr="00672545" w:rsidRDefault="00A32D7D" w:rsidP="00672545">
      <w:pPr>
        <w:pStyle w:val="Heading4"/>
      </w:pPr>
      <w:r w:rsidRPr="00672545">
        <w:t>a.</w:t>
      </w:r>
      <w:r w:rsidR="00076C18" w:rsidRPr="00672545">
        <w:t xml:space="preserve">  The events leading to Danielle’s disappearance</w:t>
      </w:r>
    </w:p>
    <w:p w14:paraId="0460BF99" w14:textId="77777777" w:rsidR="00271806" w:rsidRPr="00672545" w:rsidRDefault="001B3A83" w:rsidP="00672545">
      <w:pPr>
        <w:tabs>
          <w:tab w:val="left" w:pos="720"/>
          <w:tab w:val="left" w:pos="1440"/>
        </w:tabs>
      </w:pPr>
      <w:r w:rsidRPr="00672545">
        <w:tab/>
      </w:r>
      <w:r w:rsidR="00A00520" w:rsidRPr="00672545">
        <w:t>A</w:t>
      </w:r>
      <w:r w:rsidR="00F71600" w:rsidRPr="00672545">
        <w:t xml:space="preserve"> week before Danielle’s disappearance, </w:t>
      </w:r>
      <w:r w:rsidR="00A00520" w:rsidRPr="00672545">
        <w:t xml:space="preserve">on </w:t>
      </w:r>
      <w:r w:rsidR="00F71600" w:rsidRPr="00672545">
        <w:t xml:space="preserve">January 25, 2002, </w:t>
      </w:r>
      <w:r w:rsidR="009E1C8C" w:rsidRPr="00672545">
        <w:t>her</w:t>
      </w:r>
      <w:r w:rsidR="00F71600" w:rsidRPr="00672545">
        <w:t xml:space="preserve"> mother Brenda w</w:t>
      </w:r>
      <w:r w:rsidR="00A00520" w:rsidRPr="00672545">
        <w:t xml:space="preserve">ent out to </w:t>
      </w:r>
      <w:r w:rsidR="00F71600" w:rsidRPr="00672545">
        <w:t>a local bar called “</w:t>
      </w:r>
      <w:proofErr w:type="gramStart"/>
      <w:r w:rsidR="00F71600" w:rsidRPr="00672545">
        <w:t>Dad’s</w:t>
      </w:r>
      <w:proofErr w:type="gramEnd"/>
      <w:r w:rsidR="00F71600" w:rsidRPr="00672545">
        <w:t xml:space="preserve">” with her two girlfriends — Denise Kemal and Barbara Easton.  </w:t>
      </w:r>
      <w:r w:rsidR="008D002E" w:rsidRPr="00672545">
        <w:t>They met</w:t>
      </w:r>
      <w:r w:rsidR="00F71600" w:rsidRPr="00672545">
        <w:t xml:space="preserve"> defendant </w:t>
      </w:r>
      <w:r w:rsidR="008D002E" w:rsidRPr="00672545">
        <w:t xml:space="preserve">there, whom </w:t>
      </w:r>
      <w:r w:rsidR="00123067" w:rsidRPr="00672545">
        <w:t xml:space="preserve">Brenda </w:t>
      </w:r>
      <w:r w:rsidR="00F71600" w:rsidRPr="00672545">
        <w:t>recognized as her neighbor from two doors down the street.</w:t>
      </w:r>
      <w:r w:rsidR="00F81CD5" w:rsidRPr="00672545">
        <w:t xml:space="preserve">  </w:t>
      </w:r>
      <w:r w:rsidR="00F71600" w:rsidRPr="00672545">
        <w:t xml:space="preserve">Defendant introduced </w:t>
      </w:r>
      <w:proofErr w:type="gramStart"/>
      <w:r w:rsidR="00F71600" w:rsidRPr="00672545">
        <w:t xml:space="preserve">himself, </w:t>
      </w:r>
      <w:r w:rsidR="00123067" w:rsidRPr="00672545">
        <w:t>and</w:t>
      </w:r>
      <w:proofErr w:type="gramEnd"/>
      <w:r w:rsidR="00123067" w:rsidRPr="00672545">
        <w:t xml:space="preserve"> bought</w:t>
      </w:r>
      <w:r w:rsidR="00F71600" w:rsidRPr="00672545">
        <w:t xml:space="preserve"> the women drink</w:t>
      </w:r>
      <w:r w:rsidR="00AF43ED" w:rsidRPr="00672545">
        <w:t>s</w:t>
      </w:r>
      <w:r w:rsidR="00F71600" w:rsidRPr="00672545">
        <w:t>.  Brenda and defendant briefly spoke, but otherwise Brenda spent the time with her girlfriends.</w:t>
      </w:r>
      <w:r w:rsidR="00F81CD5" w:rsidRPr="00672545">
        <w:t xml:space="preserve">  </w:t>
      </w:r>
    </w:p>
    <w:p w14:paraId="0EA2F79F" w14:textId="77777777" w:rsidR="004A5959" w:rsidRPr="00672545" w:rsidRDefault="00F71600" w:rsidP="00672545">
      <w:pPr>
        <w:tabs>
          <w:tab w:val="left" w:pos="720"/>
          <w:tab w:val="left" w:pos="1440"/>
        </w:tabs>
      </w:pPr>
      <w:r w:rsidRPr="00672545">
        <w:tab/>
      </w:r>
      <w:r w:rsidR="002849AB" w:rsidRPr="00672545">
        <w:t xml:space="preserve">The following Tuesday, Brenda accompanied </w:t>
      </w:r>
      <w:r w:rsidR="00F024B0" w:rsidRPr="00672545">
        <w:t xml:space="preserve">her daughter </w:t>
      </w:r>
      <w:r w:rsidR="002849AB" w:rsidRPr="00672545">
        <w:t xml:space="preserve">Danielle </w:t>
      </w:r>
      <w:r w:rsidR="00F024B0" w:rsidRPr="00672545">
        <w:t xml:space="preserve">while </w:t>
      </w:r>
      <w:r w:rsidR="002849AB" w:rsidRPr="00672545">
        <w:t>she sold Girl Scout cookies in the neighborhood</w:t>
      </w:r>
      <w:r w:rsidR="00F024B0" w:rsidRPr="00672545">
        <w:t xml:space="preserve"> </w:t>
      </w:r>
      <w:r w:rsidR="006736B8">
        <w:t>along with</w:t>
      </w:r>
      <w:r w:rsidR="00F024B0" w:rsidRPr="00672545">
        <w:t xml:space="preserve"> her</w:t>
      </w:r>
      <w:r w:rsidR="002849AB" w:rsidRPr="00672545">
        <w:t xml:space="preserve"> five-year-old brother Dylan.</w:t>
      </w:r>
      <w:r w:rsidR="00F81CD5" w:rsidRPr="00672545">
        <w:t xml:space="preserve">  </w:t>
      </w:r>
      <w:r w:rsidR="00F024B0" w:rsidRPr="00672545">
        <w:t>They stopped at</w:t>
      </w:r>
      <w:r w:rsidR="00E302DC" w:rsidRPr="00672545">
        <w:t xml:space="preserve"> defendant’s house, </w:t>
      </w:r>
      <w:r w:rsidR="00AA0E7E" w:rsidRPr="00672545">
        <w:t>and</w:t>
      </w:r>
      <w:r w:rsidR="00F024B0" w:rsidRPr="00672545">
        <w:t xml:space="preserve"> he</w:t>
      </w:r>
      <w:r w:rsidR="00E302DC" w:rsidRPr="00672545">
        <w:t xml:space="preserve"> invited them </w:t>
      </w:r>
      <w:proofErr w:type="gramStart"/>
      <w:r w:rsidR="00E302DC" w:rsidRPr="00672545">
        <w:t>inside</w:t>
      </w:r>
      <w:proofErr w:type="gramEnd"/>
      <w:r w:rsidR="00E302DC" w:rsidRPr="00672545">
        <w:t xml:space="preserve"> </w:t>
      </w:r>
      <w:r w:rsidR="00A8246B" w:rsidRPr="00672545">
        <w:t xml:space="preserve">so </w:t>
      </w:r>
      <w:r w:rsidR="00E302DC" w:rsidRPr="00672545">
        <w:t xml:space="preserve">he </w:t>
      </w:r>
      <w:r w:rsidR="00A8246B" w:rsidRPr="00672545">
        <w:t xml:space="preserve">could </w:t>
      </w:r>
      <w:r w:rsidR="00E302DC" w:rsidRPr="00672545">
        <w:t xml:space="preserve">fill out </w:t>
      </w:r>
      <w:r w:rsidR="00A8246B" w:rsidRPr="00672545">
        <w:t xml:space="preserve">an </w:t>
      </w:r>
      <w:r w:rsidR="00E302DC" w:rsidRPr="00672545">
        <w:t xml:space="preserve">order form to purchase cookies.  While Brenda and defendant were in the dining room, Danielle and Dylan </w:t>
      </w:r>
      <w:r w:rsidR="00ED4F77" w:rsidRPr="00672545">
        <w:t>went into defendant’s</w:t>
      </w:r>
      <w:r w:rsidR="00E302DC" w:rsidRPr="00672545">
        <w:t xml:space="preserve"> backyard to see </w:t>
      </w:r>
      <w:r w:rsidR="00ED4F77" w:rsidRPr="00672545">
        <w:t xml:space="preserve">his </w:t>
      </w:r>
      <w:r w:rsidR="00E302DC" w:rsidRPr="00672545">
        <w:t>pool.</w:t>
      </w:r>
      <w:r w:rsidR="00F81CD5" w:rsidRPr="00672545">
        <w:t xml:space="preserve">  </w:t>
      </w:r>
      <w:r w:rsidR="00E302DC" w:rsidRPr="00672545">
        <w:t>Wh</w:t>
      </w:r>
      <w:r w:rsidR="001F38E8" w:rsidRPr="00672545">
        <w:t>en</w:t>
      </w:r>
      <w:r w:rsidR="00E302DC" w:rsidRPr="00672545">
        <w:t xml:space="preserve"> the children were outside, defendant </w:t>
      </w:r>
      <w:r w:rsidR="004608DC" w:rsidRPr="00672545">
        <w:t xml:space="preserve">discussed </w:t>
      </w:r>
      <w:r w:rsidR="00956A6D" w:rsidRPr="00672545">
        <w:t>the previous Friday night and his interest</w:t>
      </w:r>
      <w:r w:rsidR="00133A06" w:rsidRPr="00672545">
        <w:t xml:space="preserve"> in</w:t>
      </w:r>
      <w:r w:rsidR="004608DC" w:rsidRPr="00672545">
        <w:t xml:space="preserve"> Easton </w:t>
      </w:r>
      <w:r w:rsidR="00133A06" w:rsidRPr="00672545">
        <w:t>an</w:t>
      </w:r>
      <w:r w:rsidR="00956A6D" w:rsidRPr="00672545">
        <w:t xml:space="preserve">d that he wanted to be introduced to </w:t>
      </w:r>
      <w:r w:rsidR="00C60F71" w:rsidRPr="00672545">
        <w:t>her.  Brenda told defendant that she and Easton might be going to Dad’s again th</w:t>
      </w:r>
      <w:r w:rsidR="00E126E0" w:rsidRPr="00672545">
        <w:t>e upcoming Friday</w:t>
      </w:r>
      <w:r w:rsidR="001A0F74" w:rsidRPr="00672545">
        <w:t>, depending on whether she could find a babysitter because her husband was planning on being away that weekend</w:t>
      </w:r>
      <w:r w:rsidR="00E126E0" w:rsidRPr="00672545">
        <w:t>.</w:t>
      </w:r>
      <w:r w:rsidR="00F81CD5" w:rsidRPr="00672545">
        <w:t xml:space="preserve">  </w:t>
      </w:r>
      <w:r w:rsidR="00AD2263" w:rsidRPr="00672545">
        <w:t xml:space="preserve">After </w:t>
      </w:r>
      <w:r w:rsidR="00905202" w:rsidRPr="00672545">
        <w:t xml:space="preserve">the children came inside, </w:t>
      </w:r>
      <w:r w:rsidR="00977E41" w:rsidRPr="00672545">
        <w:t>they stayed</w:t>
      </w:r>
      <w:r w:rsidR="009E1C8C" w:rsidRPr="00672545">
        <w:t xml:space="preserve"> </w:t>
      </w:r>
      <w:r w:rsidR="00905202" w:rsidRPr="00672545">
        <w:t xml:space="preserve">with </w:t>
      </w:r>
      <w:r w:rsidR="00977E41" w:rsidRPr="00672545">
        <w:t xml:space="preserve">Brenda </w:t>
      </w:r>
      <w:r w:rsidR="00905202" w:rsidRPr="00672545">
        <w:t>in the dining room</w:t>
      </w:r>
      <w:r w:rsidR="002B54F4" w:rsidRPr="00672545">
        <w:t xml:space="preserve">, and </w:t>
      </w:r>
      <w:r w:rsidR="00905202" w:rsidRPr="00672545">
        <w:t xml:space="preserve">went nowhere else in defendant’s house.  </w:t>
      </w:r>
    </w:p>
    <w:p w14:paraId="1D025A97" w14:textId="77777777" w:rsidR="00F71600" w:rsidRPr="00672545" w:rsidRDefault="00A32D7D" w:rsidP="00672545">
      <w:pPr>
        <w:pStyle w:val="Heading4"/>
      </w:pPr>
      <w:r w:rsidRPr="00672545">
        <w:t>b.</w:t>
      </w:r>
      <w:r w:rsidR="004A5959" w:rsidRPr="00672545">
        <w:t xml:space="preserve">  The night of Danielle’s disappearance</w:t>
      </w:r>
      <w:r w:rsidR="00905202" w:rsidRPr="00672545">
        <w:t xml:space="preserve">  </w:t>
      </w:r>
    </w:p>
    <w:p w14:paraId="7E5A25CC" w14:textId="77777777" w:rsidR="00AD2263" w:rsidRPr="00672545" w:rsidRDefault="00AD2263" w:rsidP="00672545">
      <w:pPr>
        <w:tabs>
          <w:tab w:val="left" w:pos="720"/>
          <w:tab w:val="left" w:pos="1440"/>
        </w:tabs>
      </w:pPr>
      <w:r w:rsidRPr="00672545">
        <w:tab/>
      </w:r>
      <w:r w:rsidR="006D699F" w:rsidRPr="00672545">
        <w:t>Kemal and Easton arrived at the Van Dam house around 8</w:t>
      </w:r>
      <w:r w:rsidR="006736B8">
        <w:t>:00</w:t>
      </w:r>
      <w:r w:rsidR="006D699F" w:rsidRPr="00672545">
        <w:t xml:space="preserve"> p.m. on Friday, February 1, 2002.  Brenda and her two girlfriends went into the garage and smoked marijuana.</w:t>
      </w:r>
      <w:r w:rsidR="00F81CD5" w:rsidRPr="00672545">
        <w:t xml:space="preserve">  </w:t>
      </w:r>
      <w:r w:rsidR="00BA01AA" w:rsidRPr="00672545">
        <w:t xml:space="preserve">Someone opened the garage side door to let the smoke out.  </w:t>
      </w:r>
      <w:r w:rsidR="00BA01AA" w:rsidRPr="00672545">
        <w:lastRenderedPageBreak/>
        <w:t xml:space="preserve">Brenda was uncertain whether anyone closed it.  Kemal recalled closing the </w:t>
      </w:r>
      <w:r w:rsidR="006B21C3" w:rsidRPr="00672545">
        <w:t xml:space="preserve">side </w:t>
      </w:r>
      <w:r w:rsidR="00BA01AA" w:rsidRPr="00672545">
        <w:t>door, but not locking it.</w:t>
      </w:r>
      <w:r w:rsidR="00F81CD5" w:rsidRPr="00672545">
        <w:t xml:space="preserve">  </w:t>
      </w:r>
      <w:r w:rsidR="008E417D" w:rsidRPr="00672545">
        <w:t>T</w:t>
      </w:r>
      <w:r w:rsidR="00BA01AA" w:rsidRPr="00672545">
        <w:t xml:space="preserve">he Van Dams had reversed the lock on the </w:t>
      </w:r>
      <w:r w:rsidR="00906066" w:rsidRPr="00672545">
        <w:t xml:space="preserve">interior </w:t>
      </w:r>
      <w:r w:rsidR="00BA01AA" w:rsidRPr="00672545">
        <w:t>garage door leading into the house so that they could</w:t>
      </w:r>
      <w:r w:rsidR="007C776A" w:rsidRPr="00672545">
        <w:t>, if they chose,</w:t>
      </w:r>
      <w:r w:rsidR="00BA01AA" w:rsidRPr="00672545">
        <w:t xml:space="preserve"> prevent their children from entering the garage. A person inside the garage could unlock the door without a key and enter the house.</w:t>
      </w:r>
      <w:r w:rsidR="00F81CD5" w:rsidRPr="00672545">
        <w:t xml:space="preserve">  </w:t>
      </w:r>
      <w:r w:rsidR="00EA0F8E" w:rsidRPr="00672545">
        <w:t xml:space="preserve"> </w:t>
      </w:r>
    </w:p>
    <w:p w14:paraId="6369063B" w14:textId="77777777" w:rsidR="00AD2263" w:rsidRPr="00672545" w:rsidRDefault="001109EC" w:rsidP="00672545">
      <w:pPr>
        <w:tabs>
          <w:tab w:val="left" w:pos="720"/>
          <w:tab w:val="left" w:pos="1440"/>
        </w:tabs>
      </w:pPr>
      <w:r w:rsidRPr="00672545">
        <w:tab/>
      </w:r>
      <w:r w:rsidR="00274B3A" w:rsidRPr="00672545">
        <w:t xml:space="preserve">After </w:t>
      </w:r>
      <w:r w:rsidR="00CA52FA" w:rsidRPr="00672545">
        <w:t xml:space="preserve">Brenda and her two girlfriends left for Dad’s, </w:t>
      </w:r>
      <w:r w:rsidR="00EA0F8E" w:rsidRPr="00672545">
        <w:t>Damon stayed home with the children</w:t>
      </w:r>
      <w:r w:rsidR="00E42761" w:rsidRPr="00672545">
        <w:t xml:space="preserve">, Danielle, Dylan, and </w:t>
      </w:r>
      <w:r w:rsidR="009B5530" w:rsidRPr="00672545">
        <w:t>Derek</w:t>
      </w:r>
      <w:r w:rsidR="00EA0F8E" w:rsidRPr="00672545">
        <w:t>.</w:t>
      </w:r>
      <w:r w:rsidR="00F81CD5" w:rsidRPr="00672545">
        <w:t xml:space="preserve">  </w:t>
      </w:r>
      <w:r w:rsidR="00925316" w:rsidRPr="00672545">
        <w:t>Around</w:t>
      </w:r>
      <w:r w:rsidR="00EA0F8E" w:rsidRPr="00672545">
        <w:t xml:space="preserve"> 10:00 p.m., Damon put the </w:t>
      </w:r>
      <w:r w:rsidR="00BE1F07" w:rsidRPr="00672545">
        <w:t>children</w:t>
      </w:r>
      <w:r w:rsidR="00EA0F8E" w:rsidRPr="00672545">
        <w:t xml:space="preserve"> to bed for the night, each in </w:t>
      </w:r>
      <w:r w:rsidR="00033DE9" w:rsidRPr="00672545">
        <w:t>his or her</w:t>
      </w:r>
      <w:r w:rsidR="00EA0F8E" w:rsidRPr="00672545">
        <w:t xml:space="preserve"> own room</w:t>
      </w:r>
      <w:r w:rsidR="00033DE9" w:rsidRPr="00672545">
        <w:t>, and</w:t>
      </w:r>
      <w:r w:rsidR="00EA0F8E" w:rsidRPr="00672545">
        <w:t xml:space="preserve"> left </w:t>
      </w:r>
      <w:r w:rsidR="00033DE9" w:rsidRPr="00672545">
        <w:t>each</w:t>
      </w:r>
      <w:r w:rsidR="00EA0F8E" w:rsidRPr="00672545">
        <w:t xml:space="preserve"> door </w:t>
      </w:r>
      <w:r w:rsidR="005E0F56" w:rsidRPr="00672545">
        <w:t>ajar</w:t>
      </w:r>
      <w:r w:rsidR="005A5B45" w:rsidRPr="00672545">
        <w:t>.</w:t>
      </w:r>
      <w:r w:rsidR="00F81CD5" w:rsidRPr="00672545">
        <w:t xml:space="preserve">  </w:t>
      </w:r>
      <w:r w:rsidR="009F28FC" w:rsidRPr="00672545">
        <w:t xml:space="preserve">Damon watched television downstairs for 20 to 30 minutes.  He then went up to the master bedroom, taking </w:t>
      </w:r>
      <w:r w:rsidR="00E8463A" w:rsidRPr="00672545">
        <w:t xml:space="preserve">Layla, </w:t>
      </w:r>
      <w:r w:rsidR="009F28FC" w:rsidRPr="00672545">
        <w:t xml:space="preserve">the family </w:t>
      </w:r>
      <w:r w:rsidR="00E8463A" w:rsidRPr="00672545">
        <w:t>puppy,</w:t>
      </w:r>
      <w:r w:rsidR="009F28FC" w:rsidRPr="00672545">
        <w:t xml:space="preserve"> with him.  He closed the door to keep the </w:t>
      </w:r>
      <w:r w:rsidR="00E8463A" w:rsidRPr="00672545">
        <w:t>puppy</w:t>
      </w:r>
      <w:r w:rsidR="009F28FC" w:rsidRPr="00672545">
        <w:t xml:space="preserve"> in the room and continued watching television until he fell asleep.</w:t>
      </w:r>
      <w:r w:rsidR="00F81CD5" w:rsidRPr="00672545">
        <w:t xml:space="preserve">  </w:t>
      </w:r>
      <w:r w:rsidR="00EE5AF7" w:rsidRPr="00672545">
        <w:t xml:space="preserve">He briefly woke up at </w:t>
      </w:r>
      <w:r w:rsidR="009F28FC" w:rsidRPr="00672545">
        <w:t>around 1:45 a.m</w:t>
      </w:r>
      <w:r w:rsidR="00652E0B" w:rsidRPr="00672545">
        <w:t>. to allow the puppy to relief herself</w:t>
      </w:r>
      <w:r w:rsidR="009F28FC" w:rsidRPr="00672545">
        <w:t xml:space="preserve"> in the backyard</w:t>
      </w:r>
      <w:r w:rsidR="00652E0B" w:rsidRPr="00672545">
        <w:t>, after which</w:t>
      </w:r>
      <w:r w:rsidR="009F28FC" w:rsidRPr="00672545">
        <w:t xml:space="preserve"> he closed the door and went back upstairs.</w:t>
      </w:r>
      <w:r w:rsidR="00F81CD5" w:rsidRPr="00672545">
        <w:t xml:space="preserve">  </w:t>
      </w:r>
    </w:p>
    <w:p w14:paraId="4F2100D7" w14:textId="77777777" w:rsidR="009F28FC" w:rsidRPr="00672545" w:rsidRDefault="009F28FC" w:rsidP="00672545">
      <w:pPr>
        <w:tabs>
          <w:tab w:val="left" w:pos="720"/>
          <w:tab w:val="left" w:pos="1440"/>
        </w:tabs>
      </w:pPr>
      <w:r w:rsidRPr="00672545">
        <w:tab/>
      </w:r>
      <w:r w:rsidR="00C146BE" w:rsidRPr="00672545">
        <w:t>Brenda, Kemal, and Easton were at Dad’s during this time.  When they arrived</w:t>
      </w:r>
      <w:r w:rsidR="00531A09" w:rsidRPr="00672545">
        <w:t xml:space="preserve"> at the bar</w:t>
      </w:r>
      <w:r w:rsidR="00C146BE" w:rsidRPr="00672545">
        <w:t>, defendant was already there</w:t>
      </w:r>
      <w:r w:rsidR="008A0529" w:rsidRPr="00672545">
        <w:t xml:space="preserve"> with two of his friends</w:t>
      </w:r>
      <w:r w:rsidR="00C146BE" w:rsidRPr="00672545">
        <w:t>.  Brenda pointed defendant out to Easton, who went over to him and introduced herself.  Defendant came over and bought them drinks, but they did not include him in their conversation.</w:t>
      </w:r>
      <w:r w:rsidR="00F81CD5" w:rsidRPr="00672545">
        <w:t xml:space="preserve">  </w:t>
      </w:r>
      <w:r w:rsidR="00C146BE" w:rsidRPr="00672545">
        <w:t>Sometime after 9:00 p.m., the Van Dams’ frie</w:t>
      </w:r>
      <w:r w:rsidR="006736B8">
        <w:t xml:space="preserve">nds, Rich Brady and Keith Stone, </w:t>
      </w:r>
      <w:r w:rsidR="00C146BE" w:rsidRPr="00672545">
        <w:t>arrived.</w:t>
      </w:r>
      <w:r w:rsidR="00F81CD5" w:rsidRPr="00672545">
        <w:t xml:space="preserve">  </w:t>
      </w:r>
      <w:r w:rsidR="00C146BE" w:rsidRPr="00672545">
        <w:t xml:space="preserve">Brady and Stone joined Brenda and her friends.  At one point, defendant’s friends joined Brenda’s group playing pool.  </w:t>
      </w:r>
      <w:r w:rsidR="005671C3" w:rsidRPr="00672545">
        <w:t xml:space="preserve">Defendant was not part of the group but </w:t>
      </w:r>
      <w:r w:rsidR="00C146BE" w:rsidRPr="00672545">
        <w:t>watched for at least part of the time.</w:t>
      </w:r>
      <w:r w:rsidR="00F81CD5" w:rsidRPr="00672545">
        <w:t xml:space="preserve">  </w:t>
      </w:r>
      <w:r w:rsidR="00731C5A" w:rsidRPr="00672545">
        <w:t xml:space="preserve">Later </w:t>
      </w:r>
      <w:r w:rsidR="00000F69" w:rsidRPr="00672545">
        <w:t>that night</w:t>
      </w:r>
      <w:r w:rsidR="00731C5A" w:rsidRPr="00672545">
        <w:t xml:space="preserve">, </w:t>
      </w:r>
      <w:r w:rsidR="00214D72" w:rsidRPr="00672545">
        <w:t xml:space="preserve">around 10:30 or 11:00 p.m., </w:t>
      </w:r>
      <w:r w:rsidR="00000F69" w:rsidRPr="00672545">
        <w:t>the group went</w:t>
      </w:r>
      <w:r w:rsidR="00731C5A" w:rsidRPr="00672545">
        <w:t xml:space="preserve"> to Brenda’s car where they smoked marijuana</w:t>
      </w:r>
      <w:r w:rsidR="00FA35E7" w:rsidRPr="00672545">
        <w:t xml:space="preserve">.  </w:t>
      </w:r>
      <w:r w:rsidR="00214D72" w:rsidRPr="00672545">
        <w:t xml:space="preserve">When they went back inside the bar, the group started dancing.  Defendant was still inside.  The group left Dad’s shortly before </w:t>
      </w:r>
      <w:r w:rsidR="00214D72" w:rsidRPr="00672545">
        <w:lastRenderedPageBreak/>
        <w:t>closing at 2:00 a.m.  Brenda was unsure whether defendant was at the bar when they left</w:t>
      </w:r>
      <w:r w:rsidR="00C66826" w:rsidRPr="00672545">
        <w:t>, although one of defendant’s friends, Garry Harvey, said that defendant was gone when Harvey returned to the bar around 12:30 a.m.</w:t>
      </w:r>
      <w:r w:rsidR="00F81CD5" w:rsidRPr="00672545">
        <w:t xml:space="preserve">  </w:t>
      </w:r>
      <w:r w:rsidR="00214D72" w:rsidRPr="00672545">
        <w:t>Brenda</w:t>
      </w:r>
      <w:r w:rsidR="00C66826" w:rsidRPr="00672545">
        <w:t>, her girlfriends, Brady</w:t>
      </w:r>
      <w:r w:rsidR="00BA0E16" w:rsidRPr="00672545">
        <w:t>,</w:t>
      </w:r>
      <w:r w:rsidR="00C66826" w:rsidRPr="00672545">
        <w:t xml:space="preserve"> and Stone</w:t>
      </w:r>
      <w:r w:rsidR="00214D72" w:rsidRPr="00672545">
        <w:t xml:space="preserve"> </w:t>
      </w:r>
      <w:r w:rsidR="00D55882" w:rsidRPr="00672545">
        <w:t xml:space="preserve">went </w:t>
      </w:r>
      <w:r w:rsidR="00214D72" w:rsidRPr="00672545">
        <w:t xml:space="preserve">to </w:t>
      </w:r>
      <w:r w:rsidR="00C66826" w:rsidRPr="00672545">
        <w:t xml:space="preserve">the </w:t>
      </w:r>
      <w:r w:rsidR="00214D72" w:rsidRPr="00672545">
        <w:t xml:space="preserve">Van </w:t>
      </w:r>
      <w:r w:rsidR="00C66826" w:rsidRPr="00672545">
        <w:t xml:space="preserve">Dams’ home.  </w:t>
      </w:r>
    </w:p>
    <w:p w14:paraId="402A182A" w14:textId="77777777" w:rsidR="00162D63" w:rsidRPr="00672545" w:rsidRDefault="00531A09" w:rsidP="00672545">
      <w:pPr>
        <w:tabs>
          <w:tab w:val="left" w:pos="720"/>
          <w:tab w:val="left" w:pos="1440"/>
        </w:tabs>
      </w:pPr>
      <w:r w:rsidRPr="00672545">
        <w:tab/>
        <w:t>When Brenda entered her home, she noticed a red blinking light on the alarm monitor, indicating that there was a window or door</w:t>
      </w:r>
      <w:r w:rsidR="001468F6" w:rsidRPr="00672545">
        <w:t xml:space="preserve"> open</w:t>
      </w:r>
      <w:r w:rsidRPr="00672545">
        <w:t>.  Brenda a</w:t>
      </w:r>
      <w:r w:rsidR="001468F6" w:rsidRPr="00672545">
        <w:t>nd Kemal started looking for the open window or door.  Upstairs, Brenda also went to tell Damon that Brady and Stone were visiting.</w:t>
      </w:r>
      <w:r w:rsidR="00F81CD5" w:rsidRPr="00672545">
        <w:t xml:space="preserve">  </w:t>
      </w:r>
      <w:r w:rsidR="001468F6" w:rsidRPr="00672545">
        <w:t>Brenda and Kemal found that the garage side door was open.  Brenda closed it and went back upstairs, where she found Easton with Damon.</w:t>
      </w:r>
      <w:r w:rsidR="00C81AC5" w:rsidRPr="00672545">
        <w:rPr>
          <w:rStyle w:val="FootnoteReference"/>
        </w:rPr>
        <w:footnoteReference w:id="4"/>
      </w:r>
      <w:r w:rsidR="00F81CD5" w:rsidRPr="00672545">
        <w:t xml:space="preserve">  </w:t>
      </w:r>
      <w:r w:rsidR="00755EE1" w:rsidRPr="00672545">
        <w:t xml:space="preserve">Brenda told them to come downstairs.  Brenda did not check on the </w:t>
      </w:r>
      <w:proofErr w:type="gramStart"/>
      <w:r w:rsidR="00755EE1" w:rsidRPr="00672545">
        <w:t>children</w:t>
      </w:r>
      <w:r w:rsidR="00B53CE7" w:rsidRPr="00672545">
        <w:t>, but</w:t>
      </w:r>
      <w:proofErr w:type="gramEnd"/>
      <w:r w:rsidR="00B53CE7" w:rsidRPr="00672545">
        <w:t xml:space="preserve"> closed the</w:t>
      </w:r>
      <w:r w:rsidR="00056B52" w:rsidRPr="00672545">
        <w:t>ir</w:t>
      </w:r>
      <w:r w:rsidR="00B53CE7" w:rsidRPr="00672545">
        <w:t xml:space="preserve"> doors due to the </w:t>
      </w:r>
      <w:r w:rsidR="00951921" w:rsidRPr="00672545">
        <w:t xml:space="preserve">potential </w:t>
      </w:r>
      <w:r w:rsidR="00B53CE7" w:rsidRPr="00672545">
        <w:t>noise</w:t>
      </w:r>
      <w:r w:rsidR="00755EE1" w:rsidRPr="00672545">
        <w:t>.</w:t>
      </w:r>
      <w:r w:rsidR="00F81CD5" w:rsidRPr="00672545">
        <w:t xml:space="preserve">  </w:t>
      </w:r>
      <w:r w:rsidR="00755EE1" w:rsidRPr="00672545">
        <w:t xml:space="preserve">Downstairs, everyone ate leftover pizza.  About 20 minutes later, the guests left.  Damon and Brenda locked up the house and went to bed.  </w:t>
      </w:r>
      <w:r w:rsidR="00E8463A" w:rsidRPr="00672545">
        <w:t xml:space="preserve">Damon placed Layla in Derek’s room.  </w:t>
      </w:r>
      <w:r w:rsidR="00755EE1" w:rsidRPr="00672545">
        <w:t xml:space="preserve">It was around 2:30 a.m.  </w:t>
      </w:r>
    </w:p>
    <w:p w14:paraId="29EDD7DB" w14:textId="77777777" w:rsidR="00EF4263" w:rsidRPr="00672545" w:rsidRDefault="00EF4263" w:rsidP="00672545">
      <w:pPr>
        <w:tabs>
          <w:tab w:val="left" w:pos="720"/>
          <w:tab w:val="left" w:pos="1440"/>
        </w:tabs>
      </w:pPr>
      <w:r w:rsidRPr="00672545">
        <w:tab/>
      </w:r>
      <w:r w:rsidR="003D467A" w:rsidRPr="00672545">
        <w:t xml:space="preserve">Sometime after 3:00 or 3:30 a.m. Damon woke again.  When he got up, he noticed a red light flashing on the alarm monitor in their bedroom.  He went downstairs and noticed a cold draft of air in the hallway.  He found the sliding glass door to the backyard was open.  He closed the door, made sure </w:t>
      </w:r>
      <w:proofErr w:type="gramStart"/>
      <w:r w:rsidR="003D467A" w:rsidRPr="00672545">
        <w:t>all of</w:t>
      </w:r>
      <w:proofErr w:type="gramEnd"/>
      <w:r w:rsidR="003D467A" w:rsidRPr="00672545">
        <w:t xml:space="preserve"> the other doors were closed, including the side garage door, and </w:t>
      </w:r>
      <w:r w:rsidR="003D467A" w:rsidRPr="00672545">
        <w:lastRenderedPageBreak/>
        <w:t>checked the alarm panel.  Damon went back to bed without checking on the children.</w:t>
      </w:r>
      <w:r w:rsidR="00F81CD5" w:rsidRPr="00672545">
        <w:t xml:space="preserve">  </w:t>
      </w:r>
    </w:p>
    <w:p w14:paraId="247EA2CF" w14:textId="6E362BE9" w:rsidR="00755EE1" w:rsidRPr="00672545" w:rsidRDefault="00755EE1" w:rsidP="00672545">
      <w:pPr>
        <w:tabs>
          <w:tab w:val="left" w:pos="720"/>
          <w:tab w:val="left" w:pos="1440"/>
        </w:tabs>
      </w:pPr>
      <w:r w:rsidRPr="00672545">
        <w:tab/>
      </w:r>
      <w:r w:rsidR="003E2D01" w:rsidRPr="00672545">
        <w:t>The next morning, Brenda woke and went downstairs</w:t>
      </w:r>
      <w:r w:rsidR="001B65D2" w:rsidRPr="00672545">
        <w:t xml:space="preserve"> to make breakfast and await the arrival of two neighborhood children whom she was to watch that day</w:t>
      </w:r>
      <w:r w:rsidR="003E2D01" w:rsidRPr="00672545">
        <w:t xml:space="preserve">.  Damon and the two boys were already </w:t>
      </w:r>
      <w:r w:rsidR="001B65D2" w:rsidRPr="00672545">
        <w:t>downstairs</w:t>
      </w:r>
      <w:r w:rsidR="003E2D01" w:rsidRPr="00672545">
        <w:t>.</w:t>
      </w:r>
      <w:r w:rsidR="00F81CD5" w:rsidRPr="00672545">
        <w:t xml:space="preserve">  </w:t>
      </w:r>
      <w:r w:rsidR="001B65D2" w:rsidRPr="00672545">
        <w:t>The neighborhood children arrived around 9:30 a.m.</w:t>
      </w:r>
      <w:r w:rsidR="00F81CD5" w:rsidRPr="00672545">
        <w:t xml:space="preserve">  </w:t>
      </w:r>
      <w:r w:rsidR="00D12F55" w:rsidRPr="00672545">
        <w:t>Because</w:t>
      </w:r>
      <w:r w:rsidR="001B65D2" w:rsidRPr="00672545">
        <w:t xml:space="preserve"> Danielle had not yet come downstairs, Brenda went to wake her.  </w:t>
      </w:r>
      <w:r w:rsidR="00C4202C" w:rsidRPr="00672545">
        <w:t>Danielle</w:t>
      </w:r>
      <w:r w:rsidR="00FC6104" w:rsidRPr="00672545">
        <w:t xml:space="preserve"> was nowhere to be found</w:t>
      </w:r>
      <w:r w:rsidR="00C4202C" w:rsidRPr="00672545">
        <w:t>.  Brenda called 911 and their neighbors, reporting that Danielle was missing.</w:t>
      </w:r>
      <w:r w:rsidR="00F81CD5" w:rsidRPr="00672545">
        <w:t xml:space="preserve">  </w:t>
      </w:r>
      <w:r w:rsidR="004428C3" w:rsidRPr="00672545">
        <w:t>The police arrived</w:t>
      </w:r>
      <w:r w:rsidR="007E6F6E" w:rsidRPr="00672545">
        <w:t xml:space="preserve"> and conducted a forensic investigation</w:t>
      </w:r>
      <w:r w:rsidR="003432BE">
        <w:t xml:space="preserve"> of</w:t>
      </w:r>
      <w:r w:rsidR="007E6F6E" w:rsidRPr="00672545">
        <w:t xml:space="preserve"> </w:t>
      </w:r>
      <w:r w:rsidR="00B769F5" w:rsidRPr="00672545">
        <w:t xml:space="preserve">their house that day and overnight.  </w:t>
      </w:r>
    </w:p>
    <w:p w14:paraId="2938A628" w14:textId="77777777" w:rsidR="00B900D6" w:rsidRPr="00672545" w:rsidRDefault="00A32D7D" w:rsidP="00672545">
      <w:pPr>
        <w:pStyle w:val="Heading4"/>
      </w:pPr>
      <w:r w:rsidRPr="00672545">
        <w:t>c.</w:t>
      </w:r>
      <w:r w:rsidR="00B900D6" w:rsidRPr="00672545">
        <w:t xml:space="preserve">  The investigation of Danielle’s disappearance</w:t>
      </w:r>
    </w:p>
    <w:p w14:paraId="7D4B26E4" w14:textId="77777777" w:rsidR="004428C3" w:rsidRPr="00672545" w:rsidRDefault="004428C3" w:rsidP="00672545">
      <w:pPr>
        <w:tabs>
          <w:tab w:val="left" w:pos="720"/>
          <w:tab w:val="left" w:pos="1440"/>
        </w:tabs>
      </w:pPr>
      <w:r w:rsidRPr="00672545">
        <w:tab/>
      </w:r>
      <w:r w:rsidR="00392FA2" w:rsidRPr="00672545">
        <w:t>By Sunday, February 3, t</w:t>
      </w:r>
      <w:r w:rsidRPr="00672545">
        <w:t xml:space="preserve">he San Diego Police Department </w:t>
      </w:r>
      <w:r w:rsidR="00392FA2" w:rsidRPr="00672545">
        <w:t xml:space="preserve">had </w:t>
      </w:r>
      <w:r w:rsidRPr="00672545">
        <w:t xml:space="preserve">set up a “command post” on the Van Dams’ street.  Detective Johnny Keene arrived to contact neighbors and </w:t>
      </w:r>
      <w:r w:rsidR="00B16891" w:rsidRPr="00672545">
        <w:t xml:space="preserve">to </w:t>
      </w:r>
      <w:r w:rsidRPr="00672545">
        <w:t xml:space="preserve">obtain statements </w:t>
      </w:r>
      <w:r w:rsidR="00B16891" w:rsidRPr="00672545">
        <w:t>concerning</w:t>
      </w:r>
      <w:r w:rsidRPr="00672545">
        <w:t xml:space="preserve"> any information about Danielle’s disappearance.  </w:t>
      </w:r>
      <w:r w:rsidR="00B769F5" w:rsidRPr="00672545">
        <w:t>He knocked on defendant’s door and received no answer.</w:t>
      </w:r>
      <w:r w:rsidR="00F81CD5" w:rsidRPr="00672545">
        <w:t xml:space="preserve">  </w:t>
      </w:r>
      <w:r w:rsidR="00B757A3" w:rsidRPr="00672545">
        <w:t xml:space="preserve">The following morning, Keene returned to defendant’s home upon learning that defendant had </w:t>
      </w:r>
      <w:proofErr w:type="gramStart"/>
      <w:r w:rsidR="00B757A3" w:rsidRPr="00672545">
        <w:t>returned</w:t>
      </w:r>
      <w:proofErr w:type="gramEnd"/>
      <w:r w:rsidR="00B757A3" w:rsidRPr="00672545">
        <w:t xml:space="preserve"> and other officers </w:t>
      </w:r>
      <w:r w:rsidR="006736B8">
        <w:t>had spoken</w:t>
      </w:r>
      <w:r w:rsidR="00B757A3" w:rsidRPr="00672545">
        <w:t xml:space="preserve"> with him in his driveway.  </w:t>
      </w:r>
    </w:p>
    <w:p w14:paraId="471FFB47" w14:textId="77777777" w:rsidR="004972AC" w:rsidRPr="00672545" w:rsidRDefault="004972AC" w:rsidP="00672545">
      <w:pPr>
        <w:tabs>
          <w:tab w:val="left" w:pos="720"/>
          <w:tab w:val="left" w:pos="1440"/>
        </w:tabs>
      </w:pPr>
      <w:r w:rsidRPr="00672545">
        <w:tab/>
        <w:t xml:space="preserve">Keene asked defendant about his activities that weekend.  Defendant said that he </w:t>
      </w:r>
      <w:r w:rsidR="00DD7924" w:rsidRPr="00672545">
        <w:t>a</w:t>
      </w:r>
      <w:r w:rsidRPr="00672545">
        <w:t>woke around 6:30 a.m. on Saturday</w:t>
      </w:r>
      <w:r w:rsidR="00341ABC" w:rsidRPr="00672545">
        <w:t xml:space="preserve"> </w:t>
      </w:r>
      <w:r w:rsidR="00122D1A" w:rsidRPr="00672545">
        <w:t>and</w:t>
      </w:r>
      <w:r w:rsidRPr="00672545">
        <w:t xml:space="preserve"> decided he wanted to go to the desert.</w:t>
      </w:r>
      <w:r w:rsidR="00F81CD5" w:rsidRPr="00672545">
        <w:t xml:space="preserve">  </w:t>
      </w:r>
      <w:r w:rsidRPr="00672545">
        <w:t xml:space="preserve">He drove </w:t>
      </w:r>
      <w:r w:rsidR="004C43A4" w:rsidRPr="00672545">
        <w:t xml:space="preserve">his Toyota 4Runner SUV </w:t>
      </w:r>
      <w:r w:rsidRPr="00672545">
        <w:t xml:space="preserve">to </w:t>
      </w:r>
      <w:r w:rsidR="00122D1A" w:rsidRPr="00672545">
        <w:t>his storage location in</w:t>
      </w:r>
      <w:r w:rsidRPr="00672545">
        <w:t xml:space="preserve"> “High Valley”</w:t>
      </w:r>
      <w:r w:rsidR="004C43A4" w:rsidRPr="00672545">
        <w:t xml:space="preserve"> where he left it</w:t>
      </w:r>
      <w:r w:rsidRPr="00672545">
        <w:t xml:space="preserve"> to retrieve his motorhome.  He drove the motorhome back to his house, where he stocked it with groceries and filled the water tank.</w:t>
      </w:r>
      <w:r w:rsidR="00F81CD5" w:rsidRPr="00672545">
        <w:t xml:space="preserve">  </w:t>
      </w:r>
      <w:r w:rsidR="00CD2DB4" w:rsidRPr="00672545">
        <w:t>Defendant said he left home around 9:50 a.m.  When he realized that he did not have his wallet and did not have enough money to go to the desert, he</w:t>
      </w:r>
      <w:r w:rsidR="00517BF8" w:rsidRPr="00672545">
        <w:t xml:space="preserve"> instead</w:t>
      </w:r>
      <w:r w:rsidR="00CD2DB4" w:rsidRPr="00672545">
        <w:t xml:space="preserve"> drove to a state park called Silver Strand near the city of Coronado.  When </w:t>
      </w:r>
      <w:r w:rsidR="00CD2DB4" w:rsidRPr="00672545">
        <w:lastRenderedPageBreak/>
        <w:t>he arrived, he filled out a registration envelope, placed money for a three-night stay inside, and parked his motorhome.</w:t>
      </w:r>
      <w:r w:rsidR="00F81CD5" w:rsidRPr="00672545">
        <w:t xml:space="preserve">  </w:t>
      </w:r>
      <w:r w:rsidR="00CD2DB4" w:rsidRPr="00672545">
        <w:t xml:space="preserve">A park ranger came by and told him he had overpaid by $30, apparently placing a $50 bill in the envelope.  </w:t>
      </w:r>
      <w:r w:rsidR="00687891" w:rsidRPr="00672545">
        <w:t>Once the ranger left, d</w:t>
      </w:r>
      <w:r w:rsidR="00CD2DB4" w:rsidRPr="00672545">
        <w:t>efendant said that he did not stay much longer because it was too cold.  He decided, instead, to return home to find his wallet.</w:t>
      </w:r>
      <w:r w:rsidR="00F81CD5" w:rsidRPr="00672545">
        <w:t xml:space="preserve">  </w:t>
      </w:r>
    </w:p>
    <w:p w14:paraId="30F7B5C6" w14:textId="77777777" w:rsidR="003E5B1A" w:rsidRPr="00672545" w:rsidRDefault="00421250" w:rsidP="00672545">
      <w:pPr>
        <w:tabs>
          <w:tab w:val="left" w:pos="720"/>
          <w:tab w:val="left" w:pos="1440"/>
        </w:tabs>
      </w:pPr>
      <w:r w:rsidRPr="00672545">
        <w:tab/>
      </w:r>
      <w:r w:rsidR="008B7CE4" w:rsidRPr="00672545">
        <w:t>Defendant thought he arrived home around 3:30 p.m.  He saw news vans and police activity on the street.  One of his neighbors told him about the missing girl and defendant decided to check his house and pool.  After he did so, he drove back to where he had left his 4Runner because he thought</w:t>
      </w:r>
      <w:r w:rsidR="00BA2E0D" w:rsidRPr="00672545">
        <w:t xml:space="preserve">, as it turned </w:t>
      </w:r>
      <w:r w:rsidR="00687891" w:rsidRPr="00672545">
        <w:t xml:space="preserve">out </w:t>
      </w:r>
      <w:r w:rsidR="00BA2E0D" w:rsidRPr="00672545">
        <w:t>correctly,</w:t>
      </w:r>
      <w:r w:rsidR="008B7CE4" w:rsidRPr="00672545">
        <w:t xml:space="preserve"> that he might have left his wallet in it.</w:t>
      </w:r>
      <w:r w:rsidR="00F81CD5" w:rsidRPr="00672545">
        <w:t xml:space="preserve">  </w:t>
      </w:r>
    </w:p>
    <w:p w14:paraId="2A0544BF" w14:textId="77777777" w:rsidR="00AD2263" w:rsidRPr="00672545" w:rsidRDefault="003E5B1A" w:rsidP="00672545">
      <w:pPr>
        <w:tabs>
          <w:tab w:val="left" w:pos="720"/>
          <w:tab w:val="left" w:pos="1440"/>
        </w:tabs>
      </w:pPr>
      <w:r w:rsidRPr="00672545">
        <w:tab/>
      </w:r>
      <w:r w:rsidR="008B7CE4" w:rsidRPr="00672545">
        <w:t>Once he had his wallet, defendant put gas in his motorhome and drove the “back way” to Glamis, a sand dune area about 160 miles away.  He estimated that he arrived around 10:00 or 10:30 p.m.</w:t>
      </w:r>
      <w:r w:rsidR="00F81CD5" w:rsidRPr="00672545">
        <w:t xml:space="preserve">  </w:t>
      </w:r>
      <w:r w:rsidR="00B5017F" w:rsidRPr="00672545">
        <w:t xml:space="preserve">Defendant did not bring with him any of his “sand toys,” meaning </w:t>
      </w:r>
      <w:r w:rsidR="00A9726A" w:rsidRPr="00672545">
        <w:t xml:space="preserve">the </w:t>
      </w:r>
      <w:r w:rsidR="00B5017F" w:rsidRPr="00672545">
        <w:t xml:space="preserve">vehicles </w:t>
      </w:r>
      <w:r w:rsidR="00A9726A" w:rsidRPr="00672545">
        <w:t xml:space="preserve">he </w:t>
      </w:r>
      <w:r w:rsidR="00687891" w:rsidRPr="00672545">
        <w:t xml:space="preserve">usually </w:t>
      </w:r>
      <w:r w:rsidR="00B5017F" w:rsidRPr="00672545">
        <w:t>dr</w:t>
      </w:r>
      <w:r w:rsidR="00BD26A0" w:rsidRPr="00672545">
        <w:t>o</w:t>
      </w:r>
      <w:r w:rsidR="00B5017F" w:rsidRPr="00672545">
        <w:t xml:space="preserve">ve on the sand dunes.  </w:t>
      </w:r>
      <w:r w:rsidR="00A9726A" w:rsidRPr="00672545">
        <w:t xml:space="preserve">He pulled into a spot for the </w:t>
      </w:r>
      <w:proofErr w:type="gramStart"/>
      <w:r w:rsidR="00A9726A" w:rsidRPr="00672545">
        <w:t>night</w:t>
      </w:r>
      <w:r w:rsidR="00D12F55" w:rsidRPr="00672545">
        <w:t>,</w:t>
      </w:r>
      <w:r w:rsidR="00414268" w:rsidRPr="00672545">
        <w:t xml:space="preserve"> but</w:t>
      </w:r>
      <w:proofErr w:type="gramEnd"/>
      <w:r w:rsidR="00A9726A" w:rsidRPr="00672545">
        <w:t xml:space="preserve"> got stuck in the sand.</w:t>
      </w:r>
      <w:r w:rsidR="00F81CD5" w:rsidRPr="00672545">
        <w:t xml:space="preserve">  </w:t>
      </w:r>
      <w:r w:rsidRPr="00672545">
        <w:t xml:space="preserve">He spent the night there and began digging himself out the next morning.  Eventually someone came by and towed him out of the sand.  </w:t>
      </w:r>
    </w:p>
    <w:p w14:paraId="272B28BB" w14:textId="77777777" w:rsidR="003E5B1A" w:rsidRPr="00672545" w:rsidRDefault="003E5B1A" w:rsidP="00672545">
      <w:pPr>
        <w:tabs>
          <w:tab w:val="left" w:pos="720"/>
          <w:tab w:val="left" w:pos="1440"/>
        </w:tabs>
      </w:pPr>
      <w:r w:rsidRPr="00672545">
        <w:tab/>
        <w:t xml:space="preserve">Defendant said that once he was out of the sand, he left Glamis and drove to a place called Superstition Mountain </w:t>
      </w:r>
      <w:r w:rsidR="0075076E" w:rsidRPr="00672545">
        <w:t>to see if</w:t>
      </w:r>
      <w:r w:rsidRPr="00672545">
        <w:t xml:space="preserve"> it was </w:t>
      </w:r>
      <w:r w:rsidR="000B7708" w:rsidRPr="00672545">
        <w:t xml:space="preserve">a </w:t>
      </w:r>
      <w:r w:rsidRPr="00672545">
        <w:t xml:space="preserve">place he would want to take his son camping.  He </w:t>
      </w:r>
      <w:proofErr w:type="gramStart"/>
      <w:r w:rsidRPr="00672545">
        <w:t>continued on</w:t>
      </w:r>
      <w:proofErr w:type="gramEnd"/>
      <w:r w:rsidRPr="00672545">
        <w:t xml:space="preserve"> to Borrego Springs, where he once again got the motorhome stuck in the sand.  Defendant estimated that he left Borrego Springs about 6:00 p.m. after digging himself out.</w:t>
      </w:r>
      <w:r w:rsidR="00F81CD5" w:rsidRPr="00672545">
        <w:t xml:space="preserve">  </w:t>
      </w:r>
      <w:r w:rsidR="00CD7E04" w:rsidRPr="00672545">
        <w:t xml:space="preserve">He drove back to Silver </w:t>
      </w:r>
      <w:proofErr w:type="gramStart"/>
      <w:r w:rsidR="00CD7E04" w:rsidRPr="00672545">
        <w:t>Strand, but</w:t>
      </w:r>
      <w:proofErr w:type="gramEnd"/>
      <w:r w:rsidR="00CD7E04" w:rsidRPr="00672545">
        <w:t xml:space="preserve"> arrived too late to gain admittance to the park.  Defendant </w:t>
      </w:r>
      <w:r w:rsidR="005B1D3F" w:rsidRPr="00672545">
        <w:t>said that he</w:t>
      </w:r>
      <w:r w:rsidR="00CD7E04" w:rsidRPr="00672545">
        <w:t xml:space="preserve"> parked the motorhome </w:t>
      </w:r>
      <w:r w:rsidR="00687891" w:rsidRPr="00672545">
        <w:t xml:space="preserve">for the night </w:t>
      </w:r>
      <w:r w:rsidR="00CD7E04" w:rsidRPr="00672545">
        <w:t xml:space="preserve">across the street in a parking lot at </w:t>
      </w:r>
      <w:r w:rsidR="00CD7E04" w:rsidRPr="00672545">
        <w:lastRenderedPageBreak/>
        <w:t>Coronado Cays.  He woke up early, around 4</w:t>
      </w:r>
      <w:r w:rsidR="003C2B32">
        <w:t>:00</w:t>
      </w:r>
      <w:r w:rsidR="00CD7E04" w:rsidRPr="00672545">
        <w:t xml:space="preserve"> a.m., and drove back to High Valley.  </w:t>
      </w:r>
      <w:r w:rsidR="0075076E" w:rsidRPr="00672545">
        <w:t>But t</w:t>
      </w:r>
      <w:r w:rsidR="00CD7E04" w:rsidRPr="00672545">
        <w:t xml:space="preserve">hinking it was </w:t>
      </w:r>
      <w:r w:rsidR="0075076E" w:rsidRPr="00672545">
        <w:t xml:space="preserve">still </w:t>
      </w:r>
      <w:r w:rsidR="00CD7E04" w:rsidRPr="00672545">
        <w:t>too early to park his motorhome and retrieve his 4Runner, he drove straight home.  The police arrived a short time later.</w:t>
      </w:r>
      <w:r w:rsidR="00F81CD5" w:rsidRPr="00672545">
        <w:t xml:space="preserve">  </w:t>
      </w:r>
    </w:p>
    <w:p w14:paraId="3DC66381" w14:textId="77777777" w:rsidR="00890466" w:rsidRPr="00672545" w:rsidRDefault="007251F6" w:rsidP="00672545">
      <w:pPr>
        <w:tabs>
          <w:tab w:val="left" w:pos="720"/>
          <w:tab w:val="left" w:pos="1440"/>
        </w:tabs>
      </w:pPr>
      <w:r w:rsidRPr="00672545">
        <w:tab/>
        <w:t>Keene asked defendant about his night at Dad’s on Friday, February 1.  Defendant mentioned seeing Brenda there and that</w:t>
      </w:r>
      <w:r w:rsidR="00ED3C27" w:rsidRPr="00672545">
        <w:t xml:space="preserve"> her husband</w:t>
      </w:r>
      <w:r w:rsidRPr="00672545">
        <w:t xml:space="preserve"> told </w:t>
      </w:r>
      <w:r w:rsidR="0098652A" w:rsidRPr="00672545">
        <w:t xml:space="preserve">her </w:t>
      </w:r>
      <w:r w:rsidRPr="00672545">
        <w:t xml:space="preserve">he felt their daughter was growing up too quickly.  Defendant </w:t>
      </w:r>
      <w:r w:rsidR="002C13E0" w:rsidRPr="00672545">
        <w:t>paused and t</w:t>
      </w:r>
      <w:r w:rsidRPr="00672545">
        <w:t xml:space="preserve">hen said, “I could have sworn she said she had a babysitter.  I didn’t know her husband was home with the kids.”  Keene had not asked a question to prompt such a response.  </w:t>
      </w:r>
    </w:p>
    <w:p w14:paraId="7EE40FF8" w14:textId="77777777" w:rsidR="00B14B8C" w:rsidRPr="00672545" w:rsidRDefault="00890466" w:rsidP="00672545">
      <w:pPr>
        <w:tabs>
          <w:tab w:val="left" w:pos="720"/>
          <w:tab w:val="left" w:pos="1440"/>
        </w:tabs>
      </w:pPr>
      <w:r w:rsidRPr="00672545">
        <w:tab/>
      </w:r>
      <w:r w:rsidR="007251F6" w:rsidRPr="00672545">
        <w:t xml:space="preserve">Defendant told Keene that he left Dad’s around 11:00 or 11:30 </w:t>
      </w:r>
      <w:r w:rsidR="002C13E0" w:rsidRPr="00672545">
        <w:t xml:space="preserve">p.m. </w:t>
      </w:r>
      <w:r w:rsidR="007251F6" w:rsidRPr="00672545">
        <w:t>that night, drove home, and went to bed.</w:t>
      </w:r>
      <w:r w:rsidR="00F81CD5" w:rsidRPr="00672545">
        <w:t xml:space="preserve">  </w:t>
      </w:r>
      <w:r w:rsidR="002C13E0" w:rsidRPr="00672545">
        <w:t>When asked about o</w:t>
      </w:r>
      <w:r w:rsidR="00BA2412" w:rsidRPr="00672545">
        <w:t>ther</w:t>
      </w:r>
      <w:r w:rsidR="002C13E0" w:rsidRPr="00672545">
        <w:t xml:space="preserve"> previous interactions with Brenda, defendant told Keene </w:t>
      </w:r>
      <w:r w:rsidR="00687891" w:rsidRPr="00672545">
        <w:t xml:space="preserve">about </w:t>
      </w:r>
      <w:r w:rsidR="002C13E0" w:rsidRPr="00672545">
        <w:t xml:space="preserve">meeting Brenda at Dad’s the week before and buying Girl Scout cookies from Danielle the previous week.  Defendant said that while he was filling out the </w:t>
      </w:r>
      <w:r w:rsidR="00687891" w:rsidRPr="00672545">
        <w:t xml:space="preserve">cookie </w:t>
      </w:r>
      <w:r w:rsidR="002C13E0" w:rsidRPr="00672545">
        <w:t>order form and speaking with the Brenda, the kids were “running all over the house.”</w:t>
      </w:r>
      <w:r w:rsidR="00F81CD5" w:rsidRPr="00672545">
        <w:t xml:space="preserve">  </w:t>
      </w:r>
    </w:p>
    <w:p w14:paraId="0E45A192" w14:textId="77777777" w:rsidR="003E5B1A" w:rsidRPr="00672545" w:rsidRDefault="00B14B8C" w:rsidP="00672545">
      <w:pPr>
        <w:tabs>
          <w:tab w:val="left" w:pos="720"/>
          <w:tab w:val="left" w:pos="1440"/>
        </w:tabs>
      </w:pPr>
      <w:r w:rsidRPr="00672545">
        <w:tab/>
      </w:r>
      <w:r w:rsidR="002C13E0" w:rsidRPr="00672545">
        <w:t>Keene asked defendant if it was okay to look inside his house</w:t>
      </w:r>
      <w:r w:rsidR="008A636A" w:rsidRPr="00672545">
        <w:t>, 4Runner, and motorhome</w:t>
      </w:r>
      <w:r w:rsidR="002C205A" w:rsidRPr="00672545">
        <w:t xml:space="preserve">.  Defendant </w:t>
      </w:r>
      <w:r w:rsidR="00687891" w:rsidRPr="00672545">
        <w:t xml:space="preserve">said it was, </w:t>
      </w:r>
      <w:r w:rsidR="002C205A" w:rsidRPr="00672545">
        <w:t>and signed consent form</w:t>
      </w:r>
      <w:r w:rsidR="00A913B6" w:rsidRPr="00672545">
        <w:t>s for all of them</w:t>
      </w:r>
      <w:r w:rsidR="002C205A" w:rsidRPr="00672545">
        <w:t>.</w:t>
      </w:r>
      <w:r w:rsidR="00F81CD5" w:rsidRPr="00672545">
        <w:t xml:space="preserve">  </w:t>
      </w:r>
      <w:r w:rsidR="00FB0CB2" w:rsidRPr="00672545">
        <w:t xml:space="preserve">Once inside defendant’s home, Keene immediately noticed how immaculately clean </w:t>
      </w:r>
      <w:r w:rsidR="00E21D93" w:rsidRPr="00672545">
        <w:t>it</w:t>
      </w:r>
      <w:r w:rsidR="00FB0CB2" w:rsidRPr="00672545">
        <w:t xml:space="preserve"> was.</w:t>
      </w:r>
      <w:r w:rsidR="00F81CD5" w:rsidRPr="00672545">
        <w:t xml:space="preserve">  </w:t>
      </w:r>
      <w:r w:rsidR="00FD147E" w:rsidRPr="00672545">
        <w:t xml:space="preserve">Keene noted that the master bed did not have a comforter on </w:t>
      </w:r>
      <w:proofErr w:type="gramStart"/>
      <w:r w:rsidR="00FD147E" w:rsidRPr="00672545">
        <w:t>it, but</w:t>
      </w:r>
      <w:proofErr w:type="gramEnd"/>
      <w:r w:rsidR="00FD147E" w:rsidRPr="00672545">
        <w:t xml:space="preserve"> was otherwise made with sheets.  </w:t>
      </w:r>
      <w:r w:rsidR="004503E4" w:rsidRPr="00672545">
        <w:t>During their search,</w:t>
      </w:r>
      <w:r w:rsidR="00FD147E" w:rsidRPr="00672545">
        <w:t xml:space="preserve"> </w:t>
      </w:r>
      <w:r w:rsidR="002E4A93" w:rsidRPr="00672545">
        <w:t xml:space="preserve">Keene </w:t>
      </w:r>
      <w:r w:rsidR="004D770A" w:rsidRPr="00672545">
        <w:t xml:space="preserve">believed </w:t>
      </w:r>
      <w:r w:rsidR="00FD147E" w:rsidRPr="00672545">
        <w:t>defendant was overly cooperative, pointing out places that the detectives had missed.</w:t>
      </w:r>
      <w:r w:rsidR="00F81CD5" w:rsidRPr="00672545">
        <w:t xml:space="preserve">  </w:t>
      </w:r>
      <w:r w:rsidR="004503E4" w:rsidRPr="00672545">
        <w:t>Keene and Parga looked at defendant’s 4Runner, which was parked in the garage.  It seemed very clean inside and out.</w:t>
      </w:r>
      <w:r w:rsidR="00F81CD5" w:rsidRPr="00672545">
        <w:t xml:space="preserve">  </w:t>
      </w:r>
      <w:r w:rsidR="004503E4" w:rsidRPr="00672545">
        <w:t xml:space="preserve">Parga detected the smell of bleach in the garage.  </w:t>
      </w:r>
    </w:p>
    <w:p w14:paraId="205416E9" w14:textId="77777777" w:rsidR="007251F6" w:rsidRPr="00672545" w:rsidRDefault="007251F6" w:rsidP="00672545">
      <w:pPr>
        <w:tabs>
          <w:tab w:val="left" w:pos="720"/>
          <w:tab w:val="left" w:pos="1440"/>
        </w:tabs>
      </w:pPr>
      <w:r w:rsidRPr="00672545">
        <w:lastRenderedPageBreak/>
        <w:tab/>
      </w:r>
      <w:r w:rsidR="00C24060" w:rsidRPr="00672545">
        <w:t xml:space="preserve">Defendant </w:t>
      </w:r>
      <w:r w:rsidR="002B5D8E" w:rsidRPr="00672545">
        <w:t>led</w:t>
      </w:r>
      <w:r w:rsidR="00C24060" w:rsidRPr="00672545">
        <w:t xml:space="preserve"> the </w:t>
      </w:r>
      <w:r w:rsidR="007150CF" w:rsidRPr="00672545">
        <w:t>detectives</w:t>
      </w:r>
      <w:r w:rsidR="00C24060" w:rsidRPr="00672545">
        <w:t xml:space="preserve"> to High Valley where </w:t>
      </w:r>
      <w:r w:rsidR="002B5D8E" w:rsidRPr="00672545">
        <w:t xml:space="preserve">he stored his </w:t>
      </w:r>
      <w:r w:rsidR="00C24060" w:rsidRPr="00672545">
        <w:t xml:space="preserve">motorhome.  Defendant </w:t>
      </w:r>
      <w:r w:rsidR="00C977E4" w:rsidRPr="00672545">
        <w:t xml:space="preserve">unlocked </w:t>
      </w:r>
      <w:proofErr w:type="gramStart"/>
      <w:r w:rsidR="00C977E4" w:rsidRPr="00672545">
        <w:t>all of</w:t>
      </w:r>
      <w:proofErr w:type="gramEnd"/>
      <w:r w:rsidR="00C977E4" w:rsidRPr="00672545">
        <w:t xml:space="preserve"> the storage compartments on the outside of the motorhome and </w:t>
      </w:r>
      <w:r w:rsidR="002B5D8E" w:rsidRPr="00672545">
        <w:t>even</w:t>
      </w:r>
      <w:r w:rsidR="00C977E4" w:rsidRPr="00672545">
        <w:t xml:space="preserve"> pointed out that they </w:t>
      </w:r>
      <w:r w:rsidR="00DD2036" w:rsidRPr="00672545">
        <w:t xml:space="preserve">had </w:t>
      </w:r>
      <w:r w:rsidR="00C977E4" w:rsidRPr="00672545">
        <w:t xml:space="preserve">failed to check one smaller compartment.  </w:t>
      </w:r>
      <w:r w:rsidR="009762C3" w:rsidRPr="00672545">
        <w:t xml:space="preserve">When they went inside, </w:t>
      </w:r>
      <w:r w:rsidR="00C977E4" w:rsidRPr="00672545">
        <w:t xml:space="preserve">Keene </w:t>
      </w:r>
      <w:r w:rsidR="009762C3" w:rsidRPr="00672545">
        <w:t>observed</w:t>
      </w:r>
      <w:r w:rsidR="00C977E4" w:rsidRPr="00672545">
        <w:t xml:space="preserve"> that the motorhome bed, like the master bed, had no comforter.</w:t>
      </w:r>
      <w:r w:rsidR="00F81CD5" w:rsidRPr="00672545">
        <w:t xml:space="preserve">  </w:t>
      </w:r>
      <w:r w:rsidR="007150CF" w:rsidRPr="00672545">
        <w:t>After they inspected the motorhome, d</w:t>
      </w:r>
      <w:r w:rsidR="00360B28" w:rsidRPr="00672545">
        <w:t xml:space="preserve">efendant pointed out </w:t>
      </w:r>
      <w:r w:rsidR="007150CF" w:rsidRPr="00672545">
        <w:t>the</w:t>
      </w:r>
      <w:r w:rsidR="00360B28" w:rsidRPr="00672545">
        <w:t xml:space="preserve"> trailer that contained his dune buggy, quad runners</w:t>
      </w:r>
      <w:r w:rsidR="003C2B32">
        <w:t>,</w:t>
      </w:r>
      <w:r w:rsidR="00360B28" w:rsidRPr="00672545">
        <w:t xml:space="preserve"> and various equipment, offering it for inspection as well.</w:t>
      </w:r>
      <w:r w:rsidR="00F81CD5" w:rsidRPr="00672545">
        <w:t xml:space="preserve">  </w:t>
      </w:r>
      <w:r w:rsidR="007150CF" w:rsidRPr="00672545">
        <w:t xml:space="preserve">When </w:t>
      </w:r>
      <w:r w:rsidR="00F24AF0" w:rsidRPr="00672545">
        <w:t xml:space="preserve">the detectives </w:t>
      </w:r>
      <w:r w:rsidR="007150CF" w:rsidRPr="00672545">
        <w:t>were finished, they all returned to defendant’s ho</w:t>
      </w:r>
      <w:r w:rsidR="00F87827" w:rsidRPr="00672545">
        <w:t>use</w:t>
      </w:r>
      <w:r w:rsidR="007150CF" w:rsidRPr="00672545">
        <w:t xml:space="preserve">.  </w:t>
      </w:r>
    </w:p>
    <w:p w14:paraId="54FFBD50" w14:textId="77777777" w:rsidR="00AD2263" w:rsidRPr="00672545" w:rsidRDefault="007860A2" w:rsidP="00672545">
      <w:pPr>
        <w:tabs>
          <w:tab w:val="left" w:pos="720"/>
          <w:tab w:val="left" w:pos="1440"/>
        </w:tabs>
      </w:pPr>
      <w:r w:rsidRPr="00672545">
        <w:tab/>
        <w:t>Defendant consented to be interviewed at the police station.</w:t>
      </w:r>
      <w:r w:rsidR="00F81CD5" w:rsidRPr="00672545">
        <w:t xml:space="preserve">  </w:t>
      </w:r>
      <w:r w:rsidRPr="00672545">
        <w:t xml:space="preserve">During the subsequent interview with </w:t>
      </w:r>
      <w:r w:rsidR="006512F1" w:rsidRPr="00672545">
        <w:t xml:space="preserve">San Diego Police Officer </w:t>
      </w:r>
      <w:r w:rsidRPr="00672545">
        <w:t>Paul Redden</w:t>
      </w:r>
      <w:r w:rsidR="00AA0E7E" w:rsidRPr="00672545">
        <w:t>,</w:t>
      </w:r>
      <w:r w:rsidRPr="00672545">
        <w:t xml:space="preserve"> defendant again described his weekend activities.  As he </w:t>
      </w:r>
      <w:r w:rsidR="00A673EE" w:rsidRPr="00672545">
        <w:t>recounted</w:t>
      </w:r>
      <w:r w:rsidRPr="00672545">
        <w:t xml:space="preserve"> one stop he made, defendant told Redden that it was “this little place that </w:t>
      </w:r>
      <w:r w:rsidRPr="00672545">
        <w:rPr>
          <w:i/>
        </w:rPr>
        <w:t>we</w:t>
      </w:r>
      <w:r w:rsidRPr="00672545">
        <w:t xml:space="preserve">, where </w:t>
      </w:r>
      <w:r w:rsidRPr="00672545">
        <w:rPr>
          <w:i/>
        </w:rPr>
        <w:t>we</w:t>
      </w:r>
      <w:r w:rsidRPr="00672545">
        <w:t xml:space="preserve"> were was just a little small turn type place.”  </w:t>
      </w:r>
      <w:r w:rsidR="004101FC" w:rsidRPr="00672545">
        <w:t>(Italics added.)</w:t>
      </w:r>
      <w:r w:rsidR="00F81CD5" w:rsidRPr="00672545">
        <w:t xml:space="preserve">  </w:t>
      </w:r>
    </w:p>
    <w:p w14:paraId="720E89A4" w14:textId="77777777" w:rsidR="002133F9" w:rsidRPr="00672545" w:rsidRDefault="006512F1" w:rsidP="00672545">
      <w:pPr>
        <w:tabs>
          <w:tab w:val="left" w:pos="720"/>
          <w:tab w:val="left" w:pos="1440"/>
        </w:tabs>
      </w:pPr>
      <w:r w:rsidRPr="00672545">
        <w:tab/>
      </w:r>
      <w:r w:rsidR="00F87827" w:rsidRPr="00672545">
        <w:t>Keith Sherman owned the property where defendant stored his motorhome</w:t>
      </w:r>
      <w:r w:rsidR="00311275" w:rsidRPr="00672545">
        <w:t xml:space="preserve"> and sand vehicles</w:t>
      </w:r>
      <w:r w:rsidR="00F87827" w:rsidRPr="00672545">
        <w:t>.</w:t>
      </w:r>
      <w:r w:rsidR="00F81CD5" w:rsidRPr="00672545">
        <w:t xml:space="preserve">  </w:t>
      </w:r>
      <w:r w:rsidR="00493DDA" w:rsidRPr="00672545">
        <w:t>He testified that o</w:t>
      </w:r>
      <w:r w:rsidR="00F87827" w:rsidRPr="00672545">
        <w:t>n</w:t>
      </w:r>
      <w:r w:rsidR="00A3311D" w:rsidRPr="00672545">
        <w:t xml:space="preserve"> </w:t>
      </w:r>
      <w:r w:rsidR="00121A23" w:rsidRPr="00672545">
        <w:t xml:space="preserve">Saturday </w:t>
      </w:r>
      <w:r w:rsidR="00A3311D" w:rsidRPr="00672545">
        <w:t>morning</w:t>
      </w:r>
      <w:r w:rsidR="00493DDA" w:rsidRPr="00672545">
        <w:t>,</w:t>
      </w:r>
      <w:r w:rsidR="00A3311D" w:rsidRPr="00672545">
        <w:t xml:space="preserve"> February 2, 2002, defendant came to collect </w:t>
      </w:r>
      <w:r w:rsidR="00932102" w:rsidRPr="00672545">
        <w:t>it</w:t>
      </w:r>
      <w:r w:rsidR="00A3311D" w:rsidRPr="00672545">
        <w:t xml:space="preserve">.  </w:t>
      </w:r>
      <w:r w:rsidR="00121A23" w:rsidRPr="00672545">
        <w:t xml:space="preserve">Sherman intended </w:t>
      </w:r>
      <w:r w:rsidR="00A3311D" w:rsidRPr="00672545">
        <w:t xml:space="preserve">to </w:t>
      </w:r>
      <w:r w:rsidR="00121A23" w:rsidRPr="00672545">
        <w:t xml:space="preserve">go out and </w:t>
      </w:r>
      <w:r w:rsidR="00A3311D" w:rsidRPr="00672545">
        <w:t>offer to move his own motorhome</w:t>
      </w:r>
      <w:r w:rsidR="00F87827" w:rsidRPr="00672545">
        <w:t xml:space="preserve"> </w:t>
      </w:r>
      <w:r w:rsidR="00A3311D" w:rsidRPr="00672545">
        <w:t xml:space="preserve">out of the </w:t>
      </w:r>
      <w:proofErr w:type="gramStart"/>
      <w:r w:rsidR="00A3311D" w:rsidRPr="00672545">
        <w:t>way</w:t>
      </w:r>
      <w:proofErr w:type="gramEnd"/>
      <w:r w:rsidR="00A3311D" w:rsidRPr="00672545">
        <w:t xml:space="preserve"> </w:t>
      </w:r>
      <w:r w:rsidR="00E23BBB" w:rsidRPr="00672545">
        <w:t>so</w:t>
      </w:r>
      <w:r w:rsidR="00A3311D" w:rsidRPr="00672545">
        <w:t xml:space="preserve"> defendant </w:t>
      </w:r>
      <w:r w:rsidR="00877B4E" w:rsidRPr="00672545">
        <w:t xml:space="preserve">could move the trailer he </w:t>
      </w:r>
      <w:r w:rsidR="00A3311D" w:rsidRPr="00672545">
        <w:t xml:space="preserve">used to carry his sand </w:t>
      </w:r>
      <w:r w:rsidR="00311275" w:rsidRPr="00672545">
        <w:t>vehicles</w:t>
      </w:r>
      <w:r w:rsidR="00A3311D" w:rsidRPr="00672545">
        <w:t xml:space="preserve">, but defendant was already pulling away.  Unusually, defendant </w:t>
      </w:r>
      <w:r w:rsidR="001C618D" w:rsidRPr="00672545">
        <w:t xml:space="preserve">was </w:t>
      </w:r>
      <w:r w:rsidR="00996A22" w:rsidRPr="00672545">
        <w:t xml:space="preserve">not with his son, but was </w:t>
      </w:r>
      <w:r w:rsidR="00F21CF1" w:rsidRPr="00672545">
        <w:t>alone</w:t>
      </w:r>
      <w:r w:rsidR="001C618D" w:rsidRPr="00672545">
        <w:t xml:space="preserve">.  It was also unusual that defendant </w:t>
      </w:r>
      <w:r w:rsidR="00A3311D" w:rsidRPr="00672545">
        <w:t>left his 4Runner on the property and did not take his trailer.</w:t>
      </w:r>
      <w:r w:rsidR="00F81CD5" w:rsidRPr="00672545">
        <w:t xml:space="preserve">  </w:t>
      </w:r>
      <w:r w:rsidR="00121A23" w:rsidRPr="00672545">
        <w:t>Defendant brought his motorhome back around 7:30 a.m. on Monday.</w:t>
      </w:r>
      <w:r w:rsidR="00F81CD5" w:rsidRPr="00672545">
        <w:t xml:space="preserve">  </w:t>
      </w:r>
    </w:p>
    <w:p w14:paraId="32C341C7" w14:textId="77777777" w:rsidR="00AD7CBE" w:rsidRPr="00672545" w:rsidRDefault="00056488" w:rsidP="00672545">
      <w:pPr>
        <w:tabs>
          <w:tab w:val="left" w:pos="720"/>
          <w:tab w:val="left" w:pos="1440"/>
        </w:tabs>
      </w:pPr>
      <w:r w:rsidRPr="00672545">
        <w:tab/>
      </w:r>
      <w:r w:rsidR="0048117C" w:rsidRPr="00672545">
        <w:t xml:space="preserve">At </w:t>
      </w:r>
      <w:r w:rsidR="00647C2E" w:rsidRPr="00672545">
        <w:t xml:space="preserve">the </w:t>
      </w:r>
      <w:r w:rsidR="0048117C" w:rsidRPr="00672545">
        <w:t xml:space="preserve">Silver Strand beach, </w:t>
      </w:r>
      <w:r w:rsidR="00597C83" w:rsidRPr="00672545">
        <w:t xml:space="preserve">on Saturday, February 2, 2002, </w:t>
      </w:r>
      <w:r w:rsidR="0048117C" w:rsidRPr="00672545">
        <w:t xml:space="preserve">several other campers noticed defendant’s motorhome.  When </w:t>
      </w:r>
      <w:r w:rsidR="00597C83" w:rsidRPr="00672545">
        <w:t>defendant’s</w:t>
      </w:r>
      <w:r w:rsidR="0048117C" w:rsidRPr="00672545">
        <w:t xml:space="preserve"> motorhome pulled into its camping spot, someone immediately closed the front curtains across the </w:t>
      </w:r>
      <w:r w:rsidR="0048117C" w:rsidRPr="00672545">
        <w:lastRenderedPageBreak/>
        <w:t xml:space="preserve">windshield.  </w:t>
      </w:r>
      <w:proofErr w:type="gramStart"/>
      <w:r w:rsidR="0048117C" w:rsidRPr="00672545">
        <w:t>All of</w:t>
      </w:r>
      <w:proofErr w:type="gramEnd"/>
      <w:r w:rsidR="0048117C" w:rsidRPr="00672545">
        <w:t xml:space="preserve"> the other curtains were also closed.  No one came out to set up anything for camping.  Contrary to defendant’s description, the weather was cool, but nice.</w:t>
      </w:r>
      <w:r w:rsidR="00F81CD5" w:rsidRPr="00672545">
        <w:t xml:space="preserve">  </w:t>
      </w:r>
    </w:p>
    <w:p w14:paraId="07BF4A09" w14:textId="77777777" w:rsidR="00056488" w:rsidRPr="00672545" w:rsidRDefault="00AD7CBE" w:rsidP="00672545">
      <w:pPr>
        <w:tabs>
          <w:tab w:val="left" w:pos="720"/>
          <w:tab w:val="left" w:pos="1440"/>
        </w:tabs>
      </w:pPr>
      <w:r w:rsidRPr="00672545">
        <w:tab/>
      </w:r>
      <w:r w:rsidR="00597C83" w:rsidRPr="00672545">
        <w:t xml:space="preserve">State Park Ranger </w:t>
      </w:r>
      <w:r w:rsidR="002E1522" w:rsidRPr="00672545">
        <w:t>Olen Golden</w:t>
      </w:r>
      <w:r w:rsidR="00597C83" w:rsidRPr="00672545">
        <w:t xml:space="preserve"> noticed that defendant had placed $54 in his registration envelope when only $24 was due.  </w:t>
      </w:r>
      <w:r w:rsidR="002E1522" w:rsidRPr="00672545">
        <w:t>State Park Ranger Brian Neill</w:t>
      </w:r>
      <w:r w:rsidR="00597C83" w:rsidRPr="00672545">
        <w:t xml:space="preserve"> went to defendant’s motorhome to return the overpayment.  </w:t>
      </w:r>
      <w:r w:rsidR="002E1522" w:rsidRPr="00672545">
        <w:t xml:space="preserve">Neill </w:t>
      </w:r>
      <w:r w:rsidR="00597C83" w:rsidRPr="00672545">
        <w:t>also noticed th</w:t>
      </w:r>
      <w:r w:rsidR="00493DDA" w:rsidRPr="00672545">
        <w:t>at th</w:t>
      </w:r>
      <w:r w:rsidR="00597C83" w:rsidRPr="00672545">
        <w:t>e curtains were drawn so that he could not see inside, and nothing was set up outside the motorhome.  Neil</w:t>
      </w:r>
      <w:r w:rsidR="002E1522" w:rsidRPr="00672545">
        <w:t>l</w:t>
      </w:r>
      <w:r w:rsidR="00597C83" w:rsidRPr="00672545">
        <w:t xml:space="preserve"> knocked on the door, but no one immediately responded.  He had started back to his vehicle when defendant emerged</w:t>
      </w:r>
      <w:r w:rsidR="00D37113" w:rsidRPr="00672545">
        <w:t>.  Defendant</w:t>
      </w:r>
      <w:r w:rsidR="00597C83" w:rsidRPr="00672545">
        <w:t xml:space="preserve"> immediately shut the door behind him</w:t>
      </w:r>
      <w:r w:rsidR="00D37113" w:rsidRPr="00672545">
        <w:t>self</w:t>
      </w:r>
      <w:r w:rsidR="00597C83" w:rsidRPr="00672545">
        <w:t>.  Neil</w:t>
      </w:r>
      <w:r w:rsidR="002E1522" w:rsidRPr="00672545">
        <w:t>l</w:t>
      </w:r>
      <w:r w:rsidR="00597C83" w:rsidRPr="00672545">
        <w:t xml:space="preserve"> informed defendant that he had overpaid.  Defendant insisted that he had no</w:t>
      </w:r>
      <w:r w:rsidR="007751BA" w:rsidRPr="00672545">
        <w:t>t</w:t>
      </w:r>
      <w:r w:rsidR="00597C83" w:rsidRPr="00672545">
        <w:t>, but Neil</w:t>
      </w:r>
      <w:r w:rsidR="002E1522" w:rsidRPr="00672545">
        <w:t>l</w:t>
      </w:r>
      <w:r w:rsidR="00597C83" w:rsidRPr="00672545">
        <w:t xml:space="preserve"> returned the extra money to him.  Defendant remained outside while Neil</w:t>
      </w:r>
      <w:r w:rsidR="008C1CF5" w:rsidRPr="00672545">
        <w:t>l</w:t>
      </w:r>
      <w:r w:rsidR="00597C83" w:rsidRPr="00672545">
        <w:t xml:space="preserve"> walked back to his vehicle.  Minutes after Nei</w:t>
      </w:r>
      <w:r w:rsidR="002E1522" w:rsidRPr="00672545">
        <w:t>l</w:t>
      </w:r>
      <w:r w:rsidR="00597C83" w:rsidRPr="00672545">
        <w:t>l left, defendant drove off in his motorhome.</w:t>
      </w:r>
      <w:r w:rsidR="00F81CD5" w:rsidRPr="00672545">
        <w:t xml:space="preserve">  </w:t>
      </w:r>
      <w:r w:rsidR="00597C83" w:rsidRPr="00672545">
        <w:t xml:space="preserve">He approached a volunteer who worked at the Silver Strand and continued to insist he had not overpaid.  </w:t>
      </w:r>
      <w:r w:rsidR="000C4B3C" w:rsidRPr="00672545">
        <w:t xml:space="preserve">Contrary to the narrative </w:t>
      </w:r>
      <w:r w:rsidR="00C87638" w:rsidRPr="00672545">
        <w:t>defendant</w:t>
      </w:r>
      <w:r w:rsidR="000C4B3C" w:rsidRPr="00672545">
        <w:t xml:space="preserve"> told Detective Keene in which </w:t>
      </w:r>
      <w:r w:rsidR="00C87638" w:rsidRPr="00672545">
        <w:t>he</w:t>
      </w:r>
      <w:r w:rsidR="000C4B3C" w:rsidRPr="00672545">
        <w:t xml:space="preserve"> claimed he had misplaced his </w:t>
      </w:r>
      <w:proofErr w:type="gramStart"/>
      <w:r w:rsidR="000C4B3C" w:rsidRPr="00672545">
        <w:t>wallet,</w:t>
      </w:r>
      <w:proofErr w:type="gramEnd"/>
      <w:r w:rsidR="000C4B3C" w:rsidRPr="00672545">
        <w:t xml:space="preserve"> </w:t>
      </w:r>
      <w:r w:rsidR="006C1CD1" w:rsidRPr="00672545">
        <w:t>the volunteer</w:t>
      </w:r>
      <w:r w:rsidR="000C4B3C" w:rsidRPr="00672545">
        <w:t xml:space="preserve"> </w:t>
      </w:r>
      <w:r w:rsidR="00C96C27" w:rsidRPr="00672545">
        <w:t>saw defendant</w:t>
      </w:r>
      <w:r w:rsidR="000C4B3C" w:rsidRPr="00672545">
        <w:t xml:space="preserve"> </w:t>
      </w:r>
      <w:r w:rsidR="00597C83" w:rsidRPr="00672545">
        <w:t xml:space="preserve">pull out his wallet </w:t>
      </w:r>
      <w:r w:rsidR="00B60338" w:rsidRPr="00672545">
        <w:t xml:space="preserve">and show the volunteer </w:t>
      </w:r>
      <w:r w:rsidR="00C96C27" w:rsidRPr="00672545">
        <w:t xml:space="preserve">that </w:t>
      </w:r>
      <w:r w:rsidR="00B60338" w:rsidRPr="00672545">
        <w:t>he had only $20 bills.</w:t>
      </w:r>
      <w:r w:rsidR="00F81CD5" w:rsidRPr="00672545">
        <w:t xml:space="preserve">  </w:t>
      </w:r>
    </w:p>
    <w:p w14:paraId="5087ED79" w14:textId="77777777" w:rsidR="007751BA" w:rsidRPr="00672545" w:rsidRDefault="007751BA" w:rsidP="00672545">
      <w:pPr>
        <w:tabs>
          <w:tab w:val="left" w:pos="720"/>
          <w:tab w:val="left" w:pos="1440"/>
        </w:tabs>
      </w:pPr>
      <w:r w:rsidRPr="00672545">
        <w:tab/>
        <w:t>In Glamis, where defendant drove next, other visitors noticed that defendant’s motorhome had been drive</w:t>
      </w:r>
      <w:r w:rsidR="00932102" w:rsidRPr="00672545">
        <w:t>n</w:t>
      </w:r>
      <w:r w:rsidRPr="00672545">
        <w:t xml:space="preserve"> </w:t>
      </w:r>
      <w:r w:rsidR="004F7E25" w:rsidRPr="00672545">
        <w:t xml:space="preserve">unusually </w:t>
      </w:r>
      <w:r w:rsidRPr="00672545">
        <w:t>far off the road, close to the sand dunes, where it became stuck in the sand.</w:t>
      </w:r>
      <w:r w:rsidR="00F81CD5" w:rsidRPr="00672545">
        <w:t xml:space="preserve">  </w:t>
      </w:r>
      <w:r w:rsidR="007D56E4" w:rsidRPr="00672545">
        <w:t>On Sunday morning, defendant</w:t>
      </w:r>
      <w:r w:rsidR="00970853" w:rsidRPr="00672545">
        <w:t xml:space="preserve"> tried to convince other campers to tow him out</w:t>
      </w:r>
      <w:r w:rsidR="00B440DC" w:rsidRPr="00672545">
        <w:t>, but they were unwilling or unable to help him</w:t>
      </w:r>
      <w:r w:rsidR="00970853" w:rsidRPr="00672545">
        <w:t>.</w:t>
      </w:r>
      <w:r w:rsidR="00F81CD5" w:rsidRPr="00672545">
        <w:t xml:space="preserve">  </w:t>
      </w:r>
      <w:r w:rsidR="007D56E4" w:rsidRPr="00672545">
        <w:t>Don Conklin, a Glamis resident</w:t>
      </w:r>
      <w:r w:rsidR="00850257" w:rsidRPr="00672545">
        <w:t xml:space="preserve"> who provided tow services</w:t>
      </w:r>
      <w:r w:rsidR="007D56E4" w:rsidRPr="00672545">
        <w:t>, arrived to help defendant.  Conklin successfully pulled defendant’s motorhome out of the sand</w:t>
      </w:r>
      <w:r w:rsidR="00850257" w:rsidRPr="00672545">
        <w:t>.</w:t>
      </w:r>
      <w:r w:rsidR="007D56E4" w:rsidRPr="00672545">
        <w:t xml:space="preserve">  </w:t>
      </w:r>
      <w:r w:rsidR="00B440DC" w:rsidRPr="00672545">
        <w:t>But w</w:t>
      </w:r>
      <w:r w:rsidR="00850257" w:rsidRPr="00672545">
        <w:t xml:space="preserve">hen </w:t>
      </w:r>
      <w:r w:rsidR="007D56E4" w:rsidRPr="00672545">
        <w:t xml:space="preserve">Conklin went to retrieve defendant’s ramps and the shovel that they had used in the towing process, he could not return them to defendant </w:t>
      </w:r>
      <w:r w:rsidR="0097385D" w:rsidRPr="00672545">
        <w:lastRenderedPageBreak/>
        <w:t>because</w:t>
      </w:r>
      <w:r w:rsidR="007D56E4" w:rsidRPr="00672545">
        <w:t xml:space="preserve"> defendant </w:t>
      </w:r>
      <w:r w:rsidR="00A42299" w:rsidRPr="00672545">
        <w:t xml:space="preserve">had </w:t>
      </w:r>
      <w:r w:rsidR="007D56E4" w:rsidRPr="00672545">
        <w:t>dr</w:t>
      </w:r>
      <w:r w:rsidR="00A42299" w:rsidRPr="00672545">
        <w:t>iven</w:t>
      </w:r>
      <w:r w:rsidR="007D56E4" w:rsidRPr="00672545">
        <w:t xml:space="preserve"> away immediately after being towed.  </w:t>
      </w:r>
    </w:p>
    <w:p w14:paraId="09AE0943" w14:textId="77777777" w:rsidR="002133F9" w:rsidRPr="00672545" w:rsidRDefault="00C30805" w:rsidP="00672545">
      <w:pPr>
        <w:tabs>
          <w:tab w:val="left" w:pos="720"/>
          <w:tab w:val="left" w:pos="1440"/>
        </w:tabs>
      </w:pPr>
      <w:r w:rsidRPr="00672545">
        <w:tab/>
        <w:t xml:space="preserve">Julie Mills knew defendant as a longtime customer of Twin Peaks Cleaners in Poway, where she worked.  </w:t>
      </w:r>
      <w:r w:rsidR="002D01A3" w:rsidRPr="00672545">
        <w:t xml:space="preserve">According to </w:t>
      </w:r>
      <w:r w:rsidRPr="00672545">
        <w:t>Mills</w:t>
      </w:r>
      <w:r w:rsidR="002D01A3" w:rsidRPr="00672545">
        <w:t>,</w:t>
      </w:r>
      <w:r w:rsidRPr="00672545">
        <w:t xml:space="preserve"> defendant arrived </w:t>
      </w:r>
      <w:r w:rsidR="002D01A3" w:rsidRPr="00672545">
        <w:t>at the dry cleaner</w:t>
      </w:r>
      <w:r w:rsidR="003C2B32">
        <w:t>’</w:t>
      </w:r>
      <w:r w:rsidR="002D01A3" w:rsidRPr="00672545">
        <w:t xml:space="preserve">s </w:t>
      </w:r>
      <w:r w:rsidRPr="00672545">
        <w:t xml:space="preserve">on Monday, February 4, 2002, between 7:00 and 7:30 a.m.  Although it was cold, </w:t>
      </w:r>
      <w:r w:rsidR="002D01A3" w:rsidRPr="00672545">
        <w:t>defendant was wearing very thin shorts, a very thin</w:t>
      </w:r>
      <w:r w:rsidRPr="00672545">
        <w:t xml:space="preserve"> T-shirt, </w:t>
      </w:r>
      <w:r w:rsidR="008B43AA" w:rsidRPr="00672545">
        <w:t xml:space="preserve">with </w:t>
      </w:r>
      <w:r w:rsidRPr="00672545">
        <w:t xml:space="preserve">no shoes and no socks.  </w:t>
      </w:r>
      <w:r w:rsidR="002D01A3" w:rsidRPr="00672545">
        <w:t xml:space="preserve">Defendant brought </w:t>
      </w:r>
      <w:r w:rsidR="007C0BF0" w:rsidRPr="00672545">
        <w:t xml:space="preserve">to be cleaned </w:t>
      </w:r>
      <w:r w:rsidR="002D01A3" w:rsidRPr="00672545">
        <w:t xml:space="preserve">a sport jacket, a couple of comforters, and some other bedding.  </w:t>
      </w:r>
      <w:r w:rsidR="00352B74" w:rsidRPr="00672545">
        <w:t xml:space="preserve">Several things struck Mills as unusual.  </w:t>
      </w:r>
      <w:r w:rsidR="002D01A3" w:rsidRPr="00672545">
        <w:t xml:space="preserve">Mills had </w:t>
      </w:r>
      <w:proofErr w:type="gramStart"/>
      <w:r w:rsidR="002D01A3" w:rsidRPr="00672545">
        <w:t>never before</w:t>
      </w:r>
      <w:proofErr w:type="gramEnd"/>
      <w:r w:rsidR="002D01A3" w:rsidRPr="00672545">
        <w:t xml:space="preserve"> seen defendant dressed in this manner.  Defendant was not his usual talkative self</w:t>
      </w:r>
      <w:r w:rsidR="007C0BF0" w:rsidRPr="00672545">
        <w:t xml:space="preserve"> and</w:t>
      </w:r>
      <w:r w:rsidR="002D01A3" w:rsidRPr="00672545">
        <w:t xml:space="preserve"> would not look </w:t>
      </w:r>
      <w:r w:rsidR="003C3E0E" w:rsidRPr="00672545">
        <w:t xml:space="preserve">her </w:t>
      </w:r>
      <w:r w:rsidR="002D01A3" w:rsidRPr="00672545">
        <w:t xml:space="preserve">in the eye.  </w:t>
      </w:r>
      <w:r w:rsidR="00B858B7" w:rsidRPr="00672545">
        <w:t>D</w:t>
      </w:r>
      <w:r w:rsidR="002D01A3" w:rsidRPr="00672545">
        <w:t xml:space="preserve">efendant </w:t>
      </w:r>
      <w:r w:rsidR="00B858B7" w:rsidRPr="00672545">
        <w:t xml:space="preserve">also </w:t>
      </w:r>
      <w:r w:rsidR="002D01A3" w:rsidRPr="00672545">
        <w:t xml:space="preserve">arrived in his motorhome, which </w:t>
      </w:r>
      <w:r w:rsidR="00C41105" w:rsidRPr="00672545">
        <w:t xml:space="preserve">she had </w:t>
      </w:r>
      <w:r w:rsidR="002D01A3" w:rsidRPr="00672545">
        <w:t>never seen him do before.</w:t>
      </w:r>
      <w:r w:rsidR="00F81CD5" w:rsidRPr="00672545">
        <w:t xml:space="preserve">  </w:t>
      </w:r>
      <w:r w:rsidR="009F7596" w:rsidRPr="00672545">
        <w:t xml:space="preserve">Defendant </w:t>
      </w:r>
      <w:r w:rsidR="00795254" w:rsidRPr="00672545">
        <w:t xml:space="preserve">had </w:t>
      </w:r>
      <w:r w:rsidR="009F7596" w:rsidRPr="00672545">
        <w:t>not mention</w:t>
      </w:r>
      <w:r w:rsidR="00795254" w:rsidRPr="00672545">
        <w:t>ed</w:t>
      </w:r>
      <w:r w:rsidR="009F7596" w:rsidRPr="00672545">
        <w:t xml:space="preserve"> a trip to the dry cleaner</w:t>
      </w:r>
      <w:r w:rsidR="003C2B32">
        <w:t>’</w:t>
      </w:r>
      <w:r w:rsidR="009F7596" w:rsidRPr="00672545">
        <w:t>s in his recounting of his weekend</w:t>
      </w:r>
      <w:r w:rsidR="00932102" w:rsidRPr="00672545">
        <w:t xml:space="preserve"> to Detective Keene</w:t>
      </w:r>
      <w:r w:rsidR="009F7596" w:rsidRPr="00672545">
        <w:t>.</w:t>
      </w:r>
      <w:r w:rsidR="00F81CD5" w:rsidRPr="00672545">
        <w:t xml:space="preserve">  </w:t>
      </w:r>
    </w:p>
    <w:p w14:paraId="74A5FBB2" w14:textId="77777777" w:rsidR="00955492" w:rsidRPr="00672545" w:rsidRDefault="009F7596" w:rsidP="00672545">
      <w:pPr>
        <w:tabs>
          <w:tab w:val="left" w:pos="720"/>
          <w:tab w:val="left" w:pos="1440"/>
        </w:tabs>
      </w:pPr>
      <w:r w:rsidRPr="00672545">
        <w:tab/>
      </w:r>
      <w:r w:rsidR="00BC4C2E" w:rsidRPr="00672545">
        <w:t>Defendant made a second trip to the dry cleaner</w:t>
      </w:r>
      <w:r w:rsidR="003C2B32">
        <w:t>’</w:t>
      </w:r>
      <w:r w:rsidR="00BC4C2E" w:rsidRPr="00672545">
        <w:t>s that same day around 1:40 p.m.  He arrived in his 4Runner.  He dropped off a sweater, pants, and a T-shirt, request</w:t>
      </w:r>
      <w:r w:rsidR="00B751A1" w:rsidRPr="00672545">
        <w:t>ing</w:t>
      </w:r>
      <w:r w:rsidR="00BC4C2E" w:rsidRPr="00672545">
        <w:t xml:space="preserve"> same day service.  </w:t>
      </w:r>
      <w:r w:rsidR="00B751A1" w:rsidRPr="00672545">
        <w:t xml:space="preserve">He again acted differently from normal, </w:t>
      </w:r>
      <w:r w:rsidR="00BC4C2E" w:rsidRPr="00672545">
        <w:t xml:space="preserve">not smiling </w:t>
      </w:r>
      <w:r w:rsidR="00B751A1" w:rsidRPr="00672545">
        <w:t>or chatting.</w:t>
      </w:r>
      <w:r w:rsidR="00F81CD5" w:rsidRPr="00672545">
        <w:t xml:space="preserve">  </w:t>
      </w:r>
    </w:p>
    <w:p w14:paraId="1EB5C9E3" w14:textId="77777777" w:rsidR="0079176E" w:rsidRPr="00672545" w:rsidRDefault="00955492" w:rsidP="00672545">
      <w:pPr>
        <w:tabs>
          <w:tab w:val="left" w:pos="720"/>
          <w:tab w:val="left" w:pos="1440"/>
        </w:tabs>
      </w:pPr>
      <w:r w:rsidRPr="00672545">
        <w:tab/>
        <w:t xml:space="preserve">Jim Frazee, a volunteer canine handler from the San Diego Sheriff’s Department, and his trained </w:t>
      </w:r>
      <w:r w:rsidR="00C27D35" w:rsidRPr="00672545">
        <w:t xml:space="preserve">search and </w:t>
      </w:r>
      <w:r w:rsidRPr="00672545">
        <w:t>cadaver dog Cielo, search</w:t>
      </w:r>
      <w:r w:rsidR="00795254" w:rsidRPr="00672545">
        <w:t>ed</w:t>
      </w:r>
      <w:r w:rsidRPr="00672545">
        <w:t xml:space="preserve"> defendant’s motorhome.  Cielo “alerted” to the first storage compartment behind the passenger’s door</w:t>
      </w:r>
      <w:r w:rsidR="006D76C9" w:rsidRPr="00672545">
        <w:t>;</w:t>
      </w:r>
      <w:r w:rsidR="00E27A3D" w:rsidRPr="00672545">
        <w:t xml:space="preserve"> an area where air from inside the motorhome would naturally escape.  W</w:t>
      </w:r>
      <w:r w:rsidRPr="00672545">
        <w:t xml:space="preserve">hen the </w:t>
      </w:r>
      <w:r w:rsidR="00E27A3D" w:rsidRPr="00672545">
        <w:t xml:space="preserve">storage </w:t>
      </w:r>
      <w:r w:rsidRPr="00672545">
        <w:t xml:space="preserve">door was opened, </w:t>
      </w:r>
      <w:r w:rsidR="00E27A3D" w:rsidRPr="00672545">
        <w:t xml:space="preserve">Cielo </w:t>
      </w:r>
      <w:r w:rsidRPr="00672545">
        <w:t xml:space="preserve">showed “interest” in a shovel and lawn chair that were inside.  </w:t>
      </w:r>
      <w:r w:rsidR="006D76C9" w:rsidRPr="00672545">
        <w:t xml:space="preserve">According to Frazee, </w:t>
      </w:r>
      <w:r w:rsidR="00E27A3D" w:rsidRPr="00672545">
        <w:t>Cielo’s alert indicated that a body had been some</w:t>
      </w:r>
      <w:r w:rsidR="003C3E0E" w:rsidRPr="00672545">
        <w:t>where</w:t>
      </w:r>
      <w:r w:rsidR="00E27A3D" w:rsidRPr="00672545">
        <w:t xml:space="preserve"> in the motorhome.  </w:t>
      </w:r>
    </w:p>
    <w:p w14:paraId="3F0EC46F" w14:textId="77777777" w:rsidR="00955492" w:rsidRPr="00672545" w:rsidRDefault="00A32D7D" w:rsidP="00672545">
      <w:pPr>
        <w:pStyle w:val="Heading4"/>
      </w:pPr>
      <w:r w:rsidRPr="00672545">
        <w:lastRenderedPageBreak/>
        <w:t>d.</w:t>
      </w:r>
      <w:r w:rsidR="0079176E" w:rsidRPr="00672545">
        <w:t xml:space="preserve">  The discovery of Danielle’s body</w:t>
      </w:r>
      <w:r w:rsidR="00955492" w:rsidRPr="00672545">
        <w:t xml:space="preserve"> </w:t>
      </w:r>
      <w:r w:rsidR="0079176E" w:rsidRPr="00672545">
        <w:t>and other forensic evidence</w:t>
      </w:r>
    </w:p>
    <w:p w14:paraId="3492AE4B" w14:textId="77777777" w:rsidR="00294F14" w:rsidRPr="00672545" w:rsidRDefault="00294F14" w:rsidP="00672545">
      <w:pPr>
        <w:tabs>
          <w:tab w:val="left" w:pos="720"/>
          <w:tab w:val="left" w:pos="1440"/>
        </w:tabs>
      </w:pPr>
      <w:r w:rsidRPr="00672545">
        <w:tab/>
      </w:r>
      <w:proofErr w:type="spellStart"/>
      <w:r w:rsidR="001F2FCB" w:rsidRPr="00672545">
        <w:t>Karsten</w:t>
      </w:r>
      <w:proofErr w:type="spellEnd"/>
      <w:r w:rsidR="001F2FCB" w:rsidRPr="00672545">
        <w:t xml:space="preserve"> </w:t>
      </w:r>
      <w:proofErr w:type="spellStart"/>
      <w:r w:rsidR="001F2FCB" w:rsidRPr="00672545">
        <w:t>Heimburger</w:t>
      </w:r>
      <w:proofErr w:type="spellEnd"/>
      <w:r w:rsidR="001F2FCB" w:rsidRPr="00672545">
        <w:t xml:space="preserve"> was</w:t>
      </w:r>
      <w:r w:rsidR="0024587D" w:rsidRPr="00672545">
        <w:t xml:space="preserve"> part of a volunteer search party looking for Danielle.  On February 27, 2002, he discovered the </w:t>
      </w:r>
      <w:r w:rsidR="005A6B8B" w:rsidRPr="00672545">
        <w:t>nude</w:t>
      </w:r>
      <w:r w:rsidR="00897FA4" w:rsidRPr="00672545">
        <w:t>, decomposed</w:t>
      </w:r>
      <w:r w:rsidR="005A6B8B" w:rsidRPr="00672545">
        <w:t xml:space="preserve"> </w:t>
      </w:r>
      <w:r w:rsidR="0024587D" w:rsidRPr="00672545">
        <w:t xml:space="preserve">body of a young girl, lying on her back in the dirt off the side of </w:t>
      </w:r>
      <w:proofErr w:type="spellStart"/>
      <w:r w:rsidR="0024587D" w:rsidRPr="00672545">
        <w:t>Dehesa</w:t>
      </w:r>
      <w:proofErr w:type="spellEnd"/>
      <w:r w:rsidR="0024587D" w:rsidRPr="00672545">
        <w:t xml:space="preserve"> Road, a desert-type area of open space.</w:t>
      </w:r>
      <w:r w:rsidR="00F81CD5" w:rsidRPr="00672545">
        <w:t xml:space="preserve">  </w:t>
      </w:r>
      <w:r w:rsidR="005A6B8B" w:rsidRPr="00672545">
        <w:t xml:space="preserve">The body was identified as Danielle based on her dental records.  </w:t>
      </w:r>
    </w:p>
    <w:p w14:paraId="7A353029" w14:textId="77777777" w:rsidR="00056488" w:rsidRPr="00672545" w:rsidRDefault="005A6B8B" w:rsidP="00672545">
      <w:pPr>
        <w:tabs>
          <w:tab w:val="left" w:pos="720"/>
          <w:tab w:val="left" w:pos="1440"/>
        </w:tabs>
      </w:pPr>
      <w:r w:rsidRPr="00672545">
        <w:tab/>
      </w:r>
      <w:r w:rsidR="007D3669" w:rsidRPr="00672545">
        <w:t xml:space="preserve">San Diego County Medical Examiner Dr. Brian </w:t>
      </w:r>
      <w:proofErr w:type="spellStart"/>
      <w:r w:rsidR="007D3669" w:rsidRPr="00672545">
        <w:t>Blackbourne</w:t>
      </w:r>
      <w:proofErr w:type="spellEnd"/>
      <w:r w:rsidR="007D3669" w:rsidRPr="00672545">
        <w:t xml:space="preserve"> arrived at the </w:t>
      </w:r>
      <w:proofErr w:type="spellStart"/>
      <w:r w:rsidR="007D3669" w:rsidRPr="00672545">
        <w:t>Dehesa</w:t>
      </w:r>
      <w:proofErr w:type="spellEnd"/>
      <w:r w:rsidR="007D3669" w:rsidRPr="00672545">
        <w:t xml:space="preserve"> Road location the night of February 27, 2002.</w:t>
      </w:r>
      <w:r w:rsidR="00F81CD5" w:rsidRPr="00672545">
        <w:t xml:space="preserve">  </w:t>
      </w:r>
      <w:r w:rsidR="007D3669" w:rsidRPr="00672545">
        <w:t xml:space="preserve">He observed the </w:t>
      </w:r>
      <w:r w:rsidR="00930BBF" w:rsidRPr="00672545">
        <w:t>Danielle</w:t>
      </w:r>
      <w:r w:rsidR="007D3669" w:rsidRPr="00672545">
        <w:t xml:space="preserve">’s body was in a state of marked decomposition.  Her body had been extensively fed upon by animals so that much of her body tissue was missing.  Her left foot was missing, as was her genital area.  Her skin was mummified.  </w:t>
      </w:r>
      <w:r w:rsidR="000B2856" w:rsidRPr="00672545">
        <w:t>Danielle</w:t>
      </w:r>
      <w:r w:rsidR="007D3669" w:rsidRPr="00672545">
        <w:t xml:space="preserve"> was wearing no </w:t>
      </w:r>
      <w:proofErr w:type="gramStart"/>
      <w:r w:rsidR="007D3669" w:rsidRPr="00672545">
        <w:t>clothes</w:t>
      </w:r>
      <w:proofErr w:type="gramEnd"/>
      <w:r w:rsidR="007D3669" w:rsidRPr="00672545">
        <w:t xml:space="preserve"> and none were in the immediate area.</w:t>
      </w:r>
      <w:r w:rsidR="00F81CD5" w:rsidRPr="00672545">
        <w:t xml:space="preserve">  </w:t>
      </w:r>
      <w:r w:rsidR="004D1BFE" w:rsidRPr="00672545">
        <w:t xml:space="preserve">At the autopsy the following day, </w:t>
      </w:r>
      <w:proofErr w:type="spellStart"/>
      <w:r w:rsidR="004D1BFE" w:rsidRPr="00672545">
        <w:t>Blackbourne</w:t>
      </w:r>
      <w:proofErr w:type="spellEnd"/>
      <w:r w:rsidR="004D1BFE" w:rsidRPr="00672545">
        <w:t xml:space="preserve"> attempted to determine a cause of death.  He ruled out stabbing, gun shot, blunt force trauma, strangulation, and disease, but could not rule out suffocation.</w:t>
      </w:r>
      <w:r w:rsidR="00F81CD5" w:rsidRPr="00672545">
        <w:t xml:space="preserve">  </w:t>
      </w:r>
      <w:r w:rsidR="004D1BFE" w:rsidRPr="00672545">
        <w:t>He concluded the death was</w:t>
      </w:r>
      <w:r w:rsidR="00C14359" w:rsidRPr="00672545">
        <w:t xml:space="preserve"> a</w:t>
      </w:r>
      <w:r w:rsidR="004D1BFE" w:rsidRPr="00672545">
        <w:t xml:space="preserve"> homicide.</w:t>
      </w:r>
      <w:r w:rsidR="00F81CD5" w:rsidRPr="00672545">
        <w:t xml:space="preserve">  </w:t>
      </w:r>
      <w:proofErr w:type="spellStart"/>
      <w:r w:rsidR="004D1BFE" w:rsidRPr="00672545">
        <w:t>Blackbourne</w:t>
      </w:r>
      <w:proofErr w:type="spellEnd"/>
      <w:r w:rsidR="004D1BFE" w:rsidRPr="00672545">
        <w:t xml:space="preserve"> could not determine whether Danielle had been sexually assaulted because her genital organs were gone.</w:t>
      </w:r>
      <w:r w:rsidR="00F81CD5" w:rsidRPr="00672545">
        <w:t xml:space="preserve">  </w:t>
      </w:r>
      <w:r w:rsidR="004D1BFE" w:rsidRPr="00672545">
        <w:t xml:space="preserve">He stated that Danielle had been deceased for a considerable </w:t>
      </w:r>
      <w:proofErr w:type="gramStart"/>
      <w:r w:rsidR="004D1BFE" w:rsidRPr="00672545">
        <w:t>period of time</w:t>
      </w:r>
      <w:proofErr w:type="gramEnd"/>
      <w:r w:rsidR="004D1BFE" w:rsidRPr="00672545">
        <w:t>.  He believed she had died at least 10 days prior to being found and as much as six weeks earlier.</w:t>
      </w:r>
      <w:r w:rsidR="00F81CD5" w:rsidRPr="00672545">
        <w:t xml:space="preserve">  </w:t>
      </w:r>
    </w:p>
    <w:p w14:paraId="65858895" w14:textId="77777777" w:rsidR="00883F89" w:rsidRPr="00672545" w:rsidRDefault="00955492" w:rsidP="00672545">
      <w:pPr>
        <w:tabs>
          <w:tab w:val="left" w:pos="720"/>
          <w:tab w:val="left" w:pos="1440"/>
        </w:tabs>
      </w:pPr>
      <w:r w:rsidRPr="00672545">
        <w:tab/>
      </w:r>
      <w:r w:rsidR="00A5188A" w:rsidRPr="00672545">
        <w:t>Jeffrey Graham,</w:t>
      </w:r>
      <w:r w:rsidR="00F52F46" w:rsidRPr="00672545">
        <w:t xml:space="preserve"> Jr.,</w:t>
      </w:r>
      <w:r w:rsidR="00A5188A" w:rsidRPr="00672545">
        <w:t xml:space="preserve"> a latent fingerprint examiner for the San Diego Police Department, was able to obtain Danielle’s fingerprints.  He compared them to a set of prints lifted from defendant’s motorhome.  One </w:t>
      </w:r>
      <w:r w:rsidR="00BE785F" w:rsidRPr="00672545">
        <w:t>hand</w:t>
      </w:r>
      <w:r w:rsidR="00A5188A" w:rsidRPr="00672545">
        <w:t>print</w:t>
      </w:r>
      <w:r w:rsidR="000C322A">
        <w:t>,</w:t>
      </w:r>
      <w:r w:rsidR="00A5188A" w:rsidRPr="00672545">
        <w:t xml:space="preserve"> lifted from a cabinet 10 inches above the motorhome bed</w:t>
      </w:r>
      <w:r w:rsidR="004F264C" w:rsidRPr="00672545">
        <w:t xml:space="preserve">, contained four associated fingerprints, </w:t>
      </w:r>
      <w:r w:rsidR="000F503C" w:rsidRPr="00672545">
        <w:t>two of which co</w:t>
      </w:r>
      <w:r w:rsidR="00633A46" w:rsidRPr="00672545">
        <w:t xml:space="preserve">ntained </w:t>
      </w:r>
      <w:proofErr w:type="gramStart"/>
      <w:r w:rsidR="007810A9">
        <w:t>sufficient</w:t>
      </w:r>
      <w:proofErr w:type="gramEnd"/>
      <w:r w:rsidR="00633A46" w:rsidRPr="00672545">
        <w:t xml:space="preserve"> ridge detail</w:t>
      </w:r>
      <w:r w:rsidR="007810A9">
        <w:t xml:space="preserve"> to</w:t>
      </w:r>
      <w:r w:rsidR="00633A46" w:rsidRPr="00672545">
        <w:t xml:space="preserve"> </w:t>
      </w:r>
      <w:r w:rsidR="00A5188A" w:rsidRPr="00672545">
        <w:t xml:space="preserve">match </w:t>
      </w:r>
      <w:r w:rsidR="000F503C" w:rsidRPr="00672545">
        <w:t xml:space="preserve">two of </w:t>
      </w:r>
      <w:r w:rsidR="00A5188A" w:rsidRPr="00672545">
        <w:t>Danielle</w:t>
      </w:r>
      <w:r w:rsidR="003A6058" w:rsidRPr="00672545">
        <w:t xml:space="preserve">’s </w:t>
      </w:r>
      <w:r w:rsidR="000F503C" w:rsidRPr="00672545">
        <w:t xml:space="preserve">fingers on her </w:t>
      </w:r>
      <w:r w:rsidR="00BE785F" w:rsidRPr="00672545">
        <w:t xml:space="preserve">left </w:t>
      </w:r>
      <w:r w:rsidR="003A6058" w:rsidRPr="00672545">
        <w:t>hand</w:t>
      </w:r>
      <w:r w:rsidR="00A5188A" w:rsidRPr="00672545">
        <w:t>.</w:t>
      </w:r>
      <w:r w:rsidR="00F81CD5" w:rsidRPr="00672545">
        <w:t xml:space="preserve">  </w:t>
      </w:r>
      <w:r w:rsidR="003C3F8C" w:rsidRPr="00672545">
        <w:t xml:space="preserve">It was apparent </w:t>
      </w:r>
      <w:r w:rsidR="003C3F8C" w:rsidRPr="00672545">
        <w:lastRenderedPageBreak/>
        <w:t>from the way the print had been left that Danielle was moving when it was made</w:t>
      </w:r>
      <w:r w:rsidR="006254A6" w:rsidRPr="00672545">
        <w:t xml:space="preserve">, that is, </w:t>
      </w:r>
      <w:r w:rsidR="003C3F8C" w:rsidRPr="00672545">
        <w:t xml:space="preserve">her hand did not simply make the print and then lift back up.  </w:t>
      </w:r>
    </w:p>
    <w:p w14:paraId="4ED5A75A" w14:textId="77777777" w:rsidR="00213315" w:rsidRPr="00672545" w:rsidRDefault="00705409" w:rsidP="00672545">
      <w:pPr>
        <w:tabs>
          <w:tab w:val="left" w:pos="720"/>
          <w:tab w:val="left" w:pos="1440"/>
        </w:tabs>
      </w:pPr>
      <w:r w:rsidRPr="00672545">
        <w:tab/>
      </w:r>
      <w:r w:rsidR="00E165F9" w:rsidRPr="00672545">
        <w:t xml:space="preserve">San Diego Police Department criminalist Sean Soriano examined stains on the jacket defendant had </w:t>
      </w:r>
      <w:r w:rsidR="000B2856" w:rsidRPr="00672545">
        <w:t>left at the</w:t>
      </w:r>
      <w:r w:rsidR="00E165F9" w:rsidRPr="00672545">
        <w:t xml:space="preserve"> dry </w:t>
      </w:r>
      <w:proofErr w:type="gramStart"/>
      <w:r w:rsidR="00E165F9" w:rsidRPr="00672545">
        <w:t>cleaner</w:t>
      </w:r>
      <w:r w:rsidR="003C2B32">
        <w:t>’</w:t>
      </w:r>
      <w:r w:rsidR="00E165F9" w:rsidRPr="00672545">
        <w:t>s</w:t>
      </w:r>
      <w:proofErr w:type="gramEnd"/>
      <w:r w:rsidR="00E165F9" w:rsidRPr="00672545">
        <w:t>.  Three stains on the jacket presumptively tested positive</w:t>
      </w:r>
      <w:r w:rsidR="00C258F3" w:rsidRPr="00672545">
        <w:t xml:space="preserve"> for the presence of blood.</w:t>
      </w:r>
      <w:r w:rsidR="00F81CD5" w:rsidRPr="00672545">
        <w:t xml:space="preserve">  </w:t>
      </w:r>
      <w:r w:rsidR="00E165F9" w:rsidRPr="00672545">
        <w:t xml:space="preserve">San Diego Police Department </w:t>
      </w:r>
      <w:r w:rsidR="00C258F3" w:rsidRPr="00672545">
        <w:t xml:space="preserve">forensic </w:t>
      </w:r>
      <w:r w:rsidR="00E165F9" w:rsidRPr="00672545">
        <w:t xml:space="preserve">biologist Annette Peer located a stain on the </w:t>
      </w:r>
      <w:r w:rsidR="00C45F83" w:rsidRPr="00672545">
        <w:t xml:space="preserve">carpeted </w:t>
      </w:r>
      <w:r w:rsidR="00E165F9" w:rsidRPr="00672545">
        <w:t xml:space="preserve">floor between the bathroom and closet of defendant’s motorhome that </w:t>
      </w:r>
      <w:r w:rsidR="00097037" w:rsidRPr="00672545">
        <w:t xml:space="preserve">also </w:t>
      </w:r>
      <w:r w:rsidR="00E165F9" w:rsidRPr="00672545">
        <w:t>presumptively tested positive for blood.</w:t>
      </w:r>
      <w:r w:rsidR="00F81CD5" w:rsidRPr="00672545">
        <w:t xml:space="preserve">  </w:t>
      </w:r>
      <w:r w:rsidR="005C5E01" w:rsidRPr="00672545">
        <w:t xml:space="preserve">Peer tested a cutting of the bloodstain </w:t>
      </w:r>
      <w:r w:rsidR="00C45F83" w:rsidRPr="00672545">
        <w:t>found on the shoulder of defendant’s jacket for 13 genetic markers</w:t>
      </w:r>
      <w:r w:rsidR="00BA1C35" w:rsidRPr="00672545">
        <w:t>,</w:t>
      </w:r>
      <w:r w:rsidR="00592D51" w:rsidRPr="00672545">
        <w:t xml:space="preserve"> and the 13-marker DNA profile of the bloodstain on the shoulder area of defendant’s jacket</w:t>
      </w:r>
      <w:r w:rsidR="00BA1C35" w:rsidRPr="00672545">
        <w:t xml:space="preserve"> matched Danielle’s 13-marker DNA profile</w:t>
      </w:r>
      <w:r w:rsidR="00C84074" w:rsidRPr="00672545">
        <w:t xml:space="preserve">.  </w:t>
      </w:r>
      <w:r w:rsidR="00BA1C35" w:rsidRPr="00672545">
        <w:t xml:space="preserve">Peer testified that the expected frequency of that identical 13-marker DNA profile in the Caucasian population is approximately one in 670 quadrillion. </w:t>
      </w:r>
    </w:p>
    <w:p w14:paraId="7581FEC2" w14:textId="77777777" w:rsidR="00705409" w:rsidRPr="00672545" w:rsidRDefault="00213315" w:rsidP="00672545">
      <w:pPr>
        <w:tabs>
          <w:tab w:val="left" w:pos="720"/>
          <w:tab w:val="left" w:pos="1440"/>
        </w:tabs>
      </w:pPr>
      <w:r w:rsidRPr="00672545">
        <w:tab/>
      </w:r>
      <w:r w:rsidR="00CB723B" w:rsidRPr="00672545">
        <w:t>Forensic scientist Mitchell Holland</w:t>
      </w:r>
      <w:r w:rsidR="005B5EC9" w:rsidRPr="00672545">
        <w:t>,</w:t>
      </w:r>
      <w:r w:rsidR="00CB723B" w:rsidRPr="00672545">
        <w:t xml:space="preserve"> of the Bode Technology Group, </w:t>
      </w:r>
      <w:r w:rsidR="005B5EC9" w:rsidRPr="00672545">
        <w:t xml:space="preserve">tested </w:t>
      </w:r>
      <w:r w:rsidR="00DF1404" w:rsidRPr="00672545">
        <w:t>cuttings of the</w:t>
      </w:r>
      <w:r w:rsidR="005B5EC9" w:rsidRPr="00672545">
        <w:t xml:space="preserve"> blood</w:t>
      </w:r>
      <w:r w:rsidR="00D01E51" w:rsidRPr="00672545">
        <w:t xml:space="preserve">stain located </w:t>
      </w:r>
      <w:r w:rsidR="00745864" w:rsidRPr="00672545">
        <w:t>on the carpet for defendant’s motorhome</w:t>
      </w:r>
      <w:r w:rsidR="00412E81" w:rsidRPr="00672545">
        <w:t xml:space="preserve"> for 13 genetic markers, and the</w:t>
      </w:r>
      <w:r w:rsidR="00C27873" w:rsidRPr="00672545">
        <w:t xml:space="preserve"> 13-marker</w:t>
      </w:r>
      <w:r w:rsidR="00ED613F" w:rsidRPr="00672545">
        <w:t xml:space="preserve"> </w:t>
      </w:r>
      <w:r w:rsidR="008F7E31" w:rsidRPr="00672545">
        <w:t>DNA profile of that</w:t>
      </w:r>
      <w:r w:rsidR="00E165F9" w:rsidRPr="00672545">
        <w:t xml:space="preserve"> </w:t>
      </w:r>
      <w:r w:rsidR="004C490C" w:rsidRPr="00672545">
        <w:t>blood</w:t>
      </w:r>
      <w:r w:rsidR="00E165F9" w:rsidRPr="00672545">
        <w:t xml:space="preserve">stain matched Danielle’s </w:t>
      </w:r>
      <w:r w:rsidR="00ED613F" w:rsidRPr="00672545">
        <w:t xml:space="preserve">13-marker </w:t>
      </w:r>
      <w:r w:rsidR="00E165F9" w:rsidRPr="00672545">
        <w:t>DNA profile.</w:t>
      </w:r>
      <w:r w:rsidR="005C5E01" w:rsidRPr="00672545">
        <w:t xml:space="preserve"> </w:t>
      </w:r>
      <w:r w:rsidR="00E165F9" w:rsidRPr="00672545">
        <w:t xml:space="preserve"> </w:t>
      </w:r>
      <w:r w:rsidR="00BA1C35" w:rsidRPr="00672545">
        <w:t>Holland testified that the</w:t>
      </w:r>
      <w:r w:rsidR="000F12CC" w:rsidRPr="00672545">
        <w:t xml:space="preserve"> expected frequency of </w:t>
      </w:r>
      <w:r w:rsidR="000730A4" w:rsidRPr="00672545">
        <w:t xml:space="preserve">that </w:t>
      </w:r>
      <w:r w:rsidR="004735C6" w:rsidRPr="00672545">
        <w:t xml:space="preserve">identical </w:t>
      </w:r>
      <w:r w:rsidR="007F62EE" w:rsidRPr="00672545">
        <w:t xml:space="preserve">13-marker </w:t>
      </w:r>
      <w:r w:rsidR="00213225" w:rsidRPr="00672545">
        <w:t xml:space="preserve">DNA </w:t>
      </w:r>
      <w:r w:rsidR="000730A4" w:rsidRPr="00672545">
        <w:t xml:space="preserve">profile in the </w:t>
      </w:r>
      <w:r w:rsidR="005D3AC9" w:rsidRPr="00672545">
        <w:t xml:space="preserve">Caucasian population is </w:t>
      </w:r>
      <w:r w:rsidR="00D32F1D" w:rsidRPr="00672545">
        <w:t xml:space="preserve">approximately </w:t>
      </w:r>
      <w:r w:rsidR="005D3AC9" w:rsidRPr="00672545">
        <w:t>one in 660 quadrillion</w:t>
      </w:r>
      <w:r w:rsidR="006E50AB" w:rsidRPr="00672545">
        <w:t xml:space="preserve"> of unrelated persons</w:t>
      </w:r>
      <w:r w:rsidR="005D3AC9" w:rsidRPr="00672545">
        <w:t>.</w:t>
      </w:r>
      <w:r w:rsidR="008B000A" w:rsidRPr="00672545">
        <w:rPr>
          <w:rStyle w:val="FootnoteReference"/>
        </w:rPr>
        <w:footnoteReference w:id="5"/>
      </w:r>
      <w:r w:rsidR="00F81CD5" w:rsidRPr="00672545">
        <w:t xml:space="preserve">  </w:t>
      </w:r>
    </w:p>
    <w:p w14:paraId="17175B3B" w14:textId="77777777" w:rsidR="00C74E49" w:rsidRPr="00672545" w:rsidRDefault="00C74E49" w:rsidP="00672545">
      <w:pPr>
        <w:tabs>
          <w:tab w:val="left" w:pos="720"/>
          <w:tab w:val="left" w:pos="1440"/>
        </w:tabs>
      </w:pPr>
      <w:r w:rsidRPr="00672545">
        <w:lastRenderedPageBreak/>
        <w:tab/>
      </w:r>
      <w:r w:rsidR="001A29C9" w:rsidRPr="00672545">
        <w:t xml:space="preserve">Holland also </w:t>
      </w:r>
      <w:r w:rsidRPr="00672545">
        <w:t>conducted nuclear DNA testing on a hair</w:t>
      </w:r>
      <w:r w:rsidR="00A35D9C" w:rsidRPr="00672545">
        <w:t xml:space="preserve"> root extracted</w:t>
      </w:r>
      <w:r w:rsidRPr="00672545">
        <w:t xml:space="preserve"> from </w:t>
      </w:r>
      <w:r w:rsidR="00A35D9C" w:rsidRPr="00672545">
        <w:t xml:space="preserve">a hair recovered from </w:t>
      </w:r>
      <w:r w:rsidRPr="00672545">
        <w:t>the sink drain in defendant’s motorhome bathroom and obtained a partial profile that matched Danielle’</w:t>
      </w:r>
      <w:r w:rsidR="00207094" w:rsidRPr="00672545">
        <w:t xml:space="preserve">s DNA profile.  </w:t>
      </w:r>
      <w:r w:rsidR="00E8202E" w:rsidRPr="00672545">
        <w:t>The DNA test for that hair</w:t>
      </w:r>
      <w:r w:rsidR="00A35D9C" w:rsidRPr="00672545">
        <w:t xml:space="preserve"> root</w:t>
      </w:r>
      <w:r w:rsidR="00E8202E" w:rsidRPr="00672545">
        <w:t xml:space="preserve"> returned results for 12 out of the 13 tested genetic markers</w:t>
      </w:r>
      <w:r w:rsidR="004735C6" w:rsidRPr="00672545">
        <w:t>.</w:t>
      </w:r>
      <w:r w:rsidR="00AC65BA" w:rsidRPr="00672545">
        <w:t xml:space="preserve"> </w:t>
      </w:r>
      <w:r w:rsidR="005300B3" w:rsidRPr="00672545">
        <w:t xml:space="preserve"> Although the missing genetic marker resulted</w:t>
      </w:r>
      <w:r w:rsidR="000B2FC5" w:rsidRPr="00672545">
        <w:t xml:space="preserve"> </w:t>
      </w:r>
      <w:r w:rsidR="00B20C0E" w:rsidRPr="00672545">
        <w:t>in a lower rarity statistic than that of a</w:t>
      </w:r>
      <w:r w:rsidR="000B2FC5" w:rsidRPr="00672545">
        <w:t xml:space="preserve"> full 13-marker </w:t>
      </w:r>
      <w:r w:rsidR="00213225" w:rsidRPr="00672545">
        <w:t xml:space="preserve">DNA </w:t>
      </w:r>
      <w:r w:rsidR="000B2FC5" w:rsidRPr="00672545">
        <w:t xml:space="preserve">profile, </w:t>
      </w:r>
      <w:r w:rsidR="00586B21" w:rsidRPr="00672545">
        <w:t xml:space="preserve">Holland testified that </w:t>
      </w:r>
      <w:r w:rsidR="000B2FC5" w:rsidRPr="00672545">
        <w:t>t</w:t>
      </w:r>
      <w:r w:rsidR="00676DD9" w:rsidRPr="00672545">
        <w:t xml:space="preserve">he </w:t>
      </w:r>
      <w:r w:rsidR="004735C6" w:rsidRPr="00672545">
        <w:t>expected frequency of that 12-</w:t>
      </w:r>
      <w:r w:rsidR="00AE0501" w:rsidRPr="00672545">
        <w:t>marker DNA profile in the Caucasian population</w:t>
      </w:r>
      <w:r w:rsidR="00B20C0E" w:rsidRPr="00672545">
        <w:t>, nonetheless,</w:t>
      </w:r>
      <w:r w:rsidR="00AE0501" w:rsidRPr="00672545">
        <w:t xml:space="preserve"> is </w:t>
      </w:r>
      <w:r w:rsidR="00145939" w:rsidRPr="00672545">
        <w:t>one in 25 quadrillion</w:t>
      </w:r>
      <w:r w:rsidR="006E50AB" w:rsidRPr="00672545">
        <w:t xml:space="preserve"> of unrelated persons</w:t>
      </w:r>
      <w:r w:rsidR="00145939" w:rsidRPr="00672545">
        <w:t>.</w:t>
      </w:r>
      <w:r w:rsidR="00F81CD5" w:rsidRPr="00672545">
        <w:t xml:space="preserve">  </w:t>
      </w:r>
    </w:p>
    <w:p w14:paraId="7613988F" w14:textId="77777777" w:rsidR="00883F89" w:rsidRPr="00672545" w:rsidRDefault="006A037D" w:rsidP="00672545">
      <w:pPr>
        <w:tabs>
          <w:tab w:val="left" w:pos="720"/>
          <w:tab w:val="left" w:pos="1440"/>
        </w:tabs>
      </w:pPr>
      <w:r w:rsidRPr="00672545">
        <w:tab/>
      </w:r>
      <w:proofErr w:type="gramStart"/>
      <w:r w:rsidRPr="00672545">
        <w:t>Catherine Theisen,</w:t>
      </w:r>
      <w:proofErr w:type="gramEnd"/>
      <w:r w:rsidRPr="00672545">
        <w:t xml:space="preserve"> employed at the Federal Bureau of Investigation laboratory in Washington, D.C., conducted mitochondrial DNA</w:t>
      </w:r>
      <w:r w:rsidRPr="00672545">
        <w:rPr>
          <w:rStyle w:val="FootnoteReference"/>
        </w:rPr>
        <w:footnoteReference w:id="6"/>
      </w:r>
      <w:r w:rsidRPr="00672545">
        <w:t xml:space="preserve"> analysis on several hairs discovered in defendant’s motorhome.  She could not exclude Danielle as the source of </w:t>
      </w:r>
      <w:r w:rsidR="00B74B31" w:rsidRPr="00672545">
        <w:t>a hair</w:t>
      </w:r>
      <w:r w:rsidRPr="00672545">
        <w:t xml:space="preserve"> recovered from the bathroom rug of the motorhome.</w:t>
      </w:r>
      <w:r w:rsidR="00F81CD5" w:rsidRPr="00672545">
        <w:t xml:space="preserve">  </w:t>
      </w:r>
      <w:r w:rsidR="003D5A12" w:rsidRPr="00672545">
        <w:t xml:space="preserve">Holland conducted mitochondrial DNA testing on </w:t>
      </w:r>
      <w:r w:rsidR="004D6085" w:rsidRPr="00672545">
        <w:t xml:space="preserve">two </w:t>
      </w:r>
      <w:r w:rsidR="003D5A12" w:rsidRPr="00672545">
        <w:t xml:space="preserve">hairs </w:t>
      </w:r>
      <w:r w:rsidR="00D27BFF" w:rsidRPr="00672545">
        <w:t xml:space="preserve">collected </w:t>
      </w:r>
      <w:r w:rsidR="003D5A12" w:rsidRPr="00672545">
        <w:t>from</w:t>
      </w:r>
      <w:r w:rsidR="00894F24" w:rsidRPr="00672545">
        <w:t xml:space="preserve"> defendant’s washing machine and</w:t>
      </w:r>
      <w:r w:rsidR="003D5A12" w:rsidRPr="00672545">
        <w:t xml:space="preserve"> d</w:t>
      </w:r>
      <w:r w:rsidR="00D27BFF" w:rsidRPr="00672545">
        <w:t>r</w:t>
      </w:r>
      <w:r w:rsidR="003D5A12" w:rsidRPr="00672545">
        <w:t xml:space="preserve">yer, </w:t>
      </w:r>
      <w:r w:rsidR="00790EA1" w:rsidRPr="00672545">
        <w:t xml:space="preserve">six hairs </w:t>
      </w:r>
      <w:r w:rsidR="001200D2" w:rsidRPr="00672545">
        <w:t xml:space="preserve">collected </w:t>
      </w:r>
      <w:r w:rsidR="00790EA1" w:rsidRPr="00672545">
        <w:t xml:space="preserve">from the </w:t>
      </w:r>
      <w:r w:rsidR="00894F24" w:rsidRPr="00672545">
        <w:t xml:space="preserve">defendant’s </w:t>
      </w:r>
      <w:r w:rsidR="00D27BFF" w:rsidRPr="00672545">
        <w:t>master bedroom bedding</w:t>
      </w:r>
      <w:r w:rsidR="004D6085" w:rsidRPr="00672545">
        <w:t>,</w:t>
      </w:r>
      <w:r w:rsidR="00D27BFF" w:rsidRPr="00672545">
        <w:t xml:space="preserve"> and</w:t>
      </w:r>
      <w:r w:rsidR="004D6085" w:rsidRPr="00672545">
        <w:t xml:space="preserve"> one hair recovered from defendant’s</w:t>
      </w:r>
      <w:r w:rsidR="00D27BFF" w:rsidRPr="00672545">
        <w:t xml:space="preserve"> motorhome hallway carpet.</w:t>
      </w:r>
      <w:r w:rsidR="003D5A12" w:rsidRPr="00672545">
        <w:t xml:space="preserve">  </w:t>
      </w:r>
      <w:proofErr w:type="gramStart"/>
      <w:r w:rsidR="003D5A12" w:rsidRPr="00672545">
        <w:t>All of</w:t>
      </w:r>
      <w:proofErr w:type="gramEnd"/>
      <w:r w:rsidR="003D5A12" w:rsidRPr="00672545">
        <w:t xml:space="preserve"> the hairs contained the same mitochondrial DNA profile as Danielle.  </w:t>
      </w:r>
    </w:p>
    <w:p w14:paraId="68D093A4" w14:textId="77777777" w:rsidR="005D13E9" w:rsidRPr="00672545" w:rsidRDefault="006E1F51" w:rsidP="00672545">
      <w:pPr>
        <w:tabs>
          <w:tab w:val="left" w:pos="720"/>
          <w:tab w:val="left" w:pos="1440"/>
        </w:tabs>
      </w:pPr>
      <w:r w:rsidRPr="00672545">
        <w:lastRenderedPageBreak/>
        <w:tab/>
      </w:r>
      <w:r w:rsidR="003D5A12" w:rsidRPr="00672545">
        <w:t xml:space="preserve">San Diego Police Department criminalist Tanya Dulaney collected fiber trace evidence in this case.  Dulaney discovered </w:t>
      </w:r>
      <w:r w:rsidR="00081863" w:rsidRPr="00672545">
        <w:t xml:space="preserve">in defendant’s motorhome </w:t>
      </w:r>
      <w:r w:rsidR="003D5A12" w:rsidRPr="00672545">
        <w:t>blue fibers on the kitchen bench seat, on the upholstered headboard, on the couch, and on the front passenger seat.</w:t>
      </w:r>
      <w:r w:rsidR="00F81CD5" w:rsidRPr="00672545">
        <w:t xml:space="preserve">  </w:t>
      </w:r>
      <w:r w:rsidR="003D5A12" w:rsidRPr="00672545">
        <w:t xml:space="preserve">Chemical analysis revealed that </w:t>
      </w:r>
      <w:proofErr w:type="gramStart"/>
      <w:r w:rsidR="003D5A12" w:rsidRPr="00672545">
        <w:t>all of</w:t>
      </w:r>
      <w:proofErr w:type="gramEnd"/>
      <w:r w:rsidR="003D5A12" w:rsidRPr="00672545">
        <w:t xml:space="preserve"> these blue fibers were consistent with fibers discovered </w:t>
      </w:r>
      <w:r w:rsidR="00305F4E" w:rsidRPr="00672545">
        <w:t xml:space="preserve">with Danielle or </w:t>
      </w:r>
      <w:r w:rsidR="003D5A12" w:rsidRPr="00672545">
        <w:t xml:space="preserve">in the sheet used by the medical examiner to wrap Danielle’s body for the purpose of collecting potential trace evidence that </w:t>
      </w:r>
      <w:r w:rsidR="000954D8" w:rsidRPr="00672545">
        <w:t xml:space="preserve">might </w:t>
      </w:r>
      <w:r w:rsidR="003D5A12" w:rsidRPr="00672545">
        <w:t xml:space="preserve">fall off the body when it was removed from the </w:t>
      </w:r>
      <w:proofErr w:type="spellStart"/>
      <w:r w:rsidR="003D5A12" w:rsidRPr="00672545">
        <w:t>Dehesa</w:t>
      </w:r>
      <w:proofErr w:type="spellEnd"/>
      <w:r w:rsidR="003D5A12" w:rsidRPr="00672545">
        <w:t xml:space="preserve"> Road location.</w:t>
      </w:r>
      <w:r w:rsidR="00F81CD5" w:rsidRPr="00672545">
        <w:t xml:space="preserve">  </w:t>
      </w:r>
    </w:p>
    <w:p w14:paraId="24BCF7C9" w14:textId="77777777" w:rsidR="00056488" w:rsidRPr="00672545" w:rsidRDefault="005D13E9" w:rsidP="00672545">
      <w:pPr>
        <w:tabs>
          <w:tab w:val="left" w:pos="720"/>
          <w:tab w:val="left" w:pos="1440"/>
        </w:tabs>
      </w:pPr>
      <w:r w:rsidRPr="00672545">
        <w:tab/>
      </w:r>
      <w:r w:rsidR="00D27BFF" w:rsidRPr="00672545">
        <w:t xml:space="preserve">Dulaney </w:t>
      </w:r>
      <w:r w:rsidR="000954D8" w:rsidRPr="00672545">
        <w:t xml:space="preserve">also </w:t>
      </w:r>
      <w:r w:rsidR="00D27BFF" w:rsidRPr="00672545">
        <w:t xml:space="preserve">collected </w:t>
      </w:r>
      <w:r w:rsidR="004C1866" w:rsidRPr="00672545">
        <w:t xml:space="preserve">at defendant’s residence </w:t>
      </w:r>
      <w:r w:rsidR="00D27BFF" w:rsidRPr="00672545">
        <w:t>many orange and blue fibers from clothing found on top</w:t>
      </w:r>
      <w:r w:rsidR="00B270F0" w:rsidRPr="00672545">
        <w:t xml:space="preserve"> of</w:t>
      </w:r>
      <w:r w:rsidR="00D27BFF" w:rsidRPr="00672545">
        <w:t xml:space="preserve">, and inside, defendant’s washing machine and dryer.  She found </w:t>
      </w:r>
      <w:r w:rsidR="00305F4E" w:rsidRPr="00672545">
        <w:t xml:space="preserve">similar </w:t>
      </w:r>
      <w:r w:rsidR="00D27BFF" w:rsidRPr="00672545">
        <w:t>orange fibers on the pillow cases from his master bedroom.</w:t>
      </w:r>
      <w:r w:rsidR="00F81CD5" w:rsidRPr="00672545">
        <w:t xml:space="preserve">  </w:t>
      </w:r>
      <w:r w:rsidR="00D63922" w:rsidRPr="00672545">
        <w:t>Jennifer Shen, another San Diego Police Department criminalist, found more o</w:t>
      </w:r>
      <w:r w:rsidR="007F6968" w:rsidRPr="00672545">
        <w:t xml:space="preserve">range fibers </w:t>
      </w:r>
      <w:r w:rsidR="00D63922" w:rsidRPr="00672545">
        <w:t>i</w:t>
      </w:r>
      <w:r w:rsidR="007F6968" w:rsidRPr="00672545">
        <w:t xml:space="preserve">nside defendant’s 4Runner and on a towel </w:t>
      </w:r>
      <w:r w:rsidR="004F632E" w:rsidRPr="00672545">
        <w:t>discovered</w:t>
      </w:r>
      <w:r w:rsidR="007F6968" w:rsidRPr="00672545">
        <w:t xml:space="preserve"> inside a laundry bag in </w:t>
      </w:r>
      <w:r w:rsidRPr="00672545">
        <w:t>his</w:t>
      </w:r>
      <w:r w:rsidR="007F6968" w:rsidRPr="00672545">
        <w:t xml:space="preserve"> 4Runner.</w:t>
      </w:r>
      <w:r w:rsidR="00F81CD5" w:rsidRPr="00672545">
        <w:t xml:space="preserve">  </w:t>
      </w:r>
      <w:r w:rsidRPr="00672545">
        <w:t xml:space="preserve">Entangled in </w:t>
      </w:r>
      <w:r w:rsidR="00B734C2" w:rsidRPr="00672545">
        <w:t xml:space="preserve">the necklace on Danielle’s body </w:t>
      </w:r>
      <w:r w:rsidRPr="00672545">
        <w:t>was an orange fiber</w:t>
      </w:r>
      <w:r w:rsidR="00B734C2" w:rsidRPr="00672545">
        <w:t xml:space="preserve"> </w:t>
      </w:r>
      <w:proofErr w:type="gramStart"/>
      <w:r w:rsidR="00B734C2" w:rsidRPr="00672545">
        <w:t>similar to</w:t>
      </w:r>
      <w:proofErr w:type="gramEnd"/>
      <w:r w:rsidR="00B734C2" w:rsidRPr="00672545">
        <w:t xml:space="preserve"> the orange fibers found on defendant’s laundry</w:t>
      </w:r>
      <w:r w:rsidRPr="00672545">
        <w:t xml:space="preserve">, </w:t>
      </w:r>
      <w:r w:rsidR="00B734C2" w:rsidRPr="00672545">
        <w:t>bedding</w:t>
      </w:r>
      <w:r w:rsidRPr="00672545">
        <w:t>, and in his vehicle</w:t>
      </w:r>
      <w:r w:rsidR="00B734C2" w:rsidRPr="00672545">
        <w:t>.</w:t>
      </w:r>
      <w:r w:rsidR="00F81CD5" w:rsidRPr="00672545">
        <w:t xml:space="preserve">  </w:t>
      </w:r>
    </w:p>
    <w:p w14:paraId="007AA181" w14:textId="77777777" w:rsidR="00AD2263" w:rsidRPr="00672545" w:rsidRDefault="005D13E9" w:rsidP="00672545">
      <w:pPr>
        <w:tabs>
          <w:tab w:val="left" w:pos="720"/>
          <w:tab w:val="left" w:pos="1440"/>
        </w:tabs>
      </w:pPr>
      <w:r w:rsidRPr="00672545">
        <w:tab/>
        <w:t xml:space="preserve">Dulaney also collected </w:t>
      </w:r>
      <w:r w:rsidR="000954D8" w:rsidRPr="00672545">
        <w:t xml:space="preserve">tan </w:t>
      </w:r>
      <w:r w:rsidRPr="00672545">
        <w:t>fibers from the area by the bed, in the bathroom, and in the hall of defendant’s motorhome, which</w:t>
      </w:r>
      <w:r w:rsidR="00A0113F" w:rsidRPr="00672545">
        <w:t>,</w:t>
      </w:r>
      <w:r w:rsidRPr="00672545">
        <w:t xml:space="preserve"> </w:t>
      </w:r>
      <w:r w:rsidR="000954D8" w:rsidRPr="00672545">
        <w:t xml:space="preserve">when examined, </w:t>
      </w:r>
      <w:r w:rsidRPr="00672545">
        <w:t xml:space="preserve">were consistent with fibers from the carpeting in Danielle’s bedroom.  </w:t>
      </w:r>
    </w:p>
    <w:p w14:paraId="7B929046" w14:textId="77777777" w:rsidR="00980CA0" w:rsidRPr="00672545" w:rsidRDefault="008C48C7" w:rsidP="00672545">
      <w:pPr>
        <w:tabs>
          <w:tab w:val="left" w:pos="720"/>
          <w:tab w:val="left" w:pos="1440"/>
        </w:tabs>
      </w:pPr>
      <w:r w:rsidRPr="00672545">
        <w:tab/>
        <w:t>James Watkins, Jr., a</w:t>
      </w:r>
      <w:r w:rsidR="004457FE" w:rsidRPr="00672545">
        <w:t xml:space="preserve"> law enforcement</w:t>
      </w:r>
      <w:r w:rsidRPr="00672545">
        <w:t xml:space="preserve"> computer forensic examiner, </w:t>
      </w:r>
      <w:r w:rsidR="00572686" w:rsidRPr="00672545">
        <w:t xml:space="preserve">copied and </w:t>
      </w:r>
      <w:r w:rsidRPr="00672545">
        <w:t xml:space="preserve">examined images found on the </w:t>
      </w:r>
      <w:r w:rsidR="004457FE" w:rsidRPr="00672545">
        <w:t xml:space="preserve">computer </w:t>
      </w:r>
      <w:r w:rsidRPr="00672545">
        <w:t xml:space="preserve">hard drives and other </w:t>
      </w:r>
      <w:r w:rsidR="00572686" w:rsidRPr="00672545">
        <w:t>computer-related material</w:t>
      </w:r>
      <w:r w:rsidRPr="00672545">
        <w:t xml:space="preserve"> located in defendant’s </w:t>
      </w:r>
      <w:r w:rsidR="00446207" w:rsidRPr="00672545">
        <w:t>bedroom and home office</w:t>
      </w:r>
      <w:r w:rsidRPr="00672545">
        <w:t>.</w:t>
      </w:r>
      <w:r w:rsidR="00F81CD5" w:rsidRPr="00672545">
        <w:t xml:space="preserve">  </w:t>
      </w:r>
      <w:r w:rsidR="00572686" w:rsidRPr="00672545">
        <w:t xml:space="preserve">He discovered 85 images and 39 movies that he deemed “questionable,” meaning they depicted children under the age of 18 in sexual acts that might </w:t>
      </w:r>
      <w:r w:rsidR="00572686" w:rsidRPr="00672545">
        <w:lastRenderedPageBreak/>
        <w:t>constitute child pornography.</w:t>
      </w:r>
      <w:r w:rsidR="00F81CD5" w:rsidRPr="00672545">
        <w:t xml:space="preserve">  </w:t>
      </w:r>
      <w:r w:rsidR="00C77074" w:rsidRPr="00672545">
        <w:t xml:space="preserve">He also discovered two “anime” files that contained </w:t>
      </w:r>
      <w:r w:rsidR="00C04F33" w:rsidRPr="00672545">
        <w:t xml:space="preserve">two </w:t>
      </w:r>
      <w:r w:rsidR="00545928" w:rsidRPr="00672545">
        <w:t xml:space="preserve">storyboard-type </w:t>
      </w:r>
      <w:r w:rsidR="00C77074" w:rsidRPr="00672545">
        <w:t>drawings of young girl</w:t>
      </w:r>
      <w:r w:rsidR="00834651" w:rsidRPr="00672545">
        <w:t>s</w:t>
      </w:r>
      <w:r w:rsidR="00C77074" w:rsidRPr="00672545">
        <w:t xml:space="preserve"> being </w:t>
      </w:r>
      <w:r w:rsidR="00834651" w:rsidRPr="00672545">
        <w:t xml:space="preserve">abducted, bound, </w:t>
      </w:r>
      <w:r w:rsidR="00C77074" w:rsidRPr="00672545">
        <w:t xml:space="preserve">and raped.  </w:t>
      </w:r>
    </w:p>
    <w:p w14:paraId="40B5D966" w14:textId="77777777" w:rsidR="00980CA0" w:rsidRPr="00672545" w:rsidRDefault="00177ABE" w:rsidP="00672545">
      <w:pPr>
        <w:pStyle w:val="Heading3"/>
      </w:pPr>
      <w:bookmarkStart w:id="8" w:name="_Toc506979799"/>
      <w:r w:rsidRPr="00672545">
        <w:t>3.  Defense Evidence</w:t>
      </w:r>
      <w:bookmarkEnd w:id="8"/>
    </w:p>
    <w:p w14:paraId="1B61E8C3" w14:textId="77777777" w:rsidR="008C48C7" w:rsidRPr="00672545" w:rsidRDefault="00177ABE" w:rsidP="00672545">
      <w:pPr>
        <w:tabs>
          <w:tab w:val="left" w:pos="720"/>
          <w:tab w:val="left" w:pos="1440"/>
        </w:tabs>
      </w:pPr>
      <w:r w:rsidRPr="00672545">
        <w:tab/>
      </w:r>
      <w:r w:rsidR="00D62118" w:rsidRPr="00672545">
        <w:t xml:space="preserve">The defense called </w:t>
      </w:r>
      <w:r w:rsidR="001E2C03" w:rsidRPr="00672545">
        <w:t>several</w:t>
      </w:r>
      <w:r w:rsidR="00D62118" w:rsidRPr="00672545">
        <w:t xml:space="preserve"> witnesses to testify regarding defendant’s habits and customs regarding his motorhome, including that he would leave it unlocked when it was parked by his house, that he had on </w:t>
      </w:r>
      <w:r w:rsidR="00BE4DE1" w:rsidRPr="00672545">
        <w:t xml:space="preserve">other </w:t>
      </w:r>
      <w:r w:rsidR="00D62118" w:rsidRPr="00672545">
        <w:t>occasion</w:t>
      </w:r>
      <w:r w:rsidR="00BE4DE1" w:rsidRPr="00672545">
        <w:t>s</w:t>
      </w:r>
      <w:r w:rsidR="00D62118" w:rsidRPr="00672545">
        <w:t xml:space="preserve"> </w:t>
      </w:r>
      <w:r w:rsidR="00593839" w:rsidRPr="00672545">
        <w:t>made similar</w:t>
      </w:r>
      <w:r w:rsidR="00440F35" w:rsidRPr="00672545">
        <w:t xml:space="preserve"> trip</w:t>
      </w:r>
      <w:r w:rsidR="00593839" w:rsidRPr="00672545">
        <w:t>s</w:t>
      </w:r>
      <w:r w:rsidR="00440F35" w:rsidRPr="00672545">
        <w:t xml:space="preserve"> </w:t>
      </w:r>
      <w:r w:rsidR="00593839" w:rsidRPr="00672545">
        <w:t>by going</w:t>
      </w:r>
      <w:r w:rsidR="00D62118" w:rsidRPr="00672545">
        <w:t xml:space="preserve"> first to Silver Strand and then to the desert</w:t>
      </w:r>
      <w:r w:rsidR="00440F35" w:rsidRPr="00672545">
        <w:t xml:space="preserve">, that he did not always take </w:t>
      </w:r>
      <w:r w:rsidR="004D2793" w:rsidRPr="00672545">
        <w:t>the</w:t>
      </w:r>
      <w:r w:rsidR="00440F35" w:rsidRPr="00672545">
        <w:t xml:space="preserve"> trailer with </w:t>
      </w:r>
      <w:r w:rsidR="004D2793" w:rsidRPr="00672545">
        <w:t>his</w:t>
      </w:r>
      <w:r w:rsidR="00440F35" w:rsidRPr="00672545">
        <w:t xml:space="preserve"> </w:t>
      </w:r>
      <w:r w:rsidR="00593839" w:rsidRPr="00672545">
        <w:t>“</w:t>
      </w:r>
      <w:r w:rsidR="004D2793" w:rsidRPr="00672545">
        <w:t>sand toys</w:t>
      </w:r>
      <w:r w:rsidR="00593839" w:rsidRPr="00672545">
        <w:t>”</w:t>
      </w:r>
      <w:r w:rsidR="00440F35" w:rsidRPr="00672545">
        <w:t xml:space="preserve"> with him</w:t>
      </w:r>
      <w:r w:rsidR="00EE0A60" w:rsidRPr="00672545">
        <w:t xml:space="preserve">, </w:t>
      </w:r>
      <w:r w:rsidR="000136CD" w:rsidRPr="00672545">
        <w:t xml:space="preserve">that he sometimes went alone, </w:t>
      </w:r>
      <w:r w:rsidR="00EE0A60" w:rsidRPr="00672545">
        <w:t>and that getting stuck in a desert wash was not uncommon</w:t>
      </w:r>
      <w:r w:rsidR="007810A9">
        <w:t>.</w:t>
      </w:r>
    </w:p>
    <w:p w14:paraId="162B37FD" w14:textId="77777777" w:rsidR="008C48C7" w:rsidRPr="00672545" w:rsidRDefault="000F3E58" w:rsidP="00672545">
      <w:pPr>
        <w:tabs>
          <w:tab w:val="left" w:pos="720"/>
          <w:tab w:val="left" w:pos="1440"/>
        </w:tabs>
      </w:pPr>
      <w:r w:rsidRPr="00672545">
        <w:tab/>
        <w:t xml:space="preserve">The defense called several witnesses who were </w:t>
      </w:r>
      <w:r w:rsidR="002015C5" w:rsidRPr="00672545">
        <w:t xml:space="preserve">at </w:t>
      </w:r>
      <w:r w:rsidRPr="00672545">
        <w:t>Dad’s bar on the night of February 1, 2002.  They testified to seeing Brenda and her girlfriends drinking, dancing in sexually suggestive manners, and flirting.</w:t>
      </w:r>
      <w:r w:rsidR="00F81CD5" w:rsidRPr="00672545">
        <w:t xml:space="preserve">  </w:t>
      </w:r>
      <w:r w:rsidR="004A664B" w:rsidRPr="00672545">
        <w:t>Brenda was seen rubbing up against defendant as she danced with him.</w:t>
      </w:r>
      <w:r w:rsidR="00F81CD5" w:rsidRPr="00672545">
        <w:t xml:space="preserve">  </w:t>
      </w:r>
    </w:p>
    <w:p w14:paraId="130FB2C4" w14:textId="77777777" w:rsidR="002F1979" w:rsidRPr="00672545" w:rsidRDefault="00222799" w:rsidP="00672545">
      <w:pPr>
        <w:tabs>
          <w:tab w:val="left" w:pos="720"/>
          <w:tab w:val="left" w:pos="1440"/>
        </w:tabs>
      </w:pPr>
      <w:r w:rsidRPr="00672545">
        <w:tab/>
        <w:t>Defendant challenged the prosecution’s physical evidence by emphasizing that fingerprint identification cannot establish when or under what</w:t>
      </w:r>
      <w:r w:rsidR="00AA0E7E" w:rsidRPr="00672545">
        <w:t xml:space="preserve"> circumstances a print was made</w:t>
      </w:r>
      <w:r w:rsidRPr="00672545">
        <w:t xml:space="preserve">, biochemical analysis cannot determine how or when a </w:t>
      </w:r>
      <w:r w:rsidR="00593839" w:rsidRPr="00672545">
        <w:t>biological fluid was deposited</w:t>
      </w:r>
      <w:r w:rsidR="00AA0E7E" w:rsidRPr="00672545">
        <w:t>,</w:t>
      </w:r>
      <w:r w:rsidRPr="00672545">
        <w:t xml:space="preserve"> and trace evidence of fibers and hairs are highly mobile, easily transferred, and can be consistent with an indirect or derivative contact.</w:t>
      </w:r>
      <w:r w:rsidR="00F81CD5" w:rsidRPr="00672545">
        <w:t xml:space="preserve">  </w:t>
      </w:r>
      <w:r w:rsidR="00EE6A01" w:rsidRPr="00672545">
        <w:t xml:space="preserve">The defense pointed out that </w:t>
      </w:r>
      <w:r w:rsidR="00C6734D" w:rsidRPr="00672545">
        <w:t xml:space="preserve">the </w:t>
      </w:r>
      <w:r w:rsidR="00EE6A01" w:rsidRPr="00672545">
        <w:t xml:space="preserve">fibers found were not unique.  </w:t>
      </w:r>
    </w:p>
    <w:p w14:paraId="5C49B21D" w14:textId="77777777" w:rsidR="00EA2677" w:rsidRPr="00672545" w:rsidRDefault="00EA2677" w:rsidP="00672545">
      <w:pPr>
        <w:tabs>
          <w:tab w:val="left" w:pos="720"/>
          <w:tab w:val="left" w:pos="1440"/>
        </w:tabs>
      </w:pPr>
      <w:r w:rsidRPr="00672545">
        <w:tab/>
      </w:r>
      <w:r w:rsidR="008D2F61" w:rsidRPr="00672545">
        <w:t>The defense</w:t>
      </w:r>
      <w:r w:rsidRPr="00672545">
        <w:t xml:space="preserve"> </w:t>
      </w:r>
      <w:r w:rsidR="008D2F61" w:rsidRPr="00672545">
        <w:t xml:space="preserve">questioned the “alert” by </w:t>
      </w:r>
      <w:r w:rsidR="00C21F53" w:rsidRPr="00672545">
        <w:t xml:space="preserve">Cielo, the search and cadaver dog handled by </w:t>
      </w:r>
      <w:r w:rsidR="008D2F61" w:rsidRPr="00672545">
        <w:t xml:space="preserve">Jim Frazee, </w:t>
      </w:r>
      <w:r w:rsidRPr="00672545">
        <w:t>to the side compartment of his motorhome</w:t>
      </w:r>
      <w:r w:rsidR="00C21F53" w:rsidRPr="00672545">
        <w:t xml:space="preserve">.  </w:t>
      </w:r>
      <w:r w:rsidR="00C2164F" w:rsidRPr="00672545">
        <w:t>T</w:t>
      </w:r>
      <w:r w:rsidR="00C21F53" w:rsidRPr="00672545">
        <w:t xml:space="preserve">he defense </w:t>
      </w:r>
      <w:r w:rsidR="00C2164F" w:rsidRPr="00672545">
        <w:t xml:space="preserve">also </w:t>
      </w:r>
      <w:r w:rsidR="00C21F53" w:rsidRPr="00672545">
        <w:t>que</w:t>
      </w:r>
      <w:r w:rsidR="00760B94" w:rsidRPr="00672545">
        <w:t>ried</w:t>
      </w:r>
      <w:r w:rsidR="00C21F53" w:rsidRPr="00672545">
        <w:t xml:space="preserve"> why</w:t>
      </w:r>
      <w:r w:rsidRPr="00672545">
        <w:t xml:space="preserve"> Frazee had not reported the alert </w:t>
      </w:r>
      <w:r w:rsidR="00C21F53" w:rsidRPr="00672545">
        <w:t xml:space="preserve">when it was supposedly made, but waited </w:t>
      </w:r>
      <w:r w:rsidRPr="00672545">
        <w:lastRenderedPageBreak/>
        <w:t xml:space="preserve">until after defendant’s arrest, when </w:t>
      </w:r>
      <w:r w:rsidR="00CF2DD3" w:rsidRPr="00672545">
        <w:t>Frazee</w:t>
      </w:r>
      <w:r w:rsidRPr="00672545">
        <w:t xml:space="preserve"> </w:t>
      </w:r>
      <w:r w:rsidR="00347063" w:rsidRPr="00672545">
        <w:t>sent an</w:t>
      </w:r>
      <w:r w:rsidRPr="00672545">
        <w:t xml:space="preserve"> email </w:t>
      </w:r>
      <w:r w:rsidR="00347063" w:rsidRPr="00672545">
        <w:t xml:space="preserve">describing it </w:t>
      </w:r>
      <w:r w:rsidRPr="00672545">
        <w:t>to</w:t>
      </w:r>
      <w:r w:rsidR="0012249B" w:rsidRPr="00672545">
        <w:t xml:space="preserve"> two friends and</w:t>
      </w:r>
      <w:r w:rsidRPr="00672545">
        <w:t xml:space="preserve"> Cielo’s breeder.  </w:t>
      </w:r>
    </w:p>
    <w:p w14:paraId="1242E31F" w14:textId="77777777" w:rsidR="0054009A" w:rsidRPr="00672545" w:rsidRDefault="0054009A" w:rsidP="00672545">
      <w:pPr>
        <w:tabs>
          <w:tab w:val="left" w:pos="720"/>
          <w:tab w:val="left" w:pos="1440"/>
        </w:tabs>
      </w:pPr>
      <w:r w:rsidRPr="00672545">
        <w:tab/>
        <w:t xml:space="preserve">Defendant </w:t>
      </w:r>
      <w:r w:rsidR="00273125" w:rsidRPr="00672545">
        <w:t xml:space="preserve">relied </w:t>
      </w:r>
      <w:r w:rsidR="000011DD" w:rsidRPr="00672545">
        <w:t xml:space="preserve">heavily </w:t>
      </w:r>
      <w:r w:rsidR="00273125" w:rsidRPr="00672545">
        <w:t>on an alibi</w:t>
      </w:r>
      <w:r w:rsidRPr="00672545">
        <w:t xml:space="preserve"> defense</w:t>
      </w:r>
      <w:r w:rsidR="00273125" w:rsidRPr="00672545">
        <w:t xml:space="preserve"> based on entomological evidence suggesting that Danielle’s body could not have been placed at the </w:t>
      </w:r>
      <w:proofErr w:type="spellStart"/>
      <w:r w:rsidR="00273125" w:rsidRPr="00672545">
        <w:t>Dehesa</w:t>
      </w:r>
      <w:proofErr w:type="spellEnd"/>
      <w:r w:rsidR="00273125" w:rsidRPr="00672545">
        <w:t xml:space="preserve"> Road site until a date after defendant was either </w:t>
      </w:r>
      <w:r w:rsidR="0052567F" w:rsidRPr="00672545">
        <w:t xml:space="preserve">in actual contact with police or </w:t>
      </w:r>
      <w:r w:rsidR="00273125" w:rsidRPr="00672545">
        <w:t xml:space="preserve">under </w:t>
      </w:r>
      <w:r w:rsidR="0052567F" w:rsidRPr="00672545">
        <w:t xml:space="preserve">constant </w:t>
      </w:r>
      <w:r w:rsidR="00273125" w:rsidRPr="00672545">
        <w:t>police surveillance</w:t>
      </w:r>
      <w:r w:rsidRPr="00672545">
        <w:t xml:space="preserve">.  </w:t>
      </w:r>
      <w:r w:rsidR="0052567F" w:rsidRPr="00672545">
        <w:t xml:space="preserve">Specifically, defendant was </w:t>
      </w:r>
      <w:r w:rsidR="00592707" w:rsidRPr="00672545">
        <w:t>almost constantly in police presence</w:t>
      </w:r>
      <w:r w:rsidR="0052567F" w:rsidRPr="00672545">
        <w:t xml:space="preserve"> beginning around 9:00 a.m. on Monday, February 4, 2002, until his arrest on February 22, 2002.</w:t>
      </w:r>
      <w:r w:rsidR="00F81CD5" w:rsidRPr="00672545">
        <w:t xml:space="preserve">  </w:t>
      </w:r>
      <w:r w:rsidR="00110F10" w:rsidRPr="00672545">
        <w:t xml:space="preserve">He did not go near the </w:t>
      </w:r>
      <w:proofErr w:type="spellStart"/>
      <w:r w:rsidR="00110F10" w:rsidRPr="00672545">
        <w:t>Dehesa</w:t>
      </w:r>
      <w:proofErr w:type="spellEnd"/>
      <w:r w:rsidR="00110F10" w:rsidRPr="00672545">
        <w:t xml:space="preserve"> Road site during this time.</w:t>
      </w:r>
      <w:r w:rsidR="00F81CD5" w:rsidRPr="00672545">
        <w:t xml:space="preserve">  </w:t>
      </w:r>
      <w:r w:rsidR="00DE29D1" w:rsidRPr="00672545">
        <w:t xml:space="preserve">David Faulkner, a forensic entomologist called by the defense, attended Danielle’s autopsy where he collected insects from her remains and later went to the </w:t>
      </w:r>
      <w:proofErr w:type="spellStart"/>
      <w:r w:rsidR="00DE29D1" w:rsidRPr="00672545">
        <w:t>Dehesa</w:t>
      </w:r>
      <w:proofErr w:type="spellEnd"/>
      <w:r w:rsidR="00DE29D1" w:rsidRPr="00672545">
        <w:t xml:space="preserve"> Road site to assess insect activity.</w:t>
      </w:r>
      <w:r w:rsidR="00F81CD5" w:rsidRPr="00672545">
        <w:t xml:space="preserve">  </w:t>
      </w:r>
      <w:r w:rsidR="00BB2323" w:rsidRPr="00672545">
        <w:t>He testified that s</w:t>
      </w:r>
      <w:r w:rsidR="00376229" w:rsidRPr="00672545">
        <w:t xml:space="preserve">uch insect </w:t>
      </w:r>
      <w:r w:rsidR="00F46212" w:rsidRPr="00672545">
        <w:t xml:space="preserve">information can be used to </w:t>
      </w:r>
      <w:r w:rsidR="00BB2323" w:rsidRPr="00672545">
        <w:t>approximate</w:t>
      </w:r>
      <w:r w:rsidR="00F46212" w:rsidRPr="00672545">
        <w:t xml:space="preserve"> time of death</w:t>
      </w:r>
      <w:r w:rsidR="00BB2323" w:rsidRPr="00672545">
        <w:t xml:space="preserve"> or </w:t>
      </w:r>
      <w:r w:rsidR="00872EEF" w:rsidRPr="00672545">
        <w:t xml:space="preserve">the </w:t>
      </w:r>
      <w:r w:rsidR="00BB2323" w:rsidRPr="00672545">
        <w:t xml:space="preserve">post-mortem </w:t>
      </w:r>
      <w:r w:rsidR="0081213B" w:rsidRPr="00672545">
        <w:t>interval</w:t>
      </w:r>
      <w:r w:rsidR="00F46212" w:rsidRPr="00672545">
        <w:t>.</w:t>
      </w:r>
      <w:r w:rsidR="00F81CD5" w:rsidRPr="00672545">
        <w:t xml:space="preserve">  </w:t>
      </w:r>
      <w:r w:rsidR="00F46212" w:rsidRPr="00672545">
        <w:t xml:space="preserve">In Faulkner’s expert opinion, based upon the </w:t>
      </w:r>
      <w:r w:rsidR="004A0CBE" w:rsidRPr="00672545">
        <w:t xml:space="preserve">age of the </w:t>
      </w:r>
      <w:r w:rsidR="00F46212" w:rsidRPr="00672545">
        <w:t xml:space="preserve">insect material he collected, as well as the known temperature and weather conditions at the time, the </w:t>
      </w:r>
      <w:r w:rsidR="00DA2B44" w:rsidRPr="00672545">
        <w:t>insect activity on</w:t>
      </w:r>
      <w:r w:rsidR="00F46212" w:rsidRPr="00672545">
        <w:t xml:space="preserve"> Danielle’s body would have </w:t>
      </w:r>
      <w:r w:rsidR="00DA2B44" w:rsidRPr="00672545">
        <w:t>occurred</w:t>
      </w:r>
      <w:r w:rsidR="00F46212" w:rsidRPr="00672545">
        <w:t xml:space="preserve"> 10 to 12 days prior to the recovery of her </w:t>
      </w:r>
      <w:r w:rsidR="006C62D8" w:rsidRPr="00672545">
        <w:t>remains</w:t>
      </w:r>
      <w:r w:rsidR="00F46212" w:rsidRPr="00672545">
        <w:t xml:space="preserve"> on February 27, 2002.  That is, the body was first available for </w:t>
      </w:r>
      <w:r w:rsidR="00436545" w:rsidRPr="00672545">
        <w:t xml:space="preserve">exposure to </w:t>
      </w:r>
      <w:r w:rsidR="00F46212" w:rsidRPr="00672545">
        <w:t>insect activity between February 16 and 18</w:t>
      </w:r>
      <w:r w:rsidR="00A16D39" w:rsidRPr="00672545">
        <w:t>, 2002</w:t>
      </w:r>
      <w:r w:rsidR="00F46212" w:rsidRPr="00672545">
        <w:t>.</w:t>
      </w:r>
      <w:r w:rsidR="00F81CD5" w:rsidRPr="00672545">
        <w:t xml:space="preserve">  </w:t>
      </w:r>
      <w:r w:rsidR="003D76AA" w:rsidRPr="00672545">
        <w:t>The defense also called forensic entomologist Neal Haskell, who opined based upon the</w:t>
      </w:r>
      <w:r w:rsidR="00CA74EF" w:rsidRPr="00672545">
        <w:t xml:space="preserve"> age of the</w:t>
      </w:r>
      <w:r w:rsidR="003D76AA" w:rsidRPr="00672545">
        <w:t xml:space="preserve"> insect material he received from Faulkner, Faulkner’s trial testimony, as well as dat</w:t>
      </w:r>
      <w:r w:rsidR="00275561" w:rsidRPr="00672545">
        <w:t>a</w:t>
      </w:r>
      <w:r w:rsidR="003D76AA" w:rsidRPr="00672545">
        <w:t xml:space="preserve"> regarding weather conditions at the time, </w:t>
      </w:r>
      <w:r w:rsidR="001E6A92" w:rsidRPr="00672545">
        <w:t xml:space="preserve">that </w:t>
      </w:r>
      <w:r w:rsidR="005A0479" w:rsidRPr="00672545">
        <w:t xml:space="preserve">Danielle’s </w:t>
      </w:r>
      <w:r w:rsidR="00262238" w:rsidRPr="00672545">
        <w:t xml:space="preserve">body </w:t>
      </w:r>
      <w:r w:rsidR="00AC3F68" w:rsidRPr="00672545">
        <w:t xml:space="preserve">would have been first available for </w:t>
      </w:r>
      <w:r w:rsidR="00436545" w:rsidRPr="00672545">
        <w:t xml:space="preserve">exposure to </w:t>
      </w:r>
      <w:r w:rsidR="00AC3F68" w:rsidRPr="00672545">
        <w:t xml:space="preserve">insect activity </w:t>
      </w:r>
      <w:r w:rsidR="003D76AA" w:rsidRPr="00672545">
        <w:t>between February 14 and 21, 2002.</w:t>
      </w:r>
      <w:r w:rsidR="00F81CD5" w:rsidRPr="00672545">
        <w:t xml:space="preserve">  </w:t>
      </w:r>
    </w:p>
    <w:p w14:paraId="2B0FD4E9" w14:textId="77777777" w:rsidR="00222799" w:rsidRPr="00672545" w:rsidRDefault="00222799" w:rsidP="00672545">
      <w:pPr>
        <w:tabs>
          <w:tab w:val="left" w:pos="720"/>
          <w:tab w:val="left" w:pos="1440"/>
        </w:tabs>
      </w:pPr>
      <w:r w:rsidRPr="00672545">
        <w:tab/>
        <w:t>Marcus Lawson, a computer forensics expert testified that he found pornogr</w:t>
      </w:r>
      <w:r w:rsidR="00DF62E4" w:rsidRPr="00672545">
        <w:t>aphic images on the computers belonging to</w:t>
      </w:r>
      <w:r w:rsidRPr="00672545">
        <w:t xml:space="preserve"> defendant’s son, Neal </w:t>
      </w:r>
      <w:proofErr w:type="spellStart"/>
      <w:r w:rsidRPr="00672545">
        <w:t>Westerfield</w:t>
      </w:r>
      <w:proofErr w:type="spellEnd"/>
      <w:r w:rsidRPr="00672545">
        <w:t>.</w:t>
      </w:r>
      <w:r w:rsidR="00F81CD5" w:rsidRPr="00672545">
        <w:t xml:space="preserve">  </w:t>
      </w:r>
    </w:p>
    <w:p w14:paraId="1967AE69" w14:textId="77777777" w:rsidR="000D706C" w:rsidRPr="00672545" w:rsidRDefault="006D7330" w:rsidP="00672545">
      <w:pPr>
        <w:pStyle w:val="Heading3"/>
      </w:pPr>
      <w:bookmarkStart w:id="9" w:name="_Toc506979800"/>
      <w:r w:rsidRPr="00672545">
        <w:lastRenderedPageBreak/>
        <w:t>4.  Prosecution’s Rebuttal</w:t>
      </w:r>
      <w:bookmarkEnd w:id="9"/>
    </w:p>
    <w:p w14:paraId="399ABBBA" w14:textId="77777777" w:rsidR="00246BA3" w:rsidRPr="00672545" w:rsidRDefault="0030504E" w:rsidP="00672545">
      <w:pPr>
        <w:tabs>
          <w:tab w:val="left" w:pos="720"/>
          <w:tab w:val="left" w:pos="1440"/>
        </w:tabs>
      </w:pPr>
      <w:r w:rsidRPr="00672545">
        <w:tab/>
        <w:t xml:space="preserve">To rebut </w:t>
      </w:r>
      <w:r w:rsidR="006D7330" w:rsidRPr="00672545">
        <w:t>the defense entomological evidence, the prosecution called forensic anthropologist William Rodriguez.  Rodriguez specialized i</w:t>
      </w:r>
      <w:r w:rsidR="00E14039" w:rsidRPr="00672545">
        <w:t>n</w:t>
      </w:r>
      <w:r w:rsidR="006D7330" w:rsidRPr="00672545">
        <w:t xml:space="preserve"> assessing human skeletons in difficult cases, such as where the body </w:t>
      </w:r>
      <w:r w:rsidR="00996E2D" w:rsidRPr="00672545">
        <w:t>is</w:t>
      </w:r>
      <w:r w:rsidR="006D7330" w:rsidRPr="00672545">
        <w:t xml:space="preserve"> decomposed, </w:t>
      </w:r>
      <w:proofErr w:type="gramStart"/>
      <w:r w:rsidR="006D7330" w:rsidRPr="00672545">
        <w:t>in an effort to</w:t>
      </w:r>
      <w:proofErr w:type="gramEnd"/>
      <w:r w:rsidR="006D7330" w:rsidRPr="00672545">
        <w:t xml:space="preserve"> identify the deceased as well as </w:t>
      </w:r>
      <w:r w:rsidR="00E14039" w:rsidRPr="00672545">
        <w:t xml:space="preserve">to </w:t>
      </w:r>
      <w:r w:rsidR="006D7330" w:rsidRPr="00672545">
        <w:t>determine the manner and cause of death.</w:t>
      </w:r>
      <w:r w:rsidR="00F81CD5" w:rsidRPr="00672545">
        <w:t xml:space="preserve">  </w:t>
      </w:r>
      <w:r w:rsidR="00461396" w:rsidRPr="00672545">
        <w:t xml:space="preserve">Rodriguez noted that Danielle’s body was mummified to a high degree, which can happen very quickly with the body of a small child.  </w:t>
      </w:r>
      <w:r w:rsidR="00544E2D" w:rsidRPr="00672545">
        <w:t>Rodriguez explained that m</w:t>
      </w:r>
      <w:r w:rsidR="000818AA" w:rsidRPr="00672545">
        <w:t>ummification slow</w:t>
      </w:r>
      <w:r w:rsidR="00544E2D" w:rsidRPr="00672545">
        <w:t>s</w:t>
      </w:r>
      <w:r w:rsidR="000818AA" w:rsidRPr="00672545">
        <w:t xml:space="preserve"> the decomposition process.  </w:t>
      </w:r>
      <w:r w:rsidR="00ED5293" w:rsidRPr="00672545">
        <w:t>He related that</w:t>
      </w:r>
      <w:r w:rsidR="00461396" w:rsidRPr="00672545">
        <w:t xml:space="preserve"> insects w</w:t>
      </w:r>
      <w:r w:rsidR="00A83709" w:rsidRPr="00672545">
        <w:t>ill</w:t>
      </w:r>
      <w:r w:rsidR="00461396" w:rsidRPr="00672545">
        <w:t xml:space="preserve"> </w:t>
      </w:r>
      <w:r w:rsidR="000818AA" w:rsidRPr="00672545">
        <w:t>either not be</w:t>
      </w:r>
      <w:r w:rsidR="00461396" w:rsidRPr="00672545">
        <w:t xml:space="preserve"> able to penetrate </w:t>
      </w:r>
      <w:r w:rsidR="006B4B91" w:rsidRPr="00672545">
        <w:t xml:space="preserve">a </w:t>
      </w:r>
      <w:r w:rsidR="00535552" w:rsidRPr="00672545">
        <w:t>mummified</w:t>
      </w:r>
      <w:r w:rsidR="006B4B91" w:rsidRPr="00672545">
        <w:t xml:space="preserve"> body or, if inside, </w:t>
      </w:r>
      <w:r w:rsidR="000818AA" w:rsidRPr="00672545">
        <w:t>would die for lack of nutrients.</w:t>
      </w:r>
      <w:r w:rsidR="00461396" w:rsidRPr="00672545">
        <w:t xml:space="preserve">  </w:t>
      </w:r>
      <w:r w:rsidR="00A83709" w:rsidRPr="00672545">
        <w:t>But</w:t>
      </w:r>
      <w:r w:rsidR="007F7676" w:rsidRPr="00672545">
        <w:t xml:space="preserve"> if animals feed on a mummified body, </w:t>
      </w:r>
      <w:r w:rsidR="00A83709" w:rsidRPr="00672545">
        <w:t xml:space="preserve">the body </w:t>
      </w:r>
      <w:r w:rsidR="007F7676" w:rsidRPr="00672545">
        <w:t xml:space="preserve">can </w:t>
      </w:r>
      <w:r w:rsidR="00A83709" w:rsidRPr="00672545">
        <w:t xml:space="preserve">be </w:t>
      </w:r>
      <w:r w:rsidR="001E2C03" w:rsidRPr="00672545">
        <w:t>opened</w:t>
      </w:r>
      <w:r w:rsidR="007F7676" w:rsidRPr="00672545">
        <w:t xml:space="preserve"> for insect activity.</w:t>
      </w:r>
      <w:r w:rsidR="00F81CD5" w:rsidRPr="00672545">
        <w:t xml:space="preserve">  </w:t>
      </w:r>
      <w:r w:rsidR="007F7676" w:rsidRPr="00672545">
        <w:t>R</w:t>
      </w:r>
      <w:r w:rsidR="00700744" w:rsidRPr="00672545">
        <w:t xml:space="preserve">odriguez </w:t>
      </w:r>
      <w:r w:rsidR="00A83709" w:rsidRPr="00672545">
        <w:t>testified that</w:t>
      </w:r>
      <w:r w:rsidR="00700744" w:rsidRPr="00672545">
        <w:t xml:space="preserve"> it is difficult to estimate accurately how long an individual has been dead b</w:t>
      </w:r>
      <w:r w:rsidR="000818AA" w:rsidRPr="00672545">
        <w:t>ecause many variables are involved in the decomposition process, including weather, sunlight, and insects.</w:t>
      </w:r>
      <w:r w:rsidR="00700744" w:rsidRPr="00672545">
        <w:t xml:space="preserve">  </w:t>
      </w:r>
      <w:r w:rsidR="00A83709" w:rsidRPr="00672545">
        <w:t>He believed i</w:t>
      </w:r>
      <w:r w:rsidR="007F1CCA" w:rsidRPr="00672545">
        <w:t>t is important to use various methodologies, and not just entomology</w:t>
      </w:r>
      <w:r w:rsidR="00A83709" w:rsidRPr="00672545">
        <w:t xml:space="preserve">, which on its own can </w:t>
      </w:r>
      <w:r w:rsidR="00124C8C" w:rsidRPr="00672545">
        <w:t xml:space="preserve">suggest </w:t>
      </w:r>
      <w:r w:rsidR="00A83709" w:rsidRPr="00672545">
        <w:t>only a minimum post mortem interval</w:t>
      </w:r>
      <w:r w:rsidR="007F1CCA" w:rsidRPr="00672545">
        <w:t>.</w:t>
      </w:r>
      <w:r w:rsidR="00F81CD5" w:rsidRPr="00672545">
        <w:t xml:space="preserve">  </w:t>
      </w:r>
      <w:r w:rsidR="00537CAF" w:rsidRPr="00672545">
        <w:t xml:space="preserve">Based on his review of </w:t>
      </w:r>
      <w:proofErr w:type="gramStart"/>
      <w:r w:rsidR="00537CAF" w:rsidRPr="00672545">
        <w:t>all of</w:t>
      </w:r>
      <w:proofErr w:type="gramEnd"/>
      <w:r w:rsidR="00537CAF" w:rsidRPr="00672545">
        <w:t xml:space="preserve"> the data,</w:t>
      </w:r>
      <w:r w:rsidR="003D476F" w:rsidRPr="00672545">
        <w:t xml:space="preserve"> reports, and testimony,</w:t>
      </w:r>
      <w:r w:rsidR="00537CAF" w:rsidRPr="00672545">
        <w:t xml:space="preserve"> Rodriguez opined that Danielle had been deceased four to six weeks when she was found</w:t>
      </w:r>
      <w:r w:rsidR="004211D1" w:rsidRPr="00672545">
        <w:t>, i.e., she died sometime earlier than February 6, 2002</w:t>
      </w:r>
      <w:r w:rsidR="00537CAF" w:rsidRPr="00672545">
        <w:t xml:space="preserve">.  </w:t>
      </w:r>
    </w:p>
    <w:p w14:paraId="00209049" w14:textId="77777777" w:rsidR="0046475A" w:rsidRPr="00672545" w:rsidRDefault="0046475A" w:rsidP="00672545">
      <w:pPr>
        <w:tabs>
          <w:tab w:val="left" w:pos="720"/>
          <w:tab w:val="left" w:pos="1440"/>
        </w:tabs>
      </w:pPr>
      <w:r w:rsidRPr="00672545">
        <w:tab/>
      </w:r>
      <w:r w:rsidR="003D476F" w:rsidRPr="00672545">
        <w:t>The prosecution also called forensic entomo</w:t>
      </w:r>
      <w:r w:rsidR="000B368E" w:rsidRPr="00672545">
        <w:t>l</w:t>
      </w:r>
      <w:r w:rsidR="003D476F" w:rsidRPr="00672545">
        <w:t>o</w:t>
      </w:r>
      <w:r w:rsidR="000B368E" w:rsidRPr="00672545">
        <w:t>g</w:t>
      </w:r>
      <w:r w:rsidR="003D476F" w:rsidRPr="00672545">
        <w:t>ist Madison Lee Goff.</w:t>
      </w:r>
      <w:r w:rsidR="00F81CD5" w:rsidRPr="00672545">
        <w:t xml:space="preserve">  </w:t>
      </w:r>
      <w:r w:rsidR="003D476F" w:rsidRPr="00672545">
        <w:t xml:space="preserve">He testified that determining how long a body has been deceased is not possible </w:t>
      </w:r>
      <w:r w:rsidR="00623296" w:rsidRPr="00672545">
        <w:t>by employing</w:t>
      </w:r>
      <w:r w:rsidR="003D476F" w:rsidRPr="00672545">
        <w:t xml:space="preserve"> forensic entomology.  </w:t>
      </w:r>
      <w:r w:rsidR="00441B72" w:rsidRPr="00672545">
        <w:t>That process, he explained, can</w:t>
      </w:r>
      <w:r w:rsidR="003D476F" w:rsidRPr="00672545">
        <w:t xml:space="preserve"> be used only to determine a minimum time the body would have been available for insect activity.</w:t>
      </w:r>
      <w:r w:rsidR="00F81CD5" w:rsidRPr="00672545">
        <w:t xml:space="preserve">  </w:t>
      </w:r>
      <w:r w:rsidR="00811DEC" w:rsidRPr="00672545">
        <w:t>Goff also noted that the presence and extent of insect predators and scavengers of the body could alter the rate of decomposition of the body and affect the entomological analysis.</w:t>
      </w:r>
      <w:r w:rsidR="00F81CD5" w:rsidRPr="00672545">
        <w:t xml:space="preserve">  </w:t>
      </w:r>
      <w:r w:rsidR="003D476F" w:rsidRPr="00672545">
        <w:lastRenderedPageBreak/>
        <w:t xml:space="preserve">Based on his review of </w:t>
      </w:r>
      <w:proofErr w:type="gramStart"/>
      <w:r w:rsidR="003D476F" w:rsidRPr="00672545">
        <w:t>all of</w:t>
      </w:r>
      <w:proofErr w:type="gramEnd"/>
      <w:r w:rsidR="003D476F" w:rsidRPr="00672545">
        <w:t xml:space="preserve"> the data, reports, and testimony, Goff opined that the </w:t>
      </w:r>
      <w:r w:rsidR="00441B72" w:rsidRPr="00672545">
        <w:t>earliest</w:t>
      </w:r>
      <w:r w:rsidR="003D476F" w:rsidRPr="00672545">
        <w:t xml:space="preserve"> date Danielle’s body </w:t>
      </w:r>
      <w:r w:rsidR="00A45FAE" w:rsidRPr="00672545">
        <w:t>would have been</w:t>
      </w:r>
      <w:r w:rsidR="003D476F" w:rsidRPr="00672545">
        <w:t xml:space="preserve"> available for</w:t>
      </w:r>
      <w:r w:rsidR="00A45FAE" w:rsidRPr="00672545">
        <w:t xml:space="preserve"> exposure to</w:t>
      </w:r>
      <w:r w:rsidR="003D476F" w:rsidRPr="00672545">
        <w:t xml:space="preserve"> insect activity was February 12, 2002.  </w:t>
      </w:r>
      <w:r w:rsidR="00E2015F" w:rsidRPr="00672545">
        <w:t>Th</w:t>
      </w:r>
      <w:r w:rsidR="003D476F" w:rsidRPr="00672545">
        <w:t xml:space="preserve">ere was no way to determine the </w:t>
      </w:r>
      <w:r w:rsidR="00441B72" w:rsidRPr="00672545">
        <w:t>latest</w:t>
      </w:r>
      <w:r w:rsidR="003D476F" w:rsidRPr="00672545">
        <w:t xml:space="preserve"> date.</w:t>
      </w:r>
      <w:r w:rsidR="00F81CD5" w:rsidRPr="00672545">
        <w:t xml:space="preserve">  </w:t>
      </w:r>
      <w:r w:rsidR="00441B72" w:rsidRPr="00672545">
        <w:t>By employing the tools of</w:t>
      </w:r>
      <w:r w:rsidR="00E2015F" w:rsidRPr="00672545">
        <w:t xml:space="preserve"> forensic entomologist, he </w:t>
      </w:r>
      <w:r w:rsidR="00D342E4" w:rsidRPr="00672545">
        <w:t>was unable to</w:t>
      </w:r>
      <w:r w:rsidR="00E2015F" w:rsidRPr="00672545">
        <w:t xml:space="preserve"> say that Danielle </w:t>
      </w:r>
      <w:r w:rsidR="00B9729D" w:rsidRPr="00672545">
        <w:t>had</w:t>
      </w:r>
      <w:r w:rsidR="00E2015F" w:rsidRPr="00672545">
        <w:t xml:space="preserve"> </w:t>
      </w:r>
      <w:r w:rsidR="007A244F" w:rsidRPr="00672545">
        <w:t>been alive</w:t>
      </w:r>
      <w:r w:rsidR="00E2015F" w:rsidRPr="00672545">
        <w:t xml:space="preserve"> from February 1 through February 12</w:t>
      </w:r>
      <w:r w:rsidR="007A244F" w:rsidRPr="00672545">
        <w:t>, 2002</w:t>
      </w:r>
      <w:r w:rsidR="00E2015F" w:rsidRPr="00672545">
        <w:t xml:space="preserve">.  </w:t>
      </w:r>
    </w:p>
    <w:p w14:paraId="7C4BFF75" w14:textId="77777777" w:rsidR="0046475A" w:rsidRPr="00672545" w:rsidRDefault="0046475A" w:rsidP="00672545">
      <w:pPr>
        <w:pStyle w:val="Heading3"/>
      </w:pPr>
      <w:bookmarkStart w:id="10" w:name="_Toc506979801"/>
      <w:r w:rsidRPr="00672545">
        <w:t xml:space="preserve">5.  Defense </w:t>
      </w:r>
      <w:proofErr w:type="spellStart"/>
      <w:r w:rsidRPr="00672545">
        <w:t>Surrebuttal</w:t>
      </w:r>
      <w:bookmarkEnd w:id="10"/>
      <w:proofErr w:type="spellEnd"/>
    </w:p>
    <w:p w14:paraId="0A941B87" w14:textId="77777777" w:rsidR="006D7330" w:rsidRPr="00672545" w:rsidRDefault="0046475A" w:rsidP="00672545">
      <w:pPr>
        <w:tabs>
          <w:tab w:val="left" w:pos="720"/>
          <w:tab w:val="left" w:pos="1440"/>
        </w:tabs>
      </w:pPr>
      <w:r w:rsidRPr="00672545">
        <w:tab/>
        <w:t>Forensic entomo</w:t>
      </w:r>
      <w:r w:rsidR="006136CF" w:rsidRPr="00672545">
        <w:t>log</w:t>
      </w:r>
      <w:r w:rsidRPr="00672545">
        <w:t xml:space="preserve">ist Robert Hall reviewed the same information as the other experts and opined that the insect activity on Danielle’s body </w:t>
      </w:r>
      <w:r w:rsidR="004B1015" w:rsidRPr="00672545">
        <w:t>began</w:t>
      </w:r>
      <w:r w:rsidRPr="00672545">
        <w:t xml:space="preserve"> </w:t>
      </w:r>
      <w:r w:rsidR="00B9729D" w:rsidRPr="00672545">
        <w:t>no earlier than February 12, 2002</w:t>
      </w:r>
      <w:r w:rsidR="0086297F" w:rsidRPr="00672545">
        <w:t xml:space="preserve">, and </w:t>
      </w:r>
      <w:r w:rsidRPr="00672545">
        <w:t>no later than February 23, 2002.</w:t>
      </w:r>
      <w:r w:rsidR="00F81CD5" w:rsidRPr="00672545">
        <w:t xml:space="preserve">  </w:t>
      </w:r>
      <w:r w:rsidRPr="00672545">
        <w:t xml:space="preserve">He testified that insect activity would begin almost immediately upon the body being dumped in the location where it was found.  </w:t>
      </w:r>
    </w:p>
    <w:p w14:paraId="6EF0BAD2" w14:textId="77777777" w:rsidR="0046475A" w:rsidRPr="00672545" w:rsidRDefault="0046475A" w:rsidP="00672545">
      <w:pPr>
        <w:pStyle w:val="Heading2"/>
      </w:pPr>
      <w:bookmarkStart w:id="11" w:name="_Toc506979802"/>
      <w:r w:rsidRPr="00672545">
        <w:t>B.  Penalty Phase</w:t>
      </w:r>
      <w:bookmarkEnd w:id="11"/>
    </w:p>
    <w:p w14:paraId="243BEDA5" w14:textId="77777777" w:rsidR="0046475A" w:rsidRPr="00672545" w:rsidRDefault="0046475A" w:rsidP="00672545">
      <w:pPr>
        <w:pStyle w:val="Heading3"/>
      </w:pPr>
      <w:bookmarkStart w:id="12" w:name="_Toc506979803"/>
      <w:r w:rsidRPr="00672545">
        <w:t>1.  Prosecution’s Case in Aggravation</w:t>
      </w:r>
      <w:bookmarkEnd w:id="12"/>
    </w:p>
    <w:p w14:paraId="2A18A763" w14:textId="77777777" w:rsidR="006F38A6" w:rsidRPr="00672545" w:rsidRDefault="006F38A6" w:rsidP="00672545">
      <w:pPr>
        <w:rPr>
          <w:szCs w:val="26"/>
        </w:rPr>
      </w:pPr>
      <w:r w:rsidRPr="00672545">
        <w:rPr>
          <w:szCs w:val="26"/>
        </w:rPr>
        <w:tab/>
        <w:t xml:space="preserve">In addition to relying on the evidence admitted during the guilt phase, the prosecution introduced evidence at the penalty phase relating to an act of uncharged lewd conduct </w:t>
      </w:r>
      <w:r w:rsidR="00514F0B" w:rsidRPr="00672545">
        <w:rPr>
          <w:szCs w:val="26"/>
        </w:rPr>
        <w:t xml:space="preserve">by defendant, </w:t>
      </w:r>
      <w:r w:rsidRPr="00672545">
        <w:rPr>
          <w:szCs w:val="26"/>
        </w:rPr>
        <w:t xml:space="preserve">as well as victim impact testimony. </w:t>
      </w:r>
    </w:p>
    <w:p w14:paraId="0EDA4FA5" w14:textId="77777777" w:rsidR="006F38A6" w:rsidRPr="00672545" w:rsidRDefault="006F38A6" w:rsidP="00672545">
      <w:pPr>
        <w:pStyle w:val="Heading4"/>
      </w:pPr>
      <w:r w:rsidRPr="00672545">
        <w:t xml:space="preserve">a. </w:t>
      </w:r>
      <w:r w:rsidR="00A32D7D" w:rsidRPr="00672545">
        <w:t xml:space="preserve"> </w:t>
      </w:r>
      <w:r w:rsidRPr="00672545">
        <w:t xml:space="preserve">Uncharged Lewd Conduct  </w:t>
      </w:r>
    </w:p>
    <w:p w14:paraId="682E15C6" w14:textId="77777777" w:rsidR="006F38A6" w:rsidRPr="00672545" w:rsidRDefault="006F38A6" w:rsidP="00672545">
      <w:pPr>
        <w:rPr>
          <w:szCs w:val="26"/>
        </w:rPr>
      </w:pPr>
      <w:r w:rsidRPr="00672545">
        <w:rPr>
          <w:szCs w:val="26"/>
        </w:rPr>
        <w:tab/>
      </w:r>
      <w:r w:rsidR="00787988">
        <w:rPr>
          <w:szCs w:val="26"/>
        </w:rPr>
        <w:t>J.N.</w:t>
      </w:r>
      <w:r w:rsidRPr="00672545">
        <w:rPr>
          <w:szCs w:val="26"/>
        </w:rPr>
        <w:t xml:space="preserve"> is defendant’s niece.</w:t>
      </w:r>
      <w:r w:rsidR="00F81CD5" w:rsidRPr="00672545">
        <w:rPr>
          <w:szCs w:val="26"/>
        </w:rPr>
        <w:t xml:space="preserve">  </w:t>
      </w:r>
      <w:r w:rsidR="00787988">
        <w:rPr>
          <w:szCs w:val="26"/>
        </w:rPr>
        <w:t>J.N.</w:t>
      </w:r>
      <w:r w:rsidRPr="00672545">
        <w:rPr>
          <w:szCs w:val="26"/>
        </w:rPr>
        <w:t xml:space="preserve"> testified that when she was between five and seven years old, she was sleeping in an upstairs bedroom, with her sister and cousin, while her parents were having a party downstairs.  </w:t>
      </w:r>
      <w:r w:rsidR="00FE20A9" w:rsidRPr="00672545">
        <w:rPr>
          <w:szCs w:val="26"/>
        </w:rPr>
        <w:t xml:space="preserve">At some point, </w:t>
      </w:r>
      <w:r w:rsidR="00787988">
        <w:rPr>
          <w:szCs w:val="26"/>
        </w:rPr>
        <w:t>J.N.</w:t>
      </w:r>
      <w:r w:rsidRPr="00672545">
        <w:rPr>
          <w:szCs w:val="26"/>
        </w:rPr>
        <w:t xml:space="preserve"> woke up</w:t>
      </w:r>
      <w:r w:rsidR="0086331D" w:rsidRPr="00672545">
        <w:rPr>
          <w:szCs w:val="26"/>
        </w:rPr>
        <w:t xml:space="preserve">.  She </w:t>
      </w:r>
      <w:r w:rsidR="00FE20A9" w:rsidRPr="00672545">
        <w:rPr>
          <w:szCs w:val="26"/>
        </w:rPr>
        <w:t>realized d</w:t>
      </w:r>
      <w:r w:rsidRPr="00672545">
        <w:rPr>
          <w:szCs w:val="26"/>
        </w:rPr>
        <w:t xml:space="preserve">efendant </w:t>
      </w:r>
      <w:r w:rsidR="00D82CB1" w:rsidRPr="00672545">
        <w:rPr>
          <w:szCs w:val="26"/>
        </w:rPr>
        <w:t xml:space="preserve">was there and </w:t>
      </w:r>
      <w:r w:rsidR="00C120C7" w:rsidRPr="00672545">
        <w:rPr>
          <w:szCs w:val="26"/>
        </w:rPr>
        <w:t xml:space="preserve">that </w:t>
      </w:r>
      <w:r w:rsidR="0086331D" w:rsidRPr="00672545">
        <w:rPr>
          <w:szCs w:val="26"/>
        </w:rPr>
        <w:t xml:space="preserve">he </w:t>
      </w:r>
      <w:r w:rsidR="00FE20A9" w:rsidRPr="00672545">
        <w:rPr>
          <w:szCs w:val="26"/>
        </w:rPr>
        <w:t xml:space="preserve">had his </w:t>
      </w:r>
      <w:r w:rsidRPr="00672545">
        <w:rPr>
          <w:szCs w:val="26"/>
        </w:rPr>
        <w:t>fingers in her mouth</w:t>
      </w:r>
      <w:r w:rsidR="00FE20A9" w:rsidRPr="00672545">
        <w:rPr>
          <w:szCs w:val="26"/>
        </w:rPr>
        <w:t xml:space="preserve">.  </w:t>
      </w:r>
      <w:r w:rsidR="00787988">
        <w:rPr>
          <w:szCs w:val="26"/>
        </w:rPr>
        <w:t>J.N.</w:t>
      </w:r>
      <w:r w:rsidR="0086331D" w:rsidRPr="00672545">
        <w:rPr>
          <w:szCs w:val="26"/>
        </w:rPr>
        <w:t xml:space="preserve"> described defendant as</w:t>
      </w:r>
      <w:r w:rsidRPr="00672545">
        <w:rPr>
          <w:szCs w:val="26"/>
        </w:rPr>
        <w:t xml:space="preserve"> rubb</w:t>
      </w:r>
      <w:r w:rsidR="00FE20A9" w:rsidRPr="00672545">
        <w:rPr>
          <w:szCs w:val="26"/>
        </w:rPr>
        <w:t>ing or massaging</w:t>
      </w:r>
      <w:r w:rsidRPr="00672545">
        <w:rPr>
          <w:szCs w:val="26"/>
        </w:rPr>
        <w:t xml:space="preserve"> her teeth. </w:t>
      </w:r>
      <w:r w:rsidR="00A13B08" w:rsidRPr="00672545">
        <w:rPr>
          <w:szCs w:val="26"/>
        </w:rPr>
        <w:t xml:space="preserve"> </w:t>
      </w:r>
      <w:r w:rsidR="00787988">
        <w:rPr>
          <w:szCs w:val="26"/>
        </w:rPr>
        <w:t>J.N.</w:t>
      </w:r>
      <w:r w:rsidR="00FE20A9" w:rsidRPr="00672545">
        <w:rPr>
          <w:szCs w:val="26"/>
        </w:rPr>
        <w:t xml:space="preserve"> pretended to be asleep and rolled over.  </w:t>
      </w:r>
      <w:r w:rsidR="00787988">
        <w:rPr>
          <w:szCs w:val="26"/>
        </w:rPr>
        <w:t>J.N.</w:t>
      </w:r>
      <w:r w:rsidRPr="00672545">
        <w:rPr>
          <w:szCs w:val="26"/>
        </w:rPr>
        <w:t xml:space="preserve"> saw </w:t>
      </w:r>
      <w:r w:rsidR="00D82CB1" w:rsidRPr="00672545">
        <w:rPr>
          <w:szCs w:val="26"/>
        </w:rPr>
        <w:t xml:space="preserve">defendant </w:t>
      </w:r>
      <w:r w:rsidRPr="00672545">
        <w:rPr>
          <w:szCs w:val="26"/>
        </w:rPr>
        <w:t xml:space="preserve">walk over to her </w:t>
      </w:r>
      <w:r w:rsidR="006A0B25" w:rsidRPr="00672545">
        <w:rPr>
          <w:szCs w:val="26"/>
        </w:rPr>
        <w:t>sister</w:t>
      </w:r>
      <w:r w:rsidRPr="00672545">
        <w:rPr>
          <w:szCs w:val="26"/>
        </w:rPr>
        <w:t xml:space="preserve">, but she could not tell what </w:t>
      </w:r>
      <w:r w:rsidR="00D82CB1" w:rsidRPr="00672545">
        <w:rPr>
          <w:szCs w:val="26"/>
        </w:rPr>
        <w:t>he</w:t>
      </w:r>
      <w:r w:rsidRPr="00672545">
        <w:rPr>
          <w:szCs w:val="26"/>
        </w:rPr>
        <w:t xml:space="preserve"> was doing.  Defendant came back and again put his fingers in </w:t>
      </w:r>
      <w:r w:rsidR="00787988">
        <w:rPr>
          <w:szCs w:val="26"/>
        </w:rPr>
        <w:lastRenderedPageBreak/>
        <w:t>J.N.</w:t>
      </w:r>
      <w:r w:rsidRPr="00672545">
        <w:rPr>
          <w:szCs w:val="26"/>
        </w:rPr>
        <w:t xml:space="preserve">’s mouth.  </w:t>
      </w:r>
      <w:r w:rsidR="00787988">
        <w:rPr>
          <w:szCs w:val="26"/>
        </w:rPr>
        <w:t>J.N.</w:t>
      </w:r>
      <w:r w:rsidRPr="00672545">
        <w:rPr>
          <w:szCs w:val="26"/>
        </w:rPr>
        <w:t xml:space="preserve"> bit down on defendant’s hand.  </w:t>
      </w:r>
      <w:r w:rsidR="006A0B25" w:rsidRPr="00672545">
        <w:rPr>
          <w:szCs w:val="26"/>
        </w:rPr>
        <w:t xml:space="preserve">Defendant </w:t>
      </w:r>
      <w:r w:rsidR="00D82CB1" w:rsidRPr="00672545">
        <w:rPr>
          <w:szCs w:val="26"/>
        </w:rPr>
        <w:t>moved over</w:t>
      </w:r>
      <w:r w:rsidR="006A0B25" w:rsidRPr="00672545">
        <w:rPr>
          <w:szCs w:val="26"/>
        </w:rPr>
        <w:t xml:space="preserve"> to where </w:t>
      </w:r>
      <w:r w:rsidR="00787988">
        <w:rPr>
          <w:szCs w:val="26"/>
        </w:rPr>
        <w:t>J.N.</w:t>
      </w:r>
      <w:r w:rsidR="006A0B25" w:rsidRPr="00672545">
        <w:rPr>
          <w:szCs w:val="26"/>
        </w:rPr>
        <w:t xml:space="preserve">’s cousin was sleeping.  </w:t>
      </w:r>
      <w:r w:rsidR="00787988">
        <w:rPr>
          <w:szCs w:val="26"/>
        </w:rPr>
        <w:t>J.N.</w:t>
      </w:r>
      <w:r w:rsidR="006A0B25" w:rsidRPr="00672545">
        <w:rPr>
          <w:szCs w:val="26"/>
        </w:rPr>
        <w:t xml:space="preserve"> watched to see what defendant was doing.  </w:t>
      </w:r>
      <w:r w:rsidR="00E36917" w:rsidRPr="00672545">
        <w:rPr>
          <w:szCs w:val="26"/>
        </w:rPr>
        <w:t xml:space="preserve">She saw him </w:t>
      </w:r>
      <w:r w:rsidR="006A0B25" w:rsidRPr="00672545">
        <w:rPr>
          <w:szCs w:val="26"/>
        </w:rPr>
        <w:t xml:space="preserve">adjust the sides of his shorts before leaving the room.  </w:t>
      </w:r>
    </w:p>
    <w:p w14:paraId="4B064CE8" w14:textId="77777777" w:rsidR="006F38A6" w:rsidRPr="00672545" w:rsidRDefault="00160998" w:rsidP="00672545">
      <w:pPr>
        <w:ind w:firstLine="720"/>
        <w:rPr>
          <w:szCs w:val="26"/>
        </w:rPr>
      </w:pPr>
      <w:r w:rsidRPr="00672545">
        <w:rPr>
          <w:szCs w:val="26"/>
        </w:rPr>
        <w:t xml:space="preserve">A </w:t>
      </w:r>
      <w:r w:rsidR="00D313E3" w:rsidRPr="00672545">
        <w:rPr>
          <w:szCs w:val="26"/>
        </w:rPr>
        <w:t>short time</w:t>
      </w:r>
      <w:r w:rsidRPr="00672545">
        <w:rPr>
          <w:szCs w:val="26"/>
        </w:rPr>
        <w:t xml:space="preserve"> later, </w:t>
      </w:r>
      <w:r w:rsidR="00787988">
        <w:rPr>
          <w:szCs w:val="26"/>
        </w:rPr>
        <w:t>J.N.</w:t>
      </w:r>
      <w:r w:rsidR="006F38A6" w:rsidRPr="00672545">
        <w:rPr>
          <w:szCs w:val="26"/>
        </w:rPr>
        <w:t xml:space="preserve"> went downstairs and told her mother that “Uncle Dave [defendant] was in the room and he was being </w:t>
      </w:r>
      <w:proofErr w:type="gramStart"/>
      <w:r w:rsidR="006F38A6" w:rsidRPr="00672545">
        <w:rPr>
          <w:szCs w:val="26"/>
        </w:rPr>
        <w:t>weird</w:t>
      </w:r>
      <w:proofErr w:type="gramEnd"/>
      <w:r w:rsidR="006F38A6" w:rsidRPr="00672545">
        <w:rPr>
          <w:szCs w:val="26"/>
        </w:rPr>
        <w:t xml:space="preserve"> and it bothered me [</w:t>
      </w:r>
      <w:r w:rsidR="00787988">
        <w:rPr>
          <w:szCs w:val="26"/>
        </w:rPr>
        <w:t>J.N.</w:t>
      </w:r>
      <w:r w:rsidR="006F38A6" w:rsidRPr="00672545">
        <w:rPr>
          <w:szCs w:val="26"/>
        </w:rPr>
        <w:t>].”</w:t>
      </w:r>
      <w:r w:rsidR="00F81CD5" w:rsidRPr="00672545">
        <w:rPr>
          <w:szCs w:val="26"/>
        </w:rPr>
        <w:t xml:space="preserve">  </w:t>
      </w:r>
      <w:r w:rsidR="00787988">
        <w:rPr>
          <w:szCs w:val="26"/>
        </w:rPr>
        <w:t>J.N.</w:t>
      </w:r>
      <w:r w:rsidR="006F38A6" w:rsidRPr="00672545">
        <w:rPr>
          <w:szCs w:val="26"/>
        </w:rPr>
        <w:t xml:space="preserve"> did not tell her mother anything more because she was scared.  Her mother confronted defendant, but after a short talk, thought nothing more of the situation. </w:t>
      </w:r>
      <w:r w:rsidR="00FE20A9" w:rsidRPr="00672545">
        <w:rPr>
          <w:szCs w:val="26"/>
        </w:rPr>
        <w:t xml:space="preserve"> </w:t>
      </w:r>
    </w:p>
    <w:p w14:paraId="4BC14369" w14:textId="77777777" w:rsidR="006F38A6" w:rsidRPr="00672545" w:rsidRDefault="00A23D51" w:rsidP="00672545">
      <w:pPr>
        <w:ind w:firstLine="720"/>
        <w:rPr>
          <w:szCs w:val="26"/>
        </w:rPr>
      </w:pPr>
      <w:r w:rsidRPr="00672545">
        <w:rPr>
          <w:szCs w:val="26"/>
        </w:rPr>
        <w:t>Officer</w:t>
      </w:r>
      <w:r w:rsidR="006F38A6" w:rsidRPr="00672545">
        <w:rPr>
          <w:szCs w:val="26"/>
        </w:rPr>
        <w:t xml:space="preserve"> Paul Redden testified about an interview he had with defendant.  Redden testified that defendant was concerned regarding an incident that had occurred in 1994.  Defendant told Redden about the incident </w:t>
      </w:r>
      <w:r w:rsidR="00787988">
        <w:rPr>
          <w:szCs w:val="26"/>
        </w:rPr>
        <w:t>J.N.</w:t>
      </w:r>
      <w:r w:rsidR="006F38A6" w:rsidRPr="00672545">
        <w:rPr>
          <w:szCs w:val="26"/>
        </w:rPr>
        <w:t xml:space="preserve"> described</w:t>
      </w:r>
      <w:r w:rsidR="00610F1A" w:rsidRPr="00672545">
        <w:rPr>
          <w:szCs w:val="26"/>
        </w:rPr>
        <w:t>.  Defendant claimed that o</w:t>
      </w:r>
      <w:r w:rsidR="006F38A6" w:rsidRPr="00672545">
        <w:rPr>
          <w:szCs w:val="26"/>
        </w:rPr>
        <w:t xml:space="preserve">n the night of the incident, he had heard a commotion upstairs where </w:t>
      </w:r>
      <w:r w:rsidR="00787988">
        <w:rPr>
          <w:szCs w:val="26"/>
        </w:rPr>
        <w:t>J.N.</w:t>
      </w:r>
      <w:r w:rsidR="006F38A6" w:rsidRPr="00672545">
        <w:rPr>
          <w:szCs w:val="26"/>
        </w:rPr>
        <w:t xml:space="preserve">, her sister, and cousin were sleeping.  Upon entering the room, </w:t>
      </w:r>
      <w:r w:rsidR="00610F1A" w:rsidRPr="00672545">
        <w:rPr>
          <w:szCs w:val="26"/>
        </w:rPr>
        <w:t>d</w:t>
      </w:r>
      <w:r w:rsidR="006F38A6" w:rsidRPr="00672545">
        <w:rPr>
          <w:szCs w:val="26"/>
        </w:rPr>
        <w:t xml:space="preserve">efendant found one girl with her foot in the other girl’s pajamas.  Defendant separated the girls and went downstairs. </w:t>
      </w:r>
      <w:r w:rsidR="00C41D1C" w:rsidRPr="00672545">
        <w:rPr>
          <w:szCs w:val="26"/>
        </w:rPr>
        <w:t xml:space="preserve"> </w:t>
      </w:r>
      <w:r w:rsidR="006F38A6" w:rsidRPr="00672545">
        <w:rPr>
          <w:szCs w:val="26"/>
        </w:rPr>
        <w:t xml:space="preserve">Defendant stated that approximately a week later, </w:t>
      </w:r>
      <w:r w:rsidR="00787988">
        <w:rPr>
          <w:szCs w:val="26"/>
        </w:rPr>
        <w:t>J.N.</w:t>
      </w:r>
      <w:r w:rsidR="006F38A6" w:rsidRPr="00672545">
        <w:rPr>
          <w:szCs w:val="26"/>
        </w:rPr>
        <w:t>’s mom accused defendant of molest</w:t>
      </w:r>
      <w:r w:rsidR="00C41D1C" w:rsidRPr="00672545">
        <w:rPr>
          <w:szCs w:val="26"/>
        </w:rPr>
        <w:t xml:space="preserve">ing </w:t>
      </w:r>
      <w:proofErr w:type="gramStart"/>
      <w:r w:rsidR="00787988">
        <w:rPr>
          <w:szCs w:val="26"/>
        </w:rPr>
        <w:t>J.N.</w:t>
      </w:r>
      <w:r w:rsidR="006F38A6" w:rsidRPr="00672545">
        <w:rPr>
          <w:szCs w:val="26"/>
        </w:rPr>
        <w:t>.</w:t>
      </w:r>
      <w:proofErr w:type="gramEnd"/>
      <w:r w:rsidR="006F38A6" w:rsidRPr="00672545">
        <w:rPr>
          <w:szCs w:val="26"/>
        </w:rPr>
        <w:t xml:space="preserve">  A recording of the interview was played for the jury. </w:t>
      </w:r>
      <w:r w:rsidR="00F803F7" w:rsidRPr="00672545">
        <w:rPr>
          <w:szCs w:val="26"/>
        </w:rPr>
        <w:t xml:space="preserve"> </w:t>
      </w:r>
    </w:p>
    <w:p w14:paraId="5043F8E5" w14:textId="77777777" w:rsidR="006F38A6" w:rsidRPr="00672545" w:rsidRDefault="006F38A6" w:rsidP="00672545">
      <w:pPr>
        <w:pStyle w:val="Heading4"/>
      </w:pPr>
      <w:r w:rsidRPr="00672545">
        <w:t xml:space="preserve">b. Victim Impact </w:t>
      </w:r>
      <w:r w:rsidR="00347C84" w:rsidRPr="00672545">
        <w:t>Evidence</w:t>
      </w:r>
    </w:p>
    <w:p w14:paraId="5AB05CA8" w14:textId="77777777" w:rsidR="006F38A6" w:rsidRPr="00672545" w:rsidRDefault="006F38A6" w:rsidP="00672545">
      <w:pPr>
        <w:rPr>
          <w:szCs w:val="26"/>
        </w:rPr>
      </w:pPr>
      <w:r w:rsidRPr="00672545">
        <w:rPr>
          <w:b/>
          <w:szCs w:val="26"/>
        </w:rPr>
        <w:tab/>
      </w:r>
      <w:r w:rsidRPr="00672545">
        <w:rPr>
          <w:szCs w:val="26"/>
        </w:rPr>
        <w:t xml:space="preserve">The prosecution called Danielle Van Dam’s kindergarten/first grade teacher, Amy De Stefani, and second grade teacher, Ruby </w:t>
      </w:r>
      <w:proofErr w:type="spellStart"/>
      <w:r w:rsidRPr="00672545">
        <w:rPr>
          <w:szCs w:val="26"/>
        </w:rPr>
        <w:t>Puntenney</w:t>
      </w:r>
      <w:proofErr w:type="spellEnd"/>
      <w:r w:rsidRPr="00672545">
        <w:rPr>
          <w:szCs w:val="26"/>
        </w:rPr>
        <w:t>, as victim impact witnesses.  Both spoke of Danielle’s intellect, curiosity, and compassion, with Stefani saying Danielle was “just a very caring little girl.  She wanted to make sure that nobody else had their feelings hurt</w:t>
      </w:r>
      <w:proofErr w:type="gramStart"/>
      <w:r w:rsidR="006203D2" w:rsidRPr="00672545">
        <w:rPr>
          <w:szCs w:val="26"/>
        </w:rPr>
        <w:t>. .</w:t>
      </w:r>
      <w:proofErr w:type="gramEnd"/>
      <w:r w:rsidR="006203D2" w:rsidRPr="00672545">
        <w:rPr>
          <w:szCs w:val="26"/>
        </w:rPr>
        <w:t> . .  Sh</w:t>
      </w:r>
      <w:r w:rsidRPr="00672545">
        <w:rPr>
          <w:szCs w:val="26"/>
        </w:rPr>
        <w:t>e got along with everyone</w:t>
      </w:r>
      <w:r w:rsidR="006203D2" w:rsidRPr="00672545">
        <w:rPr>
          <w:szCs w:val="26"/>
        </w:rPr>
        <w:t>.”</w:t>
      </w:r>
      <w:r w:rsidRPr="00672545">
        <w:rPr>
          <w:szCs w:val="26"/>
        </w:rPr>
        <w:t xml:space="preserve"> </w:t>
      </w:r>
      <w:r w:rsidR="00A0272F" w:rsidRPr="00672545">
        <w:rPr>
          <w:szCs w:val="26"/>
        </w:rPr>
        <w:t xml:space="preserve"> </w:t>
      </w:r>
    </w:p>
    <w:p w14:paraId="3ADF6F59" w14:textId="77777777" w:rsidR="006F38A6" w:rsidRPr="00672545" w:rsidRDefault="006F38A6" w:rsidP="00672545">
      <w:pPr>
        <w:rPr>
          <w:szCs w:val="26"/>
        </w:rPr>
      </w:pPr>
      <w:r w:rsidRPr="00672545">
        <w:rPr>
          <w:szCs w:val="26"/>
        </w:rPr>
        <w:lastRenderedPageBreak/>
        <w:tab/>
        <w:t xml:space="preserve">Thereafter, Danielle’s father took the stand. </w:t>
      </w:r>
      <w:r w:rsidR="000D6507" w:rsidRPr="00672545">
        <w:rPr>
          <w:szCs w:val="26"/>
        </w:rPr>
        <w:t xml:space="preserve"> </w:t>
      </w:r>
      <w:r w:rsidRPr="00672545">
        <w:rPr>
          <w:szCs w:val="26"/>
        </w:rPr>
        <w:t>Damon was involved in his daughter’s education, both participating at her school and tutoring Danielle at home</w:t>
      </w:r>
      <w:r w:rsidR="000D6507" w:rsidRPr="00672545">
        <w:rPr>
          <w:szCs w:val="26"/>
        </w:rPr>
        <w:t>.  He said</w:t>
      </w:r>
      <w:r w:rsidRPr="00672545">
        <w:rPr>
          <w:szCs w:val="26"/>
        </w:rPr>
        <w:t xml:space="preserve"> Danielle enjoyed helping h</w:t>
      </w:r>
      <w:r w:rsidR="000D6507" w:rsidRPr="00672545">
        <w:rPr>
          <w:szCs w:val="26"/>
        </w:rPr>
        <w:t>im</w:t>
      </w:r>
      <w:r w:rsidRPr="00672545">
        <w:rPr>
          <w:szCs w:val="26"/>
        </w:rPr>
        <w:t xml:space="preserve"> around the house with chores.</w:t>
      </w:r>
      <w:r w:rsidR="00F81CD5" w:rsidRPr="00672545">
        <w:rPr>
          <w:szCs w:val="26"/>
        </w:rPr>
        <w:t xml:space="preserve">  </w:t>
      </w:r>
      <w:r w:rsidRPr="00672545">
        <w:rPr>
          <w:szCs w:val="26"/>
        </w:rPr>
        <w:t>Damon also testified about an upcoming father-daughter dance he had planned to attend</w:t>
      </w:r>
      <w:r w:rsidR="00AE5427" w:rsidRPr="00672545">
        <w:rPr>
          <w:szCs w:val="26"/>
        </w:rPr>
        <w:t xml:space="preserve"> with Danielle</w:t>
      </w:r>
      <w:r w:rsidRPr="00672545">
        <w:rPr>
          <w:szCs w:val="26"/>
        </w:rPr>
        <w:t>.</w:t>
      </w:r>
      <w:r w:rsidR="00F81CD5" w:rsidRPr="00672545">
        <w:rPr>
          <w:szCs w:val="26"/>
        </w:rPr>
        <w:t xml:space="preserve">  </w:t>
      </w:r>
      <w:r w:rsidRPr="00672545">
        <w:rPr>
          <w:szCs w:val="26"/>
        </w:rPr>
        <w:t xml:space="preserve">Damon spoke about his emotions when he discovered Danielle was missing.  </w:t>
      </w:r>
      <w:r w:rsidR="00AE5427" w:rsidRPr="00672545">
        <w:rPr>
          <w:szCs w:val="26"/>
        </w:rPr>
        <w:t>He described how he</w:t>
      </w:r>
      <w:r w:rsidRPr="00672545">
        <w:rPr>
          <w:szCs w:val="26"/>
        </w:rPr>
        <w:t xml:space="preserve"> </w:t>
      </w:r>
      <w:r w:rsidR="00AE5427" w:rsidRPr="00672545">
        <w:rPr>
          <w:szCs w:val="26"/>
        </w:rPr>
        <w:t>became</w:t>
      </w:r>
      <w:r w:rsidRPr="00672545">
        <w:rPr>
          <w:szCs w:val="26"/>
        </w:rPr>
        <w:t xml:space="preserve"> less and less hopeful </w:t>
      </w:r>
      <w:r w:rsidR="00AE5427" w:rsidRPr="00672545">
        <w:rPr>
          <w:szCs w:val="26"/>
        </w:rPr>
        <w:t>that she would be found</w:t>
      </w:r>
      <w:r w:rsidRPr="00672545">
        <w:rPr>
          <w:szCs w:val="26"/>
        </w:rPr>
        <w:t xml:space="preserve"> and </w:t>
      </w:r>
      <w:r w:rsidR="00AE5427" w:rsidRPr="00672545">
        <w:rPr>
          <w:szCs w:val="26"/>
        </w:rPr>
        <w:t xml:space="preserve">how </w:t>
      </w:r>
      <w:r w:rsidRPr="00672545">
        <w:rPr>
          <w:szCs w:val="26"/>
        </w:rPr>
        <w:t xml:space="preserve">he would have emotional outbursts in front of his friends when contemplating the possibility that Danielle might never be found. </w:t>
      </w:r>
      <w:r w:rsidR="00AE5427" w:rsidRPr="00672545">
        <w:rPr>
          <w:szCs w:val="26"/>
        </w:rPr>
        <w:t xml:space="preserve"> He explained how he felt when her body was found.  </w:t>
      </w:r>
    </w:p>
    <w:p w14:paraId="28BF8CC3" w14:textId="77777777" w:rsidR="006F38A6" w:rsidRPr="00672545" w:rsidRDefault="006F38A6" w:rsidP="00672545">
      <w:pPr>
        <w:rPr>
          <w:szCs w:val="26"/>
        </w:rPr>
      </w:pPr>
      <w:r w:rsidRPr="00672545">
        <w:rPr>
          <w:szCs w:val="26"/>
        </w:rPr>
        <w:tab/>
        <w:t>Damon described how Danielle’s brothers handled their sister’s death.  Dylan (her younger brother) became more childish, needing to sleep with his parents or brother.</w:t>
      </w:r>
      <w:r w:rsidR="00F81CD5" w:rsidRPr="00672545">
        <w:rPr>
          <w:szCs w:val="26"/>
        </w:rPr>
        <w:t xml:space="preserve">  </w:t>
      </w:r>
      <w:r w:rsidRPr="00672545">
        <w:rPr>
          <w:szCs w:val="26"/>
        </w:rPr>
        <w:t>Her older brother, Derrick, became “introverted and clammed up a lot</w:t>
      </w:r>
      <w:r w:rsidR="00BF5773" w:rsidRPr="00672545">
        <w:rPr>
          <w:szCs w:val="26"/>
        </w:rPr>
        <w:t>.</w:t>
      </w:r>
      <w:r w:rsidRPr="00672545">
        <w:rPr>
          <w:szCs w:val="26"/>
        </w:rPr>
        <w:t>”</w:t>
      </w:r>
      <w:r w:rsidR="00F81CD5" w:rsidRPr="00672545">
        <w:rPr>
          <w:szCs w:val="26"/>
        </w:rPr>
        <w:t xml:space="preserve">  </w:t>
      </w:r>
      <w:r w:rsidR="00BF5773" w:rsidRPr="00672545">
        <w:rPr>
          <w:szCs w:val="26"/>
        </w:rPr>
        <w:t xml:space="preserve">Damon testified that </w:t>
      </w:r>
      <w:r w:rsidRPr="00672545">
        <w:rPr>
          <w:szCs w:val="26"/>
        </w:rPr>
        <w:t xml:space="preserve">Derrick now suffers from emotional outbursts, and the whole family sought therapy after Danielle’s disappearance. </w:t>
      </w:r>
      <w:r w:rsidR="00BF5773" w:rsidRPr="00672545">
        <w:rPr>
          <w:szCs w:val="26"/>
        </w:rPr>
        <w:t xml:space="preserve"> </w:t>
      </w:r>
    </w:p>
    <w:p w14:paraId="5787F01A" w14:textId="77777777" w:rsidR="006F38A6" w:rsidRPr="00672545" w:rsidRDefault="007422B8" w:rsidP="00672545">
      <w:pPr>
        <w:rPr>
          <w:szCs w:val="26"/>
        </w:rPr>
      </w:pPr>
      <w:r w:rsidRPr="00672545">
        <w:rPr>
          <w:szCs w:val="26"/>
        </w:rPr>
        <w:tab/>
      </w:r>
      <w:r w:rsidR="006F38A6" w:rsidRPr="00672545">
        <w:rPr>
          <w:szCs w:val="26"/>
        </w:rPr>
        <w:t xml:space="preserve">Finally, Danielle’s mother, Brenda, testified that she volunteered for school projects, planned parties, and </w:t>
      </w:r>
      <w:r w:rsidR="00213B9A" w:rsidRPr="00672545">
        <w:rPr>
          <w:szCs w:val="26"/>
        </w:rPr>
        <w:t>attended</w:t>
      </w:r>
      <w:r w:rsidR="006F38A6" w:rsidRPr="00672545">
        <w:rPr>
          <w:szCs w:val="26"/>
        </w:rPr>
        <w:t xml:space="preserve"> Danielle’s class to spend time with her daughter.  Brenda testified that Danielle loved writing and math, was involved in the Daisies (a precursor to the Girl Scouts)</w:t>
      </w:r>
      <w:r w:rsidR="00BF5773" w:rsidRPr="00672545">
        <w:rPr>
          <w:szCs w:val="26"/>
        </w:rPr>
        <w:t>,</w:t>
      </w:r>
      <w:r w:rsidR="006F38A6" w:rsidRPr="00672545">
        <w:rPr>
          <w:szCs w:val="26"/>
        </w:rPr>
        <w:t xml:space="preserve"> and was a dancer, as well as a piano player.</w:t>
      </w:r>
      <w:r w:rsidR="00F81CD5" w:rsidRPr="00672545">
        <w:rPr>
          <w:szCs w:val="26"/>
        </w:rPr>
        <w:t xml:space="preserve">  </w:t>
      </w:r>
      <w:r w:rsidR="006F38A6" w:rsidRPr="00672545">
        <w:rPr>
          <w:szCs w:val="26"/>
        </w:rPr>
        <w:t xml:space="preserve">Brenda confirmed </w:t>
      </w:r>
      <w:r w:rsidR="00FD134A" w:rsidRPr="00672545">
        <w:rPr>
          <w:szCs w:val="26"/>
        </w:rPr>
        <w:t xml:space="preserve">Damon’s </w:t>
      </w:r>
      <w:r w:rsidR="006F38A6" w:rsidRPr="00672545">
        <w:rPr>
          <w:szCs w:val="26"/>
        </w:rPr>
        <w:t xml:space="preserve">testimony that her sons had become emotionally distraught over </w:t>
      </w:r>
      <w:r w:rsidR="00FD134A" w:rsidRPr="00672545">
        <w:rPr>
          <w:szCs w:val="26"/>
        </w:rPr>
        <w:t>Danielle</w:t>
      </w:r>
      <w:r w:rsidR="006F38A6" w:rsidRPr="00672545">
        <w:rPr>
          <w:szCs w:val="26"/>
        </w:rPr>
        <w:t xml:space="preserve">’s death. </w:t>
      </w:r>
      <w:r w:rsidR="00FD134A" w:rsidRPr="00672545">
        <w:rPr>
          <w:szCs w:val="26"/>
        </w:rPr>
        <w:t xml:space="preserve"> </w:t>
      </w:r>
      <w:r w:rsidR="006F38A6" w:rsidRPr="00672545">
        <w:rPr>
          <w:szCs w:val="26"/>
        </w:rPr>
        <w:t xml:space="preserve">She explained how difficult it was </w:t>
      </w:r>
      <w:r w:rsidR="004C3E8E" w:rsidRPr="00672545">
        <w:rPr>
          <w:szCs w:val="26"/>
        </w:rPr>
        <w:t xml:space="preserve">for her </w:t>
      </w:r>
      <w:r w:rsidR="006F38A6" w:rsidRPr="00672545">
        <w:rPr>
          <w:szCs w:val="26"/>
        </w:rPr>
        <w:t xml:space="preserve">to walk past defendant’s house and past her daughter’s room every day. </w:t>
      </w:r>
      <w:r w:rsidR="00FD134A" w:rsidRPr="00672545">
        <w:rPr>
          <w:szCs w:val="26"/>
        </w:rPr>
        <w:t xml:space="preserve"> </w:t>
      </w:r>
    </w:p>
    <w:p w14:paraId="1512F86E" w14:textId="77777777" w:rsidR="006F38A6" w:rsidRPr="00672545" w:rsidRDefault="006F38A6" w:rsidP="00672545">
      <w:pPr>
        <w:pStyle w:val="Heading3"/>
      </w:pPr>
      <w:bookmarkStart w:id="13" w:name="_Toc506979804"/>
      <w:r w:rsidRPr="00672545">
        <w:t>2.  Mitigating Evidence</w:t>
      </w:r>
      <w:bookmarkEnd w:id="13"/>
      <w:r w:rsidRPr="00672545">
        <w:t xml:space="preserve"> </w:t>
      </w:r>
    </w:p>
    <w:p w14:paraId="13D1456B" w14:textId="77777777" w:rsidR="006F38A6" w:rsidRPr="00672545" w:rsidRDefault="007422B8" w:rsidP="00672545">
      <w:pPr>
        <w:rPr>
          <w:szCs w:val="26"/>
        </w:rPr>
      </w:pPr>
      <w:r w:rsidRPr="00672545">
        <w:rPr>
          <w:szCs w:val="26"/>
        </w:rPr>
        <w:tab/>
      </w:r>
      <w:r w:rsidR="006F38A6" w:rsidRPr="00672545">
        <w:rPr>
          <w:szCs w:val="26"/>
        </w:rPr>
        <w:t xml:space="preserve">The defense introduced evidence </w:t>
      </w:r>
      <w:r w:rsidR="00E72373" w:rsidRPr="00672545">
        <w:rPr>
          <w:szCs w:val="26"/>
        </w:rPr>
        <w:t>describing</w:t>
      </w:r>
      <w:r w:rsidR="006F38A6" w:rsidRPr="00672545">
        <w:rPr>
          <w:szCs w:val="26"/>
        </w:rPr>
        <w:t xml:space="preserve"> defendant’s involvement </w:t>
      </w:r>
      <w:r w:rsidR="00D57044" w:rsidRPr="00672545">
        <w:rPr>
          <w:szCs w:val="26"/>
        </w:rPr>
        <w:t>as a</w:t>
      </w:r>
      <w:r w:rsidR="00B34FC9" w:rsidRPr="00672545">
        <w:rPr>
          <w:szCs w:val="26"/>
        </w:rPr>
        <w:t xml:space="preserve"> design </w:t>
      </w:r>
      <w:r w:rsidR="00D57044" w:rsidRPr="00672545">
        <w:rPr>
          <w:szCs w:val="26"/>
        </w:rPr>
        <w:t xml:space="preserve">engineer </w:t>
      </w:r>
      <w:r w:rsidR="006F38A6" w:rsidRPr="00672545">
        <w:rPr>
          <w:szCs w:val="26"/>
        </w:rPr>
        <w:t xml:space="preserve">with the </w:t>
      </w:r>
      <w:r w:rsidR="00CE0F24" w:rsidRPr="00672545">
        <w:rPr>
          <w:szCs w:val="26"/>
        </w:rPr>
        <w:t xml:space="preserve">creation and </w:t>
      </w:r>
      <w:r w:rsidR="006F38A6" w:rsidRPr="00672545">
        <w:rPr>
          <w:szCs w:val="26"/>
        </w:rPr>
        <w:lastRenderedPageBreak/>
        <w:t>developmen</w:t>
      </w:r>
      <w:r w:rsidR="00D57044" w:rsidRPr="00672545">
        <w:rPr>
          <w:szCs w:val="26"/>
        </w:rPr>
        <w:t xml:space="preserve">t of various new technologies, including important </w:t>
      </w:r>
      <w:r w:rsidR="006F38A6" w:rsidRPr="00672545">
        <w:rPr>
          <w:szCs w:val="26"/>
        </w:rPr>
        <w:t xml:space="preserve">medical rehabilitation devices.  In addition, the defense introduced testimony of </w:t>
      </w:r>
      <w:r w:rsidR="00CE0F24" w:rsidRPr="00672545">
        <w:rPr>
          <w:szCs w:val="26"/>
        </w:rPr>
        <w:t xml:space="preserve">friends and </w:t>
      </w:r>
      <w:r w:rsidR="006F38A6" w:rsidRPr="00672545">
        <w:rPr>
          <w:szCs w:val="26"/>
        </w:rPr>
        <w:t>famil</w:t>
      </w:r>
      <w:r w:rsidR="00CE0F24" w:rsidRPr="00672545">
        <w:rPr>
          <w:szCs w:val="26"/>
        </w:rPr>
        <w:t>y members who</w:t>
      </w:r>
      <w:r w:rsidR="006F38A6" w:rsidRPr="00672545">
        <w:rPr>
          <w:szCs w:val="26"/>
        </w:rPr>
        <w:t xml:space="preserve"> could speak to </w:t>
      </w:r>
      <w:r w:rsidR="00CE0F24" w:rsidRPr="00672545">
        <w:rPr>
          <w:szCs w:val="26"/>
        </w:rPr>
        <w:t>defendant’s</w:t>
      </w:r>
      <w:r w:rsidR="006F38A6" w:rsidRPr="00672545">
        <w:rPr>
          <w:szCs w:val="26"/>
        </w:rPr>
        <w:t xml:space="preserve"> character. </w:t>
      </w:r>
      <w:r w:rsidR="00B20EB7" w:rsidRPr="00672545">
        <w:rPr>
          <w:szCs w:val="26"/>
        </w:rPr>
        <w:t xml:space="preserve"> </w:t>
      </w:r>
    </w:p>
    <w:p w14:paraId="5E60C8D9" w14:textId="77777777" w:rsidR="006F38A6" w:rsidRPr="00672545" w:rsidRDefault="006F38A6" w:rsidP="00672545">
      <w:pPr>
        <w:pStyle w:val="Heading4"/>
      </w:pPr>
      <w:r w:rsidRPr="00672545">
        <w:t xml:space="preserve">a.  Defendant’s </w:t>
      </w:r>
      <w:r w:rsidR="00517CBC" w:rsidRPr="00672545">
        <w:t xml:space="preserve">Engineering </w:t>
      </w:r>
      <w:r w:rsidRPr="00672545">
        <w:t>Contribution</w:t>
      </w:r>
      <w:r w:rsidR="00A43D1F" w:rsidRPr="00672545">
        <w:t>s</w:t>
      </w:r>
      <w:r w:rsidRPr="00672545">
        <w:t xml:space="preserve"> </w:t>
      </w:r>
    </w:p>
    <w:p w14:paraId="420628C3" w14:textId="77777777" w:rsidR="006F38A6" w:rsidRPr="00672545" w:rsidRDefault="007422B8" w:rsidP="00672545">
      <w:pPr>
        <w:rPr>
          <w:szCs w:val="26"/>
        </w:rPr>
      </w:pPr>
      <w:r w:rsidRPr="00672545">
        <w:rPr>
          <w:szCs w:val="26"/>
        </w:rPr>
        <w:tab/>
      </w:r>
      <w:r w:rsidR="006F38A6" w:rsidRPr="00672545">
        <w:rPr>
          <w:szCs w:val="26"/>
        </w:rPr>
        <w:t xml:space="preserve">Ron Lawrence, David Petch, and William Townsend were defendant’s co-workers at various companies.  Each testified that defendant played an important role in </w:t>
      </w:r>
      <w:r w:rsidR="00E72373" w:rsidRPr="00672545">
        <w:rPr>
          <w:szCs w:val="26"/>
        </w:rPr>
        <w:t xml:space="preserve">the </w:t>
      </w:r>
      <w:r w:rsidR="006F38A6" w:rsidRPr="00672545">
        <w:rPr>
          <w:szCs w:val="26"/>
        </w:rPr>
        <w:t xml:space="preserve">creation, </w:t>
      </w:r>
      <w:r w:rsidR="00FE5491" w:rsidRPr="00672545">
        <w:rPr>
          <w:szCs w:val="26"/>
        </w:rPr>
        <w:t xml:space="preserve">design, </w:t>
      </w:r>
      <w:r w:rsidR="006F38A6" w:rsidRPr="00672545">
        <w:rPr>
          <w:szCs w:val="26"/>
        </w:rPr>
        <w:t xml:space="preserve">and </w:t>
      </w:r>
      <w:r w:rsidR="00FC05E5" w:rsidRPr="00672545">
        <w:rPr>
          <w:szCs w:val="26"/>
        </w:rPr>
        <w:t>development of</w:t>
      </w:r>
      <w:r w:rsidR="00664592" w:rsidRPr="00672545">
        <w:rPr>
          <w:szCs w:val="26"/>
        </w:rPr>
        <w:t xml:space="preserve"> medical devices</w:t>
      </w:r>
      <w:r w:rsidR="00E72373" w:rsidRPr="00672545">
        <w:rPr>
          <w:szCs w:val="26"/>
        </w:rPr>
        <w:t xml:space="preserve"> </w:t>
      </w:r>
      <w:r w:rsidR="0081632B" w:rsidRPr="00672545">
        <w:rPr>
          <w:szCs w:val="26"/>
        </w:rPr>
        <w:t>at</w:t>
      </w:r>
      <w:r w:rsidR="00E72373" w:rsidRPr="00672545">
        <w:rPr>
          <w:szCs w:val="26"/>
        </w:rPr>
        <w:t xml:space="preserve"> their companies</w:t>
      </w:r>
      <w:r w:rsidR="006F38A6" w:rsidRPr="00672545">
        <w:rPr>
          <w:szCs w:val="26"/>
        </w:rPr>
        <w:t xml:space="preserve">.  </w:t>
      </w:r>
    </w:p>
    <w:p w14:paraId="0156AB51" w14:textId="77777777" w:rsidR="007422B8" w:rsidRPr="00672545" w:rsidRDefault="007422B8" w:rsidP="00672545">
      <w:pPr>
        <w:rPr>
          <w:szCs w:val="26"/>
        </w:rPr>
      </w:pPr>
      <w:r w:rsidRPr="00672545">
        <w:rPr>
          <w:szCs w:val="26"/>
        </w:rPr>
        <w:tab/>
      </w:r>
      <w:r w:rsidR="006F38A6" w:rsidRPr="00672545">
        <w:rPr>
          <w:szCs w:val="26"/>
        </w:rPr>
        <w:t xml:space="preserve">Carmen Genovese </w:t>
      </w:r>
      <w:r w:rsidR="008E38BE" w:rsidRPr="00672545">
        <w:rPr>
          <w:szCs w:val="26"/>
        </w:rPr>
        <w:t>was</w:t>
      </w:r>
      <w:r w:rsidR="006F38A6" w:rsidRPr="00672545">
        <w:rPr>
          <w:szCs w:val="26"/>
        </w:rPr>
        <w:t xml:space="preserve"> </w:t>
      </w:r>
      <w:r w:rsidR="0081632B" w:rsidRPr="00672545">
        <w:rPr>
          <w:szCs w:val="26"/>
        </w:rPr>
        <w:t xml:space="preserve">a </w:t>
      </w:r>
      <w:r w:rsidR="006F38A6" w:rsidRPr="00672545">
        <w:rPr>
          <w:szCs w:val="26"/>
        </w:rPr>
        <w:t>former supervisor</w:t>
      </w:r>
      <w:r w:rsidR="0081632B" w:rsidRPr="00672545">
        <w:rPr>
          <w:szCs w:val="26"/>
        </w:rPr>
        <w:t xml:space="preserve"> of defendant</w:t>
      </w:r>
      <w:r w:rsidR="006F38A6" w:rsidRPr="00672545">
        <w:rPr>
          <w:szCs w:val="26"/>
        </w:rPr>
        <w:t xml:space="preserve">.  </w:t>
      </w:r>
      <w:r w:rsidR="00D548B9" w:rsidRPr="00672545">
        <w:rPr>
          <w:szCs w:val="26"/>
        </w:rPr>
        <w:t xml:space="preserve">According to </w:t>
      </w:r>
      <w:r w:rsidR="006F38A6" w:rsidRPr="00672545">
        <w:rPr>
          <w:szCs w:val="26"/>
        </w:rPr>
        <w:t>Genovese</w:t>
      </w:r>
      <w:r w:rsidR="00D548B9" w:rsidRPr="00672545">
        <w:rPr>
          <w:szCs w:val="26"/>
        </w:rPr>
        <w:t>,</w:t>
      </w:r>
      <w:r w:rsidR="006F38A6" w:rsidRPr="00672545">
        <w:rPr>
          <w:szCs w:val="26"/>
        </w:rPr>
        <w:t xml:space="preserve"> defendant played a crucial role in leading design team</w:t>
      </w:r>
      <w:r w:rsidR="008E38BE" w:rsidRPr="00672545">
        <w:rPr>
          <w:szCs w:val="26"/>
        </w:rPr>
        <w:t>s</w:t>
      </w:r>
      <w:r w:rsidR="006F38A6" w:rsidRPr="00672545">
        <w:rPr>
          <w:szCs w:val="26"/>
        </w:rPr>
        <w:t xml:space="preserve"> </w:t>
      </w:r>
      <w:r w:rsidR="00FC05E5" w:rsidRPr="00672545">
        <w:rPr>
          <w:szCs w:val="26"/>
        </w:rPr>
        <w:t>that</w:t>
      </w:r>
      <w:r w:rsidR="00F4324B" w:rsidRPr="00672545">
        <w:rPr>
          <w:szCs w:val="26"/>
        </w:rPr>
        <w:t xml:space="preserve"> significantly contributed to the development of</w:t>
      </w:r>
      <w:r w:rsidR="006F38A6" w:rsidRPr="00672545">
        <w:rPr>
          <w:szCs w:val="26"/>
        </w:rPr>
        <w:t xml:space="preserve"> medical devices for joint rehabilitation and optical lenses</w:t>
      </w:r>
      <w:r w:rsidR="00D548B9" w:rsidRPr="00672545">
        <w:rPr>
          <w:szCs w:val="26"/>
        </w:rPr>
        <w:t xml:space="preserve">.  </w:t>
      </w:r>
      <w:r w:rsidR="00721893" w:rsidRPr="00672545">
        <w:rPr>
          <w:szCs w:val="26"/>
        </w:rPr>
        <w:t>H</w:t>
      </w:r>
      <w:r w:rsidR="00D548B9" w:rsidRPr="00672545">
        <w:rPr>
          <w:szCs w:val="26"/>
        </w:rPr>
        <w:t>e testified that</w:t>
      </w:r>
      <w:r w:rsidR="006F38A6" w:rsidRPr="00672545">
        <w:rPr>
          <w:szCs w:val="26"/>
        </w:rPr>
        <w:t xml:space="preserve"> these devices were exceptionally important and improved the life of a great many people.  </w:t>
      </w:r>
      <w:r w:rsidR="00721893" w:rsidRPr="00672545">
        <w:rPr>
          <w:szCs w:val="26"/>
        </w:rPr>
        <w:t>Genovese also described a</w:t>
      </w:r>
      <w:r w:rsidR="00F4324B" w:rsidRPr="00672545">
        <w:rPr>
          <w:szCs w:val="26"/>
        </w:rPr>
        <w:t xml:space="preserve"> significant</w:t>
      </w:r>
      <w:r w:rsidR="00721893" w:rsidRPr="00672545">
        <w:rPr>
          <w:szCs w:val="26"/>
        </w:rPr>
        <w:t xml:space="preserve"> security device designed by defendant.</w:t>
      </w:r>
      <w:r w:rsidR="00F81CD5" w:rsidRPr="00672545">
        <w:rPr>
          <w:szCs w:val="26"/>
        </w:rPr>
        <w:t xml:space="preserve">  </w:t>
      </w:r>
    </w:p>
    <w:p w14:paraId="74F6FA2B" w14:textId="77777777" w:rsidR="006F38A6" w:rsidRPr="00672545" w:rsidRDefault="007422B8" w:rsidP="00672545">
      <w:pPr>
        <w:tabs>
          <w:tab w:val="left" w:pos="720"/>
        </w:tabs>
        <w:rPr>
          <w:szCs w:val="26"/>
        </w:rPr>
      </w:pPr>
      <w:r w:rsidRPr="00672545">
        <w:rPr>
          <w:szCs w:val="26"/>
        </w:rPr>
        <w:tab/>
      </w:r>
      <w:r w:rsidR="008E38BE" w:rsidRPr="00672545">
        <w:rPr>
          <w:szCs w:val="26"/>
        </w:rPr>
        <w:t xml:space="preserve">Judy </w:t>
      </w:r>
      <w:r w:rsidR="006F38A6" w:rsidRPr="00672545">
        <w:rPr>
          <w:szCs w:val="26"/>
        </w:rPr>
        <w:t xml:space="preserve">Ray </w:t>
      </w:r>
      <w:r w:rsidR="008E38BE" w:rsidRPr="00672545">
        <w:rPr>
          <w:szCs w:val="26"/>
        </w:rPr>
        <w:t xml:space="preserve">was the owner of a company that employed defendant.  She </w:t>
      </w:r>
      <w:r w:rsidR="006F38A6" w:rsidRPr="00672545">
        <w:rPr>
          <w:szCs w:val="26"/>
        </w:rPr>
        <w:t>spoke of defendant’s important contribution</w:t>
      </w:r>
      <w:r w:rsidR="00D548B9" w:rsidRPr="00672545">
        <w:rPr>
          <w:szCs w:val="26"/>
        </w:rPr>
        <w:t>s</w:t>
      </w:r>
      <w:r w:rsidR="00FC05E5" w:rsidRPr="00672545">
        <w:rPr>
          <w:szCs w:val="26"/>
        </w:rPr>
        <w:t xml:space="preserve"> to her company</w:t>
      </w:r>
      <w:r w:rsidR="00D548B9" w:rsidRPr="00672545">
        <w:rPr>
          <w:szCs w:val="26"/>
        </w:rPr>
        <w:t>, including</w:t>
      </w:r>
      <w:r w:rsidR="006F38A6" w:rsidRPr="00672545">
        <w:rPr>
          <w:szCs w:val="26"/>
        </w:rPr>
        <w:t xml:space="preserve"> the design of a shoulder rehabilitation device that helped </w:t>
      </w:r>
      <w:r w:rsidR="009B0672" w:rsidRPr="00672545">
        <w:rPr>
          <w:szCs w:val="26"/>
        </w:rPr>
        <w:t>more than</w:t>
      </w:r>
      <w:r w:rsidR="006F38A6" w:rsidRPr="00672545">
        <w:rPr>
          <w:szCs w:val="26"/>
        </w:rPr>
        <w:t xml:space="preserve"> 600,000 people. </w:t>
      </w:r>
      <w:r w:rsidR="00D548B9" w:rsidRPr="00672545">
        <w:rPr>
          <w:szCs w:val="26"/>
        </w:rPr>
        <w:t xml:space="preserve"> </w:t>
      </w:r>
    </w:p>
    <w:p w14:paraId="41E84938" w14:textId="77777777" w:rsidR="006F38A6" w:rsidRPr="00672545" w:rsidRDefault="006F38A6" w:rsidP="00672545">
      <w:pPr>
        <w:pStyle w:val="Heading4"/>
      </w:pPr>
      <w:r w:rsidRPr="00672545">
        <w:t>b.</w:t>
      </w:r>
      <w:r w:rsidR="00ED1863" w:rsidRPr="00672545">
        <w:t xml:space="preserve"> </w:t>
      </w:r>
      <w:r w:rsidRPr="00672545">
        <w:t xml:space="preserve"> Defendant’s F</w:t>
      </w:r>
      <w:r w:rsidR="008367A3" w:rsidRPr="00672545">
        <w:t>riends</w:t>
      </w:r>
      <w:r w:rsidRPr="00672545">
        <w:t xml:space="preserve"> and F</w:t>
      </w:r>
      <w:r w:rsidR="008367A3" w:rsidRPr="00672545">
        <w:t>amily</w:t>
      </w:r>
      <w:r w:rsidRPr="00672545">
        <w:t xml:space="preserve">  </w:t>
      </w:r>
    </w:p>
    <w:p w14:paraId="074DC9A1" w14:textId="77777777" w:rsidR="006F38A6" w:rsidRPr="00672545" w:rsidRDefault="003957E7" w:rsidP="00672545">
      <w:pPr>
        <w:rPr>
          <w:szCs w:val="26"/>
        </w:rPr>
      </w:pPr>
      <w:r w:rsidRPr="00672545">
        <w:rPr>
          <w:szCs w:val="26"/>
        </w:rPr>
        <w:tab/>
      </w:r>
      <w:r w:rsidR="006F38A6" w:rsidRPr="00672545">
        <w:rPr>
          <w:szCs w:val="26"/>
        </w:rPr>
        <w:t xml:space="preserve">Susan L. was defendant’s </w:t>
      </w:r>
      <w:r w:rsidR="006D7801" w:rsidRPr="00672545">
        <w:rPr>
          <w:szCs w:val="26"/>
        </w:rPr>
        <w:t xml:space="preserve">former </w:t>
      </w:r>
      <w:r w:rsidR="006F38A6" w:rsidRPr="00672545">
        <w:rPr>
          <w:szCs w:val="26"/>
        </w:rPr>
        <w:t xml:space="preserve">girlfriend.  Susan and her daughter, Christina G., along with Christina’s one-year-old son, lived with defendant for a </w:t>
      </w:r>
      <w:r w:rsidR="00F765F4" w:rsidRPr="00672545">
        <w:rPr>
          <w:szCs w:val="26"/>
        </w:rPr>
        <w:t>year</w:t>
      </w:r>
      <w:r w:rsidR="006F38A6" w:rsidRPr="00672545">
        <w:rPr>
          <w:szCs w:val="26"/>
        </w:rPr>
        <w:t xml:space="preserve">.  Susan testified that defendant helped rescue Christina from an abusive relationship and allowed her and her infant son to live with them.  Defendant also planned and threw Christina’s son a birthday party because Christina could not afford to do so. </w:t>
      </w:r>
      <w:r w:rsidR="005B6C43" w:rsidRPr="00672545">
        <w:rPr>
          <w:szCs w:val="26"/>
        </w:rPr>
        <w:t xml:space="preserve"> </w:t>
      </w:r>
    </w:p>
    <w:p w14:paraId="4E3CE8A0" w14:textId="77777777" w:rsidR="006F38A6" w:rsidRPr="00672545" w:rsidRDefault="003957E7" w:rsidP="00672545">
      <w:pPr>
        <w:rPr>
          <w:szCs w:val="26"/>
        </w:rPr>
      </w:pPr>
      <w:r w:rsidRPr="00672545">
        <w:rPr>
          <w:szCs w:val="26"/>
        </w:rPr>
        <w:lastRenderedPageBreak/>
        <w:tab/>
      </w:r>
      <w:r w:rsidR="006F38A6" w:rsidRPr="00672545">
        <w:rPr>
          <w:szCs w:val="26"/>
        </w:rPr>
        <w:t xml:space="preserve">Margaret </w:t>
      </w:r>
      <w:proofErr w:type="spellStart"/>
      <w:r w:rsidR="006F38A6" w:rsidRPr="00672545">
        <w:rPr>
          <w:szCs w:val="26"/>
        </w:rPr>
        <w:t>Hennon</w:t>
      </w:r>
      <w:proofErr w:type="spellEnd"/>
      <w:r w:rsidR="006F38A6" w:rsidRPr="00672545">
        <w:rPr>
          <w:szCs w:val="26"/>
        </w:rPr>
        <w:t xml:space="preserve"> was defendant’s high school sweetheart.  Defendant’s family and </w:t>
      </w:r>
      <w:proofErr w:type="spellStart"/>
      <w:r w:rsidR="006F38A6" w:rsidRPr="00672545">
        <w:rPr>
          <w:szCs w:val="26"/>
        </w:rPr>
        <w:t>Hennon’s</w:t>
      </w:r>
      <w:proofErr w:type="spellEnd"/>
      <w:r w:rsidR="006F38A6" w:rsidRPr="00672545">
        <w:rPr>
          <w:szCs w:val="26"/>
        </w:rPr>
        <w:t xml:space="preserve"> family were very close.</w:t>
      </w:r>
      <w:r w:rsidR="00316E1C" w:rsidRPr="00672545">
        <w:rPr>
          <w:szCs w:val="26"/>
        </w:rPr>
        <w:t xml:space="preserve"> </w:t>
      </w:r>
      <w:r w:rsidR="006F38A6" w:rsidRPr="00672545">
        <w:rPr>
          <w:szCs w:val="26"/>
        </w:rPr>
        <w:t xml:space="preserve"> </w:t>
      </w:r>
      <w:proofErr w:type="spellStart"/>
      <w:r w:rsidR="006F38A6" w:rsidRPr="00672545">
        <w:rPr>
          <w:szCs w:val="26"/>
        </w:rPr>
        <w:t>Hennon</w:t>
      </w:r>
      <w:proofErr w:type="spellEnd"/>
      <w:r w:rsidR="006F38A6" w:rsidRPr="00672545">
        <w:rPr>
          <w:szCs w:val="26"/>
        </w:rPr>
        <w:t xml:space="preserve"> testified that she loved defendant and he was important to her</w:t>
      </w:r>
      <w:r w:rsidR="005135C0" w:rsidRPr="00672545">
        <w:rPr>
          <w:szCs w:val="26"/>
        </w:rPr>
        <w:t>, although she</w:t>
      </w:r>
      <w:r w:rsidR="006F38A6" w:rsidRPr="00672545">
        <w:rPr>
          <w:szCs w:val="26"/>
        </w:rPr>
        <w:t xml:space="preserve"> admitted that she had not seen or spoken to defendant in person since 1973 or 1974. </w:t>
      </w:r>
      <w:r w:rsidR="00316E1C" w:rsidRPr="00672545">
        <w:rPr>
          <w:szCs w:val="26"/>
        </w:rPr>
        <w:t xml:space="preserve"> </w:t>
      </w:r>
    </w:p>
    <w:p w14:paraId="11B51260" w14:textId="7DC249D6" w:rsidR="00E11E25" w:rsidRPr="00672545" w:rsidRDefault="003957E7" w:rsidP="00672545">
      <w:pPr>
        <w:rPr>
          <w:szCs w:val="26"/>
        </w:rPr>
      </w:pPr>
      <w:r w:rsidRPr="00672545">
        <w:rPr>
          <w:szCs w:val="26"/>
        </w:rPr>
        <w:tab/>
      </w:r>
      <w:r w:rsidR="0092624D" w:rsidRPr="00672545">
        <w:rPr>
          <w:szCs w:val="26"/>
        </w:rPr>
        <w:t>Several</w:t>
      </w:r>
      <w:r w:rsidR="00721893" w:rsidRPr="00672545">
        <w:rPr>
          <w:szCs w:val="26"/>
        </w:rPr>
        <w:t xml:space="preserve"> </w:t>
      </w:r>
      <w:r w:rsidR="00CA2052">
        <w:rPr>
          <w:szCs w:val="26"/>
        </w:rPr>
        <w:t xml:space="preserve">of </w:t>
      </w:r>
      <w:r w:rsidR="00721893" w:rsidRPr="00672545">
        <w:rPr>
          <w:szCs w:val="26"/>
        </w:rPr>
        <w:t xml:space="preserve">defendant’s friends and neighbors testified to his importance to their families.  </w:t>
      </w:r>
      <w:r w:rsidR="00F4324B" w:rsidRPr="00672545">
        <w:rPr>
          <w:szCs w:val="26"/>
        </w:rPr>
        <w:t>They testified that d</w:t>
      </w:r>
      <w:r w:rsidR="00721893" w:rsidRPr="00672545">
        <w:rPr>
          <w:szCs w:val="26"/>
        </w:rPr>
        <w:t>efendant was always helpful</w:t>
      </w:r>
      <w:r w:rsidR="00E11E25" w:rsidRPr="00672545">
        <w:rPr>
          <w:szCs w:val="26"/>
        </w:rPr>
        <w:t>.  He would go above and beyond to assist whenever needed</w:t>
      </w:r>
      <w:r w:rsidR="00721893" w:rsidRPr="00672545">
        <w:rPr>
          <w:szCs w:val="26"/>
        </w:rPr>
        <w:t xml:space="preserve">.  </w:t>
      </w:r>
      <w:r w:rsidR="00E11E25" w:rsidRPr="00672545">
        <w:rPr>
          <w:szCs w:val="26"/>
        </w:rPr>
        <w:t>Defendant</w:t>
      </w:r>
      <w:r w:rsidR="00721893" w:rsidRPr="00672545">
        <w:rPr>
          <w:szCs w:val="26"/>
        </w:rPr>
        <w:t xml:space="preserve"> was considerate and protective of </w:t>
      </w:r>
      <w:r w:rsidR="00E11E25" w:rsidRPr="00672545">
        <w:rPr>
          <w:szCs w:val="26"/>
        </w:rPr>
        <w:t>his own and other</w:t>
      </w:r>
      <w:r w:rsidR="00721893" w:rsidRPr="00672545">
        <w:rPr>
          <w:szCs w:val="26"/>
        </w:rPr>
        <w:t xml:space="preserve"> children.  </w:t>
      </w:r>
      <w:r w:rsidR="00E11E25" w:rsidRPr="00672545">
        <w:rPr>
          <w:szCs w:val="26"/>
        </w:rPr>
        <w:t>Defendant was a positive influence in the</w:t>
      </w:r>
      <w:r w:rsidR="00F4324B" w:rsidRPr="00672545">
        <w:rPr>
          <w:szCs w:val="26"/>
        </w:rPr>
        <w:t>ir</w:t>
      </w:r>
      <w:r w:rsidR="00283797" w:rsidRPr="00672545">
        <w:rPr>
          <w:szCs w:val="26"/>
        </w:rPr>
        <w:t xml:space="preserve"> children’s</w:t>
      </w:r>
      <w:r w:rsidR="00E11E25" w:rsidRPr="00672545">
        <w:rPr>
          <w:szCs w:val="26"/>
        </w:rPr>
        <w:t xml:space="preserve"> lives.  </w:t>
      </w:r>
    </w:p>
    <w:p w14:paraId="6A8EB4F4" w14:textId="77777777" w:rsidR="006F38A6" w:rsidRPr="00672545" w:rsidRDefault="004440F7" w:rsidP="00672545">
      <w:pPr>
        <w:rPr>
          <w:szCs w:val="26"/>
        </w:rPr>
      </w:pPr>
      <w:r w:rsidRPr="00672545">
        <w:rPr>
          <w:szCs w:val="26"/>
        </w:rPr>
        <w:tab/>
        <w:t xml:space="preserve">The defense also called </w:t>
      </w:r>
      <w:proofErr w:type="gramStart"/>
      <w:r w:rsidRPr="00672545">
        <w:rPr>
          <w:szCs w:val="26"/>
        </w:rPr>
        <w:t>a number of</w:t>
      </w:r>
      <w:proofErr w:type="gramEnd"/>
      <w:r w:rsidRPr="00672545">
        <w:rPr>
          <w:szCs w:val="26"/>
        </w:rPr>
        <w:t xml:space="preserve"> defendant’s family </w:t>
      </w:r>
      <w:r w:rsidR="006B2A68" w:rsidRPr="00672545">
        <w:rPr>
          <w:szCs w:val="26"/>
        </w:rPr>
        <w:t xml:space="preserve">members </w:t>
      </w:r>
      <w:r w:rsidRPr="00672545">
        <w:rPr>
          <w:szCs w:val="26"/>
        </w:rPr>
        <w:t>to testify.  D</w:t>
      </w:r>
      <w:r w:rsidR="008367A3" w:rsidRPr="00672545">
        <w:rPr>
          <w:szCs w:val="26"/>
        </w:rPr>
        <w:t>efendant’s younger sister</w:t>
      </w:r>
      <w:r w:rsidRPr="00672545">
        <w:rPr>
          <w:szCs w:val="26"/>
        </w:rPr>
        <w:t>, Tania P.,</w:t>
      </w:r>
      <w:r w:rsidR="008367A3" w:rsidRPr="00672545">
        <w:rPr>
          <w:szCs w:val="26"/>
        </w:rPr>
        <w:t xml:space="preserve"> spoke about defendant’s upbringing and noted that defendant worked to put himself through college.  Tania testified that traditional family values were very important to defendant.  She said defendant was protective of her.</w:t>
      </w:r>
      <w:r w:rsidR="00F81CD5" w:rsidRPr="00672545">
        <w:rPr>
          <w:szCs w:val="26"/>
        </w:rPr>
        <w:t xml:space="preserve">  </w:t>
      </w:r>
      <w:r w:rsidRPr="00672545">
        <w:rPr>
          <w:szCs w:val="26"/>
        </w:rPr>
        <w:t xml:space="preserve">Several of defendant’s aunts testified concerning </w:t>
      </w:r>
      <w:r w:rsidR="0019549A" w:rsidRPr="00672545">
        <w:rPr>
          <w:szCs w:val="26"/>
        </w:rPr>
        <w:t xml:space="preserve">their association with </w:t>
      </w:r>
      <w:r w:rsidRPr="00672545">
        <w:rPr>
          <w:szCs w:val="26"/>
        </w:rPr>
        <w:t>defendant</w:t>
      </w:r>
      <w:r w:rsidR="0019549A" w:rsidRPr="00672545">
        <w:rPr>
          <w:szCs w:val="26"/>
        </w:rPr>
        <w:t xml:space="preserve"> over the years</w:t>
      </w:r>
      <w:r w:rsidRPr="00672545">
        <w:rPr>
          <w:szCs w:val="26"/>
        </w:rPr>
        <w:t>.</w:t>
      </w:r>
      <w:r w:rsidR="00F81CD5" w:rsidRPr="00672545">
        <w:rPr>
          <w:szCs w:val="26"/>
        </w:rPr>
        <w:t xml:space="preserve">  </w:t>
      </w:r>
      <w:r w:rsidR="0019549A" w:rsidRPr="00672545">
        <w:rPr>
          <w:szCs w:val="26"/>
        </w:rPr>
        <w:t>D</w:t>
      </w:r>
      <w:r w:rsidR="006F38A6" w:rsidRPr="00672545">
        <w:rPr>
          <w:szCs w:val="26"/>
        </w:rPr>
        <w:t>efendant’s children, Neal and Lisa</w:t>
      </w:r>
      <w:r w:rsidR="0019549A" w:rsidRPr="00672545">
        <w:rPr>
          <w:szCs w:val="26"/>
        </w:rPr>
        <w:t>, both</w:t>
      </w:r>
      <w:r w:rsidR="006F38A6" w:rsidRPr="00672545">
        <w:rPr>
          <w:szCs w:val="26"/>
        </w:rPr>
        <w:t xml:space="preserve"> described how much they </w:t>
      </w:r>
      <w:r w:rsidR="006405BC" w:rsidRPr="00672545">
        <w:rPr>
          <w:szCs w:val="26"/>
        </w:rPr>
        <w:t xml:space="preserve">loved and </w:t>
      </w:r>
      <w:r w:rsidR="006F38A6" w:rsidRPr="00672545">
        <w:rPr>
          <w:szCs w:val="26"/>
        </w:rPr>
        <w:t xml:space="preserve">missed their father.  </w:t>
      </w:r>
      <w:r w:rsidR="006405BC" w:rsidRPr="00672545">
        <w:rPr>
          <w:szCs w:val="26"/>
        </w:rPr>
        <w:t xml:space="preserve">They </w:t>
      </w:r>
      <w:r w:rsidR="001F467F" w:rsidRPr="00672545">
        <w:rPr>
          <w:szCs w:val="26"/>
        </w:rPr>
        <w:t>described themselves as</w:t>
      </w:r>
      <w:r w:rsidR="006405BC" w:rsidRPr="00672545">
        <w:rPr>
          <w:szCs w:val="26"/>
        </w:rPr>
        <w:t xml:space="preserve"> a close family.  </w:t>
      </w:r>
      <w:r w:rsidR="006F38A6" w:rsidRPr="00672545">
        <w:rPr>
          <w:szCs w:val="26"/>
        </w:rPr>
        <w:t xml:space="preserve">Neal testified that his father taught him to do the right thing and accept responsibility for his actions. </w:t>
      </w:r>
    </w:p>
    <w:p w14:paraId="7FC0EACD" w14:textId="77777777" w:rsidR="00F11540" w:rsidRPr="00672545" w:rsidRDefault="00B24D69" w:rsidP="00672545">
      <w:pPr>
        <w:pStyle w:val="Heading1"/>
      </w:pPr>
      <w:bookmarkStart w:id="14" w:name="_Toc506979805"/>
      <w:r w:rsidRPr="00672545">
        <w:t>II.  Discussion</w:t>
      </w:r>
      <w:bookmarkEnd w:id="14"/>
    </w:p>
    <w:p w14:paraId="26FCA579" w14:textId="77777777" w:rsidR="00F11540" w:rsidRPr="00672545" w:rsidRDefault="00EA2DD4" w:rsidP="00672545">
      <w:pPr>
        <w:pStyle w:val="Heading2"/>
      </w:pPr>
      <w:bookmarkStart w:id="15" w:name="_Toc506979806"/>
      <w:r w:rsidRPr="00672545">
        <w:t>A.  Guilt Phase Claims</w:t>
      </w:r>
      <w:bookmarkEnd w:id="15"/>
    </w:p>
    <w:p w14:paraId="4564D51E" w14:textId="77777777" w:rsidR="00EA2DD4" w:rsidRPr="00672545" w:rsidRDefault="00EA2DD4" w:rsidP="00672545">
      <w:pPr>
        <w:pStyle w:val="Heading3"/>
      </w:pPr>
      <w:bookmarkStart w:id="16" w:name="_Toc506979807"/>
      <w:r w:rsidRPr="00672545">
        <w:t>1.  Denial of Defendant’s Motion to Suppress Evidence Obtained Pursuant to Five Search Warrants</w:t>
      </w:r>
      <w:r w:rsidR="005145B9" w:rsidRPr="00672545">
        <w:t xml:space="preserve">  </w:t>
      </w:r>
      <w:bookmarkEnd w:id="16"/>
    </w:p>
    <w:p w14:paraId="4850C8A6" w14:textId="77777777" w:rsidR="00AD75D8" w:rsidRPr="00672545" w:rsidRDefault="00E15D17" w:rsidP="00672545">
      <w:r w:rsidRPr="00672545">
        <w:tab/>
        <w:t>Defendant filed a pre</w:t>
      </w:r>
      <w:r w:rsidR="00EA2DD4" w:rsidRPr="00672545">
        <w:t xml:space="preserve">trial motion to suppress the evidence law enforcement obtained pursuant to five search warrants, claiming </w:t>
      </w:r>
      <w:r w:rsidR="00996883" w:rsidRPr="00672545">
        <w:t>the warrants were illegally obtained</w:t>
      </w:r>
      <w:r w:rsidR="00787251" w:rsidRPr="00672545">
        <w:t xml:space="preserve"> </w:t>
      </w:r>
      <w:r w:rsidR="00996883" w:rsidRPr="00672545">
        <w:t xml:space="preserve">in </w:t>
      </w:r>
      <w:r w:rsidR="00EA2DD4" w:rsidRPr="00672545">
        <w:t xml:space="preserve">violation of his </w:t>
      </w:r>
      <w:r w:rsidR="00EA2DD4" w:rsidRPr="00672545">
        <w:lastRenderedPageBreak/>
        <w:t>Fourth Amendment rights.</w:t>
      </w:r>
      <w:r w:rsidR="00F81CD5" w:rsidRPr="00672545">
        <w:t xml:space="preserve">  </w:t>
      </w:r>
      <w:r w:rsidR="00996883" w:rsidRPr="00672545">
        <w:t xml:space="preserve">Among other things, defendant argued that his purported failure of </w:t>
      </w:r>
      <w:r w:rsidR="00D4564D" w:rsidRPr="00672545">
        <w:t xml:space="preserve">a </w:t>
      </w:r>
      <w:r w:rsidR="00996883" w:rsidRPr="00672545">
        <w:t xml:space="preserve">polygraph </w:t>
      </w:r>
      <w:r w:rsidR="006203AF" w:rsidRPr="00672545">
        <w:t>examination</w:t>
      </w:r>
      <w:r w:rsidR="00996883" w:rsidRPr="00672545">
        <w:t xml:space="preserve"> w</w:t>
      </w:r>
      <w:r w:rsidR="00D4564D" w:rsidRPr="00672545">
        <w:t>as</w:t>
      </w:r>
      <w:r w:rsidR="00996883" w:rsidRPr="00672545">
        <w:t xml:space="preserve"> improperly considered by the magistrate as part of the prosecution’s showing of probable cause.</w:t>
      </w:r>
      <w:r w:rsidR="00F81CD5" w:rsidRPr="00672545">
        <w:t xml:space="preserve">  </w:t>
      </w:r>
      <w:r w:rsidR="00EA2DD4" w:rsidRPr="00672545">
        <w:t>The trial court denied the motion, finding the warrants were supported by probabl</w:t>
      </w:r>
      <w:r w:rsidR="00460946" w:rsidRPr="00672545">
        <w:t>e</w:t>
      </w:r>
      <w:r w:rsidR="006B19DD" w:rsidRPr="00672545">
        <w:t xml:space="preserve"> cause.  </w:t>
      </w:r>
      <w:r w:rsidR="0059186C" w:rsidRPr="00672545">
        <w:t>With respect to the foundational first warrant, the court</w:t>
      </w:r>
      <w:r w:rsidR="006B19DD" w:rsidRPr="00672545">
        <w:t xml:space="preserve"> </w:t>
      </w:r>
      <w:r w:rsidR="00BA1102" w:rsidRPr="00672545">
        <w:t>ruled</w:t>
      </w:r>
      <w:r w:rsidR="006B19DD" w:rsidRPr="00672545">
        <w:t xml:space="preserve"> that the </w:t>
      </w:r>
      <w:r w:rsidR="0059186C" w:rsidRPr="00672545">
        <w:t xml:space="preserve">magistrate </w:t>
      </w:r>
      <w:r w:rsidR="00671ABA" w:rsidRPr="00672545">
        <w:t xml:space="preserve">had </w:t>
      </w:r>
      <w:r w:rsidR="0059186C" w:rsidRPr="00672545">
        <w:t xml:space="preserve">properly considered the </w:t>
      </w:r>
      <w:r w:rsidR="006B19DD" w:rsidRPr="00672545">
        <w:t xml:space="preserve">polygraph evidence </w:t>
      </w:r>
      <w:r w:rsidR="0059186C" w:rsidRPr="00672545">
        <w:t xml:space="preserve">offered </w:t>
      </w:r>
      <w:r w:rsidR="006B19DD" w:rsidRPr="00672545">
        <w:t>in support of the warrant</w:t>
      </w:r>
      <w:r w:rsidR="0059186C" w:rsidRPr="00672545">
        <w:t>,</w:t>
      </w:r>
      <w:r w:rsidR="006B19DD" w:rsidRPr="00672545">
        <w:t xml:space="preserve"> but </w:t>
      </w:r>
      <w:r w:rsidR="0059186C" w:rsidRPr="00672545">
        <w:t xml:space="preserve">also found that </w:t>
      </w:r>
      <w:r w:rsidR="006B19DD" w:rsidRPr="00672545">
        <w:t xml:space="preserve">even if </w:t>
      </w:r>
      <w:r w:rsidR="0059186C" w:rsidRPr="00672545">
        <w:t xml:space="preserve">the evidence to which defendant </w:t>
      </w:r>
      <w:r w:rsidR="006B19DD" w:rsidRPr="00672545">
        <w:t>object</w:t>
      </w:r>
      <w:r w:rsidR="0059186C" w:rsidRPr="00672545">
        <w:t>ed</w:t>
      </w:r>
      <w:r w:rsidR="006B19DD" w:rsidRPr="00672545">
        <w:t xml:space="preserve"> was excised, </w:t>
      </w:r>
      <w:r w:rsidR="0059186C" w:rsidRPr="00672545">
        <w:t xml:space="preserve">there was still </w:t>
      </w:r>
      <w:proofErr w:type="gramStart"/>
      <w:r w:rsidR="006B19DD" w:rsidRPr="00672545">
        <w:t>sufficient</w:t>
      </w:r>
      <w:proofErr w:type="gramEnd"/>
      <w:r w:rsidR="006B19DD" w:rsidRPr="00672545">
        <w:t xml:space="preserve"> probable cause for the warrant’s issuance.  Moreover, </w:t>
      </w:r>
      <w:r w:rsidR="0059186C" w:rsidRPr="00672545">
        <w:t>the court further concluded</w:t>
      </w:r>
      <w:r w:rsidR="002674B1" w:rsidRPr="00672545">
        <w:t xml:space="preserve"> that</w:t>
      </w:r>
      <w:r w:rsidR="0059186C" w:rsidRPr="00672545">
        <w:t xml:space="preserve"> </w:t>
      </w:r>
      <w:r w:rsidR="00EA2DD4" w:rsidRPr="00672545">
        <w:t xml:space="preserve">even if probable cause </w:t>
      </w:r>
      <w:r w:rsidR="002674B1" w:rsidRPr="00672545">
        <w:t>was</w:t>
      </w:r>
      <w:r w:rsidR="00EA2DD4" w:rsidRPr="00672545">
        <w:t xml:space="preserve"> lacking</w:t>
      </w:r>
      <w:r w:rsidR="002945FE" w:rsidRPr="00672545">
        <w:t xml:space="preserve"> for</w:t>
      </w:r>
      <w:r w:rsidR="005145B9" w:rsidRPr="00672545">
        <w:t xml:space="preserve"> the first </w:t>
      </w:r>
      <w:r w:rsidR="002945FE" w:rsidRPr="00672545">
        <w:t>warrant</w:t>
      </w:r>
      <w:r w:rsidR="005145B9" w:rsidRPr="00672545">
        <w:t>,</w:t>
      </w:r>
      <w:r w:rsidR="006B19DD" w:rsidRPr="00672545">
        <w:t xml:space="preserve"> </w:t>
      </w:r>
      <w:r w:rsidR="002945FE" w:rsidRPr="00672545">
        <w:t xml:space="preserve">the search following its issuance </w:t>
      </w:r>
      <w:r w:rsidR="005145B9" w:rsidRPr="00672545">
        <w:t xml:space="preserve">was </w:t>
      </w:r>
      <w:r w:rsidR="006B19DD" w:rsidRPr="00672545">
        <w:t xml:space="preserve">justified based on defendant’s </w:t>
      </w:r>
      <w:r w:rsidR="005145B9" w:rsidRPr="00672545">
        <w:t>consen</w:t>
      </w:r>
      <w:r w:rsidR="006B19DD" w:rsidRPr="00672545">
        <w:t>t</w:t>
      </w:r>
      <w:r w:rsidR="005145B9" w:rsidRPr="00672545">
        <w:t xml:space="preserve">.  </w:t>
      </w:r>
    </w:p>
    <w:p w14:paraId="5E2E5F98" w14:textId="77777777" w:rsidR="0059186C" w:rsidRPr="00672545" w:rsidRDefault="00C15A39" w:rsidP="00672545">
      <w:pPr>
        <w:ind w:firstLine="720"/>
      </w:pPr>
      <w:r w:rsidRPr="00672545">
        <w:rPr>
          <w:szCs w:val="26"/>
        </w:rPr>
        <w:t>The trial court, however, granted defendant’s motion to suppress</w:t>
      </w:r>
      <w:r w:rsidR="000961CC" w:rsidRPr="00672545">
        <w:rPr>
          <w:szCs w:val="26"/>
        </w:rPr>
        <w:t>,</w:t>
      </w:r>
      <w:r w:rsidR="001F460E" w:rsidRPr="00672545">
        <w:rPr>
          <w:szCs w:val="26"/>
        </w:rPr>
        <w:t xml:space="preserve"> under the Fifth Amendment</w:t>
      </w:r>
      <w:r w:rsidR="000961CC" w:rsidRPr="00672545">
        <w:rPr>
          <w:szCs w:val="26"/>
        </w:rPr>
        <w:t>,</w:t>
      </w:r>
      <w:r w:rsidRPr="00672545">
        <w:rPr>
          <w:szCs w:val="26"/>
        </w:rPr>
        <w:t xml:space="preserve"> statements </w:t>
      </w:r>
      <w:r w:rsidR="00D4107B" w:rsidRPr="00672545">
        <w:rPr>
          <w:szCs w:val="26"/>
        </w:rPr>
        <w:t xml:space="preserve">he made to detectives just before </w:t>
      </w:r>
      <w:r w:rsidR="00D74D93" w:rsidRPr="00672545">
        <w:rPr>
          <w:szCs w:val="26"/>
        </w:rPr>
        <w:t xml:space="preserve">he signed a consent-to-search form and before </w:t>
      </w:r>
      <w:r w:rsidR="00D4107B" w:rsidRPr="00672545">
        <w:rPr>
          <w:szCs w:val="26"/>
        </w:rPr>
        <w:t>the execution of the first warrant</w:t>
      </w:r>
      <w:r w:rsidR="000A4E96" w:rsidRPr="00672545">
        <w:rPr>
          <w:szCs w:val="26"/>
        </w:rPr>
        <w:t>.  The court found</w:t>
      </w:r>
      <w:r w:rsidR="00D4107B" w:rsidRPr="00672545">
        <w:rPr>
          <w:szCs w:val="26"/>
        </w:rPr>
        <w:t xml:space="preserve"> that </w:t>
      </w:r>
      <w:r w:rsidR="003E2D8D" w:rsidRPr="00672545">
        <w:rPr>
          <w:szCs w:val="26"/>
        </w:rPr>
        <w:t xml:space="preserve">defendant had </w:t>
      </w:r>
      <w:r w:rsidR="00A26B3E" w:rsidRPr="00672545">
        <w:rPr>
          <w:szCs w:val="26"/>
        </w:rPr>
        <w:t xml:space="preserve">made </w:t>
      </w:r>
      <w:r w:rsidR="000A4E96" w:rsidRPr="00672545">
        <w:rPr>
          <w:szCs w:val="26"/>
        </w:rPr>
        <w:t>those</w:t>
      </w:r>
      <w:r w:rsidR="00D4107B" w:rsidRPr="00672545">
        <w:rPr>
          <w:szCs w:val="26"/>
        </w:rPr>
        <w:t xml:space="preserve"> statements </w:t>
      </w:r>
      <w:r w:rsidR="00A26B3E" w:rsidRPr="00672545">
        <w:rPr>
          <w:szCs w:val="26"/>
        </w:rPr>
        <w:t>in</w:t>
      </w:r>
      <w:r w:rsidR="000A4E96" w:rsidRPr="00672545">
        <w:rPr>
          <w:szCs w:val="26"/>
        </w:rPr>
        <w:t xml:space="preserve"> circumstances under which </w:t>
      </w:r>
      <w:r w:rsidRPr="00672545">
        <w:rPr>
          <w:szCs w:val="26"/>
        </w:rPr>
        <w:t>no reasonable person would have felt free to leave</w:t>
      </w:r>
      <w:r w:rsidR="000961CC" w:rsidRPr="00672545">
        <w:rPr>
          <w:szCs w:val="26"/>
        </w:rPr>
        <w:t xml:space="preserve"> and without being advised of his rights under </w:t>
      </w:r>
      <w:r w:rsidR="00B21FD0" w:rsidRPr="00672545">
        <w:rPr>
          <w:i/>
          <w:szCs w:val="26"/>
        </w:rPr>
        <w:t>Miranda v. Arizona</w:t>
      </w:r>
      <w:r w:rsidR="00B21FD0" w:rsidRPr="00672545">
        <w:rPr>
          <w:szCs w:val="26"/>
        </w:rPr>
        <w:t xml:space="preserve"> (1966) 384 U.S. 436</w:t>
      </w:r>
      <w:r w:rsidR="00406856" w:rsidRPr="00672545">
        <w:rPr>
          <w:szCs w:val="26"/>
        </w:rPr>
        <w:t xml:space="preserve"> (</w:t>
      </w:r>
      <w:r w:rsidR="00406856" w:rsidRPr="00672545">
        <w:rPr>
          <w:i/>
          <w:szCs w:val="26"/>
        </w:rPr>
        <w:t>Miranda</w:t>
      </w:r>
      <w:r w:rsidR="00406856" w:rsidRPr="00672545">
        <w:rPr>
          <w:szCs w:val="26"/>
        </w:rPr>
        <w:t>)</w:t>
      </w:r>
      <w:r w:rsidR="00845824" w:rsidRPr="00672545">
        <w:rPr>
          <w:szCs w:val="26"/>
        </w:rPr>
        <w:t xml:space="preserve">.  </w:t>
      </w:r>
    </w:p>
    <w:p w14:paraId="34163B83" w14:textId="77777777" w:rsidR="00F11540" w:rsidRPr="00672545" w:rsidRDefault="0059186C" w:rsidP="00672545">
      <w:r w:rsidRPr="00672545">
        <w:tab/>
      </w:r>
      <w:r w:rsidR="005145B9" w:rsidRPr="00672545">
        <w:t>Defendant claims on appeal that the trial court erred</w:t>
      </w:r>
      <w:r w:rsidR="000C1535" w:rsidRPr="00672545">
        <w:t xml:space="preserve"> in denying</w:t>
      </w:r>
      <w:r w:rsidR="003D772A" w:rsidRPr="00672545">
        <w:t xml:space="preserve"> his motion to suppress the evidence law enforcement obtained pursuant to the five search warrants</w:t>
      </w:r>
      <w:r w:rsidR="005145B9" w:rsidRPr="00672545">
        <w:t>.  He argues that the first warrant was erroneously based on consideration of his failure to pass a polygraph examination</w:t>
      </w:r>
      <w:r w:rsidR="00460946" w:rsidRPr="00672545">
        <w:t>.  He argues both statutory and constitutional error</w:t>
      </w:r>
      <w:r w:rsidR="005145B9" w:rsidRPr="00672545">
        <w:t xml:space="preserve">, and </w:t>
      </w:r>
      <w:r w:rsidR="00460946" w:rsidRPr="00672545">
        <w:t xml:space="preserve">contends </w:t>
      </w:r>
      <w:r w:rsidR="005145B9" w:rsidRPr="00672545">
        <w:t xml:space="preserve">that without </w:t>
      </w:r>
      <w:r w:rsidR="00460946" w:rsidRPr="00672545">
        <w:t>the polygraph results</w:t>
      </w:r>
      <w:r w:rsidR="005145B9" w:rsidRPr="00672545">
        <w:t xml:space="preserve">, there was insufficient evidence of probable cause.  Defendant asserts that the first </w:t>
      </w:r>
      <w:r w:rsidR="004A6A47" w:rsidRPr="00672545">
        <w:t>search</w:t>
      </w:r>
      <w:r w:rsidR="005145B9" w:rsidRPr="00672545">
        <w:t xml:space="preserve"> was not otherwise justified by the good</w:t>
      </w:r>
      <w:r w:rsidR="00460946" w:rsidRPr="00672545">
        <w:t xml:space="preserve"> faith reliance of the police on</w:t>
      </w:r>
      <w:r w:rsidR="005145B9" w:rsidRPr="00672545">
        <w:t xml:space="preserve"> the </w:t>
      </w:r>
      <w:r w:rsidR="005145B9" w:rsidRPr="00672545">
        <w:lastRenderedPageBreak/>
        <w:t>magistrate’s issuance of the warrant.  And</w:t>
      </w:r>
      <w:r w:rsidR="003C2B32">
        <w:t>,</w:t>
      </w:r>
      <w:r w:rsidR="005145B9" w:rsidRPr="00672545">
        <w:t xml:space="preserve"> finally, he contends that his consent to the search in question was not freely given</w:t>
      </w:r>
      <w:r w:rsidR="00E72239" w:rsidRPr="00672545">
        <w:t xml:space="preserve"> and that concluding otherwise is incompatible</w:t>
      </w:r>
      <w:r w:rsidR="00AE4312" w:rsidRPr="00672545">
        <w:t xml:space="preserve"> with the court’s determination</w:t>
      </w:r>
      <w:r w:rsidR="00D74D93" w:rsidRPr="00672545">
        <w:t xml:space="preserve"> that his statements to detectives </w:t>
      </w:r>
      <w:r w:rsidR="00094E1F" w:rsidRPr="00672545">
        <w:t xml:space="preserve">should be suppressed under </w:t>
      </w:r>
      <w:r w:rsidR="00094E1F" w:rsidRPr="00672545">
        <w:rPr>
          <w:i/>
        </w:rPr>
        <w:t>Miranda</w:t>
      </w:r>
      <w:r w:rsidR="005145B9" w:rsidRPr="00672545">
        <w:t xml:space="preserve">.  </w:t>
      </w:r>
      <w:r w:rsidR="001B225C" w:rsidRPr="00672545">
        <w:t xml:space="preserve">Because </w:t>
      </w:r>
      <w:r w:rsidR="002945FE" w:rsidRPr="00672545">
        <w:t xml:space="preserve">the results of the first search </w:t>
      </w:r>
      <w:r w:rsidR="001B225C" w:rsidRPr="00672545">
        <w:t xml:space="preserve">were relied upon to obtain </w:t>
      </w:r>
      <w:r w:rsidR="002945FE" w:rsidRPr="00672545">
        <w:t xml:space="preserve">the subsequent four warrants, </w:t>
      </w:r>
      <w:r w:rsidR="001B225C" w:rsidRPr="00672545">
        <w:t>defendant contends the evidence from all five warrants should have been suppressed.</w:t>
      </w:r>
    </w:p>
    <w:p w14:paraId="53F5DCA4" w14:textId="77777777" w:rsidR="00A851FD" w:rsidRPr="00672545" w:rsidRDefault="00760C81" w:rsidP="00672545">
      <w:r w:rsidRPr="00672545">
        <w:tab/>
        <w:t>As explained below, w</w:t>
      </w:r>
      <w:r w:rsidR="00A851FD" w:rsidRPr="00672545">
        <w:t xml:space="preserve">e conclude </w:t>
      </w:r>
      <w:r w:rsidR="008B0E83" w:rsidRPr="00672545">
        <w:t>the trial court properly denied defendant’s motion to suppress.  P</w:t>
      </w:r>
      <w:r w:rsidR="00A851FD" w:rsidRPr="00672545">
        <w:t>robable cause supported issuance of the first search warrant even without consideration of the polygraph results</w:t>
      </w:r>
      <w:r w:rsidR="008B0E83" w:rsidRPr="00672545">
        <w:t xml:space="preserve">. </w:t>
      </w:r>
      <w:r w:rsidR="00A851FD" w:rsidRPr="00672545">
        <w:t xml:space="preserve"> </w:t>
      </w:r>
      <w:r w:rsidR="008B0E83" w:rsidRPr="00672545">
        <w:t>T</w:t>
      </w:r>
      <w:r w:rsidR="00A851FD" w:rsidRPr="00672545">
        <w:t xml:space="preserve">herefore, we need not reach defendant’s claims regarding </w:t>
      </w:r>
      <w:r w:rsidR="00384D47" w:rsidRPr="00672545">
        <w:t>the</w:t>
      </w:r>
      <w:r w:rsidR="00A851FD" w:rsidRPr="00672545">
        <w:t xml:space="preserve"> </w:t>
      </w:r>
      <w:r w:rsidR="008B0E83" w:rsidRPr="00672545">
        <w:t xml:space="preserve">propriety of </w:t>
      </w:r>
      <w:r w:rsidR="00CA2876" w:rsidRPr="00672545">
        <w:t>the</w:t>
      </w:r>
      <w:r w:rsidR="008B0E83" w:rsidRPr="00672545">
        <w:t xml:space="preserve"> </w:t>
      </w:r>
      <w:r w:rsidR="00A851FD" w:rsidRPr="00672545">
        <w:t xml:space="preserve">magistrate’s consideration of polygraph results </w:t>
      </w:r>
      <w:r w:rsidR="002674B1" w:rsidRPr="00672545">
        <w:t xml:space="preserve">as part of </w:t>
      </w:r>
      <w:r w:rsidR="00CA2876" w:rsidRPr="00672545">
        <w:t>the</w:t>
      </w:r>
      <w:r w:rsidR="002674B1" w:rsidRPr="00672545">
        <w:t xml:space="preserve"> probable cause showing for</w:t>
      </w:r>
      <w:r w:rsidR="00A851FD" w:rsidRPr="00672545">
        <w:t xml:space="preserve"> issuance of a search warrant.  </w:t>
      </w:r>
      <w:r w:rsidR="0050081F" w:rsidRPr="00672545">
        <w:t>Moreover,</w:t>
      </w:r>
      <w:r w:rsidR="001B225C" w:rsidRPr="00672545">
        <w:t xml:space="preserve"> </w:t>
      </w:r>
      <w:r w:rsidR="00333524" w:rsidRPr="00672545">
        <w:t>b</w:t>
      </w:r>
      <w:r w:rsidR="00B42D03" w:rsidRPr="00672545">
        <w:t>ecause the first search was valid,</w:t>
      </w:r>
      <w:r w:rsidR="0050081F" w:rsidRPr="00672545">
        <w:t xml:space="preserve"> th</w:t>
      </w:r>
      <w:r w:rsidR="004E575A" w:rsidRPr="00672545">
        <w:t xml:space="preserve">e subsequent warrants </w:t>
      </w:r>
      <w:r w:rsidR="00B42D03" w:rsidRPr="00672545">
        <w:t xml:space="preserve">and searches </w:t>
      </w:r>
      <w:r w:rsidR="004E575A" w:rsidRPr="00672545">
        <w:t xml:space="preserve">were </w:t>
      </w:r>
      <w:r w:rsidR="00B42D03" w:rsidRPr="00672545">
        <w:t>as well.</w:t>
      </w:r>
      <w:r w:rsidR="00572332" w:rsidRPr="00672545">
        <w:t xml:space="preserve">  Finally, </w:t>
      </w:r>
      <w:r w:rsidR="00DF4DDD" w:rsidRPr="00672545">
        <w:t xml:space="preserve">given these conclusions, we need not reach whether </w:t>
      </w:r>
      <w:r w:rsidR="002A1819" w:rsidRPr="00672545">
        <w:t xml:space="preserve">the first search was justified by the good faith reliance of the police on the magistrate’s issuance of the warrant </w:t>
      </w:r>
      <w:r w:rsidR="008A297C" w:rsidRPr="00672545">
        <w:t xml:space="preserve">or whether </w:t>
      </w:r>
      <w:r w:rsidR="00DF4DDD" w:rsidRPr="00672545">
        <w:t xml:space="preserve">the trial court’s finding of voluntary consent provided an alternative basis for the first search.  </w:t>
      </w:r>
    </w:p>
    <w:p w14:paraId="1A1E676E" w14:textId="77777777" w:rsidR="00F11540" w:rsidRPr="00672545" w:rsidRDefault="00460946" w:rsidP="00672545">
      <w:pPr>
        <w:pStyle w:val="Heading4"/>
      </w:pPr>
      <w:r w:rsidRPr="00672545">
        <w:t>a.  The affidavit</w:t>
      </w:r>
      <w:r w:rsidR="009C7949" w:rsidRPr="00672545">
        <w:t>s supporting the warrants</w:t>
      </w:r>
    </w:p>
    <w:p w14:paraId="1B72B75D" w14:textId="77777777" w:rsidR="009C7949" w:rsidRPr="00672545" w:rsidRDefault="009C7949" w:rsidP="00672545">
      <w:pPr>
        <w:pStyle w:val="Heading5"/>
      </w:pPr>
      <w:r w:rsidRPr="00672545">
        <w:t>1.  The first warrant</w:t>
      </w:r>
    </w:p>
    <w:p w14:paraId="1AF11A71" w14:textId="77777777" w:rsidR="00460946" w:rsidRPr="00672545" w:rsidRDefault="000543C7" w:rsidP="00672545">
      <w:r w:rsidRPr="00672545">
        <w:tab/>
      </w:r>
      <w:r w:rsidR="006762E8" w:rsidRPr="00672545">
        <w:t>At approximately 2</w:t>
      </w:r>
      <w:r w:rsidR="003C2B32">
        <w:t>:00</w:t>
      </w:r>
      <w:r w:rsidR="006762E8" w:rsidRPr="00672545">
        <w:t xml:space="preserve"> a.m. on Tuesday, February 5, 2002, Detective </w:t>
      </w:r>
      <w:proofErr w:type="spellStart"/>
      <w:r w:rsidR="006762E8" w:rsidRPr="00672545">
        <w:t>Alldredge</w:t>
      </w:r>
      <w:proofErr w:type="spellEnd"/>
      <w:r w:rsidR="006762E8" w:rsidRPr="00672545">
        <w:t xml:space="preserve"> telephonically obtained a warrant </w:t>
      </w:r>
      <w:r w:rsidR="00C47804" w:rsidRPr="00672545">
        <w:t xml:space="preserve">from Judge Cynthia </w:t>
      </w:r>
      <w:proofErr w:type="spellStart"/>
      <w:r w:rsidR="00C47804" w:rsidRPr="00672545">
        <w:t>Bashant</w:t>
      </w:r>
      <w:proofErr w:type="spellEnd"/>
      <w:r w:rsidR="00C47804" w:rsidRPr="00672545">
        <w:t xml:space="preserve"> </w:t>
      </w:r>
      <w:r w:rsidR="006762E8" w:rsidRPr="00672545">
        <w:t xml:space="preserve">to </w:t>
      </w:r>
      <w:r w:rsidR="00D24616" w:rsidRPr="00672545">
        <w:t xml:space="preserve">collect biological samples from defendant and to </w:t>
      </w:r>
      <w:r w:rsidR="006762E8" w:rsidRPr="00672545">
        <w:t xml:space="preserve">search </w:t>
      </w:r>
      <w:r w:rsidR="00D24616" w:rsidRPr="00672545">
        <w:t>his</w:t>
      </w:r>
      <w:r w:rsidR="006762E8" w:rsidRPr="00672545">
        <w:t xml:space="preserve"> house and three vehicles</w:t>
      </w:r>
      <w:r w:rsidR="00D425B8" w:rsidRPr="00672545">
        <w:t xml:space="preserve"> —</w:t>
      </w:r>
      <w:r w:rsidR="006762E8" w:rsidRPr="00672545">
        <w:t xml:space="preserve"> his </w:t>
      </w:r>
      <w:r w:rsidR="005536E8" w:rsidRPr="00672545">
        <w:t>SUV</w:t>
      </w:r>
      <w:r w:rsidR="006762E8" w:rsidRPr="00672545">
        <w:t>, motorhome, and trailer.</w:t>
      </w:r>
      <w:r w:rsidR="00F81CD5" w:rsidRPr="00672545">
        <w:t xml:space="preserve">  </w:t>
      </w:r>
      <w:r w:rsidR="00893F1D" w:rsidRPr="00672545">
        <w:t xml:space="preserve">In a conference call, </w:t>
      </w:r>
      <w:proofErr w:type="spellStart"/>
      <w:r w:rsidR="007E7356" w:rsidRPr="00672545">
        <w:t>Alldredge</w:t>
      </w:r>
      <w:proofErr w:type="spellEnd"/>
      <w:r w:rsidR="007E7356" w:rsidRPr="00672545">
        <w:t xml:space="preserve"> </w:t>
      </w:r>
      <w:r w:rsidR="00893F1D" w:rsidRPr="00672545">
        <w:t>testified under oath</w:t>
      </w:r>
      <w:r w:rsidR="00C83C4F" w:rsidRPr="00672545">
        <w:t xml:space="preserve"> before Judge </w:t>
      </w:r>
      <w:proofErr w:type="spellStart"/>
      <w:r w:rsidR="00C83C4F" w:rsidRPr="00672545">
        <w:t>Bashant</w:t>
      </w:r>
      <w:proofErr w:type="spellEnd"/>
      <w:r w:rsidR="00893F1D" w:rsidRPr="00672545">
        <w:t xml:space="preserve"> </w:t>
      </w:r>
      <w:r w:rsidR="00152819" w:rsidRPr="00672545">
        <w:t xml:space="preserve">in response to </w:t>
      </w:r>
      <w:r w:rsidR="00152819" w:rsidRPr="00672545">
        <w:lastRenderedPageBreak/>
        <w:t>questioning by a deputy district attorney</w:t>
      </w:r>
      <w:r w:rsidR="00665986" w:rsidRPr="00672545">
        <w:t>.</w:t>
      </w:r>
      <w:r w:rsidR="00F81CD5" w:rsidRPr="00672545">
        <w:t xml:space="preserve">  </w:t>
      </w:r>
      <w:r w:rsidR="00665986" w:rsidRPr="00672545">
        <w:t xml:space="preserve">At the end of </w:t>
      </w:r>
      <w:proofErr w:type="spellStart"/>
      <w:r w:rsidR="00665986" w:rsidRPr="00672545">
        <w:t>Alldredge’s</w:t>
      </w:r>
      <w:proofErr w:type="spellEnd"/>
      <w:r w:rsidR="00665986" w:rsidRPr="00672545">
        <w:t xml:space="preserve"> testimony, Judge </w:t>
      </w:r>
      <w:proofErr w:type="spellStart"/>
      <w:r w:rsidR="00665986" w:rsidRPr="00672545">
        <w:t>Bashant</w:t>
      </w:r>
      <w:proofErr w:type="spellEnd"/>
      <w:r w:rsidR="00665986" w:rsidRPr="00672545">
        <w:t xml:space="preserve"> decided to issue </w:t>
      </w:r>
      <w:r w:rsidR="008C1FFD" w:rsidRPr="00672545">
        <w:t>the warrant.  A</w:t>
      </w:r>
      <w:r w:rsidR="00AE25DD" w:rsidRPr="00672545">
        <w:t xml:space="preserve"> transcript of </w:t>
      </w:r>
      <w:proofErr w:type="spellStart"/>
      <w:r w:rsidR="008C1FFD" w:rsidRPr="00672545">
        <w:t>Alldredge’s</w:t>
      </w:r>
      <w:proofErr w:type="spellEnd"/>
      <w:r w:rsidR="008C1FFD" w:rsidRPr="00672545">
        <w:t xml:space="preserve"> </w:t>
      </w:r>
      <w:r w:rsidR="00AE25DD" w:rsidRPr="00672545">
        <w:t xml:space="preserve">testimony </w:t>
      </w:r>
      <w:r w:rsidR="008C1FFD" w:rsidRPr="00672545">
        <w:t xml:space="preserve">was later attached to the </w:t>
      </w:r>
      <w:r w:rsidR="00662F02" w:rsidRPr="00672545">
        <w:t>warrant.</w:t>
      </w:r>
      <w:r w:rsidR="007A49A5" w:rsidRPr="00672545">
        <w:t xml:space="preserve"> </w:t>
      </w:r>
    </w:p>
    <w:p w14:paraId="2E90289C" w14:textId="77777777" w:rsidR="00B57D20" w:rsidRPr="00672545" w:rsidRDefault="006762E8" w:rsidP="00672545">
      <w:r w:rsidRPr="00672545">
        <w:tab/>
      </w:r>
      <w:r w:rsidR="000B0C32" w:rsidRPr="00672545">
        <w:t xml:space="preserve">As set out in that transcript, </w:t>
      </w:r>
      <w:proofErr w:type="spellStart"/>
      <w:r w:rsidR="00B57D20" w:rsidRPr="00672545">
        <w:t>Allredge</w:t>
      </w:r>
      <w:proofErr w:type="spellEnd"/>
      <w:r w:rsidR="00B57D20" w:rsidRPr="00672545">
        <w:t xml:space="preserve"> testified </w:t>
      </w:r>
      <w:r w:rsidR="00E83CE2" w:rsidRPr="00672545">
        <w:t>that</w:t>
      </w:r>
      <w:r w:rsidR="00B57D20" w:rsidRPr="00672545">
        <w:t xml:space="preserve"> Da</w:t>
      </w:r>
      <w:r w:rsidR="00E83CE2" w:rsidRPr="00672545">
        <w:t>nielle Van Dam was “now considered to be abducted</w:t>
      </w:r>
      <w:r w:rsidR="00B57D20" w:rsidRPr="00672545">
        <w:t>”</w:t>
      </w:r>
      <w:r w:rsidR="00E83CE2" w:rsidRPr="00672545">
        <w:t xml:space="preserve"> and provided the details of her disappearance on February 2, 2002.</w:t>
      </w:r>
      <w:r w:rsidR="00F81CD5" w:rsidRPr="00672545">
        <w:t xml:space="preserve">  </w:t>
      </w:r>
      <w:r w:rsidR="00524FED" w:rsidRPr="00672545">
        <w:t>He explained that the</w:t>
      </w:r>
      <w:r w:rsidR="001A7E26" w:rsidRPr="00672545">
        <w:t xml:space="preserve"> police responded and completed a door-to-door </w:t>
      </w:r>
      <w:r w:rsidR="00637636" w:rsidRPr="00672545">
        <w:t>check</w:t>
      </w:r>
      <w:r w:rsidR="00524FED" w:rsidRPr="00672545">
        <w:t xml:space="preserve"> of the neighborhood</w:t>
      </w:r>
      <w:r w:rsidR="001A7E26" w:rsidRPr="00672545">
        <w:t xml:space="preserve"> looking for Danielle.  Durin</w:t>
      </w:r>
      <w:r w:rsidR="00DF1CF1" w:rsidRPr="00672545">
        <w:t xml:space="preserve">g the initial </w:t>
      </w:r>
      <w:r w:rsidR="00B10CD0" w:rsidRPr="00672545">
        <w:t>survey</w:t>
      </w:r>
      <w:r w:rsidR="001A7E26" w:rsidRPr="00672545">
        <w:t xml:space="preserve">, </w:t>
      </w:r>
      <w:r w:rsidR="009B58A4" w:rsidRPr="00672545">
        <w:t>m</w:t>
      </w:r>
      <w:r w:rsidR="001A7E26" w:rsidRPr="00672545">
        <w:t>ost of the other immediate neighbors were at home and contacted</w:t>
      </w:r>
      <w:r w:rsidR="009B58A4" w:rsidRPr="00672545">
        <w:t xml:space="preserve">, but defendant, who lived two </w:t>
      </w:r>
      <w:r w:rsidR="00B10CD0" w:rsidRPr="00672545">
        <w:t>houses</w:t>
      </w:r>
      <w:r w:rsidR="009B58A4" w:rsidRPr="00672545">
        <w:t xml:space="preserve"> </w:t>
      </w:r>
      <w:r w:rsidR="00444BBA" w:rsidRPr="00672545">
        <w:t>away from the Van Dams, was not home</w:t>
      </w:r>
      <w:r w:rsidR="001A7E26" w:rsidRPr="00672545">
        <w:t>.</w:t>
      </w:r>
      <w:r w:rsidR="00F81CD5" w:rsidRPr="00672545">
        <w:t xml:space="preserve">  </w:t>
      </w:r>
      <w:proofErr w:type="spellStart"/>
      <w:r w:rsidR="00361BFF" w:rsidRPr="00672545">
        <w:t>Alldredge</w:t>
      </w:r>
      <w:proofErr w:type="spellEnd"/>
      <w:r w:rsidR="00361BFF" w:rsidRPr="00672545">
        <w:t xml:space="preserve"> further noted that the p</w:t>
      </w:r>
      <w:r w:rsidR="00150066" w:rsidRPr="00672545">
        <w:t>olice conducted a second canvas of the neig</w:t>
      </w:r>
      <w:r w:rsidR="00A4597C" w:rsidRPr="00672545">
        <w:t>hborhood on February 3, 2002, and d</w:t>
      </w:r>
      <w:r w:rsidR="00150066" w:rsidRPr="00672545">
        <w:t xml:space="preserve">efendant was still not home.  </w:t>
      </w:r>
    </w:p>
    <w:p w14:paraId="6B72AE0E" w14:textId="77777777" w:rsidR="00481E54" w:rsidRPr="00672545" w:rsidRDefault="00481E54" w:rsidP="00672545">
      <w:r w:rsidRPr="00672545">
        <w:tab/>
      </w:r>
      <w:proofErr w:type="spellStart"/>
      <w:r w:rsidRPr="00672545">
        <w:t>Alldredge</w:t>
      </w:r>
      <w:proofErr w:type="spellEnd"/>
      <w:r w:rsidRPr="00672545">
        <w:t xml:space="preserve"> </w:t>
      </w:r>
      <w:r w:rsidR="005F1FF2" w:rsidRPr="00672545">
        <w:t xml:space="preserve">testified that he learned from </w:t>
      </w:r>
      <w:r w:rsidRPr="00672545">
        <w:t>Danielle’s mother, Brenda Van Dam</w:t>
      </w:r>
      <w:r w:rsidR="001C7F83" w:rsidRPr="00672545">
        <w:t xml:space="preserve"> that she had previously met defendant </w:t>
      </w:r>
      <w:r w:rsidR="00A12DB8" w:rsidRPr="00672545">
        <w:t xml:space="preserve">twice </w:t>
      </w:r>
      <w:r w:rsidR="00091DD4" w:rsidRPr="00672545">
        <w:t>at a local bar, including on the night before Danielle’s disappearance</w:t>
      </w:r>
      <w:r w:rsidRPr="00672545">
        <w:t>.</w:t>
      </w:r>
      <w:r w:rsidR="00F81CD5" w:rsidRPr="00672545">
        <w:t xml:space="preserve">  </w:t>
      </w:r>
      <w:r w:rsidR="001C62A7" w:rsidRPr="00672545">
        <w:t xml:space="preserve">Brenda also told </w:t>
      </w:r>
      <w:proofErr w:type="spellStart"/>
      <w:r w:rsidR="001C62A7" w:rsidRPr="00672545">
        <w:t>Alldredge</w:t>
      </w:r>
      <w:proofErr w:type="spellEnd"/>
      <w:r w:rsidR="001C62A7" w:rsidRPr="00672545">
        <w:t xml:space="preserve"> that she and Danielle had been inside defendant’s house a few days </w:t>
      </w:r>
      <w:r w:rsidR="0048567B" w:rsidRPr="00672545">
        <w:t xml:space="preserve">before Danielle’s disappearance </w:t>
      </w:r>
      <w:r w:rsidR="001C62A7" w:rsidRPr="00672545">
        <w:t xml:space="preserve">to sell </w:t>
      </w:r>
      <w:r w:rsidR="00150066" w:rsidRPr="00672545">
        <w:t>girl scout cookies.</w:t>
      </w:r>
      <w:r w:rsidR="00F81CD5" w:rsidRPr="00672545">
        <w:t xml:space="preserve">  </w:t>
      </w:r>
      <w:r w:rsidR="00283398" w:rsidRPr="00672545">
        <w:t xml:space="preserve"> </w:t>
      </w:r>
    </w:p>
    <w:p w14:paraId="298C3092" w14:textId="77777777" w:rsidR="008D27EC" w:rsidRPr="00672545" w:rsidRDefault="00C774EB" w:rsidP="00672545">
      <w:r w:rsidRPr="00672545">
        <w:tab/>
      </w:r>
      <w:proofErr w:type="spellStart"/>
      <w:r w:rsidR="00A4597C" w:rsidRPr="00672545">
        <w:t>Allredge</w:t>
      </w:r>
      <w:proofErr w:type="spellEnd"/>
      <w:r w:rsidR="00A4597C" w:rsidRPr="00672545">
        <w:t xml:space="preserve"> explain</w:t>
      </w:r>
      <w:r w:rsidR="000E045F" w:rsidRPr="00672545">
        <w:t>ed</w:t>
      </w:r>
      <w:r w:rsidR="00A4597C" w:rsidRPr="00672545">
        <w:t xml:space="preserve"> that the police first </w:t>
      </w:r>
      <w:proofErr w:type="gramStart"/>
      <w:r w:rsidR="00A4597C" w:rsidRPr="00672545">
        <w:t>made contact with</w:t>
      </w:r>
      <w:proofErr w:type="gramEnd"/>
      <w:r w:rsidR="00A4597C" w:rsidRPr="00672545">
        <w:t xml:space="preserve"> defendant when he came home the morning of </w:t>
      </w:r>
      <w:r w:rsidR="00CA047F" w:rsidRPr="00672545">
        <w:t>February 4</w:t>
      </w:r>
      <w:r w:rsidR="000E045F" w:rsidRPr="00672545">
        <w:t>, 2002</w:t>
      </w:r>
      <w:r w:rsidR="00A4597C" w:rsidRPr="00672545">
        <w:t xml:space="preserve">.  </w:t>
      </w:r>
      <w:r w:rsidR="000E045F" w:rsidRPr="00672545">
        <w:t>D</w:t>
      </w:r>
      <w:r w:rsidR="00CA047F" w:rsidRPr="00672545">
        <w:t>efe</w:t>
      </w:r>
      <w:r w:rsidR="000E045F" w:rsidRPr="00672545">
        <w:t>ndant gave them</w:t>
      </w:r>
      <w:r w:rsidR="00CA047F" w:rsidRPr="00672545">
        <w:t xml:space="preserve"> written consent to search his house and </w:t>
      </w:r>
      <w:r w:rsidR="0010650F" w:rsidRPr="00672545">
        <w:t>motorhome</w:t>
      </w:r>
      <w:r w:rsidR="000B3CD2" w:rsidRPr="00672545">
        <w:t>, including a dog scent search</w:t>
      </w:r>
      <w:r w:rsidR="00CA047F" w:rsidRPr="00672545">
        <w:t>.</w:t>
      </w:r>
      <w:r w:rsidR="00F81CD5" w:rsidRPr="00672545">
        <w:t xml:space="preserve">  </w:t>
      </w:r>
      <w:r w:rsidR="00EA4590" w:rsidRPr="00672545">
        <w:t>T</w:t>
      </w:r>
      <w:r w:rsidR="00CA047F" w:rsidRPr="00672545">
        <w:t>he dog twi</w:t>
      </w:r>
      <w:r w:rsidR="00DF2963" w:rsidRPr="00672545">
        <w:t>ce displayed an interest toward</w:t>
      </w:r>
      <w:r w:rsidR="00CA047F" w:rsidRPr="00672545">
        <w:t xml:space="preserve"> the garage door</w:t>
      </w:r>
      <w:r w:rsidR="00283398" w:rsidRPr="00672545">
        <w:t>, although</w:t>
      </w:r>
      <w:r w:rsidR="00CA047F" w:rsidRPr="00672545">
        <w:t xml:space="preserve"> it was not enough to be considered an “alert.”</w:t>
      </w:r>
      <w:r w:rsidR="00F81CD5" w:rsidRPr="00672545">
        <w:t xml:space="preserve">  </w:t>
      </w:r>
      <w:r w:rsidR="004A089B" w:rsidRPr="00672545">
        <w:t>In response, d</w:t>
      </w:r>
      <w:r w:rsidR="00283398" w:rsidRPr="00672545">
        <w:t xml:space="preserve">efendant </w:t>
      </w:r>
      <w:r w:rsidR="00B2513A" w:rsidRPr="00672545">
        <w:t>explained</w:t>
      </w:r>
      <w:r w:rsidR="00283398" w:rsidRPr="00672545">
        <w:t xml:space="preserve"> that Danielle and her brother had recently been in </w:t>
      </w:r>
      <w:r w:rsidR="0090250B" w:rsidRPr="00672545">
        <w:t xml:space="preserve">his </w:t>
      </w:r>
      <w:r w:rsidR="00283398" w:rsidRPr="00672545">
        <w:t>home while selling girl scout cookies and that they had run around inside the house, including upstairs, downstairs, in the garage, and outside to visit the pool.</w:t>
      </w:r>
      <w:r w:rsidR="00F81CD5" w:rsidRPr="00672545">
        <w:t xml:space="preserve">  </w:t>
      </w:r>
      <w:r w:rsidR="00762B79" w:rsidRPr="00672545">
        <w:t>The o</w:t>
      </w:r>
      <w:r w:rsidR="00EF3D3C" w:rsidRPr="00672545">
        <w:t xml:space="preserve">fficers again </w:t>
      </w:r>
      <w:r w:rsidR="00EF3D3C" w:rsidRPr="00672545">
        <w:lastRenderedPageBreak/>
        <w:t>contacted Brenda</w:t>
      </w:r>
      <w:r w:rsidR="00DF2963" w:rsidRPr="00672545">
        <w:t>,</w:t>
      </w:r>
      <w:r w:rsidR="00EF3D3C" w:rsidRPr="00672545">
        <w:t xml:space="preserve"> and </w:t>
      </w:r>
      <w:r w:rsidR="00DF2963" w:rsidRPr="00672545">
        <w:t xml:space="preserve">she </w:t>
      </w:r>
      <w:r w:rsidR="00EF3D3C" w:rsidRPr="00672545">
        <w:t xml:space="preserve">confirmed that the children had </w:t>
      </w:r>
      <w:r w:rsidR="008A50C8" w:rsidRPr="00672545">
        <w:t>neither</w:t>
      </w:r>
      <w:r w:rsidR="00EF3D3C" w:rsidRPr="00672545">
        <w:t xml:space="preserve"> entered the garage </w:t>
      </w:r>
      <w:r w:rsidR="00C642C4" w:rsidRPr="00672545">
        <w:t>n</w:t>
      </w:r>
      <w:r w:rsidR="00EF3D3C" w:rsidRPr="00672545">
        <w:t>or</w:t>
      </w:r>
      <w:r w:rsidR="0090250B" w:rsidRPr="00672545">
        <w:t xml:space="preserve"> had</w:t>
      </w:r>
      <w:r w:rsidR="00EF3D3C" w:rsidRPr="00672545">
        <w:t xml:space="preserve"> gone upstairs.</w:t>
      </w:r>
      <w:r w:rsidR="00F81CD5" w:rsidRPr="00672545">
        <w:t xml:space="preserve">  </w:t>
      </w:r>
    </w:p>
    <w:p w14:paraId="023010A8" w14:textId="77777777" w:rsidR="00EF3D3C" w:rsidRPr="00672545" w:rsidRDefault="00EF3D3C" w:rsidP="00672545">
      <w:r w:rsidRPr="00672545">
        <w:tab/>
      </w:r>
      <w:proofErr w:type="spellStart"/>
      <w:r w:rsidR="00C803C3" w:rsidRPr="00672545">
        <w:t>Alldredge</w:t>
      </w:r>
      <w:proofErr w:type="spellEnd"/>
      <w:r w:rsidR="00C803C3" w:rsidRPr="00672545">
        <w:t xml:space="preserve"> testified that o</w:t>
      </w:r>
      <w:r w:rsidRPr="00672545">
        <w:t>fficers then search</w:t>
      </w:r>
      <w:r w:rsidR="005503EF" w:rsidRPr="00672545">
        <w:t>ed</w:t>
      </w:r>
      <w:r w:rsidRPr="00672545">
        <w:t xml:space="preserve"> defendant’s </w:t>
      </w:r>
      <w:r w:rsidR="0010650F" w:rsidRPr="00672545">
        <w:t>motorhome</w:t>
      </w:r>
      <w:r w:rsidR="00D1051E" w:rsidRPr="00672545">
        <w:t>, which was parked about 30 miles away in Poway, California</w:t>
      </w:r>
      <w:r w:rsidRPr="00672545">
        <w:t xml:space="preserve">.  </w:t>
      </w:r>
      <w:r w:rsidR="00951F23" w:rsidRPr="00672545">
        <w:t>A</w:t>
      </w:r>
      <w:r w:rsidRPr="00672545">
        <w:t xml:space="preserve">ccording to the detectives, defendant displayed an unusual amount of cooperativeness </w:t>
      </w:r>
      <w:r w:rsidR="00D1051E" w:rsidRPr="00672545">
        <w:t xml:space="preserve">during the search </w:t>
      </w:r>
      <w:r w:rsidRPr="00672545">
        <w:t>by opening drawers, lifting cushions, and pointing out areas missed by the detectives.</w:t>
      </w:r>
      <w:r w:rsidR="00F81CD5" w:rsidRPr="00672545">
        <w:t xml:space="preserve">  </w:t>
      </w:r>
    </w:p>
    <w:p w14:paraId="08FBB8AE" w14:textId="77777777" w:rsidR="00EF3D3C" w:rsidRPr="00672545" w:rsidRDefault="00EF3D3C" w:rsidP="00672545">
      <w:r w:rsidRPr="00672545">
        <w:tab/>
      </w:r>
      <w:proofErr w:type="spellStart"/>
      <w:r w:rsidR="009F3B34" w:rsidRPr="00672545">
        <w:t>Alldredge</w:t>
      </w:r>
      <w:proofErr w:type="spellEnd"/>
      <w:r w:rsidR="009F3B34" w:rsidRPr="00672545">
        <w:t xml:space="preserve"> </w:t>
      </w:r>
      <w:r w:rsidR="0050523E" w:rsidRPr="00672545">
        <w:t xml:space="preserve">further </w:t>
      </w:r>
      <w:r w:rsidR="009F3B34" w:rsidRPr="00672545">
        <w:t>t</w:t>
      </w:r>
      <w:r w:rsidR="00725AC4" w:rsidRPr="00672545">
        <w:t xml:space="preserve">estified </w:t>
      </w:r>
      <w:r w:rsidR="009F3B34" w:rsidRPr="00672545">
        <w:t xml:space="preserve">that on February 4, </w:t>
      </w:r>
      <w:r w:rsidR="00725AC4" w:rsidRPr="00672545">
        <w:t xml:space="preserve">he </w:t>
      </w:r>
      <w:r w:rsidR="009F3B34" w:rsidRPr="00672545">
        <w:t>participated in a phone conversation with</w:t>
      </w:r>
      <w:r w:rsidR="0050523E" w:rsidRPr="00672545">
        <w:t xml:space="preserve"> Federal Bureau of Investigations</w:t>
      </w:r>
      <w:r w:rsidR="00725AC4" w:rsidRPr="00672545">
        <w:t xml:space="preserve"> </w:t>
      </w:r>
      <w:r w:rsidR="0050523E" w:rsidRPr="00672545">
        <w:t>(</w:t>
      </w:r>
      <w:r w:rsidR="00725AC4" w:rsidRPr="00672545">
        <w:t>FBI</w:t>
      </w:r>
      <w:r w:rsidR="0050523E" w:rsidRPr="00672545">
        <w:t>)</w:t>
      </w:r>
      <w:r w:rsidR="00725AC4" w:rsidRPr="00672545">
        <w:t xml:space="preserve"> </w:t>
      </w:r>
      <w:r w:rsidR="009F3B34" w:rsidRPr="00672545">
        <w:t>agent</w:t>
      </w:r>
      <w:r w:rsidR="00725AC4" w:rsidRPr="00672545">
        <w:t>s</w:t>
      </w:r>
      <w:r w:rsidR="009F3B34" w:rsidRPr="00672545">
        <w:t xml:space="preserve"> known for profiling abductors.</w:t>
      </w:r>
      <w:r w:rsidR="00F81CD5" w:rsidRPr="00672545">
        <w:t xml:space="preserve">  </w:t>
      </w:r>
      <w:r w:rsidR="00725AC4" w:rsidRPr="00672545">
        <w:t>According to the FBI profilers</w:t>
      </w:r>
      <w:r w:rsidR="00CF238B" w:rsidRPr="00672545">
        <w:t>,</w:t>
      </w:r>
      <w:r w:rsidR="009F3B34" w:rsidRPr="00672545">
        <w:t xml:space="preserve"> </w:t>
      </w:r>
      <w:r w:rsidR="00725AC4" w:rsidRPr="00672545">
        <w:t xml:space="preserve">a person involved in </w:t>
      </w:r>
      <w:r w:rsidR="0086773D" w:rsidRPr="00672545">
        <w:t xml:space="preserve">an </w:t>
      </w:r>
      <w:r w:rsidR="00725AC4" w:rsidRPr="00672545">
        <w:t xml:space="preserve">abduction </w:t>
      </w:r>
      <w:r w:rsidR="00E85FEC" w:rsidRPr="00672545">
        <w:t xml:space="preserve">often </w:t>
      </w:r>
      <w:r w:rsidR="0086773D" w:rsidRPr="00672545">
        <w:t xml:space="preserve">may </w:t>
      </w:r>
      <w:r w:rsidR="00DF5FF6" w:rsidRPr="00672545">
        <w:t>offer</w:t>
      </w:r>
      <w:r w:rsidR="00725AC4" w:rsidRPr="00672545">
        <w:t xml:space="preserve"> to help </w:t>
      </w:r>
      <w:r w:rsidR="000E4238" w:rsidRPr="00672545">
        <w:t xml:space="preserve">officers </w:t>
      </w:r>
      <w:r w:rsidR="00725AC4" w:rsidRPr="00672545">
        <w:t xml:space="preserve">or display </w:t>
      </w:r>
      <w:r w:rsidR="0086773D" w:rsidRPr="00672545">
        <w:t>excessive</w:t>
      </w:r>
      <w:r w:rsidR="00725AC4" w:rsidRPr="00672545">
        <w:t xml:space="preserve"> cooperat</w:t>
      </w:r>
      <w:r w:rsidR="003A41F8" w:rsidRPr="00672545">
        <w:t>ion</w:t>
      </w:r>
      <w:r w:rsidR="001F68E7" w:rsidRPr="00672545">
        <w:t>.</w:t>
      </w:r>
      <w:r w:rsidR="00F81CD5" w:rsidRPr="00672545">
        <w:t xml:space="preserve">  </w:t>
      </w:r>
      <w:r w:rsidR="00725AC4" w:rsidRPr="00672545">
        <w:t>Further, according to a 10-year study, most abduct</w:t>
      </w:r>
      <w:r w:rsidR="00B26334" w:rsidRPr="00672545">
        <w:t>ions</w:t>
      </w:r>
      <w:r w:rsidR="00725AC4" w:rsidRPr="00672545">
        <w:t xml:space="preserve"> of children ages five and above are for sexual purposes.  The abductors are mostly males </w:t>
      </w:r>
      <w:r w:rsidR="00667CDE" w:rsidRPr="00672545">
        <w:t xml:space="preserve">who either </w:t>
      </w:r>
      <w:r w:rsidR="00725AC4" w:rsidRPr="00672545">
        <w:t>liv</w:t>
      </w:r>
      <w:r w:rsidR="00667CDE" w:rsidRPr="00672545">
        <w:t>e</w:t>
      </w:r>
      <w:r w:rsidR="00725AC4" w:rsidRPr="00672545">
        <w:t xml:space="preserve"> close </w:t>
      </w:r>
      <w:r w:rsidR="000E4238" w:rsidRPr="00672545">
        <w:t>to</w:t>
      </w:r>
      <w:r w:rsidR="00725AC4" w:rsidRPr="00672545">
        <w:t xml:space="preserve"> the victim’</w:t>
      </w:r>
      <w:r w:rsidR="00667CDE" w:rsidRPr="00672545">
        <w:t>s residence</w:t>
      </w:r>
      <w:r w:rsidR="00725AC4" w:rsidRPr="00672545">
        <w:t xml:space="preserve"> or are an acquaintance of the victim’s family.  The profilers believed it was highly unlikely </w:t>
      </w:r>
      <w:r w:rsidR="003B2332" w:rsidRPr="00672545">
        <w:t xml:space="preserve">that </w:t>
      </w:r>
      <w:proofErr w:type="gramStart"/>
      <w:r w:rsidR="00725AC4" w:rsidRPr="00672545">
        <w:t>a complete stranger</w:t>
      </w:r>
      <w:proofErr w:type="gramEnd"/>
      <w:r w:rsidR="00725AC4" w:rsidRPr="00672545">
        <w:t xml:space="preserve"> abducted Danielle because of the high risk of entering an unknown residence to take a victim.  The profilers </w:t>
      </w:r>
      <w:r w:rsidR="00F63EF8" w:rsidRPr="00672545">
        <w:t xml:space="preserve">also </w:t>
      </w:r>
      <w:r w:rsidR="00725AC4" w:rsidRPr="00672545">
        <w:t>though</w:t>
      </w:r>
      <w:r w:rsidR="00C634C8" w:rsidRPr="00672545">
        <w:t>t</w:t>
      </w:r>
      <w:r w:rsidR="00725AC4" w:rsidRPr="00672545">
        <w:t xml:space="preserve"> the perpetrator was someone familiar with the inside of the Van Dam home.</w:t>
      </w:r>
      <w:r w:rsidR="00F81CD5" w:rsidRPr="00672545">
        <w:t xml:space="preserve">  </w:t>
      </w:r>
      <w:r w:rsidR="004C697E" w:rsidRPr="00672545">
        <w:t xml:space="preserve">According to </w:t>
      </w:r>
      <w:proofErr w:type="spellStart"/>
      <w:r w:rsidR="004C697E" w:rsidRPr="00672545">
        <w:t>Alldredge</w:t>
      </w:r>
      <w:proofErr w:type="spellEnd"/>
      <w:r w:rsidR="004C697E" w:rsidRPr="00672545">
        <w:t xml:space="preserve">, defendant’s house was </w:t>
      </w:r>
      <w:proofErr w:type="gramStart"/>
      <w:r w:rsidR="004C697E" w:rsidRPr="00672545">
        <w:t>similar to</w:t>
      </w:r>
      <w:proofErr w:type="gramEnd"/>
      <w:r w:rsidR="004C697E" w:rsidRPr="00672545">
        <w:t xml:space="preserve"> the Van Dam’s home.  </w:t>
      </w:r>
    </w:p>
    <w:p w14:paraId="3BE88ECE" w14:textId="77777777" w:rsidR="00B26334" w:rsidRPr="00672545" w:rsidRDefault="006106A2" w:rsidP="00672545">
      <w:r w:rsidRPr="00672545">
        <w:tab/>
      </w:r>
      <w:proofErr w:type="spellStart"/>
      <w:r w:rsidRPr="00672545">
        <w:t>Alldredge</w:t>
      </w:r>
      <w:proofErr w:type="spellEnd"/>
      <w:r w:rsidRPr="00672545">
        <w:t xml:space="preserve"> testified that in an interview with Detective Keene, defendant </w:t>
      </w:r>
      <w:r w:rsidR="0082136A" w:rsidRPr="00672545">
        <w:t>described</w:t>
      </w:r>
      <w:r w:rsidR="00E86149" w:rsidRPr="00672545">
        <w:t xml:space="preserve"> </w:t>
      </w:r>
      <w:r w:rsidR="0082136A" w:rsidRPr="00672545">
        <w:t>encountering Brenda at the local bar on the night before Danielle’s disappearance</w:t>
      </w:r>
      <w:r w:rsidR="00643750" w:rsidRPr="00672545">
        <w:t>.</w:t>
      </w:r>
      <w:r w:rsidR="0082136A" w:rsidRPr="00672545">
        <w:t xml:space="preserve"> </w:t>
      </w:r>
      <w:r w:rsidR="00643750" w:rsidRPr="00672545">
        <w:t xml:space="preserve"> C</w:t>
      </w:r>
      <w:r w:rsidRPr="00672545">
        <w:t xml:space="preserve">ontrary to Brenda’s </w:t>
      </w:r>
      <w:r w:rsidR="00823740" w:rsidRPr="00672545">
        <w:t>description</w:t>
      </w:r>
      <w:r w:rsidRPr="00672545">
        <w:t xml:space="preserve"> of </w:t>
      </w:r>
      <w:r w:rsidR="00643750" w:rsidRPr="00672545">
        <w:t>that</w:t>
      </w:r>
      <w:r w:rsidR="009376D7" w:rsidRPr="00672545">
        <w:t xml:space="preserve"> </w:t>
      </w:r>
      <w:r w:rsidR="007F7B3C" w:rsidRPr="00672545">
        <w:t xml:space="preserve">same </w:t>
      </w:r>
      <w:r w:rsidRPr="00672545">
        <w:t xml:space="preserve">encounter, defendant </w:t>
      </w:r>
      <w:r w:rsidR="009376D7" w:rsidRPr="00672545">
        <w:t>told Detective Keene</w:t>
      </w:r>
      <w:r w:rsidRPr="00672545">
        <w:t xml:space="preserve"> that Brenda </w:t>
      </w:r>
      <w:r w:rsidR="00F8433B" w:rsidRPr="00672545">
        <w:t xml:space="preserve">had </w:t>
      </w:r>
      <w:r w:rsidR="00253FB5" w:rsidRPr="00672545">
        <w:t>discussed</w:t>
      </w:r>
      <w:r w:rsidRPr="00672545">
        <w:t xml:space="preserve"> her daughter Danielle</w:t>
      </w:r>
      <w:r w:rsidR="009376D7" w:rsidRPr="00672545">
        <w:t>.  Defendant said that Brenda</w:t>
      </w:r>
      <w:r w:rsidR="007F3F03" w:rsidRPr="00672545">
        <w:t xml:space="preserve"> had</w:t>
      </w:r>
      <w:r w:rsidR="009376D7" w:rsidRPr="00672545">
        <w:t xml:space="preserve"> m</w:t>
      </w:r>
      <w:r w:rsidRPr="00672545">
        <w:t>entioned a</w:t>
      </w:r>
      <w:r w:rsidR="00201BD0" w:rsidRPr="00672545">
        <w:t>n upcoming</w:t>
      </w:r>
      <w:r w:rsidR="001303EE">
        <w:t xml:space="preserve"> father-</w:t>
      </w:r>
      <w:r w:rsidRPr="00672545">
        <w:t>daughter dance at school</w:t>
      </w:r>
      <w:r w:rsidR="00F8433B" w:rsidRPr="00672545">
        <w:t>, that she had bought</w:t>
      </w:r>
      <w:r w:rsidRPr="00672545">
        <w:t xml:space="preserve"> </w:t>
      </w:r>
      <w:r w:rsidRPr="00672545">
        <w:lastRenderedPageBreak/>
        <w:t xml:space="preserve">a new blouse for Danielle, and </w:t>
      </w:r>
      <w:r w:rsidR="00F8433B" w:rsidRPr="00672545">
        <w:t>that</w:t>
      </w:r>
      <w:r w:rsidRPr="00672545">
        <w:t xml:space="preserve"> Danielle’s father </w:t>
      </w:r>
      <w:r w:rsidR="009376D7" w:rsidRPr="00672545">
        <w:t>was</w:t>
      </w:r>
      <w:r w:rsidRPr="00672545">
        <w:t xml:space="preserve"> concerned about how fast his little girl </w:t>
      </w:r>
      <w:r w:rsidR="009376D7" w:rsidRPr="00672545">
        <w:t>wa</w:t>
      </w:r>
      <w:r w:rsidRPr="00672545">
        <w:t>s growing up.</w:t>
      </w:r>
      <w:r w:rsidR="00F81CD5" w:rsidRPr="00672545">
        <w:t xml:space="preserve">  </w:t>
      </w:r>
      <w:r w:rsidR="009376D7" w:rsidRPr="00672545">
        <w:t xml:space="preserve">According to Keene, </w:t>
      </w:r>
      <w:r w:rsidR="007A6E96" w:rsidRPr="00672545">
        <w:t xml:space="preserve">“out of the clear blue sky” </w:t>
      </w:r>
      <w:r w:rsidR="009376D7" w:rsidRPr="00672545">
        <w:t>defendant stated</w:t>
      </w:r>
      <w:r w:rsidR="007A6E96" w:rsidRPr="00672545">
        <w:t xml:space="preserve"> </w:t>
      </w:r>
      <w:r w:rsidR="009376D7" w:rsidRPr="00672545">
        <w:t>that Brenda had told him a babysitter, and not her husband, was watching her children</w:t>
      </w:r>
      <w:r w:rsidR="003A51DB" w:rsidRPr="00672545">
        <w:t xml:space="preserve"> that night</w:t>
      </w:r>
      <w:r w:rsidR="009376D7" w:rsidRPr="00672545">
        <w:t>.</w:t>
      </w:r>
      <w:r w:rsidR="00F81CD5" w:rsidRPr="00672545">
        <w:t xml:space="preserve">  </w:t>
      </w:r>
      <w:r w:rsidR="009376D7" w:rsidRPr="00672545">
        <w:t xml:space="preserve">Keene knew that Danielle’s father Damon had been watching the children, </w:t>
      </w:r>
      <w:r w:rsidR="00B26334" w:rsidRPr="00672545">
        <w:t>although this</w:t>
      </w:r>
      <w:r w:rsidR="009376D7" w:rsidRPr="00672545">
        <w:t xml:space="preserve"> was not common knowledge.  Often the Van Dams would have a babysitter watch the children on Friday nights.</w:t>
      </w:r>
      <w:r w:rsidR="00F81CD5" w:rsidRPr="00672545">
        <w:t xml:space="preserve">  </w:t>
      </w:r>
    </w:p>
    <w:p w14:paraId="63BB4A05" w14:textId="77777777" w:rsidR="006106A2" w:rsidRPr="00672545" w:rsidRDefault="009376D7" w:rsidP="00672545">
      <w:r w:rsidRPr="00672545">
        <w:tab/>
      </w:r>
      <w:proofErr w:type="spellStart"/>
      <w:r w:rsidR="00B26334" w:rsidRPr="00672545">
        <w:t>Alldredge</w:t>
      </w:r>
      <w:proofErr w:type="spellEnd"/>
      <w:r w:rsidR="00B26334" w:rsidRPr="00672545">
        <w:t xml:space="preserve"> testified that a</w:t>
      </w:r>
      <w:r w:rsidRPr="00672545">
        <w:t xml:space="preserve"> detective </w:t>
      </w:r>
      <w:proofErr w:type="spellStart"/>
      <w:r w:rsidRPr="00672545">
        <w:t>recontacted</w:t>
      </w:r>
      <w:proofErr w:type="spellEnd"/>
      <w:r w:rsidRPr="00672545">
        <w:t xml:space="preserve"> Brenda and confirmed that she had not told a</w:t>
      </w:r>
      <w:r w:rsidR="00147314">
        <w:t>nyone about the upcoming father-</w:t>
      </w:r>
      <w:r w:rsidRPr="00672545">
        <w:t>daughter dance.  According to Brenda, the only persons who were aware of the dance were immediate family members and one neighbor, not defendant.</w:t>
      </w:r>
      <w:r w:rsidR="00F81CD5" w:rsidRPr="00672545">
        <w:t xml:space="preserve">  </w:t>
      </w:r>
    </w:p>
    <w:p w14:paraId="23138087" w14:textId="77777777" w:rsidR="00F11D42" w:rsidRPr="00672545" w:rsidRDefault="00B26334" w:rsidP="00672545">
      <w:r w:rsidRPr="00672545">
        <w:tab/>
      </w:r>
      <w:proofErr w:type="spellStart"/>
      <w:r w:rsidRPr="00672545">
        <w:t>Alldredge</w:t>
      </w:r>
      <w:proofErr w:type="spellEnd"/>
      <w:r w:rsidRPr="00672545">
        <w:t xml:space="preserve"> testified that defendant also </w:t>
      </w:r>
      <w:r w:rsidR="007F3F03" w:rsidRPr="00672545">
        <w:t>described to</w:t>
      </w:r>
      <w:r w:rsidRPr="00672545">
        <w:t xml:space="preserve"> detectives </w:t>
      </w:r>
      <w:r w:rsidR="003A51DB" w:rsidRPr="00672545">
        <w:t>the</w:t>
      </w:r>
      <w:r w:rsidRPr="00672545">
        <w:t xml:space="preserve"> trip he took on the weekend of Danielle’s disappearance</w:t>
      </w:r>
      <w:r w:rsidR="00BD08F0" w:rsidRPr="00672545">
        <w:t xml:space="preserve">, including how he, on the morning of February 2, 2002, </w:t>
      </w:r>
      <w:r w:rsidR="00FD01E2" w:rsidRPr="00672545">
        <w:t>had driven</w:t>
      </w:r>
      <w:r w:rsidRPr="00672545">
        <w:t xml:space="preserve"> to Poway </w:t>
      </w:r>
      <w:r w:rsidR="005D73D5" w:rsidRPr="00672545">
        <w:t>to pick up his</w:t>
      </w:r>
      <w:r w:rsidRPr="00672545">
        <w:t xml:space="preserve"> </w:t>
      </w:r>
      <w:r w:rsidR="0010650F" w:rsidRPr="00672545">
        <w:t>motorhome</w:t>
      </w:r>
      <w:r w:rsidRPr="00672545">
        <w:t xml:space="preserve"> </w:t>
      </w:r>
      <w:r w:rsidR="005D73D5" w:rsidRPr="00672545">
        <w:t>from storage</w:t>
      </w:r>
      <w:r w:rsidRPr="00672545">
        <w:t>.</w:t>
      </w:r>
      <w:r w:rsidR="004C697E" w:rsidRPr="00672545">
        <w:t xml:space="preserve">  </w:t>
      </w:r>
      <w:proofErr w:type="spellStart"/>
      <w:r w:rsidR="00BD08F0" w:rsidRPr="00672545">
        <w:t>Alldredge</w:t>
      </w:r>
      <w:proofErr w:type="spellEnd"/>
      <w:r w:rsidR="00B41A67" w:rsidRPr="00672545">
        <w:t xml:space="preserve"> note</w:t>
      </w:r>
      <w:r w:rsidR="00BD08F0" w:rsidRPr="00672545">
        <w:t>d</w:t>
      </w:r>
      <w:r w:rsidR="00B41A67" w:rsidRPr="00672545">
        <w:t xml:space="preserve"> that a neighbor</w:t>
      </w:r>
      <w:r w:rsidR="00BD08F0" w:rsidRPr="00672545">
        <w:t xml:space="preserve"> had</w:t>
      </w:r>
      <w:r w:rsidR="00B41A67" w:rsidRPr="00672545">
        <w:t xml:space="preserve"> told detectives that </w:t>
      </w:r>
      <w:r w:rsidR="0000027F" w:rsidRPr="00672545">
        <w:t>defendant’s</w:t>
      </w:r>
      <w:r w:rsidR="00B41A67" w:rsidRPr="00672545">
        <w:t xml:space="preserve"> </w:t>
      </w:r>
      <w:r w:rsidR="0010650F" w:rsidRPr="00672545">
        <w:t>motorhome</w:t>
      </w:r>
      <w:r w:rsidR="00B41A67" w:rsidRPr="00672545">
        <w:t xml:space="preserve"> </w:t>
      </w:r>
      <w:r w:rsidR="0075591B" w:rsidRPr="00672545">
        <w:t xml:space="preserve">was </w:t>
      </w:r>
      <w:r w:rsidR="00B41A67" w:rsidRPr="00672545">
        <w:t>parked in the neighborhood the night prior to February 2.</w:t>
      </w:r>
      <w:r w:rsidR="00F81CD5" w:rsidRPr="00672545">
        <w:t xml:space="preserve">  </w:t>
      </w:r>
      <w:r w:rsidR="002F2CBF" w:rsidRPr="00672545">
        <w:t xml:space="preserve">In one part of his police interview, </w:t>
      </w:r>
      <w:proofErr w:type="spellStart"/>
      <w:r w:rsidR="0029002B" w:rsidRPr="00672545">
        <w:t>Alldredge</w:t>
      </w:r>
      <w:proofErr w:type="spellEnd"/>
      <w:r w:rsidR="0029002B" w:rsidRPr="00672545">
        <w:t xml:space="preserve"> recounted, </w:t>
      </w:r>
      <w:r w:rsidR="002F2CBF" w:rsidRPr="00672545">
        <w:t xml:space="preserve">defendant said to a detective that “we drove back to Silver Strand.”  Defendant’s reference to “we” </w:t>
      </w:r>
      <w:r w:rsidR="00013359" w:rsidRPr="00672545">
        <w:t>suggested</w:t>
      </w:r>
      <w:r w:rsidR="002F2CBF" w:rsidRPr="00672545">
        <w:t xml:space="preserve"> someone else was in the motorhome</w:t>
      </w:r>
      <w:r w:rsidR="00013359" w:rsidRPr="00672545">
        <w:t xml:space="preserve"> with him</w:t>
      </w:r>
      <w:r w:rsidR="002F2CBF" w:rsidRPr="00672545">
        <w:t xml:space="preserve">.  However, when questioned as to why he said “we,” defendant responded that it was “just a slip.”  </w:t>
      </w:r>
    </w:p>
    <w:p w14:paraId="3E36854C" w14:textId="77777777" w:rsidR="00F113DB" w:rsidRPr="00672545" w:rsidRDefault="00AB0CFF" w:rsidP="00672545">
      <w:pPr>
        <w:ind w:firstLine="720"/>
      </w:pPr>
      <w:proofErr w:type="spellStart"/>
      <w:r w:rsidRPr="00672545">
        <w:t>Alldredge</w:t>
      </w:r>
      <w:proofErr w:type="spellEnd"/>
      <w:r w:rsidRPr="00672545">
        <w:t xml:space="preserve"> also explained that detectives spoke with a park ranger at the Silver Strand camping spot</w:t>
      </w:r>
      <w:r w:rsidR="002F2CBF" w:rsidRPr="00672545">
        <w:t xml:space="preserve">.  The ranger </w:t>
      </w:r>
      <w:r w:rsidRPr="00672545">
        <w:t>described how defendant had behaved suspiciously when the ranger t</w:t>
      </w:r>
      <w:r w:rsidR="00B15582" w:rsidRPr="00672545">
        <w:t xml:space="preserve">ried to return defendant’s </w:t>
      </w:r>
      <w:r w:rsidRPr="00672545">
        <w:t>overpaid camping fee</w:t>
      </w:r>
      <w:r w:rsidR="00220C65" w:rsidRPr="00672545">
        <w:t xml:space="preserve"> by preventing the ranger from seeing inside the motorhome</w:t>
      </w:r>
      <w:r w:rsidR="00B41A67" w:rsidRPr="00672545">
        <w:t>.</w:t>
      </w:r>
      <w:r w:rsidR="00F81CD5" w:rsidRPr="00672545">
        <w:t xml:space="preserve">  </w:t>
      </w:r>
    </w:p>
    <w:p w14:paraId="4CA48EAC" w14:textId="77777777" w:rsidR="009376D7" w:rsidRPr="00672545" w:rsidRDefault="00E459E7" w:rsidP="00672545">
      <w:r w:rsidRPr="00672545">
        <w:lastRenderedPageBreak/>
        <w:tab/>
      </w:r>
      <w:proofErr w:type="spellStart"/>
      <w:r w:rsidRPr="00672545">
        <w:t>Alldredge</w:t>
      </w:r>
      <w:proofErr w:type="spellEnd"/>
      <w:r w:rsidRPr="00672545">
        <w:t xml:space="preserve"> </w:t>
      </w:r>
      <w:r w:rsidR="00013359" w:rsidRPr="00672545">
        <w:t>finally</w:t>
      </w:r>
      <w:r w:rsidRPr="00672545">
        <w:t xml:space="preserve"> testified about defendant having completed, and failed, a polygraph </w:t>
      </w:r>
      <w:r w:rsidR="000119F2" w:rsidRPr="00672545">
        <w:t>exam</w:t>
      </w:r>
      <w:r w:rsidR="00846499">
        <w:t>ination</w:t>
      </w:r>
      <w:r w:rsidRPr="00672545">
        <w:t>.  During the examination, defendant was asked whether he was involved in or responsible for the disappearance of Danielle and whether he knew her location.  Although defendant answered “no” to each question, the polygraph examiner found defendant had been deceptive in each response.</w:t>
      </w:r>
      <w:r w:rsidR="00F81CD5" w:rsidRPr="00672545">
        <w:t xml:space="preserve">  </w:t>
      </w:r>
    </w:p>
    <w:p w14:paraId="6002430F" w14:textId="77777777" w:rsidR="006E5A37" w:rsidRPr="00672545" w:rsidRDefault="00E459E7" w:rsidP="00672545">
      <w:r w:rsidRPr="00672545">
        <w:tab/>
        <w:t xml:space="preserve">Based on </w:t>
      </w:r>
      <w:r w:rsidR="00013359" w:rsidRPr="00672545">
        <w:t xml:space="preserve">this testimony </w:t>
      </w:r>
      <w:r w:rsidRPr="00672545">
        <w:t xml:space="preserve">provided by </w:t>
      </w:r>
      <w:proofErr w:type="spellStart"/>
      <w:r w:rsidRPr="00672545">
        <w:t>Alldredge</w:t>
      </w:r>
      <w:proofErr w:type="spellEnd"/>
      <w:r w:rsidR="00013359" w:rsidRPr="00672545">
        <w:t xml:space="preserve"> over the telephone</w:t>
      </w:r>
      <w:r w:rsidRPr="00672545">
        <w:t xml:space="preserve">, Judge </w:t>
      </w:r>
      <w:proofErr w:type="spellStart"/>
      <w:r w:rsidRPr="00672545">
        <w:t>Bashant</w:t>
      </w:r>
      <w:proofErr w:type="spellEnd"/>
      <w:r w:rsidRPr="00672545">
        <w:t xml:space="preserve"> </w:t>
      </w:r>
      <w:r w:rsidR="00BA35E1" w:rsidRPr="00672545">
        <w:t xml:space="preserve">found the existence of </w:t>
      </w:r>
      <w:proofErr w:type="gramStart"/>
      <w:r w:rsidR="00BA35E1" w:rsidRPr="00672545">
        <w:t>sufficient</w:t>
      </w:r>
      <w:proofErr w:type="gramEnd"/>
      <w:r w:rsidR="00BA35E1" w:rsidRPr="00672545">
        <w:t xml:space="preserve"> probable cause and </w:t>
      </w:r>
      <w:r w:rsidRPr="00672545">
        <w:t>authorized a search warrant as requested.</w:t>
      </w:r>
      <w:r w:rsidR="00F81CD5" w:rsidRPr="00672545">
        <w:t xml:space="preserve">  </w:t>
      </w:r>
      <w:r w:rsidRPr="00672545">
        <w:t>The warrant was issued at 2:28 a.m. on February 5, 2002.</w:t>
      </w:r>
      <w:r w:rsidR="00F81CD5" w:rsidRPr="00672545">
        <w:t xml:space="preserve">  </w:t>
      </w:r>
    </w:p>
    <w:p w14:paraId="51D389D7" w14:textId="77777777" w:rsidR="009376D7" w:rsidRPr="00672545" w:rsidRDefault="009C7949" w:rsidP="00672545">
      <w:pPr>
        <w:pStyle w:val="Heading5"/>
      </w:pPr>
      <w:r w:rsidRPr="00672545">
        <w:t>2.  The second warrant</w:t>
      </w:r>
    </w:p>
    <w:p w14:paraId="3B5BCC75" w14:textId="77777777" w:rsidR="00460946" w:rsidRPr="00672545" w:rsidRDefault="009C7949" w:rsidP="00672545">
      <w:r w:rsidRPr="00672545">
        <w:tab/>
        <w:t xml:space="preserve">Detective </w:t>
      </w:r>
      <w:proofErr w:type="spellStart"/>
      <w:r w:rsidRPr="00672545">
        <w:t>Alldredge</w:t>
      </w:r>
      <w:proofErr w:type="spellEnd"/>
      <w:r w:rsidRPr="00672545">
        <w:t xml:space="preserve"> prepared a second affidavit in support of a search warrant </w:t>
      </w:r>
      <w:proofErr w:type="gramStart"/>
      <w:r w:rsidRPr="00672545">
        <w:t>later on</w:t>
      </w:r>
      <w:proofErr w:type="gramEnd"/>
      <w:r w:rsidRPr="00672545">
        <w:t xml:space="preserve"> February 5, the </w:t>
      </w:r>
      <w:r w:rsidR="004F0E67" w:rsidRPr="00672545">
        <w:t xml:space="preserve">same day the first warrant was issued and executed.  </w:t>
      </w:r>
      <w:proofErr w:type="spellStart"/>
      <w:r w:rsidR="004F0E67" w:rsidRPr="00672545">
        <w:t>Alldredge</w:t>
      </w:r>
      <w:proofErr w:type="spellEnd"/>
      <w:r w:rsidR="004F0E67" w:rsidRPr="00672545">
        <w:t xml:space="preserve"> declared that </w:t>
      </w:r>
      <w:proofErr w:type="gramStart"/>
      <w:r w:rsidR="004F0E67" w:rsidRPr="00672545">
        <w:t>during the course of</w:t>
      </w:r>
      <w:proofErr w:type="gramEnd"/>
      <w:r w:rsidR="004F0E67" w:rsidRPr="00672545">
        <w:t xml:space="preserve"> the first search, computer forensic examiners saw “in plain view” three CD</w:t>
      </w:r>
      <w:r w:rsidR="003C2B32">
        <w:t>’s</w:t>
      </w:r>
      <w:r w:rsidR="004F0E67" w:rsidRPr="00672545">
        <w:t xml:space="preserve"> and three computer diskettes.  The items were marked by the letters “X” and “XO,” which based on the examiners’ prior experience, indicated they may contain pornographic material.  </w:t>
      </w:r>
      <w:r w:rsidR="003C2B32">
        <w:t>Following</w:t>
      </w:r>
      <w:r w:rsidR="004F0E67" w:rsidRPr="00672545">
        <w:t xml:space="preserve"> defendant’s written consent to search his entire residence and </w:t>
      </w:r>
      <w:proofErr w:type="gramStart"/>
      <w:r w:rsidR="004F0E67" w:rsidRPr="00672545">
        <w:t>all of</w:t>
      </w:r>
      <w:proofErr w:type="gramEnd"/>
      <w:r w:rsidR="004F0E67" w:rsidRPr="00672545">
        <w:t xml:space="preserve"> its contents, the examiners inserted the </w:t>
      </w:r>
      <w:r w:rsidR="00684B70" w:rsidRPr="00672545">
        <w:t>media</w:t>
      </w:r>
      <w:r w:rsidR="004F0E67" w:rsidRPr="00672545">
        <w:t xml:space="preserve"> into their own computers.  They discovered “possible child pornography with minors engaged in sexual activity with each other and adults.”  Based on the items discovered, the examiners believed that defendant’s computer might have child pornography stored on it as well.  A second warrant was issued authorizing the search of defendant’s computer and its files, as well as computer disks and other forms of media “depicting nudity and/or sexual activities, </w:t>
      </w:r>
      <w:r w:rsidR="004F0E67" w:rsidRPr="00672545">
        <w:lastRenderedPageBreak/>
        <w:t xml:space="preserve">whether real or simulated, involving juveniles, juveniles with juveniles, and juveniles with adults.”  </w:t>
      </w:r>
    </w:p>
    <w:p w14:paraId="4BBF65B1" w14:textId="77777777" w:rsidR="009C7949" w:rsidRPr="00672545" w:rsidRDefault="009C7949" w:rsidP="00672545">
      <w:pPr>
        <w:pStyle w:val="Heading5"/>
      </w:pPr>
      <w:r w:rsidRPr="00672545">
        <w:t>3.  The third warrant</w:t>
      </w:r>
    </w:p>
    <w:p w14:paraId="08AD1231" w14:textId="77777777" w:rsidR="009C7949" w:rsidRPr="00672545" w:rsidRDefault="007A23B8" w:rsidP="00672545">
      <w:r w:rsidRPr="00672545">
        <w:tab/>
        <w:t xml:space="preserve">The next day, February 6, 2002, Detective Johanna Thrasher applied for a third search warrant requesting defendant’s cell phone records, including the location from which calls were made and received between February 1 and February 4, 2002.  </w:t>
      </w:r>
      <w:r w:rsidR="009A62FE" w:rsidRPr="00672545">
        <w:t xml:space="preserve">She </w:t>
      </w:r>
      <w:r w:rsidR="0014376B" w:rsidRPr="00672545">
        <w:t>stated</w:t>
      </w:r>
      <w:r w:rsidR="009A62FE" w:rsidRPr="00672545">
        <w:t xml:space="preserve"> that defendant had made several inconsistent statement</w:t>
      </w:r>
      <w:r w:rsidR="0014376B" w:rsidRPr="00672545">
        <w:t>s</w:t>
      </w:r>
      <w:r w:rsidR="009A62FE" w:rsidRPr="00672545">
        <w:t xml:space="preserve"> regarding his whereabouts the night of Danielle’s disappearance.  Defendant had also told investigators that he used his cell phone at different times during the weekend after her disappearance to contact his son and ex-wife about his plans and activities.  Thrasher stated that by obtaining defendant’s cell phone records, investigators could corroborate or disprove defendant’s account </w:t>
      </w:r>
      <w:r w:rsidR="00A32FF6" w:rsidRPr="00672545">
        <w:t>concerning</w:t>
      </w:r>
      <w:r w:rsidR="009A62FE" w:rsidRPr="00672545">
        <w:t xml:space="preserve"> where he was when calls were made.  In support of her application for the warrant, Thrasher relied on the facts demonstrating probable cause for the first and second search warrants, as well as the results of the search in which child pornograph</w:t>
      </w:r>
      <w:r w:rsidR="00C26F6A" w:rsidRPr="00672545">
        <w:t>y</w:t>
      </w:r>
      <w:r w:rsidR="009A62FE" w:rsidRPr="00672545">
        <w:t xml:space="preserve"> was found in defendant’s home.</w:t>
      </w:r>
      <w:r w:rsidR="00F81CD5" w:rsidRPr="00672545">
        <w:t xml:space="preserve">  </w:t>
      </w:r>
      <w:r w:rsidR="00AD70CB" w:rsidRPr="00672545">
        <w:t xml:space="preserve">Judge </w:t>
      </w:r>
      <w:proofErr w:type="spellStart"/>
      <w:r w:rsidR="00AD70CB" w:rsidRPr="00672545">
        <w:t>Bashant</w:t>
      </w:r>
      <w:proofErr w:type="spellEnd"/>
      <w:r w:rsidR="00AD70CB" w:rsidRPr="00672545">
        <w:t xml:space="preserve"> issued the requested warrant.  </w:t>
      </w:r>
    </w:p>
    <w:p w14:paraId="729FA1F0" w14:textId="77777777" w:rsidR="009C7949" w:rsidRPr="00672545" w:rsidRDefault="009C7949" w:rsidP="00672545">
      <w:pPr>
        <w:pStyle w:val="Heading5"/>
      </w:pPr>
      <w:r w:rsidRPr="00672545">
        <w:t>4.  The fourth warrant</w:t>
      </w:r>
    </w:p>
    <w:p w14:paraId="7114609B" w14:textId="77777777" w:rsidR="009C7949" w:rsidRPr="00672545" w:rsidRDefault="00AD70CB" w:rsidP="00672545">
      <w:r w:rsidRPr="00672545">
        <w:tab/>
        <w:t xml:space="preserve">On February 7, 2002, Detective Terry Torgersen, </w:t>
      </w:r>
      <w:r w:rsidR="00B56646" w:rsidRPr="00672545">
        <w:t>applied for</w:t>
      </w:r>
      <w:r w:rsidRPr="00672545">
        <w:t xml:space="preserve"> a fourth warrant</w:t>
      </w:r>
      <w:r w:rsidR="00B56646" w:rsidRPr="00672545">
        <w:t xml:space="preserve"> to search any clothing and bedding that defendant had taken to Twin Peaks Cleaners.  Torgersen presented the same factual basis for probable cause as previously submitted with the additional </w:t>
      </w:r>
      <w:r w:rsidR="003C2B32">
        <w:t>information that two dry cleaning</w:t>
      </w:r>
      <w:r w:rsidR="00B56646" w:rsidRPr="00672545">
        <w:t xml:space="preserve"> receipts </w:t>
      </w:r>
      <w:r w:rsidR="00203199" w:rsidRPr="00672545">
        <w:t>had been</w:t>
      </w:r>
      <w:r w:rsidR="00B56646" w:rsidRPr="00672545">
        <w:t xml:space="preserve"> found during the search of one of defendant’s vehicles.  </w:t>
      </w:r>
      <w:r w:rsidR="00C61D40" w:rsidRPr="00672545">
        <w:t xml:space="preserve">Torgersen </w:t>
      </w:r>
      <w:r w:rsidR="00203199" w:rsidRPr="00672545">
        <w:t>stated</w:t>
      </w:r>
      <w:r w:rsidR="00C61D40" w:rsidRPr="00672545">
        <w:t xml:space="preserve"> that d</w:t>
      </w:r>
      <w:r w:rsidR="00B56646" w:rsidRPr="00672545">
        <w:t xml:space="preserve">efendant admitted to investigators that he dropped off items at the Twin Peaks </w:t>
      </w:r>
      <w:r w:rsidR="00B56646" w:rsidRPr="00672545">
        <w:lastRenderedPageBreak/>
        <w:t xml:space="preserve">Cleaners on Monday morning, February 4, 2002.  Employees at Twin Peaks Cleaners </w:t>
      </w:r>
      <w:r w:rsidR="00203199" w:rsidRPr="00672545">
        <w:t xml:space="preserve">were contacted and </w:t>
      </w:r>
      <w:r w:rsidR="00B56646" w:rsidRPr="00672545">
        <w:t>told Torgersen that defendant was one of their long-time customers.  One of the employees said that defendant had showed up at the cleaners much earlier than usual on the morning of February 4</w:t>
      </w:r>
      <w:r w:rsidR="00C61D40" w:rsidRPr="00672545">
        <w:t xml:space="preserve"> and </w:t>
      </w:r>
      <w:r w:rsidR="00374773" w:rsidRPr="00672545">
        <w:t xml:space="preserve">had </w:t>
      </w:r>
      <w:r w:rsidR="00C61D40" w:rsidRPr="00672545">
        <w:t>asked for “</w:t>
      </w:r>
      <w:r w:rsidR="00374773" w:rsidRPr="00672545">
        <w:t xml:space="preserve">same day </w:t>
      </w:r>
      <w:r w:rsidR="00C61D40" w:rsidRPr="00672545">
        <w:t>service,” which he had never done before</w:t>
      </w:r>
      <w:r w:rsidR="00B56646" w:rsidRPr="00672545">
        <w:t>.</w:t>
      </w:r>
      <w:r w:rsidR="00C61D40" w:rsidRPr="00672545">
        <w:t xml:space="preserve">  </w:t>
      </w:r>
      <w:r w:rsidR="00374773" w:rsidRPr="00672545">
        <w:t>The employee noticed that defendant was dressed in short pants, a shirt</w:t>
      </w:r>
      <w:r w:rsidR="003C2B32">
        <w:t>,</w:t>
      </w:r>
      <w:r w:rsidR="00374773" w:rsidRPr="00672545">
        <w:t xml:space="preserve"> and no shoes.  She commented to defendant that this was unusual on such a cold morning and defendant replied that he had just returned from the desert.  Torgersen spoke with the supervising criminalist at the San Diego Police Department crime laboratory and was told that DNA technology could obtain DNA evidence and blood from items that have been dry cleaned or laundered.</w:t>
      </w:r>
      <w:r w:rsidR="00F81CD5" w:rsidRPr="00672545">
        <w:t xml:space="preserve">  </w:t>
      </w:r>
      <w:r w:rsidR="00374773" w:rsidRPr="00672545">
        <w:t xml:space="preserve">Judge </w:t>
      </w:r>
      <w:proofErr w:type="spellStart"/>
      <w:r w:rsidR="00374773" w:rsidRPr="00672545">
        <w:t>Bashant</w:t>
      </w:r>
      <w:proofErr w:type="spellEnd"/>
      <w:r w:rsidR="00374773" w:rsidRPr="00672545">
        <w:t xml:space="preserve"> issue</w:t>
      </w:r>
      <w:r w:rsidR="00095F4B" w:rsidRPr="00672545">
        <w:t>d</w:t>
      </w:r>
      <w:r w:rsidR="00374773" w:rsidRPr="00672545">
        <w:t xml:space="preserve"> the warrant.  </w:t>
      </w:r>
    </w:p>
    <w:p w14:paraId="35CB1438" w14:textId="77777777" w:rsidR="009C7949" w:rsidRPr="00672545" w:rsidRDefault="009C7949" w:rsidP="00672545">
      <w:pPr>
        <w:pStyle w:val="Heading5"/>
      </w:pPr>
      <w:r w:rsidRPr="00672545">
        <w:t>5.  The fifth warrant</w:t>
      </w:r>
    </w:p>
    <w:p w14:paraId="4AD37033" w14:textId="77777777" w:rsidR="009C7949" w:rsidRPr="00672545" w:rsidRDefault="003F6FCE" w:rsidP="00672545">
      <w:r w:rsidRPr="00672545">
        <w:tab/>
      </w:r>
      <w:r w:rsidR="009655AE" w:rsidRPr="00672545">
        <w:t xml:space="preserve">On February 13, 2002, Detective James </w:t>
      </w:r>
      <w:proofErr w:type="spellStart"/>
      <w:r w:rsidR="009655AE" w:rsidRPr="00672545">
        <w:t>Hergenroeather</w:t>
      </w:r>
      <w:proofErr w:type="spellEnd"/>
      <w:r w:rsidR="009655AE" w:rsidRPr="00672545">
        <w:t xml:space="preserve"> applied for a fifth and final warrant for a more extensive search for evidence</w:t>
      </w:r>
      <w:r w:rsidR="00682E52" w:rsidRPr="00672545">
        <w:t>, including trace evidence, located</w:t>
      </w:r>
      <w:r w:rsidR="009655AE" w:rsidRPr="00672545">
        <w:t xml:space="preserve"> in defendant’s home.  </w:t>
      </w:r>
      <w:proofErr w:type="spellStart"/>
      <w:r w:rsidR="009655AE" w:rsidRPr="00672545">
        <w:t>Hergenroeather</w:t>
      </w:r>
      <w:proofErr w:type="spellEnd"/>
      <w:r w:rsidR="009655AE" w:rsidRPr="00672545">
        <w:t xml:space="preserve"> incorporated the affidavits from the previous warrants in support of his request, as well as </w:t>
      </w:r>
      <w:r w:rsidR="00682E52" w:rsidRPr="00672545">
        <w:t xml:space="preserve">the </w:t>
      </w:r>
      <w:r w:rsidR="009655AE" w:rsidRPr="00672545">
        <w:t>child pornography found in defendant’s home</w:t>
      </w:r>
      <w:r w:rsidR="00DA1E3E" w:rsidRPr="00672545">
        <w:t>.  He also indicated that</w:t>
      </w:r>
      <w:r w:rsidR="00682E52" w:rsidRPr="00672545">
        <w:t xml:space="preserve"> a strand of blond hair microscopically </w:t>
      </w:r>
      <w:proofErr w:type="gramStart"/>
      <w:r w:rsidR="00682E52" w:rsidRPr="00672545">
        <w:t>similar to</w:t>
      </w:r>
      <w:proofErr w:type="gramEnd"/>
      <w:r w:rsidR="00682E52" w:rsidRPr="00672545">
        <w:t xml:space="preserve"> Danielle’s hair </w:t>
      </w:r>
      <w:r w:rsidR="00DA1E3E" w:rsidRPr="00672545">
        <w:t xml:space="preserve">had been found </w:t>
      </w:r>
      <w:r w:rsidR="00682E52" w:rsidRPr="00672545">
        <w:t>in defendant’s 4Runner.</w:t>
      </w:r>
      <w:r w:rsidR="00F81CD5" w:rsidRPr="00672545">
        <w:t xml:space="preserve">  </w:t>
      </w:r>
      <w:r w:rsidR="00682E52" w:rsidRPr="00672545">
        <w:t xml:space="preserve">Judge </w:t>
      </w:r>
      <w:proofErr w:type="spellStart"/>
      <w:r w:rsidR="00682E52" w:rsidRPr="00672545">
        <w:t>Bashant</w:t>
      </w:r>
      <w:proofErr w:type="spellEnd"/>
      <w:r w:rsidR="00682E52" w:rsidRPr="00672545">
        <w:t xml:space="preserve"> issued the warrant.</w:t>
      </w:r>
      <w:r w:rsidR="00F81CD5" w:rsidRPr="00672545">
        <w:t xml:space="preserve">  </w:t>
      </w:r>
    </w:p>
    <w:p w14:paraId="2C8435C9" w14:textId="77777777" w:rsidR="00460946" w:rsidRPr="00672545" w:rsidRDefault="00460946" w:rsidP="00672545">
      <w:pPr>
        <w:pStyle w:val="Heading4"/>
      </w:pPr>
      <w:r w:rsidRPr="00672545">
        <w:t>b.  Analysis</w:t>
      </w:r>
    </w:p>
    <w:p w14:paraId="67103104" w14:textId="77777777" w:rsidR="00460946" w:rsidRPr="00672545" w:rsidRDefault="00D1197F" w:rsidP="00672545">
      <w:pPr>
        <w:rPr>
          <w:szCs w:val="26"/>
        </w:rPr>
      </w:pPr>
      <w:r w:rsidRPr="00672545">
        <w:rPr>
          <w:szCs w:val="26"/>
        </w:rPr>
        <w:tab/>
        <w:t>The Fourth Amendment to the United States Constitution prohibits “unreasonable searches and seizures” and requires search warrants to be issued only upon a showing of “probable cause” describing with particularity “the</w:t>
      </w:r>
      <w:r w:rsidR="002D678E" w:rsidRPr="00672545">
        <w:rPr>
          <w:szCs w:val="26"/>
        </w:rPr>
        <w:t xml:space="preserve"> place to be searched, and the . . .</w:t>
      </w:r>
      <w:r w:rsidRPr="00672545">
        <w:rPr>
          <w:szCs w:val="26"/>
        </w:rPr>
        <w:t xml:space="preserve"> things to be seized.”  (U.S. Const.</w:t>
      </w:r>
      <w:r w:rsidR="00D50855" w:rsidRPr="00672545">
        <w:rPr>
          <w:szCs w:val="26"/>
        </w:rPr>
        <w:t>, 4th Amend.</w:t>
      </w:r>
      <w:r w:rsidRPr="00672545">
        <w:rPr>
          <w:szCs w:val="26"/>
        </w:rPr>
        <w:t xml:space="preserve">)  </w:t>
      </w:r>
    </w:p>
    <w:p w14:paraId="73354DDA" w14:textId="77777777" w:rsidR="00C76191" w:rsidRPr="00672545" w:rsidRDefault="009B157C" w:rsidP="00672545">
      <w:pPr>
        <w:rPr>
          <w:szCs w:val="26"/>
        </w:rPr>
      </w:pPr>
      <w:r w:rsidRPr="00672545">
        <w:rPr>
          <w:szCs w:val="26"/>
        </w:rPr>
        <w:lastRenderedPageBreak/>
        <w:tab/>
      </w:r>
      <w:r w:rsidR="00CE4275" w:rsidRPr="00672545">
        <w:rPr>
          <w:szCs w:val="26"/>
        </w:rPr>
        <w:t>The pertinent rules governing a</w:t>
      </w:r>
      <w:r w:rsidR="005C3A07" w:rsidRPr="00672545">
        <w:rPr>
          <w:szCs w:val="26"/>
        </w:rPr>
        <w:t xml:space="preserve"> Fourth Amendment</w:t>
      </w:r>
      <w:r w:rsidR="00CE4275" w:rsidRPr="00672545">
        <w:rPr>
          <w:szCs w:val="26"/>
        </w:rPr>
        <w:t xml:space="preserve"> challenge to the validity of a search warrant, and the search conducted pursuant to it, are well-settled.  “The question facing a reviewing court asked to determine whether probable cause supported the issuance of the warrant is whether the magistrate had a substantial basis for concluding a fair probability existed that a search would uncover wrongdoing.</w:t>
      </w:r>
      <w:r w:rsidR="003E6BC6" w:rsidRPr="00672545">
        <w:rPr>
          <w:szCs w:val="26"/>
        </w:rPr>
        <w:t>”  (</w:t>
      </w:r>
      <w:r w:rsidR="003E6BC6" w:rsidRPr="00672545">
        <w:rPr>
          <w:i/>
          <w:iCs/>
          <w:szCs w:val="26"/>
        </w:rPr>
        <w:t>People v. Kraft</w:t>
      </w:r>
      <w:r w:rsidR="003E6BC6" w:rsidRPr="00672545">
        <w:rPr>
          <w:szCs w:val="26"/>
        </w:rPr>
        <w:t xml:space="preserve"> (2000) 23 Cal.4th 978, 1040</w:t>
      </w:r>
      <w:r w:rsidR="00AC2BD3" w:rsidRPr="00672545">
        <w:rPr>
          <w:szCs w:val="26"/>
        </w:rPr>
        <w:t xml:space="preserve"> (</w:t>
      </w:r>
      <w:r w:rsidR="00AC2BD3" w:rsidRPr="00672545">
        <w:rPr>
          <w:i/>
          <w:szCs w:val="26"/>
        </w:rPr>
        <w:t>Kraft</w:t>
      </w:r>
      <w:r w:rsidR="00AC2BD3" w:rsidRPr="00672545">
        <w:rPr>
          <w:szCs w:val="26"/>
        </w:rPr>
        <w:t>)</w:t>
      </w:r>
      <w:r w:rsidR="003E6BC6" w:rsidRPr="00672545">
        <w:rPr>
          <w:szCs w:val="26"/>
        </w:rPr>
        <w:t xml:space="preserve">, citing </w:t>
      </w:r>
      <w:r w:rsidR="003E6BC6" w:rsidRPr="00672545">
        <w:rPr>
          <w:i/>
          <w:iCs/>
          <w:szCs w:val="26"/>
        </w:rPr>
        <w:t>Illinois v. Gates</w:t>
      </w:r>
      <w:r w:rsidR="003E6BC6" w:rsidRPr="00672545">
        <w:rPr>
          <w:szCs w:val="26"/>
        </w:rPr>
        <w:t xml:space="preserve"> (1983) 462 U.S. 213, 238-239.)</w:t>
      </w:r>
      <w:r w:rsidR="00CE4275" w:rsidRPr="00672545">
        <w:rPr>
          <w:szCs w:val="26"/>
        </w:rPr>
        <w:t xml:space="preserve"> </w:t>
      </w:r>
      <w:r w:rsidR="003E6BC6" w:rsidRPr="00672545">
        <w:rPr>
          <w:szCs w:val="26"/>
        </w:rPr>
        <w:t xml:space="preserve"> </w:t>
      </w:r>
      <w:r w:rsidR="00A25CBF" w:rsidRPr="00672545">
        <w:rPr>
          <w:szCs w:val="26"/>
        </w:rPr>
        <w:t xml:space="preserve">“The test for probable cause is not reducible to ‘precise </w:t>
      </w:r>
      <w:r w:rsidR="003C2B32">
        <w:rPr>
          <w:szCs w:val="26"/>
        </w:rPr>
        <w:t>definition or quantification.</w:t>
      </w:r>
      <w:proofErr w:type="gramStart"/>
      <w:r w:rsidR="003C2B32">
        <w:rPr>
          <w:szCs w:val="26"/>
        </w:rPr>
        <w:t xml:space="preserve">’ </w:t>
      </w:r>
      <w:r w:rsidR="00A25CBF" w:rsidRPr="00672545">
        <w:rPr>
          <w:szCs w:val="26"/>
        </w:rPr>
        <w:t>”</w:t>
      </w:r>
      <w:proofErr w:type="gramEnd"/>
      <w:r w:rsidR="00A25CBF" w:rsidRPr="00672545">
        <w:rPr>
          <w:szCs w:val="26"/>
        </w:rPr>
        <w:t xml:space="preserve">  (</w:t>
      </w:r>
      <w:r w:rsidR="00A25CBF" w:rsidRPr="00672545">
        <w:rPr>
          <w:i/>
          <w:szCs w:val="26"/>
        </w:rPr>
        <w:t>Florida v. Harris</w:t>
      </w:r>
      <w:r w:rsidR="00A25CBF" w:rsidRPr="00672545">
        <w:rPr>
          <w:szCs w:val="26"/>
        </w:rPr>
        <w:t xml:space="preserve"> (2013) </w:t>
      </w:r>
      <w:r w:rsidR="003C2B32">
        <w:rPr>
          <w:szCs w:val="26"/>
        </w:rPr>
        <w:t>568</w:t>
      </w:r>
      <w:r w:rsidR="00A25CBF" w:rsidRPr="00672545">
        <w:rPr>
          <w:szCs w:val="26"/>
        </w:rPr>
        <w:t xml:space="preserve"> U.S. </w:t>
      </w:r>
      <w:r w:rsidR="003C2B32">
        <w:rPr>
          <w:szCs w:val="26"/>
        </w:rPr>
        <w:t>237, 243</w:t>
      </w:r>
      <w:r w:rsidR="00A25CBF" w:rsidRPr="00672545">
        <w:rPr>
          <w:szCs w:val="26"/>
        </w:rPr>
        <w:t xml:space="preserve"> [133 </w:t>
      </w:r>
      <w:proofErr w:type="spellStart"/>
      <w:r w:rsidR="00A25CBF" w:rsidRPr="00672545">
        <w:rPr>
          <w:szCs w:val="26"/>
        </w:rPr>
        <w:t>S.Ct</w:t>
      </w:r>
      <w:proofErr w:type="spellEnd"/>
      <w:r w:rsidR="00A25CBF" w:rsidRPr="00672545">
        <w:rPr>
          <w:szCs w:val="26"/>
        </w:rPr>
        <w:t xml:space="preserve">. 1050, 1055].)  </w:t>
      </w:r>
      <w:r w:rsidR="00C76191" w:rsidRPr="00672545">
        <w:rPr>
          <w:szCs w:val="26"/>
        </w:rPr>
        <w:t xml:space="preserve">But we have stated that it is </w:t>
      </w:r>
      <w:proofErr w:type="gramStart"/>
      <w:r w:rsidR="00C76191" w:rsidRPr="00672545">
        <w:rPr>
          <w:szCs w:val="26"/>
        </w:rPr>
        <w:t>“</w:t>
      </w:r>
      <w:r w:rsidR="00E40B9F" w:rsidRPr="00672545">
        <w:rPr>
          <w:szCs w:val="26"/>
        </w:rPr>
        <w:t> </w:t>
      </w:r>
      <w:r w:rsidR="002F4F7F" w:rsidRPr="00672545">
        <w:rPr>
          <w:szCs w:val="26"/>
        </w:rPr>
        <w:t>‘</w:t>
      </w:r>
      <w:proofErr w:type="gramEnd"/>
      <w:r w:rsidR="00C76191" w:rsidRPr="00672545">
        <w:rPr>
          <w:szCs w:val="26"/>
        </w:rPr>
        <w:t>less than a preponderance of the evidence or even a prima facie case.</w:t>
      </w:r>
      <w:r w:rsidR="002F4F7F" w:rsidRPr="00672545">
        <w:rPr>
          <w:szCs w:val="26"/>
        </w:rPr>
        <w:t xml:space="preserve">’ </w:t>
      </w:r>
      <w:r w:rsidR="00C76191" w:rsidRPr="00672545">
        <w:rPr>
          <w:szCs w:val="26"/>
        </w:rPr>
        <w:t xml:space="preserve">”  </w:t>
      </w:r>
      <w:r w:rsidR="00C76191" w:rsidRPr="003C2B32">
        <w:rPr>
          <w:szCs w:val="26"/>
        </w:rPr>
        <w:t>(</w:t>
      </w:r>
      <w:r w:rsidR="00C76191" w:rsidRPr="00672545">
        <w:rPr>
          <w:i/>
          <w:iCs/>
          <w:szCs w:val="26"/>
        </w:rPr>
        <w:t>People v. Bryant, Smith and Wheeler</w:t>
      </w:r>
      <w:r w:rsidR="00C76191" w:rsidRPr="00672545">
        <w:rPr>
          <w:szCs w:val="26"/>
        </w:rPr>
        <w:t xml:space="preserve"> (2014) 60 Cal.4th 335, 370.)  </w:t>
      </w:r>
      <w:proofErr w:type="gramStart"/>
      <w:r w:rsidR="00A25CBF" w:rsidRPr="00672545">
        <w:rPr>
          <w:szCs w:val="26"/>
        </w:rPr>
        <w:t xml:space="preserve">“ </w:t>
      </w:r>
      <w:r w:rsidR="00CE4275" w:rsidRPr="00672545">
        <w:rPr>
          <w:szCs w:val="26"/>
        </w:rPr>
        <w:t>‘</w:t>
      </w:r>
      <w:proofErr w:type="gramEnd"/>
      <w:r w:rsidR="00CE4275" w:rsidRPr="00672545">
        <w:rPr>
          <w:szCs w:val="26"/>
        </w:rPr>
        <w:t xml:space="preserve">The task of the issuing magistrate is simply to make a practical, commonsense decision whether, given all the circumstances set forth in the affidavit before him, including the “veracity” and “basis of knowledge” of persons supplying hearsay information, there is a fair probability that contraband or evidence of a crime will be found in a particular place.’ ”  </w:t>
      </w:r>
      <w:r w:rsidR="00A25CBF" w:rsidRPr="00672545">
        <w:rPr>
          <w:szCs w:val="26"/>
        </w:rPr>
        <w:t>(</w:t>
      </w:r>
      <w:r w:rsidR="00A25CBF" w:rsidRPr="00672545">
        <w:rPr>
          <w:i/>
          <w:szCs w:val="26"/>
        </w:rPr>
        <w:t>Kraft, supra</w:t>
      </w:r>
      <w:r w:rsidR="00A25CBF" w:rsidRPr="00672545">
        <w:rPr>
          <w:szCs w:val="26"/>
        </w:rPr>
        <w:t xml:space="preserve">, </w:t>
      </w:r>
      <w:r w:rsidR="00BD5D29" w:rsidRPr="00672545">
        <w:rPr>
          <w:szCs w:val="26"/>
        </w:rPr>
        <w:t xml:space="preserve">at pp. 1040-1041, quoting </w:t>
      </w:r>
      <w:r w:rsidR="00BD5D29" w:rsidRPr="00672545">
        <w:rPr>
          <w:i/>
          <w:iCs/>
          <w:szCs w:val="26"/>
        </w:rPr>
        <w:t>Illinois v. Gates, supra</w:t>
      </w:r>
      <w:r w:rsidR="00BD5D29" w:rsidRPr="00672545">
        <w:rPr>
          <w:iCs/>
          <w:szCs w:val="26"/>
        </w:rPr>
        <w:t>, at p.</w:t>
      </w:r>
      <w:r w:rsidR="00BD5D29" w:rsidRPr="00672545">
        <w:rPr>
          <w:szCs w:val="26"/>
        </w:rPr>
        <w:t xml:space="preserve"> 238.)</w:t>
      </w:r>
      <w:r w:rsidR="005C3A07" w:rsidRPr="00672545">
        <w:rPr>
          <w:szCs w:val="26"/>
        </w:rPr>
        <w:t xml:space="preserve">  “The magistrate’s determination of probable cause is entitled to deferential review.”  (</w:t>
      </w:r>
      <w:r w:rsidR="005C3A07" w:rsidRPr="00672545">
        <w:rPr>
          <w:i/>
          <w:szCs w:val="26"/>
        </w:rPr>
        <w:t>Id.</w:t>
      </w:r>
      <w:r w:rsidR="005C3A07" w:rsidRPr="00672545">
        <w:rPr>
          <w:szCs w:val="26"/>
        </w:rPr>
        <w:t xml:space="preserve">, at p. 1041; accord </w:t>
      </w:r>
      <w:r w:rsidR="005C3A07" w:rsidRPr="00672545">
        <w:rPr>
          <w:i/>
          <w:iCs/>
          <w:szCs w:val="26"/>
        </w:rPr>
        <w:t>People v. Carrington</w:t>
      </w:r>
      <w:r w:rsidR="005C3A07" w:rsidRPr="00672545">
        <w:rPr>
          <w:szCs w:val="26"/>
        </w:rPr>
        <w:t xml:space="preserve"> (2009) 47 Cal.4th 145, 161.)  </w:t>
      </w:r>
      <w:r w:rsidR="004650C8" w:rsidRPr="00672545">
        <w:rPr>
          <w:szCs w:val="26"/>
        </w:rPr>
        <w:t xml:space="preserve">We explained in </w:t>
      </w:r>
      <w:r w:rsidR="004650C8" w:rsidRPr="00672545">
        <w:rPr>
          <w:i/>
          <w:szCs w:val="26"/>
        </w:rPr>
        <w:t>Skelton v. Superior Court</w:t>
      </w:r>
      <w:r w:rsidR="004650C8" w:rsidRPr="00672545">
        <w:rPr>
          <w:szCs w:val="26"/>
        </w:rPr>
        <w:t xml:space="preserve"> (1969) 1 Cal.3d 144, 150, that the warrant “can be upset only if the aff</w:t>
      </w:r>
      <w:r w:rsidR="00067044">
        <w:rPr>
          <w:szCs w:val="26"/>
        </w:rPr>
        <w:t>idavit fails as a matter of law</w:t>
      </w:r>
      <w:r w:rsidR="004650C8" w:rsidRPr="00672545">
        <w:rPr>
          <w:szCs w:val="26"/>
        </w:rPr>
        <w:t xml:space="preserve"> to set forth sufficient competent evidence</w:t>
      </w:r>
      <w:r w:rsidR="00067044">
        <w:rPr>
          <w:szCs w:val="26"/>
        </w:rPr>
        <w:t>”</w:t>
      </w:r>
      <w:r w:rsidR="004650C8" w:rsidRPr="00672545">
        <w:rPr>
          <w:szCs w:val="26"/>
        </w:rPr>
        <w:t xml:space="preserve"> supporting the finding of probable cause.  </w:t>
      </w:r>
    </w:p>
    <w:p w14:paraId="5EF89782" w14:textId="77777777" w:rsidR="007E4E15" w:rsidRPr="00672545" w:rsidRDefault="00C73904" w:rsidP="00672545">
      <w:pPr>
        <w:rPr>
          <w:szCs w:val="26"/>
        </w:rPr>
      </w:pPr>
      <w:r w:rsidRPr="00672545">
        <w:rPr>
          <w:szCs w:val="26"/>
        </w:rPr>
        <w:tab/>
        <w:t xml:space="preserve">Applying these principles, we find </w:t>
      </w:r>
      <w:r w:rsidR="00E5358D" w:rsidRPr="00672545">
        <w:rPr>
          <w:szCs w:val="26"/>
        </w:rPr>
        <w:t xml:space="preserve">a </w:t>
      </w:r>
      <w:r w:rsidRPr="00672545">
        <w:rPr>
          <w:szCs w:val="26"/>
        </w:rPr>
        <w:t xml:space="preserve">substantial basis for the </w:t>
      </w:r>
      <w:r w:rsidR="006D09FE" w:rsidRPr="00672545">
        <w:rPr>
          <w:szCs w:val="26"/>
        </w:rPr>
        <w:t>trial court</w:t>
      </w:r>
      <w:r w:rsidRPr="00672545">
        <w:rPr>
          <w:szCs w:val="26"/>
        </w:rPr>
        <w:t xml:space="preserve">’s conclusion that there was </w:t>
      </w:r>
      <w:proofErr w:type="gramStart"/>
      <w:r w:rsidR="00BA188D" w:rsidRPr="00672545">
        <w:rPr>
          <w:szCs w:val="26"/>
        </w:rPr>
        <w:t>sufficient</w:t>
      </w:r>
      <w:proofErr w:type="gramEnd"/>
      <w:r w:rsidR="00BA188D" w:rsidRPr="00672545">
        <w:rPr>
          <w:szCs w:val="26"/>
        </w:rPr>
        <w:t xml:space="preserve"> probable cause to conduct a</w:t>
      </w:r>
      <w:r w:rsidRPr="00672545">
        <w:rPr>
          <w:szCs w:val="26"/>
        </w:rPr>
        <w:t xml:space="preserve"> search of defendant, his residence, and </w:t>
      </w:r>
      <w:r w:rsidR="00C9319F" w:rsidRPr="00672545">
        <w:rPr>
          <w:szCs w:val="26"/>
        </w:rPr>
        <w:t xml:space="preserve">his </w:t>
      </w:r>
      <w:r w:rsidRPr="00672545">
        <w:rPr>
          <w:szCs w:val="26"/>
        </w:rPr>
        <w:lastRenderedPageBreak/>
        <w:t xml:space="preserve">vehicles </w:t>
      </w:r>
      <w:r w:rsidR="00067044">
        <w:rPr>
          <w:szCs w:val="26"/>
        </w:rPr>
        <w:t xml:space="preserve">that </w:t>
      </w:r>
      <w:r w:rsidRPr="00672545">
        <w:rPr>
          <w:szCs w:val="26"/>
        </w:rPr>
        <w:t>would uncover evidence related to the abduction of Danielle</w:t>
      </w:r>
      <w:r w:rsidR="0085556C" w:rsidRPr="00672545">
        <w:rPr>
          <w:szCs w:val="26"/>
        </w:rPr>
        <w:t>, even without considering the polygraph evidence</w:t>
      </w:r>
      <w:r w:rsidRPr="00672545">
        <w:rPr>
          <w:szCs w:val="26"/>
        </w:rPr>
        <w:t xml:space="preserve">.  </w:t>
      </w:r>
    </w:p>
    <w:p w14:paraId="01D9450D" w14:textId="0D8E9C13" w:rsidR="0005352F" w:rsidRPr="00672545" w:rsidRDefault="007E4E15" w:rsidP="00672545">
      <w:pPr>
        <w:tabs>
          <w:tab w:val="left" w:pos="720"/>
          <w:tab w:val="left" w:pos="6300"/>
        </w:tabs>
        <w:rPr>
          <w:szCs w:val="26"/>
        </w:rPr>
      </w:pPr>
      <w:r w:rsidRPr="00672545">
        <w:rPr>
          <w:szCs w:val="26"/>
        </w:rPr>
        <w:tab/>
      </w:r>
      <w:r w:rsidR="001A4F53" w:rsidRPr="00672545">
        <w:rPr>
          <w:szCs w:val="26"/>
        </w:rPr>
        <w:t xml:space="preserve">As explained in sworn testimony used to support the </w:t>
      </w:r>
      <w:r w:rsidR="00945D58" w:rsidRPr="00672545">
        <w:rPr>
          <w:szCs w:val="26"/>
        </w:rPr>
        <w:t xml:space="preserve">application for the </w:t>
      </w:r>
      <w:r w:rsidR="00E40B9F" w:rsidRPr="00672545">
        <w:rPr>
          <w:szCs w:val="26"/>
        </w:rPr>
        <w:t xml:space="preserve">first </w:t>
      </w:r>
      <w:r w:rsidR="00945D58" w:rsidRPr="00672545">
        <w:rPr>
          <w:szCs w:val="26"/>
        </w:rPr>
        <w:t xml:space="preserve">search warrant, Detective </w:t>
      </w:r>
      <w:proofErr w:type="spellStart"/>
      <w:r w:rsidR="00945D58" w:rsidRPr="00672545">
        <w:rPr>
          <w:szCs w:val="26"/>
        </w:rPr>
        <w:t>Alldredge</w:t>
      </w:r>
      <w:proofErr w:type="spellEnd"/>
      <w:r w:rsidR="00945D58" w:rsidRPr="00672545">
        <w:rPr>
          <w:szCs w:val="26"/>
        </w:rPr>
        <w:t xml:space="preserve"> </w:t>
      </w:r>
      <w:r w:rsidR="00C73904" w:rsidRPr="00672545">
        <w:rPr>
          <w:szCs w:val="26"/>
        </w:rPr>
        <w:t>had information suggest</w:t>
      </w:r>
      <w:r w:rsidR="00FB35C9" w:rsidRPr="00672545">
        <w:rPr>
          <w:szCs w:val="26"/>
        </w:rPr>
        <w:t>ing</w:t>
      </w:r>
      <w:r w:rsidR="00C73904" w:rsidRPr="00672545">
        <w:rPr>
          <w:szCs w:val="26"/>
        </w:rPr>
        <w:t xml:space="preserve"> defendant </w:t>
      </w:r>
      <w:r w:rsidR="000574C9" w:rsidRPr="00672545">
        <w:rPr>
          <w:szCs w:val="26"/>
        </w:rPr>
        <w:t xml:space="preserve">may have </w:t>
      </w:r>
      <w:r w:rsidR="003F7277" w:rsidRPr="00672545">
        <w:rPr>
          <w:szCs w:val="26"/>
        </w:rPr>
        <w:t xml:space="preserve">lied about </w:t>
      </w:r>
      <w:r w:rsidR="006371FE" w:rsidRPr="00672545">
        <w:rPr>
          <w:szCs w:val="26"/>
        </w:rPr>
        <w:t>retrieving</w:t>
      </w:r>
      <w:r w:rsidR="003F7277" w:rsidRPr="00672545">
        <w:rPr>
          <w:szCs w:val="26"/>
        </w:rPr>
        <w:t xml:space="preserve"> his motorhome</w:t>
      </w:r>
      <w:r w:rsidR="006371FE" w:rsidRPr="00672545">
        <w:rPr>
          <w:szCs w:val="26"/>
        </w:rPr>
        <w:t xml:space="preserve"> from storage</w:t>
      </w:r>
      <w:r w:rsidR="003F7277" w:rsidRPr="00672545">
        <w:rPr>
          <w:szCs w:val="26"/>
        </w:rPr>
        <w:t xml:space="preserve"> on the morning after Danielle’s abduction.  A neighbor </w:t>
      </w:r>
      <w:r w:rsidR="00CE5DF0" w:rsidRPr="00672545">
        <w:rPr>
          <w:szCs w:val="26"/>
        </w:rPr>
        <w:t>had seen</w:t>
      </w:r>
      <w:r w:rsidR="003F7277" w:rsidRPr="00672545">
        <w:rPr>
          <w:szCs w:val="26"/>
        </w:rPr>
        <w:t xml:space="preserve"> it </w:t>
      </w:r>
      <w:r w:rsidR="007713FC" w:rsidRPr="00672545">
        <w:t xml:space="preserve">parked in the neighborhood </w:t>
      </w:r>
      <w:r w:rsidR="003F7277" w:rsidRPr="00672545">
        <w:rPr>
          <w:szCs w:val="26"/>
        </w:rPr>
        <w:t xml:space="preserve">the previous night.  </w:t>
      </w:r>
      <w:r w:rsidR="0034350A" w:rsidRPr="00672545">
        <w:rPr>
          <w:szCs w:val="26"/>
        </w:rPr>
        <w:t>Regardless, i</w:t>
      </w:r>
      <w:r w:rsidR="003F7277" w:rsidRPr="00672545">
        <w:rPr>
          <w:szCs w:val="26"/>
        </w:rPr>
        <w:t>t appear</w:t>
      </w:r>
      <w:r w:rsidR="0034350A" w:rsidRPr="00672545">
        <w:rPr>
          <w:szCs w:val="26"/>
        </w:rPr>
        <w:t>ed</w:t>
      </w:r>
      <w:r w:rsidR="003F7277" w:rsidRPr="00672545">
        <w:rPr>
          <w:szCs w:val="26"/>
        </w:rPr>
        <w:t xml:space="preserve"> that defendant</w:t>
      </w:r>
      <w:r w:rsidR="00C73904" w:rsidRPr="00672545">
        <w:rPr>
          <w:szCs w:val="26"/>
        </w:rPr>
        <w:t xml:space="preserve"> left </w:t>
      </w:r>
      <w:r w:rsidR="00F376FA" w:rsidRPr="00672545">
        <w:rPr>
          <w:szCs w:val="26"/>
        </w:rPr>
        <w:t>in a hurried manner</w:t>
      </w:r>
      <w:r w:rsidR="000C236C" w:rsidRPr="00672545">
        <w:rPr>
          <w:szCs w:val="26"/>
        </w:rPr>
        <w:t xml:space="preserve"> </w:t>
      </w:r>
      <w:r w:rsidR="003F7277" w:rsidRPr="00672545">
        <w:rPr>
          <w:szCs w:val="26"/>
        </w:rPr>
        <w:t xml:space="preserve">the next </w:t>
      </w:r>
      <w:r w:rsidR="00E17F51" w:rsidRPr="00672545">
        <w:rPr>
          <w:szCs w:val="26"/>
        </w:rPr>
        <w:t>morning, and then</w:t>
      </w:r>
      <w:r w:rsidR="00C73904" w:rsidRPr="00672545">
        <w:rPr>
          <w:szCs w:val="26"/>
        </w:rPr>
        <w:t xml:space="preserve"> did not return </w:t>
      </w:r>
      <w:r w:rsidR="00823275" w:rsidRPr="00672545">
        <w:rPr>
          <w:szCs w:val="26"/>
        </w:rPr>
        <w:t xml:space="preserve">to his home </w:t>
      </w:r>
      <w:r w:rsidR="00C73904" w:rsidRPr="00672545">
        <w:rPr>
          <w:szCs w:val="26"/>
        </w:rPr>
        <w:t xml:space="preserve">for two days.  When defendant did return and was contacted by officers, </w:t>
      </w:r>
      <w:r w:rsidR="000C4431" w:rsidRPr="00672545">
        <w:rPr>
          <w:szCs w:val="26"/>
        </w:rPr>
        <w:t>he</w:t>
      </w:r>
      <w:r w:rsidR="00C73904" w:rsidRPr="00672545">
        <w:rPr>
          <w:szCs w:val="26"/>
        </w:rPr>
        <w:t xml:space="preserve"> displayed an unusual amount of cooperativeness</w:t>
      </w:r>
      <w:r w:rsidR="00E17F51" w:rsidRPr="00672545">
        <w:rPr>
          <w:szCs w:val="26"/>
        </w:rPr>
        <w:t xml:space="preserve"> —</w:t>
      </w:r>
      <w:r w:rsidR="00FB35C9" w:rsidRPr="00672545">
        <w:rPr>
          <w:szCs w:val="26"/>
        </w:rPr>
        <w:t xml:space="preserve"> a distinct </w:t>
      </w:r>
      <w:r w:rsidR="001D141F" w:rsidRPr="00672545">
        <w:rPr>
          <w:szCs w:val="26"/>
        </w:rPr>
        <w:t>trait</w:t>
      </w:r>
      <w:r w:rsidR="00FB35C9" w:rsidRPr="00672545">
        <w:rPr>
          <w:szCs w:val="26"/>
        </w:rPr>
        <w:t xml:space="preserve"> associated with abductors</w:t>
      </w:r>
      <w:r w:rsidR="00E17F51" w:rsidRPr="00672545">
        <w:rPr>
          <w:szCs w:val="26"/>
        </w:rPr>
        <w:t>,</w:t>
      </w:r>
      <w:r w:rsidR="00FB35C9" w:rsidRPr="00672545">
        <w:rPr>
          <w:szCs w:val="26"/>
        </w:rPr>
        <w:t xml:space="preserve"> according to FBI profilers</w:t>
      </w:r>
      <w:r w:rsidR="00C73904" w:rsidRPr="00672545">
        <w:rPr>
          <w:szCs w:val="26"/>
        </w:rPr>
        <w:t xml:space="preserve">.  </w:t>
      </w:r>
      <w:r w:rsidR="00E17F51" w:rsidRPr="00672545">
        <w:rPr>
          <w:szCs w:val="26"/>
        </w:rPr>
        <w:t>In addition, d</w:t>
      </w:r>
      <w:r w:rsidR="00FB35C9" w:rsidRPr="00672545">
        <w:rPr>
          <w:szCs w:val="26"/>
        </w:rPr>
        <w:t xml:space="preserve">efendant </w:t>
      </w:r>
      <w:r w:rsidR="00E17F51" w:rsidRPr="00672545">
        <w:rPr>
          <w:szCs w:val="26"/>
        </w:rPr>
        <w:t>matched</w:t>
      </w:r>
      <w:r w:rsidR="00FB35C9" w:rsidRPr="00672545">
        <w:rPr>
          <w:szCs w:val="26"/>
        </w:rPr>
        <w:t xml:space="preserve"> other characteristics identified by the profilers as typical of abductors.  </w:t>
      </w:r>
      <w:r w:rsidR="00F93C1E" w:rsidRPr="00672545">
        <w:rPr>
          <w:szCs w:val="26"/>
        </w:rPr>
        <w:t xml:space="preserve">When the </w:t>
      </w:r>
      <w:r w:rsidR="00C73904" w:rsidRPr="00672545">
        <w:rPr>
          <w:szCs w:val="26"/>
        </w:rPr>
        <w:t xml:space="preserve">search and rescue dog displayed an interest in defendant’s garage, defendant </w:t>
      </w:r>
      <w:r w:rsidR="00D2116C" w:rsidRPr="00672545">
        <w:rPr>
          <w:szCs w:val="26"/>
        </w:rPr>
        <w:t>provided</w:t>
      </w:r>
      <w:r w:rsidR="00F6767B" w:rsidRPr="00672545">
        <w:rPr>
          <w:szCs w:val="26"/>
        </w:rPr>
        <w:t xml:space="preserve"> a convenient</w:t>
      </w:r>
      <w:r w:rsidR="009107D7" w:rsidRPr="00672545">
        <w:rPr>
          <w:szCs w:val="26"/>
        </w:rPr>
        <w:t xml:space="preserve"> explanation</w:t>
      </w:r>
      <w:r w:rsidR="00F47F98" w:rsidRPr="00672545">
        <w:rPr>
          <w:szCs w:val="26"/>
        </w:rPr>
        <w:t xml:space="preserve"> that</w:t>
      </w:r>
      <w:r w:rsidR="00782E33" w:rsidRPr="00672545">
        <w:rPr>
          <w:szCs w:val="26"/>
        </w:rPr>
        <w:t xml:space="preserve"> was inconsistent with the information Brenda </w:t>
      </w:r>
      <w:r w:rsidR="00F6767B" w:rsidRPr="00672545">
        <w:rPr>
          <w:szCs w:val="26"/>
        </w:rPr>
        <w:t xml:space="preserve">had </w:t>
      </w:r>
      <w:r w:rsidR="00782E33" w:rsidRPr="00672545">
        <w:rPr>
          <w:szCs w:val="26"/>
        </w:rPr>
        <w:t>provided t</w:t>
      </w:r>
      <w:r w:rsidR="00C73904" w:rsidRPr="00672545">
        <w:rPr>
          <w:szCs w:val="26"/>
        </w:rPr>
        <w:t xml:space="preserve">he officers </w:t>
      </w:r>
      <w:r w:rsidR="00C4112B" w:rsidRPr="00672545">
        <w:rPr>
          <w:szCs w:val="26"/>
        </w:rPr>
        <w:t>concerning her children’s visit to defendant’s house.</w:t>
      </w:r>
      <w:r w:rsidR="00782E33" w:rsidRPr="00672545">
        <w:rPr>
          <w:szCs w:val="26"/>
        </w:rPr>
        <w:t xml:space="preserve">  </w:t>
      </w:r>
      <w:r w:rsidR="003253E6" w:rsidRPr="00672545">
        <w:rPr>
          <w:szCs w:val="26"/>
        </w:rPr>
        <w:t xml:space="preserve">In his interview with Detective Keene, defendant related information concerning Danielle (the upcoming school dance, her new blouse, her father’s concern that she was growing up too fast) that, according to Brenda, only Danielle, her family, and one other neighbor would </w:t>
      </w:r>
      <w:r w:rsidR="00CF7087" w:rsidRPr="00672545">
        <w:rPr>
          <w:szCs w:val="26"/>
        </w:rPr>
        <w:t xml:space="preserve">have known.  </w:t>
      </w:r>
      <w:r w:rsidR="00047955" w:rsidRPr="00672545">
        <w:rPr>
          <w:szCs w:val="26"/>
        </w:rPr>
        <w:t>These circumstances</w:t>
      </w:r>
      <w:r w:rsidR="009A6E7C" w:rsidRPr="00672545">
        <w:rPr>
          <w:szCs w:val="26"/>
        </w:rPr>
        <w:t xml:space="preserve">, </w:t>
      </w:r>
      <w:r w:rsidR="00E25904" w:rsidRPr="00672545">
        <w:rPr>
          <w:szCs w:val="26"/>
        </w:rPr>
        <w:t xml:space="preserve">at least </w:t>
      </w:r>
      <w:r w:rsidR="009A6E7C" w:rsidRPr="00672545">
        <w:rPr>
          <w:szCs w:val="26"/>
        </w:rPr>
        <w:t>as understood at the time of the execution of the first search warrant,</w:t>
      </w:r>
      <w:r w:rsidR="00035B37" w:rsidRPr="00672545">
        <w:rPr>
          <w:szCs w:val="26"/>
        </w:rPr>
        <w:t xml:space="preserve"> led to the reasonable inference </w:t>
      </w:r>
      <w:r w:rsidR="00047955" w:rsidRPr="00672545">
        <w:rPr>
          <w:szCs w:val="26"/>
        </w:rPr>
        <w:t xml:space="preserve">that </w:t>
      </w:r>
      <w:r w:rsidR="00B629BE" w:rsidRPr="00672545">
        <w:rPr>
          <w:szCs w:val="26"/>
        </w:rPr>
        <w:t xml:space="preserve">defendant had learned of the planned father-daughter dance from Danielle </w:t>
      </w:r>
      <w:r w:rsidR="00B629BE" w:rsidRPr="00672545">
        <w:rPr>
          <w:szCs w:val="26"/>
        </w:rPr>
        <w:lastRenderedPageBreak/>
        <w:t>herself.</w:t>
      </w:r>
      <w:r w:rsidR="001815A4" w:rsidRPr="00672545">
        <w:rPr>
          <w:rStyle w:val="FootnoteReference"/>
          <w:szCs w:val="26"/>
        </w:rPr>
        <w:footnoteReference w:id="7"/>
      </w:r>
      <w:r w:rsidR="00B629BE" w:rsidRPr="00672545">
        <w:rPr>
          <w:szCs w:val="26"/>
        </w:rPr>
        <w:t xml:space="preserve">  </w:t>
      </w:r>
      <w:r w:rsidR="00CF7087" w:rsidRPr="00672545">
        <w:rPr>
          <w:szCs w:val="26"/>
        </w:rPr>
        <w:t>Moreover, d</w:t>
      </w:r>
      <w:r w:rsidR="003253E6" w:rsidRPr="00672545">
        <w:rPr>
          <w:szCs w:val="26"/>
        </w:rPr>
        <w:t xml:space="preserve">efendant </w:t>
      </w:r>
      <w:r w:rsidR="008A7473" w:rsidRPr="00672545">
        <w:rPr>
          <w:szCs w:val="26"/>
        </w:rPr>
        <w:t xml:space="preserve">oddly </w:t>
      </w:r>
      <w:r w:rsidR="00CF7087" w:rsidRPr="00672545">
        <w:rPr>
          <w:szCs w:val="26"/>
        </w:rPr>
        <w:t>voiced</w:t>
      </w:r>
      <w:r w:rsidR="003253E6" w:rsidRPr="00672545">
        <w:rPr>
          <w:szCs w:val="26"/>
        </w:rPr>
        <w:t xml:space="preserve"> “out of the blue” </w:t>
      </w:r>
      <w:r w:rsidR="008A7473" w:rsidRPr="00672545">
        <w:rPr>
          <w:szCs w:val="26"/>
        </w:rPr>
        <w:t xml:space="preserve">surprise that </w:t>
      </w:r>
      <w:r w:rsidR="00067044">
        <w:rPr>
          <w:szCs w:val="26"/>
        </w:rPr>
        <w:t>Brenda’s</w:t>
      </w:r>
      <w:r w:rsidR="003253E6" w:rsidRPr="00672545">
        <w:rPr>
          <w:szCs w:val="26"/>
        </w:rPr>
        <w:t xml:space="preserve"> children were being watched </w:t>
      </w:r>
      <w:r w:rsidR="00396EC8" w:rsidRPr="00672545">
        <w:rPr>
          <w:szCs w:val="26"/>
        </w:rPr>
        <w:t>not by</w:t>
      </w:r>
      <w:r w:rsidR="00283F8E">
        <w:rPr>
          <w:szCs w:val="26"/>
        </w:rPr>
        <w:t xml:space="preserve"> a</w:t>
      </w:r>
      <w:r w:rsidR="00396EC8" w:rsidRPr="00672545">
        <w:rPr>
          <w:szCs w:val="26"/>
        </w:rPr>
        <w:t xml:space="preserve"> </w:t>
      </w:r>
      <w:r w:rsidR="003253E6" w:rsidRPr="00672545">
        <w:rPr>
          <w:szCs w:val="26"/>
        </w:rPr>
        <w:t>babysitter</w:t>
      </w:r>
      <w:r w:rsidR="00396EC8" w:rsidRPr="00672545">
        <w:rPr>
          <w:szCs w:val="26"/>
        </w:rPr>
        <w:t>, but by her husband,</w:t>
      </w:r>
      <w:r w:rsidR="003253E6" w:rsidRPr="00672545">
        <w:rPr>
          <w:szCs w:val="26"/>
        </w:rPr>
        <w:t xml:space="preserve"> on the night of the abduction.</w:t>
      </w:r>
    </w:p>
    <w:p w14:paraId="073AA9A4" w14:textId="77777777" w:rsidR="0010650F" w:rsidRPr="00672545" w:rsidRDefault="0010650F" w:rsidP="00672545">
      <w:r w:rsidRPr="00672545">
        <w:rPr>
          <w:szCs w:val="26"/>
        </w:rPr>
        <w:tab/>
        <w:t xml:space="preserve">Defendant’s description of his weekend </w:t>
      </w:r>
      <w:r w:rsidR="00CF7087" w:rsidRPr="00672545">
        <w:rPr>
          <w:szCs w:val="26"/>
        </w:rPr>
        <w:t>contributed</w:t>
      </w:r>
      <w:r w:rsidRPr="00672545">
        <w:rPr>
          <w:szCs w:val="26"/>
        </w:rPr>
        <w:t xml:space="preserve"> further </w:t>
      </w:r>
      <w:r w:rsidR="00CF7087" w:rsidRPr="00672545">
        <w:rPr>
          <w:szCs w:val="26"/>
        </w:rPr>
        <w:t xml:space="preserve">to </w:t>
      </w:r>
      <w:r w:rsidRPr="00672545">
        <w:rPr>
          <w:szCs w:val="26"/>
        </w:rPr>
        <w:t>suspicion</w:t>
      </w:r>
      <w:r w:rsidR="00CF7087" w:rsidRPr="00672545">
        <w:rPr>
          <w:szCs w:val="26"/>
        </w:rPr>
        <w:t xml:space="preserve"> about him and his version of events</w:t>
      </w:r>
      <w:r w:rsidRPr="00672545">
        <w:rPr>
          <w:szCs w:val="26"/>
        </w:rPr>
        <w:t xml:space="preserve">.  Defendant first drove his motorhome to Silver Strand where he </w:t>
      </w:r>
      <w:r w:rsidR="00F57EF9" w:rsidRPr="00672545">
        <w:rPr>
          <w:szCs w:val="26"/>
        </w:rPr>
        <w:t>over</w:t>
      </w:r>
      <w:r w:rsidRPr="00672545">
        <w:rPr>
          <w:szCs w:val="26"/>
        </w:rPr>
        <w:t>paid to camp for several nights</w:t>
      </w:r>
      <w:r w:rsidR="00F57EF9" w:rsidRPr="00672545">
        <w:rPr>
          <w:szCs w:val="26"/>
        </w:rPr>
        <w:t>, despite claiming he did not have his wallet with him</w:t>
      </w:r>
      <w:r w:rsidRPr="00672545">
        <w:rPr>
          <w:szCs w:val="26"/>
        </w:rPr>
        <w:t xml:space="preserve">.  </w:t>
      </w:r>
      <w:proofErr w:type="gramStart"/>
      <w:r w:rsidR="003F7277" w:rsidRPr="00672545">
        <w:rPr>
          <w:szCs w:val="26"/>
        </w:rPr>
        <w:t>A</w:t>
      </w:r>
      <w:r w:rsidRPr="00672545">
        <w:rPr>
          <w:szCs w:val="26"/>
        </w:rPr>
        <w:t xml:space="preserve">ll </w:t>
      </w:r>
      <w:r w:rsidR="003F7277" w:rsidRPr="00672545">
        <w:rPr>
          <w:szCs w:val="26"/>
        </w:rPr>
        <w:t>of</w:t>
      </w:r>
      <w:proofErr w:type="gramEnd"/>
      <w:r w:rsidR="003F7277" w:rsidRPr="00672545">
        <w:rPr>
          <w:szCs w:val="26"/>
        </w:rPr>
        <w:t xml:space="preserve"> </w:t>
      </w:r>
      <w:r w:rsidRPr="00672545">
        <w:rPr>
          <w:szCs w:val="26"/>
        </w:rPr>
        <w:t>the blinds on the motorhome</w:t>
      </w:r>
      <w:r w:rsidR="003F7277" w:rsidRPr="00672545">
        <w:rPr>
          <w:szCs w:val="26"/>
        </w:rPr>
        <w:t xml:space="preserve"> were closed, and t</w:t>
      </w:r>
      <w:r w:rsidRPr="00672545">
        <w:rPr>
          <w:szCs w:val="26"/>
        </w:rPr>
        <w:t>he park ranger who sought to return defendant’s overpayment to him described defendant</w:t>
      </w:r>
      <w:r w:rsidR="00E5358D" w:rsidRPr="00672545">
        <w:rPr>
          <w:szCs w:val="26"/>
        </w:rPr>
        <w:t xml:space="preserve">’s conduct as </w:t>
      </w:r>
      <w:r w:rsidR="003F7277" w:rsidRPr="00672545">
        <w:rPr>
          <w:szCs w:val="26"/>
        </w:rPr>
        <w:t>suspicious</w:t>
      </w:r>
      <w:r w:rsidRPr="00672545">
        <w:rPr>
          <w:szCs w:val="26"/>
        </w:rPr>
        <w:t>.</w:t>
      </w:r>
      <w:r w:rsidR="003F7277" w:rsidRPr="00672545">
        <w:rPr>
          <w:szCs w:val="26"/>
        </w:rPr>
        <w:t xml:space="preserve">  </w:t>
      </w:r>
      <w:r w:rsidR="00E5358D" w:rsidRPr="00672545">
        <w:rPr>
          <w:szCs w:val="26"/>
        </w:rPr>
        <w:t>Although he had paid for several nights, d</w:t>
      </w:r>
      <w:r w:rsidR="003F7277" w:rsidRPr="00672545">
        <w:rPr>
          <w:szCs w:val="26"/>
        </w:rPr>
        <w:t xml:space="preserve">efendant left the campsite soon after </w:t>
      </w:r>
      <w:r w:rsidR="00E5358D" w:rsidRPr="00672545">
        <w:rPr>
          <w:szCs w:val="26"/>
        </w:rPr>
        <w:t xml:space="preserve">being contacted by </w:t>
      </w:r>
      <w:r w:rsidR="003F7277" w:rsidRPr="00672545">
        <w:rPr>
          <w:szCs w:val="26"/>
        </w:rPr>
        <w:t xml:space="preserve">the </w:t>
      </w:r>
      <w:r w:rsidR="00E5358D" w:rsidRPr="00672545">
        <w:rPr>
          <w:szCs w:val="26"/>
        </w:rPr>
        <w:t xml:space="preserve">park </w:t>
      </w:r>
      <w:r w:rsidR="003F7277" w:rsidRPr="00672545">
        <w:rPr>
          <w:szCs w:val="26"/>
        </w:rPr>
        <w:t xml:space="preserve">ranger.  </w:t>
      </w:r>
      <w:r w:rsidR="003F61D7" w:rsidRPr="00672545">
        <w:t>More important, a</w:t>
      </w:r>
      <w:r w:rsidR="00C04757" w:rsidRPr="00672545">
        <w:t>fter describing how</w:t>
      </w:r>
      <w:r w:rsidR="003F7277" w:rsidRPr="00672545">
        <w:t xml:space="preserve"> he dug his motorhome out</w:t>
      </w:r>
      <w:r w:rsidR="00C04757" w:rsidRPr="00672545">
        <w:t xml:space="preserve"> of the sand</w:t>
      </w:r>
      <w:r w:rsidR="003F7277" w:rsidRPr="00672545">
        <w:t>, defendant said “</w:t>
      </w:r>
      <w:r w:rsidR="003F7277" w:rsidRPr="00672545">
        <w:rPr>
          <w:i/>
        </w:rPr>
        <w:t xml:space="preserve">we </w:t>
      </w:r>
      <w:r w:rsidR="00E807A5" w:rsidRPr="00672545">
        <w:t>drove back to Silver Strand,</w:t>
      </w:r>
      <w:r w:rsidR="003F7277" w:rsidRPr="00672545">
        <w:t>”</w:t>
      </w:r>
      <w:r w:rsidR="00E807A5" w:rsidRPr="00672545">
        <w:t xml:space="preserve"> suggesting he was not alone during the trip.</w:t>
      </w:r>
      <w:r w:rsidR="003F7277" w:rsidRPr="00672545">
        <w:t xml:space="preserve">  </w:t>
      </w:r>
      <w:r w:rsidR="00E807A5" w:rsidRPr="00672545">
        <w:t>Moreover,</w:t>
      </w:r>
      <w:r w:rsidR="00E5358D" w:rsidRPr="00672545">
        <w:t xml:space="preserve"> defendant stay</w:t>
      </w:r>
      <w:r w:rsidR="00050EFA" w:rsidRPr="00672545">
        <w:t>ed only briefly</w:t>
      </w:r>
      <w:r w:rsidR="00E5358D" w:rsidRPr="00672545">
        <w:t xml:space="preserve"> </w:t>
      </w:r>
      <w:r w:rsidR="001376C9" w:rsidRPr="00672545">
        <w:t>at Silver Strand</w:t>
      </w:r>
      <w:r w:rsidR="00E5358D" w:rsidRPr="00672545">
        <w:t xml:space="preserve"> </w:t>
      </w:r>
      <w:r w:rsidR="00FF0CC9" w:rsidRPr="00672545">
        <w:t>and</w:t>
      </w:r>
      <w:r w:rsidR="00E5358D" w:rsidRPr="00672545">
        <w:t xml:space="preserve"> returned home relatively early </w:t>
      </w:r>
      <w:r w:rsidR="00F57EF9" w:rsidRPr="00672545">
        <w:t>o</w:t>
      </w:r>
      <w:r w:rsidR="00E5358D" w:rsidRPr="00672545">
        <w:t>n the morning o</w:t>
      </w:r>
      <w:r w:rsidR="00F57EF9" w:rsidRPr="00672545">
        <w:t>f</w:t>
      </w:r>
      <w:r w:rsidR="00E5358D" w:rsidRPr="00672545">
        <w:t xml:space="preserve"> February 4.</w:t>
      </w:r>
    </w:p>
    <w:p w14:paraId="708AA89B" w14:textId="77777777" w:rsidR="00B03546" w:rsidRPr="00672545" w:rsidRDefault="00E5358D" w:rsidP="00672545">
      <w:r w:rsidRPr="00672545">
        <w:tab/>
        <w:t>Considering the totality of these circumstances,</w:t>
      </w:r>
      <w:r w:rsidR="00AC2BD3" w:rsidRPr="00672545">
        <w:t xml:space="preserve"> </w:t>
      </w:r>
      <w:r w:rsidR="006C1934" w:rsidRPr="00672545">
        <w:t xml:space="preserve">and </w:t>
      </w:r>
      <w:r w:rsidR="00C21565" w:rsidRPr="00672545">
        <w:t>without consideration of</w:t>
      </w:r>
      <w:r w:rsidR="006C1934" w:rsidRPr="00672545">
        <w:t xml:space="preserve"> defendant’s polygraph </w:t>
      </w:r>
      <w:r w:rsidR="006203AF" w:rsidRPr="00672545">
        <w:t>examination</w:t>
      </w:r>
      <w:r w:rsidR="006C1934" w:rsidRPr="00672545">
        <w:t xml:space="preserve">, </w:t>
      </w:r>
      <w:r w:rsidR="00AC2BD3" w:rsidRPr="00672545">
        <w:t xml:space="preserve">there was </w:t>
      </w:r>
      <w:proofErr w:type="gramStart"/>
      <w:r w:rsidR="006C1934" w:rsidRPr="00672545">
        <w:t>sufficient</w:t>
      </w:r>
      <w:proofErr w:type="gramEnd"/>
      <w:r w:rsidR="006C1934" w:rsidRPr="00672545">
        <w:t xml:space="preserve"> probable cause to issue the first search warrant because there existed </w:t>
      </w:r>
      <w:r w:rsidR="00AC2BD3" w:rsidRPr="00672545">
        <w:t xml:space="preserve">a “fair probability” that the search of his home, vehicle, and motorhome would reveal evidence of a crime.  </w:t>
      </w:r>
      <w:r w:rsidR="00AC2BD3" w:rsidRPr="00672545">
        <w:rPr>
          <w:szCs w:val="26"/>
        </w:rPr>
        <w:t>(</w:t>
      </w:r>
      <w:r w:rsidR="00AC2BD3" w:rsidRPr="00672545">
        <w:rPr>
          <w:i/>
          <w:iCs/>
          <w:szCs w:val="26"/>
        </w:rPr>
        <w:t>Kraft</w:t>
      </w:r>
      <w:r w:rsidR="00AC2BD3" w:rsidRPr="00672545">
        <w:rPr>
          <w:szCs w:val="26"/>
        </w:rPr>
        <w:t xml:space="preserve">, </w:t>
      </w:r>
      <w:r w:rsidR="00AC2BD3" w:rsidRPr="00672545">
        <w:rPr>
          <w:i/>
          <w:szCs w:val="26"/>
        </w:rPr>
        <w:t>supra</w:t>
      </w:r>
      <w:r w:rsidR="0056126F" w:rsidRPr="00672545">
        <w:rPr>
          <w:szCs w:val="26"/>
        </w:rPr>
        <w:t>,</w:t>
      </w:r>
      <w:r w:rsidR="00AC2BD3" w:rsidRPr="00672545">
        <w:rPr>
          <w:szCs w:val="26"/>
        </w:rPr>
        <w:t xml:space="preserve"> 23 Cal.4th at p. 1040.)</w:t>
      </w:r>
    </w:p>
    <w:p w14:paraId="127343B4" w14:textId="77777777" w:rsidR="00FB05AD" w:rsidRPr="00672545" w:rsidRDefault="00444C84" w:rsidP="00672545">
      <w:r w:rsidRPr="00672545">
        <w:tab/>
      </w:r>
      <w:r w:rsidR="00100E2F" w:rsidRPr="00672545">
        <w:t xml:space="preserve">As for the subsequent warrants, each </w:t>
      </w:r>
      <w:r w:rsidR="00DD79D3" w:rsidRPr="00672545">
        <w:t xml:space="preserve">one </w:t>
      </w:r>
      <w:r w:rsidR="00100E2F" w:rsidRPr="00672545">
        <w:t>was based on additional</w:t>
      </w:r>
      <w:r w:rsidR="00067044">
        <w:t>,</w:t>
      </w:r>
      <w:r w:rsidR="00100E2F" w:rsidRPr="00672545">
        <w:t xml:space="preserve"> potentially incriminating evidence discovered </w:t>
      </w:r>
      <w:r w:rsidR="006F01E4">
        <w:t>via</w:t>
      </w:r>
      <w:r w:rsidR="00AC39A5" w:rsidRPr="00672545">
        <w:t xml:space="preserve"> </w:t>
      </w:r>
      <w:r w:rsidR="00AC39A5" w:rsidRPr="00672545">
        <w:lastRenderedPageBreak/>
        <w:t>either</w:t>
      </w:r>
      <w:r w:rsidR="00FB05AD" w:rsidRPr="00672545">
        <w:t xml:space="preserve"> </w:t>
      </w:r>
      <w:r w:rsidR="00827157" w:rsidRPr="00672545">
        <w:t>a</w:t>
      </w:r>
      <w:r w:rsidR="00FB05AD" w:rsidRPr="00672545">
        <w:t xml:space="preserve"> prior warrant</w:t>
      </w:r>
      <w:r w:rsidR="003920DB" w:rsidRPr="00672545">
        <w:t xml:space="preserve"> or </w:t>
      </w:r>
      <w:r w:rsidR="006F01E4">
        <w:t xml:space="preserve">based on </w:t>
      </w:r>
      <w:r w:rsidR="003920DB" w:rsidRPr="00672545">
        <w:t>other additional information</w:t>
      </w:r>
      <w:r w:rsidR="001A2A6E" w:rsidRPr="00672545">
        <w:t xml:space="preserve"> learned during the continuing investigation</w:t>
      </w:r>
      <w:r w:rsidR="00FB05AD" w:rsidRPr="00672545">
        <w:t>.</w:t>
      </w:r>
    </w:p>
    <w:p w14:paraId="6AF90F41" w14:textId="77777777" w:rsidR="00444C84" w:rsidRPr="00672545" w:rsidRDefault="00F3232D" w:rsidP="00672545">
      <w:pPr>
        <w:ind w:firstLine="720"/>
        <w:rPr>
          <w:szCs w:val="26"/>
        </w:rPr>
      </w:pPr>
      <w:r w:rsidRPr="00672545">
        <w:t>Concerning the second warrant, t</w:t>
      </w:r>
      <w:r w:rsidR="00100E2F" w:rsidRPr="00672545">
        <w:t xml:space="preserve">he </w:t>
      </w:r>
      <w:r w:rsidR="007A3F19" w:rsidRPr="00672545">
        <w:t xml:space="preserve">execution of the </w:t>
      </w:r>
      <w:r w:rsidR="003D680E" w:rsidRPr="00672545">
        <w:t xml:space="preserve">first warrant </w:t>
      </w:r>
      <w:r w:rsidR="006F5D44" w:rsidRPr="00672545">
        <w:t xml:space="preserve">had </w:t>
      </w:r>
      <w:r w:rsidR="00BA1B26" w:rsidRPr="00672545">
        <w:t>led to the discovery of</w:t>
      </w:r>
      <w:r w:rsidR="00855AD3" w:rsidRPr="00672545">
        <w:t xml:space="preserve"> possible child pornography stored on CD</w:t>
      </w:r>
      <w:r w:rsidR="00067044">
        <w:t>’s</w:t>
      </w:r>
      <w:r w:rsidR="00855AD3" w:rsidRPr="00672545">
        <w:t xml:space="preserve">.  </w:t>
      </w:r>
      <w:r w:rsidR="004E0644" w:rsidRPr="00672545">
        <w:t>According to the FBI profilers, most abductions of children ages five and above are for sexual purposes</w:t>
      </w:r>
      <w:r w:rsidR="006F5D44" w:rsidRPr="00672545">
        <w:t>, and</w:t>
      </w:r>
      <w:r w:rsidR="00D16DC3" w:rsidRPr="00672545">
        <w:t xml:space="preserve"> the CD</w:t>
      </w:r>
      <w:r w:rsidR="00067044">
        <w:t>’</w:t>
      </w:r>
      <w:r w:rsidR="00D16DC3" w:rsidRPr="00672545">
        <w:t>s suggested that defendant had a sexual interest in children</w:t>
      </w:r>
      <w:r w:rsidR="00E149D0" w:rsidRPr="00672545">
        <w:t>.  This discovery, in addition to the evidence</w:t>
      </w:r>
      <w:r w:rsidR="008E06FE" w:rsidRPr="00672545">
        <w:t xml:space="preserve"> </w:t>
      </w:r>
      <w:r w:rsidR="00B05CCE" w:rsidRPr="00672545">
        <w:t xml:space="preserve">asserted in the prior warrant that was </w:t>
      </w:r>
      <w:r w:rsidR="008E06FE" w:rsidRPr="00672545">
        <w:t xml:space="preserve">not related to the polygraph </w:t>
      </w:r>
      <w:r w:rsidR="006203AF" w:rsidRPr="00672545">
        <w:t>examination</w:t>
      </w:r>
      <w:r w:rsidR="008E06FE" w:rsidRPr="00672545">
        <w:t>, provided</w:t>
      </w:r>
      <w:r w:rsidR="00067044">
        <w:t xml:space="preserve"> a</w:t>
      </w:r>
      <w:r w:rsidR="008E06FE" w:rsidRPr="00672545">
        <w:t xml:space="preserve"> </w:t>
      </w:r>
      <w:r w:rsidR="00376FE7" w:rsidRPr="00672545">
        <w:t>“</w:t>
      </w:r>
      <w:r w:rsidR="00376FE7" w:rsidRPr="00672545">
        <w:rPr>
          <w:szCs w:val="26"/>
        </w:rPr>
        <w:t xml:space="preserve">substantial basis” </w:t>
      </w:r>
      <w:r w:rsidR="00DE4B7F" w:rsidRPr="00672545">
        <w:t>to believe that</w:t>
      </w:r>
      <w:r w:rsidR="00376FE7" w:rsidRPr="00672545">
        <w:t xml:space="preserve"> there was a</w:t>
      </w:r>
      <w:r w:rsidR="00BA7224" w:rsidRPr="00672545">
        <w:t xml:space="preserve"> “</w:t>
      </w:r>
      <w:r w:rsidR="00376FE7" w:rsidRPr="00672545">
        <w:t>fair probability” that</w:t>
      </w:r>
      <w:r w:rsidR="00DE4B7F" w:rsidRPr="00672545">
        <w:t xml:space="preserve"> additional incriminating evidence might be </w:t>
      </w:r>
      <w:r w:rsidR="007A3F19" w:rsidRPr="00672545">
        <w:t>stored in defendant’s computer and other electronic media.</w:t>
      </w:r>
      <w:r w:rsidR="00326170" w:rsidRPr="00672545">
        <w:t xml:space="preserve">  </w:t>
      </w:r>
      <w:r w:rsidR="00370F9E" w:rsidRPr="00672545">
        <w:rPr>
          <w:szCs w:val="26"/>
        </w:rPr>
        <w:t>(</w:t>
      </w:r>
      <w:r w:rsidR="00370F9E" w:rsidRPr="00672545">
        <w:rPr>
          <w:i/>
          <w:iCs/>
          <w:szCs w:val="26"/>
        </w:rPr>
        <w:t>Kraft</w:t>
      </w:r>
      <w:r w:rsidR="00370F9E" w:rsidRPr="00672545">
        <w:rPr>
          <w:szCs w:val="26"/>
        </w:rPr>
        <w:t xml:space="preserve">, </w:t>
      </w:r>
      <w:r w:rsidR="00370F9E" w:rsidRPr="00672545">
        <w:rPr>
          <w:i/>
          <w:szCs w:val="26"/>
        </w:rPr>
        <w:t>supra</w:t>
      </w:r>
      <w:r w:rsidR="0056126F" w:rsidRPr="00672545">
        <w:rPr>
          <w:szCs w:val="26"/>
        </w:rPr>
        <w:t>,</w:t>
      </w:r>
      <w:r w:rsidR="00370F9E" w:rsidRPr="00672545">
        <w:rPr>
          <w:szCs w:val="26"/>
        </w:rPr>
        <w:t xml:space="preserve"> 23 Cal.4th at p. 1040.)</w:t>
      </w:r>
    </w:p>
    <w:p w14:paraId="6FCB19A9" w14:textId="77777777" w:rsidR="00326170" w:rsidRPr="00672545" w:rsidRDefault="00AB2DA9" w:rsidP="00672545">
      <w:pPr>
        <w:ind w:firstLine="720"/>
        <w:rPr>
          <w:szCs w:val="26"/>
        </w:rPr>
      </w:pPr>
      <w:r w:rsidRPr="00672545">
        <w:t xml:space="preserve">The discovery of possible child pornography </w:t>
      </w:r>
      <w:r w:rsidR="00DB1385" w:rsidRPr="00672545">
        <w:t xml:space="preserve">from the first and second warrants, in addition to the </w:t>
      </w:r>
      <w:r w:rsidR="006970DB" w:rsidRPr="00672545">
        <w:t>non-polygraph-related facts demonstrating probable cause from the first warrant, justified the issu</w:t>
      </w:r>
      <w:r w:rsidR="00F3232D" w:rsidRPr="00672545">
        <w:t>ance of the third warrant</w:t>
      </w:r>
      <w:r w:rsidR="006970DB" w:rsidRPr="00672545">
        <w:t xml:space="preserve">.  </w:t>
      </w:r>
      <w:r w:rsidR="00696D5D" w:rsidRPr="00672545">
        <w:t xml:space="preserve">The </w:t>
      </w:r>
      <w:r w:rsidR="007B3131" w:rsidRPr="00672545">
        <w:t xml:space="preserve">evidence obtained from the execution of the </w:t>
      </w:r>
      <w:r w:rsidR="00696D5D" w:rsidRPr="00672545">
        <w:t xml:space="preserve">prior </w:t>
      </w:r>
      <w:r w:rsidR="00AB60F5" w:rsidRPr="00672545">
        <w:t>warrants demonstrated</w:t>
      </w:r>
      <w:r w:rsidR="0047554E" w:rsidRPr="00672545">
        <w:t xml:space="preserve"> defendant’s possible sexual interest in children</w:t>
      </w:r>
      <w:r w:rsidR="00E20820" w:rsidRPr="00672545">
        <w:t>.  The first warrant affidavit</w:t>
      </w:r>
      <w:r w:rsidR="00AB60F5" w:rsidRPr="00672545">
        <w:t xml:space="preserve"> </w:t>
      </w:r>
      <w:r w:rsidR="007B3131" w:rsidRPr="00672545">
        <w:t>described</w:t>
      </w:r>
      <w:r w:rsidR="0047554E" w:rsidRPr="00672545">
        <w:t xml:space="preserve"> </w:t>
      </w:r>
      <w:r w:rsidR="00E20820" w:rsidRPr="00672545">
        <w:t>defendant’s</w:t>
      </w:r>
      <w:r w:rsidR="0047554E" w:rsidRPr="00672545">
        <w:t xml:space="preserve"> inconsistent statements regarding his whereabouts</w:t>
      </w:r>
      <w:r w:rsidR="007B3131" w:rsidRPr="00672545">
        <w:t xml:space="preserve"> on</w:t>
      </w:r>
      <w:r w:rsidR="0047554E" w:rsidRPr="00672545">
        <w:t xml:space="preserve"> the night of Danielle’s disappearance</w:t>
      </w:r>
      <w:r w:rsidR="00651DC6" w:rsidRPr="00672545">
        <w:t xml:space="preserve"> and his odd behavior with the park ranger at the Silver Strand camping spot</w:t>
      </w:r>
      <w:r w:rsidR="00AB60F5" w:rsidRPr="00672545">
        <w:t>.  These circumstances</w:t>
      </w:r>
      <w:r w:rsidR="00A32AC3" w:rsidRPr="00672545">
        <w:t xml:space="preserve"> provided a “</w:t>
      </w:r>
      <w:r w:rsidR="00A32AC3" w:rsidRPr="00672545">
        <w:rPr>
          <w:szCs w:val="26"/>
        </w:rPr>
        <w:t xml:space="preserve">substantial basis” </w:t>
      </w:r>
      <w:r w:rsidR="00721F78">
        <w:rPr>
          <w:szCs w:val="26"/>
        </w:rPr>
        <w:t xml:space="preserve">upon which </w:t>
      </w:r>
      <w:r w:rsidR="00A32AC3" w:rsidRPr="00672545">
        <w:t xml:space="preserve">to believe that there was a “fair probability” that </w:t>
      </w:r>
      <w:r w:rsidR="00A276E1" w:rsidRPr="00672545">
        <w:t xml:space="preserve">a search of </w:t>
      </w:r>
      <w:r w:rsidR="00A32AC3" w:rsidRPr="00672545">
        <w:t>defendant</w:t>
      </w:r>
      <w:r w:rsidR="00A276E1" w:rsidRPr="00672545">
        <w:t>’s cell phone records, including his location</w:t>
      </w:r>
      <w:r w:rsidR="00F3232D" w:rsidRPr="00672545">
        <w:t>, would reveal that he</w:t>
      </w:r>
      <w:r w:rsidR="00A32AC3" w:rsidRPr="00672545">
        <w:t xml:space="preserve"> had not been truthful to investigators </w:t>
      </w:r>
      <w:r w:rsidR="00CD6354" w:rsidRPr="00672545">
        <w:t xml:space="preserve">concerning his </w:t>
      </w:r>
      <w:r w:rsidR="003B5425" w:rsidRPr="00672545">
        <w:t>activities</w:t>
      </w:r>
      <w:r w:rsidR="00CD6354" w:rsidRPr="00672545">
        <w:t xml:space="preserve"> during the weekend in question.  </w:t>
      </w:r>
      <w:r w:rsidR="007B33D5" w:rsidRPr="00672545">
        <w:rPr>
          <w:szCs w:val="26"/>
        </w:rPr>
        <w:t>(</w:t>
      </w:r>
      <w:r w:rsidR="007B33D5" w:rsidRPr="00672545">
        <w:rPr>
          <w:i/>
          <w:iCs/>
          <w:szCs w:val="26"/>
        </w:rPr>
        <w:t>Kraft</w:t>
      </w:r>
      <w:r w:rsidR="007B33D5" w:rsidRPr="00672545">
        <w:rPr>
          <w:szCs w:val="26"/>
        </w:rPr>
        <w:t xml:space="preserve">, </w:t>
      </w:r>
      <w:r w:rsidR="007B33D5" w:rsidRPr="00672545">
        <w:rPr>
          <w:i/>
          <w:szCs w:val="26"/>
        </w:rPr>
        <w:t>supra</w:t>
      </w:r>
      <w:r w:rsidR="0056126F" w:rsidRPr="00672545">
        <w:rPr>
          <w:szCs w:val="26"/>
        </w:rPr>
        <w:t>,</w:t>
      </w:r>
      <w:r w:rsidR="007B33D5" w:rsidRPr="00672545">
        <w:rPr>
          <w:szCs w:val="26"/>
        </w:rPr>
        <w:t xml:space="preserve"> 23 Cal.4th at p. 1040.)</w:t>
      </w:r>
    </w:p>
    <w:p w14:paraId="5DA45BB5" w14:textId="77012C51" w:rsidR="00736247" w:rsidRDefault="00721F78" w:rsidP="00672545">
      <w:pPr>
        <w:ind w:firstLine="720"/>
        <w:rPr>
          <w:szCs w:val="26"/>
        </w:rPr>
      </w:pPr>
      <w:r>
        <w:t>Regarding</w:t>
      </w:r>
      <w:r w:rsidR="00963359" w:rsidRPr="00672545">
        <w:t xml:space="preserve"> the fourth warrant</w:t>
      </w:r>
      <w:r w:rsidR="00173DEB" w:rsidRPr="00672545">
        <w:t xml:space="preserve"> to </w:t>
      </w:r>
      <w:r w:rsidR="009C53EB" w:rsidRPr="00672545">
        <w:t>seize and search the clothing and bedding defendant had taken to the dry cleaners</w:t>
      </w:r>
      <w:r w:rsidR="00963359" w:rsidRPr="00672545">
        <w:t xml:space="preserve">, </w:t>
      </w:r>
      <w:r>
        <w:lastRenderedPageBreak/>
        <w:t>the supporting</w:t>
      </w:r>
      <w:r w:rsidR="0057114E" w:rsidRPr="00672545">
        <w:t xml:space="preserve"> affidavit</w:t>
      </w:r>
      <w:r w:rsidR="00173DEB" w:rsidRPr="00672545">
        <w:t xml:space="preserve"> </w:t>
      </w:r>
      <w:r w:rsidR="004C55D2" w:rsidRPr="00672545">
        <w:t>incorporated</w:t>
      </w:r>
      <w:r w:rsidR="00173DEB" w:rsidRPr="00672545">
        <w:t xml:space="preserve"> the facts </w:t>
      </w:r>
      <w:r w:rsidR="004C55D2" w:rsidRPr="00672545">
        <w:t>asserted</w:t>
      </w:r>
      <w:r w:rsidR="00173DEB" w:rsidRPr="00672545">
        <w:t xml:space="preserve"> in the</w:t>
      </w:r>
      <w:r w:rsidR="009C53EB" w:rsidRPr="00672545">
        <w:t xml:space="preserve"> prior three search warrant affidavits</w:t>
      </w:r>
      <w:r w:rsidR="00C02370" w:rsidRPr="00672545">
        <w:t xml:space="preserve">.  In addition, the </w:t>
      </w:r>
      <w:r w:rsidR="00EA1CBE" w:rsidRPr="00672545">
        <w:t xml:space="preserve">fourth </w:t>
      </w:r>
      <w:r w:rsidR="00C02370" w:rsidRPr="00672545">
        <w:t xml:space="preserve">search warrant affidavit also alleged that </w:t>
      </w:r>
      <w:r w:rsidR="007F7EAA" w:rsidRPr="00672545">
        <w:t xml:space="preserve">two dry </w:t>
      </w:r>
      <w:r w:rsidR="00067044">
        <w:t>cleaning</w:t>
      </w:r>
      <w:r w:rsidR="007F7EAA" w:rsidRPr="00672545">
        <w:t xml:space="preserve"> receipts had been found during the search of one of defendant’s vehicles and that defendant had admitted he had dropped off items at the cleaners on the weekend in question.  The affidavit also alleged that the employees at the dry cleaner</w:t>
      </w:r>
      <w:r w:rsidR="00067044">
        <w:t>’</w:t>
      </w:r>
      <w:r w:rsidR="007F7EAA" w:rsidRPr="00672545">
        <w:t xml:space="preserve">s </w:t>
      </w:r>
      <w:r w:rsidR="00046A42" w:rsidRPr="00672545">
        <w:t xml:space="preserve">had </w:t>
      </w:r>
      <w:r w:rsidR="00B60C57" w:rsidRPr="00672545">
        <w:t xml:space="preserve">noted that defendant </w:t>
      </w:r>
      <w:r w:rsidR="00D62CE7" w:rsidRPr="00672545">
        <w:t xml:space="preserve">had </w:t>
      </w:r>
      <w:r>
        <w:t>presented</w:t>
      </w:r>
      <w:r w:rsidR="00B60C57" w:rsidRPr="00672545">
        <w:t xml:space="preserve"> his items at an unusual time and was wearing clothing inconsistent wi</w:t>
      </w:r>
      <w:r w:rsidR="00C952BB" w:rsidRPr="00672545">
        <w:t>th the cold weather that morning.  S</w:t>
      </w:r>
      <w:r w:rsidR="00CB4EE4" w:rsidRPr="00672545">
        <w:t>pecifically, he wore no jacket</w:t>
      </w:r>
      <w:r w:rsidR="00C952BB" w:rsidRPr="00672545">
        <w:t>,</w:t>
      </w:r>
      <w:r w:rsidR="00CB4EE4" w:rsidRPr="00672545">
        <w:t xml:space="preserve"> </w:t>
      </w:r>
      <w:r w:rsidR="00C952BB" w:rsidRPr="00672545">
        <w:t>yet</w:t>
      </w:r>
      <w:r w:rsidR="00CB4EE4" w:rsidRPr="00672545">
        <w:t xml:space="preserve"> turned in a jacket for dry cleaning</w:t>
      </w:r>
      <w:r w:rsidR="00B60C57" w:rsidRPr="00672545">
        <w:t xml:space="preserve">.  </w:t>
      </w:r>
      <w:r w:rsidR="00FC6192" w:rsidRPr="00672545">
        <w:t>Moreover, the affidavit</w:t>
      </w:r>
      <w:r w:rsidR="00A36675" w:rsidRPr="00672545">
        <w:t xml:space="preserve"> alleged that DNA evidence could </w:t>
      </w:r>
      <w:r w:rsidR="00CA52F5" w:rsidRPr="00672545">
        <w:t xml:space="preserve">still </w:t>
      </w:r>
      <w:r w:rsidR="00A36675" w:rsidRPr="00672545">
        <w:t xml:space="preserve">be </w:t>
      </w:r>
      <w:r w:rsidR="00CA52F5" w:rsidRPr="00672545">
        <w:t xml:space="preserve">obtained from items that had been dry cleaned.  </w:t>
      </w:r>
      <w:r w:rsidR="00D811E5" w:rsidRPr="00672545">
        <w:t>Placing aside the polygraph evidence alleged in the first warrant, these additional facts</w:t>
      </w:r>
      <w:r w:rsidR="007B4F41" w:rsidRPr="00672545">
        <w:t>, in conjunction with those previously alleged in the prior affidavits,</w:t>
      </w:r>
      <w:r w:rsidR="00D811E5" w:rsidRPr="00672545">
        <w:t xml:space="preserve"> provided a “</w:t>
      </w:r>
      <w:r w:rsidR="00D811E5" w:rsidRPr="00672545">
        <w:rPr>
          <w:szCs w:val="26"/>
        </w:rPr>
        <w:t xml:space="preserve">substantial basis” </w:t>
      </w:r>
      <w:r w:rsidR="00BF5DD0">
        <w:t>on which to</w:t>
      </w:r>
      <w:r w:rsidR="00D811E5" w:rsidRPr="00672545">
        <w:t xml:space="preserve"> believe there was a “fair probability” that a search of defendant’s clothing and bedding would uncover evidence relevant to Danielle’s disappearance.  </w:t>
      </w:r>
      <w:r w:rsidR="00D811E5" w:rsidRPr="00672545">
        <w:rPr>
          <w:szCs w:val="26"/>
        </w:rPr>
        <w:t>(</w:t>
      </w:r>
      <w:r w:rsidR="00D811E5" w:rsidRPr="00672545">
        <w:rPr>
          <w:i/>
          <w:iCs/>
          <w:szCs w:val="26"/>
        </w:rPr>
        <w:t>Kraft</w:t>
      </w:r>
      <w:r w:rsidR="00D811E5" w:rsidRPr="00672545">
        <w:rPr>
          <w:szCs w:val="26"/>
        </w:rPr>
        <w:t xml:space="preserve">, </w:t>
      </w:r>
      <w:r w:rsidR="00D811E5" w:rsidRPr="00672545">
        <w:rPr>
          <w:i/>
          <w:szCs w:val="26"/>
        </w:rPr>
        <w:t>supra</w:t>
      </w:r>
      <w:r w:rsidR="0056126F" w:rsidRPr="00672545">
        <w:rPr>
          <w:szCs w:val="26"/>
        </w:rPr>
        <w:t>,</w:t>
      </w:r>
      <w:r w:rsidR="00D811E5" w:rsidRPr="00672545">
        <w:rPr>
          <w:szCs w:val="26"/>
        </w:rPr>
        <w:t xml:space="preserve"> 23 Cal.4th at p. 1040.)</w:t>
      </w:r>
    </w:p>
    <w:p w14:paraId="030E179D" w14:textId="61FDFF83" w:rsidR="0033103A" w:rsidRPr="00672545" w:rsidRDefault="003E53F0" w:rsidP="00672545">
      <w:pPr>
        <w:ind w:firstLine="720"/>
        <w:rPr>
          <w:szCs w:val="26"/>
        </w:rPr>
      </w:pPr>
      <w:r>
        <w:rPr>
          <w:szCs w:val="26"/>
        </w:rPr>
        <w:t>Concerning the</w:t>
      </w:r>
      <w:r w:rsidR="0033103A" w:rsidRPr="0033103A">
        <w:rPr>
          <w:szCs w:val="26"/>
        </w:rPr>
        <w:t xml:space="preserve"> fifth and final warrant for a more extensive search for evidence</w:t>
      </w:r>
      <w:r w:rsidR="00F6490D">
        <w:rPr>
          <w:szCs w:val="26"/>
        </w:rPr>
        <w:t>, including trace evidence</w:t>
      </w:r>
      <w:r w:rsidR="009E79BC">
        <w:rPr>
          <w:szCs w:val="26"/>
        </w:rPr>
        <w:t>,</w:t>
      </w:r>
      <w:r w:rsidR="0033103A" w:rsidRPr="0033103A">
        <w:rPr>
          <w:szCs w:val="26"/>
        </w:rPr>
        <w:t xml:space="preserve"> located in defendant’s home</w:t>
      </w:r>
      <w:r w:rsidR="00BE39F6">
        <w:rPr>
          <w:szCs w:val="26"/>
        </w:rPr>
        <w:t xml:space="preserve">, </w:t>
      </w:r>
      <w:r w:rsidR="006B4F2D">
        <w:t>the supporting</w:t>
      </w:r>
      <w:r w:rsidR="006B4F2D" w:rsidRPr="00672545">
        <w:t xml:space="preserve"> affidavit incorporated the facts asserted in the prior search warrant affidavits</w:t>
      </w:r>
      <w:r w:rsidR="006B4F2D">
        <w:t xml:space="preserve">. </w:t>
      </w:r>
      <w:r w:rsidR="0033103A" w:rsidRPr="0033103A">
        <w:rPr>
          <w:szCs w:val="26"/>
        </w:rPr>
        <w:t xml:space="preserve"> </w:t>
      </w:r>
      <w:r w:rsidR="006B4F2D">
        <w:rPr>
          <w:szCs w:val="26"/>
        </w:rPr>
        <w:t>The affidavit also described the discovery</w:t>
      </w:r>
      <w:r w:rsidR="008D3005">
        <w:rPr>
          <w:szCs w:val="26"/>
        </w:rPr>
        <w:t>,</w:t>
      </w:r>
      <w:r w:rsidR="006B4F2D">
        <w:rPr>
          <w:szCs w:val="26"/>
        </w:rPr>
        <w:t xml:space="preserve"> </w:t>
      </w:r>
      <w:r w:rsidR="006D40D9" w:rsidRPr="0033103A">
        <w:rPr>
          <w:szCs w:val="26"/>
        </w:rPr>
        <w:t>in defendant’s 4Runner</w:t>
      </w:r>
      <w:r w:rsidR="008D3005">
        <w:rPr>
          <w:szCs w:val="26"/>
        </w:rPr>
        <w:t>,</w:t>
      </w:r>
      <w:r w:rsidR="006D40D9">
        <w:rPr>
          <w:szCs w:val="26"/>
        </w:rPr>
        <w:t xml:space="preserve"> </w:t>
      </w:r>
      <w:r w:rsidR="006B4F2D">
        <w:rPr>
          <w:szCs w:val="26"/>
        </w:rPr>
        <w:t xml:space="preserve">of </w:t>
      </w:r>
      <w:r w:rsidR="0033103A" w:rsidRPr="0033103A">
        <w:rPr>
          <w:szCs w:val="26"/>
        </w:rPr>
        <w:t xml:space="preserve">a strand of blond hair </w:t>
      </w:r>
      <w:r w:rsidR="000C46B8">
        <w:rPr>
          <w:szCs w:val="26"/>
        </w:rPr>
        <w:t xml:space="preserve">that was </w:t>
      </w:r>
      <w:r w:rsidR="0033103A" w:rsidRPr="0033103A">
        <w:rPr>
          <w:szCs w:val="26"/>
        </w:rPr>
        <w:t xml:space="preserve">microscopically </w:t>
      </w:r>
      <w:proofErr w:type="gramStart"/>
      <w:r w:rsidR="0033103A" w:rsidRPr="0033103A">
        <w:rPr>
          <w:szCs w:val="26"/>
        </w:rPr>
        <w:t>similar to</w:t>
      </w:r>
      <w:proofErr w:type="gramEnd"/>
      <w:r w:rsidR="0033103A" w:rsidRPr="0033103A">
        <w:rPr>
          <w:szCs w:val="26"/>
        </w:rPr>
        <w:t xml:space="preserve"> Danielle’s hair.</w:t>
      </w:r>
      <w:r w:rsidR="0070543D">
        <w:rPr>
          <w:szCs w:val="26"/>
        </w:rPr>
        <w:t xml:space="preserve">  </w:t>
      </w:r>
      <w:r w:rsidR="00A65604">
        <w:t xml:space="preserve">Without consideration of the </w:t>
      </w:r>
      <w:r w:rsidR="00E74D13" w:rsidRPr="00672545">
        <w:t xml:space="preserve">polygraph evidence alleged in the first warrant, </w:t>
      </w:r>
      <w:r w:rsidR="008501D7">
        <w:t>this fact</w:t>
      </w:r>
      <w:r w:rsidR="00E74D13" w:rsidRPr="00672545">
        <w:t xml:space="preserve">, in conjunction with those </w:t>
      </w:r>
      <w:r w:rsidR="00D026A3">
        <w:t xml:space="preserve">facts </w:t>
      </w:r>
      <w:r w:rsidR="00E74D13" w:rsidRPr="00672545">
        <w:t>previously alleged in the prior affidavits, provided a “</w:t>
      </w:r>
      <w:r w:rsidR="00E74D13" w:rsidRPr="00672545">
        <w:rPr>
          <w:szCs w:val="26"/>
        </w:rPr>
        <w:t xml:space="preserve">substantial basis” </w:t>
      </w:r>
      <w:r w:rsidR="00E74D13">
        <w:t>on which to</w:t>
      </w:r>
      <w:r w:rsidR="00E74D13" w:rsidRPr="00672545">
        <w:t xml:space="preserve"> believe there was a “fair probability” that a </w:t>
      </w:r>
      <w:r w:rsidR="008501D7">
        <w:t xml:space="preserve">trace evidence </w:t>
      </w:r>
      <w:r w:rsidR="00E74D13" w:rsidRPr="00672545">
        <w:t xml:space="preserve">search of defendant’s </w:t>
      </w:r>
      <w:r w:rsidR="008501D7">
        <w:lastRenderedPageBreak/>
        <w:t>home</w:t>
      </w:r>
      <w:r w:rsidR="00E74D13" w:rsidRPr="00672545">
        <w:t xml:space="preserve"> would uncover </w:t>
      </w:r>
      <w:r w:rsidR="005C39E1">
        <w:t xml:space="preserve">additional </w:t>
      </w:r>
      <w:r w:rsidR="00E74D13" w:rsidRPr="00672545">
        <w:t xml:space="preserve">evidence relevant to Danielle’s disappearance.  </w:t>
      </w:r>
      <w:r w:rsidR="00E74D13" w:rsidRPr="00672545">
        <w:rPr>
          <w:szCs w:val="26"/>
        </w:rPr>
        <w:t>(</w:t>
      </w:r>
      <w:r w:rsidR="00E74D13" w:rsidRPr="00672545">
        <w:rPr>
          <w:i/>
          <w:iCs/>
          <w:szCs w:val="26"/>
        </w:rPr>
        <w:t>Kraft</w:t>
      </w:r>
      <w:r w:rsidR="00E74D13" w:rsidRPr="00672545">
        <w:rPr>
          <w:szCs w:val="26"/>
        </w:rPr>
        <w:t xml:space="preserve">, </w:t>
      </w:r>
      <w:r w:rsidR="00E74D13" w:rsidRPr="00672545">
        <w:rPr>
          <w:i/>
          <w:szCs w:val="26"/>
        </w:rPr>
        <w:t>supra</w:t>
      </w:r>
      <w:r w:rsidR="00E74D13" w:rsidRPr="00672545">
        <w:rPr>
          <w:szCs w:val="26"/>
        </w:rPr>
        <w:t>, 23 Cal.4th at p. 1040.)</w:t>
      </w:r>
    </w:p>
    <w:p w14:paraId="055F1D94" w14:textId="77777777" w:rsidR="00DF4DDD" w:rsidRPr="00672545" w:rsidRDefault="00DF4DDD" w:rsidP="00672545">
      <w:pPr>
        <w:ind w:firstLine="720"/>
      </w:pPr>
      <w:r w:rsidRPr="00672545">
        <w:t xml:space="preserve">Given the above conclusions, </w:t>
      </w:r>
      <w:r w:rsidR="00736247" w:rsidRPr="00672545">
        <w:t>we need not reach whether the first search was justified by the good faith reliance of the police on the magistrate’s issuance of the warrant or whether</w:t>
      </w:r>
      <w:r w:rsidR="00736247" w:rsidRPr="00672545" w:rsidDel="00736247">
        <w:t xml:space="preserve"> </w:t>
      </w:r>
      <w:r w:rsidRPr="00672545">
        <w:t>substantial evidence supported the trial court’s conclusion that defendant</w:t>
      </w:r>
      <w:r w:rsidR="004B1EF6" w:rsidRPr="00672545">
        <w:t>’s</w:t>
      </w:r>
      <w:r w:rsidRPr="00672545">
        <w:t xml:space="preserve"> voluntary consent provided an alternative basis for the first search.</w:t>
      </w:r>
    </w:p>
    <w:p w14:paraId="2CFE5CAE" w14:textId="77777777" w:rsidR="00AA37DF" w:rsidRPr="00672545" w:rsidRDefault="00AA37DF" w:rsidP="00672545">
      <w:pPr>
        <w:pStyle w:val="Heading3"/>
      </w:pPr>
      <w:bookmarkStart w:id="17" w:name="_Toc503513994"/>
      <w:r w:rsidRPr="00672545">
        <w:t xml:space="preserve">2.  Denial of Defendant’s Challenges </w:t>
      </w:r>
      <w:bookmarkEnd w:id="17"/>
      <w:r w:rsidR="0094253A" w:rsidRPr="00672545">
        <w:t>for Cause</w:t>
      </w:r>
    </w:p>
    <w:p w14:paraId="3536559B" w14:textId="77777777" w:rsidR="004D616E" w:rsidRPr="00672545" w:rsidRDefault="00AA37DF" w:rsidP="00672545">
      <w:pPr>
        <w:rPr>
          <w:szCs w:val="26"/>
        </w:rPr>
      </w:pPr>
      <w:bookmarkStart w:id="18" w:name="_Toc506979808"/>
      <w:r w:rsidRPr="00672545">
        <w:tab/>
      </w:r>
      <w:r w:rsidR="004D616E" w:rsidRPr="00672545">
        <w:rPr>
          <w:szCs w:val="26"/>
        </w:rPr>
        <w:t>Defendant contends the trial court improperly denied his challenge for cause concerning Prospective Juror number 19.  He claims prejudice from the fact that he was forced to use a peremptory challenge to remove Prospective Juror number 19, leaving him with no remaining peremptory challenge</w:t>
      </w:r>
      <w:r w:rsidRPr="00672545">
        <w:rPr>
          <w:szCs w:val="26"/>
        </w:rPr>
        <w:t>s</w:t>
      </w:r>
      <w:r w:rsidR="004D616E" w:rsidRPr="00672545">
        <w:rPr>
          <w:szCs w:val="26"/>
        </w:rPr>
        <w:t xml:space="preserve"> to use on </w:t>
      </w:r>
      <w:r w:rsidRPr="00672545">
        <w:rPr>
          <w:szCs w:val="26"/>
        </w:rPr>
        <w:t xml:space="preserve">two </w:t>
      </w:r>
      <w:r w:rsidR="004D616E" w:rsidRPr="00672545">
        <w:rPr>
          <w:szCs w:val="26"/>
        </w:rPr>
        <w:t xml:space="preserve">allegedly biased </w:t>
      </w:r>
      <w:r w:rsidRPr="00672545">
        <w:rPr>
          <w:szCs w:val="26"/>
        </w:rPr>
        <w:t>p</w:t>
      </w:r>
      <w:r w:rsidR="004D616E" w:rsidRPr="00672545">
        <w:rPr>
          <w:szCs w:val="26"/>
        </w:rPr>
        <w:t xml:space="preserve">rospective </w:t>
      </w:r>
      <w:r w:rsidRPr="00672545">
        <w:rPr>
          <w:szCs w:val="26"/>
        </w:rPr>
        <w:t>j</w:t>
      </w:r>
      <w:r w:rsidR="004D616E" w:rsidRPr="00672545">
        <w:rPr>
          <w:szCs w:val="26"/>
        </w:rPr>
        <w:t>uror</w:t>
      </w:r>
      <w:r w:rsidRPr="00672545">
        <w:rPr>
          <w:szCs w:val="26"/>
        </w:rPr>
        <w:t xml:space="preserve">s — Prospective </w:t>
      </w:r>
      <w:r w:rsidR="006722A6" w:rsidRPr="00672545">
        <w:rPr>
          <w:szCs w:val="26"/>
        </w:rPr>
        <w:t>J</w:t>
      </w:r>
      <w:r w:rsidRPr="00672545">
        <w:rPr>
          <w:szCs w:val="26"/>
        </w:rPr>
        <w:t>uror</w:t>
      </w:r>
      <w:r w:rsidR="004D616E" w:rsidRPr="00672545">
        <w:rPr>
          <w:szCs w:val="26"/>
        </w:rPr>
        <w:t xml:space="preserve"> number 34, who became seated Juror number 4</w:t>
      </w:r>
      <w:r w:rsidR="00B1126A" w:rsidRPr="00672545">
        <w:rPr>
          <w:szCs w:val="26"/>
        </w:rPr>
        <w:t>,</w:t>
      </w:r>
      <w:r w:rsidRPr="00672545">
        <w:rPr>
          <w:szCs w:val="26"/>
        </w:rPr>
        <w:t xml:space="preserve"> and </w:t>
      </w:r>
      <w:r w:rsidRPr="00672545">
        <w:t>Prospective Juror number 51, who became seated Juror number 2</w:t>
      </w:r>
      <w:r w:rsidR="00B1126A" w:rsidRPr="00672545">
        <w:t>.</w:t>
      </w:r>
      <w:r w:rsidR="004D616E" w:rsidRPr="00672545">
        <w:rPr>
          <w:szCs w:val="26"/>
        </w:rPr>
        <w:t xml:space="preserve">  Although we conclude that defendant adequately preserved this issue for appeal, we find no error in the trial court’s denial of defendant’s challenge for cause to Prospective Juror number 19.  </w:t>
      </w:r>
      <w:r w:rsidRPr="00672545">
        <w:rPr>
          <w:szCs w:val="26"/>
        </w:rPr>
        <w:t>In any event, defendant fails to show that the court’s denial resulted in him being tried by a biased juror</w:t>
      </w:r>
      <w:r w:rsidR="000F4789" w:rsidRPr="00672545">
        <w:rPr>
          <w:szCs w:val="26"/>
        </w:rPr>
        <w:t>.  In addition, to the extent that defendant further contends</w:t>
      </w:r>
      <w:r w:rsidR="00F84138" w:rsidRPr="00672545">
        <w:rPr>
          <w:szCs w:val="26"/>
        </w:rPr>
        <w:t xml:space="preserve"> </w:t>
      </w:r>
      <w:r w:rsidR="006E149E" w:rsidRPr="00672545">
        <w:rPr>
          <w:szCs w:val="26"/>
        </w:rPr>
        <w:t xml:space="preserve">or suggests </w:t>
      </w:r>
      <w:r w:rsidR="00F84138" w:rsidRPr="00672545">
        <w:rPr>
          <w:szCs w:val="26"/>
        </w:rPr>
        <w:t>that other jurors should have also been removed for cause</w:t>
      </w:r>
      <w:r w:rsidR="000331F1" w:rsidRPr="00672545">
        <w:rPr>
          <w:szCs w:val="26"/>
        </w:rPr>
        <w:t>, we also reject those</w:t>
      </w:r>
      <w:r w:rsidR="006E149E" w:rsidRPr="00672545">
        <w:rPr>
          <w:szCs w:val="26"/>
        </w:rPr>
        <w:t xml:space="preserve"> argument</w:t>
      </w:r>
      <w:r w:rsidR="000331F1" w:rsidRPr="00672545">
        <w:rPr>
          <w:szCs w:val="26"/>
        </w:rPr>
        <w:t>s</w:t>
      </w:r>
      <w:r w:rsidR="004D616E" w:rsidRPr="00672545">
        <w:rPr>
          <w:szCs w:val="26"/>
        </w:rPr>
        <w:t>.</w:t>
      </w:r>
    </w:p>
    <w:p w14:paraId="007EDF59" w14:textId="77777777" w:rsidR="004D616E" w:rsidRPr="00672545" w:rsidRDefault="004D616E" w:rsidP="00672545">
      <w:pPr>
        <w:pStyle w:val="Heading4"/>
      </w:pPr>
      <w:r w:rsidRPr="00672545">
        <w:t>a.  Background</w:t>
      </w:r>
    </w:p>
    <w:p w14:paraId="1E4B0A1D" w14:textId="77777777" w:rsidR="004D616E" w:rsidRPr="00672545" w:rsidRDefault="004D616E" w:rsidP="00672545">
      <w:pPr>
        <w:rPr>
          <w:szCs w:val="26"/>
        </w:rPr>
      </w:pPr>
      <w:r w:rsidRPr="00672545">
        <w:rPr>
          <w:szCs w:val="26"/>
        </w:rPr>
        <w:tab/>
        <w:t>Prospective Juror number 19 was a 58-year-old elementary school principal who lived in Poway.</w:t>
      </w:r>
      <w:r w:rsidR="00F81CD5" w:rsidRPr="00672545">
        <w:rPr>
          <w:szCs w:val="26"/>
        </w:rPr>
        <w:t xml:space="preserve">  </w:t>
      </w:r>
      <w:r w:rsidRPr="00672545">
        <w:rPr>
          <w:szCs w:val="26"/>
        </w:rPr>
        <w:t>She indicated on her jury questionnaire that she had “a positive attitude toward law enforcement officers,” who</w:t>
      </w:r>
      <w:r w:rsidR="00283F8E">
        <w:rPr>
          <w:szCs w:val="26"/>
        </w:rPr>
        <w:t>m</w:t>
      </w:r>
      <w:r w:rsidRPr="00672545">
        <w:rPr>
          <w:szCs w:val="26"/>
        </w:rPr>
        <w:t xml:space="preserve"> she often dealt with in </w:t>
      </w:r>
      <w:r w:rsidRPr="00672545">
        <w:rPr>
          <w:szCs w:val="26"/>
        </w:rPr>
        <w:lastRenderedPageBreak/>
        <w:t>connection with her work.  However, she indicated that her attitudes concerning the criminal justice system would not influence her in favor of either the prosecution or the defense regardless of the evidence.</w:t>
      </w:r>
      <w:r w:rsidR="00F81CD5" w:rsidRPr="00672545">
        <w:rPr>
          <w:szCs w:val="26"/>
        </w:rPr>
        <w:t xml:space="preserve">  </w:t>
      </w:r>
      <w:r w:rsidRPr="00672545">
        <w:rPr>
          <w:szCs w:val="26"/>
        </w:rPr>
        <w:t>She believed that she was a good judge of a person’s credibility.  She explained that she dealt with all types of people in her work and often had to make judgments about a person’s character.</w:t>
      </w:r>
      <w:r w:rsidR="00F81CD5" w:rsidRPr="00672545">
        <w:rPr>
          <w:szCs w:val="26"/>
        </w:rPr>
        <w:t xml:space="preserve">  </w:t>
      </w:r>
      <w:r w:rsidRPr="00672545">
        <w:rPr>
          <w:szCs w:val="26"/>
        </w:rPr>
        <w:t>She felt that she could be an impartial juror because she “practice[d] this with children in discipline situations.”</w:t>
      </w:r>
      <w:r w:rsidR="00F81CD5" w:rsidRPr="00672545">
        <w:rPr>
          <w:szCs w:val="26"/>
        </w:rPr>
        <w:t xml:space="preserve">  </w:t>
      </w:r>
      <w:r w:rsidRPr="00672545">
        <w:rPr>
          <w:szCs w:val="26"/>
        </w:rPr>
        <w:t xml:space="preserve">She stated that she was “pleased to serve [as a juror], </w:t>
      </w:r>
      <w:proofErr w:type="gramStart"/>
      <w:r w:rsidRPr="00672545">
        <w:rPr>
          <w:szCs w:val="26"/>
        </w:rPr>
        <w:t>but .</w:t>
      </w:r>
      <w:proofErr w:type="gramEnd"/>
      <w:r w:rsidRPr="00672545">
        <w:rPr>
          <w:szCs w:val="26"/>
        </w:rPr>
        <w:t> . . very uneasy about her work responsibilities.”</w:t>
      </w:r>
      <w:r w:rsidR="00F81CD5" w:rsidRPr="00672545">
        <w:rPr>
          <w:szCs w:val="26"/>
        </w:rPr>
        <w:t xml:space="preserve">  </w:t>
      </w:r>
      <w:r w:rsidRPr="00672545">
        <w:rPr>
          <w:szCs w:val="26"/>
        </w:rPr>
        <w:t>She indicated on her jury questionnaire that “[</w:t>
      </w:r>
      <w:proofErr w:type="spellStart"/>
      <w:r w:rsidRPr="00672545">
        <w:rPr>
          <w:szCs w:val="26"/>
        </w:rPr>
        <w:t>i</w:t>
      </w:r>
      <w:proofErr w:type="spellEnd"/>
      <w:r w:rsidRPr="00672545">
        <w:rPr>
          <w:szCs w:val="26"/>
        </w:rPr>
        <w:t>]t would be extremely difficult to be away from [her] school (work) for the length of time this case requires.”</w:t>
      </w:r>
      <w:r w:rsidR="00F81CD5" w:rsidRPr="00672545">
        <w:rPr>
          <w:szCs w:val="26"/>
        </w:rPr>
        <w:t xml:space="preserve">  </w:t>
      </w:r>
    </w:p>
    <w:p w14:paraId="3FCFB787" w14:textId="77777777" w:rsidR="004D616E" w:rsidRPr="00672545" w:rsidRDefault="004D616E" w:rsidP="00672545">
      <w:pPr>
        <w:rPr>
          <w:szCs w:val="26"/>
        </w:rPr>
      </w:pPr>
      <w:r w:rsidRPr="00672545">
        <w:rPr>
          <w:szCs w:val="26"/>
        </w:rPr>
        <w:tab/>
        <w:t>In response to the questionnaire inquiry regarding whether she “[w]</w:t>
      </w:r>
      <w:proofErr w:type="spellStart"/>
      <w:r w:rsidRPr="00672545">
        <w:rPr>
          <w:szCs w:val="26"/>
        </w:rPr>
        <w:t>ould</w:t>
      </w:r>
      <w:proofErr w:type="spellEnd"/>
      <w:r w:rsidRPr="00672545">
        <w:rPr>
          <w:szCs w:val="26"/>
        </w:rPr>
        <w:t xml:space="preserve"> like to be a juror in this case,” Prospective Juror number 19 checked “no,” and stated: “I cannot serve on a case where the victim was a child.”</w:t>
      </w:r>
      <w:r w:rsidR="00F81CD5" w:rsidRPr="00672545">
        <w:rPr>
          <w:szCs w:val="26"/>
        </w:rPr>
        <w:t xml:space="preserve">  </w:t>
      </w:r>
      <w:r w:rsidRPr="00672545">
        <w:rPr>
          <w:szCs w:val="26"/>
        </w:rPr>
        <w:t>She believed that her objectivity might be “colored,” although she continued to consider herself fair.  When asked on the questionnaire about her ability to view photographs of the victim’s decomposed body, Prospective Juror number 19 indicated this would affect her ability to be fair and impartial because “[c]</w:t>
      </w:r>
      <w:proofErr w:type="spellStart"/>
      <w:r w:rsidRPr="00672545">
        <w:rPr>
          <w:szCs w:val="26"/>
        </w:rPr>
        <w:t>hildren</w:t>
      </w:r>
      <w:proofErr w:type="spellEnd"/>
      <w:r w:rsidRPr="00672545">
        <w:rPr>
          <w:szCs w:val="26"/>
        </w:rPr>
        <w:t xml:space="preserve"> have been [her] life for 37 years.”</w:t>
      </w:r>
      <w:r w:rsidR="00F81CD5" w:rsidRPr="00672545">
        <w:rPr>
          <w:szCs w:val="26"/>
        </w:rPr>
        <w:t xml:space="preserve">  </w:t>
      </w:r>
      <w:r w:rsidRPr="00672545">
        <w:rPr>
          <w:szCs w:val="26"/>
        </w:rPr>
        <w:t>Prospective Juror number 19 indicated that she had basic background information about the case from the news and had formed opinions based on that information that the parents were guilty of neglecting their responsibilities and that defendant had acted strangely by driving to the beach and then the desert.</w:t>
      </w:r>
      <w:r w:rsidR="00F81CD5" w:rsidRPr="00672545">
        <w:rPr>
          <w:szCs w:val="26"/>
        </w:rPr>
        <w:t xml:space="preserve">  </w:t>
      </w:r>
      <w:r w:rsidRPr="00672545">
        <w:rPr>
          <w:szCs w:val="26"/>
        </w:rPr>
        <w:t>When asked whether she could set aside her opinions and decide the case based on the evidence presented in court, Prospective Juror number 19 checked the box indicating “yes.”</w:t>
      </w:r>
      <w:r w:rsidR="00F81CD5" w:rsidRPr="00672545">
        <w:rPr>
          <w:szCs w:val="26"/>
        </w:rPr>
        <w:t xml:space="preserve">  </w:t>
      </w:r>
      <w:r w:rsidRPr="00672545">
        <w:rPr>
          <w:szCs w:val="26"/>
        </w:rPr>
        <w:t>When asked whether</w:t>
      </w:r>
      <w:r w:rsidR="00067044">
        <w:rPr>
          <w:szCs w:val="26"/>
        </w:rPr>
        <w:t>,</w:t>
      </w:r>
      <w:r w:rsidRPr="00672545">
        <w:rPr>
          <w:szCs w:val="26"/>
        </w:rPr>
        <w:t xml:space="preserve"> despite anything she </w:t>
      </w:r>
      <w:r w:rsidRPr="00672545">
        <w:rPr>
          <w:szCs w:val="26"/>
        </w:rPr>
        <w:lastRenderedPageBreak/>
        <w:t>had seen, heard, or read, she could be fair to both sides, she again checked the box indicating “yes.”</w:t>
      </w:r>
      <w:r w:rsidR="00F81CD5" w:rsidRPr="00672545">
        <w:rPr>
          <w:szCs w:val="26"/>
        </w:rPr>
        <w:t xml:space="preserve">  </w:t>
      </w:r>
      <w:r w:rsidRPr="00672545">
        <w:rPr>
          <w:szCs w:val="26"/>
        </w:rPr>
        <w:t xml:space="preserve">She indicated she would not automatically choose either death or life in </w:t>
      </w:r>
      <w:proofErr w:type="gramStart"/>
      <w:r w:rsidRPr="00672545">
        <w:rPr>
          <w:szCs w:val="26"/>
        </w:rPr>
        <w:t>prison, but</w:t>
      </w:r>
      <w:proofErr w:type="gramEnd"/>
      <w:r w:rsidRPr="00672545">
        <w:rPr>
          <w:szCs w:val="26"/>
        </w:rPr>
        <w:t xml:space="preserve"> would consider all of the evidence in determining the appropriate penalty.</w:t>
      </w:r>
      <w:r w:rsidR="00F81CD5" w:rsidRPr="00672545">
        <w:rPr>
          <w:szCs w:val="26"/>
        </w:rPr>
        <w:t xml:space="preserve">  </w:t>
      </w:r>
      <w:r w:rsidRPr="00672545">
        <w:rPr>
          <w:szCs w:val="26"/>
        </w:rPr>
        <w:t>However, when asked at the end of the questionnaire whether she was willing to serve as a juror on this case, Prospective Juror number 19 answered “no,” because she could not “fulfill her obligations to her staff and students if [she was] away from school for 12 weeks.”</w:t>
      </w:r>
      <w:r w:rsidR="00F81CD5" w:rsidRPr="00672545">
        <w:rPr>
          <w:szCs w:val="26"/>
        </w:rPr>
        <w:t xml:space="preserve">  </w:t>
      </w:r>
      <w:r w:rsidRPr="00672545">
        <w:rPr>
          <w:szCs w:val="26"/>
        </w:rPr>
        <w:t>Again, she stated that there was no reason she would not be a fair juror in this case.</w:t>
      </w:r>
      <w:r w:rsidR="00F81CD5" w:rsidRPr="00672545">
        <w:rPr>
          <w:szCs w:val="26"/>
        </w:rPr>
        <w:t xml:space="preserve">  </w:t>
      </w:r>
    </w:p>
    <w:p w14:paraId="1EC095D7" w14:textId="77777777" w:rsidR="004D616E" w:rsidRPr="00672545" w:rsidRDefault="004D616E" w:rsidP="00672545">
      <w:pPr>
        <w:rPr>
          <w:szCs w:val="26"/>
        </w:rPr>
      </w:pPr>
      <w:r w:rsidRPr="00672545">
        <w:rPr>
          <w:szCs w:val="26"/>
        </w:rPr>
        <w:tab/>
        <w:t xml:space="preserve">When Prospective Juror number 19 appeared in court for oral </w:t>
      </w:r>
      <w:proofErr w:type="spellStart"/>
      <w:r w:rsidRPr="00672545">
        <w:rPr>
          <w:szCs w:val="26"/>
        </w:rPr>
        <w:t>voir</w:t>
      </w:r>
      <w:proofErr w:type="spellEnd"/>
      <w:r w:rsidRPr="00672545">
        <w:rPr>
          <w:szCs w:val="26"/>
        </w:rPr>
        <w:t xml:space="preserve"> dire, she reiterated to defense counsel her questionnaire responses that she could not serve on a case involving a child victim, that this might color her objectivity</w:t>
      </w:r>
      <w:r w:rsidR="00067044">
        <w:rPr>
          <w:szCs w:val="26"/>
        </w:rPr>
        <w:t>,</w:t>
      </w:r>
      <w:r w:rsidRPr="00672545">
        <w:rPr>
          <w:szCs w:val="26"/>
        </w:rPr>
        <w:t xml:space="preserve"> and that she could not be fair and impartial because children had been her life for 37 years.</w:t>
      </w:r>
      <w:r w:rsidR="00F81CD5" w:rsidRPr="00672545">
        <w:rPr>
          <w:szCs w:val="26"/>
        </w:rPr>
        <w:t xml:space="preserve">  </w:t>
      </w:r>
      <w:r w:rsidRPr="00672545">
        <w:rPr>
          <w:szCs w:val="26"/>
        </w:rPr>
        <w:t xml:space="preserve">When asked whether she was saying that she could not be fair and impartial in this </w:t>
      </w:r>
      <w:proofErr w:type="gramStart"/>
      <w:r w:rsidRPr="00672545">
        <w:rPr>
          <w:szCs w:val="26"/>
        </w:rPr>
        <w:t>particular case</w:t>
      </w:r>
      <w:proofErr w:type="gramEnd"/>
      <w:r w:rsidRPr="00672545">
        <w:rPr>
          <w:szCs w:val="26"/>
        </w:rPr>
        <w:t xml:space="preserve"> because it involved an allegation of murder of a child, she stated that it “would color [her] feelings.”</w:t>
      </w:r>
      <w:r w:rsidR="00F81CD5" w:rsidRPr="00672545">
        <w:rPr>
          <w:szCs w:val="26"/>
        </w:rPr>
        <w:t xml:space="preserve">  </w:t>
      </w:r>
      <w:r w:rsidRPr="00672545">
        <w:rPr>
          <w:szCs w:val="26"/>
        </w:rPr>
        <w:t xml:space="preserve">Defense counsel noted that she used the word “color” in her response, but in her </w:t>
      </w:r>
      <w:proofErr w:type="gramStart"/>
      <w:r w:rsidRPr="00672545">
        <w:rPr>
          <w:szCs w:val="26"/>
        </w:rPr>
        <w:t>questionnaire</w:t>
      </w:r>
      <w:proofErr w:type="gramEnd"/>
      <w:r w:rsidRPr="00672545">
        <w:rPr>
          <w:szCs w:val="26"/>
        </w:rPr>
        <w:t xml:space="preserve"> she used words like “I cannot serve.”  He asked her to explain.  Prospective Juror number 19 responded that she had spent “a great deal of [her] life protecting children.  [She had] gone to the authorities about abuse for children.  The rights of children are uppermost in [her] mind and [she would have] a hard time looking at a defendant in a child — a case where a child has been a victim.”</w:t>
      </w:r>
      <w:r w:rsidR="00F81CD5" w:rsidRPr="00672545">
        <w:rPr>
          <w:szCs w:val="26"/>
        </w:rPr>
        <w:t xml:space="preserve">  </w:t>
      </w:r>
      <w:r w:rsidRPr="00672545">
        <w:rPr>
          <w:szCs w:val="26"/>
        </w:rPr>
        <w:t>She confirmed that sitting as a juror on the case would create a professional hardship for her.</w:t>
      </w:r>
      <w:r w:rsidR="00F81CD5" w:rsidRPr="00672545">
        <w:rPr>
          <w:szCs w:val="26"/>
        </w:rPr>
        <w:t xml:space="preserve">  </w:t>
      </w:r>
    </w:p>
    <w:p w14:paraId="5D412887" w14:textId="77777777" w:rsidR="004D616E" w:rsidRPr="00672545" w:rsidRDefault="004D616E" w:rsidP="00672545">
      <w:pPr>
        <w:rPr>
          <w:szCs w:val="26"/>
        </w:rPr>
      </w:pPr>
      <w:r w:rsidRPr="00672545">
        <w:rPr>
          <w:szCs w:val="26"/>
        </w:rPr>
        <w:tab/>
        <w:t xml:space="preserve">In response to </w:t>
      </w:r>
      <w:proofErr w:type="spellStart"/>
      <w:r w:rsidRPr="00672545">
        <w:rPr>
          <w:szCs w:val="26"/>
        </w:rPr>
        <w:t>voir</w:t>
      </w:r>
      <w:proofErr w:type="spellEnd"/>
      <w:r w:rsidRPr="00672545">
        <w:rPr>
          <w:szCs w:val="26"/>
        </w:rPr>
        <w:t xml:space="preserve"> dire by the prosecution, Prospective Juror number 19 confirmed that she had to be fair and impartial in her type of work and that she was fair even when the children </w:t>
      </w:r>
      <w:r w:rsidRPr="00672545">
        <w:rPr>
          <w:szCs w:val="26"/>
        </w:rPr>
        <w:lastRenderedPageBreak/>
        <w:t>were not her “favorites.”</w:t>
      </w:r>
      <w:r w:rsidR="00F81CD5" w:rsidRPr="00672545">
        <w:rPr>
          <w:szCs w:val="26"/>
        </w:rPr>
        <w:t xml:space="preserve">  </w:t>
      </w:r>
      <w:r w:rsidRPr="00672545">
        <w:rPr>
          <w:szCs w:val="26"/>
        </w:rPr>
        <w:t>When asked if she could be fair and impartial in this case, she said that she could not answer that question because she did not know if she could be fair and impartial.</w:t>
      </w:r>
      <w:r w:rsidR="00F81CD5" w:rsidRPr="00672545">
        <w:rPr>
          <w:szCs w:val="26"/>
        </w:rPr>
        <w:t xml:space="preserve">  </w:t>
      </w:r>
      <w:r w:rsidRPr="00672545">
        <w:rPr>
          <w:szCs w:val="26"/>
        </w:rPr>
        <w:t>The prosecutor then asked: “If you were told that you had to make your decisions based upon the evidence that came forward in this case and only that evidence, could you do that?”  Prospective Juror number 19 answered, “yes.”</w:t>
      </w:r>
      <w:r w:rsidR="00F81CD5" w:rsidRPr="00672545">
        <w:rPr>
          <w:szCs w:val="26"/>
        </w:rPr>
        <w:t xml:space="preserve">  </w:t>
      </w:r>
      <w:r w:rsidRPr="00672545">
        <w:rPr>
          <w:szCs w:val="26"/>
        </w:rPr>
        <w:t xml:space="preserve">Asked if she would “let us know” if she found that she could not, Prospective Juror number 19 said, “yes.”  </w:t>
      </w:r>
    </w:p>
    <w:p w14:paraId="27BCB190" w14:textId="77777777" w:rsidR="004D616E" w:rsidRPr="00672545" w:rsidRDefault="004D616E" w:rsidP="00672545">
      <w:pPr>
        <w:rPr>
          <w:szCs w:val="26"/>
        </w:rPr>
      </w:pPr>
      <w:r w:rsidRPr="00672545">
        <w:rPr>
          <w:szCs w:val="26"/>
        </w:rPr>
        <w:tab/>
        <w:t>The following colloquy then occurred between the court and Prospective Juror number 19:</w:t>
      </w:r>
    </w:p>
    <w:p w14:paraId="0CF4B815" w14:textId="77777777" w:rsidR="004D616E" w:rsidRPr="00672545" w:rsidRDefault="004D616E" w:rsidP="00672545">
      <w:pPr>
        <w:rPr>
          <w:szCs w:val="26"/>
        </w:rPr>
      </w:pPr>
      <w:r w:rsidRPr="00672545">
        <w:rPr>
          <w:szCs w:val="26"/>
        </w:rPr>
        <w:tab/>
        <w:t>[THE COURT]</w:t>
      </w:r>
      <w:proofErr w:type="gramStart"/>
      <w:r w:rsidRPr="00672545">
        <w:rPr>
          <w:szCs w:val="26"/>
        </w:rPr>
        <w:t>:  “</w:t>
      </w:r>
      <w:proofErr w:type="gramEnd"/>
      <w:r w:rsidRPr="00672545">
        <w:rPr>
          <w:szCs w:val="26"/>
        </w:rPr>
        <w:t xml:space="preserve">Juror </w:t>
      </w:r>
      <w:r w:rsidR="00067044">
        <w:rPr>
          <w:szCs w:val="26"/>
        </w:rPr>
        <w:t>19</w:t>
      </w:r>
      <w:r w:rsidRPr="00672545">
        <w:rPr>
          <w:szCs w:val="26"/>
        </w:rPr>
        <w:t>, you’re sort of a rare breed.  In reading your questionnaire you’re obviously very educated and so forth, but you give what I will describe, as a judge, conflicting messages.</w:t>
      </w:r>
    </w:p>
    <w:p w14:paraId="2346BE25" w14:textId="77777777" w:rsidR="004D616E" w:rsidRPr="00672545" w:rsidRDefault="004D616E" w:rsidP="00672545">
      <w:pPr>
        <w:rPr>
          <w:szCs w:val="26"/>
        </w:rPr>
      </w:pPr>
      <w:r w:rsidRPr="00672545">
        <w:rPr>
          <w:szCs w:val="26"/>
        </w:rPr>
        <w:tab/>
        <w:t>“Counsel have each asked you questions from their perspective, and I’m going to ask you point blank and direct.</w:t>
      </w:r>
    </w:p>
    <w:p w14:paraId="6BF953FA" w14:textId="77777777" w:rsidR="004D616E" w:rsidRPr="00672545" w:rsidRDefault="004D616E" w:rsidP="00672545">
      <w:pPr>
        <w:rPr>
          <w:szCs w:val="26"/>
        </w:rPr>
      </w:pPr>
      <w:r w:rsidRPr="00672545">
        <w:rPr>
          <w:szCs w:val="26"/>
        </w:rPr>
        <w:tab/>
        <w:t>“Knowing everything that you know about yourself, and what you’ve seen and heard to this point in this case, do you believe that you can be fair and impartial to both sides in this case?”</w:t>
      </w:r>
    </w:p>
    <w:p w14:paraId="5717830C" w14:textId="77777777" w:rsidR="004D616E" w:rsidRPr="00672545" w:rsidRDefault="004D616E" w:rsidP="00672545">
      <w:pPr>
        <w:rPr>
          <w:szCs w:val="26"/>
        </w:rPr>
      </w:pPr>
      <w:r w:rsidRPr="00672545">
        <w:rPr>
          <w:szCs w:val="26"/>
        </w:rPr>
        <w:tab/>
        <w:t>[PROSPECTIVE JUROR NO. 19]</w:t>
      </w:r>
      <w:proofErr w:type="gramStart"/>
      <w:r w:rsidRPr="00672545">
        <w:rPr>
          <w:szCs w:val="26"/>
        </w:rPr>
        <w:t>:  “</w:t>
      </w:r>
      <w:proofErr w:type="gramEnd"/>
      <w:r w:rsidRPr="00672545">
        <w:rPr>
          <w:szCs w:val="26"/>
        </w:rPr>
        <w:t xml:space="preserve">I honestly believe that I am fair and impartial in this particular case.  I’m not sure that my beliefs wouldn’t color the case.”  </w:t>
      </w:r>
    </w:p>
    <w:p w14:paraId="3C0B4C7C" w14:textId="77777777" w:rsidR="004D616E" w:rsidRPr="00672545" w:rsidRDefault="004D616E" w:rsidP="00672545">
      <w:pPr>
        <w:rPr>
          <w:szCs w:val="26"/>
        </w:rPr>
      </w:pPr>
      <w:r w:rsidRPr="00672545">
        <w:rPr>
          <w:szCs w:val="26"/>
        </w:rPr>
        <w:tab/>
        <w:t>[THE COURT]</w:t>
      </w:r>
      <w:proofErr w:type="gramStart"/>
      <w:r w:rsidRPr="00672545">
        <w:rPr>
          <w:szCs w:val="26"/>
        </w:rPr>
        <w:t>:  “</w:t>
      </w:r>
      <w:proofErr w:type="gramEnd"/>
      <w:r w:rsidRPr="00672545">
        <w:rPr>
          <w:szCs w:val="26"/>
        </w:rPr>
        <w:t>Okay.”</w:t>
      </w:r>
    </w:p>
    <w:p w14:paraId="188204D2" w14:textId="77777777" w:rsidR="004D616E" w:rsidRPr="00672545" w:rsidRDefault="004D616E" w:rsidP="00672545">
      <w:pPr>
        <w:rPr>
          <w:szCs w:val="26"/>
        </w:rPr>
      </w:pPr>
      <w:r w:rsidRPr="00672545">
        <w:rPr>
          <w:szCs w:val="26"/>
        </w:rPr>
        <w:tab/>
        <w:t>[PROSPECTIVE JUROR NO. 19]</w:t>
      </w:r>
      <w:proofErr w:type="gramStart"/>
      <w:r w:rsidRPr="00672545">
        <w:rPr>
          <w:szCs w:val="26"/>
        </w:rPr>
        <w:t>:  “</w:t>
      </w:r>
      <w:proofErr w:type="gramEnd"/>
      <w:r w:rsidRPr="00672545">
        <w:rPr>
          <w:szCs w:val="26"/>
        </w:rPr>
        <w:t>I don’t know what else to tell you.</w:t>
      </w:r>
    </w:p>
    <w:p w14:paraId="4EFFA29D" w14:textId="77777777" w:rsidR="004D616E" w:rsidRPr="00672545" w:rsidRDefault="004D616E" w:rsidP="00672545">
      <w:pPr>
        <w:rPr>
          <w:szCs w:val="26"/>
        </w:rPr>
      </w:pPr>
      <w:r w:rsidRPr="00672545">
        <w:rPr>
          <w:szCs w:val="26"/>
        </w:rPr>
        <w:tab/>
        <w:t>[THE COURT]</w:t>
      </w:r>
      <w:proofErr w:type="gramStart"/>
      <w:r w:rsidRPr="00672545">
        <w:rPr>
          <w:szCs w:val="26"/>
        </w:rPr>
        <w:t>:  “</w:t>
      </w:r>
      <w:proofErr w:type="gramEnd"/>
      <w:r w:rsidRPr="00672545">
        <w:rPr>
          <w:szCs w:val="26"/>
        </w:rPr>
        <w:t>And I appreciate that.  You’re just not sure?”</w:t>
      </w:r>
    </w:p>
    <w:p w14:paraId="400E2EF6" w14:textId="77777777" w:rsidR="004D616E" w:rsidRPr="00672545" w:rsidRDefault="004D616E" w:rsidP="00672545">
      <w:pPr>
        <w:rPr>
          <w:szCs w:val="26"/>
        </w:rPr>
      </w:pPr>
      <w:r w:rsidRPr="00672545">
        <w:rPr>
          <w:szCs w:val="26"/>
        </w:rPr>
        <w:lastRenderedPageBreak/>
        <w:tab/>
        <w:t>[PROSPECTIVE JUROR NO. 19]</w:t>
      </w:r>
      <w:proofErr w:type="gramStart"/>
      <w:r w:rsidRPr="00672545">
        <w:rPr>
          <w:szCs w:val="26"/>
        </w:rPr>
        <w:t>:  “</w:t>
      </w:r>
      <w:proofErr w:type="gramEnd"/>
      <w:r w:rsidRPr="00672545">
        <w:rPr>
          <w:szCs w:val="26"/>
        </w:rPr>
        <w:t xml:space="preserve">Yeah.”  </w:t>
      </w:r>
    </w:p>
    <w:p w14:paraId="7B2C699B" w14:textId="77777777" w:rsidR="004D616E" w:rsidRPr="00672545" w:rsidRDefault="004D616E" w:rsidP="00672545">
      <w:pPr>
        <w:rPr>
          <w:szCs w:val="26"/>
        </w:rPr>
      </w:pPr>
      <w:r w:rsidRPr="00672545">
        <w:rPr>
          <w:szCs w:val="26"/>
        </w:rPr>
        <w:tab/>
        <w:t>The defense challenged Prospective Juror number 19 for cause, additionally pointing to her questionnaire response that her fairness and impartiality would be affected by viewing photographs of the victim’s body.</w:t>
      </w:r>
      <w:r w:rsidR="00F81CD5" w:rsidRPr="00672545">
        <w:rPr>
          <w:szCs w:val="26"/>
        </w:rPr>
        <w:t xml:space="preserve">  </w:t>
      </w:r>
      <w:r w:rsidRPr="00672545">
        <w:rPr>
          <w:szCs w:val="26"/>
        </w:rPr>
        <w:t xml:space="preserve">The trial court responded: “Well, I understand that, but the reason I ask[ed] the question [was] because my own notes show what a dilemma she is.  Because of her experience and her training, she has made it quite clear that she’s very objective and she’s a very fair individual.  The answers she’s given do not indicate an extreme bias or prejudice that would prohibit her from doing her job.  I’ll note a challenge to nineteen and it will be denied.”  </w:t>
      </w:r>
    </w:p>
    <w:p w14:paraId="71DC6221" w14:textId="77777777" w:rsidR="004D616E" w:rsidRPr="00672545" w:rsidRDefault="004D616E" w:rsidP="00672545">
      <w:pPr>
        <w:pStyle w:val="Heading4"/>
      </w:pPr>
      <w:r w:rsidRPr="00672545">
        <w:t>b.  Discussion</w:t>
      </w:r>
    </w:p>
    <w:p w14:paraId="2EAD91E3" w14:textId="77777777" w:rsidR="004D616E" w:rsidRPr="00672545" w:rsidRDefault="004D616E" w:rsidP="00672545">
      <w:pPr>
        <w:rPr>
          <w:szCs w:val="26"/>
        </w:rPr>
      </w:pPr>
      <w:r w:rsidRPr="00672545">
        <w:rPr>
          <w:szCs w:val="26"/>
        </w:rPr>
        <w:tab/>
      </w:r>
      <w:proofErr w:type="gramStart"/>
      <w:r w:rsidRPr="00672545">
        <w:rPr>
          <w:szCs w:val="26"/>
        </w:rPr>
        <w:t>“ ‘</w:t>
      </w:r>
      <w:proofErr w:type="gramEnd"/>
      <w:r w:rsidRPr="00672545">
        <w:rPr>
          <w:szCs w:val="26"/>
        </w:rPr>
        <w:t xml:space="preserve">As a general rule, a party may not complain on appeal of an allegedly erroneous denial of a challenge for cause because the party need not tolerate having the prospective juror serve on the jury; a litigant retains the power to remove the juror by exercising a peremptory challenge.  </w:t>
      </w:r>
      <w:r w:rsidRPr="00672545">
        <w:rPr>
          <w:rStyle w:val="ssrfcpassagedeactivated"/>
          <w:szCs w:val="26"/>
        </w:rPr>
        <w:t xml:space="preserve">Thus, to preserve this claim for appeal we require, first, that a litigant </w:t>
      </w:r>
      <w:proofErr w:type="gramStart"/>
      <w:r w:rsidRPr="00672545">
        <w:rPr>
          <w:rStyle w:val="ssrfcpassagedeactivated"/>
          <w:szCs w:val="26"/>
        </w:rPr>
        <w:t>actually exercise</w:t>
      </w:r>
      <w:proofErr w:type="gramEnd"/>
      <w:r w:rsidRPr="00672545">
        <w:rPr>
          <w:rStyle w:val="ssrfcpassagedeactivated"/>
          <w:szCs w:val="26"/>
        </w:rPr>
        <w:t xml:space="preserve"> a peremptory challenge and remove the prospective juror in question.  Next, the litigant must exhaust </w:t>
      </w:r>
      <w:proofErr w:type="gramStart"/>
      <w:r w:rsidRPr="00672545">
        <w:rPr>
          <w:rStyle w:val="ssrfcpassagedeactivated"/>
          <w:szCs w:val="26"/>
        </w:rPr>
        <w:t>all of</w:t>
      </w:r>
      <w:proofErr w:type="gramEnd"/>
      <w:r w:rsidRPr="00672545">
        <w:rPr>
          <w:rStyle w:val="ssrfcpassagedeactivated"/>
          <w:szCs w:val="26"/>
        </w:rPr>
        <w:t xml:space="preserve"> the peremptory challenges allotted by statute and hold none in reserve.  Finally, counsel . . . must express to the trial court dissatisfaction with the jury as presently constituted.</w:t>
      </w:r>
      <w:proofErr w:type="gramStart"/>
      <w:r w:rsidRPr="00672545">
        <w:rPr>
          <w:rStyle w:val="ssrfcpassagedeactivated"/>
          <w:szCs w:val="26"/>
        </w:rPr>
        <w:t>’ ”</w:t>
      </w:r>
      <w:proofErr w:type="gramEnd"/>
      <w:r w:rsidRPr="00672545">
        <w:rPr>
          <w:rStyle w:val="ssrfcpassagedeactivated"/>
          <w:szCs w:val="26"/>
        </w:rPr>
        <w:t xml:space="preserve">  (</w:t>
      </w:r>
      <w:r w:rsidRPr="00672545">
        <w:rPr>
          <w:i/>
          <w:iCs/>
          <w:szCs w:val="26"/>
        </w:rPr>
        <w:t>People v. Virgil</w:t>
      </w:r>
      <w:r w:rsidRPr="00672545">
        <w:rPr>
          <w:szCs w:val="26"/>
        </w:rPr>
        <w:t xml:space="preserve"> (2011) 51 Cal.4th 1210, 1239, quoting </w:t>
      </w:r>
      <w:r w:rsidRPr="00672545">
        <w:rPr>
          <w:rStyle w:val="ssit1"/>
          <w:szCs w:val="26"/>
        </w:rPr>
        <w:t>People v. Mills</w:t>
      </w:r>
      <w:r w:rsidRPr="00672545">
        <w:rPr>
          <w:rStyle w:val="ssrfcpassagedeactivated"/>
          <w:szCs w:val="26"/>
        </w:rPr>
        <w:t xml:space="preserve"> (2010) 48 Cal.4th 158, 186; accord </w:t>
      </w:r>
      <w:r w:rsidRPr="00672545">
        <w:rPr>
          <w:i/>
          <w:iCs/>
          <w:szCs w:val="26"/>
        </w:rPr>
        <w:t>People v. Avila</w:t>
      </w:r>
      <w:r w:rsidRPr="00672545">
        <w:rPr>
          <w:szCs w:val="26"/>
        </w:rPr>
        <w:t xml:space="preserve"> (2006) 38 Cal.4th 491, 539</w:t>
      </w:r>
      <w:r w:rsidRPr="00672545">
        <w:rPr>
          <w:rStyle w:val="ssrfcpassagedeactivated"/>
          <w:szCs w:val="26"/>
        </w:rPr>
        <w:t>.)</w:t>
      </w:r>
    </w:p>
    <w:p w14:paraId="53C27BB8" w14:textId="77777777" w:rsidR="004D616E" w:rsidRPr="00672545" w:rsidRDefault="004D616E" w:rsidP="00672545">
      <w:r w:rsidRPr="00672545">
        <w:tab/>
        <w:t>The People contend defendant failed to satisfy the third requirement and thus, forfeited the issue on appeal.  It is undisputed that defendant exercised a peremptory challenge as to Prospective Juror number 19.</w:t>
      </w:r>
      <w:r w:rsidR="00F81CD5" w:rsidRPr="00672545">
        <w:t xml:space="preserve">  </w:t>
      </w:r>
      <w:r w:rsidRPr="00672545">
        <w:t xml:space="preserve">And defendant moved for </w:t>
      </w:r>
      <w:r w:rsidRPr="00672545">
        <w:lastRenderedPageBreak/>
        <w:t>additional peremptory challenges after he had</w:t>
      </w:r>
      <w:r w:rsidRPr="00672545">
        <w:rPr>
          <w:szCs w:val="26"/>
        </w:rPr>
        <w:t xml:space="preserve"> exhausted his 20 peremptory challenges.  The defense based its request on “the challenges for </w:t>
      </w:r>
      <w:proofErr w:type="gramStart"/>
      <w:r w:rsidRPr="00672545">
        <w:rPr>
          <w:szCs w:val="26"/>
        </w:rPr>
        <w:t>cause</w:t>
      </w:r>
      <w:proofErr w:type="gramEnd"/>
      <w:r w:rsidRPr="00672545">
        <w:rPr>
          <w:szCs w:val="26"/>
        </w:rPr>
        <w:t xml:space="preserve"> that were denied,” and identified in particular Prospective Juror number 19.  Defense counsel took the position that the defense was “entitled to an additional challenge for her and also the other challenges for </w:t>
      </w:r>
      <w:proofErr w:type="gramStart"/>
      <w:r w:rsidRPr="00672545">
        <w:rPr>
          <w:szCs w:val="26"/>
        </w:rPr>
        <w:t>cause</w:t>
      </w:r>
      <w:proofErr w:type="gramEnd"/>
      <w:r w:rsidRPr="00672545">
        <w:rPr>
          <w:szCs w:val="26"/>
        </w:rPr>
        <w:t xml:space="preserve"> that were made and denied.”</w:t>
      </w:r>
      <w:r w:rsidR="00F81CD5" w:rsidRPr="00672545">
        <w:rPr>
          <w:szCs w:val="26"/>
        </w:rPr>
        <w:t xml:space="preserve">  </w:t>
      </w:r>
      <w:r w:rsidRPr="00672545">
        <w:rPr>
          <w:szCs w:val="26"/>
        </w:rPr>
        <w:t>The trial court denied the request and the jury was sworn.</w:t>
      </w:r>
      <w:r w:rsidR="00F81CD5" w:rsidRPr="00672545">
        <w:rPr>
          <w:szCs w:val="26"/>
        </w:rPr>
        <w:t xml:space="preserve">  </w:t>
      </w:r>
      <w:r w:rsidRPr="00672545">
        <w:rPr>
          <w:szCs w:val="26"/>
        </w:rPr>
        <w:t>The following day, the defense recognized that it had “failed to make clear” that the reason it requested additional peremptory challenges the previous day “was that we were dissatisfied with the panel as it was presently constituted and that if we had had those peremptory challenges, we would be challenging Jurors 2, 4, 6</w:t>
      </w:r>
      <w:proofErr w:type="gramStart"/>
      <w:r w:rsidRPr="00672545">
        <w:rPr>
          <w:szCs w:val="26"/>
        </w:rPr>
        <w:t>, .</w:t>
      </w:r>
      <w:proofErr w:type="gramEnd"/>
      <w:r w:rsidRPr="00672545">
        <w:rPr>
          <w:szCs w:val="26"/>
        </w:rPr>
        <w:t> . . 11 and 12.”</w:t>
      </w:r>
      <w:r w:rsidR="00F81CD5" w:rsidRPr="00672545">
        <w:rPr>
          <w:szCs w:val="26"/>
        </w:rPr>
        <w:t xml:space="preserve">  </w:t>
      </w:r>
      <w:r w:rsidRPr="00672545">
        <w:rPr>
          <w:szCs w:val="26"/>
        </w:rPr>
        <w:t>As the People observe, defendant did not expressly state his dissatisfaction with the composition of the jury before the jury was sworn.</w:t>
      </w:r>
      <w:r w:rsidR="00F81CD5" w:rsidRPr="00672545">
        <w:rPr>
          <w:szCs w:val="26"/>
        </w:rPr>
        <w:t xml:space="preserve">  </w:t>
      </w:r>
      <w:r w:rsidRPr="00672545">
        <w:rPr>
          <w:szCs w:val="26"/>
        </w:rPr>
        <w:t xml:space="preserve">Defendant contends, however, his dissatisfaction was implicit in his request for additional peremptory challenges based on the trial court’s denial of defendant’s challenge for cause to Prospective Juror number 19 and other prospective jurors, as he expressly clarified the next day.  </w:t>
      </w:r>
    </w:p>
    <w:p w14:paraId="67111BE8" w14:textId="77777777" w:rsidR="004D616E" w:rsidRPr="00672545" w:rsidRDefault="004D616E" w:rsidP="00672545">
      <w:pPr>
        <w:rPr>
          <w:szCs w:val="26"/>
        </w:rPr>
      </w:pPr>
      <w:r w:rsidRPr="00672545">
        <w:tab/>
        <w:t xml:space="preserve">In </w:t>
      </w:r>
      <w:r w:rsidRPr="00672545">
        <w:rPr>
          <w:i/>
        </w:rPr>
        <w:t xml:space="preserve">People v. </w:t>
      </w:r>
      <w:proofErr w:type="spellStart"/>
      <w:r w:rsidRPr="00672545">
        <w:rPr>
          <w:i/>
        </w:rPr>
        <w:t>Carasi</w:t>
      </w:r>
      <w:proofErr w:type="spellEnd"/>
      <w:r w:rsidRPr="00672545">
        <w:t xml:space="preserve"> (2008) 44 Cal.4th 1263, we found forfeiture where the defendant had exercised a peremptory challenge to remove the prospective juror in question, had exhausted </w:t>
      </w:r>
      <w:proofErr w:type="gramStart"/>
      <w:r w:rsidRPr="00672545">
        <w:t>all of</w:t>
      </w:r>
      <w:proofErr w:type="gramEnd"/>
      <w:r w:rsidRPr="00672545">
        <w:t xml:space="preserve"> his peremptory challenges, and had asked “for more” peremptory challenges.  (</w:t>
      </w:r>
      <w:r w:rsidRPr="00672545">
        <w:rPr>
          <w:i/>
        </w:rPr>
        <w:t>Id.</w:t>
      </w:r>
      <w:r w:rsidRPr="00672545">
        <w:t>, at p. 1290.)  We found that defendant had not expressed dissatisfaction with the jury as constituted.  (</w:t>
      </w:r>
      <w:r w:rsidRPr="00672545">
        <w:rPr>
          <w:i/>
        </w:rPr>
        <w:t>Ibid.</w:t>
      </w:r>
      <w:r w:rsidRPr="00672545">
        <w:t>)  Here, however, defendant specifically tied his request for additional peremptory challenges to the denial of his challenge for cause to Prospective Juror number 19 and “others,” which could have included his denied challenge</w:t>
      </w:r>
      <w:r w:rsidR="00131748" w:rsidRPr="00672545">
        <w:t>s</w:t>
      </w:r>
      <w:r w:rsidRPr="00672545">
        <w:t xml:space="preserve"> to seated Juror number</w:t>
      </w:r>
      <w:r w:rsidR="00131748" w:rsidRPr="00672545">
        <w:t>s 2 and</w:t>
      </w:r>
      <w:r w:rsidRPr="00672545">
        <w:t xml:space="preserve"> 4.  And, he specifically clarified the </w:t>
      </w:r>
      <w:r w:rsidRPr="00672545">
        <w:lastRenderedPageBreak/>
        <w:t xml:space="preserve">next day that the defense </w:t>
      </w:r>
      <w:r w:rsidRPr="00672545">
        <w:rPr>
          <w:szCs w:val="26"/>
        </w:rPr>
        <w:t xml:space="preserve">was dissatisfied with the panel as it was presently constituted, </w:t>
      </w:r>
      <w:r w:rsidR="00131748" w:rsidRPr="00672545">
        <w:rPr>
          <w:szCs w:val="26"/>
        </w:rPr>
        <w:t>identifying, among others,</w:t>
      </w:r>
      <w:r w:rsidRPr="00672545">
        <w:rPr>
          <w:szCs w:val="26"/>
        </w:rPr>
        <w:t xml:space="preserve"> Juror number</w:t>
      </w:r>
      <w:r w:rsidR="00131748" w:rsidRPr="00672545">
        <w:rPr>
          <w:szCs w:val="26"/>
        </w:rPr>
        <w:t>s 2 and</w:t>
      </w:r>
      <w:r w:rsidRPr="00672545">
        <w:rPr>
          <w:szCs w:val="26"/>
        </w:rPr>
        <w:t xml:space="preserve"> 4.  We conclude defendant adequately stated his dissatisfaction with the jury as sworn.  (</w:t>
      </w:r>
      <w:r w:rsidRPr="00672545">
        <w:rPr>
          <w:i/>
          <w:szCs w:val="26"/>
        </w:rPr>
        <w:t xml:space="preserve">People v. </w:t>
      </w:r>
      <w:proofErr w:type="spellStart"/>
      <w:r w:rsidRPr="00672545">
        <w:rPr>
          <w:i/>
          <w:szCs w:val="26"/>
        </w:rPr>
        <w:t>Rices</w:t>
      </w:r>
      <w:proofErr w:type="spellEnd"/>
      <w:r w:rsidRPr="00672545">
        <w:rPr>
          <w:i/>
          <w:szCs w:val="26"/>
        </w:rPr>
        <w:t xml:space="preserve">, </w:t>
      </w:r>
      <w:r w:rsidR="00067044">
        <w:rPr>
          <w:szCs w:val="26"/>
        </w:rPr>
        <w:t>(2017) 4 Cal.4th 49, 75</w:t>
      </w:r>
      <w:r w:rsidRPr="00672545">
        <w:rPr>
          <w:szCs w:val="26"/>
        </w:rPr>
        <w:t xml:space="preserve">; see also </w:t>
      </w:r>
      <w:r w:rsidRPr="00672545">
        <w:rPr>
          <w:i/>
          <w:iCs/>
          <w:szCs w:val="26"/>
        </w:rPr>
        <w:t>People v. Souza</w:t>
      </w:r>
      <w:r w:rsidRPr="00672545">
        <w:rPr>
          <w:szCs w:val="26"/>
        </w:rPr>
        <w:t xml:space="preserve"> (2012) 54 Cal.4th 90, 130.)</w:t>
      </w:r>
    </w:p>
    <w:p w14:paraId="166879DC" w14:textId="77777777" w:rsidR="004D616E" w:rsidRPr="00672545" w:rsidRDefault="004D616E" w:rsidP="00672545">
      <w:r w:rsidRPr="00672545">
        <w:tab/>
        <w:t xml:space="preserve">Although defendant preserved the issue for appeal, we </w:t>
      </w:r>
      <w:r w:rsidRPr="00672545">
        <w:rPr>
          <w:szCs w:val="26"/>
        </w:rPr>
        <w:t>reject the claim on the merits.</w:t>
      </w:r>
    </w:p>
    <w:p w14:paraId="4117B9F3" w14:textId="77777777" w:rsidR="00131748" w:rsidRPr="00672545" w:rsidRDefault="004D616E" w:rsidP="00672545">
      <w:pPr>
        <w:rPr>
          <w:szCs w:val="26"/>
        </w:rPr>
      </w:pPr>
      <w:r w:rsidRPr="00672545">
        <w:rPr>
          <w:szCs w:val="26"/>
        </w:rPr>
        <w:tab/>
        <w:t xml:space="preserve">“We will uphold a trial court’s ruling on a </w:t>
      </w:r>
      <w:r w:rsidRPr="00672545">
        <w:rPr>
          <w:bCs/>
          <w:szCs w:val="26"/>
        </w:rPr>
        <w:t>challenge for cause</w:t>
      </w:r>
      <w:r w:rsidRPr="00672545">
        <w:rPr>
          <w:szCs w:val="26"/>
        </w:rPr>
        <w:t xml:space="preserve"> </w:t>
      </w:r>
      <w:proofErr w:type="gramStart"/>
      <w:r w:rsidRPr="00672545">
        <w:rPr>
          <w:szCs w:val="26"/>
        </w:rPr>
        <w:t>‘ “</w:t>
      </w:r>
      <w:proofErr w:type="gramEnd"/>
      <w:r w:rsidRPr="00672545">
        <w:rPr>
          <w:szCs w:val="26"/>
        </w:rPr>
        <w:t xml:space="preserve"> ‘ “if it is fairly supported by the record.” ’ ” ’  [Citation.]  The trial court is in the best position to determine the potential juror’s true state of mind because it has observed firsthand the prospective juror’s demeanor and verbal responses.  [Citations.]  Thus, </w:t>
      </w:r>
      <w:proofErr w:type="gramStart"/>
      <w:r w:rsidRPr="00672545">
        <w:rPr>
          <w:szCs w:val="26"/>
        </w:rPr>
        <w:t>‘ “</w:t>
      </w:r>
      <w:proofErr w:type="gramEnd"/>
      <w:r w:rsidRPr="00672545">
        <w:rPr>
          <w:szCs w:val="26"/>
        </w:rPr>
        <w:t xml:space="preserve"> ‘ “[o]n review of a trial court’s ruling, if the prospective juror’s statements are equivocal or conflicting, that court’s determination of the person’s state of mind is binding.’ ” ’  [Citations.]”  (</w:t>
      </w:r>
      <w:r w:rsidR="000C773B" w:rsidRPr="000C773B">
        <w:rPr>
          <w:i/>
          <w:szCs w:val="26"/>
        </w:rPr>
        <w:t>People v.</w:t>
      </w:r>
      <w:r w:rsidR="000C773B">
        <w:rPr>
          <w:szCs w:val="26"/>
        </w:rPr>
        <w:t xml:space="preserve"> </w:t>
      </w:r>
      <w:r w:rsidRPr="00672545">
        <w:rPr>
          <w:i/>
          <w:iCs/>
          <w:szCs w:val="26"/>
        </w:rPr>
        <w:t>Clark</w:t>
      </w:r>
      <w:r w:rsidR="00067044" w:rsidRPr="00067044">
        <w:rPr>
          <w:iCs/>
          <w:szCs w:val="26"/>
        </w:rPr>
        <w:t xml:space="preserve"> (2011)</w:t>
      </w:r>
      <w:r w:rsidRPr="00672545">
        <w:rPr>
          <w:szCs w:val="26"/>
        </w:rPr>
        <w:t xml:space="preserve"> 52 Cal.4th. </w:t>
      </w:r>
      <w:r w:rsidR="00067044">
        <w:rPr>
          <w:szCs w:val="26"/>
        </w:rPr>
        <w:t xml:space="preserve">856, </w:t>
      </w:r>
      <w:r w:rsidRPr="00672545">
        <w:rPr>
          <w:szCs w:val="26"/>
        </w:rPr>
        <w:t>895</w:t>
      </w:r>
      <w:r w:rsidR="00067044">
        <w:rPr>
          <w:szCs w:val="26"/>
        </w:rPr>
        <w:t xml:space="preserve"> (</w:t>
      </w:r>
      <w:r w:rsidR="00067044" w:rsidRPr="00067044">
        <w:rPr>
          <w:i/>
          <w:szCs w:val="26"/>
        </w:rPr>
        <w:t>Clark</w:t>
      </w:r>
      <w:r w:rsidR="00067044">
        <w:rPr>
          <w:szCs w:val="26"/>
        </w:rPr>
        <w:t>)</w:t>
      </w:r>
      <w:r w:rsidRPr="00672545">
        <w:rPr>
          <w:szCs w:val="26"/>
        </w:rPr>
        <w:t xml:space="preserve">; accord </w:t>
      </w:r>
      <w:r w:rsidRPr="00672545">
        <w:rPr>
          <w:i/>
          <w:iCs/>
          <w:szCs w:val="26"/>
        </w:rPr>
        <w:t>People v. Virgil, supra</w:t>
      </w:r>
      <w:r w:rsidRPr="00672545">
        <w:rPr>
          <w:iCs/>
          <w:szCs w:val="26"/>
        </w:rPr>
        <w:t>,</w:t>
      </w:r>
      <w:r w:rsidRPr="00672545">
        <w:rPr>
          <w:szCs w:val="26"/>
        </w:rPr>
        <w:t xml:space="preserve"> 51 Cal.4th at p. 1241; </w:t>
      </w:r>
      <w:r w:rsidRPr="00672545">
        <w:rPr>
          <w:i/>
          <w:szCs w:val="26"/>
        </w:rPr>
        <w:t>People v. Hillhouse</w:t>
      </w:r>
      <w:r w:rsidR="00067044">
        <w:rPr>
          <w:szCs w:val="26"/>
        </w:rPr>
        <w:t xml:space="preserve"> (2002) 27 Cal.4th 469, 489</w:t>
      </w:r>
      <w:r w:rsidRPr="00672545">
        <w:rPr>
          <w:szCs w:val="26"/>
        </w:rPr>
        <w:t xml:space="preserve"> (</w:t>
      </w:r>
      <w:r w:rsidRPr="00672545">
        <w:rPr>
          <w:i/>
          <w:szCs w:val="26"/>
        </w:rPr>
        <w:t>Hillhouse</w:t>
      </w:r>
      <w:r w:rsidRPr="00672545">
        <w:rPr>
          <w:szCs w:val="26"/>
        </w:rPr>
        <w:t>) [“The trial court is present and able to observe the juror itself.  It can judge the person’s sincerity and actual state of mind far more reliably than an appellate court reviewing only a cold transcript”].)</w:t>
      </w:r>
    </w:p>
    <w:p w14:paraId="46456EA0" w14:textId="77777777" w:rsidR="004D616E" w:rsidRPr="00672545" w:rsidRDefault="004D616E" w:rsidP="00672545">
      <w:pPr>
        <w:ind w:firstLine="720"/>
        <w:rPr>
          <w:szCs w:val="26"/>
        </w:rPr>
      </w:pPr>
      <w:r w:rsidRPr="00672545">
        <w:rPr>
          <w:szCs w:val="26"/>
        </w:rPr>
        <w:t xml:space="preserve">Here, Prospective Juror number 19 gave equivocal and conflicting responses regarding her ability to be fair and impartial in this case.  Ultimately, the trial court credited her final statement that, knowing everything that she knew about herself and considering what she had seen and heard to that point, she could be fair and impartial in this </w:t>
      </w:r>
      <w:proofErr w:type="gramStart"/>
      <w:r w:rsidRPr="00672545">
        <w:rPr>
          <w:szCs w:val="26"/>
        </w:rPr>
        <w:t>particular case</w:t>
      </w:r>
      <w:proofErr w:type="gramEnd"/>
      <w:r w:rsidRPr="00672545">
        <w:rPr>
          <w:szCs w:val="26"/>
        </w:rPr>
        <w:t xml:space="preserve">.  Under settled law, the trial court’s determination of her state of mind is, appropriately, binding on our review.  </w:t>
      </w:r>
    </w:p>
    <w:p w14:paraId="70B1D7AC" w14:textId="77777777" w:rsidR="004D616E" w:rsidRPr="00672545" w:rsidRDefault="004D616E" w:rsidP="00672545">
      <w:pPr>
        <w:rPr>
          <w:szCs w:val="26"/>
        </w:rPr>
      </w:pPr>
      <w:r w:rsidRPr="00672545">
        <w:lastRenderedPageBreak/>
        <w:tab/>
        <w:t>Defendant argues, however, that Prospective Juror number 19’s final statement was not an unqualified assertion.  He notes that Prospective Juror number 19 also concluded with the statement that she could not be sure that her beliefs “wouldn’t color the case.”</w:t>
      </w:r>
      <w:r w:rsidR="00F81CD5" w:rsidRPr="00672545">
        <w:t xml:space="preserve">  </w:t>
      </w:r>
      <w:r w:rsidRPr="00672545">
        <w:rPr>
          <w:szCs w:val="26"/>
        </w:rPr>
        <w:t xml:space="preserve">But Prospective Juror number 19 had previously explained what she meant by the word “color” in her </w:t>
      </w:r>
      <w:proofErr w:type="spellStart"/>
      <w:r w:rsidRPr="00672545">
        <w:rPr>
          <w:szCs w:val="26"/>
        </w:rPr>
        <w:t>voir</w:t>
      </w:r>
      <w:proofErr w:type="spellEnd"/>
      <w:r w:rsidRPr="00672545">
        <w:rPr>
          <w:szCs w:val="26"/>
        </w:rPr>
        <w:t xml:space="preserve"> dire answers.  She indicated that because of her lengthy professional background in education, the rights of children were “uppermost in [her] mind” and that she would have “a hard time looking at a defendant” in a case involving a child victim.”</w:t>
      </w:r>
      <w:r w:rsidR="00F81CD5" w:rsidRPr="00672545">
        <w:rPr>
          <w:szCs w:val="26"/>
        </w:rPr>
        <w:t xml:space="preserve">  </w:t>
      </w:r>
      <w:r w:rsidRPr="00672545">
        <w:rPr>
          <w:szCs w:val="26"/>
        </w:rPr>
        <w:t>Essentially, Prospective Juror number 19 acknowledged that because of the nature of her work, she would have a difficult emotional reaction to this case involving an alleged murder of a child.  Of course, “[a]</w:t>
      </w:r>
      <w:proofErr w:type="spellStart"/>
      <w:r w:rsidRPr="00672545">
        <w:rPr>
          <w:szCs w:val="26"/>
        </w:rPr>
        <w:t>ny</w:t>
      </w:r>
      <w:proofErr w:type="spellEnd"/>
      <w:r w:rsidRPr="00672545">
        <w:rPr>
          <w:szCs w:val="26"/>
        </w:rPr>
        <w:t xml:space="preserve"> juror sitting in a case such as this would properly expect the issues and evidence to have an emotional impact.  A juror is not to be disqualified for cause simply because the issues are emotional.”  (</w:t>
      </w:r>
      <w:r w:rsidRPr="00672545">
        <w:rPr>
          <w:i/>
        </w:rPr>
        <w:t xml:space="preserve">People v. </w:t>
      </w:r>
      <w:proofErr w:type="spellStart"/>
      <w:r w:rsidRPr="00672545">
        <w:rPr>
          <w:i/>
        </w:rPr>
        <w:t>Bittaker</w:t>
      </w:r>
      <w:proofErr w:type="spellEnd"/>
      <w:r w:rsidRPr="00672545">
        <w:rPr>
          <w:i/>
        </w:rPr>
        <w:t xml:space="preserve"> </w:t>
      </w:r>
      <w:r w:rsidRPr="00672545">
        <w:t>(1989) 48 Cal.3d 1046, 1091 (</w:t>
      </w:r>
      <w:proofErr w:type="spellStart"/>
      <w:r w:rsidRPr="00672545">
        <w:rPr>
          <w:i/>
        </w:rPr>
        <w:t>Bittaker</w:t>
      </w:r>
      <w:proofErr w:type="spellEnd"/>
      <w:r w:rsidRPr="00672545">
        <w:t xml:space="preserve">).) </w:t>
      </w:r>
      <w:r w:rsidRPr="00672545">
        <w:rPr>
          <w:szCs w:val="26"/>
        </w:rPr>
        <w:t xml:space="preserve"> Nor do we expect jurors to </w:t>
      </w:r>
      <w:proofErr w:type="gramStart"/>
      <w:r w:rsidRPr="00672545">
        <w:rPr>
          <w:szCs w:val="26"/>
        </w:rPr>
        <w:t>“</w:t>
      </w:r>
      <w:r w:rsidR="00172236">
        <w:rPr>
          <w:szCs w:val="26"/>
        </w:rPr>
        <w:t> ‘</w:t>
      </w:r>
      <w:proofErr w:type="gramEnd"/>
      <w:r w:rsidR="00172236">
        <w:rPr>
          <w:szCs w:val="26"/>
        </w:rPr>
        <w:t> “</w:t>
      </w:r>
      <w:r w:rsidRPr="00672545">
        <w:rPr>
          <w:szCs w:val="26"/>
        </w:rPr>
        <w:t>shed their backgrounds and experiences</w:t>
      </w:r>
      <w:r w:rsidR="00172236">
        <w:rPr>
          <w:szCs w:val="26"/>
        </w:rPr>
        <w:t>” ’ </w:t>
      </w:r>
      <w:r w:rsidRPr="00672545">
        <w:rPr>
          <w:szCs w:val="26"/>
        </w:rPr>
        <w:t>” in deliberating on a verdict.  (</w:t>
      </w:r>
      <w:r w:rsidRPr="00672545">
        <w:rPr>
          <w:i/>
          <w:szCs w:val="26"/>
        </w:rPr>
        <w:t xml:space="preserve">People v. Peoples </w:t>
      </w:r>
      <w:r w:rsidRPr="00672545">
        <w:rPr>
          <w:szCs w:val="26"/>
        </w:rPr>
        <w:t>(2016) 62 Cal.4th 717, 777.)  We find it significant that Prospective Juror number 19 repeated to counsel and the court that she could nevertheless make her decision based solely upon the evidence and would let them know “if she found that she could not.”</w:t>
      </w:r>
      <w:r w:rsidR="00F81CD5" w:rsidRPr="00672545">
        <w:rPr>
          <w:szCs w:val="26"/>
        </w:rPr>
        <w:t xml:space="preserve">  </w:t>
      </w:r>
      <w:r w:rsidRPr="00672545">
        <w:rPr>
          <w:szCs w:val="26"/>
        </w:rPr>
        <w:t xml:space="preserve">Overall, the trial court reasonably could have found that the </w:t>
      </w:r>
      <w:proofErr w:type="spellStart"/>
      <w:r w:rsidRPr="00672545">
        <w:rPr>
          <w:szCs w:val="26"/>
        </w:rPr>
        <w:t>voir</w:t>
      </w:r>
      <w:proofErr w:type="spellEnd"/>
      <w:r w:rsidRPr="00672545">
        <w:rPr>
          <w:szCs w:val="26"/>
        </w:rPr>
        <w:t xml:space="preserve"> dire responses of Prospective Juror number 19 reflect a thoughtful and cautious self-awareness that supports the trial court’s conclusion that she could be a fair and impartial juror.  (See </w:t>
      </w:r>
      <w:r w:rsidRPr="00672545">
        <w:rPr>
          <w:i/>
          <w:szCs w:val="26"/>
        </w:rPr>
        <w:t>Hillhouse, supra</w:t>
      </w:r>
      <w:r w:rsidRPr="00672545">
        <w:rPr>
          <w:szCs w:val="26"/>
        </w:rPr>
        <w:t>, 27 Cal.4th at p.</w:t>
      </w:r>
      <w:r w:rsidR="003A00D6">
        <w:rPr>
          <w:szCs w:val="26"/>
        </w:rPr>
        <w:t> </w:t>
      </w:r>
      <w:r w:rsidRPr="00672545">
        <w:rPr>
          <w:szCs w:val="26"/>
        </w:rPr>
        <w:t>488.)</w:t>
      </w:r>
    </w:p>
    <w:p w14:paraId="71ABE2BC" w14:textId="77777777" w:rsidR="004D616E" w:rsidRPr="00672545" w:rsidRDefault="004D616E" w:rsidP="00672545">
      <w:r w:rsidRPr="00672545">
        <w:tab/>
        <w:t xml:space="preserve">Arguing against such a conclusion, defendant urges us to find his challenge for cause concerning </w:t>
      </w:r>
      <w:r w:rsidRPr="00672545">
        <w:rPr>
          <w:szCs w:val="26"/>
        </w:rPr>
        <w:t xml:space="preserve">Prospective Juror </w:t>
      </w:r>
      <w:r w:rsidRPr="00672545">
        <w:rPr>
          <w:szCs w:val="26"/>
        </w:rPr>
        <w:lastRenderedPageBreak/>
        <w:t>number 19</w:t>
      </w:r>
      <w:r w:rsidRPr="00672545">
        <w:t xml:space="preserve"> analogous to the challenge for cause to Juror Staggs in </w:t>
      </w:r>
      <w:proofErr w:type="spellStart"/>
      <w:r w:rsidRPr="00672545">
        <w:rPr>
          <w:i/>
        </w:rPr>
        <w:t>Bittaker</w:t>
      </w:r>
      <w:proofErr w:type="spellEnd"/>
      <w:r w:rsidRPr="00672545">
        <w:rPr>
          <w:i/>
        </w:rPr>
        <w:t>, supra</w:t>
      </w:r>
      <w:r w:rsidRPr="00672545">
        <w:t xml:space="preserve">, 48 Cal.3d at pages 1089-1090, and Juror McAdam in </w:t>
      </w:r>
      <w:r w:rsidRPr="00672545">
        <w:rPr>
          <w:i/>
        </w:rPr>
        <w:t xml:space="preserve">People v. </w:t>
      </w:r>
      <w:proofErr w:type="spellStart"/>
      <w:r w:rsidRPr="00672545">
        <w:rPr>
          <w:i/>
        </w:rPr>
        <w:t>Vitelle</w:t>
      </w:r>
      <w:proofErr w:type="spellEnd"/>
      <w:r w:rsidRPr="00672545">
        <w:t xml:space="preserve"> (1923) 61 </w:t>
      </w:r>
      <w:proofErr w:type="spellStart"/>
      <w:r w:rsidRPr="00672545">
        <w:t>Cal.App</w:t>
      </w:r>
      <w:proofErr w:type="spellEnd"/>
      <w:r w:rsidRPr="00672545">
        <w:t>. 695, 697-700 (</w:t>
      </w:r>
      <w:proofErr w:type="spellStart"/>
      <w:r w:rsidRPr="00672545">
        <w:rPr>
          <w:i/>
        </w:rPr>
        <w:t>Vitelle</w:t>
      </w:r>
      <w:proofErr w:type="spellEnd"/>
      <w:r w:rsidRPr="00672545">
        <w:t>), both of which were found to have been erroneously denied.  These cases are distinguishable from the circumstances here.</w:t>
      </w:r>
    </w:p>
    <w:p w14:paraId="6A262CDF" w14:textId="0F4BB383" w:rsidR="004D616E" w:rsidRPr="00672545" w:rsidRDefault="004D616E" w:rsidP="00672545">
      <w:r w:rsidRPr="00672545">
        <w:tab/>
        <w:t xml:space="preserve">In </w:t>
      </w:r>
      <w:proofErr w:type="spellStart"/>
      <w:r w:rsidRPr="00672545">
        <w:rPr>
          <w:i/>
        </w:rPr>
        <w:t>Bittaker</w:t>
      </w:r>
      <w:proofErr w:type="spellEnd"/>
      <w:r w:rsidRPr="00672545">
        <w:t xml:space="preserve">, Juror Staggs told the trial court “that she had worked at a rape crisis </w:t>
      </w:r>
      <w:proofErr w:type="gramStart"/>
      <w:r w:rsidRPr="00672545">
        <w:t>center, and</w:t>
      </w:r>
      <w:proofErr w:type="gramEnd"/>
      <w:r w:rsidRPr="00672545">
        <w:t xml:space="preserve"> did not believe she would be impartial in a case involving charges of rape,” which </w:t>
      </w:r>
      <w:proofErr w:type="spellStart"/>
      <w:r w:rsidRPr="00672545">
        <w:t>Bittaker’s</w:t>
      </w:r>
      <w:proofErr w:type="spellEnd"/>
      <w:r w:rsidRPr="00672545">
        <w:t xml:space="preserve"> was.  (</w:t>
      </w:r>
      <w:proofErr w:type="spellStart"/>
      <w:r w:rsidRPr="00672545">
        <w:rPr>
          <w:i/>
        </w:rPr>
        <w:t>Bittaker</w:t>
      </w:r>
      <w:proofErr w:type="spellEnd"/>
      <w:r w:rsidRPr="00672545">
        <w:rPr>
          <w:i/>
        </w:rPr>
        <w:t>, supra</w:t>
      </w:r>
      <w:r w:rsidRPr="00672545">
        <w:t>, 48 Cal.3d at p. 1089</w:t>
      </w:r>
      <w:r w:rsidR="00067044">
        <w:t>, fn. omitted</w:t>
      </w:r>
      <w:r w:rsidRPr="00672545">
        <w:t xml:space="preserve">.)  “Her </w:t>
      </w:r>
      <w:proofErr w:type="spellStart"/>
      <w:r w:rsidRPr="00672545">
        <w:t>voir</w:t>
      </w:r>
      <w:proofErr w:type="spellEnd"/>
      <w:r w:rsidRPr="00672545">
        <w:t xml:space="preserve"> dire present[ed] no unqualified statement that she actually felt that she could be fair and impartial in the penalty phase of this case.”  (</w:t>
      </w:r>
      <w:r w:rsidRPr="00672545">
        <w:rPr>
          <w:i/>
        </w:rPr>
        <w:t>Ibid.</w:t>
      </w:r>
      <w:r w:rsidRPr="00672545">
        <w:t>)  Indeed, she told defense counsel that she would be unable to fairly and impartially judge and evaluate the situation because of her strong feelings about victims of rape.  (</w:t>
      </w:r>
      <w:r w:rsidRPr="00672545">
        <w:rPr>
          <w:i/>
        </w:rPr>
        <w:t>Id.</w:t>
      </w:r>
      <w:r w:rsidRPr="00672545">
        <w:t>, at pp. 1089-1090.)  “The prosecutor attempting to rehabilitate her, could obtain only a statement that she would act impartially at the guilt phase.”  (</w:t>
      </w:r>
      <w:r w:rsidRPr="00672545">
        <w:rPr>
          <w:i/>
        </w:rPr>
        <w:t>Id.</w:t>
      </w:r>
      <w:r w:rsidRPr="00672545">
        <w:t xml:space="preserve">, at p. 1090.)  When questioned by the trial court, she said that she could try to listen to the evidence and be a fair and impartial juror, </w:t>
      </w:r>
      <w:proofErr w:type="gramStart"/>
      <w:r w:rsidRPr="00672545">
        <w:t>“</w:t>
      </w:r>
      <w:r w:rsidR="00172236">
        <w:t> ‘</w:t>
      </w:r>
      <w:proofErr w:type="gramEnd"/>
      <w:r w:rsidRPr="00672545">
        <w:t>but</w:t>
      </w:r>
      <w:r w:rsidR="00172236">
        <w:t xml:space="preserve"> I believe</w:t>
      </w:r>
      <w:r w:rsidRPr="00672545">
        <w:t xml:space="preserve"> it would be difficult</w:t>
      </w:r>
      <w:r w:rsidR="00172236">
        <w:t>’ </w:t>
      </w:r>
      <w:r w:rsidRPr="00672545">
        <w:t>” and she thought that she “</w:t>
      </w:r>
      <w:r w:rsidR="00172236">
        <w:t> ‘</w:t>
      </w:r>
      <w:r w:rsidRPr="00672545">
        <w:t>wouldn’t be listening wholly to the evidence.</w:t>
      </w:r>
      <w:r w:rsidR="00172236">
        <w:t>’ </w:t>
      </w:r>
      <w:r w:rsidRPr="00672545">
        <w:t>”  (</w:t>
      </w:r>
      <w:r w:rsidRPr="00672545">
        <w:rPr>
          <w:i/>
        </w:rPr>
        <w:t>Ibid.</w:t>
      </w:r>
      <w:r w:rsidRPr="00672545">
        <w:t xml:space="preserve">)  Given that Juror Staggs did not think she could be impartial at the penalty phase, and that she might not listen to all the evidence, we concluded the trial court erred </w:t>
      </w:r>
      <w:r w:rsidR="00A43DB2">
        <w:t xml:space="preserve">by </w:t>
      </w:r>
      <w:r w:rsidRPr="00672545">
        <w:t>denying the challenge for cause.  (</w:t>
      </w:r>
      <w:r w:rsidRPr="00672545">
        <w:rPr>
          <w:i/>
        </w:rPr>
        <w:t>Ibid.</w:t>
      </w:r>
      <w:r w:rsidRPr="00672545">
        <w:t xml:space="preserve">)  In contrast, Prospective Juror number 19 did state that she could be a fair and impartial juror, despite her qualms regarding the nature of the case.  She did believe she could </w:t>
      </w:r>
      <w:proofErr w:type="gramStart"/>
      <w:r w:rsidRPr="00672545">
        <w:t>make a decision</w:t>
      </w:r>
      <w:proofErr w:type="gramEnd"/>
      <w:r w:rsidRPr="00672545">
        <w:t xml:space="preserve"> in the case based solely on the evidence and nothing in the record suggests she would not listen to and consider all of the evidence presented.  </w:t>
      </w:r>
    </w:p>
    <w:p w14:paraId="55945A7A" w14:textId="77777777" w:rsidR="004D616E" w:rsidRPr="00672545" w:rsidRDefault="004D616E" w:rsidP="00672545">
      <w:r w:rsidRPr="00672545">
        <w:lastRenderedPageBreak/>
        <w:tab/>
        <w:t xml:space="preserve">In </w:t>
      </w:r>
      <w:proofErr w:type="spellStart"/>
      <w:r w:rsidRPr="00672545">
        <w:rPr>
          <w:i/>
        </w:rPr>
        <w:t>Vitelle</w:t>
      </w:r>
      <w:proofErr w:type="spellEnd"/>
      <w:r w:rsidRPr="00672545">
        <w:t>, counsel for each side knew that the evidence would show that the defendant was a member of the Ku Klux Klan and that the charged assault was alleged to be a Klan activity.  (</w:t>
      </w:r>
      <w:proofErr w:type="spellStart"/>
      <w:r w:rsidRPr="00672545">
        <w:rPr>
          <w:i/>
        </w:rPr>
        <w:t>Vitelle</w:t>
      </w:r>
      <w:proofErr w:type="spellEnd"/>
      <w:r w:rsidRPr="00672545">
        <w:rPr>
          <w:i/>
        </w:rPr>
        <w:t>, supra</w:t>
      </w:r>
      <w:r w:rsidRPr="00672545">
        <w:t xml:space="preserve">, 61 </w:t>
      </w:r>
      <w:proofErr w:type="spellStart"/>
      <w:r w:rsidRPr="00672545">
        <w:t>Cal.App</w:t>
      </w:r>
      <w:proofErr w:type="spellEnd"/>
      <w:r w:rsidRPr="00672545">
        <w:t xml:space="preserve">. at p. 696.)  On </w:t>
      </w:r>
      <w:proofErr w:type="spellStart"/>
      <w:r w:rsidRPr="00672545">
        <w:t>voir</w:t>
      </w:r>
      <w:proofErr w:type="spellEnd"/>
      <w:r w:rsidRPr="00672545">
        <w:t xml:space="preserve"> dire, then Prospective Juror McAdam stated that he </w:t>
      </w:r>
      <w:proofErr w:type="gramStart"/>
      <w:r w:rsidRPr="00672545">
        <w:t>“</w:t>
      </w:r>
      <w:r w:rsidR="00172236">
        <w:t> ‘</w:t>
      </w:r>
      <w:proofErr w:type="gramEnd"/>
      <w:r w:rsidRPr="00672545">
        <w:t>was not in favor of the Klan,</w:t>
      </w:r>
      <w:r w:rsidR="00172236">
        <w:t>’ </w:t>
      </w:r>
      <w:r w:rsidRPr="00672545">
        <w:t>” and that it would create in his mind bias and prejudice if it turned out that the defendant was a leading member of the Klan.  (</w:t>
      </w:r>
      <w:r w:rsidRPr="00672545">
        <w:rPr>
          <w:i/>
        </w:rPr>
        <w:t>Id.</w:t>
      </w:r>
      <w:r w:rsidRPr="00672545">
        <w:t>, at p. 697.)  Asked whether, with such bias and prejudice, he could still act fairly and impartially toward the defendant, McAdam replied that he did not think he could.  (</w:t>
      </w:r>
      <w:r w:rsidRPr="00672545">
        <w:rPr>
          <w:i/>
        </w:rPr>
        <w:t>Id.</w:t>
      </w:r>
      <w:r w:rsidRPr="00672545">
        <w:t xml:space="preserve">, at pp. 697-698.)  He thought that the defendant’s membership in the Klan </w:t>
      </w:r>
      <w:proofErr w:type="gramStart"/>
      <w:r w:rsidRPr="00672545">
        <w:t>“</w:t>
      </w:r>
      <w:r w:rsidR="00172236">
        <w:t> ‘</w:t>
      </w:r>
      <w:proofErr w:type="gramEnd"/>
      <w:r w:rsidRPr="00672545">
        <w:t>would weigh with [him] to such an extent that [he] would be influenced in hearing the testimony.</w:t>
      </w:r>
      <w:r w:rsidR="00172236">
        <w:t>’ </w:t>
      </w:r>
      <w:r w:rsidRPr="00672545">
        <w:t>”  (</w:t>
      </w:r>
      <w:r w:rsidRPr="00672545">
        <w:rPr>
          <w:i/>
        </w:rPr>
        <w:t>Id.</w:t>
      </w:r>
      <w:r w:rsidRPr="00672545">
        <w:t>, at p. 698.)  He admitted that the mere fact that the defendant was a Klan member would bias him.  (</w:t>
      </w:r>
      <w:r w:rsidRPr="00672545">
        <w:rPr>
          <w:i/>
        </w:rPr>
        <w:t>Id.</w:t>
      </w:r>
      <w:r w:rsidRPr="00672545">
        <w:t>, at p. 699.)  If the evidence showed that the defendant took part in any Klan activities, McAdam said that he would have a prejudice against the defendant.  (</w:t>
      </w:r>
      <w:r w:rsidRPr="00672545">
        <w:rPr>
          <w:i/>
        </w:rPr>
        <w:t>Ibid.</w:t>
      </w:r>
      <w:r w:rsidRPr="00672545">
        <w:t>)  Although McAdam also stated his willingness to accept the court’s instructions, to attempt to decide the case in accordance with the law, and to give the defendant the legal presumption of innocence until the complete establishment of his guilt (</w:t>
      </w:r>
      <w:r w:rsidRPr="00672545">
        <w:rPr>
          <w:i/>
        </w:rPr>
        <w:t>id.,</w:t>
      </w:r>
      <w:r w:rsidRPr="00672545">
        <w:t xml:space="preserve"> at pp. 698-699), the reviewing court found error in the trial court’s denial of a defense challenge for cause to McAdam.  According to the appellate court, there was “no escape from the conclusion that there existed in the mind of McAdam a state of mind in reference to the case which necessarily prevented him from acting with entire impartiality and without prejudice.”  (</w:t>
      </w:r>
      <w:r w:rsidRPr="00672545">
        <w:rPr>
          <w:i/>
        </w:rPr>
        <w:t>Id.</w:t>
      </w:r>
      <w:r w:rsidRPr="00672545">
        <w:t xml:space="preserve">, at p. 700.)  Here, Prospective Juror number 19 affirmatively stated that she could be fair and impartial.  The trial court, which questioned her and observed </w:t>
      </w:r>
      <w:r w:rsidRPr="00672545">
        <w:lastRenderedPageBreak/>
        <w:t xml:space="preserve">her </w:t>
      </w:r>
      <w:proofErr w:type="spellStart"/>
      <w:r w:rsidRPr="00672545">
        <w:t>voir</w:t>
      </w:r>
      <w:proofErr w:type="spellEnd"/>
      <w:r w:rsidRPr="00672545">
        <w:t xml:space="preserve"> dire responses, believed her.  We will not overturn its credibility call.  </w:t>
      </w:r>
    </w:p>
    <w:p w14:paraId="375FD0A3" w14:textId="77777777" w:rsidR="004D616E" w:rsidRPr="00672545" w:rsidRDefault="004D616E" w:rsidP="00672545">
      <w:r w:rsidRPr="00672545">
        <w:tab/>
        <w:t>We find no error in the trial court’s denial of defendant’s challenge for cause to Prospective Juror number 19.</w:t>
      </w:r>
    </w:p>
    <w:p w14:paraId="71D3E0A4" w14:textId="77777777" w:rsidR="00131748" w:rsidRPr="00672545" w:rsidRDefault="00131748" w:rsidP="00672545">
      <w:pPr>
        <w:pStyle w:val="Heading4"/>
      </w:pPr>
      <w:r w:rsidRPr="00672545">
        <w:t>c.  Prejudice</w:t>
      </w:r>
    </w:p>
    <w:p w14:paraId="685DF534" w14:textId="761498CE" w:rsidR="00131748" w:rsidRPr="00283F8E" w:rsidRDefault="00131748" w:rsidP="00672545">
      <w:r w:rsidRPr="00672545">
        <w:tab/>
        <w:t>Moreover, even assuming error concerning Prospective Juror number 19, we also reject defendant’s related claim of prejudice</w:t>
      </w:r>
      <w:r w:rsidR="00E4399D" w:rsidRPr="00672545">
        <w:t xml:space="preserve"> or any suggestion that the trial court </w:t>
      </w:r>
      <w:r w:rsidR="007D60D1" w:rsidRPr="00672545">
        <w:t>incorrectly denied defendant’s other challenges for cause</w:t>
      </w:r>
      <w:r w:rsidRPr="00672545">
        <w:t xml:space="preserve">.  </w:t>
      </w:r>
      <w:r w:rsidR="00524380" w:rsidRPr="00672545">
        <w:t>Specifically, d</w:t>
      </w:r>
      <w:r w:rsidRPr="00672545">
        <w:t xml:space="preserve">efendant fails to show that the trial court’s ruling </w:t>
      </w:r>
      <w:r w:rsidR="00A71890">
        <w:t xml:space="preserve">improperly </w:t>
      </w:r>
      <w:r w:rsidRPr="00672545">
        <w:t>forc</w:t>
      </w:r>
      <w:r w:rsidR="00A71890">
        <w:t>ed</w:t>
      </w:r>
      <w:r w:rsidRPr="00672545">
        <w:t xml:space="preserve"> him to be judged by Juror numbers 2 and 4, both of whom defendant </w:t>
      </w:r>
      <w:r w:rsidR="00102483" w:rsidRPr="00672545">
        <w:t>suggests</w:t>
      </w:r>
      <w:r w:rsidRPr="00672545">
        <w:t xml:space="preserve"> should have been removed for cause.</w:t>
      </w:r>
      <w:r w:rsidR="00283F8E">
        <w:t xml:space="preserve">  (</w:t>
      </w:r>
      <w:r w:rsidR="00A71890">
        <w:t xml:space="preserve">See </w:t>
      </w:r>
      <w:r w:rsidR="00283F8E">
        <w:rPr>
          <w:i/>
        </w:rPr>
        <w:t xml:space="preserve">People v. Black </w:t>
      </w:r>
      <w:r w:rsidR="00283F8E">
        <w:t>(2014) 58 Cal.4th 912, 920.)</w:t>
      </w:r>
    </w:p>
    <w:p w14:paraId="7794AF05" w14:textId="77777777" w:rsidR="00131748" w:rsidRPr="00672545" w:rsidRDefault="00131748" w:rsidP="00672545">
      <w:r w:rsidRPr="00672545">
        <w:tab/>
        <w:t xml:space="preserve">Defense counsel challenged Juror number 2 for cause </w:t>
      </w:r>
      <w:proofErr w:type="gramStart"/>
      <w:r w:rsidRPr="00672545">
        <w:t>on the ground that</w:t>
      </w:r>
      <w:proofErr w:type="gramEnd"/>
      <w:r w:rsidRPr="00672545">
        <w:t xml:space="preserve"> Juror number 2 had expressed his belief in “a life for a life,” and would reach an automatic death verdict if defendant were found guilty.</w:t>
      </w:r>
    </w:p>
    <w:p w14:paraId="1E0B3892" w14:textId="5FDF401F" w:rsidR="00131748" w:rsidRPr="00672545" w:rsidRDefault="00131748" w:rsidP="00672545">
      <w:pPr>
        <w:ind w:firstLine="720"/>
      </w:pPr>
      <w:r w:rsidRPr="00672545">
        <w:t xml:space="preserve">The prospective juror who became Juror number </w:t>
      </w:r>
      <w:r w:rsidR="00A71890">
        <w:t>2</w:t>
      </w:r>
      <w:r w:rsidRPr="00672545">
        <w:t xml:space="preserve"> wrote that he strongly supported the death penalty, and that his views regarding it were “a life for a life.”  But he wrote he did not hold his belief in favor of the death penalty so strongly that he would be unable to impose life without possibility of parole regardless of the facts.  He also indicated that his opinion in favor of the death penalty would not “substantially impair” his ability to perform as a juror such that he would vote only for the death penalty.  He acknowledged his willingness to weigh and consider all the evidence of aggravating and mitigating factors before deciding the appropriate punishment.  He indicated that he would not automatically vote for a verdict of death in a case involving these charges and special circumstances, but instead </w:t>
      </w:r>
      <w:r w:rsidRPr="00672545">
        <w:lastRenderedPageBreak/>
        <w:t xml:space="preserve">would listen and consider </w:t>
      </w:r>
      <w:proofErr w:type="gramStart"/>
      <w:r w:rsidRPr="00672545">
        <w:t>all of</w:t>
      </w:r>
      <w:proofErr w:type="gramEnd"/>
      <w:r w:rsidRPr="00672545">
        <w:t xml:space="preserve"> the evidence at the penalty phase before reaching a decision.</w:t>
      </w:r>
    </w:p>
    <w:p w14:paraId="2F86064B" w14:textId="77777777" w:rsidR="00131748" w:rsidRPr="00672545" w:rsidRDefault="00131748" w:rsidP="00672545">
      <w:pPr>
        <w:ind w:firstLine="720"/>
      </w:pPr>
      <w:r w:rsidRPr="00672545">
        <w:t xml:space="preserve">During </w:t>
      </w:r>
      <w:proofErr w:type="spellStart"/>
      <w:r w:rsidRPr="00672545">
        <w:t>voir</w:t>
      </w:r>
      <w:proofErr w:type="spellEnd"/>
      <w:r w:rsidRPr="00672545">
        <w:t xml:space="preserve"> dire, Juror number 2, consistent with his questionnaire, affirmed he would not automatically impose the death penalty if the trial reached a penalty phase.  Juror number 2 further explained that he would “have to hear all the evidence” but would have a hard time imposing the death penalty based on circumstantial evidence.  He stated that if the matter reached the penalty phase that he could not “say right now which way [he] would go.”  However, when asked to assume that defendant had already been found guilty beyond a reasonable doubt, he affirmed his belief of a life for a life, explaining that his belief is “pretty strong,” because he thought that “a life is precious.”  </w:t>
      </w:r>
      <w:r w:rsidR="00621CBB">
        <w:t>Ye</w:t>
      </w:r>
      <w:r w:rsidRPr="00672545">
        <w:t xml:space="preserve">t on further questioning by the prosecutor about considering evidence presented at the penalty phase, Juror number 2 reverted to his prior answers and </w:t>
      </w:r>
      <w:r w:rsidR="00245757" w:rsidRPr="00672545">
        <w:t xml:space="preserve">stated </w:t>
      </w:r>
      <w:r w:rsidRPr="00672545">
        <w:t>he would first listen to the evidence, including mitigating evidence, before reaching a decision.</w:t>
      </w:r>
    </w:p>
    <w:p w14:paraId="43AC2923" w14:textId="77777777" w:rsidR="00131748" w:rsidRPr="00672545" w:rsidRDefault="00131748" w:rsidP="00672545">
      <w:pPr>
        <w:pStyle w:val="FootnoteText"/>
        <w:spacing w:line="400" w:lineRule="exact"/>
        <w:ind w:firstLine="720"/>
        <w:rPr>
          <w:rStyle w:val="ssrfcpassagedeactivated"/>
        </w:rPr>
      </w:pPr>
      <w:r w:rsidRPr="00672545">
        <w:t xml:space="preserve">The trial court denied the defense challenge for cause of the prospective juror who eventually became Juror number 2.  The court indicated that Juror number 2’s questionnaire was clear and unequivocal that he could be fair and impartial.  And the court did not “believe that one question couched in such a way as to change the ground </w:t>
      </w:r>
      <w:proofErr w:type="gramStart"/>
      <w:r w:rsidRPr="00672545">
        <w:t>rules .</w:t>
      </w:r>
      <w:proofErr w:type="gramEnd"/>
      <w:r w:rsidRPr="00672545">
        <w:t> . . is going to make him have cause to create an inability not to follow the law.”</w:t>
      </w:r>
    </w:p>
    <w:p w14:paraId="3EB2FEE7" w14:textId="77777777" w:rsidR="00131748" w:rsidRPr="00672545" w:rsidRDefault="00131748" w:rsidP="00672545">
      <w:pPr>
        <w:ind w:firstLine="720"/>
        <w:rPr>
          <w:rStyle w:val="ssrfcpassagedeactivated"/>
          <w:szCs w:val="26"/>
        </w:rPr>
      </w:pPr>
      <w:r w:rsidRPr="00672545">
        <w:rPr>
          <w:rStyle w:val="ssrfcpassagedeactivated"/>
          <w:szCs w:val="26"/>
        </w:rPr>
        <w:t xml:space="preserve">With one exception, Juror number 2’s questionnaire and </w:t>
      </w:r>
      <w:proofErr w:type="spellStart"/>
      <w:r w:rsidRPr="00672545">
        <w:rPr>
          <w:rStyle w:val="ssrfcpassagedeactivated"/>
          <w:szCs w:val="26"/>
        </w:rPr>
        <w:t>voir</w:t>
      </w:r>
      <w:proofErr w:type="spellEnd"/>
      <w:r w:rsidRPr="00672545">
        <w:rPr>
          <w:rStyle w:val="ssrfcpassagedeactivated"/>
          <w:szCs w:val="26"/>
        </w:rPr>
        <w:t xml:space="preserve"> dire answers were clear that, despite his views in favor of the death penalty, he would first consider the penalty phase evidence and not automatically vote for death.  On </w:t>
      </w:r>
      <w:r w:rsidR="005D74EC" w:rsidRPr="00672545">
        <w:rPr>
          <w:rStyle w:val="ssrfcpassagedeactivated"/>
          <w:szCs w:val="26"/>
        </w:rPr>
        <w:t>a single</w:t>
      </w:r>
      <w:r w:rsidRPr="00672545">
        <w:rPr>
          <w:rStyle w:val="ssrfcpassagedeactivated"/>
          <w:szCs w:val="26"/>
        </w:rPr>
        <w:t xml:space="preserve"> question during </w:t>
      </w:r>
      <w:proofErr w:type="spellStart"/>
      <w:r w:rsidRPr="00672545">
        <w:rPr>
          <w:rStyle w:val="ssrfcpassagedeactivated"/>
          <w:szCs w:val="26"/>
        </w:rPr>
        <w:t>voir</w:t>
      </w:r>
      <w:proofErr w:type="spellEnd"/>
      <w:r w:rsidRPr="00672545">
        <w:rPr>
          <w:rStyle w:val="ssrfcpassagedeactivated"/>
          <w:szCs w:val="26"/>
        </w:rPr>
        <w:t xml:space="preserve"> dire, defense counsel elicited one conflicting </w:t>
      </w:r>
      <w:r w:rsidRPr="00672545">
        <w:rPr>
          <w:rStyle w:val="ssrfcpassagedeactivated"/>
          <w:szCs w:val="26"/>
        </w:rPr>
        <w:lastRenderedPageBreak/>
        <w:t xml:space="preserve">response, by asking him to assume that defendant was guilty beyond a reasonable doubt, but </w:t>
      </w:r>
      <w:r w:rsidR="00BB4707" w:rsidRPr="00672545">
        <w:rPr>
          <w:rStyle w:val="ssrfcpassagedeactivated"/>
          <w:szCs w:val="26"/>
        </w:rPr>
        <w:t>outside</w:t>
      </w:r>
      <w:r w:rsidRPr="00672545">
        <w:rPr>
          <w:rStyle w:val="ssrfcpassagedeactivated"/>
          <w:szCs w:val="26"/>
        </w:rPr>
        <w:t xml:space="preserve"> the context of considering aggravating and mitigating evidence presented at a penalty phase.  Juror number 2 subsequently made clear that he would consider evidence presented during the penalty phase before deciding punishment. </w:t>
      </w:r>
      <w:r w:rsidR="000D5B09" w:rsidRPr="00672545">
        <w:rPr>
          <w:rStyle w:val="ssrfcpassagedeactivated"/>
          <w:szCs w:val="26"/>
        </w:rPr>
        <w:t xml:space="preserve"> </w:t>
      </w:r>
      <w:r w:rsidRPr="00672545">
        <w:rPr>
          <w:rStyle w:val="ssrfcpassagedeactivated"/>
          <w:szCs w:val="26"/>
        </w:rPr>
        <w:t xml:space="preserve">In that sense, the trial court reasonably determined that the one conflicting response elicited by the defense </w:t>
      </w:r>
      <w:r w:rsidR="00354C55" w:rsidRPr="00672545">
        <w:rPr>
          <w:rStyle w:val="ssrfcpassagedeactivated"/>
          <w:szCs w:val="26"/>
        </w:rPr>
        <w:t>through</w:t>
      </w:r>
      <w:r w:rsidR="003E567E" w:rsidRPr="00672545">
        <w:rPr>
          <w:rStyle w:val="ssrfcpassagedeactivated"/>
          <w:szCs w:val="26"/>
        </w:rPr>
        <w:t xml:space="preserve"> a leading question </w:t>
      </w:r>
      <w:r w:rsidRPr="00672545">
        <w:rPr>
          <w:rStyle w:val="ssrfcpassagedeactivated"/>
          <w:szCs w:val="26"/>
        </w:rPr>
        <w:t xml:space="preserve">did not represent Juror number 2’s true state of mind and </w:t>
      </w:r>
      <w:r w:rsidR="00335D3D" w:rsidRPr="00672545">
        <w:rPr>
          <w:rStyle w:val="ssrfcpassagedeactivated"/>
          <w:szCs w:val="26"/>
        </w:rPr>
        <w:t xml:space="preserve">properly </w:t>
      </w:r>
      <w:r w:rsidRPr="00672545">
        <w:rPr>
          <w:rStyle w:val="ssrfcpassagedeactivated"/>
          <w:szCs w:val="26"/>
        </w:rPr>
        <w:t>denied the defense challenge for cause.  We must defer to that determination because it is supported by substantial evidence in the record.</w:t>
      </w:r>
    </w:p>
    <w:p w14:paraId="73E9BFED" w14:textId="77777777" w:rsidR="00131748" w:rsidRPr="00672545" w:rsidRDefault="00131748" w:rsidP="00672545">
      <w:pPr>
        <w:ind w:firstLine="720"/>
        <w:rPr>
          <w:szCs w:val="26"/>
        </w:rPr>
      </w:pPr>
      <w:r w:rsidRPr="00672545">
        <w:t xml:space="preserve">Defense counsel challenged Juror number 4 for cause </w:t>
      </w:r>
      <w:proofErr w:type="gramStart"/>
      <w:r w:rsidRPr="00672545">
        <w:t>on the ground that</w:t>
      </w:r>
      <w:proofErr w:type="gramEnd"/>
      <w:r w:rsidRPr="00672545">
        <w:t xml:space="preserve"> Juror number 4 had </w:t>
      </w:r>
      <w:r w:rsidR="003E567E" w:rsidRPr="00672545">
        <w:t xml:space="preserve">been </w:t>
      </w:r>
      <w:r w:rsidRPr="00672545">
        <w:rPr>
          <w:szCs w:val="26"/>
        </w:rPr>
        <w:t>intimidated by the court into saying that she could be fair and impartial when in fact she was biased.</w:t>
      </w:r>
    </w:p>
    <w:p w14:paraId="6974E965" w14:textId="77777777" w:rsidR="00113F7D" w:rsidRPr="00672545" w:rsidRDefault="00131748" w:rsidP="00672545">
      <w:pPr>
        <w:pStyle w:val="FootnoteText"/>
        <w:spacing w:line="400" w:lineRule="exact"/>
        <w:ind w:firstLine="720"/>
      </w:pPr>
      <w:r w:rsidRPr="00672545">
        <w:t>The prospective juror who became Juror number 4 identified herself as being from Germany and</w:t>
      </w:r>
      <w:r w:rsidR="00621CBB">
        <w:t xml:space="preserve"> asserted</w:t>
      </w:r>
      <w:r w:rsidRPr="00672545">
        <w:t xml:space="preserve"> that English was her second language.  She stated nothing in her questionnaire or during her </w:t>
      </w:r>
      <w:r w:rsidR="00C571EE" w:rsidRPr="00672545">
        <w:t>first</w:t>
      </w:r>
      <w:r w:rsidRPr="00672545">
        <w:t xml:space="preserve"> </w:t>
      </w:r>
      <w:proofErr w:type="spellStart"/>
      <w:r w:rsidRPr="00672545">
        <w:t>voir</w:t>
      </w:r>
      <w:proofErr w:type="spellEnd"/>
      <w:r w:rsidRPr="00672545">
        <w:t xml:space="preserve"> dire that disqualified her</w:t>
      </w:r>
      <w:r w:rsidR="00621CBB">
        <w:t>.</w:t>
      </w:r>
      <w:r w:rsidRPr="00672545">
        <w:t xml:space="preserve"> </w:t>
      </w:r>
      <w:r w:rsidR="00621CBB">
        <w:t>S</w:t>
      </w:r>
      <w:r w:rsidRPr="00672545">
        <w:t xml:space="preserve">he had initially </w:t>
      </w:r>
      <w:r w:rsidR="00621CBB" w:rsidRPr="00672545">
        <w:t xml:space="preserve">been </w:t>
      </w:r>
      <w:r w:rsidRPr="00672545">
        <w:t>passed for cause by both sides.</w:t>
      </w:r>
    </w:p>
    <w:p w14:paraId="452AC319" w14:textId="77777777" w:rsidR="00131748" w:rsidRPr="00672545" w:rsidRDefault="00131748" w:rsidP="00672545">
      <w:pPr>
        <w:pStyle w:val="FootnoteText"/>
        <w:spacing w:line="400" w:lineRule="exact"/>
        <w:ind w:firstLine="720"/>
      </w:pPr>
      <w:r w:rsidRPr="00672545">
        <w:t xml:space="preserve">But after the court denied her hardship request, Juror number 4 wrote a note to the court explaining that she had misunderstood one of the questions on the </w:t>
      </w:r>
      <w:r w:rsidR="002A2C42">
        <w:t>form</w:t>
      </w:r>
      <w:r w:rsidRPr="00672545">
        <w:t xml:space="preserve">, specifically the question asking whether she had friends or relatives in law enforcement.  She thought the question applied to only police officers, but she now wanted to disclose that she had a close personal friend who </w:t>
      </w:r>
      <w:proofErr w:type="gramStart"/>
      <w:r w:rsidRPr="00672545">
        <w:t>was a retired deputy district attorney</w:t>
      </w:r>
      <w:proofErr w:type="gramEnd"/>
      <w:r w:rsidRPr="00672545">
        <w:t xml:space="preserve">.  She explained that they had discussed the criminal justice system, </w:t>
      </w:r>
      <w:r w:rsidRPr="00672545">
        <w:lastRenderedPageBreak/>
        <w:t>and as a result, she had formed opinions “favorable towards prosecutors.”</w:t>
      </w:r>
    </w:p>
    <w:p w14:paraId="148B7625" w14:textId="77777777" w:rsidR="00131748" w:rsidRPr="00672545" w:rsidRDefault="00131748" w:rsidP="00672545">
      <w:pPr>
        <w:ind w:firstLine="720"/>
      </w:pPr>
      <w:r w:rsidRPr="00672545">
        <w:t xml:space="preserve">Because of her note, Juror number 4 was called into court for further </w:t>
      </w:r>
      <w:proofErr w:type="spellStart"/>
      <w:r w:rsidRPr="00672545">
        <w:t>voir</w:t>
      </w:r>
      <w:proofErr w:type="spellEnd"/>
      <w:r w:rsidRPr="00672545">
        <w:t xml:space="preserve"> dire.  Defense counsel asked Juror number 4 whether her personal friendships would result in her favoring the prosecution such that she could “no longer be completely, one-hundred percent objective.”  Juror number 4 responded</w:t>
      </w:r>
      <w:r w:rsidR="00CB4293" w:rsidRPr="00672545">
        <w:t xml:space="preserve"> affirmatively.  Defense counsel then asked: “So as a result of your acquaintance with the prosecutors</w:t>
      </w:r>
      <w:r w:rsidR="0005640A" w:rsidRPr="00672545">
        <w:t>,</w:t>
      </w:r>
      <w:r w:rsidR="00CB4293" w:rsidRPr="00672545">
        <w:t xml:space="preserve"> in your view, you have a bias such that it would prevent you from being a fair juror in this case?”</w:t>
      </w:r>
      <w:r w:rsidRPr="00672545">
        <w:t xml:space="preserve"> </w:t>
      </w:r>
      <w:r w:rsidR="00CB4293" w:rsidRPr="00672545">
        <w:t xml:space="preserve"> </w:t>
      </w:r>
      <w:r w:rsidR="006B67DB" w:rsidRPr="00672545">
        <w:t>Juror number 4 responded, “I would think so, yes.”</w:t>
      </w:r>
    </w:p>
    <w:p w14:paraId="454017AC" w14:textId="77777777" w:rsidR="009117BB" w:rsidRPr="00672545" w:rsidRDefault="00131748" w:rsidP="00672545">
      <w:pPr>
        <w:ind w:firstLine="720"/>
      </w:pPr>
      <w:r w:rsidRPr="00672545">
        <w:t xml:space="preserve">The court asked Juror number 4, who had previously said she could be fair to both sides, why she had changed her mind.  Juror number 4 explained that she had seen her friend the prior night and that he had advised her to disclose the existence of their friendship.  She further explained that she was “not familiar with the justice system the way everybody else seems to be.”  </w:t>
      </w:r>
      <w:r w:rsidR="00822394" w:rsidRPr="00672545">
        <w:t xml:space="preserve">Because her answer was not directly responsive to the </w:t>
      </w:r>
      <w:r w:rsidR="006B67DB" w:rsidRPr="00672545">
        <w:t xml:space="preserve">court’s </w:t>
      </w:r>
      <w:r w:rsidR="00822394" w:rsidRPr="00672545">
        <w:t xml:space="preserve">question, </w:t>
      </w:r>
      <w:r w:rsidRPr="00672545">
        <w:t xml:space="preserve">the court again asked Juror number 4 whether she was trying to tell the court that she could not be fair, </w:t>
      </w:r>
      <w:r w:rsidR="00DA50D1" w:rsidRPr="00672545">
        <w:t xml:space="preserve">and </w:t>
      </w:r>
      <w:r w:rsidRPr="00672545">
        <w:t>she res</w:t>
      </w:r>
      <w:r w:rsidR="00E7665D">
        <w:t>ponded</w:t>
      </w:r>
      <w:proofErr w:type="gramStart"/>
      <w:r w:rsidR="00E7665D">
        <w:t>:  “</w:t>
      </w:r>
      <w:proofErr w:type="gramEnd"/>
      <w:r w:rsidR="00E7665D">
        <w:t>I’m not a hundred per</w:t>
      </w:r>
      <w:r w:rsidRPr="00672545">
        <w:t xml:space="preserve">cent sure.  But it seems like I </w:t>
      </w:r>
      <w:proofErr w:type="gramStart"/>
      <w:r w:rsidRPr="00672545">
        <w:t>have to</w:t>
      </w:r>
      <w:proofErr w:type="gramEnd"/>
      <w:r w:rsidRPr="00672545">
        <w:t xml:space="preserve"> explain this to you that I have this connection, and we have talked about the judicial system.</w:t>
      </w:r>
      <w:r w:rsidR="0005640A" w:rsidRPr="00672545">
        <w:t xml:space="preserve"> </w:t>
      </w:r>
      <w:r w:rsidRPr="00672545">
        <w:t xml:space="preserve"> So that’s all I’m trying to say here.”</w:t>
      </w:r>
    </w:p>
    <w:p w14:paraId="46D8FE18" w14:textId="77777777" w:rsidR="00D81C55" w:rsidRPr="00672545" w:rsidRDefault="00131748" w:rsidP="00672545">
      <w:pPr>
        <w:ind w:firstLine="720"/>
      </w:pPr>
      <w:r w:rsidRPr="00672545">
        <w:t>On further questioning by the prosecut</w:t>
      </w:r>
      <w:r w:rsidR="0005640A" w:rsidRPr="00672545">
        <w:t>or</w:t>
      </w:r>
      <w:r w:rsidRPr="00672545">
        <w:t xml:space="preserve">, </w:t>
      </w:r>
      <w:r w:rsidR="00D202CE" w:rsidRPr="00672545">
        <w:t xml:space="preserve">Juror number 4 </w:t>
      </w:r>
      <w:r w:rsidRPr="00672545">
        <w:t xml:space="preserve">stated that her friend, the </w:t>
      </w:r>
      <w:r w:rsidR="00926C14" w:rsidRPr="00672545">
        <w:t>retired</w:t>
      </w:r>
      <w:r w:rsidRPr="00672545">
        <w:t xml:space="preserve"> prosecutor, had advised her to inform the court of their friendship to the court, because she would perjure herself if she did not disclose it.  The prosecutor also asked Juror number 4 whether she could be fair, and she replied</w:t>
      </w:r>
      <w:proofErr w:type="gramStart"/>
      <w:r w:rsidRPr="00672545">
        <w:t>:  “</w:t>
      </w:r>
      <w:proofErr w:type="gramEnd"/>
      <w:r w:rsidRPr="00672545">
        <w:t>Yes. I think I can be fair, but</w:t>
      </w:r>
      <w:r w:rsidR="00822394" w:rsidRPr="00672545">
        <w:t xml:space="preserve"> </w:t>
      </w:r>
      <w:r w:rsidRPr="00672545">
        <w:t xml:space="preserve">the thing is I don’t — I </w:t>
      </w:r>
      <w:r w:rsidRPr="00672545">
        <w:lastRenderedPageBreak/>
        <w:t>did not tell you about this gentleman because I wasn’t aware that this is required of me.”</w:t>
      </w:r>
    </w:p>
    <w:p w14:paraId="0D98CC0B" w14:textId="77777777" w:rsidR="00131748" w:rsidRPr="00672545" w:rsidRDefault="00131748" w:rsidP="00672545">
      <w:pPr>
        <w:ind w:firstLine="720"/>
      </w:pPr>
      <w:r w:rsidRPr="00672545">
        <w:t>The court then interrupted and explained its concern about why she had told defense counsel that she could not be fair and then told the prosecutor she could be fair, and asked</w:t>
      </w:r>
      <w:proofErr w:type="gramStart"/>
      <w:r w:rsidRPr="00672545">
        <w:t>:  “</w:t>
      </w:r>
      <w:proofErr w:type="gramEnd"/>
      <w:r w:rsidRPr="00672545">
        <w:t>Now, what is it, Ma’am?  Can you be fair and objective to both sides or not?”  She replied</w:t>
      </w:r>
      <w:proofErr w:type="gramStart"/>
      <w:r w:rsidRPr="00672545">
        <w:t>:  “</w:t>
      </w:r>
      <w:proofErr w:type="gramEnd"/>
      <w:r w:rsidRPr="00672545">
        <w:t xml:space="preserve">I don’t see why I can’t be, but I am thoroughly confused at this point.”  Juror number 4 </w:t>
      </w:r>
      <w:r w:rsidR="004D03F3" w:rsidRPr="00672545">
        <w:t>affirmed</w:t>
      </w:r>
      <w:r w:rsidRPr="00672545">
        <w:t xml:space="preserve"> </w:t>
      </w:r>
      <w:r w:rsidR="00D202CE" w:rsidRPr="00672545">
        <w:t xml:space="preserve">again </w:t>
      </w:r>
      <w:r w:rsidRPr="00672545">
        <w:t>that she did not know of any reason why she could not be fair and impartial.</w:t>
      </w:r>
    </w:p>
    <w:p w14:paraId="39D875FF" w14:textId="77777777" w:rsidR="00131748" w:rsidRPr="00672545" w:rsidRDefault="00131748" w:rsidP="00672545">
      <w:pPr>
        <w:ind w:firstLine="720"/>
        <w:rPr>
          <w:szCs w:val="26"/>
        </w:rPr>
      </w:pPr>
      <w:r w:rsidRPr="00672545">
        <w:rPr>
          <w:szCs w:val="26"/>
        </w:rPr>
        <w:t xml:space="preserve">In contending that Juror number 4 should be dismissed for cause, defense counsel acknowledged that her statements about fairness were unequivocal but was critical of “the court’s tone of voice” in questioning her and </w:t>
      </w:r>
      <w:r w:rsidR="003C67CA" w:rsidRPr="00672545">
        <w:rPr>
          <w:szCs w:val="26"/>
        </w:rPr>
        <w:t xml:space="preserve">contended </w:t>
      </w:r>
      <w:r w:rsidRPr="00672545">
        <w:rPr>
          <w:szCs w:val="26"/>
        </w:rPr>
        <w:t xml:space="preserve">that she might have been intimidated.  Defense counsel also questioned whether Juror number 4 </w:t>
      </w:r>
      <w:proofErr w:type="gramStart"/>
      <w:r w:rsidRPr="00672545">
        <w:rPr>
          <w:szCs w:val="26"/>
        </w:rPr>
        <w:t>had difficulty</w:t>
      </w:r>
      <w:proofErr w:type="gramEnd"/>
      <w:r w:rsidRPr="00672545">
        <w:rPr>
          <w:szCs w:val="26"/>
        </w:rPr>
        <w:t xml:space="preserve"> understanding because English was not her first language.</w:t>
      </w:r>
      <w:r w:rsidR="00822394" w:rsidRPr="00672545">
        <w:rPr>
          <w:szCs w:val="26"/>
        </w:rPr>
        <w:t xml:space="preserve">  The prosecutor responded that Juror number 4 told him without any pressure that she could be fair.  The trial court found no basis for disqualification and denied the challenge.</w:t>
      </w:r>
    </w:p>
    <w:p w14:paraId="403393B9" w14:textId="77777777" w:rsidR="00845BC2" w:rsidRPr="00672545" w:rsidRDefault="00822394" w:rsidP="00672545">
      <w:pPr>
        <w:ind w:firstLine="720"/>
        <w:rPr>
          <w:szCs w:val="26"/>
        </w:rPr>
      </w:pPr>
      <w:r w:rsidRPr="00672545">
        <w:rPr>
          <w:szCs w:val="26"/>
        </w:rPr>
        <w:t xml:space="preserve">Defendant claims on appeal that Juror number 4 was influenced and intimidated by the court into saying that she could be fair and impartial when in fact she was biased.  </w:t>
      </w:r>
      <w:r w:rsidR="009117BB" w:rsidRPr="00672545">
        <w:rPr>
          <w:szCs w:val="26"/>
        </w:rPr>
        <w:t>But viewing the totality of her expressed concerns, it appears that Juror number 4 was merely attempting to state that her friendship with the retired prosecutor caused her to doubt whether she could be “</w:t>
      </w:r>
      <w:r w:rsidR="00416121" w:rsidRPr="00672545">
        <w:t xml:space="preserve">a </w:t>
      </w:r>
      <w:r w:rsidR="009117BB" w:rsidRPr="00672545">
        <w:t>hundred percent</w:t>
      </w:r>
      <w:r w:rsidR="00416121" w:rsidRPr="00672545">
        <w:t>”</w:t>
      </w:r>
      <w:r w:rsidR="009117BB" w:rsidRPr="00672545">
        <w:t xml:space="preserve"> objective,</w:t>
      </w:r>
      <w:r w:rsidR="009117BB" w:rsidRPr="00672545">
        <w:rPr>
          <w:szCs w:val="26"/>
        </w:rPr>
        <w:t xml:space="preserve"> but that she still believed she could be fair.</w:t>
      </w:r>
      <w:r w:rsidR="00F81CD5" w:rsidRPr="00672545">
        <w:rPr>
          <w:szCs w:val="26"/>
        </w:rPr>
        <w:t xml:space="preserve">  </w:t>
      </w:r>
      <w:r w:rsidR="009117BB" w:rsidRPr="00672545">
        <w:rPr>
          <w:szCs w:val="26"/>
        </w:rPr>
        <w:t>In assessing whether a claim of juror misconduct indicates juror bias requiring reversal of the judgment, we have acknowledged that “[j]</w:t>
      </w:r>
      <w:proofErr w:type="spellStart"/>
      <w:r w:rsidR="009117BB" w:rsidRPr="00672545">
        <w:rPr>
          <w:szCs w:val="26"/>
        </w:rPr>
        <w:t>urors</w:t>
      </w:r>
      <w:proofErr w:type="spellEnd"/>
      <w:r w:rsidR="009117BB" w:rsidRPr="00672545">
        <w:rPr>
          <w:szCs w:val="26"/>
        </w:rPr>
        <w:t xml:space="preserve"> are not </w:t>
      </w:r>
      <w:r w:rsidR="009117BB" w:rsidRPr="00672545">
        <w:rPr>
          <w:szCs w:val="26"/>
        </w:rPr>
        <w:lastRenderedPageBreak/>
        <w:t>automatons” but are “imbued with human frailties as well as virtues” and that our system</w:t>
      </w:r>
      <w:r w:rsidR="00CB789B" w:rsidRPr="00672545">
        <w:rPr>
          <w:szCs w:val="26"/>
        </w:rPr>
        <w:t xml:space="preserve"> cannot survive by</w:t>
      </w:r>
      <w:r w:rsidR="009117BB" w:rsidRPr="00672545">
        <w:rPr>
          <w:szCs w:val="26"/>
        </w:rPr>
        <w:t xml:space="preserve"> </w:t>
      </w:r>
      <w:r w:rsidR="00CB789B" w:rsidRPr="00672545">
        <w:rPr>
          <w:szCs w:val="26"/>
        </w:rPr>
        <w:t xml:space="preserve">demanding “theoretical perfection from every juror” and that we </w:t>
      </w:r>
      <w:r w:rsidR="009117BB" w:rsidRPr="00672545">
        <w:rPr>
          <w:szCs w:val="26"/>
        </w:rPr>
        <w:t>“must tolerate a certain amount of imperfection short of actual bias.</w:t>
      </w:r>
      <w:r w:rsidR="00CB789B" w:rsidRPr="00672545">
        <w:rPr>
          <w:szCs w:val="26"/>
        </w:rPr>
        <w:t xml:space="preserve">”  </w:t>
      </w:r>
      <w:r w:rsidR="009117BB" w:rsidRPr="00672545">
        <w:rPr>
          <w:szCs w:val="26"/>
        </w:rPr>
        <w:t>(</w:t>
      </w:r>
      <w:r w:rsidR="009117BB" w:rsidRPr="00672545">
        <w:rPr>
          <w:i/>
          <w:szCs w:val="26"/>
        </w:rPr>
        <w:t>In re Carpenter</w:t>
      </w:r>
      <w:r w:rsidR="009117BB" w:rsidRPr="00672545">
        <w:rPr>
          <w:szCs w:val="26"/>
        </w:rPr>
        <w:t xml:space="preserve"> (1995) 9 Cal.4th 634, 654-655.)</w:t>
      </w:r>
    </w:p>
    <w:p w14:paraId="15B7031E" w14:textId="77777777" w:rsidR="00822394" w:rsidRPr="00672545" w:rsidRDefault="00294210" w:rsidP="00672545">
      <w:pPr>
        <w:ind w:firstLine="720"/>
        <w:rPr>
          <w:szCs w:val="26"/>
        </w:rPr>
      </w:pPr>
      <w:r w:rsidRPr="00672545">
        <w:rPr>
          <w:szCs w:val="26"/>
        </w:rPr>
        <w:t>Here, Juror number 4, in an abundance of caution, alerted the court and the parties to something she had overlooked</w:t>
      </w:r>
      <w:r w:rsidR="00845BC2" w:rsidRPr="00672545">
        <w:rPr>
          <w:szCs w:val="26"/>
        </w:rPr>
        <w:t>.  She</w:t>
      </w:r>
      <w:r w:rsidRPr="00672545">
        <w:rPr>
          <w:szCs w:val="26"/>
        </w:rPr>
        <w:t xml:space="preserve"> acknowledged that it did not make her objectivity 100 percent </w:t>
      </w:r>
      <w:r w:rsidR="001266A7" w:rsidRPr="00672545">
        <w:rPr>
          <w:szCs w:val="26"/>
        </w:rPr>
        <w:t>perfect but</w:t>
      </w:r>
      <w:r w:rsidRPr="00672545">
        <w:rPr>
          <w:szCs w:val="26"/>
        </w:rPr>
        <w:t xml:space="preserve"> </w:t>
      </w:r>
      <w:r w:rsidR="001266A7" w:rsidRPr="00672545">
        <w:rPr>
          <w:szCs w:val="26"/>
        </w:rPr>
        <w:t xml:space="preserve">repeatedly </w:t>
      </w:r>
      <w:r w:rsidRPr="00672545">
        <w:rPr>
          <w:szCs w:val="26"/>
        </w:rPr>
        <w:t>clarified that she thought she could still be fair overall.  The trial court acted within its discretion in denying the defense challenge for cause of Juror number 4.</w:t>
      </w:r>
    </w:p>
    <w:p w14:paraId="28FF4062" w14:textId="45331138" w:rsidR="00294210" w:rsidRPr="00672545" w:rsidRDefault="00845BC2" w:rsidP="00672545">
      <w:pPr>
        <w:ind w:firstLine="720"/>
      </w:pPr>
      <w:r w:rsidRPr="00672545">
        <w:t>As a result</w:t>
      </w:r>
      <w:r w:rsidR="00294210" w:rsidRPr="00672545">
        <w:t xml:space="preserve">, defendant </w:t>
      </w:r>
      <w:r w:rsidR="00BD3B24" w:rsidRPr="00672545">
        <w:t xml:space="preserve">fails to show that the court erred in </w:t>
      </w:r>
      <w:r w:rsidR="00A71890">
        <w:t>denying</w:t>
      </w:r>
      <w:r w:rsidR="00A71890" w:rsidRPr="00672545">
        <w:t xml:space="preserve"> </w:t>
      </w:r>
      <w:r w:rsidR="00BD3B24" w:rsidRPr="00672545">
        <w:t xml:space="preserve">his challenges for cause </w:t>
      </w:r>
      <w:r w:rsidRPr="00672545">
        <w:t>of the prospective jurors who became seated as Juror numbers 2 and 4.  Therefore, even assuming the court erred in not removing Prospective Juror number 19 for cause, defendant fails to show prejudice.</w:t>
      </w:r>
    </w:p>
    <w:p w14:paraId="6355C910" w14:textId="77777777" w:rsidR="003D3260" w:rsidRPr="00672545" w:rsidRDefault="004D616E" w:rsidP="00672545">
      <w:pPr>
        <w:pStyle w:val="Heading3"/>
      </w:pPr>
      <w:r w:rsidRPr="00672545">
        <w:t xml:space="preserve">3. </w:t>
      </w:r>
      <w:r w:rsidR="00BF1835" w:rsidRPr="00672545">
        <w:t xml:space="preserve">Denial of Defendant’s Motion for Additional Peremptory Challenges </w:t>
      </w:r>
      <w:bookmarkEnd w:id="18"/>
    </w:p>
    <w:p w14:paraId="6D0F665E" w14:textId="77777777" w:rsidR="00FA6678" w:rsidRPr="00672545" w:rsidRDefault="00191BC2" w:rsidP="00672545">
      <w:pPr>
        <w:pStyle w:val="Heading3"/>
      </w:pPr>
      <w:r>
        <w:rPr>
          <w:szCs w:val="26"/>
        </w:rPr>
        <w:tab/>
      </w:r>
      <w:r w:rsidR="00FA6678" w:rsidRPr="00672545">
        <w:rPr>
          <w:szCs w:val="26"/>
        </w:rPr>
        <w:t>a</w:t>
      </w:r>
      <w:r w:rsidR="00FA6678" w:rsidRPr="00672545">
        <w:t>.  Background</w:t>
      </w:r>
    </w:p>
    <w:p w14:paraId="02D71226" w14:textId="77777777" w:rsidR="000142E9" w:rsidRPr="00672545" w:rsidRDefault="007A6C42" w:rsidP="00672545">
      <w:pPr>
        <w:ind w:firstLine="720"/>
        <w:rPr>
          <w:szCs w:val="26"/>
        </w:rPr>
      </w:pPr>
      <w:r w:rsidRPr="00672545">
        <w:rPr>
          <w:szCs w:val="26"/>
        </w:rPr>
        <w:t>On the day</w:t>
      </w:r>
      <w:r w:rsidR="005B300C" w:rsidRPr="00672545">
        <w:rPr>
          <w:szCs w:val="26"/>
        </w:rPr>
        <w:t xml:space="preserve"> </w:t>
      </w:r>
      <w:r w:rsidRPr="00672545">
        <w:rPr>
          <w:szCs w:val="26"/>
        </w:rPr>
        <w:t xml:space="preserve">jury selection began, the defense noted that </w:t>
      </w:r>
      <w:proofErr w:type="gramStart"/>
      <w:r w:rsidRPr="00672545">
        <w:rPr>
          <w:szCs w:val="26"/>
        </w:rPr>
        <w:t>a large number of</w:t>
      </w:r>
      <w:proofErr w:type="gramEnd"/>
      <w:r w:rsidRPr="00672545">
        <w:rPr>
          <w:szCs w:val="26"/>
        </w:rPr>
        <w:t xml:space="preserve"> those who were summoned for that day had failed to appear.  The defense moved the court “to do what it [could] to enforce” the summons to ensure that defendant obtained a fair and representative cross-section of the community and a jury of his peers.</w:t>
      </w:r>
      <w:r w:rsidR="00F81CD5" w:rsidRPr="00672545">
        <w:rPr>
          <w:szCs w:val="26"/>
        </w:rPr>
        <w:t xml:space="preserve">  </w:t>
      </w:r>
      <w:r w:rsidRPr="00672545">
        <w:rPr>
          <w:szCs w:val="26"/>
        </w:rPr>
        <w:t>Believing that 80 percent of those summoned had failed to appear, the defense requested a proportionate number of additional peremptory challenges “as a remedy.”</w:t>
      </w:r>
      <w:r w:rsidR="00F81CD5" w:rsidRPr="00672545">
        <w:rPr>
          <w:szCs w:val="26"/>
        </w:rPr>
        <w:t xml:space="preserve">  </w:t>
      </w:r>
      <w:r w:rsidRPr="00672545">
        <w:rPr>
          <w:szCs w:val="26"/>
        </w:rPr>
        <w:t>The trial court denied the request.</w:t>
      </w:r>
      <w:r w:rsidR="00F81CD5" w:rsidRPr="00672545">
        <w:rPr>
          <w:szCs w:val="26"/>
        </w:rPr>
        <w:t xml:space="preserve">  </w:t>
      </w:r>
    </w:p>
    <w:p w14:paraId="0FDFE1CC" w14:textId="77777777" w:rsidR="007A6C42" w:rsidRPr="00672545" w:rsidRDefault="007A6C42" w:rsidP="00672545">
      <w:pPr>
        <w:rPr>
          <w:szCs w:val="26"/>
        </w:rPr>
      </w:pPr>
      <w:r w:rsidRPr="00672545">
        <w:rPr>
          <w:szCs w:val="26"/>
        </w:rPr>
        <w:tab/>
      </w:r>
      <w:r w:rsidR="00E8107D" w:rsidRPr="00672545">
        <w:rPr>
          <w:szCs w:val="26"/>
        </w:rPr>
        <w:t>After the defense</w:t>
      </w:r>
      <w:r w:rsidRPr="00672545">
        <w:rPr>
          <w:szCs w:val="26"/>
        </w:rPr>
        <w:t xml:space="preserve"> exhausted </w:t>
      </w:r>
      <w:r w:rsidR="005B300C" w:rsidRPr="00672545">
        <w:rPr>
          <w:szCs w:val="26"/>
        </w:rPr>
        <w:t>its</w:t>
      </w:r>
      <w:r w:rsidRPr="00672545">
        <w:rPr>
          <w:szCs w:val="26"/>
        </w:rPr>
        <w:t xml:space="preserve"> 20 peremptory challenges</w:t>
      </w:r>
      <w:r w:rsidR="00E8107D" w:rsidRPr="00672545">
        <w:rPr>
          <w:szCs w:val="26"/>
        </w:rPr>
        <w:t xml:space="preserve"> during jury selection,</w:t>
      </w:r>
      <w:r w:rsidRPr="00672545">
        <w:rPr>
          <w:szCs w:val="26"/>
        </w:rPr>
        <w:t xml:space="preserve"> the defense again moved for additional </w:t>
      </w:r>
      <w:r w:rsidRPr="00672545">
        <w:rPr>
          <w:szCs w:val="26"/>
        </w:rPr>
        <w:lastRenderedPageBreak/>
        <w:t>peremptory challenges</w:t>
      </w:r>
      <w:r w:rsidR="00E8107D" w:rsidRPr="00672545">
        <w:rPr>
          <w:szCs w:val="26"/>
        </w:rPr>
        <w:t xml:space="preserve">. </w:t>
      </w:r>
      <w:r w:rsidR="00902421" w:rsidRPr="00672545">
        <w:rPr>
          <w:szCs w:val="26"/>
        </w:rPr>
        <w:t xml:space="preserve"> </w:t>
      </w:r>
      <w:r w:rsidR="00E8107D" w:rsidRPr="00672545">
        <w:rPr>
          <w:szCs w:val="26"/>
        </w:rPr>
        <w:t>The defense based its request</w:t>
      </w:r>
      <w:r w:rsidR="00902421" w:rsidRPr="00672545">
        <w:rPr>
          <w:szCs w:val="26"/>
        </w:rPr>
        <w:t xml:space="preserve"> on “the challenges for </w:t>
      </w:r>
      <w:proofErr w:type="gramStart"/>
      <w:r w:rsidR="00902421" w:rsidRPr="00672545">
        <w:rPr>
          <w:szCs w:val="26"/>
        </w:rPr>
        <w:t>cause</w:t>
      </w:r>
      <w:proofErr w:type="gramEnd"/>
      <w:r w:rsidR="00902421" w:rsidRPr="00672545">
        <w:rPr>
          <w:szCs w:val="26"/>
        </w:rPr>
        <w:t xml:space="preserve"> that were denied,”</w:t>
      </w:r>
      <w:r w:rsidRPr="00672545">
        <w:rPr>
          <w:szCs w:val="26"/>
        </w:rPr>
        <w:t xml:space="preserve"> </w:t>
      </w:r>
      <w:r w:rsidR="00902421" w:rsidRPr="00672545">
        <w:rPr>
          <w:szCs w:val="26"/>
        </w:rPr>
        <w:t>particularly</w:t>
      </w:r>
      <w:r w:rsidR="005B300C" w:rsidRPr="00672545">
        <w:rPr>
          <w:szCs w:val="26"/>
        </w:rPr>
        <w:t xml:space="preserve"> with regard to</w:t>
      </w:r>
      <w:r w:rsidR="00902421" w:rsidRPr="00672545">
        <w:rPr>
          <w:szCs w:val="26"/>
        </w:rPr>
        <w:t xml:space="preserve"> Prospective Juror N</w:t>
      </w:r>
      <w:r w:rsidR="00845BC2" w:rsidRPr="00672545">
        <w:rPr>
          <w:szCs w:val="26"/>
        </w:rPr>
        <w:t>umber</w:t>
      </w:r>
      <w:r w:rsidR="00902421" w:rsidRPr="00672545">
        <w:rPr>
          <w:szCs w:val="26"/>
        </w:rPr>
        <w:t xml:space="preserve"> 19.</w:t>
      </w:r>
      <w:r w:rsidR="00F81CD5" w:rsidRPr="00672545">
        <w:rPr>
          <w:szCs w:val="26"/>
        </w:rPr>
        <w:t xml:space="preserve">  </w:t>
      </w:r>
      <w:r w:rsidR="00E8107D" w:rsidRPr="00672545">
        <w:rPr>
          <w:szCs w:val="26"/>
        </w:rPr>
        <w:t>The trial court denied the request and the jury was sworn.</w:t>
      </w:r>
      <w:r w:rsidR="00F81CD5" w:rsidRPr="00672545">
        <w:rPr>
          <w:szCs w:val="26"/>
        </w:rPr>
        <w:t xml:space="preserve">  </w:t>
      </w:r>
      <w:r w:rsidR="00E8107D" w:rsidRPr="00672545">
        <w:rPr>
          <w:szCs w:val="26"/>
        </w:rPr>
        <w:t>The following day,</w:t>
      </w:r>
      <w:r w:rsidR="0050461E" w:rsidRPr="00672545">
        <w:rPr>
          <w:szCs w:val="26"/>
        </w:rPr>
        <w:t xml:space="preserve"> the defense told the court </w:t>
      </w:r>
      <w:r w:rsidR="00E8107D" w:rsidRPr="00672545">
        <w:rPr>
          <w:szCs w:val="26"/>
        </w:rPr>
        <w:t>that what it meant the previous day was that it was dissatisfied with the composition of the jury — specifically Juror N</w:t>
      </w:r>
      <w:r w:rsidR="00D41323" w:rsidRPr="00672545">
        <w:rPr>
          <w:szCs w:val="26"/>
        </w:rPr>
        <w:t>umbers</w:t>
      </w:r>
      <w:r w:rsidR="00E8107D" w:rsidRPr="00672545">
        <w:rPr>
          <w:szCs w:val="26"/>
        </w:rPr>
        <w:t xml:space="preserve"> 2, 4, 6, 11, and 12 — and that this </w:t>
      </w:r>
      <w:r w:rsidR="00194459" w:rsidRPr="00672545">
        <w:rPr>
          <w:szCs w:val="26"/>
        </w:rPr>
        <w:t>had been</w:t>
      </w:r>
      <w:r w:rsidR="00E8107D" w:rsidRPr="00672545">
        <w:rPr>
          <w:szCs w:val="26"/>
        </w:rPr>
        <w:t xml:space="preserve"> the reason for requesting additional peremptory challenges.</w:t>
      </w:r>
      <w:r w:rsidR="00F81CD5" w:rsidRPr="00672545">
        <w:rPr>
          <w:szCs w:val="26"/>
        </w:rPr>
        <w:t xml:space="preserve">  </w:t>
      </w:r>
      <w:r w:rsidR="00E8107D" w:rsidRPr="00672545">
        <w:rPr>
          <w:szCs w:val="26"/>
        </w:rPr>
        <w:t xml:space="preserve">The trial court </w:t>
      </w:r>
      <w:r w:rsidR="008315C3" w:rsidRPr="00672545">
        <w:rPr>
          <w:szCs w:val="26"/>
        </w:rPr>
        <w:t xml:space="preserve">found the request </w:t>
      </w:r>
      <w:r w:rsidR="00B733AE" w:rsidRPr="00672545">
        <w:rPr>
          <w:szCs w:val="26"/>
        </w:rPr>
        <w:t xml:space="preserve">untimely </w:t>
      </w:r>
      <w:r w:rsidR="00AD01AE" w:rsidRPr="00672545">
        <w:rPr>
          <w:szCs w:val="26"/>
        </w:rPr>
        <w:t>because</w:t>
      </w:r>
      <w:r w:rsidR="008315C3" w:rsidRPr="00672545">
        <w:rPr>
          <w:szCs w:val="26"/>
        </w:rPr>
        <w:t xml:space="preserve"> the panel had already been </w:t>
      </w:r>
      <w:proofErr w:type="gramStart"/>
      <w:r w:rsidR="008315C3" w:rsidRPr="00672545">
        <w:rPr>
          <w:szCs w:val="26"/>
        </w:rPr>
        <w:t>sworn, but</w:t>
      </w:r>
      <w:proofErr w:type="gramEnd"/>
      <w:r w:rsidR="008315C3" w:rsidRPr="00672545">
        <w:rPr>
          <w:szCs w:val="26"/>
        </w:rPr>
        <w:t xml:space="preserve"> noted that it would have denied </w:t>
      </w:r>
      <w:r w:rsidR="005A5F22" w:rsidRPr="00672545">
        <w:rPr>
          <w:szCs w:val="26"/>
        </w:rPr>
        <w:t>the request</w:t>
      </w:r>
      <w:r w:rsidR="008315C3" w:rsidRPr="00672545">
        <w:rPr>
          <w:szCs w:val="26"/>
        </w:rPr>
        <w:t xml:space="preserve"> even if it had been made before the panel was sworn.  </w:t>
      </w:r>
    </w:p>
    <w:p w14:paraId="1AE6061D" w14:textId="77777777" w:rsidR="00310BFB" w:rsidRPr="00672545" w:rsidRDefault="00191BC2" w:rsidP="00672545">
      <w:pPr>
        <w:pStyle w:val="Heading3"/>
      </w:pPr>
      <w:r>
        <w:tab/>
      </w:r>
      <w:r w:rsidR="00310BFB" w:rsidRPr="00672545">
        <w:t>b.  Discussion</w:t>
      </w:r>
    </w:p>
    <w:p w14:paraId="05853718" w14:textId="77777777" w:rsidR="008315C3" w:rsidRPr="00672545" w:rsidRDefault="008315C3" w:rsidP="00672545">
      <w:pPr>
        <w:rPr>
          <w:szCs w:val="26"/>
        </w:rPr>
      </w:pPr>
      <w:r w:rsidRPr="00672545">
        <w:rPr>
          <w:szCs w:val="26"/>
        </w:rPr>
        <w:tab/>
        <w:t xml:space="preserve">Defendant contends on appeal that the trial court erred in denying his requests for additional peremptory challenges, resulting in a violation of his constitutional right to due process.  He argues that the extensive pretrial publicity surrounding his case required that he be granted the requested additional peremptory challenges to ensure a fair and impartial jury.  </w:t>
      </w:r>
      <w:r w:rsidR="007A1D0D" w:rsidRPr="00672545">
        <w:rPr>
          <w:szCs w:val="26"/>
        </w:rPr>
        <w:t xml:space="preserve">(See </w:t>
      </w:r>
      <w:r w:rsidR="007A1D0D" w:rsidRPr="00672545">
        <w:rPr>
          <w:i/>
          <w:szCs w:val="26"/>
        </w:rPr>
        <w:t xml:space="preserve">People v. Bonin </w:t>
      </w:r>
      <w:r w:rsidR="00191BC2" w:rsidRPr="00191BC2">
        <w:rPr>
          <w:szCs w:val="26"/>
        </w:rPr>
        <w:t>(</w:t>
      </w:r>
      <w:r w:rsidR="007A1D0D" w:rsidRPr="00672545">
        <w:rPr>
          <w:szCs w:val="26"/>
        </w:rPr>
        <w:t>1988) 46 Cal.3d 659, 679 (</w:t>
      </w:r>
      <w:r w:rsidR="007A1D0D" w:rsidRPr="00672545">
        <w:rPr>
          <w:i/>
          <w:szCs w:val="26"/>
        </w:rPr>
        <w:t>Bonin</w:t>
      </w:r>
      <w:r w:rsidR="007A1D0D" w:rsidRPr="00672545">
        <w:rPr>
          <w:szCs w:val="26"/>
        </w:rPr>
        <w:t xml:space="preserve">).)  </w:t>
      </w:r>
      <w:r w:rsidR="002749B5" w:rsidRPr="00672545">
        <w:rPr>
          <w:szCs w:val="26"/>
        </w:rPr>
        <w:t>The People respond that d</w:t>
      </w:r>
      <w:r w:rsidRPr="00672545">
        <w:rPr>
          <w:szCs w:val="26"/>
        </w:rPr>
        <w:t>efendant forfeited his claim by failing to raise this ground as a basis for his requests.  (See</w:t>
      </w:r>
      <w:r w:rsidRPr="00672545">
        <w:rPr>
          <w:i/>
          <w:szCs w:val="26"/>
        </w:rPr>
        <w:t xml:space="preserve"> People v. Jenkins</w:t>
      </w:r>
      <w:r w:rsidRPr="00672545">
        <w:rPr>
          <w:szCs w:val="26"/>
        </w:rPr>
        <w:t xml:space="preserve"> (2000) 22 Cal.4th 900, 946</w:t>
      </w:r>
      <w:r w:rsidR="002749B5" w:rsidRPr="00672545">
        <w:rPr>
          <w:szCs w:val="26"/>
        </w:rPr>
        <w:t>.)  In turn, defendant claims the trial court and parties were acutely aware of the problem of pretrial publicity and</w:t>
      </w:r>
      <w:r w:rsidR="00191BC2">
        <w:rPr>
          <w:szCs w:val="26"/>
        </w:rPr>
        <w:t>,</w:t>
      </w:r>
      <w:r w:rsidR="002749B5" w:rsidRPr="00672545">
        <w:rPr>
          <w:szCs w:val="26"/>
        </w:rPr>
        <w:t xml:space="preserve"> thus, the court would have fairly understood that defendant’s request for additional peremptory challenges was ultimately </w:t>
      </w:r>
      <w:r w:rsidR="00847A5D" w:rsidRPr="00672545">
        <w:rPr>
          <w:szCs w:val="26"/>
        </w:rPr>
        <w:t xml:space="preserve">based </w:t>
      </w:r>
      <w:r w:rsidR="002749B5" w:rsidRPr="00672545">
        <w:rPr>
          <w:szCs w:val="26"/>
        </w:rPr>
        <w:t>on such publicity.  (</w:t>
      </w:r>
      <w:r w:rsidR="00441733" w:rsidRPr="00672545">
        <w:rPr>
          <w:i/>
          <w:szCs w:val="26"/>
        </w:rPr>
        <w:t>Clark</w:t>
      </w:r>
      <w:r w:rsidR="00191BC2">
        <w:rPr>
          <w:szCs w:val="26"/>
        </w:rPr>
        <w:t>,</w:t>
      </w:r>
      <w:r w:rsidR="00441733" w:rsidRPr="00672545">
        <w:rPr>
          <w:szCs w:val="26"/>
        </w:rPr>
        <w:t xml:space="preserve"> </w:t>
      </w:r>
      <w:r w:rsidR="002749B5" w:rsidRPr="00672545">
        <w:rPr>
          <w:szCs w:val="26"/>
        </w:rPr>
        <w:t>52 Cal.4th</w:t>
      </w:r>
      <w:r w:rsidR="00191BC2">
        <w:rPr>
          <w:szCs w:val="26"/>
        </w:rPr>
        <w:t xml:space="preserve"> at</w:t>
      </w:r>
      <w:r w:rsidR="002749B5" w:rsidRPr="00672545">
        <w:rPr>
          <w:szCs w:val="26"/>
        </w:rPr>
        <w:t xml:space="preserve"> </w:t>
      </w:r>
      <w:r w:rsidR="00191BC2">
        <w:rPr>
          <w:szCs w:val="26"/>
        </w:rPr>
        <w:t>p.</w:t>
      </w:r>
      <w:r w:rsidR="002749B5" w:rsidRPr="00672545">
        <w:rPr>
          <w:szCs w:val="26"/>
        </w:rPr>
        <w:t xml:space="preserve">966; </w:t>
      </w:r>
      <w:r w:rsidR="002749B5" w:rsidRPr="00672545">
        <w:rPr>
          <w:i/>
          <w:szCs w:val="26"/>
        </w:rPr>
        <w:t>People v. Scott</w:t>
      </w:r>
      <w:r w:rsidR="002749B5" w:rsidRPr="00672545">
        <w:rPr>
          <w:szCs w:val="26"/>
        </w:rPr>
        <w:t xml:space="preserve"> (1978) 21 Cal.3d 284, 290.)  </w:t>
      </w:r>
    </w:p>
    <w:p w14:paraId="629F3BCE" w14:textId="77777777" w:rsidR="00F0633D" w:rsidRPr="00672545" w:rsidRDefault="002749B5" w:rsidP="00672545">
      <w:pPr>
        <w:rPr>
          <w:szCs w:val="26"/>
        </w:rPr>
      </w:pPr>
      <w:r w:rsidRPr="00672545">
        <w:rPr>
          <w:szCs w:val="26"/>
        </w:rPr>
        <w:tab/>
        <w:t xml:space="preserve">The record reflects the trial court’s </w:t>
      </w:r>
      <w:r w:rsidR="006E7F12" w:rsidRPr="00672545">
        <w:rPr>
          <w:szCs w:val="26"/>
        </w:rPr>
        <w:t xml:space="preserve">general </w:t>
      </w:r>
      <w:r w:rsidRPr="00672545">
        <w:rPr>
          <w:szCs w:val="26"/>
        </w:rPr>
        <w:t>concern with the media attention that defendant’s case was receiving.</w:t>
      </w:r>
      <w:r w:rsidR="00F81CD5" w:rsidRPr="00672545">
        <w:rPr>
          <w:szCs w:val="26"/>
        </w:rPr>
        <w:t xml:space="preserve">  </w:t>
      </w:r>
      <w:r w:rsidRPr="00672545">
        <w:rPr>
          <w:szCs w:val="26"/>
        </w:rPr>
        <w:t xml:space="preserve">But it does not support defendant’s claim that the trial court would </w:t>
      </w:r>
      <w:r w:rsidRPr="00672545">
        <w:rPr>
          <w:szCs w:val="26"/>
        </w:rPr>
        <w:lastRenderedPageBreak/>
        <w:t xml:space="preserve">have understood his request for additional peremptory challenges </w:t>
      </w:r>
      <w:r w:rsidR="00984081" w:rsidRPr="00672545">
        <w:rPr>
          <w:szCs w:val="26"/>
        </w:rPr>
        <w:t xml:space="preserve">as being based on </w:t>
      </w:r>
      <w:r w:rsidR="00AD01AE" w:rsidRPr="00672545">
        <w:rPr>
          <w:szCs w:val="26"/>
        </w:rPr>
        <w:t xml:space="preserve">an effort </w:t>
      </w:r>
      <w:r w:rsidR="00984081" w:rsidRPr="00672545">
        <w:rPr>
          <w:szCs w:val="26"/>
        </w:rPr>
        <w:t xml:space="preserve">to offset the effect of the pretrial publicity.  Nothing in defendant’s request </w:t>
      </w:r>
      <w:r w:rsidRPr="00672545">
        <w:rPr>
          <w:szCs w:val="26"/>
        </w:rPr>
        <w:t xml:space="preserve">to “remedy” either the failure to appear of a large percentage of those summoned for jury duty or the trial court’s denial of defense challenges for cause </w:t>
      </w:r>
      <w:r w:rsidR="00984081" w:rsidRPr="00672545">
        <w:rPr>
          <w:szCs w:val="26"/>
        </w:rPr>
        <w:t xml:space="preserve">would have alerted the court to a </w:t>
      </w:r>
      <w:r w:rsidR="00224348" w:rsidRPr="00672545">
        <w:rPr>
          <w:szCs w:val="26"/>
        </w:rPr>
        <w:t xml:space="preserve">defense </w:t>
      </w:r>
      <w:r w:rsidR="00984081" w:rsidRPr="00672545">
        <w:rPr>
          <w:szCs w:val="26"/>
        </w:rPr>
        <w:t xml:space="preserve">concern that the jury venire </w:t>
      </w:r>
      <w:r w:rsidR="005F0A2F" w:rsidRPr="00672545">
        <w:rPr>
          <w:szCs w:val="26"/>
        </w:rPr>
        <w:t>might be</w:t>
      </w:r>
      <w:r w:rsidR="00984081" w:rsidRPr="00672545">
        <w:rPr>
          <w:szCs w:val="26"/>
        </w:rPr>
        <w:t xml:space="preserve"> </w:t>
      </w:r>
      <w:r w:rsidR="00224348" w:rsidRPr="00672545">
        <w:rPr>
          <w:szCs w:val="26"/>
        </w:rPr>
        <w:t xml:space="preserve">pervasively </w:t>
      </w:r>
      <w:r w:rsidR="00984081" w:rsidRPr="00672545">
        <w:rPr>
          <w:szCs w:val="26"/>
        </w:rPr>
        <w:t>biased b</w:t>
      </w:r>
      <w:r w:rsidR="009E13CD" w:rsidRPr="00672545">
        <w:rPr>
          <w:szCs w:val="26"/>
        </w:rPr>
        <w:t>ecause of</w:t>
      </w:r>
      <w:r w:rsidR="00984081" w:rsidRPr="00672545">
        <w:rPr>
          <w:szCs w:val="26"/>
        </w:rPr>
        <w:t xml:space="preserve"> the media interest in and accounts of </w:t>
      </w:r>
      <w:r w:rsidR="00224348" w:rsidRPr="00672545">
        <w:rPr>
          <w:szCs w:val="26"/>
        </w:rPr>
        <w:t>the</w:t>
      </w:r>
      <w:r w:rsidR="00984081" w:rsidRPr="00672545">
        <w:rPr>
          <w:szCs w:val="26"/>
        </w:rPr>
        <w:t xml:space="preserve"> case</w:t>
      </w:r>
      <w:r w:rsidRPr="00672545">
        <w:rPr>
          <w:szCs w:val="26"/>
        </w:rPr>
        <w:t xml:space="preserve">.  </w:t>
      </w:r>
      <w:r w:rsidR="004B2BED" w:rsidRPr="00672545">
        <w:rPr>
          <w:szCs w:val="26"/>
        </w:rPr>
        <w:t xml:space="preserve">We conclude defendant’s failure to cite pretrial publicity as a basis for his requests </w:t>
      </w:r>
      <w:r w:rsidR="00184CF2" w:rsidRPr="00672545">
        <w:rPr>
          <w:szCs w:val="26"/>
        </w:rPr>
        <w:t>for additional peremptory challenges f</w:t>
      </w:r>
      <w:r w:rsidR="004B2BED" w:rsidRPr="00672545">
        <w:rPr>
          <w:szCs w:val="26"/>
        </w:rPr>
        <w:t>orfeited his claim on appeal.</w:t>
      </w:r>
    </w:p>
    <w:p w14:paraId="11C62E7F" w14:textId="77777777" w:rsidR="00F0633D" w:rsidRPr="00672545" w:rsidRDefault="004B2BED" w:rsidP="00672545">
      <w:pPr>
        <w:rPr>
          <w:szCs w:val="26"/>
        </w:rPr>
      </w:pPr>
      <w:r w:rsidRPr="00672545">
        <w:rPr>
          <w:szCs w:val="26"/>
        </w:rPr>
        <w:tab/>
        <w:t xml:space="preserve">Even if we were to conclude otherwise, we would reject his claim on the merits.  </w:t>
      </w:r>
    </w:p>
    <w:p w14:paraId="7AF27DBF" w14:textId="77777777" w:rsidR="00766C21" w:rsidRPr="00672545" w:rsidRDefault="00B02C69" w:rsidP="00672545">
      <w:pPr>
        <w:rPr>
          <w:szCs w:val="26"/>
        </w:rPr>
      </w:pPr>
      <w:r w:rsidRPr="00672545">
        <w:rPr>
          <w:szCs w:val="26"/>
        </w:rPr>
        <w:tab/>
      </w:r>
      <w:r w:rsidR="00055456" w:rsidRPr="00672545">
        <w:rPr>
          <w:szCs w:val="26"/>
        </w:rPr>
        <w:t>“Peremptory challenges are intended to promote a fair and impartial jury, but they are not a right of direct constitutional magnitude.”  (</w:t>
      </w:r>
      <w:r w:rsidR="00055456" w:rsidRPr="00672545">
        <w:rPr>
          <w:i/>
          <w:iCs/>
          <w:szCs w:val="26"/>
        </w:rPr>
        <w:t>People v. Webster</w:t>
      </w:r>
      <w:r w:rsidR="00055456" w:rsidRPr="00672545">
        <w:rPr>
          <w:szCs w:val="26"/>
        </w:rPr>
        <w:t xml:space="preserve"> (1991) 54 Cal.3d 411, </w:t>
      </w:r>
      <w:r w:rsidR="00191BC2">
        <w:rPr>
          <w:szCs w:val="26"/>
        </w:rPr>
        <w:t>438</w:t>
      </w:r>
      <w:r w:rsidR="00055456" w:rsidRPr="00672545">
        <w:rPr>
          <w:szCs w:val="26"/>
        </w:rPr>
        <w:t xml:space="preserve">, citing </w:t>
      </w:r>
      <w:r w:rsidR="00055456" w:rsidRPr="00672545">
        <w:rPr>
          <w:i/>
          <w:iCs/>
          <w:szCs w:val="26"/>
        </w:rPr>
        <w:t xml:space="preserve">Ross </w:t>
      </w:r>
      <w:r w:rsidR="00055456" w:rsidRPr="00672545">
        <w:rPr>
          <w:szCs w:val="26"/>
        </w:rPr>
        <w:t>v.</w:t>
      </w:r>
      <w:r w:rsidR="00055456" w:rsidRPr="00672545">
        <w:rPr>
          <w:i/>
          <w:iCs/>
          <w:szCs w:val="26"/>
        </w:rPr>
        <w:t xml:space="preserve"> Oklahoma</w:t>
      </w:r>
      <w:r w:rsidR="00055456" w:rsidRPr="00672545">
        <w:rPr>
          <w:szCs w:val="26"/>
        </w:rPr>
        <w:t xml:space="preserve"> (1988) 487 U.S. 81, 88-89.)  </w:t>
      </w:r>
      <w:r w:rsidRPr="00672545">
        <w:rPr>
          <w:szCs w:val="26"/>
        </w:rPr>
        <w:t>“</w:t>
      </w:r>
      <w:r w:rsidR="00984081" w:rsidRPr="00672545">
        <w:rPr>
          <w:szCs w:val="26"/>
        </w:rPr>
        <w:t>To establish a constitutional entitlement to additional peremptory challenges, the defendant must at least show that he is likely to receive an unfair trial before a biased jury if the request is denied.</w:t>
      </w:r>
      <w:r w:rsidRPr="00672545">
        <w:rPr>
          <w:szCs w:val="26"/>
        </w:rPr>
        <w:t>”</w:t>
      </w:r>
      <w:r w:rsidR="00984081" w:rsidRPr="00672545">
        <w:rPr>
          <w:szCs w:val="26"/>
        </w:rPr>
        <w:t xml:space="preserve"> </w:t>
      </w:r>
      <w:r w:rsidRPr="00672545">
        <w:rPr>
          <w:szCs w:val="26"/>
        </w:rPr>
        <w:t xml:space="preserve"> (</w:t>
      </w:r>
      <w:r w:rsidRPr="00672545">
        <w:rPr>
          <w:i/>
          <w:iCs/>
          <w:szCs w:val="26"/>
        </w:rPr>
        <w:t xml:space="preserve">People v. </w:t>
      </w:r>
      <w:proofErr w:type="spellStart"/>
      <w:r w:rsidRPr="00672545">
        <w:rPr>
          <w:i/>
          <w:iCs/>
          <w:szCs w:val="26"/>
        </w:rPr>
        <w:t>DePriest</w:t>
      </w:r>
      <w:proofErr w:type="spellEnd"/>
      <w:r w:rsidRPr="00672545">
        <w:rPr>
          <w:szCs w:val="26"/>
        </w:rPr>
        <w:t xml:space="preserve"> (2007) 42 Cal.4th 1, 23</w:t>
      </w:r>
      <w:r w:rsidR="0034102E" w:rsidRPr="00672545">
        <w:rPr>
          <w:szCs w:val="26"/>
        </w:rPr>
        <w:t xml:space="preserve"> (</w:t>
      </w:r>
      <w:proofErr w:type="spellStart"/>
      <w:r w:rsidR="0034102E" w:rsidRPr="00672545">
        <w:rPr>
          <w:i/>
          <w:szCs w:val="26"/>
        </w:rPr>
        <w:t>DePriest</w:t>
      </w:r>
      <w:proofErr w:type="spellEnd"/>
      <w:r w:rsidR="0034102E" w:rsidRPr="00672545">
        <w:rPr>
          <w:szCs w:val="26"/>
        </w:rPr>
        <w:t>)</w:t>
      </w:r>
      <w:r w:rsidRPr="00672545">
        <w:rPr>
          <w:szCs w:val="26"/>
        </w:rPr>
        <w:t>.)</w:t>
      </w:r>
      <w:r w:rsidR="00F81CD5" w:rsidRPr="00672545">
        <w:rPr>
          <w:szCs w:val="26"/>
        </w:rPr>
        <w:t xml:space="preserve">  </w:t>
      </w:r>
    </w:p>
    <w:p w14:paraId="43CF10C2" w14:textId="77777777" w:rsidR="00D5593B" w:rsidRPr="00672545" w:rsidRDefault="00993530" w:rsidP="00672545">
      <w:pPr>
        <w:rPr>
          <w:szCs w:val="26"/>
        </w:rPr>
      </w:pPr>
      <w:r w:rsidRPr="00672545">
        <w:rPr>
          <w:szCs w:val="26"/>
        </w:rPr>
        <w:tab/>
      </w:r>
      <w:r w:rsidR="00FA7F0B" w:rsidRPr="00672545">
        <w:rPr>
          <w:szCs w:val="26"/>
        </w:rPr>
        <w:t>Turning to such circumstances here, we no</w:t>
      </w:r>
      <w:r w:rsidR="00D42B27" w:rsidRPr="00672545">
        <w:rPr>
          <w:szCs w:val="26"/>
        </w:rPr>
        <w:t xml:space="preserve">te that </w:t>
      </w:r>
      <w:r w:rsidR="00910541" w:rsidRPr="00672545">
        <w:rPr>
          <w:szCs w:val="26"/>
        </w:rPr>
        <w:t xml:space="preserve">defense counsel stated the defense needed additional peremptory challenges because of dissatisfaction with seated </w:t>
      </w:r>
      <w:r w:rsidR="003D34ED" w:rsidRPr="00672545">
        <w:rPr>
          <w:szCs w:val="26"/>
        </w:rPr>
        <w:t>Juror n</w:t>
      </w:r>
      <w:r w:rsidR="00910541" w:rsidRPr="00672545">
        <w:rPr>
          <w:szCs w:val="26"/>
        </w:rPr>
        <w:t xml:space="preserve">umbers 2, 4, 6, 11, and 12.  Of those five, the defense challenged for cause only </w:t>
      </w:r>
      <w:r w:rsidR="003D34ED" w:rsidRPr="00672545">
        <w:rPr>
          <w:szCs w:val="26"/>
        </w:rPr>
        <w:t>Juror n</w:t>
      </w:r>
      <w:r w:rsidR="00C03E7C" w:rsidRPr="00672545">
        <w:rPr>
          <w:szCs w:val="26"/>
        </w:rPr>
        <w:t xml:space="preserve">umbers 2 and 4.  </w:t>
      </w:r>
      <w:r w:rsidR="006E23D6" w:rsidRPr="00672545">
        <w:rPr>
          <w:szCs w:val="26"/>
        </w:rPr>
        <w:t xml:space="preserve">As we </w:t>
      </w:r>
      <w:r w:rsidR="00845BC2" w:rsidRPr="00672545">
        <w:rPr>
          <w:szCs w:val="26"/>
        </w:rPr>
        <w:t>have</w:t>
      </w:r>
      <w:r w:rsidR="006E23D6" w:rsidRPr="00672545">
        <w:rPr>
          <w:szCs w:val="26"/>
        </w:rPr>
        <w:t xml:space="preserve"> explain</w:t>
      </w:r>
      <w:r w:rsidR="00845BC2" w:rsidRPr="00672545">
        <w:rPr>
          <w:szCs w:val="26"/>
        </w:rPr>
        <w:t>ed above</w:t>
      </w:r>
      <w:r w:rsidR="006E23D6" w:rsidRPr="00672545">
        <w:rPr>
          <w:szCs w:val="26"/>
        </w:rPr>
        <w:t xml:space="preserve">, because </w:t>
      </w:r>
      <w:r w:rsidR="00A55463" w:rsidRPr="00672545">
        <w:rPr>
          <w:szCs w:val="26"/>
        </w:rPr>
        <w:t>t</w:t>
      </w:r>
      <w:r w:rsidR="00D5593B" w:rsidRPr="00672545">
        <w:rPr>
          <w:szCs w:val="26"/>
        </w:rPr>
        <w:t>he trial court properly denied these challenges</w:t>
      </w:r>
      <w:r w:rsidR="00A55463" w:rsidRPr="00672545">
        <w:rPr>
          <w:szCs w:val="26"/>
        </w:rPr>
        <w:t xml:space="preserve">, defendant fails to show that he was tried by a juror who </w:t>
      </w:r>
      <w:r w:rsidR="003E38B5" w:rsidRPr="00672545">
        <w:rPr>
          <w:szCs w:val="26"/>
        </w:rPr>
        <w:t>would</w:t>
      </w:r>
      <w:r w:rsidR="00A55463" w:rsidRPr="00672545">
        <w:rPr>
          <w:szCs w:val="26"/>
        </w:rPr>
        <w:t xml:space="preserve"> have been removed if defendant had been granted additional peremptory challenges</w:t>
      </w:r>
      <w:r w:rsidR="00D5593B" w:rsidRPr="00672545">
        <w:rPr>
          <w:szCs w:val="26"/>
        </w:rPr>
        <w:t>.</w:t>
      </w:r>
      <w:r w:rsidR="00845BC2" w:rsidRPr="00672545">
        <w:rPr>
          <w:szCs w:val="26"/>
        </w:rPr>
        <w:t xml:space="preserve">  Therefore, this was not a scenario in </w:t>
      </w:r>
      <w:r w:rsidR="00845BC2" w:rsidRPr="00672545">
        <w:rPr>
          <w:szCs w:val="26"/>
        </w:rPr>
        <w:lastRenderedPageBreak/>
        <w:t>which “an erroneous denial of a challenge for cause can be cured by giving the defendant an additional peremptory challenge.”  (</w:t>
      </w:r>
      <w:proofErr w:type="spellStart"/>
      <w:r w:rsidR="00845BC2" w:rsidRPr="00672545">
        <w:rPr>
          <w:i/>
          <w:szCs w:val="26"/>
        </w:rPr>
        <w:t>Bittaker</w:t>
      </w:r>
      <w:proofErr w:type="spellEnd"/>
      <w:r w:rsidR="009E3CD7" w:rsidRPr="00672545">
        <w:rPr>
          <w:szCs w:val="26"/>
        </w:rPr>
        <w:t xml:space="preserve">, </w:t>
      </w:r>
      <w:r w:rsidR="009E3CD7" w:rsidRPr="00672545">
        <w:rPr>
          <w:i/>
          <w:szCs w:val="26"/>
        </w:rPr>
        <w:t>supra</w:t>
      </w:r>
      <w:r w:rsidR="009E3CD7" w:rsidRPr="00672545">
        <w:rPr>
          <w:szCs w:val="26"/>
        </w:rPr>
        <w:t xml:space="preserve">, </w:t>
      </w:r>
      <w:r w:rsidR="00845BC2" w:rsidRPr="00672545">
        <w:rPr>
          <w:szCs w:val="26"/>
        </w:rPr>
        <w:t xml:space="preserve">48 Cal.3d </w:t>
      </w:r>
      <w:r w:rsidR="009E3CD7" w:rsidRPr="00672545">
        <w:rPr>
          <w:szCs w:val="26"/>
        </w:rPr>
        <w:t xml:space="preserve">at p. </w:t>
      </w:r>
      <w:r w:rsidR="00845BC2" w:rsidRPr="00672545">
        <w:rPr>
          <w:szCs w:val="26"/>
        </w:rPr>
        <w:t>1088.)</w:t>
      </w:r>
    </w:p>
    <w:p w14:paraId="79C2AC6D" w14:textId="77777777" w:rsidR="008D72E0" w:rsidRPr="00672545" w:rsidRDefault="00740244" w:rsidP="00672545">
      <w:pPr>
        <w:rPr>
          <w:szCs w:val="26"/>
        </w:rPr>
      </w:pPr>
      <w:r w:rsidRPr="00672545">
        <w:rPr>
          <w:szCs w:val="26"/>
        </w:rPr>
        <w:tab/>
      </w:r>
      <w:r w:rsidR="008D72E0" w:rsidRPr="00672545">
        <w:rPr>
          <w:szCs w:val="26"/>
        </w:rPr>
        <w:t xml:space="preserve">We also reject </w:t>
      </w:r>
      <w:r w:rsidR="00D42B27" w:rsidRPr="00672545">
        <w:rPr>
          <w:szCs w:val="26"/>
        </w:rPr>
        <w:t>d</w:t>
      </w:r>
      <w:r w:rsidR="00224434" w:rsidRPr="00672545">
        <w:rPr>
          <w:szCs w:val="26"/>
        </w:rPr>
        <w:t xml:space="preserve">efendant’s </w:t>
      </w:r>
      <w:r w:rsidR="008D72E0" w:rsidRPr="00672545">
        <w:rPr>
          <w:szCs w:val="26"/>
        </w:rPr>
        <w:t xml:space="preserve">assertion that the pretrial publicity resulted in him being tried by a biased jury.  </w:t>
      </w:r>
      <w:r w:rsidR="002726E5" w:rsidRPr="00672545">
        <w:rPr>
          <w:szCs w:val="26"/>
        </w:rPr>
        <w:t>As we will explain, n</w:t>
      </w:r>
      <w:r w:rsidR="008D72E0" w:rsidRPr="00672545">
        <w:rPr>
          <w:szCs w:val="26"/>
        </w:rPr>
        <w:t>one of the seated jurors expressed biased created by pretrial publicity.  Moreover, the trial court took numerous steps to protect the jurors from the public awareness and interest in the case.</w:t>
      </w:r>
    </w:p>
    <w:p w14:paraId="3C5DDC84" w14:textId="77777777" w:rsidR="00246001" w:rsidRPr="00672545" w:rsidRDefault="008D72E0" w:rsidP="00672545">
      <w:pPr>
        <w:rPr>
          <w:szCs w:val="26"/>
        </w:rPr>
      </w:pPr>
      <w:r w:rsidRPr="00672545">
        <w:rPr>
          <w:szCs w:val="26"/>
        </w:rPr>
        <w:tab/>
        <w:t xml:space="preserve">Juror number 1 indicated that she had not “followed the case closely” and did not know “much” about it.  She averred under penalty of perjury that she had formed no </w:t>
      </w:r>
      <w:proofErr w:type="gramStart"/>
      <w:r w:rsidRPr="00672545">
        <w:rPr>
          <w:szCs w:val="26"/>
        </w:rPr>
        <w:t>opinion, and</w:t>
      </w:r>
      <w:proofErr w:type="gramEnd"/>
      <w:r w:rsidRPr="00672545">
        <w:rPr>
          <w:szCs w:val="26"/>
        </w:rPr>
        <w:t xml:space="preserve"> would be able to decide the case exclusively on the evidence presented at trial even if it conflicted with what she had previously heard.  </w:t>
      </w:r>
    </w:p>
    <w:p w14:paraId="77E184CC" w14:textId="77777777" w:rsidR="00E623E4" w:rsidRPr="00672545" w:rsidRDefault="008D72E0" w:rsidP="00672545">
      <w:pPr>
        <w:ind w:firstLine="720"/>
        <w:rPr>
          <w:szCs w:val="26"/>
        </w:rPr>
      </w:pPr>
      <w:r w:rsidRPr="00672545">
        <w:rPr>
          <w:szCs w:val="26"/>
        </w:rPr>
        <w:t>Similarly, Juror numbers 2, 3, 4, 9, and 11, as well as alternate Juror numbers 13, 15, 16</w:t>
      </w:r>
      <w:r w:rsidR="00191BC2">
        <w:rPr>
          <w:szCs w:val="26"/>
        </w:rPr>
        <w:t>,</w:t>
      </w:r>
      <w:r w:rsidRPr="00672545">
        <w:rPr>
          <w:szCs w:val="26"/>
        </w:rPr>
        <w:t xml:space="preserve"> and 18, declared that they did not know much about the case, had formed no opinion about it, and could decide the case based solely on the trial evidence.  </w:t>
      </w:r>
    </w:p>
    <w:p w14:paraId="21B085F0" w14:textId="77777777" w:rsidR="00E623E4" w:rsidRPr="00672545" w:rsidRDefault="006A0BE3" w:rsidP="00672545">
      <w:pPr>
        <w:ind w:firstLine="720"/>
        <w:rPr>
          <w:szCs w:val="26"/>
        </w:rPr>
      </w:pPr>
      <w:r w:rsidRPr="00672545">
        <w:rPr>
          <w:szCs w:val="26"/>
        </w:rPr>
        <w:t xml:space="preserve">The jurors who had been exposed to </w:t>
      </w:r>
      <w:r w:rsidR="00E623E4" w:rsidRPr="00672545">
        <w:rPr>
          <w:szCs w:val="26"/>
        </w:rPr>
        <w:t xml:space="preserve">more of the media coverage of the case also dispelled any belief that they had been biased.  </w:t>
      </w:r>
      <w:r w:rsidR="008D72E0" w:rsidRPr="00672545">
        <w:rPr>
          <w:szCs w:val="26"/>
        </w:rPr>
        <w:t>Juror number 5 indicated she knew “very little” about the case</w:t>
      </w:r>
      <w:r w:rsidR="001250BB" w:rsidRPr="00672545">
        <w:rPr>
          <w:szCs w:val="26"/>
        </w:rPr>
        <w:t>,</w:t>
      </w:r>
      <w:r w:rsidR="008D72E0" w:rsidRPr="00672545">
        <w:rPr>
          <w:szCs w:val="26"/>
        </w:rPr>
        <w:t xml:space="preserve"> and the opinion she formed was that she was not inclined to believe what the media or others had said.</w:t>
      </w:r>
      <w:r w:rsidR="00F81CD5" w:rsidRPr="00672545">
        <w:rPr>
          <w:szCs w:val="26"/>
        </w:rPr>
        <w:t xml:space="preserve">  </w:t>
      </w:r>
      <w:r w:rsidR="008D72E0" w:rsidRPr="00672545">
        <w:rPr>
          <w:szCs w:val="26"/>
        </w:rPr>
        <w:t xml:space="preserve">Juror number 6 knew “some” details of the case and had formed the opinion that there was enough evidence to arrest defendant and that the authorities were being careful because it was a highly publicized </w:t>
      </w:r>
      <w:proofErr w:type="gramStart"/>
      <w:r w:rsidR="008D72E0" w:rsidRPr="00672545">
        <w:rPr>
          <w:szCs w:val="26"/>
        </w:rPr>
        <w:t>matter, but</w:t>
      </w:r>
      <w:proofErr w:type="gramEnd"/>
      <w:r w:rsidR="008D72E0" w:rsidRPr="00672545">
        <w:rPr>
          <w:szCs w:val="26"/>
        </w:rPr>
        <w:t xml:space="preserve"> declared the ability to decide the case exclusively on the trial evidence.</w:t>
      </w:r>
      <w:r w:rsidR="00F81CD5" w:rsidRPr="00672545">
        <w:rPr>
          <w:szCs w:val="26"/>
        </w:rPr>
        <w:t xml:space="preserve">  </w:t>
      </w:r>
      <w:r w:rsidR="008D72E0" w:rsidRPr="00672545">
        <w:rPr>
          <w:szCs w:val="26"/>
        </w:rPr>
        <w:t>The responses of alternate Juror numbers 14 and 17 were similar.</w:t>
      </w:r>
      <w:r w:rsidR="00F81CD5" w:rsidRPr="00672545">
        <w:rPr>
          <w:szCs w:val="26"/>
        </w:rPr>
        <w:t xml:space="preserve">  </w:t>
      </w:r>
      <w:r w:rsidR="008D72E0" w:rsidRPr="00672545">
        <w:rPr>
          <w:szCs w:val="26"/>
        </w:rPr>
        <w:t xml:space="preserve">Juror number 7 knew </w:t>
      </w:r>
      <w:r w:rsidR="008D72E0" w:rsidRPr="00672545">
        <w:rPr>
          <w:szCs w:val="26"/>
        </w:rPr>
        <w:lastRenderedPageBreak/>
        <w:t>that a child had disappeared from her room and that her body had been discovered some weeks later.  She had formed no opinion from the publicity and averred that she could base her decision entirely on the evidence presented at trial.</w:t>
      </w:r>
      <w:r w:rsidR="00F81CD5" w:rsidRPr="00672545">
        <w:rPr>
          <w:szCs w:val="26"/>
        </w:rPr>
        <w:t xml:space="preserve">  </w:t>
      </w:r>
      <w:r w:rsidR="008D72E0" w:rsidRPr="00672545">
        <w:rPr>
          <w:szCs w:val="26"/>
        </w:rPr>
        <w:t>Juror number 8 had similar knowledge of the case and thought that defendant “could possibly be guilty,” but declared that she could set aside any opinion she had formed and base her decision “on [the] evidence fairly.”</w:t>
      </w:r>
      <w:r w:rsidR="00F81CD5" w:rsidRPr="00672545">
        <w:rPr>
          <w:szCs w:val="26"/>
        </w:rPr>
        <w:t xml:space="preserve">  </w:t>
      </w:r>
      <w:r w:rsidR="008D72E0" w:rsidRPr="00672545">
        <w:rPr>
          <w:szCs w:val="26"/>
        </w:rPr>
        <w:t xml:space="preserve">Juror number 10 knew the “basic facts” of the </w:t>
      </w:r>
      <w:proofErr w:type="gramStart"/>
      <w:r w:rsidR="008D72E0" w:rsidRPr="00672545">
        <w:rPr>
          <w:szCs w:val="26"/>
        </w:rPr>
        <w:t>case, but</w:t>
      </w:r>
      <w:proofErr w:type="gramEnd"/>
      <w:r w:rsidR="008D72E0" w:rsidRPr="00672545">
        <w:rPr>
          <w:szCs w:val="26"/>
        </w:rPr>
        <w:t xml:space="preserve"> had formed no opinion and could decide the case based solely on the trial evidence.  </w:t>
      </w:r>
    </w:p>
    <w:p w14:paraId="0C0F1D89" w14:textId="77777777" w:rsidR="00E623E4" w:rsidRPr="00672545" w:rsidRDefault="002A2C42" w:rsidP="00672545">
      <w:pPr>
        <w:ind w:firstLine="720"/>
        <w:rPr>
          <w:szCs w:val="26"/>
        </w:rPr>
      </w:pPr>
      <w:r>
        <w:rPr>
          <w:szCs w:val="26"/>
        </w:rPr>
        <w:t>Last</w:t>
      </w:r>
      <w:r w:rsidR="00191BC2">
        <w:rPr>
          <w:szCs w:val="26"/>
        </w:rPr>
        <w:t>ly</w:t>
      </w:r>
      <w:r w:rsidR="00E623E4" w:rsidRPr="00672545">
        <w:rPr>
          <w:szCs w:val="26"/>
        </w:rPr>
        <w:t xml:space="preserve">, </w:t>
      </w:r>
      <w:r w:rsidR="008D72E0" w:rsidRPr="00672545">
        <w:rPr>
          <w:szCs w:val="26"/>
        </w:rPr>
        <w:t xml:space="preserve">Juror number 12 </w:t>
      </w:r>
      <w:r w:rsidR="001F12C5">
        <w:rPr>
          <w:szCs w:val="26"/>
        </w:rPr>
        <w:t xml:space="preserve">stated he </w:t>
      </w:r>
      <w:r w:rsidR="008D72E0" w:rsidRPr="00672545">
        <w:rPr>
          <w:szCs w:val="26"/>
        </w:rPr>
        <w:t xml:space="preserve">did not </w:t>
      </w:r>
      <w:r w:rsidR="001F12C5">
        <w:rPr>
          <w:szCs w:val="26"/>
        </w:rPr>
        <w:t>believe</w:t>
      </w:r>
      <w:r w:rsidR="008D72E0" w:rsidRPr="00672545">
        <w:rPr>
          <w:szCs w:val="26"/>
        </w:rPr>
        <w:t xml:space="preserve"> that he knew anything about the case, despite the media coverage.  He had formed no opinion and could decide the case on the evidence.  </w:t>
      </w:r>
    </w:p>
    <w:p w14:paraId="3AECBFFA" w14:textId="77777777" w:rsidR="008D72E0" w:rsidRPr="00672545" w:rsidRDefault="008D72E0" w:rsidP="00672545">
      <w:pPr>
        <w:ind w:firstLine="720"/>
        <w:rPr>
          <w:szCs w:val="26"/>
        </w:rPr>
      </w:pPr>
      <w:r w:rsidRPr="00672545">
        <w:rPr>
          <w:szCs w:val="26"/>
        </w:rPr>
        <w:t>We find no reason to disregard these assurances</w:t>
      </w:r>
      <w:r w:rsidR="00F71E1D" w:rsidRPr="00672545">
        <w:rPr>
          <w:szCs w:val="26"/>
        </w:rPr>
        <w:t>,</w:t>
      </w:r>
      <w:r w:rsidR="00863C90" w:rsidRPr="00672545">
        <w:rPr>
          <w:szCs w:val="26"/>
        </w:rPr>
        <w:t xml:space="preserve"> by the </w:t>
      </w:r>
      <w:r w:rsidR="006C22A3" w:rsidRPr="00672545">
        <w:rPr>
          <w:szCs w:val="26"/>
        </w:rPr>
        <w:t>prospective</w:t>
      </w:r>
      <w:r w:rsidR="00863C90" w:rsidRPr="00672545">
        <w:rPr>
          <w:szCs w:val="26"/>
        </w:rPr>
        <w:t xml:space="preserve"> jurors </w:t>
      </w:r>
      <w:r w:rsidR="0016178E" w:rsidRPr="00672545">
        <w:rPr>
          <w:szCs w:val="26"/>
        </w:rPr>
        <w:t>who were eventually seated</w:t>
      </w:r>
      <w:r w:rsidR="00F71E1D" w:rsidRPr="00672545">
        <w:rPr>
          <w:szCs w:val="26"/>
        </w:rPr>
        <w:t>,</w:t>
      </w:r>
      <w:r w:rsidR="0016178E" w:rsidRPr="00672545">
        <w:rPr>
          <w:szCs w:val="26"/>
        </w:rPr>
        <w:t xml:space="preserve"> </w:t>
      </w:r>
      <w:r w:rsidR="00863C90" w:rsidRPr="00672545">
        <w:rPr>
          <w:szCs w:val="26"/>
        </w:rPr>
        <w:t>that they could set aside whatever they learned from the media and decide the matter based entirely on the evidence presented at trial</w:t>
      </w:r>
      <w:r w:rsidRPr="00672545">
        <w:rPr>
          <w:szCs w:val="26"/>
        </w:rPr>
        <w:t>.  (</w:t>
      </w:r>
      <w:r w:rsidRPr="00672545">
        <w:rPr>
          <w:i/>
          <w:szCs w:val="26"/>
        </w:rPr>
        <w:t>Prince, supra</w:t>
      </w:r>
      <w:r w:rsidRPr="00672545">
        <w:rPr>
          <w:szCs w:val="26"/>
        </w:rPr>
        <w:t>, 40 Cal.4th at p. 1215.)</w:t>
      </w:r>
    </w:p>
    <w:p w14:paraId="278D9DEF" w14:textId="77777777" w:rsidR="00252B4D" w:rsidRPr="00672545" w:rsidRDefault="008D72E0" w:rsidP="001F12C5">
      <w:pPr>
        <w:ind w:firstLine="720"/>
        <w:rPr>
          <w:szCs w:val="26"/>
        </w:rPr>
      </w:pPr>
      <w:r w:rsidRPr="00672545">
        <w:rPr>
          <w:szCs w:val="26"/>
        </w:rPr>
        <w:t>Finally</w:t>
      </w:r>
      <w:r w:rsidR="00D42B27" w:rsidRPr="00672545">
        <w:rPr>
          <w:szCs w:val="26"/>
        </w:rPr>
        <w:t>,</w:t>
      </w:r>
      <w:r w:rsidR="000E0FB7" w:rsidRPr="00672545">
        <w:rPr>
          <w:szCs w:val="26"/>
        </w:rPr>
        <w:t xml:space="preserve"> we note that</w:t>
      </w:r>
      <w:r w:rsidR="00993530" w:rsidRPr="00672545">
        <w:rPr>
          <w:szCs w:val="26"/>
        </w:rPr>
        <w:t xml:space="preserve"> </w:t>
      </w:r>
      <w:r w:rsidR="00D42B27" w:rsidRPr="00672545">
        <w:rPr>
          <w:szCs w:val="26"/>
        </w:rPr>
        <w:t>t</w:t>
      </w:r>
      <w:r w:rsidR="00993530" w:rsidRPr="00672545">
        <w:rPr>
          <w:szCs w:val="26"/>
        </w:rPr>
        <w:t xml:space="preserve">he trial court took numerous precautions to prevent infection of the jury pool with prejudicial information and </w:t>
      </w:r>
      <w:r w:rsidR="00CA50D3" w:rsidRPr="00672545">
        <w:rPr>
          <w:szCs w:val="26"/>
        </w:rPr>
        <w:t xml:space="preserve">to </w:t>
      </w:r>
      <w:r w:rsidR="00993530" w:rsidRPr="00672545">
        <w:rPr>
          <w:szCs w:val="26"/>
        </w:rPr>
        <w:t>ensure a fair trial.  Although the search warrants themselves were made public, the trial court ordered the attached affidavits and exhibits sealed.</w:t>
      </w:r>
      <w:r w:rsidR="00F81CD5" w:rsidRPr="00672545">
        <w:rPr>
          <w:szCs w:val="26"/>
        </w:rPr>
        <w:t xml:space="preserve">  </w:t>
      </w:r>
      <w:r w:rsidR="00993530" w:rsidRPr="00672545">
        <w:rPr>
          <w:szCs w:val="26"/>
        </w:rPr>
        <w:t>A gag order was issued against the attorneys and law enforcement officers involved in the case.</w:t>
      </w:r>
      <w:r w:rsidR="00F81CD5" w:rsidRPr="00672545">
        <w:rPr>
          <w:szCs w:val="26"/>
        </w:rPr>
        <w:t xml:space="preserve">  </w:t>
      </w:r>
      <w:r w:rsidR="004429EA" w:rsidRPr="00672545">
        <w:rPr>
          <w:szCs w:val="26"/>
        </w:rPr>
        <w:t>Pretrial hearings concerning the admissibility of evidence were closed to the public and media.</w:t>
      </w:r>
      <w:r w:rsidR="00F81CD5" w:rsidRPr="00672545">
        <w:rPr>
          <w:szCs w:val="26"/>
        </w:rPr>
        <w:t xml:space="preserve">  </w:t>
      </w:r>
      <w:r w:rsidR="004429EA" w:rsidRPr="00672545">
        <w:rPr>
          <w:szCs w:val="26"/>
        </w:rPr>
        <w:t xml:space="preserve">The trial court ordered that </w:t>
      </w:r>
      <w:proofErr w:type="spellStart"/>
      <w:r w:rsidR="004429EA" w:rsidRPr="00672545">
        <w:rPr>
          <w:szCs w:val="26"/>
        </w:rPr>
        <w:t>voir</w:t>
      </w:r>
      <w:proofErr w:type="spellEnd"/>
      <w:r w:rsidR="004429EA" w:rsidRPr="00672545">
        <w:rPr>
          <w:szCs w:val="26"/>
        </w:rPr>
        <w:t xml:space="preserve"> dire, although open to the public, was not to be filmed.  No one entering the courthouse was to be photographed on the day the prospective jurors were to report, and no names were to be utilized in the selection </w:t>
      </w:r>
      <w:r w:rsidR="004429EA" w:rsidRPr="00672545">
        <w:rPr>
          <w:szCs w:val="26"/>
        </w:rPr>
        <w:lastRenderedPageBreak/>
        <w:t>process.</w:t>
      </w:r>
      <w:r w:rsidR="00F81CD5" w:rsidRPr="00672545">
        <w:rPr>
          <w:szCs w:val="26"/>
        </w:rPr>
        <w:t xml:space="preserve">  </w:t>
      </w:r>
      <w:r w:rsidR="009465AF" w:rsidRPr="00672545">
        <w:rPr>
          <w:szCs w:val="26"/>
        </w:rPr>
        <w:t xml:space="preserve">The trial court took the unusual step of directing the jury commissioner to inform the prospective jurors </w:t>
      </w:r>
      <w:r w:rsidR="00FA7F0B" w:rsidRPr="00672545">
        <w:rPr>
          <w:szCs w:val="26"/>
        </w:rPr>
        <w:t xml:space="preserve">appearing </w:t>
      </w:r>
      <w:r w:rsidR="009465AF" w:rsidRPr="00672545">
        <w:rPr>
          <w:szCs w:val="26"/>
        </w:rPr>
        <w:t>for defendant’s case that they were not to discuss “anything about what they might think they were there for.”</w:t>
      </w:r>
      <w:r w:rsidR="00F81CD5" w:rsidRPr="00672545">
        <w:rPr>
          <w:szCs w:val="26"/>
        </w:rPr>
        <w:t xml:space="preserve">  </w:t>
      </w:r>
      <w:r w:rsidR="00367426" w:rsidRPr="00672545">
        <w:rPr>
          <w:szCs w:val="26"/>
        </w:rPr>
        <w:t>As soon as</w:t>
      </w:r>
      <w:r w:rsidR="009465AF" w:rsidRPr="00672545">
        <w:rPr>
          <w:szCs w:val="26"/>
        </w:rPr>
        <w:t xml:space="preserve"> the prospective jurors appeared</w:t>
      </w:r>
      <w:r w:rsidR="00212FA8" w:rsidRPr="00672545">
        <w:rPr>
          <w:szCs w:val="26"/>
        </w:rPr>
        <w:t xml:space="preserve"> in</w:t>
      </w:r>
      <w:r w:rsidR="009465AF" w:rsidRPr="00672545">
        <w:rPr>
          <w:szCs w:val="26"/>
        </w:rPr>
        <w:t xml:space="preserve"> the courtroom, the trial court </w:t>
      </w:r>
      <w:r w:rsidR="00367426" w:rsidRPr="00672545">
        <w:rPr>
          <w:szCs w:val="26"/>
        </w:rPr>
        <w:t>em</w:t>
      </w:r>
      <w:r w:rsidR="009465AF" w:rsidRPr="00672545">
        <w:rPr>
          <w:szCs w:val="26"/>
        </w:rPr>
        <w:t>phasiz</w:t>
      </w:r>
      <w:r w:rsidR="00212FA8" w:rsidRPr="00672545">
        <w:rPr>
          <w:szCs w:val="26"/>
        </w:rPr>
        <w:t>ed</w:t>
      </w:r>
      <w:r w:rsidR="009465AF" w:rsidRPr="00672545">
        <w:rPr>
          <w:szCs w:val="26"/>
        </w:rPr>
        <w:t xml:space="preserve"> that </w:t>
      </w:r>
      <w:r w:rsidR="00FA7F0B" w:rsidRPr="00672545">
        <w:rPr>
          <w:szCs w:val="26"/>
        </w:rPr>
        <w:t xml:space="preserve">the </w:t>
      </w:r>
      <w:r w:rsidR="009465AF" w:rsidRPr="00672545">
        <w:rPr>
          <w:szCs w:val="26"/>
        </w:rPr>
        <w:t xml:space="preserve">trial was </w:t>
      </w:r>
      <w:r w:rsidR="00FA7F0B" w:rsidRPr="00672545">
        <w:rPr>
          <w:szCs w:val="26"/>
        </w:rPr>
        <w:t xml:space="preserve">to be </w:t>
      </w:r>
      <w:r w:rsidR="009465AF" w:rsidRPr="00672545">
        <w:rPr>
          <w:szCs w:val="26"/>
        </w:rPr>
        <w:t xml:space="preserve">based solely on evidence presented in the courtroom and not by any </w:t>
      </w:r>
      <w:r w:rsidR="00FA7F0B" w:rsidRPr="00672545">
        <w:rPr>
          <w:szCs w:val="26"/>
        </w:rPr>
        <w:t xml:space="preserve">information from </w:t>
      </w:r>
      <w:r w:rsidR="009465AF" w:rsidRPr="00672545">
        <w:rPr>
          <w:szCs w:val="26"/>
        </w:rPr>
        <w:t>media sources.</w:t>
      </w:r>
      <w:r w:rsidR="00F81CD5" w:rsidRPr="00672545">
        <w:rPr>
          <w:szCs w:val="26"/>
        </w:rPr>
        <w:t xml:space="preserve">  </w:t>
      </w:r>
      <w:r w:rsidR="00E92570" w:rsidRPr="00672545">
        <w:rPr>
          <w:szCs w:val="26"/>
        </w:rPr>
        <w:t>The jurors were told that the media had been instructed to have no contact with them and that they were not to read, listen to, or watch any programs or news items that relate</w:t>
      </w:r>
      <w:r w:rsidR="004960C2" w:rsidRPr="00672545">
        <w:rPr>
          <w:szCs w:val="26"/>
        </w:rPr>
        <w:t>d</w:t>
      </w:r>
      <w:r w:rsidR="00E92570" w:rsidRPr="00672545">
        <w:rPr>
          <w:szCs w:val="26"/>
        </w:rPr>
        <w:t xml:space="preserve"> to the case.</w:t>
      </w:r>
      <w:r w:rsidR="00F81CD5" w:rsidRPr="00672545">
        <w:rPr>
          <w:szCs w:val="26"/>
        </w:rPr>
        <w:t xml:space="preserve">  </w:t>
      </w:r>
      <w:r w:rsidR="00E92570" w:rsidRPr="00672545">
        <w:rPr>
          <w:szCs w:val="26"/>
        </w:rPr>
        <w:t>Our review of t</w:t>
      </w:r>
      <w:r w:rsidR="00993530" w:rsidRPr="00672545">
        <w:rPr>
          <w:szCs w:val="26"/>
        </w:rPr>
        <w:t xml:space="preserve">he record </w:t>
      </w:r>
      <w:r w:rsidR="00E92570" w:rsidRPr="00672545">
        <w:rPr>
          <w:szCs w:val="26"/>
        </w:rPr>
        <w:t xml:space="preserve">persuades us </w:t>
      </w:r>
      <w:r w:rsidR="00993530" w:rsidRPr="00672545">
        <w:rPr>
          <w:szCs w:val="26"/>
        </w:rPr>
        <w:t>that the proceedings were conducted with solemnity and sobriety.</w:t>
      </w:r>
      <w:r w:rsidR="00F81CD5" w:rsidRPr="00672545">
        <w:rPr>
          <w:szCs w:val="26"/>
        </w:rPr>
        <w:t xml:space="preserve">  </w:t>
      </w:r>
    </w:p>
    <w:p w14:paraId="7EF09191" w14:textId="77777777" w:rsidR="006B1DDE" w:rsidRPr="001F12C5" w:rsidRDefault="00252B4D" w:rsidP="00672545">
      <w:pPr>
        <w:rPr>
          <w:szCs w:val="26"/>
        </w:rPr>
      </w:pPr>
      <w:r w:rsidRPr="00672545">
        <w:rPr>
          <w:szCs w:val="26"/>
        </w:rPr>
        <w:tab/>
      </w:r>
      <w:r w:rsidR="0034102E" w:rsidRPr="00672545">
        <w:rPr>
          <w:szCs w:val="26"/>
        </w:rPr>
        <w:t>Defendant</w:t>
      </w:r>
      <w:r w:rsidR="008D72E0" w:rsidRPr="00672545">
        <w:rPr>
          <w:szCs w:val="26"/>
        </w:rPr>
        <w:t>, therefore,</w:t>
      </w:r>
      <w:r w:rsidR="0034102E" w:rsidRPr="00672545">
        <w:rPr>
          <w:szCs w:val="26"/>
        </w:rPr>
        <w:t xml:space="preserve"> has not met his burden to show that he was likely to receive an unfair trial because of </w:t>
      </w:r>
      <w:r w:rsidR="00845353" w:rsidRPr="00672545">
        <w:rPr>
          <w:szCs w:val="26"/>
        </w:rPr>
        <w:t xml:space="preserve">asserted </w:t>
      </w:r>
      <w:r w:rsidR="0034102E" w:rsidRPr="00672545">
        <w:rPr>
          <w:szCs w:val="26"/>
        </w:rPr>
        <w:t>bias based on pretrial publicity.  (</w:t>
      </w:r>
      <w:proofErr w:type="spellStart"/>
      <w:r w:rsidR="0034102E" w:rsidRPr="00672545">
        <w:rPr>
          <w:i/>
          <w:szCs w:val="26"/>
        </w:rPr>
        <w:t>DePriest</w:t>
      </w:r>
      <w:proofErr w:type="spellEnd"/>
      <w:r w:rsidR="0034102E" w:rsidRPr="00672545">
        <w:rPr>
          <w:i/>
          <w:szCs w:val="26"/>
        </w:rPr>
        <w:t>, supra</w:t>
      </w:r>
      <w:r w:rsidR="0034102E" w:rsidRPr="00672545">
        <w:rPr>
          <w:szCs w:val="26"/>
        </w:rPr>
        <w:t>, 42 Cal.4th at pp. 23-24.)</w:t>
      </w:r>
      <w:r w:rsidR="00C504CB" w:rsidRPr="00672545">
        <w:rPr>
          <w:szCs w:val="26"/>
        </w:rPr>
        <w:t xml:space="preserve">  </w:t>
      </w:r>
      <w:r w:rsidR="00E167B3" w:rsidRPr="00672545">
        <w:rPr>
          <w:szCs w:val="26"/>
        </w:rPr>
        <w:t>If defendant had properly preserved this issue for appeal, w</w:t>
      </w:r>
      <w:r w:rsidR="00997EA7" w:rsidRPr="00672545">
        <w:rPr>
          <w:szCs w:val="26"/>
        </w:rPr>
        <w:t>e would find no</w:t>
      </w:r>
      <w:r w:rsidR="00C504CB" w:rsidRPr="00672545">
        <w:rPr>
          <w:szCs w:val="26"/>
        </w:rPr>
        <w:t xml:space="preserve"> error in </w:t>
      </w:r>
      <w:r w:rsidR="00997EA7" w:rsidRPr="00672545">
        <w:rPr>
          <w:szCs w:val="26"/>
        </w:rPr>
        <w:t xml:space="preserve">the trial court’s </w:t>
      </w:r>
      <w:r w:rsidR="00C504CB" w:rsidRPr="00672545">
        <w:rPr>
          <w:szCs w:val="26"/>
        </w:rPr>
        <w:t>den</w:t>
      </w:r>
      <w:r w:rsidR="00997EA7" w:rsidRPr="00672545">
        <w:rPr>
          <w:szCs w:val="26"/>
        </w:rPr>
        <w:t>ial of</w:t>
      </w:r>
      <w:r w:rsidR="00C504CB" w:rsidRPr="00672545">
        <w:rPr>
          <w:szCs w:val="26"/>
        </w:rPr>
        <w:t xml:space="preserve"> his request</w:t>
      </w:r>
      <w:r w:rsidR="00997EA7" w:rsidRPr="00672545">
        <w:rPr>
          <w:szCs w:val="26"/>
        </w:rPr>
        <w:t>s</w:t>
      </w:r>
      <w:r w:rsidR="00C504CB" w:rsidRPr="00672545">
        <w:rPr>
          <w:szCs w:val="26"/>
        </w:rPr>
        <w:t xml:space="preserve"> for additional peremptory challenges</w:t>
      </w:r>
      <w:r w:rsidR="00E167B3" w:rsidRPr="00672545">
        <w:rPr>
          <w:szCs w:val="26"/>
        </w:rPr>
        <w:t>.</w:t>
      </w:r>
    </w:p>
    <w:p w14:paraId="6E0D6D45" w14:textId="77777777" w:rsidR="00387567" w:rsidRPr="00672545" w:rsidRDefault="003437A5" w:rsidP="00672545">
      <w:pPr>
        <w:pStyle w:val="Heading3"/>
      </w:pPr>
      <w:bookmarkStart w:id="19" w:name="_Toc506979810"/>
      <w:r w:rsidRPr="00672545">
        <w:t xml:space="preserve">4.  The Trial Court’s </w:t>
      </w:r>
      <w:r w:rsidR="001F12C5">
        <w:t xml:space="preserve">Alleged </w:t>
      </w:r>
      <w:r w:rsidRPr="00672545">
        <w:t xml:space="preserve">Failure to Sequester the Jury </w:t>
      </w:r>
      <w:bookmarkEnd w:id="19"/>
    </w:p>
    <w:p w14:paraId="1425EB2D" w14:textId="77777777" w:rsidR="0055478C" w:rsidRPr="00672545" w:rsidRDefault="006F7A86" w:rsidP="00672545">
      <w:r w:rsidRPr="00672545">
        <w:tab/>
        <w:t xml:space="preserve">Defendant contends the publicity and public sentiment surrounding his case was so extreme as the trial progressed that it was not only an abuse of discretion </w:t>
      </w:r>
      <w:r w:rsidR="006F5078" w:rsidRPr="00672545">
        <w:t xml:space="preserve">under section 1121 </w:t>
      </w:r>
      <w:r w:rsidRPr="00672545">
        <w:t>for the trial court to have declined on multiple occasions to sequester the jury, but also</w:t>
      </w:r>
      <w:r w:rsidR="00B844A8" w:rsidRPr="00672545">
        <w:t>, under a de novo standard of review,</w:t>
      </w:r>
      <w:r w:rsidRPr="00672545">
        <w:t xml:space="preserve"> </w:t>
      </w:r>
      <w:r w:rsidR="0016097F" w:rsidRPr="00672545">
        <w:t xml:space="preserve">it amounted to </w:t>
      </w:r>
      <w:r w:rsidRPr="00672545">
        <w:t xml:space="preserve">a violation of his constitutional right to due process.  </w:t>
      </w:r>
      <w:r w:rsidR="00065444" w:rsidRPr="00672545">
        <w:t xml:space="preserve">Defendant </w:t>
      </w:r>
      <w:r w:rsidR="00B844A8" w:rsidRPr="00672545">
        <w:t>argues</w:t>
      </w:r>
      <w:r w:rsidR="00065444" w:rsidRPr="00672545">
        <w:t xml:space="preserve"> that the trial court, in fact, did not even truly exercise its discretion, but improperly left the decision on sequestration up to the jury.  </w:t>
      </w:r>
      <w:r w:rsidR="00B844A8" w:rsidRPr="00672545">
        <w:t xml:space="preserve">We </w:t>
      </w:r>
      <w:r w:rsidR="003156F8" w:rsidRPr="00672545">
        <w:t xml:space="preserve">disagree with defendant’s characterization and </w:t>
      </w:r>
      <w:r w:rsidR="00B844A8" w:rsidRPr="00672545">
        <w:t>find no error.</w:t>
      </w:r>
    </w:p>
    <w:p w14:paraId="0DBBE19C" w14:textId="77777777" w:rsidR="00734FE2" w:rsidRPr="00672545" w:rsidRDefault="00734FE2" w:rsidP="00672545">
      <w:pPr>
        <w:pStyle w:val="Heading4"/>
      </w:pPr>
      <w:r w:rsidRPr="00672545">
        <w:lastRenderedPageBreak/>
        <w:t>a.  Background</w:t>
      </w:r>
    </w:p>
    <w:p w14:paraId="7BCAE35A" w14:textId="77777777" w:rsidR="00ED7775" w:rsidRPr="00672545" w:rsidRDefault="00734FE2" w:rsidP="00672545">
      <w:r w:rsidRPr="00672545">
        <w:tab/>
        <w:t xml:space="preserve">Prior to trial, the defense filed a motion to sequester the jury for the entire trial in lieu of a motion for change of venue.  </w:t>
      </w:r>
      <w:r w:rsidR="00117AFA" w:rsidRPr="00672545">
        <w:t xml:space="preserve">Pointing to the </w:t>
      </w:r>
      <w:r w:rsidR="00C14C42" w:rsidRPr="00672545">
        <w:t>extensive</w:t>
      </w:r>
      <w:r w:rsidR="00117AFA" w:rsidRPr="00672545">
        <w:t xml:space="preserve"> publicity the case was receiving, t</w:t>
      </w:r>
      <w:r w:rsidRPr="00672545">
        <w:t xml:space="preserve">he defense contended that sequestering the jury was necessary </w:t>
      </w:r>
      <w:proofErr w:type="gramStart"/>
      <w:r w:rsidRPr="00672545">
        <w:t>in order to</w:t>
      </w:r>
      <w:proofErr w:type="gramEnd"/>
      <w:r w:rsidRPr="00672545">
        <w:t xml:space="preserve"> ensure that it was free from outside influences and to guarantee defendant a trial by an impartial jury.  </w:t>
      </w:r>
      <w:r w:rsidR="00D37101" w:rsidRPr="00672545">
        <w:t>The defense noted that such publicity had been the basis for the trial court’s order sealing pretrial motions and its gag order.</w:t>
      </w:r>
      <w:r w:rsidR="00F81CD5" w:rsidRPr="00672545">
        <w:t xml:space="preserve">  </w:t>
      </w:r>
      <w:r w:rsidR="00577B8F" w:rsidRPr="00672545">
        <w:t>The court deferred a ruling on the motion.</w:t>
      </w:r>
      <w:r w:rsidR="00F81CD5" w:rsidRPr="00672545">
        <w:t xml:space="preserve">  </w:t>
      </w:r>
    </w:p>
    <w:p w14:paraId="3180F10D" w14:textId="77777777" w:rsidR="003437A5" w:rsidRPr="00672545" w:rsidRDefault="00ED7775" w:rsidP="00672545">
      <w:r w:rsidRPr="00672545">
        <w:tab/>
        <w:t xml:space="preserve">In its initial charge to the jury, the court </w:t>
      </w:r>
      <w:r w:rsidR="00E83434" w:rsidRPr="00672545">
        <w:t>raised</w:t>
      </w:r>
      <w:r w:rsidRPr="00672545">
        <w:t xml:space="preserve"> the subject of the media</w:t>
      </w:r>
      <w:r w:rsidR="00FB0EBF" w:rsidRPr="00672545">
        <w:t>’s</w:t>
      </w:r>
      <w:r w:rsidR="00C14C42" w:rsidRPr="00672545">
        <w:t xml:space="preserve"> coverage</w:t>
      </w:r>
      <w:r w:rsidR="00FB0EBF" w:rsidRPr="00672545">
        <w:t xml:space="preserve"> of the case</w:t>
      </w:r>
      <w:r w:rsidRPr="00672545">
        <w:t xml:space="preserve">.  It </w:t>
      </w:r>
      <w:r w:rsidR="00B37C32" w:rsidRPr="00672545">
        <w:t>told the jurors</w:t>
      </w:r>
      <w:r w:rsidRPr="00672545">
        <w:t xml:space="preserve"> that “there is a lot of misinformation that is out on the media regarding this trial” and if the</w:t>
      </w:r>
      <w:r w:rsidR="00B37C32" w:rsidRPr="00672545">
        <w:t>y li</w:t>
      </w:r>
      <w:r w:rsidRPr="00672545">
        <w:t>sten</w:t>
      </w:r>
      <w:r w:rsidR="00B37C32" w:rsidRPr="00672545">
        <w:t>ed</w:t>
      </w:r>
      <w:r w:rsidRPr="00672545">
        <w:t xml:space="preserve"> to and </w:t>
      </w:r>
      <w:r w:rsidR="00B37C32" w:rsidRPr="00672545">
        <w:t>used</w:t>
      </w:r>
      <w:r w:rsidRPr="00672545">
        <w:t xml:space="preserve"> such misinformation, it would do “a grave disservice to both sides in this case.”</w:t>
      </w:r>
      <w:r w:rsidR="00F81CD5" w:rsidRPr="00672545">
        <w:t xml:space="preserve">  </w:t>
      </w:r>
      <w:r w:rsidRPr="00672545">
        <w:t xml:space="preserve">The trial court reminded the jurors that they had been selected because they </w:t>
      </w:r>
      <w:r w:rsidR="00B37C32" w:rsidRPr="00672545">
        <w:t xml:space="preserve">had </w:t>
      </w:r>
      <w:r w:rsidRPr="00672545">
        <w:t>agreed to base their decisions solely on the evidence presented.  It then told them that it had many options “in terms of handling the media,” but it had selected “self-</w:t>
      </w:r>
      <w:proofErr w:type="spellStart"/>
      <w:r w:rsidRPr="00672545">
        <w:t>polic</w:t>
      </w:r>
      <w:proofErr w:type="spellEnd"/>
      <w:r w:rsidRPr="00672545">
        <w:t>[</w:t>
      </w:r>
      <w:proofErr w:type="spellStart"/>
      <w:r w:rsidRPr="00672545">
        <w:t>ing</w:t>
      </w:r>
      <w:proofErr w:type="spellEnd"/>
      <w:r w:rsidRPr="00672545">
        <w:t>]” as the best option for the jurors and the trial.</w:t>
      </w:r>
      <w:r w:rsidR="00F81CD5" w:rsidRPr="00672545">
        <w:t xml:space="preserve">  </w:t>
      </w:r>
      <w:r w:rsidR="00B37C32" w:rsidRPr="00672545">
        <w:t>The court directed the</w:t>
      </w:r>
      <w:r w:rsidR="00C54167" w:rsidRPr="00672545">
        <w:t xml:space="preserve"> jurors </w:t>
      </w:r>
      <w:r w:rsidR="00B37C32" w:rsidRPr="00672545">
        <w:t>to “not look at anything that has anything to do with this case, whether it be print, radio, or television media.”</w:t>
      </w:r>
      <w:r w:rsidR="00F81CD5" w:rsidRPr="00672545">
        <w:t xml:space="preserve">  </w:t>
      </w:r>
      <w:r w:rsidR="00B37C32" w:rsidRPr="00672545">
        <w:t xml:space="preserve">If problems came up, the court promised </w:t>
      </w:r>
      <w:r w:rsidR="00E83434" w:rsidRPr="00672545">
        <w:t xml:space="preserve">it would </w:t>
      </w:r>
      <w:r w:rsidR="00B37C32" w:rsidRPr="00672545">
        <w:t xml:space="preserve">address them.  </w:t>
      </w:r>
    </w:p>
    <w:p w14:paraId="3AAC5537" w14:textId="77777777" w:rsidR="00B37C32" w:rsidRPr="00672545" w:rsidRDefault="00577B8F" w:rsidP="00672545">
      <w:r w:rsidRPr="00672545">
        <w:tab/>
      </w:r>
      <w:r w:rsidR="00B37C32" w:rsidRPr="00672545">
        <w:t xml:space="preserve">And indeed, </w:t>
      </w:r>
      <w:r w:rsidR="001F5EF2" w:rsidRPr="00672545">
        <w:t xml:space="preserve">some </w:t>
      </w:r>
      <w:r w:rsidR="00B37C32" w:rsidRPr="00672545">
        <w:t xml:space="preserve">problems arose.  </w:t>
      </w:r>
      <w:r w:rsidR="00011F81" w:rsidRPr="00672545">
        <w:t xml:space="preserve">When the trial court noticed that </w:t>
      </w:r>
      <w:proofErr w:type="gramStart"/>
      <w:r w:rsidR="00011F81" w:rsidRPr="00672545">
        <w:t>a number of</w:t>
      </w:r>
      <w:proofErr w:type="gramEnd"/>
      <w:r w:rsidR="00011F81" w:rsidRPr="00672545">
        <w:t xml:space="preserve"> individuals in the courtroom audience were wearing buttons containing a picture of Danielle, the court told the</w:t>
      </w:r>
      <w:r w:rsidR="002B3DA1" w:rsidRPr="00672545">
        <w:t xml:space="preserve"> audience that</w:t>
      </w:r>
      <w:r w:rsidR="00011F81" w:rsidRPr="00672545">
        <w:t xml:space="preserve"> </w:t>
      </w:r>
      <w:r w:rsidR="00E83434" w:rsidRPr="00672545">
        <w:t xml:space="preserve">such </w:t>
      </w:r>
      <w:r w:rsidR="00011F81" w:rsidRPr="00672545">
        <w:t xml:space="preserve">buttons, placards, and </w:t>
      </w:r>
      <w:r w:rsidR="00191BC2">
        <w:t>T</w:t>
      </w:r>
      <w:r w:rsidR="00011F81" w:rsidRPr="00672545">
        <w:t>-shirts were unacceptable and not allowed.  The court w</w:t>
      </w:r>
      <w:r w:rsidR="002B3DA1" w:rsidRPr="00672545">
        <w:t>arned all those present</w:t>
      </w:r>
      <w:r w:rsidR="00011F81" w:rsidRPr="00672545">
        <w:t xml:space="preserve"> that it would not allow the jury to be intimidated.</w:t>
      </w:r>
      <w:r w:rsidR="00F81CD5" w:rsidRPr="00672545">
        <w:t xml:space="preserve">  </w:t>
      </w:r>
      <w:r w:rsidR="00011F81" w:rsidRPr="00672545">
        <w:t xml:space="preserve">When it </w:t>
      </w:r>
      <w:r w:rsidR="002B3DA1" w:rsidRPr="00672545">
        <w:t xml:space="preserve">later </w:t>
      </w:r>
      <w:r w:rsidR="00011F81" w:rsidRPr="00672545">
        <w:t xml:space="preserve">came to the court’s attention that members of the public </w:t>
      </w:r>
      <w:r w:rsidR="00011F81" w:rsidRPr="00672545">
        <w:lastRenderedPageBreak/>
        <w:t>were still wearing the buttons in the</w:t>
      </w:r>
      <w:r w:rsidR="00E83434" w:rsidRPr="00672545">
        <w:t xml:space="preserve"> courthouse</w:t>
      </w:r>
      <w:r w:rsidR="00011F81" w:rsidRPr="00672545">
        <w:t xml:space="preserve"> hallway, it reminded the jury that this had nothing to do with the lawyers, the evidence</w:t>
      </w:r>
      <w:r w:rsidR="002B3DA1" w:rsidRPr="00672545">
        <w:t xml:space="preserve"> before them,</w:t>
      </w:r>
      <w:r w:rsidR="000A312C" w:rsidRPr="00672545">
        <w:t xml:space="preserve"> </w:t>
      </w:r>
      <w:r w:rsidR="00011F81" w:rsidRPr="00672545">
        <w:t>or the jury’s job</w:t>
      </w:r>
      <w:r w:rsidR="000A312C" w:rsidRPr="00672545">
        <w:t xml:space="preserve">.  </w:t>
      </w:r>
      <w:r w:rsidR="007408E1" w:rsidRPr="00672545">
        <w:t xml:space="preserve">It was “just one more form of the kinds of publicity or bias that [the jury had] been selected to overcome.”  </w:t>
      </w:r>
    </w:p>
    <w:p w14:paraId="004E027D" w14:textId="77777777" w:rsidR="000A312C" w:rsidRPr="00672545" w:rsidRDefault="000A312C" w:rsidP="00672545">
      <w:r w:rsidRPr="00672545">
        <w:tab/>
        <w:t xml:space="preserve">As television reporting continued, the trial court </w:t>
      </w:r>
      <w:r w:rsidR="00D846F2" w:rsidRPr="00672545">
        <w:t xml:space="preserve">specifically </w:t>
      </w:r>
      <w:r w:rsidRPr="00672545">
        <w:t>admonished the jury to avoid the coverage “at all costs</w:t>
      </w:r>
      <w:r w:rsidR="00767744" w:rsidRPr="00672545">
        <w:t>,</w:t>
      </w:r>
      <w:r w:rsidRPr="00672545">
        <w:t xml:space="preserve">” </w:t>
      </w:r>
      <w:r w:rsidR="00767744" w:rsidRPr="00672545">
        <w:t>unplugging their television if necessary.</w:t>
      </w:r>
      <w:r w:rsidR="00F81CD5" w:rsidRPr="00672545">
        <w:t xml:space="preserve">  </w:t>
      </w:r>
      <w:r w:rsidRPr="00672545">
        <w:t>The court advised the jury to stay out of internet chat rooms and avoid any internet coverage of the case.</w:t>
      </w:r>
      <w:r w:rsidR="00F81CD5" w:rsidRPr="00672545">
        <w:t xml:space="preserve">  </w:t>
      </w:r>
      <w:r w:rsidR="00767744" w:rsidRPr="00672545">
        <w:t xml:space="preserve">The court </w:t>
      </w:r>
      <w:r w:rsidR="00D846F2" w:rsidRPr="00672545">
        <w:t xml:space="preserve">frequently </w:t>
      </w:r>
      <w:r w:rsidR="00767744" w:rsidRPr="00672545">
        <w:t>repeated its admonishments.</w:t>
      </w:r>
      <w:r w:rsidR="00F81CD5" w:rsidRPr="00672545">
        <w:t xml:space="preserve">  </w:t>
      </w:r>
    </w:p>
    <w:p w14:paraId="4BC23147" w14:textId="77777777" w:rsidR="00011F81" w:rsidRPr="00672545" w:rsidRDefault="003D3327" w:rsidP="00672545">
      <w:r w:rsidRPr="00672545">
        <w:tab/>
      </w:r>
      <w:r w:rsidR="00891E01" w:rsidRPr="00672545">
        <w:t xml:space="preserve">At one point, the trial court was advised that the county probate office had received </w:t>
      </w:r>
      <w:proofErr w:type="gramStart"/>
      <w:r w:rsidR="00891E01" w:rsidRPr="00672545">
        <w:t>a number of</w:t>
      </w:r>
      <w:proofErr w:type="gramEnd"/>
      <w:r w:rsidR="00891E01" w:rsidRPr="00672545">
        <w:t xml:space="preserve"> phone calls after a newspaper had published the occupations of the jurors.  Juror </w:t>
      </w:r>
      <w:r w:rsidR="00D41323" w:rsidRPr="00672545">
        <w:t>number</w:t>
      </w:r>
      <w:r w:rsidR="00891E01" w:rsidRPr="00672545">
        <w:t xml:space="preserve"> 7 was one of only seven probate examiners in the office, </w:t>
      </w:r>
      <w:r w:rsidR="00FB0EBF" w:rsidRPr="00672545">
        <w:t>so</w:t>
      </w:r>
      <w:r w:rsidR="00891E01" w:rsidRPr="00672545">
        <w:t xml:space="preserve"> it would not be difficult to ascertain her identity </w:t>
      </w:r>
      <w:proofErr w:type="gramStart"/>
      <w:r w:rsidR="00891E01" w:rsidRPr="00672545">
        <w:t>in light of</w:t>
      </w:r>
      <w:proofErr w:type="gramEnd"/>
      <w:r w:rsidR="00891E01" w:rsidRPr="00672545">
        <w:t xml:space="preserve"> her altered work schedule.  The court </w:t>
      </w:r>
      <w:proofErr w:type="gramStart"/>
      <w:r w:rsidR="0002241F" w:rsidRPr="00672545">
        <w:t>made</w:t>
      </w:r>
      <w:r w:rsidR="00891E01" w:rsidRPr="00672545">
        <w:t xml:space="preserve"> arrangement</w:t>
      </w:r>
      <w:r w:rsidR="0002241F" w:rsidRPr="00672545">
        <w:t>s</w:t>
      </w:r>
      <w:proofErr w:type="gramEnd"/>
      <w:r w:rsidR="00891E01" w:rsidRPr="00672545">
        <w:t xml:space="preserve"> with the probate office to </w:t>
      </w:r>
      <w:r w:rsidR="00424CE4" w:rsidRPr="00672545">
        <w:t>avoid</w:t>
      </w:r>
      <w:r w:rsidR="00891E01" w:rsidRPr="00672545">
        <w:t xml:space="preserve"> pressure on Juror </w:t>
      </w:r>
      <w:r w:rsidR="00D41323" w:rsidRPr="00672545">
        <w:t>number</w:t>
      </w:r>
      <w:r w:rsidR="00891E01" w:rsidRPr="00672545">
        <w:t xml:space="preserve"> 7 from coworkers or the public.</w:t>
      </w:r>
      <w:r w:rsidR="00F81CD5" w:rsidRPr="00672545">
        <w:t xml:space="preserve">  </w:t>
      </w:r>
    </w:p>
    <w:p w14:paraId="73E94FA7" w14:textId="77777777" w:rsidR="00696B8C" w:rsidRPr="00672545" w:rsidRDefault="00696B8C" w:rsidP="00672545">
      <w:r w:rsidRPr="00672545">
        <w:tab/>
        <w:t xml:space="preserve">Defendant’s renewed motion for sequestration was denied without prejudice to the issue being raised </w:t>
      </w:r>
      <w:r w:rsidR="000D1C4B" w:rsidRPr="00672545">
        <w:t xml:space="preserve">again </w:t>
      </w:r>
      <w:r w:rsidRPr="00672545">
        <w:t>and reevaluated as circumstances warranted.</w:t>
      </w:r>
      <w:r w:rsidR="00F81CD5" w:rsidRPr="00672545">
        <w:t xml:space="preserve">  </w:t>
      </w:r>
    </w:p>
    <w:p w14:paraId="58A1A03E" w14:textId="77777777" w:rsidR="009D5765" w:rsidRPr="00672545" w:rsidRDefault="00696B8C" w:rsidP="00672545">
      <w:r w:rsidRPr="00672545">
        <w:tab/>
        <w:t>Subsequently,</w:t>
      </w:r>
      <w:r w:rsidR="009D5765" w:rsidRPr="00672545">
        <w:t xml:space="preserve"> the jury sent the trial court a note indicating that it believed Brenda Van Dam was “glaring or staring” at them.  The court addressed the matter in closed session.</w:t>
      </w:r>
      <w:r w:rsidR="00F81CD5" w:rsidRPr="00672545">
        <w:t xml:space="preserve">  </w:t>
      </w:r>
      <w:r w:rsidR="00503D28" w:rsidRPr="00672545">
        <w:t xml:space="preserve">The court asked the jurors to raise a hand if they felt they were being intimidated in any way by the Van Dams.  No </w:t>
      </w:r>
      <w:r w:rsidR="000028B9" w:rsidRPr="00672545">
        <w:t xml:space="preserve">juror </w:t>
      </w:r>
      <w:r w:rsidR="00503D28" w:rsidRPr="00672545">
        <w:t>did so.</w:t>
      </w:r>
      <w:r w:rsidR="000028B9" w:rsidRPr="00672545">
        <w:t xml:space="preserve">  When the court inquired whether any juror felt Brenda’s presence in the courtroom would </w:t>
      </w:r>
      <w:r w:rsidR="00503D28" w:rsidRPr="00672545">
        <w:t xml:space="preserve">in any way </w:t>
      </w:r>
      <w:r w:rsidR="000028B9" w:rsidRPr="00672545">
        <w:t xml:space="preserve">affect his or her ability to be fair and impartial to both parties, no juror </w:t>
      </w:r>
      <w:r w:rsidR="000028B9" w:rsidRPr="00672545">
        <w:lastRenderedPageBreak/>
        <w:t xml:space="preserve">indicated that it would.  </w:t>
      </w:r>
      <w:r w:rsidR="00503D28" w:rsidRPr="00672545">
        <w:t>The court told the jury that it should notify the court if at any time the conduct of the Van Dams or anyone else in the courtroom started to affect their ability to listen to the testimony and be fair and impartial.</w:t>
      </w:r>
      <w:r w:rsidR="00F81CD5" w:rsidRPr="00672545">
        <w:t xml:space="preserve">  </w:t>
      </w:r>
      <w:r w:rsidR="00424CE4" w:rsidRPr="00672545">
        <w:t>The court later repeated that any juror was welcome to raise any concern that arose regarding perceived interference or intimidation.</w:t>
      </w:r>
      <w:r w:rsidR="00F81CD5" w:rsidRPr="00672545">
        <w:t xml:space="preserve">  </w:t>
      </w:r>
      <w:r w:rsidR="00BA2F54" w:rsidRPr="00672545">
        <w:t>When Damon Van Dam was subsequently expelled from the court</w:t>
      </w:r>
      <w:r w:rsidR="00856008" w:rsidRPr="00672545">
        <w:t>room</w:t>
      </w:r>
      <w:r w:rsidR="00BA2F54" w:rsidRPr="00672545">
        <w:t xml:space="preserve"> </w:t>
      </w:r>
      <w:r w:rsidR="00856008" w:rsidRPr="00672545">
        <w:t>for glaring at defendant</w:t>
      </w:r>
      <w:r w:rsidR="00BA2F54" w:rsidRPr="00672545">
        <w:t xml:space="preserve">, the jurors were admonished that the court had made rulings that might or might not </w:t>
      </w:r>
      <w:r w:rsidR="00856008" w:rsidRPr="00672545">
        <w:t>be reported in</w:t>
      </w:r>
      <w:r w:rsidR="00BA2F54" w:rsidRPr="00672545">
        <w:t xml:space="preserve"> the press.  The court reemphasized that the jur</w:t>
      </w:r>
      <w:r w:rsidR="00856008" w:rsidRPr="00672545">
        <w:t>ors</w:t>
      </w:r>
      <w:r w:rsidR="00BA2F54" w:rsidRPr="00672545">
        <w:t xml:space="preserve"> must be vigilant in their self-policing.  </w:t>
      </w:r>
    </w:p>
    <w:p w14:paraId="4B8D5DFD" w14:textId="77777777" w:rsidR="00011F81" w:rsidRPr="00672545" w:rsidRDefault="007961B9" w:rsidP="00672545">
      <w:r w:rsidRPr="00672545">
        <w:tab/>
        <w:t xml:space="preserve">The defense renewed its motion for jury sequestration three days later, </w:t>
      </w:r>
      <w:proofErr w:type="gramStart"/>
      <w:r w:rsidRPr="00672545">
        <w:t>in light of</w:t>
      </w:r>
      <w:proofErr w:type="gramEnd"/>
      <w:r w:rsidRPr="00672545">
        <w:t xml:space="preserve"> </w:t>
      </w:r>
      <w:r w:rsidR="00FB0EBF" w:rsidRPr="00672545">
        <w:t>further</w:t>
      </w:r>
      <w:r w:rsidRPr="00672545">
        <w:t xml:space="preserve"> media attention, most significantly false reports of the number of child pornography images recovered from defendant’s computers.</w:t>
      </w:r>
      <w:r w:rsidR="00F81CD5" w:rsidRPr="00672545">
        <w:t xml:space="preserve">  </w:t>
      </w:r>
      <w:r w:rsidRPr="00672545">
        <w:t>The trial court responded that it w</w:t>
      </w:r>
      <w:r w:rsidR="0011205D" w:rsidRPr="00672545">
        <w:t xml:space="preserve">ould not </w:t>
      </w:r>
      <w:r w:rsidRPr="00672545">
        <w:t xml:space="preserve">sequester the jury </w:t>
      </w:r>
      <w:r w:rsidR="00355F6C" w:rsidRPr="00672545">
        <w:t>because the court</w:t>
      </w:r>
      <w:r w:rsidRPr="00672545">
        <w:t xml:space="preserve"> had no reason to believe that </w:t>
      </w:r>
      <w:r w:rsidR="00355F6C" w:rsidRPr="00672545">
        <w:t xml:space="preserve">the jurors were </w:t>
      </w:r>
      <w:r w:rsidRPr="00672545">
        <w:t>disregarding the court’s order to pay no attention to the publicity.</w:t>
      </w:r>
      <w:r w:rsidR="00F81CD5" w:rsidRPr="00672545">
        <w:t xml:space="preserve">  </w:t>
      </w:r>
    </w:p>
    <w:p w14:paraId="095B893B" w14:textId="77777777" w:rsidR="007961B9" w:rsidRPr="00672545" w:rsidRDefault="00011E02" w:rsidP="00672545">
      <w:r w:rsidRPr="00672545">
        <w:tab/>
        <w:t>Due to weekends, court holidays</w:t>
      </w:r>
      <w:r w:rsidR="00191BC2">
        <w:t>,</w:t>
      </w:r>
      <w:r w:rsidRPr="00672545">
        <w:t xml:space="preserve"> and the trial court’s pre-planned vacation, the jury was to be excused for </w:t>
      </w:r>
      <w:r w:rsidR="00191BC2">
        <w:t xml:space="preserve">11 </w:t>
      </w:r>
      <w:r w:rsidRPr="00672545">
        <w:t>days from Wednesday July 10 until Monday July 22, 2002.</w:t>
      </w:r>
      <w:r w:rsidR="00F81CD5" w:rsidRPr="00672545">
        <w:t xml:space="preserve">  </w:t>
      </w:r>
      <w:r w:rsidRPr="00672545">
        <w:t xml:space="preserve">Before the jurors were excused, the trial court </w:t>
      </w:r>
      <w:r w:rsidR="003A57DA" w:rsidRPr="00672545">
        <w:t xml:space="preserve">again </w:t>
      </w:r>
      <w:r w:rsidRPr="00672545">
        <w:t>reminded them that they must “guard against, in the utmost way possible, reading or listening to” media coverage of the case.  The court suspected that “all of the talking heads” would try to keep interest in the case going until the trial started up again and it was “very, very important” that they continue to “self-police.”</w:t>
      </w:r>
      <w:r w:rsidR="00F81CD5" w:rsidRPr="00672545">
        <w:t xml:space="preserve">  </w:t>
      </w:r>
    </w:p>
    <w:p w14:paraId="17AC5981" w14:textId="77777777" w:rsidR="00577B8F" w:rsidRPr="00672545" w:rsidRDefault="00B37C32" w:rsidP="00672545">
      <w:r w:rsidRPr="00672545">
        <w:tab/>
      </w:r>
      <w:r w:rsidR="00FB0EBF" w:rsidRPr="00672545">
        <w:t>When the trial resumed on July 22, the defense made a motion for mistrial based on the “tremendous amount of publicity” concerning the case.</w:t>
      </w:r>
      <w:r w:rsidR="00F81CD5" w:rsidRPr="00672545">
        <w:t xml:space="preserve">  </w:t>
      </w:r>
      <w:r w:rsidR="00F80924" w:rsidRPr="00672545">
        <w:t xml:space="preserve">The defense took the position </w:t>
      </w:r>
      <w:r w:rsidR="00F80924" w:rsidRPr="00672545">
        <w:lastRenderedPageBreak/>
        <w:t xml:space="preserve">that the media coverage was “inescapable and at least some jurors must </w:t>
      </w:r>
      <w:proofErr w:type="gramStart"/>
      <w:r w:rsidR="00F80924" w:rsidRPr="00672545">
        <w:t>have .</w:t>
      </w:r>
      <w:proofErr w:type="gramEnd"/>
      <w:r w:rsidR="00F80924" w:rsidRPr="00672545">
        <w:t> . . been exposed to something in this case.”</w:t>
      </w:r>
      <w:r w:rsidR="00F81CD5" w:rsidRPr="00672545">
        <w:t xml:space="preserve">  </w:t>
      </w:r>
      <w:r w:rsidR="00F80924" w:rsidRPr="00672545">
        <w:t>This</w:t>
      </w:r>
      <w:r w:rsidR="00AD334A" w:rsidRPr="00672545">
        <w:t>, according to the defense,</w:t>
      </w:r>
      <w:r w:rsidR="00F80924" w:rsidRPr="00672545">
        <w:t xml:space="preserve"> was compounded by news stories about another case in which a five-year-old girl, Samantha </w:t>
      </w:r>
      <w:proofErr w:type="spellStart"/>
      <w:r w:rsidR="00F80924" w:rsidRPr="00672545">
        <w:t>Runnion</w:t>
      </w:r>
      <w:proofErr w:type="spellEnd"/>
      <w:r w:rsidR="00F80924" w:rsidRPr="00672545">
        <w:t>, was kidnapped and sexually molested.  Noting the denial of its requests for sequestration, defendant requested a mistrial.</w:t>
      </w:r>
      <w:r w:rsidR="00F81CD5" w:rsidRPr="00672545">
        <w:t xml:space="preserve">  </w:t>
      </w:r>
      <w:r w:rsidR="00F80924" w:rsidRPr="00672545">
        <w:t>The prosecution opposed the motion, which it characterized as being based on speculation.</w:t>
      </w:r>
      <w:r w:rsidR="00F81CD5" w:rsidRPr="00672545">
        <w:t xml:space="preserve">  </w:t>
      </w:r>
      <w:r w:rsidR="00AD334A" w:rsidRPr="00672545">
        <w:t xml:space="preserve">The trial court denied the motion.  It explained that the media coverage was no different </w:t>
      </w:r>
      <w:r w:rsidR="000771C4" w:rsidRPr="00672545">
        <w:t>from</w:t>
      </w:r>
      <w:r w:rsidR="00AD334A" w:rsidRPr="00672545">
        <w:t xml:space="preserve"> what had been occurring throughout the trial and that it intended to discuss with the jury its duty to ignore the media focus on the </w:t>
      </w:r>
      <w:proofErr w:type="spellStart"/>
      <w:r w:rsidR="00AD334A" w:rsidRPr="00672545">
        <w:t>Runnion</w:t>
      </w:r>
      <w:proofErr w:type="spellEnd"/>
      <w:r w:rsidR="00AD334A" w:rsidRPr="00672545">
        <w:t xml:space="preserve"> case.  Importantly, it noted that there was “no evidence that any media coverage is being viewed by these jurors, and [it had] every reason to believe they [were] abiding by the court’s orders.”</w:t>
      </w:r>
      <w:r w:rsidR="00F81CD5" w:rsidRPr="00672545">
        <w:t xml:space="preserve">  </w:t>
      </w:r>
    </w:p>
    <w:p w14:paraId="49F25EC3" w14:textId="77777777" w:rsidR="00451D60" w:rsidRPr="00672545" w:rsidRDefault="006E45F8" w:rsidP="00672545">
      <w:r w:rsidRPr="00672545">
        <w:tab/>
      </w:r>
      <w:r w:rsidR="00FF7B2B" w:rsidRPr="00672545">
        <w:t xml:space="preserve">On July 27, the court conducted a closed session to discuss </w:t>
      </w:r>
      <w:r w:rsidR="00A679DB" w:rsidRPr="00672545">
        <w:t>with the parties an incident that had been reported the prior evening.</w:t>
      </w:r>
      <w:r w:rsidR="009D0E47" w:rsidRPr="00672545">
        <w:t xml:space="preserve">  </w:t>
      </w:r>
      <w:r w:rsidR="00A679DB" w:rsidRPr="00672545">
        <w:t xml:space="preserve">When </w:t>
      </w:r>
      <w:r w:rsidR="00FF7B2B" w:rsidRPr="00672545">
        <w:t xml:space="preserve">Juror </w:t>
      </w:r>
      <w:r w:rsidR="00D41323" w:rsidRPr="00672545">
        <w:t>number</w:t>
      </w:r>
      <w:r w:rsidR="00FF7B2B" w:rsidRPr="00672545">
        <w:t xml:space="preserve"> 2 </w:t>
      </w:r>
      <w:r w:rsidR="00A679DB" w:rsidRPr="00672545">
        <w:t xml:space="preserve">was walking out of the courthouse with two other jurors, Juror </w:t>
      </w:r>
      <w:r w:rsidR="00B12969" w:rsidRPr="00672545">
        <w:t>number</w:t>
      </w:r>
      <w:r w:rsidR="00A679DB" w:rsidRPr="00672545">
        <w:t xml:space="preserve"> 17 and Juror </w:t>
      </w:r>
      <w:r w:rsidR="00B12969" w:rsidRPr="00672545">
        <w:t>number</w:t>
      </w:r>
      <w:r w:rsidR="005974ED" w:rsidRPr="00672545">
        <w:t xml:space="preserve"> </w:t>
      </w:r>
      <w:r w:rsidR="00A679DB" w:rsidRPr="00672545">
        <w:t xml:space="preserve">18, </w:t>
      </w:r>
      <w:r w:rsidR="00D248C5" w:rsidRPr="00672545">
        <w:t xml:space="preserve">Juror </w:t>
      </w:r>
      <w:r w:rsidR="00B12969" w:rsidRPr="00672545">
        <w:t>number</w:t>
      </w:r>
      <w:r w:rsidR="00D248C5" w:rsidRPr="00672545">
        <w:t xml:space="preserve"> 2</w:t>
      </w:r>
      <w:r w:rsidR="00A679DB" w:rsidRPr="00672545">
        <w:t xml:space="preserve"> </w:t>
      </w:r>
      <w:r w:rsidR="00D248C5" w:rsidRPr="00672545">
        <w:t>noticed</w:t>
      </w:r>
      <w:r w:rsidR="00A679DB" w:rsidRPr="00672545">
        <w:t xml:space="preserve"> someone fo</w:t>
      </w:r>
      <w:r w:rsidR="00FF7B2B" w:rsidRPr="00672545">
        <w:t>llowing t</w:t>
      </w:r>
      <w:r w:rsidR="00A679DB" w:rsidRPr="00672545">
        <w:t>hem</w:t>
      </w:r>
      <w:r w:rsidR="00FF7B2B" w:rsidRPr="00672545">
        <w:t xml:space="preserve">.  Juror </w:t>
      </w:r>
      <w:r w:rsidR="00B12969" w:rsidRPr="00672545">
        <w:t>number</w:t>
      </w:r>
      <w:r w:rsidR="00FF7B2B" w:rsidRPr="00672545">
        <w:t xml:space="preserve"> 2, who was not wearing his juror badge at this point, fell back and watched as </w:t>
      </w:r>
      <w:r w:rsidR="00A679DB" w:rsidRPr="00672545">
        <w:t>a</w:t>
      </w:r>
      <w:r w:rsidR="00FF7B2B" w:rsidRPr="00672545">
        <w:t xml:space="preserve"> man, dressed in </w:t>
      </w:r>
      <w:proofErr w:type="gramStart"/>
      <w:r w:rsidR="00FF7B2B" w:rsidRPr="00672545">
        <w:t>a blue shirt and gray trousers</w:t>
      </w:r>
      <w:proofErr w:type="gramEnd"/>
      <w:r w:rsidR="00FF7B2B" w:rsidRPr="00672545">
        <w:t>, followed the other two jurors into the trolley station</w:t>
      </w:r>
      <w:r w:rsidR="00A679DB" w:rsidRPr="00672545">
        <w:t>.  The man got o</w:t>
      </w:r>
      <w:r w:rsidR="00FF7B2B" w:rsidRPr="00672545">
        <w:t xml:space="preserve">nto the </w:t>
      </w:r>
      <w:r w:rsidR="00A679DB" w:rsidRPr="00672545">
        <w:t>trolley with the three jurors and exited at the</w:t>
      </w:r>
      <w:r w:rsidR="00FF7B2B" w:rsidRPr="00672545">
        <w:t xml:space="preserve"> “Old Town” </w:t>
      </w:r>
      <w:r w:rsidR="00A679DB" w:rsidRPr="00672545">
        <w:t>station with them.</w:t>
      </w:r>
      <w:r w:rsidR="00FF7B2B" w:rsidRPr="00672545">
        <w:t xml:space="preserve">  The two jurors proceeded to their cars, still followed by the same man, who was keeping his distance.  The man took out a piece of paper and </w:t>
      </w:r>
      <w:proofErr w:type="gramStart"/>
      <w:r w:rsidR="00FF7B2B" w:rsidRPr="00672545">
        <w:t>pencil, and</w:t>
      </w:r>
      <w:proofErr w:type="gramEnd"/>
      <w:r w:rsidR="00FF7B2B" w:rsidRPr="00672545">
        <w:t xml:space="preserve"> wrote something down as the two jurors got into their cars.  Juror </w:t>
      </w:r>
      <w:r w:rsidR="00B12969" w:rsidRPr="00672545">
        <w:t>number</w:t>
      </w:r>
      <w:r w:rsidR="00FF7B2B" w:rsidRPr="00672545">
        <w:t xml:space="preserve"> 2 called the contact number he had been given for the court</w:t>
      </w:r>
      <w:r w:rsidR="009D0E47" w:rsidRPr="00672545">
        <w:t xml:space="preserve"> to report the incident</w:t>
      </w:r>
      <w:r w:rsidR="00FF7B2B" w:rsidRPr="00672545">
        <w:t xml:space="preserve">.  </w:t>
      </w:r>
      <w:r w:rsidR="00451D60" w:rsidRPr="00672545">
        <w:t xml:space="preserve">There was no indication who the person was that was following the jurors, but </w:t>
      </w:r>
      <w:r w:rsidR="00451D60" w:rsidRPr="00672545">
        <w:lastRenderedPageBreak/>
        <w:t xml:space="preserve">the court </w:t>
      </w:r>
      <w:r w:rsidR="000D1C4B" w:rsidRPr="00672545">
        <w:t>surmised that</w:t>
      </w:r>
      <w:r w:rsidR="00451D60" w:rsidRPr="00672545">
        <w:t xml:space="preserve"> it was </w:t>
      </w:r>
      <w:r w:rsidR="000D1C4B" w:rsidRPr="00672545">
        <w:t xml:space="preserve">likely </w:t>
      </w:r>
      <w:r w:rsidR="00451D60" w:rsidRPr="00672545">
        <w:t>someone affiliated with the media.</w:t>
      </w:r>
      <w:r w:rsidR="00F81CD5" w:rsidRPr="00672545">
        <w:t xml:space="preserve">  </w:t>
      </w:r>
    </w:p>
    <w:p w14:paraId="722A41D1" w14:textId="77777777" w:rsidR="00734FE2" w:rsidRPr="00672545" w:rsidRDefault="00451D60" w:rsidP="00672545">
      <w:r w:rsidRPr="00672545">
        <w:tab/>
      </w:r>
      <w:r w:rsidR="009D0E47" w:rsidRPr="00672545">
        <w:t xml:space="preserve">Brought in and questioned by the court, Juror </w:t>
      </w:r>
      <w:r w:rsidR="00B12969" w:rsidRPr="00672545">
        <w:t>number</w:t>
      </w:r>
      <w:r w:rsidR="005974ED" w:rsidRPr="00672545">
        <w:t xml:space="preserve"> </w:t>
      </w:r>
      <w:r w:rsidR="009D0E47" w:rsidRPr="00672545">
        <w:t>2 confirmed these observations</w:t>
      </w:r>
      <w:r w:rsidRPr="00672545">
        <w:t xml:space="preserve"> and added that as the jurors were driving away, the man ducked and a</w:t>
      </w:r>
      <w:r w:rsidR="00CD6F2E" w:rsidRPr="00672545">
        <w:t>ttempted</w:t>
      </w:r>
      <w:r w:rsidRPr="00672545">
        <w:t xml:space="preserve"> to hide.</w:t>
      </w:r>
      <w:r w:rsidR="00F81CD5" w:rsidRPr="00672545">
        <w:t xml:space="preserve">  </w:t>
      </w:r>
      <w:r w:rsidR="005974ED" w:rsidRPr="00672545">
        <w:t xml:space="preserve">Juror </w:t>
      </w:r>
      <w:r w:rsidR="00B12969" w:rsidRPr="00672545">
        <w:t>number</w:t>
      </w:r>
      <w:r w:rsidR="005974ED" w:rsidRPr="00672545">
        <w:t xml:space="preserve"> 2 indicated that Juror </w:t>
      </w:r>
      <w:r w:rsidR="00B12969" w:rsidRPr="00672545">
        <w:t>number</w:t>
      </w:r>
      <w:r w:rsidR="005974ED" w:rsidRPr="00672545">
        <w:t xml:space="preserve"> 17 was aware of the incident, but he did not believe Juror </w:t>
      </w:r>
      <w:r w:rsidR="00B12969" w:rsidRPr="00672545">
        <w:t>number</w:t>
      </w:r>
      <w:r w:rsidR="005974ED" w:rsidRPr="00672545">
        <w:t xml:space="preserve"> 18 was.</w:t>
      </w:r>
      <w:r w:rsidR="00F81CD5" w:rsidRPr="00672545">
        <w:t xml:space="preserve">  </w:t>
      </w:r>
      <w:r w:rsidR="005974ED" w:rsidRPr="00672545">
        <w:t xml:space="preserve">Asked if anything about this experience would in any way affect his ability to be fair and impartial to both sides in this case, Juror </w:t>
      </w:r>
      <w:r w:rsidR="00B12969" w:rsidRPr="00672545">
        <w:t>number</w:t>
      </w:r>
      <w:r w:rsidR="005974ED" w:rsidRPr="00672545">
        <w:t xml:space="preserve"> 2 replied, “No.”</w:t>
      </w:r>
      <w:r w:rsidR="00F81CD5" w:rsidRPr="00672545">
        <w:t xml:space="preserve">  </w:t>
      </w:r>
      <w:r w:rsidR="00C41866" w:rsidRPr="00672545">
        <w:t xml:space="preserve">The court questioned Juror </w:t>
      </w:r>
      <w:r w:rsidR="00B12969" w:rsidRPr="00672545">
        <w:t>number</w:t>
      </w:r>
      <w:r w:rsidR="00C41866" w:rsidRPr="00672545">
        <w:t xml:space="preserve"> 17 and received a similar account of the incident.</w:t>
      </w:r>
      <w:r w:rsidR="00F81CD5" w:rsidRPr="00672545">
        <w:t xml:space="preserve">  </w:t>
      </w:r>
      <w:r w:rsidR="00C41866" w:rsidRPr="00672545">
        <w:t xml:space="preserve">When asked whether he felt intimidated by the occurrence, Juror </w:t>
      </w:r>
      <w:r w:rsidR="00B12969" w:rsidRPr="00672545">
        <w:t>number</w:t>
      </w:r>
      <w:r w:rsidR="00C41866" w:rsidRPr="00672545">
        <w:t xml:space="preserve"> 17 thought he was “fine with </w:t>
      </w:r>
      <w:proofErr w:type="gramStart"/>
      <w:r w:rsidR="00C41866" w:rsidRPr="00672545">
        <w:t>it .</w:t>
      </w:r>
      <w:proofErr w:type="gramEnd"/>
      <w:r w:rsidR="00C41866" w:rsidRPr="00672545">
        <w:t xml:space="preserve"> . . not happy with it, </w:t>
      </w:r>
      <w:proofErr w:type="gramStart"/>
      <w:r w:rsidR="00C41866" w:rsidRPr="00672545">
        <w:t>but .</w:t>
      </w:r>
      <w:proofErr w:type="gramEnd"/>
      <w:r w:rsidR="00C41866" w:rsidRPr="00672545">
        <w:t> . . fine with it.”</w:t>
      </w:r>
      <w:r w:rsidR="00F81CD5" w:rsidRPr="00672545">
        <w:t xml:space="preserve">  </w:t>
      </w:r>
      <w:r w:rsidR="00C41866" w:rsidRPr="00672545">
        <w:t xml:space="preserve">The court also questioned Juror </w:t>
      </w:r>
      <w:r w:rsidR="00B12969" w:rsidRPr="00672545">
        <w:t>number</w:t>
      </w:r>
      <w:r w:rsidR="00C41866" w:rsidRPr="00672545">
        <w:t xml:space="preserve"> 18, who said </w:t>
      </w:r>
      <w:r w:rsidR="00CA4BA0" w:rsidRPr="00672545">
        <w:t>s</w:t>
      </w:r>
      <w:r w:rsidR="00C41866" w:rsidRPr="00672545">
        <w:t>he was not aware of the person that the other jurors believed was following them.  She indicated that the incident would not affect her ability to be fair</w:t>
      </w:r>
      <w:r w:rsidR="00CD6F2E" w:rsidRPr="00672545">
        <w:t xml:space="preserve"> or </w:t>
      </w:r>
      <w:r w:rsidR="000D1C4B" w:rsidRPr="00672545">
        <w:t>elevate</w:t>
      </w:r>
      <w:r w:rsidR="00CD6F2E" w:rsidRPr="00672545">
        <w:t xml:space="preserve"> her </w:t>
      </w:r>
      <w:r w:rsidR="00F676F0" w:rsidRPr="00672545">
        <w:t xml:space="preserve">safety </w:t>
      </w:r>
      <w:r w:rsidR="00CD6F2E" w:rsidRPr="00672545">
        <w:t>concern</w:t>
      </w:r>
      <w:r w:rsidR="00F676F0" w:rsidRPr="00672545">
        <w:t>s</w:t>
      </w:r>
      <w:r w:rsidR="00C41866" w:rsidRPr="00672545">
        <w:t>.</w:t>
      </w:r>
      <w:r w:rsidR="00F81CD5" w:rsidRPr="00672545">
        <w:t xml:space="preserve">  </w:t>
      </w:r>
    </w:p>
    <w:p w14:paraId="5A2BED1B" w14:textId="77777777" w:rsidR="006E45F8" w:rsidRPr="00672545" w:rsidRDefault="00C41866" w:rsidP="00672545">
      <w:r w:rsidRPr="00672545">
        <w:tab/>
      </w:r>
      <w:r w:rsidR="000D1C4B" w:rsidRPr="00672545">
        <w:t>The court then addressed the entire jury</w:t>
      </w:r>
      <w:r w:rsidR="002E4AB2" w:rsidRPr="00672545">
        <w:t>, informing</w:t>
      </w:r>
      <w:r w:rsidR="000D1C4B" w:rsidRPr="00672545">
        <w:t xml:space="preserve"> it that some jurors may have been followed to their cars the previous evening.  The court indicated it was </w:t>
      </w:r>
      <w:r w:rsidR="002E4AB2" w:rsidRPr="00672545">
        <w:t>providing this information</w:t>
      </w:r>
      <w:r w:rsidR="000D1C4B" w:rsidRPr="00672545">
        <w:t xml:space="preserve"> not </w:t>
      </w:r>
      <w:proofErr w:type="gramStart"/>
      <w:r w:rsidR="000D1C4B" w:rsidRPr="00672545">
        <w:t>in an effort to</w:t>
      </w:r>
      <w:proofErr w:type="gramEnd"/>
      <w:r w:rsidR="000D1C4B" w:rsidRPr="00672545">
        <w:t xml:space="preserve"> make them paranoid, but to encourage them to report any such behavior.  The court assured the</w:t>
      </w:r>
      <w:r w:rsidR="00DA1E6E" w:rsidRPr="00672545">
        <w:t xml:space="preserve"> jurors</w:t>
      </w:r>
      <w:r w:rsidR="000D1C4B" w:rsidRPr="00672545">
        <w:t xml:space="preserve"> that </w:t>
      </w:r>
      <w:r w:rsidR="00332643" w:rsidRPr="00672545">
        <w:t>law enforcement was investigating the incident</w:t>
      </w:r>
      <w:r w:rsidR="007F3BB9" w:rsidRPr="00672545">
        <w:t>.  It also informed them that motions to sequester the jury had been made</w:t>
      </w:r>
      <w:r w:rsidR="002E4AB2" w:rsidRPr="00672545">
        <w:t>.</w:t>
      </w:r>
      <w:r w:rsidR="00F335CC" w:rsidRPr="00672545">
        <w:t xml:space="preserve"> </w:t>
      </w:r>
      <w:r w:rsidR="002E4AB2" w:rsidRPr="00672545">
        <w:t xml:space="preserve"> But</w:t>
      </w:r>
      <w:r w:rsidR="00D634C2" w:rsidRPr="00672545">
        <w:t>,</w:t>
      </w:r>
      <w:r w:rsidR="002E4AB2" w:rsidRPr="00672545">
        <w:t xml:space="preserve"> </w:t>
      </w:r>
      <w:r w:rsidR="007F3BB9" w:rsidRPr="00672545">
        <w:t xml:space="preserve">the court </w:t>
      </w:r>
      <w:r w:rsidR="00D634C2" w:rsidRPr="00672545">
        <w:t xml:space="preserve">said, it </w:t>
      </w:r>
      <w:r w:rsidR="007F3BB9" w:rsidRPr="00672545">
        <w:t xml:space="preserve">had decided that sequestration was not appropriate.  </w:t>
      </w:r>
      <w:r w:rsidR="002E4AB2" w:rsidRPr="00672545">
        <w:t xml:space="preserve">Nevertheless, </w:t>
      </w:r>
      <w:r w:rsidR="000D1C4B" w:rsidRPr="00672545">
        <w:t>all security option</w:t>
      </w:r>
      <w:r w:rsidR="00332643" w:rsidRPr="00672545">
        <w:t>s</w:t>
      </w:r>
      <w:r w:rsidR="000D1C4B" w:rsidRPr="00672545">
        <w:t xml:space="preserve"> were being considered</w:t>
      </w:r>
      <w:r w:rsidR="007F3BB9" w:rsidRPr="00672545">
        <w:t xml:space="preserve"> and sequestration was a </w:t>
      </w:r>
      <w:r w:rsidR="002E4AB2" w:rsidRPr="00672545">
        <w:t xml:space="preserve">future </w:t>
      </w:r>
      <w:r w:rsidR="007F3BB9" w:rsidRPr="00672545">
        <w:t>possibility</w:t>
      </w:r>
      <w:r w:rsidR="000D1C4B" w:rsidRPr="00672545">
        <w:t xml:space="preserve">.  </w:t>
      </w:r>
      <w:r w:rsidR="002E0F38" w:rsidRPr="00672545">
        <w:t xml:space="preserve">The court encouraged any juror who believed that this incident would have a negative impact </w:t>
      </w:r>
      <w:r w:rsidR="00485DE1" w:rsidRPr="00672545">
        <w:t xml:space="preserve">on his or her </w:t>
      </w:r>
      <w:r w:rsidR="002E0F38" w:rsidRPr="00672545">
        <w:t>ab</w:t>
      </w:r>
      <w:r w:rsidR="00485DE1" w:rsidRPr="00672545">
        <w:t xml:space="preserve">ility </w:t>
      </w:r>
      <w:r w:rsidR="002E0F38" w:rsidRPr="00672545">
        <w:t xml:space="preserve">to be fair and impartial, or </w:t>
      </w:r>
      <w:r w:rsidR="00485DE1" w:rsidRPr="00672545">
        <w:t>on his or her ability to act a</w:t>
      </w:r>
      <w:r w:rsidR="002E0F38" w:rsidRPr="00672545">
        <w:t>s a juror, to communicate with the court by written note.</w:t>
      </w:r>
      <w:r w:rsidR="00F81CD5" w:rsidRPr="00672545">
        <w:t xml:space="preserve">  </w:t>
      </w:r>
      <w:r w:rsidR="002E0F38" w:rsidRPr="00672545">
        <w:t>The trial court received no such notes.</w:t>
      </w:r>
    </w:p>
    <w:p w14:paraId="6233FA26" w14:textId="77777777" w:rsidR="002E0F38" w:rsidRPr="00672545" w:rsidRDefault="00CE1FCE" w:rsidP="00672545">
      <w:r w:rsidRPr="00672545">
        <w:lastRenderedPageBreak/>
        <w:tab/>
        <w:t>On July 29, defense counsel brought to the court’s attention that a show had been earlier aired on cable television titled “Body Farm,” which dealt with the science of decomposition.  Forensic entomologist Haskell had mention</w:t>
      </w:r>
      <w:r w:rsidR="00D81781" w:rsidRPr="00672545">
        <w:t>ed</w:t>
      </w:r>
      <w:r w:rsidRPr="00672545">
        <w:t xml:space="preserve"> the Body Farm as a research facility at the University of Tennessee</w:t>
      </w:r>
      <w:r w:rsidR="00A8728E" w:rsidRPr="00672545">
        <w:t xml:space="preserve"> during his testimony</w:t>
      </w:r>
      <w:r w:rsidRPr="00672545">
        <w:t xml:space="preserve">.  Additionally, defense counsel noted that media coverage of the </w:t>
      </w:r>
      <w:proofErr w:type="spellStart"/>
      <w:r w:rsidRPr="00672545">
        <w:t>Runnion</w:t>
      </w:r>
      <w:proofErr w:type="spellEnd"/>
      <w:r w:rsidRPr="00672545">
        <w:t xml:space="preserve"> case had increased, including coverage of the fact that the defendant </w:t>
      </w:r>
      <w:r w:rsidR="00D634C2" w:rsidRPr="00672545">
        <w:t>in that case</w:t>
      </w:r>
      <w:r w:rsidRPr="00672545">
        <w:t xml:space="preserve"> had been previously acquitted of an earlier crime.  The defense was concerned that the jury here would think that if </w:t>
      </w:r>
      <w:proofErr w:type="gramStart"/>
      <w:r w:rsidRPr="00672545">
        <w:t>it</w:t>
      </w:r>
      <w:proofErr w:type="gramEnd"/>
      <w:r w:rsidRPr="00672545">
        <w:t xml:space="preserve"> acquitted defendant in this case, he would kill another little girl.  The defense renewed its request for sequestration.</w:t>
      </w:r>
      <w:r w:rsidR="00F81CD5" w:rsidRPr="00672545">
        <w:t xml:space="preserve">  </w:t>
      </w:r>
      <w:r w:rsidR="00DF23E0" w:rsidRPr="00672545">
        <w:t xml:space="preserve">The trial court responded that, as it had mentioned </w:t>
      </w:r>
      <w:proofErr w:type="gramStart"/>
      <w:r w:rsidR="00DF23E0" w:rsidRPr="00672545">
        <w:t>w</w:t>
      </w:r>
      <w:r w:rsidR="00DA1E6E" w:rsidRPr="00672545">
        <w:t>ith regard to</w:t>
      </w:r>
      <w:proofErr w:type="gramEnd"/>
      <w:r w:rsidR="00DF23E0" w:rsidRPr="00672545">
        <w:t xml:space="preserve"> the problem of the jurors being followed, it would continue to consider </w:t>
      </w:r>
      <w:r w:rsidR="00A8728E" w:rsidRPr="00672545">
        <w:t xml:space="preserve">jury </w:t>
      </w:r>
      <w:r w:rsidR="00DF23E0" w:rsidRPr="00672545">
        <w:t xml:space="preserve">sequestration as a potential option, but its preference was against it.  The court explained that </w:t>
      </w:r>
      <w:r w:rsidR="00A8728E" w:rsidRPr="00672545">
        <w:t>the jurors appeared to be a hardy group, “</w:t>
      </w:r>
      <w:r w:rsidR="00DF23E0" w:rsidRPr="00672545">
        <w:t>they don’t appear to be intimidated by what occurred and I continue to believe in their integrity.”</w:t>
      </w:r>
      <w:r w:rsidR="00F81CD5" w:rsidRPr="00672545">
        <w:t xml:space="preserve">  </w:t>
      </w:r>
      <w:r w:rsidR="003A2D75" w:rsidRPr="00672545">
        <w:t xml:space="preserve">The court denied </w:t>
      </w:r>
      <w:r w:rsidR="009E71BE" w:rsidRPr="00672545">
        <w:t>the defense</w:t>
      </w:r>
      <w:r w:rsidR="00DF23E0" w:rsidRPr="00672545">
        <w:t xml:space="preserve"> motion.</w:t>
      </w:r>
      <w:r w:rsidR="00F81CD5" w:rsidRPr="00672545">
        <w:t xml:space="preserve">  </w:t>
      </w:r>
    </w:p>
    <w:p w14:paraId="7F107FBC" w14:textId="77777777" w:rsidR="00997420" w:rsidRPr="00672545" w:rsidRDefault="00DF23E0" w:rsidP="00672545">
      <w:r w:rsidRPr="00672545">
        <w:tab/>
        <w:t xml:space="preserve">When the jurors returned the following day, the trial court told them that </w:t>
      </w:r>
      <w:r w:rsidR="00C6148C" w:rsidRPr="00672545">
        <w:t xml:space="preserve">despite </w:t>
      </w:r>
      <w:r w:rsidRPr="00672545">
        <w:t xml:space="preserve">its understanding that </w:t>
      </w:r>
      <w:proofErr w:type="gramStart"/>
      <w:r w:rsidRPr="00672545">
        <w:t>all of</w:t>
      </w:r>
      <w:proofErr w:type="gramEnd"/>
      <w:r w:rsidRPr="00672545">
        <w:t xml:space="preserve"> the jurors were in complete compliance</w:t>
      </w:r>
      <w:r w:rsidR="00C6148C" w:rsidRPr="00672545">
        <w:t xml:space="preserve">, there was still a potential for sequestering.  The court acknowledged that a number of jurors had shared a concern about not being available to their </w:t>
      </w:r>
      <w:proofErr w:type="gramStart"/>
      <w:r w:rsidR="00C6148C" w:rsidRPr="00672545">
        <w:t>families</w:t>
      </w:r>
      <w:r w:rsidR="00935A01" w:rsidRPr="00672545">
        <w:t>, and</w:t>
      </w:r>
      <w:proofErr w:type="gramEnd"/>
      <w:r w:rsidR="00935A01" w:rsidRPr="00672545">
        <w:t xml:space="preserve"> </w:t>
      </w:r>
      <w:r w:rsidR="00C6148C" w:rsidRPr="00672545">
        <w:t xml:space="preserve">assured the jurors that </w:t>
      </w:r>
      <w:r w:rsidR="00935A01" w:rsidRPr="00672545">
        <w:t>it</w:t>
      </w:r>
      <w:r w:rsidR="00C6148C" w:rsidRPr="00672545">
        <w:t xml:space="preserve"> would take such concern</w:t>
      </w:r>
      <w:r w:rsidR="00935A01" w:rsidRPr="00672545">
        <w:t>s</w:t>
      </w:r>
      <w:r w:rsidR="00C6148C" w:rsidRPr="00672545">
        <w:t xml:space="preserve"> into account</w:t>
      </w:r>
      <w:r w:rsidR="008F064B" w:rsidRPr="00672545">
        <w:t xml:space="preserve">.  It advised the jurors </w:t>
      </w:r>
      <w:r w:rsidR="004B225D" w:rsidRPr="00672545">
        <w:t xml:space="preserve">that it </w:t>
      </w:r>
      <w:r w:rsidR="00C6148C" w:rsidRPr="00672545">
        <w:t xml:space="preserve">was the court’s responsibility to make </w:t>
      </w:r>
      <w:r w:rsidR="004B225D" w:rsidRPr="00672545">
        <w:t>such</w:t>
      </w:r>
      <w:r w:rsidR="00C6148C" w:rsidRPr="00672545">
        <w:t xml:space="preserve"> decision</w:t>
      </w:r>
      <w:r w:rsidR="008F064B" w:rsidRPr="00672545">
        <w:t xml:space="preserve"> and</w:t>
      </w:r>
      <w:r w:rsidR="00E428F2" w:rsidRPr="00672545">
        <w:t xml:space="preserve"> although</w:t>
      </w:r>
      <w:r w:rsidR="008F064B" w:rsidRPr="00672545">
        <w:t xml:space="preserve"> t</w:t>
      </w:r>
      <w:r w:rsidR="00C6148C" w:rsidRPr="00672545">
        <w:t xml:space="preserve">he decision had not </w:t>
      </w:r>
      <w:r w:rsidR="004B225D" w:rsidRPr="00672545">
        <w:t xml:space="preserve">yet been made, it was the court’s current plan to allow the jury to </w:t>
      </w:r>
      <w:r w:rsidR="00935A01" w:rsidRPr="00672545">
        <w:t>continue</w:t>
      </w:r>
      <w:r w:rsidR="004B225D" w:rsidRPr="00672545">
        <w:t xml:space="preserve"> without sequestration.</w:t>
      </w:r>
      <w:r w:rsidR="00F81CD5" w:rsidRPr="00672545">
        <w:t xml:space="preserve">  </w:t>
      </w:r>
      <w:r w:rsidR="00E75680" w:rsidRPr="00672545">
        <w:t xml:space="preserve">The trial court went on to recognize that the </w:t>
      </w:r>
      <w:proofErr w:type="spellStart"/>
      <w:r w:rsidR="00E75680" w:rsidRPr="00672545">
        <w:t>Runnion</w:t>
      </w:r>
      <w:proofErr w:type="spellEnd"/>
      <w:r w:rsidR="00E75680" w:rsidRPr="00672545">
        <w:t xml:space="preserve"> case had been recently receiving publicity and that it might appear to</w:t>
      </w:r>
      <w:r w:rsidR="007243E9" w:rsidRPr="00672545">
        <w:t xml:space="preserve"> some to </w:t>
      </w:r>
      <w:r w:rsidR="00E75680" w:rsidRPr="00672545">
        <w:t xml:space="preserve">be </w:t>
      </w:r>
      <w:proofErr w:type="gramStart"/>
      <w:r w:rsidR="00E75680" w:rsidRPr="00672545">
        <w:lastRenderedPageBreak/>
        <w:t>similar to</w:t>
      </w:r>
      <w:proofErr w:type="gramEnd"/>
      <w:r w:rsidR="00E75680" w:rsidRPr="00672545">
        <w:t xml:space="preserve"> this case.  The court told the jury it was not </w:t>
      </w:r>
      <w:proofErr w:type="gramStart"/>
      <w:r w:rsidR="00E75680" w:rsidRPr="00672545">
        <w:t>similar</w:t>
      </w:r>
      <w:proofErr w:type="gramEnd"/>
      <w:r w:rsidR="00E75680" w:rsidRPr="00672545">
        <w:t xml:space="preserve"> and it had no bearing on the issues the jury was to decide in this case.  The court also warned the jury about the “Body Farm,” advising it not to watch the show.  It reminded the</w:t>
      </w:r>
      <w:r w:rsidR="00935A01" w:rsidRPr="00672545">
        <w:t xml:space="preserve"> jurors</w:t>
      </w:r>
      <w:r w:rsidR="00E75680" w:rsidRPr="00672545">
        <w:t xml:space="preserve"> that the only scientific evidence they were to consider about decomposition had been provided by the experts who testified in court.</w:t>
      </w:r>
      <w:r w:rsidR="00F81CD5" w:rsidRPr="00672545">
        <w:t xml:space="preserve">  </w:t>
      </w:r>
    </w:p>
    <w:p w14:paraId="370139C5" w14:textId="77777777" w:rsidR="007243E9" w:rsidRPr="00672545" w:rsidRDefault="007243E9" w:rsidP="00672545">
      <w:r w:rsidRPr="00672545">
        <w:tab/>
        <w:t xml:space="preserve">Prior to closing arguments, the trial court noted that defense counsel had </w:t>
      </w:r>
      <w:r w:rsidR="003A2D75" w:rsidRPr="00672545">
        <w:t xml:space="preserve">again </w:t>
      </w:r>
      <w:r w:rsidRPr="00672545">
        <w:t xml:space="preserve">raised the issue of sequestration.  The court informed counsel that it did not intend to sequester the jury based on </w:t>
      </w:r>
      <w:r w:rsidR="00935A01" w:rsidRPr="00672545">
        <w:t xml:space="preserve">its understanding of </w:t>
      </w:r>
      <w:r w:rsidR="003A2D75" w:rsidRPr="00672545">
        <w:t xml:space="preserve">the </w:t>
      </w:r>
      <w:r w:rsidRPr="00672545">
        <w:t>feeling</w:t>
      </w:r>
      <w:r w:rsidR="003A2D75" w:rsidRPr="00672545">
        <w:t>s</w:t>
      </w:r>
      <w:r w:rsidRPr="00672545">
        <w:t xml:space="preserve"> of th</w:t>
      </w:r>
      <w:r w:rsidR="003A2D75" w:rsidRPr="00672545">
        <w:t>e</w:t>
      </w:r>
      <w:r w:rsidRPr="00672545">
        <w:t xml:space="preserve"> jur</w:t>
      </w:r>
      <w:r w:rsidR="003A2D75" w:rsidRPr="00672545">
        <w:t xml:space="preserve">ors </w:t>
      </w:r>
      <w:r w:rsidRPr="00672545">
        <w:t>and everything that it had observed.  The court was confident that th</w:t>
      </w:r>
      <w:r w:rsidR="003A2D75" w:rsidRPr="00672545">
        <w:t>e</w:t>
      </w:r>
      <w:r w:rsidRPr="00672545">
        <w:t xml:space="preserve"> jury could still do its job and abide by the court’s orders.</w:t>
      </w:r>
      <w:r w:rsidR="00F81CD5" w:rsidRPr="00672545">
        <w:t xml:space="preserve">  </w:t>
      </w:r>
    </w:p>
    <w:p w14:paraId="451218C0" w14:textId="77777777" w:rsidR="004B5CE5" w:rsidRPr="00672545" w:rsidRDefault="007243E9" w:rsidP="00672545">
      <w:r w:rsidRPr="00672545">
        <w:tab/>
        <w:t>Defense counsel subsequently brought to the court’s attention a newspaper article that contained leaked information regarding defendant’s case</w:t>
      </w:r>
      <w:r w:rsidR="008F240F" w:rsidRPr="00672545">
        <w:t xml:space="preserve">.  The court </w:t>
      </w:r>
      <w:r w:rsidR="00C6318E" w:rsidRPr="00672545">
        <w:t xml:space="preserve">stated that it </w:t>
      </w:r>
      <w:r w:rsidR="008F240F" w:rsidRPr="00672545">
        <w:t>was aware of the article and intended to follow up with</w:t>
      </w:r>
      <w:r w:rsidRPr="00672545">
        <w:t xml:space="preserve"> </w:t>
      </w:r>
      <w:r w:rsidR="008F240F" w:rsidRPr="00672545">
        <w:t xml:space="preserve">law enforcement </w:t>
      </w:r>
      <w:r w:rsidR="00935A01" w:rsidRPr="00672545">
        <w:t>regarding</w:t>
      </w:r>
      <w:r w:rsidR="008F240F" w:rsidRPr="00672545">
        <w:t xml:space="preserve"> the source of the leak.</w:t>
      </w:r>
      <w:r w:rsidR="00F81CD5" w:rsidRPr="00672545">
        <w:t xml:space="preserve">  </w:t>
      </w:r>
      <w:r w:rsidR="008F240F" w:rsidRPr="00672545">
        <w:t>Defense counsel observed that another newspaper article had been published over the weekend, which specifically addressed CALJIC Nos. 2.60 and 2.61 and criticized</w:t>
      </w:r>
      <w:r w:rsidR="00935A01" w:rsidRPr="00672545">
        <w:t xml:space="preserve"> the concept of</w:t>
      </w:r>
      <w:r w:rsidR="008F240F" w:rsidRPr="00672545">
        <w:t xml:space="preserve"> a defendant’s right not to testify.  In addition, there was an article in San Diego Magazine discussing the Van Dams and </w:t>
      </w:r>
      <w:r w:rsidR="00BE19A1" w:rsidRPr="00672545">
        <w:t xml:space="preserve">the bar called </w:t>
      </w:r>
      <w:r w:rsidR="008F240F" w:rsidRPr="00672545">
        <w:t>Dad’s.  The defense</w:t>
      </w:r>
      <w:r w:rsidRPr="00672545">
        <w:t xml:space="preserve"> asked the court to </w:t>
      </w:r>
      <w:r w:rsidR="008F240F" w:rsidRPr="00672545">
        <w:t>“either sequester or specifically direct the jury that there’s more landmines out there.”</w:t>
      </w:r>
      <w:r w:rsidR="00F81CD5" w:rsidRPr="00672545">
        <w:t xml:space="preserve">  </w:t>
      </w:r>
      <w:r w:rsidR="008F240F" w:rsidRPr="00672545">
        <w:t>The court indicated that these were the same kinds of materials that had been covered by his previous admonitions.  It denied the renewed request for sequestration, explaining that by allowing the jurors to separate</w:t>
      </w:r>
      <w:r w:rsidR="00C6318E" w:rsidRPr="00672545">
        <w:t xml:space="preserve"> and not be sequestered</w:t>
      </w:r>
      <w:r w:rsidR="008F240F" w:rsidRPr="00672545">
        <w:t xml:space="preserve">, it was expecting them to abide by the court’s orders.  </w:t>
      </w:r>
      <w:r w:rsidR="00C6318E" w:rsidRPr="00672545">
        <w:t xml:space="preserve">For the record, the court noted </w:t>
      </w:r>
      <w:r w:rsidR="009436AC" w:rsidRPr="00672545">
        <w:t xml:space="preserve">again </w:t>
      </w:r>
      <w:r w:rsidR="00C6318E" w:rsidRPr="00672545">
        <w:t xml:space="preserve">its impression </w:t>
      </w:r>
      <w:r w:rsidR="009436AC" w:rsidRPr="00672545">
        <w:t>from dealing</w:t>
      </w:r>
      <w:r w:rsidR="00C6318E" w:rsidRPr="00672545">
        <w:t xml:space="preserve"> with the incident in which jurors had </w:t>
      </w:r>
      <w:r w:rsidR="00C6318E" w:rsidRPr="00672545">
        <w:lastRenderedPageBreak/>
        <w:t>been followed that these jurors were “a hardy group of people,” who did not “want their lives disrupted” by sequestration.</w:t>
      </w:r>
      <w:r w:rsidR="00F81CD5" w:rsidRPr="00672545">
        <w:t xml:space="preserve">  </w:t>
      </w:r>
      <w:r w:rsidR="00C6318E" w:rsidRPr="00672545">
        <w:t>It observed that sequestration also had its “own pitfalls.”</w:t>
      </w:r>
      <w:r w:rsidR="00F81CD5" w:rsidRPr="00672545">
        <w:t xml:space="preserve">  </w:t>
      </w:r>
      <w:r w:rsidR="00C6318E" w:rsidRPr="00672545">
        <w:t xml:space="preserve">In </w:t>
      </w:r>
      <w:r w:rsidR="00A76271" w:rsidRPr="00672545">
        <w:t>later</w:t>
      </w:r>
      <w:r w:rsidR="00C6318E" w:rsidRPr="00672545">
        <w:t xml:space="preserve"> admonishing the jury to avoid media coverage, the court </w:t>
      </w:r>
      <w:r w:rsidR="00A76271" w:rsidRPr="00672545">
        <w:t xml:space="preserve">again </w:t>
      </w:r>
      <w:r w:rsidR="00C6318E" w:rsidRPr="00672545">
        <w:t>emphasized that “</w:t>
      </w:r>
      <w:proofErr w:type="gramStart"/>
      <w:r w:rsidR="00C6318E" w:rsidRPr="00672545">
        <w:t>in order for</w:t>
      </w:r>
      <w:proofErr w:type="gramEnd"/>
      <w:r w:rsidR="00C6318E" w:rsidRPr="00672545">
        <w:t xml:space="preserve"> the court to abide by its commitment to you not to sequester you,” it was relying on the jurors “self-policing.”  It told the jury that </w:t>
      </w:r>
      <w:r w:rsidR="008E771C" w:rsidRPr="00672545">
        <w:t>“</w:t>
      </w:r>
      <w:r w:rsidR="009C2A24" w:rsidRPr="00672545">
        <w:t>[</w:t>
      </w:r>
      <w:proofErr w:type="spellStart"/>
      <w:r w:rsidR="009C2A24" w:rsidRPr="00672545">
        <w:t>i</w:t>
      </w:r>
      <w:proofErr w:type="spellEnd"/>
      <w:r w:rsidR="009C2A24" w:rsidRPr="00672545">
        <w:t>]f that changes for any reason, I’m going to have to change my</w:t>
      </w:r>
      <w:r w:rsidR="00C6318E" w:rsidRPr="00672545">
        <w:t xml:space="preserve"> position</w:t>
      </w:r>
      <w:r w:rsidR="009436AC" w:rsidRPr="00672545">
        <w:t>.</w:t>
      </w:r>
      <w:r w:rsidR="008E771C" w:rsidRPr="00672545">
        <w:t>”</w:t>
      </w:r>
      <w:r w:rsidR="00F81CD5" w:rsidRPr="00672545">
        <w:t xml:space="preserve">  </w:t>
      </w:r>
    </w:p>
    <w:p w14:paraId="624C63F3" w14:textId="77777777" w:rsidR="00C35A1B" w:rsidRPr="00672545" w:rsidRDefault="00C35A1B" w:rsidP="00672545">
      <w:r w:rsidRPr="00672545">
        <w:tab/>
      </w:r>
      <w:proofErr w:type="gramStart"/>
      <w:r w:rsidRPr="00672545">
        <w:t>In the course of</w:t>
      </w:r>
      <w:proofErr w:type="gramEnd"/>
      <w:r w:rsidRPr="00672545">
        <w:t xml:space="preserve"> closing argument, the court received a note </w:t>
      </w:r>
      <w:r w:rsidR="008470DF" w:rsidRPr="00672545">
        <w:t xml:space="preserve">from Juror </w:t>
      </w:r>
      <w:r w:rsidR="00B12969" w:rsidRPr="00672545">
        <w:t>number</w:t>
      </w:r>
      <w:r w:rsidR="008470DF" w:rsidRPr="00672545">
        <w:t xml:space="preserve"> 12 </w:t>
      </w:r>
      <w:r w:rsidRPr="00672545">
        <w:t xml:space="preserve">indicating that the increased media coverage of the case was making it hard to have “a clear mind” </w:t>
      </w:r>
      <w:r w:rsidR="00A521F6" w:rsidRPr="00672545">
        <w:t xml:space="preserve">because people </w:t>
      </w:r>
      <w:r w:rsidR="008470DF" w:rsidRPr="00672545">
        <w:t xml:space="preserve">around him </w:t>
      </w:r>
      <w:r w:rsidR="008F68A4" w:rsidRPr="00672545">
        <w:t>were</w:t>
      </w:r>
      <w:r w:rsidR="00A521F6" w:rsidRPr="00672545">
        <w:t xml:space="preserve"> talking and interested in the case.</w:t>
      </w:r>
      <w:r w:rsidR="00F81CD5" w:rsidRPr="00672545">
        <w:t xml:space="preserve">  </w:t>
      </w:r>
      <w:r w:rsidR="00561D8D" w:rsidRPr="00672545">
        <w:t>The court addressed the issue with the entire panel, telling the</w:t>
      </w:r>
      <w:r w:rsidR="008E771C" w:rsidRPr="00672545">
        <w:t xml:space="preserve"> jurors that</w:t>
      </w:r>
      <w:r w:rsidR="00561D8D" w:rsidRPr="00672545">
        <w:t xml:space="preserve"> they “have to figure out ways to avoid personally becoming involved” in such conversations and they must disregard anything they accidentally overhear </w:t>
      </w:r>
      <w:proofErr w:type="gramStart"/>
      <w:r w:rsidR="00561D8D" w:rsidRPr="00672545">
        <w:t>in light of</w:t>
      </w:r>
      <w:proofErr w:type="gramEnd"/>
      <w:r w:rsidR="00561D8D" w:rsidRPr="00672545">
        <w:t xml:space="preserve"> their obligation to base their decision solely on the evidence.  The court advised them that to avoid sequestration, they must continue to abide by the court’s order requiring self-policing.  </w:t>
      </w:r>
      <w:r w:rsidR="00B84225" w:rsidRPr="00672545">
        <w:t>The court expressed its faith in them.</w:t>
      </w:r>
      <w:r w:rsidR="00F81CD5" w:rsidRPr="00672545">
        <w:t xml:space="preserve">  </w:t>
      </w:r>
    </w:p>
    <w:p w14:paraId="27A35831" w14:textId="77777777" w:rsidR="00997420" w:rsidRPr="00672545" w:rsidRDefault="004B5CE5" w:rsidP="00672545">
      <w:r w:rsidRPr="00672545">
        <w:tab/>
      </w:r>
      <w:r w:rsidR="008252A1" w:rsidRPr="00672545">
        <w:t>The court</w:t>
      </w:r>
      <w:r w:rsidR="00F51DFD" w:rsidRPr="00672545">
        <w:t xml:space="preserve"> essentially repeated these comments in its concluding instruction to the jury.  </w:t>
      </w:r>
      <w:r w:rsidR="00A12FA0" w:rsidRPr="00672545">
        <w:t>The court also instructed the jur</w:t>
      </w:r>
      <w:r w:rsidR="008E771C" w:rsidRPr="00672545">
        <w:t>ors</w:t>
      </w:r>
      <w:r w:rsidR="00A12FA0" w:rsidRPr="00672545">
        <w:t xml:space="preserve"> that it expected them to alert the court if they discovered that they could not deliberate without outside influences and w</w:t>
      </w:r>
      <w:r w:rsidR="00A76271" w:rsidRPr="00672545">
        <w:t>ished</w:t>
      </w:r>
      <w:r w:rsidR="00A12FA0" w:rsidRPr="00672545">
        <w:t xml:space="preserve"> to be isolated for deliberations.</w:t>
      </w:r>
      <w:r w:rsidR="00F81CD5" w:rsidRPr="00672545">
        <w:t xml:space="preserve">  </w:t>
      </w:r>
    </w:p>
    <w:p w14:paraId="407B0D64" w14:textId="77777777" w:rsidR="003F1151" w:rsidRPr="00672545" w:rsidRDefault="00A12FA0" w:rsidP="00672545">
      <w:r w:rsidRPr="00672545">
        <w:tab/>
      </w:r>
      <w:r w:rsidR="00A76271" w:rsidRPr="00672545">
        <w:t>Later the same day, the court received a note from the jury indicating that one of the jurors was being “harassed” at work to the point that he would rather be sequestered than go to work</w:t>
      </w:r>
      <w:r w:rsidR="00F302DC" w:rsidRPr="00672545">
        <w:t xml:space="preserve"> on Fridays</w:t>
      </w:r>
      <w:r w:rsidR="008E771C" w:rsidRPr="00672545">
        <w:t xml:space="preserve"> when the court was not in session</w:t>
      </w:r>
      <w:r w:rsidR="00A76271" w:rsidRPr="00672545">
        <w:t xml:space="preserve">.  </w:t>
      </w:r>
      <w:r w:rsidR="008E771C" w:rsidRPr="00672545">
        <w:t>Because</w:t>
      </w:r>
      <w:r w:rsidR="00A76271" w:rsidRPr="00672545">
        <w:t xml:space="preserve"> sequestering would significantly affect the other jurors, the </w:t>
      </w:r>
      <w:r w:rsidR="00A76271" w:rsidRPr="00672545">
        <w:lastRenderedPageBreak/>
        <w:t>remainder of the jury proposed that they be allowed to deliberate all or part of the day on Friday</w:t>
      </w:r>
      <w:r w:rsidR="00A37BB5" w:rsidRPr="00672545">
        <w:t>s</w:t>
      </w:r>
      <w:r w:rsidR="00A76271" w:rsidRPr="00672545">
        <w:t>, so that the other juror could avoid going to work.</w:t>
      </w:r>
      <w:r w:rsidR="00F81CD5" w:rsidRPr="00672545">
        <w:t xml:space="preserve">  </w:t>
      </w:r>
      <w:r w:rsidR="002B46F1" w:rsidRPr="00672545">
        <w:t xml:space="preserve">In closed session with the entire panel, the court worked out a plan that allowed them to come in on Fridays.  They could convene </w:t>
      </w:r>
      <w:r w:rsidR="00546530" w:rsidRPr="00672545">
        <w:t>for a short time</w:t>
      </w:r>
      <w:r w:rsidR="002B46F1" w:rsidRPr="00672545">
        <w:t xml:space="preserve"> and </w:t>
      </w:r>
      <w:r w:rsidR="00546530" w:rsidRPr="00672545">
        <w:t xml:space="preserve">then </w:t>
      </w:r>
      <w:r w:rsidR="002B46F1" w:rsidRPr="00672545">
        <w:t xml:space="preserve">leave, which would generally be </w:t>
      </w:r>
      <w:proofErr w:type="gramStart"/>
      <w:r w:rsidR="002B46F1" w:rsidRPr="00672545">
        <w:t>sufficient</w:t>
      </w:r>
      <w:proofErr w:type="gramEnd"/>
      <w:r w:rsidR="002B46F1" w:rsidRPr="00672545">
        <w:t xml:space="preserve"> to excuse them from work.</w:t>
      </w:r>
      <w:r w:rsidR="00F81CD5" w:rsidRPr="00672545">
        <w:t xml:space="preserve">  </w:t>
      </w:r>
    </w:p>
    <w:p w14:paraId="4BBD9B01" w14:textId="77777777" w:rsidR="00A12FA0" w:rsidRPr="00672545" w:rsidRDefault="003F1151" w:rsidP="00672545">
      <w:r w:rsidRPr="00672545">
        <w:tab/>
      </w:r>
      <w:r w:rsidR="002B46F1" w:rsidRPr="00672545">
        <w:t xml:space="preserve">The court then separately questioned Juror </w:t>
      </w:r>
      <w:r w:rsidR="00B12969" w:rsidRPr="00672545">
        <w:t>number</w:t>
      </w:r>
      <w:r w:rsidR="002B46F1" w:rsidRPr="00672545">
        <w:t xml:space="preserve"> 12, who was the juror who felt harassed at work.  </w:t>
      </w:r>
      <w:r w:rsidR="00A37BB5" w:rsidRPr="00672545">
        <w:t>He confirmed that the court’s plan for brief attendance on Fridays would excuse him from work.</w:t>
      </w:r>
      <w:r w:rsidR="00F81CD5" w:rsidRPr="00672545">
        <w:t xml:space="preserve">  </w:t>
      </w:r>
      <w:r w:rsidR="00A37BB5" w:rsidRPr="00672545">
        <w:t xml:space="preserve">Asked to describe what kind of things were occurring at work that caused him concern, Juror </w:t>
      </w:r>
      <w:r w:rsidR="00B12969" w:rsidRPr="00672545">
        <w:t>number</w:t>
      </w:r>
      <w:r w:rsidR="00A37BB5" w:rsidRPr="00672545">
        <w:t xml:space="preserve"> 12 related that nothing had been said to him, but everyone at work had a radio and read the paper.  It was becoming hard for him to go to work because “a lot of people [were not] as respectful as they should be.”</w:t>
      </w:r>
      <w:r w:rsidR="00F81CD5" w:rsidRPr="00672545">
        <w:t xml:space="preserve">  </w:t>
      </w:r>
      <w:r w:rsidR="00A37BB5" w:rsidRPr="00672545">
        <w:t xml:space="preserve">Juror </w:t>
      </w:r>
      <w:r w:rsidR="00B12969" w:rsidRPr="00672545">
        <w:t>number</w:t>
      </w:r>
      <w:r w:rsidR="00A37BB5" w:rsidRPr="00672545">
        <w:t xml:space="preserve"> 12 stated that this was not influencing the way he looked at the evidence “or anything like that,” but it was getting to the point that he was avoiding his work and getting “written up for it.”  He did not feel he should be placed in such</w:t>
      </w:r>
      <w:r w:rsidR="00486921" w:rsidRPr="00672545">
        <w:t xml:space="preserve"> a position.</w:t>
      </w:r>
      <w:r w:rsidR="00F81CD5" w:rsidRPr="00672545">
        <w:t xml:space="preserve">  </w:t>
      </w:r>
      <w:r w:rsidR="00486921" w:rsidRPr="00672545">
        <w:t xml:space="preserve">Juror </w:t>
      </w:r>
      <w:r w:rsidR="00B12969" w:rsidRPr="00672545">
        <w:t>number</w:t>
      </w:r>
      <w:r w:rsidR="00486921" w:rsidRPr="00672545">
        <w:t xml:space="preserve"> 12 stated that his concern was not with the media coverage, which he was strong enough to keep away from, but with </w:t>
      </w:r>
      <w:r w:rsidR="00077E90" w:rsidRPr="00672545">
        <w:t>the</w:t>
      </w:r>
      <w:r w:rsidR="00486921" w:rsidRPr="00672545">
        <w:t xml:space="preserve"> people at work who were making it hard </w:t>
      </w:r>
      <w:r w:rsidR="00421ADE" w:rsidRPr="00672545">
        <w:t>for him.  The new scheduling, he confirmed, would solve the problem.</w:t>
      </w:r>
      <w:r w:rsidR="00F81CD5" w:rsidRPr="00672545">
        <w:t xml:space="preserve">  </w:t>
      </w:r>
      <w:r w:rsidR="00421ADE" w:rsidRPr="00672545">
        <w:t xml:space="preserve">Asked whether any information he </w:t>
      </w:r>
      <w:r w:rsidR="00BF363F" w:rsidRPr="00672545">
        <w:t xml:space="preserve">had </w:t>
      </w:r>
      <w:r w:rsidR="00421ADE" w:rsidRPr="00672545">
        <w:t xml:space="preserve">received from his workplace affected his ability to be fair and objective, Juror </w:t>
      </w:r>
      <w:r w:rsidR="00B12969" w:rsidRPr="00672545">
        <w:t>number</w:t>
      </w:r>
      <w:r w:rsidR="00421ADE" w:rsidRPr="00672545">
        <w:t xml:space="preserve"> 12 responded: “Oh, no.  None.”</w:t>
      </w:r>
      <w:r w:rsidR="00F81CD5" w:rsidRPr="00672545">
        <w:t xml:space="preserve">  </w:t>
      </w:r>
      <w:r w:rsidRPr="00672545">
        <w:t>Meeting again with the entire panel in closed session, the trial court confirmed that the majority would prefer not to be sequestered.</w:t>
      </w:r>
      <w:r w:rsidR="00F81CD5" w:rsidRPr="00672545">
        <w:t xml:space="preserve">  </w:t>
      </w:r>
    </w:p>
    <w:p w14:paraId="43F061DC" w14:textId="77777777" w:rsidR="00997420" w:rsidRPr="00672545" w:rsidRDefault="00A12FA0" w:rsidP="00672545">
      <w:r w:rsidRPr="00672545">
        <w:tab/>
      </w:r>
      <w:r w:rsidR="00546530" w:rsidRPr="00672545">
        <w:t xml:space="preserve">On August 13, the trial court held another closed session to discuss information received by the defense that reported Juror </w:t>
      </w:r>
      <w:r w:rsidR="00B12969" w:rsidRPr="00672545">
        <w:t>number</w:t>
      </w:r>
      <w:r w:rsidR="00546530" w:rsidRPr="00672545">
        <w:t xml:space="preserve"> 12 had stated </w:t>
      </w:r>
      <w:r w:rsidR="00610257" w:rsidRPr="00672545">
        <w:t xml:space="preserve">to a coworker that </w:t>
      </w:r>
      <w:r w:rsidR="00546530" w:rsidRPr="00672545">
        <w:t xml:space="preserve">“he wasn’t going </w:t>
      </w:r>
      <w:r w:rsidR="00546530" w:rsidRPr="00672545">
        <w:lastRenderedPageBreak/>
        <w:t>to believe anything [</w:t>
      </w:r>
      <w:r w:rsidR="00DB2101" w:rsidRPr="00672545">
        <w:t xml:space="preserve">one of the </w:t>
      </w:r>
      <w:r w:rsidR="00546530" w:rsidRPr="00672545">
        <w:t xml:space="preserve">defense </w:t>
      </w:r>
      <w:proofErr w:type="gramStart"/>
      <w:r w:rsidR="00546530" w:rsidRPr="00672545">
        <w:t>counsel</w:t>
      </w:r>
      <w:proofErr w:type="gramEnd"/>
      <w:r w:rsidR="00546530" w:rsidRPr="00672545">
        <w:t>] said because he</w:t>
      </w:r>
      <w:r w:rsidR="00077E90" w:rsidRPr="00672545">
        <w:t xml:space="preserve"> didn’t like him.”</w:t>
      </w:r>
      <w:r w:rsidR="00F81CD5" w:rsidRPr="00672545">
        <w:t xml:space="preserve">  </w:t>
      </w:r>
      <w:r w:rsidR="00546530" w:rsidRPr="00672545">
        <w:t xml:space="preserve">The defense </w:t>
      </w:r>
      <w:r w:rsidR="00BD2947" w:rsidRPr="00672545">
        <w:t xml:space="preserve">wanted the court to “become involved” and question Juror </w:t>
      </w:r>
      <w:r w:rsidR="00B12969" w:rsidRPr="00672545">
        <w:t>number</w:t>
      </w:r>
      <w:r w:rsidR="00BD2947" w:rsidRPr="00672545">
        <w:t xml:space="preserve"> 12.  The defense also felt that there was increasing </w:t>
      </w:r>
      <w:r w:rsidR="00DB2101" w:rsidRPr="00672545">
        <w:t>media</w:t>
      </w:r>
      <w:r w:rsidR="00BD2947" w:rsidRPr="00672545">
        <w:t xml:space="preserve"> </w:t>
      </w:r>
      <w:r w:rsidR="00DB2101" w:rsidRPr="00672545">
        <w:t xml:space="preserve">and public </w:t>
      </w:r>
      <w:r w:rsidR="00BD2947" w:rsidRPr="00672545">
        <w:t xml:space="preserve">pressure that justified </w:t>
      </w:r>
      <w:r w:rsidR="00546530" w:rsidRPr="00672545">
        <w:t>mov</w:t>
      </w:r>
      <w:r w:rsidR="00BD2947" w:rsidRPr="00672545">
        <w:t>ing</w:t>
      </w:r>
      <w:r w:rsidR="00546530" w:rsidRPr="00672545">
        <w:t xml:space="preserve"> for a mistrial</w:t>
      </w:r>
      <w:r w:rsidR="00BD2947" w:rsidRPr="00672545">
        <w:t>.</w:t>
      </w:r>
      <w:r w:rsidR="00F81CD5" w:rsidRPr="00672545">
        <w:t xml:space="preserve">  </w:t>
      </w:r>
      <w:r w:rsidR="00FC54E3" w:rsidRPr="00672545">
        <w:t xml:space="preserve">In support of the </w:t>
      </w:r>
      <w:r w:rsidR="00BD2947" w:rsidRPr="00672545">
        <w:t>motion</w:t>
      </w:r>
      <w:r w:rsidR="00FC54E3" w:rsidRPr="00672545">
        <w:t>, defense counsel related his own experience of name-calling, threats, and protests that seemed to be aimed at influencing the progress of the trial.</w:t>
      </w:r>
      <w:r w:rsidR="00F81CD5" w:rsidRPr="00672545">
        <w:t xml:space="preserve">  </w:t>
      </w:r>
      <w:r w:rsidR="00546530" w:rsidRPr="00672545">
        <w:t xml:space="preserve">The court found no basis for a mistrial and declined to inquire further of Juror </w:t>
      </w:r>
      <w:r w:rsidR="00B12969" w:rsidRPr="00672545">
        <w:t>number</w:t>
      </w:r>
      <w:r w:rsidR="00546530" w:rsidRPr="00672545">
        <w:t xml:space="preserve"> 12 because the allegations were hearsay, if not double hearsay</w:t>
      </w:r>
      <w:r w:rsidR="00DB2101" w:rsidRPr="00672545">
        <w:t>, and unrelated to the juror’s duty to decide the case based on the evidence alone</w:t>
      </w:r>
      <w:r w:rsidR="00674F33" w:rsidRPr="00672545">
        <w:t>.  It</w:t>
      </w:r>
      <w:r w:rsidR="00610257" w:rsidRPr="00672545">
        <w:t xml:space="preserve"> suggested the parties were free to follow up on the matter</w:t>
      </w:r>
      <w:r w:rsidR="00674F33" w:rsidRPr="00672545">
        <w:t xml:space="preserve"> to find out if there was </w:t>
      </w:r>
      <w:r w:rsidR="00DB2101" w:rsidRPr="00672545">
        <w:t>further</w:t>
      </w:r>
      <w:r w:rsidR="00674F33" w:rsidRPr="00672545">
        <w:t xml:space="preserve"> basis </w:t>
      </w:r>
      <w:r w:rsidR="00DB2101" w:rsidRPr="00672545">
        <w:t>for</w:t>
      </w:r>
      <w:r w:rsidR="00674F33" w:rsidRPr="00672545">
        <w:t xml:space="preserve"> the claim</w:t>
      </w:r>
      <w:r w:rsidR="00546530" w:rsidRPr="00672545">
        <w:t xml:space="preserve">.  </w:t>
      </w:r>
    </w:p>
    <w:p w14:paraId="77E70F5B" w14:textId="77777777" w:rsidR="00EA2F17" w:rsidRPr="00672545" w:rsidRDefault="006F28BB" w:rsidP="00672545">
      <w:r w:rsidRPr="00672545">
        <w:tab/>
        <w:t>Two days later, one of the alternate jurors reported she felt</w:t>
      </w:r>
      <w:r w:rsidR="008E771C" w:rsidRPr="00672545">
        <w:t xml:space="preserve"> that</w:t>
      </w:r>
      <w:r w:rsidRPr="00672545">
        <w:t xml:space="preserve"> she and Juror </w:t>
      </w:r>
      <w:r w:rsidR="00B12969" w:rsidRPr="00672545">
        <w:t>number</w:t>
      </w:r>
      <w:r w:rsidRPr="00672545">
        <w:t xml:space="preserve"> 2 had been followed when they left the courthouse one evening.  She confirmed that nothing about the incident would have any effect on her or prohibit her from </w:t>
      </w:r>
      <w:r w:rsidR="008E771C" w:rsidRPr="00672545">
        <w:t>fulfilling</w:t>
      </w:r>
      <w:r w:rsidRPr="00672545">
        <w:t xml:space="preserve"> any duty she was called upon to perform in the trial.  </w:t>
      </w:r>
      <w:r w:rsidR="005906AC" w:rsidRPr="00672545">
        <w:t xml:space="preserve">When questioned, Juror </w:t>
      </w:r>
      <w:r w:rsidR="00B12969" w:rsidRPr="00672545">
        <w:t>number</w:t>
      </w:r>
      <w:r w:rsidR="005906AC" w:rsidRPr="00672545">
        <w:t xml:space="preserve"> 2 did not feel they had been followed.  He also confirmed that nothing about the incident would affect his ability to be fair and impartial in the deliberations.  </w:t>
      </w:r>
    </w:p>
    <w:p w14:paraId="76451F79" w14:textId="77777777" w:rsidR="006E45F8" w:rsidRPr="00672545" w:rsidRDefault="005906AC" w:rsidP="00672545">
      <w:r w:rsidRPr="00672545">
        <w:tab/>
        <w:t xml:space="preserve">On the same day, the trial court heard and denied another request from the defense to sequester the jury based on </w:t>
      </w:r>
      <w:r w:rsidR="00A21F8F" w:rsidRPr="00672545">
        <w:t xml:space="preserve">what the defense felt was </w:t>
      </w:r>
      <w:r w:rsidRPr="00672545">
        <w:t xml:space="preserve">pressure being placed on them </w:t>
      </w:r>
      <w:r w:rsidR="002C6598" w:rsidRPr="00672545">
        <w:t>by</w:t>
      </w:r>
      <w:r w:rsidRPr="00672545">
        <w:t xml:space="preserve"> media </w:t>
      </w:r>
      <w:r w:rsidR="002C6598" w:rsidRPr="00672545">
        <w:t>scrutiny</w:t>
      </w:r>
      <w:r w:rsidRPr="00672545">
        <w:t xml:space="preserve">.  </w:t>
      </w:r>
      <w:r w:rsidR="00A21F8F" w:rsidRPr="00672545">
        <w:t xml:space="preserve">The court granted the defense’s alternative request </w:t>
      </w:r>
      <w:r w:rsidR="00D26CE7" w:rsidRPr="00672545">
        <w:t xml:space="preserve">that the jury be provided a place to gather during breaks and lunch away from the media and public.  </w:t>
      </w:r>
    </w:p>
    <w:p w14:paraId="54D56A41" w14:textId="77777777" w:rsidR="00734FE2" w:rsidRPr="00672545" w:rsidRDefault="00734FE2" w:rsidP="00672545">
      <w:pPr>
        <w:pStyle w:val="Heading4"/>
      </w:pPr>
      <w:r w:rsidRPr="00672545">
        <w:lastRenderedPageBreak/>
        <w:t>b.  Discussion</w:t>
      </w:r>
    </w:p>
    <w:p w14:paraId="1A5A1EDA" w14:textId="77777777" w:rsidR="00CE60FB" w:rsidRPr="00672545" w:rsidRDefault="00897285" w:rsidP="00672545">
      <w:pPr>
        <w:rPr>
          <w:szCs w:val="26"/>
        </w:rPr>
      </w:pPr>
      <w:r w:rsidRPr="00672545">
        <w:rPr>
          <w:szCs w:val="26"/>
        </w:rPr>
        <w:tab/>
        <w:t>Section 1121 provides</w:t>
      </w:r>
      <w:r w:rsidR="00D97E97" w:rsidRPr="00672545">
        <w:rPr>
          <w:szCs w:val="26"/>
        </w:rPr>
        <w:t>, in relevant part, that</w:t>
      </w:r>
      <w:r w:rsidRPr="00672545">
        <w:rPr>
          <w:szCs w:val="26"/>
        </w:rPr>
        <w:t xml:space="preserve"> </w:t>
      </w:r>
      <w:r w:rsidR="00D97E97" w:rsidRPr="00672545">
        <w:rPr>
          <w:szCs w:val="26"/>
        </w:rPr>
        <w:t>“[t]</w:t>
      </w:r>
      <w:r w:rsidRPr="00672545">
        <w:rPr>
          <w:szCs w:val="26"/>
        </w:rPr>
        <w:t>he jurors sworn to try an action may, in the discretion of the court, be permitted to separate or be kept in charge of a proper officer.</w:t>
      </w:r>
      <w:r w:rsidR="00D97E97" w:rsidRPr="00672545">
        <w:rPr>
          <w:szCs w:val="26"/>
        </w:rPr>
        <w:t xml:space="preserve">”  It is well settled </w:t>
      </w:r>
      <w:r w:rsidR="006E1384" w:rsidRPr="00672545">
        <w:rPr>
          <w:szCs w:val="26"/>
        </w:rPr>
        <w:t xml:space="preserve">that </w:t>
      </w:r>
      <w:r w:rsidR="00D97E97" w:rsidRPr="00672545">
        <w:rPr>
          <w:szCs w:val="26"/>
        </w:rPr>
        <w:t>under this statute and prior case law</w:t>
      </w:r>
      <w:r w:rsidR="006E1384" w:rsidRPr="00672545">
        <w:rPr>
          <w:szCs w:val="26"/>
        </w:rPr>
        <w:t>,</w:t>
      </w:r>
      <w:r w:rsidR="00D97E97" w:rsidRPr="00672545">
        <w:rPr>
          <w:szCs w:val="26"/>
        </w:rPr>
        <w:t xml:space="preserve"> “sequestration is discretionary with the trial court</w:t>
      </w:r>
      <w:r w:rsidRPr="00672545">
        <w:rPr>
          <w:szCs w:val="26"/>
        </w:rPr>
        <w:t xml:space="preserve"> </w:t>
      </w:r>
      <w:r w:rsidR="00D97E97" w:rsidRPr="00672545">
        <w:rPr>
          <w:szCs w:val="26"/>
        </w:rPr>
        <w:t>even in capital cases.”  (</w:t>
      </w:r>
      <w:r w:rsidR="00D97E97" w:rsidRPr="00672545">
        <w:rPr>
          <w:i/>
          <w:iCs/>
          <w:szCs w:val="26"/>
        </w:rPr>
        <w:t xml:space="preserve">People v. </w:t>
      </w:r>
      <w:proofErr w:type="spellStart"/>
      <w:r w:rsidR="00D97E97" w:rsidRPr="00672545">
        <w:rPr>
          <w:i/>
          <w:iCs/>
          <w:szCs w:val="26"/>
        </w:rPr>
        <w:t>Bunyard</w:t>
      </w:r>
      <w:proofErr w:type="spellEnd"/>
      <w:r w:rsidR="00D97E97" w:rsidRPr="00672545">
        <w:rPr>
          <w:szCs w:val="26"/>
        </w:rPr>
        <w:t xml:space="preserve"> (1988) 45 Cal.3d 1189, 1218</w:t>
      </w:r>
      <w:r w:rsidR="003F2C3C" w:rsidRPr="00672545">
        <w:rPr>
          <w:szCs w:val="26"/>
        </w:rPr>
        <w:t>, accord</w:t>
      </w:r>
      <w:r w:rsidR="00D97E97" w:rsidRPr="00672545">
        <w:rPr>
          <w:szCs w:val="26"/>
        </w:rPr>
        <w:t xml:space="preserve"> </w:t>
      </w:r>
      <w:r w:rsidR="00D97E97" w:rsidRPr="00672545">
        <w:rPr>
          <w:i/>
          <w:iCs/>
          <w:szCs w:val="26"/>
        </w:rPr>
        <w:t>People v. Gallego</w:t>
      </w:r>
      <w:r w:rsidR="00D97E97" w:rsidRPr="00672545">
        <w:rPr>
          <w:szCs w:val="26"/>
        </w:rPr>
        <w:t xml:space="preserve"> (1990) 52 Cal.3d 115, 169; </w:t>
      </w:r>
      <w:r w:rsidR="00D97E97" w:rsidRPr="00672545">
        <w:rPr>
          <w:i/>
          <w:iCs/>
          <w:szCs w:val="26"/>
        </w:rPr>
        <w:t xml:space="preserve">People </w:t>
      </w:r>
      <w:r w:rsidR="00D97E97" w:rsidRPr="00672545">
        <w:rPr>
          <w:i/>
          <w:szCs w:val="26"/>
        </w:rPr>
        <w:t>v.</w:t>
      </w:r>
      <w:r w:rsidR="00D97E97" w:rsidRPr="00672545">
        <w:rPr>
          <w:i/>
          <w:iCs/>
          <w:szCs w:val="26"/>
        </w:rPr>
        <w:t xml:space="preserve"> Ruiz</w:t>
      </w:r>
      <w:r w:rsidR="00D97E97" w:rsidRPr="00672545">
        <w:rPr>
          <w:szCs w:val="26"/>
        </w:rPr>
        <w:t xml:space="preserve"> (1988) 44 Cal.3d 589, 616</w:t>
      </w:r>
      <w:r w:rsidR="008E771C" w:rsidRPr="00672545">
        <w:rPr>
          <w:szCs w:val="26"/>
        </w:rPr>
        <w:t>.</w:t>
      </w:r>
      <w:r w:rsidR="00D97E97" w:rsidRPr="00672545">
        <w:rPr>
          <w:szCs w:val="26"/>
        </w:rPr>
        <w:t xml:space="preserve">)  </w:t>
      </w:r>
      <w:r w:rsidR="005D0AAD" w:rsidRPr="00672545">
        <w:rPr>
          <w:szCs w:val="26"/>
        </w:rPr>
        <w:t>“The trial court stands in the best position to evaluate the necessity of sequestration in a particular case.”  (</w:t>
      </w:r>
      <w:r w:rsidR="005D0AAD" w:rsidRPr="00672545">
        <w:rPr>
          <w:i/>
          <w:szCs w:val="26"/>
        </w:rPr>
        <w:t>Ruiz</w:t>
      </w:r>
      <w:r w:rsidR="004761A4">
        <w:t xml:space="preserve">, </w:t>
      </w:r>
      <w:r w:rsidR="00D91BAF" w:rsidRPr="00672545">
        <w:rPr>
          <w:szCs w:val="26"/>
        </w:rPr>
        <w:t>at p. 616</w:t>
      </w:r>
      <w:r w:rsidR="005D0AAD" w:rsidRPr="00672545">
        <w:rPr>
          <w:szCs w:val="26"/>
        </w:rPr>
        <w:t>.)</w:t>
      </w:r>
      <w:r w:rsidR="00583DA2" w:rsidRPr="00672545">
        <w:rPr>
          <w:szCs w:val="26"/>
        </w:rPr>
        <w:t xml:space="preserve">  </w:t>
      </w:r>
      <w:proofErr w:type="gramStart"/>
      <w:r w:rsidR="00E90AD6" w:rsidRPr="00672545">
        <w:rPr>
          <w:szCs w:val="26"/>
        </w:rPr>
        <w:t>“ ‘</w:t>
      </w:r>
      <w:proofErr w:type="gramEnd"/>
      <w:r w:rsidR="00E90AD6" w:rsidRPr="00672545">
        <w:rPr>
          <w:szCs w:val="26"/>
        </w:rPr>
        <w:t>[I]</w:t>
      </w:r>
      <w:r w:rsidR="00A12055" w:rsidRPr="00672545">
        <w:rPr>
          <w:szCs w:val="26"/>
        </w:rPr>
        <w:t>n reviewing a trial court’</w:t>
      </w:r>
      <w:r w:rsidR="00583DA2" w:rsidRPr="00672545">
        <w:rPr>
          <w:szCs w:val="26"/>
        </w:rPr>
        <w:t>s denial of a defendant</w:t>
      </w:r>
      <w:r w:rsidR="00E90AD6" w:rsidRPr="00672545">
        <w:rPr>
          <w:szCs w:val="26"/>
        </w:rPr>
        <w:t>’</w:t>
      </w:r>
      <w:r w:rsidR="00583DA2" w:rsidRPr="00672545">
        <w:rPr>
          <w:szCs w:val="26"/>
        </w:rPr>
        <w:t>s motion for individual seque</w:t>
      </w:r>
      <w:r w:rsidR="00A12055" w:rsidRPr="00672545">
        <w:rPr>
          <w:szCs w:val="26"/>
        </w:rPr>
        <w:t>stered jury selection,</w:t>
      </w:r>
      <w:r w:rsidR="00E90AD6" w:rsidRPr="00672545">
        <w:rPr>
          <w:szCs w:val="26"/>
        </w:rPr>
        <w:t xml:space="preserve"> we apply the “abuse of discretion standard,”</w:t>
      </w:r>
      <w:r w:rsidR="00583DA2" w:rsidRPr="00672545">
        <w:rPr>
          <w:szCs w:val="26"/>
        </w:rPr>
        <w:t xml:space="preserve"> under which the pertinent inquiry is whether the court</w:t>
      </w:r>
      <w:r w:rsidR="00B067FD" w:rsidRPr="00672545">
        <w:rPr>
          <w:szCs w:val="26"/>
        </w:rPr>
        <w:t>’s ruling “</w:t>
      </w:r>
      <w:r w:rsidR="00583DA2" w:rsidRPr="00672545">
        <w:rPr>
          <w:szCs w:val="26"/>
        </w:rPr>
        <w:t>falls outside the bounds of reaso</w:t>
      </w:r>
      <w:r w:rsidR="00B067FD" w:rsidRPr="00672545">
        <w:rPr>
          <w:szCs w:val="26"/>
        </w:rPr>
        <w:t>n.” ’</w:t>
      </w:r>
      <w:r w:rsidR="00583DA2" w:rsidRPr="00672545">
        <w:rPr>
          <w:szCs w:val="26"/>
        </w:rPr>
        <w:t xml:space="preserve"> [Citation.]” (</w:t>
      </w:r>
      <w:r w:rsidR="00B067FD" w:rsidRPr="00672545">
        <w:rPr>
          <w:i/>
          <w:szCs w:val="26"/>
        </w:rPr>
        <w:t>People v. Perez</w:t>
      </w:r>
      <w:r w:rsidR="00B067FD" w:rsidRPr="00672545">
        <w:rPr>
          <w:szCs w:val="26"/>
        </w:rPr>
        <w:t xml:space="preserve"> (2018) 4 Cal.5th 421, 443, quoting </w:t>
      </w:r>
      <w:r w:rsidR="00583DA2" w:rsidRPr="00672545">
        <w:rPr>
          <w:i/>
          <w:szCs w:val="26"/>
        </w:rPr>
        <w:t xml:space="preserve">People v. </w:t>
      </w:r>
      <w:proofErr w:type="spellStart"/>
      <w:r w:rsidR="00583DA2" w:rsidRPr="00672545">
        <w:rPr>
          <w:i/>
          <w:szCs w:val="26"/>
        </w:rPr>
        <w:t>Famalaro</w:t>
      </w:r>
      <w:proofErr w:type="spellEnd"/>
      <w:r w:rsidR="00583DA2" w:rsidRPr="00672545">
        <w:rPr>
          <w:szCs w:val="26"/>
        </w:rPr>
        <w:t xml:space="preserve"> (2011) 52 Cal.4th 1, 34.)</w:t>
      </w:r>
    </w:p>
    <w:p w14:paraId="0E5E3F81" w14:textId="77777777" w:rsidR="002F74F2" w:rsidRPr="00672545" w:rsidRDefault="00CE60FB" w:rsidP="00672545">
      <w:pPr>
        <w:rPr>
          <w:szCs w:val="26"/>
        </w:rPr>
      </w:pPr>
      <w:r w:rsidRPr="00672545">
        <w:rPr>
          <w:szCs w:val="26"/>
        </w:rPr>
        <w:tab/>
      </w:r>
      <w:r w:rsidR="00430E68" w:rsidRPr="00672545">
        <w:rPr>
          <w:szCs w:val="26"/>
        </w:rPr>
        <w:t>D</w:t>
      </w:r>
      <w:r w:rsidR="00D97E97" w:rsidRPr="00672545">
        <w:rPr>
          <w:szCs w:val="26"/>
        </w:rPr>
        <w:t>efendant argues</w:t>
      </w:r>
      <w:r w:rsidR="003B3290" w:rsidRPr="00672545">
        <w:rPr>
          <w:szCs w:val="26"/>
        </w:rPr>
        <w:t>, however,</w:t>
      </w:r>
      <w:r w:rsidR="00D97E97" w:rsidRPr="00672545">
        <w:rPr>
          <w:szCs w:val="26"/>
        </w:rPr>
        <w:t xml:space="preserve"> that </w:t>
      </w:r>
      <w:r w:rsidR="00F4256E" w:rsidRPr="00672545">
        <w:rPr>
          <w:szCs w:val="26"/>
        </w:rPr>
        <w:t xml:space="preserve">in this case </w:t>
      </w:r>
      <w:r w:rsidR="00D97E97" w:rsidRPr="00672545">
        <w:rPr>
          <w:szCs w:val="26"/>
        </w:rPr>
        <w:t xml:space="preserve">due process requires a higher standard of review, principally relying on </w:t>
      </w:r>
      <w:r w:rsidR="00E97192" w:rsidRPr="00672545">
        <w:rPr>
          <w:szCs w:val="26"/>
        </w:rPr>
        <w:t xml:space="preserve">some general </w:t>
      </w:r>
      <w:r w:rsidR="00D97E97" w:rsidRPr="00672545">
        <w:rPr>
          <w:szCs w:val="26"/>
        </w:rPr>
        <w:t xml:space="preserve">language found in </w:t>
      </w:r>
      <w:r w:rsidR="00D97E97" w:rsidRPr="00672545">
        <w:rPr>
          <w:i/>
          <w:szCs w:val="26"/>
        </w:rPr>
        <w:t>Sheppard</w:t>
      </w:r>
      <w:r w:rsidRPr="00672545">
        <w:rPr>
          <w:i/>
          <w:szCs w:val="26"/>
        </w:rPr>
        <w:t xml:space="preserve"> v. Maxwell</w:t>
      </w:r>
      <w:r w:rsidR="00F701F5" w:rsidRPr="00672545">
        <w:rPr>
          <w:szCs w:val="26"/>
        </w:rPr>
        <w:t xml:space="preserve"> (1966) </w:t>
      </w:r>
      <w:r w:rsidR="00D97E97" w:rsidRPr="00672545">
        <w:rPr>
          <w:szCs w:val="26"/>
        </w:rPr>
        <w:t xml:space="preserve">384 U.S. </w:t>
      </w:r>
      <w:r w:rsidR="00EB37DF" w:rsidRPr="00672545">
        <w:rPr>
          <w:szCs w:val="26"/>
        </w:rPr>
        <w:t>333</w:t>
      </w:r>
      <w:r w:rsidR="004761A4">
        <w:rPr>
          <w:szCs w:val="26"/>
        </w:rPr>
        <w:t xml:space="preserve"> (</w:t>
      </w:r>
      <w:r w:rsidR="004761A4" w:rsidRPr="004761A4">
        <w:rPr>
          <w:i/>
          <w:szCs w:val="26"/>
        </w:rPr>
        <w:t>Sheppard</w:t>
      </w:r>
      <w:r w:rsidR="004761A4">
        <w:rPr>
          <w:szCs w:val="26"/>
        </w:rPr>
        <w:t>)</w:t>
      </w:r>
      <w:r w:rsidR="00912506" w:rsidRPr="00672545">
        <w:rPr>
          <w:szCs w:val="26"/>
        </w:rPr>
        <w:t>,</w:t>
      </w:r>
      <w:r w:rsidR="00E97192" w:rsidRPr="00672545">
        <w:rPr>
          <w:szCs w:val="26"/>
        </w:rPr>
        <w:t xml:space="preserve"> regarding the increasing prevalence of unfair and prejudicial </w:t>
      </w:r>
      <w:r w:rsidR="003B3290" w:rsidRPr="00672545">
        <w:rPr>
          <w:szCs w:val="26"/>
        </w:rPr>
        <w:t>media coverage of</w:t>
      </w:r>
      <w:r w:rsidR="00E97192" w:rsidRPr="00672545">
        <w:rPr>
          <w:szCs w:val="26"/>
        </w:rPr>
        <w:t xml:space="preserve"> pending trials that </w:t>
      </w:r>
      <w:r w:rsidRPr="00672545">
        <w:rPr>
          <w:szCs w:val="26"/>
        </w:rPr>
        <w:t xml:space="preserve">may </w:t>
      </w:r>
      <w:r w:rsidR="00E97192" w:rsidRPr="00672545">
        <w:rPr>
          <w:szCs w:val="26"/>
        </w:rPr>
        <w:t xml:space="preserve">impact a defendant’s </w:t>
      </w:r>
      <w:r w:rsidR="00912506" w:rsidRPr="00672545">
        <w:rPr>
          <w:szCs w:val="26"/>
        </w:rPr>
        <w:t xml:space="preserve">constitutional </w:t>
      </w:r>
      <w:r w:rsidR="00E97192" w:rsidRPr="00672545">
        <w:rPr>
          <w:szCs w:val="26"/>
        </w:rPr>
        <w:t xml:space="preserve">right to “receive a trial by an impartial jury free from outside influences.”  </w:t>
      </w:r>
      <w:r w:rsidR="00EB37DF" w:rsidRPr="00672545">
        <w:rPr>
          <w:szCs w:val="26"/>
        </w:rPr>
        <w:t>(</w:t>
      </w:r>
      <w:r w:rsidR="00EB37DF" w:rsidRPr="00672545">
        <w:rPr>
          <w:i/>
          <w:szCs w:val="26"/>
        </w:rPr>
        <w:t>Id</w:t>
      </w:r>
      <w:r w:rsidR="00EB37DF" w:rsidRPr="00672545">
        <w:rPr>
          <w:szCs w:val="26"/>
        </w:rPr>
        <w:t>. at p.</w:t>
      </w:r>
      <w:r w:rsidR="00F670AE">
        <w:rPr>
          <w:szCs w:val="26"/>
        </w:rPr>
        <w:t> </w:t>
      </w:r>
      <w:r w:rsidR="00EB37DF" w:rsidRPr="00672545">
        <w:rPr>
          <w:szCs w:val="26"/>
        </w:rPr>
        <w:t xml:space="preserve">362.)  </w:t>
      </w:r>
      <w:r w:rsidRPr="00672545">
        <w:rPr>
          <w:szCs w:val="26"/>
        </w:rPr>
        <w:t>The high court stated that “trial courts must take strong measures to ensure that the balance is never weighed against the accused” and “a</w:t>
      </w:r>
      <w:r w:rsidR="00E97192" w:rsidRPr="00672545">
        <w:rPr>
          <w:szCs w:val="26"/>
        </w:rPr>
        <w:t>ppellate tribunals have the duty to make an independent evaluation of the circumstances</w:t>
      </w:r>
      <w:r w:rsidRPr="00672545">
        <w:rPr>
          <w:szCs w:val="26"/>
        </w:rPr>
        <w:t>.</w:t>
      </w:r>
      <w:r w:rsidR="00E97192" w:rsidRPr="00672545">
        <w:rPr>
          <w:szCs w:val="26"/>
        </w:rPr>
        <w:t xml:space="preserve">”  </w:t>
      </w:r>
      <w:r w:rsidRPr="00672545">
        <w:rPr>
          <w:szCs w:val="26"/>
        </w:rPr>
        <w:t>(</w:t>
      </w:r>
      <w:r w:rsidRPr="00672545">
        <w:rPr>
          <w:i/>
          <w:szCs w:val="26"/>
        </w:rPr>
        <w:t>Id.</w:t>
      </w:r>
      <w:r w:rsidRPr="00672545">
        <w:rPr>
          <w:szCs w:val="26"/>
        </w:rPr>
        <w:t>, at pp. 362-363.)</w:t>
      </w:r>
    </w:p>
    <w:p w14:paraId="50B6F514" w14:textId="77777777" w:rsidR="005E4A99" w:rsidRPr="00672545" w:rsidRDefault="002F74F2" w:rsidP="00672545">
      <w:pPr>
        <w:rPr>
          <w:szCs w:val="26"/>
        </w:rPr>
      </w:pPr>
      <w:r w:rsidRPr="00672545">
        <w:rPr>
          <w:szCs w:val="26"/>
        </w:rPr>
        <w:lastRenderedPageBreak/>
        <w:tab/>
        <w:t>But t</w:t>
      </w:r>
      <w:r w:rsidR="009028A4" w:rsidRPr="00672545">
        <w:rPr>
          <w:szCs w:val="26"/>
        </w:rPr>
        <w:t>his</w:t>
      </w:r>
      <w:r w:rsidR="003B3290" w:rsidRPr="00672545">
        <w:rPr>
          <w:szCs w:val="26"/>
        </w:rPr>
        <w:t xml:space="preserve"> language </w:t>
      </w:r>
      <w:r w:rsidR="00C32940" w:rsidRPr="00672545">
        <w:rPr>
          <w:szCs w:val="26"/>
        </w:rPr>
        <w:t xml:space="preserve">from </w:t>
      </w:r>
      <w:r w:rsidR="00C32940" w:rsidRPr="00672545">
        <w:rPr>
          <w:i/>
          <w:szCs w:val="26"/>
        </w:rPr>
        <w:t>Sheppard</w:t>
      </w:r>
      <w:r w:rsidR="00C32940" w:rsidRPr="00672545">
        <w:rPr>
          <w:szCs w:val="26"/>
        </w:rPr>
        <w:t xml:space="preserve"> </w:t>
      </w:r>
      <w:r w:rsidR="003B3290" w:rsidRPr="00672545">
        <w:rPr>
          <w:szCs w:val="26"/>
        </w:rPr>
        <w:t xml:space="preserve">was not directed at </w:t>
      </w:r>
      <w:r w:rsidR="00F5213C" w:rsidRPr="00672545">
        <w:rPr>
          <w:szCs w:val="26"/>
        </w:rPr>
        <w:t xml:space="preserve">the standard of </w:t>
      </w:r>
      <w:r w:rsidR="003B3290" w:rsidRPr="00672545">
        <w:rPr>
          <w:szCs w:val="26"/>
        </w:rPr>
        <w:t xml:space="preserve">review of a trial court’s choice of method for ensuring the jury is not subject to </w:t>
      </w:r>
      <w:r w:rsidR="00F5213C" w:rsidRPr="00672545">
        <w:rPr>
          <w:szCs w:val="26"/>
        </w:rPr>
        <w:t xml:space="preserve">any such </w:t>
      </w:r>
      <w:r w:rsidR="003B3290" w:rsidRPr="00672545">
        <w:rPr>
          <w:szCs w:val="26"/>
        </w:rPr>
        <w:t xml:space="preserve">prejudicial influences from </w:t>
      </w:r>
      <w:r w:rsidR="00FB58AB" w:rsidRPr="00672545">
        <w:rPr>
          <w:szCs w:val="26"/>
        </w:rPr>
        <w:t xml:space="preserve">the </w:t>
      </w:r>
      <w:r w:rsidR="003B3290" w:rsidRPr="00672545">
        <w:rPr>
          <w:szCs w:val="26"/>
        </w:rPr>
        <w:t xml:space="preserve">media.  </w:t>
      </w:r>
      <w:r w:rsidR="000F699F" w:rsidRPr="00672545">
        <w:rPr>
          <w:szCs w:val="26"/>
        </w:rPr>
        <w:t xml:space="preserve">Instead, the </w:t>
      </w:r>
      <w:r w:rsidR="006373FE" w:rsidRPr="00672545">
        <w:rPr>
          <w:szCs w:val="26"/>
        </w:rPr>
        <w:t xml:space="preserve">high court’s observations </w:t>
      </w:r>
      <w:r w:rsidR="00177B26" w:rsidRPr="00672545">
        <w:rPr>
          <w:szCs w:val="26"/>
        </w:rPr>
        <w:t xml:space="preserve">were made in the context of </w:t>
      </w:r>
      <w:r w:rsidR="006313E4" w:rsidRPr="00672545">
        <w:t>the defendant’s</w:t>
      </w:r>
      <w:r w:rsidR="00656BAF" w:rsidRPr="00672545">
        <w:t xml:space="preserve"> </w:t>
      </w:r>
      <w:r w:rsidR="00585BDA" w:rsidRPr="00672545">
        <w:t xml:space="preserve">failed attempt to obtain a </w:t>
      </w:r>
      <w:r w:rsidR="00656BAF" w:rsidRPr="00672545">
        <w:t>change of venue</w:t>
      </w:r>
      <w:r w:rsidR="006313E4" w:rsidRPr="00672545">
        <w:t xml:space="preserve"> </w:t>
      </w:r>
      <w:r w:rsidR="00585BDA" w:rsidRPr="00672545">
        <w:t xml:space="preserve">and the </w:t>
      </w:r>
      <w:r w:rsidR="00C2306F" w:rsidRPr="00672545">
        <w:t xml:space="preserve">subsequent </w:t>
      </w:r>
      <w:r w:rsidR="00585BDA" w:rsidRPr="00672545">
        <w:t xml:space="preserve">effect </w:t>
      </w:r>
      <w:r w:rsidR="00C2306F" w:rsidRPr="00672545">
        <w:t>of the intense media presence and coverage</w:t>
      </w:r>
      <w:r w:rsidR="006A0F22" w:rsidRPr="00672545">
        <w:t xml:space="preserve"> on the jury and</w:t>
      </w:r>
      <w:r w:rsidR="006313E4" w:rsidRPr="00672545">
        <w:t xml:space="preserve"> the</w:t>
      </w:r>
      <w:r w:rsidR="00656BAF" w:rsidRPr="00672545">
        <w:t xml:space="preserve"> defendant’s verdict</w:t>
      </w:r>
      <w:r w:rsidR="006313E4" w:rsidRPr="00672545">
        <w:t xml:space="preserve">. </w:t>
      </w:r>
      <w:r w:rsidR="00656BAF" w:rsidRPr="00672545">
        <w:t xml:space="preserve"> </w:t>
      </w:r>
      <w:r w:rsidR="00C32940" w:rsidRPr="00672545">
        <w:t>(</w:t>
      </w:r>
      <w:r w:rsidR="00C32940" w:rsidRPr="00672545">
        <w:rPr>
          <w:i/>
        </w:rPr>
        <w:t>Sheppard</w:t>
      </w:r>
      <w:r w:rsidR="00C32940" w:rsidRPr="00672545">
        <w:t xml:space="preserve">, </w:t>
      </w:r>
      <w:r w:rsidR="00C32940" w:rsidRPr="00672545">
        <w:rPr>
          <w:i/>
        </w:rPr>
        <w:t>supra</w:t>
      </w:r>
      <w:r w:rsidR="00C32940" w:rsidRPr="00672545">
        <w:t>, 384 U.S. at p</w:t>
      </w:r>
      <w:r w:rsidR="00C2306F" w:rsidRPr="00672545">
        <w:t>p</w:t>
      </w:r>
      <w:r w:rsidR="00C32940" w:rsidRPr="00672545">
        <w:t xml:space="preserve">. </w:t>
      </w:r>
      <w:r w:rsidR="00C2306F" w:rsidRPr="00672545">
        <w:t>345-349</w:t>
      </w:r>
      <w:r w:rsidR="00C32940" w:rsidRPr="00672545">
        <w:t xml:space="preserve">.)  </w:t>
      </w:r>
      <w:r w:rsidR="00102D81" w:rsidRPr="00672545">
        <w:rPr>
          <w:szCs w:val="26"/>
        </w:rPr>
        <w:t xml:space="preserve">The high court </w:t>
      </w:r>
      <w:r w:rsidR="00B42BD7" w:rsidRPr="00672545">
        <w:rPr>
          <w:szCs w:val="26"/>
        </w:rPr>
        <w:t xml:space="preserve">was critical of the fact that the trial court in the </w:t>
      </w:r>
      <w:r w:rsidR="00B42BD7" w:rsidRPr="00672545">
        <w:rPr>
          <w:i/>
          <w:szCs w:val="26"/>
        </w:rPr>
        <w:t>Sheppard</w:t>
      </w:r>
      <w:r w:rsidR="00415FCD" w:rsidRPr="00672545">
        <w:rPr>
          <w:szCs w:val="26"/>
        </w:rPr>
        <w:t xml:space="preserve"> case had allowed a </w:t>
      </w:r>
      <w:r w:rsidR="00BC1BAD" w:rsidRPr="00672545">
        <w:rPr>
          <w:szCs w:val="26"/>
        </w:rPr>
        <w:t>table “within a few feet of the jury box and counsel</w:t>
      </w:r>
      <w:r w:rsidR="00415FCD" w:rsidRPr="00672545">
        <w:rPr>
          <w:szCs w:val="26"/>
        </w:rPr>
        <w:t>” where</w:t>
      </w:r>
      <w:r w:rsidR="00BC1BAD" w:rsidRPr="00672545">
        <w:rPr>
          <w:szCs w:val="26"/>
        </w:rPr>
        <w:t xml:space="preserve"> </w:t>
      </w:r>
      <w:r w:rsidR="00415FCD" w:rsidRPr="00672545">
        <w:rPr>
          <w:szCs w:val="26"/>
        </w:rPr>
        <w:t xml:space="preserve">“sat </w:t>
      </w:r>
      <w:r w:rsidR="00BC1BAD" w:rsidRPr="00672545">
        <w:rPr>
          <w:szCs w:val="26"/>
        </w:rPr>
        <w:t xml:space="preserve">some 20 reporters staring at Sheppard and taking notes” and that </w:t>
      </w:r>
      <w:r w:rsidR="00E25C02" w:rsidRPr="00672545">
        <w:rPr>
          <w:szCs w:val="26"/>
        </w:rPr>
        <w:t>“[p]</w:t>
      </w:r>
      <w:proofErr w:type="spellStart"/>
      <w:r w:rsidR="00BC1BAD" w:rsidRPr="00672545">
        <w:rPr>
          <w:szCs w:val="26"/>
        </w:rPr>
        <w:t>articipants</w:t>
      </w:r>
      <w:proofErr w:type="spellEnd"/>
      <w:r w:rsidR="00BC1BAD" w:rsidRPr="00672545">
        <w:rPr>
          <w:szCs w:val="26"/>
        </w:rPr>
        <w:t xml:space="preserve"> in the trial, including the jury, were forced to run a gantlet of reporters and photographers each time they entered or left the courtroom</w:t>
      </w:r>
      <w:r w:rsidR="00E25C02" w:rsidRPr="00672545">
        <w:rPr>
          <w:szCs w:val="26"/>
        </w:rPr>
        <w:t>.”  (</w:t>
      </w:r>
      <w:r w:rsidR="00E25C02" w:rsidRPr="00672545">
        <w:rPr>
          <w:i/>
          <w:szCs w:val="26"/>
        </w:rPr>
        <w:t>Id</w:t>
      </w:r>
      <w:r w:rsidR="00E25C02" w:rsidRPr="00672545">
        <w:rPr>
          <w:szCs w:val="26"/>
        </w:rPr>
        <w:t xml:space="preserve">. at p. 355.) </w:t>
      </w:r>
      <w:r w:rsidR="00BC1BAD" w:rsidRPr="00672545">
        <w:rPr>
          <w:szCs w:val="26"/>
        </w:rPr>
        <w:t xml:space="preserve"> </w:t>
      </w:r>
      <w:r w:rsidR="006645D1" w:rsidRPr="00672545">
        <w:rPr>
          <w:szCs w:val="26"/>
        </w:rPr>
        <w:t>The court also pointed out that two of the sitt</w:t>
      </w:r>
      <w:r w:rsidR="005E3E5B" w:rsidRPr="00672545">
        <w:rPr>
          <w:szCs w:val="26"/>
        </w:rPr>
        <w:t>ing jurors admitted to learning</w:t>
      </w:r>
      <w:r w:rsidR="005E4A99" w:rsidRPr="00672545">
        <w:rPr>
          <w:szCs w:val="26"/>
        </w:rPr>
        <w:t xml:space="preserve">, during the trial, </w:t>
      </w:r>
      <w:r w:rsidR="006645D1" w:rsidRPr="00672545">
        <w:rPr>
          <w:szCs w:val="26"/>
        </w:rPr>
        <w:t xml:space="preserve">of </w:t>
      </w:r>
      <w:r w:rsidR="005E3E5B" w:rsidRPr="00672545">
        <w:rPr>
          <w:szCs w:val="26"/>
        </w:rPr>
        <w:t xml:space="preserve">“the highly inflammatory charge that a prison inmate claimed Sheppard as the father of her illegitimate child.” </w:t>
      </w:r>
      <w:r w:rsidR="005E4A99" w:rsidRPr="00672545">
        <w:rPr>
          <w:szCs w:val="26"/>
        </w:rPr>
        <w:t xml:space="preserve"> (</w:t>
      </w:r>
      <w:r w:rsidR="005E4A99" w:rsidRPr="00672545">
        <w:rPr>
          <w:i/>
          <w:szCs w:val="26"/>
        </w:rPr>
        <w:t>Id</w:t>
      </w:r>
      <w:r w:rsidR="005E4A99" w:rsidRPr="00672545">
        <w:rPr>
          <w:szCs w:val="26"/>
        </w:rPr>
        <w:t>. at p.</w:t>
      </w:r>
      <w:r w:rsidR="00F670AE">
        <w:rPr>
          <w:szCs w:val="26"/>
        </w:rPr>
        <w:t> </w:t>
      </w:r>
      <w:r w:rsidR="005E4A99" w:rsidRPr="00672545">
        <w:rPr>
          <w:szCs w:val="26"/>
        </w:rPr>
        <w:t>357.)</w:t>
      </w:r>
    </w:p>
    <w:p w14:paraId="15E4E978" w14:textId="77777777" w:rsidR="003B3290" w:rsidRPr="00672545" w:rsidRDefault="00F701F5" w:rsidP="00672545">
      <w:pPr>
        <w:ind w:firstLine="720"/>
        <w:rPr>
          <w:szCs w:val="26"/>
        </w:rPr>
      </w:pPr>
      <w:r w:rsidRPr="00672545">
        <w:rPr>
          <w:szCs w:val="26"/>
        </w:rPr>
        <w:t>I</w:t>
      </w:r>
      <w:r w:rsidR="00FB58AB" w:rsidRPr="00672545">
        <w:rPr>
          <w:szCs w:val="26"/>
        </w:rPr>
        <w:t xml:space="preserve">t was </w:t>
      </w:r>
      <w:r w:rsidR="00CE60FB" w:rsidRPr="00672545">
        <w:rPr>
          <w:szCs w:val="26"/>
        </w:rPr>
        <w:t xml:space="preserve">the extraordinary circumstances involved in the </w:t>
      </w:r>
      <w:r w:rsidR="00CE60FB" w:rsidRPr="00672545">
        <w:rPr>
          <w:i/>
          <w:szCs w:val="26"/>
        </w:rPr>
        <w:t>Sheppard</w:t>
      </w:r>
      <w:r w:rsidR="00CE60FB" w:rsidRPr="00672545">
        <w:rPr>
          <w:szCs w:val="26"/>
        </w:rPr>
        <w:t xml:space="preserve"> case</w:t>
      </w:r>
      <w:r w:rsidRPr="00672545">
        <w:rPr>
          <w:szCs w:val="26"/>
        </w:rPr>
        <w:t xml:space="preserve">, </w:t>
      </w:r>
      <w:r w:rsidR="00272C63" w:rsidRPr="00672545">
        <w:rPr>
          <w:szCs w:val="26"/>
        </w:rPr>
        <w:t>where “b</w:t>
      </w:r>
      <w:r w:rsidR="00246408" w:rsidRPr="00672545">
        <w:rPr>
          <w:szCs w:val="26"/>
        </w:rPr>
        <w:t>edlam reigned at the courthouse</w:t>
      </w:r>
      <w:r w:rsidR="00227122" w:rsidRPr="00672545">
        <w:rPr>
          <w:szCs w:val="26"/>
        </w:rPr>
        <w:t>,</w:t>
      </w:r>
      <w:r w:rsidR="00272C63" w:rsidRPr="00672545">
        <w:rPr>
          <w:szCs w:val="26"/>
        </w:rPr>
        <w:t>”</w:t>
      </w:r>
      <w:r w:rsidR="00FB5D20" w:rsidRPr="00672545">
        <w:rPr>
          <w:szCs w:val="26"/>
        </w:rPr>
        <w:t xml:space="preserve"> </w:t>
      </w:r>
      <w:r w:rsidR="002D5297" w:rsidRPr="00672545">
        <w:rPr>
          <w:szCs w:val="26"/>
        </w:rPr>
        <w:t xml:space="preserve">because of the oppressive nature of the media’s presence </w:t>
      </w:r>
      <w:r w:rsidR="00814250" w:rsidRPr="00672545">
        <w:rPr>
          <w:szCs w:val="26"/>
        </w:rPr>
        <w:t>both inside and outside the courtroom</w:t>
      </w:r>
      <w:r w:rsidR="00227122" w:rsidRPr="00672545">
        <w:rPr>
          <w:szCs w:val="26"/>
        </w:rPr>
        <w:t>,</w:t>
      </w:r>
      <w:r w:rsidR="002D5297" w:rsidRPr="00672545">
        <w:rPr>
          <w:szCs w:val="26"/>
        </w:rPr>
        <w:t xml:space="preserve"> resulting </w:t>
      </w:r>
      <w:r w:rsidR="00336C8C" w:rsidRPr="00672545">
        <w:rPr>
          <w:szCs w:val="26"/>
        </w:rPr>
        <w:t>in a “carnival atmosphere</w:t>
      </w:r>
      <w:r w:rsidR="00872EC7">
        <w:rPr>
          <w:szCs w:val="26"/>
        </w:rPr>
        <w:t>,</w:t>
      </w:r>
      <w:r w:rsidR="00336C8C" w:rsidRPr="00672545">
        <w:rPr>
          <w:szCs w:val="26"/>
        </w:rPr>
        <w:t>”</w:t>
      </w:r>
      <w:r w:rsidR="00CE60FB" w:rsidRPr="00672545">
        <w:rPr>
          <w:szCs w:val="26"/>
        </w:rPr>
        <w:t xml:space="preserve"> </w:t>
      </w:r>
      <w:r w:rsidR="00FB58AB" w:rsidRPr="00672545">
        <w:rPr>
          <w:szCs w:val="26"/>
        </w:rPr>
        <w:t xml:space="preserve">that </w:t>
      </w:r>
      <w:r w:rsidR="00BB54E5" w:rsidRPr="00672545">
        <w:rPr>
          <w:szCs w:val="26"/>
        </w:rPr>
        <w:t>triggered the</w:t>
      </w:r>
      <w:r w:rsidR="00CE60FB" w:rsidRPr="00672545">
        <w:rPr>
          <w:szCs w:val="26"/>
        </w:rPr>
        <w:t xml:space="preserve"> finding of a constitutional violation.</w:t>
      </w:r>
      <w:r w:rsidR="00246408" w:rsidRPr="00672545">
        <w:rPr>
          <w:szCs w:val="26"/>
        </w:rPr>
        <w:t xml:space="preserve">  (</w:t>
      </w:r>
      <w:r w:rsidR="005E4A99" w:rsidRPr="00672545">
        <w:rPr>
          <w:i/>
        </w:rPr>
        <w:t>Sheppard</w:t>
      </w:r>
      <w:r w:rsidR="005E4A99" w:rsidRPr="00672545">
        <w:t xml:space="preserve">, </w:t>
      </w:r>
      <w:r w:rsidR="005E4A99" w:rsidRPr="00672545">
        <w:rPr>
          <w:i/>
        </w:rPr>
        <w:t>supra</w:t>
      </w:r>
      <w:r w:rsidR="005E4A99" w:rsidRPr="00672545">
        <w:t xml:space="preserve">, </w:t>
      </w:r>
      <w:r w:rsidR="00246408" w:rsidRPr="00672545">
        <w:rPr>
          <w:szCs w:val="26"/>
        </w:rPr>
        <w:t>at p</w:t>
      </w:r>
      <w:r w:rsidR="00336C8C" w:rsidRPr="00672545">
        <w:rPr>
          <w:szCs w:val="26"/>
        </w:rPr>
        <w:t>p</w:t>
      </w:r>
      <w:r w:rsidR="00246408" w:rsidRPr="00672545">
        <w:rPr>
          <w:szCs w:val="26"/>
        </w:rPr>
        <w:t>. 355</w:t>
      </w:r>
      <w:r w:rsidR="00336C8C" w:rsidRPr="00672545">
        <w:rPr>
          <w:szCs w:val="26"/>
        </w:rPr>
        <w:t>, 358</w:t>
      </w:r>
      <w:r w:rsidR="00246408" w:rsidRPr="00672545">
        <w:rPr>
          <w:szCs w:val="26"/>
        </w:rPr>
        <w:t>.)</w:t>
      </w:r>
      <w:r w:rsidR="00CE60FB" w:rsidRPr="00672545">
        <w:rPr>
          <w:szCs w:val="26"/>
        </w:rPr>
        <w:t xml:space="preserve">  </w:t>
      </w:r>
      <w:r w:rsidR="00FB58AB" w:rsidRPr="00672545">
        <w:rPr>
          <w:szCs w:val="26"/>
        </w:rPr>
        <w:t>Those circumstances do not exist here.</w:t>
      </w:r>
      <w:r w:rsidR="00097E0B" w:rsidRPr="00672545">
        <w:rPr>
          <w:szCs w:val="26"/>
        </w:rPr>
        <w:t xml:space="preserve"> </w:t>
      </w:r>
      <w:r w:rsidR="00FB58AB" w:rsidRPr="00672545">
        <w:rPr>
          <w:szCs w:val="26"/>
        </w:rPr>
        <w:t xml:space="preserve"> </w:t>
      </w:r>
      <w:r w:rsidR="00F5213C" w:rsidRPr="00672545">
        <w:rPr>
          <w:szCs w:val="26"/>
        </w:rPr>
        <w:t xml:space="preserve">We conclude, </w:t>
      </w:r>
      <w:r w:rsidR="00FB58AB" w:rsidRPr="00672545">
        <w:rPr>
          <w:szCs w:val="26"/>
        </w:rPr>
        <w:t xml:space="preserve">therefore, </w:t>
      </w:r>
      <w:r w:rsidR="00F5213C" w:rsidRPr="00672545">
        <w:rPr>
          <w:szCs w:val="26"/>
        </w:rPr>
        <w:t>in accordance with our prior</w:t>
      </w:r>
      <w:r w:rsidR="00097E0B" w:rsidRPr="00672545">
        <w:rPr>
          <w:szCs w:val="26"/>
        </w:rPr>
        <w:t xml:space="preserve"> case</w:t>
      </w:r>
      <w:r w:rsidR="00F5213C" w:rsidRPr="00672545">
        <w:rPr>
          <w:szCs w:val="26"/>
        </w:rPr>
        <w:t xml:space="preserve"> law, that a</w:t>
      </w:r>
      <w:r w:rsidR="003B3290" w:rsidRPr="00672545">
        <w:rPr>
          <w:szCs w:val="26"/>
        </w:rPr>
        <w:t xml:space="preserve"> trial court’s decision </w:t>
      </w:r>
      <w:r w:rsidR="00DB2101" w:rsidRPr="00672545">
        <w:rPr>
          <w:szCs w:val="26"/>
        </w:rPr>
        <w:t>whether</w:t>
      </w:r>
      <w:r w:rsidR="003B3290" w:rsidRPr="00672545">
        <w:rPr>
          <w:szCs w:val="26"/>
        </w:rPr>
        <w:t xml:space="preserve"> to sequester a jury is subject to an abuse of discretion standard of review.  We find no abuse of discretion here.  </w:t>
      </w:r>
    </w:p>
    <w:p w14:paraId="09DD54F9" w14:textId="77777777" w:rsidR="00CE60FB" w:rsidRPr="00672545" w:rsidRDefault="003B3290" w:rsidP="00672545">
      <w:r w:rsidRPr="00672545">
        <w:rPr>
          <w:szCs w:val="26"/>
        </w:rPr>
        <w:tab/>
      </w:r>
      <w:r w:rsidR="00F5213C" w:rsidRPr="00672545">
        <w:rPr>
          <w:szCs w:val="26"/>
        </w:rPr>
        <w:t>First, we disagree with defendant that the trial court abdicated its responsibility to decide whether to sequester the jury, leaving it up to the jury</w:t>
      </w:r>
      <w:r w:rsidR="00A8278F" w:rsidRPr="00672545">
        <w:rPr>
          <w:szCs w:val="26"/>
        </w:rPr>
        <w:t xml:space="preserve"> to choose</w:t>
      </w:r>
      <w:r w:rsidR="00F5213C" w:rsidRPr="00672545">
        <w:rPr>
          <w:szCs w:val="26"/>
        </w:rPr>
        <w:t xml:space="preserve">.  The trial court </w:t>
      </w:r>
      <w:r w:rsidR="00A8278F" w:rsidRPr="00672545">
        <w:rPr>
          <w:szCs w:val="26"/>
        </w:rPr>
        <w:lastRenderedPageBreak/>
        <w:t xml:space="preserve">recognized and </w:t>
      </w:r>
      <w:r w:rsidR="00F5213C" w:rsidRPr="00672545">
        <w:rPr>
          <w:szCs w:val="26"/>
        </w:rPr>
        <w:t>explicitly told the jury “that it was the court’s responsibility to make such decision</w:t>
      </w:r>
      <w:r w:rsidR="00A8278F" w:rsidRPr="00672545">
        <w:rPr>
          <w:szCs w:val="26"/>
        </w:rPr>
        <w:t>.</w:t>
      </w:r>
      <w:r w:rsidR="00F5213C" w:rsidRPr="00672545">
        <w:rPr>
          <w:szCs w:val="26"/>
        </w:rPr>
        <w:t>”</w:t>
      </w:r>
      <w:r w:rsidR="00A8278F" w:rsidRPr="00672545">
        <w:rPr>
          <w:szCs w:val="26"/>
        </w:rPr>
        <w:t xml:space="preserve">  The court</w:t>
      </w:r>
      <w:r w:rsidR="00F5213C" w:rsidRPr="00672545">
        <w:rPr>
          <w:szCs w:val="26"/>
        </w:rPr>
        <w:t xml:space="preserve"> </w:t>
      </w:r>
      <w:r w:rsidR="00A8278F" w:rsidRPr="00672545">
        <w:rPr>
          <w:szCs w:val="26"/>
        </w:rPr>
        <w:t>informed the jur</w:t>
      </w:r>
      <w:r w:rsidR="00097E0B" w:rsidRPr="00672545">
        <w:rPr>
          <w:szCs w:val="26"/>
        </w:rPr>
        <w:t>ors</w:t>
      </w:r>
      <w:r w:rsidR="00A8278F" w:rsidRPr="00672545">
        <w:rPr>
          <w:szCs w:val="26"/>
        </w:rPr>
        <w:t xml:space="preserve"> that, in making </w:t>
      </w:r>
      <w:r w:rsidR="0035676F" w:rsidRPr="00672545">
        <w:rPr>
          <w:szCs w:val="26"/>
        </w:rPr>
        <w:t>its</w:t>
      </w:r>
      <w:r w:rsidR="00A8278F" w:rsidRPr="00672545">
        <w:rPr>
          <w:szCs w:val="26"/>
        </w:rPr>
        <w:t xml:space="preserve"> decision, it would take their concerns and preference “into account.”</w:t>
      </w:r>
      <w:r w:rsidR="00F81CD5" w:rsidRPr="00672545">
        <w:rPr>
          <w:szCs w:val="26"/>
        </w:rPr>
        <w:t xml:space="preserve">  </w:t>
      </w:r>
      <w:r w:rsidR="00A8278F" w:rsidRPr="00672545">
        <w:t>The court did so, but in denying defendant’s requests for sequestration, it also weighed the fact that “self-policing” appeared to be working and that sequestration has its “own pitfalls.”</w:t>
      </w:r>
      <w:r w:rsidR="00F81CD5" w:rsidRPr="00672545">
        <w:t xml:space="preserve">  </w:t>
      </w:r>
    </w:p>
    <w:p w14:paraId="0B1186AA" w14:textId="77777777" w:rsidR="00A8278F" w:rsidRPr="00672545" w:rsidRDefault="00A8278F" w:rsidP="00672545">
      <w:pPr>
        <w:rPr>
          <w:szCs w:val="26"/>
        </w:rPr>
      </w:pPr>
      <w:r w:rsidRPr="00672545">
        <w:tab/>
        <w:t xml:space="preserve">Second, as </w:t>
      </w:r>
      <w:r w:rsidR="00752148" w:rsidRPr="00672545">
        <w:t xml:space="preserve">demonstrated by </w:t>
      </w:r>
      <w:r w:rsidRPr="00672545">
        <w:t xml:space="preserve">our extensive summary of the </w:t>
      </w:r>
      <w:r w:rsidR="00752148" w:rsidRPr="00672545">
        <w:t xml:space="preserve">relevant proceedings, the record reflects </w:t>
      </w:r>
      <w:r w:rsidR="00097E0B" w:rsidRPr="00672545">
        <w:t xml:space="preserve">that </w:t>
      </w:r>
      <w:r w:rsidR="00752148" w:rsidRPr="00672545">
        <w:t>the trial court carefully and repeatedly addressed the potential impact of media coverage, peer pressure, and public sentiment by ordering the jur</w:t>
      </w:r>
      <w:r w:rsidR="001C4B20" w:rsidRPr="00672545">
        <w:t>ors</w:t>
      </w:r>
      <w:r w:rsidR="00752148" w:rsidRPr="00672545">
        <w:t xml:space="preserve"> to avoid any publicity regarding the case, admonishing them concerning their duty to </w:t>
      </w:r>
      <w:r w:rsidR="0035676F" w:rsidRPr="00672545">
        <w:t>decide the case solely based on the evidence presented,</w:t>
      </w:r>
      <w:r w:rsidR="00752148" w:rsidRPr="00672545">
        <w:t xml:space="preserve"> </w:t>
      </w:r>
      <w:r w:rsidR="00DB2101" w:rsidRPr="00672545">
        <w:t>inquiring a</w:t>
      </w:r>
      <w:r w:rsidR="001C4B20" w:rsidRPr="00672545">
        <w:t>bout</w:t>
      </w:r>
      <w:r w:rsidR="00DB2101" w:rsidRPr="00672545">
        <w:t xml:space="preserve"> the impact of outside influences on their ability to be fair and impartial, </w:t>
      </w:r>
      <w:r w:rsidR="00752148" w:rsidRPr="00672545">
        <w:t xml:space="preserve">and crafting </w:t>
      </w:r>
      <w:r w:rsidR="0035676F" w:rsidRPr="00672545">
        <w:t xml:space="preserve">when necessary methods by which outside influences could be </w:t>
      </w:r>
      <w:r w:rsidR="00CD733D" w:rsidRPr="00672545">
        <w:t xml:space="preserve">reduced or </w:t>
      </w:r>
      <w:r w:rsidR="0035676F" w:rsidRPr="00672545">
        <w:t>avoided.  Defendant has not pointed to anything in the record suggesting that the jur</w:t>
      </w:r>
      <w:r w:rsidR="00DB2101" w:rsidRPr="00672545">
        <w:t>ors</w:t>
      </w:r>
      <w:r w:rsidR="0035676F" w:rsidRPr="00672545">
        <w:t xml:space="preserve"> </w:t>
      </w:r>
      <w:r w:rsidR="00CD733D" w:rsidRPr="00672545">
        <w:t>failed to abide by the court’s orders and admonishments</w:t>
      </w:r>
      <w:r w:rsidR="00DB2101" w:rsidRPr="00672545">
        <w:t xml:space="preserve"> or misrepresented their continued ability to decide the case fairly on the trial evidence alone</w:t>
      </w:r>
      <w:r w:rsidR="00CD733D" w:rsidRPr="00672545">
        <w:t>.  “[W]</w:t>
      </w:r>
      <w:r w:rsidR="00CD733D" w:rsidRPr="00672545">
        <w:rPr>
          <w:szCs w:val="26"/>
        </w:rPr>
        <w:t>e cannot assume on a silent record that they ignored [such orders and admonishments] and were exposed to prejudicial material.”  (</w:t>
      </w:r>
      <w:r w:rsidR="00CD733D" w:rsidRPr="00672545">
        <w:rPr>
          <w:i/>
          <w:iCs/>
          <w:szCs w:val="26"/>
        </w:rPr>
        <w:t>People v. Ruiz, supra</w:t>
      </w:r>
      <w:r w:rsidR="00CD733D" w:rsidRPr="00672545">
        <w:rPr>
          <w:iCs/>
          <w:szCs w:val="26"/>
        </w:rPr>
        <w:t>,</w:t>
      </w:r>
      <w:r w:rsidR="00CD733D" w:rsidRPr="00672545">
        <w:rPr>
          <w:szCs w:val="26"/>
        </w:rPr>
        <w:t xml:space="preserve"> 44 Cal.3d at p. 617.)  </w:t>
      </w:r>
      <w:r w:rsidR="000420DC" w:rsidRPr="00672545">
        <w:t>Indeed, the trial court expressly noted at one point that it had “every reason to believe [the jurors were] abiding by the court’s orders.”</w:t>
      </w:r>
      <w:r w:rsidR="00F81CD5" w:rsidRPr="00672545">
        <w:t xml:space="preserve">  </w:t>
      </w:r>
      <w:r w:rsidR="000420DC" w:rsidRPr="00672545">
        <w:t>Certainly, i</w:t>
      </w:r>
      <w:r w:rsidR="00312ECE" w:rsidRPr="00672545">
        <w:rPr>
          <w:szCs w:val="26"/>
        </w:rPr>
        <w:t xml:space="preserve">n the absence of any evidence that the jury was </w:t>
      </w:r>
      <w:r w:rsidR="00A50A13" w:rsidRPr="00672545">
        <w:rPr>
          <w:szCs w:val="26"/>
        </w:rPr>
        <w:t>materially affected by the</w:t>
      </w:r>
      <w:r w:rsidR="00312ECE" w:rsidRPr="00672545">
        <w:rPr>
          <w:szCs w:val="26"/>
        </w:rPr>
        <w:t xml:space="preserve"> publicity and interest that this case generated, we cannot say there was any “substantial likelihood” that defendant did not receive a fair trial, as defendant urges.  </w:t>
      </w:r>
    </w:p>
    <w:p w14:paraId="3A67CFB2" w14:textId="77777777" w:rsidR="00897285" w:rsidRPr="00672545" w:rsidRDefault="000420DC" w:rsidP="00672545">
      <w:pPr>
        <w:pStyle w:val="Heading3"/>
      </w:pPr>
      <w:bookmarkStart w:id="20" w:name="_Toc506979811"/>
      <w:r w:rsidRPr="00672545">
        <w:lastRenderedPageBreak/>
        <w:t xml:space="preserve">5.  </w:t>
      </w:r>
      <w:r w:rsidR="008F392B" w:rsidRPr="00672545">
        <w:t xml:space="preserve">Joinder of the Child Pornography Charge with the Murder and Kidnapping Charges; Denial of Defendant’s Motion to Sever </w:t>
      </w:r>
      <w:bookmarkEnd w:id="20"/>
    </w:p>
    <w:p w14:paraId="3B97B263" w14:textId="77777777" w:rsidR="003437A5" w:rsidRPr="00672545" w:rsidRDefault="008F392B" w:rsidP="00672545">
      <w:r w:rsidRPr="00672545">
        <w:tab/>
      </w:r>
      <w:r w:rsidR="002E78F6" w:rsidRPr="00672545">
        <w:t>Defendant contends that</w:t>
      </w:r>
      <w:r w:rsidR="00E47C72" w:rsidRPr="00672545">
        <w:t xml:space="preserve"> the </w:t>
      </w:r>
      <w:r w:rsidR="0001074C" w:rsidRPr="00672545">
        <w:t xml:space="preserve">misdemeanor possession of child pornography </w:t>
      </w:r>
      <w:r w:rsidR="00126941" w:rsidRPr="00672545">
        <w:t xml:space="preserve">charge </w:t>
      </w:r>
      <w:r w:rsidR="0001074C" w:rsidRPr="00672545">
        <w:t xml:space="preserve">alleged </w:t>
      </w:r>
      <w:r w:rsidR="00DD0786" w:rsidRPr="00672545">
        <w:t xml:space="preserve">against him </w:t>
      </w:r>
      <w:r w:rsidR="006C072B" w:rsidRPr="00672545">
        <w:t>in count three</w:t>
      </w:r>
      <w:r w:rsidR="0060778D" w:rsidRPr="00672545">
        <w:t xml:space="preserve"> (former § 311.11, </w:t>
      </w:r>
      <w:proofErr w:type="spellStart"/>
      <w:r w:rsidR="0060778D" w:rsidRPr="00672545">
        <w:t>subd</w:t>
      </w:r>
      <w:proofErr w:type="spellEnd"/>
      <w:r w:rsidR="0060778D" w:rsidRPr="00672545">
        <w:t>. (a)</w:t>
      </w:r>
      <w:r w:rsidR="0060778D" w:rsidRPr="00672545">
        <w:rPr>
          <w:rStyle w:val="FootnoteReference"/>
        </w:rPr>
        <w:footnoteReference w:id="8"/>
      </w:r>
      <w:r w:rsidR="0060778D" w:rsidRPr="00672545">
        <w:t xml:space="preserve">) </w:t>
      </w:r>
      <w:r w:rsidR="006C072B" w:rsidRPr="00672545">
        <w:t xml:space="preserve">did not meet the statutory requirements for joinder with </w:t>
      </w:r>
      <w:r w:rsidR="00126941" w:rsidRPr="00672545">
        <w:t>the charges o</w:t>
      </w:r>
      <w:r w:rsidR="006C072B" w:rsidRPr="00672545">
        <w:t xml:space="preserve">f capital murder and kidnapping.  (§ 954.)  </w:t>
      </w:r>
      <w:r w:rsidR="0060778D" w:rsidRPr="00672545">
        <w:t xml:space="preserve">Even if it did, defendant </w:t>
      </w:r>
      <w:r w:rsidR="006C072B" w:rsidRPr="00672545">
        <w:t>claims the trial court abused its discretion in</w:t>
      </w:r>
      <w:r w:rsidR="0060778D" w:rsidRPr="00672545">
        <w:t xml:space="preserve"> denying severance.  We conclude the child pornography charge was properly joined with the murder and kidnapping charges.  We </w:t>
      </w:r>
      <w:r w:rsidR="0049244A" w:rsidRPr="00672545">
        <w:t xml:space="preserve">further </w:t>
      </w:r>
      <w:r w:rsidR="002B76B2" w:rsidRPr="00672545">
        <w:t xml:space="preserve">conclude defendant </w:t>
      </w:r>
      <w:r w:rsidR="0049244A" w:rsidRPr="00672545">
        <w:t>failed to preserve the</w:t>
      </w:r>
      <w:r w:rsidR="002B76B2" w:rsidRPr="00672545">
        <w:t xml:space="preserve"> claim that the trial court abused its discretion in denying severance, </w:t>
      </w:r>
      <w:r w:rsidR="00DD3963" w:rsidRPr="00672545">
        <w:t xml:space="preserve">although </w:t>
      </w:r>
      <w:r w:rsidR="00F978AA" w:rsidRPr="00672545">
        <w:t xml:space="preserve">we </w:t>
      </w:r>
      <w:r w:rsidR="002B76B2" w:rsidRPr="00672545">
        <w:t xml:space="preserve">would </w:t>
      </w:r>
      <w:r w:rsidR="0060778D" w:rsidRPr="00672545">
        <w:t xml:space="preserve">find no </w:t>
      </w:r>
      <w:r w:rsidR="002B76B2" w:rsidRPr="00672545">
        <w:t>error</w:t>
      </w:r>
      <w:r w:rsidR="00DD3963" w:rsidRPr="00672545">
        <w:t xml:space="preserve"> in any event</w:t>
      </w:r>
      <w:r w:rsidR="002B76B2" w:rsidRPr="00672545">
        <w:t>.</w:t>
      </w:r>
    </w:p>
    <w:p w14:paraId="45A347D2" w14:textId="77777777" w:rsidR="008F392B" w:rsidRPr="00672545" w:rsidRDefault="00A14A73" w:rsidP="00672545">
      <w:pPr>
        <w:pStyle w:val="Heading4"/>
      </w:pPr>
      <w:r w:rsidRPr="00672545">
        <w:t>a.  Background</w:t>
      </w:r>
    </w:p>
    <w:p w14:paraId="2407248C" w14:textId="77777777" w:rsidR="003437A5" w:rsidRPr="00672545" w:rsidRDefault="00A14A73" w:rsidP="00672545">
      <w:r w:rsidRPr="00672545">
        <w:tab/>
      </w:r>
      <w:r w:rsidR="006241EF" w:rsidRPr="00672545">
        <w:t>Defendant</w:t>
      </w:r>
      <w:r w:rsidRPr="00672545">
        <w:t xml:space="preserve"> filed a pretrial motion to sever the child pornography charge</w:t>
      </w:r>
      <w:r w:rsidR="00132F06" w:rsidRPr="00672545">
        <w:t xml:space="preserve"> from the </w:t>
      </w:r>
      <w:r w:rsidR="006241EF" w:rsidRPr="00672545">
        <w:t>kidnapping and murder</w:t>
      </w:r>
      <w:r w:rsidR="00132F06" w:rsidRPr="00672545">
        <w:t xml:space="preserve"> charges</w:t>
      </w:r>
      <w:r w:rsidR="006241EF" w:rsidRPr="00672545">
        <w:t xml:space="preserve"> </w:t>
      </w:r>
      <w:proofErr w:type="gramStart"/>
      <w:r w:rsidR="006241EF" w:rsidRPr="00672545">
        <w:t>on the ground that</w:t>
      </w:r>
      <w:proofErr w:type="gramEnd"/>
      <w:r w:rsidR="006241EF" w:rsidRPr="00672545">
        <w:t xml:space="preserve"> it was improperly joined to such charges under section 954</w:t>
      </w:r>
      <w:r w:rsidRPr="00672545">
        <w:t xml:space="preserve">.  </w:t>
      </w:r>
      <w:r w:rsidR="006241EF" w:rsidRPr="00672545">
        <w:t>Defendant did not request discretionary severance.</w:t>
      </w:r>
      <w:r w:rsidR="00F81CD5" w:rsidRPr="00672545">
        <w:t xml:space="preserve">  </w:t>
      </w:r>
      <w:r w:rsidR="00463FEB" w:rsidRPr="00672545">
        <w:t>The court deferred c</w:t>
      </w:r>
      <w:r w:rsidR="00132F06" w:rsidRPr="00672545">
        <w:t>onsideration</w:t>
      </w:r>
      <w:r w:rsidR="00067990" w:rsidRPr="00672545">
        <w:t xml:space="preserve"> of</w:t>
      </w:r>
      <w:r w:rsidRPr="00672545">
        <w:t xml:space="preserve"> the </w:t>
      </w:r>
      <w:r w:rsidR="00CB7D67" w:rsidRPr="00672545">
        <w:t xml:space="preserve">severance </w:t>
      </w:r>
      <w:r w:rsidRPr="00672545">
        <w:t xml:space="preserve">motion until </w:t>
      </w:r>
      <w:r w:rsidR="00CB7D67" w:rsidRPr="00672545">
        <w:t>it</w:t>
      </w:r>
      <w:r w:rsidR="00132F06" w:rsidRPr="00672545">
        <w:t xml:space="preserve"> ruled on </w:t>
      </w:r>
      <w:r w:rsidRPr="00672545">
        <w:t xml:space="preserve">defendant’s </w:t>
      </w:r>
      <w:r w:rsidR="00A77949" w:rsidRPr="00672545">
        <w:t xml:space="preserve">related </w:t>
      </w:r>
      <w:r w:rsidRPr="00672545">
        <w:t xml:space="preserve">motion to exclude </w:t>
      </w:r>
      <w:r w:rsidR="00A77949" w:rsidRPr="00672545">
        <w:t>any</w:t>
      </w:r>
      <w:r w:rsidR="006F3271" w:rsidRPr="00672545">
        <w:t xml:space="preserve"> </w:t>
      </w:r>
      <w:r w:rsidR="005D4658" w:rsidRPr="00672545">
        <w:t xml:space="preserve">evidence of </w:t>
      </w:r>
      <w:r w:rsidRPr="00672545">
        <w:t>pornography under Evidence Code section 1101.</w:t>
      </w:r>
      <w:r w:rsidR="00F81CD5" w:rsidRPr="00672545">
        <w:t xml:space="preserve">  </w:t>
      </w:r>
    </w:p>
    <w:p w14:paraId="4111DFDB" w14:textId="77777777" w:rsidR="00770FC7" w:rsidRPr="00672545" w:rsidRDefault="00770FC7" w:rsidP="00672545">
      <w:r w:rsidRPr="00672545">
        <w:tab/>
      </w:r>
      <w:r w:rsidR="00E225F1" w:rsidRPr="00672545">
        <w:t xml:space="preserve">At the in </w:t>
      </w:r>
      <w:proofErr w:type="spellStart"/>
      <w:r w:rsidR="00E225F1" w:rsidRPr="00672545">
        <w:t>limine</w:t>
      </w:r>
      <w:proofErr w:type="spellEnd"/>
      <w:r w:rsidR="00E225F1" w:rsidRPr="00672545">
        <w:t xml:space="preserve"> hearing that followed, t</w:t>
      </w:r>
      <w:r w:rsidRPr="00672545">
        <w:t xml:space="preserve">he prosecution identified </w:t>
      </w:r>
      <w:r w:rsidR="00767FE7" w:rsidRPr="00672545">
        <w:t xml:space="preserve">the portion </w:t>
      </w:r>
      <w:r w:rsidRPr="00672545">
        <w:t xml:space="preserve">of pornographic materials found in defendant’s home office that it proposed to introduce as evidence at trial.  </w:t>
      </w:r>
      <w:r w:rsidR="00953E2F" w:rsidRPr="00672545">
        <w:t xml:space="preserve">First, there were six video clips each lasting </w:t>
      </w:r>
      <w:r w:rsidR="00953E2F" w:rsidRPr="00672545">
        <w:lastRenderedPageBreak/>
        <w:t>approximately 30 seconds or less, depicting forcible sexual attacks on young girls.</w:t>
      </w:r>
      <w:r w:rsidR="00F81CD5" w:rsidRPr="00672545">
        <w:t xml:space="preserve">  </w:t>
      </w:r>
      <w:r w:rsidR="00953E2F" w:rsidRPr="00672545">
        <w:t>Next, there was a photograph depicting a young girl having sexual intercourse with an adult male.</w:t>
      </w:r>
      <w:r w:rsidR="00F81CD5" w:rsidRPr="00672545">
        <w:t xml:space="preserve">  </w:t>
      </w:r>
      <w:r w:rsidR="00A768FF" w:rsidRPr="00672545">
        <w:t>Another exhibit was composed of n</w:t>
      </w:r>
      <w:r w:rsidR="00917411" w:rsidRPr="00672545">
        <w:t xml:space="preserve">ine individual cartoon or </w:t>
      </w:r>
      <w:r w:rsidR="00B217E6" w:rsidRPr="00672545">
        <w:t>anime</w:t>
      </w:r>
      <w:r w:rsidR="00917411" w:rsidRPr="00672545">
        <w:t xml:space="preserve"> images portraying forcible sexual acts; three of </w:t>
      </w:r>
      <w:r w:rsidR="00AF3710" w:rsidRPr="00672545">
        <w:t>which</w:t>
      </w:r>
      <w:r w:rsidR="00917411" w:rsidRPr="00672545">
        <w:t xml:space="preserve"> depicted the rape of a female with a fully mature body, but with girlish facial features</w:t>
      </w:r>
      <w:r w:rsidR="00F632B3" w:rsidRPr="00672545">
        <w:t>,</w:t>
      </w:r>
      <w:r w:rsidR="00AF3710" w:rsidRPr="00672545">
        <w:t xml:space="preserve"> and</w:t>
      </w:r>
      <w:r w:rsidR="00917411" w:rsidRPr="00672545">
        <w:t xml:space="preserve"> six of </w:t>
      </w:r>
      <w:r w:rsidR="00AF3710" w:rsidRPr="00672545">
        <w:t>which</w:t>
      </w:r>
      <w:r w:rsidR="00917411" w:rsidRPr="00672545">
        <w:t xml:space="preserve"> depicted forcible sexual acts with pubescent girls.</w:t>
      </w:r>
      <w:r w:rsidR="00F81CD5" w:rsidRPr="00672545">
        <w:t xml:space="preserve">  </w:t>
      </w:r>
      <w:r w:rsidR="00B917CE" w:rsidRPr="00672545">
        <w:t xml:space="preserve">Two other exhibits contained sequences of </w:t>
      </w:r>
      <w:r w:rsidR="00AF3710" w:rsidRPr="00672545">
        <w:t xml:space="preserve">multiple </w:t>
      </w:r>
      <w:r w:rsidR="00B217E6" w:rsidRPr="00672545">
        <w:t>anime</w:t>
      </w:r>
      <w:r w:rsidR="00B917CE" w:rsidRPr="00672545">
        <w:t xml:space="preserve"> images showing the rape of females with girlish features, hairstyles</w:t>
      </w:r>
      <w:r w:rsidR="002D051F">
        <w:t>,</w:t>
      </w:r>
      <w:r w:rsidR="00B917CE" w:rsidRPr="00672545">
        <w:t xml:space="preserve"> and clothing.</w:t>
      </w:r>
      <w:r w:rsidR="00F81CD5" w:rsidRPr="00672545">
        <w:t xml:space="preserve">  </w:t>
      </w:r>
      <w:r w:rsidR="00E82D2C" w:rsidRPr="00672545">
        <w:t>Finally, the prosecution offered an exhibit containing another nine photographic images of unclothed pubescent and prepubescent females</w:t>
      </w:r>
      <w:r w:rsidR="002535C6" w:rsidRPr="00672545">
        <w:t xml:space="preserve"> </w:t>
      </w:r>
      <w:r w:rsidR="00E82D2C" w:rsidRPr="00672545">
        <w:t xml:space="preserve">in </w:t>
      </w:r>
      <w:r w:rsidR="00F8242F" w:rsidRPr="00672545">
        <w:t xml:space="preserve">what could be considered </w:t>
      </w:r>
      <w:r w:rsidR="00E82D2C" w:rsidRPr="00672545">
        <w:t xml:space="preserve">seductive poses.  </w:t>
      </w:r>
      <w:r w:rsidR="00DE35EB" w:rsidRPr="00672545">
        <w:t xml:space="preserve">The </w:t>
      </w:r>
      <w:r w:rsidR="00A768FF" w:rsidRPr="00672545">
        <w:t xml:space="preserve">six </w:t>
      </w:r>
      <w:r w:rsidR="00DE35EB" w:rsidRPr="00672545">
        <w:t xml:space="preserve">video clips and the first photograph were </w:t>
      </w:r>
      <w:r w:rsidR="00F14653" w:rsidRPr="00672545">
        <w:t xml:space="preserve">specifically </w:t>
      </w:r>
      <w:r w:rsidR="00DE35EB" w:rsidRPr="00672545">
        <w:t xml:space="preserve">offered in support of the child pornography charge.  </w:t>
      </w:r>
      <w:proofErr w:type="gramStart"/>
      <w:r w:rsidR="00F14653" w:rsidRPr="00672545">
        <w:t>All of</w:t>
      </w:r>
      <w:proofErr w:type="gramEnd"/>
      <w:r w:rsidR="00F14653" w:rsidRPr="00672545">
        <w:t xml:space="preserve"> the</w:t>
      </w:r>
      <w:r w:rsidR="00DE35EB" w:rsidRPr="00672545">
        <w:t xml:space="preserve"> images were offered as relevant to defendant’s motive and intent in kidnapping and murdering Danielle.</w:t>
      </w:r>
      <w:r w:rsidR="00F81CD5" w:rsidRPr="00672545">
        <w:t xml:space="preserve">  </w:t>
      </w:r>
      <w:r w:rsidR="00142847" w:rsidRPr="00672545">
        <w:t>It was the prosecution’s position that “[t]</w:t>
      </w:r>
      <w:proofErr w:type="spellStart"/>
      <w:r w:rsidR="00142847" w:rsidRPr="00672545">
        <w:t>aken</w:t>
      </w:r>
      <w:proofErr w:type="spellEnd"/>
      <w:r w:rsidR="00142847" w:rsidRPr="00672545">
        <w:t xml:space="preserve"> together [the images] prov</w:t>
      </w:r>
      <w:r w:rsidR="00A768FF" w:rsidRPr="00672545">
        <w:t>i</w:t>
      </w:r>
      <w:r w:rsidR="00142847" w:rsidRPr="00672545">
        <w:t>de an extremely rare insight into the reasons for this kidnapping and murder</w:t>
      </w:r>
      <w:proofErr w:type="gramStart"/>
      <w:r w:rsidR="00E24729" w:rsidRPr="00672545">
        <w:t>. .</w:t>
      </w:r>
      <w:proofErr w:type="gramEnd"/>
      <w:r w:rsidR="00E24729" w:rsidRPr="00672545">
        <w:t xml:space="preserve"> . .  They demonstrate graphically </w:t>
      </w:r>
      <w:r w:rsidR="00A768FF" w:rsidRPr="00672545">
        <w:t>[defendant’s]</w:t>
      </w:r>
      <w:r w:rsidR="00E24729" w:rsidRPr="00672545">
        <w:t xml:space="preserve"> special attraction to young girls.</w:t>
      </w:r>
      <w:r w:rsidR="00142847" w:rsidRPr="00672545">
        <w:t>”</w:t>
      </w:r>
      <w:r w:rsidR="00F81CD5" w:rsidRPr="00672545">
        <w:t xml:space="preserve">  </w:t>
      </w:r>
      <w:r w:rsidR="00AF271D" w:rsidRPr="00672545">
        <w:t xml:space="preserve">The prosecution asserted that one of the images even looked </w:t>
      </w:r>
      <w:proofErr w:type="gramStart"/>
      <w:r w:rsidR="00AF271D" w:rsidRPr="00672545">
        <w:t>similar to</w:t>
      </w:r>
      <w:proofErr w:type="gramEnd"/>
      <w:r w:rsidR="00AF271D" w:rsidRPr="00672545">
        <w:t xml:space="preserve"> Danielle.  </w:t>
      </w:r>
    </w:p>
    <w:p w14:paraId="65C5BBF5" w14:textId="77777777" w:rsidR="003437A5" w:rsidRPr="00672545" w:rsidRDefault="00DE35EB" w:rsidP="00672545">
      <w:r w:rsidRPr="00672545">
        <w:tab/>
      </w:r>
      <w:r w:rsidR="00174C7A" w:rsidRPr="00672545">
        <w:t xml:space="preserve">The defense responded that </w:t>
      </w:r>
      <w:r w:rsidR="00AF271D" w:rsidRPr="00672545">
        <w:t>because</w:t>
      </w:r>
      <w:r w:rsidR="00174C7A" w:rsidRPr="00672545">
        <w:t xml:space="preserve"> the pornography involving minors was a small percentage of the pornographic materials seized from defendant’s computers, </w:t>
      </w:r>
      <w:r w:rsidR="00AF271D" w:rsidRPr="00672545">
        <w:t>it was misleading to suggest that possession of the materials reflected defendant’s interest in young girls.  T</w:t>
      </w:r>
      <w:r w:rsidR="00174C7A" w:rsidRPr="00672545">
        <w:t xml:space="preserve">he defense </w:t>
      </w:r>
      <w:r w:rsidR="00AF271D" w:rsidRPr="00672545">
        <w:t xml:space="preserve">suggested </w:t>
      </w:r>
      <w:r w:rsidR="00585D76" w:rsidRPr="00672545">
        <w:t>that</w:t>
      </w:r>
      <w:r w:rsidR="00AF271D" w:rsidRPr="00672545">
        <w:t xml:space="preserve"> it </w:t>
      </w:r>
      <w:r w:rsidR="00174C7A" w:rsidRPr="00672545">
        <w:t>might have to counter with the entire collection.</w:t>
      </w:r>
      <w:r w:rsidR="00F81CD5" w:rsidRPr="00672545">
        <w:t xml:space="preserve">  </w:t>
      </w:r>
      <w:r w:rsidR="00AF271D" w:rsidRPr="00672545">
        <w:t>In addition, t</w:t>
      </w:r>
      <w:r w:rsidR="00174C7A" w:rsidRPr="00672545">
        <w:t xml:space="preserve">he defense argued that the images and video clips were not admissible </w:t>
      </w:r>
      <w:r w:rsidR="00B366D6" w:rsidRPr="00672545">
        <w:t>on</w:t>
      </w:r>
      <w:r w:rsidR="00174C7A" w:rsidRPr="00672545">
        <w:t xml:space="preserve"> the issues of motive and intent without some explicit connection between them and </w:t>
      </w:r>
      <w:r w:rsidR="00B366D6" w:rsidRPr="00672545">
        <w:t xml:space="preserve">the </w:t>
      </w:r>
      <w:r w:rsidR="00174C7A" w:rsidRPr="00672545">
        <w:t xml:space="preserve">crimes committed </w:t>
      </w:r>
      <w:r w:rsidR="00174C7A" w:rsidRPr="00672545">
        <w:lastRenderedPageBreak/>
        <w:t>against Danielle.</w:t>
      </w:r>
      <w:r w:rsidR="00F81CD5" w:rsidRPr="00672545">
        <w:t xml:space="preserve">  </w:t>
      </w:r>
      <w:r w:rsidR="00AF271D" w:rsidRPr="00672545">
        <w:t>Finally, the defense contended that the prejudice emanating from this evidence was overwhelming.</w:t>
      </w:r>
      <w:r w:rsidR="00F81CD5" w:rsidRPr="00672545">
        <w:t xml:space="preserve">  </w:t>
      </w:r>
    </w:p>
    <w:p w14:paraId="6DC89951" w14:textId="77777777" w:rsidR="004C732C" w:rsidRPr="00672545" w:rsidRDefault="004C732C" w:rsidP="00672545">
      <w:r w:rsidRPr="00672545">
        <w:tab/>
      </w:r>
      <w:r w:rsidR="005C0909" w:rsidRPr="00672545">
        <w:t>The trial court confirmed that the prosecution’s evidence would show that “the body of Danielle was found in a nude state, severely decomposed so that the cause of death could not be determined, and there were no biological samples recognizable or identifiable on the body at the time of the autopsy.”</w:t>
      </w:r>
      <w:r w:rsidR="00F81CD5" w:rsidRPr="00672545">
        <w:t xml:space="preserve">  </w:t>
      </w:r>
      <w:r w:rsidR="005C0909" w:rsidRPr="00672545">
        <w:t>The prosecution added that the evidence would also show Danielle’s fingerprint</w:t>
      </w:r>
      <w:r w:rsidR="001308EE" w:rsidRPr="00672545">
        <w:t>s</w:t>
      </w:r>
      <w:r w:rsidR="005C0909" w:rsidRPr="00672545">
        <w:t xml:space="preserve"> on a cabinet just above the bed in defendant’s motorhome, her blood in the motorhome hallway, and her hair in the motorhome bathroom and other places.</w:t>
      </w:r>
      <w:r w:rsidR="00F81CD5" w:rsidRPr="00672545">
        <w:t xml:space="preserve">  </w:t>
      </w:r>
      <w:proofErr w:type="gramStart"/>
      <w:r w:rsidR="00B95280" w:rsidRPr="00672545">
        <w:t>In light of</w:t>
      </w:r>
      <w:proofErr w:type="gramEnd"/>
      <w:r w:rsidR="00B95280" w:rsidRPr="00672545">
        <w:t xml:space="preserve"> the totality of these circumstances, the trial court ruled that the proffered pornography</w:t>
      </w:r>
      <w:r w:rsidR="00E10CE3" w:rsidRPr="00672545">
        <w:t xml:space="preserve"> material would be “highly relevant” and “probative” on the issues of motive and intent</w:t>
      </w:r>
      <w:r w:rsidR="008D16C3" w:rsidRPr="00672545">
        <w:t xml:space="preserve">.  </w:t>
      </w:r>
      <w:r w:rsidR="00E10CE3" w:rsidRPr="00672545">
        <w:t xml:space="preserve">Although it did not resolve </w:t>
      </w:r>
      <w:r w:rsidR="0017013D" w:rsidRPr="00672545">
        <w:t xml:space="preserve">at the time </w:t>
      </w:r>
      <w:r w:rsidR="00E10CE3" w:rsidRPr="00672545">
        <w:t xml:space="preserve">the </w:t>
      </w:r>
      <w:r w:rsidR="0017013D" w:rsidRPr="00672545">
        <w:t xml:space="preserve">question </w:t>
      </w:r>
      <w:r w:rsidR="00E10CE3" w:rsidRPr="00672545">
        <w:t>of which of the proffered images would be allowed</w:t>
      </w:r>
      <w:r w:rsidR="0017013D" w:rsidRPr="00672545">
        <w:t xml:space="preserve"> to be introduced</w:t>
      </w:r>
      <w:r w:rsidR="00E10CE3" w:rsidRPr="00672545">
        <w:t xml:space="preserve">, it expressly found </w:t>
      </w:r>
      <w:proofErr w:type="gramStart"/>
      <w:r w:rsidR="00E10CE3" w:rsidRPr="00672545">
        <w:t>sufficient</w:t>
      </w:r>
      <w:proofErr w:type="gramEnd"/>
      <w:r w:rsidR="00E10CE3" w:rsidRPr="00672545">
        <w:t xml:space="preserve"> evidence to sustain the prosecution’s theory of admissibility.</w:t>
      </w:r>
      <w:r w:rsidR="00F81CD5" w:rsidRPr="00672545">
        <w:t xml:space="preserve">  </w:t>
      </w:r>
    </w:p>
    <w:p w14:paraId="43AEA72B" w14:textId="77777777" w:rsidR="002535C6" w:rsidRPr="00672545" w:rsidRDefault="0017013D" w:rsidP="00672545">
      <w:r w:rsidRPr="00672545">
        <w:tab/>
        <w:t xml:space="preserve">Revisiting the </w:t>
      </w:r>
      <w:proofErr w:type="gramStart"/>
      <w:r w:rsidRPr="00672545">
        <w:t>issue</w:t>
      </w:r>
      <w:proofErr w:type="gramEnd"/>
      <w:r w:rsidRPr="00672545">
        <w:t xml:space="preserve"> the following day, the defense contended that the pictures were inadmissible character evidence suggesting that defendant was a pedophile. </w:t>
      </w:r>
      <w:r w:rsidR="003273A3" w:rsidRPr="00672545">
        <w:t xml:space="preserve"> Because</w:t>
      </w:r>
      <w:r w:rsidRPr="00672545">
        <w:t xml:space="preserve"> there was no physical evidence </w:t>
      </w:r>
      <w:r w:rsidR="0059117B" w:rsidRPr="00672545">
        <w:t xml:space="preserve">that Danielle had been </w:t>
      </w:r>
      <w:r w:rsidRPr="00672545">
        <w:t>molest</w:t>
      </w:r>
      <w:r w:rsidR="0059117B" w:rsidRPr="00672545">
        <w:t>ed</w:t>
      </w:r>
      <w:r w:rsidRPr="00672545">
        <w:t xml:space="preserve">, it </w:t>
      </w:r>
      <w:r w:rsidR="00206911" w:rsidRPr="00672545">
        <w:t xml:space="preserve">continued to be </w:t>
      </w:r>
      <w:r w:rsidRPr="00672545">
        <w:t xml:space="preserve">the </w:t>
      </w:r>
      <w:r w:rsidR="007C3659" w:rsidRPr="00672545">
        <w:t>posit</w:t>
      </w:r>
      <w:r w:rsidR="00A50A13" w:rsidRPr="00672545">
        <w:t>i</w:t>
      </w:r>
      <w:r w:rsidR="007C3659" w:rsidRPr="00672545">
        <w:t xml:space="preserve">on of the </w:t>
      </w:r>
      <w:r w:rsidRPr="00672545">
        <w:t>defense</w:t>
      </w:r>
      <w:r w:rsidR="007C3659" w:rsidRPr="00672545">
        <w:t xml:space="preserve"> </w:t>
      </w:r>
      <w:r w:rsidRPr="00672545">
        <w:t>that there was no nexus between the images and the charged offenses.</w:t>
      </w:r>
      <w:r w:rsidR="00F81CD5" w:rsidRPr="00672545">
        <w:t xml:space="preserve">  </w:t>
      </w:r>
      <w:r w:rsidRPr="00672545">
        <w:t xml:space="preserve">The trial court </w:t>
      </w:r>
      <w:r w:rsidR="00BD0E17" w:rsidRPr="00672545">
        <w:t>r</w:t>
      </w:r>
      <w:r w:rsidRPr="00672545">
        <w:t>eiterated i</w:t>
      </w:r>
      <w:r w:rsidR="0059117B" w:rsidRPr="00672545">
        <w:t>t</w:t>
      </w:r>
      <w:r w:rsidRPr="00672545">
        <w:t xml:space="preserve">s ruling from the previous day and </w:t>
      </w:r>
      <w:r w:rsidR="004B2BC0" w:rsidRPr="00672545">
        <w:t>added that</w:t>
      </w:r>
      <w:r w:rsidR="002535C6" w:rsidRPr="00672545">
        <w:t>, balancing the appropriate interests,</w:t>
      </w:r>
      <w:r w:rsidR="004B2BC0" w:rsidRPr="00672545">
        <w:t xml:space="preserve"> i</w:t>
      </w:r>
      <w:r w:rsidRPr="00672545">
        <w:t xml:space="preserve">t </w:t>
      </w:r>
      <w:r w:rsidR="00BA745A" w:rsidRPr="00672545">
        <w:t xml:space="preserve">declined </w:t>
      </w:r>
      <w:r w:rsidRPr="00672545">
        <w:t>t</w:t>
      </w:r>
      <w:r w:rsidR="00BA745A" w:rsidRPr="00672545">
        <w:t>o</w:t>
      </w:r>
      <w:r w:rsidRPr="00672545">
        <w:t xml:space="preserve"> exclude the evidence under Evidence Code </w:t>
      </w:r>
      <w:r w:rsidR="00F44FC3" w:rsidRPr="00672545">
        <w:t xml:space="preserve">section </w:t>
      </w:r>
      <w:r w:rsidRPr="00672545">
        <w:t>352.</w:t>
      </w:r>
      <w:r w:rsidR="00F81CD5" w:rsidRPr="00672545">
        <w:t xml:space="preserve">  </w:t>
      </w:r>
      <w:r w:rsidR="004B4CE4" w:rsidRPr="00672545">
        <w:t>T</w:t>
      </w:r>
      <w:r w:rsidR="00962D8C" w:rsidRPr="00672545">
        <w:t xml:space="preserve">he court observed that </w:t>
      </w:r>
      <w:r w:rsidRPr="00672545">
        <w:t>the prosecution’s presentation of the evidence could be succinct and to the point</w:t>
      </w:r>
      <w:r w:rsidR="00962D8C" w:rsidRPr="00672545">
        <w:t>, as it had been at the hearing</w:t>
      </w:r>
      <w:r w:rsidRPr="00672545">
        <w:t xml:space="preserve">.  </w:t>
      </w:r>
      <w:r w:rsidR="00962D8C" w:rsidRPr="00672545">
        <w:t xml:space="preserve">The court </w:t>
      </w:r>
      <w:r w:rsidRPr="00672545">
        <w:t xml:space="preserve">doubted the claim made by defense </w:t>
      </w:r>
      <w:r w:rsidR="00B366D6" w:rsidRPr="00672545">
        <w:t xml:space="preserve">counsel </w:t>
      </w:r>
      <w:r w:rsidRPr="00672545">
        <w:t>that the</w:t>
      </w:r>
      <w:r w:rsidR="00B366D6" w:rsidRPr="00672545">
        <w:t xml:space="preserve"> defense</w:t>
      </w:r>
      <w:r w:rsidRPr="00672545">
        <w:t xml:space="preserve"> would respond by introducing defendant’s entire </w:t>
      </w:r>
      <w:r w:rsidRPr="00672545">
        <w:lastRenderedPageBreak/>
        <w:t xml:space="preserve">collection of pornography.  It felt the defense could adequately </w:t>
      </w:r>
      <w:r w:rsidR="00962D8C" w:rsidRPr="00672545">
        <w:t xml:space="preserve">address </w:t>
      </w:r>
      <w:r w:rsidR="00B366D6" w:rsidRPr="00672545">
        <w:t>its</w:t>
      </w:r>
      <w:r w:rsidR="00962D8C" w:rsidRPr="00672545">
        <w:t xml:space="preserve"> </w:t>
      </w:r>
      <w:r w:rsidR="000B65E3" w:rsidRPr="00672545">
        <w:t xml:space="preserve">stated </w:t>
      </w:r>
      <w:r w:rsidR="00962D8C" w:rsidRPr="00672545">
        <w:t>concern</w:t>
      </w:r>
      <w:r w:rsidRPr="00672545">
        <w:t xml:space="preserve"> by </w:t>
      </w:r>
      <w:r w:rsidR="000B65E3" w:rsidRPr="00672545">
        <w:t xml:space="preserve">establishing that the percentage of images depicting </w:t>
      </w:r>
      <w:r w:rsidR="00B366D6" w:rsidRPr="00672545">
        <w:t>y</w:t>
      </w:r>
      <w:r w:rsidR="000B65E3" w:rsidRPr="00672545">
        <w:t xml:space="preserve">oung girls out of the </w:t>
      </w:r>
      <w:r w:rsidRPr="00672545">
        <w:t xml:space="preserve">total number of </w:t>
      </w:r>
      <w:r w:rsidR="000B65E3" w:rsidRPr="00672545">
        <w:t xml:space="preserve">pornographic </w:t>
      </w:r>
      <w:r w:rsidRPr="00672545">
        <w:t>images</w:t>
      </w:r>
      <w:r w:rsidR="000B65E3" w:rsidRPr="00672545">
        <w:t xml:space="preserve"> on </w:t>
      </w:r>
      <w:r w:rsidR="007020AF" w:rsidRPr="00672545">
        <w:t xml:space="preserve">defendant’s </w:t>
      </w:r>
      <w:r w:rsidR="000B65E3" w:rsidRPr="00672545">
        <w:t>computers</w:t>
      </w:r>
      <w:r w:rsidRPr="00672545">
        <w:t xml:space="preserve"> was small.</w:t>
      </w:r>
      <w:r w:rsidR="00F81CD5" w:rsidRPr="00672545">
        <w:t xml:space="preserve">  </w:t>
      </w:r>
      <w:r w:rsidR="004B2BC0" w:rsidRPr="00672545">
        <w:t>The court observed that the images the prosecution had elected to show were not as inflammatory as some of the photographs that they could have chosen to use.</w:t>
      </w:r>
      <w:r w:rsidR="00F81CD5" w:rsidRPr="00672545">
        <w:t xml:space="preserve">  </w:t>
      </w:r>
    </w:p>
    <w:p w14:paraId="1E500872" w14:textId="77777777" w:rsidR="0017013D" w:rsidRPr="00672545" w:rsidRDefault="002535C6" w:rsidP="00672545">
      <w:r w:rsidRPr="00672545">
        <w:tab/>
        <w:t>The trial court subsequently ruled that the video clips, the photograph depicting a young girl having sexual intercourse with an adult male, and the nine photographic images of unclothed pubescent and prepubescent females in seductive poses were admissible evidence on the charge of child pornography</w:t>
      </w:r>
      <w:r w:rsidR="0055253C" w:rsidRPr="00672545">
        <w:t>, as well as on the other charges</w:t>
      </w:r>
      <w:r w:rsidRPr="00672545">
        <w:t>.</w:t>
      </w:r>
      <w:r w:rsidR="00F81CD5" w:rsidRPr="00672545">
        <w:t xml:space="preserve">  </w:t>
      </w:r>
      <w:r w:rsidR="0055253C" w:rsidRPr="00672545">
        <w:t xml:space="preserve">The court ruled that the two sequences of </w:t>
      </w:r>
      <w:r w:rsidR="006B04DD" w:rsidRPr="00672545">
        <w:t xml:space="preserve">multiple </w:t>
      </w:r>
      <w:r w:rsidR="00B217E6" w:rsidRPr="00672545">
        <w:t>anime</w:t>
      </w:r>
      <w:r w:rsidR="0055253C" w:rsidRPr="00672545">
        <w:t xml:space="preserve"> images a</w:t>
      </w:r>
      <w:r w:rsidR="00B217E6" w:rsidRPr="00672545">
        <w:t>nd three of the individual anime</w:t>
      </w:r>
      <w:r w:rsidR="0055253C" w:rsidRPr="00672545">
        <w:t xml:space="preserve"> images portraying forcible sexual conduct with females depicted with adult bodies w</w:t>
      </w:r>
      <w:r w:rsidR="00F729DE" w:rsidRPr="00672545">
        <w:t>ere</w:t>
      </w:r>
      <w:r w:rsidR="0055253C" w:rsidRPr="00672545">
        <w:t xml:space="preserve"> not admissible.  </w:t>
      </w:r>
      <w:r w:rsidR="00610016" w:rsidRPr="00672545">
        <w:t>H</w:t>
      </w:r>
      <w:r w:rsidR="00F729DE" w:rsidRPr="00672545">
        <w:t>owe</w:t>
      </w:r>
      <w:r w:rsidR="0055253C" w:rsidRPr="00672545">
        <w:t xml:space="preserve">ver, </w:t>
      </w:r>
      <w:r w:rsidR="006B04DD" w:rsidRPr="00672545">
        <w:t xml:space="preserve">it concluded that </w:t>
      </w:r>
      <w:r w:rsidR="00B217E6" w:rsidRPr="00672545">
        <w:t>the six individual anime</w:t>
      </w:r>
      <w:r w:rsidR="0055253C" w:rsidRPr="00672545">
        <w:t xml:space="preserve"> images showing forcible sexual acts with pubescent girls </w:t>
      </w:r>
      <w:r w:rsidR="00F729DE" w:rsidRPr="00672545">
        <w:t xml:space="preserve">were admissible </w:t>
      </w:r>
      <w:r w:rsidR="00610016" w:rsidRPr="00672545">
        <w:t xml:space="preserve">on the issue of defendant’s possible motive and intent.  </w:t>
      </w:r>
    </w:p>
    <w:p w14:paraId="7F60BF7F" w14:textId="77777777" w:rsidR="00DE35EB" w:rsidRPr="00672545" w:rsidRDefault="002535C6" w:rsidP="00672545">
      <w:r w:rsidRPr="00672545">
        <w:tab/>
      </w:r>
      <w:r w:rsidR="00120949" w:rsidRPr="00672545">
        <w:t>T</w:t>
      </w:r>
      <w:r w:rsidRPr="00672545">
        <w:t xml:space="preserve">he trial court </w:t>
      </w:r>
      <w:r w:rsidR="00120949" w:rsidRPr="00672545">
        <w:t xml:space="preserve">next </w:t>
      </w:r>
      <w:r w:rsidR="006B04DD" w:rsidRPr="00672545">
        <w:t xml:space="preserve">considered defendant’s motion to sever the child pornography charge from the other charges </w:t>
      </w:r>
      <w:proofErr w:type="gramStart"/>
      <w:r w:rsidR="006B04DD" w:rsidRPr="00672545">
        <w:t>in light of</w:t>
      </w:r>
      <w:proofErr w:type="gramEnd"/>
      <w:r w:rsidR="006B04DD" w:rsidRPr="00672545">
        <w:t xml:space="preserve"> its rulings.</w:t>
      </w:r>
      <w:r w:rsidR="00F81CD5" w:rsidRPr="00672545">
        <w:t xml:space="preserve">  </w:t>
      </w:r>
      <w:r w:rsidR="00D407B9" w:rsidRPr="00672545">
        <w:t>The defense contended that the child pornography charge was not within the same class of crimes as the kidnapping and murder charges, and that the commission of the one was not connected to the commission of the other two.</w:t>
      </w:r>
      <w:r w:rsidR="00F81CD5" w:rsidRPr="00672545">
        <w:t xml:space="preserve">  </w:t>
      </w:r>
      <w:r w:rsidR="00D407B9" w:rsidRPr="00672545">
        <w:t xml:space="preserve">The prosecution conceded that the child pornography charge was not within the same class of </w:t>
      </w:r>
      <w:proofErr w:type="gramStart"/>
      <w:r w:rsidR="00D407B9" w:rsidRPr="00672545">
        <w:t>crimes, but</w:t>
      </w:r>
      <w:proofErr w:type="gramEnd"/>
      <w:r w:rsidR="00D407B9" w:rsidRPr="00672545">
        <w:t xml:space="preserve"> referencing its previous argument regarding the admissibility of the child pornography as evidence of defendant’s motive and intent in kidnapping and murdering Danielle, it contended that the crimes were clearly </w:t>
      </w:r>
      <w:r w:rsidR="00D407B9" w:rsidRPr="00672545">
        <w:lastRenderedPageBreak/>
        <w:t>connected in their commission so as to permit joinder.</w:t>
      </w:r>
      <w:r w:rsidR="00F81CD5" w:rsidRPr="00672545">
        <w:t xml:space="preserve">  </w:t>
      </w:r>
      <w:r w:rsidR="00D407B9" w:rsidRPr="00672545">
        <w:t>The trial court denied defendant’s severance motion.</w:t>
      </w:r>
      <w:r w:rsidR="00F81CD5" w:rsidRPr="00672545">
        <w:t xml:space="preserve">  </w:t>
      </w:r>
    </w:p>
    <w:p w14:paraId="3D9F7348" w14:textId="77777777" w:rsidR="00DE35EB" w:rsidRPr="00672545" w:rsidRDefault="00D407B9" w:rsidP="00672545">
      <w:pPr>
        <w:pStyle w:val="Heading4"/>
      </w:pPr>
      <w:r w:rsidRPr="00672545">
        <w:t>b.  Discussion</w:t>
      </w:r>
      <w:r w:rsidR="00614C8A" w:rsidRPr="00672545">
        <w:t xml:space="preserve"> of joinder</w:t>
      </w:r>
    </w:p>
    <w:p w14:paraId="29166CA5" w14:textId="77777777" w:rsidR="00D407B9" w:rsidRPr="00672545" w:rsidRDefault="00D407B9" w:rsidP="00672545">
      <w:pPr>
        <w:rPr>
          <w:szCs w:val="26"/>
        </w:rPr>
      </w:pPr>
      <w:r w:rsidRPr="00672545">
        <w:rPr>
          <w:szCs w:val="26"/>
        </w:rPr>
        <w:tab/>
      </w:r>
      <w:r w:rsidR="0096447D" w:rsidRPr="00672545">
        <w:rPr>
          <w:rFonts w:cs="Calibri"/>
          <w:szCs w:val="26"/>
        </w:rPr>
        <w:t>Section 954 permits the joinder of “two or more different offenses connected together in their commission</w:t>
      </w:r>
      <w:r w:rsidR="00BC6F2F" w:rsidRPr="00672545">
        <w:rPr>
          <w:rFonts w:cs="Calibri"/>
          <w:szCs w:val="26"/>
        </w:rPr>
        <w:t xml:space="preserve"> . . . </w:t>
      </w:r>
      <w:r w:rsidR="0096447D" w:rsidRPr="00672545">
        <w:rPr>
          <w:rFonts w:cs="Calibri"/>
          <w:szCs w:val="26"/>
        </w:rPr>
        <w:t xml:space="preserve">or two or more different offenses of the same class of crimes or offenses.”  There is no claim that the child pornography charge alleged against defendant is of the same class of crime as the kidnapping and murder charges.  The issue is whether </w:t>
      </w:r>
      <w:r w:rsidR="008F3F4B" w:rsidRPr="00672545">
        <w:rPr>
          <w:rFonts w:cs="Calibri"/>
          <w:szCs w:val="26"/>
        </w:rPr>
        <w:t xml:space="preserve">the child pornography </w:t>
      </w:r>
      <w:r w:rsidR="001E16D7" w:rsidRPr="00672545">
        <w:rPr>
          <w:rFonts w:cs="Calibri"/>
          <w:szCs w:val="26"/>
        </w:rPr>
        <w:t>offense</w:t>
      </w:r>
      <w:r w:rsidR="0096447D" w:rsidRPr="00672545">
        <w:rPr>
          <w:rFonts w:cs="Calibri"/>
          <w:szCs w:val="26"/>
        </w:rPr>
        <w:t xml:space="preserve"> is properly considered to be </w:t>
      </w:r>
      <w:proofErr w:type="gramStart"/>
      <w:r w:rsidR="0096447D" w:rsidRPr="00672545">
        <w:rPr>
          <w:rFonts w:cs="Calibri"/>
          <w:szCs w:val="26"/>
        </w:rPr>
        <w:t>connected together</w:t>
      </w:r>
      <w:proofErr w:type="gramEnd"/>
      <w:r w:rsidR="0096447D" w:rsidRPr="00672545">
        <w:rPr>
          <w:rFonts w:cs="Calibri"/>
          <w:szCs w:val="26"/>
        </w:rPr>
        <w:t xml:space="preserve"> with the</w:t>
      </w:r>
      <w:r w:rsidR="001E16D7" w:rsidRPr="00672545">
        <w:rPr>
          <w:rFonts w:cs="Calibri"/>
          <w:szCs w:val="26"/>
        </w:rPr>
        <w:t xml:space="preserve"> kidnapping and murder of Danielle</w:t>
      </w:r>
      <w:r w:rsidR="0096447D" w:rsidRPr="00672545">
        <w:rPr>
          <w:rFonts w:cs="Calibri"/>
          <w:szCs w:val="26"/>
        </w:rPr>
        <w:t xml:space="preserve">. </w:t>
      </w:r>
      <w:r w:rsidR="0096447D" w:rsidRPr="00672545">
        <w:rPr>
          <w:szCs w:val="26"/>
        </w:rPr>
        <w:t xml:space="preserve"> “</w:t>
      </w:r>
      <w:r w:rsidR="0096447D" w:rsidRPr="00672545">
        <w:rPr>
          <w:rStyle w:val="ssrfcpassagedeactivated"/>
          <w:szCs w:val="26"/>
        </w:rPr>
        <w:t>Whether offenses properly are joined pursuant to section 954 is a question of law and is subject to independent review on appeal.”  (</w:t>
      </w:r>
      <w:r w:rsidR="00B31777" w:rsidRPr="00672545">
        <w:rPr>
          <w:i/>
          <w:iCs/>
          <w:szCs w:val="26"/>
        </w:rPr>
        <w:t>People v. Cunningham</w:t>
      </w:r>
      <w:r w:rsidR="00B31777" w:rsidRPr="00672545">
        <w:rPr>
          <w:szCs w:val="26"/>
        </w:rPr>
        <w:t xml:space="preserve"> (2001) 25 Cal.4th 926, 984.)</w:t>
      </w:r>
    </w:p>
    <w:p w14:paraId="5C52C776" w14:textId="77777777" w:rsidR="00A60AF0" w:rsidRPr="00672545" w:rsidRDefault="0096447D" w:rsidP="00672545">
      <w:pPr>
        <w:rPr>
          <w:rFonts w:cs="Calibri"/>
          <w:szCs w:val="26"/>
        </w:rPr>
      </w:pPr>
      <w:r w:rsidRPr="00672545">
        <w:rPr>
          <w:rFonts w:cs="Calibri"/>
          <w:szCs w:val="26"/>
        </w:rPr>
        <w:tab/>
        <w:t xml:space="preserve">We agree with the </w:t>
      </w:r>
      <w:r w:rsidR="00E91E20" w:rsidRPr="00672545">
        <w:rPr>
          <w:rFonts w:cs="Calibri"/>
          <w:szCs w:val="26"/>
        </w:rPr>
        <w:t>People</w:t>
      </w:r>
      <w:r w:rsidRPr="00672545">
        <w:rPr>
          <w:rFonts w:cs="Calibri"/>
          <w:szCs w:val="26"/>
        </w:rPr>
        <w:t xml:space="preserve"> that the charges </w:t>
      </w:r>
      <w:r w:rsidR="003E43A1" w:rsidRPr="00672545">
        <w:rPr>
          <w:rFonts w:cs="Calibri"/>
          <w:szCs w:val="26"/>
        </w:rPr>
        <w:t xml:space="preserve">here </w:t>
      </w:r>
      <w:r w:rsidRPr="00672545">
        <w:rPr>
          <w:rFonts w:cs="Calibri"/>
          <w:szCs w:val="26"/>
        </w:rPr>
        <w:t xml:space="preserve">were connected in their commission.  </w:t>
      </w:r>
      <w:proofErr w:type="gramStart"/>
      <w:r w:rsidRPr="00672545">
        <w:rPr>
          <w:rFonts w:cs="Calibri"/>
          <w:szCs w:val="26"/>
        </w:rPr>
        <w:t>“ ‘</w:t>
      </w:r>
      <w:proofErr w:type="gramEnd"/>
      <w:r w:rsidRPr="00672545">
        <w:rPr>
          <w:rFonts w:cs="Calibri"/>
          <w:szCs w:val="26"/>
        </w:rPr>
        <w:t>Offenses “committed at different times and places against different victims are nevertheless ‘connected together in their commission’ when they are</w:t>
      </w:r>
      <w:r w:rsidR="00BC6F2F" w:rsidRPr="00672545">
        <w:rPr>
          <w:rFonts w:cs="Calibri"/>
          <w:szCs w:val="26"/>
        </w:rPr>
        <w:t xml:space="preserve"> . . . </w:t>
      </w:r>
      <w:r w:rsidRPr="00672545">
        <w:rPr>
          <w:rFonts w:cs="Calibri"/>
          <w:szCs w:val="26"/>
        </w:rPr>
        <w:t>linked by a ‘ “common element of substantial importance.” ’  [Citations.]</w:t>
      </w:r>
      <w:proofErr w:type="gramStart"/>
      <w:r w:rsidRPr="00672545">
        <w:rPr>
          <w:rFonts w:cs="Calibri"/>
          <w:szCs w:val="26"/>
        </w:rPr>
        <w:t>” ’</w:t>
      </w:r>
      <w:proofErr w:type="gramEnd"/>
      <w:r w:rsidRPr="00672545">
        <w:rPr>
          <w:rFonts w:cs="Calibri"/>
          <w:szCs w:val="26"/>
        </w:rPr>
        <w:t xml:space="preserve"> [Citation.]”  (</w:t>
      </w:r>
      <w:r w:rsidRPr="00672545">
        <w:rPr>
          <w:rFonts w:cs="Calibri"/>
          <w:i/>
          <w:szCs w:val="26"/>
        </w:rPr>
        <w:t>People v. Valdez</w:t>
      </w:r>
      <w:r w:rsidRPr="00672545">
        <w:rPr>
          <w:rFonts w:cs="Calibri"/>
          <w:szCs w:val="26"/>
        </w:rPr>
        <w:t xml:space="preserve"> (2004) 32 Cal.4th 73, 119</w:t>
      </w:r>
      <w:r w:rsidR="003E686F" w:rsidRPr="00672545">
        <w:rPr>
          <w:rFonts w:cs="Calibri"/>
          <w:szCs w:val="26"/>
        </w:rPr>
        <w:t xml:space="preserve">; accord </w:t>
      </w:r>
      <w:r w:rsidR="003E686F" w:rsidRPr="00672545">
        <w:rPr>
          <w:rFonts w:cs="Calibri"/>
          <w:i/>
          <w:szCs w:val="26"/>
        </w:rPr>
        <w:t xml:space="preserve">People v. Alcala </w:t>
      </w:r>
      <w:r w:rsidR="003E686F" w:rsidRPr="00672545">
        <w:rPr>
          <w:rFonts w:cs="Calibri"/>
          <w:szCs w:val="26"/>
        </w:rPr>
        <w:t>(2008) 43 Cal.4th 1205, 1219</w:t>
      </w:r>
      <w:r w:rsidR="00107995" w:rsidRPr="00672545">
        <w:rPr>
          <w:rFonts w:cs="Calibri"/>
          <w:szCs w:val="26"/>
        </w:rPr>
        <w:t xml:space="preserve"> (</w:t>
      </w:r>
      <w:r w:rsidR="00107995" w:rsidRPr="00672545">
        <w:rPr>
          <w:rFonts w:cs="Calibri"/>
          <w:i/>
          <w:szCs w:val="26"/>
        </w:rPr>
        <w:t>Alcala</w:t>
      </w:r>
      <w:r w:rsidR="00107995" w:rsidRPr="00672545">
        <w:rPr>
          <w:rFonts w:cs="Calibri"/>
          <w:szCs w:val="26"/>
        </w:rPr>
        <w:t>)</w:t>
      </w:r>
      <w:r w:rsidRPr="00672545">
        <w:rPr>
          <w:rFonts w:cs="Calibri"/>
          <w:szCs w:val="26"/>
        </w:rPr>
        <w:t xml:space="preserve">.)  </w:t>
      </w:r>
      <w:r w:rsidR="003E43A1" w:rsidRPr="00672545">
        <w:rPr>
          <w:rFonts w:cs="Calibri"/>
          <w:szCs w:val="26"/>
        </w:rPr>
        <w:t>Motive or intent may be such a common eleme</w:t>
      </w:r>
      <w:r w:rsidR="00AF45CE" w:rsidRPr="00672545">
        <w:rPr>
          <w:rFonts w:cs="Calibri"/>
          <w:szCs w:val="26"/>
        </w:rPr>
        <w:t>nt of substantial importance.  (</w:t>
      </w:r>
      <w:r w:rsidR="0011504A" w:rsidRPr="00672545">
        <w:rPr>
          <w:rFonts w:cs="Calibri"/>
          <w:i/>
          <w:szCs w:val="26"/>
        </w:rPr>
        <w:t>Alcala, supra</w:t>
      </w:r>
      <w:r w:rsidR="0011504A" w:rsidRPr="00672545">
        <w:rPr>
          <w:rFonts w:cs="Calibri"/>
          <w:szCs w:val="26"/>
        </w:rPr>
        <w:t>, at pp. 1219-1220 and cases cited therein;</w:t>
      </w:r>
      <w:r w:rsidR="00AF45CE" w:rsidRPr="00672545">
        <w:rPr>
          <w:rFonts w:cs="Calibri"/>
          <w:szCs w:val="26"/>
        </w:rPr>
        <w:t xml:space="preserve"> </w:t>
      </w:r>
      <w:r w:rsidR="003E686F" w:rsidRPr="00672545">
        <w:rPr>
          <w:rFonts w:cs="Calibri"/>
          <w:i/>
          <w:szCs w:val="26"/>
        </w:rPr>
        <w:t>People v. Valdez, supra</w:t>
      </w:r>
      <w:r w:rsidR="002D051F" w:rsidRPr="002D051F">
        <w:rPr>
          <w:rFonts w:cs="Calibri"/>
          <w:szCs w:val="26"/>
        </w:rPr>
        <w:t>,</w:t>
      </w:r>
      <w:r w:rsidR="002D051F">
        <w:rPr>
          <w:rFonts w:cs="Calibri"/>
          <w:i/>
          <w:szCs w:val="26"/>
        </w:rPr>
        <w:t xml:space="preserve"> </w:t>
      </w:r>
      <w:r w:rsidR="00D37510">
        <w:rPr>
          <w:rFonts w:cs="Calibri"/>
          <w:szCs w:val="26"/>
        </w:rPr>
        <w:t>32 Cal.</w:t>
      </w:r>
      <w:r w:rsidR="002D051F">
        <w:rPr>
          <w:rFonts w:cs="Calibri"/>
          <w:szCs w:val="26"/>
        </w:rPr>
        <w:t>4th 73</w:t>
      </w:r>
      <w:r w:rsidR="003D560D" w:rsidRPr="002D051F">
        <w:rPr>
          <w:rFonts w:cs="Calibri"/>
          <w:szCs w:val="26"/>
        </w:rPr>
        <w:t>;</w:t>
      </w:r>
      <w:r w:rsidR="00AF45CE" w:rsidRPr="00672545">
        <w:rPr>
          <w:rFonts w:cs="Calibri"/>
          <w:szCs w:val="26"/>
        </w:rPr>
        <w:t xml:space="preserve"> </w:t>
      </w:r>
      <w:r w:rsidR="003D560D" w:rsidRPr="00672545">
        <w:rPr>
          <w:rFonts w:cs="Calibri"/>
          <w:i/>
          <w:iCs/>
          <w:szCs w:val="26"/>
        </w:rPr>
        <w:t>Ghent v. Superior Court</w:t>
      </w:r>
      <w:r w:rsidR="003D560D" w:rsidRPr="00672545">
        <w:rPr>
          <w:rFonts w:cs="Calibri"/>
          <w:szCs w:val="26"/>
        </w:rPr>
        <w:t xml:space="preserve"> (1979) 90 Cal.App.3d 944, 958.)  </w:t>
      </w:r>
      <w:r w:rsidR="00A27007" w:rsidRPr="00672545">
        <w:rPr>
          <w:rFonts w:cs="Calibri"/>
          <w:szCs w:val="26"/>
        </w:rPr>
        <w:t>In this case, defendant’s possession of child pornography reflected a</w:t>
      </w:r>
      <w:r w:rsidR="000C00A6" w:rsidRPr="00672545">
        <w:rPr>
          <w:rFonts w:cs="Calibri"/>
          <w:szCs w:val="26"/>
        </w:rPr>
        <w:t>n</w:t>
      </w:r>
      <w:r w:rsidR="00A27007" w:rsidRPr="00672545">
        <w:rPr>
          <w:rFonts w:cs="Calibri"/>
          <w:szCs w:val="26"/>
        </w:rPr>
        <w:t xml:space="preserve"> interest in sexual conduct</w:t>
      </w:r>
      <w:r w:rsidR="0011504A" w:rsidRPr="00672545">
        <w:rPr>
          <w:rFonts w:cs="Calibri"/>
          <w:szCs w:val="26"/>
        </w:rPr>
        <w:t xml:space="preserve"> with</w:t>
      </w:r>
      <w:r w:rsidR="00A27007" w:rsidRPr="00672545">
        <w:rPr>
          <w:rFonts w:cs="Calibri"/>
          <w:szCs w:val="26"/>
        </w:rPr>
        <w:t>, indeed sexual assault of</w:t>
      </w:r>
      <w:r w:rsidR="0011504A" w:rsidRPr="00672545">
        <w:rPr>
          <w:rFonts w:cs="Calibri"/>
          <w:szCs w:val="26"/>
        </w:rPr>
        <w:t>,</w:t>
      </w:r>
      <w:r w:rsidR="00A27007" w:rsidRPr="00672545">
        <w:rPr>
          <w:rFonts w:cs="Calibri"/>
          <w:szCs w:val="26"/>
        </w:rPr>
        <w:t xml:space="preserve"> </w:t>
      </w:r>
      <w:r w:rsidR="00F664CA" w:rsidRPr="00672545">
        <w:rPr>
          <w:rFonts w:cs="Calibri"/>
          <w:szCs w:val="26"/>
        </w:rPr>
        <w:t>young girls</w:t>
      </w:r>
      <w:r w:rsidR="00A27007" w:rsidRPr="00672545">
        <w:rPr>
          <w:rFonts w:cs="Calibri"/>
          <w:szCs w:val="26"/>
        </w:rPr>
        <w:t xml:space="preserve"> that was highly relevant to explain why he would have kidnapped Danielle and ultimately murdered her.  </w:t>
      </w:r>
      <w:r w:rsidR="00A60AF0" w:rsidRPr="00672545">
        <w:rPr>
          <w:rFonts w:cs="Calibri"/>
          <w:szCs w:val="26"/>
        </w:rPr>
        <w:t xml:space="preserve">Such interest and motivation </w:t>
      </w:r>
      <w:r w:rsidR="003137F9" w:rsidRPr="00672545">
        <w:rPr>
          <w:rFonts w:cs="Calibri"/>
          <w:szCs w:val="26"/>
        </w:rPr>
        <w:t>had an</w:t>
      </w:r>
      <w:r w:rsidR="00A60AF0" w:rsidRPr="00672545">
        <w:rPr>
          <w:rFonts w:cs="Calibri"/>
          <w:szCs w:val="26"/>
        </w:rPr>
        <w:t xml:space="preserve"> evidentiary connection to the </w:t>
      </w:r>
      <w:r w:rsidR="00A60AF0" w:rsidRPr="00672545">
        <w:rPr>
          <w:rFonts w:cs="Calibri"/>
          <w:szCs w:val="26"/>
        </w:rPr>
        <w:lastRenderedPageBreak/>
        <w:t xml:space="preserve">kidnapping and murder charges in the physical evidence of Danielle’s </w:t>
      </w:r>
      <w:r w:rsidR="00783ABF" w:rsidRPr="00672545">
        <w:rPr>
          <w:rFonts w:cs="Calibri"/>
          <w:szCs w:val="26"/>
        </w:rPr>
        <w:t xml:space="preserve">handprint </w:t>
      </w:r>
      <w:r w:rsidR="00A60AF0" w:rsidRPr="00672545">
        <w:rPr>
          <w:rFonts w:cs="Calibri"/>
          <w:szCs w:val="26"/>
        </w:rPr>
        <w:t xml:space="preserve">located near the bed of the motorhome, her blood and hair found in the motorhome, </w:t>
      </w:r>
      <w:r w:rsidR="005C0D2A" w:rsidRPr="00672545">
        <w:rPr>
          <w:rFonts w:cs="Calibri"/>
          <w:szCs w:val="26"/>
        </w:rPr>
        <w:t xml:space="preserve">her hair found on defendant’s </w:t>
      </w:r>
      <w:r w:rsidR="00454DA4" w:rsidRPr="00672545">
        <w:rPr>
          <w:rFonts w:cs="Calibri"/>
          <w:szCs w:val="26"/>
        </w:rPr>
        <w:t xml:space="preserve">home </w:t>
      </w:r>
      <w:r w:rsidR="005C0D2A" w:rsidRPr="00672545">
        <w:rPr>
          <w:rFonts w:cs="Calibri"/>
          <w:szCs w:val="26"/>
        </w:rPr>
        <w:t xml:space="preserve">bedding, </w:t>
      </w:r>
      <w:r w:rsidR="00A60AF0" w:rsidRPr="00672545">
        <w:rPr>
          <w:rFonts w:cs="Calibri"/>
          <w:szCs w:val="26"/>
        </w:rPr>
        <w:t xml:space="preserve">and in the fact that </w:t>
      </w:r>
      <w:r w:rsidR="005A4AE6" w:rsidRPr="00672545">
        <w:rPr>
          <w:rFonts w:cs="Calibri"/>
          <w:szCs w:val="26"/>
        </w:rPr>
        <w:t xml:space="preserve">she was </w:t>
      </w:r>
      <w:r w:rsidR="00477766" w:rsidRPr="00672545">
        <w:rPr>
          <w:rFonts w:cs="Calibri"/>
          <w:szCs w:val="26"/>
        </w:rPr>
        <w:t>abducted</w:t>
      </w:r>
      <w:r w:rsidR="005A4AE6" w:rsidRPr="00672545">
        <w:rPr>
          <w:rFonts w:cs="Calibri"/>
          <w:szCs w:val="26"/>
        </w:rPr>
        <w:t xml:space="preserve"> from her bed at night and </w:t>
      </w:r>
      <w:r w:rsidR="00A60AF0" w:rsidRPr="00672545">
        <w:rPr>
          <w:rFonts w:cs="Calibri"/>
          <w:szCs w:val="26"/>
        </w:rPr>
        <w:t xml:space="preserve">her nude body was </w:t>
      </w:r>
      <w:r w:rsidR="005A4AE6" w:rsidRPr="00672545">
        <w:rPr>
          <w:rFonts w:cs="Calibri"/>
          <w:szCs w:val="26"/>
        </w:rPr>
        <w:t xml:space="preserve">subsequently </w:t>
      </w:r>
      <w:r w:rsidR="00A60AF0" w:rsidRPr="00672545">
        <w:rPr>
          <w:rFonts w:cs="Calibri"/>
          <w:szCs w:val="26"/>
        </w:rPr>
        <w:t xml:space="preserve">left in the desert.  </w:t>
      </w:r>
    </w:p>
    <w:p w14:paraId="6EBAEBAE" w14:textId="77777777" w:rsidR="00F664CA" w:rsidRPr="00672545" w:rsidRDefault="00F664CA" w:rsidP="00672545">
      <w:pPr>
        <w:rPr>
          <w:rFonts w:cs="Calibri"/>
          <w:szCs w:val="26"/>
        </w:rPr>
      </w:pPr>
      <w:r w:rsidRPr="00672545">
        <w:rPr>
          <w:rFonts w:cs="Calibri"/>
          <w:szCs w:val="26"/>
        </w:rPr>
        <w:tab/>
        <w:t xml:space="preserve">Defendant raises </w:t>
      </w:r>
      <w:proofErr w:type="gramStart"/>
      <w:r w:rsidRPr="00672545">
        <w:rPr>
          <w:rFonts w:cs="Calibri"/>
          <w:szCs w:val="26"/>
        </w:rPr>
        <w:t>a number of</w:t>
      </w:r>
      <w:proofErr w:type="gramEnd"/>
      <w:r w:rsidRPr="00672545">
        <w:rPr>
          <w:rFonts w:cs="Calibri"/>
          <w:szCs w:val="26"/>
        </w:rPr>
        <w:t xml:space="preserve"> objections to our reaching this conclusion.</w:t>
      </w:r>
    </w:p>
    <w:p w14:paraId="13F06F0B" w14:textId="77777777" w:rsidR="002B7832" w:rsidRPr="00672545" w:rsidRDefault="00F664CA" w:rsidP="00672545">
      <w:pPr>
        <w:rPr>
          <w:rFonts w:cs="Calibri"/>
          <w:szCs w:val="26"/>
        </w:rPr>
      </w:pPr>
      <w:r w:rsidRPr="00672545">
        <w:rPr>
          <w:rFonts w:cs="Calibri"/>
          <w:szCs w:val="26"/>
        </w:rPr>
        <w:tab/>
        <w:t xml:space="preserve">First, </w:t>
      </w:r>
      <w:r w:rsidR="003137F9" w:rsidRPr="00672545">
        <w:rPr>
          <w:rFonts w:cs="Calibri"/>
          <w:szCs w:val="26"/>
        </w:rPr>
        <w:t>he</w:t>
      </w:r>
      <w:r w:rsidRPr="00672545">
        <w:rPr>
          <w:rFonts w:cs="Calibri"/>
          <w:szCs w:val="26"/>
        </w:rPr>
        <w:t xml:space="preserve"> points out that there was no evidence that he</w:t>
      </w:r>
      <w:r w:rsidR="00A60AF0" w:rsidRPr="00672545">
        <w:rPr>
          <w:rFonts w:cs="Calibri"/>
          <w:szCs w:val="26"/>
        </w:rPr>
        <w:t xml:space="preserve"> created the </w:t>
      </w:r>
      <w:r w:rsidRPr="00672545">
        <w:rPr>
          <w:rFonts w:cs="Calibri"/>
          <w:szCs w:val="26"/>
        </w:rPr>
        <w:t xml:space="preserve">pornographic </w:t>
      </w:r>
      <w:r w:rsidR="00A60AF0" w:rsidRPr="00672545">
        <w:rPr>
          <w:rFonts w:cs="Calibri"/>
          <w:szCs w:val="26"/>
        </w:rPr>
        <w:t>images</w:t>
      </w:r>
      <w:r w:rsidRPr="00672545">
        <w:rPr>
          <w:rFonts w:cs="Calibri"/>
          <w:szCs w:val="26"/>
        </w:rPr>
        <w:t xml:space="preserve"> seized</w:t>
      </w:r>
      <w:r w:rsidR="00123E01" w:rsidRPr="00672545">
        <w:rPr>
          <w:rFonts w:cs="Calibri"/>
          <w:szCs w:val="26"/>
        </w:rPr>
        <w:t xml:space="preserve"> or </w:t>
      </w:r>
      <w:r w:rsidRPr="00672545">
        <w:rPr>
          <w:rFonts w:cs="Calibri"/>
          <w:szCs w:val="26"/>
        </w:rPr>
        <w:t xml:space="preserve">that he </w:t>
      </w:r>
      <w:r w:rsidR="00A60AF0" w:rsidRPr="00672545">
        <w:rPr>
          <w:rFonts w:cs="Calibri"/>
          <w:szCs w:val="26"/>
        </w:rPr>
        <w:t>viewed them immediately prior to Danielle’s disappearance</w:t>
      </w:r>
      <w:r w:rsidR="00123E01" w:rsidRPr="00672545">
        <w:rPr>
          <w:rFonts w:cs="Calibri"/>
          <w:szCs w:val="26"/>
        </w:rPr>
        <w:t xml:space="preserve">.  </w:t>
      </w:r>
      <w:r w:rsidR="003E5A5E" w:rsidRPr="00672545">
        <w:rPr>
          <w:rFonts w:cs="Calibri"/>
          <w:szCs w:val="26"/>
        </w:rPr>
        <w:t>Defendant asserts that to qualify for joinder of the charges, the possession of proscribed pornography had to be connected to the evidence of the kidnapping and murder, and not to some speculation or theory of the prosecution concerning how or why those offenses were committed</w:t>
      </w:r>
      <w:r w:rsidR="002B7832" w:rsidRPr="00672545">
        <w:rPr>
          <w:rFonts w:cs="Calibri"/>
          <w:szCs w:val="26"/>
        </w:rPr>
        <w:t xml:space="preserve">.  </w:t>
      </w:r>
      <w:r w:rsidR="00AC790F" w:rsidRPr="00672545">
        <w:rPr>
          <w:rFonts w:cs="Calibri"/>
          <w:szCs w:val="26"/>
        </w:rPr>
        <w:t xml:space="preserve">He </w:t>
      </w:r>
      <w:r w:rsidR="002B7832" w:rsidRPr="00672545">
        <w:rPr>
          <w:rFonts w:cs="Calibri"/>
          <w:szCs w:val="26"/>
        </w:rPr>
        <w:t xml:space="preserve">further </w:t>
      </w:r>
      <w:r w:rsidR="00AC790F" w:rsidRPr="00672545">
        <w:rPr>
          <w:rFonts w:cs="Calibri"/>
          <w:szCs w:val="26"/>
        </w:rPr>
        <w:t>notes that t</w:t>
      </w:r>
      <w:r w:rsidR="00123E01" w:rsidRPr="00672545">
        <w:rPr>
          <w:rFonts w:cs="Calibri"/>
          <w:szCs w:val="26"/>
        </w:rPr>
        <w:t>here was no evidence</w:t>
      </w:r>
      <w:r w:rsidRPr="00672545">
        <w:rPr>
          <w:rFonts w:cs="Calibri"/>
          <w:szCs w:val="26"/>
        </w:rPr>
        <w:t xml:space="preserve"> that any of the images were of Danielle herself or that the images depicted a scene corresponding to the kidnap or murder of Danielle.  </w:t>
      </w:r>
      <w:r w:rsidR="00123E01" w:rsidRPr="00672545">
        <w:rPr>
          <w:rFonts w:cs="Calibri"/>
          <w:szCs w:val="26"/>
        </w:rPr>
        <w:t xml:space="preserve">Defendant </w:t>
      </w:r>
      <w:r w:rsidR="004E4B6D" w:rsidRPr="00672545">
        <w:rPr>
          <w:rFonts w:cs="Calibri"/>
          <w:szCs w:val="26"/>
        </w:rPr>
        <w:t>refers us t</w:t>
      </w:r>
      <w:r w:rsidR="00AC790F" w:rsidRPr="00672545">
        <w:rPr>
          <w:rFonts w:cs="Calibri"/>
          <w:szCs w:val="26"/>
        </w:rPr>
        <w:t>o several cases in which</w:t>
      </w:r>
      <w:r w:rsidRPr="00672545">
        <w:rPr>
          <w:rFonts w:cs="Calibri"/>
          <w:szCs w:val="26"/>
        </w:rPr>
        <w:t xml:space="preserve"> such factors</w:t>
      </w:r>
      <w:r w:rsidR="00CB4AB8" w:rsidRPr="00672545">
        <w:rPr>
          <w:rFonts w:cs="Calibri"/>
          <w:szCs w:val="26"/>
        </w:rPr>
        <w:t xml:space="preserve">, </w:t>
      </w:r>
      <w:r w:rsidR="002473C2" w:rsidRPr="00672545">
        <w:rPr>
          <w:rFonts w:cs="Calibri"/>
          <w:szCs w:val="26"/>
        </w:rPr>
        <w:t>under</w:t>
      </w:r>
      <w:r w:rsidR="00CB4AB8" w:rsidRPr="00672545">
        <w:rPr>
          <w:rFonts w:cs="Calibri"/>
          <w:szCs w:val="26"/>
        </w:rPr>
        <w:t xml:space="preserve"> their respective facts, </w:t>
      </w:r>
      <w:r w:rsidRPr="00672545">
        <w:rPr>
          <w:rFonts w:cs="Calibri"/>
          <w:szCs w:val="26"/>
        </w:rPr>
        <w:t>have been present</w:t>
      </w:r>
      <w:r w:rsidR="00C349D3" w:rsidRPr="00672545">
        <w:rPr>
          <w:rFonts w:cs="Calibri"/>
          <w:szCs w:val="26"/>
        </w:rPr>
        <w:t xml:space="preserve"> or have posed an evidentiary concern</w:t>
      </w:r>
      <w:r w:rsidR="00CB4AB8" w:rsidRPr="00672545">
        <w:rPr>
          <w:rFonts w:cs="Calibri"/>
          <w:szCs w:val="26"/>
        </w:rPr>
        <w:t>.  B</w:t>
      </w:r>
      <w:r w:rsidR="00FA5CD9" w:rsidRPr="00672545">
        <w:rPr>
          <w:rFonts w:cs="Calibri"/>
          <w:szCs w:val="26"/>
        </w:rPr>
        <w:t xml:space="preserve">ut </w:t>
      </w:r>
      <w:r w:rsidR="008916A1">
        <w:rPr>
          <w:rFonts w:cs="Calibri"/>
          <w:szCs w:val="26"/>
        </w:rPr>
        <w:t xml:space="preserve">because </w:t>
      </w:r>
      <w:r w:rsidR="00FA5CD9" w:rsidRPr="00672545">
        <w:rPr>
          <w:rFonts w:cs="Calibri"/>
          <w:szCs w:val="26"/>
        </w:rPr>
        <w:t xml:space="preserve">none of these cases addressed the relevance of those factors as </w:t>
      </w:r>
      <w:r w:rsidR="005B5602" w:rsidRPr="00672545">
        <w:rPr>
          <w:rFonts w:cs="Calibri"/>
          <w:szCs w:val="26"/>
        </w:rPr>
        <w:t xml:space="preserve">applied </w:t>
      </w:r>
      <w:r w:rsidR="00FA5CD9" w:rsidRPr="00672545">
        <w:rPr>
          <w:rFonts w:cs="Calibri"/>
          <w:szCs w:val="26"/>
        </w:rPr>
        <w:t>to the issue of joinder, they are inapposite</w:t>
      </w:r>
      <w:r w:rsidRPr="00672545">
        <w:rPr>
          <w:rFonts w:cs="Calibri"/>
          <w:szCs w:val="26"/>
        </w:rPr>
        <w:t xml:space="preserve">.  </w:t>
      </w:r>
      <w:r w:rsidR="00123E01" w:rsidRPr="00672545">
        <w:rPr>
          <w:rFonts w:cs="Calibri"/>
          <w:szCs w:val="26"/>
        </w:rPr>
        <w:t>(</w:t>
      </w:r>
      <w:r w:rsidR="00123E01" w:rsidRPr="00672545">
        <w:rPr>
          <w:rFonts w:cs="Calibri"/>
          <w:i/>
          <w:szCs w:val="26"/>
        </w:rPr>
        <w:t xml:space="preserve">People v. </w:t>
      </w:r>
      <w:proofErr w:type="spellStart"/>
      <w:r w:rsidR="00123E01" w:rsidRPr="00672545">
        <w:rPr>
          <w:rFonts w:cs="Calibri"/>
          <w:i/>
          <w:szCs w:val="26"/>
        </w:rPr>
        <w:t>Memro</w:t>
      </w:r>
      <w:proofErr w:type="spellEnd"/>
      <w:r w:rsidR="00123E01" w:rsidRPr="00672545">
        <w:rPr>
          <w:rFonts w:cs="Calibri"/>
          <w:szCs w:val="26"/>
        </w:rPr>
        <w:t xml:space="preserve"> (1995) 11 Cal.4th 786, 86</w:t>
      </w:r>
      <w:r w:rsidR="00AC790F" w:rsidRPr="00672545">
        <w:rPr>
          <w:rFonts w:cs="Calibri"/>
          <w:szCs w:val="26"/>
        </w:rPr>
        <w:t>4-</w:t>
      </w:r>
      <w:r w:rsidR="00123E01" w:rsidRPr="00672545">
        <w:rPr>
          <w:rFonts w:cs="Calibri"/>
          <w:szCs w:val="26"/>
        </w:rPr>
        <w:t xml:space="preserve">865; </w:t>
      </w:r>
      <w:r w:rsidR="00123E01" w:rsidRPr="00672545">
        <w:rPr>
          <w:rFonts w:cs="Calibri"/>
          <w:i/>
          <w:szCs w:val="26"/>
        </w:rPr>
        <w:t>People v. Clark</w:t>
      </w:r>
      <w:r w:rsidR="00123E01" w:rsidRPr="00672545">
        <w:rPr>
          <w:rFonts w:cs="Calibri"/>
          <w:szCs w:val="26"/>
        </w:rPr>
        <w:t xml:space="preserve"> (1992) 3 Cal.4th 41, 129; </w:t>
      </w:r>
      <w:r w:rsidR="002B7832" w:rsidRPr="00672545">
        <w:rPr>
          <w:rFonts w:cs="Calibri"/>
          <w:i/>
          <w:szCs w:val="26"/>
        </w:rPr>
        <w:t>People v. Guerrero</w:t>
      </w:r>
      <w:r w:rsidR="002B7832" w:rsidRPr="00672545">
        <w:rPr>
          <w:rFonts w:cs="Calibri"/>
          <w:szCs w:val="26"/>
        </w:rPr>
        <w:t xml:space="preserve"> (1976) 16 Cal.3d 719, 727-728</w:t>
      </w:r>
      <w:r w:rsidR="003F549D" w:rsidRPr="00672545">
        <w:rPr>
          <w:rFonts w:cs="Calibri"/>
          <w:szCs w:val="26"/>
        </w:rPr>
        <w:t xml:space="preserve"> (</w:t>
      </w:r>
      <w:r w:rsidR="003F549D" w:rsidRPr="00672545">
        <w:rPr>
          <w:i/>
          <w:szCs w:val="26"/>
        </w:rPr>
        <w:t>Guerrero</w:t>
      </w:r>
      <w:r w:rsidR="003F549D" w:rsidRPr="00672545">
        <w:rPr>
          <w:rFonts w:cs="Calibri"/>
          <w:szCs w:val="26"/>
        </w:rPr>
        <w:t>)</w:t>
      </w:r>
      <w:r w:rsidR="002B7832" w:rsidRPr="00672545">
        <w:rPr>
          <w:rFonts w:cs="Calibri"/>
          <w:szCs w:val="26"/>
        </w:rPr>
        <w:t xml:space="preserve">; </w:t>
      </w:r>
      <w:r w:rsidR="00123E01" w:rsidRPr="00672545">
        <w:rPr>
          <w:rFonts w:cs="Calibri"/>
          <w:i/>
          <w:szCs w:val="26"/>
        </w:rPr>
        <w:t>People v. Ghent, supra</w:t>
      </w:r>
      <w:r w:rsidR="00123E01" w:rsidRPr="00672545">
        <w:rPr>
          <w:rFonts w:cs="Calibri"/>
          <w:szCs w:val="26"/>
        </w:rPr>
        <w:t xml:space="preserve">, 90 Cal.App.3d 944, 955-956, 958; </w:t>
      </w:r>
      <w:r w:rsidR="00123E01" w:rsidRPr="00672545">
        <w:rPr>
          <w:rFonts w:cs="Calibri"/>
          <w:i/>
          <w:szCs w:val="26"/>
        </w:rPr>
        <w:t>People v. Bales</w:t>
      </w:r>
      <w:r w:rsidR="00123E01" w:rsidRPr="00672545">
        <w:rPr>
          <w:rFonts w:cs="Calibri"/>
          <w:szCs w:val="26"/>
        </w:rPr>
        <w:t xml:space="preserve"> (1961) 189 Cal.App.2d 694</w:t>
      </w:r>
      <w:r w:rsidR="00AC790F" w:rsidRPr="00672545">
        <w:rPr>
          <w:rFonts w:cs="Calibri"/>
          <w:szCs w:val="26"/>
        </w:rPr>
        <w:t>,</w:t>
      </w:r>
      <w:r w:rsidR="00123E01" w:rsidRPr="00672545">
        <w:rPr>
          <w:rFonts w:cs="Calibri"/>
          <w:szCs w:val="26"/>
        </w:rPr>
        <w:t xml:space="preserve"> 701.)</w:t>
      </w:r>
      <w:r w:rsidR="00F81CD5" w:rsidRPr="00672545">
        <w:rPr>
          <w:rFonts w:cs="Calibri"/>
          <w:szCs w:val="26"/>
        </w:rPr>
        <w:t xml:space="preserve">  </w:t>
      </w:r>
      <w:r w:rsidR="00AC790F" w:rsidRPr="00672545">
        <w:rPr>
          <w:rFonts w:cs="Calibri"/>
          <w:szCs w:val="26"/>
        </w:rPr>
        <w:t xml:space="preserve">As the </w:t>
      </w:r>
      <w:r w:rsidR="00E91E20" w:rsidRPr="00672545">
        <w:rPr>
          <w:rFonts w:cs="Calibri"/>
          <w:szCs w:val="26"/>
        </w:rPr>
        <w:t>People</w:t>
      </w:r>
      <w:r w:rsidR="00AC790F" w:rsidRPr="00672545">
        <w:rPr>
          <w:rFonts w:cs="Calibri"/>
          <w:szCs w:val="26"/>
        </w:rPr>
        <w:t xml:space="preserve"> </w:t>
      </w:r>
      <w:r w:rsidR="004E4B6D" w:rsidRPr="00672545">
        <w:rPr>
          <w:rFonts w:cs="Calibri"/>
          <w:szCs w:val="26"/>
        </w:rPr>
        <w:t>observe</w:t>
      </w:r>
      <w:r w:rsidR="00AA0E7E" w:rsidRPr="00672545">
        <w:rPr>
          <w:rFonts w:cs="Calibri"/>
          <w:szCs w:val="26"/>
        </w:rPr>
        <w:t>,</w:t>
      </w:r>
      <w:r w:rsidR="004E4B6D" w:rsidRPr="00672545">
        <w:rPr>
          <w:rFonts w:cs="Calibri"/>
          <w:szCs w:val="26"/>
        </w:rPr>
        <w:t xml:space="preserve"> the presence of any of these factors would have made the evidence </w:t>
      </w:r>
      <w:proofErr w:type="gramStart"/>
      <w:r w:rsidR="004E4B6D" w:rsidRPr="00672545">
        <w:rPr>
          <w:rFonts w:cs="Calibri"/>
          <w:szCs w:val="26"/>
        </w:rPr>
        <w:t>all the more</w:t>
      </w:r>
      <w:proofErr w:type="gramEnd"/>
      <w:r w:rsidR="004E4B6D" w:rsidRPr="00672545">
        <w:rPr>
          <w:rFonts w:cs="Calibri"/>
          <w:szCs w:val="26"/>
        </w:rPr>
        <w:t xml:space="preserve"> damaging to defendant, but t</w:t>
      </w:r>
      <w:r w:rsidRPr="00672545">
        <w:rPr>
          <w:rFonts w:cs="Calibri"/>
          <w:szCs w:val="26"/>
        </w:rPr>
        <w:t xml:space="preserve">he absence of </w:t>
      </w:r>
      <w:r w:rsidR="00123E01" w:rsidRPr="00672545">
        <w:rPr>
          <w:rFonts w:cs="Calibri"/>
          <w:szCs w:val="26"/>
        </w:rPr>
        <w:t xml:space="preserve">these factors does not compel a conclusion that, under the </w:t>
      </w:r>
      <w:r w:rsidR="00123E01" w:rsidRPr="00672545">
        <w:rPr>
          <w:rFonts w:cs="Calibri"/>
          <w:szCs w:val="26"/>
        </w:rPr>
        <w:lastRenderedPageBreak/>
        <w:t>circumstances present here, the child pornography charge was unconnected to the charged kidnap</w:t>
      </w:r>
      <w:r w:rsidR="00CB129B" w:rsidRPr="00672545">
        <w:rPr>
          <w:rFonts w:cs="Calibri"/>
          <w:szCs w:val="26"/>
        </w:rPr>
        <w:t>ping</w:t>
      </w:r>
      <w:r w:rsidR="00123E01" w:rsidRPr="00672545">
        <w:rPr>
          <w:rFonts w:cs="Calibri"/>
          <w:szCs w:val="26"/>
        </w:rPr>
        <w:t xml:space="preserve"> and murder.</w:t>
      </w:r>
    </w:p>
    <w:p w14:paraId="09E0C427" w14:textId="77777777" w:rsidR="00B877F1" w:rsidRPr="00672545" w:rsidRDefault="00073D5C" w:rsidP="00796025">
      <w:pPr>
        <w:ind w:firstLine="720"/>
        <w:rPr>
          <w:rFonts w:cs="Calibri"/>
          <w:szCs w:val="26"/>
        </w:rPr>
      </w:pPr>
      <w:r w:rsidRPr="00672545">
        <w:rPr>
          <w:rFonts w:cs="Calibri"/>
          <w:szCs w:val="26"/>
        </w:rPr>
        <w:t xml:space="preserve">Defendant appears to assume that intent or motivation cannot constitute </w:t>
      </w:r>
      <w:r w:rsidR="00D0411F" w:rsidRPr="00672545">
        <w:rPr>
          <w:rFonts w:cs="Calibri"/>
          <w:szCs w:val="26"/>
        </w:rPr>
        <w:t>evidence connecting crimes for purposes of joinder</w:t>
      </w:r>
      <w:r w:rsidRPr="00672545">
        <w:rPr>
          <w:rFonts w:cs="Calibri"/>
          <w:szCs w:val="26"/>
        </w:rPr>
        <w:t xml:space="preserve"> and, instead, </w:t>
      </w:r>
      <w:r w:rsidR="00D0411F" w:rsidRPr="00672545">
        <w:rPr>
          <w:rFonts w:cs="Calibri"/>
          <w:szCs w:val="26"/>
        </w:rPr>
        <w:t xml:space="preserve">that such connection can be made </w:t>
      </w:r>
      <w:r w:rsidRPr="00672545">
        <w:rPr>
          <w:rFonts w:cs="Calibri"/>
          <w:szCs w:val="26"/>
        </w:rPr>
        <w:t xml:space="preserve">only </w:t>
      </w:r>
      <w:r w:rsidR="000C6357" w:rsidRPr="00672545">
        <w:rPr>
          <w:rFonts w:cs="Calibri"/>
          <w:szCs w:val="26"/>
        </w:rPr>
        <w:t xml:space="preserve">through </w:t>
      </w:r>
      <w:r w:rsidRPr="00672545">
        <w:rPr>
          <w:rFonts w:cs="Calibri"/>
          <w:szCs w:val="26"/>
        </w:rPr>
        <w:t xml:space="preserve">physical </w:t>
      </w:r>
      <w:r w:rsidR="000C6357" w:rsidRPr="00672545">
        <w:rPr>
          <w:rFonts w:cs="Calibri"/>
          <w:szCs w:val="26"/>
        </w:rPr>
        <w:t xml:space="preserve">evidence </w:t>
      </w:r>
      <w:r w:rsidRPr="00672545">
        <w:rPr>
          <w:rFonts w:cs="Calibri"/>
          <w:szCs w:val="26"/>
        </w:rPr>
        <w:t>o</w:t>
      </w:r>
      <w:r w:rsidR="000C6357" w:rsidRPr="00672545">
        <w:rPr>
          <w:rFonts w:cs="Calibri"/>
          <w:szCs w:val="26"/>
        </w:rPr>
        <w:t>r objectively measurable factors</w:t>
      </w:r>
      <w:r w:rsidRPr="00672545">
        <w:rPr>
          <w:rFonts w:cs="Calibri"/>
          <w:szCs w:val="26"/>
        </w:rPr>
        <w:t>.</w:t>
      </w:r>
      <w:r w:rsidR="000C6357" w:rsidRPr="00672545">
        <w:rPr>
          <w:rFonts w:cs="Calibri"/>
          <w:szCs w:val="26"/>
        </w:rPr>
        <w:t xml:space="preserve">  But we have previously rejected the argument that the lack of physical evidence or other objectively measurable factors is necessary </w:t>
      </w:r>
      <w:r w:rsidR="00796025">
        <w:rPr>
          <w:rFonts w:cs="Calibri"/>
          <w:szCs w:val="26"/>
        </w:rPr>
        <w:t>to</w:t>
      </w:r>
      <w:r w:rsidR="000C6357" w:rsidRPr="00672545">
        <w:rPr>
          <w:rFonts w:cs="Calibri"/>
          <w:szCs w:val="26"/>
        </w:rPr>
        <w:t xml:space="preserve"> establ</w:t>
      </w:r>
      <w:r w:rsidR="00796025">
        <w:rPr>
          <w:rFonts w:cs="Calibri"/>
          <w:szCs w:val="26"/>
        </w:rPr>
        <w:t>ish</w:t>
      </w:r>
      <w:r w:rsidR="000C6357" w:rsidRPr="00672545">
        <w:rPr>
          <w:rFonts w:cs="Calibri"/>
          <w:szCs w:val="26"/>
        </w:rPr>
        <w:t xml:space="preserve"> the appropriateness of joinder.  Instead, we have expressly held that a connected intent or motivation, including a sexual motive, is </w:t>
      </w:r>
      <w:proofErr w:type="gramStart"/>
      <w:r w:rsidR="000C6357" w:rsidRPr="00672545">
        <w:rPr>
          <w:rFonts w:cs="Calibri"/>
          <w:szCs w:val="26"/>
        </w:rPr>
        <w:t>sufficient</w:t>
      </w:r>
      <w:proofErr w:type="gramEnd"/>
      <w:r w:rsidR="000C6357" w:rsidRPr="00672545">
        <w:rPr>
          <w:rFonts w:cs="Calibri"/>
          <w:szCs w:val="26"/>
        </w:rPr>
        <w:t xml:space="preserve"> in and of itself to establish the appropriateness of joinder.  (</w:t>
      </w:r>
      <w:r w:rsidR="002746CB" w:rsidRPr="00672545">
        <w:rPr>
          <w:rFonts w:cs="Calibri"/>
          <w:i/>
          <w:szCs w:val="26"/>
        </w:rPr>
        <w:t>Alcala</w:t>
      </w:r>
      <w:r w:rsidR="002746CB" w:rsidRPr="00672545">
        <w:rPr>
          <w:rFonts w:cs="Calibri"/>
          <w:szCs w:val="26"/>
        </w:rPr>
        <w:t xml:space="preserve">, </w:t>
      </w:r>
      <w:r w:rsidR="002746CB" w:rsidRPr="00672545">
        <w:rPr>
          <w:rFonts w:cs="Calibri"/>
          <w:i/>
          <w:szCs w:val="26"/>
        </w:rPr>
        <w:t>supra</w:t>
      </w:r>
      <w:r w:rsidR="002746CB" w:rsidRPr="00672545">
        <w:rPr>
          <w:rFonts w:cs="Calibri"/>
          <w:szCs w:val="26"/>
        </w:rPr>
        <w:t xml:space="preserve">, 43 Cal.4th at p. </w:t>
      </w:r>
      <w:r w:rsidR="000C6357" w:rsidRPr="00672545">
        <w:rPr>
          <w:rFonts w:cs="Calibri"/>
          <w:szCs w:val="26"/>
        </w:rPr>
        <w:t>1220 [rejecting the contention that “intent or motivation cannot constitute a ‘common element of substantial importance,’ and, instead, only physical or objectively measurable factors, such as use of a specific individual weapon, can suffice” for joinder].)</w:t>
      </w:r>
    </w:p>
    <w:p w14:paraId="0ED1C6C4" w14:textId="77777777" w:rsidR="00197741" w:rsidRPr="00672545" w:rsidRDefault="00B877F1" w:rsidP="00672545">
      <w:pPr>
        <w:rPr>
          <w:szCs w:val="26"/>
        </w:rPr>
      </w:pPr>
      <w:r w:rsidRPr="00672545">
        <w:rPr>
          <w:rFonts w:cs="Calibri"/>
          <w:szCs w:val="26"/>
        </w:rPr>
        <w:tab/>
        <w:t xml:space="preserve">Defendant </w:t>
      </w:r>
      <w:r w:rsidR="007511AE" w:rsidRPr="00672545">
        <w:rPr>
          <w:rFonts w:cs="Calibri"/>
          <w:szCs w:val="26"/>
        </w:rPr>
        <w:t>next contends that the unclothed state of Danielle’s body provides insufficient evidence of sexual motivation</w:t>
      </w:r>
      <w:r w:rsidR="006C484F" w:rsidRPr="00672545">
        <w:rPr>
          <w:rFonts w:cs="Calibri"/>
          <w:szCs w:val="26"/>
        </w:rPr>
        <w:t xml:space="preserve"> and intent</w:t>
      </w:r>
      <w:r w:rsidR="007511AE" w:rsidRPr="00672545">
        <w:rPr>
          <w:rFonts w:cs="Calibri"/>
          <w:szCs w:val="26"/>
        </w:rPr>
        <w:t>.</w:t>
      </w:r>
      <w:r w:rsidR="00F81CD5" w:rsidRPr="00672545">
        <w:rPr>
          <w:rFonts w:cs="Calibri"/>
          <w:szCs w:val="26"/>
        </w:rPr>
        <w:t xml:space="preserve">  </w:t>
      </w:r>
      <w:r w:rsidR="007511AE" w:rsidRPr="00672545">
        <w:rPr>
          <w:rFonts w:cs="Calibri"/>
          <w:szCs w:val="26"/>
        </w:rPr>
        <w:t>He principally relies on</w:t>
      </w:r>
      <w:r w:rsidRPr="00672545">
        <w:rPr>
          <w:rFonts w:cs="Calibri"/>
          <w:szCs w:val="26"/>
        </w:rPr>
        <w:t xml:space="preserve"> </w:t>
      </w:r>
      <w:r w:rsidRPr="00672545">
        <w:rPr>
          <w:rFonts w:cs="Calibri"/>
          <w:i/>
          <w:szCs w:val="26"/>
        </w:rPr>
        <w:t>People v. Craig</w:t>
      </w:r>
      <w:r w:rsidRPr="00672545">
        <w:rPr>
          <w:rFonts w:cs="Calibri"/>
          <w:szCs w:val="26"/>
        </w:rPr>
        <w:t xml:space="preserve"> (1957) 49 Cal.2d 313, 318-319 (</w:t>
      </w:r>
      <w:r w:rsidRPr="00672545">
        <w:rPr>
          <w:rFonts w:cs="Calibri"/>
          <w:i/>
          <w:szCs w:val="26"/>
        </w:rPr>
        <w:t>Craig</w:t>
      </w:r>
      <w:r w:rsidR="00D37510">
        <w:rPr>
          <w:rFonts w:cs="Calibri"/>
          <w:i/>
          <w:szCs w:val="26"/>
        </w:rPr>
        <w:t xml:space="preserve"> I</w:t>
      </w:r>
      <w:r w:rsidRPr="00672545">
        <w:rPr>
          <w:rFonts w:cs="Calibri"/>
          <w:szCs w:val="26"/>
        </w:rPr>
        <w:t xml:space="preserve">).  </w:t>
      </w:r>
      <w:r w:rsidR="00AD07B9" w:rsidRPr="00672545">
        <w:rPr>
          <w:rFonts w:cs="Calibri"/>
          <w:szCs w:val="26"/>
        </w:rPr>
        <w:t xml:space="preserve">In </w:t>
      </w:r>
      <w:r w:rsidR="00AD07B9" w:rsidRPr="00672545">
        <w:rPr>
          <w:rFonts w:cs="Calibri"/>
          <w:i/>
          <w:szCs w:val="26"/>
        </w:rPr>
        <w:t>Craig</w:t>
      </w:r>
      <w:r w:rsidR="00AD07B9" w:rsidRPr="00672545">
        <w:rPr>
          <w:rFonts w:cs="Calibri"/>
          <w:szCs w:val="26"/>
        </w:rPr>
        <w:t xml:space="preserve">, the issue was whether the evidence supported a theory of </w:t>
      </w:r>
      <w:proofErr w:type="gramStart"/>
      <w:r w:rsidR="00AD07B9" w:rsidRPr="00672545">
        <w:rPr>
          <w:rFonts w:cs="Calibri"/>
          <w:szCs w:val="26"/>
        </w:rPr>
        <w:t>first degree</w:t>
      </w:r>
      <w:proofErr w:type="gramEnd"/>
      <w:r w:rsidR="00AD07B9" w:rsidRPr="00672545">
        <w:rPr>
          <w:rFonts w:cs="Calibri"/>
          <w:szCs w:val="26"/>
        </w:rPr>
        <w:t xml:space="preserve"> felony murder perpetrated in the commission or attempted commission of a rape.  (</w:t>
      </w:r>
      <w:r w:rsidR="00AD07B9" w:rsidRPr="00672545">
        <w:rPr>
          <w:rFonts w:cs="Calibri"/>
          <w:i/>
          <w:szCs w:val="26"/>
        </w:rPr>
        <w:t>Craig, supra</w:t>
      </w:r>
      <w:r w:rsidR="00AD07B9" w:rsidRPr="00672545">
        <w:rPr>
          <w:rFonts w:cs="Calibri"/>
          <w:szCs w:val="26"/>
        </w:rPr>
        <w:t>, at p. 318.)  The lacerated and battered body of the victim was found lying under a car, legs spread slightly apart, clothed in a raincoat over a nightgown or slip and panties.  Each of the garments had been torn open, exposing the front of the body, but there was also evidence that the body had been dragged some 20 to 25 feet.  (</w:t>
      </w:r>
      <w:r w:rsidR="00AD07B9" w:rsidRPr="00672545">
        <w:rPr>
          <w:rFonts w:cs="Calibri"/>
          <w:i/>
          <w:szCs w:val="26"/>
        </w:rPr>
        <w:t>Id.</w:t>
      </w:r>
      <w:r w:rsidR="00AD07B9" w:rsidRPr="00672545">
        <w:rPr>
          <w:rFonts w:cs="Calibri"/>
          <w:szCs w:val="26"/>
        </w:rPr>
        <w:t xml:space="preserve">, at p. 316.)  We concluded the evidence indicated a “terrific struggle,” but </w:t>
      </w:r>
      <w:r w:rsidR="00F064A6" w:rsidRPr="00672545">
        <w:rPr>
          <w:rFonts w:cs="Calibri"/>
          <w:szCs w:val="26"/>
        </w:rPr>
        <w:t xml:space="preserve">did not suffice to prove the killing was committed in the attempt to commit rape </w:t>
      </w:r>
      <w:r w:rsidR="00F064A6" w:rsidRPr="00672545">
        <w:rPr>
          <w:rFonts w:cs="Calibri"/>
          <w:szCs w:val="26"/>
        </w:rPr>
        <w:lastRenderedPageBreak/>
        <w:t>or in the commission of rape.  (</w:t>
      </w:r>
      <w:r w:rsidR="00F064A6" w:rsidRPr="00672545">
        <w:rPr>
          <w:rFonts w:cs="Calibri"/>
          <w:i/>
          <w:szCs w:val="26"/>
        </w:rPr>
        <w:t>Id.</w:t>
      </w:r>
      <w:r w:rsidR="00F064A6" w:rsidRPr="00672545">
        <w:rPr>
          <w:rFonts w:cs="Calibri"/>
          <w:szCs w:val="26"/>
        </w:rPr>
        <w:t>, at p. 319.)</w:t>
      </w:r>
      <w:r w:rsidR="00B71FCC" w:rsidRPr="00672545">
        <w:rPr>
          <w:rFonts w:cs="Calibri"/>
          <w:szCs w:val="26"/>
        </w:rPr>
        <w:t xml:space="preserve">  The issues before this court in </w:t>
      </w:r>
      <w:r w:rsidR="006C484F" w:rsidRPr="00672545">
        <w:rPr>
          <w:rFonts w:cs="Calibri"/>
          <w:i/>
          <w:szCs w:val="26"/>
        </w:rPr>
        <w:t>Craig</w:t>
      </w:r>
      <w:r w:rsidR="005A4AE6" w:rsidRPr="00672545">
        <w:rPr>
          <w:rFonts w:cs="Calibri"/>
          <w:szCs w:val="26"/>
        </w:rPr>
        <w:t>, and the other</w:t>
      </w:r>
      <w:r w:rsidR="00E53B12" w:rsidRPr="00672545">
        <w:rPr>
          <w:rFonts w:cs="Calibri"/>
          <w:szCs w:val="26"/>
        </w:rPr>
        <w:t xml:space="preserve"> cases</w:t>
      </w:r>
      <w:r w:rsidR="005A4AE6" w:rsidRPr="00672545">
        <w:rPr>
          <w:rFonts w:cs="Calibri"/>
          <w:szCs w:val="26"/>
        </w:rPr>
        <w:t xml:space="preserve"> cited by defendant</w:t>
      </w:r>
      <w:r w:rsidR="004A040D" w:rsidRPr="00672545">
        <w:rPr>
          <w:rFonts w:cs="Calibri"/>
          <w:szCs w:val="26"/>
        </w:rPr>
        <w:t xml:space="preserve"> (</w:t>
      </w:r>
      <w:r w:rsidR="004A040D" w:rsidRPr="00672545">
        <w:rPr>
          <w:rFonts w:cs="Calibri"/>
          <w:i/>
          <w:szCs w:val="26"/>
        </w:rPr>
        <w:t>People v. Johnson</w:t>
      </w:r>
      <w:r w:rsidR="004A040D" w:rsidRPr="00672545">
        <w:rPr>
          <w:rFonts w:cs="Calibri"/>
          <w:szCs w:val="26"/>
        </w:rPr>
        <w:t xml:space="preserve"> (1993) 6 Cal.4th 1, 41-42; </w:t>
      </w:r>
      <w:r w:rsidR="004A040D" w:rsidRPr="00672545">
        <w:rPr>
          <w:rFonts w:cs="Calibri"/>
          <w:i/>
          <w:szCs w:val="26"/>
        </w:rPr>
        <w:t>People v. Anderson</w:t>
      </w:r>
      <w:r w:rsidR="004A040D" w:rsidRPr="00672545">
        <w:rPr>
          <w:rFonts w:cs="Calibri"/>
          <w:szCs w:val="26"/>
        </w:rPr>
        <w:t xml:space="preserve"> (1968) 70 Cal.2d 15, 34-36; </w:t>
      </w:r>
      <w:r w:rsidR="004A040D" w:rsidRPr="00672545">
        <w:rPr>
          <w:rFonts w:cs="Calibri"/>
          <w:i/>
          <w:szCs w:val="26"/>
        </w:rPr>
        <w:t xml:space="preserve">People v. Granados </w:t>
      </w:r>
      <w:r w:rsidR="004A040D" w:rsidRPr="00672545">
        <w:rPr>
          <w:rFonts w:cs="Calibri"/>
          <w:szCs w:val="26"/>
        </w:rPr>
        <w:t>(1957) 49 Cal.2d 490, 497)</w:t>
      </w:r>
      <w:r w:rsidR="005A4AE6" w:rsidRPr="00672545">
        <w:rPr>
          <w:rFonts w:cs="Calibri"/>
          <w:szCs w:val="26"/>
        </w:rPr>
        <w:t>,</w:t>
      </w:r>
      <w:r w:rsidR="00B71FCC" w:rsidRPr="00672545">
        <w:rPr>
          <w:rFonts w:cs="Calibri"/>
          <w:szCs w:val="26"/>
        </w:rPr>
        <w:t xml:space="preserve"> are distinguishable from the issue of joinder presented here.  (See</w:t>
      </w:r>
      <w:r w:rsidR="00B71FCC" w:rsidRPr="00672545">
        <w:rPr>
          <w:szCs w:val="26"/>
        </w:rPr>
        <w:t xml:space="preserve"> </w:t>
      </w:r>
      <w:r w:rsidR="00B71FCC" w:rsidRPr="00672545">
        <w:rPr>
          <w:i/>
          <w:iCs/>
          <w:szCs w:val="26"/>
        </w:rPr>
        <w:t>People v. Thomas</w:t>
      </w:r>
      <w:r w:rsidR="00B71FCC" w:rsidRPr="00672545">
        <w:rPr>
          <w:szCs w:val="26"/>
        </w:rPr>
        <w:t xml:space="preserve"> (1992) 2 Cal.4th 489, 527 [distinguishing the issues considered in </w:t>
      </w:r>
      <w:r w:rsidR="00B71FCC" w:rsidRPr="00672545">
        <w:rPr>
          <w:i/>
          <w:szCs w:val="26"/>
        </w:rPr>
        <w:t>Craig</w:t>
      </w:r>
      <w:r w:rsidR="00B71FCC" w:rsidRPr="00672545">
        <w:rPr>
          <w:szCs w:val="26"/>
        </w:rPr>
        <w:t xml:space="preserve"> and </w:t>
      </w:r>
      <w:r w:rsidR="00B71FCC" w:rsidRPr="00672545">
        <w:rPr>
          <w:i/>
          <w:szCs w:val="26"/>
        </w:rPr>
        <w:t>Guerrero</w:t>
      </w:r>
      <w:r w:rsidR="00B71FCC" w:rsidRPr="00672545">
        <w:rPr>
          <w:szCs w:val="26"/>
        </w:rPr>
        <w:t xml:space="preserve">].)  </w:t>
      </w:r>
      <w:r w:rsidR="005A4AE6" w:rsidRPr="00672545">
        <w:rPr>
          <w:szCs w:val="26"/>
        </w:rPr>
        <w:t xml:space="preserve">Here we are </w:t>
      </w:r>
      <w:r w:rsidR="00E53B12" w:rsidRPr="00672545">
        <w:rPr>
          <w:szCs w:val="26"/>
        </w:rPr>
        <w:t>examining</w:t>
      </w:r>
      <w:r w:rsidR="005A4AE6" w:rsidRPr="00672545">
        <w:rPr>
          <w:szCs w:val="26"/>
        </w:rPr>
        <w:t xml:space="preserve"> the </w:t>
      </w:r>
      <w:r w:rsidR="001D0456" w:rsidRPr="00672545">
        <w:rPr>
          <w:szCs w:val="26"/>
        </w:rPr>
        <w:t xml:space="preserve">prosecution’s proposed </w:t>
      </w:r>
      <w:r w:rsidR="005A4AE6" w:rsidRPr="00672545">
        <w:rPr>
          <w:szCs w:val="26"/>
        </w:rPr>
        <w:t>evidence to determine whether there is a substantial connection between the alleged crimes</w:t>
      </w:r>
      <w:r w:rsidR="00FE2DC9" w:rsidRPr="00672545">
        <w:rPr>
          <w:szCs w:val="26"/>
        </w:rPr>
        <w:t xml:space="preserve"> for purposes of joinder</w:t>
      </w:r>
      <w:r w:rsidR="005A4AE6" w:rsidRPr="00672545">
        <w:rPr>
          <w:szCs w:val="26"/>
        </w:rPr>
        <w:t xml:space="preserve">.  </w:t>
      </w:r>
      <w:r w:rsidR="003E418E" w:rsidRPr="00672545">
        <w:rPr>
          <w:szCs w:val="26"/>
        </w:rPr>
        <w:t>That inquiry</w:t>
      </w:r>
      <w:r w:rsidR="005A4AE6" w:rsidRPr="00672545">
        <w:rPr>
          <w:szCs w:val="26"/>
        </w:rPr>
        <w:t xml:space="preserve"> does not depend on </w:t>
      </w:r>
      <w:r w:rsidR="004A040D" w:rsidRPr="00672545">
        <w:rPr>
          <w:szCs w:val="26"/>
        </w:rPr>
        <w:t xml:space="preserve">the sufficiency of the evidence </w:t>
      </w:r>
      <w:r w:rsidR="005A4AE6" w:rsidRPr="00672545">
        <w:rPr>
          <w:szCs w:val="26"/>
        </w:rPr>
        <w:t xml:space="preserve">that a sexual assault </w:t>
      </w:r>
      <w:r w:rsidR="008A1B02" w:rsidRPr="00672545">
        <w:rPr>
          <w:szCs w:val="26"/>
        </w:rPr>
        <w:t xml:space="preserve">was </w:t>
      </w:r>
      <w:r w:rsidR="000342DD" w:rsidRPr="00672545">
        <w:rPr>
          <w:szCs w:val="26"/>
        </w:rPr>
        <w:t>ultimately</w:t>
      </w:r>
      <w:r w:rsidR="005A4AE6" w:rsidRPr="00672545">
        <w:rPr>
          <w:szCs w:val="26"/>
        </w:rPr>
        <w:t xml:space="preserve"> </w:t>
      </w:r>
      <w:r w:rsidR="008A1B02" w:rsidRPr="00672545">
        <w:rPr>
          <w:szCs w:val="26"/>
        </w:rPr>
        <w:t>attempted or completed</w:t>
      </w:r>
      <w:r w:rsidR="005A4AE6" w:rsidRPr="00672545">
        <w:rPr>
          <w:szCs w:val="26"/>
        </w:rPr>
        <w:t xml:space="preserve">.  </w:t>
      </w:r>
    </w:p>
    <w:p w14:paraId="20C30254" w14:textId="77777777" w:rsidR="001B4C07" w:rsidRPr="00672545" w:rsidRDefault="004A040D" w:rsidP="00672545">
      <w:pPr>
        <w:rPr>
          <w:rFonts w:cs="Calibri"/>
          <w:szCs w:val="26"/>
        </w:rPr>
      </w:pPr>
      <w:r w:rsidRPr="00672545">
        <w:rPr>
          <w:rFonts w:cs="Calibri"/>
          <w:szCs w:val="26"/>
        </w:rPr>
        <w:tab/>
      </w:r>
      <w:r w:rsidR="000D619C" w:rsidRPr="00672545">
        <w:rPr>
          <w:rFonts w:cs="Calibri"/>
          <w:szCs w:val="26"/>
        </w:rPr>
        <w:t>More</w:t>
      </w:r>
      <w:r w:rsidR="00C926EF" w:rsidRPr="00672545">
        <w:rPr>
          <w:rFonts w:cs="Calibri"/>
          <w:szCs w:val="26"/>
        </w:rPr>
        <w:t>o</w:t>
      </w:r>
      <w:r w:rsidR="000D619C" w:rsidRPr="00672545">
        <w:rPr>
          <w:rFonts w:cs="Calibri"/>
          <w:szCs w:val="26"/>
        </w:rPr>
        <w:t>ver, contrary to the argument of defendant, there was other evidence besides the child pornography that suggested a sexual motivation for the kidnap</w:t>
      </w:r>
      <w:r w:rsidR="00C926EF" w:rsidRPr="00672545">
        <w:rPr>
          <w:rFonts w:cs="Calibri"/>
          <w:szCs w:val="26"/>
        </w:rPr>
        <w:t xml:space="preserve">ping </w:t>
      </w:r>
      <w:r w:rsidR="000D619C" w:rsidRPr="00672545">
        <w:rPr>
          <w:rFonts w:cs="Calibri"/>
          <w:szCs w:val="26"/>
        </w:rPr>
        <w:t xml:space="preserve">and murder of </w:t>
      </w:r>
      <w:r w:rsidR="00C926EF" w:rsidRPr="00672545">
        <w:rPr>
          <w:rFonts w:cs="Calibri"/>
          <w:szCs w:val="26"/>
        </w:rPr>
        <w:t>Danielle.</w:t>
      </w:r>
      <w:r w:rsidR="00F81CD5" w:rsidRPr="00672545">
        <w:rPr>
          <w:rFonts w:cs="Calibri"/>
          <w:szCs w:val="26"/>
        </w:rPr>
        <w:t xml:space="preserve">  </w:t>
      </w:r>
      <w:r w:rsidR="00C926EF" w:rsidRPr="00672545">
        <w:rPr>
          <w:rFonts w:cs="Calibri"/>
          <w:szCs w:val="26"/>
        </w:rPr>
        <w:t xml:space="preserve">There was the evidence of her abduction from her bed at night, her </w:t>
      </w:r>
      <w:r w:rsidR="001308EE" w:rsidRPr="00672545">
        <w:rPr>
          <w:rFonts w:cs="Calibri"/>
          <w:szCs w:val="26"/>
        </w:rPr>
        <w:t xml:space="preserve">handprint </w:t>
      </w:r>
      <w:r w:rsidR="00C926EF" w:rsidRPr="00672545">
        <w:rPr>
          <w:rFonts w:cs="Calibri"/>
          <w:szCs w:val="26"/>
        </w:rPr>
        <w:t xml:space="preserve">found on the cabinet above the bed in </w:t>
      </w:r>
      <w:r w:rsidR="000854F1" w:rsidRPr="00672545">
        <w:rPr>
          <w:rFonts w:cs="Calibri"/>
          <w:szCs w:val="26"/>
        </w:rPr>
        <w:t>defendant’s</w:t>
      </w:r>
      <w:r w:rsidR="00C926EF" w:rsidRPr="00672545">
        <w:rPr>
          <w:rFonts w:cs="Calibri"/>
          <w:szCs w:val="26"/>
        </w:rPr>
        <w:t xml:space="preserve"> motorhome, </w:t>
      </w:r>
      <w:r w:rsidR="00AD2D88" w:rsidRPr="00672545">
        <w:rPr>
          <w:rFonts w:cs="Calibri"/>
          <w:szCs w:val="26"/>
        </w:rPr>
        <w:t xml:space="preserve">her hair found in his home bedding, </w:t>
      </w:r>
      <w:r w:rsidR="00C926EF" w:rsidRPr="00672545">
        <w:rPr>
          <w:rFonts w:cs="Calibri"/>
          <w:szCs w:val="26"/>
        </w:rPr>
        <w:t xml:space="preserve">and </w:t>
      </w:r>
      <w:r w:rsidR="000854F1" w:rsidRPr="00672545">
        <w:rPr>
          <w:rFonts w:cs="Calibri"/>
          <w:szCs w:val="26"/>
        </w:rPr>
        <w:t xml:space="preserve">the absence of any clothing on or near her </w:t>
      </w:r>
      <w:r w:rsidR="00E7577B" w:rsidRPr="00672545">
        <w:rPr>
          <w:rFonts w:cs="Calibri"/>
          <w:szCs w:val="26"/>
        </w:rPr>
        <w:t xml:space="preserve">decomposed </w:t>
      </w:r>
      <w:r w:rsidR="000854F1" w:rsidRPr="00672545">
        <w:rPr>
          <w:rFonts w:cs="Calibri"/>
          <w:szCs w:val="26"/>
        </w:rPr>
        <w:t xml:space="preserve">body.  </w:t>
      </w:r>
      <w:r w:rsidR="00E7577B" w:rsidRPr="00672545">
        <w:rPr>
          <w:rFonts w:cs="Calibri"/>
          <w:szCs w:val="26"/>
        </w:rPr>
        <w:t xml:space="preserve">We are not persuaded by defendant’s claim that the </w:t>
      </w:r>
      <w:r w:rsidR="001B4C07" w:rsidRPr="00672545">
        <w:rPr>
          <w:rFonts w:cs="Calibri"/>
          <w:szCs w:val="26"/>
        </w:rPr>
        <w:t>implication from</w:t>
      </w:r>
      <w:r w:rsidR="00E7577B" w:rsidRPr="00672545">
        <w:rPr>
          <w:rFonts w:cs="Calibri"/>
          <w:szCs w:val="26"/>
        </w:rPr>
        <w:t xml:space="preserve"> the location of Danielle’s </w:t>
      </w:r>
      <w:r w:rsidR="004C762A" w:rsidRPr="00672545">
        <w:rPr>
          <w:rFonts w:cs="Calibri"/>
          <w:szCs w:val="26"/>
        </w:rPr>
        <w:t>hand</w:t>
      </w:r>
      <w:r w:rsidR="00E7577B" w:rsidRPr="00672545">
        <w:rPr>
          <w:rFonts w:cs="Calibri"/>
          <w:szCs w:val="26"/>
        </w:rPr>
        <w:t xml:space="preserve">print is diminished significantly because a motorhome is such a cramped space.  </w:t>
      </w:r>
      <w:r w:rsidR="00C7631A" w:rsidRPr="00672545">
        <w:rPr>
          <w:rFonts w:cs="Calibri"/>
          <w:szCs w:val="26"/>
        </w:rPr>
        <w:t xml:space="preserve">That Danielle’s </w:t>
      </w:r>
      <w:r w:rsidR="004C762A" w:rsidRPr="00672545">
        <w:rPr>
          <w:rFonts w:cs="Calibri"/>
          <w:szCs w:val="26"/>
        </w:rPr>
        <w:t>hand</w:t>
      </w:r>
      <w:r w:rsidR="00C7631A" w:rsidRPr="00672545">
        <w:rPr>
          <w:rFonts w:cs="Calibri"/>
          <w:szCs w:val="26"/>
        </w:rPr>
        <w:t>print was found near the bed, therefore, still retained evidentiary significance.</w:t>
      </w:r>
      <w:r w:rsidR="001B4C07" w:rsidRPr="00672545">
        <w:rPr>
          <w:rFonts w:cs="Calibri"/>
          <w:szCs w:val="26"/>
        </w:rPr>
        <w:t xml:space="preserve">  </w:t>
      </w:r>
    </w:p>
    <w:p w14:paraId="743D2209" w14:textId="77777777" w:rsidR="000D619C" w:rsidRPr="00672545" w:rsidRDefault="001B4C07" w:rsidP="00672545">
      <w:pPr>
        <w:rPr>
          <w:rFonts w:cs="Calibri"/>
          <w:szCs w:val="26"/>
        </w:rPr>
      </w:pPr>
      <w:r w:rsidRPr="00672545">
        <w:rPr>
          <w:rFonts w:cs="Calibri"/>
          <w:szCs w:val="26"/>
        </w:rPr>
        <w:tab/>
        <w:t>We conclude that</w:t>
      </w:r>
      <w:r w:rsidR="00E7577B" w:rsidRPr="00672545">
        <w:rPr>
          <w:rFonts w:cs="Calibri"/>
          <w:szCs w:val="26"/>
        </w:rPr>
        <w:t xml:space="preserve"> the child pornography charge was validly joined with the kidnapping and murder charges</w:t>
      </w:r>
      <w:r w:rsidRPr="00672545">
        <w:rPr>
          <w:rFonts w:cs="Calibri"/>
          <w:szCs w:val="26"/>
        </w:rPr>
        <w:t xml:space="preserve"> under section 954</w:t>
      </w:r>
      <w:r w:rsidR="00E7577B" w:rsidRPr="00672545">
        <w:rPr>
          <w:rFonts w:cs="Calibri"/>
          <w:szCs w:val="26"/>
        </w:rPr>
        <w:t xml:space="preserve">.  </w:t>
      </w:r>
    </w:p>
    <w:p w14:paraId="684FA515" w14:textId="77777777" w:rsidR="007B43C7" w:rsidRPr="00672545" w:rsidRDefault="007B43C7" w:rsidP="00672545">
      <w:pPr>
        <w:pStyle w:val="Heading4"/>
      </w:pPr>
      <w:r w:rsidRPr="00672545">
        <w:t>c.  Discussion of discretionary severance</w:t>
      </w:r>
    </w:p>
    <w:p w14:paraId="527D1389" w14:textId="77777777" w:rsidR="00A1458A" w:rsidRPr="00672545" w:rsidRDefault="00107995" w:rsidP="00672545">
      <w:pPr>
        <w:rPr>
          <w:szCs w:val="26"/>
        </w:rPr>
      </w:pPr>
      <w:r w:rsidRPr="00672545">
        <w:rPr>
          <w:szCs w:val="26"/>
        </w:rPr>
        <w:tab/>
      </w:r>
      <w:r w:rsidR="004A31D1" w:rsidRPr="00672545">
        <w:rPr>
          <w:szCs w:val="26"/>
        </w:rPr>
        <w:t>Because it ordinarily promotes efficiency, j</w:t>
      </w:r>
      <w:r w:rsidRPr="00672545">
        <w:rPr>
          <w:szCs w:val="26"/>
        </w:rPr>
        <w:t>oinder “is the course of action preferred by the law</w:t>
      </w:r>
      <w:r w:rsidR="004A31D1" w:rsidRPr="00672545">
        <w:rPr>
          <w:szCs w:val="26"/>
        </w:rPr>
        <w:t>.</w:t>
      </w:r>
      <w:r w:rsidRPr="00672545">
        <w:rPr>
          <w:szCs w:val="26"/>
        </w:rPr>
        <w:t>”  (</w:t>
      </w:r>
      <w:r w:rsidRPr="00672545">
        <w:rPr>
          <w:i/>
          <w:szCs w:val="26"/>
        </w:rPr>
        <w:t>Alcala, supra</w:t>
      </w:r>
      <w:r w:rsidRPr="00672545">
        <w:rPr>
          <w:szCs w:val="26"/>
        </w:rPr>
        <w:t xml:space="preserve">, </w:t>
      </w:r>
      <w:r w:rsidR="004C5411" w:rsidRPr="00672545">
        <w:rPr>
          <w:rFonts w:cs="Calibri"/>
          <w:szCs w:val="26"/>
        </w:rPr>
        <w:t xml:space="preserve">43 Cal.4th </w:t>
      </w:r>
      <w:r w:rsidR="004C5411" w:rsidRPr="00672545">
        <w:rPr>
          <w:rFonts w:cs="Calibri"/>
          <w:szCs w:val="26"/>
        </w:rPr>
        <w:lastRenderedPageBreak/>
        <w:t xml:space="preserve">at p. </w:t>
      </w:r>
      <w:r w:rsidRPr="00672545">
        <w:rPr>
          <w:szCs w:val="26"/>
        </w:rPr>
        <w:t>1220</w:t>
      </w:r>
      <w:r w:rsidR="004C5411" w:rsidRPr="00672545">
        <w:rPr>
          <w:szCs w:val="26"/>
        </w:rPr>
        <w:t>.</w:t>
      </w:r>
      <w:r w:rsidRPr="00672545">
        <w:rPr>
          <w:szCs w:val="26"/>
        </w:rPr>
        <w:t xml:space="preserve">) </w:t>
      </w:r>
      <w:r w:rsidR="004C5411" w:rsidRPr="00672545">
        <w:rPr>
          <w:szCs w:val="26"/>
        </w:rPr>
        <w:t xml:space="preserve"> “</w:t>
      </w:r>
      <w:r w:rsidRPr="00672545">
        <w:rPr>
          <w:szCs w:val="26"/>
        </w:rPr>
        <w:t>Nonetheless, a trial court has discretion to sever properly joined charges in the interest of justice and for good cause.</w:t>
      </w:r>
      <w:r w:rsidR="004C5411" w:rsidRPr="00672545">
        <w:rPr>
          <w:szCs w:val="26"/>
        </w:rPr>
        <w:t>”</w:t>
      </w:r>
      <w:r w:rsidRPr="00672545">
        <w:rPr>
          <w:szCs w:val="26"/>
        </w:rPr>
        <w:t xml:space="preserve">  </w:t>
      </w:r>
      <w:r w:rsidR="004C5411" w:rsidRPr="00672545">
        <w:rPr>
          <w:szCs w:val="26"/>
        </w:rPr>
        <w:t>(</w:t>
      </w:r>
      <w:r w:rsidRPr="00672545">
        <w:rPr>
          <w:i/>
          <w:iCs/>
          <w:szCs w:val="26"/>
        </w:rPr>
        <w:t>People v. Simon</w:t>
      </w:r>
      <w:r w:rsidRPr="00672545">
        <w:rPr>
          <w:szCs w:val="26"/>
        </w:rPr>
        <w:t xml:space="preserve"> (2016) 1 Cal.5th 98, 122</w:t>
      </w:r>
      <w:r w:rsidR="004C5411" w:rsidRPr="00672545">
        <w:rPr>
          <w:szCs w:val="26"/>
        </w:rPr>
        <w:t>.)</w:t>
      </w:r>
      <w:r w:rsidR="00A1458A" w:rsidRPr="00672545">
        <w:rPr>
          <w:szCs w:val="26"/>
        </w:rPr>
        <w:t xml:space="preserve">  </w:t>
      </w:r>
    </w:p>
    <w:p w14:paraId="236340BE" w14:textId="77777777" w:rsidR="00107995" w:rsidRPr="00672545" w:rsidRDefault="004C5411" w:rsidP="00672545">
      <w:pPr>
        <w:rPr>
          <w:szCs w:val="26"/>
        </w:rPr>
      </w:pPr>
      <w:r w:rsidRPr="00672545">
        <w:rPr>
          <w:szCs w:val="26"/>
        </w:rPr>
        <w:tab/>
        <w:t>“</w:t>
      </w:r>
      <w:r w:rsidR="00CF20A9" w:rsidRPr="00672545">
        <w:rPr>
          <w:szCs w:val="26"/>
        </w:rPr>
        <w:t>When exercising its discretion, the court must balance the potential prejudi</w:t>
      </w:r>
      <w:r w:rsidR="00155CAD" w:rsidRPr="00672545">
        <w:rPr>
          <w:szCs w:val="26"/>
        </w:rPr>
        <w:t>ce of joinder against the state’</w:t>
      </w:r>
      <w:r w:rsidR="00CF20A9" w:rsidRPr="00672545">
        <w:rPr>
          <w:szCs w:val="26"/>
        </w:rPr>
        <w:t>s strong interest in the efficiency of a joint trial.”</w:t>
      </w:r>
      <w:r w:rsidR="00877E50" w:rsidRPr="00672545">
        <w:rPr>
          <w:szCs w:val="26"/>
        </w:rPr>
        <w:t xml:space="preserve">  (</w:t>
      </w:r>
      <w:r w:rsidR="00877E50" w:rsidRPr="00672545">
        <w:rPr>
          <w:rFonts w:cs="Calibri"/>
          <w:i/>
          <w:iCs/>
          <w:szCs w:val="26"/>
        </w:rPr>
        <w:t>People v. Arias</w:t>
      </w:r>
      <w:r w:rsidR="00877E50" w:rsidRPr="00672545">
        <w:rPr>
          <w:rFonts w:cs="Calibri"/>
          <w:szCs w:val="26"/>
        </w:rPr>
        <w:t xml:space="preserve"> (1996) 13 Cal.4th 92, 126 (</w:t>
      </w:r>
      <w:r w:rsidR="00877E50" w:rsidRPr="00672545">
        <w:rPr>
          <w:rFonts w:cs="Calibri"/>
          <w:i/>
          <w:szCs w:val="26"/>
        </w:rPr>
        <w:t>Arias</w:t>
      </w:r>
      <w:r w:rsidR="00877E50" w:rsidRPr="00672545">
        <w:rPr>
          <w:rFonts w:cs="Calibri"/>
          <w:szCs w:val="26"/>
        </w:rPr>
        <w:t>).</w:t>
      </w:r>
      <w:r w:rsidR="00877E50" w:rsidRPr="00672545">
        <w:rPr>
          <w:szCs w:val="26"/>
        </w:rPr>
        <w:t>)</w:t>
      </w:r>
      <w:r w:rsidRPr="00672545">
        <w:rPr>
          <w:szCs w:val="26"/>
        </w:rPr>
        <w:t xml:space="preserve"> </w:t>
      </w:r>
      <w:r w:rsidR="00B712C3" w:rsidRPr="00672545">
        <w:rPr>
          <w:szCs w:val="26"/>
        </w:rPr>
        <w:t xml:space="preserve"> To successfully </w:t>
      </w:r>
      <w:r w:rsidR="00107995" w:rsidRPr="00672545">
        <w:rPr>
          <w:szCs w:val="26"/>
        </w:rPr>
        <w:t xml:space="preserve">claim that the trial court abused its discretion </w:t>
      </w:r>
      <w:r w:rsidR="00683F61" w:rsidRPr="00672545">
        <w:rPr>
          <w:szCs w:val="26"/>
        </w:rPr>
        <w:t>in</w:t>
      </w:r>
      <w:r w:rsidR="00107995" w:rsidRPr="00672545">
        <w:rPr>
          <w:szCs w:val="26"/>
        </w:rPr>
        <w:t xml:space="preserve"> denying </w:t>
      </w:r>
      <w:r w:rsidR="002333EF" w:rsidRPr="00672545">
        <w:rPr>
          <w:szCs w:val="26"/>
        </w:rPr>
        <w:t>a motion to sever</w:t>
      </w:r>
      <w:r w:rsidR="000B3B40" w:rsidRPr="00672545">
        <w:rPr>
          <w:szCs w:val="26"/>
        </w:rPr>
        <w:t xml:space="preserve">, </w:t>
      </w:r>
      <w:r w:rsidR="006449FF" w:rsidRPr="00672545">
        <w:rPr>
          <w:szCs w:val="26"/>
        </w:rPr>
        <w:t xml:space="preserve">a </w:t>
      </w:r>
      <w:proofErr w:type="gramStart"/>
      <w:r w:rsidR="008019E5" w:rsidRPr="00672545">
        <w:rPr>
          <w:szCs w:val="26"/>
        </w:rPr>
        <w:t>“</w:t>
      </w:r>
      <w:r w:rsidR="006449FF" w:rsidRPr="00672545">
        <w:rPr>
          <w:szCs w:val="26"/>
        </w:rPr>
        <w:t> </w:t>
      </w:r>
      <w:r w:rsidR="008019E5" w:rsidRPr="00672545">
        <w:rPr>
          <w:szCs w:val="26"/>
        </w:rPr>
        <w:t>‘</w:t>
      </w:r>
      <w:proofErr w:type="gramEnd"/>
      <w:r w:rsidR="006449FF" w:rsidRPr="00672545">
        <w:rPr>
          <w:szCs w:val="26"/>
        </w:rPr>
        <w:t> </w:t>
      </w:r>
      <w:r w:rsidR="008019E5" w:rsidRPr="00672545">
        <w:rPr>
          <w:szCs w:val="26"/>
        </w:rPr>
        <w:t>“defendant must make a clear showing of prejudice”</w:t>
      </w:r>
      <w:r w:rsidR="006449FF" w:rsidRPr="00672545">
        <w:rPr>
          <w:szCs w:val="26"/>
        </w:rPr>
        <w:t xml:space="preserve"> </w:t>
      </w:r>
      <w:r w:rsidR="008019E5" w:rsidRPr="00672545">
        <w:rPr>
          <w:szCs w:val="26"/>
        </w:rPr>
        <w:t>’</w:t>
      </w:r>
      <w:r w:rsidR="00D37510">
        <w:rPr>
          <w:szCs w:val="26"/>
        </w:rPr>
        <w:t> ”</w:t>
      </w:r>
      <w:r w:rsidR="008019E5" w:rsidRPr="00672545">
        <w:rPr>
          <w:szCs w:val="26"/>
        </w:rPr>
        <w:t xml:space="preserve"> </w:t>
      </w:r>
      <w:r w:rsidR="00A104B9" w:rsidRPr="00672545">
        <w:rPr>
          <w:szCs w:val="26"/>
        </w:rPr>
        <w:t>by demonstrating that</w:t>
      </w:r>
      <w:r w:rsidR="008019E5" w:rsidRPr="00672545">
        <w:rPr>
          <w:szCs w:val="26"/>
        </w:rPr>
        <w:t xml:space="preserve"> the denial </w:t>
      </w:r>
      <w:r w:rsidR="00A104B9" w:rsidRPr="00672545">
        <w:rPr>
          <w:szCs w:val="26"/>
        </w:rPr>
        <w:t>“</w:t>
      </w:r>
      <w:r w:rsidR="008019E5" w:rsidRPr="00672545">
        <w:rPr>
          <w:szCs w:val="26"/>
        </w:rPr>
        <w:t>exceeded the bounds of reason.”</w:t>
      </w:r>
      <w:r w:rsidR="00A104B9" w:rsidRPr="00672545">
        <w:rPr>
          <w:szCs w:val="26"/>
        </w:rPr>
        <w:t xml:space="preserve"> </w:t>
      </w:r>
      <w:r w:rsidR="008019E5" w:rsidRPr="00672545">
        <w:rPr>
          <w:szCs w:val="26"/>
        </w:rPr>
        <w:t xml:space="preserve"> (</w:t>
      </w:r>
      <w:r w:rsidR="008019E5" w:rsidRPr="00672545">
        <w:rPr>
          <w:i/>
          <w:szCs w:val="26"/>
        </w:rPr>
        <w:t>People v. Capistrano</w:t>
      </w:r>
      <w:r w:rsidR="006B3EA9" w:rsidRPr="00672545">
        <w:rPr>
          <w:szCs w:val="26"/>
        </w:rPr>
        <w:t xml:space="preserve"> (2014) 59 Cal.4th 830,</w:t>
      </w:r>
      <w:r w:rsidR="008019E5" w:rsidRPr="00672545">
        <w:rPr>
          <w:szCs w:val="26"/>
        </w:rPr>
        <w:t xml:space="preserve"> 848</w:t>
      </w:r>
      <w:r w:rsidR="006B3EA9" w:rsidRPr="00672545">
        <w:rPr>
          <w:szCs w:val="26"/>
        </w:rPr>
        <w:t xml:space="preserve"> (</w:t>
      </w:r>
      <w:r w:rsidR="006B3EA9" w:rsidRPr="00672545">
        <w:rPr>
          <w:i/>
          <w:szCs w:val="26"/>
        </w:rPr>
        <w:t>Capistrano</w:t>
      </w:r>
      <w:r w:rsidR="006B3EA9" w:rsidRPr="00672545">
        <w:rPr>
          <w:szCs w:val="26"/>
        </w:rPr>
        <w:t>)</w:t>
      </w:r>
      <w:r w:rsidR="00A104B9" w:rsidRPr="00672545">
        <w:rPr>
          <w:szCs w:val="26"/>
        </w:rPr>
        <w:t xml:space="preserve">.) </w:t>
      </w:r>
      <w:r w:rsidR="00F50FCB" w:rsidRPr="00672545">
        <w:rPr>
          <w:szCs w:val="26"/>
        </w:rPr>
        <w:t xml:space="preserve"> </w:t>
      </w:r>
      <w:r w:rsidR="00A2597E" w:rsidRPr="00672545">
        <w:rPr>
          <w:szCs w:val="26"/>
        </w:rPr>
        <w:t>“</w:t>
      </w:r>
      <w:r w:rsidR="00107995" w:rsidRPr="00672545">
        <w:rPr>
          <w:szCs w:val="26"/>
        </w:rPr>
        <w:t>An appellate court evaluates such claims in light of the showings made and the facts known by the trial court at the time of the court</w:t>
      </w:r>
      <w:r w:rsidR="00592C70" w:rsidRPr="00672545">
        <w:rPr>
          <w:szCs w:val="26"/>
        </w:rPr>
        <w:t>’</w:t>
      </w:r>
      <w:r w:rsidR="00107995" w:rsidRPr="00672545">
        <w:rPr>
          <w:szCs w:val="26"/>
        </w:rPr>
        <w:t>s ruling.</w:t>
      </w:r>
      <w:r w:rsidR="00D51E4A" w:rsidRPr="00672545">
        <w:rPr>
          <w:szCs w:val="26"/>
        </w:rPr>
        <w:t>”  (</w:t>
      </w:r>
      <w:r w:rsidR="00D51E4A" w:rsidRPr="00672545">
        <w:rPr>
          <w:i/>
          <w:szCs w:val="26"/>
        </w:rPr>
        <w:t>People v. Merriman</w:t>
      </w:r>
      <w:r w:rsidR="00D51E4A" w:rsidRPr="00672545">
        <w:rPr>
          <w:szCs w:val="26"/>
        </w:rPr>
        <w:t xml:space="preserve"> (2014) 60 Cal.4th 1, 37</w:t>
      </w:r>
      <w:r w:rsidR="00DF5EB4" w:rsidRPr="00672545">
        <w:rPr>
          <w:szCs w:val="26"/>
        </w:rPr>
        <w:t xml:space="preserve"> (</w:t>
      </w:r>
      <w:r w:rsidR="00DF5EB4" w:rsidRPr="00672545">
        <w:rPr>
          <w:i/>
          <w:szCs w:val="26"/>
        </w:rPr>
        <w:t>Merriman</w:t>
      </w:r>
      <w:r w:rsidR="00DF5EB4" w:rsidRPr="00672545">
        <w:rPr>
          <w:szCs w:val="26"/>
        </w:rPr>
        <w:t>)</w:t>
      </w:r>
      <w:r w:rsidR="00D51E4A" w:rsidRPr="00672545">
        <w:rPr>
          <w:szCs w:val="26"/>
        </w:rPr>
        <w:t xml:space="preserve">.)  </w:t>
      </w:r>
      <w:proofErr w:type="gramStart"/>
      <w:r w:rsidR="00592C70" w:rsidRPr="00672545">
        <w:rPr>
          <w:szCs w:val="26"/>
        </w:rPr>
        <w:t>“ ‘</w:t>
      </w:r>
      <w:proofErr w:type="gramEnd"/>
      <w:r w:rsidR="00592C70" w:rsidRPr="00672545">
        <w:rPr>
          <w:szCs w:val="26"/>
        </w:rPr>
        <w:t>[A]</w:t>
      </w:r>
      <w:r w:rsidR="00592C70" w:rsidRPr="00672545">
        <w:rPr>
          <w:rFonts w:cs="Calibri"/>
          <w:szCs w:val="26"/>
        </w:rPr>
        <w:t xml:space="preserve"> party seeking severance must make a </w:t>
      </w:r>
      <w:r w:rsidR="00592C70" w:rsidRPr="00672545">
        <w:rPr>
          <w:rFonts w:cs="Calibri"/>
          <w:i/>
          <w:iCs/>
          <w:szCs w:val="26"/>
        </w:rPr>
        <w:t>stronger</w:t>
      </w:r>
      <w:r w:rsidR="00592C70" w:rsidRPr="00672545">
        <w:rPr>
          <w:rFonts w:cs="Calibri"/>
          <w:szCs w:val="26"/>
        </w:rPr>
        <w:t xml:space="preserve"> showing of potential prejudice than would be necessary to exclude other-</w:t>
      </w:r>
      <w:r w:rsidR="00592C70" w:rsidRPr="00672545">
        <w:rPr>
          <w:rFonts w:cs="Calibri"/>
          <w:bCs/>
          <w:szCs w:val="26"/>
        </w:rPr>
        <w:t>crimes</w:t>
      </w:r>
      <w:r w:rsidR="00592C70" w:rsidRPr="00672545">
        <w:rPr>
          <w:rFonts w:cs="Calibri"/>
          <w:szCs w:val="26"/>
        </w:rPr>
        <w:t xml:space="preserve"> evidence in a severed trial.’ ” </w:t>
      </w:r>
      <w:r w:rsidR="00B87225" w:rsidRPr="00672545">
        <w:rPr>
          <w:rFonts w:cs="Calibri"/>
          <w:szCs w:val="26"/>
        </w:rPr>
        <w:t xml:space="preserve"> </w:t>
      </w:r>
      <w:r w:rsidR="00592C70" w:rsidRPr="00672545">
        <w:rPr>
          <w:rFonts w:cs="Calibri"/>
          <w:szCs w:val="26"/>
        </w:rPr>
        <w:t>(</w:t>
      </w:r>
      <w:r w:rsidR="00592C70" w:rsidRPr="00672545">
        <w:rPr>
          <w:rFonts w:cs="Calibri"/>
          <w:i/>
          <w:szCs w:val="26"/>
        </w:rPr>
        <w:t>Alcala, supra</w:t>
      </w:r>
      <w:r w:rsidR="00592C70" w:rsidRPr="00672545">
        <w:rPr>
          <w:rFonts w:cs="Calibri"/>
          <w:szCs w:val="26"/>
        </w:rPr>
        <w:t xml:space="preserve">, 43 Cal.4th at p. 1222, fn. 11, quoting </w:t>
      </w:r>
      <w:r w:rsidR="00592C70" w:rsidRPr="00672545">
        <w:rPr>
          <w:rFonts w:cs="Calibri"/>
          <w:i/>
          <w:iCs/>
          <w:szCs w:val="26"/>
        </w:rPr>
        <w:t>Arias</w:t>
      </w:r>
      <w:r w:rsidR="00094D0C" w:rsidRPr="00672545">
        <w:rPr>
          <w:rFonts w:cs="Calibri"/>
          <w:szCs w:val="26"/>
        </w:rPr>
        <w:t xml:space="preserve">, </w:t>
      </w:r>
      <w:r w:rsidR="00094D0C" w:rsidRPr="00672545">
        <w:rPr>
          <w:rFonts w:cs="Calibri"/>
          <w:i/>
          <w:szCs w:val="26"/>
        </w:rPr>
        <w:t>supra</w:t>
      </w:r>
      <w:r w:rsidR="00094D0C" w:rsidRPr="00672545">
        <w:rPr>
          <w:rFonts w:cs="Calibri"/>
          <w:szCs w:val="26"/>
        </w:rPr>
        <w:t xml:space="preserve">, </w:t>
      </w:r>
      <w:r w:rsidR="00592C70" w:rsidRPr="00672545">
        <w:rPr>
          <w:rFonts w:cs="Calibri"/>
          <w:szCs w:val="26"/>
        </w:rPr>
        <w:t xml:space="preserve">13 Cal.4th </w:t>
      </w:r>
      <w:r w:rsidR="009A4B17" w:rsidRPr="00672545">
        <w:rPr>
          <w:rFonts w:cs="Calibri"/>
          <w:szCs w:val="26"/>
        </w:rPr>
        <w:t>at p.</w:t>
      </w:r>
      <w:r w:rsidR="00592C70" w:rsidRPr="00672545">
        <w:rPr>
          <w:rFonts w:cs="Calibri"/>
          <w:szCs w:val="26"/>
        </w:rPr>
        <w:t xml:space="preserve"> 127; accord, </w:t>
      </w:r>
      <w:r w:rsidR="00592C70" w:rsidRPr="00672545">
        <w:rPr>
          <w:rFonts w:cs="Calibri"/>
          <w:i/>
          <w:iCs/>
          <w:szCs w:val="26"/>
        </w:rPr>
        <w:t>People v. Soper</w:t>
      </w:r>
      <w:r w:rsidR="00592C70" w:rsidRPr="00672545">
        <w:rPr>
          <w:rFonts w:cs="Calibri"/>
          <w:szCs w:val="26"/>
        </w:rPr>
        <w:t xml:space="preserve"> (2009) 45 Cal.4th 759, 77</w:t>
      </w:r>
      <w:r w:rsidR="00347F2C" w:rsidRPr="00672545">
        <w:rPr>
          <w:rFonts w:cs="Calibri"/>
          <w:szCs w:val="26"/>
        </w:rPr>
        <w:t>3-77</w:t>
      </w:r>
      <w:r w:rsidR="00592C70" w:rsidRPr="00672545">
        <w:rPr>
          <w:rFonts w:cs="Calibri"/>
          <w:szCs w:val="26"/>
        </w:rPr>
        <w:t>4</w:t>
      </w:r>
      <w:r w:rsidR="004B0AA8" w:rsidRPr="00672545">
        <w:rPr>
          <w:rFonts w:cs="Calibri"/>
          <w:szCs w:val="26"/>
        </w:rPr>
        <w:t xml:space="preserve"> (</w:t>
      </w:r>
      <w:r w:rsidR="004B0AA8" w:rsidRPr="00672545">
        <w:rPr>
          <w:rFonts w:cs="Calibri"/>
          <w:i/>
          <w:szCs w:val="26"/>
        </w:rPr>
        <w:t>Soper</w:t>
      </w:r>
      <w:r w:rsidR="004B0AA8" w:rsidRPr="00672545">
        <w:rPr>
          <w:rFonts w:cs="Calibri"/>
          <w:szCs w:val="26"/>
        </w:rPr>
        <w:t>)</w:t>
      </w:r>
      <w:r w:rsidR="00592C70" w:rsidRPr="00672545">
        <w:rPr>
          <w:rFonts w:cs="Calibri"/>
          <w:szCs w:val="26"/>
        </w:rPr>
        <w:t xml:space="preserve">.)  </w:t>
      </w:r>
    </w:p>
    <w:p w14:paraId="31B787ED" w14:textId="77777777" w:rsidR="00186777" w:rsidRPr="00672545" w:rsidRDefault="00FD0548" w:rsidP="00672545">
      <w:pPr>
        <w:rPr>
          <w:rFonts w:cs="Calibri"/>
          <w:szCs w:val="26"/>
        </w:rPr>
      </w:pPr>
      <w:r w:rsidRPr="00672545">
        <w:rPr>
          <w:rFonts w:cs="Calibri"/>
          <w:szCs w:val="26"/>
        </w:rPr>
        <w:tab/>
        <w:t>“</w:t>
      </w:r>
      <w:r w:rsidR="00186777" w:rsidRPr="00672545">
        <w:rPr>
          <w:rFonts w:cs="Calibri"/>
          <w:szCs w:val="26"/>
        </w:rPr>
        <w:t>In determining whether a trial court</w:t>
      </w:r>
      <w:r w:rsidRPr="00672545">
        <w:rPr>
          <w:rFonts w:cs="Calibri"/>
          <w:szCs w:val="26"/>
        </w:rPr>
        <w:t>’</w:t>
      </w:r>
      <w:r w:rsidR="00186777" w:rsidRPr="00672545">
        <w:rPr>
          <w:rFonts w:cs="Calibri"/>
          <w:szCs w:val="26"/>
        </w:rPr>
        <w:t>s refusal to sever charges amounts to an abuse of discretion, we consider four factors: (1) whether evidence of the crimes to be jointly tried is cross-admissible; (2) whether some charges are unusually likely to inflame the jury against the defendant; (3) whether a weak case has been joined with a stronger case so that the spillover effect of aggregate evidence might alter the outcome of some or all of the charges; and (4) whether any charge carries the death penalty or the joinder of charges converts the matter into a capital case.</w:t>
      </w:r>
      <w:r w:rsidRPr="00672545">
        <w:rPr>
          <w:rFonts w:cs="Calibri"/>
          <w:szCs w:val="26"/>
        </w:rPr>
        <w:t xml:space="preserve">” </w:t>
      </w:r>
      <w:r w:rsidR="00186777" w:rsidRPr="00672545">
        <w:rPr>
          <w:rFonts w:cs="Calibri"/>
          <w:szCs w:val="26"/>
        </w:rPr>
        <w:t xml:space="preserve"> </w:t>
      </w:r>
      <w:r w:rsidRPr="00672545">
        <w:rPr>
          <w:rFonts w:cs="Calibri"/>
          <w:szCs w:val="26"/>
        </w:rPr>
        <w:t>(</w:t>
      </w:r>
      <w:r w:rsidR="00E44A3A">
        <w:rPr>
          <w:rFonts w:cs="Calibri"/>
          <w:i/>
          <w:iCs/>
          <w:szCs w:val="26"/>
        </w:rPr>
        <w:t>People v. O’</w:t>
      </w:r>
      <w:r w:rsidR="00186777" w:rsidRPr="00672545">
        <w:rPr>
          <w:rFonts w:cs="Calibri"/>
          <w:i/>
          <w:iCs/>
          <w:szCs w:val="26"/>
        </w:rPr>
        <w:t>Malley</w:t>
      </w:r>
      <w:r w:rsidR="00186777" w:rsidRPr="00672545">
        <w:rPr>
          <w:rFonts w:cs="Calibri"/>
          <w:szCs w:val="26"/>
        </w:rPr>
        <w:t xml:space="preserve"> (2016) 62 Cal.4th 944, 968</w:t>
      </w:r>
      <w:r w:rsidR="00027E56" w:rsidRPr="00672545">
        <w:rPr>
          <w:rFonts w:cs="Calibri"/>
          <w:szCs w:val="26"/>
        </w:rPr>
        <w:t xml:space="preserve"> (</w:t>
      </w:r>
      <w:r w:rsidR="00027E56" w:rsidRPr="00672545">
        <w:rPr>
          <w:rFonts w:cs="Calibri"/>
          <w:i/>
          <w:szCs w:val="26"/>
        </w:rPr>
        <w:t>O’Malley</w:t>
      </w:r>
      <w:r w:rsidR="00027E56" w:rsidRPr="00672545">
        <w:rPr>
          <w:rFonts w:cs="Calibri"/>
          <w:szCs w:val="26"/>
        </w:rPr>
        <w:t>)</w:t>
      </w:r>
      <w:r w:rsidRPr="00672545">
        <w:rPr>
          <w:rFonts w:cs="Calibri"/>
          <w:szCs w:val="26"/>
        </w:rPr>
        <w:t xml:space="preserve">.)  </w:t>
      </w:r>
      <w:r w:rsidR="004B0AA8" w:rsidRPr="00672545">
        <w:rPr>
          <w:rFonts w:cs="Calibri"/>
          <w:szCs w:val="26"/>
        </w:rPr>
        <w:t xml:space="preserve">“We then balance the potential for prejudice to the </w:t>
      </w:r>
      <w:r w:rsidR="004B0AA8" w:rsidRPr="00672545">
        <w:rPr>
          <w:rFonts w:cs="Calibri"/>
          <w:szCs w:val="26"/>
        </w:rPr>
        <w:lastRenderedPageBreak/>
        <w:t>defendant from a joint trial against the countervailing benefits to the state.”  (</w:t>
      </w:r>
      <w:r w:rsidR="004B0AA8" w:rsidRPr="00672545">
        <w:rPr>
          <w:rFonts w:cs="Calibri"/>
          <w:i/>
          <w:szCs w:val="26"/>
        </w:rPr>
        <w:t>Soper, supra</w:t>
      </w:r>
      <w:r w:rsidR="004B0AA8" w:rsidRPr="00672545">
        <w:rPr>
          <w:rFonts w:cs="Calibri"/>
          <w:szCs w:val="26"/>
        </w:rPr>
        <w:t>, 45 Cal.4th at p. 775</w:t>
      </w:r>
      <w:r w:rsidR="00D37510">
        <w:rPr>
          <w:rFonts w:cs="Calibri"/>
          <w:szCs w:val="26"/>
        </w:rPr>
        <w:t>, fn. omitted</w:t>
      </w:r>
      <w:r w:rsidR="004B0AA8" w:rsidRPr="00672545">
        <w:rPr>
          <w:rFonts w:cs="Calibri"/>
          <w:szCs w:val="26"/>
        </w:rPr>
        <w:t xml:space="preserve">.)  </w:t>
      </w:r>
      <w:r w:rsidR="00D221CC" w:rsidRPr="00672545">
        <w:rPr>
          <w:rFonts w:cs="Calibri"/>
          <w:szCs w:val="26"/>
        </w:rPr>
        <w:t>H</w:t>
      </w:r>
      <w:r w:rsidR="007125D9" w:rsidRPr="00672545">
        <w:rPr>
          <w:rFonts w:cs="Calibri"/>
          <w:szCs w:val="26"/>
        </w:rPr>
        <w:t xml:space="preserve">owever, </w:t>
      </w:r>
      <w:r w:rsidR="00DF5EB4" w:rsidRPr="00672545">
        <w:rPr>
          <w:szCs w:val="26"/>
        </w:rPr>
        <w:t>“</w:t>
      </w:r>
      <w:r w:rsidR="007125D9" w:rsidRPr="00672545">
        <w:rPr>
          <w:szCs w:val="26"/>
        </w:rPr>
        <w:t>[</w:t>
      </w:r>
      <w:proofErr w:type="spellStart"/>
      <w:r w:rsidR="007125D9" w:rsidRPr="00672545">
        <w:rPr>
          <w:szCs w:val="26"/>
        </w:rPr>
        <w:t>i</w:t>
      </w:r>
      <w:proofErr w:type="spellEnd"/>
      <w:r w:rsidR="007125D9" w:rsidRPr="00672545">
        <w:rPr>
          <w:szCs w:val="26"/>
        </w:rPr>
        <w:t>]</w:t>
      </w:r>
      <w:r w:rsidR="00107995" w:rsidRPr="00672545">
        <w:rPr>
          <w:szCs w:val="26"/>
        </w:rPr>
        <w:t xml:space="preserve">f the evidence underlying the joined charges would have been cross-admissible at hypothetical separate trials, </w:t>
      </w:r>
      <w:r w:rsidR="00DF5EB4" w:rsidRPr="00672545">
        <w:rPr>
          <w:szCs w:val="26"/>
        </w:rPr>
        <w:t>‘</w:t>
      </w:r>
      <w:r w:rsidR="00107995" w:rsidRPr="00672545">
        <w:rPr>
          <w:szCs w:val="26"/>
        </w:rPr>
        <w:t>that factor alone is normally sufficient to dispel any suggestion of prejudice and to justify a trial court</w:t>
      </w:r>
      <w:r w:rsidR="00186777" w:rsidRPr="00672545">
        <w:rPr>
          <w:szCs w:val="26"/>
        </w:rPr>
        <w:t>’</w:t>
      </w:r>
      <w:r w:rsidR="00107995" w:rsidRPr="00672545">
        <w:rPr>
          <w:szCs w:val="26"/>
        </w:rPr>
        <w:t>s refusal to sever properly joined charges.</w:t>
      </w:r>
      <w:r w:rsidR="00DF5EB4" w:rsidRPr="00672545">
        <w:rPr>
          <w:szCs w:val="26"/>
        </w:rPr>
        <w:t xml:space="preserve">’ </w:t>
      </w:r>
      <w:r w:rsidR="00107995" w:rsidRPr="00672545">
        <w:rPr>
          <w:szCs w:val="26"/>
        </w:rPr>
        <w:t xml:space="preserve"> </w:t>
      </w:r>
      <w:r w:rsidR="00DF5EB4" w:rsidRPr="00672545">
        <w:rPr>
          <w:szCs w:val="26"/>
        </w:rPr>
        <w:t>[Citations.]”  (</w:t>
      </w:r>
      <w:r w:rsidR="00107995" w:rsidRPr="00672545">
        <w:rPr>
          <w:i/>
          <w:iCs/>
          <w:szCs w:val="26"/>
        </w:rPr>
        <w:t>Merriman</w:t>
      </w:r>
      <w:r w:rsidR="00DF5EB4" w:rsidRPr="00672545">
        <w:rPr>
          <w:i/>
          <w:iCs/>
          <w:szCs w:val="26"/>
        </w:rPr>
        <w:t>, supra</w:t>
      </w:r>
      <w:r w:rsidR="00DF5EB4" w:rsidRPr="00672545">
        <w:rPr>
          <w:iCs/>
          <w:szCs w:val="26"/>
        </w:rPr>
        <w:t>,</w:t>
      </w:r>
      <w:r w:rsidR="00107995" w:rsidRPr="00672545">
        <w:rPr>
          <w:szCs w:val="26"/>
        </w:rPr>
        <w:t xml:space="preserve"> 60 Cal.4th </w:t>
      </w:r>
      <w:r w:rsidR="00DF5EB4" w:rsidRPr="00672545">
        <w:rPr>
          <w:szCs w:val="26"/>
        </w:rPr>
        <w:t xml:space="preserve">at p. </w:t>
      </w:r>
      <w:r w:rsidR="00107995" w:rsidRPr="00672545">
        <w:rPr>
          <w:szCs w:val="26"/>
        </w:rPr>
        <w:t>38</w:t>
      </w:r>
      <w:r w:rsidR="00DF5EB4" w:rsidRPr="00672545">
        <w:rPr>
          <w:szCs w:val="26"/>
        </w:rPr>
        <w:t>.)</w:t>
      </w:r>
      <w:r w:rsidR="00186777" w:rsidRPr="00672545">
        <w:rPr>
          <w:szCs w:val="26"/>
        </w:rPr>
        <w:t xml:space="preserve"> </w:t>
      </w:r>
    </w:p>
    <w:p w14:paraId="68E64CD6" w14:textId="77777777" w:rsidR="007B43C7" w:rsidRPr="00672545" w:rsidRDefault="00CB559D" w:rsidP="00672545">
      <w:pPr>
        <w:rPr>
          <w:rFonts w:cs="Calibri"/>
          <w:szCs w:val="26"/>
        </w:rPr>
      </w:pPr>
      <w:r w:rsidRPr="00672545">
        <w:rPr>
          <w:rFonts w:cs="Calibri"/>
          <w:szCs w:val="26"/>
        </w:rPr>
        <w:tab/>
        <w:t>Defendant complains that it is not clear th</w:t>
      </w:r>
      <w:r w:rsidR="00C960EF" w:rsidRPr="00672545">
        <w:rPr>
          <w:rFonts w:cs="Calibri"/>
          <w:szCs w:val="26"/>
        </w:rPr>
        <w:t>at th</w:t>
      </w:r>
      <w:r w:rsidRPr="00672545">
        <w:rPr>
          <w:rFonts w:cs="Calibri"/>
          <w:szCs w:val="26"/>
        </w:rPr>
        <w:t xml:space="preserve">e trial court </w:t>
      </w:r>
      <w:r w:rsidR="00C960EF" w:rsidRPr="00672545">
        <w:rPr>
          <w:rFonts w:cs="Calibri"/>
          <w:szCs w:val="26"/>
        </w:rPr>
        <w:t xml:space="preserve">even </w:t>
      </w:r>
      <w:r w:rsidRPr="00672545">
        <w:rPr>
          <w:rFonts w:cs="Calibri"/>
          <w:szCs w:val="26"/>
        </w:rPr>
        <w:t>considered the relevant factors and exercised its discretion in d</w:t>
      </w:r>
      <w:r w:rsidR="004B0AA8" w:rsidRPr="00672545">
        <w:rPr>
          <w:rFonts w:cs="Calibri"/>
          <w:szCs w:val="26"/>
        </w:rPr>
        <w:t>enying his motion for severance</w:t>
      </w:r>
      <w:r w:rsidR="00026BD6" w:rsidRPr="00672545">
        <w:rPr>
          <w:rFonts w:cs="Calibri"/>
          <w:szCs w:val="26"/>
        </w:rPr>
        <w:t>.  He a</w:t>
      </w:r>
      <w:r w:rsidR="004B0AA8" w:rsidRPr="00672545">
        <w:rPr>
          <w:rFonts w:cs="Calibri"/>
          <w:szCs w:val="26"/>
        </w:rPr>
        <w:t>rgues that</w:t>
      </w:r>
      <w:r w:rsidR="00026BD6" w:rsidRPr="00672545">
        <w:rPr>
          <w:rFonts w:cs="Calibri"/>
          <w:szCs w:val="26"/>
        </w:rPr>
        <w:t>,</w:t>
      </w:r>
      <w:r w:rsidR="004B0AA8" w:rsidRPr="00672545">
        <w:rPr>
          <w:rFonts w:cs="Calibri"/>
          <w:szCs w:val="26"/>
        </w:rPr>
        <w:t xml:space="preserve"> in any event, </w:t>
      </w:r>
      <w:r w:rsidR="00026BD6" w:rsidRPr="00672545">
        <w:rPr>
          <w:rFonts w:cs="Calibri"/>
          <w:szCs w:val="26"/>
        </w:rPr>
        <w:t>the</w:t>
      </w:r>
      <w:r w:rsidR="004B0AA8" w:rsidRPr="00672545">
        <w:rPr>
          <w:rFonts w:cs="Calibri"/>
          <w:szCs w:val="26"/>
        </w:rPr>
        <w:t xml:space="preserve"> denial of his motion was an abuse of discretion.</w:t>
      </w:r>
      <w:r w:rsidRPr="00672545">
        <w:rPr>
          <w:rFonts w:cs="Calibri"/>
          <w:szCs w:val="26"/>
        </w:rPr>
        <w:t xml:space="preserve">  </w:t>
      </w:r>
    </w:p>
    <w:p w14:paraId="661EA15B" w14:textId="77777777" w:rsidR="00026BD6" w:rsidRPr="00672545" w:rsidRDefault="00026BD6" w:rsidP="00672545">
      <w:pPr>
        <w:rPr>
          <w:rFonts w:cs="Calibri"/>
          <w:szCs w:val="26"/>
        </w:rPr>
      </w:pPr>
      <w:r w:rsidRPr="00672545">
        <w:rPr>
          <w:rFonts w:cs="Calibri"/>
          <w:szCs w:val="26"/>
        </w:rPr>
        <w:tab/>
        <w:t xml:space="preserve">Defendant contended in his </w:t>
      </w:r>
      <w:r w:rsidR="000C4AAA" w:rsidRPr="00672545">
        <w:rPr>
          <w:rFonts w:cs="Calibri"/>
          <w:szCs w:val="26"/>
        </w:rPr>
        <w:t xml:space="preserve">written motion and oral comments to the trial </w:t>
      </w:r>
      <w:proofErr w:type="gramStart"/>
      <w:r w:rsidR="000C4AAA" w:rsidRPr="00672545">
        <w:rPr>
          <w:rFonts w:cs="Calibri"/>
          <w:szCs w:val="26"/>
        </w:rPr>
        <w:t xml:space="preserve">court </w:t>
      </w:r>
      <w:r w:rsidR="00FC6022" w:rsidRPr="00672545">
        <w:rPr>
          <w:rFonts w:cs="Calibri"/>
          <w:szCs w:val="26"/>
        </w:rPr>
        <w:t xml:space="preserve"> </w:t>
      </w:r>
      <w:r w:rsidRPr="00672545">
        <w:rPr>
          <w:rFonts w:cs="Calibri"/>
          <w:szCs w:val="26"/>
        </w:rPr>
        <w:t>that</w:t>
      </w:r>
      <w:proofErr w:type="gramEnd"/>
      <w:r w:rsidRPr="00672545">
        <w:rPr>
          <w:rFonts w:cs="Calibri"/>
          <w:szCs w:val="26"/>
        </w:rPr>
        <w:t xml:space="preserve"> the child pornography charge </w:t>
      </w:r>
      <w:r w:rsidR="002F48C0" w:rsidRPr="00672545">
        <w:rPr>
          <w:rFonts w:cs="Calibri"/>
          <w:szCs w:val="26"/>
        </w:rPr>
        <w:t xml:space="preserve">alleged in count three </w:t>
      </w:r>
      <w:r w:rsidRPr="00672545">
        <w:rPr>
          <w:rFonts w:cs="Calibri"/>
          <w:szCs w:val="26"/>
        </w:rPr>
        <w:t>did not meet the statutory requirements for joinder with the kidnapping and capital murder</w:t>
      </w:r>
      <w:r w:rsidR="000C4AAA" w:rsidRPr="00672545">
        <w:rPr>
          <w:rFonts w:cs="Calibri"/>
          <w:szCs w:val="26"/>
        </w:rPr>
        <w:t xml:space="preserve"> charges</w:t>
      </w:r>
      <w:r w:rsidRPr="00672545">
        <w:rPr>
          <w:rFonts w:cs="Calibri"/>
          <w:szCs w:val="26"/>
        </w:rPr>
        <w:t xml:space="preserve">.  </w:t>
      </w:r>
      <w:r w:rsidR="000C4AAA" w:rsidRPr="00672545">
        <w:rPr>
          <w:rFonts w:cs="Calibri"/>
          <w:szCs w:val="26"/>
        </w:rPr>
        <w:t>H</w:t>
      </w:r>
      <w:r w:rsidRPr="00672545">
        <w:rPr>
          <w:rFonts w:cs="Calibri"/>
          <w:szCs w:val="26"/>
        </w:rPr>
        <w:t xml:space="preserve">e did not </w:t>
      </w:r>
      <w:r w:rsidR="002F48C0" w:rsidRPr="00672545">
        <w:rPr>
          <w:rFonts w:cs="Calibri"/>
          <w:szCs w:val="26"/>
        </w:rPr>
        <w:t>request,</w:t>
      </w:r>
      <w:r w:rsidRPr="00672545">
        <w:rPr>
          <w:rFonts w:cs="Calibri"/>
          <w:szCs w:val="26"/>
        </w:rPr>
        <w:t xml:space="preserve"> in the alternative, that the court exercise its discretion to sever the charges</w:t>
      </w:r>
      <w:r w:rsidR="000935B2" w:rsidRPr="00672545">
        <w:rPr>
          <w:rFonts w:cs="Calibri"/>
          <w:szCs w:val="26"/>
        </w:rPr>
        <w:t xml:space="preserve"> if it found the</w:t>
      </w:r>
      <w:r w:rsidR="001A0072" w:rsidRPr="00672545">
        <w:rPr>
          <w:rFonts w:cs="Calibri"/>
          <w:szCs w:val="26"/>
        </w:rPr>
        <w:t xml:space="preserve"> charges </w:t>
      </w:r>
      <w:r w:rsidR="000935B2" w:rsidRPr="00672545">
        <w:rPr>
          <w:rFonts w:cs="Calibri"/>
          <w:szCs w:val="26"/>
        </w:rPr>
        <w:t>to be properly joined</w:t>
      </w:r>
      <w:r w:rsidRPr="00672545">
        <w:rPr>
          <w:rFonts w:cs="Calibri"/>
          <w:szCs w:val="26"/>
        </w:rPr>
        <w:t xml:space="preserve">.  It is </w:t>
      </w:r>
      <w:r w:rsidR="002F48C0" w:rsidRPr="00672545">
        <w:rPr>
          <w:rFonts w:cs="Calibri"/>
          <w:szCs w:val="26"/>
        </w:rPr>
        <w:t xml:space="preserve">not </w:t>
      </w:r>
      <w:r w:rsidRPr="00672545">
        <w:rPr>
          <w:rFonts w:cs="Calibri"/>
          <w:szCs w:val="26"/>
        </w:rPr>
        <w:t>surprising</w:t>
      </w:r>
      <w:r w:rsidR="000935B2" w:rsidRPr="00672545">
        <w:rPr>
          <w:rFonts w:cs="Calibri"/>
          <w:szCs w:val="26"/>
        </w:rPr>
        <w:t>,</w:t>
      </w:r>
      <w:r w:rsidRPr="00672545">
        <w:rPr>
          <w:rFonts w:cs="Calibri"/>
          <w:szCs w:val="26"/>
        </w:rPr>
        <w:t xml:space="preserve"> the</w:t>
      </w:r>
      <w:r w:rsidR="000935B2" w:rsidRPr="00672545">
        <w:rPr>
          <w:rFonts w:cs="Calibri"/>
          <w:szCs w:val="26"/>
        </w:rPr>
        <w:t>refore,</w:t>
      </w:r>
      <w:r w:rsidRPr="00672545">
        <w:rPr>
          <w:rFonts w:cs="Calibri"/>
          <w:szCs w:val="26"/>
        </w:rPr>
        <w:t xml:space="preserve"> that the trial court did not state for the record that it would deny </w:t>
      </w:r>
      <w:r w:rsidR="000935B2" w:rsidRPr="00672545">
        <w:rPr>
          <w:rFonts w:cs="Calibri"/>
          <w:szCs w:val="26"/>
        </w:rPr>
        <w:t xml:space="preserve">such </w:t>
      </w:r>
      <w:r w:rsidR="002F48C0" w:rsidRPr="00672545">
        <w:rPr>
          <w:rFonts w:cs="Calibri"/>
          <w:szCs w:val="26"/>
        </w:rPr>
        <w:t xml:space="preserve">a request </w:t>
      </w:r>
      <w:r w:rsidR="00A62C0C" w:rsidRPr="00672545">
        <w:rPr>
          <w:rFonts w:cs="Calibri"/>
          <w:szCs w:val="26"/>
        </w:rPr>
        <w:t>and explain its reasoning</w:t>
      </w:r>
      <w:r w:rsidR="002F48C0" w:rsidRPr="00672545">
        <w:rPr>
          <w:rFonts w:cs="Calibri"/>
          <w:szCs w:val="26"/>
        </w:rPr>
        <w:t xml:space="preserve">.  </w:t>
      </w:r>
      <w:r w:rsidR="006920B2" w:rsidRPr="00672545">
        <w:rPr>
          <w:rFonts w:cs="Calibri"/>
          <w:szCs w:val="26"/>
        </w:rPr>
        <w:t>U</w:t>
      </w:r>
      <w:r w:rsidR="000935B2" w:rsidRPr="00672545">
        <w:rPr>
          <w:rFonts w:cs="Calibri"/>
          <w:szCs w:val="26"/>
        </w:rPr>
        <w:t>nder these circumstances, we conclude d</w:t>
      </w:r>
      <w:r w:rsidR="002F48C0" w:rsidRPr="00672545">
        <w:rPr>
          <w:rFonts w:cs="Calibri"/>
          <w:szCs w:val="26"/>
        </w:rPr>
        <w:t xml:space="preserve">efendant has failed to preserve the claim that </w:t>
      </w:r>
      <w:r w:rsidR="000935B2" w:rsidRPr="00672545">
        <w:rPr>
          <w:rFonts w:cs="Calibri"/>
          <w:szCs w:val="26"/>
        </w:rPr>
        <w:t>the trial court</w:t>
      </w:r>
      <w:r w:rsidR="002F48C0" w:rsidRPr="00672545">
        <w:rPr>
          <w:rFonts w:cs="Calibri"/>
          <w:szCs w:val="26"/>
        </w:rPr>
        <w:t xml:space="preserve"> erred in</w:t>
      </w:r>
      <w:r w:rsidR="000935B2" w:rsidRPr="00672545">
        <w:rPr>
          <w:rFonts w:cs="Calibri"/>
          <w:szCs w:val="26"/>
        </w:rPr>
        <w:t xml:space="preserve"> denying discretionary severance</w:t>
      </w:r>
      <w:r w:rsidR="006920B2" w:rsidRPr="00672545">
        <w:rPr>
          <w:rFonts w:cs="Calibri"/>
          <w:szCs w:val="26"/>
        </w:rPr>
        <w:t xml:space="preserve"> pretrial</w:t>
      </w:r>
      <w:r w:rsidR="002F48C0" w:rsidRPr="00672545">
        <w:rPr>
          <w:rFonts w:cs="Calibri"/>
          <w:szCs w:val="26"/>
        </w:rPr>
        <w:t>.</w:t>
      </w:r>
    </w:p>
    <w:p w14:paraId="40210450" w14:textId="77777777" w:rsidR="0025189D" w:rsidRPr="00672545" w:rsidRDefault="002F48C0" w:rsidP="00672545">
      <w:pPr>
        <w:rPr>
          <w:rFonts w:cs="Calibri"/>
          <w:szCs w:val="26"/>
        </w:rPr>
      </w:pPr>
      <w:r w:rsidRPr="00672545">
        <w:rPr>
          <w:rFonts w:cs="Calibri"/>
          <w:szCs w:val="26"/>
        </w:rPr>
        <w:tab/>
        <w:t xml:space="preserve">Even if we were to find no forfeiture, however, we would not find any error.  Here the evidence underlying the child pornography charge would have been cross-admissible at a hypothetical separate trial of the kidnapping and murder charges, as we have discussed in the previous section.  </w:t>
      </w:r>
      <w:r w:rsidR="00D40B82" w:rsidRPr="00672545">
        <w:rPr>
          <w:rFonts w:cs="Calibri"/>
          <w:szCs w:val="26"/>
        </w:rPr>
        <w:t>Indeed, the cross-admissibility of the two crimes flows in both directions because each crime illuminates the motive for the other.</w:t>
      </w:r>
    </w:p>
    <w:p w14:paraId="4DAF4C40" w14:textId="77777777" w:rsidR="002F48C0" w:rsidRPr="00672545" w:rsidRDefault="002F48C0" w:rsidP="00672545">
      <w:pPr>
        <w:ind w:firstLine="720"/>
        <w:rPr>
          <w:rFonts w:cs="Calibri"/>
          <w:szCs w:val="26"/>
        </w:rPr>
      </w:pPr>
      <w:r w:rsidRPr="00672545">
        <w:rPr>
          <w:rFonts w:cs="Calibri"/>
          <w:szCs w:val="26"/>
        </w:rPr>
        <w:lastRenderedPageBreak/>
        <w:t xml:space="preserve">Defendant’s reliance on </w:t>
      </w:r>
      <w:r w:rsidRPr="00672545">
        <w:rPr>
          <w:rFonts w:cs="Calibri"/>
          <w:i/>
          <w:szCs w:val="26"/>
        </w:rPr>
        <w:t>People v. Page</w:t>
      </w:r>
      <w:r w:rsidRPr="00672545">
        <w:rPr>
          <w:rFonts w:cs="Calibri"/>
          <w:szCs w:val="26"/>
        </w:rPr>
        <w:t xml:space="preserve"> (2008) 44 Cal.4th 1, does not persuade us otherwise.  </w:t>
      </w:r>
      <w:r w:rsidR="00774DBD" w:rsidRPr="00672545">
        <w:rPr>
          <w:rFonts w:cs="Calibri"/>
          <w:szCs w:val="26"/>
        </w:rPr>
        <w:t xml:space="preserve">In </w:t>
      </w:r>
      <w:r w:rsidR="00774DBD" w:rsidRPr="00672545">
        <w:rPr>
          <w:rFonts w:cs="Calibri"/>
          <w:i/>
          <w:szCs w:val="26"/>
        </w:rPr>
        <w:t>Page</w:t>
      </w:r>
      <w:r w:rsidR="00774DBD" w:rsidRPr="00672545">
        <w:rPr>
          <w:rFonts w:cs="Calibri"/>
          <w:szCs w:val="26"/>
        </w:rPr>
        <w:t>, defendant claimed prejudicial error in the admission of pornographic magazines to show his intent in committing a lewd act on a child.  (</w:t>
      </w:r>
      <w:r w:rsidR="00774DBD" w:rsidRPr="00672545">
        <w:rPr>
          <w:rFonts w:cs="Calibri"/>
          <w:i/>
          <w:szCs w:val="26"/>
        </w:rPr>
        <w:t>Id.</w:t>
      </w:r>
      <w:r w:rsidR="00774DBD" w:rsidRPr="00672545">
        <w:rPr>
          <w:rFonts w:cs="Calibri"/>
          <w:szCs w:val="26"/>
        </w:rPr>
        <w:t>, at p. 39.)  We found that the magazines “may have been probative with respect to defendant’s commission of the crimes</w:t>
      </w:r>
      <w:r w:rsidR="007E5DDD" w:rsidRPr="00672545">
        <w:rPr>
          <w:rFonts w:cs="Calibri"/>
          <w:szCs w:val="26"/>
        </w:rPr>
        <w:t>,</w:t>
      </w:r>
      <w:r w:rsidR="00774DBD" w:rsidRPr="00672545">
        <w:rPr>
          <w:rFonts w:cs="Calibri"/>
          <w:szCs w:val="26"/>
        </w:rPr>
        <w:t>”</w:t>
      </w:r>
      <w:r w:rsidR="007E5DDD" w:rsidRPr="00672545">
        <w:rPr>
          <w:rFonts w:cs="Calibri"/>
          <w:szCs w:val="26"/>
        </w:rPr>
        <w:t xml:space="preserve"> although we found them to have “less probative value than the images considered in prior cases.”  (</w:t>
      </w:r>
      <w:r w:rsidR="007E5DDD" w:rsidRPr="00672545">
        <w:rPr>
          <w:rFonts w:cs="Calibri"/>
          <w:i/>
          <w:szCs w:val="26"/>
        </w:rPr>
        <w:t>Id.</w:t>
      </w:r>
      <w:r w:rsidR="007E5DDD" w:rsidRPr="00672545">
        <w:rPr>
          <w:rFonts w:cs="Calibri"/>
          <w:szCs w:val="26"/>
        </w:rPr>
        <w:t xml:space="preserve">, at p. 40.)  </w:t>
      </w:r>
      <w:r w:rsidR="00A05BE9" w:rsidRPr="00672545">
        <w:rPr>
          <w:rFonts w:cs="Calibri"/>
          <w:szCs w:val="26"/>
        </w:rPr>
        <w:t>But w</w:t>
      </w:r>
      <w:r w:rsidR="00FE2DC9" w:rsidRPr="00672545">
        <w:rPr>
          <w:rFonts w:cs="Calibri"/>
          <w:szCs w:val="26"/>
        </w:rPr>
        <w:t>e declined to</w:t>
      </w:r>
      <w:r w:rsidR="00774DBD" w:rsidRPr="00672545">
        <w:rPr>
          <w:rFonts w:cs="Calibri"/>
          <w:szCs w:val="26"/>
        </w:rPr>
        <w:t xml:space="preserve"> reach the issue of whether the trial court abused its discretion </w:t>
      </w:r>
      <w:r w:rsidR="007E5DDD" w:rsidRPr="00672545">
        <w:rPr>
          <w:rFonts w:cs="Calibri"/>
          <w:szCs w:val="26"/>
        </w:rPr>
        <w:t xml:space="preserve">under Evidence Code section 352 </w:t>
      </w:r>
      <w:r w:rsidR="005679FC" w:rsidRPr="00672545">
        <w:rPr>
          <w:rFonts w:cs="Calibri"/>
          <w:szCs w:val="26"/>
        </w:rPr>
        <w:t xml:space="preserve">in admitting the </w:t>
      </w:r>
      <w:r w:rsidR="00774DBD" w:rsidRPr="00672545">
        <w:rPr>
          <w:rFonts w:cs="Calibri"/>
          <w:szCs w:val="26"/>
        </w:rPr>
        <w:t>magazines because we found any error to be harmless under the circumstances.  (</w:t>
      </w:r>
      <w:r w:rsidR="00774DBD" w:rsidRPr="00672545">
        <w:rPr>
          <w:rFonts w:cs="Calibri"/>
          <w:i/>
          <w:szCs w:val="26"/>
        </w:rPr>
        <w:t>Id.</w:t>
      </w:r>
      <w:r w:rsidR="007E5DDD" w:rsidRPr="00672545">
        <w:rPr>
          <w:rFonts w:cs="Calibri"/>
          <w:szCs w:val="26"/>
        </w:rPr>
        <w:t xml:space="preserve">, at pp. 41-45.)  </w:t>
      </w:r>
      <w:r w:rsidR="006743C1" w:rsidRPr="00672545">
        <w:rPr>
          <w:rFonts w:cs="Calibri"/>
          <w:szCs w:val="26"/>
        </w:rPr>
        <w:t xml:space="preserve">Because </w:t>
      </w:r>
      <w:r w:rsidR="00E06A3A" w:rsidRPr="00672545">
        <w:rPr>
          <w:rFonts w:cs="Calibri"/>
          <w:i/>
          <w:szCs w:val="26"/>
        </w:rPr>
        <w:t>Page</w:t>
      </w:r>
      <w:r w:rsidR="00E06A3A" w:rsidRPr="00672545">
        <w:rPr>
          <w:rFonts w:cs="Calibri"/>
          <w:szCs w:val="26"/>
        </w:rPr>
        <w:t xml:space="preserve"> </w:t>
      </w:r>
      <w:r w:rsidR="006743C1" w:rsidRPr="00672545">
        <w:rPr>
          <w:rFonts w:cs="Calibri"/>
          <w:szCs w:val="26"/>
        </w:rPr>
        <w:t xml:space="preserve">did not reach the issue of admissibility, it </w:t>
      </w:r>
      <w:r w:rsidR="00E06A3A" w:rsidRPr="00672545">
        <w:rPr>
          <w:rFonts w:cs="Calibri"/>
          <w:szCs w:val="26"/>
        </w:rPr>
        <w:t>does not assist defendant’s claim that evidence of his possession of child pornography</w:t>
      </w:r>
      <w:r w:rsidR="006743C1" w:rsidRPr="00672545">
        <w:rPr>
          <w:rFonts w:cs="Calibri"/>
          <w:szCs w:val="26"/>
        </w:rPr>
        <w:t xml:space="preserve"> </w:t>
      </w:r>
      <w:r w:rsidR="00E06A3A" w:rsidRPr="00672545">
        <w:rPr>
          <w:rFonts w:cs="Calibri"/>
          <w:szCs w:val="26"/>
        </w:rPr>
        <w:t xml:space="preserve">was </w:t>
      </w:r>
      <w:r w:rsidR="006743C1" w:rsidRPr="00672545">
        <w:rPr>
          <w:rFonts w:cs="Calibri"/>
          <w:szCs w:val="26"/>
        </w:rPr>
        <w:t>irrelevant</w:t>
      </w:r>
      <w:r w:rsidR="00E06A3A" w:rsidRPr="00672545">
        <w:rPr>
          <w:rFonts w:cs="Calibri"/>
          <w:szCs w:val="26"/>
        </w:rPr>
        <w:t xml:space="preserve"> to the kidnapping and murder charges and </w:t>
      </w:r>
      <w:r w:rsidR="00920E66" w:rsidRPr="00672545">
        <w:rPr>
          <w:rFonts w:cs="Calibri"/>
          <w:szCs w:val="26"/>
        </w:rPr>
        <w:t>therefore</w:t>
      </w:r>
      <w:r w:rsidR="00E06A3A" w:rsidRPr="00672545">
        <w:rPr>
          <w:rFonts w:cs="Calibri"/>
          <w:szCs w:val="26"/>
        </w:rPr>
        <w:t xml:space="preserve">, not cross-admissible.  </w:t>
      </w:r>
      <w:r w:rsidR="005679FC" w:rsidRPr="00672545">
        <w:rPr>
          <w:rFonts w:cs="Calibri"/>
          <w:szCs w:val="26"/>
        </w:rPr>
        <w:t xml:space="preserve">Moreover, the nature of the child pornography possessed by defendant here provided a much stronger inference of motive </w:t>
      </w:r>
      <w:r w:rsidR="00113095" w:rsidRPr="00672545">
        <w:rPr>
          <w:rFonts w:cs="Calibri"/>
          <w:szCs w:val="26"/>
        </w:rPr>
        <w:t>and intent than apparent in the</w:t>
      </w:r>
      <w:r w:rsidR="005679FC" w:rsidRPr="00672545">
        <w:rPr>
          <w:rFonts w:cs="Calibri"/>
          <w:szCs w:val="26"/>
        </w:rPr>
        <w:t xml:space="preserve"> magazines possessed by the defendant in </w:t>
      </w:r>
      <w:r w:rsidR="005679FC" w:rsidRPr="00672545">
        <w:rPr>
          <w:rFonts w:cs="Calibri"/>
          <w:i/>
          <w:szCs w:val="26"/>
        </w:rPr>
        <w:t>Page</w:t>
      </w:r>
      <w:r w:rsidR="005679FC" w:rsidRPr="00672545">
        <w:rPr>
          <w:rFonts w:cs="Calibri"/>
          <w:szCs w:val="26"/>
        </w:rPr>
        <w:t>.  (</w:t>
      </w:r>
      <w:r w:rsidR="005679FC" w:rsidRPr="00672545">
        <w:rPr>
          <w:rFonts w:cs="Calibri"/>
          <w:i/>
          <w:szCs w:val="26"/>
        </w:rPr>
        <w:t>Id.</w:t>
      </w:r>
      <w:r w:rsidR="005679FC" w:rsidRPr="00672545">
        <w:rPr>
          <w:rFonts w:cs="Calibri"/>
          <w:szCs w:val="26"/>
        </w:rPr>
        <w:t>, at p. 39.)</w:t>
      </w:r>
    </w:p>
    <w:p w14:paraId="590D0F43" w14:textId="77777777" w:rsidR="007B43C7" w:rsidRPr="00672545" w:rsidRDefault="00726C15" w:rsidP="00672545">
      <w:pPr>
        <w:rPr>
          <w:rFonts w:cs="Calibri"/>
          <w:szCs w:val="26"/>
        </w:rPr>
      </w:pPr>
      <w:r w:rsidRPr="00672545">
        <w:rPr>
          <w:rFonts w:cs="Calibri"/>
          <w:szCs w:val="26"/>
        </w:rPr>
        <w:tab/>
      </w:r>
      <w:r w:rsidR="00920E66" w:rsidRPr="00672545">
        <w:rPr>
          <w:rFonts w:cs="Calibri"/>
          <w:szCs w:val="26"/>
        </w:rPr>
        <w:t xml:space="preserve">Further, </w:t>
      </w:r>
      <w:r w:rsidRPr="00672545">
        <w:rPr>
          <w:rFonts w:cs="Calibri"/>
          <w:szCs w:val="26"/>
        </w:rPr>
        <w:t xml:space="preserve">if we were to reach the remaining three discretionary severance factors, we would still find no abuse of discretion. </w:t>
      </w:r>
      <w:r w:rsidR="001A77D7" w:rsidRPr="00672545">
        <w:rPr>
          <w:rFonts w:cs="Calibri"/>
          <w:szCs w:val="26"/>
        </w:rPr>
        <w:t xml:space="preserve"> The second factor considers whether an inflammatory offense is being joined to one that is not </w:t>
      </w:r>
      <w:r w:rsidR="00061ED9" w:rsidRPr="00672545">
        <w:rPr>
          <w:rFonts w:cs="Calibri"/>
          <w:szCs w:val="26"/>
        </w:rPr>
        <w:t xml:space="preserve">inflammatory </w:t>
      </w:r>
      <w:r w:rsidR="001A77D7" w:rsidRPr="00672545">
        <w:rPr>
          <w:rFonts w:cs="Calibri"/>
          <w:szCs w:val="26"/>
        </w:rPr>
        <w:t>“under circumstances where the jury cannot be expected to try both fairly.”  (</w:t>
      </w:r>
      <w:r w:rsidR="001A77D7" w:rsidRPr="00672545">
        <w:rPr>
          <w:i/>
          <w:iCs/>
          <w:szCs w:val="26"/>
        </w:rPr>
        <w:t>People v. Mason</w:t>
      </w:r>
      <w:r w:rsidR="001A77D7" w:rsidRPr="00672545">
        <w:rPr>
          <w:szCs w:val="26"/>
        </w:rPr>
        <w:t xml:space="preserve"> (1991) 52 Cal.3d 909, 934.) </w:t>
      </w:r>
      <w:r w:rsidR="001A77D7" w:rsidRPr="00672545">
        <w:rPr>
          <w:rFonts w:cs="Calibri"/>
          <w:szCs w:val="26"/>
        </w:rPr>
        <w:t xml:space="preserve"> “</w:t>
      </w:r>
      <w:r w:rsidR="001A77D7" w:rsidRPr="00672545">
        <w:rPr>
          <w:rStyle w:val="ssrfcpassagedeactivated"/>
          <w:szCs w:val="26"/>
        </w:rPr>
        <w:t>The danger to be avoided is ‘that strong evidence of a lesser but inflammatory crime might be used to bolster a weak prosecution case’ on another crime.”  (</w:t>
      </w:r>
      <w:r w:rsidR="001A77D7" w:rsidRPr="00672545">
        <w:rPr>
          <w:rStyle w:val="ssrfcpassagedeactivated"/>
          <w:i/>
          <w:szCs w:val="26"/>
        </w:rPr>
        <w:t>Ibid</w:t>
      </w:r>
      <w:r w:rsidR="00EB21CD" w:rsidRPr="00672545">
        <w:rPr>
          <w:rStyle w:val="ssrfcpassagedeactivated"/>
          <w:szCs w:val="26"/>
        </w:rPr>
        <w:t xml:space="preserve">; accord </w:t>
      </w:r>
      <w:r w:rsidR="00EB21CD" w:rsidRPr="00672545">
        <w:rPr>
          <w:i/>
          <w:iCs/>
          <w:szCs w:val="26"/>
        </w:rPr>
        <w:t>Capistrano</w:t>
      </w:r>
      <w:r w:rsidR="006449FF" w:rsidRPr="00672545">
        <w:rPr>
          <w:szCs w:val="26"/>
        </w:rPr>
        <w:t xml:space="preserve">, </w:t>
      </w:r>
      <w:r w:rsidR="006449FF" w:rsidRPr="00672545">
        <w:rPr>
          <w:i/>
          <w:szCs w:val="26"/>
        </w:rPr>
        <w:t>supra</w:t>
      </w:r>
      <w:r w:rsidR="006449FF" w:rsidRPr="00672545">
        <w:rPr>
          <w:szCs w:val="26"/>
        </w:rPr>
        <w:t xml:space="preserve">, 59 Cal.4th at p. </w:t>
      </w:r>
      <w:r w:rsidR="00EB21CD" w:rsidRPr="00672545">
        <w:rPr>
          <w:szCs w:val="26"/>
        </w:rPr>
        <w:t>850</w:t>
      </w:r>
      <w:r w:rsidR="001A77D7" w:rsidRPr="00672545">
        <w:rPr>
          <w:rStyle w:val="ssrfcpassagedeactivated"/>
          <w:i/>
          <w:szCs w:val="26"/>
        </w:rPr>
        <w:t>.</w:t>
      </w:r>
      <w:r w:rsidR="001A77D7" w:rsidRPr="00672545">
        <w:rPr>
          <w:rStyle w:val="ssrfcpassagedeactivated"/>
          <w:szCs w:val="26"/>
        </w:rPr>
        <w:t xml:space="preserve">)  </w:t>
      </w:r>
      <w:r w:rsidR="001F45D3" w:rsidRPr="00672545">
        <w:rPr>
          <w:rStyle w:val="ssrfcpassagedeactivated"/>
          <w:szCs w:val="26"/>
        </w:rPr>
        <w:t>Here t</w:t>
      </w:r>
      <w:r w:rsidR="001A77D7" w:rsidRPr="00672545">
        <w:rPr>
          <w:rStyle w:val="ssrfcpassagedeactivated"/>
          <w:szCs w:val="26"/>
        </w:rPr>
        <w:t xml:space="preserve">he </w:t>
      </w:r>
      <w:r w:rsidR="000342DD" w:rsidRPr="00672545">
        <w:rPr>
          <w:rFonts w:cs="Calibri"/>
          <w:szCs w:val="26"/>
        </w:rPr>
        <w:t>charge</w:t>
      </w:r>
      <w:r w:rsidR="001A77D7" w:rsidRPr="00672545">
        <w:rPr>
          <w:rFonts w:cs="Calibri"/>
          <w:szCs w:val="26"/>
        </w:rPr>
        <w:t xml:space="preserve"> of</w:t>
      </w:r>
      <w:r w:rsidR="000342DD" w:rsidRPr="00672545">
        <w:rPr>
          <w:rFonts w:cs="Calibri"/>
          <w:szCs w:val="26"/>
        </w:rPr>
        <w:t xml:space="preserve"> </w:t>
      </w:r>
      <w:r w:rsidRPr="00672545">
        <w:rPr>
          <w:rFonts w:cs="Calibri"/>
          <w:szCs w:val="26"/>
        </w:rPr>
        <w:t>possess</w:t>
      </w:r>
      <w:r w:rsidR="000342DD" w:rsidRPr="00672545">
        <w:rPr>
          <w:rFonts w:cs="Calibri"/>
          <w:szCs w:val="26"/>
        </w:rPr>
        <w:t xml:space="preserve">ing images </w:t>
      </w:r>
      <w:r w:rsidRPr="00672545">
        <w:rPr>
          <w:rFonts w:cs="Calibri"/>
          <w:szCs w:val="26"/>
        </w:rPr>
        <w:t xml:space="preserve">of child pornography </w:t>
      </w:r>
      <w:r w:rsidR="001F45D3" w:rsidRPr="00672545">
        <w:rPr>
          <w:rFonts w:cs="Calibri"/>
          <w:szCs w:val="26"/>
        </w:rPr>
        <w:t xml:space="preserve">was no more inflammatory than the charges of kidnapping a young girl from her bed at night, </w:t>
      </w:r>
      <w:r w:rsidR="001F45D3" w:rsidRPr="00672545">
        <w:rPr>
          <w:rFonts w:cs="Calibri"/>
          <w:szCs w:val="26"/>
        </w:rPr>
        <w:lastRenderedPageBreak/>
        <w:t>murdering her</w:t>
      </w:r>
      <w:r w:rsidR="00D37510">
        <w:rPr>
          <w:rFonts w:cs="Calibri"/>
          <w:szCs w:val="26"/>
        </w:rPr>
        <w:t>,</w:t>
      </w:r>
      <w:r w:rsidR="001F45D3" w:rsidRPr="00672545">
        <w:rPr>
          <w:rFonts w:cs="Calibri"/>
          <w:szCs w:val="26"/>
        </w:rPr>
        <w:t xml:space="preserve"> and leaving her body </w:t>
      </w:r>
      <w:r w:rsidR="00061ED9" w:rsidRPr="00672545">
        <w:rPr>
          <w:rFonts w:cs="Calibri"/>
          <w:szCs w:val="26"/>
        </w:rPr>
        <w:t xml:space="preserve">to be ravaged by animals in the desert.  </w:t>
      </w:r>
      <w:r w:rsidR="007416DB" w:rsidRPr="00672545">
        <w:rPr>
          <w:rFonts w:cs="Calibri"/>
          <w:szCs w:val="26"/>
        </w:rPr>
        <w:t>T</w:t>
      </w:r>
      <w:r w:rsidR="00852DCF" w:rsidRPr="00672545">
        <w:rPr>
          <w:rFonts w:cs="Calibri"/>
          <w:szCs w:val="26"/>
        </w:rPr>
        <w:t xml:space="preserve">he evidence supporting each crime was strong, and this defeats the notion that strong evidence of one inflammatory crime was improperly used to bolster </w:t>
      </w:r>
      <w:r w:rsidR="007416DB" w:rsidRPr="00672545">
        <w:rPr>
          <w:rFonts w:cs="Calibri"/>
          <w:szCs w:val="26"/>
        </w:rPr>
        <w:t>any</w:t>
      </w:r>
      <w:r w:rsidR="00852DCF" w:rsidRPr="00672545">
        <w:rPr>
          <w:rFonts w:cs="Calibri"/>
          <w:szCs w:val="26"/>
        </w:rPr>
        <w:t xml:space="preserve"> weak evidence supporting the other crime.</w:t>
      </w:r>
      <w:r w:rsidR="007416DB" w:rsidRPr="00672545">
        <w:rPr>
          <w:rFonts w:cs="Calibri"/>
          <w:szCs w:val="26"/>
        </w:rPr>
        <w:t xml:space="preserve">  In fact, </w:t>
      </w:r>
      <w:r w:rsidR="003541F8" w:rsidRPr="00672545">
        <w:rPr>
          <w:rFonts w:cs="Calibri"/>
          <w:szCs w:val="26"/>
        </w:rPr>
        <w:t>defendant concedes</w:t>
      </w:r>
      <w:r w:rsidR="00920E66" w:rsidRPr="00672545">
        <w:rPr>
          <w:rFonts w:cs="Calibri"/>
          <w:szCs w:val="26"/>
        </w:rPr>
        <w:t>,</w:t>
      </w:r>
      <w:r w:rsidR="00027E56" w:rsidRPr="00672545">
        <w:rPr>
          <w:rFonts w:cs="Calibri"/>
          <w:szCs w:val="26"/>
        </w:rPr>
        <w:t xml:space="preserve"> </w:t>
      </w:r>
      <w:r w:rsidR="00EB21CD" w:rsidRPr="00672545">
        <w:rPr>
          <w:rFonts w:cs="Calibri"/>
          <w:szCs w:val="26"/>
        </w:rPr>
        <w:t xml:space="preserve">relevant to both the second and third factors, </w:t>
      </w:r>
      <w:r w:rsidR="00920E66" w:rsidRPr="00672545">
        <w:rPr>
          <w:rFonts w:cs="Calibri"/>
          <w:szCs w:val="26"/>
        </w:rPr>
        <w:t>this</w:t>
      </w:r>
      <w:r w:rsidR="00027E56" w:rsidRPr="00672545">
        <w:rPr>
          <w:rFonts w:cs="Calibri"/>
          <w:szCs w:val="26"/>
        </w:rPr>
        <w:t xml:space="preserve"> </w:t>
      </w:r>
      <w:r w:rsidR="00EB21CD" w:rsidRPr="00672545">
        <w:rPr>
          <w:rFonts w:cs="Calibri"/>
          <w:szCs w:val="26"/>
        </w:rPr>
        <w:t xml:space="preserve">was not </w:t>
      </w:r>
      <w:r w:rsidR="00D37510">
        <w:rPr>
          <w:rFonts w:cs="Calibri"/>
          <w:szCs w:val="26"/>
        </w:rPr>
        <w:t xml:space="preserve">a situation </w:t>
      </w:r>
      <w:r w:rsidR="00027E56" w:rsidRPr="00672545">
        <w:rPr>
          <w:rFonts w:cs="Calibri"/>
          <w:szCs w:val="26"/>
        </w:rPr>
        <w:t xml:space="preserve">where </w:t>
      </w:r>
      <w:r w:rsidR="00D37510">
        <w:rPr>
          <w:rFonts w:cs="Calibri"/>
          <w:szCs w:val="26"/>
        </w:rPr>
        <w:t>“</w:t>
      </w:r>
      <w:r w:rsidR="00027E56" w:rsidRPr="00672545">
        <w:rPr>
          <w:rFonts w:cs="Calibri"/>
          <w:szCs w:val="26"/>
        </w:rPr>
        <w:t>a weak case [was] joined with a stronger case</w:t>
      </w:r>
      <w:r w:rsidR="00D41B34" w:rsidRPr="00672545">
        <w:rPr>
          <w:rFonts w:cs="Calibri"/>
          <w:szCs w:val="26"/>
        </w:rPr>
        <w:t>” creating a “</w:t>
      </w:r>
      <w:r w:rsidR="00027E56" w:rsidRPr="00672545">
        <w:rPr>
          <w:rFonts w:cs="Calibri"/>
          <w:szCs w:val="26"/>
        </w:rPr>
        <w:t xml:space="preserve">spillover effect of aggregate evidence </w:t>
      </w:r>
      <w:r w:rsidR="00EB21CD" w:rsidRPr="00672545">
        <w:rPr>
          <w:rFonts w:cs="Calibri"/>
          <w:szCs w:val="26"/>
        </w:rPr>
        <w:t xml:space="preserve">[that] </w:t>
      </w:r>
      <w:r w:rsidR="00027E56" w:rsidRPr="00672545">
        <w:rPr>
          <w:rFonts w:cs="Calibri"/>
          <w:szCs w:val="26"/>
        </w:rPr>
        <w:t>might alter the outcome of some or all of the charges</w:t>
      </w:r>
      <w:r w:rsidR="00D41B34" w:rsidRPr="00672545">
        <w:rPr>
          <w:rFonts w:cs="Calibri"/>
          <w:szCs w:val="26"/>
        </w:rPr>
        <w:t>.”  (</w:t>
      </w:r>
      <w:r w:rsidR="00EB21CD" w:rsidRPr="00672545">
        <w:rPr>
          <w:rFonts w:cs="Calibri"/>
          <w:i/>
          <w:iCs/>
          <w:szCs w:val="26"/>
        </w:rPr>
        <w:t>O</w:t>
      </w:r>
      <w:r w:rsidR="00452798" w:rsidRPr="00672545">
        <w:rPr>
          <w:rFonts w:cs="Calibri"/>
          <w:i/>
          <w:iCs/>
          <w:szCs w:val="26"/>
        </w:rPr>
        <w:t>’</w:t>
      </w:r>
      <w:r w:rsidR="00EB21CD" w:rsidRPr="00672545">
        <w:rPr>
          <w:rFonts w:cs="Calibri"/>
          <w:i/>
          <w:iCs/>
          <w:szCs w:val="26"/>
        </w:rPr>
        <w:t>Malley, supra</w:t>
      </w:r>
      <w:r w:rsidR="00EB21CD" w:rsidRPr="00672545">
        <w:rPr>
          <w:rFonts w:cs="Calibri"/>
          <w:iCs/>
          <w:szCs w:val="26"/>
        </w:rPr>
        <w:t>, 62</w:t>
      </w:r>
      <w:r w:rsidR="00EB21CD" w:rsidRPr="00672545">
        <w:rPr>
          <w:rFonts w:cs="Calibri"/>
          <w:szCs w:val="26"/>
        </w:rPr>
        <w:t xml:space="preserve"> Cal.4th at p. 968</w:t>
      </w:r>
      <w:r w:rsidR="00D41B34" w:rsidRPr="00672545">
        <w:rPr>
          <w:rFonts w:cs="Calibri"/>
          <w:i/>
          <w:szCs w:val="26"/>
        </w:rPr>
        <w:t>.</w:t>
      </w:r>
      <w:r w:rsidR="00D41B34" w:rsidRPr="00672545">
        <w:rPr>
          <w:rFonts w:cs="Calibri"/>
          <w:szCs w:val="26"/>
        </w:rPr>
        <w:t xml:space="preserve">)  </w:t>
      </w:r>
      <w:r w:rsidR="00EB21CD" w:rsidRPr="00672545">
        <w:rPr>
          <w:rFonts w:cs="Calibri"/>
          <w:szCs w:val="26"/>
        </w:rPr>
        <w:t xml:space="preserve">Finally, </w:t>
      </w:r>
      <w:r w:rsidR="00D41B34" w:rsidRPr="00672545">
        <w:rPr>
          <w:rFonts w:cs="Calibri"/>
          <w:szCs w:val="26"/>
        </w:rPr>
        <w:t>the joinder of the child pornography charge did not convert defendant’s case into a capital one.  (</w:t>
      </w:r>
      <w:r w:rsidR="00D41B34" w:rsidRPr="00672545">
        <w:rPr>
          <w:rFonts w:cs="Calibri"/>
          <w:i/>
          <w:szCs w:val="26"/>
        </w:rPr>
        <w:t>Ibid.</w:t>
      </w:r>
      <w:r w:rsidR="00D41B34" w:rsidRPr="00672545">
        <w:rPr>
          <w:rFonts w:cs="Calibri"/>
          <w:szCs w:val="26"/>
        </w:rPr>
        <w:t xml:space="preserve">)  </w:t>
      </w:r>
    </w:p>
    <w:p w14:paraId="650F5946" w14:textId="77777777" w:rsidR="007B43C7" w:rsidRPr="00672545" w:rsidRDefault="008B38AC" w:rsidP="00672545">
      <w:pPr>
        <w:pStyle w:val="Heading3"/>
      </w:pPr>
      <w:bookmarkStart w:id="21" w:name="_Toc506979812"/>
      <w:r w:rsidRPr="00672545">
        <w:t xml:space="preserve">6.  The Trial Court’s Admission of Additional Pornography Evidence  </w:t>
      </w:r>
      <w:bookmarkEnd w:id="21"/>
    </w:p>
    <w:p w14:paraId="18E0CDC4" w14:textId="77777777" w:rsidR="00D41B34" w:rsidRPr="00672545" w:rsidRDefault="008B38AC" w:rsidP="00672545">
      <w:pPr>
        <w:rPr>
          <w:rFonts w:cs="Calibri"/>
          <w:szCs w:val="26"/>
        </w:rPr>
      </w:pPr>
      <w:r w:rsidRPr="00672545">
        <w:rPr>
          <w:rFonts w:cs="Calibri"/>
          <w:szCs w:val="26"/>
        </w:rPr>
        <w:tab/>
      </w:r>
      <w:r w:rsidR="002B3CF9" w:rsidRPr="00672545">
        <w:rPr>
          <w:rFonts w:cs="Calibri"/>
          <w:szCs w:val="26"/>
        </w:rPr>
        <w:t>At trial, t</w:t>
      </w:r>
      <w:r w:rsidR="00C43C8A" w:rsidRPr="00672545">
        <w:rPr>
          <w:rFonts w:cs="Calibri"/>
          <w:szCs w:val="26"/>
        </w:rPr>
        <w:t>he prosecution presented</w:t>
      </w:r>
      <w:r w:rsidR="003B2BE0" w:rsidRPr="00672545">
        <w:rPr>
          <w:rFonts w:cs="Calibri"/>
          <w:szCs w:val="26"/>
        </w:rPr>
        <w:t>, through the testimony of its computer forensic examiner, James Watkins, Jr.,</w:t>
      </w:r>
      <w:r w:rsidR="00C43C8A" w:rsidRPr="00672545">
        <w:rPr>
          <w:rFonts w:cs="Calibri"/>
          <w:szCs w:val="26"/>
        </w:rPr>
        <w:t xml:space="preserve"> a </w:t>
      </w:r>
      <w:r w:rsidR="002B3CF9" w:rsidRPr="00672545">
        <w:rPr>
          <w:rFonts w:cs="Calibri"/>
          <w:szCs w:val="26"/>
        </w:rPr>
        <w:t>limited</w:t>
      </w:r>
      <w:r w:rsidR="00C43C8A" w:rsidRPr="00672545">
        <w:rPr>
          <w:rFonts w:cs="Calibri"/>
          <w:szCs w:val="26"/>
        </w:rPr>
        <w:t xml:space="preserve"> subset of the </w:t>
      </w:r>
      <w:r w:rsidR="0042662A" w:rsidRPr="00672545">
        <w:rPr>
          <w:rFonts w:cs="Calibri"/>
          <w:szCs w:val="26"/>
        </w:rPr>
        <w:t xml:space="preserve">still images and video </w:t>
      </w:r>
      <w:r w:rsidR="00C43C8A" w:rsidRPr="00672545">
        <w:rPr>
          <w:rFonts w:cs="Calibri"/>
          <w:szCs w:val="26"/>
        </w:rPr>
        <w:t xml:space="preserve">child pornography found </w:t>
      </w:r>
      <w:r w:rsidR="0042662A" w:rsidRPr="00672545">
        <w:rPr>
          <w:rFonts w:cs="Calibri"/>
          <w:szCs w:val="26"/>
        </w:rPr>
        <w:t xml:space="preserve">recorded </w:t>
      </w:r>
      <w:r w:rsidR="00C43C8A" w:rsidRPr="00672545">
        <w:rPr>
          <w:rFonts w:cs="Calibri"/>
          <w:szCs w:val="26"/>
        </w:rPr>
        <w:t>on</w:t>
      </w:r>
      <w:r w:rsidR="00E13F2A" w:rsidRPr="00672545">
        <w:rPr>
          <w:rFonts w:cs="Calibri"/>
          <w:szCs w:val="26"/>
        </w:rPr>
        <w:t xml:space="preserve"> </w:t>
      </w:r>
      <w:r w:rsidR="0008587E" w:rsidRPr="00672545">
        <w:rPr>
          <w:rFonts w:cs="Calibri"/>
          <w:szCs w:val="26"/>
        </w:rPr>
        <w:t>CD-ROM</w:t>
      </w:r>
      <w:r w:rsidR="00D37510">
        <w:rPr>
          <w:rFonts w:cs="Calibri"/>
          <w:szCs w:val="26"/>
        </w:rPr>
        <w:t>’</w:t>
      </w:r>
      <w:r w:rsidR="00C43C8A" w:rsidRPr="00672545">
        <w:rPr>
          <w:rFonts w:cs="Calibri"/>
          <w:szCs w:val="26"/>
        </w:rPr>
        <w:t>s</w:t>
      </w:r>
      <w:r w:rsidR="0042662A" w:rsidRPr="00672545">
        <w:rPr>
          <w:rFonts w:cs="Calibri"/>
          <w:szCs w:val="26"/>
        </w:rPr>
        <w:t xml:space="preserve"> and</w:t>
      </w:r>
      <w:r w:rsidR="00E13F2A" w:rsidRPr="00672545">
        <w:rPr>
          <w:rFonts w:cs="Calibri"/>
          <w:szCs w:val="26"/>
        </w:rPr>
        <w:t xml:space="preserve"> zip dis</w:t>
      </w:r>
      <w:r w:rsidR="0008587E" w:rsidRPr="00672545">
        <w:rPr>
          <w:rFonts w:cs="Calibri"/>
          <w:szCs w:val="26"/>
        </w:rPr>
        <w:t>k</w:t>
      </w:r>
      <w:r w:rsidR="00E13F2A" w:rsidRPr="00672545">
        <w:rPr>
          <w:rFonts w:cs="Calibri"/>
          <w:szCs w:val="26"/>
        </w:rPr>
        <w:t>s located in defendant’s home office</w:t>
      </w:r>
      <w:r w:rsidR="003B2BE0" w:rsidRPr="00672545">
        <w:rPr>
          <w:rFonts w:cs="Calibri"/>
          <w:szCs w:val="26"/>
        </w:rPr>
        <w:t>.</w:t>
      </w:r>
      <w:r w:rsidR="00F81CD5" w:rsidRPr="00672545">
        <w:rPr>
          <w:rFonts w:cs="Calibri"/>
          <w:szCs w:val="26"/>
        </w:rPr>
        <w:t xml:space="preserve">  </w:t>
      </w:r>
      <w:r w:rsidR="000C6D4E" w:rsidRPr="00672545">
        <w:rPr>
          <w:rFonts w:cs="Calibri"/>
          <w:szCs w:val="26"/>
        </w:rPr>
        <w:t xml:space="preserve">The trial court </w:t>
      </w:r>
      <w:r w:rsidR="004F1EA8" w:rsidRPr="00672545">
        <w:rPr>
          <w:rFonts w:cs="Calibri"/>
          <w:szCs w:val="26"/>
        </w:rPr>
        <w:t xml:space="preserve">subsequently </w:t>
      </w:r>
      <w:r w:rsidR="000C6D4E" w:rsidRPr="00672545">
        <w:rPr>
          <w:rFonts w:cs="Calibri"/>
          <w:szCs w:val="26"/>
        </w:rPr>
        <w:t xml:space="preserve">ruled, however, that </w:t>
      </w:r>
      <w:r w:rsidR="002B3CF9" w:rsidRPr="00672545">
        <w:rPr>
          <w:rFonts w:cs="Calibri"/>
          <w:szCs w:val="26"/>
        </w:rPr>
        <w:t xml:space="preserve">by its </w:t>
      </w:r>
      <w:r w:rsidR="004F1EA8" w:rsidRPr="00672545">
        <w:rPr>
          <w:rFonts w:cs="Calibri"/>
          <w:szCs w:val="26"/>
        </w:rPr>
        <w:t>c</w:t>
      </w:r>
      <w:r w:rsidR="002B3CF9" w:rsidRPr="00672545">
        <w:rPr>
          <w:rFonts w:cs="Calibri"/>
          <w:szCs w:val="26"/>
        </w:rPr>
        <w:t xml:space="preserve">ross-examination of Watkins, </w:t>
      </w:r>
      <w:r w:rsidR="000C6D4E" w:rsidRPr="00672545">
        <w:rPr>
          <w:rFonts w:cs="Calibri"/>
          <w:szCs w:val="26"/>
        </w:rPr>
        <w:t xml:space="preserve">the defense opened the door to the admission of </w:t>
      </w:r>
      <w:r w:rsidR="000B2013" w:rsidRPr="00672545">
        <w:rPr>
          <w:rFonts w:cs="Calibri"/>
          <w:szCs w:val="26"/>
        </w:rPr>
        <w:t xml:space="preserve">almost </w:t>
      </w:r>
      <w:proofErr w:type="gramStart"/>
      <w:r w:rsidR="000B2013" w:rsidRPr="00672545">
        <w:rPr>
          <w:rFonts w:cs="Calibri"/>
          <w:szCs w:val="26"/>
        </w:rPr>
        <w:t>all of</w:t>
      </w:r>
      <w:proofErr w:type="gramEnd"/>
      <w:r w:rsidR="000B2013" w:rsidRPr="00672545">
        <w:rPr>
          <w:rFonts w:cs="Calibri"/>
          <w:szCs w:val="26"/>
        </w:rPr>
        <w:t xml:space="preserve"> the </w:t>
      </w:r>
      <w:r w:rsidR="000C6D4E" w:rsidRPr="00672545">
        <w:rPr>
          <w:rFonts w:cs="Calibri"/>
          <w:szCs w:val="26"/>
        </w:rPr>
        <w:t>rest of defendant’s collection of pornography</w:t>
      </w:r>
      <w:r w:rsidR="002B3CF9" w:rsidRPr="00672545">
        <w:rPr>
          <w:rFonts w:cs="Calibri"/>
          <w:szCs w:val="26"/>
        </w:rPr>
        <w:t>.</w:t>
      </w:r>
      <w:r w:rsidR="000C6D4E" w:rsidRPr="00672545">
        <w:rPr>
          <w:rFonts w:cs="Calibri"/>
          <w:szCs w:val="26"/>
        </w:rPr>
        <w:t xml:space="preserve">  </w:t>
      </w:r>
    </w:p>
    <w:p w14:paraId="03428AEF" w14:textId="77777777" w:rsidR="000C6D4E" w:rsidRPr="00672545" w:rsidRDefault="000C6D4E" w:rsidP="00672545">
      <w:pPr>
        <w:rPr>
          <w:rFonts w:cs="Calibri"/>
          <w:szCs w:val="26"/>
        </w:rPr>
      </w:pPr>
      <w:r w:rsidRPr="00672545">
        <w:rPr>
          <w:rFonts w:cs="Calibri"/>
          <w:szCs w:val="26"/>
        </w:rPr>
        <w:tab/>
        <w:t>Defendant claims that he did not “open the door”</w:t>
      </w:r>
      <w:r w:rsidR="00D74E8E" w:rsidRPr="00672545">
        <w:rPr>
          <w:rFonts w:cs="Calibri"/>
          <w:szCs w:val="26"/>
        </w:rPr>
        <w:t xml:space="preserve"> and if the cross-examination was in some way misleading, the appropriate remedy was corrective redirect examination by the prosecution, not the admission of additional pornography.  </w:t>
      </w:r>
      <w:r w:rsidR="00CB467B" w:rsidRPr="00672545">
        <w:rPr>
          <w:rFonts w:cs="Calibri"/>
          <w:szCs w:val="26"/>
        </w:rPr>
        <w:t xml:space="preserve">Defendant contends the trial court abused its discretion under Evidence Code section 352 by allowing Watkins to describe and the jury to </w:t>
      </w:r>
      <w:r w:rsidR="00956669" w:rsidRPr="00672545">
        <w:rPr>
          <w:rFonts w:cs="Calibri"/>
          <w:szCs w:val="26"/>
        </w:rPr>
        <w:t>view</w:t>
      </w:r>
      <w:r w:rsidR="00CB467B" w:rsidRPr="00672545">
        <w:rPr>
          <w:rFonts w:cs="Calibri"/>
          <w:szCs w:val="26"/>
        </w:rPr>
        <w:t xml:space="preserve"> the additional pornography.  </w:t>
      </w:r>
      <w:r w:rsidR="00D74E8E" w:rsidRPr="00672545">
        <w:rPr>
          <w:rFonts w:cs="Calibri"/>
          <w:szCs w:val="26"/>
        </w:rPr>
        <w:t xml:space="preserve">Defendant </w:t>
      </w:r>
      <w:r w:rsidR="009528ED" w:rsidRPr="00672545">
        <w:rPr>
          <w:rFonts w:cs="Calibri"/>
          <w:szCs w:val="26"/>
        </w:rPr>
        <w:t xml:space="preserve">further </w:t>
      </w:r>
      <w:r w:rsidR="00CB467B" w:rsidRPr="00672545">
        <w:rPr>
          <w:rFonts w:cs="Calibri"/>
          <w:szCs w:val="26"/>
        </w:rPr>
        <w:t>asserts that</w:t>
      </w:r>
      <w:r w:rsidR="00D74E8E" w:rsidRPr="00672545">
        <w:rPr>
          <w:rFonts w:cs="Calibri"/>
          <w:szCs w:val="26"/>
        </w:rPr>
        <w:t xml:space="preserve"> </w:t>
      </w:r>
      <w:r w:rsidR="005B06C2" w:rsidRPr="00672545">
        <w:rPr>
          <w:rFonts w:cs="Calibri"/>
          <w:szCs w:val="26"/>
        </w:rPr>
        <w:t xml:space="preserve">admission of </w:t>
      </w:r>
      <w:r w:rsidR="00C6719B" w:rsidRPr="00672545">
        <w:rPr>
          <w:rFonts w:cs="Calibri"/>
          <w:szCs w:val="26"/>
        </w:rPr>
        <w:t>the additional evidence</w:t>
      </w:r>
      <w:r w:rsidR="00CB467B" w:rsidRPr="00672545">
        <w:rPr>
          <w:rFonts w:cs="Calibri"/>
          <w:szCs w:val="26"/>
        </w:rPr>
        <w:t xml:space="preserve"> </w:t>
      </w:r>
      <w:r w:rsidR="00D74E8E" w:rsidRPr="00672545">
        <w:rPr>
          <w:rFonts w:cs="Calibri"/>
          <w:szCs w:val="26"/>
        </w:rPr>
        <w:t>re</w:t>
      </w:r>
      <w:r w:rsidR="005B06C2" w:rsidRPr="00672545">
        <w:rPr>
          <w:rFonts w:cs="Calibri"/>
          <w:szCs w:val="26"/>
        </w:rPr>
        <w:t>vealed the</w:t>
      </w:r>
      <w:r w:rsidR="00D74E8E" w:rsidRPr="00672545">
        <w:rPr>
          <w:rFonts w:cs="Calibri"/>
          <w:szCs w:val="26"/>
        </w:rPr>
        <w:t xml:space="preserve"> gross</w:t>
      </w:r>
      <w:r w:rsidR="005B06C2" w:rsidRPr="00672545">
        <w:rPr>
          <w:rFonts w:cs="Calibri"/>
          <w:szCs w:val="26"/>
        </w:rPr>
        <w:t xml:space="preserve"> </w:t>
      </w:r>
      <w:r w:rsidR="00D74E8E" w:rsidRPr="00672545">
        <w:rPr>
          <w:rFonts w:cs="Calibri"/>
          <w:szCs w:val="26"/>
        </w:rPr>
        <w:t>unfair</w:t>
      </w:r>
      <w:r w:rsidR="005B06C2" w:rsidRPr="00672545">
        <w:rPr>
          <w:rFonts w:cs="Calibri"/>
          <w:szCs w:val="26"/>
        </w:rPr>
        <w:t>ness of the joinder of counts</w:t>
      </w:r>
      <w:r w:rsidR="00D74E8E" w:rsidRPr="00672545">
        <w:rPr>
          <w:rFonts w:cs="Calibri"/>
          <w:szCs w:val="26"/>
        </w:rPr>
        <w:t xml:space="preserve">.  </w:t>
      </w:r>
      <w:r w:rsidR="00715398" w:rsidRPr="00672545">
        <w:rPr>
          <w:rFonts w:cs="Calibri"/>
          <w:szCs w:val="26"/>
        </w:rPr>
        <w:t xml:space="preserve">Defendant argues the trial </w:t>
      </w:r>
      <w:r w:rsidR="00715398" w:rsidRPr="00672545">
        <w:rPr>
          <w:rFonts w:cs="Calibri"/>
          <w:szCs w:val="26"/>
        </w:rPr>
        <w:lastRenderedPageBreak/>
        <w:t xml:space="preserve">court’s rulings undermined the fundamental integrity of the trial and amounted to a violation of due process.  </w:t>
      </w:r>
      <w:r w:rsidR="00D74E8E" w:rsidRPr="00672545">
        <w:rPr>
          <w:rFonts w:cs="Calibri"/>
          <w:szCs w:val="26"/>
        </w:rPr>
        <w:t xml:space="preserve">We </w:t>
      </w:r>
      <w:r w:rsidR="00CB467B" w:rsidRPr="00672545">
        <w:rPr>
          <w:rFonts w:cs="Calibri"/>
          <w:szCs w:val="26"/>
        </w:rPr>
        <w:t>find no error.</w:t>
      </w:r>
      <w:r w:rsidR="00D74E8E" w:rsidRPr="00672545">
        <w:rPr>
          <w:rFonts w:cs="Calibri"/>
          <w:szCs w:val="26"/>
        </w:rPr>
        <w:t xml:space="preserve"> </w:t>
      </w:r>
      <w:r w:rsidRPr="00672545">
        <w:rPr>
          <w:rFonts w:cs="Calibri"/>
          <w:szCs w:val="26"/>
        </w:rPr>
        <w:t xml:space="preserve"> </w:t>
      </w:r>
    </w:p>
    <w:p w14:paraId="2AD8A52D" w14:textId="77777777" w:rsidR="008B38AC" w:rsidRPr="00672545" w:rsidRDefault="006C4947" w:rsidP="00672545">
      <w:pPr>
        <w:pStyle w:val="Heading4"/>
      </w:pPr>
      <w:r w:rsidRPr="00672545">
        <w:t>a.  Background</w:t>
      </w:r>
    </w:p>
    <w:p w14:paraId="54458B96" w14:textId="77777777" w:rsidR="00FE2DC9" w:rsidRPr="00672545" w:rsidRDefault="00950538" w:rsidP="00672545">
      <w:r w:rsidRPr="00672545">
        <w:tab/>
        <w:t xml:space="preserve">As previously recounted, </w:t>
      </w:r>
      <w:r w:rsidR="0080107A" w:rsidRPr="00672545">
        <w:t xml:space="preserve">a </w:t>
      </w:r>
      <w:r w:rsidRPr="00672545">
        <w:t>pretrial hearing w</w:t>
      </w:r>
      <w:r w:rsidR="0080107A" w:rsidRPr="00672545">
        <w:t>as</w:t>
      </w:r>
      <w:r w:rsidRPr="00672545">
        <w:t xml:space="preserve"> held </w:t>
      </w:r>
      <w:r w:rsidR="00B70CDB" w:rsidRPr="00672545">
        <w:t>regarding</w:t>
      </w:r>
      <w:r w:rsidR="0061008B" w:rsidRPr="00672545">
        <w:t xml:space="preserve"> defendant’s motion </w:t>
      </w:r>
      <w:r w:rsidR="00DB0F79" w:rsidRPr="00672545">
        <w:t xml:space="preserve">to sever the child pornography charge and related motion </w:t>
      </w:r>
      <w:r w:rsidR="0061008B" w:rsidRPr="00672545">
        <w:t xml:space="preserve">in </w:t>
      </w:r>
      <w:proofErr w:type="spellStart"/>
      <w:r w:rsidR="0061008B" w:rsidRPr="00672545">
        <w:t>limine</w:t>
      </w:r>
      <w:proofErr w:type="spellEnd"/>
      <w:r w:rsidR="0061008B" w:rsidRPr="00672545">
        <w:t xml:space="preserve"> </w:t>
      </w:r>
      <w:r w:rsidRPr="00672545">
        <w:t xml:space="preserve">to </w:t>
      </w:r>
      <w:r w:rsidR="00F536A3" w:rsidRPr="00672545">
        <w:t>exclude</w:t>
      </w:r>
      <w:r w:rsidRPr="00672545">
        <w:t xml:space="preserve"> </w:t>
      </w:r>
      <w:r w:rsidR="00BC41B0" w:rsidRPr="00672545">
        <w:t xml:space="preserve">the </w:t>
      </w:r>
      <w:r w:rsidR="00A408B7" w:rsidRPr="00672545">
        <w:t xml:space="preserve">child </w:t>
      </w:r>
      <w:r w:rsidRPr="00672545">
        <w:t>pornograph</w:t>
      </w:r>
      <w:r w:rsidR="00A408B7" w:rsidRPr="00672545">
        <w:t>y</w:t>
      </w:r>
      <w:r w:rsidRPr="00672545">
        <w:t xml:space="preserve"> found on defendant’s compu</w:t>
      </w:r>
      <w:r w:rsidR="00DB0F79" w:rsidRPr="00672545">
        <w:t>ters and related storage medium</w:t>
      </w:r>
      <w:r w:rsidR="00AE1B58" w:rsidRPr="00672545">
        <w:t>s</w:t>
      </w:r>
      <w:r w:rsidRPr="00672545">
        <w:t xml:space="preserve">.  </w:t>
      </w:r>
      <w:r w:rsidR="00B80DA1" w:rsidRPr="00672545">
        <w:t>At the hearing, t</w:t>
      </w:r>
      <w:r w:rsidRPr="00672545">
        <w:t xml:space="preserve">he prosecution </w:t>
      </w:r>
      <w:r w:rsidR="00551369" w:rsidRPr="00672545">
        <w:t>proffered</w:t>
      </w:r>
      <w:r w:rsidR="00E36AAB" w:rsidRPr="00672545">
        <w:t xml:space="preserve"> </w:t>
      </w:r>
      <w:r w:rsidR="00B4104A" w:rsidRPr="00672545">
        <w:t xml:space="preserve">a </w:t>
      </w:r>
      <w:r w:rsidR="00DA7A2D" w:rsidRPr="00672545">
        <w:t xml:space="preserve">limited </w:t>
      </w:r>
      <w:r w:rsidR="00B4104A" w:rsidRPr="00672545">
        <w:t xml:space="preserve">number of </w:t>
      </w:r>
      <w:r w:rsidR="00551369" w:rsidRPr="00672545">
        <w:t xml:space="preserve">images and video it intended to introduce, </w:t>
      </w:r>
      <w:r w:rsidR="00DB0F79" w:rsidRPr="00672545">
        <w:t xml:space="preserve">both as evidence of defendant’s possession of child pornography and </w:t>
      </w:r>
      <w:r w:rsidR="00E36AAB" w:rsidRPr="00672545">
        <w:t xml:space="preserve">of </w:t>
      </w:r>
      <w:r w:rsidR="00DB0F79" w:rsidRPr="00672545">
        <w:t>his intent and motive in kidnapping and murdering Danielle.  T</w:t>
      </w:r>
      <w:r w:rsidR="00551369" w:rsidRPr="00672545">
        <w:t>he trial court further narrowed</w:t>
      </w:r>
      <w:r w:rsidR="0081775E" w:rsidRPr="00672545">
        <w:t xml:space="preserve"> the images that it would allow</w:t>
      </w:r>
      <w:r w:rsidR="00FC3E5F" w:rsidRPr="00672545">
        <w:t>, exercising its discretion under</w:t>
      </w:r>
      <w:r w:rsidR="004B3A30" w:rsidRPr="00672545">
        <w:t xml:space="preserve"> Evidence Code section 352</w:t>
      </w:r>
      <w:r w:rsidR="00FC3E5F" w:rsidRPr="00672545">
        <w:t>.  In so doing, t</w:t>
      </w:r>
      <w:r w:rsidR="004B3A30" w:rsidRPr="00672545">
        <w:t xml:space="preserve">he court </w:t>
      </w:r>
      <w:r w:rsidR="00A408B7" w:rsidRPr="00672545">
        <w:t>indicated</w:t>
      </w:r>
      <w:r w:rsidR="004B3A30" w:rsidRPr="00672545">
        <w:t xml:space="preserve">, </w:t>
      </w:r>
      <w:r w:rsidR="00A30374" w:rsidRPr="00672545">
        <w:t>among other things</w:t>
      </w:r>
      <w:r w:rsidR="004B3A30" w:rsidRPr="00672545">
        <w:t xml:space="preserve">, </w:t>
      </w:r>
      <w:r w:rsidR="00A408B7" w:rsidRPr="00672545">
        <w:t xml:space="preserve">its belief </w:t>
      </w:r>
      <w:r w:rsidR="004B3A30" w:rsidRPr="00672545">
        <w:t xml:space="preserve">that the defense could adequately respond </w:t>
      </w:r>
      <w:r w:rsidR="00B4104A" w:rsidRPr="00672545">
        <w:t xml:space="preserve">to the </w:t>
      </w:r>
      <w:r w:rsidR="00A408B7" w:rsidRPr="00672545">
        <w:t xml:space="preserve">prosecution’s introduction of the child </w:t>
      </w:r>
      <w:r w:rsidR="00B4104A" w:rsidRPr="00672545">
        <w:t xml:space="preserve">pornography </w:t>
      </w:r>
      <w:r w:rsidR="004B3A30" w:rsidRPr="00672545">
        <w:t xml:space="preserve">by establishing that the percentage of images depicting young girls was small when considered </w:t>
      </w:r>
      <w:proofErr w:type="gramStart"/>
      <w:r w:rsidR="004B3A30" w:rsidRPr="00672545">
        <w:t>in light of</w:t>
      </w:r>
      <w:proofErr w:type="gramEnd"/>
      <w:r w:rsidR="004B3A30" w:rsidRPr="00672545">
        <w:t xml:space="preserve"> the total number of pornographic images possessed.</w:t>
      </w:r>
      <w:r w:rsidR="00F81CD5" w:rsidRPr="00672545">
        <w:t xml:space="preserve">  </w:t>
      </w:r>
      <w:r w:rsidR="00FE2DC9" w:rsidRPr="00672545">
        <w:t xml:space="preserve">The court </w:t>
      </w:r>
      <w:r w:rsidR="0079302D" w:rsidRPr="00672545">
        <w:t xml:space="preserve">also </w:t>
      </w:r>
      <w:r w:rsidR="00FE2DC9" w:rsidRPr="00672545">
        <w:t>observed that the images the prosecution had elected to show were not as inflammatory as some of the</w:t>
      </w:r>
      <w:r w:rsidR="005C19D0" w:rsidRPr="00672545">
        <w:t xml:space="preserve"> </w:t>
      </w:r>
      <w:r w:rsidR="00FE2DC9" w:rsidRPr="00672545">
        <w:t xml:space="preserve">photographs that </w:t>
      </w:r>
      <w:r w:rsidR="00B70CDB" w:rsidRPr="00672545">
        <w:t>it</w:t>
      </w:r>
      <w:r w:rsidR="00FE2DC9" w:rsidRPr="00672545">
        <w:t xml:space="preserve"> could have chosen to use.</w:t>
      </w:r>
      <w:r w:rsidR="00F81CD5" w:rsidRPr="00672545">
        <w:t xml:space="preserve">  </w:t>
      </w:r>
    </w:p>
    <w:p w14:paraId="0B08DAFA" w14:textId="77777777" w:rsidR="0008587E" w:rsidRPr="00672545" w:rsidRDefault="0008587E" w:rsidP="00672545">
      <w:r w:rsidRPr="00672545">
        <w:tab/>
        <w:t xml:space="preserve">During its case-in-chief, the prosecution called forensic examiner Watkins to testify about the “questionable” digital images — images that in his view were pornographic depictions of children under the age of 18 — </w:t>
      </w:r>
      <w:r w:rsidR="00E52A30" w:rsidRPr="00672545">
        <w:t xml:space="preserve">that he </w:t>
      </w:r>
      <w:r w:rsidRPr="00672545">
        <w:t>found on two CD-ROM</w:t>
      </w:r>
      <w:r w:rsidR="00D37510">
        <w:t>’</w:t>
      </w:r>
      <w:r w:rsidRPr="00672545">
        <w:t xml:space="preserve">s and three zip disks </w:t>
      </w:r>
      <w:r w:rsidR="00A30374" w:rsidRPr="00672545">
        <w:t xml:space="preserve">located </w:t>
      </w:r>
      <w:r w:rsidRPr="00672545">
        <w:t xml:space="preserve">in defendant’s home office.  The prosecution showed the jury </w:t>
      </w:r>
      <w:r w:rsidR="00B70CDB" w:rsidRPr="00672545">
        <w:t>fewer</w:t>
      </w:r>
      <w:r w:rsidRPr="00672545">
        <w:t xml:space="preserve"> than 20 still images, including anime images, </w:t>
      </w:r>
      <w:r w:rsidR="00A30374" w:rsidRPr="00672545">
        <w:t xml:space="preserve">plus </w:t>
      </w:r>
      <w:r w:rsidRPr="00672545">
        <w:t>three movie segments.</w:t>
      </w:r>
      <w:r w:rsidR="00F81CD5" w:rsidRPr="00672545">
        <w:t xml:space="preserve">  </w:t>
      </w:r>
    </w:p>
    <w:p w14:paraId="6DC5685B" w14:textId="77777777" w:rsidR="00685371" w:rsidRPr="00672545" w:rsidRDefault="00685371" w:rsidP="00672545">
      <w:r w:rsidRPr="00672545">
        <w:lastRenderedPageBreak/>
        <w:tab/>
        <w:t xml:space="preserve">On cross-examination, defense counsel elicited that on the four computers </w:t>
      </w:r>
      <w:r w:rsidR="0007246C" w:rsidRPr="00672545">
        <w:t xml:space="preserve">and related storage files </w:t>
      </w:r>
      <w:r w:rsidRPr="00672545">
        <w:t xml:space="preserve">located in defendant’s home, there were approximately 100,000 </w:t>
      </w:r>
      <w:r w:rsidR="0099017B" w:rsidRPr="00672545">
        <w:t xml:space="preserve">graphic or </w:t>
      </w:r>
      <w:r w:rsidRPr="00672545">
        <w:t>digital image files.  Out of this total, there were between 8,000 and 10,000 depicting nudes, including adults.</w:t>
      </w:r>
      <w:r w:rsidR="00F81CD5" w:rsidRPr="00672545">
        <w:t xml:space="preserve">  </w:t>
      </w:r>
      <w:r w:rsidR="00413567" w:rsidRPr="00672545">
        <w:t xml:space="preserve">Counsel then asked Watkins to confirm that the “17 stills” the jury saw were included in the </w:t>
      </w:r>
      <w:r w:rsidR="00D37510">
        <w:t>8</w:t>
      </w:r>
      <w:r w:rsidR="00413567" w:rsidRPr="00672545">
        <w:t xml:space="preserve">- to </w:t>
      </w:r>
      <w:r w:rsidR="00D37510">
        <w:t>10,000</w:t>
      </w:r>
      <w:r w:rsidR="00413567" w:rsidRPr="00672545">
        <w:t xml:space="preserve"> images.  </w:t>
      </w:r>
      <w:r w:rsidR="00D40D88" w:rsidRPr="00672545">
        <w:t>Wat</w:t>
      </w:r>
      <w:r w:rsidR="00413567" w:rsidRPr="00672545">
        <w:t xml:space="preserve">kins </w:t>
      </w:r>
      <w:r w:rsidR="00F16948" w:rsidRPr="00672545">
        <w:t>agreed</w:t>
      </w:r>
      <w:r w:rsidR="00D40D88" w:rsidRPr="00672545">
        <w:t xml:space="preserve">.  Defense </w:t>
      </w:r>
      <w:r w:rsidR="00413567" w:rsidRPr="00672545">
        <w:t>counsel, with what the trial court later described as raised eyebrows expressing dismay</w:t>
      </w:r>
      <w:r w:rsidR="00AA0E7E" w:rsidRPr="00672545">
        <w:t>,</w:t>
      </w:r>
      <w:r w:rsidR="00413567" w:rsidRPr="00672545">
        <w:t xml:space="preserve"> </w:t>
      </w:r>
      <w:r w:rsidR="00F16948" w:rsidRPr="00672545">
        <w:t>responded: “So apparently c</w:t>
      </w:r>
      <w:r w:rsidR="00B70CDB" w:rsidRPr="00672545">
        <w:t>u</w:t>
      </w:r>
      <w:r w:rsidR="00F16948" w:rsidRPr="00672545">
        <w:t xml:space="preserve">lled out of a hundred </w:t>
      </w:r>
      <w:r w:rsidR="00E2110C" w:rsidRPr="00672545">
        <w:t>thousand you</w:t>
      </w:r>
      <w:r w:rsidR="00F16948" w:rsidRPr="00672545">
        <w:t xml:space="preserve"> identified down </w:t>
      </w:r>
      <w:r w:rsidR="00D37510">
        <w:t>8</w:t>
      </w:r>
      <w:r w:rsidR="00F16948" w:rsidRPr="00672545">
        <w:t xml:space="preserve">- to 10,000, and then of the </w:t>
      </w:r>
      <w:r w:rsidR="00D74BEC">
        <w:t>8</w:t>
      </w:r>
      <w:r w:rsidR="00F16948" w:rsidRPr="00672545">
        <w:t>- to 10,000 you spotted 14 or so that the jury just saw?”  Watkins said: “Yes, sir.”</w:t>
      </w:r>
      <w:r w:rsidR="00F81CD5" w:rsidRPr="00672545">
        <w:t xml:space="preserve">  </w:t>
      </w:r>
      <w:r w:rsidR="00F16948" w:rsidRPr="00672545">
        <w:t xml:space="preserve">Defense counsel </w:t>
      </w:r>
      <w:r w:rsidR="00E2110C" w:rsidRPr="00672545">
        <w:t xml:space="preserve">then </w:t>
      </w:r>
      <w:r w:rsidR="00F16948" w:rsidRPr="00672545">
        <w:t xml:space="preserve">confirmed with Watkins that there were also several hundred digital movies in the collection and asked if Watkins had noticed that there was a “common theme” in them of sexual intercourse with mature women.  </w:t>
      </w:r>
      <w:r w:rsidR="00E2110C" w:rsidRPr="00672545">
        <w:t xml:space="preserve">The trial court allowed the questioning over the prosecution’s “best evidence” objection, </w:t>
      </w:r>
      <w:r w:rsidR="007A39AD" w:rsidRPr="00672545">
        <w:t xml:space="preserve">indicating </w:t>
      </w:r>
      <w:r w:rsidR="00E2110C" w:rsidRPr="00672545">
        <w:t xml:space="preserve">that the court and parties would </w:t>
      </w:r>
      <w:r w:rsidR="007A39AD" w:rsidRPr="00672545">
        <w:t xml:space="preserve">likely </w:t>
      </w:r>
      <w:r w:rsidR="00E2110C" w:rsidRPr="00672545">
        <w:t>need to discuss the matter further.</w:t>
      </w:r>
      <w:r w:rsidR="00F81CD5" w:rsidRPr="00672545">
        <w:t xml:space="preserve">  </w:t>
      </w:r>
      <w:r w:rsidR="00E2110C" w:rsidRPr="00672545">
        <w:t xml:space="preserve">Defense counsel continued by asking whether virtually </w:t>
      </w:r>
      <w:proofErr w:type="gramStart"/>
      <w:r w:rsidR="00E2110C" w:rsidRPr="00672545">
        <w:t>all of</w:t>
      </w:r>
      <w:proofErr w:type="gramEnd"/>
      <w:r w:rsidR="00E2110C" w:rsidRPr="00672545">
        <w:t xml:space="preserve"> the movies depicted adults engaged in various consensual sex acts.  Watkins agreed.  Returning to the </w:t>
      </w:r>
      <w:r w:rsidR="00D74BEC">
        <w:t>8- to 10,000</w:t>
      </w:r>
      <w:r w:rsidR="00E2110C" w:rsidRPr="00672545">
        <w:t xml:space="preserve"> still images, counsel asked Watkins to confirm that the</w:t>
      </w:r>
      <w:r w:rsidR="00E23581" w:rsidRPr="00672545">
        <w:t xml:space="preserve"> theme of such images was large-</w:t>
      </w:r>
      <w:r w:rsidR="00E2110C" w:rsidRPr="00672545">
        <w:t xml:space="preserve">breasted women.  </w:t>
      </w:r>
      <w:r w:rsidR="00FB0FFD" w:rsidRPr="00672545">
        <w:t>Watkins responded that “there were a large amount of those.”</w:t>
      </w:r>
      <w:r w:rsidR="00F81CD5" w:rsidRPr="00672545">
        <w:t xml:space="preserve">  </w:t>
      </w:r>
      <w:r w:rsidR="00FB0FFD" w:rsidRPr="00672545">
        <w:t>Defense counsel pressed Watkins whether this was not also true of the movies.  Watkins agreed that “there were quite a few of those.”</w:t>
      </w:r>
      <w:r w:rsidR="00F81CD5" w:rsidRPr="00672545">
        <w:t xml:space="preserve">  </w:t>
      </w:r>
    </w:p>
    <w:p w14:paraId="49416C76" w14:textId="77777777" w:rsidR="00685371" w:rsidRPr="00672545" w:rsidRDefault="00685371" w:rsidP="00672545">
      <w:r w:rsidRPr="00672545">
        <w:tab/>
      </w:r>
      <w:r w:rsidR="005C19D0" w:rsidRPr="00672545">
        <w:t xml:space="preserve">At the beginning of the redirect examination of Watkins, the prosecution indicated that </w:t>
      </w:r>
      <w:r w:rsidR="008A1766" w:rsidRPr="00672545">
        <w:t>it</w:t>
      </w:r>
      <w:r w:rsidR="005C19D0" w:rsidRPr="00672545">
        <w:t xml:space="preserve"> wished to mark two binders for identification</w:t>
      </w:r>
      <w:r w:rsidR="00B70CDB" w:rsidRPr="00672545">
        <w:t>,</w:t>
      </w:r>
      <w:r w:rsidR="005C19D0" w:rsidRPr="00672545">
        <w:t xml:space="preserve"> contain</w:t>
      </w:r>
      <w:r w:rsidR="00B70CDB" w:rsidRPr="00672545">
        <w:t>ing</w:t>
      </w:r>
      <w:r w:rsidR="005C19D0" w:rsidRPr="00672545">
        <w:t xml:space="preserve"> </w:t>
      </w:r>
      <w:proofErr w:type="gramStart"/>
      <w:r w:rsidR="005C19D0" w:rsidRPr="00672545">
        <w:t>all of</w:t>
      </w:r>
      <w:proofErr w:type="gramEnd"/>
      <w:r w:rsidR="005C19D0" w:rsidRPr="00672545">
        <w:t xml:space="preserve"> the pornographic images seized from defendant’s home office.  </w:t>
      </w:r>
      <w:r w:rsidR="008A1766" w:rsidRPr="00672545">
        <w:t xml:space="preserve">The trial court stated that it thought </w:t>
      </w:r>
      <w:r w:rsidR="00370760" w:rsidRPr="00672545">
        <w:t>doing so</w:t>
      </w:r>
      <w:r w:rsidR="008A1766" w:rsidRPr="00672545">
        <w:t xml:space="preserve"> would be appropriate.  Defense counsel </w:t>
      </w:r>
      <w:r w:rsidR="008A1766" w:rsidRPr="00672545">
        <w:lastRenderedPageBreak/>
        <w:t>immediately asked for a sidebar</w:t>
      </w:r>
      <w:r w:rsidR="00B70CDB" w:rsidRPr="00672545">
        <w:t xml:space="preserve"> conference</w:t>
      </w:r>
      <w:r w:rsidR="008A1766" w:rsidRPr="00672545">
        <w:t xml:space="preserve">.  </w:t>
      </w:r>
      <w:r w:rsidR="005C19D0" w:rsidRPr="00672545">
        <w:t>The trial court excused the jury and the matter was discussed outside its presence.</w:t>
      </w:r>
      <w:r w:rsidR="00F81CD5" w:rsidRPr="00672545">
        <w:t xml:space="preserve">  </w:t>
      </w:r>
    </w:p>
    <w:p w14:paraId="6DEAB904" w14:textId="77777777" w:rsidR="00D470BF" w:rsidRPr="00672545" w:rsidRDefault="005C19D0" w:rsidP="00672545">
      <w:r w:rsidRPr="00672545">
        <w:tab/>
        <w:t xml:space="preserve">The court informed defense counsel that </w:t>
      </w:r>
      <w:proofErr w:type="gramStart"/>
      <w:r w:rsidRPr="00672545">
        <w:t>by virtue of</w:t>
      </w:r>
      <w:proofErr w:type="gramEnd"/>
      <w:r w:rsidRPr="00672545">
        <w:t xml:space="preserve"> his cross-examination, he had “put everything in issue.”  The court stated</w:t>
      </w:r>
      <w:proofErr w:type="gramStart"/>
      <w:r w:rsidRPr="00672545">
        <w:t>:  “</w:t>
      </w:r>
      <w:proofErr w:type="gramEnd"/>
      <w:r w:rsidRPr="00672545">
        <w:t>You’ve represented to this jury, . . . that out of a hundred thousand images there are only 13 that are such that the District Attorney can find against your client.  You know, I know, that is not true.”</w:t>
      </w:r>
      <w:r w:rsidR="00F81CD5" w:rsidRPr="00672545">
        <w:t xml:space="preserve">  </w:t>
      </w:r>
      <w:r w:rsidR="00D977E1" w:rsidRPr="00672545">
        <w:t xml:space="preserve">The trial court reminded defense counsel of the proceedings on </w:t>
      </w:r>
      <w:r w:rsidR="00B70CDB" w:rsidRPr="00672545">
        <w:t>the</w:t>
      </w:r>
      <w:r w:rsidR="00D977E1" w:rsidRPr="00672545">
        <w:t xml:space="preserve"> in </w:t>
      </w:r>
      <w:proofErr w:type="spellStart"/>
      <w:r w:rsidR="00D977E1" w:rsidRPr="00672545">
        <w:t>limine</w:t>
      </w:r>
      <w:proofErr w:type="spellEnd"/>
      <w:r w:rsidR="00D977E1" w:rsidRPr="00672545">
        <w:t xml:space="preserve"> motion </w:t>
      </w:r>
      <w:r w:rsidR="00F44FC3" w:rsidRPr="00672545">
        <w:t>and the fact that the court</w:t>
      </w:r>
      <w:r w:rsidR="00D0188F" w:rsidRPr="00672545">
        <w:t xml:space="preserve"> </w:t>
      </w:r>
      <w:r w:rsidR="00D977E1" w:rsidRPr="00672545">
        <w:t xml:space="preserve">had directed the prosecution to pare down the number of images </w:t>
      </w:r>
      <w:r w:rsidR="00B70CDB" w:rsidRPr="00672545">
        <w:t>it</w:t>
      </w:r>
      <w:r w:rsidR="00D977E1" w:rsidRPr="00672545">
        <w:t xml:space="preserve"> intended to use at trial out of those that were admissible</w:t>
      </w:r>
      <w:r w:rsidR="00F44FC3" w:rsidRPr="00672545">
        <w:t xml:space="preserve">.  </w:t>
      </w:r>
      <w:r w:rsidR="00576C73" w:rsidRPr="00672545">
        <w:t>The court said i</w:t>
      </w:r>
      <w:r w:rsidR="00F44FC3" w:rsidRPr="00672545">
        <w:t>t took such action</w:t>
      </w:r>
      <w:r w:rsidR="00D977E1" w:rsidRPr="00672545">
        <w:t xml:space="preserve"> </w:t>
      </w:r>
      <w:r w:rsidR="00F44FC3" w:rsidRPr="00672545">
        <w:t xml:space="preserve">under Evidence Code section 352 </w:t>
      </w:r>
      <w:r w:rsidR="00D977E1" w:rsidRPr="00672545">
        <w:t xml:space="preserve">for the specific purposes of minimizing defendant’s exposure to the prejudicial impact of this evidence.  </w:t>
      </w:r>
      <w:r w:rsidR="00F44FC3" w:rsidRPr="00672545">
        <w:t>But</w:t>
      </w:r>
      <w:r w:rsidR="00576C73" w:rsidRPr="00672545">
        <w:t>, according to the trial court,</w:t>
      </w:r>
      <w:r w:rsidR="00F44FC3" w:rsidRPr="00672545">
        <w:t xml:space="preserve"> the defense turned around and tried to suggest the images introduced were the only such images found.</w:t>
      </w:r>
      <w:r w:rsidR="00F81CD5" w:rsidRPr="00672545">
        <w:t xml:space="preserve">  </w:t>
      </w:r>
    </w:p>
    <w:p w14:paraId="60C8B999" w14:textId="77777777" w:rsidR="0080107A" w:rsidRPr="00672545" w:rsidRDefault="00D470BF" w:rsidP="00672545">
      <w:r w:rsidRPr="00672545">
        <w:tab/>
      </w:r>
      <w:r w:rsidR="00D977E1" w:rsidRPr="00672545">
        <w:t xml:space="preserve">The defense </w:t>
      </w:r>
      <w:r w:rsidR="00F44FC3" w:rsidRPr="00672545">
        <w:t>denied</w:t>
      </w:r>
      <w:r w:rsidR="00D977E1" w:rsidRPr="00672545">
        <w:t xml:space="preserve"> that it had opened any door, although </w:t>
      </w:r>
      <w:r w:rsidR="0064576F" w:rsidRPr="00672545">
        <w:t xml:space="preserve">counsel </w:t>
      </w:r>
      <w:r w:rsidR="00D977E1" w:rsidRPr="00672545">
        <w:t xml:space="preserve">acknowledged that Watkins’s report indicated there were about 80 questionable images.  </w:t>
      </w:r>
      <w:r w:rsidR="0064576F" w:rsidRPr="00672545">
        <w:t>Defense counsel</w:t>
      </w:r>
      <w:r w:rsidR="00D977E1" w:rsidRPr="00672545">
        <w:t xml:space="preserve"> complained that the prosecution had not requested a sidebar; instead objecting on the grounds of best evidence</w:t>
      </w:r>
      <w:r w:rsidR="000F617A" w:rsidRPr="00672545">
        <w:t xml:space="preserve"> —</w:t>
      </w:r>
      <w:r w:rsidR="00D977E1" w:rsidRPr="00672545">
        <w:t xml:space="preserve"> a rule no longer in existence.</w:t>
      </w:r>
      <w:r w:rsidR="00F81CD5" w:rsidRPr="00672545">
        <w:t xml:space="preserve">  </w:t>
      </w:r>
      <w:r w:rsidR="0080107A" w:rsidRPr="00672545">
        <w:t xml:space="preserve">The trial court responded that if the defense had any doubt </w:t>
      </w:r>
      <w:r w:rsidR="00B70CDB" w:rsidRPr="00672545">
        <w:t>concerning</w:t>
      </w:r>
      <w:r w:rsidR="0080107A" w:rsidRPr="00672545">
        <w:t xml:space="preserve"> the trial court’s position on the matter it could have requested a sidebar instead of immediately going “</w:t>
      </w:r>
      <w:r w:rsidR="00414711" w:rsidRPr="00672545">
        <w:t>for the jugular</w:t>
      </w:r>
      <w:r w:rsidR="0080107A" w:rsidRPr="00672545">
        <w:t xml:space="preserve">” </w:t>
      </w:r>
      <w:r w:rsidR="00414711" w:rsidRPr="00672545">
        <w:t xml:space="preserve">in cross-examination. </w:t>
      </w:r>
      <w:r w:rsidR="0080107A" w:rsidRPr="00672545">
        <w:t xml:space="preserve"> </w:t>
      </w:r>
      <w:r w:rsidR="00AD6A13" w:rsidRPr="00672545">
        <w:t>T</w:t>
      </w:r>
      <w:r w:rsidR="00414711" w:rsidRPr="00672545">
        <w:t xml:space="preserve">he court </w:t>
      </w:r>
      <w:r w:rsidR="00AD6A13" w:rsidRPr="00672545">
        <w:t xml:space="preserve">explained that the trial was “a search for the truth . . . and the truth is there are more than 13 images.”  The court </w:t>
      </w:r>
      <w:r w:rsidR="00414711" w:rsidRPr="00672545">
        <w:t xml:space="preserve">indicated it would allow the jury to look at </w:t>
      </w:r>
      <w:proofErr w:type="gramStart"/>
      <w:r w:rsidR="00414711" w:rsidRPr="00672545">
        <w:t>all of</w:t>
      </w:r>
      <w:proofErr w:type="gramEnd"/>
      <w:r w:rsidR="00414711" w:rsidRPr="00672545">
        <w:t xml:space="preserve"> the identified pornographic material if </w:t>
      </w:r>
      <w:r w:rsidR="00F07A6A" w:rsidRPr="00672545">
        <w:t>it</w:t>
      </w:r>
      <w:r w:rsidR="00414711" w:rsidRPr="00672545">
        <w:t xml:space="preserve"> wanted to do so.</w:t>
      </w:r>
      <w:r w:rsidR="00F81CD5" w:rsidRPr="00672545">
        <w:t xml:space="preserve">  </w:t>
      </w:r>
    </w:p>
    <w:p w14:paraId="0F851932" w14:textId="77777777" w:rsidR="005C19D0" w:rsidRPr="00672545" w:rsidRDefault="0080107A" w:rsidP="00672545">
      <w:r w:rsidRPr="00672545">
        <w:lastRenderedPageBreak/>
        <w:tab/>
        <w:t xml:space="preserve">The discussion between the court and counsel continued the next day with the defense maintaining its position that no door had been opened, </w:t>
      </w:r>
      <w:r w:rsidR="005C640D" w:rsidRPr="00672545">
        <w:t xml:space="preserve">that its cross-examination was within the scope authorized by the court during the pretrial hearing, </w:t>
      </w:r>
      <w:r w:rsidRPr="00672545">
        <w:t xml:space="preserve">and that </w:t>
      </w:r>
      <w:r w:rsidR="00D37BB2" w:rsidRPr="00672545">
        <w:t xml:space="preserve">if </w:t>
      </w:r>
      <w:r w:rsidR="005C640D" w:rsidRPr="00672545">
        <w:t>the defense had opened any door,</w:t>
      </w:r>
      <w:r w:rsidRPr="00672545">
        <w:t xml:space="preserve"> Evidence Code section 352 </w:t>
      </w:r>
      <w:r w:rsidR="005C640D" w:rsidRPr="00672545">
        <w:t xml:space="preserve">nevertheless </w:t>
      </w:r>
      <w:r w:rsidRPr="00672545">
        <w:t>required the evidence to be excluded.</w:t>
      </w:r>
      <w:r w:rsidR="00F81CD5" w:rsidRPr="00672545">
        <w:t xml:space="preserve">  </w:t>
      </w:r>
      <w:r w:rsidRPr="00672545">
        <w:t xml:space="preserve">The trial court responded that it believed defense counsel had intentionally and strategically questioned Watkins in a manner that left a </w:t>
      </w:r>
      <w:r w:rsidR="009100E8" w:rsidRPr="00672545">
        <w:t>“</w:t>
      </w:r>
      <w:r w:rsidRPr="00672545">
        <w:t>false impression</w:t>
      </w:r>
      <w:r w:rsidR="009100E8" w:rsidRPr="00672545">
        <w:t>”</w:t>
      </w:r>
      <w:r w:rsidRPr="00672545">
        <w:t xml:space="preserve"> with the jury</w:t>
      </w:r>
      <w:r w:rsidR="008A1766" w:rsidRPr="00672545">
        <w:t xml:space="preserve">, which </w:t>
      </w:r>
      <w:r w:rsidR="00106A7D" w:rsidRPr="00672545">
        <w:t xml:space="preserve">was not contemplated by the court’s prior ruling and which </w:t>
      </w:r>
      <w:r w:rsidR="008A1766" w:rsidRPr="00672545">
        <w:t>the prosecution was entitled to correct</w:t>
      </w:r>
      <w:r w:rsidRPr="00672545">
        <w:t>.</w:t>
      </w:r>
      <w:r w:rsidR="00F81CD5" w:rsidRPr="00672545">
        <w:t xml:space="preserve">  </w:t>
      </w:r>
      <w:r w:rsidR="00106A7D" w:rsidRPr="00672545">
        <w:t>The court specifically ruled that the prosecution would be allowed to establish the true number of child pornography images and the nature of the other items.</w:t>
      </w:r>
      <w:r w:rsidR="00F81CD5" w:rsidRPr="00672545">
        <w:t xml:space="preserve">  </w:t>
      </w:r>
    </w:p>
    <w:p w14:paraId="00245B40" w14:textId="77777777" w:rsidR="00106A7D" w:rsidRPr="00672545" w:rsidRDefault="00106A7D" w:rsidP="00672545">
      <w:r w:rsidRPr="00672545">
        <w:tab/>
        <w:t xml:space="preserve">The defense asked for a specific “352 ruling” regarding a set of photographs depicting </w:t>
      </w:r>
      <w:r w:rsidR="00F7439E" w:rsidRPr="00672545">
        <w:t xml:space="preserve">defendant’s girlfriend, Susan L., and her daughter, </w:t>
      </w:r>
      <w:r w:rsidRPr="00672545">
        <w:t>Danielle L.</w:t>
      </w:r>
      <w:r w:rsidR="00F81CD5" w:rsidRPr="00672545">
        <w:t xml:space="preserve">  </w:t>
      </w:r>
      <w:r w:rsidR="00AA7F96" w:rsidRPr="00672545">
        <w:t>The prosecution explained that it intended to show Watkins several images, including the photographs of Danielle L., and to have him describe the images</w:t>
      </w:r>
      <w:r w:rsidR="00EA5C1B" w:rsidRPr="00672545">
        <w:t xml:space="preserve"> but</w:t>
      </w:r>
      <w:r w:rsidR="00AA7F96" w:rsidRPr="00672545">
        <w:t xml:space="preserve"> without showing them to the jury.</w:t>
      </w:r>
      <w:r w:rsidR="00F81CD5" w:rsidRPr="00672545">
        <w:t xml:space="preserve">  </w:t>
      </w:r>
      <w:r w:rsidR="008F63A9" w:rsidRPr="00672545">
        <w:t>The court reviewed the photographs of Danielle L., indicating for the record that four of them showed a young girl laying on a sun chair with her legs spread apart.  The photographer in one of the photograph</w:t>
      </w:r>
      <w:r w:rsidR="00D74BEC">
        <w:t>s</w:t>
      </w:r>
      <w:r w:rsidR="008F63A9" w:rsidRPr="00672545">
        <w:t xml:space="preserve"> was taking the shot from </w:t>
      </w:r>
      <w:r w:rsidR="00402EBB" w:rsidRPr="00672545">
        <w:t xml:space="preserve">an angle near </w:t>
      </w:r>
      <w:r w:rsidR="008F63A9" w:rsidRPr="00672545">
        <w:t>the bottom of the chaise lounge, “shooting directly up the crotch area” of the young girl.</w:t>
      </w:r>
      <w:r w:rsidR="00F81CD5" w:rsidRPr="00672545">
        <w:t xml:space="preserve">  </w:t>
      </w:r>
      <w:r w:rsidR="008F63A9" w:rsidRPr="00672545">
        <w:t>The court agreed that Watkins could describe the content of the picture, but reserved ruling on whether the jury would be permitted to see it.</w:t>
      </w:r>
      <w:r w:rsidR="00F81CD5" w:rsidRPr="00672545">
        <w:t xml:space="preserve">  </w:t>
      </w:r>
    </w:p>
    <w:p w14:paraId="0DCD4FB0" w14:textId="77777777" w:rsidR="00436651" w:rsidRPr="00672545" w:rsidRDefault="008F63A9" w:rsidP="00672545">
      <w:r w:rsidRPr="00672545">
        <w:tab/>
        <w:t xml:space="preserve">The defense then asked the court to address </w:t>
      </w:r>
      <w:r w:rsidR="004E5A7B" w:rsidRPr="00672545">
        <w:t>several</w:t>
      </w:r>
      <w:r w:rsidRPr="00672545">
        <w:t xml:space="preserve"> images depicting bestiality</w:t>
      </w:r>
      <w:r w:rsidR="00D74BEC">
        <w:t xml:space="preserve">.  </w:t>
      </w:r>
      <w:r w:rsidR="003B0FBD" w:rsidRPr="00672545">
        <w:t xml:space="preserve">The prosecution indicated that it intended to have Watkins describe them generally.  The court </w:t>
      </w:r>
      <w:r w:rsidR="003B0FBD" w:rsidRPr="00672545">
        <w:lastRenderedPageBreak/>
        <w:t>found that based on defense counsel’s prior cross-examination and accompanying “theatrics,” it would allow the prosecution to do so.</w:t>
      </w:r>
      <w:r w:rsidR="00F81CD5" w:rsidRPr="00672545">
        <w:t xml:space="preserve">  </w:t>
      </w:r>
    </w:p>
    <w:p w14:paraId="1876D793" w14:textId="77777777" w:rsidR="003B0FBD" w:rsidRPr="00672545" w:rsidRDefault="003B0FBD" w:rsidP="00672545">
      <w:r w:rsidRPr="00672545">
        <w:tab/>
        <w:t xml:space="preserve">In the jury’s presence, on redirect, Watkins clarified that when he stated that there </w:t>
      </w:r>
      <w:proofErr w:type="gramStart"/>
      <w:r w:rsidRPr="00672545">
        <w:t>were</w:t>
      </w:r>
      <w:proofErr w:type="gramEnd"/>
      <w:r w:rsidRPr="00672545">
        <w:t xml:space="preserve"> a total of 100,000 graphic image files, that number included every single image on the computer</w:t>
      </w:r>
      <w:r w:rsidR="00054931" w:rsidRPr="00672545">
        <w:t>s</w:t>
      </w:r>
      <w:r w:rsidR="00A56E9F" w:rsidRPr="00672545">
        <w:t>, including all icons, arrows, buttons and things of that nature</w:t>
      </w:r>
      <w:r w:rsidR="00D74BEC">
        <w:t xml:space="preserve">.  </w:t>
      </w:r>
      <w:r w:rsidR="00783820" w:rsidRPr="00672545">
        <w:t xml:space="preserve">Watkins identified the two binders that had been previously marked and described them as containing about </w:t>
      </w:r>
      <w:r w:rsidR="00D74BEC">
        <w:t>8,000</w:t>
      </w:r>
      <w:r w:rsidR="00783820" w:rsidRPr="00672545">
        <w:t xml:space="preserve"> ima</w:t>
      </w:r>
      <w:r w:rsidR="001174B5" w:rsidRPr="00672545">
        <w:t xml:space="preserve">ges, including cartoon and </w:t>
      </w:r>
      <w:r w:rsidR="00B217E6" w:rsidRPr="00672545">
        <w:t>anime</w:t>
      </w:r>
      <w:r w:rsidR="00783820" w:rsidRPr="00672545">
        <w:t xml:space="preserve"> images, showing mostly adult women, naked, and often engaged in sexual acts.  </w:t>
      </w:r>
      <w:r w:rsidR="00E94E6D" w:rsidRPr="00672545">
        <w:t>Also included in the binders were images of nude or partially clothed children beyond those already shown to the jury.</w:t>
      </w:r>
      <w:r w:rsidR="00F81CD5" w:rsidRPr="00672545">
        <w:t xml:space="preserve">  </w:t>
      </w:r>
      <w:r w:rsidR="00E94E6D" w:rsidRPr="00672545">
        <w:t>He described two series of anime images he found</w:t>
      </w:r>
      <w:r w:rsidR="005A1C61" w:rsidRPr="00672545">
        <w:t xml:space="preserve"> that</w:t>
      </w:r>
      <w:r w:rsidR="00E94E6D" w:rsidRPr="00672545">
        <w:t xml:space="preserve"> show</w:t>
      </w:r>
      <w:r w:rsidR="005A1C61" w:rsidRPr="00672545">
        <w:t>ed</w:t>
      </w:r>
      <w:r w:rsidR="00E94E6D" w:rsidRPr="00672545">
        <w:t xml:space="preserve"> </w:t>
      </w:r>
      <w:r w:rsidR="00FF5EEC" w:rsidRPr="00672545">
        <w:t>a young girl who is assaulted, bound</w:t>
      </w:r>
      <w:r w:rsidR="00D74BEC">
        <w:t>,</w:t>
      </w:r>
      <w:r w:rsidR="00FF5EEC" w:rsidRPr="00672545">
        <w:t xml:space="preserve"> and ultimately raped.  The images had accompany</w:t>
      </w:r>
      <w:r w:rsidR="00E94E6D" w:rsidRPr="00672545">
        <w:t>ing dialog text.</w:t>
      </w:r>
      <w:r w:rsidR="00F81CD5" w:rsidRPr="00672545">
        <w:t xml:space="preserve">  </w:t>
      </w:r>
      <w:r w:rsidR="00E94E6D" w:rsidRPr="00672545">
        <w:t>From the bedroom computer, Watkins testified that he recove</w:t>
      </w:r>
      <w:r w:rsidR="005A1C61" w:rsidRPr="00672545">
        <w:t xml:space="preserve">red several digital photographs </w:t>
      </w:r>
      <w:r w:rsidR="00E94E6D" w:rsidRPr="00672545">
        <w:t>of bestiality, by which he meant “a person having sex acts with animals.”</w:t>
      </w:r>
      <w:r w:rsidR="00F81CD5" w:rsidRPr="00672545">
        <w:t xml:space="preserve">  </w:t>
      </w:r>
      <w:r w:rsidR="002D6AF0" w:rsidRPr="00672545">
        <w:t xml:space="preserve">Watkins briefly described a set of images showing </w:t>
      </w:r>
      <w:r w:rsidR="001C02C5" w:rsidRPr="00672545">
        <w:t xml:space="preserve">his girlfriend’s daughter, </w:t>
      </w:r>
      <w:r w:rsidR="00402EBB" w:rsidRPr="00672545">
        <w:t>Danielle L.</w:t>
      </w:r>
      <w:r w:rsidR="00D74BEC">
        <w:t>,</w:t>
      </w:r>
      <w:r w:rsidR="00402EBB" w:rsidRPr="00672545">
        <w:t xml:space="preserve"> </w:t>
      </w:r>
      <w:r w:rsidR="002D6AF0" w:rsidRPr="00672545">
        <w:t>in a “portrait-type setting” and sunbathing in a bikini on a chaise lounge</w:t>
      </w:r>
      <w:r w:rsidR="00402EBB" w:rsidRPr="00672545">
        <w:t xml:space="preserve"> with her legs spread</w:t>
      </w:r>
      <w:r w:rsidR="002D6AF0" w:rsidRPr="00672545">
        <w:t>.</w:t>
      </w:r>
      <w:r w:rsidR="00F81CD5" w:rsidRPr="00672545">
        <w:t xml:space="preserve">  </w:t>
      </w:r>
      <w:r w:rsidR="00DD1D7D" w:rsidRPr="00672545">
        <w:t xml:space="preserve">Watkins also described some of the cartoons that were organized into </w:t>
      </w:r>
      <w:r w:rsidR="00BA0E8A" w:rsidRPr="00672545">
        <w:t xml:space="preserve">digital file </w:t>
      </w:r>
      <w:r w:rsidR="00DD1D7D" w:rsidRPr="00672545">
        <w:t xml:space="preserve">folders with labels of “Jetsons,” </w:t>
      </w:r>
      <w:r w:rsidR="00D74BEC">
        <w:t>“</w:t>
      </w:r>
      <w:r w:rsidR="00DD1D7D" w:rsidRPr="00672545">
        <w:t xml:space="preserve">Flintstones,” “Star Trek,” and the like.  In the folder marked “Jetsons,” there were images depicting the father having sexual relations with </w:t>
      </w:r>
      <w:r w:rsidR="005A1C61" w:rsidRPr="00672545">
        <w:t>his</w:t>
      </w:r>
      <w:r w:rsidR="00DD1D7D" w:rsidRPr="00672545">
        <w:t xml:space="preserve"> daughter.  Other images were pictures of Mrs. Jetson unclothed.  </w:t>
      </w:r>
      <w:r w:rsidR="00BA0E8A" w:rsidRPr="00672545">
        <w:t>Other folders, including t</w:t>
      </w:r>
      <w:r w:rsidR="00DD1D7D" w:rsidRPr="00672545">
        <w:t xml:space="preserve">he “Flintstones” and </w:t>
      </w:r>
      <w:r w:rsidR="00BA0E8A" w:rsidRPr="00672545">
        <w:t xml:space="preserve">the </w:t>
      </w:r>
      <w:r w:rsidR="00DD1D7D" w:rsidRPr="00672545">
        <w:t>“Simpsons</w:t>
      </w:r>
      <w:r w:rsidR="00BA0E8A" w:rsidRPr="00672545">
        <w:t>,</w:t>
      </w:r>
      <w:r w:rsidR="00DD1D7D" w:rsidRPr="00672545">
        <w:t>” were similar.</w:t>
      </w:r>
      <w:r w:rsidR="00F81CD5" w:rsidRPr="00672545">
        <w:t xml:space="preserve">  </w:t>
      </w:r>
    </w:p>
    <w:p w14:paraId="2238F2EF" w14:textId="77777777" w:rsidR="00833597" w:rsidRPr="00672545" w:rsidRDefault="00833597" w:rsidP="00672545">
      <w:r w:rsidRPr="00672545">
        <w:tab/>
        <w:t xml:space="preserve">On </w:t>
      </w:r>
      <w:proofErr w:type="spellStart"/>
      <w:r w:rsidRPr="00672545">
        <w:t>recross</w:t>
      </w:r>
      <w:proofErr w:type="spellEnd"/>
      <w:r w:rsidRPr="00672545">
        <w:t xml:space="preserve">-examination, defense counsel </w:t>
      </w:r>
      <w:r w:rsidR="005A1C61" w:rsidRPr="00672545">
        <w:t xml:space="preserve">asked </w:t>
      </w:r>
      <w:r w:rsidRPr="00672545">
        <w:t xml:space="preserve">Watkins </w:t>
      </w:r>
      <w:r w:rsidR="005A1C61" w:rsidRPr="00672545">
        <w:t xml:space="preserve">to confirm that he </w:t>
      </w:r>
      <w:r w:rsidRPr="00672545">
        <w:t xml:space="preserve">had identified only 85 images of possible child pornography out of the </w:t>
      </w:r>
      <w:r w:rsidR="00D74BEC">
        <w:t>8-</w:t>
      </w:r>
      <w:r w:rsidRPr="00672545">
        <w:t xml:space="preserve"> to </w:t>
      </w:r>
      <w:r w:rsidR="00D74BEC">
        <w:t>10,000</w:t>
      </w:r>
      <w:r w:rsidRPr="00672545">
        <w:t xml:space="preserve"> images of pornography; a </w:t>
      </w:r>
      <w:r w:rsidRPr="00672545">
        <w:lastRenderedPageBreak/>
        <w:t xml:space="preserve">percentage of about </w:t>
      </w:r>
      <w:r w:rsidR="00D74BEC">
        <w:t>1</w:t>
      </w:r>
      <w:r w:rsidRPr="00672545">
        <w:t xml:space="preserve"> percent.  </w:t>
      </w:r>
      <w:r w:rsidR="00934093" w:rsidRPr="00672545">
        <w:t xml:space="preserve">The jury had seen 15 to 17 of those 85.  </w:t>
      </w:r>
      <w:r w:rsidR="00BA0E8A" w:rsidRPr="00672545">
        <w:t xml:space="preserve">Watkins </w:t>
      </w:r>
      <w:r w:rsidR="003E499A" w:rsidRPr="00672545">
        <w:t xml:space="preserve">agreed, but </w:t>
      </w:r>
      <w:r w:rsidR="00356291" w:rsidRPr="00672545">
        <w:t>noted that there were several images that were “borderline” as to the subject’s age, and he did not include those in the 85 he deemed questionable</w:t>
      </w:r>
      <w:r w:rsidR="00FB115F" w:rsidRPr="00672545">
        <w:t>.</w:t>
      </w:r>
      <w:r w:rsidR="00F81CD5" w:rsidRPr="00672545">
        <w:t xml:space="preserve">  </w:t>
      </w:r>
      <w:r w:rsidR="00FB115F" w:rsidRPr="00672545">
        <w:t>Out of the 2600 movies Watkins examined, he believed 39 of them depicted juveniles under the age of 18; two of which had been shown to the jury.</w:t>
      </w:r>
      <w:r w:rsidR="00F81CD5" w:rsidRPr="00672545">
        <w:t xml:space="preserve">  </w:t>
      </w:r>
    </w:p>
    <w:p w14:paraId="7DCC8043" w14:textId="77777777" w:rsidR="00436651" w:rsidRPr="00672545" w:rsidRDefault="00E5748A" w:rsidP="00672545">
      <w:r w:rsidRPr="00672545">
        <w:tab/>
        <w:t>T</w:t>
      </w:r>
      <w:r w:rsidR="00833597" w:rsidRPr="00672545">
        <w:t xml:space="preserve">he defense </w:t>
      </w:r>
      <w:r w:rsidRPr="00672545">
        <w:t xml:space="preserve">subsequently </w:t>
      </w:r>
      <w:r w:rsidR="00833597" w:rsidRPr="00672545">
        <w:t xml:space="preserve">moved for a mistrial based on </w:t>
      </w:r>
      <w:r w:rsidR="00BA0E8A" w:rsidRPr="00672545">
        <w:t xml:space="preserve">two grounds — </w:t>
      </w:r>
      <w:r w:rsidR="00833597" w:rsidRPr="00672545">
        <w:t xml:space="preserve">the ruling allowing </w:t>
      </w:r>
      <w:proofErr w:type="gramStart"/>
      <w:r w:rsidR="00833597" w:rsidRPr="00672545">
        <w:t>all of</w:t>
      </w:r>
      <w:proofErr w:type="gramEnd"/>
      <w:r w:rsidR="00833597" w:rsidRPr="00672545">
        <w:t xml:space="preserve"> the pornography into evidence and the denial of the severance motion.  Defense counsel noted for the record that several </w:t>
      </w:r>
      <w:r w:rsidR="00D74BEC">
        <w:t>women</w:t>
      </w:r>
      <w:r w:rsidR="00833597" w:rsidRPr="00672545">
        <w:t xml:space="preserve"> jurors began to cry when watching the videos.  The trial court denied the motion.</w:t>
      </w:r>
      <w:r w:rsidR="00F81CD5" w:rsidRPr="00672545">
        <w:t xml:space="preserve">  </w:t>
      </w:r>
    </w:p>
    <w:p w14:paraId="29617AA9" w14:textId="77777777" w:rsidR="00356291" w:rsidRPr="00672545" w:rsidRDefault="00356291" w:rsidP="00672545">
      <w:r w:rsidRPr="00672545">
        <w:tab/>
      </w:r>
      <w:r w:rsidR="00BA0E8A" w:rsidRPr="00672545">
        <w:t>Ultimately, t</w:t>
      </w:r>
      <w:r w:rsidRPr="00672545">
        <w:t>he trial court directed the prosecution to eliminate duplicate images from the two binders, but otherwise admitted them</w:t>
      </w:r>
      <w:r w:rsidR="004B09CB" w:rsidRPr="00672545">
        <w:t xml:space="preserve"> </w:t>
      </w:r>
      <w:r w:rsidRPr="00672545">
        <w:t xml:space="preserve">into evidence.  </w:t>
      </w:r>
      <w:r w:rsidR="004B09CB" w:rsidRPr="00672545">
        <w:t>It indicated</w:t>
      </w:r>
      <w:r w:rsidR="00016886" w:rsidRPr="00672545">
        <w:t>, however, that the evidence</w:t>
      </w:r>
      <w:r w:rsidR="004B09CB" w:rsidRPr="00672545">
        <w:t xml:space="preserve"> would not be given to the jur</w:t>
      </w:r>
      <w:r w:rsidR="001C02C5" w:rsidRPr="00672545">
        <w:t>ors</w:t>
      </w:r>
      <w:r w:rsidR="004B09CB" w:rsidRPr="00672545">
        <w:t xml:space="preserve"> for deliberations unless they requested it.  The court ruled that the bestiality photographs would remain part of the record because they had been referenced in testimony, but they would be sealed </w:t>
      </w:r>
      <w:proofErr w:type="gramStart"/>
      <w:r w:rsidR="004B09CB" w:rsidRPr="00672545">
        <w:t>separately</w:t>
      </w:r>
      <w:proofErr w:type="gramEnd"/>
      <w:r w:rsidR="004B09CB" w:rsidRPr="00672545">
        <w:t xml:space="preserve"> and the jury would not be allowed to see them even if requested.</w:t>
      </w:r>
      <w:r w:rsidR="00F81CD5" w:rsidRPr="00672545">
        <w:t xml:space="preserve">  </w:t>
      </w:r>
      <w:r w:rsidR="00BA0E8A" w:rsidRPr="00672545">
        <w:t xml:space="preserve">During deliberations, the jury requested to see the pornography evidence.  The jury was provided the two binders and the photograph of Danielle L.  </w:t>
      </w:r>
    </w:p>
    <w:p w14:paraId="1BAB63AA" w14:textId="77777777" w:rsidR="008B38AC" w:rsidRPr="00672545" w:rsidRDefault="006C4947" w:rsidP="00672545">
      <w:pPr>
        <w:pStyle w:val="Heading4"/>
      </w:pPr>
      <w:r w:rsidRPr="00672545">
        <w:t>b.  Discussion</w:t>
      </w:r>
    </w:p>
    <w:p w14:paraId="191B2210" w14:textId="77777777" w:rsidR="008B38AC" w:rsidRPr="00672545" w:rsidRDefault="00054931" w:rsidP="00672545">
      <w:pPr>
        <w:rPr>
          <w:rFonts w:cs="Calibri"/>
          <w:szCs w:val="26"/>
        </w:rPr>
      </w:pPr>
      <w:r w:rsidRPr="00672545">
        <w:rPr>
          <w:rFonts w:cs="Calibri"/>
          <w:szCs w:val="26"/>
        </w:rPr>
        <w:tab/>
      </w:r>
      <w:r w:rsidR="00201D72" w:rsidRPr="00672545">
        <w:rPr>
          <w:rFonts w:cs="Calibri"/>
          <w:szCs w:val="26"/>
        </w:rPr>
        <w:t>De</w:t>
      </w:r>
      <w:r w:rsidR="00C24CD8" w:rsidRPr="00672545">
        <w:rPr>
          <w:rFonts w:cs="Calibri"/>
          <w:szCs w:val="26"/>
        </w:rPr>
        <w:t>fendant</w:t>
      </w:r>
      <w:r w:rsidR="00201D72" w:rsidRPr="00672545">
        <w:rPr>
          <w:rFonts w:cs="Calibri"/>
          <w:szCs w:val="26"/>
        </w:rPr>
        <w:t xml:space="preserve"> contends defense counsel </w:t>
      </w:r>
      <w:r w:rsidR="00C24CD8" w:rsidRPr="00672545">
        <w:rPr>
          <w:rFonts w:cs="Calibri"/>
          <w:szCs w:val="26"/>
        </w:rPr>
        <w:t xml:space="preserve">did not “open the door” to the admission of the additional pornography and that </w:t>
      </w:r>
      <w:r w:rsidR="004671DE" w:rsidRPr="00672545">
        <w:rPr>
          <w:rFonts w:cs="Calibri"/>
          <w:szCs w:val="26"/>
        </w:rPr>
        <w:t xml:space="preserve">if </w:t>
      </w:r>
      <w:r w:rsidR="00201D72" w:rsidRPr="00672545">
        <w:rPr>
          <w:rFonts w:cs="Calibri"/>
          <w:szCs w:val="26"/>
        </w:rPr>
        <w:t>his</w:t>
      </w:r>
      <w:r w:rsidR="00C24CD8" w:rsidRPr="00672545">
        <w:rPr>
          <w:rFonts w:cs="Calibri"/>
          <w:szCs w:val="26"/>
        </w:rPr>
        <w:t xml:space="preserve"> counsel’s cross-examination was in some way misleading, the appropriate remedy was corrective redirect examination by the prosecution regarding the total number of questionable </w:t>
      </w:r>
      <w:r w:rsidR="00C24CD8" w:rsidRPr="00672545">
        <w:rPr>
          <w:rFonts w:cs="Calibri"/>
          <w:szCs w:val="26"/>
        </w:rPr>
        <w:lastRenderedPageBreak/>
        <w:t xml:space="preserve">images located </w:t>
      </w:r>
      <w:r w:rsidR="004671DE" w:rsidRPr="00672545">
        <w:rPr>
          <w:rFonts w:cs="Calibri"/>
          <w:szCs w:val="26"/>
        </w:rPr>
        <w:t xml:space="preserve">by Watkins </w:t>
      </w:r>
      <w:r w:rsidR="00C24CD8" w:rsidRPr="00672545">
        <w:rPr>
          <w:rFonts w:cs="Calibri"/>
          <w:szCs w:val="26"/>
        </w:rPr>
        <w:t>in the collection of pornography</w:t>
      </w:r>
      <w:r w:rsidR="004671DE" w:rsidRPr="00672545">
        <w:rPr>
          <w:rFonts w:cs="Calibri"/>
          <w:szCs w:val="26"/>
        </w:rPr>
        <w:t xml:space="preserve"> he examined</w:t>
      </w:r>
      <w:r w:rsidR="00C24CD8" w:rsidRPr="00672545">
        <w:rPr>
          <w:rFonts w:cs="Calibri"/>
          <w:szCs w:val="26"/>
        </w:rPr>
        <w:t xml:space="preserve">.  </w:t>
      </w:r>
      <w:r w:rsidR="00201D72" w:rsidRPr="00672545">
        <w:rPr>
          <w:rFonts w:cs="Calibri"/>
          <w:szCs w:val="26"/>
        </w:rPr>
        <w:t>We disagree.</w:t>
      </w:r>
    </w:p>
    <w:p w14:paraId="40F68738" w14:textId="77777777" w:rsidR="000360FE" w:rsidRPr="00672545" w:rsidRDefault="009D7176" w:rsidP="00672545">
      <w:pPr>
        <w:rPr>
          <w:rFonts w:cs="Calibri"/>
          <w:szCs w:val="26"/>
        </w:rPr>
      </w:pPr>
      <w:r w:rsidRPr="00672545">
        <w:rPr>
          <w:rFonts w:cs="Calibri"/>
          <w:szCs w:val="26"/>
        </w:rPr>
        <w:tab/>
      </w:r>
      <w:r w:rsidR="00E31D78" w:rsidRPr="00672545">
        <w:rPr>
          <w:rFonts w:cs="Calibri"/>
          <w:szCs w:val="26"/>
        </w:rPr>
        <w:t>Our review of the record shows that the trial court, in r</w:t>
      </w:r>
      <w:r w:rsidR="00632F4D" w:rsidRPr="00672545">
        <w:rPr>
          <w:rFonts w:cs="Calibri"/>
          <w:szCs w:val="26"/>
        </w:rPr>
        <w:t xml:space="preserve">uling on defendant’s </w:t>
      </w:r>
      <w:r w:rsidR="00C63CB0" w:rsidRPr="00672545">
        <w:rPr>
          <w:rFonts w:cs="Calibri"/>
          <w:szCs w:val="26"/>
        </w:rPr>
        <w:t xml:space="preserve">pretrial </w:t>
      </w:r>
      <w:r w:rsidR="00632F4D" w:rsidRPr="00672545">
        <w:rPr>
          <w:rFonts w:cs="Calibri"/>
          <w:szCs w:val="26"/>
        </w:rPr>
        <w:t xml:space="preserve">in </w:t>
      </w:r>
      <w:proofErr w:type="spellStart"/>
      <w:r w:rsidR="00632F4D" w:rsidRPr="00672545">
        <w:rPr>
          <w:rFonts w:cs="Calibri"/>
          <w:szCs w:val="26"/>
        </w:rPr>
        <w:t>limine</w:t>
      </w:r>
      <w:proofErr w:type="spellEnd"/>
      <w:r w:rsidR="00632F4D" w:rsidRPr="00672545">
        <w:rPr>
          <w:rFonts w:cs="Calibri"/>
          <w:szCs w:val="26"/>
        </w:rPr>
        <w:t xml:space="preserve"> motion, carefully circumscribed the pornography evidence that the prosecution would be allowed to introduce.  </w:t>
      </w:r>
      <w:r w:rsidR="00C63CB0" w:rsidRPr="00672545">
        <w:rPr>
          <w:rFonts w:cs="Calibri"/>
          <w:szCs w:val="26"/>
        </w:rPr>
        <w:t>A</w:t>
      </w:r>
      <w:r w:rsidR="000360FE" w:rsidRPr="00672545">
        <w:rPr>
          <w:rFonts w:cs="Calibri"/>
          <w:szCs w:val="26"/>
        </w:rPr>
        <w:t>nd a</w:t>
      </w:r>
      <w:r w:rsidR="00C63CB0" w:rsidRPr="00672545">
        <w:rPr>
          <w:rFonts w:cs="Calibri"/>
          <w:szCs w:val="26"/>
        </w:rPr>
        <w:t xml:space="preserve">t trial, </w:t>
      </w:r>
      <w:r w:rsidR="00632F4D" w:rsidRPr="00672545">
        <w:rPr>
          <w:rFonts w:cs="Calibri"/>
          <w:szCs w:val="26"/>
        </w:rPr>
        <w:t xml:space="preserve">the prosecution </w:t>
      </w:r>
      <w:r w:rsidR="00E94403" w:rsidRPr="00672545">
        <w:rPr>
          <w:rFonts w:cs="Calibri"/>
          <w:szCs w:val="26"/>
        </w:rPr>
        <w:t>initially</w:t>
      </w:r>
      <w:r w:rsidR="00632F4D" w:rsidRPr="00672545">
        <w:rPr>
          <w:rFonts w:cs="Calibri"/>
          <w:szCs w:val="26"/>
        </w:rPr>
        <w:t xml:space="preserve"> offered</w:t>
      </w:r>
      <w:r w:rsidR="00C63CB0" w:rsidRPr="00672545">
        <w:rPr>
          <w:rFonts w:cs="Calibri"/>
          <w:szCs w:val="26"/>
        </w:rPr>
        <w:t>, through the testimony of its forensic examiner Watkins,</w:t>
      </w:r>
      <w:r w:rsidR="00632F4D" w:rsidRPr="00672545">
        <w:rPr>
          <w:rFonts w:cs="Calibri"/>
          <w:szCs w:val="26"/>
        </w:rPr>
        <w:t xml:space="preserve"> </w:t>
      </w:r>
      <w:r w:rsidR="000360FE" w:rsidRPr="00672545">
        <w:rPr>
          <w:rFonts w:cs="Calibri"/>
          <w:szCs w:val="26"/>
        </w:rPr>
        <w:t>less</w:t>
      </w:r>
      <w:r w:rsidR="00632F4D" w:rsidRPr="00672545">
        <w:rPr>
          <w:rFonts w:cs="Calibri"/>
          <w:szCs w:val="26"/>
        </w:rPr>
        <w:t xml:space="preserve"> than</w:t>
      </w:r>
      <w:r w:rsidR="00A42059" w:rsidRPr="00672545">
        <w:rPr>
          <w:rFonts w:cs="Calibri"/>
          <w:szCs w:val="26"/>
        </w:rPr>
        <w:t xml:space="preserve"> what</w:t>
      </w:r>
      <w:r w:rsidR="00632F4D" w:rsidRPr="00672545">
        <w:rPr>
          <w:rFonts w:cs="Calibri"/>
          <w:szCs w:val="26"/>
        </w:rPr>
        <w:t xml:space="preserve"> </w:t>
      </w:r>
      <w:r w:rsidR="000360FE" w:rsidRPr="00672545">
        <w:rPr>
          <w:rFonts w:cs="Calibri"/>
          <w:szCs w:val="26"/>
        </w:rPr>
        <w:t xml:space="preserve">was </w:t>
      </w:r>
      <w:r w:rsidR="00C63CB0" w:rsidRPr="00672545">
        <w:rPr>
          <w:rFonts w:cs="Calibri"/>
          <w:szCs w:val="26"/>
        </w:rPr>
        <w:t>permitted by the court’s pretrial ruling</w:t>
      </w:r>
      <w:r w:rsidR="00632F4D" w:rsidRPr="00672545">
        <w:rPr>
          <w:rFonts w:cs="Calibri"/>
          <w:szCs w:val="26"/>
        </w:rPr>
        <w:t xml:space="preserve">.  </w:t>
      </w:r>
      <w:r w:rsidR="000360FE" w:rsidRPr="00672545">
        <w:rPr>
          <w:rFonts w:cs="Calibri"/>
          <w:szCs w:val="26"/>
        </w:rPr>
        <w:t xml:space="preserve">As the trial court recognized during the pretrial proceedings, it would have been permissible for the defense to counter the prosecution’s evidence with testimony </w:t>
      </w:r>
      <w:r w:rsidR="000360FE" w:rsidRPr="00672545">
        <w:t>establishing that the percentage of images depicting young girls out of the total number of pornographic images on defendant’s computers was small.</w:t>
      </w:r>
      <w:r w:rsidR="00F81CD5" w:rsidRPr="00672545">
        <w:t xml:space="preserve">  </w:t>
      </w:r>
    </w:p>
    <w:p w14:paraId="4CAE4D27" w14:textId="77777777" w:rsidR="00D512A2" w:rsidRPr="00672545" w:rsidRDefault="000360FE" w:rsidP="00672545">
      <w:pPr>
        <w:rPr>
          <w:rFonts w:cs="Calibri"/>
          <w:szCs w:val="26"/>
        </w:rPr>
      </w:pPr>
      <w:r w:rsidRPr="00672545">
        <w:rPr>
          <w:rFonts w:cs="Calibri"/>
          <w:szCs w:val="26"/>
        </w:rPr>
        <w:tab/>
        <w:t>O</w:t>
      </w:r>
      <w:r w:rsidR="00632F4D" w:rsidRPr="00672545">
        <w:rPr>
          <w:rFonts w:cs="Calibri"/>
          <w:szCs w:val="26"/>
        </w:rPr>
        <w:t xml:space="preserve">n cross-examination of Watkins, </w:t>
      </w:r>
      <w:r w:rsidRPr="00672545">
        <w:rPr>
          <w:rFonts w:cs="Calibri"/>
          <w:szCs w:val="26"/>
        </w:rPr>
        <w:t xml:space="preserve">however, </w:t>
      </w:r>
      <w:r w:rsidR="00632F4D" w:rsidRPr="00672545">
        <w:rPr>
          <w:rFonts w:cs="Calibri"/>
          <w:szCs w:val="26"/>
        </w:rPr>
        <w:t xml:space="preserve">defense counsel </w:t>
      </w:r>
      <w:r w:rsidR="00D512A2" w:rsidRPr="00672545">
        <w:rPr>
          <w:rFonts w:cs="Calibri"/>
          <w:szCs w:val="26"/>
        </w:rPr>
        <w:t xml:space="preserve">did not </w:t>
      </w:r>
      <w:r w:rsidR="004D4B09" w:rsidRPr="00672545">
        <w:rPr>
          <w:rFonts w:cs="Calibri"/>
          <w:szCs w:val="26"/>
        </w:rPr>
        <w:t>elicit</w:t>
      </w:r>
      <w:r w:rsidR="00D512A2" w:rsidRPr="00672545">
        <w:rPr>
          <w:rFonts w:cs="Calibri"/>
          <w:szCs w:val="26"/>
        </w:rPr>
        <w:t xml:space="preserve"> </w:t>
      </w:r>
      <w:r w:rsidR="004D4B09" w:rsidRPr="00672545">
        <w:rPr>
          <w:rFonts w:cs="Calibri"/>
          <w:szCs w:val="26"/>
        </w:rPr>
        <w:t xml:space="preserve">the total number of questionable images and the total number of pornographic images that Watkins located </w:t>
      </w:r>
      <w:proofErr w:type="gramStart"/>
      <w:r w:rsidR="004D4B09" w:rsidRPr="00672545">
        <w:rPr>
          <w:rFonts w:cs="Calibri"/>
          <w:szCs w:val="26"/>
        </w:rPr>
        <w:t>so as to</w:t>
      </w:r>
      <w:proofErr w:type="gramEnd"/>
      <w:r w:rsidR="004D4B09" w:rsidRPr="00672545">
        <w:rPr>
          <w:rFonts w:cs="Calibri"/>
          <w:szCs w:val="26"/>
        </w:rPr>
        <w:t xml:space="preserve"> establish an approximate </w:t>
      </w:r>
      <w:r w:rsidR="00D13139" w:rsidRPr="00672545">
        <w:rPr>
          <w:rFonts w:cs="Calibri"/>
          <w:szCs w:val="26"/>
        </w:rPr>
        <w:t>ratio</w:t>
      </w:r>
      <w:r w:rsidR="00E742E0" w:rsidRPr="00672545">
        <w:rPr>
          <w:rFonts w:cs="Calibri"/>
          <w:szCs w:val="26"/>
        </w:rPr>
        <w:t xml:space="preserve"> of the one to the other</w:t>
      </w:r>
      <w:r w:rsidR="004D4B09" w:rsidRPr="00672545">
        <w:rPr>
          <w:rFonts w:cs="Calibri"/>
          <w:szCs w:val="26"/>
        </w:rPr>
        <w:t xml:space="preserve">.  </w:t>
      </w:r>
      <w:r w:rsidR="00D66C1D" w:rsidRPr="00672545">
        <w:rPr>
          <w:rFonts w:cs="Calibri"/>
          <w:szCs w:val="26"/>
        </w:rPr>
        <w:t xml:space="preserve">The </w:t>
      </w:r>
      <w:r w:rsidR="00CA76EF" w:rsidRPr="00672545">
        <w:rPr>
          <w:rFonts w:cs="Calibri"/>
          <w:szCs w:val="26"/>
        </w:rPr>
        <w:t xml:space="preserve">defense </w:t>
      </w:r>
      <w:r w:rsidR="00D114D8" w:rsidRPr="00672545">
        <w:rPr>
          <w:rFonts w:cs="Calibri"/>
          <w:szCs w:val="26"/>
        </w:rPr>
        <w:t>questioning</w:t>
      </w:r>
      <w:r w:rsidR="00D66C1D" w:rsidRPr="00672545">
        <w:rPr>
          <w:rFonts w:cs="Calibri"/>
          <w:szCs w:val="26"/>
        </w:rPr>
        <w:t xml:space="preserve">, accompanied by the </w:t>
      </w:r>
      <w:r w:rsidR="004E5A7B" w:rsidRPr="00672545">
        <w:rPr>
          <w:rFonts w:cs="Calibri"/>
          <w:szCs w:val="26"/>
        </w:rPr>
        <w:t>theatrical</w:t>
      </w:r>
      <w:r w:rsidR="00261139" w:rsidRPr="00672545">
        <w:rPr>
          <w:rFonts w:cs="Calibri"/>
          <w:szCs w:val="26"/>
        </w:rPr>
        <w:t xml:space="preserve"> </w:t>
      </w:r>
      <w:r w:rsidR="00D66C1D" w:rsidRPr="00672545">
        <w:rPr>
          <w:rFonts w:cs="Calibri"/>
          <w:szCs w:val="26"/>
        </w:rPr>
        <w:t xml:space="preserve">body language described by the trial court, </w:t>
      </w:r>
      <w:r w:rsidR="00CA76EF" w:rsidRPr="00672545">
        <w:rPr>
          <w:rFonts w:cs="Calibri"/>
          <w:szCs w:val="26"/>
        </w:rPr>
        <w:t xml:space="preserve">instead </w:t>
      </w:r>
      <w:r w:rsidR="00D66C1D" w:rsidRPr="00672545">
        <w:rPr>
          <w:rFonts w:cs="Calibri"/>
          <w:szCs w:val="26"/>
        </w:rPr>
        <w:t xml:space="preserve">misleadingly suggested that </w:t>
      </w:r>
      <w:r w:rsidR="00CA76EF" w:rsidRPr="00672545">
        <w:rPr>
          <w:rFonts w:cs="Calibri"/>
          <w:szCs w:val="26"/>
        </w:rPr>
        <w:t xml:space="preserve">out of </w:t>
      </w:r>
      <w:r w:rsidR="00D74BEC">
        <w:rPr>
          <w:rFonts w:cs="Calibri"/>
          <w:szCs w:val="26"/>
        </w:rPr>
        <w:t>8-</w:t>
      </w:r>
      <w:r w:rsidR="00261139" w:rsidRPr="00672545">
        <w:rPr>
          <w:rFonts w:cs="Calibri"/>
          <w:szCs w:val="26"/>
        </w:rPr>
        <w:t xml:space="preserve"> </w:t>
      </w:r>
      <w:r w:rsidR="00CA76EF" w:rsidRPr="00672545">
        <w:rPr>
          <w:rFonts w:cs="Calibri"/>
          <w:szCs w:val="26"/>
        </w:rPr>
        <w:t xml:space="preserve">to </w:t>
      </w:r>
      <w:r w:rsidR="00D74BEC">
        <w:rPr>
          <w:rFonts w:cs="Calibri"/>
          <w:szCs w:val="26"/>
        </w:rPr>
        <w:t>10,000</w:t>
      </w:r>
      <w:r w:rsidR="00CA76EF" w:rsidRPr="00672545">
        <w:rPr>
          <w:rFonts w:cs="Calibri"/>
          <w:szCs w:val="26"/>
        </w:rPr>
        <w:t xml:space="preserve"> pornographic images</w:t>
      </w:r>
      <w:r w:rsidR="00632F4B" w:rsidRPr="00672545">
        <w:rPr>
          <w:rFonts w:cs="Calibri"/>
          <w:szCs w:val="26"/>
        </w:rPr>
        <w:t xml:space="preserve"> in </w:t>
      </w:r>
      <w:r w:rsidR="00261139" w:rsidRPr="00672545">
        <w:rPr>
          <w:rFonts w:cs="Calibri"/>
          <w:szCs w:val="26"/>
        </w:rPr>
        <w:t>defendant’s</w:t>
      </w:r>
      <w:r w:rsidR="00632F4B" w:rsidRPr="00672545">
        <w:rPr>
          <w:rFonts w:cs="Calibri"/>
          <w:szCs w:val="26"/>
        </w:rPr>
        <w:t xml:space="preserve"> collection</w:t>
      </w:r>
      <w:r w:rsidR="00CA76EF" w:rsidRPr="00672545">
        <w:rPr>
          <w:rFonts w:cs="Calibri"/>
          <w:szCs w:val="26"/>
        </w:rPr>
        <w:t xml:space="preserve">, </w:t>
      </w:r>
      <w:r w:rsidR="00D66C1D" w:rsidRPr="00672545">
        <w:rPr>
          <w:rFonts w:cs="Calibri"/>
          <w:szCs w:val="26"/>
        </w:rPr>
        <w:t xml:space="preserve">the prosecution could find </w:t>
      </w:r>
      <w:r w:rsidR="00A42059" w:rsidRPr="00672545">
        <w:rPr>
          <w:rFonts w:cs="Calibri"/>
          <w:szCs w:val="26"/>
        </w:rPr>
        <w:t xml:space="preserve">only </w:t>
      </w:r>
      <w:r w:rsidR="00632F4B" w:rsidRPr="00672545">
        <w:rPr>
          <w:rFonts w:cs="Calibri"/>
          <w:szCs w:val="26"/>
        </w:rPr>
        <w:t xml:space="preserve">the </w:t>
      </w:r>
      <w:r w:rsidR="001368A0" w:rsidRPr="00672545">
        <w:rPr>
          <w:rFonts w:cs="Calibri"/>
          <w:szCs w:val="26"/>
        </w:rPr>
        <w:t xml:space="preserve">less than </w:t>
      </w:r>
      <w:r w:rsidR="00D74BEC">
        <w:rPr>
          <w:rFonts w:cs="Calibri"/>
          <w:szCs w:val="26"/>
        </w:rPr>
        <w:t>20</w:t>
      </w:r>
      <w:r w:rsidR="00D66C1D" w:rsidRPr="00672545">
        <w:rPr>
          <w:rFonts w:cs="Calibri"/>
          <w:szCs w:val="26"/>
        </w:rPr>
        <w:t xml:space="preserve"> </w:t>
      </w:r>
      <w:r w:rsidR="00261139" w:rsidRPr="00672545">
        <w:rPr>
          <w:rFonts w:cs="Calibri"/>
          <w:szCs w:val="26"/>
        </w:rPr>
        <w:t xml:space="preserve">questionable </w:t>
      </w:r>
      <w:r w:rsidR="00D66C1D" w:rsidRPr="00672545">
        <w:rPr>
          <w:rFonts w:cs="Calibri"/>
          <w:szCs w:val="26"/>
        </w:rPr>
        <w:t xml:space="preserve">images </w:t>
      </w:r>
      <w:r w:rsidR="00632F4B" w:rsidRPr="00672545">
        <w:rPr>
          <w:rFonts w:cs="Calibri"/>
          <w:szCs w:val="26"/>
        </w:rPr>
        <w:t xml:space="preserve">that </w:t>
      </w:r>
      <w:r w:rsidR="00CA76EF" w:rsidRPr="00672545">
        <w:rPr>
          <w:rFonts w:cs="Calibri"/>
          <w:szCs w:val="26"/>
        </w:rPr>
        <w:t>it had shown to the jury</w:t>
      </w:r>
      <w:r w:rsidR="00D66C1D" w:rsidRPr="00672545">
        <w:rPr>
          <w:rFonts w:cs="Calibri"/>
          <w:szCs w:val="26"/>
        </w:rPr>
        <w:t xml:space="preserve">.  </w:t>
      </w:r>
      <w:r w:rsidR="00CA76EF" w:rsidRPr="00672545">
        <w:rPr>
          <w:rFonts w:cs="Calibri"/>
          <w:szCs w:val="26"/>
        </w:rPr>
        <w:t xml:space="preserve">The defense knew this was not true.  </w:t>
      </w:r>
      <w:r w:rsidR="00632F4B" w:rsidRPr="00672545">
        <w:rPr>
          <w:rFonts w:cs="Calibri"/>
          <w:szCs w:val="26"/>
        </w:rPr>
        <w:t xml:space="preserve">The images and segments of video introduced at this point were both </w:t>
      </w:r>
      <w:r w:rsidR="00A42059" w:rsidRPr="00672545">
        <w:rPr>
          <w:rFonts w:cs="Calibri"/>
          <w:szCs w:val="26"/>
        </w:rPr>
        <w:t>fewer</w:t>
      </w:r>
      <w:r w:rsidR="00632F4B" w:rsidRPr="00672545">
        <w:rPr>
          <w:rFonts w:cs="Calibri"/>
          <w:szCs w:val="26"/>
        </w:rPr>
        <w:t xml:space="preserve"> in total number and</w:t>
      </w:r>
      <w:r w:rsidR="00A017DE" w:rsidRPr="00672545">
        <w:rPr>
          <w:rFonts w:cs="Calibri"/>
          <w:szCs w:val="26"/>
        </w:rPr>
        <w:t>, according to the trial court</w:t>
      </w:r>
      <w:r w:rsidR="00AA0E7E" w:rsidRPr="00672545">
        <w:rPr>
          <w:rFonts w:cs="Calibri"/>
          <w:szCs w:val="26"/>
        </w:rPr>
        <w:t>,</w:t>
      </w:r>
      <w:r w:rsidR="00A017DE" w:rsidRPr="00672545">
        <w:t xml:space="preserve"> </w:t>
      </w:r>
      <w:r w:rsidR="00632F4B" w:rsidRPr="00672545">
        <w:rPr>
          <w:rFonts w:cs="Calibri"/>
          <w:szCs w:val="26"/>
        </w:rPr>
        <w:t xml:space="preserve">less inflammatory </w:t>
      </w:r>
      <w:r w:rsidR="00632F4B" w:rsidRPr="00672545">
        <w:t xml:space="preserve">than other images and videos depicting young girls </w:t>
      </w:r>
      <w:r w:rsidR="00A017DE" w:rsidRPr="00672545">
        <w:t xml:space="preserve">found </w:t>
      </w:r>
      <w:r w:rsidR="00632F4B" w:rsidRPr="00672545">
        <w:t xml:space="preserve">in defendant’s collection.  </w:t>
      </w:r>
      <w:r w:rsidR="00D114D8" w:rsidRPr="00672545">
        <w:rPr>
          <w:rFonts w:cs="Calibri"/>
          <w:szCs w:val="26"/>
        </w:rPr>
        <w:t xml:space="preserve">Moreover, </w:t>
      </w:r>
      <w:r w:rsidR="00E814C0" w:rsidRPr="00672545">
        <w:rPr>
          <w:rFonts w:cs="Calibri"/>
          <w:szCs w:val="26"/>
        </w:rPr>
        <w:t>defense counsel</w:t>
      </w:r>
      <w:r w:rsidR="00CA76EF" w:rsidRPr="00672545">
        <w:rPr>
          <w:rFonts w:cs="Calibri"/>
          <w:szCs w:val="26"/>
        </w:rPr>
        <w:t xml:space="preserve"> went on to </w:t>
      </w:r>
      <w:r w:rsidR="005166E4" w:rsidRPr="00672545">
        <w:rPr>
          <w:rFonts w:cs="Calibri"/>
          <w:szCs w:val="26"/>
        </w:rPr>
        <w:t xml:space="preserve">ask </w:t>
      </w:r>
      <w:r w:rsidR="00CA76EF" w:rsidRPr="00672545">
        <w:rPr>
          <w:rFonts w:cs="Calibri"/>
          <w:szCs w:val="26"/>
        </w:rPr>
        <w:t xml:space="preserve">Watkins </w:t>
      </w:r>
      <w:r w:rsidR="005166E4" w:rsidRPr="00672545">
        <w:rPr>
          <w:rFonts w:cs="Calibri"/>
          <w:szCs w:val="26"/>
        </w:rPr>
        <w:t xml:space="preserve">whether the “theme” of the pornography </w:t>
      </w:r>
      <w:r w:rsidR="00E814C0" w:rsidRPr="00672545">
        <w:rPr>
          <w:rFonts w:cs="Calibri"/>
          <w:szCs w:val="26"/>
        </w:rPr>
        <w:t xml:space="preserve">collection </w:t>
      </w:r>
      <w:r w:rsidR="005166E4" w:rsidRPr="00672545">
        <w:rPr>
          <w:rFonts w:cs="Calibri"/>
          <w:szCs w:val="26"/>
        </w:rPr>
        <w:t>was in fact</w:t>
      </w:r>
      <w:r w:rsidR="00D66C1D" w:rsidRPr="00672545">
        <w:rPr>
          <w:rFonts w:cs="Calibri"/>
          <w:szCs w:val="26"/>
        </w:rPr>
        <w:t xml:space="preserve"> </w:t>
      </w:r>
      <w:r w:rsidR="005166E4" w:rsidRPr="00672545">
        <w:rPr>
          <w:rFonts w:cs="Calibri"/>
          <w:szCs w:val="26"/>
        </w:rPr>
        <w:t xml:space="preserve">sexual acts with </w:t>
      </w:r>
      <w:r w:rsidR="00D66C1D" w:rsidRPr="00672545">
        <w:rPr>
          <w:rFonts w:cs="Calibri"/>
          <w:szCs w:val="26"/>
        </w:rPr>
        <w:t>large-breasted adult women</w:t>
      </w:r>
      <w:r w:rsidR="00E814C0" w:rsidRPr="00672545">
        <w:rPr>
          <w:rFonts w:cs="Calibri"/>
          <w:szCs w:val="26"/>
        </w:rPr>
        <w:t>.  I</w:t>
      </w:r>
      <w:r w:rsidR="005166E4" w:rsidRPr="00672545">
        <w:rPr>
          <w:rFonts w:cs="Calibri"/>
          <w:szCs w:val="26"/>
        </w:rPr>
        <w:t>n effect</w:t>
      </w:r>
      <w:r w:rsidR="00E814C0" w:rsidRPr="00672545">
        <w:rPr>
          <w:rFonts w:cs="Calibri"/>
          <w:szCs w:val="26"/>
        </w:rPr>
        <w:t>, the defense</w:t>
      </w:r>
      <w:r w:rsidR="005166E4" w:rsidRPr="00672545">
        <w:rPr>
          <w:rFonts w:cs="Calibri"/>
          <w:szCs w:val="26"/>
        </w:rPr>
        <w:t xml:space="preserve"> suggest</w:t>
      </w:r>
      <w:r w:rsidR="00E814C0" w:rsidRPr="00672545">
        <w:rPr>
          <w:rFonts w:cs="Calibri"/>
          <w:szCs w:val="26"/>
        </w:rPr>
        <w:t>ed</w:t>
      </w:r>
      <w:r w:rsidR="005166E4" w:rsidRPr="00672545">
        <w:rPr>
          <w:rFonts w:cs="Calibri"/>
          <w:szCs w:val="26"/>
        </w:rPr>
        <w:t xml:space="preserve"> the child pornography was not only limited in </w:t>
      </w:r>
      <w:r w:rsidR="005166E4" w:rsidRPr="00672545">
        <w:rPr>
          <w:rFonts w:cs="Calibri"/>
          <w:szCs w:val="26"/>
        </w:rPr>
        <w:lastRenderedPageBreak/>
        <w:t>quantity</w:t>
      </w:r>
      <w:r w:rsidR="00A017DE" w:rsidRPr="00672545">
        <w:rPr>
          <w:rFonts w:cs="Calibri"/>
          <w:szCs w:val="26"/>
        </w:rPr>
        <w:t>,</w:t>
      </w:r>
      <w:r w:rsidR="005166E4" w:rsidRPr="00672545">
        <w:rPr>
          <w:rFonts w:cs="Calibri"/>
          <w:szCs w:val="26"/>
        </w:rPr>
        <w:t xml:space="preserve"> but </w:t>
      </w:r>
      <w:r w:rsidR="001368A0" w:rsidRPr="00672545">
        <w:rPr>
          <w:rFonts w:cs="Calibri"/>
          <w:szCs w:val="26"/>
        </w:rPr>
        <w:t>importantly</w:t>
      </w:r>
      <w:r w:rsidR="00C7005A" w:rsidRPr="00672545">
        <w:rPr>
          <w:rFonts w:cs="Calibri"/>
          <w:szCs w:val="26"/>
        </w:rPr>
        <w:t>,</w:t>
      </w:r>
      <w:r w:rsidR="001368A0" w:rsidRPr="00672545">
        <w:rPr>
          <w:rFonts w:cs="Calibri"/>
          <w:szCs w:val="26"/>
        </w:rPr>
        <w:t xml:space="preserve"> was </w:t>
      </w:r>
      <w:r w:rsidR="00302DC9" w:rsidRPr="00672545">
        <w:rPr>
          <w:rFonts w:cs="Calibri"/>
          <w:szCs w:val="26"/>
        </w:rPr>
        <w:t xml:space="preserve">substantively </w:t>
      </w:r>
      <w:r w:rsidR="001368A0" w:rsidRPr="00672545">
        <w:rPr>
          <w:rFonts w:cs="Calibri"/>
          <w:szCs w:val="26"/>
        </w:rPr>
        <w:t>a subject</w:t>
      </w:r>
      <w:r w:rsidR="00703AC1" w:rsidRPr="00672545">
        <w:rPr>
          <w:rFonts w:cs="Calibri"/>
          <w:szCs w:val="26"/>
        </w:rPr>
        <w:t xml:space="preserve"> </w:t>
      </w:r>
      <w:r w:rsidR="005166E4" w:rsidRPr="00672545">
        <w:rPr>
          <w:rFonts w:cs="Calibri"/>
          <w:szCs w:val="26"/>
        </w:rPr>
        <w:t>of little interest to defendant</w:t>
      </w:r>
      <w:r w:rsidR="0041724C" w:rsidRPr="00672545">
        <w:rPr>
          <w:rFonts w:cs="Calibri"/>
          <w:szCs w:val="26"/>
        </w:rPr>
        <w:t xml:space="preserve"> while ignoring the existence of </w:t>
      </w:r>
      <w:r w:rsidR="002B2A17" w:rsidRPr="00672545">
        <w:rPr>
          <w:rFonts w:cs="Calibri"/>
          <w:szCs w:val="26"/>
        </w:rPr>
        <w:t>numerous “borderline” pictures</w:t>
      </w:r>
      <w:r w:rsidR="005166E4" w:rsidRPr="00672545">
        <w:rPr>
          <w:rFonts w:cs="Calibri"/>
          <w:szCs w:val="26"/>
        </w:rPr>
        <w:t>.</w:t>
      </w:r>
      <w:r w:rsidR="00D66C1D" w:rsidRPr="00672545">
        <w:rPr>
          <w:rFonts w:cs="Calibri"/>
          <w:szCs w:val="26"/>
        </w:rPr>
        <w:t xml:space="preserve">  </w:t>
      </w:r>
      <w:r w:rsidR="00817C91" w:rsidRPr="00672545">
        <w:rPr>
          <w:rFonts w:cs="Calibri"/>
          <w:szCs w:val="26"/>
        </w:rPr>
        <w:t xml:space="preserve">Defendant implicitly </w:t>
      </w:r>
      <w:r w:rsidR="00F17D76" w:rsidRPr="00672545">
        <w:rPr>
          <w:rFonts w:cs="Calibri"/>
          <w:szCs w:val="26"/>
        </w:rPr>
        <w:t>suggested to the jury</w:t>
      </w:r>
      <w:r w:rsidR="00817C91" w:rsidRPr="00672545">
        <w:rPr>
          <w:rFonts w:cs="Calibri"/>
          <w:szCs w:val="26"/>
        </w:rPr>
        <w:t xml:space="preserve"> that the videos and images </w:t>
      </w:r>
      <w:r w:rsidR="00F17D76" w:rsidRPr="00672545">
        <w:rPr>
          <w:rFonts w:cs="Calibri"/>
          <w:szCs w:val="26"/>
        </w:rPr>
        <w:t>it</w:t>
      </w:r>
      <w:r w:rsidR="00817C91" w:rsidRPr="00672545">
        <w:rPr>
          <w:rFonts w:cs="Calibri"/>
          <w:szCs w:val="26"/>
        </w:rPr>
        <w:t xml:space="preserve"> had seen were not representative of </w:t>
      </w:r>
      <w:r w:rsidR="00F17D76" w:rsidRPr="00672545">
        <w:rPr>
          <w:rFonts w:cs="Calibri"/>
          <w:szCs w:val="26"/>
        </w:rPr>
        <w:t>defendant’s</w:t>
      </w:r>
      <w:r w:rsidR="00817C91" w:rsidRPr="00672545">
        <w:rPr>
          <w:rFonts w:cs="Calibri"/>
          <w:szCs w:val="26"/>
        </w:rPr>
        <w:t xml:space="preserve"> sexual </w:t>
      </w:r>
      <w:r w:rsidR="00F17D76" w:rsidRPr="00672545">
        <w:rPr>
          <w:rFonts w:cs="Calibri"/>
          <w:szCs w:val="26"/>
        </w:rPr>
        <w:t xml:space="preserve">interest or </w:t>
      </w:r>
      <w:r w:rsidR="00817C91" w:rsidRPr="00672545">
        <w:rPr>
          <w:rFonts w:cs="Calibri"/>
          <w:szCs w:val="26"/>
        </w:rPr>
        <w:t>fantasies.</w:t>
      </w:r>
    </w:p>
    <w:p w14:paraId="55D2BAE4" w14:textId="69BCD99C" w:rsidR="004300AC" w:rsidRPr="00672545" w:rsidRDefault="005166E4" w:rsidP="00672545">
      <w:pPr>
        <w:rPr>
          <w:rFonts w:cs="Calibri"/>
          <w:szCs w:val="26"/>
        </w:rPr>
      </w:pPr>
      <w:r w:rsidRPr="00672545">
        <w:rPr>
          <w:rFonts w:cs="Calibri"/>
          <w:szCs w:val="26"/>
        </w:rPr>
        <w:tab/>
        <w:t xml:space="preserve">The prosecutor objected </w:t>
      </w:r>
      <w:r w:rsidR="00E814C0" w:rsidRPr="00672545">
        <w:rPr>
          <w:rFonts w:cs="Calibri"/>
          <w:szCs w:val="26"/>
        </w:rPr>
        <w:t xml:space="preserve">based on “best evidence.”  </w:t>
      </w:r>
      <w:r w:rsidR="00771061" w:rsidRPr="00672545">
        <w:rPr>
          <w:rFonts w:cs="Calibri"/>
          <w:szCs w:val="26"/>
        </w:rPr>
        <w:t>Defendant contends the testimony sought by the defense cross-examination was not subject to the best-evidence rule, which in its traditional form no longer exists.  (</w:t>
      </w:r>
      <w:r w:rsidR="00703AC1" w:rsidRPr="00672545">
        <w:rPr>
          <w:rFonts w:cs="Calibri"/>
          <w:szCs w:val="26"/>
        </w:rPr>
        <w:t xml:space="preserve">See </w:t>
      </w:r>
      <w:proofErr w:type="spellStart"/>
      <w:r w:rsidR="00771061" w:rsidRPr="00672545">
        <w:rPr>
          <w:rFonts w:cs="Calibri"/>
          <w:szCs w:val="26"/>
        </w:rPr>
        <w:t>Evid</w:t>
      </w:r>
      <w:proofErr w:type="spellEnd"/>
      <w:r w:rsidR="00771061" w:rsidRPr="00672545">
        <w:rPr>
          <w:rFonts w:cs="Calibri"/>
          <w:szCs w:val="26"/>
        </w:rPr>
        <w:t>. Code, § 1521</w:t>
      </w:r>
      <w:r w:rsidR="00E73E37" w:rsidRPr="00672545">
        <w:rPr>
          <w:rFonts w:cs="Calibri"/>
          <w:szCs w:val="26"/>
        </w:rPr>
        <w:t>.</w:t>
      </w:r>
      <w:r w:rsidR="00771061" w:rsidRPr="00672545">
        <w:rPr>
          <w:rFonts w:cs="Calibri"/>
          <w:szCs w:val="26"/>
        </w:rPr>
        <w:t xml:space="preserve">)  </w:t>
      </w:r>
      <w:r w:rsidR="009C6831">
        <w:rPr>
          <w:rFonts w:cs="Calibri"/>
          <w:szCs w:val="26"/>
        </w:rPr>
        <w:t>T</w:t>
      </w:r>
      <w:r w:rsidR="00D25EBF" w:rsidRPr="00672545">
        <w:rPr>
          <w:rFonts w:cs="Calibri"/>
          <w:szCs w:val="26"/>
        </w:rPr>
        <w:t xml:space="preserve">he </w:t>
      </w:r>
      <w:r w:rsidR="009C6831">
        <w:rPr>
          <w:rFonts w:cs="Calibri"/>
          <w:szCs w:val="26"/>
        </w:rPr>
        <w:t xml:space="preserve">prosecutor’s </w:t>
      </w:r>
      <w:r w:rsidR="00D25EBF" w:rsidRPr="00672545">
        <w:rPr>
          <w:rFonts w:cs="Calibri"/>
          <w:szCs w:val="26"/>
        </w:rPr>
        <w:t>objection</w:t>
      </w:r>
      <w:r w:rsidR="009C6831">
        <w:rPr>
          <w:rFonts w:cs="Calibri"/>
          <w:szCs w:val="26"/>
        </w:rPr>
        <w:t>, however,</w:t>
      </w:r>
      <w:r w:rsidR="00D25EBF" w:rsidRPr="00672545">
        <w:rPr>
          <w:rFonts w:cs="Calibri"/>
          <w:szCs w:val="26"/>
        </w:rPr>
        <w:t xml:space="preserve"> </w:t>
      </w:r>
      <w:r w:rsidR="009C6831">
        <w:rPr>
          <w:rFonts w:cs="Calibri"/>
          <w:szCs w:val="26"/>
        </w:rPr>
        <w:t xml:space="preserve">may have reflected </w:t>
      </w:r>
      <w:r w:rsidR="00B867EF" w:rsidRPr="00672545">
        <w:rPr>
          <w:rFonts w:cs="Calibri"/>
          <w:szCs w:val="26"/>
        </w:rPr>
        <w:t xml:space="preserve">the </w:t>
      </w:r>
      <w:r w:rsidR="00B9414D" w:rsidRPr="00672545">
        <w:rPr>
          <w:rFonts w:cs="Calibri"/>
          <w:szCs w:val="26"/>
        </w:rPr>
        <w:t>idea that a review of</w:t>
      </w:r>
      <w:r w:rsidR="00E814C0" w:rsidRPr="00672545">
        <w:rPr>
          <w:rFonts w:cs="Calibri"/>
          <w:szCs w:val="26"/>
        </w:rPr>
        <w:t xml:space="preserve"> </w:t>
      </w:r>
      <w:r w:rsidR="00D25EBF" w:rsidRPr="00672545">
        <w:rPr>
          <w:rFonts w:cs="Calibri"/>
          <w:szCs w:val="26"/>
        </w:rPr>
        <w:t xml:space="preserve">the remainder of </w:t>
      </w:r>
      <w:r w:rsidR="00E814C0" w:rsidRPr="00672545">
        <w:rPr>
          <w:rFonts w:cs="Calibri"/>
          <w:szCs w:val="26"/>
        </w:rPr>
        <w:t xml:space="preserve">the </w:t>
      </w:r>
      <w:r w:rsidR="00D25EBF" w:rsidRPr="00672545">
        <w:rPr>
          <w:rFonts w:cs="Calibri"/>
          <w:szCs w:val="26"/>
        </w:rPr>
        <w:t xml:space="preserve">pornography collection would </w:t>
      </w:r>
      <w:r w:rsidR="00107144" w:rsidRPr="00672545">
        <w:rPr>
          <w:rFonts w:cs="Calibri"/>
          <w:szCs w:val="26"/>
        </w:rPr>
        <w:t xml:space="preserve">best </w:t>
      </w:r>
      <w:r w:rsidR="00E814C0" w:rsidRPr="00672545">
        <w:rPr>
          <w:rFonts w:cs="Calibri"/>
          <w:szCs w:val="26"/>
        </w:rPr>
        <w:t xml:space="preserve">reveal whether </w:t>
      </w:r>
      <w:r w:rsidR="00D25EBF" w:rsidRPr="00672545">
        <w:rPr>
          <w:rFonts w:cs="Calibri"/>
          <w:szCs w:val="26"/>
        </w:rPr>
        <w:t xml:space="preserve">the </w:t>
      </w:r>
      <w:r w:rsidR="00E814C0" w:rsidRPr="00672545">
        <w:rPr>
          <w:rFonts w:cs="Calibri"/>
          <w:szCs w:val="26"/>
        </w:rPr>
        <w:t xml:space="preserve">images of young girls was </w:t>
      </w:r>
      <w:r w:rsidR="00E73E37" w:rsidRPr="00672545">
        <w:rPr>
          <w:rFonts w:cs="Calibri"/>
          <w:szCs w:val="26"/>
        </w:rPr>
        <w:t>as</w:t>
      </w:r>
      <w:r w:rsidR="00E814C0" w:rsidRPr="00672545">
        <w:rPr>
          <w:rFonts w:cs="Calibri"/>
          <w:szCs w:val="26"/>
        </w:rPr>
        <w:t xml:space="preserve"> de minimis</w:t>
      </w:r>
      <w:r w:rsidR="00E73E37" w:rsidRPr="00672545">
        <w:rPr>
          <w:rFonts w:cs="Calibri"/>
          <w:szCs w:val="26"/>
        </w:rPr>
        <w:t xml:space="preserve"> </w:t>
      </w:r>
      <w:r w:rsidR="00954DEF" w:rsidRPr="00672545">
        <w:rPr>
          <w:rFonts w:cs="Calibri"/>
          <w:szCs w:val="26"/>
        </w:rPr>
        <w:t xml:space="preserve">in quantity and </w:t>
      </w:r>
      <w:r w:rsidR="009E0B0A" w:rsidRPr="00672545">
        <w:rPr>
          <w:rFonts w:cs="Calibri"/>
          <w:szCs w:val="26"/>
        </w:rPr>
        <w:t>sub</w:t>
      </w:r>
      <w:r w:rsidR="00CF2574" w:rsidRPr="00672545">
        <w:rPr>
          <w:rFonts w:cs="Calibri"/>
          <w:szCs w:val="26"/>
        </w:rPr>
        <w:t>stance</w:t>
      </w:r>
      <w:r w:rsidR="00954DEF" w:rsidRPr="00672545">
        <w:rPr>
          <w:rFonts w:cs="Calibri"/>
          <w:szCs w:val="26"/>
        </w:rPr>
        <w:t xml:space="preserve"> </w:t>
      </w:r>
      <w:r w:rsidR="00E73E37" w:rsidRPr="00672545">
        <w:rPr>
          <w:rFonts w:cs="Calibri"/>
          <w:szCs w:val="26"/>
        </w:rPr>
        <w:t>as defendant claimed</w:t>
      </w:r>
      <w:r w:rsidR="00E814C0" w:rsidRPr="00672545">
        <w:rPr>
          <w:rFonts w:cs="Calibri"/>
          <w:szCs w:val="26"/>
        </w:rPr>
        <w:t xml:space="preserve">.  </w:t>
      </w:r>
      <w:r w:rsidR="00817C91" w:rsidRPr="00672545">
        <w:rPr>
          <w:rFonts w:cs="Calibri"/>
          <w:szCs w:val="26"/>
        </w:rPr>
        <w:t xml:space="preserve">The full collection would </w:t>
      </w:r>
      <w:r w:rsidR="00E26C60" w:rsidRPr="00672545">
        <w:rPr>
          <w:rFonts w:cs="Calibri"/>
          <w:szCs w:val="26"/>
        </w:rPr>
        <w:t xml:space="preserve">more accurately </w:t>
      </w:r>
      <w:r w:rsidR="00817C91" w:rsidRPr="00672545">
        <w:rPr>
          <w:rFonts w:cs="Calibri"/>
          <w:szCs w:val="26"/>
        </w:rPr>
        <w:t xml:space="preserve">establish the true nature of defendant’s sexual interests.  </w:t>
      </w:r>
    </w:p>
    <w:p w14:paraId="1058A1FC" w14:textId="77777777" w:rsidR="00CB5C6F" w:rsidRPr="00672545" w:rsidRDefault="001A58EE" w:rsidP="00672545">
      <w:pPr>
        <w:ind w:firstLine="720"/>
        <w:rPr>
          <w:rFonts w:cs="Calibri"/>
          <w:szCs w:val="26"/>
        </w:rPr>
      </w:pPr>
      <w:r w:rsidRPr="00672545">
        <w:rPr>
          <w:rFonts w:cs="Calibri"/>
          <w:szCs w:val="26"/>
        </w:rPr>
        <w:t xml:space="preserve">This concept is </w:t>
      </w:r>
      <w:r w:rsidR="002E30C4" w:rsidRPr="00672545">
        <w:rPr>
          <w:rFonts w:cs="Calibri"/>
          <w:szCs w:val="26"/>
        </w:rPr>
        <w:t xml:space="preserve">properly </w:t>
      </w:r>
      <w:r w:rsidRPr="00672545">
        <w:rPr>
          <w:rFonts w:cs="Calibri"/>
          <w:szCs w:val="26"/>
        </w:rPr>
        <w:t xml:space="preserve">embodied by </w:t>
      </w:r>
      <w:r w:rsidRPr="00672545">
        <w:t>Evidence Code 356, the rule of completeness</w:t>
      </w:r>
      <w:r w:rsidR="002E5039" w:rsidRPr="00672545">
        <w:rPr>
          <w:rFonts w:cs="Calibri"/>
          <w:szCs w:val="26"/>
        </w:rPr>
        <w:t xml:space="preserve">.  </w:t>
      </w:r>
      <w:r w:rsidR="004300AC" w:rsidRPr="00672545">
        <w:rPr>
          <w:rFonts w:cs="Calibri"/>
          <w:szCs w:val="26"/>
        </w:rPr>
        <w:t xml:space="preserve">Evidence Code section 356 provides, in relevant part, that “[w]here part of [a] . . . </w:t>
      </w:r>
      <w:r w:rsidR="00CB5C6F" w:rsidRPr="00672545">
        <w:rPr>
          <w:rFonts w:cs="Calibri"/>
          <w:szCs w:val="26"/>
        </w:rPr>
        <w:t>writing</w:t>
      </w:r>
      <w:r w:rsidR="004300AC" w:rsidRPr="00672545">
        <w:rPr>
          <w:rFonts w:cs="Calibri"/>
          <w:szCs w:val="26"/>
        </w:rPr>
        <w:t xml:space="preserve"> is given in evidence by one party, the whole on the same subject may be inquired into by</w:t>
      </w:r>
      <w:r w:rsidR="003A6F60">
        <w:rPr>
          <w:rFonts w:cs="Calibri"/>
          <w:szCs w:val="26"/>
        </w:rPr>
        <w:t xml:space="preserve"> an adverse party;</w:t>
      </w:r>
      <w:r w:rsidR="00D501F5">
        <w:rPr>
          <w:rFonts w:cs="Calibri"/>
          <w:szCs w:val="26"/>
        </w:rPr>
        <w:t xml:space="preserve"> . . . ;</w:t>
      </w:r>
      <w:r w:rsidR="003A6F60">
        <w:rPr>
          <w:rFonts w:cs="Calibri"/>
          <w:szCs w:val="26"/>
        </w:rPr>
        <w:t xml:space="preserve"> . . . when a</w:t>
      </w:r>
      <w:r w:rsidR="004300AC" w:rsidRPr="00672545">
        <w:rPr>
          <w:rFonts w:cs="Calibri"/>
          <w:szCs w:val="26"/>
        </w:rPr>
        <w:t xml:space="preserve"> </w:t>
      </w:r>
      <w:r w:rsidR="00CB5C6F" w:rsidRPr="00672545">
        <w:rPr>
          <w:rFonts w:cs="Calibri"/>
          <w:szCs w:val="26"/>
        </w:rPr>
        <w:t>writing</w:t>
      </w:r>
      <w:r w:rsidR="004300AC" w:rsidRPr="00672545">
        <w:rPr>
          <w:rFonts w:cs="Calibri"/>
          <w:szCs w:val="26"/>
        </w:rPr>
        <w:t xml:space="preserve"> is given in evidence, any other act, declaration, conversation, or writing which is necessary to make it understood m</w:t>
      </w:r>
      <w:r w:rsidR="00CB5C6F" w:rsidRPr="00672545">
        <w:rPr>
          <w:rFonts w:cs="Calibri"/>
          <w:szCs w:val="26"/>
        </w:rPr>
        <w:t>ay also be given in evidence.”  “</w:t>
      </w:r>
      <w:r w:rsidR="004300AC" w:rsidRPr="00672545">
        <w:rPr>
          <w:rFonts w:cs="Calibri"/>
          <w:szCs w:val="26"/>
        </w:rPr>
        <w:t>The purpose of Evidence Co</w:t>
      </w:r>
      <w:r w:rsidR="00CB5C6F" w:rsidRPr="00672545">
        <w:rPr>
          <w:rFonts w:cs="Calibri"/>
          <w:szCs w:val="26"/>
        </w:rPr>
        <w:t xml:space="preserve">de section 356 </w:t>
      </w:r>
      <w:r w:rsidR="004300AC" w:rsidRPr="00672545">
        <w:rPr>
          <w:rFonts w:cs="Calibri"/>
          <w:szCs w:val="26"/>
        </w:rPr>
        <w:t>is to avoid creating a misleading impression.</w:t>
      </w:r>
      <w:r w:rsidR="00CB5C6F" w:rsidRPr="00672545">
        <w:rPr>
          <w:rFonts w:cs="Calibri"/>
          <w:szCs w:val="26"/>
        </w:rPr>
        <w:t>”  (</w:t>
      </w:r>
      <w:r w:rsidR="00CB5C6F" w:rsidRPr="00672545">
        <w:rPr>
          <w:rFonts w:cs="Calibri"/>
          <w:i/>
          <w:szCs w:val="26"/>
        </w:rPr>
        <w:t>People v. Samuels</w:t>
      </w:r>
      <w:r w:rsidR="00CB5C6F" w:rsidRPr="00672545">
        <w:rPr>
          <w:rFonts w:cs="Calibri"/>
          <w:szCs w:val="26"/>
        </w:rPr>
        <w:t xml:space="preserve"> (2005) 36 Cal.4th 96, 130.)</w:t>
      </w:r>
    </w:p>
    <w:p w14:paraId="334AFC44" w14:textId="17D5D2D0" w:rsidR="009D7176" w:rsidRPr="00672545" w:rsidRDefault="00C35AA7" w:rsidP="00672545">
      <w:pPr>
        <w:ind w:firstLine="720"/>
        <w:rPr>
          <w:rFonts w:cs="Calibri"/>
          <w:szCs w:val="26"/>
        </w:rPr>
      </w:pPr>
      <w:r w:rsidRPr="00672545">
        <w:rPr>
          <w:rFonts w:cs="Calibri"/>
          <w:szCs w:val="26"/>
        </w:rPr>
        <w:t>Under the rule of completeness, we</w:t>
      </w:r>
      <w:r w:rsidR="00817C91" w:rsidRPr="00672545">
        <w:rPr>
          <w:rFonts w:cs="Calibri"/>
          <w:szCs w:val="26"/>
        </w:rPr>
        <w:t xml:space="preserve"> agree with t</w:t>
      </w:r>
      <w:r w:rsidR="00954DEF" w:rsidRPr="00672545">
        <w:rPr>
          <w:rFonts w:cs="Calibri"/>
          <w:szCs w:val="26"/>
        </w:rPr>
        <w:t>he trial court</w:t>
      </w:r>
      <w:r w:rsidR="002E5039" w:rsidRPr="00672545">
        <w:rPr>
          <w:rFonts w:cs="Calibri"/>
          <w:szCs w:val="26"/>
        </w:rPr>
        <w:t>’s response</w:t>
      </w:r>
      <w:r w:rsidR="00817C91" w:rsidRPr="00672545">
        <w:rPr>
          <w:rFonts w:cs="Calibri"/>
          <w:szCs w:val="26"/>
        </w:rPr>
        <w:t xml:space="preserve"> that</w:t>
      </w:r>
      <w:r w:rsidR="00954DEF" w:rsidRPr="00672545">
        <w:rPr>
          <w:rFonts w:cs="Calibri"/>
          <w:szCs w:val="26"/>
        </w:rPr>
        <w:t xml:space="preserve"> </w:t>
      </w:r>
      <w:r w:rsidR="00944A80" w:rsidRPr="00672545">
        <w:rPr>
          <w:rFonts w:cs="Calibri"/>
          <w:szCs w:val="26"/>
        </w:rPr>
        <w:t xml:space="preserve">by its cross-examination, </w:t>
      </w:r>
      <w:r w:rsidR="003230DB" w:rsidRPr="00672545">
        <w:rPr>
          <w:rFonts w:cs="Calibri"/>
          <w:szCs w:val="26"/>
        </w:rPr>
        <w:t xml:space="preserve">the </w:t>
      </w:r>
      <w:r w:rsidR="00954DEF" w:rsidRPr="00672545">
        <w:rPr>
          <w:rFonts w:cs="Calibri"/>
          <w:szCs w:val="26"/>
        </w:rPr>
        <w:t>defen</w:t>
      </w:r>
      <w:r w:rsidR="003230DB" w:rsidRPr="00672545">
        <w:rPr>
          <w:rFonts w:cs="Calibri"/>
          <w:szCs w:val="26"/>
        </w:rPr>
        <w:t>se</w:t>
      </w:r>
      <w:r w:rsidR="00954DEF" w:rsidRPr="00672545">
        <w:rPr>
          <w:rFonts w:cs="Calibri"/>
          <w:szCs w:val="26"/>
        </w:rPr>
        <w:t xml:space="preserve"> </w:t>
      </w:r>
      <w:r w:rsidR="002E5039" w:rsidRPr="00672545">
        <w:rPr>
          <w:rFonts w:cs="Calibri"/>
          <w:szCs w:val="26"/>
        </w:rPr>
        <w:t xml:space="preserve">had </w:t>
      </w:r>
      <w:r w:rsidR="00954DEF" w:rsidRPr="00672545">
        <w:rPr>
          <w:rFonts w:cs="Calibri"/>
          <w:szCs w:val="26"/>
        </w:rPr>
        <w:t>“opened the door</w:t>
      </w:r>
      <w:r w:rsidR="001A7907" w:rsidRPr="00672545">
        <w:rPr>
          <w:rFonts w:cs="Calibri"/>
          <w:szCs w:val="26"/>
        </w:rPr>
        <w:t>” to the admission of the other pornography evidence.</w:t>
      </w:r>
      <w:r w:rsidR="00954DEF" w:rsidRPr="00672545">
        <w:rPr>
          <w:rFonts w:cs="Calibri"/>
          <w:szCs w:val="26"/>
        </w:rPr>
        <w:t xml:space="preserve"> </w:t>
      </w:r>
      <w:r w:rsidR="009E0B0A" w:rsidRPr="00672545">
        <w:rPr>
          <w:rFonts w:cs="Calibri"/>
          <w:szCs w:val="26"/>
        </w:rPr>
        <w:t xml:space="preserve"> </w:t>
      </w:r>
      <w:r w:rsidR="00A43823" w:rsidRPr="00672545">
        <w:rPr>
          <w:rFonts w:cs="Calibri"/>
          <w:szCs w:val="26"/>
        </w:rPr>
        <w:t>(</w:t>
      </w:r>
      <w:proofErr w:type="spellStart"/>
      <w:r w:rsidR="000B6AF7" w:rsidRPr="00672545">
        <w:rPr>
          <w:rFonts w:cs="Calibri"/>
          <w:szCs w:val="26"/>
        </w:rPr>
        <w:t>Evid</w:t>
      </w:r>
      <w:proofErr w:type="spellEnd"/>
      <w:r w:rsidR="000B6AF7" w:rsidRPr="00672545">
        <w:rPr>
          <w:rFonts w:cs="Calibri"/>
          <w:szCs w:val="26"/>
        </w:rPr>
        <w:t>. Code, § 356; s</w:t>
      </w:r>
      <w:r w:rsidR="00A43823" w:rsidRPr="00672545">
        <w:rPr>
          <w:rFonts w:cs="Calibri"/>
          <w:szCs w:val="26"/>
        </w:rPr>
        <w:t xml:space="preserve">ee </w:t>
      </w:r>
      <w:r w:rsidR="00A43823" w:rsidRPr="00672545">
        <w:rPr>
          <w:rFonts w:cs="Calibri"/>
          <w:i/>
          <w:szCs w:val="26"/>
        </w:rPr>
        <w:t>People v. Vines</w:t>
      </w:r>
      <w:r w:rsidR="00A43823" w:rsidRPr="00672545">
        <w:rPr>
          <w:szCs w:val="26"/>
        </w:rPr>
        <w:t xml:space="preserve"> (2011) 51 Cal.4th 830, 861; </w:t>
      </w:r>
      <w:r w:rsidR="00A43823" w:rsidRPr="00672545">
        <w:rPr>
          <w:i/>
          <w:szCs w:val="26"/>
        </w:rPr>
        <w:t>P</w:t>
      </w:r>
      <w:r w:rsidR="00A43823" w:rsidRPr="00672545">
        <w:rPr>
          <w:rFonts w:cs="Calibri"/>
          <w:i/>
          <w:szCs w:val="26"/>
        </w:rPr>
        <w:t xml:space="preserve">eople v. </w:t>
      </w:r>
      <w:proofErr w:type="spellStart"/>
      <w:r w:rsidR="00A43823" w:rsidRPr="00672545">
        <w:rPr>
          <w:rFonts w:cs="Calibri"/>
          <w:i/>
          <w:szCs w:val="26"/>
        </w:rPr>
        <w:t>Sakarias</w:t>
      </w:r>
      <w:proofErr w:type="spellEnd"/>
      <w:r w:rsidR="00A43823" w:rsidRPr="00672545">
        <w:rPr>
          <w:rFonts w:cs="Calibri"/>
          <w:szCs w:val="26"/>
        </w:rPr>
        <w:t xml:space="preserve"> (2000) 22 Cal.4th</w:t>
      </w:r>
      <w:r w:rsidR="001E140E">
        <w:rPr>
          <w:rFonts w:cs="Calibri"/>
          <w:szCs w:val="26"/>
        </w:rPr>
        <w:t xml:space="preserve"> </w:t>
      </w:r>
      <w:r w:rsidR="00A43823" w:rsidRPr="00672545">
        <w:rPr>
          <w:rFonts w:cs="Calibri"/>
          <w:szCs w:val="26"/>
        </w:rPr>
        <w:t>596, 643-</w:t>
      </w:r>
      <w:r w:rsidR="00A43823" w:rsidRPr="00672545">
        <w:rPr>
          <w:rFonts w:cs="Calibri"/>
          <w:szCs w:val="26"/>
        </w:rPr>
        <w:lastRenderedPageBreak/>
        <w:t>644.)</w:t>
      </w:r>
      <w:r w:rsidR="009E0B0A" w:rsidRPr="00672545">
        <w:rPr>
          <w:rFonts w:cs="Calibri"/>
          <w:szCs w:val="26"/>
        </w:rPr>
        <w:t xml:space="preserve"> </w:t>
      </w:r>
      <w:r w:rsidR="00954DEF" w:rsidRPr="00672545">
        <w:rPr>
          <w:rFonts w:cs="Calibri"/>
          <w:szCs w:val="26"/>
        </w:rPr>
        <w:t xml:space="preserve"> </w:t>
      </w:r>
      <w:r w:rsidR="001A7907" w:rsidRPr="00672545">
        <w:rPr>
          <w:rFonts w:cs="Calibri"/>
          <w:szCs w:val="26"/>
        </w:rPr>
        <w:t xml:space="preserve">The additional pornography </w:t>
      </w:r>
      <w:r w:rsidR="00A42059" w:rsidRPr="00672545">
        <w:rPr>
          <w:rFonts w:cs="Calibri"/>
          <w:szCs w:val="26"/>
        </w:rPr>
        <w:t xml:space="preserve">became </w:t>
      </w:r>
      <w:r w:rsidR="002E5039" w:rsidRPr="00672545">
        <w:rPr>
          <w:rFonts w:cs="Calibri"/>
          <w:szCs w:val="26"/>
        </w:rPr>
        <w:t>relevant</w:t>
      </w:r>
      <w:r w:rsidR="001A7907" w:rsidRPr="00672545">
        <w:rPr>
          <w:rFonts w:cs="Calibri"/>
          <w:szCs w:val="26"/>
        </w:rPr>
        <w:t xml:space="preserve"> </w:t>
      </w:r>
      <w:proofErr w:type="gramStart"/>
      <w:r w:rsidR="001A7907" w:rsidRPr="00672545">
        <w:rPr>
          <w:rFonts w:cs="Calibri"/>
          <w:szCs w:val="26"/>
        </w:rPr>
        <w:t xml:space="preserve">in </w:t>
      </w:r>
      <w:r w:rsidR="00954DEF" w:rsidRPr="00672545">
        <w:rPr>
          <w:rFonts w:cs="Calibri"/>
          <w:szCs w:val="26"/>
        </w:rPr>
        <w:t>order for</w:t>
      </w:r>
      <w:proofErr w:type="gramEnd"/>
      <w:r w:rsidR="00954DEF" w:rsidRPr="00672545">
        <w:rPr>
          <w:rFonts w:cs="Calibri"/>
          <w:szCs w:val="26"/>
        </w:rPr>
        <w:t xml:space="preserve"> the jury to test defendant’s implicit assertion that the pornography in his collection did not reflect a particular sexual interest in young girls</w:t>
      </w:r>
      <w:r w:rsidR="00A44369" w:rsidRPr="00672545">
        <w:rPr>
          <w:rFonts w:cs="Calibri"/>
          <w:szCs w:val="26"/>
        </w:rPr>
        <w:t xml:space="preserve">, much less </w:t>
      </w:r>
      <w:r w:rsidR="006E7648" w:rsidRPr="00672545">
        <w:rPr>
          <w:rFonts w:cs="Calibri"/>
          <w:szCs w:val="26"/>
        </w:rPr>
        <w:t>an interest in</w:t>
      </w:r>
      <w:r w:rsidR="00A44369" w:rsidRPr="00672545">
        <w:rPr>
          <w:rFonts w:cs="Calibri"/>
          <w:szCs w:val="26"/>
        </w:rPr>
        <w:t xml:space="preserve"> </w:t>
      </w:r>
      <w:r w:rsidR="006E7648" w:rsidRPr="00672545">
        <w:rPr>
          <w:rFonts w:cs="Calibri"/>
          <w:szCs w:val="26"/>
        </w:rPr>
        <w:t xml:space="preserve">violent </w:t>
      </w:r>
      <w:r w:rsidR="001A1E74" w:rsidRPr="00672545">
        <w:rPr>
          <w:rFonts w:cs="Calibri"/>
          <w:szCs w:val="26"/>
        </w:rPr>
        <w:t xml:space="preserve">sexual </w:t>
      </w:r>
      <w:r w:rsidR="00A44369" w:rsidRPr="00672545">
        <w:rPr>
          <w:rFonts w:cs="Calibri"/>
          <w:szCs w:val="26"/>
        </w:rPr>
        <w:t>assault of young girls</w:t>
      </w:r>
      <w:r w:rsidR="00954DEF" w:rsidRPr="00672545">
        <w:rPr>
          <w:rFonts w:cs="Calibri"/>
          <w:szCs w:val="26"/>
        </w:rPr>
        <w:t xml:space="preserve">.  </w:t>
      </w:r>
      <w:r w:rsidR="009E0B0A" w:rsidRPr="00672545">
        <w:rPr>
          <w:rFonts w:cs="Calibri"/>
          <w:szCs w:val="26"/>
        </w:rPr>
        <w:t>Under the circumstances, the</w:t>
      </w:r>
      <w:r w:rsidR="0070447C" w:rsidRPr="00672545">
        <w:rPr>
          <w:rFonts w:cs="Calibri"/>
          <w:szCs w:val="26"/>
        </w:rPr>
        <w:t xml:space="preserve"> prosecution </w:t>
      </w:r>
      <w:r w:rsidR="00A805F2" w:rsidRPr="00672545">
        <w:rPr>
          <w:rFonts w:cs="Calibri"/>
          <w:szCs w:val="26"/>
        </w:rPr>
        <w:t xml:space="preserve">was not limited to corrective redirect examination </w:t>
      </w:r>
      <w:proofErr w:type="gramStart"/>
      <w:r w:rsidR="00A805F2" w:rsidRPr="00672545">
        <w:rPr>
          <w:rFonts w:cs="Calibri"/>
          <w:szCs w:val="26"/>
        </w:rPr>
        <w:t>in order</w:t>
      </w:r>
      <w:r w:rsidR="00954DEF" w:rsidRPr="00672545">
        <w:rPr>
          <w:rFonts w:cs="Calibri"/>
          <w:szCs w:val="26"/>
        </w:rPr>
        <w:t xml:space="preserve"> </w:t>
      </w:r>
      <w:r w:rsidR="0070447C" w:rsidRPr="00672545">
        <w:rPr>
          <w:rFonts w:cs="Calibri"/>
          <w:szCs w:val="26"/>
        </w:rPr>
        <w:t>to</w:t>
      </w:r>
      <w:proofErr w:type="gramEnd"/>
      <w:r w:rsidR="0070447C" w:rsidRPr="00672545">
        <w:rPr>
          <w:rFonts w:cs="Calibri"/>
          <w:szCs w:val="26"/>
        </w:rPr>
        <w:t xml:space="preserve"> counter </w:t>
      </w:r>
      <w:r w:rsidR="00E814C0" w:rsidRPr="00672545">
        <w:rPr>
          <w:rFonts w:cs="Calibri"/>
          <w:szCs w:val="26"/>
        </w:rPr>
        <w:t xml:space="preserve">defendant’s </w:t>
      </w:r>
      <w:r w:rsidR="000D74CF" w:rsidRPr="00672545">
        <w:rPr>
          <w:rFonts w:cs="Calibri"/>
          <w:szCs w:val="26"/>
        </w:rPr>
        <w:t>apparent</w:t>
      </w:r>
      <w:r w:rsidR="00A805F2" w:rsidRPr="00672545">
        <w:rPr>
          <w:rFonts w:cs="Calibri"/>
          <w:szCs w:val="26"/>
        </w:rPr>
        <w:t xml:space="preserve"> attempt</w:t>
      </w:r>
      <w:r w:rsidR="00E814C0" w:rsidRPr="00672545">
        <w:rPr>
          <w:rFonts w:cs="Calibri"/>
          <w:szCs w:val="26"/>
        </w:rPr>
        <w:t xml:space="preserve"> </w:t>
      </w:r>
      <w:r w:rsidR="0070447C" w:rsidRPr="00672545">
        <w:rPr>
          <w:rFonts w:cs="Calibri"/>
          <w:szCs w:val="26"/>
        </w:rPr>
        <w:t>to mislead the jury</w:t>
      </w:r>
      <w:r w:rsidR="00A43823" w:rsidRPr="00672545">
        <w:rPr>
          <w:rFonts w:cs="Calibri"/>
          <w:szCs w:val="26"/>
        </w:rPr>
        <w:t xml:space="preserve">.  </w:t>
      </w:r>
    </w:p>
    <w:p w14:paraId="5EBC8DA0" w14:textId="77777777" w:rsidR="00817C91" w:rsidRPr="00672545" w:rsidRDefault="00722B6E" w:rsidP="00672545">
      <w:pPr>
        <w:rPr>
          <w:szCs w:val="26"/>
        </w:rPr>
      </w:pPr>
      <w:r w:rsidRPr="00672545">
        <w:rPr>
          <w:rFonts w:cs="Calibri"/>
          <w:szCs w:val="26"/>
        </w:rPr>
        <w:tab/>
        <w:t xml:space="preserve">Nor did the trial court abuse its discretion under Evidence Code section 352 by allowing Watkins to describe and the jury ultimately </w:t>
      </w:r>
      <w:r w:rsidR="000D74CF" w:rsidRPr="00672545">
        <w:rPr>
          <w:rFonts w:cs="Calibri"/>
          <w:szCs w:val="26"/>
        </w:rPr>
        <w:t xml:space="preserve">to </w:t>
      </w:r>
      <w:r w:rsidRPr="00672545">
        <w:rPr>
          <w:rFonts w:cs="Calibri"/>
          <w:szCs w:val="26"/>
        </w:rPr>
        <w:t xml:space="preserve">view the additional pornography.  </w:t>
      </w:r>
      <w:r w:rsidR="00FB5172" w:rsidRPr="00672545">
        <w:rPr>
          <w:rFonts w:cs="Calibri"/>
          <w:szCs w:val="26"/>
        </w:rPr>
        <w:t>“</w:t>
      </w:r>
      <w:r w:rsidR="00817C91" w:rsidRPr="00672545">
        <w:rPr>
          <w:szCs w:val="26"/>
        </w:rPr>
        <w:t>A trial court</w:t>
      </w:r>
      <w:r w:rsidR="00FB5172" w:rsidRPr="00672545">
        <w:rPr>
          <w:szCs w:val="26"/>
        </w:rPr>
        <w:t>’</w:t>
      </w:r>
      <w:r w:rsidR="00817C91" w:rsidRPr="00672545">
        <w:rPr>
          <w:szCs w:val="26"/>
        </w:rPr>
        <w:t xml:space="preserve">s exercise of </w:t>
      </w:r>
      <w:r w:rsidR="00817C91" w:rsidRPr="00672545">
        <w:rPr>
          <w:rStyle w:val="sssh"/>
          <w:bCs/>
          <w:szCs w:val="26"/>
        </w:rPr>
        <w:t>discretion</w:t>
      </w:r>
      <w:r w:rsidR="00817C91" w:rsidRPr="00672545">
        <w:rPr>
          <w:szCs w:val="26"/>
        </w:rPr>
        <w:t xml:space="preserve"> under section </w:t>
      </w:r>
      <w:r w:rsidR="00817C91" w:rsidRPr="00672545">
        <w:rPr>
          <w:rStyle w:val="sssh"/>
          <w:bCs/>
          <w:szCs w:val="26"/>
        </w:rPr>
        <w:t>352</w:t>
      </w:r>
      <w:r w:rsidR="00817C91" w:rsidRPr="00672545">
        <w:rPr>
          <w:szCs w:val="26"/>
        </w:rPr>
        <w:t xml:space="preserve"> will be upheld on appeal unless the court abused its discretion, that is, unless it exercised its discretion in an arbitrary, capricious, or patently absurd manner.</w:t>
      </w:r>
      <w:r w:rsidR="00FB5172" w:rsidRPr="00672545">
        <w:rPr>
          <w:szCs w:val="26"/>
        </w:rPr>
        <w:t xml:space="preserve">”  </w:t>
      </w:r>
      <w:r w:rsidR="00817C91" w:rsidRPr="00672545">
        <w:rPr>
          <w:szCs w:val="26"/>
        </w:rPr>
        <w:t>(</w:t>
      </w:r>
      <w:r w:rsidR="00817C91" w:rsidRPr="00672545">
        <w:rPr>
          <w:i/>
          <w:iCs/>
          <w:szCs w:val="26"/>
        </w:rPr>
        <w:t>People v. Thomas</w:t>
      </w:r>
      <w:r w:rsidR="00817C91" w:rsidRPr="00672545">
        <w:rPr>
          <w:szCs w:val="26"/>
        </w:rPr>
        <w:t xml:space="preserve"> (2012) 53 Cal.4th 771, 806.)</w:t>
      </w:r>
      <w:r w:rsidR="00FB5172" w:rsidRPr="00672545">
        <w:rPr>
          <w:szCs w:val="26"/>
        </w:rPr>
        <w:t xml:space="preserve">  The trial court’s decision to allow Watkins to testify regarding the remainder of defendant’s collection and to allow the jury on request to view the collection, minus the images of bestiality, was </w:t>
      </w:r>
      <w:r w:rsidR="0074651A" w:rsidRPr="00672545">
        <w:rPr>
          <w:szCs w:val="26"/>
        </w:rPr>
        <w:t>not abuse of discretion under the circumstances</w:t>
      </w:r>
      <w:r w:rsidR="00FB5172" w:rsidRPr="00672545">
        <w:rPr>
          <w:szCs w:val="26"/>
        </w:rPr>
        <w:t>.</w:t>
      </w:r>
      <w:r w:rsidR="00F81CD5" w:rsidRPr="00672545">
        <w:rPr>
          <w:szCs w:val="26"/>
        </w:rPr>
        <w:t xml:space="preserve">  </w:t>
      </w:r>
    </w:p>
    <w:p w14:paraId="02921390" w14:textId="77777777" w:rsidR="00102223" w:rsidRPr="00672545" w:rsidRDefault="00722B6E" w:rsidP="00672545">
      <w:pPr>
        <w:rPr>
          <w:rFonts w:cs="Calibri"/>
          <w:szCs w:val="26"/>
        </w:rPr>
      </w:pPr>
      <w:r w:rsidRPr="00672545">
        <w:rPr>
          <w:rFonts w:cs="Calibri"/>
          <w:szCs w:val="26"/>
        </w:rPr>
        <w:tab/>
      </w:r>
      <w:r w:rsidR="00FB5172" w:rsidRPr="00672545">
        <w:rPr>
          <w:rFonts w:cs="Calibri"/>
          <w:szCs w:val="26"/>
        </w:rPr>
        <w:t xml:space="preserve">Finally, </w:t>
      </w:r>
      <w:r w:rsidR="000D74CF" w:rsidRPr="00672545">
        <w:rPr>
          <w:rFonts w:cs="Calibri"/>
          <w:szCs w:val="26"/>
        </w:rPr>
        <w:t>because</w:t>
      </w:r>
      <w:r w:rsidRPr="00672545">
        <w:rPr>
          <w:rFonts w:cs="Calibri"/>
          <w:szCs w:val="26"/>
        </w:rPr>
        <w:t xml:space="preserve"> the additional evidence wa</w:t>
      </w:r>
      <w:r w:rsidR="00FB5172" w:rsidRPr="00672545">
        <w:rPr>
          <w:rFonts w:cs="Calibri"/>
          <w:szCs w:val="26"/>
        </w:rPr>
        <w:t xml:space="preserve">s properly introduced, defendant has shown neither </w:t>
      </w:r>
      <w:r w:rsidRPr="00672545">
        <w:rPr>
          <w:rFonts w:cs="Calibri"/>
          <w:szCs w:val="26"/>
        </w:rPr>
        <w:t xml:space="preserve">gross unfairness </w:t>
      </w:r>
      <w:r w:rsidR="00FB5172" w:rsidRPr="00672545">
        <w:rPr>
          <w:rFonts w:cs="Calibri"/>
          <w:szCs w:val="26"/>
        </w:rPr>
        <w:t xml:space="preserve">in </w:t>
      </w:r>
      <w:r w:rsidRPr="00672545">
        <w:rPr>
          <w:rFonts w:cs="Calibri"/>
          <w:szCs w:val="26"/>
        </w:rPr>
        <w:t>the joinder of counts</w:t>
      </w:r>
      <w:r w:rsidR="00FB5172" w:rsidRPr="00672545">
        <w:rPr>
          <w:rFonts w:cs="Calibri"/>
          <w:szCs w:val="26"/>
        </w:rPr>
        <w:t xml:space="preserve"> </w:t>
      </w:r>
      <w:r w:rsidR="00843AEE" w:rsidRPr="00672545">
        <w:rPr>
          <w:rFonts w:cs="Calibri"/>
          <w:szCs w:val="26"/>
        </w:rPr>
        <w:t>n</w:t>
      </w:r>
      <w:r w:rsidR="00FB5172" w:rsidRPr="00672545">
        <w:rPr>
          <w:rFonts w:cs="Calibri"/>
          <w:szCs w:val="26"/>
        </w:rPr>
        <w:t xml:space="preserve">or </w:t>
      </w:r>
      <w:r w:rsidRPr="00672545">
        <w:rPr>
          <w:rFonts w:cs="Calibri"/>
          <w:szCs w:val="26"/>
        </w:rPr>
        <w:t>a violation of due process.</w:t>
      </w:r>
    </w:p>
    <w:p w14:paraId="39052606" w14:textId="77777777" w:rsidR="008B38AC" w:rsidRPr="00672545" w:rsidRDefault="00744D60" w:rsidP="00672545">
      <w:pPr>
        <w:pStyle w:val="Heading3"/>
      </w:pPr>
      <w:bookmarkStart w:id="22" w:name="_Toc506979813"/>
      <w:r w:rsidRPr="00672545">
        <w:t xml:space="preserve">7.  </w:t>
      </w:r>
      <w:r w:rsidR="00DA3C3B" w:rsidRPr="00672545">
        <w:t xml:space="preserve">The </w:t>
      </w:r>
      <w:r w:rsidR="00F36C4D" w:rsidRPr="00672545">
        <w:t>Cross</w:t>
      </w:r>
      <w:r w:rsidR="000D74CF" w:rsidRPr="00672545">
        <w:t>-</w:t>
      </w:r>
      <w:r w:rsidR="00F36C4D" w:rsidRPr="00672545">
        <w:t xml:space="preserve">Examination of Susan L. </w:t>
      </w:r>
      <w:bookmarkEnd w:id="22"/>
    </w:p>
    <w:p w14:paraId="15907C31" w14:textId="77777777" w:rsidR="001B4152" w:rsidRPr="00672545" w:rsidRDefault="00DA3C3B" w:rsidP="00672545">
      <w:pPr>
        <w:rPr>
          <w:rFonts w:cs="Calibri"/>
          <w:szCs w:val="26"/>
        </w:rPr>
      </w:pPr>
      <w:r w:rsidRPr="00672545">
        <w:rPr>
          <w:rFonts w:cs="Calibri"/>
          <w:szCs w:val="26"/>
        </w:rPr>
        <w:tab/>
        <w:t>The prosecution portraye</w:t>
      </w:r>
      <w:r w:rsidR="00384266" w:rsidRPr="00672545">
        <w:rPr>
          <w:rFonts w:cs="Calibri"/>
          <w:szCs w:val="26"/>
        </w:rPr>
        <w:t>d</w:t>
      </w:r>
      <w:r w:rsidRPr="00672545">
        <w:rPr>
          <w:rFonts w:cs="Calibri"/>
          <w:szCs w:val="26"/>
        </w:rPr>
        <w:t xml:space="preserve"> defendant’</w:t>
      </w:r>
      <w:r w:rsidR="00010BDB" w:rsidRPr="00672545">
        <w:rPr>
          <w:rFonts w:cs="Calibri"/>
          <w:szCs w:val="26"/>
        </w:rPr>
        <w:t xml:space="preserve">s series of </w:t>
      </w:r>
      <w:r w:rsidRPr="00672545">
        <w:rPr>
          <w:rFonts w:cs="Calibri"/>
          <w:szCs w:val="26"/>
        </w:rPr>
        <w:t>act</w:t>
      </w:r>
      <w:r w:rsidR="00010BDB" w:rsidRPr="00672545">
        <w:rPr>
          <w:rFonts w:cs="Calibri"/>
          <w:szCs w:val="26"/>
        </w:rPr>
        <w:t>ivities</w:t>
      </w:r>
      <w:r w:rsidRPr="00672545">
        <w:rPr>
          <w:rFonts w:cs="Calibri"/>
          <w:szCs w:val="26"/>
        </w:rPr>
        <w:t xml:space="preserve"> on the weekend of Danielle’s disappearance as being highly suspicious.  The defense called defendant’s former girlfriend, Susan L., to testify that such activities were </w:t>
      </w:r>
      <w:r w:rsidR="000E6582" w:rsidRPr="00672545">
        <w:rPr>
          <w:rFonts w:cs="Calibri"/>
          <w:szCs w:val="26"/>
        </w:rPr>
        <w:t>not un</w:t>
      </w:r>
      <w:r w:rsidRPr="00672545">
        <w:rPr>
          <w:rFonts w:cs="Calibri"/>
          <w:szCs w:val="26"/>
        </w:rPr>
        <w:t xml:space="preserve">common for defendant.  </w:t>
      </w:r>
      <w:r w:rsidR="00DE5E62" w:rsidRPr="00672545">
        <w:rPr>
          <w:rFonts w:cs="Calibri"/>
          <w:szCs w:val="26"/>
        </w:rPr>
        <w:t xml:space="preserve">Her testimony also suggested that she was comfortable bringing her children on camping trips with defendant.  </w:t>
      </w:r>
    </w:p>
    <w:p w14:paraId="62F91D45" w14:textId="77777777" w:rsidR="00C10909" w:rsidRPr="00672545" w:rsidRDefault="001B4152" w:rsidP="00672545">
      <w:pPr>
        <w:rPr>
          <w:rFonts w:cs="Calibri"/>
          <w:szCs w:val="26"/>
        </w:rPr>
      </w:pPr>
      <w:r w:rsidRPr="00672545">
        <w:rPr>
          <w:rFonts w:cs="Calibri"/>
          <w:szCs w:val="26"/>
        </w:rPr>
        <w:lastRenderedPageBreak/>
        <w:tab/>
      </w:r>
      <w:r w:rsidR="00735AA3" w:rsidRPr="00672545">
        <w:rPr>
          <w:rFonts w:cs="Calibri"/>
          <w:szCs w:val="26"/>
        </w:rPr>
        <w:t xml:space="preserve">Specifically, </w:t>
      </w:r>
      <w:r w:rsidRPr="00672545">
        <w:rPr>
          <w:rFonts w:cs="Calibri"/>
          <w:szCs w:val="26"/>
        </w:rPr>
        <w:t>Susan L.</w:t>
      </w:r>
      <w:r w:rsidR="00DA3C3B" w:rsidRPr="00672545">
        <w:rPr>
          <w:rFonts w:cs="Calibri"/>
          <w:szCs w:val="26"/>
        </w:rPr>
        <w:t xml:space="preserve"> testified that she had </w:t>
      </w:r>
      <w:r w:rsidR="000E6582" w:rsidRPr="00672545">
        <w:rPr>
          <w:rFonts w:cs="Calibri"/>
          <w:szCs w:val="26"/>
        </w:rPr>
        <w:t xml:space="preserve">been </w:t>
      </w:r>
      <w:r w:rsidR="00DA3C3B" w:rsidRPr="00672545">
        <w:rPr>
          <w:rFonts w:cs="Calibri"/>
          <w:szCs w:val="26"/>
        </w:rPr>
        <w:t>camping with defendant in his motorhome</w:t>
      </w:r>
      <w:r w:rsidR="000E6582" w:rsidRPr="00672545">
        <w:rPr>
          <w:rFonts w:cs="Calibri"/>
          <w:szCs w:val="26"/>
        </w:rPr>
        <w:t xml:space="preserve"> more times than she could count</w:t>
      </w:r>
      <w:r w:rsidR="00DA3C3B" w:rsidRPr="00672545">
        <w:rPr>
          <w:rFonts w:cs="Calibri"/>
          <w:szCs w:val="26"/>
        </w:rPr>
        <w:t>.</w:t>
      </w:r>
      <w:r w:rsidR="00F81CD5" w:rsidRPr="00672545">
        <w:rPr>
          <w:rFonts w:cs="Calibri"/>
          <w:szCs w:val="26"/>
        </w:rPr>
        <w:t xml:space="preserve">  </w:t>
      </w:r>
      <w:r w:rsidR="00F57D4E" w:rsidRPr="00672545">
        <w:rPr>
          <w:rFonts w:cs="Calibri"/>
          <w:szCs w:val="26"/>
        </w:rPr>
        <w:t xml:space="preserve">Her children, including her daughter Danielle L., </w:t>
      </w:r>
      <w:r w:rsidR="00DE5E62" w:rsidRPr="00672545">
        <w:rPr>
          <w:rFonts w:cs="Calibri"/>
          <w:szCs w:val="26"/>
        </w:rPr>
        <w:t>often</w:t>
      </w:r>
      <w:r w:rsidR="00F57D4E" w:rsidRPr="00672545">
        <w:rPr>
          <w:rFonts w:cs="Calibri"/>
          <w:szCs w:val="26"/>
        </w:rPr>
        <w:t xml:space="preserve"> accompanied them.</w:t>
      </w:r>
      <w:r w:rsidR="00F81CD5" w:rsidRPr="00672545">
        <w:rPr>
          <w:rFonts w:cs="Calibri"/>
          <w:szCs w:val="26"/>
        </w:rPr>
        <w:t xml:space="preserve">  </w:t>
      </w:r>
      <w:r w:rsidR="00C10909" w:rsidRPr="00672545">
        <w:rPr>
          <w:rFonts w:cs="Calibri"/>
          <w:szCs w:val="26"/>
        </w:rPr>
        <w:t>On occasion they went to Silver Strand</w:t>
      </w:r>
      <w:r w:rsidR="000B4099" w:rsidRPr="00672545">
        <w:rPr>
          <w:rFonts w:cs="Calibri"/>
          <w:szCs w:val="26"/>
        </w:rPr>
        <w:t xml:space="preserve"> to camp</w:t>
      </w:r>
      <w:r w:rsidR="00C10909" w:rsidRPr="00672545">
        <w:rPr>
          <w:rFonts w:cs="Calibri"/>
          <w:szCs w:val="26"/>
        </w:rPr>
        <w:t>, but when the weather was bad, they left after only a couple of hours and went instead to the desert</w:t>
      </w:r>
      <w:r w:rsidR="002434AC" w:rsidRPr="00672545">
        <w:rPr>
          <w:rFonts w:cs="Calibri"/>
          <w:szCs w:val="26"/>
        </w:rPr>
        <w:t xml:space="preserve"> at Borrego</w:t>
      </w:r>
      <w:r w:rsidR="00C10909" w:rsidRPr="00672545">
        <w:rPr>
          <w:rFonts w:cs="Calibri"/>
          <w:szCs w:val="26"/>
        </w:rPr>
        <w:t>.</w:t>
      </w:r>
      <w:r w:rsidR="00F81CD5" w:rsidRPr="00672545">
        <w:rPr>
          <w:rFonts w:cs="Calibri"/>
          <w:szCs w:val="26"/>
        </w:rPr>
        <w:t xml:space="preserve">  </w:t>
      </w:r>
      <w:r w:rsidR="00C10909" w:rsidRPr="00672545">
        <w:rPr>
          <w:rFonts w:cs="Calibri"/>
          <w:szCs w:val="26"/>
        </w:rPr>
        <w:t xml:space="preserve">Sometimes they arrived </w:t>
      </w:r>
      <w:r w:rsidR="00791C1B" w:rsidRPr="00672545">
        <w:rPr>
          <w:rFonts w:cs="Calibri"/>
          <w:szCs w:val="26"/>
        </w:rPr>
        <w:t>in</w:t>
      </w:r>
      <w:r w:rsidR="00C10909" w:rsidRPr="00672545">
        <w:rPr>
          <w:rFonts w:cs="Calibri"/>
          <w:szCs w:val="26"/>
        </w:rPr>
        <w:t xml:space="preserve"> the desert </w:t>
      </w:r>
      <w:r w:rsidR="00791C1B" w:rsidRPr="00672545">
        <w:rPr>
          <w:rFonts w:cs="Calibri"/>
          <w:szCs w:val="26"/>
        </w:rPr>
        <w:t>at</w:t>
      </w:r>
      <w:r w:rsidR="00C10909" w:rsidRPr="00672545">
        <w:rPr>
          <w:rFonts w:cs="Calibri"/>
          <w:szCs w:val="26"/>
        </w:rPr>
        <w:t xml:space="preserve"> night.</w:t>
      </w:r>
      <w:r w:rsidR="00F81CD5" w:rsidRPr="00672545">
        <w:rPr>
          <w:rFonts w:cs="Calibri"/>
          <w:szCs w:val="26"/>
        </w:rPr>
        <w:t xml:space="preserve">  </w:t>
      </w:r>
      <w:r w:rsidR="00C10909" w:rsidRPr="00672545">
        <w:rPr>
          <w:rFonts w:cs="Calibri"/>
          <w:szCs w:val="26"/>
        </w:rPr>
        <w:t xml:space="preserve">Susan recalled getting stuck in the sand at the desert </w:t>
      </w:r>
      <w:r w:rsidR="00F57D4E" w:rsidRPr="00672545">
        <w:rPr>
          <w:rFonts w:cs="Calibri"/>
          <w:szCs w:val="26"/>
        </w:rPr>
        <w:t>several</w:t>
      </w:r>
      <w:r w:rsidR="00C10909" w:rsidRPr="00672545">
        <w:rPr>
          <w:rFonts w:cs="Calibri"/>
          <w:szCs w:val="26"/>
        </w:rPr>
        <w:t xml:space="preserve"> times</w:t>
      </w:r>
      <w:r w:rsidR="006769C4" w:rsidRPr="00672545">
        <w:rPr>
          <w:rFonts w:cs="Calibri"/>
          <w:szCs w:val="26"/>
        </w:rPr>
        <w:t xml:space="preserve">.  Defendant would dig the sand out from the wheels </w:t>
      </w:r>
      <w:r w:rsidR="00C10909" w:rsidRPr="00672545">
        <w:rPr>
          <w:rFonts w:cs="Calibri"/>
          <w:szCs w:val="26"/>
        </w:rPr>
        <w:t>and put boards under</w:t>
      </w:r>
      <w:r w:rsidR="006769C4" w:rsidRPr="00672545">
        <w:rPr>
          <w:rFonts w:cs="Calibri"/>
          <w:szCs w:val="26"/>
        </w:rPr>
        <w:t xml:space="preserve">neath </w:t>
      </w:r>
      <w:proofErr w:type="gramStart"/>
      <w:r w:rsidR="006769C4" w:rsidRPr="00672545">
        <w:rPr>
          <w:rFonts w:cs="Calibri"/>
          <w:szCs w:val="26"/>
        </w:rPr>
        <w:t>in order</w:t>
      </w:r>
      <w:r w:rsidR="00C10909" w:rsidRPr="00672545">
        <w:rPr>
          <w:rFonts w:cs="Calibri"/>
          <w:szCs w:val="26"/>
        </w:rPr>
        <w:t xml:space="preserve"> to</w:t>
      </w:r>
      <w:proofErr w:type="gramEnd"/>
      <w:r w:rsidR="00C10909" w:rsidRPr="00672545">
        <w:rPr>
          <w:rFonts w:cs="Calibri"/>
          <w:szCs w:val="26"/>
        </w:rPr>
        <w:t xml:space="preserve"> get out.  They would abandon the boards because once </w:t>
      </w:r>
      <w:r w:rsidR="006769C4" w:rsidRPr="00672545">
        <w:rPr>
          <w:rFonts w:cs="Calibri"/>
          <w:szCs w:val="26"/>
        </w:rPr>
        <w:t>they</w:t>
      </w:r>
      <w:r w:rsidR="00C10909" w:rsidRPr="00672545">
        <w:rPr>
          <w:rFonts w:cs="Calibri"/>
          <w:szCs w:val="26"/>
        </w:rPr>
        <w:t xml:space="preserve"> were going</w:t>
      </w:r>
      <w:r w:rsidR="00CB6647" w:rsidRPr="00672545">
        <w:rPr>
          <w:rFonts w:cs="Calibri"/>
          <w:szCs w:val="26"/>
        </w:rPr>
        <w:t xml:space="preserve">, </w:t>
      </w:r>
      <w:r w:rsidR="006769C4" w:rsidRPr="00672545">
        <w:rPr>
          <w:rFonts w:cs="Calibri"/>
          <w:szCs w:val="26"/>
        </w:rPr>
        <w:t>they could not stop</w:t>
      </w:r>
      <w:r w:rsidR="00CB6647" w:rsidRPr="00672545">
        <w:rPr>
          <w:rFonts w:cs="Calibri"/>
          <w:szCs w:val="26"/>
        </w:rPr>
        <w:t xml:space="preserve"> for fear of getting stuck again.</w:t>
      </w:r>
      <w:r w:rsidR="00F81CD5" w:rsidRPr="00672545">
        <w:rPr>
          <w:rFonts w:cs="Calibri"/>
          <w:szCs w:val="26"/>
        </w:rPr>
        <w:t xml:space="preserve">  </w:t>
      </w:r>
    </w:p>
    <w:p w14:paraId="09E4C61F" w14:textId="77777777" w:rsidR="00744D60" w:rsidRPr="00672545" w:rsidRDefault="00C10909" w:rsidP="00672545">
      <w:pPr>
        <w:rPr>
          <w:rFonts w:cs="Calibri"/>
          <w:szCs w:val="26"/>
        </w:rPr>
      </w:pPr>
      <w:r w:rsidRPr="00672545">
        <w:rPr>
          <w:rFonts w:cs="Calibri"/>
          <w:szCs w:val="26"/>
        </w:rPr>
        <w:tab/>
        <w:t xml:space="preserve">Susan </w:t>
      </w:r>
      <w:r w:rsidR="00F57D4E" w:rsidRPr="00672545">
        <w:rPr>
          <w:rFonts w:cs="Calibri"/>
          <w:szCs w:val="26"/>
        </w:rPr>
        <w:t xml:space="preserve">L. </w:t>
      </w:r>
      <w:r w:rsidR="00C06CE6" w:rsidRPr="00672545">
        <w:rPr>
          <w:rFonts w:cs="Calibri"/>
          <w:szCs w:val="26"/>
        </w:rPr>
        <w:t>testified</w:t>
      </w:r>
      <w:r w:rsidRPr="00672545">
        <w:rPr>
          <w:rFonts w:cs="Calibri"/>
          <w:szCs w:val="26"/>
        </w:rPr>
        <w:t xml:space="preserve"> t</w:t>
      </w:r>
      <w:r w:rsidR="00DA3C3B" w:rsidRPr="00672545">
        <w:rPr>
          <w:rFonts w:cs="Calibri"/>
          <w:szCs w:val="26"/>
        </w:rPr>
        <w:t xml:space="preserve">hat when </w:t>
      </w:r>
      <w:r w:rsidRPr="00672545">
        <w:rPr>
          <w:rFonts w:cs="Calibri"/>
          <w:szCs w:val="26"/>
        </w:rPr>
        <w:t>defendant</w:t>
      </w:r>
      <w:r w:rsidR="00DA3C3B" w:rsidRPr="00672545">
        <w:rPr>
          <w:rFonts w:cs="Calibri"/>
          <w:szCs w:val="26"/>
        </w:rPr>
        <w:t xml:space="preserve"> was planning a camping trip</w:t>
      </w:r>
      <w:r w:rsidRPr="00672545">
        <w:rPr>
          <w:rFonts w:cs="Calibri"/>
          <w:szCs w:val="26"/>
        </w:rPr>
        <w:t xml:space="preserve">, he would park the motorhome near his home.  </w:t>
      </w:r>
      <w:r w:rsidR="00991548" w:rsidRPr="00672545">
        <w:rPr>
          <w:rFonts w:cs="Calibri"/>
          <w:szCs w:val="26"/>
        </w:rPr>
        <w:t xml:space="preserve">Sometimes the motorhome was parked for two days prior to camping.  When the motorhome was being loaded, its front door would sometimes be open.  Susan </w:t>
      </w:r>
      <w:r w:rsidR="001B4152" w:rsidRPr="00672545">
        <w:rPr>
          <w:rFonts w:cs="Calibri"/>
          <w:szCs w:val="26"/>
        </w:rPr>
        <w:t>said</w:t>
      </w:r>
      <w:r w:rsidR="006356C4" w:rsidRPr="00672545">
        <w:rPr>
          <w:rFonts w:cs="Calibri"/>
          <w:szCs w:val="26"/>
        </w:rPr>
        <w:t xml:space="preserve"> that the area was a family neighborhood with</w:t>
      </w:r>
      <w:r w:rsidR="00991548" w:rsidRPr="00672545">
        <w:rPr>
          <w:rFonts w:cs="Calibri"/>
          <w:szCs w:val="26"/>
        </w:rPr>
        <w:t xml:space="preserve"> c</w:t>
      </w:r>
      <w:r w:rsidRPr="00672545">
        <w:rPr>
          <w:rFonts w:cs="Calibri"/>
          <w:szCs w:val="26"/>
        </w:rPr>
        <w:t>hildren</w:t>
      </w:r>
      <w:r w:rsidR="00991548" w:rsidRPr="00672545">
        <w:rPr>
          <w:rFonts w:cs="Calibri"/>
          <w:szCs w:val="26"/>
        </w:rPr>
        <w:t xml:space="preserve"> </w:t>
      </w:r>
      <w:r w:rsidR="006356C4" w:rsidRPr="00672545">
        <w:rPr>
          <w:rFonts w:cs="Calibri"/>
          <w:szCs w:val="26"/>
        </w:rPr>
        <w:t>out wal</w:t>
      </w:r>
      <w:r w:rsidR="00991548" w:rsidRPr="00672545">
        <w:rPr>
          <w:rFonts w:cs="Calibri"/>
          <w:szCs w:val="26"/>
        </w:rPr>
        <w:t>king on the sidewalks.</w:t>
      </w:r>
      <w:r w:rsidR="00F81CD5" w:rsidRPr="00672545">
        <w:rPr>
          <w:rFonts w:cs="Calibri"/>
          <w:szCs w:val="26"/>
        </w:rPr>
        <w:t xml:space="preserve">  </w:t>
      </w:r>
      <w:r w:rsidR="00991548" w:rsidRPr="00672545">
        <w:rPr>
          <w:rFonts w:cs="Calibri"/>
          <w:szCs w:val="26"/>
        </w:rPr>
        <w:t xml:space="preserve">According to Susan, the last thing </w:t>
      </w:r>
      <w:r w:rsidR="001B4152" w:rsidRPr="00672545">
        <w:rPr>
          <w:rFonts w:cs="Calibri"/>
          <w:szCs w:val="26"/>
        </w:rPr>
        <w:t xml:space="preserve">that </w:t>
      </w:r>
      <w:r w:rsidR="00991548" w:rsidRPr="00672545">
        <w:rPr>
          <w:rFonts w:cs="Calibri"/>
          <w:szCs w:val="26"/>
        </w:rPr>
        <w:t xml:space="preserve">they </w:t>
      </w:r>
      <w:r w:rsidR="001B4152" w:rsidRPr="00672545">
        <w:rPr>
          <w:rFonts w:cs="Calibri"/>
          <w:szCs w:val="26"/>
        </w:rPr>
        <w:t>would do</w:t>
      </w:r>
      <w:r w:rsidR="00991548" w:rsidRPr="00672545">
        <w:rPr>
          <w:rFonts w:cs="Calibri"/>
          <w:szCs w:val="26"/>
        </w:rPr>
        <w:t xml:space="preserve"> before </w:t>
      </w:r>
      <w:r w:rsidR="001B4152" w:rsidRPr="00672545">
        <w:rPr>
          <w:rFonts w:cs="Calibri"/>
          <w:szCs w:val="26"/>
        </w:rPr>
        <w:t>leaving</w:t>
      </w:r>
      <w:r w:rsidR="00991548" w:rsidRPr="00672545">
        <w:rPr>
          <w:rFonts w:cs="Calibri"/>
          <w:szCs w:val="26"/>
        </w:rPr>
        <w:t xml:space="preserve"> to go camping was fill</w:t>
      </w:r>
      <w:r w:rsidR="001B4152" w:rsidRPr="00672545">
        <w:rPr>
          <w:rFonts w:cs="Calibri"/>
          <w:szCs w:val="26"/>
        </w:rPr>
        <w:t xml:space="preserve"> </w:t>
      </w:r>
      <w:r w:rsidR="00991548" w:rsidRPr="00672545">
        <w:rPr>
          <w:rFonts w:cs="Calibri"/>
          <w:szCs w:val="26"/>
        </w:rPr>
        <w:t>the motorhome with water.  When they were finished, they would just throw the hose in the front yard.</w:t>
      </w:r>
      <w:r w:rsidR="00F81CD5" w:rsidRPr="00672545">
        <w:rPr>
          <w:rFonts w:cs="Calibri"/>
          <w:szCs w:val="26"/>
        </w:rPr>
        <w:t xml:space="preserve">  </w:t>
      </w:r>
    </w:p>
    <w:p w14:paraId="289155E0" w14:textId="77777777" w:rsidR="00E2683D" w:rsidRPr="00672545" w:rsidRDefault="00F57D4E" w:rsidP="00672545">
      <w:pPr>
        <w:rPr>
          <w:rFonts w:cs="Calibri"/>
          <w:szCs w:val="26"/>
        </w:rPr>
      </w:pPr>
      <w:r w:rsidRPr="00672545">
        <w:rPr>
          <w:rFonts w:cs="Calibri"/>
          <w:szCs w:val="26"/>
        </w:rPr>
        <w:tab/>
      </w:r>
      <w:r w:rsidR="00FC3823" w:rsidRPr="00672545">
        <w:rPr>
          <w:rFonts w:cs="Calibri"/>
          <w:szCs w:val="26"/>
        </w:rPr>
        <w:t>On cross-examination, the prosecution attempted to show that</w:t>
      </w:r>
      <w:r w:rsidR="000E28CF" w:rsidRPr="00672545">
        <w:rPr>
          <w:rFonts w:cs="Calibri"/>
          <w:szCs w:val="26"/>
        </w:rPr>
        <w:t>, despite Susan L.’s descriptions,</w:t>
      </w:r>
      <w:r w:rsidR="00FC3823" w:rsidRPr="00672545">
        <w:rPr>
          <w:rFonts w:cs="Calibri"/>
          <w:szCs w:val="26"/>
        </w:rPr>
        <w:t xml:space="preserve"> defendant’s activities on the weekend of Danielle’s disappearance were still out of the ordinary for him.</w:t>
      </w:r>
      <w:r w:rsidR="00F81CD5" w:rsidRPr="00672545">
        <w:rPr>
          <w:rFonts w:cs="Calibri"/>
          <w:szCs w:val="26"/>
        </w:rPr>
        <w:t xml:space="preserve">  </w:t>
      </w:r>
      <w:r w:rsidR="00FA6212" w:rsidRPr="00672545">
        <w:rPr>
          <w:rFonts w:cs="Calibri"/>
          <w:szCs w:val="26"/>
        </w:rPr>
        <w:t xml:space="preserve">When the prosecution sought to </w:t>
      </w:r>
      <w:r w:rsidR="00056A42" w:rsidRPr="00672545">
        <w:rPr>
          <w:rFonts w:cs="Calibri"/>
          <w:szCs w:val="26"/>
        </w:rPr>
        <w:t>explore</w:t>
      </w:r>
      <w:r w:rsidR="00FA6212" w:rsidRPr="00672545">
        <w:rPr>
          <w:rFonts w:cs="Calibri"/>
          <w:szCs w:val="26"/>
        </w:rPr>
        <w:t xml:space="preserve"> two o</w:t>
      </w:r>
      <w:r w:rsidR="00056A42" w:rsidRPr="00672545">
        <w:rPr>
          <w:rFonts w:cs="Calibri"/>
          <w:szCs w:val="26"/>
        </w:rPr>
        <w:t>ther areas of cross-examination</w:t>
      </w:r>
      <w:r w:rsidR="00FA6212" w:rsidRPr="00672545">
        <w:rPr>
          <w:rFonts w:cs="Calibri"/>
          <w:szCs w:val="26"/>
        </w:rPr>
        <w:t>, however, d</w:t>
      </w:r>
      <w:r w:rsidR="00AB12BC" w:rsidRPr="00672545">
        <w:rPr>
          <w:rFonts w:cs="Calibri"/>
          <w:szCs w:val="26"/>
        </w:rPr>
        <w:t xml:space="preserve">efendant objected.  </w:t>
      </w:r>
      <w:r w:rsidR="00FC3823" w:rsidRPr="00672545">
        <w:rPr>
          <w:rFonts w:cs="Calibri"/>
          <w:szCs w:val="26"/>
        </w:rPr>
        <w:t xml:space="preserve">Defendant </w:t>
      </w:r>
      <w:r w:rsidR="005B3161" w:rsidRPr="00672545">
        <w:rPr>
          <w:rFonts w:cs="Calibri"/>
          <w:szCs w:val="26"/>
        </w:rPr>
        <w:t xml:space="preserve">now </w:t>
      </w:r>
      <w:r w:rsidR="00FC3823" w:rsidRPr="00672545">
        <w:rPr>
          <w:rFonts w:cs="Calibri"/>
          <w:szCs w:val="26"/>
        </w:rPr>
        <w:t xml:space="preserve">argues on appeal that the trial court </w:t>
      </w:r>
      <w:r w:rsidR="005B3161" w:rsidRPr="00672545">
        <w:rPr>
          <w:rFonts w:cs="Calibri"/>
          <w:szCs w:val="26"/>
        </w:rPr>
        <w:t xml:space="preserve">prejudicially </w:t>
      </w:r>
      <w:r w:rsidR="00FC3823" w:rsidRPr="00672545">
        <w:rPr>
          <w:rFonts w:cs="Calibri"/>
          <w:szCs w:val="26"/>
        </w:rPr>
        <w:t xml:space="preserve">erred in </w:t>
      </w:r>
      <w:r w:rsidR="00E2683D" w:rsidRPr="00672545">
        <w:rPr>
          <w:rFonts w:cs="Calibri"/>
          <w:szCs w:val="26"/>
        </w:rPr>
        <w:t>overruling his objections.</w:t>
      </w:r>
      <w:r w:rsidR="00FC3823" w:rsidRPr="00672545">
        <w:rPr>
          <w:rFonts w:cs="Calibri"/>
          <w:szCs w:val="26"/>
        </w:rPr>
        <w:t xml:space="preserve">  </w:t>
      </w:r>
    </w:p>
    <w:p w14:paraId="6A983835" w14:textId="77777777" w:rsidR="00E2683D" w:rsidRPr="00672545" w:rsidRDefault="00E2683D" w:rsidP="00672545">
      <w:pPr>
        <w:rPr>
          <w:rFonts w:cs="Calibri"/>
          <w:szCs w:val="26"/>
        </w:rPr>
      </w:pPr>
      <w:r w:rsidRPr="00672545">
        <w:rPr>
          <w:rFonts w:cs="Calibri"/>
          <w:szCs w:val="26"/>
        </w:rPr>
        <w:lastRenderedPageBreak/>
        <w:tab/>
      </w:r>
      <w:r w:rsidR="00FC3823" w:rsidRPr="00672545">
        <w:rPr>
          <w:rFonts w:cs="Calibri"/>
          <w:szCs w:val="26"/>
        </w:rPr>
        <w:t xml:space="preserve">First, </w:t>
      </w:r>
      <w:r w:rsidRPr="00672545">
        <w:rPr>
          <w:rFonts w:cs="Calibri"/>
          <w:szCs w:val="26"/>
        </w:rPr>
        <w:t xml:space="preserve">defendant complains </w:t>
      </w:r>
      <w:r w:rsidR="00FC3823" w:rsidRPr="00672545">
        <w:rPr>
          <w:rFonts w:cs="Calibri"/>
          <w:szCs w:val="26"/>
        </w:rPr>
        <w:t>that the</w:t>
      </w:r>
      <w:r w:rsidRPr="00672545">
        <w:rPr>
          <w:rFonts w:cs="Calibri"/>
          <w:szCs w:val="26"/>
        </w:rPr>
        <w:t xml:space="preserve"> prosecution </w:t>
      </w:r>
      <w:proofErr w:type="gramStart"/>
      <w:r w:rsidRPr="00672545">
        <w:rPr>
          <w:rFonts w:cs="Calibri"/>
          <w:szCs w:val="26"/>
        </w:rPr>
        <w:t>was allowed to</w:t>
      </w:r>
      <w:proofErr w:type="gramEnd"/>
      <w:r w:rsidRPr="00672545">
        <w:rPr>
          <w:rFonts w:cs="Calibri"/>
          <w:szCs w:val="26"/>
        </w:rPr>
        <w:t xml:space="preserve"> question Susan</w:t>
      </w:r>
      <w:r w:rsidR="003A6F60">
        <w:rPr>
          <w:rFonts w:cs="Calibri"/>
          <w:szCs w:val="26"/>
        </w:rPr>
        <w:t xml:space="preserve"> L. </w:t>
      </w:r>
      <w:r w:rsidRPr="00672545">
        <w:rPr>
          <w:rFonts w:cs="Calibri"/>
          <w:szCs w:val="26"/>
        </w:rPr>
        <w:t xml:space="preserve">regarding an incident that defendant characterizes as an alleged stalking.  The questioning arose in the following context.  </w:t>
      </w:r>
    </w:p>
    <w:p w14:paraId="6CB12E2E" w14:textId="77777777" w:rsidR="00C52196" w:rsidRPr="00672545" w:rsidRDefault="00E2683D" w:rsidP="00672545">
      <w:pPr>
        <w:rPr>
          <w:rFonts w:cs="Calibri"/>
          <w:szCs w:val="26"/>
        </w:rPr>
      </w:pPr>
      <w:r w:rsidRPr="00672545">
        <w:rPr>
          <w:rFonts w:cs="Calibri"/>
          <w:szCs w:val="26"/>
        </w:rPr>
        <w:tab/>
      </w:r>
      <w:r w:rsidR="00AB12BC" w:rsidRPr="00672545">
        <w:rPr>
          <w:rFonts w:cs="Calibri"/>
          <w:szCs w:val="26"/>
        </w:rPr>
        <w:t>The prosecution elicited from Susan</w:t>
      </w:r>
      <w:r w:rsidR="002C3FA1" w:rsidRPr="00672545">
        <w:rPr>
          <w:rFonts w:cs="Calibri"/>
          <w:szCs w:val="26"/>
        </w:rPr>
        <w:t xml:space="preserve"> L.</w:t>
      </w:r>
      <w:r w:rsidR="00AB12BC" w:rsidRPr="00672545">
        <w:rPr>
          <w:rFonts w:cs="Calibri"/>
          <w:szCs w:val="26"/>
        </w:rPr>
        <w:t xml:space="preserve"> that she had twice left defendant</w:t>
      </w:r>
      <w:r w:rsidR="008A6F49" w:rsidRPr="00672545">
        <w:rPr>
          <w:rFonts w:cs="Calibri"/>
          <w:szCs w:val="26"/>
        </w:rPr>
        <w:t xml:space="preserve"> and was no longer living with him</w:t>
      </w:r>
      <w:r w:rsidR="00AB12BC" w:rsidRPr="00672545">
        <w:rPr>
          <w:rFonts w:cs="Calibri"/>
          <w:szCs w:val="26"/>
        </w:rPr>
        <w:t>, but that she still cared about him.</w:t>
      </w:r>
      <w:r w:rsidR="00F81CD5" w:rsidRPr="00672545">
        <w:rPr>
          <w:rFonts w:cs="Calibri"/>
          <w:szCs w:val="26"/>
        </w:rPr>
        <w:t xml:space="preserve">  </w:t>
      </w:r>
      <w:r w:rsidR="00BE5C63" w:rsidRPr="00672545">
        <w:rPr>
          <w:rFonts w:cs="Calibri"/>
          <w:szCs w:val="26"/>
        </w:rPr>
        <w:t xml:space="preserve">She had last seen defendant about three weeks before his arrest.  </w:t>
      </w:r>
      <w:r w:rsidR="00DD46FA" w:rsidRPr="00672545">
        <w:rPr>
          <w:rFonts w:cs="Calibri"/>
          <w:szCs w:val="26"/>
        </w:rPr>
        <w:t>At that time, s</w:t>
      </w:r>
      <w:r w:rsidR="00BE5C63" w:rsidRPr="00672545">
        <w:rPr>
          <w:rFonts w:cs="Calibri"/>
          <w:szCs w:val="26"/>
        </w:rPr>
        <w:t>he had already broken up with defendant and she was out with a male friend.</w:t>
      </w:r>
      <w:r w:rsidR="00F81CD5" w:rsidRPr="00672545">
        <w:rPr>
          <w:rFonts w:cs="Calibri"/>
          <w:szCs w:val="26"/>
        </w:rPr>
        <w:t xml:space="preserve">  </w:t>
      </w:r>
      <w:r w:rsidR="008A6F49" w:rsidRPr="00672545">
        <w:rPr>
          <w:rFonts w:cs="Calibri"/>
          <w:szCs w:val="26"/>
        </w:rPr>
        <w:t>At the end of the evening, the friend walked her to the door and gave her a kiss on the cheek.</w:t>
      </w:r>
      <w:r w:rsidR="00F81CD5" w:rsidRPr="00672545">
        <w:rPr>
          <w:rFonts w:cs="Calibri"/>
          <w:szCs w:val="26"/>
        </w:rPr>
        <w:t xml:space="preserve">  </w:t>
      </w:r>
      <w:r w:rsidR="008A6F49" w:rsidRPr="00672545">
        <w:rPr>
          <w:rFonts w:cs="Calibri"/>
          <w:szCs w:val="26"/>
        </w:rPr>
        <w:t xml:space="preserve">At trial, Susan said she did not see defendant at the </w:t>
      </w:r>
      <w:proofErr w:type="gramStart"/>
      <w:r w:rsidR="008A6F49" w:rsidRPr="00672545">
        <w:rPr>
          <w:rFonts w:cs="Calibri"/>
          <w:szCs w:val="26"/>
        </w:rPr>
        <w:t>time, but</w:t>
      </w:r>
      <w:proofErr w:type="gramEnd"/>
      <w:r w:rsidR="008A6F49" w:rsidRPr="00672545">
        <w:rPr>
          <w:rFonts w:cs="Calibri"/>
          <w:szCs w:val="26"/>
        </w:rPr>
        <w:t xml:space="preserve"> spoke with him the next day.</w:t>
      </w:r>
      <w:r w:rsidR="00F81CD5" w:rsidRPr="00672545">
        <w:rPr>
          <w:rFonts w:cs="Calibri"/>
          <w:szCs w:val="26"/>
        </w:rPr>
        <w:t xml:space="preserve">  </w:t>
      </w:r>
      <w:r w:rsidR="008A6F49" w:rsidRPr="00672545">
        <w:rPr>
          <w:rFonts w:cs="Calibri"/>
          <w:szCs w:val="26"/>
        </w:rPr>
        <w:t xml:space="preserve">When the prosecutor asked if defendant told her that he </w:t>
      </w:r>
      <w:r w:rsidR="0039224D" w:rsidRPr="00672545">
        <w:rPr>
          <w:rFonts w:cs="Calibri"/>
          <w:szCs w:val="26"/>
        </w:rPr>
        <w:t>had been present</w:t>
      </w:r>
      <w:r w:rsidR="008A6F49" w:rsidRPr="00672545">
        <w:rPr>
          <w:rFonts w:cs="Calibri"/>
          <w:szCs w:val="26"/>
        </w:rPr>
        <w:t xml:space="preserve"> the previous night, defense counsel’s objection was sustained.  </w:t>
      </w:r>
      <w:r w:rsidR="006654DB" w:rsidRPr="00672545">
        <w:rPr>
          <w:rFonts w:cs="Calibri"/>
          <w:szCs w:val="26"/>
        </w:rPr>
        <w:t>The prosecutor asked to approach the bench.</w:t>
      </w:r>
      <w:r w:rsidR="00F81CD5" w:rsidRPr="00672545">
        <w:rPr>
          <w:rFonts w:cs="Calibri"/>
          <w:szCs w:val="26"/>
        </w:rPr>
        <w:t xml:space="preserve">  </w:t>
      </w:r>
    </w:p>
    <w:p w14:paraId="64458E40" w14:textId="77777777" w:rsidR="00DA3C3B" w:rsidRPr="00672545" w:rsidRDefault="00C52196" w:rsidP="00672545">
      <w:pPr>
        <w:rPr>
          <w:rFonts w:cs="Calibri"/>
          <w:szCs w:val="26"/>
        </w:rPr>
      </w:pPr>
      <w:r w:rsidRPr="00672545">
        <w:rPr>
          <w:rFonts w:cs="Calibri"/>
          <w:szCs w:val="26"/>
        </w:rPr>
        <w:tab/>
      </w:r>
      <w:r w:rsidR="006654DB" w:rsidRPr="00672545">
        <w:rPr>
          <w:rFonts w:cs="Calibri"/>
          <w:szCs w:val="26"/>
        </w:rPr>
        <w:t>In the ensuing bench discussion, t</w:t>
      </w:r>
      <w:r w:rsidR="008A6F49" w:rsidRPr="00672545">
        <w:rPr>
          <w:rFonts w:cs="Calibri"/>
          <w:szCs w:val="26"/>
        </w:rPr>
        <w:t xml:space="preserve">he prosecutor </w:t>
      </w:r>
      <w:r w:rsidR="002C3FA1" w:rsidRPr="00672545">
        <w:rPr>
          <w:rFonts w:cs="Calibri"/>
          <w:szCs w:val="26"/>
        </w:rPr>
        <w:t>informed the court that Susan L. had previously told law enforcement that she saw defendant that night, but</w:t>
      </w:r>
      <w:r w:rsidR="00C200B9" w:rsidRPr="00672545">
        <w:rPr>
          <w:rFonts w:cs="Calibri"/>
          <w:szCs w:val="26"/>
        </w:rPr>
        <w:t>,</w:t>
      </w:r>
      <w:r w:rsidR="002C3FA1" w:rsidRPr="00672545">
        <w:rPr>
          <w:rFonts w:cs="Calibri"/>
          <w:szCs w:val="26"/>
        </w:rPr>
        <w:t xml:space="preserve"> </w:t>
      </w:r>
      <w:r w:rsidR="00C200B9" w:rsidRPr="00672545">
        <w:rPr>
          <w:rFonts w:cs="Calibri"/>
          <w:szCs w:val="26"/>
        </w:rPr>
        <w:t>regardless,</w:t>
      </w:r>
      <w:r w:rsidR="002C3FA1" w:rsidRPr="00672545">
        <w:rPr>
          <w:rFonts w:cs="Calibri"/>
          <w:szCs w:val="26"/>
        </w:rPr>
        <w:t xml:space="preserve"> </w:t>
      </w:r>
      <w:r w:rsidR="008A6F49" w:rsidRPr="00672545">
        <w:rPr>
          <w:rFonts w:cs="Calibri"/>
          <w:szCs w:val="26"/>
        </w:rPr>
        <w:t xml:space="preserve">Susan L. </w:t>
      </w:r>
      <w:r w:rsidR="00341BC8" w:rsidRPr="00672545">
        <w:rPr>
          <w:rFonts w:cs="Calibri"/>
          <w:szCs w:val="26"/>
        </w:rPr>
        <w:t>also said that defendant called her the following day and told her</w:t>
      </w:r>
      <w:r w:rsidR="008A6F49" w:rsidRPr="00672545">
        <w:rPr>
          <w:rFonts w:cs="Calibri"/>
          <w:szCs w:val="26"/>
        </w:rPr>
        <w:t xml:space="preserve"> that he had been present the previous night to tell her about a business </w:t>
      </w:r>
      <w:r w:rsidR="007B57C1" w:rsidRPr="00672545">
        <w:rPr>
          <w:rFonts w:cs="Calibri"/>
          <w:szCs w:val="26"/>
        </w:rPr>
        <w:t>opportunity</w:t>
      </w:r>
      <w:r w:rsidR="00341BC8" w:rsidRPr="00672545">
        <w:rPr>
          <w:rFonts w:cs="Calibri"/>
          <w:szCs w:val="26"/>
        </w:rPr>
        <w:t>.  Defendant</w:t>
      </w:r>
      <w:r w:rsidR="00DD46FA" w:rsidRPr="00672545">
        <w:rPr>
          <w:rFonts w:cs="Calibri"/>
          <w:szCs w:val="26"/>
        </w:rPr>
        <w:t xml:space="preserve"> </w:t>
      </w:r>
      <w:r w:rsidR="00DD019E" w:rsidRPr="00672545">
        <w:rPr>
          <w:rFonts w:cs="Calibri"/>
          <w:szCs w:val="26"/>
        </w:rPr>
        <w:t>s</w:t>
      </w:r>
      <w:r w:rsidR="00341BC8" w:rsidRPr="00672545">
        <w:rPr>
          <w:rFonts w:cs="Calibri"/>
          <w:szCs w:val="26"/>
        </w:rPr>
        <w:t>tated</w:t>
      </w:r>
      <w:r w:rsidR="00DD019E" w:rsidRPr="00672545">
        <w:rPr>
          <w:rFonts w:cs="Calibri"/>
          <w:szCs w:val="26"/>
        </w:rPr>
        <w:t xml:space="preserve"> </w:t>
      </w:r>
      <w:r w:rsidR="00DD46FA" w:rsidRPr="00672545">
        <w:rPr>
          <w:rFonts w:cs="Calibri"/>
          <w:szCs w:val="26"/>
        </w:rPr>
        <w:t>that he</w:t>
      </w:r>
      <w:r w:rsidRPr="00672545">
        <w:rPr>
          <w:rFonts w:cs="Calibri"/>
          <w:szCs w:val="26"/>
        </w:rPr>
        <w:t xml:space="preserve"> had watched Susan and her friend approach</w:t>
      </w:r>
      <w:r w:rsidR="008A6F49" w:rsidRPr="00672545">
        <w:rPr>
          <w:rFonts w:cs="Calibri"/>
          <w:szCs w:val="26"/>
        </w:rPr>
        <w:t>.</w:t>
      </w:r>
      <w:r w:rsidR="00F81CD5" w:rsidRPr="00672545">
        <w:rPr>
          <w:rFonts w:cs="Calibri"/>
          <w:szCs w:val="26"/>
        </w:rPr>
        <w:t xml:space="preserve">  </w:t>
      </w:r>
      <w:r w:rsidR="008A6F49" w:rsidRPr="00672545">
        <w:rPr>
          <w:rFonts w:cs="Calibri"/>
          <w:szCs w:val="26"/>
        </w:rPr>
        <w:t xml:space="preserve">The defense contended that the inference the prosecution was trying to draw was that defendant was stalking </w:t>
      </w:r>
      <w:r w:rsidRPr="00672545">
        <w:rPr>
          <w:rFonts w:cs="Calibri"/>
          <w:szCs w:val="26"/>
        </w:rPr>
        <w:t xml:space="preserve">Susan and urged the court to exclude the testimony under Evidence Code section 352.  The court expressed concern </w:t>
      </w:r>
      <w:r w:rsidR="00DE59A0" w:rsidRPr="00672545">
        <w:rPr>
          <w:rFonts w:cs="Calibri"/>
          <w:szCs w:val="26"/>
        </w:rPr>
        <w:t>about</w:t>
      </w:r>
      <w:r w:rsidRPr="00672545">
        <w:rPr>
          <w:rFonts w:cs="Calibri"/>
          <w:szCs w:val="26"/>
        </w:rPr>
        <w:t xml:space="preserve"> the relevance of the proposed testimony.  The prosecutor responded </w:t>
      </w:r>
      <w:r w:rsidR="00DE59A0" w:rsidRPr="00672545">
        <w:rPr>
          <w:rFonts w:cs="Calibri"/>
          <w:szCs w:val="26"/>
        </w:rPr>
        <w:t>it was relevant in</w:t>
      </w:r>
      <w:r w:rsidR="00DD46FA" w:rsidRPr="00672545">
        <w:rPr>
          <w:rFonts w:cs="Calibri"/>
          <w:szCs w:val="26"/>
        </w:rPr>
        <w:t xml:space="preserve"> that</w:t>
      </w:r>
      <w:r w:rsidR="00E337D2" w:rsidRPr="00672545">
        <w:rPr>
          <w:rFonts w:cs="Calibri"/>
          <w:szCs w:val="26"/>
        </w:rPr>
        <w:t>,</w:t>
      </w:r>
      <w:r w:rsidR="00DD46FA" w:rsidRPr="00672545">
        <w:rPr>
          <w:rFonts w:cs="Calibri"/>
          <w:szCs w:val="26"/>
        </w:rPr>
        <w:t xml:space="preserve"> </w:t>
      </w:r>
      <w:r w:rsidR="00DE59A0" w:rsidRPr="00672545">
        <w:rPr>
          <w:rFonts w:cs="Calibri"/>
          <w:szCs w:val="26"/>
        </w:rPr>
        <w:t>although</w:t>
      </w:r>
      <w:r w:rsidRPr="00672545">
        <w:rPr>
          <w:rFonts w:cs="Calibri"/>
          <w:szCs w:val="26"/>
        </w:rPr>
        <w:t xml:space="preserve"> Susan </w:t>
      </w:r>
      <w:r w:rsidR="009C42D9" w:rsidRPr="00672545">
        <w:rPr>
          <w:rFonts w:cs="Calibri"/>
          <w:szCs w:val="26"/>
        </w:rPr>
        <w:t xml:space="preserve">L. </w:t>
      </w:r>
      <w:r w:rsidR="00E96E76" w:rsidRPr="00672545">
        <w:rPr>
          <w:rFonts w:cs="Calibri"/>
          <w:szCs w:val="26"/>
        </w:rPr>
        <w:t>still thought positively of defendant</w:t>
      </w:r>
      <w:r w:rsidRPr="00672545">
        <w:rPr>
          <w:rFonts w:cs="Calibri"/>
          <w:szCs w:val="26"/>
        </w:rPr>
        <w:t xml:space="preserve">, it </w:t>
      </w:r>
      <w:r w:rsidR="00DD46FA" w:rsidRPr="00672545">
        <w:rPr>
          <w:rFonts w:cs="Calibri"/>
          <w:szCs w:val="26"/>
        </w:rPr>
        <w:t xml:space="preserve">had </w:t>
      </w:r>
      <w:r w:rsidRPr="00672545">
        <w:rPr>
          <w:rFonts w:cs="Calibri"/>
          <w:szCs w:val="26"/>
        </w:rPr>
        <w:t xml:space="preserve">“freaked her out” that he was </w:t>
      </w:r>
      <w:r w:rsidR="001524B9" w:rsidRPr="00672545">
        <w:rPr>
          <w:rFonts w:cs="Calibri"/>
          <w:szCs w:val="26"/>
        </w:rPr>
        <w:t xml:space="preserve">surreptitiously </w:t>
      </w:r>
      <w:r w:rsidRPr="00672545">
        <w:rPr>
          <w:rFonts w:cs="Calibri"/>
          <w:szCs w:val="26"/>
        </w:rPr>
        <w:t>present on this occasion.</w:t>
      </w:r>
      <w:r w:rsidR="00F81CD5" w:rsidRPr="00672545">
        <w:rPr>
          <w:rFonts w:cs="Calibri"/>
          <w:szCs w:val="26"/>
        </w:rPr>
        <w:t xml:space="preserve">  </w:t>
      </w:r>
      <w:r w:rsidR="00DD46FA" w:rsidRPr="00672545">
        <w:rPr>
          <w:rFonts w:cs="Calibri"/>
          <w:szCs w:val="26"/>
        </w:rPr>
        <w:t xml:space="preserve">The court ruled that the prosecutor would be allowed to go into “her state of mind,” specifically “that she didn’t have good feelings for him </w:t>
      </w:r>
      <w:r w:rsidR="00DD46FA" w:rsidRPr="00672545">
        <w:rPr>
          <w:rFonts w:cs="Calibri"/>
          <w:szCs w:val="26"/>
        </w:rPr>
        <w:lastRenderedPageBreak/>
        <w:t>back on that particular date,” because that would be “in conflict with the way she is today.”  However,</w:t>
      </w:r>
      <w:r w:rsidR="00C200B9" w:rsidRPr="00672545">
        <w:rPr>
          <w:rFonts w:cs="Calibri"/>
          <w:szCs w:val="26"/>
        </w:rPr>
        <w:t xml:space="preserve"> it ordered</w:t>
      </w:r>
      <w:r w:rsidR="00DD46FA" w:rsidRPr="00672545">
        <w:rPr>
          <w:rFonts w:cs="Calibri"/>
          <w:szCs w:val="26"/>
        </w:rPr>
        <w:t xml:space="preserve"> the prosecutor not to elicit testimony that she </w:t>
      </w:r>
      <w:r w:rsidR="00C200B9" w:rsidRPr="00672545">
        <w:rPr>
          <w:rFonts w:cs="Calibri"/>
          <w:szCs w:val="26"/>
        </w:rPr>
        <w:t xml:space="preserve">had </w:t>
      </w:r>
      <w:r w:rsidR="000C320D" w:rsidRPr="00672545">
        <w:rPr>
          <w:rFonts w:cs="Calibri"/>
          <w:szCs w:val="26"/>
        </w:rPr>
        <w:t xml:space="preserve">“freaked </w:t>
      </w:r>
      <w:r w:rsidR="00DD46FA" w:rsidRPr="00672545">
        <w:rPr>
          <w:rFonts w:cs="Calibri"/>
          <w:szCs w:val="26"/>
        </w:rPr>
        <w:t>out.”</w:t>
      </w:r>
      <w:r w:rsidR="00F81CD5" w:rsidRPr="00672545">
        <w:rPr>
          <w:rFonts w:cs="Calibri"/>
          <w:szCs w:val="26"/>
        </w:rPr>
        <w:t xml:space="preserve">  </w:t>
      </w:r>
    </w:p>
    <w:p w14:paraId="5B6F0AAF" w14:textId="77777777" w:rsidR="00DD46FA" w:rsidRPr="00672545" w:rsidRDefault="00DD46FA" w:rsidP="00672545">
      <w:pPr>
        <w:rPr>
          <w:rFonts w:cs="Calibri"/>
          <w:szCs w:val="26"/>
        </w:rPr>
      </w:pPr>
      <w:r w:rsidRPr="00672545">
        <w:rPr>
          <w:rFonts w:cs="Calibri"/>
          <w:szCs w:val="26"/>
        </w:rPr>
        <w:tab/>
        <w:t xml:space="preserve">When cross-examination resumed, the prosecutor impeached Susan L. with a transcript of </w:t>
      </w:r>
      <w:r w:rsidR="00DD019E" w:rsidRPr="00672545">
        <w:rPr>
          <w:rFonts w:cs="Calibri"/>
          <w:szCs w:val="26"/>
        </w:rPr>
        <w:t>her</w:t>
      </w:r>
      <w:r w:rsidRPr="00672545">
        <w:rPr>
          <w:rFonts w:cs="Calibri"/>
          <w:szCs w:val="26"/>
        </w:rPr>
        <w:t xml:space="preserve"> interview with law enforcement in which she </w:t>
      </w:r>
      <w:r w:rsidR="00DD019E" w:rsidRPr="00672545">
        <w:rPr>
          <w:rFonts w:cs="Calibri"/>
          <w:szCs w:val="26"/>
        </w:rPr>
        <w:t>stated</w:t>
      </w:r>
      <w:r w:rsidRPr="00672545">
        <w:rPr>
          <w:rFonts w:cs="Calibri"/>
          <w:szCs w:val="26"/>
        </w:rPr>
        <w:t xml:space="preserve"> that she </w:t>
      </w:r>
      <w:r w:rsidR="00D95616" w:rsidRPr="00672545">
        <w:rPr>
          <w:rFonts w:cs="Calibri"/>
          <w:szCs w:val="26"/>
        </w:rPr>
        <w:t xml:space="preserve">had </w:t>
      </w:r>
      <w:r w:rsidRPr="00672545">
        <w:rPr>
          <w:rFonts w:cs="Calibri"/>
          <w:szCs w:val="26"/>
        </w:rPr>
        <w:t>found defendant sitting outside that night.</w:t>
      </w:r>
      <w:r w:rsidR="00F81CD5" w:rsidRPr="00672545">
        <w:rPr>
          <w:rFonts w:cs="Calibri"/>
          <w:szCs w:val="26"/>
        </w:rPr>
        <w:t xml:space="preserve">  </w:t>
      </w:r>
      <w:r w:rsidRPr="00672545">
        <w:rPr>
          <w:rFonts w:cs="Calibri"/>
          <w:szCs w:val="26"/>
        </w:rPr>
        <w:t>S</w:t>
      </w:r>
      <w:r w:rsidR="001363DA" w:rsidRPr="00672545">
        <w:rPr>
          <w:rFonts w:cs="Calibri"/>
          <w:szCs w:val="26"/>
        </w:rPr>
        <w:t>usan</w:t>
      </w:r>
      <w:r w:rsidRPr="00672545">
        <w:rPr>
          <w:rFonts w:cs="Calibri"/>
          <w:szCs w:val="26"/>
        </w:rPr>
        <w:t xml:space="preserve"> </w:t>
      </w:r>
      <w:r w:rsidR="001363DA" w:rsidRPr="00672545">
        <w:rPr>
          <w:rFonts w:cs="Calibri"/>
          <w:szCs w:val="26"/>
        </w:rPr>
        <w:t xml:space="preserve">also </w:t>
      </w:r>
      <w:r w:rsidR="00341BC8" w:rsidRPr="00672545">
        <w:rPr>
          <w:rFonts w:cs="Calibri"/>
          <w:szCs w:val="26"/>
        </w:rPr>
        <w:t>responded</w:t>
      </w:r>
      <w:r w:rsidRPr="00672545">
        <w:rPr>
          <w:rFonts w:cs="Calibri"/>
          <w:szCs w:val="26"/>
        </w:rPr>
        <w:t xml:space="preserve"> that defendant </w:t>
      </w:r>
      <w:r w:rsidR="00341BC8" w:rsidRPr="00672545">
        <w:rPr>
          <w:rFonts w:cs="Calibri"/>
          <w:szCs w:val="26"/>
        </w:rPr>
        <w:t xml:space="preserve">had </w:t>
      </w:r>
      <w:r w:rsidRPr="00672545">
        <w:rPr>
          <w:rFonts w:cs="Calibri"/>
          <w:szCs w:val="26"/>
        </w:rPr>
        <w:t>called her the next day</w:t>
      </w:r>
      <w:r w:rsidR="00341BC8" w:rsidRPr="00672545">
        <w:rPr>
          <w:rFonts w:cs="Calibri"/>
          <w:szCs w:val="26"/>
        </w:rPr>
        <w:t xml:space="preserve">.  </w:t>
      </w:r>
      <w:r w:rsidR="00E44130" w:rsidRPr="00672545">
        <w:rPr>
          <w:rFonts w:cs="Calibri"/>
          <w:szCs w:val="26"/>
        </w:rPr>
        <w:t>She admitted that a</w:t>
      </w:r>
      <w:r w:rsidRPr="00672545">
        <w:rPr>
          <w:rFonts w:cs="Calibri"/>
          <w:szCs w:val="26"/>
        </w:rPr>
        <w:t xml:space="preserve">fter their conversation, </w:t>
      </w:r>
      <w:r w:rsidR="00341BC8" w:rsidRPr="00672545">
        <w:rPr>
          <w:rFonts w:cs="Calibri"/>
          <w:szCs w:val="26"/>
        </w:rPr>
        <w:t xml:space="preserve">she </w:t>
      </w:r>
      <w:r w:rsidRPr="00672545">
        <w:rPr>
          <w:rFonts w:cs="Calibri"/>
          <w:szCs w:val="26"/>
        </w:rPr>
        <w:t>did not feel comfortable with</w:t>
      </w:r>
      <w:r w:rsidR="00C62B35" w:rsidRPr="00672545">
        <w:rPr>
          <w:rFonts w:cs="Calibri"/>
          <w:szCs w:val="26"/>
        </w:rPr>
        <w:t xml:space="preserve"> defendant</w:t>
      </w:r>
      <w:r w:rsidR="00E44130" w:rsidRPr="00672545">
        <w:rPr>
          <w:rFonts w:cs="Calibri"/>
          <w:szCs w:val="26"/>
        </w:rPr>
        <w:t xml:space="preserve"> “at that time.”</w:t>
      </w:r>
      <w:r w:rsidR="00F81CD5" w:rsidRPr="00672545">
        <w:rPr>
          <w:rFonts w:cs="Calibri"/>
          <w:szCs w:val="26"/>
        </w:rPr>
        <w:t xml:space="preserve">  </w:t>
      </w:r>
    </w:p>
    <w:p w14:paraId="4DF9C8D2" w14:textId="77777777" w:rsidR="00C62B35" w:rsidRPr="00672545" w:rsidRDefault="00B112E1" w:rsidP="00672545">
      <w:pPr>
        <w:rPr>
          <w:rFonts w:cs="Calibri"/>
          <w:szCs w:val="26"/>
        </w:rPr>
      </w:pPr>
      <w:r w:rsidRPr="00672545">
        <w:rPr>
          <w:rFonts w:cs="Calibri"/>
          <w:szCs w:val="26"/>
        </w:rPr>
        <w:tab/>
        <w:t xml:space="preserve">Defendant </w:t>
      </w:r>
      <w:r w:rsidR="00E862F4" w:rsidRPr="00672545">
        <w:rPr>
          <w:rFonts w:cs="Calibri"/>
          <w:szCs w:val="26"/>
        </w:rPr>
        <w:t xml:space="preserve">argues the trial court erred in allowing this cross-examination.  He </w:t>
      </w:r>
      <w:r w:rsidRPr="00672545">
        <w:rPr>
          <w:rFonts w:cs="Calibri"/>
          <w:szCs w:val="26"/>
        </w:rPr>
        <w:t xml:space="preserve">concedes that evidence a witness bears enmity towards a party </w:t>
      </w:r>
      <w:r w:rsidRPr="00672545">
        <w:rPr>
          <w:rFonts w:cs="Calibri"/>
          <w:i/>
          <w:szCs w:val="26"/>
        </w:rPr>
        <w:t>against whom</w:t>
      </w:r>
      <w:r w:rsidRPr="00672545">
        <w:rPr>
          <w:rFonts w:cs="Calibri"/>
          <w:szCs w:val="26"/>
        </w:rPr>
        <w:t xml:space="preserve"> he tes</w:t>
      </w:r>
      <w:r w:rsidR="000C320D" w:rsidRPr="00672545">
        <w:rPr>
          <w:rFonts w:cs="Calibri"/>
          <w:szCs w:val="26"/>
        </w:rPr>
        <w:t>tifies is relevant to show bias — just</w:t>
      </w:r>
      <w:r w:rsidRPr="00672545">
        <w:rPr>
          <w:rFonts w:cs="Calibri"/>
          <w:szCs w:val="26"/>
        </w:rPr>
        <w:t xml:space="preserve"> as evidence that a witness is friendly toward a party </w:t>
      </w:r>
      <w:r w:rsidRPr="00672545">
        <w:rPr>
          <w:rFonts w:cs="Calibri"/>
          <w:i/>
          <w:szCs w:val="26"/>
        </w:rPr>
        <w:t>for whom</w:t>
      </w:r>
      <w:r w:rsidRPr="00672545">
        <w:rPr>
          <w:rFonts w:cs="Calibri"/>
          <w:szCs w:val="26"/>
        </w:rPr>
        <w:t xml:space="preserve"> he testifies</w:t>
      </w:r>
      <w:r w:rsidR="00D75945" w:rsidRPr="00672545">
        <w:rPr>
          <w:rFonts w:cs="Calibri"/>
          <w:szCs w:val="26"/>
        </w:rPr>
        <w:t xml:space="preserve"> is also relevant to show bias</w:t>
      </w:r>
      <w:r w:rsidRPr="00672545">
        <w:rPr>
          <w:rFonts w:cs="Calibri"/>
          <w:szCs w:val="26"/>
        </w:rPr>
        <w:t>.</w:t>
      </w:r>
      <w:r w:rsidR="00F81CD5" w:rsidRPr="00672545">
        <w:rPr>
          <w:rFonts w:cs="Calibri"/>
          <w:szCs w:val="26"/>
        </w:rPr>
        <w:t xml:space="preserve">  </w:t>
      </w:r>
      <w:r w:rsidR="00E862F4" w:rsidRPr="00672545">
        <w:rPr>
          <w:rFonts w:cs="Calibri"/>
          <w:szCs w:val="26"/>
        </w:rPr>
        <w:t>Therefore,</w:t>
      </w:r>
      <w:r w:rsidR="002E3817" w:rsidRPr="00672545">
        <w:rPr>
          <w:rFonts w:cs="Calibri"/>
          <w:szCs w:val="26"/>
        </w:rPr>
        <w:t xml:space="preserve"> </w:t>
      </w:r>
      <w:r w:rsidR="003A5C75" w:rsidRPr="00672545">
        <w:rPr>
          <w:rFonts w:cs="Calibri"/>
          <w:szCs w:val="26"/>
        </w:rPr>
        <w:t xml:space="preserve">as defendant concedes, </w:t>
      </w:r>
      <w:r w:rsidRPr="00672545">
        <w:rPr>
          <w:rFonts w:cs="Calibri"/>
          <w:szCs w:val="26"/>
        </w:rPr>
        <w:t>the prosecutor</w:t>
      </w:r>
      <w:r w:rsidR="003A5C75" w:rsidRPr="00672545">
        <w:rPr>
          <w:rFonts w:cs="Calibri"/>
          <w:szCs w:val="26"/>
        </w:rPr>
        <w:t>’s questioning of Susan L. concerning</w:t>
      </w:r>
      <w:r w:rsidRPr="00672545">
        <w:rPr>
          <w:rFonts w:cs="Calibri"/>
          <w:szCs w:val="26"/>
        </w:rPr>
        <w:t xml:space="preserve"> whether she still cared for defendant </w:t>
      </w:r>
      <w:r w:rsidR="00E862F4" w:rsidRPr="00672545">
        <w:rPr>
          <w:rFonts w:cs="Calibri"/>
          <w:szCs w:val="26"/>
        </w:rPr>
        <w:t>was appropriate</w:t>
      </w:r>
      <w:r w:rsidRPr="00672545">
        <w:rPr>
          <w:rFonts w:cs="Calibri"/>
          <w:szCs w:val="26"/>
        </w:rPr>
        <w:t>.  But</w:t>
      </w:r>
      <w:r w:rsidR="002E3817" w:rsidRPr="00672545">
        <w:rPr>
          <w:rFonts w:cs="Calibri"/>
          <w:szCs w:val="26"/>
        </w:rPr>
        <w:t>, defendant argues</w:t>
      </w:r>
      <w:r w:rsidR="000853BF" w:rsidRPr="00672545">
        <w:rPr>
          <w:rFonts w:cs="Calibri"/>
          <w:szCs w:val="26"/>
        </w:rPr>
        <w:t>,</w:t>
      </w:r>
      <w:r w:rsidRPr="00672545">
        <w:rPr>
          <w:rFonts w:cs="Calibri"/>
          <w:szCs w:val="26"/>
        </w:rPr>
        <w:t xml:space="preserve"> </w:t>
      </w:r>
      <w:r w:rsidR="00466335" w:rsidRPr="00672545">
        <w:rPr>
          <w:rFonts w:cs="Calibri"/>
          <w:szCs w:val="26"/>
        </w:rPr>
        <w:t xml:space="preserve">the questioning of Susan L. regarding the incident of alleged stalking suggested only that she should be hostile to defendant and </w:t>
      </w:r>
      <w:r w:rsidR="00E862F4" w:rsidRPr="00672545">
        <w:rPr>
          <w:rFonts w:cs="Calibri"/>
          <w:szCs w:val="26"/>
        </w:rPr>
        <w:t xml:space="preserve">accordingly, it </w:t>
      </w:r>
      <w:r w:rsidR="00466335" w:rsidRPr="00672545">
        <w:rPr>
          <w:rFonts w:cs="Calibri"/>
          <w:szCs w:val="26"/>
        </w:rPr>
        <w:t>was not proper impeachment</w:t>
      </w:r>
      <w:r w:rsidR="00A62EF3" w:rsidRPr="00672545">
        <w:rPr>
          <w:rFonts w:cs="Calibri"/>
          <w:szCs w:val="26"/>
        </w:rPr>
        <w:t xml:space="preserve"> of her testimony in favor of defendant</w:t>
      </w:r>
      <w:r w:rsidR="00466335" w:rsidRPr="00672545">
        <w:rPr>
          <w:rFonts w:cs="Calibri"/>
          <w:szCs w:val="26"/>
        </w:rPr>
        <w:t xml:space="preserve">. </w:t>
      </w:r>
      <w:r w:rsidRPr="00672545">
        <w:rPr>
          <w:rFonts w:cs="Calibri"/>
          <w:szCs w:val="26"/>
        </w:rPr>
        <w:t xml:space="preserve"> </w:t>
      </w:r>
      <w:r w:rsidR="000853BF" w:rsidRPr="00672545">
        <w:rPr>
          <w:rFonts w:cs="Calibri"/>
          <w:szCs w:val="26"/>
        </w:rPr>
        <w:t>In defendant’s view, the testimony was</w:t>
      </w:r>
      <w:r w:rsidR="00A62EF3" w:rsidRPr="00672545">
        <w:rPr>
          <w:rFonts w:cs="Calibri"/>
          <w:szCs w:val="26"/>
        </w:rPr>
        <w:t xml:space="preserve"> inadmissible character evidence.  (</w:t>
      </w:r>
      <w:proofErr w:type="spellStart"/>
      <w:r w:rsidR="00A62EF3" w:rsidRPr="00672545">
        <w:rPr>
          <w:rFonts w:cs="Calibri"/>
          <w:szCs w:val="26"/>
        </w:rPr>
        <w:t>Evid</w:t>
      </w:r>
      <w:proofErr w:type="spellEnd"/>
      <w:r w:rsidR="00A62EF3" w:rsidRPr="00672545">
        <w:rPr>
          <w:rFonts w:cs="Calibri"/>
          <w:szCs w:val="26"/>
        </w:rPr>
        <w:t xml:space="preserve">. Code, § 1101, </w:t>
      </w:r>
      <w:proofErr w:type="spellStart"/>
      <w:r w:rsidR="00A62EF3" w:rsidRPr="00672545">
        <w:rPr>
          <w:rFonts w:cs="Calibri"/>
          <w:szCs w:val="26"/>
        </w:rPr>
        <w:t>subd</w:t>
      </w:r>
      <w:proofErr w:type="spellEnd"/>
      <w:r w:rsidR="00A62EF3" w:rsidRPr="00672545">
        <w:rPr>
          <w:rFonts w:cs="Calibri"/>
          <w:szCs w:val="26"/>
        </w:rPr>
        <w:t xml:space="preserve">. (a).)  </w:t>
      </w:r>
      <w:r w:rsidR="0057145D" w:rsidRPr="00672545">
        <w:rPr>
          <w:rFonts w:cs="Calibri"/>
          <w:szCs w:val="26"/>
        </w:rPr>
        <w:t>We are not persuaded.</w:t>
      </w:r>
    </w:p>
    <w:p w14:paraId="0299F3B0" w14:textId="77777777" w:rsidR="00D95616" w:rsidRPr="00672545" w:rsidRDefault="0057145D" w:rsidP="00672545">
      <w:pPr>
        <w:rPr>
          <w:szCs w:val="26"/>
        </w:rPr>
      </w:pPr>
      <w:r w:rsidRPr="00672545">
        <w:rPr>
          <w:szCs w:val="26"/>
        </w:rPr>
        <w:tab/>
      </w:r>
      <w:r w:rsidR="00E259AF" w:rsidRPr="00672545">
        <w:rPr>
          <w:szCs w:val="26"/>
        </w:rPr>
        <w:t>“The partiality of a witness is subject to exploration at trial, and is ‘always relevant as discrediting the witness and affecting the weight of his testimony.</w:t>
      </w:r>
      <w:proofErr w:type="gramStart"/>
      <w:r w:rsidR="00E259AF" w:rsidRPr="00672545">
        <w:rPr>
          <w:szCs w:val="26"/>
        </w:rPr>
        <w:t>’ ”</w:t>
      </w:r>
      <w:proofErr w:type="gramEnd"/>
      <w:r w:rsidR="00E259AF" w:rsidRPr="00672545">
        <w:rPr>
          <w:szCs w:val="26"/>
        </w:rPr>
        <w:t xml:space="preserve">  (</w:t>
      </w:r>
      <w:r w:rsidR="00E259AF" w:rsidRPr="00672545">
        <w:rPr>
          <w:i/>
          <w:iCs/>
          <w:szCs w:val="26"/>
        </w:rPr>
        <w:t>Davis v. Alaska</w:t>
      </w:r>
      <w:r w:rsidR="00E259AF" w:rsidRPr="00672545">
        <w:rPr>
          <w:szCs w:val="26"/>
        </w:rPr>
        <w:t xml:space="preserve"> (1974) 415 U.S. 308, 316.)  </w:t>
      </w:r>
      <w:r w:rsidR="00BB0647" w:rsidRPr="00672545">
        <w:rPr>
          <w:szCs w:val="26"/>
        </w:rPr>
        <w:t>“The state of mind of a witness as to bias, prejudice, interest involved, friendship or hostility toward a party are all proper subjects for investigation in the trial of a case.”  (</w:t>
      </w:r>
      <w:r w:rsidR="00BB0647" w:rsidRPr="00672545">
        <w:rPr>
          <w:i/>
          <w:iCs/>
          <w:szCs w:val="26"/>
        </w:rPr>
        <w:t>People v. Sweeney</w:t>
      </w:r>
      <w:r w:rsidR="00BB0647" w:rsidRPr="00672545">
        <w:rPr>
          <w:szCs w:val="26"/>
        </w:rPr>
        <w:t xml:space="preserve"> (1960) 55 Cal.2d 27, 41.)</w:t>
      </w:r>
      <w:r w:rsidR="00F81CD5" w:rsidRPr="00672545">
        <w:rPr>
          <w:szCs w:val="26"/>
        </w:rPr>
        <w:t xml:space="preserve">  </w:t>
      </w:r>
      <w:r w:rsidR="00BB0647" w:rsidRPr="00672545">
        <w:rPr>
          <w:szCs w:val="26"/>
        </w:rPr>
        <w:t xml:space="preserve">In exploring </w:t>
      </w:r>
      <w:r w:rsidR="00BB0647" w:rsidRPr="00672545">
        <w:rPr>
          <w:szCs w:val="26"/>
        </w:rPr>
        <w:lastRenderedPageBreak/>
        <w:t xml:space="preserve">such </w:t>
      </w:r>
      <w:r w:rsidR="000B5128" w:rsidRPr="00672545">
        <w:rPr>
          <w:szCs w:val="26"/>
        </w:rPr>
        <w:t>states of mind</w:t>
      </w:r>
      <w:r w:rsidR="00BB0647" w:rsidRPr="00672545">
        <w:rPr>
          <w:szCs w:val="26"/>
        </w:rPr>
        <w:t>, w</w:t>
      </w:r>
      <w:r w:rsidR="00E259AF" w:rsidRPr="00672545">
        <w:rPr>
          <w:szCs w:val="26"/>
        </w:rPr>
        <w:t xml:space="preserve">e agree with the People that a witness may be impeached with evidence that she has previously held an opinion </w:t>
      </w:r>
      <w:r w:rsidR="00BB0647" w:rsidRPr="00672545">
        <w:rPr>
          <w:szCs w:val="26"/>
        </w:rPr>
        <w:t xml:space="preserve">concerning </w:t>
      </w:r>
      <w:r w:rsidR="008F3231" w:rsidRPr="00672545">
        <w:rPr>
          <w:szCs w:val="26"/>
        </w:rPr>
        <w:t xml:space="preserve">a party </w:t>
      </w:r>
      <w:r w:rsidR="00BB0647" w:rsidRPr="00672545">
        <w:rPr>
          <w:szCs w:val="26"/>
        </w:rPr>
        <w:t>different f</w:t>
      </w:r>
      <w:r w:rsidR="00E259AF" w:rsidRPr="00672545">
        <w:rPr>
          <w:szCs w:val="26"/>
        </w:rPr>
        <w:t xml:space="preserve">rom her </w:t>
      </w:r>
      <w:r w:rsidR="000B5128" w:rsidRPr="00672545">
        <w:rPr>
          <w:szCs w:val="26"/>
        </w:rPr>
        <w:t>opinion expressed</w:t>
      </w:r>
      <w:r w:rsidR="00E259AF" w:rsidRPr="00672545">
        <w:rPr>
          <w:szCs w:val="26"/>
        </w:rPr>
        <w:t xml:space="preserve"> at trial.  (</w:t>
      </w:r>
      <w:r w:rsidR="00E259AF" w:rsidRPr="00672545">
        <w:rPr>
          <w:i/>
          <w:szCs w:val="26"/>
        </w:rPr>
        <w:t xml:space="preserve">People v. Price </w:t>
      </w:r>
      <w:r w:rsidR="00E259AF" w:rsidRPr="00672545">
        <w:rPr>
          <w:szCs w:val="26"/>
        </w:rPr>
        <w:t xml:space="preserve">(1991) 1 Cal.4th 324, 474.)  Defendant offers no authority supporting his claim that the prosecution could not both suggest Susan L.’s testimony in favor of defendant was biased because she still cared for him and </w:t>
      </w:r>
      <w:r w:rsidR="00CD0328" w:rsidRPr="00672545">
        <w:rPr>
          <w:szCs w:val="26"/>
        </w:rPr>
        <w:t xml:space="preserve">at the same time impeach her implicit testimony that she felt comfortable with defendant by </w:t>
      </w:r>
      <w:r w:rsidR="00E259AF" w:rsidRPr="00672545">
        <w:rPr>
          <w:szCs w:val="26"/>
        </w:rPr>
        <w:t>point</w:t>
      </w:r>
      <w:r w:rsidR="00CD0328" w:rsidRPr="00672545">
        <w:rPr>
          <w:szCs w:val="26"/>
        </w:rPr>
        <w:t>ing</w:t>
      </w:r>
      <w:r w:rsidR="00E259AF" w:rsidRPr="00672545">
        <w:rPr>
          <w:szCs w:val="26"/>
        </w:rPr>
        <w:t xml:space="preserve"> out that she did not always feel </w:t>
      </w:r>
      <w:r w:rsidR="00CD0328" w:rsidRPr="00672545">
        <w:rPr>
          <w:szCs w:val="26"/>
        </w:rPr>
        <w:t xml:space="preserve">that way. </w:t>
      </w:r>
      <w:r w:rsidR="00E259AF" w:rsidRPr="00672545">
        <w:rPr>
          <w:szCs w:val="26"/>
        </w:rPr>
        <w:t xml:space="preserve"> </w:t>
      </w:r>
      <w:r w:rsidR="003564C3" w:rsidRPr="00672545">
        <w:rPr>
          <w:szCs w:val="26"/>
        </w:rPr>
        <w:t xml:space="preserve">We conclude the trial court acted within its discretion </w:t>
      </w:r>
      <w:r w:rsidR="000E270E" w:rsidRPr="00672545">
        <w:rPr>
          <w:szCs w:val="26"/>
        </w:rPr>
        <w:t xml:space="preserve">in </w:t>
      </w:r>
      <w:r w:rsidR="003564C3" w:rsidRPr="00672545">
        <w:rPr>
          <w:szCs w:val="26"/>
        </w:rPr>
        <w:t>allow</w:t>
      </w:r>
      <w:r w:rsidR="000E270E" w:rsidRPr="00672545">
        <w:rPr>
          <w:szCs w:val="26"/>
        </w:rPr>
        <w:t>ing</w:t>
      </w:r>
      <w:r w:rsidR="003564C3" w:rsidRPr="00672545">
        <w:rPr>
          <w:szCs w:val="26"/>
        </w:rPr>
        <w:t xml:space="preserve"> this line of questioning.</w:t>
      </w:r>
    </w:p>
    <w:p w14:paraId="672660C8" w14:textId="77777777" w:rsidR="0063370A" w:rsidRPr="00672545" w:rsidRDefault="00B37FB9" w:rsidP="00672545">
      <w:pPr>
        <w:rPr>
          <w:szCs w:val="26"/>
        </w:rPr>
      </w:pPr>
      <w:r w:rsidRPr="00672545">
        <w:rPr>
          <w:szCs w:val="26"/>
        </w:rPr>
        <w:tab/>
        <w:t>In another area of cross</w:t>
      </w:r>
      <w:r w:rsidR="003A6F60">
        <w:rPr>
          <w:szCs w:val="26"/>
        </w:rPr>
        <w:t>-</w:t>
      </w:r>
      <w:r w:rsidRPr="00672545">
        <w:rPr>
          <w:szCs w:val="26"/>
        </w:rPr>
        <w:t xml:space="preserve">examination, the prosecution </w:t>
      </w:r>
      <w:r w:rsidR="0063370A" w:rsidRPr="00672545">
        <w:rPr>
          <w:szCs w:val="26"/>
        </w:rPr>
        <w:t>asked Susan L. if</w:t>
      </w:r>
      <w:r w:rsidRPr="00672545">
        <w:rPr>
          <w:szCs w:val="26"/>
        </w:rPr>
        <w:t xml:space="preserve"> defendant would drink </w:t>
      </w:r>
      <w:r w:rsidR="00917D6B" w:rsidRPr="00672545">
        <w:rPr>
          <w:szCs w:val="26"/>
        </w:rPr>
        <w:t xml:space="preserve">alcohol </w:t>
      </w:r>
      <w:r w:rsidRPr="00672545">
        <w:rPr>
          <w:szCs w:val="26"/>
        </w:rPr>
        <w:t>when they went out to the desert</w:t>
      </w:r>
      <w:r w:rsidR="0063370A" w:rsidRPr="00672545">
        <w:rPr>
          <w:szCs w:val="26"/>
        </w:rPr>
        <w:t>.  She testified that he did.  T</w:t>
      </w:r>
      <w:r w:rsidRPr="00672545">
        <w:rPr>
          <w:szCs w:val="26"/>
        </w:rPr>
        <w:t xml:space="preserve">he prosecution </w:t>
      </w:r>
      <w:r w:rsidR="0063370A" w:rsidRPr="00672545">
        <w:rPr>
          <w:szCs w:val="26"/>
        </w:rPr>
        <w:t xml:space="preserve">then </w:t>
      </w:r>
      <w:r w:rsidRPr="00672545">
        <w:rPr>
          <w:szCs w:val="26"/>
        </w:rPr>
        <w:t>asked if defendant’s attitude or personality would change when he drank.  Defe</w:t>
      </w:r>
      <w:r w:rsidR="004D3CFB" w:rsidRPr="00672545">
        <w:rPr>
          <w:szCs w:val="26"/>
        </w:rPr>
        <w:t>nse counsel</w:t>
      </w:r>
      <w:r w:rsidRPr="00672545">
        <w:rPr>
          <w:szCs w:val="26"/>
        </w:rPr>
        <w:t xml:space="preserve"> objected on grounds of Evidence Code section 352 and that the question called for inadmissible character evidence.</w:t>
      </w:r>
      <w:r w:rsidR="00F81CD5" w:rsidRPr="00672545">
        <w:rPr>
          <w:szCs w:val="26"/>
        </w:rPr>
        <w:t xml:space="preserve">  </w:t>
      </w:r>
      <w:r w:rsidRPr="00672545">
        <w:rPr>
          <w:szCs w:val="26"/>
        </w:rPr>
        <w:t>The trial court overruled the objection</w:t>
      </w:r>
      <w:r w:rsidR="001F1428" w:rsidRPr="00672545">
        <w:rPr>
          <w:szCs w:val="26"/>
        </w:rPr>
        <w:t xml:space="preserve"> and</w:t>
      </w:r>
      <w:r w:rsidRPr="00672545">
        <w:rPr>
          <w:szCs w:val="26"/>
        </w:rPr>
        <w:t xml:space="preserve"> Susan answered that she did notice a change in defendant’s behavior when he drank.  He became quiet, sometimes “a little upset,” and depressed.  His drinking was one of the reasons Susan left him.</w:t>
      </w:r>
      <w:r w:rsidR="00F81CD5" w:rsidRPr="00672545">
        <w:rPr>
          <w:szCs w:val="26"/>
        </w:rPr>
        <w:t xml:space="preserve">  </w:t>
      </w:r>
    </w:p>
    <w:p w14:paraId="465BBB30" w14:textId="77777777" w:rsidR="00B37FB9" w:rsidRPr="00672545" w:rsidRDefault="0063370A" w:rsidP="00672545">
      <w:pPr>
        <w:rPr>
          <w:szCs w:val="26"/>
        </w:rPr>
      </w:pPr>
      <w:r w:rsidRPr="00672545">
        <w:rPr>
          <w:szCs w:val="26"/>
        </w:rPr>
        <w:tab/>
        <w:t xml:space="preserve">Later, the prosecutor asked to approach the bench.  He told the court that he had a transcript of an interview with Susan L. in which she stated that when defendant drank he became sexually and verbally abusive.  The prosecutor </w:t>
      </w:r>
      <w:r w:rsidR="009A05C2" w:rsidRPr="00672545">
        <w:rPr>
          <w:szCs w:val="26"/>
        </w:rPr>
        <w:t>represented</w:t>
      </w:r>
      <w:r w:rsidRPr="00672545">
        <w:rPr>
          <w:szCs w:val="26"/>
        </w:rPr>
        <w:t xml:space="preserve"> that he would not elicit this, but he did want to ask </w:t>
      </w:r>
      <w:r w:rsidR="009A05C2" w:rsidRPr="00672545">
        <w:rPr>
          <w:szCs w:val="26"/>
        </w:rPr>
        <w:t>Susan</w:t>
      </w:r>
      <w:r w:rsidRPr="00672545">
        <w:rPr>
          <w:szCs w:val="26"/>
        </w:rPr>
        <w:t xml:space="preserve"> if defendant became more “forceful” when he drank.</w:t>
      </w:r>
      <w:r w:rsidR="00F81CD5" w:rsidRPr="00672545">
        <w:rPr>
          <w:szCs w:val="26"/>
        </w:rPr>
        <w:t xml:space="preserve">  </w:t>
      </w:r>
      <w:r w:rsidRPr="00672545">
        <w:rPr>
          <w:szCs w:val="26"/>
        </w:rPr>
        <w:t xml:space="preserve">Defense counsel objected that, among other things, such testimony would </w:t>
      </w:r>
      <w:r w:rsidR="00502191" w:rsidRPr="00672545">
        <w:rPr>
          <w:szCs w:val="26"/>
        </w:rPr>
        <w:t>constitute</w:t>
      </w:r>
      <w:r w:rsidRPr="00672545">
        <w:rPr>
          <w:szCs w:val="26"/>
        </w:rPr>
        <w:t xml:space="preserve"> inadmissible character evidence.</w:t>
      </w:r>
      <w:r w:rsidR="00F81CD5" w:rsidRPr="00672545">
        <w:rPr>
          <w:szCs w:val="26"/>
        </w:rPr>
        <w:t xml:space="preserve">  </w:t>
      </w:r>
      <w:r w:rsidR="00700120" w:rsidRPr="00672545">
        <w:rPr>
          <w:szCs w:val="26"/>
        </w:rPr>
        <w:t xml:space="preserve">The trial court observed that the evidence was overwhelming </w:t>
      </w:r>
      <w:r w:rsidR="00700120" w:rsidRPr="00672545">
        <w:rPr>
          <w:szCs w:val="26"/>
        </w:rPr>
        <w:lastRenderedPageBreak/>
        <w:t xml:space="preserve">that defendant had been drinking on the night Danielle disappeared.  It </w:t>
      </w:r>
      <w:r w:rsidR="00502191" w:rsidRPr="00672545">
        <w:rPr>
          <w:szCs w:val="26"/>
        </w:rPr>
        <w:t>stated</w:t>
      </w:r>
      <w:r w:rsidR="00700120" w:rsidRPr="00672545">
        <w:rPr>
          <w:szCs w:val="26"/>
        </w:rPr>
        <w:t xml:space="preserve"> that Susan L. was a “percipient witness” </w:t>
      </w:r>
      <w:r w:rsidR="00502191" w:rsidRPr="00672545">
        <w:rPr>
          <w:szCs w:val="26"/>
        </w:rPr>
        <w:t>regarding</w:t>
      </w:r>
      <w:r w:rsidR="00700120" w:rsidRPr="00672545">
        <w:rPr>
          <w:szCs w:val="26"/>
        </w:rPr>
        <w:t xml:space="preserve"> how defendant </w:t>
      </w:r>
      <w:r w:rsidR="00BD7B8C" w:rsidRPr="00672545">
        <w:rPr>
          <w:szCs w:val="26"/>
        </w:rPr>
        <w:t>“</w:t>
      </w:r>
      <w:r w:rsidR="00700120" w:rsidRPr="00672545">
        <w:rPr>
          <w:szCs w:val="26"/>
        </w:rPr>
        <w:t xml:space="preserve">changes when he </w:t>
      </w:r>
      <w:r w:rsidR="00BD7B8C" w:rsidRPr="00672545">
        <w:rPr>
          <w:szCs w:val="26"/>
        </w:rPr>
        <w:t>[</w:t>
      </w:r>
      <w:r w:rsidR="00700120" w:rsidRPr="00672545">
        <w:rPr>
          <w:szCs w:val="26"/>
        </w:rPr>
        <w:t>has</w:t>
      </w:r>
      <w:r w:rsidR="00BD7B8C" w:rsidRPr="00672545">
        <w:rPr>
          <w:szCs w:val="26"/>
        </w:rPr>
        <w:t>]</w:t>
      </w:r>
      <w:r w:rsidR="00700120" w:rsidRPr="00672545">
        <w:rPr>
          <w:szCs w:val="26"/>
        </w:rPr>
        <w:t xml:space="preserve"> been drinking</w:t>
      </w:r>
      <w:r w:rsidR="00BD7B8C" w:rsidRPr="00672545">
        <w:rPr>
          <w:szCs w:val="26"/>
        </w:rPr>
        <w:t>,”</w:t>
      </w:r>
      <w:r w:rsidR="00700120" w:rsidRPr="00672545">
        <w:rPr>
          <w:szCs w:val="26"/>
        </w:rPr>
        <w:t xml:space="preserve"> </w:t>
      </w:r>
      <w:r w:rsidR="00BD7B8C" w:rsidRPr="00672545">
        <w:rPr>
          <w:szCs w:val="26"/>
        </w:rPr>
        <w:t xml:space="preserve">which </w:t>
      </w:r>
      <w:r w:rsidR="00183ED0" w:rsidRPr="00672545">
        <w:rPr>
          <w:szCs w:val="26"/>
        </w:rPr>
        <w:t>it found to be</w:t>
      </w:r>
      <w:r w:rsidR="00BD7B8C" w:rsidRPr="00672545">
        <w:rPr>
          <w:szCs w:val="26"/>
        </w:rPr>
        <w:t xml:space="preserve"> </w:t>
      </w:r>
      <w:r w:rsidR="00700120" w:rsidRPr="00672545">
        <w:rPr>
          <w:szCs w:val="26"/>
        </w:rPr>
        <w:t>relevant and probative.</w:t>
      </w:r>
      <w:r w:rsidR="00F81CD5" w:rsidRPr="00672545">
        <w:rPr>
          <w:szCs w:val="26"/>
        </w:rPr>
        <w:t xml:space="preserve">  </w:t>
      </w:r>
      <w:r w:rsidR="00700120" w:rsidRPr="00672545">
        <w:rPr>
          <w:szCs w:val="26"/>
        </w:rPr>
        <w:t xml:space="preserve">The court stated that </w:t>
      </w:r>
      <w:r w:rsidR="00502191" w:rsidRPr="00672545">
        <w:rPr>
          <w:szCs w:val="26"/>
        </w:rPr>
        <w:t>the proposed testimony</w:t>
      </w:r>
      <w:r w:rsidR="00700120" w:rsidRPr="00672545">
        <w:rPr>
          <w:szCs w:val="26"/>
        </w:rPr>
        <w:t xml:space="preserve"> would not be “character evidence in the true sense” </w:t>
      </w:r>
      <w:r w:rsidR="00BD7B8C" w:rsidRPr="00672545">
        <w:rPr>
          <w:szCs w:val="26"/>
        </w:rPr>
        <w:t xml:space="preserve">and </w:t>
      </w:r>
      <w:r w:rsidR="00700120" w:rsidRPr="00672545">
        <w:rPr>
          <w:szCs w:val="26"/>
        </w:rPr>
        <w:t>overruled defendant’s objection.</w:t>
      </w:r>
      <w:r w:rsidR="00F81CD5" w:rsidRPr="00672545">
        <w:rPr>
          <w:szCs w:val="26"/>
        </w:rPr>
        <w:t xml:space="preserve">  </w:t>
      </w:r>
      <w:r w:rsidR="00700120" w:rsidRPr="00672545">
        <w:rPr>
          <w:szCs w:val="26"/>
        </w:rPr>
        <w:t xml:space="preserve">The prosecutor proceeded to ask Susan if defendant would become forceful when he had been drinking and she answered that she remembered “an occasion that he did.”  </w:t>
      </w:r>
    </w:p>
    <w:p w14:paraId="48290BCF" w14:textId="77777777" w:rsidR="00700120" w:rsidRPr="00672545" w:rsidRDefault="000E270E" w:rsidP="00672545">
      <w:pPr>
        <w:rPr>
          <w:szCs w:val="26"/>
        </w:rPr>
      </w:pPr>
      <w:r w:rsidRPr="00672545">
        <w:rPr>
          <w:szCs w:val="26"/>
        </w:rPr>
        <w:tab/>
      </w:r>
      <w:r w:rsidR="000A053E" w:rsidRPr="00672545">
        <w:rPr>
          <w:szCs w:val="26"/>
        </w:rPr>
        <w:t xml:space="preserve">Defendant contends the trial court erred in allowing Susan L. to testify </w:t>
      </w:r>
      <w:r w:rsidR="00502191" w:rsidRPr="00672545">
        <w:rPr>
          <w:szCs w:val="26"/>
        </w:rPr>
        <w:t>concerning</w:t>
      </w:r>
      <w:r w:rsidR="000A053E" w:rsidRPr="00672545">
        <w:rPr>
          <w:szCs w:val="26"/>
        </w:rPr>
        <w:t xml:space="preserve"> defendant’s “character for violence when intoxicated</w:t>
      </w:r>
      <w:r w:rsidR="00A3546C" w:rsidRPr="00672545">
        <w:rPr>
          <w:szCs w:val="26"/>
        </w:rPr>
        <w:t>,</w:t>
      </w:r>
      <w:r w:rsidR="000A053E" w:rsidRPr="00672545">
        <w:rPr>
          <w:szCs w:val="26"/>
        </w:rPr>
        <w:t>”</w:t>
      </w:r>
      <w:r w:rsidR="00A3546C" w:rsidRPr="00672545">
        <w:rPr>
          <w:szCs w:val="26"/>
        </w:rPr>
        <w:t xml:space="preserve"> and that </w:t>
      </w:r>
      <w:r w:rsidR="00F57038" w:rsidRPr="00672545">
        <w:rPr>
          <w:szCs w:val="26"/>
        </w:rPr>
        <w:t xml:space="preserve">such </w:t>
      </w:r>
      <w:r w:rsidR="00A3546C" w:rsidRPr="00672545">
        <w:rPr>
          <w:szCs w:val="26"/>
        </w:rPr>
        <w:t xml:space="preserve">evidence is generally prohibited </w:t>
      </w:r>
      <w:r w:rsidR="00254169" w:rsidRPr="00672545">
        <w:rPr>
          <w:szCs w:val="26"/>
        </w:rPr>
        <w:t xml:space="preserve">character evidence </w:t>
      </w:r>
      <w:r w:rsidR="00A3546C" w:rsidRPr="00672545">
        <w:rPr>
          <w:szCs w:val="26"/>
        </w:rPr>
        <w:t>under Evidence Code section 1101, subdivision (a).</w:t>
      </w:r>
      <w:r w:rsidR="00F81CD5" w:rsidRPr="00672545">
        <w:rPr>
          <w:szCs w:val="26"/>
        </w:rPr>
        <w:t xml:space="preserve">  </w:t>
      </w:r>
      <w:r w:rsidR="00C7066A" w:rsidRPr="00672545">
        <w:rPr>
          <w:szCs w:val="26"/>
        </w:rPr>
        <w:t>But even assuming the trial court erred, w</w:t>
      </w:r>
      <w:r w:rsidR="00183ED0" w:rsidRPr="00672545">
        <w:rPr>
          <w:szCs w:val="26"/>
        </w:rPr>
        <w:t xml:space="preserve">e conclude that </w:t>
      </w:r>
      <w:r w:rsidR="00077809" w:rsidRPr="00672545">
        <w:rPr>
          <w:szCs w:val="26"/>
        </w:rPr>
        <w:t>the</w:t>
      </w:r>
      <w:r w:rsidR="00183ED0" w:rsidRPr="00672545">
        <w:rPr>
          <w:szCs w:val="26"/>
        </w:rPr>
        <w:t xml:space="preserve"> error </w:t>
      </w:r>
      <w:r w:rsidR="007F3F0F" w:rsidRPr="00672545">
        <w:rPr>
          <w:szCs w:val="26"/>
        </w:rPr>
        <w:t xml:space="preserve">in admitting this testimony </w:t>
      </w:r>
      <w:r w:rsidR="00183ED0" w:rsidRPr="00672545">
        <w:rPr>
          <w:szCs w:val="26"/>
        </w:rPr>
        <w:t xml:space="preserve">was nevertheless harmless.  The physical evidence against defendant — Danielle’s </w:t>
      </w:r>
      <w:r w:rsidR="00C75643" w:rsidRPr="00672545">
        <w:rPr>
          <w:szCs w:val="26"/>
        </w:rPr>
        <w:t xml:space="preserve">hairs found in the bedding of defendant’s master bedroom, her </w:t>
      </w:r>
      <w:r w:rsidR="00D9151B" w:rsidRPr="00672545">
        <w:rPr>
          <w:szCs w:val="26"/>
        </w:rPr>
        <w:t xml:space="preserve">handprint </w:t>
      </w:r>
      <w:r w:rsidR="00183ED0" w:rsidRPr="00672545">
        <w:rPr>
          <w:szCs w:val="26"/>
        </w:rPr>
        <w:t>above the motorhome bed, the presence of her blood and hair</w:t>
      </w:r>
      <w:r w:rsidR="00A4414B" w:rsidRPr="00672545">
        <w:rPr>
          <w:szCs w:val="26"/>
        </w:rPr>
        <w:t xml:space="preserve"> in the motorhome</w:t>
      </w:r>
      <w:r w:rsidR="00183ED0" w:rsidRPr="00672545">
        <w:rPr>
          <w:szCs w:val="26"/>
        </w:rPr>
        <w:t xml:space="preserve">, </w:t>
      </w:r>
      <w:r w:rsidR="002B6D01" w:rsidRPr="00672545">
        <w:rPr>
          <w:szCs w:val="26"/>
        </w:rPr>
        <w:t xml:space="preserve">and </w:t>
      </w:r>
      <w:r w:rsidR="00183ED0" w:rsidRPr="00672545">
        <w:rPr>
          <w:szCs w:val="26"/>
        </w:rPr>
        <w:t>the significant fiber evidence — combined with defendant’s strange activities over the weekend of her disappearance</w:t>
      </w:r>
      <w:r w:rsidR="00074C66" w:rsidRPr="00672545">
        <w:rPr>
          <w:szCs w:val="26"/>
        </w:rPr>
        <w:t>,</w:t>
      </w:r>
      <w:r w:rsidR="00183ED0" w:rsidRPr="00672545">
        <w:rPr>
          <w:szCs w:val="26"/>
        </w:rPr>
        <w:t xml:space="preserve"> his weak explanation</w:t>
      </w:r>
      <w:r w:rsidR="00074C66" w:rsidRPr="00672545">
        <w:rPr>
          <w:szCs w:val="26"/>
        </w:rPr>
        <w:t>s</w:t>
      </w:r>
      <w:r w:rsidR="00183ED0" w:rsidRPr="00672545">
        <w:rPr>
          <w:szCs w:val="26"/>
        </w:rPr>
        <w:t xml:space="preserve"> to investigating officers</w:t>
      </w:r>
      <w:r w:rsidR="00074C66" w:rsidRPr="00672545">
        <w:rPr>
          <w:szCs w:val="26"/>
        </w:rPr>
        <w:t xml:space="preserve">, and the evidence of his interest in child pornography as a possible motive, presented a strong case supporting defendant’s guilt.  The alibi entomological evidence presented by the defense </w:t>
      </w:r>
      <w:r w:rsidR="00BE0E45" w:rsidRPr="00672545">
        <w:rPr>
          <w:szCs w:val="26"/>
        </w:rPr>
        <w:t>was powerfully rebutted</w:t>
      </w:r>
      <w:r w:rsidR="00074C66" w:rsidRPr="00672545">
        <w:rPr>
          <w:szCs w:val="26"/>
        </w:rPr>
        <w:t xml:space="preserve">.  In </w:t>
      </w:r>
      <w:r w:rsidR="00CC4279" w:rsidRPr="00672545">
        <w:rPr>
          <w:szCs w:val="26"/>
        </w:rPr>
        <w:t>this</w:t>
      </w:r>
      <w:r w:rsidR="00074C66" w:rsidRPr="00672545">
        <w:rPr>
          <w:szCs w:val="26"/>
        </w:rPr>
        <w:t xml:space="preserve"> context, it is not reasonably probable that the jury’s verdict would have been different if it had not heard from Susan L. that on one occasion defendant had been forceful with her</w:t>
      </w:r>
      <w:r w:rsidR="00CE6DAC" w:rsidRPr="00672545">
        <w:rPr>
          <w:szCs w:val="26"/>
        </w:rPr>
        <w:t xml:space="preserve"> when he had been drinking</w:t>
      </w:r>
      <w:r w:rsidR="00074C66" w:rsidRPr="00672545">
        <w:rPr>
          <w:szCs w:val="26"/>
        </w:rPr>
        <w:t>.  (</w:t>
      </w:r>
      <w:r w:rsidR="00074C66" w:rsidRPr="00672545">
        <w:rPr>
          <w:i/>
          <w:szCs w:val="26"/>
        </w:rPr>
        <w:t xml:space="preserve">People v. </w:t>
      </w:r>
      <w:proofErr w:type="spellStart"/>
      <w:r w:rsidR="00074C66" w:rsidRPr="00672545">
        <w:rPr>
          <w:i/>
          <w:szCs w:val="26"/>
        </w:rPr>
        <w:t>Partida</w:t>
      </w:r>
      <w:proofErr w:type="spellEnd"/>
      <w:r w:rsidR="00F170CE" w:rsidRPr="00672545">
        <w:rPr>
          <w:i/>
          <w:szCs w:val="26"/>
        </w:rPr>
        <w:t xml:space="preserve"> </w:t>
      </w:r>
      <w:r w:rsidR="00C7066A" w:rsidRPr="00672545">
        <w:rPr>
          <w:szCs w:val="26"/>
        </w:rPr>
        <w:t>(2005) 37 Cal.4th 428,</w:t>
      </w:r>
      <w:r w:rsidR="00F170CE" w:rsidRPr="00672545">
        <w:rPr>
          <w:szCs w:val="26"/>
        </w:rPr>
        <w:t xml:space="preserve"> </w:t>
      </w:r>
      <w:r w:rsidR="00074C66" w:rsidRPr="00672545">
        <w:rPr>
          <w:szCs w:val="26"/>
        </w:rPr>
        <w:t xml:space="preserve">439.)  </w:t>
      </w:r>
    </w:p>
    <w:p w14:paraId="69B6E933" w14:textId="77777777" w:rsidR="00074C66" w:rsidRPr="00672545" w:rsidRDefault="00074C66" w:rsidP="00672545">
      <w:pPr>
        <w:rPr>
          <w:szCs w:val="26"/>
        </w:rPr>
      </w:pPr>
      <w:r w:rsidRPr="00672545">
        <w:rPr>
          <w:szCs w:val="26"/>
        </w:rPr>
        <w:lastRenderedPageBreak/>
        <w:tab/>
        <w:t>Finally, defendant fails to persuade us that th</w:t>
      </w:r>
      <w:r w:rsidR="00EF2D00" w:rsidRPr="00672545">
        <w:rPr>
          <w:szCs w:val="26"/>
        </w:rPr>
        <w:t>is</w:t>
      </w:r>
      <w:r w:rsidRPr="00672545">
        <w:rPr>
          <w:szCs w:val="26"/>
        </w:rPr>
        <w:t xml:space="preserve"> error, even combined with any assumed error in allowing the </w:t>
      </w:r>
      <w:r w:rsidR="00EF2D00" w:rsidRPr="00672545">
        <w:rPr>
          <w:szCs w:val="26"/>
        </w:rPr>
        <w:t xml:space="preserve">other </w:t>
      </w:r>
      <w:r w:rsidR="00CC4279" w:rsidRPr="00672545">
        <w:rPr>
          <w:szCs w:val="26"/>
        </w:rPr>
        <w:t>challenged cross-</w:t>
      </w:r>
      <w:r w:rsidRPr="00672545">
        <w:rPr>
          <w:szCs w:val="26"/>
        </w:rPr>
        <w:t>examination of Susan L.</w:t>
      </w:r>
      <w:r w:rsidR="00EF2D00" w:rsidRPr="00672545">
        <w:rPr>
          <w:szCs w:val="26"/>
        </w:rPr>
        <w:t>,</w:t>
      </w:r>
      <w:r w:rsidRPr="00672545">
        <w:rPr>
          <w:szCs w:val="26"/>
        </w:rPr>
        <w:t xml:space="preserve"> </w:t>
      </w:r>
      <w:r w:rsidR="00471CC9" w:rsidRPr="00672545">
        <w:rPr>
          <w:szCs w:val="26"/>
        </w:rPr>
        <w:t>resulted in a</w:t>
      </w:r>
      <w:r w:rsidR="00CA217E" w:rsidRPr="00672545">
        <w:rPr>
          <w:szCs w:val="26"/>
        </w:rPr>
        <w:t xml:space="preserve"> fundamentally unfair trial that offends due process.  (</w:t>
      </w:r>
      <w:r w:rsidR="00CA217E" w:rsidRPr="00672545">
        <w:rPr>
          <w:i/>
          <w:szCs w:val="26"/>
        </w:rPr>
        <w:t xml:space="preserve">People v. </w:t>
      </w:r>
      <w:proofErr w:type="spellStart"/>
      <w:r w:rsidR="00CA217E" w:rsidRPr="00672545">
        <w:rPr>
          <w:i/>
          <w:szCs w:val="26"/>
        </w:rPr>
        <w:t>Partida</w:t>
      </w:r>
      <w:proofErr w:type="spellEnd"/>
      <w:r w:rsidR="00CA217E" w:rsidRPr="00672545">
        <w:rPr>
          <w:i/>
          <w:szCs w:val="26"/>
        </w:rPr>
        <w:t>, supra,</w:t>
      </w:r>
      <w:r w:rsidR="00CA217E" w:rsidRPr="00672545">
        <w:rPr>
          <w:szCs w:val="26"/>
        </w:rPr>
        <w:t xml:space="preserve"> 37 Cal.4th at p. 439.)</w:t>
      </w:r>
    </w:p>
    <w:p w14:paraId="291D4409" w14:textId="77777777" w:rsidR="00E73106" w:rsidRPr="00672545" w:rsidRDefault="003767CB" w:rsidP="00672545">
      <w:pPr>
        <w:pStyle w:val="Heading3"/>
      </w:pPr>
      <w:bookmarkStart w:id="23" w:name="_Toc506979814"/>
      <w:r w:rsidRPr="00672545">
        <w:t xml:space="preserve">8.  </w:t>
      </w:r>
      <w:r w:rsidR="001E10B8" w:rsidRPr="00672545">
        <w:t>R</w:t>
      </w:r>
      <w:r w:rsidR="00CC4279" w:rsidRPr="00672545">
        <w:t>estriction on Defendant’s Cross-</w:t>
      </w:r>
      <w:r w:rsidR="001E10B8" w:rsidRPr="00672545">
        <w:t xml:space="preserve">Examination of </w:t>
      </w:r>
      <w:r w:rsidR="00A23D51" w:rsidRPr="00672545">
        <w:t>Officer</w:t>
      </w:r>
      <w:r w:rsidR="001E10B8" w:rsidRPr="00672545">
        <w:t xml:space="preserve"> Redden</w:t>
      </w:r>
      <w:r w:rsidR="00FB2200" w:rsidRPr="00672545">
        <w:t xml:space="preserve"> </w:t>
      </w:r>
      <w:bookmarkEnd w:id="23"/>
    </w:p>
    <w:p w14:paraId="62C7E66F" w14:textId="77777777" w:rsidR="00DA1A85" w:rsidRPr="00672545" w:rsidRDefault="00FB2200" w:rsidP="00672545">
      <w:pPr>
        <w:rPr>
          <w:szCs w:val="26"/>
        </w:rPr>
      </w:pPr>
      <w:r w:rsidRPr="00672545">
        <w:rPr>
          <w:szCs w:val="26"/>
        </w:rPr>
        <w:tab/>
      </w:r>
      <w:r w:rsidR="00DA1A85" w:rsidRPr="00672545">
        <w:rPr>
          <w:szCs w:val="26"/>
        </w:rPr>
        <w:t xml:space="preserve">San Diego Police Officer Paul Redden interviewed defendant on the afternoon of </w:t>
      </w:r>
      <w:proofErr w:type="gramStart"/>
      <w:r w:rsidR="00DA1A85" w:rsidRPr="00672545">
        <w:rPr>
          <w:szCs w:val="26"/>
        </w:rPr>
        <w:t>February 4, 2002</w:t>
      </w:r>
      <w:r w:rsidR="003A6F60">
        <w:rPr>
          <w:szCs w:val="26"/>
        </w:rPr>
        <w:t>,</w:t>
      </w:r>
      <w:r w:rsidR="00DA1A85" w:rsidRPr="00672545">
        <w:rPr>
          <w:szCs w:val="26"/>
        </w:rPr>
        <w:t xml:space="preserve"> and</w:t>
      </w:r>
      <w:proofErr w:type="gramEnd"/>
      <w:r w:rsidR="00DA1A85" w:rsidRPr="00672545">
        <w:rPr>
          <w:szCs w:val="26"/>
        </w:rPr>
        <w:t xml:space="preserve"> administered </w:t>
      </w:r>
      <w:r w:rsidR="001925DF" w:rsidRPr="00672545">
        <w:rPr>
          <w:szCs w:val="26"/>
        </w:rPr>
        <w:t>a</w:t>
      </w:r>
      <w:r w:rsidR="00DA1A85" w:rsidRPr="00672545">
        <w:rPr>
          <w:szCs w:val="26"/>
        </w:rPr>
        <w:t xml:space="preserve"> polygraph examination.  At trial, the prosecution called Redden to testify and introduced a version of the taped interview that had been redacted to eliminate all references to the polygraph examination</w:t>
      </w:r>
      <w:r w:rsidR="001925DF" w:rsidRPr="00672545">
        <w:rPr>
          <w:szCs w:val="26"/>
        </w:rPr>
        <w:t>, which evidence is inadmissible under Evidence Code section 351.1</w:t>
      </w:r>
      <w:r w:rsidR="00985EE4" w:rsidRPr="00672545">
        <w:rPr>
          <w:szCs w:val="26"/>
        </w:rPr>
        <w:t xml:space="preserve"> as we have previously noted</w:t>
      </w:r>
      <w:r w:rsidR="00DA1A85" w:rsidRPr="00672545">
        <w:rPr>
          <w:szCs w:val="26"/>
        </w:rPr>
        <w:t>.</w:t>
      </w:r>
      <w:r w:rsidR="00F81CD5" w:rsidRPr="00672545">
        <w:rPr>
          <w:szCs w:val="26"/>
        </w:rPr>
        <w:t xml:space="preserve">  </w:t>
      </w:r>
      <w:r w:rsidR="001925DF" w:rsidRPr="00672545">
        <w:rPr>
          <w:szCs w:val="26"/>
        </w:rPr>
        <w:t>In</w:t>
      </w:r>
      <w:r w:rsidR="00211BAD" w:rsidRPr="00672545">
        <w:rPr>
          <w:szCs w:val="26"/>
        </w:rPr>
        <w:t xml:space="preserve"> the</w:t>
      </w:r>
      <w:r w:rsidR="001925DF" w:rsidRPr="00672545">
        <w:rPr>
          <w:szCs w:val="26"/>
        </w:rPr>
        <w:t xml:space="preserve"> cross-examination of Redden, defendant sought to elicit other discrete portions of the </w:t>
      </w:r>
      <w:proofErr w:type="gramStart"/>
      <w:r w:rsidR="001925DF" w:rsidRPr="00672545">
        <w:rPr>
          <w:szCs w:val="26"/>
        </w:rPr>
        <w:t>interview, but</w:t>
      </w:r>
      <w:proofErr w:type="gramEnd"/>
      <w:r w:rsidR="001925DF" w:rsidRPr="00672545">
        <w:rPr>
          <w:szCs w:val="26"/>
        </w:rPr>
        <w:t xml:space="preserve"> was warned by the trial court that if he did so, the entire interview might become admissible.  </w:t>
      </w:r>
      <w:r w:rsidR="00DA1A85" w:rsidRPr="00672545">
        <w:rPr>
          <w:szCs w:val="26"/>
        </w:rPr>
        <w:t xml:space="preserve">Defendant claims on appeal that </w:t>
      </w:r>
      <w:r w:rsidR="001925DF" w:rsidRPr="00672545">
        <w:rPr>
          <w:szCs w:val="26"/>
        </w:rPr>
        <w:t>the trial court’s restrictions on</w:t>
      </w:r>
      <w:r w:rsidR="00365921" w:rsidRPr="00672545">
        <w:rPr>
          <w:szCs w:val="26"/>
        </w:rPr>
        <w:t xml:space="preserve"> his cross-</w:t>
      </w:r>
      <w:r w:rsidR="00DA1A85" w:rsidRPr="00672545">
        <w:rPr>
          <w:szCs w:val="26"/>
        </w:rPr>
        <w:t xml:space="preserve">examination of Redden violated his right to present evidence under Evidence Code section 356, as well as his Sixth Amendment right to confrontation.  </w:t>
      </w:r>
      <w:r w:rsidR="00365921" w:rsidRPr="00672545">
        <w:rPr>
          <w:szCs w:val="26"/>
        </w:rPr>
        <w:t>We disagree.</w:t>
      </w:r>
    </w:p>
    <w:p w14:paraId="29E01002" w14:textId="77777777" w:rsidR="00526E6F" w:rsidRPr="00672545" w:rsidRDefault="00526E6F" w:rsidP="00672545">
      <w:pPr>
        <w:pStyle w:val="Heading4"/>
      </w:pPr>
      <w:r w:rsidRPr="00672545">
        <w:t>a.  Background</w:t>
      </w:r>
      <w:r w:rsidR="00D61EF8" w:rsidRPr="00672545">
        <w:t xml:space="preserve"> </w:t>
      </w:r>
    </w:p>
    <w:p w14:paraId="13D2F4D8" w14:textId="77777777" w:rsidR="00566BCA" w:rsidRPr="00672545" w:rsidRDefault="00566BCA" w:rsidP="00672545">
      <w:pPr>
        <w:rPr>
          <w:szCs w:val="26"/>
        </w:rPr>
      </w:pPr>
      <w:r w:rsidRPr="00672545">
        <w:rPr>
          <w:szCs w:val="26"/>
        </w:rPr>
        <w:tab/>
      </w:r>
      <w:r w:rsidR="00DE7F89" w:rsidRPr="00672545">
        <w:rPr>
          <w:szCs w:val="26"/>
        </w:rPr>
        <w:t>Defense counsel began his cross-</w:t>
      </w:r>
      <w:r w:rsidRPr="00672545">
        <w:rPr>
          <w:szCs w:val="26"/>
        </w:rPr>
        <w:t xml:space="preserve">examination of Redden by asking </w:t>
      </w:r>
      <w:r w:rsidR="008F66CA" w:rsidRPr="00672545">
        <w:rPr>
          <w:szCs w:val="26"/>
        </w:rPr>
        <w:t xml:space="preserve">him </w:t>
      </w:r>
      <w:r w:rsidRPr="00672545">
        <w:rPr>
          <w:szCs w:val="26"/>
        </w:rPr>
        <w:t xml:space="preserve">how many hours he spent with defendant and </w:t>
      </w:r>
      <w:r w:rsidR="008F66CA" w:rsidRPr="00672545">
        <w:rPr>
          <w:szCs w:val="26"/>
        </w:rPr>
        <w:t xml:space="preserve">how </w:t>
      </w:r>
      <w:r w:rsidRPr="00672545">
        <w:rPr>
          <w:szCs w:val="26"/>
        </w:rPr>
        <w:t>many times defendant asked him for counsel.  The trial court sustained the prosecutor’s Evidence Code section 352 objections to both questions.</w:t>
      </w:r>
      <w:r w:rsidR="00F81CD5" w:rsidRPr="00672545">
        <w:rPr>
          <w:szCs w:val="26"/>
        </w:rPr>
        <w:t xml:space="preserve">  </w:t>
      </w:r>
      <w:r w:rsidRPr="00672545">
        <w:rPr>
          <w:szCs w:val="26"/>
        </w:rPr>
        <w:t xml:space="preserve">At a bench conference outside the hearing of the jury, the court explained that </w:t>
      </w:r>
      <w:r w:rsidR="00F57824" w:rsidRPr="00672545">
        <w:rPr>
          <w:szCs w:val="26"/>
        </w:rPr>
        <w:t xml:space="preserve">it had made pretrial rulings regarding the admissibility of the interview tape and that </w:t>
      </w:r>
      <w:r w:rsidR="00F57824" w:rsidRPr="00672545">
        <w:rPr>
          <w:szCs w:val="26"/>
        </w:rPr>
        <w:lastRenderedPageBreak/>
        <w:t>defendant’s requests for counsel w</w:t>
      </w:r>
      <w:r w:rsidR="00365BA8" w:rsidRPr="00672545">
        <w:rPr>
          <w:szCs w:val="26"/>
        </w:rPr>
        <w:t>ere</w:t>
      </w:r>
      <w:r w:rsidR="00F57824" w:rsidRPr="00672545">
        <w:rPr>
          <w:szCs w:val="26"/>
        </w:rPr>
        <w:t xml:space="preserve"> contained in </w:t>
      </w:r>
      <w:r w:rsidR="00692487" w:rsidRPr="00672545">
        <w:rPr>
          <w:szCs w:val="26"/>
        </w:rPr>
        <w:t xml:space="preserve">the </w:t>
      </w:r>
      <w:r w:rsidR="00F57824" w:rsidRPr="00672545">
        <w:rPr>
          <w:szCs w:val="26"/>
        </w:rPr>
        <w:t>excluded parts of the interview.  It warned defense counsel that further questioning in this area would come “dangerously close to opening up this entire interview.”</w:t>
      </w:r>
      <w:r w:rsidR="00F81CD5" w:rsidRPr="00672545">
        <w:rPr>
          <w:szCs w:val="26"/>
        </w:rPr>
        <w:t xml:space="preserve">  </w:t>
      </w:r>
      <w:r w:rsidR="00F57824" w:rsidRPr="00672545">
        <w:rPr>
          <w:szCs w:val="26"/>
        </w:rPr>
        <w:t xml:space="preserve">Defense counsel responded that his questions went to the voluntariness of defendant’s responses, an issue </w:t>
      </w:r>
      <w:r w:rsidR="008F66CA" w:rsidRPr="00672545">
        <w:rPr>
          <w:szCs w:val="26"/>
        </w:rPr>
        <w:t>defendant</w:t>
      </w:r>
      <w:r w:rsidR="00F57824" w:rsidRPr="00672545">
        <w:rPr>
          <w:szCs w:val="26"/>
        </w:rPr>
        <w:t xml:space="preserve"> was entitled to </w:t>
      </w:r>
      <w:r w:rsidR="00512959" w:rsidRPr="00672545">
        <w:rPr>
          <w:szCs w:val="26"/>
        </w:rPr>
        <w:t>present</w:t>
      </w:r>
      <w:r w:rsidR="00F57824" w:rsidRPr="00672545">
        <w:rPr>
          <w:szCs w:val="26"/>
        </w:rPr>
        <w:t xml:space="preserve"> to the jury.  The court responded that it had rul</w:t>
      </w:r>
      <w:r w:rsidR="00692487" w:rsidRPr="00672545">
        <w:rPr>
          <w:szCs w:val="26"/>
        </w:rPr>
        <w:t>ed</w:t>
      </w:r>
      <w:r w:rsidR="00F57824" w:rsidRPr="00672545">
        <w:rPr>
          <w:szCs w:val="26"/>
        </w:rPr>
        <w:t xml:space="preserve"> </w:t>
      </w:r>
      <w:r w:rsidR="00512959" w:rsidRPr="00672545">
        <w:rPr>
          <w:szCs w:val="26"/>
        </w:rPr>
        <w:t xml:space="preserve">on defendant’s motion for exclusion </w:t>
      </w:r>
      <w:r w:rsidR="00F57824" w:rsidRPr="00672545">
        <w:rPr>
          <w:szCs w:val="26"/>
        </w:rPr>
        <w:t xml:space="preserve">that the interview was voluntary and that it had based </w:t>
      </w:r>
      <w:r w:rsidR="007A7AE6" w:rsidRPr="00672545">
        <w:rPr>
          <w:szCs w:val="26"/>
        </w:rPr>
        <w:t>that</w:t>
      </w:r>
      <w:r w:rsidR="00F57824" w:rsidRPr="00672545">
        <w:rPr>
          <w:szCs w:val="26"/>
        </w:rPr>
        <w:t xml:space="preserve"> ruling on “the entire tape.”  </w:t>
      </w:r>
      <w:r w:rsidR="002A6E3F" w:rsidRPr="00672545">
        <w:rPr>
          <w:szCs w:val="26"/>
        </w:rPr>
        <w:t xml:space="preserve">If </w:t>
      </w:r>
      <w:r w:rsidR="00AD5E59" w:rsidRPr="00672545">
        <w:rPr>
          <w:szCs w:val="26"/>
        </w:rPr>
        <w:t xml:space="preserve">defense counsel </w:t>
      </w:r>
      <w:r w:rsidR="002A6E3F" w:rsidRPr="00672545">
        <w:rPr>
          <w:szCs w:val="26"/>
        </w:rPr>
        <w:t xml:space="preserve">wanted to </w:t>
      </w:r>
      <w:r w:rsidR="0055384A" w:rsidRPr="00672545">
        <w:rPr>
          <w:szCs w:val="26"/>
        </w:rPr>
        <w:t>pursue</w:t>
      </w:r>
      <w:r w:rsidR="00AD5E59" w:rsidRPr="00672545">
        <w:rPr>
          <w:szCs w:val="26"/>
        </w:rPr>
        <w:t xml:space="preserve"> th</w:t>
      </w:r>
      <w:r w:rsidR="002A6E3F" w:rsidRPr="00672545">
        <w:rPr>
          <w:szCs w:val="26"/>
        </w:rPr>
        <w:t>is</w:t>
      </w:r>
      <w:r w:rsidR="00AD5E59" w:rsidRPr="00672545">
        <w:rPr>
          <w:szCs w:val="26"/>
        </w:rPr>
        <w:t xml:space="preserve"> line of questioning, </w:t>
      </w:r>
      <w:r w:rsidR="002A6E3F" w:rsidRPr="00672545">
        <w:rPr>
          <w:szCs w:val="26"/>
        </w:rPr>
        <w:t xml:space="preserve">the court </w:t>
      </w:r>
      <w:r w:rsidR="00AD5E59" w:rsidRPr="00672545">
        <w:rPr>
          <w:szCs w:val="26"/>
        </w:rPr>
        <w:t>warned again</w:t>
      </w:r>
      <w:r w:rsidR="007A7AE6" w:rsidRPr="00672545">
        <w:rPr>
          <w:szCs w:val="26"/>
        </w:rPr>
        <w:t>,</w:t>
      </w:r>
      <w:r w:rsidR="00AD5E59" w:rsidRPr="00672545">
        <w:rPr>
          <w:szCs w:val="26"/>
        </w:rPr>
        <w:t xml:space="preserve"> it would “open the door” to the whole ta</w:t>
      </w:r>
      <w:r w:rsidR="007A7AE6" w:rsidRPr="00672545">
        <w:rPr>
          <w:szCs w:val="26"/>
        </w:rPr>
        <w:t>pe being admitted into evidence, and yet that</w:t>
      </w:r>
      <w:r w:rsidR="00AD5E59" w:rsidRPr="00672545">
        <w:rPr>
          <w:szCs w:val="26"/>
        </w:rPr>
        <w:t xml:space="preserve"> would be defendant’s choice.</w:t>
      </w:r>
      <w:r w:rsidR="00F81CD5" w:rsidRPr="00672545">
        <w:rPr>
          <w:szCs w:val="26"/>
        </w:rPr>
        <w:t xml:space="preserve">  </w:t>
      </w:r>
      <w:r w:rsidR="00AD5E59" w:rsidRPr="00672545">
        <w:rPr>
          <w:szCs w:val="26"/>
        </w:rPr>
        <w:t>Defense counsel stated that “[g]</w:t>
      </w:r>
      <w:proofErr w:type="spellStart"/>
      <w:r w:rsidR="00AD5E59" w:rsidRPr="00672545">
        <w:rPr>
          <w:szCs w:val="26"/>
        </w:rPr>
        <w:t>iven</w:t>
      </w:r>
      <w:proofErr w:type="spellEnd"/>
      <w:r w:rsidR="00AD5E59" w:rsidRPr="00672545">
        <w:rPr>
          <w:szCs w:val="26"/>
        </w:rPr>
        <w:t xml:space="preserve"> the court’s </w:t>
      </w:r>
      <w:r w:rsidR="007A7AE6" w:rsidRPr="00672545">
        <w:rPr>
          <w:szCs w:val="26"/>
        </w:rPr>
        <w:t>ruling,” he would not “go there,</w:t>
      </w:r>
      <w:r w:rsidR="00AD5E59" w:rsidRPr="00672545">
        <w:rPr>
          <w:szCs w:val="26"/>
        </w:rPr>
        <w:t xml:space="preserve">” </w:t>
      </w:r>
      <w:r w:rsidR="007A7AE6" w:rsidRPr="00672545">
        <w:rPr>
          <w:szCs w:val="26"/>
        </w:rPr>
        <w:t>yet</w:t>
      </w:r>
      <w:r w:rsidR="00AD5E59" w:rsidRPr="00672545">
        <w:rPr>
          <w:szCs w:val="26"/>
        </w:rPr>
        <w:t xml:space="preserve"> wanted </w:t>
      </w:r>
      <w:r w:rsidR="003171F1" w:rsidRPr="00672545">
        <w:rPr>
          <w:szCs w:val="26"/>
        </w:rPr>
        <w:t xml:space="preserve">to voice </w:t>
      </w:r>
      <w:r w:rsidR="00AD5E59" w:rsidRPr="00672545">
        <w:rPr>
          <w:szCs w:val="26"/>
        </w:rPr>
        <w:t xml:space="preserve">his objection </w:t>
      </w:r>
      <w:r w:rsidR="00463828" w:rsidRPr="00672545">
        <w:rPr>
          <w:szCs w:val="26"/>
        </w:rPr>
        <w:t>“as to the voluntariness</w:t>
      </w:r>
      <w:r w:rsidR="003171F1" w:rsidRPr="00672545">
        <w:rPr>
          <w:szCs w:val="26"/>
        </w:rPr>
        <w:t>.</w:t>
      </w:r>
      <w:r w:rsidR="00463828" w:rsidRPr="00672545">
        <w:rPr>
          <w:szCs w:val="26"/>
        </w:rPr>
        <w:t>”</w:t>
      </w:r>
      <w:r w:rsidR="00F81CD5" w:rsidRPr="00672545">
        <w:rPr>
          <w:szCs w:val="26"/>
        </w:rPr>
        <w:t xml:space="preserve">  </w:t>
      </w:r>
    </w:p>
    <w:p w14:paraId="1F07CD53" w14:textId="77777777" w:rsidR="00D47872" w:rsidRPr="00672545" w:rsidRDefault="00B0331F" w:rsidP="00672545">
      <w:pPr>
        <w:rPr>
          <w:szCs w:val="26"/>
        </w:rPr>
      </w:pPr>
      <w:r w:rsidRPr="00672545">
        <w:rPr>
          <w:szCs w:val="26"/>
        </w:rPr>
        <w:tab/>
        <w:t>Later, defense counsel ask</w:t>
      </w:r>
      <w:r w:rsidR="00D3068F" w:rsidRPr="00672545">
        <w:rPr>
          <w:szCs w:val="26"/>
        </w:rPr>
        <w:t>ed</w:t>
      </w:r>
      <w:r w:rsidRPr="00672545">
        <w:rPr>
          <w:szCs w:val="26"/>
        </w:rPr>
        <w:t xml:space="preserve"> Redden </w:t>
      </w:r>
      <w:r w:rsidR="00300BDD" w:rsidRPr="00672545">
        <w:rPr>
          <w:szCs w:val="26"/>
        </w:rPr>
        <w:t>whether he had asked defendant what his job was.  Redden said yes.  When counsel asked what defendant had told him, the prosecutor objected.  Defense counsel responded “[Evidence Code section] 356.”</w:t>
      </w:r>
      <w:r w:rsidR="00F81CD5" w:rsidRPr="00672545">
        <w:rPr>
          <w:szCs w:val="26"/>
        </w:rPr>
        <w:t xml:space="preserve">  </w:t>
      </w:r>
      <w:r w:rsidR="00692487" w:rsidRPr="00672545">
        <w:rPr>
          <w:szCs w:val="26"/>
        </w:rPr>
        <w:t>The trial court called counsel to a</w:t>
      </w:r>
      <w:r w:rsidR="00A406C7" w:rsidRPr="00672545">
        <w:rPr>
          <w:szCs w:val="26"/>
        </w:rPr>
        <w:t xml:space="preserve"> second bench conference</w:t>
      </w:r>
      <w:r w:rsidR="00692487" w:rsidRPr="00672545">
        <w:rPr>
          <w:szCs w:val="26"/>
        </w:rPr>
        <w:t xml:space="preserve"> at wh</w:t>
      </w:r>
      <w:r w:rsidR="00A406C7" w:rsidRPr="00672545">
        <w:rPr>
          <w:szCs w:val="26"/>
        </w:rPr>
        <w:t xml:space="preserve">ich </w:t>
      </w:r>
      <w:r w:rsidR="00692487" w:rsidRPr="00672545">
        <w:rPr>
          <w:szCs w:val="26"/>
        </w:rPr>
        <w:t>it</w:t>
      </w:r>
      <w:r w:rsidR="00A406C7" w:rsidRPr="00672545">
        <w:rPr>
          <w:szCs w:val="26"/>
        </w:rPr>
        <w:t xml:space="preserve"> reminded defense counsel that the court and prosecutor had done everything they could to </w:t>
      </w:r>
      <w:r w:rsidR="001646C6" w:rsidRPr="00672545">
        <w:rPr>
          <w:szCs w:val="26"/>
        </w:rPr>
        <w:t>excise</w:t>
      </w:r>
      <w:r w:rsidR="00A406C7" w:rsidRPr="00672545">
        <w:rPr>
          <w:szCs w:val="26"/>
        </w:rPr>
        <w:t xml:space="preserve"> references to inadmissible evidence in the interview tape and transcript</w:t>
      </w:r>
      <w:r w:rsidR="00692487" w:rsidRPr="00672545">
        <w:rPr>
          <w:szCs w:val="26"/>
        </w:rPr>
        <w:t xml:space="preserve"> and that</w:t>
      </w:r>
      <w:r w:rsidR="00A406C7" w:rsidRPr="00672545">
        <w:rPr>
          <w:szCs w:val="26"/>
        </w:rPr>
        <w:t xml:space="preserve"> by asserting section 356</w:t>
      </w:r>
      <w:r w:rsidR="00692487" w:rsidRPr="00672545">
        <w:rPr>
          <w:szCs w:val="26"/>
        </w:rPr>
        <w:t>, the court understood</w:t>
      </w:r>
      <w:r w:rsidR="00A406C7" w:rsidRPr="00672545">
        <w:rPr>
          <w:szCs w:val="26"/>
        </w:rPr>
        <w:t xml:space="preserve"> </w:t>
      </w:r>
      <w:r w:rsidR="00692487" w:rsidRPr="00672545">
        <w:rPr>
          <w:szCs w:val="26"/>
        </w:rPr>
        <w:t xml:space="preserve">defense </w:t>
      </w:r>
      <w:r w:rsidR="00A406C7" w:rsidRPr="00672545">
        <w:rPr>
          <w:szCs w:val="26"/>
        </w:rPr>
        <w:t xml:space="preserve">counsel </w:t>
      </w:r>
      <w:r w:rsidR="00692487" w:rsidRPr="00672545">
        <w:rPr>
          <w:szCs w:val="26"/>
        </w:rPr>
        <w:t>to be</w:t>
      </w:r>
      <w:r w:rsidR="00A406C7" w:rsidRPr="00672545">
        <w:rPr>
          <w:szCs w:val="26"/>
        </w:rPr>
        <w:t xml:space="preserve"> implicitly requesting the introduction of the entire interview.  The court noted that the defense could make such a strategic move and that it could give a limiting instruction</w:t>
      </w:r>
      <w:r w:rsidR="00300BDD" w:rsidRPr="00672545">
        <w:rPr>
          <w:szCs w:val="26"/>
        </w:rPr>
        <w:t xml:space="preserve"> </w:t>
      </w:r>
      <w:r w:rsidR="00A406C7" w:rsidRPr="00672545">
        <w:rPr>
          <w:szCs w:val="26"/>
        </w:rPr>
        <w:t xml:space="preserve">to the jury, but </w:t>
      </w:r>
      <w:r w:rsidR="009647A5" w:rsidRPr="00672545">
        <w:rPr>
          <w:szCs w:val="26"/>
        </w:rPr>
        <w:t xml:space="preserve">it wanted </w:t>
      </w:r>
      <w:r w:rsidR="000024D5" w:rsidRPr="00672545">
        <w:rPr>
          <w:szCs w:val="26"/>
        </w:rPr>
        <w:t xml:space="preserve">to make </w:t>
      </w:r>
      <w:r w:rsidR="009647A5" w:rsidRPr="00672545">
        <w:rPr>
          <w:szCs w:val="26"/>
        </w:rPr>
        <w:t>it clear that counsel was “on the brink of bringing [the entire interview] in.”</w:t>
      </w:r>
      <w:r w:rsidR="00F81CD5" w:rsidRPr="00672545">
        <w:rPr>
          <w:szCs w:val="26"/>
        </w:rPr>
        <w:t xml:space="preserve">  </w:t>
      </w:r>
      <w:r w:rsidR="008A0802" w:rsidRPr="00672545">
        <w:rPr>
          <w:szCs w:val="26"/>
        </w:rPr>
        <w:t xml:space="preserve">Defense counsel denied that </w:t>
      </w:r>
      <w:r w:rsidR="00480665" w:rsidRPr="00672545">
        <w:rPr>
          <w:szCs w:val="26"/>
        </w:rPr>
        <w:t>his</w:t>
      </w:r>
      <w:r w:rsidR="008A0802" w:rsidRPr="00672545">
        <w:rPr>
          <w:szCs w:val="26"/>
        </w:rPr>
        <w:t xml:space="preserve"> assertion of section 356 </w:t>
      </w:r>
      <w:r w:rsidR="00C902C2" w:rsidRPr="00672545">
        <w:rPr>
          <w:szCs w:val="26"/>
        </w:rPr>
        <w:t>constituted a request to admit</w:t>
      </w:r>
      <w:r w:rsidR="008A0802" w:rsidRPr="00672545">
        <w:rPr>
          <w:szCs w:val="26"/>
        </w:rPr>
        <w:t xml:space="preserve"> the entire interview.  </w:t>
      </w:r>
      <w:r w:rsidR="007F3EEE" w:rsidRPr="00672545">
        <w:rPr>
          <w:szCs w:val="26"/>
        </w:rPr>
        <w:t xml:space="preserve">Rather, </w:t>
      </w:r>
      <w:r w:rsidR="00692487" w:rsidRPr="00672545">
        <w:rPr>
          <w:szCs w:val="26"/>
        </w:rPr>
        <w:t>counsel said, he was</w:t>
      </w:r>
      <w:r w:rsidR="007F3EEE" w:rsidRPr="00672545">
        <w:rPr>
          <w:szCs w:val="26"/>
        </w:rPr>
        <w:t xml:space="preserve"> trying </w:t>
      </w:r>
      <w:r w:rsidR="007F3EEE" w:rsidRPr="00672545">
        <w:rPr>
          <w:szCs w:val="26"/>
        </w:rPr>
        <w:lastRenderedPageBreak/>
        <w:t xml:space="preserve">to </w:t>
      </w:r>
      <w:r w:rsidR="00C902C2" w:rsidRPr="00672545">
        <w:rPr>
          <w:szCs w:val="26"/>
        </w:rPr>
        <w:t>introduce</w:t>
      </w:r>
      <w:r w:rsidR="007F3EEE" w:rsidRPr="00672545">
        <w:rPr>
          <w:szCs w:val="26"/>
        </w:rPr>
        <w:t xml:space="preserve"> portions of the interview that were relevant to the jury’</w:t>
      </w:r>
      <w:r w:rsidR="00692487" w:rsidRPr="00672545">
        <w:rPr>
          <w:szCs w:val="26"/>
        </w:rPr>
        <w:t xml:space="preserve">s consideration of matters contained in the </w:t>
      </w:r>
      <w:r w:rsidR="007F3EEE" w:rsidRPr="00672545">
        <w:rPr>
          <w:szCs w:val="26"/>
        </w:rPr>
        <w:t>redacted tape.</w:t>
      </w:r>
      <w:r w:rsidR="00F81CD5" w:rsidRPr="00672545">
        <w:rPr>
          <w:szCs w:val="26"/>
        </w:rPr>
        <w:t xml:space="preserve">  </w:t>
      </w:r>
      <w:r w:rsidR="004606E3" w:rsidRPr="00672545">
        <w:rPr>
          <w:szCs w:val="26"/>
        </w:rPr>
        <w:t xml:space="preserve">The court suggested that defense counsel should have raised these concerns when the tape was being edited.  </w:t>
      </w:r>
      <w:r w:rsidR="0007598E" w:rsidRPr="00672545">
        <w:rPr>
          <w:szCs w:val="26"/>
        </w:rPr>
        <w:t>Counsel responded that it had simply</w:t>
      </w:r>
      <w:r w:rsidR="0018771B" w:rsidRPr="00672545">
        <w:rPr>
          <w:szCs w:val="26"/>
        </w:rPr>
        <w:t xml:space="preserve"> been</w:t>
      </w:r>
      <w:r w:rsidR="0007598E" w:rsidRPr="00672545">
        <w:rPr>
          <w:szCs w:val="26"/>
        </w:rPr>
        <w:t xml:space="preserve"> assumed </w:t>
      </w:r>
      <w:r w:rsidR="0018771B" w:rsidRPr="00672545">
        <w:rPr>
          <w:szCs w:val="26"/>
        </w:rPr>
        <w:t xml:space="preserve">that </w:t>
      </w:r>
      <w:r w:rsidR="0007598E" w:rsidRPr="00672545">
        <w:rPr>
          <w:szCs w:val="26"/>
        </w:rPr>
        <w:t xml:space="preserve">the defense would be permitted to </w:t>
      </w:r>
      <w:r w:rsidR="002C46DB" w:rsidRPr="00672545">
        <w:rPr>
          <w:szCs w:val="26"/>
        </w:rPr>
        <w:t>probe these areas.  T</w:t>
      </w:r>
      <w:r w:rsidR="0007598E" w:rsidRPr="00672545">
        <w:rPr>
          <w:szCs w:val="26"/>
        </w:rPr>
        <w:t xml:space="preserve">he prosecutor objected that the defense was really trying to introduce </w:t>
      </w:r>
      <w:r w:rsidR="00C60D5B" w:rsidRPr="00672545">
        <w:rPr>
          <w:szCs w:val="26"/>
        </w:rPr>
        <w:t xml:space="preserve">sympathetic </w:t>
      </w:r>
      <w:r w:rsidR="0007598E" w:rsidRPr="00672545">
        <w:rPr>
          <w:szCs w:val="26"/>
        </w:rPr>
        <w:t>character evidence.</w:t>
      </w:r>
      <w:r w:rsidR="00F81CD5" w:rsidRPr="00672545">
        <w:rPr>
          <w:szCs w:val="26"/>
        </w:rPr>
        <w:t xml:space="preserve">  </w:t>
      </w:r>
      <w:r w:rsidR="003E2DE5" w:rsidRPr="00672545">
        <w:rPr>
          <w:szCs w:val="26"/>
        </w:rPr>
        <w:t xml:space="preserve">The court ruled that the defense could not </w:t>
      </w:r>
      <w:r w:rsidR="002C46DB" w:rsidRPr="00672545">
        <w:rPr>
          <w:szCs w:val="26"/>
        </w:rPr>
        <w:t>cross-examine regarding matters</w:t>
      </w:r>
      <w:r w:rsidR="003E2DE5" w:rsidRPr="00672545">
        <w:rPr>
          <w:szCs w:val="26"/>
        </w:rPr>
        <w:t xml:space="preserve"> that were not on the tape.</w:t>
      </w:r>
      <w:r w:rsidR="00F81CD5" w:rsidRPr="00672545">
        <w:rPr>
          <w:szCs w:val="26"/>
        </w:rPr>
        <w:t xml:space="preserve">  </w:t>
      </w:r>
    </w:p>
    <w:p w14:paraId="095CAE3D" w14:textId="77777777" w:rsidR="00AC3D4C" w:rsidRPr="00672545" w:rsidRDefault="00124BD0" w:rsidP="00672545">
      <w:pPr>
        <w:rPr>
          <w:szCs w:val="26"/>
        </w:rPr>
      </w:pPr>
      <w:r w:rsidRPr="00672545">
        <w:rPr>
          <w:szCs w:val="26"/>
        </w:rPr>
        <w:tab/>
        <w:t xml:space="preserve">Defense counsel then noted that the tape contained </w:t>
      </w:r>
      <w:r w:rsidR="00CA118C" w:rsidRPr="00672545">
        <w:rPr>
          <w:szCs w:val="26"/>
        </w:rPr>
        <w:t xml:space="preserve">two </w:t>
      </w:r>
      <w:r w:rsidRPr="00672545">
        <w:rPr>
          <w:szCs w:val="26"/>
        </w:rPr>
        <w:t>statement</w:t>
      </w:r>
      <w:r w:rsidR="00CA118C" w:rsidRPr="00672545">
        <w:rPr>
          <w:szCs w:val="26"/>
        </w:rPr>
        <w:t xml:space="preserve">s </w:t>
      </w:r>
      <w:r w:rsidR="001646C6" w:rsidRPr="00672545">
        <w:rPr>
          <w:szCs w:val="26"/>
        </w:rPr>
        <w:t>by</w:t>
      </w:r>
      <w:r w:rsidR="00CA118C" w:rsidRPr="00672545">
        <w:rPr>
          <w:szCs w:val="26"/>
        </w:rPr>
        <w:t xml:space="preserve"> defendant in which he</w:t>
      </w:r>
      <w:r w:rsidRPr="00672545">
        <w:rPr>
          <w:szCs w:val="26"/>
        </w:rPr>
        <w:t xml:space="preserve"> used the word “we” </w:t>
      </w:r>
      <w:r w:rsidR="00CA118C" w:rsidRPr="00672545">
        <w:rPr>
          <w:szCs w:val="26"/>
        </w:rPr>
        <w:t xml:space="preserve">when talking about a stop he made during his weekend travels.  </w:t>
      </w:r>
      <w:proofErr w:type="gramStart"/>
      <w:r w:rsidR="00CA118C" w:rsidRPr="00672545">
        <w:rPr>
          <w:szCs w:val="26"/>
        </w:rPr>
        <w:t>In order to</w:t>
      </w:r>
      <w:proofErr w:type="gramEnd"/>
      <w:r w:rsidR="00CA118C" w:rsidRPr="00672545">
        <w:rPr>
          <w:szCs w:val="26"/>
        </w:rPr>
        <w:t xml:space="preserve"> explain defendant’s usage of the pronoun, defense counsel felt it was necessary to establish a foundation</w:t>
      </w:r>
      <w:r w:rsidR="001646C6" w:rsidRPr="00672545">
        <w:rPr>
          <w:szCs w:val="26"/>
        </w:rPr>
        <w:t>al</w:t>
      </w:r>
      <w:r w:rsidR="00CA118C" w:rsidRPr="00672545">
        <w:rPr>
          <w:szCs w:val="26"/>
        </w:rPr>
        <w:t xml:space="preserve"> record that defendant </w:t>
      </w:r>
      <w:r w:rsidR="004029AD" w:rsidRPr="00672545">
        <w:rPr>
          <w:szCs w:val="26"/>
        </w:rPr>
        <w:t>had been</w:t>
      </w:r>
      <w:r w:rsidR="00CA118C" w:rsidRPr="00672545">
        <w:rPr>
          <w:szCs w:val="26"/>
        </w:rPr>
        <w:t xml:space="preserve"> in custody for a long time, he was fatigued, he had not eaten breakfast, he did not have a lot of sleep, and he </w:t>
      </w:r>
      <w:r w:rsidR="00815CC3" w:rsidRPr="00672545">
        <w:rPr>
          <w:szCs w:val="26"/>
        </w:rPr>
        <w:t xml:space="preserve">had </w:t>
      </w:r>
      <w:r w:rsidR="00CA118C" w:rsidRPr="00672545">
        <w:rPr>
          <w:szCs w:val="26"/>
        </w:rPr>
        <w:t>asked for counsel.</w:t>
      </w:r>
      <w:r w:rsidR="00F81CD5" w:rsidRPr="00672545">
        <w:rPr>
          <w:szCs w:val="26"/>
        </w:rPr>
        <w:t xml:space="preserve">  </w:t>
      </w:r>
      <w:r w:rsidR="00CA118C" w:rsidRPr="00672545">
        <w:rPr>
          <w:szCs w:val="26"/>
        </w:rPr>
        <w:t xml:space="preserve">The trial court ruled that the defense could ask Redden about his observations </w:t>
      </w:r>
      <w:r w:rsidR="002C46DB" w:rsidRPr="00672545">
        <w:rPr>
          <w:szCs w:val="26"/>
        </w:rPr>
        <w:t>regarding</w:t>
      </w:r>
      <w:r w:rsidR="00CA118C" w:rsidRPr="00672545">
        <w:rPr>
          <w:szCs w:val="26"/>
        </w:rPr>
        <w:t xml:space="preserve"> whether defendant appeared fatigued, but </w:t>
      </w:r>
      <w:r w:rsidR="00430B5C" w:rsidRPr="00672545">
        <w:rPr>
          <w:szCs w:val="26"/>
        </w:rPr>
        <w:t>the court</w:t>
      </w:r>
      <w:r w:rsidR="00CA118C" w:rsidRPr="00672545">
        <w:rPr>
          <w:szCs w:val="26"/>
        </w:rPr>
        <w:t xml:space="preserve"> remained concerned that </w:t>
      </w:r>
      <w:r w:rsidR="0010416D" w:rsidRPr="00672545">
        <w:rPr>
          <w:szCs w:val="26"/>
        </w:rPr>
        <w:t xml:space="preserve">other </w:t>
      </w:r>
      <w:r w:rsidR="002C46DB" w:rsidRPr="00672545">
        <w:rPr>
          <w:szCs w:val="26"/>
        </w:rPr>
        <w:t>questioning would alert the jurors</w:t>
      </w:r>
      <w:r w:rsidR="0010416D" w:rsidRPr="00672545">
        <w:rPr>
          <w:szCs w:val="26"/>
        </w:rPr>
        <w:t xml:space="preserve"> to the fact that the tape had been redacted, something the defense had not wanted them to be told.</w:t>
      </w:r>
      <w:r w:rsidR="00F81CD5" w:rsidRPr="00672545">
        <w:rPr>
          <w:szCs w:val="26"/>
        </w:rPr>
        <w:t xml:space="preserve">  </w:t>
      </w:r>
      <w:r w:rsidR="0010416D" w:rsidRPr="00672545">
        <w:rPr>
          <w:szCs w:val="26"/>
        </w:rPr>
        <w:t>It ruled that defendant should “work with the tape you’ve got” at the risk of opening the door.</w:t>
      </w:r>
      <w:r w:rsidR="00F81CD5" w:rsidRPr="00672545">
        <w:rPr>
          <w:szCs w:val="26"/>
        </w:rPr>
        <w:t xml:space="preserve">  </w:t>
      </w:r>
      <w:r w:rsidR="00815CC3" w:rsidRPr="00672545">
        <w:rPr>
          <w:szCs w:val="26"/>
        </w:rPr>
        <w:t>Defense counsel subsequently elicited from Redden, without objection, that defendant told him that he had five hours of sleep the previous night and that he</w:t>
      </w:r>
      <w:r w:rsidR="002C46DB" w:rsidRPr="00672545">
        <w:rPr>
          <w:szCs w:val="26"/>
        </w:rPr>
        <w:t xml:space="preserve"> had not eaten.</w:t>
      </w:r>
      <w:r w:rsidR="00F81CD5" w:rsidRPr="00672545">
        <w:rPr>
          <w:szCs w:val="26"/>
        </w:rPr>
        <w:t xml:space="preserve">  </w:t>
      </w:r>
    </w:p>
    <w:p w14:paraId="43951FC5" w14:textId="77777777" w:rsidR="00815CC3" w:rsidRPr="00672545" w:rsidRDefault="00815CC3" w:rsidP="00672545">
      <w:pPr>
        <w:rPr>
          <w:szCs w:val="26"/>
        </w:rPr>
      </w:pPr>
      <w:r w:rsidRPr="00672545">
        <w:rPr>
          <w:szCs w:val="26"/>
        </w:rPr>
        <w:tab/>
      </w:r>
      <w:r w:rsidR="00001B4F" w:rsidRPr="00672545">
        <w:rPr>
          <w:szCs w:val="26"/>
        </w:rPr>
        <w:t>After Redden finished testifying, however, defendant raised the matter again</w:t>
      </w:r>
      <w:r w:rsidR="00BA145B" w:rsidRPr="00672545">
        <w:rPr>
          <w:szCs w:val="26"/>
        </w:rPr>
        <w:t xml:space="preserve"> and offered to waive any objection to the jury </w:t>
      </w:r>
      <w:r w:rsidR="00FA34CF" w:rsidRPr="00672545">
        <w:rPr>
          <w:szCs w:val="26"/>
        </w:rPr>
        <w:t>learn</w:t>
      </w:r>
      <w:r w:rsidR="00BA145B" w:rsidRPr="00672545">
        <w:rPr>
          <w:szCs w:val="26"/>
        </w:rPr>
        <w:t>ing that the tape had been redacted</w:t>
      </w:r>
      <w:r w:rsidR="00001B4F" w:rsidRPr="00672545">
        <w:rPr>
          <w:szCs w:val="26"/>
        </w:rPr>
        <w:t>.</w:t>
      </w:r>
      <w:r w:rsidR="00F81CD5" w:rsidRPr="00672545">
        <w:rPr>
          <w:szCs w:val="26"/>
        </w:rPr>
        <w:t xml:space="preserve">  </w:t>
      </w:r>
      <w:r w:rsidRPr="00672545">
        <w:rPr>
          <w:szCs w:val="26"/>
        </w:rPr>
        <w:t xml:space="preserve">In a further discussion </w:t>
      </w:r>
      <w:r w:rsidR="00001B4F" w:rsidRPr="00672545">
        <w:rPr>
          <w:szCs w:val="26"/>
        </w:rPr>
        <w:t>outside the presence of the jury</w:t>
      </w:r>
      <w:r w:rsidR="002C4A63" w:rsidRPr="00672545">
        <w:rPr>
          <w:szCs w:val="26"/>
        </w:rPr>
        <w:t xml:space="preserve">, the trial court </w:t>
      </w:r>
      <w:r w:rsidR="002C4A63" w:rsidRPr="00672545">
        <w:rPr>
          <w:szCs w:val="26"/>
        </w:rPr>
        <w:lastRenderedPageBreak/>
        <w:t>repeated its belief that the parties had worked together to edit the tape.  But</w:t>
      </w:r>
      <w:r w:rsidR="00FA34CF" w:rsidRPr="00672545">
        <w:rPr>
          <w:szCs w:val="26"/>
        </w:rPr>
        <w:t>, the court stated,</w:t>
      </w:r>
      <w:r w:rsidR="002C4A63" w:rsidRPr="00672545">
        <w:rPr>
          <w:szCs w:val="26"/>
        </w:rPr>
        <w:t xml:space="preserve"> if defense </w:t>
      </w:r>
      <w:r w:rsidR="00FA34CF" w:rsidRPr="00672545">
        <w:rPr>
          <w:szCs w:val="26"/>
        </w:rPr>
        <w:t xml:space="preserve">counsel </w:t>
      </w:r>
      <w:r w:rsidR="002C4A63" w:rsidRPr="00672545">
        <w:rPr>
          <w:szCs w:val="26"/>
        </w:rPr>
        <w:t xml:space="preserve">still wanted to </w:t>
      </w:r>
      <w:r w:rsidR="00FA34CF" w:rsidRPr="00672545">
        <w:rPr>
          <w:szCs w:val="26"/>
        </w:rPr>
        <w:t>probe</w:t>
      </w:r>
      <w:r w:rsidR="002C4A63" w:rsidRPr="00672545">
        <w:rPr>
          <w:szCs w:val="26"/>
        </w:rPr>
        <w:t xml:space="preserve"> other areas not covered by the tape, it offered to provide a limiting instruction informing the jury that “there were redactions and that those redactions somehow didn’t get into the tape and that these other issues were covered.”</w:t>
      </w:r>
      <w:r w:rsidR="00F81CD5" w:rsidRPr="00672545">
        <w:rPr>
          <w:szCs w:val="26"/>
        </w:rPr>
        <w:t xml:space="preserve">  </w:t>
      </w:r>
      <w:r w:rsidR="002C4A63" w:rsidRPr="00672545">
        <w:rPr>
          <w:szCs w:val="26"/>
        </w:rPr>
        <w:t xml:space="preserve">It again warned defense counsel “that this is a slippery </w:t>
      </w:r>
      <w:proofErr w:type="gramStart"/>
      <w:r w:rsidR="002C4A63" w:rsidRPr="00672545">
        <w:rPr>
          <w:szCs w:val="26"/>
        </w:rPr>
        <w:t>slope .</w:t>
      </w:r>
      <w:proofErr w:type="gramEnd"/>
      <w:r w:rsidR="002C4A63" w:rsidRPr="00672545">
        <w:rPr>
          <w:szCs w:val="26"/>
        </w:rPr>
        <w:t xml:space="preserve"> . . because the context of the Redden interview </w:t>
      </w:r>
      <w:r w:rsidR="00B11DAD" w:rsidRPr="00672545">
        <w:rPr>
          <w:szCs w:val="26"/>
        </w:rPr>
        <w:t>[</w:t>
      </w:r>
      <w:proofErr w:type="spellStart"/>
      <w:r w:rsidR="00B11DAD" w:rsidRPr="00672545">
        <w:rPr>
          <w:szCs w:val="26"/>
        </w:rPr>
        <w:t>wa</w:t>
      </w:r>
      <w:proofErr w:type="spellEnd"/>
      <w:r w:rsidR="00B11DAD" w:rsidRPr="00672545">
        <w:rPr>
          <w:szCs w:val="26"/>
        </w:rPr>
        <w:t xml:space="preserve">]s </w:t>
      </w:r>
      <w:r w:rsidR="002C4A63" w:rsidRPr="00672545">
        <w:rPr>
          <w:szCs w:val="26"/>
        </w:rPr>
        <w:t xml:space="preserve">the entire interview” and </w:t>
      </w:r>
      <w:r w:rsidR="00DF142F" w:rsidRPr="00672545">
        <w:rPr>
          <w:szCs w:val="26"/>
        </w:rPr>
        <w:t xml:space="preserve">at some point, the entire statement would have to </w:t>
      </w:r>
      <w:r w:rsidR="00B11DAD" w:rsidRPr="00672545">
        <w:rPr>
          <w:szCs w:val="26"/>
        </w:rPr>
        <w:t>be introduced</w:t>
      </w:r>
      <w:r w:rsidR="00DF142F" w:rsidRPr="00672545">
        <w:rPr>
          <w:szCs w:val="26"/>
        </w:rPr>
        <w:t xml:space="preserve"> </w:t>
      </w:r>
      <w:proofErr w:type="gramStart"/>
      <w:r w:rsidR="00DF142F" w:rsidRPr="00672545">
        <w:rPr>
          <w:szCs w:val="26"/>
        </w:rPr>
        <w:t>in order for</w:t>
      </w:r>
      <w:proofErr w:type="gramEnd"/>
      <w:r w:rsidR="00DF142F" w:rsidRPr="00672545">
        <w:rPr>
          <w:szCs w:val="26"/>
        </w:rPr>
        <w:t xml:space="preserve"> the jury to understand the point</w:t>
      </w:r>
      <w:r w:rsidR="00BA145B" w:rsidRPr="00672545">
        <w:rPr>
          <w:szCs w:val="26"/>
        </w:rPr>
        <w:t>s</w:t>
      </w:r>
      <w:r w:rsidR="00DF142F" w:rsidRPr="00672545">
        <w:rPr>
          <w:szCs w:val="26"/>
        </w:rPr>
        <w:t xml:space="preserve"> being made.</w:t>
      </w:r>
      <w:r w:rsidR="00F81CD5" w:rsidRPr="00672545">
        <w:rPr>
          <w:szCs w:val="26"/>
        </w:rPr>
        <w:t xml:space="preserve">  </w:t>
      </w:r>
      <w:r w:rsidR="00DF142F" w:rsidRPr="00672545">
        <w:rPr>
          <w:szCs w:val="26"/>
        </w:rPr>
        <w:t>The court left it up to the defense whether to rec</w:t>
      </w:r>
      <w:r w:rsidR="00BA145B" w:rsidRPr="00672545">
        <w:rPr>
          <w:szCs w:val="26"/>
        </w:rPr>
        <w:t>all Redden.</w:t>
      </w:r>
      <w:r w:rsidR="00F81CD5" w:rsidRPr="00672545">
        <w:rPr>
          <w:szCs w:val="26"/>
        </w:rPr>
        <w:t xml:space="preserve">  </w:t>
      </w:r>
      <w:r w:rsidR="00BA145B" w:rsidRPr="00672545">
        <w:rPr>
          <w:szCs w:val="26"/>
        </w:rPr>
        <w:t>The defense did not</w:t>
      </w:r>
      <w:r w:rsidR="006E0CB0" w:rsidRPr="00672545">
        <w:rPr>
          <w:szCs w:val="26"/>
        </w:rPr>
        <w:t xml:space="preserve"> recall him</w:t>
      </w:r>
      <w:r w:rsidR="00BA145B" w:rsidRPr="00672545">
        <w:rPr>
          <w:szCs w:val="26"/>
        </w:rPr>
        <w:t xml:space="preserve">.  </w:t>
      </w:r>
    </w:p>
    <w:p w14:paraId="4AF09897" w14:textId="77777777" w:rsidR="00AC3D4C" w:rsidRPr="00672545" w:rsidRDefault="00AC3D4C" w:rsidP="00672545">
      <w:pPr>
        <w:pStyle w:val="Heading4"/>
      </w:pPr>
      <w:r w:rsidRPr="00672545">
        <w:t>b.  Discussion</w:t>
      </w:r>
    </w:p>
    <w:p w14:paraId="388FD970" w14:textId="51185983" w:rsidR="00D12520" w:rsidRDefault="00463828" w:rsidP="00672545">
      <w:pPr>
        <w:rPr>
          <w:szCs w:val="26"/>
        </w:rPr>
      </w:pPr>
      <w:r w:rsidRPr="00672545">
        <w:rPr>
          <w:szCs w:val="26"/>
        </w:rPr>
        <w:tab/>
      </w:r>
      <w:r w:rsidR="007051CF" w:rsidRPr="00672545">
        <w:rPr>
          <w:szCs w:val="26"/>
        </w:rPr>
        <w:t xml:space="preserve">Defendant reasserts on appeal that he had a right to submit the </w:t>
      </w:r>
      <w:r w:rsidR="00D47872" w:rsidRPr="00672545">
        <w:rPr>
          <w:szCs w:val="26"/>
        </w:rPr>
        <w:t xml:space="preserve">facts regarding the </w:t>
      </w:r>
      <w:r w:rsidR="007051CF" w:rsidRPr="00672545">
        <w:rPr>
          <w:szCs w:val="26"/>
        </w:rPr>
        <w:t xml:space="preserve">voluntariness </w:t>
      </w:r>
      <w:r w:rsidR="00D47872" w:rsidRPr="00672545">
        <w:rPr>
          <w:szCs w:val="26"/>
        </w:rPr>
        <w:t xml:space="preserve">of his interview statements </w:t>
      </w:r>
      <w:r w:rsidR="007051CF" w:rsidRPr="00672545">
        <w:rPr>
          <w:szCs w:val="26"/>
        </w:rPr>
        <w:t>to the jury</w:t>
      </w:r>
      <w:r w:rsidR="00D47872" w:rsidRPr="00672545">
        <w:rPr>
          <w:szCs w:val="26"/>
        </w:rPr>
        <w:t xml:space="preserve"> for its consideration of the reliability of the statements</w:t>
      </w:r>
      <w:r w:rsidR="007051CF" w:rsidRPr="00672545">
        <w:rPr>
          <w:szCs w:val="26"/>
        </w:rPr>
        <w:t xml:space="preserve">.  </w:t>
      </w:r>
      <w:r w:rsidR="00D47872" w:rsidRPr="00672545">
        <w:rPr>
          <w:szCs w:val="26"/>
        </w:rPr>
        <w:t>(</w:t>
      </w:r>
      <w:r w:rsidR="00D47872" w:rsidRPr="00672545">
        <w:rPr>
          <w:i/>
          <w:szCs w:val="26"/>
        </w:rPr>
        <w:t xml:space="preserve">Crane v. Kentucky </w:t>
      </w:r>
      <w:r w:rsidR="00D47872" w:rsidRPr="00672545">
        <w:rPr>
          <w:szCs w:val="26"/>
        </w:rPr>
        <w:t xml:space="preserve">(1986) 476 U.S. 683, 689-690.)  </w:t>
      </w:r>
      <w:r w:rsidR="00060A0B" w:rsidRPr="00672545">
        <w:rPr>
          <w:szCs w:val="26"/>
        </w:rPr>
        <w:t>Defendant</w:t>
      </w:r>
      <w:r w:rsidR="00755947" w:rsidRPr="00672545">
        <w:rPr>
          <w:szCs w:val="26"/>
        </w:rPr>
        <w:t xml:space="preserve"> c</w:t>
      </w:r>
      <w:r w:rsidR="00FC1D0F" w:rsidRPr="00672545">
        <w:rPr>
          <w:szCs w:val="26"/>
        </w:rPr>
        <w:t>laims</w:t>
      </w:r>
      <w:r w:rsidR="00755947" w:rsidRPr="00672545">
        <w:rPr>
          <w:szCs w:val="26"/>
        </w:rPr>
        <w:t xml:space="preserve"> that he also had a right to question Redden regarding the context of his use of the pronoun “we” when he </w:t>
      </w:r>
      <w:r w:rsidR="00060A0B" w:rsidRPr="00672545">
        <w:rPr>
          <w:szCs w:val="26"/>
        </w:rPr>
        <w:t>told Redden about</w:t>
      </w:r>
      <w:r w:rsidR="00755947" w:rsidRPr="00672545">
        <w:rPr>
          <w:szCs w:val="26"/>
        </w:rPr>
        <w:t xml:space="preserve"> making a stop during his weekend travels.  Defendant</w:t>
      </w:r>
      <w:r w:rsidR="007051CF" w:rsidRPr="00672545">
        <w:rPr>
          <w:szCs w:val="26"/>
        </w:rPr>
        <w:t xml:space="preserve"> contends the pursuit of th</w:t>
      </w:r>
      <w:r w:rsidR="00060A0B" w:rsidRPr="00672545">
        <w:rPr>
          <w:szCs w:val="26"/>
        </w:rPr>
        <w:t>ese</w:t>
      </w:r>
      <w:r w:rsidR="007051CF" w:rsidRPr="00672545">
        <w:rPr>
          <w:szCs w:val="26"/>
        </w:rPr>
        <w:t xml:space="preserve"> </w:t>
      </w:r>
      <w:r w:rsidR="00D47872" w:rsidRPr="00672545">
        <w:rPr>
          <w:szCs w:val="26"/>
        </w:rPr>
        <w:t xml:space="preserve">relevant </w:t>
      </w:r>
      <w:r w:rsidR="007051CF" w:rsidRPr="00672545">
        <w:rPr>
          <w:szCs w:val="26"/>
        </w:rPr>
        <w:t>line</w:t>
      </w:r>
      <w:r w:rsidR="00060A0B" w:rsidRPr="00672545">
        <w:rPr>
          <w:szCs w:val="26"/>
        </w:rPr>
        <w:t>s</w:t>
      </w:r>
      <w:r w:rsidR="007051CF" w:rsidRPr="00672545">
        <w:rPr>
          <w:szCs w:val="26"/>
        </w:rPr>
        <w:t xml:space="preserve"> of inquiry would not have opened the door to </w:t>
      </w:r>
      <w:r w:rsidR="002D7588" w:rsidRPr="00672545">
        <w:rPr>
          <w:szCs w:val="26"/>
        </w:rPr>
        <w:t>introducing</w:t>
      </w:r>
      <w:r w:rsidR="007051CF" w:rsidRPr="00672545">
        <w:rPr>
          <w:szCs w:val="26"/>
        </w:rPr>
        <w:t xml:space="preserve"> </w:t>
      </w:r>
      <w:r w:rsidR="00397552" w:rsidRPr="00672545">
        <w:rPr>
          <w:szCs w:val="26"/>
        </w:rPr>
        <w:t xml:space="preserve">the </w:t>
      </w:r>
      <w:r w:rsidR="007051CF" w:rsidRPr="00672545">
        <w:rPr>
          <w:szCs w:val="26"/>
        </w:rPr>
        <w:t>inadmissible</w:t>
      </w:r>
      <w:r w:rsidR="00397552" w:rsidRPr="00672545">
        <w:rPr>
          <w:szCs w:val="26"/>
        </w:rPr>
        <w:t xml:space="preserve"> portions of the tape concerning his</w:t>
      </w:r>
      <w:r w:rsidR="007051CF" w:rsidRPr="00672545">
        <w:rPr>
          <w:szCs w:val="26"/>
        </w:rPr>
        <w:t xml:space="preserve"> polygraph examination</w:t>
      </w:r>
      <w:r w:rsidR="00676F3D" w:rsidRPr="00672545">
        <w:rPr>
          <w:szCs w:val="26"/>
        </w:rPr>
        <w:t xml:space="preserve">. </w:t>
      </w:r>
      <w:r w:rsidR="007051CF" w:rsidRPr="00672545">
        <w:rPr>
          <w:szCs w:val="26"/>
        </w:rPr>
        <w:t xml:space="preserve"> (</w:t>
      </w:r>
      <w:proofErr w:type="spellStart"/>
      <w:r w:rsidR="007051CF" w:rsidRPr="00672545">
        <w:rPr>
          <w:szCs w:val="26"/>
        </w:rPr>
        <w:t>Evid</w:t>
      </w:r>
      <w:proofErr w:type="spellEnd"/>
      <w:r w:rsidR="007051CF" w:rsidRPr="00672545">
        <w:rPr>
          <w:szCs w:val="26"/>
        </w:rPr>
        <w:t>. Code, § 351.1</w:t>
      </w:r>
      <w:r w:rsidR="00676F3D" w:rsidRPr="00672545">
        <w:rPr>
          <w:szCs w:val="26"/>
        </w:rPr>
        <w:t>.</w:t>
      </w:r>
      <w:r w:rsidR="007051CF" w:rsidRPr="00672545">
        <w:rPr>
          <w:szCs w:val="26"/>
        </w:rPr>
        <w:t xml:space="preserve">) </w:t>
      </w:r>
      <w:r w:rsidR="00676F3D" w:rsidRPr="00672545">
        <w:rPr>
          <w:szCs w:val="26"/>
        </w:rPr>
        <w:t xml:space="preserve"> </w:t>
      </w:r>
      <w:r w:rsidR="00591DD9" w:rsidRPr="00672545">
        <w:rPr>
          <w:szCs w:val="26"/>
        </w:rPr>
        <w:t xml:space="preserve">In support, defendant cites cases </w:t>
      </w:r>
      <w:r w:rsidR="002D7588" w:rsidRPr="00672545">
        <w:rPr>
          <w:szCs w:val="26"/>
        </w:rPr>
        <w:t>stating</w:t>
      </w:r>
      <w:r w:rsidR="00591DD9" w:rsidRPr="00672545">
        <w:rPr>
          <w:szCs w:val="26"/>
        </w:rPr>
        <w:t xml:space="preserve"> the principle that a party cannot take advantage of another party’s</w:t>
      </w:r>
      <w:r w:rsidR="002C0F61" w:rsidRPr="00672545">
        <w:rPr>
          <w:szCs w:val="26"/>
        </w:rPr>
        <w:t xml:space="preserve"> improper </w:t>
      </w:r>
      <w:r w:rsidR="00591DD9" w:rsidRPr="00672545">
        <w:rPr>
          <w:szCs w:val="26"/>
        </w:rPr>
        <w:t xml:space="preserve">introduction of inadmissible evidence by failing to object and then claiming </w:t>
      </w:r>
      <w:r w:rsidR="00BA11C6" w:rsidRPr="00672545">
        <w:rPr>
          <w:szCs w:val="26"/>
        </w:rPr>
        <w:t>the door had been opened to further inadmissible evidence.  (</w:t>
      </w:r>
      <w:r w:rsidR="00BA11C6" w:rsidRPr="00672545">
        <w:rPr>
          <w:i/>
          <w:szCs w:val="26"/>
        </w:rPr>
        <w:t>People v. Steele</w:t>
      </w:r>
      <w:r w:rsidR="00BA11C6" w:rsidRPr="00672545">
        <w:rPr>
          <w:szCs w:val="26"/>
        </w:rPr>
        <w:t xml:space="preserve"> (2002) 27 Cal.4th 1230, 127</w:t>
      </w:r>
      <w:r w:rsidR="00614933" w:rsidRPr="00672545">
        <w:rPr>
          <w:szCs w:val="26"/>
        </w:rPr>
        <w:t>1-1273</w:t>
      </w:r>
      <w:r w:rsidR="003A6F60">
        <w:rPr>
          <w:szCs w:val="26"/>
        </w:rPr>
        <w:t xml:space="preserve"> (conc. </w:t>
      </w:r>
      <w:proofErr w:type="spellStart"/>
      <w:r w:rsidR="003A6F60">
        <w:rPr>
          <w:szCs w:val="26"/>
        </w:rPr>
        <w:t>opn</w:t>
      </w:r>
      <w:proofErr w:type="spellEnd"/>
      <w:r w:rsidR="003A6F60">
        <w:rPr>
          <w:szCs w:val="26"/>
        </w:rPr>
        <w:t>. of George, </w:t>
      </w:r>
      <w:r w:rsidR="00BA11C6" w:rsidRPr="00672545">
        <w:rPr>
          <w:szCs w:val="26"/>
        </w:rPr>
        <w:t>C.</w:t>
      </w:r>
      <w:r w:rsidR="003A6F60">
        <w:rPr>
          <w:szCs w:val="26"/>
        </w:rPr>
        <w:t> </w:t>
      </w:r>
      <w:r w:rsidR="00BA11C6" w:rsidRPr="00672545">
        <w:rPr>
          <w:szCs w:val="26"/>
        </w:rPr>
        <w:t>J.)</w:t>
      </w:r>
      <w:r w:rsidR="001B7A90" w:rsidRPr="00672545">
        <w:rPr>
          <w:szCs w:val="26"/>
        </w:rPr>
        <w:t xml:space="preserve"> (</w:t>
      </w:r>
      <w:r w:rsidR="001B7A90" w:rsidRPr="00672545">
        <w:rPr>
          <w:i/>
          <w:szCs w:val="26"/>
        </w:rPr>
        <w:t>Steele</w:t>
      </w:r>
      <w:r w:rsidR="001B7A90" w:rsidRPr="00672545">
        <w:rPr>
          <w:szCs w:val="26"/>
        </w:rPr>
        <w:t>)</w:t>
      </w:r>
      <w:r w:rsidR="00BA11C6" w:rsidRPr="00672545">
        <w:rPr>
          <w:szCs w:val="26"/>
        </w:rPr>
        <w:t xml:space="preserve">; </w:t>
      </w:r>
      <w:r w:rsidR="00BA11C6" w:rsidRPr="00672545">
        <w:rPr>
          <w:i/>
          <w:szCs w:val="26"/>
        </w:rPr>
        <w:t>People v. Gambols</w:t>
      </w:r>
      <w:r w:rsidR="00BA11C6" w:rsidRPr="00672545">
        <w:rPr>
          <w:szCs w:val="26"/>
        </w:rPr>
        <w:t xml:space="preserve"> (1970) 5 Cal.App.3d 187, 192</w:t>
      </w:r>
      <w:r w:rsidR="001B7A90" w:rsidRPr="00672545">
        <w:rPr>
          <w:szCs w:val="26"/>
        </w:rPr>
        <w:t xml:space="preserve"> (</w:t>
      </w:r>
      <w:r w:rsidR="001B7A90" w:rsidRPr="00672545">
        <w:rPr>
          <w:i/>
          <w:szCs w:val="26"/>
        </w:rPr>
        <w:t>Gambols</w:t>
      </w:r>
      <w:r w:rsidR="001B7A90" w:rsidRPr="00672545">
        <w:rPr>
          <w:szCs w:val="26"/>
        </w:rPr>
        <w:t>)</w:t>
      </w:r>
      <w:r w:rsidR="00BA11C6" w:rsidRPr="00672545">
        <w:rPr>
          <w:szCs w:val="26"/>
        </w:rPr>
        <w:t xml:space="preserve">; </w:t>
      </w:r>
      <w:r w:rsidR="00BA11C6" w:rsidRPr="00672545">
        <w:rPr>
          <w:i/>
          <w:szCs w:val="26"/>
        </w:rPr>
        <w:t>People v. Arends</w:t>
      </w:r>
      <w:r w:rsidR="00BA11C6" w:rsidRPr="00672545">
        <w:rPr>
          <w:szCs w:val="26"/>
        </w:rPr>
        <w:t xml:space="preserve"> (1958) 155 Cal.App.2d 496, 508-509</w:t>
      </w:r>
      <w:r w:rsidR="001B7A90" w:rsidRPr="00672545">
        <w:rPr>
          <w:szCs w:val="26"/>
        </w:rPr>
        <w:t xml:space="preserve"> (</w:t>
      </w:r>
      <w:r w:rsidR="001B7A90" w:rsidRPr="00672545">
        <w:rPr>
          <w:i/>
          <w:szCs w:val="26"/>
        </w:rPr>
        <w:t>Arends</w:t>
      </w:r>
      <w:r w:rsidR="001B7A90" w:rsidRPr="00672545">
        <w:rPr>
          <w:szCs w:val="26"/>
        </w:rPr>
        <w:t>)</w:t>
      </w:r>
      <w:r w:rsidR="00BA11C6" w:rsidRPr="00672545">
        <w:rPr>
          <w:szCs w:val="26"/>
        </w:rPr>
        <w:t>.)</w:t>
      </w:r>
      <w:r w:rsidR="00614933" w:rsidRPr="00672545">
        <w:rPr>
          <w:szCs w:val="26"/>
        </w:rPr>
        <w:t xml:space="preserve">  </w:t>
      </w:r>
      <w:r w:rsidR="00676F3D" w:rsidRPr="00672545">
        <w:rPr>
          <w:szCs w:val="26"/>
        </w:rPr>
        <w:lastRenderedPageBreak/>
        <w:t>Defendant</w:t>
      </w:r>
      <w:r w:rsidR="00EA190F">
        <w:rPr>
          <w:szCs w:val="26"/>
        </w:rPr>
        <w:t>, therefore,</w:t>
      </w:r>
      <w:r w:rsidR="00676F3D" w:rsidRPr="00672545">
        <w:rPr>
          <w:szCs w:val="26"/>
        </w:rPr>
        <w:t xml:space="preserve"> </w:t>
      </w:r>
      <w:r w:rsidR="00430B5C" w:rsidRPr="00672545">
        <w:rPr>
          <w:szCs w:val="26"/>
        </w:rPr>
        <w:t>asserts</w:t>
      </w:r>
      <w:r w:rsidR="00676F3D" w:rsidRPr="00672545">
        <w:rPr>
          <w:szCs w:val="26"/>
        </w:rPr>
        <w:t xml:space="preserve"> the trial court err</w:t>
      </w:r>
      <w:r w:rsidR="00430B5C" w:rsidRPr="00672545">
        <w:rPr>
          <w:szCs w:val="26"/>
        </w:rPr>
        <w:t xml:space="preserve">ed in </w:t>
      </w:r>
      <w:r w:rsidR="008B46E7" w:rsidRPr="00672545">
        <w:rPr>
          <w:szCs w:val="26"/>
        </w:rPr>
        <w:t>ruling that further</w:t>
      </w:r>
      <w:r w:rsidR="00C74261" w:rsidRPr="00672545">
        <w:rPr>
          <w:szCs w:val="26"/>
        </w:rPr>
        <w:t xml:space="preserve"> cross-examination of Redden </w:t>
      </w:r>
      <w:r w:rsidR="008B46E7" w:rsidRPr="00672545">
        <w:rPr>
          <w:szCs w:val="26"/>
        </w:rPr>
        <w:t>would open the door to admission of the entire interview</w:t>
      </w:r>
      <w:r w:rsidR="005D0D95" w:rsidRPr="00672545">
        <w:rPr>
          <w:szCs w:val="26"/>
        </w:rPr>
        <w:t>,</w:t>
      </w:r>
      <w:r w:rsidR="00430B5C" w:rsidRPr="00672545">
        <w:rPr>
          <w:szCs w:val="26"/>
        </w:rPr>
        <w:t xml:space="preserve"> and </w:t>
      </w:r>
      <w:r w:rsidR="005D0D95" w:rsidRPr="00672545">
        <w:rPr>
          <w:szCs w:val="26"/>
        </w:rPr>
        <w:t>he claims that</w:t>
      </w:r>
      <w:r w:rsidR="003A6F60">
        <w:rPr>
          <w:szCs w:val="26"/>
        </w:rPr>
        <w:t>,</w:t>
      </w:r>
      <w:r w:rsidR="005D0D95" w:rsidRPr="00672545">
        <w:rPr>
          <w:szCs w:val="26"/>
        </w:rPr>
        <w:t xml:space="preserve"> as a</w:t>
      </w:r>
      <w:r w:rsidR="00430B5C" w:rsidRPr="00672545">
        <w:rPr>
          <w:szCs w:val="26"/>
        </w:rPr>
        <w:t xml:space="preserve"> result</w:t>
      </w:r>
      <w:r w:rsidR="005D0D95" w:rsidRPr="00672545">
        <w:rPr>
          <w:szCs w:val="26"/>
        </w:rPr>
        <w:t>,</w:t>
      </w:r>
      <w:r w:rsidR="00430B5C" w:rsidRPr="00672545">
        <w:rPr>
          <w:szCs w:val="26"/>
        </w:rPr>
        <w:t xml:space="preserve"> he had</w:t>
      </w:r>
      <w:r w:rsidR="00676F3D" w:rsidRPr="00672545">
        <w:rPr>
          <w:szCs w:val="26"/>
        </w:rPr>
        <w:t xml:space="preserve"> no real choice but to forego further </w:t>
      </w:r>
      <w:r w:rsidR="00C74261" w:rsidRPr="00672545">
        <w:rPr>
          <w:szCs w:val="26"/>
        </w:rPr>
        <w:t>questioning.</w:t>
      </w:r>
    </w:p>
    <w:p w14:paraId="34532C21" w14:textId="77777777" w:rsidR="00191B48" w:rsidRDefault="00D12520" w:rsidP="00672545">
      <w:r>
        <w:rPr>
          <w:szCs w:val="26"/>
        </w:rPr>
        <w:tab/>
      </w:r>
      <w:r w:rsidR="002F6AF1">
        <w:rPr>
          <w:szCs w:val="26"/>
        </w:rPr>
        <w:t>We agree that</w:t>
      </w:r>
      <w:r w:rsidR="002F6AF1" w:rsidRPr="00672545">
        <w:rPr>
          <w:szCs w:val="26"/>
        </w:rPr>
        <w:t xml:space="preserve"> defense counsel’s effort to cross-examine Redden about whether defendant had asked for an attorney </w:t>
      </w:r>
      <w:r w:rsidR="002F6AF1">
        <w:rPr>
          <w:szCs w:val="26"/>
        </w:rPr>
        <w:t xml:space="preserve">did not </w:t>
      </w:r>
      <w:r w:rsidR="002F6AF1" w:rsidRPr="00672545">
        <w:rPr>
          <w:szCs w:val="26"/>
        </w:rPr>
        <w:t xml:space="preserve">constitute a waiver of the broad protection afforded by </w:t>
      </w:r>
      <w:r w:rsidR="002F6AF1" w:rsidRPr="00672545">
        <w:t>Evidence Code section 351.1, which prohibits any reference to “the opinion of a polygraph examiner, or any reference to an offer to take, failure to take, or taking of a polygraph examination.”  (</w:t>
      </w:r>
      <w:proofErr w:type="spellStart"/>
      <w:r w:rsidR="002F6AF1" w:rsidRPr="00672545">
        <w:t>Evid</w:t>
      </w:r>
      <w:proofErr w:type="spellEnd"/>
      <w:r w:rsidR="002F6AF1" w:rsidRPr="00672545">
        <w:t xml:space="preserve">. Code § 351.1, </w:t>
      </w:r>
      <w:proofErr w:type="spellStart"/>
      <w:r w:rsidR="002F6AF1" w:rsidRPr="00672545">
        <w:t>subd</w:t>
      </w:r>
      <w:proofErr w:type="spellEnd"/>
      <w:r w:rsidR="002F6AF1" w:rsidRPr="00672545">
        <w:t>. (a).)</w:t>
      </w:r>
    </w:p>
    <w:p w14:paraId="576C9D11" w14:textId="1341F1AA" w:rsidR="00742869" w:rsidRPr="00672545" w:rsidRDefault="00191B48" w:rsidP="00672545">
      <w:r>
        <w:tab/>
      </w:r>
      <w:r w:rsidR="002F6AF1">
        <w:t>But</w:t>
      </w:r>
      <w:r w:rsidR="00F15482">
        <w:t xml:space="preserve"> we </w:t>
      </w:r>
      <w:r>
        <w:t xml:space="preserve">reject </w:t>
      </w:r>
      <w:r w:rsidR="00F15482">
        <w:t>defendant</w:t>
      </w:r>
      <w:r>
        <w:t>’s contention that</w:t>
      </w:r>
      <w:r w:rsidR="002F6AF1">
        <w:t xml:space="preserve"> </w:t>
      </w:r>
      <w:r w:rsidR="002F6AF1">
        <w:rPr>
          <w:szCs w:val="26"/>
        </w:rPr>
        <w:t>t</w:t>
      </w:r>
      <w:r w:rsidR="00452478" w:rsidRPr="00672545">
        <w:rPr>
          <w:szCs w:val="26"/>
        </w:rPr>
        <w:t xml:space="preserve">he circumstances </w:t>
      </w:r>
      <w:r w:rsidR="00B77456" w:rsidRPr="00672545">
        <w:rPr>
          <w:szCs w:val="26"/>
        </w:rPr>
        <w:t>underlying</w:t>
      </w:r>
      <w:r w:rsidR="00452478" w:rsidRPr="00672545">
        <w:rPr>
          <w:szCs w:val="26"/>
        </w:rPr>
        <w:t xml:space="preserve"> </w:t>
      </w:r>
      <w:r w:rsidR="001B7A90" w:rsidRPr="00672545">
        <w:rPr>
          <w:i/>
          <w:szCs w:val="26"/>
        </w:rPr>
        <w:t>Steele</w:t>
      </w:r>
      <w:r w:rsidR="001B7A90" w:rsidRPr="00672545">
        <w:rPr>
          <w:szCs w:val="26"/>
        </w:rPr>
        <w:t xml:space="preserve">, </w:t>
      </w:r>
      <w:r w:rsidR="001B7A90" w:rsidRPr="00672545">
        <w:rPr>
          <w:i/>
          <w:szCs w:val="26"/>
        </w:rPr>
        <w:t>Gambols,</w:t>
      </w:r>
      <w:r w:rsidR="001B7A90" w:rsidRPr="00672545">
        <w:rPr>
          <w:szCs w:val="26"/>
        </w:rPr>
        <w:t xml:space="preserve"> and </w:t>
      </w:r>
      <w:r w:rsidR="001B7A90" w:rsidRPr="00672545">
        <w:rPr>
          <w:i/>
          <w:szCs w:val="26"/>
        </w:rPr>
        <w:t>Arends</w:t>
      </w:r>
      <w:r w:rsidR="001B7A90" w:rsidRPr="00672545">
        <w:rPr>
          <w:szCs w:val="26"/>
        </w:rPr>
        <w:t xml:space="preserve"> </w:t>
      </w:r>
      <w:r w:rsidR="00614933" w:rsidRPr="00672545">
        <w:rPr>
          <w:szCs w:val="26"/>
        </w:rPr>
        <w:t>w</w:t>
      </w:r>
      <w:r w:rsidR="001B7A90" w:rsidRPr="00672545">
        <w:rPr>
          <w:szCs w:val="26"/>
        </w:rPr>
        <w:t>ere</w:t>
      </w:r>
      <w:r w:rsidR="00614933" w:rsidRPr="00672545">
        <w:rPr>
          <w:szCs w:val="26"/>
        </w:rPr>
        <w:t xml:space="preserve"> present here.  </w:t>
      </w:r>
      <w:r w:rsidR="00EA5748" w:rsidRPr="00672545">
        <w:rPr>
          <w:szCs w:val="26"/>
        </w:rPr>
        <w:t>No inadmissible evidence had been admitted</w:t>
      </w:r>
      <w:r w:rsidR="002F6AF1">
        <w:rPr>
          <w:szCs w:val="26"/>
        </w:rPr>
        <w:t xml:space="preserve">, and the trial court’s ruling did not give the prosecution permission </w:t>
      </w:r>
      <w:r w:rsidR="00E5055A" w:rsidRPr="00672545">
        <w:rPr>
          <w:szCs w:val="26"/>
        </w:rPr>
        <w:t>to introduce the entire tape containing the inadmissible polygraph evidence</w:t>
      </w:r>
      <w:r w:rsidR="002911A4">
        <w:rPr>
          <w:szCs w:val="26"/>
        </w:rPr>
        <w:t xml:space="preserve"> after a failure to object</w:t>
      </w:r>
      <w:r w:rsidR="00EA5748" w:rsidRPr="00672545">
        <w:rPr>
          <w:szCs w:val="26"/>
        </w:rPr>
        <w:t xml:space="preserve">.  </w:t>
      </w:r>
    </w:p>
    <w:p w14:paraId="21715585" w14:textId="180248B7" w:rsidR="009C68F5" w:rsidRDefault="0018398B">
      <w:pPr>
        <w:pStyle w:val="PRComments"/>
        <w:suppressAutoHyphens/>
        <w:spacing w:line="400" w:lineRule="exact"/>
        <w:ind w:firstLine="720"/>
      </w:pPr>
      <w:r>
        <w:t>In any event, the court’s warnings did not prejudicially affect the evidence before the jury.  D</w:t>
      </w:r>
      <w:r w:rsidR="00742869" w:rsidRPr="00672545">
        <w:t xml:space="preserve">efendant’s comments about procuring a lawyer occurred after he had been told that he had failed the polygraph </w:t>
      </w:r>
      <w:r w:rsidR="004F0100">
        <w:t>examination</w:t>
      </w:r>
      <w:r w:rsidR="00742869" w:rsidRPr="00672545">
        <w:t xml:space="preserve"> and were made in direct response to his failure of that test.  For this reason, the parties had originally agreed to redact these portions of the interrogation</w:t>
      </w:r>
      <w:r w:rsidR="009C68F5">
        <w:t xml:space="preserve">.  </w:t>
      </w:r>
      <w:r w:rsidR="00D851E5">
        <w:t xml:space="preserve"> Consequently, w</w:t>
      </w:r>
      <w:r w:rsidR="00742869" w:rsidRPr="00672545">
        <w:t xml:space="preserve">hether defendant had requested an attorney does not seem </w:t>
      </w:r>
      <w:r w:rsidR="009C6831">
        <w:t xml:space="preserve">strongly probative on </w:t>
      </w:r>
      <w:r w:rsidR="00742869" w:rsidRPr="00672545">
        <w:t xml:space="preserve">the issue of whether defendant </w:t>
      </w:r>
      <w:r w:rsidR="006B2569">
        <w:t xml:space="preserve">had </w:t>
      </w:r>
      <w:r w:rsidR="00742869" w:rsidRPr="00672545">
        <w:t xml:space="preserve">made the “we” reference because he was tired.  </w:t>
      </w:r>
      <w:r w:rsidR="00944570">
        <w:t xml:space="preserve"> </w:t>
      </w:r>
    </w:p>
    <w:p w14:paraId="33C2728B" w14:textId="5A80FCDB" w:rsidR="00966B68" w:rsidRPr="00672545" w:rsidRDefault="00966B68" w:rsidP="00007161">
      <w:pPr>
        <w:pStyle w:val="PRComments"/>
        <w:suppressAutoHyphens/>
        <w:spacing w:line="400" w:lineRule="exact"/>
        <w:ind w:firstLine="720"/>
      </w:pPr>
      <w:r w:rsidRPr="00672545">
        <w:t xml:space="preserve">We also note that defendant was able to elicit from Redden that defendant said he had only five hours of sleep the previous night and that he had not eaten.  Thus, defendant was able to argue he was fatigued and hungry at the time of the interview, which </w:t>
      </w:r>
      <w:r w:rsidR="00B7639A" w:rsidRPr="00672545">
        <w:lastRenderedPageBreak/>
        <w:t xml:space="preserve">could </w:t>
      </w:r>
      <w:r w:rsidRPr="00672545">
        <w:t>explain</w:t>
      </w:r>
      <w:r w:rsidR="00B7639A" w:rsidRPr="00672545">
        <w:t xml:space="preserve"> </w:t>
      </w:r>
      <w:r w:rsidRPr="00672545">
        <w:t xml:space="preserve">his “slip” in using the pronoun “we.”  </w:t>
      </w:r>
      <w:r w:rsidR="00966998" w:rsidRPr="00672545">
        <w:t xml:space="preserve">As defendant notes in his reply brief, </w:t>
      </w:r>
      <w:r w:rsidR="00B7639A" w:rsidRPr="00672545">
        <w:t xml:space="preserve">there was </w:t>
      </w:r>
      <w:r w:rsidR="00400B32" w:rsidRPr="00672545">
        <w:t xml:space="preserve">also </w:t>
      </w:r>
      <w:r w:rsidR="00B7639A" w:rsidRPr="00672545">
        <w:t>testimony that defendant often was accompanied by others when he took his motor home excursions.</w:t>
      </w:r>
      <w:r w:rsidR="00F81CD5" w:rsidRPr="00672545">
        <w:t xml:space="preserve">  </w:t>
      </w:r>
      <w:r w:rsidR="00B7639A" w:rsidRPr="00672545">
        <w:t xml:space="preserve">Nothing prevented defendant from arguing that defendant’s use of the plural pronoun when describing such excursions was a </w:t>
      </w:r>
      <w:r w:rsidR="00A407E2" w:rsidRPr="00672545">
        <w:t xml:space="preserve">matter of </w:t>
      </w:r>
      <w:r w:rsidR="00B7639A" w:rsidRPr="00672545">
        <w:t xml:space="preserve">habit.  In sum, even if </w:t>
      </w:r>
      <w:r w:rsidR="00374A80" w:rsidRPr="00672545">
        <w:t xml:space="preserve">we were to find error, it would be harmless given the other means by which defendant could have raised the same points and </w:t>
      </w:r>
      <w:proofErr w:type="gramStart"/>
      <w:r w:rsidR="00374A80" w:rsidRPr="00672545">
        <w:t>in light of</w:t>
      </w:r>
      <w:proofErr w:type="gramEnd"/>
      <w:r w:rsidR="00374A80" w:rsidRPr="00672545">
        <w:t xml:space="preserve"> the strength of the evidence against him.  (</w:t>
      </w:r>
      <w:r w:rsidR="00374A80" w:rsidRPr="00672545">
        <w:rPr>
          <w:i/>
        </w:rPr>
        <w:t>Arias</w:t>
      </w:r>
      <w:r w:rsidR="00786E16" w:rsidRPr="00672545">
        <w:rPr>
          <w:i/>
        </w:rPr>
        <w:t>, supra</w:t>
      </w:r>
      <w:r w:rsidR="00786E16" w:rsidRPr="00672545">
        <w:t xml:space="preserve">, 13 Cal.4th at pp. 156-157 [applying harmless error standard of </w:t>
      </w:r>
      <w:r w:rsidR="00786E16" w:rsidRPr="00672545">
        <w:rPr>
          <w:i/>
        </w:rPr>
        <w:t>People v. Watson, supra</w:t>
      </w:r>
      <w:r w:rsidR="00786E16" w:rsidRPr="00672545">
        <w:t xml:space="preserve">, 46 Cal.2d at p. 836 to claim of error under </w:t>
      </w:r>
      <w:proofErr w:type="spellStart"/>
      <w:r w:rsidR="00786E16" w:rsidRPr="00672545">
        <w:t>Evid</w:t>
      </w:r>
      <w:proofErr w:type="spellEnd"/>
      <w:r w:rsidR="00786E16" w:rsidRPr="00672545">
        <w:t>. Code § 356].)</w:t>
      </w:r>
      <w:r w:rsidR="00F81CD5" w:rsidRPr="00672545">
        <w:t xml:space="preserve">  </w:t>
      </w:r>
    </w:p>
    <w:p w14:paraId="45B1103E" w14:textId="77777777" w:rsidR="003767CB" w:rsidRPr="00672545" w:rsidRDefault="00A407E2" w:rsidP="00672545">
      <w:pPr>
        <w:pStyle w:val="Heading3"/>
      </w:pPr>
      <w:bookmarkStart w:id="24" w:name="_Toc506979815"/>
      <w:r w:rsidRPr="00672545">
        <w:t xml:space="preserve">9.  </w:t>
      </w:r>
      <w:r w:rsidR="00EB6934" w:rsidRPr="00672545">
        <w:t>Exclusion of the February 15 Anonymous Telephone Call to Brenda Van Dam</w:t>
      </w:r>
      <w:bookmarkEnd w:id="24"/>
    </w:p>
    <w:p w14:paraId="34C8FAE2" w14:textId="77777777" w:rsidR="00A407E2" w:rsidRPr="00672545" w:rsidRDefault="00EB6934" w:rsidP="00672545">
      <w:pPr>
        <w:rPr>
          <w:szCs w:val="26"/>
        </w:rPr>
      </w:pPr>
      <w:r w:rsidRPr="00672545">
        <w:rPr>
          <w:szCs w:val="26"/>
        </w:rPr>
        <w:tab/>
      </w:r>
      <w:r w:rsidR="00723A9B" w:rsidRPr="00672545">
        <w:rPr>
          <w:szCs w:val="26"/>
        </w:rPr>
        <w:t xml:space="preserve">Defendant claims the trial court erroneously refused to admit evidence that Brenda Van Dam received a telephone call from an </w:t>
      </w:r>
      <w:r w:rsidR="00342FC8" w:rsidRPr="00672545">
        <w:rPr>
          <w:szCs w:val="26"/>
        </w:rPr>
        <w:t>anonymous</w:t>
      </w:r>
      <w:r w:rsidR="00723A9B" w:rsidRPr="00672545">
        <w:rPr>
          <w:szCs w:val="26"/>
        </w:rPr>
        <w:t xml:space="preserve"> </w:t>
      </w:r>
      <w:r w:rsidR="00670A93" w:rsidRPr="00672545">
        <w:rPr>
          <w:szCs w:val="26"/>
        </w:rPr>
        <w:t>man</w:t>
      </w:r>
      <w:r w:rsidR="00723A9B" w:rsidRPr="00672545">
        <w:rPr>
          <w:szCs w:val="26"/>
        </w:rPr>
        <w:t xml:space="preserve"> on February 15, 2002,</w:t>
      </w:r>
      <w:r w:rsidR="00472A3C" w:rsidRPr="00672545">
        <w:rPr>
          <w:szCs w:val="26"/>
        </w:rPr>
        <w:t xml:space="preserve"> who asked her if she wanted her daughter back</w:t>
      </w:r>
      <w:r w:rsidR="00260C13" w:rsidRPr="00672545">
        <w:rPr>
          <w:szCs w:val="26"/>
        </w:rPr>
        <w:t>, and</w:t>
      </w:r>
      <w:r w:rsidR="00723A9B" w:rsidRPr="00672545">
        <w:rPr>
          <w:szCs w:val="26"/>
        </w:rPr>
        <w:t xml:space="preserve"> </w:t>
      </w:r>
      <w:r w:rsidR="00260C13" w:rsidRPr="00672545">
        <w:rPr>
          <w:szCs w:val="26"/>
        </w:rPr>
        <w:t>told</w:t>
      </w:r>
      <w:r w:rsidR="00723A9B" w:rsidRPr="00672545">
        <w:rPr>
          <w:szCs w:val="26"/>
        </w:rPr>
        <w:t xml:space="preserve"> her that Danielle </w:t>
      </w:r>
      <w:r w:rsidR="00B35E0E" w:rsidRPr="00672545">
        <w:rPr>
          <w:szCs w:val="26"/>
        </w:rPr>
        <w:t>had been abused but was still alive</w:t>
      </w:r>
      <w:r w:rsidR="00723A9B" w:rsidRPr="00672545">
        <w:rPr>
          <w:szCs w:val="26"/>
        </w:rPr>
        <w:t xml:space="preserve">.  </w:t>
      </w:r>
      <w:r w:rsidR="00693FE7" w:rsidRPr="00672545">
        <w:rPr>
          <w:szCs w:val="26"/>
        </w:rPr>
        <w:t xml:space="preserve">In defendant’s view, the telephone call </w:t>
      </w:r>
      <w:r w:rsidR="002379D0" w:rsidRPr="00672545">
        <w:rPr>
          <w:szCs w:val="26"/>
        </w:rPr>
        <w:t>supported his alibi defense because it was consistent with</w:t>
      </w:r>
      <w:r w:rsidR="00693FE7" w:rsidRPr="00672545">
        <w:rPr>
          <w:szCs w:val="26"/>
        </w:rPr>
        <w:t xml:space="preserve"> the </w:t>
      </w:r>
      <w:r w:rsidR="002379D0" w:rsidRPr="00672545">
        <w:rPr>
          <w:szCs w:val="26"/>
        </w:rPr>
        <w:t xml:space="preserve">testimony of his entomological </w:t>
      </w:r>
      <w:r w:rsidR="00693FE7" w:rsidRPr="00672545">
        <w:rPr>
          <w:szCs w:val="26"/>
        </w:rPr>
        <w:t>e</w:t>
      </w:r>
      <w:r w:rsidR="002379D0" w:rsidRPr="00672545">
        <w:rPr>
          <w:szCs w:val="26"/>
        </w:rPr>
        <w:t xml:space="preserve">xpert </w:t>
      </w:r>
      <w:r w:rsidR="00693FE7" w:rsidRPr="00672545">
        <w:rPr>
          <w:szCs w:val="26"/>
        </w:rPr>
        <w:t>Faulkner</w:t>
      </w:r>
      <w:r w:rsidR="006403E8" w:rsidRPr="00672545">
        <w:rPr>
          <w:szCs w:val="26"/>
        </w:rPr>
        <w:t>, who</w:t>
      </w:r>
      <w:r w:rsidR="00693FE7" w:rsidRPr="00672545">
        <w:rPr>
          <w:szCs w:val="26"/>
        </w:rPr>
        <w:t xml:space="preserve"> </w:t>
      </w:r>
      <w:r w:rsidR="00F4131A" w:rsidRPr="00672545">
        <w:rPr>
          <w:szCs w:val="26"/>
        </w:rPr>
        <w:t xml:space="preserve">opined that Danielle’s </w:t>
      </w:r>
      <w:r w:rsidR="00F4131A" w:rsidRPr="00672545">
        <w:t>body was first available for insect activity on</w:t>
      </w:r>
      <w:r w:rsidR="00693FE7" w:rsidRPr="00672545">
        <w:rPr>
          <w:szCs w:val="26"/>
        </w:rPr>
        <w:t xml:space="preserve"> February 16.  Defendant offered the </w:t>
      </w:r>
      <w:r w:rsidR="00163104" w:rsidRPr="00672545">
        <w:rPr>
          <w:szCs w:val="26"/>
        </w:rPr>
        <w:t>telephone call</w:t>
      </w:r>
      <w:r w:rsidR="00693FE7" w:rsidRPr="00672545">
        <w:rPr>
          <w:szCs w:val="26"/>
        </w:rPr>
        <w:t xml:space="preserve"> as</w:t>
      </w:r>
      <w:r w:rsidR="006403E8" w:rsidRPr="00672545">
        <w:rPr>
          <w:szCs w:val="26"/>
        </w:rPr>
        <w:t xml:space="preserve"> a declaration against </w:t>
      </w:r>
      <w:r w:rsidR="00EC590B" w:rsidRPr="00672545">
        <w:rPr>
          <w:szCs w:val="26"/>
        </w:rPr>
        <w:t xml:space="preserve">the caller’s </w:t>
      </w:r>
      <w:r w:rsidR="006403E8" w:rsidRPr="00672545">
        <w:rPr>
          <w:szCs w:val="26"/>
        </w:rPr>
        <w:t xml:space="preserve">interest pursuant to Evidence Code section 1230 </w:t>
      </w:r>
      <w:proofErr w:type="gramStart"/>
      <w:r w:rsidR="006403E8" w:rsidRPr="00672545">
        <w:rPr>
          <w:szCs w:val="26"/>
        </w:rPr>
        <w:t>and also</w:t>
      </w:r>
      <w:proofErr w:type="gramEnd"/>
      <w:r w:rsidR="006403E8" w:rsidRPr="00672545">
        <w:rPr>
          <w:szCs w:val="26"/>
        </w:rPr>
        <w:t xml:space="preserve"> argued its admissibility on federal due process grounds.</w:t>
      </w:r>
      <w:r w:rsidR="00F81CD5" w:rsidRPr="00672545">
        <w:rPr>
          <w:szCs w:val="26"/>
        </w:rPr>
        <w:t xml:space="preserve">  </w:t>
      </w:r>
    </w:p>
    <w:p w14:paraId="1D4D7A35" w14:textId="77777777" w:rsidR="005E7FFE" w:rsidRPr="00672545" w:rsidRDefault="007F0089" w:rsidP="00672545">
      <w:pPr>
        <w:rPr>
          <w:szCs w:val="26"/>
        </w:rPr>
      </w:pPr>
      <w:r w:rsidRPr="00672545">
        <w:rPr>
          <w:rStyle w:val="ssrfcpassagedeactivated"/>
          <w:szCs w:val="26"/>
        </w:rPr>
        <w:tab/>
        <w:t xml:space="preserve">Evidence Code </w:t>
      </w:r>
      <w:r w:rsidRPr="00672545">
        <w:rPr>
          <w:rStyle w:val="sssh"/>
          <w:bCs/>
          <w:szCs w:val="26"/>
        </w:rPr>
        <w:t>section 1230</w:t>
      </w:r>
      <w:r w:rsidRPr="00672545">
        <w:rPr>
          <w:rStyle w:val="ssrfcpassagedeactivated"/>
          <w:szCs w:val="26"/>
        </w:rPr>
        <w:t xml:space="preserve"> provides that the out-of-court declaration of an unavailable witness may be admitted for its truth if the statement, when made, was </w:t>
      </w:r>
      <w:r w:rsidR="005F7002" w:rsidRPr="00672545">
        <w:rPr>
          <w:rStyle w:val="ssrfcpassagedeactivated"/>
          <w:szCs w:val="26"/>
        </w:rPr>
        <w:t xml:space="preserve">so far </w:t>
      </w:r>
      <w:r w:rsidRPr="00672545">
        <w:rPr>
          <w:rStyle w:val="ssrfcpassagedeactivated"/>
          <w:szCs w:val="26"/>
        </w:rPr>
        <w:t>against the declarant</w:t>
      </w:r>
      <w:r w:rsidR="00B54890" w:rsidRPr="00672545">
        <w:rPr>
          <w:rStyle w:val="ssrfcpassagedeactivated"/>
          <w:szCs w:val="26"/>
        </w:rPr>
        <w:t>’</w:t>
      </w:r>
      <w:r w:rsidRPr="00672545">
        <w:rPr>
          <w:rStyle w:val="ssrfcpassagedeactivated"/>
          <w:szCs w:val="26"/>
        </w:rPr>
        <w:t>s interest</w:t>
      </w:r>
      <w:r w:rsidR="00AF2236" w:rsidRPr="00672545">
        <w:rPr>
          <w:rStyle w:val="ssrfcpassagedeactivated"/>
          <w:szCs w:val="26"/>
        </w:rPr>
        <w:t>s, penal or otherwise, that a reasonable person would not have made the statement unless he or she believed it to be true</w:t>
      </w:r>
      <w:r w:rsidRPr="00672545">
        <w:rPr>
          <w:rStyle w:val="ssrfcpassagedeactivated"/>
          <w:szCs w:val="26"/>
        </w:rPr>
        <w:t xml:space="preserve">. </w:t>
      </w:r>
      <w:r w:rsidR="004311FA" w:rsidRPr="00672545">
        <w:rPr>
          <w:rStyle w:val="ssrfcpassagedeactivated"/>
          <w:szCs w:val="26"/>
        </w:rPr>
        <w:t xml:space="preserve"> </w:t>
      </w:r>
      <w:proofErr w:type="gramStart"/>
      <w:r w:rsidR="00AF2236" w:rsidRPr="00672545">
        <w:rPr>
          <w:rStyle w:val="ssrfcpassagedeactivated"/>
          <w:szCs w:val="26"/>
        </w:rPr>
        <w:t>“ ‘</w:t>
      </w:r>
      <w:proofErr w:type="gramEnd"/>
      <w:r w:rsidRPr="00672545">
        <w:rPr>
          <w:rStyle w:val="ssrfcpassagedeactivated"/>
          <w:szCs w:val="26"/>
        </w:rPr>
        <w:t xml:space="preserve">The proponent of such evidence must </w:t>
      </w:r>
      <w:r w:rsidRPr="00672545">
        <w:rPr>
          <w:rStyle w:val="ssrfcpassagedeactivated"/>
          <w:szCs w:val="26"/>
        </w:rPr>
        <w:lastRenderedPageBreak/>
        <w:t xml:space="preserve">show </w:t>
      </w:r>
      <w:r w:rsidR="004311FA" w:rsidRPr="00672545">
        <w:rPr>
          <w:rStyle w:val="ssrfcpassagedeactivated"/>
          <w:szCs w:val="26"/>
        </w:rPr>
        <w:t>“</w:t>
      </w:r>
      <w:r w:rsidRPr="00672545">
        <w:rPr>
          <w:rStyle w:val="ssrfcpassagedeactivated"/>
          <w:szCs w:val="26"/>
        </w:rPr>
        <w:t>that the declarant is unavailable, that the declaration was against the declarant</w:t>
      </w:r>
      <w:r w:rsidR="00B54890" w:rsidRPr="00672545">
        <w:rPr>
          <w:rStyle w:val="ssrfcpassagedeactivated"/>
          <w:szCs w:val="26"/>
        </w:rPr>
        <w:t>’</w:t>
      </w:r>
      <w:r w:rsidRPr="00672545">
        <w:rPr>
          <w:rStyle w:val="ssrfcpassagedeactivated"/>
          <w:szCs w:val="26"/>
        </w:rPr>
        <w:t xml:space="preserve">s penal </w:t>
      </w:r>
      <w:r w:rsidR="002D3C2E" w:rsidRPr="00672545">
        <w:rPr>
          <w:rStyle w:val="ssrfcpassagedeactivated"/>
          <w:szCs w:val="26"/>
        </w:rPr>
        <w:t xml:space="preserve">[or other] </w:t>
      </w:r>
      <w:r w:rsidRPr="00672545">
        <w:rPr>
          <w:rStyle w:val="ssrfcpassagedeactivated"/>
          <w:szCs w:val="26"/>
        </w:rPr>
        <w:t>interest, and that the declaration was sufficiently reliable to warrant admission despite its hearsay character.</w:t>
      </w:r>
      <w:r w:rsidR="004311FA" w:rsidRPr="00672545">
        <w:rPr>
          <w:rStyle w:val="ssrfcpassagedeactivated"/>
          <w:szCs w:val="26"/>
        </w:rPr>
        <w:t xml:space="preserve">” </w:t>
      </w:r>
      <w:r w:rsidRPr="00672545">
        <w:rPr>
          <w:rStyle w:val="ssrfcpassagedeactivated"/>
          <w:szCs w:val="26"/>
        </w:rPr>
        <w:t>’</w:t>
      </w:r>
      <w:r w:rsidR="00AF2236" w:rsidRPr="00672545">
        <w:rPr>
          <w:rStyle w:val="ssrfcpassagedeactivated"/>
          <w:szCs w:val="26"/>
        </w:rPr>
        <w:t xml:space="preserve"> ” </w:t>
      </w:r>
      <w:r w:rsidR="004311FA" w:rsidRPr="00672545">
        <w:rPr>
          <w:rStyle w:val="ssrfcpassagedeactivated"/>
          <w:szCs w:val="26"/>
        </w:rPr>
        <w:t xml:space="preserve"> </w:t>
      </w:r>
      <w:r w:rsidRPr="00672545">
        <w:rPr>
          <w:szCs w:val="26"/>
        </w:rPr>
        <w:t>(</w:t>
      </w:r>
      <w:r w:rsidRPr="00672545">
        <w:rPr>
          <w:i/>
          <w:iCs/>
          <w:szCs w:val="26"/>
        </w:rPr>
        <w:t>People v. Geier</w:t>
      </w:r>
      <w:r w:rsidRPr="00672545">
        <w:rPr>
          <w:szCs w:val="26"/>
        </w:rPr>
        <w:t xml:space="preserve"> (2007) 41 Cal.4th 555, 584.)</w:t>
      </w:r>
      <w:r w:rsidR="001125B7" w:rsidRPr="00672545">
        <w:rPr>
          <w:szCs w:val="26"/>
        </w:rPr>
        <w:t xml:space="preserve">  </w:t>
      </w:r>
      <w:r w:rsidR="00F62662" w:rsidRPr="00672545">
        <w:rPr>
          <w:szCs w:val="26"/>
        </w:rPr>
        <w:t>“</w:t>
      </w:r>
      <w:r w:rsidR="005E7FFE" w:rsidRPr="00672545">
        <w:rPr>
          <w:rStyle w:val="ssrfcpassagedeactivated"/>
          <w:szCs w:val="26"/>
        </w:rPr>
        <w:t xml:space="preserve">The focus of the declaration against interest exception to the hearsay rule is the basic trustworthiness of the declaration.  [Citations.]  In determining whether a statement is truly against interest within the meaning of Evidence Code section 1230, and hence is sufficiently trustworthy to be admissible, the court may </w:t>
      </w:r>
      <w:proofErr w:type="gramStart"/>
      <w:r w:rsidR="005E7FFE" w:rsidRPr="00672545">
        <w:rPr>
          <w:rStyle w:val="ssrfcpassagedeactivated"/>
          <w:szCs w:val="26"/>
        </w:rPr>
        <w:t>take into account</w:t>
      </w:r>
      <w:proofErr w:type="gramEnd"/>
      <w:r w:rsidR="005E7FFE" w:rsidRPr="00672545">
        <w:rPr>
          <w:rStyle w:val="ssrfcpassagedeactivated"/>
          <w:szCs w:val="26"/>
        </w:rPr>
        <w:t xml:space="preserve"> not just the words but the circumstances under which they were uttered, the possible motivation of the declarant, and the declarant’s relationship to the defendant.  [Citation.]”  </w:t>
      </w:r>
      <w:r w:rsidR="005E7FFE" w:rsidRPr="00672545">
        <w:rPr>
          <w:szCs w:val="26"/>
        </w:rPr>
        <w:t>(</w:t>
      </w:r>
      <w:r w:rsidR="005E7FFE" w:rsidRPr="00672545">
        <w:rPr>
          <w:i/>
          <w:iCs/>
          <w:szCs w:val="26"/>
        </w:rPr>
        <w:t>People v. Frierson</w:t>
      </w:r>
      <w:r w:rsidR="005E7FFE" w:rsidRPr="00672545">
        <w:rPr>
          <w:szCs w:val="26"/>
        </w:rPr>
        <w:t xml:space="preserve"> (1991) 53 Cal.3d 730, 745.)</w:t>
      </w:r>
      <w:r w:rsidR="00CC703F" w:rsidRPr="00672545">
        <w:rPr>
          <w:szCs w:val="26"/>
        </w:rPr>
        <w:t xml:space="preserve">  We review the trial court’s finding for an abuse of discretion.  (</w:t>
      </w:r>
      <w:r w:rsidR="00CC703F" w:rsidRPr="00672545">
        <w:rPr>
          <w:i/>
          <w:szCs w:val="26"/>
        </w:rPr>
        <w:t>Ibid.</w:t>
      </w:r>
      <w:r w:rsidR="00CC703F" w:rsidRPr="00672545">
        <w:rPr>
          <w:szCs w:val="26"/>
        </w:rPr>
        <w:t>)</w:t>
      </w:r>
    </w:p>
    <w:p w14:paraId="40560F62" w14:textId="77777777" w:rsidR="000D5235" w:rsidRPr="00672545" w:rsidRDefault="00F62662" w:rsidP="00672545">
      <w:pPr>
        <w:rPr>
          <w:szCs w:val="26"/>
        </w:rPr>
      </w:pPr>
      <w:r w:rsidRPr="00672545">
        <w:rPr>
          <w:szCs w:val="26"/>
        </w:rPr>
        <w:tab/>
      </w:r>
      <w:r w:rsidR="00967ED1" w:rsidRPr="00672545">
        <w:rPr>
          <w:szCs w:val="26"/>
        </w:rPr>
        <w:t xml:space="preserve">We find no abuse of discretion here.  </w:t>
      </w:r>
      <w:r w:rsidR="00BE7BB2" w:rsidRPr="00672545">
        <w:rPr>
          <w:szCs w:val="26"/>
        </w:rPr>
        <w:t xml:space="preserve">The trial court sustained the prosecution’s hearsay objection when the matter </w:t>
      </w:r>
      <w:r w:rsidR="00967ED1" w:rsidRPr="00672545">
        <w:rPr>
          <w:szCs w:val="26"/>
        </w:rPr>
        <w:t xml:space="preserve">of the telephone call </w:t>
      </w:r>
      <w:r w:rsidR="00BE7BB2" w:rsidRPr="00672545">
        <w:rPr>
          <w:szCs w:val="26"/>
        </w:rPr>
        <w:t xml:space="preserve">first came up during defendant’s cross-examination of Brenda.  It specifically found that the anonymous </w:t>
      </w:r>
      <w:r w:rsidR="00967ED1" w:rsidRPr="00672545">
        <w:rPr>
          <w:szCs w:val="26"/>
        </w:rPr>
        <w:t xml:space="preserve">caller’s </w:t>
      </w:r>
      <w:r w:rsidR="00BE7BB2" w:rsidRPr="00672545">
        <w:rPr>
          <w:szCs w:val="26"/>
        </w:rPr>
        <w:t>statement</w:t>
      </w:r>
      <w:r w:rsidR="00967ED1" w:rsidRPr="00672545">
        <w:rPr>
          <w:szCs w:val="26"/>
        </w:rPr>
        <w:t>s</w:t>
      </w:r>
      <w:r w:rsidR="00BE7BB2" w:rsidRPr="00672545">
        <w:rPr>
          <w:szCs w:val="26"/>
        </w:rPr>
        <w:t xml:space="preserve"> lacked the reliability necessary for </w:t>
      </w:r>
      <w:r w:rsidR="00967ED1" w:rsidRPr="00672545">
        <w:rPr>
          <w:szCs w:val="26"/>
        </w:rPr>
        <w:t>their</w:t>
      </w:r>
      <w:r w:rsidR="00BE7BB2" w:rsidRPr="00672545">
        <w:rPr>
          <w:szCs w:val="26"/>
        </w:rPr>
        <w:t xml:space="preserve"> admission.</w:t>
      </w:r>
      <w:r w:rsidR="00F81CD5" w:rsidRPr="00672545">
        <w:rPr>
          <w:szCs w:val="26"/>
        </w:rPr>
        <w:t xml:space="preserve">  </w:t>
      </w:r>
      <w:r w:rsidR="00BE7BB2" w:rsidRPr="00672545">
        <w:rPr>
          <w:szCs w:val="26"/>
        </w:rPr>
        <w:t xml:space="preserve">The court reiterated its ruling excluding the evidence when the defense subsequently made a formal motion to have the evidence admitted.  It observed that the identity of the caller and the place from which the call was made were unknown.  The court </w:t>
      </w:r>
      <w:r w:rsidR="001125B7" w:rsidRPr="00672545">
        <w:rPr>
          <w:szCs w:val="26"/>
        </w:rPr>
        <w:t xml:space="preserve">also </w:t>
      </w:r>
      <w:r w:rsidR="00BE7BB2" w:rsidRPr="00672545">
        <w:rPr>
          <w:szCs w:val="26"/>
        </w:rPr>
        <w:t xml:space="preserve">noted the publicity that this case had </w:t>
      </w:r>
      <w:proofErr w:type="gramStart"/>
      <w:r w:rsidR="00BE7BB2" w:rsidRPr="00672545">
        <w:rPr>
          <w:szCs w:val="26"/>
        </w:rPr>
        <w:t>received</w:t>
      </w:r>
      <w:proofErr w:type="gramEnd"/>
      <w:r w:rsidR="00BE7BB2" w:rsidRPr="00672545">
        <w:rPr>
          <w:szCs w:val="26"/>
        </w:rPr>
        <w:t xml:space="preserve"> and the possibility of a “crank” call being made.</w:t>
      </w:r>
      <w:r w:rsidR="00F81CD5" w:rsidRPr="00672545">
        <w:rPr>
          <w:szCs w:val="26"/>
        </w:rPr>
        <w:t xml:space="preserve">  </w:t>
      </w:r>
    </w:p>
    <w:p w14:paraId="4098EB0F" w14:textId="77777777" w:rsidR="00F62662" w:rsidRPr="00672545" w:rsidRDefault="000D5235" w:rsidP="00672545">
      <w:pPr>
        <w:rPr>
          <w:szCs w:val="26"/>
        </w:rPr>
      </w:pPr>
      <w:r w:rsidRPr="00672545">
        <w:rPr>
          <w:szCs w:val="26"/>
        </w:rPr>
        <w:tab/>
      </w:r>
      <w:r w:rsidR="001125B7" w:rsidRPr="00672545">
        <w:rPr>
          <w:szCs w:val="26"/>
        </w:rPr>
        <w:t xml:space="preserve">A trial court does not abuse its discretion by finding </w:t>
      </w:r>
      <w:r w:rsidR="00F62662" w:rsidRPr="00672545">
        <w:rPr>
          <w:szCs w:val="26"/>
        </w:rPr>
        <w:t xml:space="preserve">“that statements by an anonymous tipster fail to satisfy the fundamental requirement of a </w:t>
      </w:r>
      <w:r w:rsidR="00F62662" w:rsidRPr="00672545">
        <w:rPr>
          <w:rStyle w:val="sssh"/>
          <w:bCs/>
          <w:szCs w:val="26"/>
        </w:rPr>
        <w:t>declaration against interest</w:t>
      </w:r>
      <w:r w:rsidR="001125B7" w:rsidRPr="00672545">
        <w:rPr>
          <w:rStyle w:val="sssh"/>
          <w:bCs/>
          <w:szCs w:val="26"/>
        </w:rPr>
        <w:t xml:space="preserve"> </w:t>
      </w:r>
      <w:r w:rsidR="00F62662" w:rsidRPr="00672545">
        <w:rPr>
          <w:szCs w:val="26"/>
        </w:rPr>
        <w:t>—</w:t>
      </w:r>
      <w:r w:rsidR="001125B7" w:rsidRPr="00672545">
        <w:rPr>
          <w:szCs w:val="26"/>
        </w:rPr>
        <w:t xml:space="preserve"> </w:t>
      </w:r>
      <w:r w:rsidR="00F62662" w:rsidRPr="00672545">
        <w:rPr>
          <w:szCs w:val="26"/>
        </w:rPr>
        <w:t xml:space="preserve">that the </w:t>
      </w:r>
      <w:r w:rsidR="00F62662" w:rsidRPr="00672545">
        <w:rPr>
          <w:rStyle w:val="sssh"/>
          <w:bCs/>
          <w:szCs w:val="26"/>
        </w:rPr>
        <w:t>declarant</w:t>
      </w:r>
      <w:r w:rsidR="00F62662" w:rsidRPr="00672545">
        <w:rPr>
          <w:szCs w:val="26"/>
        </w:rPr>
        <w:t xml:space="preserve"> actually believes himself to be at some significant risk of civil or criminal liability when he makes the </w:t>
      </w:r>
      <w:r w:rsidR="00F62662" w:rsidRPr="00672545">
        <w:rPr>
          <w:szCs w:val="26"/>
        </w:rPr>
        <w:lastRenderedPageBreak/>
        <w:t>statement sought to be admitted.”  (</w:t>
      </w:r>
      <w:r w:rsidR="00F62662" w:rsidRPr="00672545">
        <w:rPr>
          <w:i/>
          <w:iCs/>
          <w:szCs w:val="26"/>
        </w:rPr>
        <w:t>Clark v. Optical Coating Laboratory, Inc.</w:t>
      </w:r>
      <w:r w:rsidR="00F62662" w:rsidRPr="00672545">
        <w:rPr>
          <w:szCs w:val="26"/>
        </w:rPr>
        <w:t xml:space="preserve"> (2008) 165 Cal.App.4th 150, 171.)</w:t>
      </w:r>
      <w:r w:rsidR="001125B7" w:rsidRPr="00672545">
        <w:rPr>
          <w:szCs w:val="26"/>
        </w:rPr>
        <w:t xml:space="preserve">  Defendant argues, however, that this case falls outside of this rule because </w:t>
      </w:r>
      <w:r w:rsidR="002D3C2E" w:rsidRPr="00672545">
        <w:rPr>
          <w:szCs w:val="26"/>
        </w:rPr>
        <w:t xml:space="preserve">there was only one </w:t>
      </w:r>
      <w:r w:rsidR="00665B0C" w:rsidRPr="00672545">
        <w:rPr>
          <w:szCs w:val="26"/>
        </w:rPr>
        <w:t>anonymous call</w:t>
      </w:r>
      <w:r w:rsidR="002D3C2E" w:rsidRPr="00672545">
        <w:rPr>
          <w:szCs w:val="26"/>
        </w:rPr>
        <w:t xml:space="preserve"> </w:t>
      </w:r>
      <w:r w:rsidR="00023E08" w:rsidRPr="00672545">
        <w:rPr>
          <w:szCs w:val="26"/>
        </w:rPr>
        <w:t>conveyed</w:t>
      </w:r>
      <w:r w:rsidR="002D3C2E" w:rsidRPr="00672545">
        <w:rPr>
          <w:szCs w:val="26"/>
        </w:rPr>
        <w:t xml:space="preserve"> </w:t>
      </w:r>
      <w:r w:rsidR="005C6613" w:rsidRPr="00672545">
        <w:rPr>
          <w:szCs w:val="26"/>
        </w:rPr>
        <w:t xml:space="preserve">and </w:t>
      </w:r>
      <w:r w:rsidR="008A52FF" w:rsidRPr="00672545">
        <w:rPr>
          <w:szCs w:val="26"/>
        </w:rPr>
        <w:t xml:space="preserve">it </w:t>
      </w:r>
      <w:r w:rsidR="00F5005C" w:rsidRPr="00672545">
        <w:rPr>
          <w:szCs w:val="26"/>
        </w:rPr>
        <w:t>occurred</w:t>
      </w:r>
      <w:r w:rsidR="005C6613" w:rsidRPr="00672545">
        <w:rPr>
          <w:szCs w:val="26"/>
        </w:rPr>
        <w:t xml:space="preserve"> </w:t>
      </w:r>
      <w:proofErr w:type="gramStart"/>
      <w:r w:rsidR="002D3C2E" w:rsidRPr="00672545">
        <w:rPr>
          <w:szCs w:val="26"/>
        </w:rPr>
        <w:t xml:space="preserve">under circumstances </w:t>
      </w:r>
      <w:r w:rsidR="00395124" w:rsidRPr="00672545">
        <w:rPr>
          <w:szCs w:val="26"/>
        </w:rPr>
        <w:t>in which</w:t>
      </w:r>
      <w:proofErr w:type="gramEnd"/>
      <w:r w:rsidR="002D3C2E" w:rsidRPr="00672545">
        <w:rPr>
          <w:szCs w:val="26"/>
        </w:rPr>
        <w:t xml:space="preserve"> the caller</w:t>
      </w:r>
      <w:r w:rsidR="00B55CC3" w:rsidRPr="00672545">
        <w:rPr>
          <w:szCs w:val="26"/>
        </w:rPr>
        <w:t xml:space="preserve"> </w:t>
      </w:r>
      <w:r w:rsidR="00665B0C" w:rsidRPr="00672545">
        <w:rPr>
          <w:szCs w:val="26"/>
        </w:rPr>
        <w:t>would likely ha</w:t>
      </w:r>
      <w:r w:rsidR="003A6F60">
        <w:rPr>
          <w:szCs w:val="26"/>
        </w:rPr>
        <w:t>ve anticipated that the Van Dam</w:t>
      </w:r>
      <w:r w:rsidR="00665B0C" w:rsidRPr="00672545">
        <w:rPr>
          <w:szCs w:val="26"/>
        </w:rPr>
        <w:t>s</w:t>
      </w:r>
      <w:r w:rsidR="003A6F60">
        <w:rPr>
          <w:szCs w:val="26"/>
        </w:rPr>
        <w:t>’</w:t>
      </w:r>
      <w:r w:rsidR="00665B0C" w:rsidRPr="00672545">
        <w:rPr>
          <w:szCs w:val="26"/>
        </w:rPr>
        <w:t xml:space="preserve"> telephone would be monitored.  Indeed, the February 15 call might have been traced but for the fact that the warrant for a “tap and trace” on the Van Dam telephone had been inadvertently allowed to lapse.</w:t>
      </w:r>
      <w:r w:rsidR="00F81CD5" w:rsidRPr="00672545">
        <w:rPr>
          <w:szCs w:val="26"/>
        </w:rPr>
        <w:t xml:space="preserve">  </w:t>
      </w:r>
    </w:p>
    <w:p w14:paraId="457E6ABA" w14:textId="77777777" w:rsidR="00F62662" w:rsidRPr="00672545" w:rsidRDefault="00B55CC3" w:rsidP="00672545">
      <w:pPr>
        <w:rPr>
          <w:szCs w:val="26"/>
        </w:rPr>
      </w:pPr>
      <w:r w:rsidRPr="00672545">
        <w:rPr>
          <w:szCs w:val="26"/>
        </w:rPr>
        <w:tab/>
      </w:r>
      <w:r w:rsidR="00AF227B" w:rsidRPr="00672545">
        <w:rPr>
          <w:szCs w:val="26"/>
        </w:rPr>
        <w:t xml:space="preserve">It is purely </w:t>
      </w:r>
      <w:r w:rsidRPr="00672545">
        <w:rPr>
          <w:szCs w:val="26"/>
        </w:rPr>
        <w:t xml:space="preserve">speculative </w:t>
      </w:r>
      <w:r w:rsidR="00AF227B" w:rsidRPr="00672545">
        <w:rPr>
          <w:szCs w:val="26"/>
        </w:rPr>
        <w:t>t</w:t>
      </w:r>
      <w:r w:rsidRPr="00672545">
        <w:rPr>
          <w:szCs w:val="26"/>
        </w:rPr>
        <w:t xml:space="preserve">hat the </w:t>
      </w:r>
      <w:r w:rsidR="00395124" w:rsidRPr="00672545">
        <w:rPr>
          <w:szCs w:val="26"/>
        </w:rPr>
        <w:t>person</w:t>
      </w:r>
      <w:r w:rsidRPr="00672545">
        <w:rPr>
          <w:szCs w:val="26"/>
        </w:rPr>
        <w:t xml:space="preserve"> who made the </w:t>
      </w:r>
      <w:r w:rsidR="005C6613" w:rsidRPr="00672545">
        <w:rPr>
          <w:szCs w:val="26"/>
        </w:rPr>
        <w:t xml:space="preserve">single </w:t>
      </w:r>
      <w:r w:rsidRPr="00672545">
        <w:rPr>
          <w:szCs w:val="26"/>
        </w:rPr>
        <w:t xml:space="preserve">February 15 </w:t>
      </w:r>
      <w:r w:rsidR="00FC5E50" w:rsidRPr="00672545">
        <w:rPr>
          <w:szCs w:val="26"/>
        </w:rPr>
        <w:t xml:space="preserve">telephone </w:t>
      </w:r>
      <w:r w:rsidRPr="00672545">
        <w:rPr>
          <w:szCs w:val="26"/>
        </w:rPr>
        <w:t xml:space="preserve">call to the Van Dams believed his call </w:t>
      </w:r>
      <w:r w:rsidR="00AF227B" w:rsidRPr="00672545">
        <w:rPr>
          <w:szCs w:val="26"/>
        </w:rPr>
        <w:t>w</w:t>
      </w:r>
      <w:r w:rsidRPr="00672545">
        <w:rPr>
          <w:szCs w:val="26"/>
        </w:rPr>
        <w:t xml:space="preserve">ould be traced.  </w:t>
      </w:r>
      <w:r w:rsidR="00AF227B" w:rsidRPr="00672545">
        <w:rPr>
          <w:szCs w:val="26"/>
        </w:rPr>
        <w:t xml:space="preserve">And even if he thought the </w:t>
      </w:r>
      <w:r w:rsidR="008A52FF" w:rsidRPr="00672545">
        <w:rPr>
          <w:szCs w:val="26"/>
        </w:rPr>
        <w:t>communication</w:t>
      </w:r>
      <w:r w:rsidR="00AF227B" w:rsidRPr="00672545">
        <w:rPr>
          <w:szCs w:val="26"/>
        </w:rPr>
        <w:t xml:space="preserve"> would be traced, there is no basis to conclude </w:t>
      </w:r>
      <w:r w:rsidR="001753B2" w:rsidRPr="00672545">
        <w:rPr>
          <w:szCs w:val="26"/>
        </w:rPr>
        <w:t xml:space="preserve">he believed that </w:t>
      </w:r>
      <w:r w:rsidR="00AF227B" w:rsidRPr="00672545">
        <w:rPr>
          <w:szCs w:val="26"/>
        </w:rPr>
        <w:t xml:space="preserve">his identity would thereby </w:t>
      </w:r>
      <w:r w:rsidR="001753B2" w:rsidRPr="00672545">
        <w:rPr>
          <w:szCs w:val="26"/>
        </w:rPr>
        <w:t xml:space="preserve">be </w:t>
      </w:r>
      <w:r w:rsidR="00AF227B" w:rsidRPr="00672545">
        <w:rPr>
          <w:szCs w:val="26"/>
        </w:rPr>
        <w:t>discovered</w:t>
      </w:r>
      <w:r w:rsidR="00EC22D8" w:rsidRPr="00672545">
        <w:rPr>
          <w:szCs w:val="26"/>
        </w:rPr>
        <w:t>, subjecting him to criminal liability or social opprobrium</w:t>
      </w:r>
      <w:r w:rsidR="00E84758" w:rsidRPr="00672545">
        <w:rPr>
          <w:szCs w:val="26"/>
        </w:rPr>
        <w:t xml:space="preserve">, within the meaning of </w:t>
      </w:r>
      <w:r w:rsidR="00E84758" w:rsidRPr="00672545">
        <w:rPr>
          <w:rStyle w:val="ssrfcpassagedeactivated"/>
          <w:szCs w:val="26"/>
        </w:rPr>
        <w:t>Evidence Code section 1230</w:t>
      </w:r>
      <w:r w:rsidR="00AF227B" w:rsidRPr="00672545">
        <w:rPr>
          <w:szCs w:val="26"/>
        </w:rPr>
        <w:t xml:space="preserve">.  As the trial court noted, nothing indicated the place from which the </w:t>
      </w:r>
      <w:r w:rsidR="00B12210" w:rsidRPr="00672545">
        <w:rPr>
          <w:szCs w:val="26"/>
        </w:rPr>
        <w:t xml:space="preserve">telephone </w:t>
      </w:r>
      <w:r w:rsidR="00AF227B" w:rsidRPr="00672545">
        <w:rPr>
          <w:szCs w:val="26"/>
        </w:rPr>
        <w:t xml:space="preserve">call was made.  </w:t>
      </w:r>
      <w:r w:rsidR="00F90789" w:rsidRPr="00672545">
        <w:rPr>
          <w:szCs w:val="26"/>
        </w:rPr>
        <w:t xml:space="preserve">The </w:t>
      </w:r>
      <w:r w:rsidR="008A52FF" w:rsidRPr="00672545">
        <w:rPr>
          <w:szCs w:val="26"/>
        </w:rPr>
        <w:t>communication</w:t>
      </w:r>
      <w:r w:rsidR="00F90789" w:rsidRPr="00672545">
        <w:rPr>
          <w:szCs w:val="26"/>
        </w:rPr>
        <w:t xml:space="preserve"> could have easily been made from a number unassociated with the caller</w:t>
      </w:r>
      <w:r w:rsidR="001753B2" w:rsidRPr="00672545">
        <w:rPr>
          <w:szCs w:val="26"/>
        </w:rPr>
        <w:t xml:space="preserve"> </w:t>
      </w:r>
      <w:r w:rsidR="00B12210" w:rsidRPr="00672545">
        <w:rPr>
          <w:szCs w:val="26"/>
        </w:rPr>
        <w:t xml:space="preserve">precisely </w:t>
      </w:r>
      <w:proofErr w:type="gramStart"/>
      <w:r w:rsidR="001753B2" w:rsidRPr="00672545">
        <w:rPr>
          <w:szCs w:val="26"/>
        </w:rPr>
        <w:t>in order to</w:t>
      </w:r>
      <w:proofErr w:type="gramEnd"/>
      <w:r w:rsidR="001753B2" w:rsidRPr="00672545">
        <w:rPr>
          <w:szCs w:val="26"/>
        </w:rPr>
        <w:t xml:space="preserve"> maintain his anonymity</w:t>
      </w:r>
      <w:r w:rsidR="00F90789" w:rsidRPr="00672545">
        <w:rPr>
          <w:szCs w:val="26"/>
        </w:rPr>
        <w:t xml:space="preserve">.  </w:t>
      </w:r>
      <w:r w:rsidR="00EC22D8" w:rsidRPr="00672545">
        <w:rPr>
          <w:szCs w:val="26"/>
        </w:rPr>
        <w:t>Moreover, t</w:t>
      </w:r>
      <w:r w:rsidR="00B12210" w:rsidRPr="00672545">
        <w:rPr>
          <w:szCs w:val="26"/>
        </w:rPr>
        <w:t xml:space="preserve">he caller gave no details regarding the basis for his claimed knowledge </w:t>
      </w:r>
      <w:r w:rsidR="00E41769" w:rsidRPr="00672545">
        <w:rPr>
          <w:szCs w:val="26"/>
        </w:rPr>
        <w:t xml:space="preserve">that could be tested </w:t>
      </w:r>
      <w:r w:rsidR="00B12210" w:rsidRPr="00672545">
        <w:rPr>
          <w:szCs w:val="26"/>
        </w:rPr>
        <w:t>and g</w:t>
      </w:r>
      <w:r w:rsidR="00F90789" w:rsidRPr="00672545">
        <w:rPr>
          <w:szCs w:val="26"/>
        </w:rPr>
        <w:t xml:space="preserve">iven the extensive publicity the case had been receiving, the possibility that the </w:t>
      </w:r>
      <w:r w:rsidR="00750873" w:rsidRPr="00672545">
        <w:rPr>
          <w:szCs w:val="26"/>
        </w:rPr>
        <w:t>communication</w:t>
      </w:r>
      <w:r w:rsidR="005C6613" w:rsidRPr="00672545">
        <w:rPr>
          <w:szCs w:val="26"/>
        </w:rPr>
        <w:t xml:space="preserve"> </w:t>
      </w:r>
      <w:r w:rsidR="00F90789" w:rsidRPr="00672545">
        <w:rPr>
          <w:szCs w:val="26"/>
        </w:rPr>
        <w:t xml:space="preserve">was a “crank” call was real.  </w:t>
      </w:r>
      <w:r w:rsidR="001753B2" w:rsidRPr="00672545">
        <w:rPr>
          <w:szCs w:val="26"/>
        </w:rPr>
        <w:t>Under these circumstances,</w:t>
      </w:r>
      <w:r w:rsidR="00B12210" w:rsidRPr="00672545">
        <w:rPr>
          <w:szCs w:val="26"/>
        </w:rPr>
        <w:t xml:space="preserve"> the trial court’s finding of untrustworthiness was eminently reasonable.  </w:t>
      </w:r>
    </w:p>
    <w:p w14:paraId="1DD137F7" w14:textId="77777777" w:rsidR="00AF227B" w:rsidRPr="00672545" w:rsidRDefault="00B12210" w:rsidP="00672545">
      <w:pPr>
        <w:rPr>
          <w:szCs w:val="26"/>
        </w:rPr>
      </w:pPr>
      <w:r w:rsidRPr="00672545">
        <w:rPr>
          <w:szCs w:val="26"/>
        </w:rPr>
        <w:tab/>
        <w:t>The situation present here is not</w:t>
      </w:r>
      <w:r w:rsidR="00E41769" w:rsidRPr="00672545">
        <w:rPr>
          <w:szCs w:val="26"/>
        </w:rPr>
        <w:t>, as defendant argues,</w:t>
      </w:r>
      <w:r w:rsidRPr="00672545">
        <w:rPr>
          <w:szCs w:val="26"/>
        </w:rPr>
        <w:t xml:space="preserve"> comparable </w:t>
      </w:r>
      <w:r w:rsidR="008A52FF" w:rsidRPr="00672545">
        <w:rPr>
          <w:szCs w:val="26"/>
        </w:rPr>
        <w:t>to</w:t>
      </w:r>
      <w:r w:rsidRPr="00672545">
        <w:rPr>
          <w:szCs w:val="26"/>
        </w:rPr>
        <w:t xml:space="preserve"> the exclusion of evidence </w:t>
      </w:r>
      <w:r w:rsidR="006658EB" w:rsidRPr="00672545">
        <w:rPr>
          <w:szCs w:val="26"/>
        </w:rPr>
        <w:t xml:space="preserve">that </w:t>
      </w:r>
      <w:r w:rsidR="00E41769" w:rsidRPr="00672545">
        <w:rPr>
          <w:szCs w:val="26"/>
        </w:rPr>
        <w:t xml:space="preserve">otherwise </w:t>
      </w:r>
      <w:r w:rsidR="006658EB" w:rsidRPr="00672545">
        <w:rPr>
          <w:szCs w:val="26"/>
        </w:rPr>
        <w:t xml:space="preserve">“bore persuasive assurances of trustworthiness” found by the high court to have violated due process in </w:t>
      </w:r>
      <w:r w:rsidR="006658EB" w:rsidRPr="00672545">
        <w:rPr>
          <w:i/>
          <w:szCs w:val="26"/>
        </w:rPr>
        <w:t>Chambers v. Mississippi</w:t>
      </w:r>
      <w:r w:rsidR="006658EB" w:rsidRPr="00672545">
        <w:rPr>
          <w:szCs w:val="26"/>
        </w:rPr>
        <w:t xml:space="preserve"> (1972) 410 U.S. 284, 302.  </w:t>
      </w:r>
      <w:r w:rsidR="00E41769" w:rsidRPr="00672545">
        <w:rPr>
          <w:szCs w:val="26"/>
        </w:rPr>
        <w:t>Rather, as we have stated before, t</w:t>
      </w:r>
      <w:r w:rsidR="006658EB" w:rsidRPr="00672545">
        <w:rPr>
          <w:szCs w:val="26"/>
        </w:rPr>
        <w:t>he “foundation</w:t>
      </w:r>
      <w:r w:rsidR="00AF04CF">
        <w:rPr>
          <w:szCs w:val="26"/>
        </w:rPr>
        <w:t>al</w:t>
      </w:r>
      <w:r w:rsidR="006658EB" w:rsidRPr="00672545">
        <w:rPr>
          <w:szCs w:val="26"/>
        </w:rPr>
        <w:t xml:space="preserve"> prerequisites are fundamental to any exception to </w:t>
      </w:r>
      <w:r w:rsidR="006658EB" w:rsidRPr="00672545">
        <w:rPr>
          <w:szCs w:val="26"/>
        </w:rPr>
        <w:lastRenderedPageBreak/>
        <w:t>the hearsay rule</w:t>
      </w:r>
      <w:r w:rsidR="009C12E2" w:rsidRPr="00672545">
        <w:rPr>
          <w:szCs w:val="26"/>
        </w:rPr>
        <w:t>.</w:t>
      </w:r>
      <w:r w:rsidR="006658EB" w:rsidRPr="00672545">
        <w:rPr>
          <w:szCs w:val="26"/>
        </w:rPr>
        <w:t>”</w:t>
      </w:r>
      <w:r w:rsidR="009C12E2" w:rsidRPr="00672545">
        <w:rPr>
          <w:szCs w:val="26"/>
        </w:rPr>
        <w:t xml:space="preserve"> </w:t>
      </w:r>
      <w:r w:rsidR="006658EB" w:rsidRPr="00672545">
        <w:rPr>
          <w:szCs w:val="26"/>
        </w:rPr>
        <w:t xml:space="preserve"> (</w:t>
      </w:r>
      <w:r w:rsidR="006658EB" w:rsidRPr="00672545">
        <w:rPr>
          <w:i/>
          <w:szCs w:val="26"/>
        </w:rPr>
        <w:t>People v. Hawthorne</w:t>
      </w:r>
      <w:r w:rsidR="006658EB" w:rsidRPr="00672545">
        <w:rPr>
          <w:szCs w:val="26"/>
        </w:rPr>
        <w:t xml:space="preserve"> (1992) 4 Cal.4th 43, 57</w:t>
      </w:r>
      <w:r w:rsidR="009C12E2" w:rsidRPr="00672545">
        <w:rPr>
          <w:szCs w:val="26"/>
        </w:rPr>
        <w:t>.</w:t>
      </w:r>
      <w:r w:rsidR="00F948F5" w:rsidRPr="00672545">
        <w:rPr>
          <w:szCs w:val="26"/>
        </w:rPr>
        <w:t>)</w:t>
      </w:r>
      <w:r w:rsidR="009C12E2" w:rsidRPr="00672545">
        <w:rPr>
          <w:szCs w:val="26"/>
        </w:rPr>
        <w:t xml:space="preserve">  </w:t>
      </w:r>
      <w:proofErr w:type="gramStart"/>
      <w:r w:rsidR="00F438F0" w:rsidRPr="00672545">
        <w:rPr>
          <w:szCs w:val="26"/>
        </w:rPr>
        <w:t>“ ‘</w:t>
      </w:r>
      <w:proofErr w:type="gramEnd"/>
      <w:r w:rsidR="00F438F0" w:rsidRPr="00672545">
        <w:rPr>
          <w:szCs w:val="26"/>
        </w:rPr>
        <w:t>[A] defendant does not have a constitutional right to the admission of unreliable hearsay statements.’ ”</w:t>
      </w:r>
      <w:r w:rsidR="00F948F5" w:rsidRPr="00672545">
        <w:rPr>
          <w:szCs w:val="26"/>
        </w:rPr>
        <w:t xml:space="preserve"> </w:t>
      </w:r>
      <w:r w:rsidR="00F438F0" w:rsidRPr="00672545">
        <w:rPr>
          <w:szCs w:val="26"/>
        </w:rPr>
        <w:t xml:space="preserve"> (</w:t>
      </w:r>
      <w:r w:rsidR="00F438F0" w:rsidRPr="00672545">
        <w:rPr>
          <w:i/>
          <w:szCs w:val="26"/>
        </w:rPr>
        <w:t>People v. Ayala</w:t>
      </w:r>
      <w:r w:rsidR="00F438F0" w:rsidRPr="00672545">
        <w:rPr>
          <w:szCs w:val="26"/>
        </w:rPr>
        <w:t xml:space="preserve"> (2000) 23 Cal.4th 225, 269.)  A</w:t>
      </w:r>
      <w:r w:rsidR="00E41769" w:rsidRPr="00672545">
        <w:rPr>
          <w:szCs w:val="26"/>
        </w:rPr>
        <w:t>pplication of “the ordinary rules of evidence do not impermissibly infringe on the accused’s right to present a defense.”  (</w:t>
      </w:r>
      <w:r w:rsidR="00E41769" w:rsidRPr="00672545">
        <w:rPr>
          <w:i/>
          <w:szCs w:val="26"/>
        </w:rPr>
        <w:t>People v. Hall</w:t>
      </w:r>
      <w:r w:rsidR="00E41769" w:rsidRPr="00672545">
        <w:rPr>
          <w:szCs w:val="26"/>
        </w:rPr>
        <w:t xml:space="preserve"> (1986) 41 Cal.3d 826, 834</w:t>
      </w:r>
      <w:r w:rsidR="00F45AB8" w:rsidRPr="00672545">
        <w:rPr>
          <w:szCs w:val="26"/>
        </w:rPr>
        <w:t xml:space="preserve">; accord </w:t>
      </w:r>
      <w:r w:rsidR="00F45AB8" w:rsidRPr="00672545">
        <w:rPr>
          <w:i/>
          <w:szCs w:val="26"/>
        </w:rPr>
        <w:t>People v. Princ</w:t>
      </w:r>
      <w:r w:rsidR="009C12E2" w:rsidRPr="00672545">
        <w:rPr>
          <w:i/>
          <w:szCs w:val="26"/>
        </w:rPr>
        <w:t>e</w:t>
      </w:r>
      <w:r w:rsidR="009C12E2" w:rsidRPr="00672545">
        <w:rPr>
          <w:szCs w:val="26"/>
        </w:rPr>
        <w:t xml:space="preserve"> (2007) 40 Cal.4th 1179, 1229.)</w:t>
      </w:r>
    </w:p>
    <w:p w14:paraId="7E5CC2C3" w14:textId="77777777" w:rsidR="00AF227B" w:rsidRPr="00672545" w:rsidRDefault="00EC22D8" w:rsidP="00672545">
      <w:pPr>
        <w:pStyle w:val="Heading3"/>
      </w:pPr>
      <w:bookmarkStart w:id="25" w:name="_Toc506979816"/>
      <w:r w:rsidRPr="00672545">
        <w:t xml:space="preserve">10.  </w:t>
      </w:r>
      <w:r w:rsidR="004439C6" w:rsidRPr="00672545">
        <w:t xml:space="preserve">The Adequacy of CALJIC No. 2.16 in Considering Dog-Scent Evidence  </w:t>
      </w:r>
      <w:bookmarkEnd w:id="25"/>
    </w:p>
    <w:p w14:paraId="47A8B058" w14:textId="77777777" w:rsidR="00D433E1" w:rsidRPr="00672545" w:rsidRDefault="00D433E1" w:rsidP="00672545">
      <w:pPr>
        <w:tabs>
          <w:tab w:val="left" w:pos="720"/>
          <w:tab w:val="left" w:pos="1440"/>
        </w:tabs>
      </w:pPr>
      <w:r w:rsidRPr="00672545">
        <w:tab/>
        <w:t xml:space="preserve">As noted in </w:t>
      </w:r>
      <w:r w:rsidR="00DD6D2E" w:rsidRPr="00672545">
        <w:t xml:space="preserve">the </w:t>
      </w:r>
      <w:r w:rsidRPr="00672545">
        <w:t>statement of facts, Jim Frazee, a volunteer canine handler from the San Diego Sheriff’s Department, testified that he and his trained search and cadaver dog Cielo were called upon to search defendant’s motorhome.  Cielo “alerted” to the first storage compartment behind the passenger’s door; an area where air from inside the motorhome would naturally escape.  When the storage door was opened, Cielo showed “interest” in a shovel and lawn chair that were inside.  According to Frazee, Cielo’s alert indicated that a body had been some place in the motorhome.</w:t>
      </w:r>
      <w:r w:rsidR="00F81CD5" w:rsidRPr="00672545">
        <w:t xml:space="preserve">  </w:t>
      </w:r>
    </w:p>
    <w:p w14:paraId="2D820366" w14:textId="77777777" w:rsidR="00D8117B" w:rsidRPr="00672545" w:rsidRDefault="00FC5E50" w:rsidP="00672545">
      <w:pPr>
        <w:rPr>
          <w:szCs w:val="26"/>
        </w:rPr>
      </w:pPr>
      <w:r w:rsidRPr="00672545">
        <w:rPr>
          <w:szCs w:val="26"/>
        </w:rPr>
        <w:tab/>
        <w:t xml:space="preserve">Defendant does not claim error in the admission of the dog-scent evidence.  Rather, he claims </w:t>
      </w:r>
      <w:r w:rsidR="008D1DBE" w:rsidRPr="00672545">
        <w:rPr>
          <w:szCs w:val="26"/>
        </w:rPr>
        <w:t xml:space="preserve">two </w:t>
      </w:r>
      <w:r w:rsidRPr="00672545">
        <w:rPr>
          <w:szCs w:val="26"/>
        </w:rPr>
        <w:t>error</w:t>
      </w:r>
      <w:r w:rsidR="008D1DBE" w:rsidRPr="00672545">
        <w:rPr>
          <w:szCs w:val="26"/>
        </w:rPr>
        <w:t>s</w:t>
      </w:r>
      <w:r w:rsidRPr="00672545">
        <w:rPr>
          <w:szCs w:val="26"/>
        </w:rPr>
        <w:t xml:space="preserve"> in the trial court’s instruction to the jury regarding its consideration of </w:t>
      </w:r>
      <w:r w:rsidR="00DD6D2E" w:rsidRPr="00672545">
        <w:rPr>
          <w:szCs w:val="26"/>
        </w:rPr>
        <w:t>the</w:t>
      </w:r>
      <w:r w:rsidRPr="00672545">
        <w:rPr>
          <w:szCs w:val="26"/>
        </w:rPr>
        <w:t xml:space="preserve"> evidence.  </w:t>
      </w:r>
      <w:r w:rsidR="008D1DBE" w:rsidRPr="00672545">
        <w:rPr>
          <w:szCs w:val="26"/>
        </w:rPr>
        <w:t>First, h</w:t>
      </w:r>
      <w:r w:rsidRPr="00672545">
        <w:rPr>
          <w:szCs w:val="26"/>
        </w:rPr>
        <w:t xml:space="preserve">e argues that CALJIC No. 2.16, which </w:t>
      </w:r>
      <w:r w:rsidR="000B0AD0" w:rsidRPr="00672545">
        <w:rPr>
          <w:szCs w:val="26"/>
        </w:rPr>
        <w:t>instruct</w:t>
      </w:r>
      <w:r w:rsidR="00317EA6" w:rsidRPr="00672545">
        <w:rPr>
          <w:szCs w:val="26"/>
        </w:rPr>
        <w:t>ed</w:t>
      </w:r>
      <w:r w:rsidR="000B0AD0" w:rsidRPr="00672545">
        <w:rPr>
          <w:szCs w:val="26"/>
        </w:rPr>
        <w:t xml:space="preserve"> the jury in its consideration of</w:t>
      </w:r>
      <w:r w:rsidRPr="00672545">
        <w:rPr>
          <w:szCs w:val="26"/>
        </w:rPr>
        <w:t xml:space="preserve"> dog-</w:t>
      </w:r>
      <w:r w:rsidR="004439C6" w:rsidRPr="00672545">
        <w:rPr>
          <w:szCs w:val="26"/>
        </w:rPr>
        <w:t>tracking</w:t>
      </w:r>
      <w:r w:rsidRPr="00672545">
        <w:rPr>
          <w:szCs w:val="26"/>
        </w:rPr>
        <w:t xml:space="preserve"> evidence, </w:t>
      </w:r>
      <w:r w:rsidR="00317EA6" w:rsidRPr="00672545">
        <w:rPr>
          <w:szCs w:val="26"/>
        </w:rPr>
        <w:t>wa</w:t>
      </w:r>
      <w:r w:rsidRPr="00672545">
        <w:rPr>
          <w:szCs w:val="26"/>
        </w:rPr>
        <w:t>s inadequate because it fail</w:t>
      </w:r>
      <w:r w:rsidR="00317EA6" w:rsidRPr="00672545">
        <w:rPr>
          <w:szCs w:val="26"/>
        </w:rPr>
        <w:t>ed</w:t>
      </w:r>
      <w:r w:rsidRPr="00672545">
        <w:rPr>
          <w:szCs w:val="26"/>
        </w:rPr>
        <w:t xml:space="preserve"> to admonish the jury to view </w:t>
      </w:r>
      <w:r w:rsidR="004439C6" w:rsidRPr="00672545">
        <w:rPr>
          <w:szCs w:val="26"/>
        </w:rPr>
        <w:t>the evidence with caution.</w:t>
      </w:r>
      <w:r w:rsidR="00F81CD5" w:rsidRPr="00672545">
        <w:rPr>
          <w:szCs w:val="26"/>
        </w:rPr>
        <w:t xml:space="preserve">  </w:t>
      </w:r>
      <w:r w:rsidR="008D1DBE" w:rsidRPr="00672545">
        <w:rPr>
          <w:szCs w:val="26"/>
        </w:rPr>
        <w:t>Second, h</w:t>
      </w:r>
      <w:r w:rsidR="001F2452" w:rsidRPr="00672545">
        <w:rPr>
          <w:szCs w:val="26"/>
        </w:rPr>
        <w:t xml:space="preserve">e argues that </w:t>
      </w:r>
      <w:r w:rsidR="00461B03" w:rsidRPr="00672545">
        <w:rPr>
          <w:szCs w:val="26"/>
        </w:rPr>
        <w:t xml:space="preserve">CALJIC No. 2.16 is inadequate because it </w:t>
      </w:r>
      <w:r w:rsidR="008979C0" w:rsidRPr="00672545">
        <w:rPr>
          <w:szCs w:val="26"/>
        </w:rPr>
        <w:t>fails to relate the jury’s consideration of the evidence to the beyond a reasonable doubt standard of proof.</w:t>
      </w:r>
      <w:r w:rsidR="00F81CD5" w:rsidRPr="00672545">
        <w:rPr>
          <w:szCs w:val="26"/>
        </w:rPr>
        <w:t xml:space="preserve">  </w:t>
      </w:r>
      <w:r w:rsidR="008D1DBE" w:rsidRPr="00672545">
        <w:rPr>
          <w:szCs w:val="26"/>
        </w:rPr>
        <w:t xml:space="preserve">We </w:t>
      </w:r>
      <w:r w:rsidR="000B0AD0" w:rsidRPr="00672545">
        <w:rPr>
          <w:szCs w:val="26"/>
        </w:rPr>
        <w:t xml:space="preserve">reject </w:t>
      </w:r>
      <w:r w:rsidR="001D1428" w:rsidRPr="00672545">
        <w:rPr>
          <w:szCs w:val="26"/>
        </w:rPr>
        <w:t>both claims</w:t>
      </w:r>
      <w:r w:rsidR="008D1DBE" w:rsidRPr="00672545">
        <w:rPr>
          <w:szCs w:val="26"/>
        </w:rPr>
        <w:t xml:space="preserve">.  </w:t>
      </w:r>
    </w:p>
    <w:p w14:paraId="6FC93B51" w14:textId="77777777" w:rsidR="001D1428" w:rsidRPr="00672545" w:rsidRDefault="001D1428" w:rsidP="00672545">
      <w:pPr>
        <w:pStyle w:val="Heading4"/>
      </w:pPr>
      <w:r w:rsidRPr="00672545">
        <w:lastRenderedPageBreak/>
        <w:t>a.  Lack of Cautionary Admonishment</w:t>
      </w:r>
    </w:p>
    <w:p w14:paraId="15F57569" w14:textId="77777777" w:rsidR="001D1428" w:rsidRPr="00672545" w:rsidRDefault="00D4399D" w:rsidP="00672545">
      <w:pPr>
        <w:rPr>
          <w:szCs w:val="26"/>
        </w:rPr>
      </w:pPr>
      <w:r w:rsidRPr="00672545">
        <w:rPr>
          <w:szCs w:val="26"/>
        </w:rPr>
        <w:tab/>
        <w:t>The admission of dog-</w:t>
      </w:r>
      <w:r w:rsidR="00685211" w:rsidRPr="00672545">
        <w:rPr>
          <w:szCs w:val="26"/>
        </w:rPr>
        <w:t>tracking or dog-</w:t>
      </w:r>
      <w:r w:rsidRPr="00672545">
        <w:rPr>
          <w:szCs w:val="26"/>
        </w:rPr>
        <w:t>scent evidence</w:t>
      </w:r>
      <w:r w:rsidR="00BF0758" w:rsidRPr="00672545">
        <w:rPr>
          <w:rStyle w:val="FootnoteReference"/>
          <w:szCs w:val="26"/>
        </w:rPr>
        <w:footnoteReference w:id="9"/>
      </w:r>
      <w:r w:rsidRPr="00672545">
        <w:rPr>
          <w:szCs w:val="26"/>
        </w:rPr>
        <w:t xml:space="preserve"> was first approved in </w:t>
      </w:r>
      <w:r w:rsidRPr="00672545">
        <w:rPr>
          <w:i/>
          <w:szCs w:val="26"/>
        </w:rPr>
        <w:t>People v. Craig</w:t>
      </w:r>
      <w:r w:rsidRPr="00672545">
        <w:rPr>
          <w:szCs w:val="26"/>
        </w:rPr>
        <w:t xml:space="preserve"> (1978) 86 Cal.App.3d 905</w:t>
      </w:r>
      <w:r w:rsidR="001F131F" w:rsidRPr="00672545">
        <w:rPr>
          <w:szCs w:val="26"/>
        </w:rPr>
        <w:t xml:space="preserve"> (</w:t>
      </w:r>
      <w:r w:rsidR="001F131F" w:rsidRPr="00672545">
        <w:rPr>
          <w:i/>
          <w:szCs w:val="26"/>
        </w:rPr>
        <w:t>Craig</w:t>
      </w:r>
      <w:r w:rsidR="00AF04CF">
        <w:rPr>
          <w:i/>
          <w:szCs w:val="26"/>
        </w:rPr>
        <w:t xml:space="preserve"> II</w:t>
      </w:r>
      <w:r w:rsidR="001F131F" w:rsidRPr="00672545">
        <w:rPr>
          <w:szCs w:val="26"/>
        </w:rPr>
        <w:t>)</w:t>
      </w:r>
      <w:r w:rsidRPr="00672545">
        <w:rPr>
          <w:szCs w:val="26"/>
        </w:rPr>
        <w:t xml:space="preserve">.  The foundational requirements for </w:t>
      </w:r>
      <w:r w:rsidR="00685211" w:rsidRPr="00672545">
        <w:rPr>
          <w:szCs w:val="26"/>
        </w:rPr>
        <w:t xml:space="preserve">admission of such evidence were further developed in </w:t>
      </w:r>
      <w:r w:rsidR="00685211" w:rsidRPr="00672545">
        <w:rPr>
          <w:i/>
          <w:szCs w:val="26"/>
        </w:rPr>
        <w:t xml:space="preserve">People v. </w:t>
      </w:r>
      <w:proofErr w:type="spellStart"/>
      <w:r w:rsidR="00685211" w:rsidRPr="00672545">
        <w:rPr>
          <w:i/>
          <w:szCs w:val="26"/>
        </w:rPr>
        <w:t>Malgren</w:t>
      </w:r>
      <w:proofErr w:type="spellEnd"/>
      <w:r w:rsidR="00685211" w:rsidRPr="00672545">
        <w:rPr>
          <w:szCs w:val="26"/>
        </w:rPr>
        <w:t xml:space="preserve"> (1983) 139 Cal.App.3d 234</w:t>
      </w:r>
      <w:r w:rsidR="001F131F" w:rsidRPr="00672545">
        <w:rPr>
          <w:szCs w:val="26"/>
        </w:rPr>
        <w:t xml:space="preserve"> (</w:t>
      </w:r>
      <w:proofErr w:type="spellStart"/>
      <w:r w:rsidR="001F131F" w:rsidRPr="00672545">
        <w:rPr>
          <w:i/>
          <w:szCs w:val="26"/>
        </w:rPr>
        <w:t>Malgren</w:t>
      </w:r>
      <w:proofErr w:type="spellEnd"/>
      <w:r w:rsidR="001F131F" w:rsidRPr="00672545">
        <w:rPr>
          <w:szCs w:val="26"/>
        </w:rPr>
        <w:t>)</w:t>
      </w:r>
      <w:r w:rsidR="00685211" w:rsidRPr="00672545">
        <w:rPr>
          <w:szCs w:val="26"/>
        </w:rPr>
        <w:t xml:space="preserve">.  Specifically, the </w:t>
      </w:r>
      <w:proofErr w:type="spellStart"/>
      <w:r w:rsidR="00685211" w:rsidRPr="00672545">
        <w:rPr>
          <w:i/>
          <w:szCs w:val="26"/>
        </w:rPr>
        <w:t>Malgren</w:t>
      </w:r>
      <w:proofErr w:type="spellEnd"/>
      <w:r w:rsidR="00685211" w:rsidRPr="00672545">
        <w:rPr>
          <w:szCs w:val="26"/>
        </w:rPr>
        <w:t xml:space="preserve"> court identified the following five foundational requirements:  “(1) the dog’s handler was qualified by training and experience to use the dog; (2) the dog was adequately trained in tracking humans; (3) the dog has been found to be reliable in tracking humans; (4) the dog was placed on the track where circumstances indicated the guilty party to have been; and (5) the trail had no</w:t>
      </w:r>
      <w:r w:rsidR="004453D7" w:rsidRPr="00672545">
        <w:rPr>
          <w:szCs w:val="26"/>
        </w:rPr>
        <w:t>t become stale or contaminated.”  (</w:t>
      </w:r>
      <w:r w:rsidR="004453D7" w:rsidRPr="00672545">
        <w:rPr>
          <w:i/>
          <w:szCs w:val="26"/>
        </w:rPr>
        <w:t>Id.</w:t>
      </w:r>
      <w:r w:rsidR="004453D7" w:rsidRPr="00672545">
        <w:rPr>
          <w:szCs w:val="26"/>
        </w:rPr>
        <w:t xml:space="preserve">, at p. 238.)  </w:t>
      </w:r>
      <w:r w:rsidR="00AE07B2" w:rsidRPr="00672545">
        <w:rPr>
          <w:szCs w:val="26"/>
        </w:rPr>
        <w:t>W</w:t>
      </w:r>
      <w:r w:rsidR="00F949C1" w:rsidRPr="00672545">
        <w:rPr>
          <w:szCs w:val="26"/>
        </w:rPr>
        <w:t>hen the issue was recently presented to us, w</w:t>
      </w:r>
      <w:r w:rsidR="00AE07B2" w:rsidRPr="00672545">
        <w:rPr>
          <w:szCs w:val="26"/>
        </w:rPr>
        <w:t xml:space="preserve">e approved the admission of dog-scent evidence upon </w:t>
      </w:r>
      <w:proofErr w:type="gramStart"/>
      <w:r w:rsidR="00AE07B2" w:rsidRPr="00672545">
        <w:rPr>
          <w:szCs w:val="26"/>
        </w:rPr>
        <w:t>a sufficient</w:t>
      </w:r>
      <w:proofErr w:type="gramEnd"/>
      <w:r w:rsidR="00AE07B2" w:rsidRPr="00672545">
        <w:rPr>
          <w:szCs w:val="26"/>
        </w:rPr>
        <w:t xml:space="preserve"> foundational showing </w:t>
      </w:r>
      <w:r w:rsidR="004453D7" w:rsidRPr="00672545">
        <w:rPr>
          <w:szCs w:val="26"/>
        </w:rPr>
        <w:t xml:space="preserve">of the first four </w:t>
      </w:r>
      <w:proofErr w:type="spellStart"/>
      <w:r w:rsidR="004453D7" w:rsidRPr="00672545">
        <w:rPr>
          <w:i/>
          <w:szCs w:val="26"/>
        </w:rPr>
        <w:t>Malgren</w:t>
      </w:r>
      <w:proofErr w:type="spellEnd"/>
      <w:r w:rsidR="004453D7" w:rsidRPr="00672545">
        <w:rPr>
          <w:szCs w:val="26"/>
        </w:rPr>
        <w:t xml:space="preserve"> requirements</w:t>
      </w:r>
      <w:r w:rsidR="00AE07B2" w:rsidRPr="00672545">
        <w:rPr>
          <w:szCs w:val="26"/>
        </w:rPr>
        <w:t>.  (</w:t>
      </w:r>
      <w:r w:rsidR="00AE07B2" w:rsidRPr="00672545">
        <w:rPr>
          <w:i/>
          <w:szCs w:val="26"/>
        </w:rPr>
        <w:t xml:space="preserve">People v. Jackson </w:t>
      </w:r>
      <w:r w:rsidR="00AE07B2" w:rsidRPr="00672545">
        <w:rPr>
          <w:szCs w:val="26"/>
        </w:rPr>
        <w:t xml:space="preserve">(2016) 1 Cal.5th </w:t>
      </w:r>
      <w:r w:rsidRPr="00672545">
        <w:rPr>
          <w:szCs w:val="26"/>
        </w:rPr>
        <w:t>269</w:t>
      </w:r>
      <w:r w:rsidR="00AE07B2" w:rsidRPr="00672545">
        <w:rPr>
          <w:szCs w:val="26"/>
        </w:rPr>
        <w:t>, 325</w:t>
      </w:r>
      <w:r w:rsidRPr="00672545">
        <w:rPr>
          <w:szCs w:val="26"/>
        </w:rPr>
        <w:t xml:space="preserve">-326.)  We </w:t>
      </w:r>
      <w:r w:rsidR="004453D7" w:rsidRPr="00672545">
        <w:rPr>
          <w:szCs w:val="26"/>
        </w:rPr>
        <w:t xml:space="preserve">determined that the fifth </w:t>
      </w:r>
      <w:proofErr w:type="spellStart"/>
      <w:r w:rsidR="004453D7" w:rsidRPr="00672545">
        <w:rPr>
          <w:i/>
          <w:szCs w:val="26"/>
        </w:rPr>
        <w:t>Malgren</w:t>
      </w:r>
      <w:proofErr w:type="spellEnd"/>
      <w:r w:rsidR="004453D7" w:rsidRPr="00672545">
        <w:rPr>
          <w:szCs w:val="26"/>
        </w:rPr>
        <w:t xml:space="preserve"> factor “is not an independent requirement; it is satisfied by evidence that establishes the other four factors.”  (</w:t>
      </w:r>
      <w:r w:rsidR="004453D7" w:rsidRPr="00672545">
        <w:rPr>
          <w:i/>
          <w:szCs w:val="26"/>
        </w:rPr>
        <w:t>Id.</w:t>
      </w:r>
      <w:r w:rsidR="004453D7" w:rsidRPr="00672545">
        <w:rPr>
          <w:szCs w:val="26"/>
        </w:rPr>
        <w:t xml:space="preserve">, at p. 325.)  We have </w:t>
      </w:r>
      <w:r w:rsidRPr="00672545">
        <w:rPr>
          <w:szCs w:val="26"/>
        </w:rPr>
        <w:t>not</w:t>
      </w:r>
      <w:r w:rsidR="004453D7" w:rsidRPr="00672545">
        <w:rPr>
          <w:szCs w:val="26"/>
        </w:rPr>
        <w:t>, however, had an</w:t>
      </w:r>
      <w:r w:rsidRPr="00672545">
        <w:rPr>
          <w:szCs w:val="26"/>
        </w:rPr>
        <w:t xml:space="preserve"> occasion to consider the jury instruction that should accompany the admission of such evidence.</w:t>
      </w:r>
      <w:r w:rsidR="00CF01CF" w:rsidRPr="00672545">
        <w:rPr>
          <w:szCs w:val="26"/>
        </w:rPr>
        <w:t xml:space="preserve">  </w:t>
      </w:r>
    </w:p>
    <w:p w14:paraId="04A5EEAD" w14:textId="77777777" w:rsidR="00DC7338" w:rsidRPr="00672545" w:rsidRDefault="00DC7338" w:rsidP="00672545">
      <w:pPr>
        <w:rPr>
          <w:szCs w:val="26"/>
        </w:rPr>
      </w:pPr>
      <w:r w:rsidRPr="00672545">
        <w:rPr>
          <w:szCs w:val="26"/>
        </w:rPr>
        <w:tab/>
        <w:t xml:space="preserve">The trial court </w:t>
      </w:r>
      <w:r w:rsidR="00B303AE" w:rsidRPr="00672545">
        <w:rPr>
          <w:szCs w:val="26"/>
        </w:rPr>
        <w:t>in this case</w:t>
      </w:r>
      <w:r w:rsidR="00EB30AB" w:rsidRPr="00672545">
        <w:rPr>
          <w:szCs w:val="26"/>
        </w:rPr>
        <w:t xml:space="preserve"> </w:t>
      </w:r>
      <w:r w:rsidRPr="00672545">
        <w:rPr>
          <w:szCs w:val="26"/>
        </w:rPr>
        <w:t xml:space="preserve">instructed the jury with the language of CALJIC No. 2.16, </w:t>
      </w:r>
      <w:r w:rsidR="006F4B6A" w:rsidRPr="00672545">
        <w:rPr>
          <w:szCs w:val="26"/>
        </w:rPr>
        <w:t>as follows</w:t>
      </w:r>
      <w:proofErr w:type="gramStart"/>
      <w:r w:rsidRPr="00672545">
        <w:rPr>
          <w:szCs w:val="26"/>
        </w:rPr>
        <w:t>:  “</w:t>
      </w:r>
      <w:proofErr w:type="gramEnd"/>
      <w:r w:rsidRPr="00672545">
        <w:rPr>
          <w:szCs w:val="26"/>
        </w:rPr>
        <w:t xml:space="preserve">Evidence of dog tracking has been received for the purpose of showing, if it does, that the defendant is the perpetrator of the crimes of kidnapping and murder.  This evidence is not by itself </w:t>
      </w:r>
      <w:proofErr w:type="gramStart"/>
      <w:r w:rsidRPr="00672545">
        <w:rPr>
          <w:szCs w:val="26"/>
        </w:rPr>
        <w:t>sufficient</w:t>
      </w:r>
      <w:proofErr w:type="gramEnd"/>
      <w:r w:rsidRPr="00672545">
        <w:rPr>
          <w:szCs w:val="26"/>
        </w:rPr>
        <w:t xml:space="preserve"> to permit an inference that the defendant is guilty of the crimes of </w:t>
      </w:r>
      <w:r w:rsidRPr="00672545">
        <w:rPr>
          <w:szCs w:val="26"/>
        </w:rPr>
        <w:lastRenderedPageBreak/>
        <w:t xml:space="preserve">kidnapping and murder.  Before guilt may be inferred, there must be other evidence that supports the accuracy of the identification of the defendant as the perpetrator of the crimes of kidnapping and murder. </w:t>
      </w:r>
      <w:r w:rsidR="00217D78" w:rsidRPr="00672545">
        <w:rPr>
          <w:szCs w:val="26"/>
        </w:rPr>
        <w:t xml:space="preserve"> </w:t>
      </w:r>
      <w:r w:rsidRPr="00672545">
        <w:rPr>
          <w:szCs w:val="26"/>
        </w:rPr>
        <w:t>[</w:t>
      </w:r>
      <w:proofErr w:type="gramStart"/>
      <w:r w:rsidRPr="00672545">
        <w:rPr>
          <w:szCs w:val="26"/>
        </w:rPr>
        <w:t>¶]</w:t>
      </w:r>
      <w:r w:rsidR="00217D78" w:rsidRPr="00672545">
        <w:rPr>
          <w:szCs w:val="26"/>
        </w:rPr>
        <w:t xml:space="preserve"> </w:t>
      </w:r>
      <w:r w:rsidRPr="00672545">
        <w:rPr>
          <w:szCs w:val="26"/>
        </w:rPr>
        <w:t xml:space="preserve"> The</w:t>
      </w:r>
      <w:proofErr w:type="gramEnd"/>
      <w:r w:rsidRPr="00672545">
        <w:rPr>
          <w:szCs w:val="26"/>
        </w:rPr>
        <w:t xml:space="preserve"> corroborating evidence need not be evidence which independently links the defendant to the crime.  It is </w:t>
      </w:r>
      <w:proofErr w:type="gramStart"/>
      <w:r w:rsidRPr="00672545">
        <w:rPr>
          <w:szCs w:val="26"/>
        </w:rPr>
        <w:t>sufficient</w:t>
      </w:r>
      <w:proofErr w:type="gramEnd"/>
      <w:r w:rsidRPr="00672545">
        <w:rPr>
          <w:szCs w:val="26"/>
        </w:rPr>
        <w:t xml:space="preserve"> if it supports the accuracy of the dog tracking.</w:t>
      </w:r>
      <w:r w:rsidR="00217D78" w:rsidRPr="00672545">
        <w:rPr>
          <w:szCs w:val="26"/>
        </w:rPr>
        <w:t xml:space="preserve"> </w:t>
      </w:r>
      <w:r w:rsidRPr="00672545">
        <w:rPr>
          <w:szCs w:val="26"/>
        </w:rPr>
        <w:t xml:space="preserve"> [</w:t>
      </w:r>
      <w:proofErr w:type="gramStart"/>
      <w:r w:rsidRPr="00672545">
        <w:rPr>
          <w:szCs w:val="26"/>
        </w:rPr>
        <w:t>¶]</w:t>
      </w:r>
      <w:r w:rsidR="00217D78" w:rsidRPr="00672545">
        <w:rPr>
          <w:szCs w:val="26"/>
        </w:rPr>
        <w:t xml:space="preserve"> </w:t>
      </w:r>
      <w:r w:rsidRPr="00672545">
        <w:rPr>
          <w:szCs w:val="26"/>
        </w:rPr>
        <w:t xml:space="preserve"> In</w:t>
      </w:r>
      <w:proofErr w:type="gramEnd"/>
      <w:r w:rsidRPr="00672545">
        <w:rPr>
          <w:szCs w:val="26"/>
        </w:rPr>
        <w:t xml:space="preserve"> determining the weight to give to dog-tracking evidence, you should consider the training, proficiency, experience, and proven ability, if any, of the dog, its trainer, and its handler, together with all the circumstances surrounding the tracking in question.”</w:t>
      </w:r>
      <w:r w:rsidR="00F81CD5" w:rsidRPr="00672545">
        <w:rPr>
          <w:szCs w:val="26"/>
        </w:rPr>
        <w:t xml:space="preserve">  </w:t>
      </w:r>
    </w:p>
    <w:p w14:paraId="6CC218CB" w14:textId="7A656F7A" w:rsidR="00EB30AB" w:rsidRPr="00672545" w:rsidRDefault="00EB30AB" w:rsidP="00672545">
      <w:pPr>
        <w:rPr>
          <w:szCs w:val="26"/>
        </w:rPr>
      </w:pPr>
      <w:r w:rsidRPr="00672545">
        <w:rPr>
          <w:szCs w:val="26"/>
        </w:rPr>
        <w:tab/>
      </w:r>
      <w:r w:rsidR="00467E4F" w:rsidRPr="00672545">
        <w:rPr>
          <w:szCs w:val="26"/>
        </w:rPr>
        <w:t>Although CALJIC No. 2.16 specifically instructs the jury that dog-</w:t>
      </w:r>
      <w:r w:rsidR="00BF0758" w:rsidRPr="00672545">
        <w:rPr>
          <w:szCs w:val="26"/>
        </w:rPr>
        <w:t xml:space="preserve">tracking (dog-scent) </w:t>
      </w:r>
      <w:r w:rsidR="00467E4F" w:rsidRPr="00672545">
        <w:rPr>
          <w:szCs w:val="26"/>
        </w:rPr>
        <w:t xml:space="preserve">evidence is not </w:t>
      </w:r>
      <w:proofErr w:type="gramStart"/>
      <w:r w:rsidR="00467E4F" w:rsidRPr="00672545">
        <w:rPr>
          <w:szCs w:val="26"/>
        </w:rPr>
        <w:t>sufficient</w:t>
      </w:r>
      <w:proofErr w:type="gramEnd"/>
      <w:r w:rsidR="00467E4F" w:rsidRPr="00672545">
        <w:rPr>
          <w:szCs w:val="26"/>
        </w:rPr>
        <w:t xml:space="preserve"> alone </w:t>
      </w:r>
      <w:r w:rsidR="000E26FE" w:rsidRPr="00672545">
        <w:rPr>
          <w:szCs w:val="26"/>
        </w:rPr>
        <w:t xml:space="preserve">to permit a finding of guilt and that corroboration of the accuracy of the </w:t>
      </w:r>
      <w:r w:rsidR="001846CD">
        <w:rPr>
          <w:szCs w:val="26"/>
        </w:rPr>
        <w:t>identification</w:t>
      </w:r>
      <w:r w:rsidR="001846CD" w:rsidRPr="00672545">
        <w:rPr>
          <w:szCs w:val="26"/>
        </w:rPr>
        <w:t xml:space="preserve"> </w:t>
      </w:r>
      <w:r w:rsidR="00D9522D" w:rsidRPr="00672545">
        <w:rPr>
          <w:szCs w:val="26"/>
        </w:rPr>
        <w:t>is necessary</w:t>
      </w:r>
      <w:r w:rsidR="000E26FE" w:rsidRPr="00672545">
        <w:rPr>
          <w:szCs w:val="26"/>
        </w:rPr>
        <w:t>, d</w:t>
      </w:r>
      <w:r w:rsidRPr="00672545">
        <w:rPr>
          <w:szCs w:val="26"/>
        </w:rPr>
        <w:t>efendant c</w:t>
      </w:r>
      <w:r w:rsidR="000E26FE" w:rsidRPr="00672545">
        <w:rPr>
          <w:szCs w:val="26"/>
        </w:rPr>
        <w:t>laims</w:t>
      </w:r>
      <w:r w:rsidRPr="00672545">
        <w:rPr>
          <w:szCs w:val="26"/>
        </w:rPr>
        <w:t xml:space="preserve"> </w:t>
      </w:r>
      <w:r w:rsidR="000E26FE" w:rsidRPr="00672545">
        <w:rPr>
          <w:szCs w:val="26"/>
        </w:rPr>
        <w:t xml:space="preserve">that </w:t>
      </w:r>
      <w:r w:rsidR="00D9522D" w:rsidRPr="00672545">
        <w:rPr>
          <w:szCs w:val="26"/>
        </w:rPr>
        <w:t xml:space="preserve">still </w:t>
      </w:r>
      <w:r w:rsidR="000E26FE" w:rsidRPr="00672545">
        <w:rPr>
          <w:szCs w:val="26"/>
        </w:rPr>
        <w:t xml:space="preserve">more </w:t>
      </w:r>
      <w:r w:rsidR="000D65DA" w:rsidRPr="00672545">
        <w:rPr>
          <w:szCs w:val="26"/>
        </w:rPr>
        <w:t xml:space="preserve">cautionary </w:t>
      </w:r>
      <w:r w:rsidR="00EE7EDB" w:rsidRPr="00672545">
        <w:rPr>
          <w:szCs w:val="26"/>
        </w:rPr>
        <w:t>directions are</w:t>
      </w:r>
      <w:r w:rsidR="000E26FE" w:rsidRPr="00672545">
        <w:rPr>
          <w:szCs w:val="26"/>
        </w:rPr>
        <w:t xml:space="preserve"> required.  He argues </w:t>
      </w:r>
      <w:r w:rsidRPr="00672545">
        <w:rPr>
          <w:szCs w:val="26"/>
        </w:rPr>
        <w:t xml:space="preserve">that </w:t>
      </w:r>
      <w:r w:rsidR="00EC0BD8" w:rsidRPr="00672545">
        <w:rPr>
          <w:szCs w:val="26"/>
        </w:rPr>
        <w:t>the instruction is inadequate because it fails to expressly admonish</w:t>
      </w:r>
      <w:r w:rsidRPr="00672545">
        <w:rPr>
          <w:szCs w:val="26"/>
        </w:rPr>
        <w:t xml:space="preserve"> the jury to view the dog-scent evidence </w:t>
      </w:r>
      <w:r w:rsidR="000E26FE" w:rsidRPr="00672545">
        <w:rPr>
          <w:szCs w:val="26"/>
        </w:rPr>
        <w:t>“</w:t>
      </w:r>
      <w:r w:rsidRPr="00672545">
        <w:rPr>
          <w:szCs w:val="26"/>
        </w:rPr>
        <w:t>with care and caution</w:t>
      </w:r>
      <w:r w:rsidR="000E26FE" w:rsidRPr="00672545">
        <w:rPr>
          <w:szCs w:val="26"/>
        </w:rPr>
        <w:t>”</w:t>
      </w:r>
      <w:r w:rsidRPr="00672545">
        <w:rPr>
          <w:szCs w:val="26"/>
        </w:rPr>
        <w:t xml:space="preserve"> </w:t>
      </w:r>
      <w:r w:rsidR="00BF3D88" w:rsidRPr="00672545">
        <w:rPr>
          <w:szCs w:val="26"/>
        </w:rPr>
        <w:t xml:space="preserve">and </w:t>
      </w:r>
      <w:r w:rsidR="001F131F" w:rsidRPr="00672545">
        <w:rPr>
          <w:szCs w:val="26"/>
        </w:rPr>
        <w:t xml:space="preserve">contends </w:t>
      </w:r>
      <w:r w:rsidR="00BF3D88" w:rsidRPr="00672545">
        <w:rPr>
          <w:szCs w:val="26"/>
        </w:rPr>
        <w:t>that the trial court had a duty to add such admonition</w:t>
      </w:r>
      <w:r w:rsidR="006455B2" w:rsidRPr="00672545">
        <w:rPr>
          <w:szCs w:val="26"/>
        </w:rPr>
        <w:t xml:space="preserve"> on its own motion</w:t>
      </w:r>
      <w:r w:rsidR="00BF3D88" w:rsidRPr="00672545">
        <w:rPr>
          <w:szCs w:val="26"/>
        </w:rPr>
        <w:t>.</w:t>
      </w:r>
      <w:r w:rsidR="00BF3D88" w:rsidRPr="00672545">
        <w:rPr>
          <w:rStyle w:val="FootnoteReference"/>
          <w:szCs w:val="26"/>
        </w:rPr>
        <w:footnoteReference w:id="10"/>
      </w:r>
      <w:r w:rsidR="00BF3D88" w:rsidRPr="00672545">
        <w:rPr>
          <w:szCs w:val="26"/>
        </w:rPr>
        <w:t xml:space="preserve">  </w:t>
      </w:r>
      <w:r w:rsidR="002F25B3" w:rsidRPr="00672545">
        <w:rPr>
          <w:szCs w:val="26"/>
        </w:rPr>
        <w:t>According to d</w:t>
      </w:r>
      <w:r w:rsidR="00B303AE" w:rsidRPr="00672545">
        <w:rPr>
          <w:szCs w:val="26"/>
        </w:rPr>
        <w:t>efendant</w:t>
      </w:r>
      <w:r w:rsidR="002F25B3" w:rsidRPr="00672545">
        <w:rPr>
          <w:szCs w:val="26"/>
        </w:rPr>
        <w:t>, such an express cautionary admonition is necessary because</w:t>
      </w:r>
      <w:r w:rsidR="000E26FE" w:rsidRPr="00672545">
        <w:rPr>
          <w:szCs w:val="26"/>
        </w:rPr>
        <w:t xml:space="preserve"> dog-scent </w:t>
      </w:r>
      <w:r w:rsidR="000E26FE" w:rsidRPr="00672545">
        <w:rPr>
          <w:szCs w:val="26"/>
        </w:rPr>
        <w:lastRenderedPageBreak/>
        <w:t>evidence</w:t>
      </w:r>
      <w:r w:rsidR="000C434E" w:rsidRPr="00672545">
        <w:rPr>
          <w:szCs w:val="26"/>
        </w:rPr>
        <w:t>, like accomplice testimony, in-custody informant testimony, and evidence of an oral confession or admission by a defendant,</w:t>
      </w:r>
      <w:r w:rsidR="000E26FE" w:rsidRPr="00672545">
        <w:rPr>
          <w:szCs w:val="26"/>
        </w:rPr>
        <w:t xml:space="preserve"> presents a substantial risk </w:t>
      </w:r>
      <w:r w:rsidR="009F3748" w:rsidRPr="00672545">
        <w:rPr>
          <w:szCs w:val="26"/>
        </w:rPr>
        <w:t>of “specious reliability</w:t>
      </w:r>
      <w:r w:rsidR="002F25B3" w:rsidRPr="00672545">
        <w:rPr>
          <w:szCs w:val="26"/>
        </w:rPr>
        <w:t>.</w:t>
      </w:r>
      <w:r w:rsidR="009F3748" w:rsidRPr="00672545">
        <w:rPr>
          <w:szCs w:val="26"/>
        </w:rPr>
        <w:t>”</w:t>
      </w:r>
      <w:r w:rsidR="00F81CD5" w:rsidRPr="00672545">
        <w:rPr>
          <w:szCs w:val="26"/>
        </w:rPr>
        <w:t xml:space="preserve">  </w:t>
      </w:r>
      <w:r w:rsidR="001F131F" w:rsidRPr="00672545">
        <w:rPr>
          <w:szCs w:val="26"/>
        </w:rPr>
        <w:t xml:space="preserve">He notes that the dog-scent instruction given in </w:t>
      </w:r>
      <w:r w:rsidR="001F131F" w:rsidRPr="00672545">
        <w:rPr>
          <w:i/>
          <w:szCs w:val="26"/>
        </w:rPr>
        <w:t>Craig</w:t>
      </w:r>
      <w:r w:rsidR="001F131F" w:rsidRPr="00672545">
        <w:rPr>
          <w:szCs w:val="26"/>
        </w:rPr>
        <w:t xml:space="preserve"> included an admonition that such evidence “must be viewed with the utmost </w:t>
      </w:r>
      <w:r w:rsidR="00AF04CF">
        <w:rPr>
          <w:szCs w:val="26"/>
        </w:rPr>
        <w:t xml:space="preserve">of </w:t>
      </w:r>
      <w:r w:rsidR="001F131F" w:rsidRPr="00672545">
        <w:rPr>
          <w:szCs w:val="26"/>
        </w:rPr>
        <w:t>caution.”  (</w:t>
      </w:r>
      <w:r w:rsidR="001F131F" w:rsidRPr="00672545">
        <w:rPr>
          <w:i/>
          <w:szCs w:val="26"/>
        </w:rPr>
        <w:t>Craig</w:t>
      </w:r>
      <w:r w:rsidR="00AF04CF">
        <w:rPr>
          <w:i/>
          <w:szCs w:val="26"/>
        </w:rPr>
        <w:t xml:space="preserve"> II</w:t>
      </w:r>
      <w:r w:rsidR="001F131F" w:rsidRPr="00672545">
        <w:rPr>
          <w:i/>
          <w:szCs w:val="26"/>
        </w:rPr>
        <w:t>, supra</w:t>
      </w:r>
      <w:r w:rsidR="001F131F" w:rsidRPr="00672545">
        <w:rPr>
          <w:szCs w:val="26"/>
        </w:rPr>
        <w:t>,</w:t>
      </w:r>
      <w:r w:rsidR="00AF04CF">
        <w:rPr>
          <w:szCs w:val="26"/>
        </w:rPr>
        <w:t xml:space="preserve"> 86 Cal.App3d</w:t>
      </w:r>
      <w:r w:rsidR="001F131F" w:rsidRPr="00672545">
        <w:rPr>
          <w:szCs w:val="26"/>
        </w:rPr>
        <w:t xml:space="preserve"> at p. 917.)</w:t>
      </w:r>
      <w:r w:rsidR="00F81CD5" w:rsidRPr="00672545">
        <w:rPr>
          <w:szCs w:val="26"/>
        </w:rPr>
        <w:t xml:space="preserve">  </w:t>
      </w:r>
    </w:p>
    <w:p w14:paraId="6D3E1B8E" w14:textId="77777777" w:rsidR="001D1428" w:rsidRPr="00672545" w:rsidRDefault="00D4399D" w:rsidP="00672545">
      <w:pPr>
        <w:rPr>
          <w:szCs w:val="26"/>
        </w:rPr>
      </w:pPr>
      <w:r w:rsidRPr="00672545">
        <w:rPr>
          <w:szCs w:val="26"/>
        </w:rPr>
        <w:tab/>
      </w:r>
      <w:proofErr w:type="gramStart"/>
      <w:r w:rsidR="004453D7" w:rsidRPr="00672545">
        <w:rPr>
          <w:szCs w:val="26"/>
        </w:rPr>
        <w:t>The</w:t>
      </w:r>
      <w:r w:rsidR="00A339F4" w:rsidRPr="00672545">
        <w:rPr>
          <w:szCs w:val="26"/>
        </w:rPr>
        <w:t xml:space="preserve"> majority of</w:t>
      </w:r>
      <w:proofErr w:type="gramEnd"/>
      <w:r w:rsidR="00A339F4" w:rsidRPr="00672545">
        <w:rPr>
          <w:szCs w:val="26"/>
        </w:rPr>
        <w:t xml:space="preserve"> the court in</w:t>
      </w:r>
      <w:r w:rsidR="004453D7" w:rsidRPr="00672545">
        <w:rPr>
          <w:szCs w:val="26"/>
        </w:rPr>
        <w:t xml:space="preserve"> </w:t>
      </w:r>
      <w:proofErr w:type="spellStart"/>
      <w:r w:rsidR="004453D7" w:rsidRPr="00672545">
        <w:rPr>
          <w:i/>
          <w:szCs w:val="26"/>
        </w:rPr>
        <w:t>Malgren</w:t>
      </w:r>
      <w:proofErr w:type="spellEnd"/>
      <w:r w:rsidR="00A339F4" w:rsidRPr="00672545">
        <w:rPr>
          <w:szCs w:val="26"/>
        </w:rPr>
        <w:t xml:space="preserve">, however, specifically rejected the argument that </w:t>
      </w:r>
      <w:r w:rsidR="00CB3232" w:rsidRPr="00672545">
        <w:rPr>
          <w:szCs w:val="26"/>
        </w:rPr>
        <w:t>“the court was obligated to instruct that dog trailing evidence must be viewed with caution</w:t>
      </w:r>
      <w:r w:rsidR="00AC4EE3" w:rsidRPr="00672545">
        <w:rPr>
          <w:szCs w:val="26"/>
        </w:rPr>
        <w:t>.</w:t>
      </w:r>
      <w:r w:rsidR="00CB3232" w:rsidRPr="00672545">
        <w:rPr>
          <w:szCs w:val="26"/>
        </w:rPr>
        <w:t>”  (</w:t>
      </w:r>
      <w:proofErr w:type="spellStart"/>
      <w:r w:rsidR="00CB3232" w:rsidRPr="00672545">
        <w:rPr>
          <w:i/>
          <w:szCs w:val="26"/>
        </w:rPr>
        <w:t>Malgren</w:t>
      </w:r>
      <w:proofErr w:type="spellEnd"/>
      <w:r w:rsidR="00CB3232" w:rsidRPr="00672545">
        <w:rPr>
          <w:i/>
          <w:szCs w:val="26"/>
        </w:rPr>
        <w:t>, supra</w:t>
      </w:r>
      <w:r w:rsidR="00CB3232" w:rsidRPr="00672545">
        <w:rPr>
          <w:szCs w:val="26"/>
        </w:rPr>
        <w:t>, 139 Cal.App.3d at p. 241.)  It reasoned that “</w:t>
      </w:r>
      <w:r w:rsidR="000C434E" w:rsidRPr="00672545">
        <w:rPr>
          <w:szCs w:val="26"/>
        </w:rPr>
        <w:t>[u]</w:t>
      </w:r>
      <w:proofErr w:type="spellStart"/>
      <w:r w:rsidR="000C434E" w:rsidRPr="00672545">
        <w:rPr>
          <w:szCs w:val="26"/>
        </w:rPr>
        <w:t>nlike</w:t>
      </w:r>
      <w:proofErr w:type="spellEnd"/>
      <w:r w:rsidR="000C434E" w:rsidRPr="00672545">
        <w:rPr>
          <w:szCs w:val="26"/>
        </w:rPr>
        <w:t xml:space="preserve"> accomplice testimony, </w:t>
      </w:r>
      <w:r w:rsidR="00CB3232" w:rsidRPr="00672545">
        <w:rPr>
          <w:rStyle w:val="ssrfcpassagedeactivated"/>
          <w:szCs w:val="26"/>
        </w:rPr>
        <w:t>dog tracking evidence is not inherently suspect because of a self-interested source.  [Citation.]  The notion that such evidence is of slight probative value or must be viewed with caution stems at least in part from a fear that a jury will be in awe of the animal</w:t>
      </w:r>
      <w:r w:rsidR="007B07DB" w:rsidRPr="00672545">
        <w:rPr>
          <w:rStyle w:val="ssrfcpassagedeactivated"/>
          <w:szCs w:val="26"/>
        </w:rPr>
        <w:t>’</w:t>
      </w:r>
      <w:r w:rsidR="00CB3232" w:rsidRPr="00672545">
        <w:rPr>
          <w:rStyle w:val="ssrfcpassagedeactivated"/>
          <w:szCs w:val="26"/>
        </w:rPr>
        <w:t xml:space="preserve">s apparent powers and will give the evidence </w:t>
      </w:r>
      <w:r w:rsidR="00CB3232" w:rsidRPr="00672545">
        <w:rPr>
          <w:rStyle w:val="ssit1"/>
          <w:szCs w:val="26"/>
        </w:rPr>
        <w:t>too much</w:t>
      </w:r>
      <w:r w:rsidR="00CB3232" w:rsidRPr="00672545">
        <w:rPr>
          <w:rStyle w:val="ssrfcpassagedeactivated"/>
          <w:szCs w:val="26"/>
        </w:rPr>
        <w:t xml:space="preserve"> weight.  [Citation.]  In light of the stringent foundational requirements which must be met before such evidence is admissible at all, however, we see no reason to categorize that evidence thereafter as inferior or </w:t>
      </w:r>
      <w:proofErr w:type="gramStart"/>
      <w:r w:rsidR="00CB3232" w:rsidRPr="00672545">
        <w:rPr>
          <w:rStyle w:val="ssrfcpassagedeactivated"/>
          <w:szCs w:val="26"/>
        </w:rPr>
        <w:t>untrustworthy, and</w:t>
      </w:r>
      <w:proofErr w:type="gramEnd"/>
      <w:r w:rsidR="00CB3232" w:rsidRPr="00672545">
        <w:rPr>
          <w:rStyle w:val="ssrfcpassagedeactivated"/>
          <w:szCs w:val="26"/>
        </w:rPr>
        <w:t xml:space="preserve"> instruct that it be given </w:t>
      </w:r>
      <w:r w:rsidR="00CB3232" w:rsidRPr="00672545">
        <w:rPr>
          <w:rStyle w:val="ssit1"/>
          <w:szCs w:val="26"/>
        </w:rPr>
        <w:t>less</w:t>
      </w:r>
      <w:r w:rsidR="00CB3232" w:rsidRPr="00672545">
        <w:rPr>
          <w:rStyle w:val="ssrfcpassagedeactivated"/>
          <w:szCs w:val="26"/>
        </w:rPr>
        <w:t xml:space="preserve"> weight than other evidence.  The </w:t>
      </w:r>
      <w:r w:rsidR="00CB3232" w:rsidRPr="00672545">
        <w:rPr>
          <w:rStyle w:val="ssit1"/>
          <w:szCs w:val="26"/>
        </w:rPr>
        <w:t>Craig</w:t>
      </w:r>
      <w:r w:rsidR="00AF04CF">
        <w:rPr>
          <w:rStyle w:val="ssit1"/>
          <w:szCs w:val="26"/>
        </w:rPr>
        <w:t xml:space="preserve"> II</w:t>
      </w:r>
      <w:r w:rsidR="00CB3232" w:rsidRPr="00672545">
        <w:rPr>
          <w:rStyle w:val="ssrfcpassagedeactivated"/>
          <w:szCs w:val="26"/>
        </w:rPr>
        <w:t xml:space="preserve"> court itself suggested that what the law in this state </w:t>
      </w:r>
      <w:proofErr w:type="gramStart"/>
      <w:r w:rsidR="00CB3232" w:rsidRPr="00672545">
        <w:rPr>
          <w:rStyle w:val="ssrfcpassagedeactivated"/>
          <w:szCs w:val="26"/>
        </w:rPr>
        <w:t>actually requires</w:t>
      </w:r>
      <w:proofErr w:type="gramEnd"/>
      <w:r w:rsidR="00CB3232" w:rsidRPr="00672545">
        <w:rPr>
          <w:rStyle w:val="ssrfcpassagedeactivated"/>
          <w:szCs w:val="26"/>
        </w:rPr>
        <w:t xml:space="preserve"> is not that dog trailing evidence be viewed with caution, but that it be treated as any other evidence, with its weight left to the trier of fact.  (</w:t>
      </w:r>
      <w:r w:rsidR="00CB3232" w:rsidRPr="00672545">
        <w:rPr>
          <w:rStyle w:val="ssit1"/>
          <w:szCs w:val="26"/>
        </w:rPr>
        <w:t>Craig</w:t>
      </w:r>
      <w:r w:rsidR="00AF04CF">
        <w:rPr>
          <w:rStyle w:val="ssit1"/>
          <w:szCs w:val="26"/>
        </w:rPr>
        <w:t xml:space="preserve"> II</w:t>
      </w:r>
      <w:r w:rsidR="00CB3232" w:rsidRPr="00672545">
        <w:rPr>
          <w:rStyle w:val="ssit1"/>
          <w:szCs w:val="26"/>
        </w:rPr>
        <w:t>, supra</w:t>
      </w:r>
      <w:r w:rsidR="00CB3232" w:rsidRPr="00672545">
        <w:rPr>
          <w:rStyle w:val="ssrfcpassagedeactivated"/>
          <w:szCs w:val="26"/>
        </w:rPr>
        <w:t>, 86 Cal.App.3d at p. 918.)”  (</w:t>
      </w:r>
      <w:proofErr w:type="spellStart"/>
      <w:r w:rsidR="00CB3232" w:rsidRPr="00672545">
        <w:rPr>
          <w:rStyle w:val="ssrfcpassagedeactivated"/>
          <w:i/>
          <w:szCs w:val="26"/>
        </w:rPr>
        <w:t>Malgren</w:t>
      </w:r>
      <w:proofErr w:type="spellEnd"/>
      <w:r w:rsidR="00CB3232" w:rsidRPr="00672545">
        <w:rPr>
          <w:rStyle w:val="ssrfcpassagedeactivated"/>
          <w:szCs w:val="26"/>
        </w:rPr>
        <w:t>, at pp. 241-242.)</w:t>
      </w:r>
    </w:p>
    <w:p w14:paraId="02B40183" w14:textId="77777777" w:rsidR="001F131F" w:rsidRPr="00672545" w:rsidRDefault="00FD724B" w:rsidP="00672545">
      <w:pPr>
        <w:rPr>
          <w:szCs w:val="26"/>
        </w:rPr>
      </w:pPr>
      <w:r w:rsidRPr="00672545">
        <w:rPr>
          <w:szCs w:val="26"/>
        </w:rPr>
        <w:tab/>
        <w:t>Defendant</w:t>
      </w:r>
      <w:r w:rsidR="001F131F" w:rsidRPr="00672545">
        <w:rPr>
          <w:szCs w:val="26"/>
        </w:rPr>
        <w:t xml:space="preserve"> urges us </w:t>
      </w:r>
      <w:r w:rsidR="00C03CE5" w:rsidRPr="00672545">
        <w:rPr>
          <w:szCs w:val="26"/>
        </w:rPr>
        <w:t xml:space="preserve">to </w:t>
      </w:r>
      <w:r w:rsidR="00C02BA4" w:rsidRPr="00672545">
        <w:rPr>
          <w:szCs w:val="26"/>
        </w:rPr>
        <w:t xml:space="preserve">disapprove </w:t>
      </w:r>
      <w:proofErr w:type="spellStart"/>
      <w:r w:rsidR="00C02BA4" w:rsidRPr="00672545">
        <w:rPr>
          <w:i/>
          <w:szCs w:val="26"/>
        </w:rPr>
        <w:t>Malgren</w:t>
      </w:r>
      <w:proofErr w:type="spellEnd"/>
      <w:r w:rsidR="00C02BA4" w:rsidRPr="00672545">
        <w:rPr>
          <w:szCs w:val="26"/>
        </w:rPr>
        <w:t xml:space="preserve"> on this point</w:t>
      </w:r>
      <w:r w:rsidR="00040E1B" w:rsidRPr="00672545">
        <w:rPr>
          <w:szCs w:val="26"/>
        </w:rPr>
        <w:t xml:space="preserve">. </w:t>
      </w:r>
      <w:r w:rsidR="00C02BA4" w:rsidRPr="00672545">
        <w:rPr>
          <w:szCs w:val="26"/>
        </w:rPr>
        <w:t xml:space="preserve"> </w:t>
      </w:r>
      <w:r w:rsidR="00040E1B" w:rsidRPr="00672545">
        <w:rPr>
          <w:szCs w:val="26"/>
        </w:rPr>
        <w:t>H</w:t>
      </w:r>
      <w:r w:rsidR="00C02BA4" w:rsidRPr="00672545">
        <w:rPr>
          <w:szCs w:val="26"/>
        </w:rPr>
        <w:t>e argues</w:t>
      </w:r>
      <w:r w:rsidR="00040E1B" w:rsidRPr="00672545">
        <w:rPr>
          <w:szCs w:val="26"/>
        </w:rPr>
        <w:t xml:space="preserve"> that</w:t>
      </w:r>
      <w:r w:rsidR="00C02BA4" w:rsidRPr="00672545">
        <w:rPr>
          <w:szCs w:val="26"/>
        </w:rPr>
        <w:t xml:space="preserve"> </w:t>
      </w:r>
      <w:r w:rsidR="001F131F" w:rsidRPr="00672545">
        <w:rPr>
          <w:szCs w:val="26"/>
        </w:rPr>
        <w:t xml:space="preserve">dog-scent evidence </w:t>
      </w:r>
      <w:r w:rsidR="00600A51" w:rsidRPr="00672545">
        <w:rPr>
          <w:szCs w:val="26"/>
        </w:rPr>
        <w:t xml:space="preserve">is </w:t>
      </w:r>
      <w:r w:rsidR="00040E1B" w:rsidRPr="00672545">
        <w:rPr>
          <w:szCs w:val="26"/>
        </w:rPr>
        <w:t xml:space="preserve">“highly problematic” </w:t>
      </w:r>
      <w:r w:rsidR="00600A51" w:rsidRPr="00672545">
        <w:rPr>
          <w:szCs w:val="26"/>
        </w:rPr>
        <w:t xml:space="preserve">and </w:t>
      </w:r>
      <w:r w:rsidR="00040E1B" w:rsidRPr="00672545">
        <w:rPr>
          <w:szCs w:val="26"/>
        </w:rPr>
        <w:t>in this way is akin to</w:t>
      </w:r>
      <w:r w:rsidR="001F131F" w:rsidRPr="00672545">
        <w:rPr>
          <w:szCs w:val="26"/>
        </w:rPr>
        <w:t xml:space="preserve"> accomplice testimony</w:t>
      </w:r>
      <w:r w:rsidR="00C02BA4" w:rsidRPr="00672545">
        <w:rPr>
          <w:szCs w:val="26"/>
        </w:rPr>
        <w:t>,</w:t>
      </w:r>
      <w:r w:rsidR="001F131F" w:rsidRPr="00672545">
        <w:rPr>
          <w:szCs w:val="26"/>
        </w:rPr>
        <w:t xml:space="preserve"> in-custody informant testimony, </w:t>
      </w:r>
      <w:r w:rsidR="00C02BA4" w:rsidRPr="00672545">
        <w:rPr>
          <w:szCs w:val="26"/>
        </w:rPr>
        <w:t xml:space="preserve">and evidence of an oral confession or admission by a defendant, </w:t>
      </w:r>
      <w:r w:rsidR="001F131F" w:rsidRPr="00672545">
        <w:rPr>
          <w:szCs w:val="26"/>
        </w:rPr>
        <w:t xml:space="preserve">which </w:t>
      </w:r>
      <w:r w:rsidR="0077706F" w:rsidRPr="00672545">
        <w:rPr>
          <w:szCs w:val="26"/>
        </w:rPr>
        <w:t xml:space="preserve">he asserts </w:t>
      </w:r>
      <w:r w:rsidR="002C48CF" w:rsidRPr="00672545">
        <w:rPr>
          <w:szCs w:val="26"/>
        </w:rPr>
        <w:t xml:space="preserve">have </w:t>
      </w:r>
      <w:r w:rsidR="00710E03" w:rsidRPr="00672545">
        <w:rPr>
          <w:szCs w:val="26"/>
        </w:rPr>
        <w:t xml:space="preserve">similar </w:t>
      </w:r>
      <w:r w:rsidR="0050234C" w:rsidRPr="00672545">
        <w:rPr>
          <w:szCs w:val="26"/>
        </w:rPr>
        <w:t>questionable reliability</w:t>
      </w:r>
      <w:r w:rsidR="00EB2891" w:rsidRPr="00672545">
        <w:rPr>
          <w:szCs w:val="26"/>
        </w:rPr>
        <w:t xml:space="preserve"> and so warrant a cautionary instruction</w:t>
      </w:r>
      <w:r w:rsidR="0012364C" w:rsidRPr="00672545">
        <w:rPr>
          <w:szCs w:val="26"/>
        </w:rPr>
        <w:t xml:space="preserve"> </w:t>
      </w:r>
      <w:r w:rsidR="0012364C" w:rsidRPr="00672545">
        <w:rPr>
          <w:szCs w:val="26"/>
        </w:rPr>
        <w:lastRenderedPageBreak/>
        <w:t>on its own motion</w:t>
      </w:r>
      <w:r w:rsidR="0050234C" w:rsidRPr="00672545">
        <w:rPr>
          <w:szCs w:val="26"/>
        </w:rPr>
        <w:t xml:space="preserve">.  </w:t>
      </w:r>
      <w:proofErr w:type="gramStart"/>
      <w:r w:rsidR="0012364C" w:rsidRPr="00672545">
        <w:rPr>
          <w:szCs w:val="26"/>
        </w:rPr>
        <w:t>Subsequent to</w:t>
      </w:r>
      <w:proofErr w:type="gramEnd"/>
      <w:r w:rsidR="00C02BA4" w:rsidRPr="00672545">
        <w:rPr>
          <w:szCs w:val="26"/>
        </w:rPr>
        <w:t xml:space="preserve"> the filing of defendant’s briefing, </w:t>
      </w:r>
      <w:r w:rsidR="00077F42" w:rsidRPr="00672545">
        <w:rPr>
          <w:szCs w:val="26"/>
        </w:rPr>
        <w:t xml:space="preserve">however, </w:t>
      </w:r>
      <w:r w:rsidR="00C02BA4" w:rsidRPr="00672545">
        <w:rPr>
          <w:szCs w:val="26"/>
        </w:rPr>
        <w:t>we have concluded that trial courts do not have a duty to instruct the jury</w:t>
      </w:r>
      <w:r w:rsidR="00D60490" w:rsidRPr="00672545">
        <w:rPr>
          <w:szCs w:val="26"/>
        </w:rPr>
        <w:t xml:space="preserve"> on its own motion</w:t>
      </w:r>
      <w:r w:rsidR="00C02BA4" w:rsidRPr="00672545">
        <w:rPr>
          <w:szCs w:val="26"/>
        </w:rPr>
        <w:t xml:space="preserve"> to view with caution evidence of </w:t>
      </w:r>
      <w:r w:rsidR="007A135A" w:rsidRPr="00672545">
        <w:rPr>
          <w:szCs w:val="26"/>
        </w:rPr>
        <w:t xml:space="preserve">a </w:t>
      </w:r>
      <w:r w:rsidR="00C02BA4" w:rsidRPr="00672545">
        <w:rPr>
          <w:szCs w:val="26"/>
        </w:rPr>
        <w:t>defendant’s extrajudicial statements.  (</w:t>
      </w:r>
      <w:r w:rsidR="00C02BA4" w:rsidRPr="00672545">
        <w:rPr>
          <w:i/>
          <w:szCs w:val="26"/>
        </w:rPr>
        <w:t>Diaz</w:t>
      </w:r>
      <w:r w:rsidR="00AF04CF">
        <w:rPr>
          <w:i/>
          <w:szCs w:val="26"/>
        </w:rPr>
        <w:t xml:space="preserve">, supra, </w:t>
      </w:r>
      <w:r w:rsidR="00C02BA4" w:rsidRPr="00672545">
        <w:rPr>
          <w:szCs w:val="26"/>
        </w:rPr>
        <w:t>60 Cal.4th,</w:t>
      </w:r>
      <w:r w:rsidR="00AF04CF">
        <w:rPr>
          <w:szCs w:val="26"/>
        </w:rPr>
        <w:t xml:space="preserve"> at pp.</w:t>
      </w:r>
      <w:r w:rsidR="00C02BA4" w:rsidRPr="00672545">
        <w:rPr>
          <w:szCs w:val="26"/>
        </w:rPr>
        <w:t xml:space="preserve"> 1189-1190.)  </w:t>
      </w:r>
      <w:r w:rsidR="0027153B" w:rsidRPr="00672545">
        <w:rPr>
          <w:szCs w:val="26"/>
        </w:rPr>
        <w:t xml:space="preserve">In reaching </w:t>
      </w:r>
      <w:r w:rsidR="002152BF" w:rsidRPr="00672545">
        <w:rPr>
          <w:szCs w:val="26"/>
        </w:rPr>
        <w:t>that</w:t>
      </w:r>
      <w:r w:rsidR="0027153B" w:rsidRPr="00672545">
        <w:rPr>
          <w:szCs w:val="26"/>
        </w:rPr>
        <w:t xml:space="preserve"> conclusion, we started with the observation that a trial court has </w:t>
      </w:r>
      <w:r w:rsidR="00D60490" w:rsidRPr="00672545">
        <w:rPr>
          <w:szCs w:val="26"/>
        </w:rPr>
        <w:t xml:space="preserve">such </w:t>
      </w:r>
      <w:r w:rsidR="0027153B" w:rsidRPr="00672545">
        <w:rPr>
          <w:szCs w:val="26"/>
        </w:rPr>
        <w:t xml:space="preserve">a duty to instruct </w:t>
      </w:r>
      <w:r w:rsidR="00531690" w:rsidRPr="00672545">
        <w:rPr>
          <w:szCs w:val="26"/>
        </w:rPr>
        <w:t xml:space="preserve">only </w:t>
      </w:r>
      <w:proofErr w:type="gramStart"/>
      <w:r w:rsidR="0027153B" w:rsidRPr="00672545">
        <w:rPr>
          <w:szCs w:val="26"/>
        </w:rPr>
        <w:t>“ ‘</w:t>
      </w:r>
      <w:proofErr w:type="gramEnd"/>
      <w:r w:rsidR="0027153B" w:rsidRPr="00672545">
        <w:rPr>
          <w:szCs w:val="26"/>
        </w:rPr>
        <w:t>on the general principles of law relevant to the issues raised by the evidence.  [Citations.]  The general principles of law governing the case are those principles closely and openly connected with the facts before the court, and which are necessary for the jury’s understanding of the case.</w:t>
      </w:r>
      <w:proofErr w:type="gramStart"/>
      <w:r w:rsidR="0027153B" w:rsidRPr="00672545">
        <w:rPr>
          <w:szCs w:val="26"/>
        </w:rPr>
        <w:t>’ ”</w:t>
      </w:r>
      <w:proofErr w:type="gramEnd"/>
      <w:r w:rsidR="0027153B" w:rsidRPr="00672545">
        <w:rPr>
          <w:szCs w:val="26"/>
        </w:rPr>
        <w:t xml:space="preserve">  (</w:t>
      </w:r>
      <w:r w:rsidR="0027153B" w:rsidRPr="00672545">
        <w:rPr>
          <w:i/>
          <w:szCs w:val="26"/>
        </w:rPr>
        <w:t>Id.</w:t>
      </w:r>
      <w:r w:rsidR="0027153B" w:rsidRPr="00672545">
        <w:rPr>
          <w:szCs w:val="26"/>
        </w:rPr>
        <w:t xml:space="preserve">, at p. 1189.)  We then considered “whether the cautionary instruction </w:t>
      </w:r>
      <w:r w:rsidR="00531690" w:rsidRPr="00672545">
        <w:rPr>
          <w:szCs w:val="26"/>
        </w:rPr>
        <w:t xml:space="preserve">[regarding defendant’s extrajudicial statements] </w:t>
      </w:r>
      <w:r w:rsidR="0027153B" w:rsidRPr="00672545">
        <w:rPr>
          <w:szCs w:val="26"/>
        </w:rPr>
        <w:t>is one of those ‘general principles of law’ so ‘necessary for the jury’s understanding of the case’ that the instruction must be given by the trial court even when the defendant does not request it.”  (</w:t>
      </w:r>
      <w:r w:rsidR="0027153B" w:rsidRPr="00672545">
        <w:rPr>
          <w:i/>
          <w:szCs w:val="26"/>
        </w:rPr>
        <w:t>Ibid.</w:t>
      </w:r>
      <w:r w:rsidR="0027153B" w:rsidRPr="00672545">
        <w:rPr>
          <w:szCs w:val="26"/>
        </w:rPr>
        <w:t xml:space="preserve">)  </w:t>
      </w:r>
      <w:r w:rsidR="007B39E6" w:rsidRPr="00672545">
        <w:rPr>
          <w:szCs w:val="26"/>
        </w:rPr>
        <w:t xml:space="preserve">We ultimately concluded </w:t>
      </w:r>
      <w:r w:rsidR="00C02BA4" w:rsidRPr="00672545">
        <w:rPr>
          <w:szCs w:val="26"/>
        </w:rPr>
        <w:t xml:space="preserve">that </w:t>
      </w:r>
      <w:r w:rsidR="007B39E6" w:rsidRPr="00672545">
        <w:rPr>
          <w:szCs w:val="26"/>
        </w:rPr>
        <w:t>“[t]he cautionary instruction is no longer ‘</w:t>
      </w:r>
      <w:r w:rsidR="007B39E6" w:rsidRPr="00672545">
        <w:rPr>
          <w:i/>
          <w:szCs w:val="26"/>
        </w:rPr>
        <w:t>necessary</w:t>
      </w:r>
      <w:r w:rsidR="007B39E6" w:rsidRPr="00672545">
        <w:rPr>
          <w:szCs w:val="26"/>
        </w:rPr>
        <w:t xml:space="preserve"> for the jury’s understanding of the case’ [citation] because courts are now required to instruct the jury, in all criminal cases, concerning the general principles that apply to their consideration of witness testimony.”  </w:t>
      </w:r>
      <w:r w:rsidR="00C02BA4" w:rsidRPr="00672545">
        <w:rPr>
          <w:szCs w:val="26"/>
        </w:rPr>
        <w:t>(</w:t>
      </w:r>
      <w:r w:rsidR="00C02BA4" w:rsidRPr="00672545">
        <w:rPr>
          <w:i/>
          <w:szCs w:val="26"/>
        </w:rPr>
        <w:t>Id.</w:t>
      </w:r>
      <w:r w:rsidR="00C02BA4" w:rsidRPr="00672545">
        <w:rPr>
          <w:szCs w:val="26"/>
        </w:rPr>
        <w:t>, at p. 119</w:t>
      </w:r>
      <w:r w:rsidR="007B39E6" w:rsidRPr="00672545">
        <w:rPr>
          <w:szCs w:val="26"/>
        </w:rPr>
        <w:t>0</w:t>
      </w:r>
      <w:r w:rsidR="00C02BA4" w:rsidRPr="00672545">
        <w:rPr>
          <w:szCs w:val="26"/>
        </w:rPr>
        <w:t xml:space="preserve">.)  </w:t>
      </w:r>
    </w:p>
    <w:p w14:paraId="4EAAB9DC" w14:textId="77777777" w:rsidR="00077F42" w:rsidRPr="00672545" w:rsidRDefault="00D958BB" w:rsidP="00672545">
      <w:pPr>
        <w:rPr>
          <w:szCs w:val="26"/>
        </w:rPr>
      </w:pPr>
      <w:r w:rsidRPr="00672545">
        <w:rPr>
          <w:szCs w:val="26"/>
        </w:rPr>
        <w:tab/>
      </w:r>
      <w:r w:rsidR="007B07DB" w:rsidRPr="00672545">
        <w:rPr>
          <w:szCs w:val="26"/>
        </w:rPr>
        <w:t xml:space="preserve">Considering defendant’s contention </w:t>
      </w:r>
      <w:proofErr w:type="gramStart"/>
      <w:r w:rsidR="007B07DB" w:rsidRPr="00672545">
        <w:rPr>
          <w:szCs w:val="26"/>
        </w:rPr>
        <w:t>in light of</w:t>
      </w:r>
      <w:proofErr w:type="gramEnd"/>
      <w:r w:rsidRPr="00672545">
        <w:rPr>
          <w:szCs w:val="26"/>
        </w:rPr>
        <w:t xml:space="preserve"> this framework of analysis, we con</w:t>
      </w:r>
      <w:r w:rsidR="0027630E" w:rsidRPr="00672545">
        <w:rPr>
          <w:szCs w:val="26"/>
        </w:rPr>
        <w:t>clude</w:t>
      </w:r>
      <w:r w:rsidRPr="00672545">
        <w:rPr>
          <w:szCs w:val="26"/>
        </w:rPr>
        <w:t xml:space="preserve"> a</w:t>
      </w:r>
      <w:r w:rsidR="007B07DB" w:rsidRPr="00672545">
        <w:rPr>
          <w:szCs w:val="26"/>
        </w:rPr>
        <w:t>n express</w:t>
      </w:r>
      <w:r w:rsidRPr="00672545">
        <w:rPr>
          <w:szCs w:val="26"/>
        </w:rPr>
        <w:t xml:space="preserve"> cautionary </w:t>
      </w:r>
      <w:r w:rsidR="007B07DB" w:rsidRPr="00672545">
        <w:rPr>
          <w:szCs w:val="26"/>
        </w:rPr>
        <w:t>admonition</w:t>
      </w:r>
      <w:r w:rsidRPr="00672545">
        <w:rPr>
          <w:szCs w:val="26"/>
        </w:rPr>
        <w:t xml:space="preserve"> </w:t>
      </w:r>
      <w:r w:rsidR="0027630E" w:rsidRPr="00672545">
        <w:rPr>
          <w:szCs w:val="26"/>
        </w:rPr>
        <w:t xml:space="preserve">regarding dog-scent evidence </w:t>
      </w:r>
      <w:r w:rsidRPr="00672545">
        <w:rPr>
          <w:szCs w:val="26"/>
        </w:rPr>
        <w:t xml:space="preserve">is </w:t>
      </w:r>
      <w:r w:rsidR="00F51199" w:rsidRPr="00672545">
        <w:rPr>
          <w:szCs w:val="26"/>
        </w:rPr>
        <w:t xml:space="preserve">not </w:t>
      </w:r>
      <w:r w:rsidR="00531690" w:rsidRPr="00672545">
        <w:rPr>
          <w:szCs w:val="26"/>
        </w:rPr>
        <w:t>a general principle of law necessary to the jury’s understanding of the case</w:t>
      </w:r>
      <w:r w:rsidR="007B07DB" w:rsidRPr="00672545">
        <w:rPr>
          <w:szCs w:val="26"/>
        </w:rPr>
        <w:t>.</w:t>
      </w:r>
      <w:r w:rsidRPr="00672545">
        <w:rPr>
          <w:szCs w:val="26"/>
        </w:rPr>
        <w:t xml:space="preserve">  (</w:t>
      </w:r>
      <w:r w:rsidRPr="00672545">
        <w:rPr>
          <w:i/>
          <w:szCs w:val="26"/>
        </w:rPr>
        <w:t>Diaz, supra</w:t>
      </w:r>
      <w:r w:rsidRPr="00672545">
        <w:rPr>
          <w:szCs w:val="26"/>
        </w:rPr>
        <w:t>, 60 Cal.4th at p</w:t>
      </w:r>
      <w:r w:rsidR="00531690" w:rsidRPr="00672545">
        <w:rPr>
          <w:szCs w:val="26"/>
        </w:rPr>
        <w:t>p</w:t>
      </w:r>
      <w:r w:rsidRPr="00672545">
        <w:rPr>
          <w:szCs w:val="26"/>
        </w:rPr>
        <w:t>. 1189</w:t>
      </w:r>
      <w:r w:rsidR="00531690" w:rsidRPr="00672545">
        <w:rPr>
          <w:szCs w:val="26"/>
        </w:rPr>
        <w:t>-1190</w:t>
      </w:r>
      <w:r w:rsidRPr="00672545">
        <w:rPr>
          <w:szCs w:val="26"/>
        </w:rPr>
        <w:t>.)</w:t>
      </w:r>
      <w:r w:rsidR="0032023C" w:rsidRPr="00672545">
        <w:rPr>
          <w:szCs w:val="26"/>
        </w:rPr>
        <w:t xml:space="preserve">  </w:t>
      </w:r>
      <w:r w:rsidR="007B07DB" w:rsidRPr="00672545">
        <w:rPr>
          <w:szCs w:val="26"/>
        </w:rPr>
        <w:t xml:space="preserve">First, we agree with the </w:t>
      </w:r>
      <w:proofErr w:type="spellStart"/>
      <w:r w:rsidR="007B07DB" w:rsidRPr="00672545">
        <w:rPr>
          <w:i/>
          <w:szCs w:val="26"/>
        </w:rPr>
        <w:t>Malgren</w:t>
      </w:r>
      <w:proofErr w:type="spellEnd"/>
      <w:r w:rsidR="007B07DB" w:rsidRPr="00672545">
        <w:rPr>
          <w:szCs w:val="26"/>
        </w:rPr>
        <w:t xml:space="preserve"> majority that </w:t>
      </w:r>
      <w:r w:rsidR="00531690" w:rsidRPr="00672545">
        <w:rPr>
          <w:szCs w:val="26"/>
        </w:rPr>
        <w:t>“</w:t>
      </w:r>
      <w:r w:rsidR="007B07DB" w:rsidRPr="00672545">
        <w:rPr>
          <w:rStyle w:val="ssrfcpassagedeactivated"/>
          <w:szCs w:val="26"/>
        </w:rPr>
        <w:t>the stringent foundational requirements which must be met before such evidence is admissible at all</w:t>
      </w:r>
      <w:r w:rsidR="00531690" w:rsidRPr="00672545">
        <w:rPr>
          <w:rStyle w:val="ssrfcpassagedeactivated"/>
          <w:szCs w:val="26"/>
        </w:rPr>
        <w:t>” ensure that this type of evidence is not inherently “</w:t>
      </w:r>
      <w:r w:rsidR="007B07DB" w:rsidRPr="00672545">
        <w:rPr>
          <w:rStyle w:val="ssrfcpassagedeactivated"/>
          <w:szCs w:val="26"/>
        </w:rPr>
        <w:t>inferior or untrustworthy,</w:t>
      </w:r>
      <w:r w:rsidR="00531690" w:rsidRPr="00672545">
        <w:rPr>
          <w:rStyle w:val="ssrfcpassagedeactivated"/>
          <w:szCs w:val="26"/>
        </w:rPr>
        <w:t xml:space="preserve">” requiring that the jury </w:t>
      </w:r>
      <w:r w:rsidR="00531690" w:rsidRPr="00672545">
        <w:rPr>
          <w:rStyle w:val="ssrfcpassagedeactivated"/>
          <w:szCs w:val="26"/>
        </w:rPr>
        <w:lastRenderedPageBreak/>
        <w:t>be instructed to give it “</w:t>
      </w:r>
      <w:r w:rsidR="007B07DB" w:rsidRPr="00672545">
        <w:rPr>
          <w:rStyle w:val="ssit1"/>
          <w:szCs w:val="26"/>
        </w:rPr>
        <w:t>less</w:t>
      </w:r>
      <w:r w:rsidR="007B07DB" w:rsidRPr="00672545">
        <w:rPr>
          <w:rStyle w:val="ssrfcpassagedeactivated"/>
          <w:szCs w:val="26"/>
        </w:rPr>
        <w:t xml:space="preserve"> weight than other evidence.</w:t>
      </w:r>
      <w:r w:rsidR="00531690" w:rsidRPr="00672545">
        <w:rPr>
          <w:rStyle w:val="ssrfcpassagedeactivated"/>
          <w:szCs w:val="26"/>
        </w:rPr>
        <w:t xml:space="preserve">”  </w:t>
      </w:r>
      <w:r w:rsidR="00512EEA" w:rsidRPr="00672545">
        <w:rPr>
          <w:rStyle w:val="ssrfcpassagedeactivated"/>
          <w:szCs w:val="26"/>
        </w:rPr>
        <w:t>(</w:t>
      </w:r>
      <w:proofErr w:type="spellStart"/>
      <w:r w:rsidR="00531690" w:rsidRPr="00672545">
        <w:rPr>
          <w:i/>
          <w:szCs w:val="26"/>
        </w:rPr>
        <w:t>Malgren</w:t>
      </w:r>
      <w:proofErr w:type="spellEnd"/>
      <w:r w:rsidR="00531690" w:rsidRPr="00672545">
        <w:rPr>
          <w:i/>
          <w:szCs w:val="26"/>
        </w:rPr>
        <w:t>, supra</w:t>
      </w:r>
      <w:r w:rsidR="00531690" w:rsidRPr="00672545">
        <w:rPr>
          <w:szCs w:val="26"/>
        </w:rPr>
        <w:t>, 139 Cal.App.3d at p. 241</w:t>
      </w:r>
      <w:r w:rsidR="00DA18BE" w:rsidRPr="00672545">
        <w:rPr>
          <w:szCs w:val="26"/>
        </w:rPr>
        <w:t>.)</w:t>
      </w:r>
      <w:r w:rsidR="0021724D" w:rsidRPr="00672545">
        <w:rPr>
          <w:rStyle w:val="FootnoteReference"/>
          <w:szCs w:val="26"/>
        </w:rPr>
        <w:footnoteReference w:id="11"/>
      </w:r>
      <w:r w:rsidR="00DA18BE" w:rsidRPr="00672545">
        <w:rPr>
          <w:szCs w:val="26"/>
        </w:rPr>
        <w:t xml:space="preserve">  </w:t>
      </w:r>
      <w:r w:rsidR="00AF04CF">
        <w:rPr>
          <w:szCs w:val="26"/>
        </w:rPr>
        <w:tab/>
      </w:r>
      <w:r w:rsidR="00DA18BE" w:rsidRPr="00672545">
        <w:rPr>
          <w:szCs w:val="26"/>
        </w:rPr>
        <w:t>Second, we note CALJIC No. 2.16 observes that the “[e]</w:t>
      </w:r>
      <w:proofErr w:type="spellStart"/>
      <w:r w:rsidR="00DA18BE" w:rsidRPr="00672545">
        <w:rPr>
          <w:szCs w:val="26"/>
        </w:rPr>
        <w:t>vidence</w:t>
      </w:r>
      <w:proofErr w:type="spellEnd"/>
      <w:r w:rsidR="00DA18BE" w:rsidRPr="00672545">
        <w:rPr>
          <w:szCs w:val="26"/>
        </w:rPr>
        <w:t xml:space="preserve"> of dog tracking has been received for the purpose of showing,</w:t>
      </w:r>
      <w:r w:rsidR="00DA18BE" w:rsidRPr="00672545">
        <w:rPr>
          <w:i/>
          <w:szCs w:val="26"/>
        </w:rPr>
        <w:t xml:space="preserve"> if it does,</w:t>
      </w:r>
      <w:r w:rsidR="00DA18BE" w:rsidRPr="00672545">
        <w:rPr>
          <w:szCs w:val="26"/>
        </w:rPr>
        <w:t xml:space="preserve"> that the defendant is the perpetrator of the crimes of kidnapping and murder.”  (Italics added.)  </w:t>
      </w:r>
      <w:r w:rsidR="00FA38E5" w:rsidRPr="00672545">
        <w:rPr>
          <w:szCs w:val="26"/>
        </w:rPr>
        <w:t xml:space="preserve">The highlighted language alerts the jury to consider the possibility that the evidence does not </w:t>
      </w:r>
      <w:r w:rsidR="00DA3A1B" w:rsidRPr="00672545">
        <w:rPr>
          <w:szCs w:val="26"/>
        </w:rPr>
        <w:t xml:space="preserve">reflect that defendant is the perpetrator.  </w:t>
      </w:r>
      <w:r w:rsidR="00DA18BE" w:rsidRPr="00672545">
        <w:rPr>
          <w:szCs w:val="26"/>
        </w:rPr>
        <w:t xml:space="preserve">Combined with </w:t>
      </w:r>
      <w:r w:rsidR="000E1088" w:rsidRPr="00672545">
        <w:rPr>
          <w:szCs w:val="26"/>
        </w:rPr>
        <w:t>the language of CALJIC No. 2.16</w:t>
      </w:r>
      <w:r w:rsidR="00DA18BE" w:rsidRPr="00672545">
        <w:rPr>
          <w:szCs w:val="26"/>
        </w:rPr>
        <w:t xml:space="preserve"> instructi</w:t>
      </w:r>
      <w:r w:rsidR="000E1088" w:rsidRPr="00672545">
        <w:rPr>
          <w:szCs w:val="26"/>
        </w:rPr>
        <w:t xml:space="preserve">ng the jury </w:t>
      </w:r>
      <w:r w:rsidR="00DA18BE" w:rsidRPr="00672545">
        <w:rPr>
          <w:szCs w:val="26"/>
        </w:rPr>
        <w:t>that dog-scent evidence is not sufficient alone to permit a finding of guilt</w:t>
      </w:r>
      <w:r w:rsidR="000E1088" w:rsidRPr="00672545">
        <w:rPr>
          <w:szCs w:val="26"/>
        </w:rPr>
        <w:t xml:space="preserve">, </w:t>
      </w:r>
      <w:r w:rsidR="00DA18BE" w:rsidRPr="00672545">
        <w:rPr>
          <w:szCs w:val="26"/>
        </w:rPr>
        <w:t>that corrobo</w:t>
      </w:r>
      <w:r w:rsidR="000A449B" w:rsidRPr="00672545">
        <w:rPr>
          <w:szCs w:val="26"/>
        </w:rPr>
        <w:t>rating evidence</w:t>
      </w:r>
      <w:r w:rsidR="001E2EF6" w:rsidRPr="00672545">
        <w:rPr>
          <w:szCs w:val="26"/>
        </w:rPr>
        <w:t xml:space="preserve"> </w:t>
      </w:r>
      <w:r w:rsidR="00DA18BE" w:rsidRPr="00672545">
        <w:rPr>
          <w:szCs w:val="26"/>
        </w:rPr>
        <w:t>is necessary</w:t>
      </w:r>
      <w:r w:rsidR="000E1088" w:rsidRPr="00672545">
        <w:rPr>
          <w:szCs w:val="26"/>
        </w:rPr>
        <w:t>, and that the jury should consider the training, proficiency, experience, and prove</w:t>
      </w:r>
      <w:r w:rsidR="00D60490" w:rsidRPr="00672545">
        <w:rPr>
          <w:szCs w:val="26"/>
        </w:rPr>
        <w:t>d</w:t>
      </w:r>
      <w:r w:rsidR="000E1088" w:rsidRPr="00672545">
        <w:rPr>
          <w:szCs w:val="26"/>
        </w:rPr>
        <w:t xml:space="preserve"> ability, if any, of the dog, its trainer, and its handler, along with all </w:t>
      </w:r>
      <w:r w:rsidR="00512EEA" w:rsidRPr="00672545">
        <w:rPr>
          <w:szCs w:val="26"/>
        </w:rPr>
        <w:t xml:space="preserve">of </w:t>
      </w:r>
      <w:r w:rsidR="000E1088" w:rsidRPr="00672545">
        <w:rPr>
          <w:szCs w:val="26"/>
        </w:rPr>
        <w:t xml:space="preserve">the surrounding circumstances, CALJIC No. 2.16 already contains limitations and safeguards ensuring that the jury will carefully </w:t>
      </w:r>
      <w:r w:rsidR="007E36E7" w:rsidRPr="00672545">
        <w:rPr>
          <w:szCs w:val="26"/>
        </w:rPr>
        <w:t xml:space="preserve">evaluate </w:t>
      </w:r>
      <w:r w:rsidR="00FA38E5" w:rsidRPr="00672545">
        <w:rPr>
          <w:szCs w:val="26"/>
        </w:rPr>
        <w:t xml:space="preserve">dog-scent evidence.  </w:t>
      </w:r>
      <w:r w:rsidR="00EE546A" w:rsidRPr="00672545">
        <w:rPr>
          <w:szCs w:val="26"/>
        </w:rPr>
        <w:t xml:space="preserve">Moreover, </w:t>
      </w:r>
      <w:r w:rsidR="00EE546A" w:rsidRPr="00672545">
        <w:t xml:space="preserve">the jurors </w:t>
      </w:r>
      <w:r w:rsidR="005F5D22" w:rsidRPr="00672545">
        <w:t xml:space="preserve">also </w:t>
      </w:r>
      <w:r w:rsidR="00EE546A" w:rsidRPr="00672545">
        <w:t xml:space="preserve">were apprised of the general rules </w:t>
      </w:r>
      <w:r w:rsidR="0042763A" w:rsidRPr="00672545">
        <w:t>advising</w:t>
      </w:r>
      <w:r w:rsidR="004242A8" w:rsidRPr="00672545">
        <w:t xml:space="preserve"> caution in the consideration of</w:t>
      </w:r>
      <w:r w:rsidR="00EE546A" w:rsidRPr="00672545">
        <w:t xml:space="preserve"> circumstantial evidence.  </w:t>
      </w:r>
      <w:r w:rsidR="0084189C" w:rsidRPr="00672545">
        <w:t xml:space="preserve">(CALJIC No. 2.01.)  </w:t>
      </w:r>
      <w:r w:rsidR="00DA3A1B" w:rsidRPr="00672545">
        <w:rPr>
          <w:szCs w:val="26"/>
        </w:rPr>
        <w:t xml:space="preserve">A further cautionary instruction is neither necessary </w:t>
      </w:r>
      <w:r w:rsidR="00512EEA" w:rsidRPr="00672545">
        <w:rPr>
          <w:szCs w:val="26"/>
        </w:rPr>
        <w:t>n</w:t>
      </w:r>
      <w:r w:rsidR="00DA3A1B" w:rsidRPr="00672545">
        <w:rPr>
          <w:szCs w:val="26"/>
        </w:rPr>
        <w:t>or appropriate for the jury’s understand</w:t>
      </w:r>
      <w:r w:rsidR="00641CA5" w:rsidRPr="00672545">
        <w:rPr>
          <w:szCs w:val="26"/>
        </w:rPr>
        <w:t>ing.</w:t>
      </w:r>
      <w:r w:rsidR="0093111F" w:rsidRPr="00672545">
        <w:t xml:space="preserve">  </w:t>
      </w:r>
    </w:p>
    <w:p w14:paraId="06A8FA67" w14:textId="77777777" w:rsidR="00593E84" w:rsidRPr="00672545" w:rsidRDefault="00593E84" w:rsidP="00672545">
      <w:pPr>
        <w:rPr>
          <w:szCs w:val="26"/>
        </w:rPr>
      </w:pPr>
      <w:r w:rsidRPr="00672545">
        <w:rPr>
          <w:szCs w:val="26"/>
        </w:rPr>
        <w:lastRenderedPageBreak/>
        <w:tab/>
        <w:t>Defendant</w:t>
      </w:r>
      <w:r w:rsidR="00512EEA" w:rsidRPr="00672545">
        <w:rPr>
          <w:szCs w:val="26"/>
        </w:rPr>
        <w:t>, therefore,</w:t>
      </w:r>
      <w:r w:rsidRPr="00672545">
        <w:rPr>
          <w:szCs w:val="26"/>
        </w:rPr>
        <w:t xml:space="preserve"> has not shown any error in the trial court’s failure to insert a cautionary admonition in </w:t>
      </w:r>
      <w:r w:rsidR="0085350A" w:rsidRPr="00672545">
        <w:rPr>
          <w:szCs w:val="26"/>
        </w:rPr>
        <w:t>CALJIC No. 2.16</w:t>
      </w:r>
      <w:r w:rsidRPr="00672545">
        <w:rPr>
          <w:szCs w:val="26"/>
        </w:rPr>
        <w:t xml:space="preserve">.  </w:t>
      </w:r>
    </w:p>
    <w:p w14:paraId="1B9B04DB" w14:textId="77777777" w:rsidR="001D1428" w:rsidRPr="00672545" w:rsidRDefault="001D1428" w:rsidP="00672545">
      <w:pPr>
        <w:pStyle w:val="Heading4"/>
      </w:pPr>
      <w:r w:rsidRPr="00672545">
        <w:t xml:space="preserve">b.  </w:t>
      </w:r>
      <w:r w:rsidR="00DD23CC" w:rsidRPr="00672545">
        <w:t xml:space="preserve">Lessening </w:t>
      </w:r>
      <w:r w:rsidRPr="00672545">
        <w:t>of the Burden of Proof</w:t>
      </w:r>
    </w:p>
    <w:p w14:paraId="25160B52" w14:textId="77777777" w:rsidR="000E56B9" w:rsidRPr="00672545" w:rsidRDefault="00E462E4" w:rsidP="00672545">
      <w:pPr>
        <w:rPr>
          <w:szCs w:val="26"/>
        </w:rPr>
      </w:pPr>
      <w:r w:rsidRPr="00672545">
        <w:rPr>
          <w:szCs w:val="26"/>
        </w:rPr>
        <w:tab/>
      </w:r>
      <w:r w:rsidR="002B4475" w:rsidRPr="00672545">
        <w:rPr>
          <w:szCs w:val="26"/>
        </w:rPr>
        <w:t xml:space="preserve">Defendant claims there is a further problem with CALJIC No. 2.16.  Defendant contends the instruction is </w:t>
      </w:r>
      <w:r w:rsidR="000E56B9" w:rsidRPr="00672545">
        <w:rPr>
          <w:szCs w:val="26"/>
        </w:rPr>
        <w:t>def</w:t>
      </w:r>
      <w:r w:rsidR="00D0012D" w:rsidRPr="00672545">
        <w:rPr>
          <w:szCs w:val="26"/>
        </w:rPr>
        <w:t>icient</w:t>
      </w:r>
      <w:r w:rsidR="000E56B9" w:rsidRPr="00672545">
        <w:rPr>
          <w:szCs w:val="26"/>
        </w:rPr>
        <w:t xml:space="preserve"> </w:t>
      </w:r>
      <w:r w:rsidR="00C93330" w:rsidRPr="00672545">
        <w:rPr>
          <w:szCs w:val="26"/>
        </w:rPr>
        <w:t xml:space="preserve">because it fails to </w:t>
      </w:r>
      <w:r w:rsidR="00242547" w:rsidRPr="00672545">
        <w:rPr>
          <w:szCs w:val="26"/>
        </w:rPr>
        <w:t>relate the issue of dog-scent evidence to the standard of proof beyond a reasonable doubt.</w:t>
      </w:r>
      <w:r w:rsidR="00D0012D" w:rsidRPr="00672545">
        <w:rPr>
          <w:szCs w:val="26"/>
        </w:rPr>
        <w:t xml:space="preserve">  According to defendant, </w:t>
      </w:r>
      <w:r w:rsidR="00E12ADC" w:rsidRPr="00672545">
        <w:rPr>
          <w:szCs w:val="26"/>
        </w:rPr>
        <w:t xml:space="preserve">to avoid lessening the prosecution’s burden of proof, </w:t>
      </w:r>
      <w:r w:rsidR="00D0012D" w:rsidRPr="00672545">
        <w:rPr>
          <w:szCs w:val="26"/>
        </w:rPr>
        <w:t xml:space="preserve">CALJIC No. 2.16 </w:t>
      </w:r>
      <w:r w:rsidR="00D57699" w:rsidRPr="00672545">
        <w:rPr>
          <w:szCs w:val="26"/>
        </w:rPr>
        <w:t>should include</w:t>
      </w:r>
      <w:r w:rsidR="00D0012D" w:rsidRPr="00672545">
        <w:rPr>
          <w:szCs w:val="26"/>
        </w:rPr>
        <w:t xml:space="preserve"> further language along the lines used in current CALCRIM No. 376</w:t>
      </w:r>
      <w:r w:rsidR="00BA72D2" w:rsidRPr="00672545">
        <w:rPr>
          <w:szCs w:val="26"/>
        </w:rPr>
        <w:t xml:space="preserve"> </w:t>
      </w:r>
      <w:r w:rsidR="00442EDA" w:rsidRPr="00672545">
        <w:rPr>
          <w:szCs w:val="26"/>
        </w:rPr>
        <w:t>[P</w:t>
      </w:r>
      <w:r w:rsidR="00BA72D2" w:rsidRPr="00672545">
        <w:rPr>
          <w:szCs w:val="26"/>
        </w:rPr>
        <w:t xml:space="preserve">ossession of </w:t>
      </w:r>
      <w:r w:rsidR="00442EDA" w:rsidRPr="00672545">
        <w:rPr>
          <w:szCs w:val="26"/>
        </w:rPr>
        <w:t>R</w:t>
      </w:r>
      <w:r w:rsidR="00BA72D2" w:rsidRPr="00672545">
        <w:rPr>
          <w:szCs w:val="26"/>
        </w:rPr>
        <w:t xml:space="preserve">ecently </w:t>
      </w:r>
      <w:r w:rsidR="00442EDA" w:rsidRPr="00672545">
        <w:rPr>
          <w:szCs w:val="26"/>
        </w:rPr>
        <w:t>S</w:t>
      </w:r>
      <w:r w:rsidR="00BA72D2" w:rsidRPr="00672545">
        <w:rPr>
          <w:szCs w:val="26"/>
        </w:rPr>
        <w:t xml:space="preserve">tolen </w:t>
      </w:r>
      <w:r w:rsidR="00442EDA" w:rsidRPr="00672545">
        <w:rPr>
          <w:szCs w:val="26"/>
        </w:rPr>
        <w:t>P</w:t>
      </w:r>
      <w:r w:rsidR="00BA72D2" w:rsidRPr="00672545">
        <w:rPr>
          <w:szCs w:val="26"/>
        </w:rPr>
        <w:t>roperty</w:t>
      </w:r>
      <w:r w:rsidR="00442EDA" w:rsidRPr="00672545">
        <w:rPr>
          <w:szCs w:val="26"/>
        </w:rPr>
        <w:t xml:space="preserve"> as Evidence of a Crime]</w:t>
      </w:r>
      <w:r w:rsidR="00BA72D2" w:rsidRPr="00672545">
        <w:rPr>
          <w:szCs w:val="26"/>
        </w:rPr>
        <w:t xml:space="preserve">, which closes with the following admonition:  “Remember that you may not convict the defendant of any crime unless you are convinced that each fact essential to the conclusion that the defendant is guilty of that crime has been proved beyond a reasonable doubt.”  </w:t>
      </w:r>
    </w:p>
    <w:p w14:paraId="59BD0062" w14:textId="77777777" w:rsidR="005B4418" w:rsidRPr="00672545" w:rsidRDefault="00A33BB6" w:rsidP="00672545">
      <w:pPr>
        <w:rPr>
          <w:szCs w:val="26"/>
        </w:rPr>
      </w:pPr>
      <w:r w:rsidRPr="00672545">
        <w:rPr>
          <w:szCs w:val="26"/>
        </w:rPr>
        <w:tab/>
        <w:t>CALJIC No. 2.16</w:t>
      </w:r>
      <w:r w:rsidR="00E016A9" w:rsidRPr="00672545">
        <w:rPr>
          <w:szCs w:val="26"/>
        </w:rPr>
        <w:t>,</w:t>
      </w:r>
      <w:r w:rsidRPr="00672545">
        <w:rPr>
          <w:szCs w:val="26"/>
        </w:rPr>
        <w:t xml:space="preserve"> </w:t>
      </w:r>
      <w:r w:rsidR="00F4592B" w:rsidRPr="00672545">
        <w:rPr>
          <w:szCs w:val="26"/>
        </w:rPr>
        <w:t>regarding dog-scent evidence</w:t>
      </w:r>
      <w:r w:rsidR="00E016A9" w:rsidRPr="00672545">
        <w:rPr>
          <w:szCs w:val="26"/>
        </w:rPr>
        <w:t>,</w:t>
      </w:r>
      <w:r w:rsidR="00F4592B" w:rsidRPr="00672545">
        <w:rPr>
          <w:szCs w:val="26"/>
        </w:rPr>
        <w:t xml:space="preserve"> </w:t>
      </w:r>
      <w:r w:rsidR="00191FDE" w:rsidRPr="00672545">
        <w:rPr>
          <w:szCs w:val="26"/>
        </w:rPr>
        <w:t>bears substantial similarity to the standard pattern instructions</w:t>
      </w:r>
      <w:r w:rsidR="00F97E52" w:rsidRPr="00672545">
        <w:rPr>
          <w:szCs w:val="26"/>
        </w:rPr>
        <w:t xml:space="preserve"> (CALJIC No. 2.15; CALC</w:t>
      </w:r>
      <w:r w:rsidR="00456B8B" w:rsidRPr="00672545">
        <w:rPr>
          <w:szCs w:val="26"/>
        </w:rPr>
        <w:t>RIM No. 376</w:t>
      </w:r>
      <w:r w:rsidR="00F97E52" w:rsidRPr="00672545">
        <w:rPr>
          <w:szCs w:val="26"/>
        </w:rPr>
        <w:t xml:space="preserve">), </w:t>
      </w:r>
      <w:r w:rsidR="00456B8B" w:rsidRPr="00672545">
        <w:rPr>
          <w:szCs w:val="26"/>
        </w:rPr>
        <w:t>concerning</w:t>
      </w:r>
      <w:r w:rsidR="00191FDE" w:rsidRPr="00672545">
        <w:rPr>
          <w:szCs w:val="26"/>
        </w:rPr>
        <w:t xml:space="preserve"> </w:t>
      </w:r>
      <w:r w:rsidR="00780063" w:rsidRPr="00672545">
        <w:rPr>
          <w:szCs w:val="26"/>
        </w:rPr>
        <w:t xml:space="preserve">a jury’s consideration of </w:t>
      </w:r>
      <w:r w:rsidR="00191FDE" w:rsidRPr="00672545">
        <w:rPr>
          <w:szCs w:val="26"/>
        </w:rPr>
        <w:t xml:space="preserve">evidence of a defendant’s possession of recently stolen property.  </w:t>
      </w:r>
      <w:r w:rsidRPr="00672545">
        <w:rPr>
          <w:szCs w:val="26"/>
        </w:rPr>
        <w:t xml:space="preserve">CALJIC No. 2.15 and CALCRIM No. 376 </w:t>
      </w:r>
      <w:r w:rsidR="00191FDE" w:rsidRPr="00672545">
        <w:rPr>
          <w:szCs w:val="26"/>
        </w:rPr>
        <w:t xml:space="preserve">both instruct </w:t>
      </w:r>
      <w:r w:rsidR="007F1A88" w:rsidRPr="00672545">
        <w:rPr>
          <w:szCs w:val="26"/>
        </w:rPr>
        <w:t>a</w:t>
      </w:r>
      <w:r w:rsidR="00191FDE" w:rsidRPr="00672545">
        <w:rPr>
          <w:szCs w:val="26"/>
        </w:rPr>
        <w:t xml:space="preserve"> jury that</w:t>
      </w:r>
      <w:r w:rsidR="003B51A7" w:rsidRPr="00672545">
        <w:rPr>
          <w:szCs w:val="26"/>
        </w:rPr>
        <w:t xml:space="preserve"> the</w:t>
      </w:r>
      <w:r w:rsidR="00191FDE" w:rsidRPr="00672545">
        <w:rPr>
          <w:szCs w:val="26"/>
        </w:rPr>
        <w:t xml:space="preserve"> defendant’s </w:t>
      </w:r>
      <w:r w:rsidR="00CB6594" w:rsidRPr="00672545">
        <w:rPr>
          <w:szCs w:val="26"/>
        </w:rPr>
        <w:t xml:space="preserve">conscious </w:t>
      </w:r>
      <w:r w:rsidR="00191FDE" w:rsidRPr="00672545">
        <w:rPr>
          <w:szCs w:val="26"/>
        </w:rPr>
        <w:t>possession of recently stolen property</w:t>
      </w:r>
      <w:r w:rsidRPr="00672545">
        <w:rPr>
          <w:szCs w:val="26"/>
        </w:rPr>
        <w:t xml:space="preserve"> </w:t>
      </w:r>
      <w:r w:rsidR="00191FDE" w:rsidRPr="00672545">
        <w:rPr>
          <w:szCs w:val="26"/>
        </w:rPr>
        <w:t xml:space="preserve">is not by itself </w:t>
      </w:r>
      <w:proofErr w:type="gramStart"/>
      <w:r w:rsidR="00191FDE" w:rsidRPr="00672545">
        <w:rPr>
          <w:szCs w:val="26"/>
        </w:rPr>
        <w:t>sufficient</w:t>
      </w:r>
      <w:proofErr w:type="gramEnd"/>
      <w:r w:rsidR="00191FDE" w:rsidRPr="00672545">
        <w:rPr>
          <w:szCs w:val="26"/>
        </w:rPr>
        <w:t xml:space="preserve"> to permit an inference </w:t>
      </w:r>
      <w:r w:rsidR="009D0F37" w:rsidRPr="00672545">
        <w:rPr>
          <w:szCs w:val="26"/>
        </w:rPr>
        <w:t xml:space="preserve">of </w:t>
      </w:r>
      <w:r w:rsidR="003B51A7" w:rsidRPr="00672545">
        <w:rPr>
          <w:szCs w:val="26"/>
        </w:rPr>
        <w:t xml:space="preserve">the </w:t>
      </w:r>
      <w:r w:rsidR="009D0F37" w:rsidRPr="00672545">
        <w:rPr>
          <w:szCs w:val="26"/>
        </w:rPr>
        <w:t>defendant’s guilt</w:t>
      </w:r>
      <w:r w:rsidR="00191FDE" w:rsidRPr="00672545">
        <w:rPr>
          <w:szCs w:val="26"/>
        </w:rPr>
        <w:t xml:space="preserve"> and </w:t>
      </w:r>
      <w:r w:rsidR="005B4418" w:rsidRPr="00672545">
        <w:rPr>
          <w:szCs w:val="26"/>
        </w:rPr>
        <w:t>that</w:t>
      </w:r>
      <w:r w:rsidR="00780063" w:rsidRPr="00672545">
        <w:rPr>
          <w:szCs w:val="26"/>
        </w:rPr>
        <w:t xml:space="preserve"> there must be other corroborating evidence of the defendant’s guilt</w:t>
      </w:r>
      <w:r w:rsidR="009B512A" w:rsidRPr="00672545">
        <w:rPr>
          <w:szCs w:val="26"/>
        </w:rPr>
        <w:t xml:space="preserve"> before guilt may be inferred</w:t>
      </w:r>
      <w:r w:rsidR="00780063" w:rsidRPr="00672545">
        <w:rPr>
          <w:szCs w:val="26"/>
        </w:rPr>
        <w:t xml:space="preserve">.  </w:t>
      </w:r>
      <w:r w:rsidR="005B4418" w:rsidRPr="00672545">
        <w:rPr>
          <w:szCs w:val="26"/>
        </w:rPr>
        <w:t xml:space="preserve">(CALJIC No. 2.15; CALCRIM No. 376.)  </w:t>
      </w:r>
      <w:r w:rsidR="001C719D" w:rsidRPr="00672545">
        <w:rPr>
          <w:szCs w:val="26"/>
        </w:rPr>
        <w:t xml:space="preserve">Similarly, </w:t>
      </w:r>
      <w:r w:rsidR="00CB6594" w:rsidRPr="00672545">
        <w:rPr>
          <w:szCs w:val="26"/>
        </w:rPr>
        <w:t xml:space="preserve">CALJIC No. 2.16 instructs the jury that evidence of dog tracking </w:t>
      </w:r>
      <w:r w:rsidR="009D0F37" w:rsidRPr="00672545">
        <w:rPr>
          <w:szCs w:val="26"/>
        </w:rPr>
        <w:t xml:space="preserve">that </w:t>
      </w:r>
      <w:r w:rsidR="00CB6594" w:rsidRPr="00672545">
        <w:rPr>
          <w:szCs w:val="26"/>
        </w:rPr>
        <w:t>show</w:t>
      </w:r>
      <w:r w:rsidR="009D0F37" w:rsidRPr="00672545">
        <w:rPr>
          <w:szCs w:val="26"/>
        </w:rPr>
        <w:t>s</w:t>
      </w:r>
      <w:r w:rsidR="00CB6594" w:rsidRPr="00672545">
        <w:rPr>
          <w:szCs w:val="26"/>
        </w:rPr>
        <w:t xml:space="preserve"> </w:t>
      </w:r>
      <w:r w:rsidR="003B51A7" w:rsidRPr="00672545">
        <w:rPr>
          <w:szCs w:val="26"/>
        </w:rPr>
        <w:t xml:space="preserve">a </w:t>
      </w:r>
      <w:r w:rsidR="00CB6594" w:rsidRPr="00672545">
        <w:rPr>
          <w:szCs w:val="26"/>
        </w:rPr>
        <w:t xml:space="preserve">defendant to be the perpetrator of </w:t>
      </w:r>
      <w:r w:rsidR="009D0F37" w:rsidRPr="00672545">
        <w:rPr>
          <w:szCs w:val="26"/>
        </w:rPr>
        <w:t xml:space="preserve">a </w:t>
      </w:r>
      <w:r w:rsidR="00CB6594" w:rsidRPr="00672545">
        <w:rPr>
          <w:szCs w:val="26"/>
        </w:rPr>
        <w:t xml:space="preserve">charged crime is not by itself </w:t>
      </w:r>
      <w:proofErr w:type="gramStart"/>
      <w:r w:rsidR="00CB6594" w:rsidRPr="00672545">
        <w:rPr>
          <w:szCs w:val="26"/>
        </w:rPr>
        <w:t>sufficient</w:t>
      </w:r>
      <w:proofErr w:type="gramEnd"/>
      <w:r w:rsidR="00CB6594" w:rsidRPr="00672545">
        <w:rPr>
          <w:szCs w:val="26"/>
        </w:rPr>
        <w:t xml:space="preserve"> to permit an inference of </w:t>
      </w:r>
      <w:r w:rsidR="003B51A7" w:rsidRPr="00672545">
        <w:rPr>
          <w:szCs w:val="26"/>
        </w:rPr>
        <w:t xml:space="preserve">the </w:t>
      </w:r>
      <w:r w:rsidR="00CB6594" w:rsidRPr="00672545">
        <w:rPr>
          <w:szCs w:val="26"/>
        </w:rPr>
        <w:t>defendant’s guilt and that there must be corroborating</w:t>
      </w:r>
      <w:r w:rsidR="00960F3F" w:rsidRPr="00672545">
        <w:rPr>
          <w:szCs w:val="26"/>
        </w:rPr>
        <w:t xml:space="preserve"> evidence</w:t>
      </w:r>
      <w:r w:rsidR="00CB6594" w:rsidRPr="00672545">
        <w:rPr>
          <w:szCs w:val="26"/>
        </w:rPr>
        <w:t xml:space="preserve"> </w:t>
      </w:r>
      <w:r w:rsidR="00550C6E" w:rsidRPr="00672545">
        <w:rPr>
          <w:szCs w:val="26"/>
        </w:rPr>
        <w:lastRenderedPageBreak/>
        <w:t>that either supports the accuracy of the dog scent evidence itself or independently supports the identification of the defendant as the perpetrator</w:t>
      </w:r>
      <w:r w:rsidR="00CB6594" w:rsidRPr="00672545">
        <w:rPr>
          <w:szCs w:val="26"/>
        </w:rPr>
        <w:t>.</w:t>
      </w:r>
      <w:r w:rsidR="003B51A7" w:rsidRPr="00672545">
        <w:rPr>
          <w:szCs w:val="26"/>
        </w:rPr>
        <w:t xml:space="preserve"> </w:t>
      </w:r>
      <w:r w:rsidR="003B51A7" w:rsidRPr="00672545">
        <w:t xml:space="preserve"> The instructions differ in that </w:t>
      </w:r>
      <w:r w:rsidR="001B445D" w:rsidRPr="00672545">
        <w:t xml:space="preserve">both </w:t>
      </w:r>
      <w:r w:rsidR="003B51A7" w:rsidRPr="00672545">
        <w:t xml:space="preserve">CALJIC No. 2.15 and CALCRIM No. 376 instruct the jury that the corroborating evidence need only be “slight.”  CALJIC No. 2.16 does not </w:t>
      </w:r>
      <w:r w:rsidR="001B445D" w:rsidRPr="00672545">
        <w:t xml:space="preserve">include </w:t>
      </w:r>
      <w:r w:rsidR="00777011" w:rsidRPr="00672545">
        <w:t>that</w:t>
      </w:r>
      <w:r w:rsidR="003B51A7" w:rsidRPr="00672545">
        <w:t xml:space="preserve"> language</w:t>
      </w:r>
      <w:r w:rsidR="001B445D" w:rsidRPr="00672545">
        <w:t>.</w:t>
      </w:r>
    </w:p>
    <w:p w14:paraId="42C4A743" w14:textId="77777777" w:rsidR="001D1428" w:rsidRPr="00672545" w:rsidRDefault="005B4418" w:rsidP="00672545">
      <w:pPr>
        <w:rPr>
          <w:szCs w:val="26"/>
        </w:rPr>
      </w:pPr>
      <w:r w:rsidRPr="00672545">
        <w:rPr>
          <w:szCs w:val="26"/>
        </w:rPr>
        <w:tab/>
      </w:r>
      <w:r w:rsidR="009D0F37" w:rsidRPr="00672545">
        <w:rPr>
          <w:szCs w:val="26"/>
        </w:rPr>
        <w:t>Like</w:t>
      </w:r>
      <w:r w:rsidRPr="00672545">
        <w:rPr>
          <w:szCs w:val="26"/>
        </w:rPr>
        <w:t xml:space="preserve"> CALJIC No. 2.16</w:t>
      </w:r>
      <w:r w:rsidR="009D0F37" w:rsidRPr="00672545">
        <w:rPr>
          <w:szCs w:val="26"/>
        </w:rPr>
        <w:t>,</w:t>
      </w:r>
      <w:r w:rsidR="00A57A78" w:rsidRPr="00672545">
        <w:rPr>
          <w:szCs w:val="26"/>
        </w:rPr>
        <w:t xml:space="preserve"> </w:t>
      </w:r>
      <w:r w:rsidRPr="00672545">
        <w:rPr>
          <w:szCs w:val="26"/>
        </w:rPr>
        <w:t>CALJIC No. 2.15 contain</w:t>
      </w:r>
      <w:r w:rsidR="009D0F37" w:rsidRPr="00672545">
        <w:rPr>
          <w:szCs w:val="26"/>
        </w:rPr>
        <w:t>s no</w:t>
      </w:r>
      <w:r w:rsidRPr="00672545">
        <w:rPr>
          <w:szCs w:val="26"/>
        </w:rPr>
        <w:t xml:space="preserve"> </w:t>
      </w:r>
      <w:r w:rsidR="00A57A78" w:rsidRPr="00672545">
        <w:rPr>
          <w:szCs w:val="26"/>
        </w:rPr>
        <w:t xml:space="preserve">language </w:t>
      </w:r>
      <w:proofErr w:type="gramStart"/>
      <w:r w:rsidR="00A57A78" w:rsidRPr="00672545">
        <w:rPr>
          <w:szCs w:val="26"/>
        </w:rPr>
        <w:t>similar to</w:t>
      </w:r>
      <w:proofErr w:type="gramEnd"/>
      <w:r w:rsidR="00A57A78" w:rsidRPr="00672545">
        <w:rPr>
          <w:szCs w:val="26"/>
        </w:rPr>
        <w:t xml:space="preserve"> the closing reminder in CALCRIM No. 376 </w:t>
      </w:r>
      <w:r w:rsidRPr="00672545">
        <w:rPr>
          <w:szCs w:val="26"/>
        </w:rPr>
        <w:t xml:space="preserve">regarding the beyond a reasonable doubt standard of proof.  </w:t>
      </w:r>
      <w:r w:rsidR="00A57A78" w:rsidRPr="00672545">
        <w:rPr>
          <w:szCs w:val="26"/>
        </w:rPr>
        <w:t xml:space="preserve">Nevertheless, </w:t>
      </w:r>
      <w:r w:rsidR="001E73E5" w:rsidRPr="00672545">
        <w:rPr>
          <w:szCs w:val="26"/>
        </w:rPr>
        <w:t xml:space="preserve">as defendant recognizes, </w:t>
      </w:r>
      <w:r w:rsidR="00A57A78" w:rsidRPr="00672545">
        <w:rPr>
          <w:szCs w:val="26"/>
        </w:rPr>
        <w:t xml:space="preserve">we have </w:t>
      </w:r>
      <w:r w:rsidR="00B40432" w:rsidRPr="00672545">
        <w:rPr>
          <w:szCs w:val="26"/>
        </w:rPr>
        <w:t>rejected the argument that CALJIC No. 2.15 erroneous</w:t>
      </w:r>
      <w:r w:rsidR="005B1C71" w:rsidRPr="00672545">
        <w:rPr>
          <w:szCs w:val="26"/>
        </w:rPr>
        <w:t>ly</w:t>
      </w:r>
      <w:r w:rsidR="00B40432" w:rsidRPr="00672545">
        <w:rPr>
          <w:szCs w:val="26"/>
        </w:rPr>
        <w:t xml:space="preserve"> </w:t>
      </w:r>
      <w:r w:rsidR="00CB1BCD" w:rsidRPr="00672545">
        <w:rPr>
          <w:szCs w:val="26"/>
        </w:rPr>
        <w:t>lessens the prosecution’s burden of proof</w:t>
      </w:r>
      <w:r w:rsidR="00B40432" w:rsidRPr="00672545">
        <w:rPr>
          <w:szCs w:val="26"/>
        </w:rPr>
        <w:t xml:space="preserve">.  </w:t>
      </w:r>
      <w:r w:rsidR="00AF5284" w:rsidRPr="00672545">
        <w:rPr>
          <w:szCs w:val="26"/>
        </w:rPr>
        <w:t xml:space="preserve">We have found that </w:t>
      </w:r>
      <w:r w:rsidR="001E73E5" w:rsidRPr="00672545">
        <w:rPr>
          <w:szCs w:val="26"/>
        </w:rPr>
        <w:t>“</w:t>
      </w:r>
      <w:r w:rsidR="00AF5284" w:rsidRPr="00672545">
        <w:rPr>
          <w:szCs w:val="26"/>
        </w:rPr>
        <w:t xml:space="preserve">there is </w:t>
      </w:r>
      <w:r w:rsidR="001E73E5" w:rsidRPr="00672545">
        <w:rPr>
          <w:szCs w:val="26"/>
        </w:rPr>
        <w:t>nothing in the instruction that directly or indirectly addresses the burden of proof, and nothing in it relieves the prosecution of its burden to establish guilt beyond a reasonable doubt.”  (</w:t>
      </w:r>
      <w:r w:rsidR="001E73E5" w:rsidRPr="00672545">
        <w:rPr>
          <w:i/>
          <w:iCs/>
          <w:szCs w:val="26"/>
        </w:rPr>
        <w:t>People v. Parson</w:t>
      </w:r>
      <w:r w:rsidR="001E73E5" w:rsidRPr="00672545">
        <w:rPr>
          <w:szCs w:val="26"/>
        </w:rPr>
        <w:t xml:space="preserve"> (2008) 44 Cal.4th 332, </w:t>
      </w:r>
      <w:r w:rsidR="00AF04CF">
        <w:rPr>
          <w:szCs w:val="26"/>
        </w:rPr>
        <w:t>355-</w:t>
      </w:r>
      <w:r w:rsidR="001E73E5" w:rsidRPr="00672545">
        <w:rPr>
          <w:szCs w:val="26"/>
        </w:rPr>
        <w:t>356.)</w:t>
      </w:r>
      <w:r w:rsidR="00AF5284" w:rsidRPr="00672545">
        <w:rPr>
          <w:szCs w:val="26"/>
        </w:rPr>
        <w:t xml:space="preserve">  </w:t>
      </w:r>
      <w:r w:rsidR="007A3B51" w:rsidRPr="00672545">
        <w:rPr>
          <w:szCs w:val="26"/>
        </w:rPr>
        <w:t xml:space="preserve">Moreover, </w:t>
      </w:r>
      <w:r w:rsidR="001B1FB1" w:rsidRPr="00672545">
        <w:rPr>
          <w:szCs w:val="26"/>
        </w:rPr>
        <w:t xml:space="preserve">we determined, </w:t>
      </w:r>
      <w:r w:rsidR="007A3B51" w:rsidRPr="00672545">
        <w:rPr>
          <w:szCs w:val="26"/>
        </w:rPr>
        <w:t>“given the court’s other instructions regarding the proper consideration and weighing of evidence and the burden of proof, there simply ‘is “no possibility” CALJIC No. 2.15 reduced the prosecution’s burden of proof</w:t>
      </w:r>
      <w:r w:rsidR="00AF04CF">
        <w:rPr>
          <w:szCs w:val="26"/>
        </w:rPr>
        <w:t>.</w:t>
      </w:r>
      <w:proofErr w:type="gramStart"/>
      <w:r w:rsidR="00525435" w:rsidRPr="00672545">
        <w:rPr>
          <w:szCs w:val="26"/>
        </w:rPr>
        <w:t>’ ”</w:t>
      </w:r>
      <w:proofErr w:type="gramEnd"/>
      <w:r w:rsidR="00525435" w:rsidRPr="00672545">
        <w:rPr>
          <w:szCs w:val="26"/>
        </w:rPr>
        <w:t xml:space="preserve">  (</w:t>
      </w:r>
      <w:r w:rsidR="00525435" w:rsidRPr="00672545">
        <w:rPr>
          <w:i/>
          <w:szCs w:val="26"/>
        </w:rPr>
        <w:t>I</w:t>
      </w:r>
      <w:r w:rsidR="00AF04CF">
        <w:rPr>
          <w:i/>
          <w:szCs w:val="26"/>
        </w:rPr>
        <w:t xml:space="preserve">d </w:t>
      </w:r>
      <w:r w:rsidR="00AF04CF" w:rsidRPr="00AF04CF">
        <w:rPr>
          <w:szCs w:val="26"/>
        </w:rPr>
        <w:t>at p. 356</w:t>
      </w:r>
      <w:r w:rsidR="00525435" w:rsidRPr="00672545">
        <w:rPr>
          <w:szCs w:val="26"/>
        </w:rPr>
        <w:t xml:space="preserve">.)  </w:t>
      </w:r>
      <w:r w:rsidR="00F43FBD" w:rsidRPr="00672545">
        <w:rPr>
          <w:szCs w:val="26"/>
        </w:rPr>
        <w:t>Subsequently, i</w:t>
      </w:r>
      <w:r w:rsidR="00FB48F8" w:rsidRPr="00672545">
        <w:rPr>
          <w:szCs w:val="26"/>
        </w:rPr>
        <w:t xml:space="preserve">n </w:t>
      </w:r>
      <w:r w:rsidR="00FB48F8" w:rsidRPr="00672545">
        <w:rPr>
          <w:i/>
          <w:szCs w:val="26"/>
        </w:rPr>
        <w:t>People v. Moore</w:t>
      </w:r>
      <w:r w:rsidR="00FB48F8" w:rsidRPr="00672545">
        <w:rPr>
          <w:szCs w:val="26"/>
        </w:rPr>
        <w:t xml:space="preserve"> (2011) 51 Cal.4th 1104, w</w:t>
      </w:r>
      <w:r w:rsidR="00EE4081" w:rsidRPr="00672545">
        <w:rPr>
          <w:szCs w:val="26"/>
        </w:rPr>
        <w:t>e explained that</w:t>
      </w:r>
      <w:r w:rsidR="00FB48F8" w:rsidRPr="00672545">
        <w:rPr>
          <w:szCs w:val="26"/>
        </w:rPr>
        <w:t xml:space="preserve"> the trial court’s giving of CALJIC No. 2.15, although erroneous in applying the “slight” corroboration rule to a murder charge,</w:t>
      </w:r>
      <w:r w:rsidR="00EE4081" w:rsidRPr="00672545">
        <w:rPr>
          <w:szCs w:val="26"/>
        </w:rPr>
        <w:t xml:space="preserve"> “in no way alter</w:t>
      </w:r>
      <w:r w:rsidR="003F70F2" w:rsidRPr="00672545">
        <w:rPr>
          <w:szCs w:val="26"/>
        </w:rPr>
        <w:t>ed</w:t>
      </w:r>
      <w:r w:rsidR="00EE4081" w:rsidRPr="00672545">
        <w:rPr>
          <w:szCs w:val="26"/>
        </w:rPr>
        <w:t xml:space="preserve"> the trial court’s proper instructions concerning the elements of [the charged offense] that the prosecution was required to prove beyond a reasonable doubt.  </w:t>
      </w:r>
      <w:r w:rsidR="003F70F2" w:rsidRPr="00672545">
        <w:rPr>
          <w:szCs w:val="26"/>
        </w:rPr>
        <w:t>The jury was instructed</w:t>
      </w:r>
      <w:r w:rsidR="00BC537B" w:rsidRPr="00672545">
        <w:rPr>
          <w:szCs w:val="26"/>
        </w:rPr>
        <w:t xml:space="preserve"> </w:t>
      </w:r>
      <w:r w:rsidR="00AF5284" w:rsidRPr="00672545">
        <w:rPr>
          <w:szCs w:val="26"/>
        </w:rPr>
        <w:t xml:space="preserve">it could draw merely </w:t>
      </w:r>
      <w:r w:rsidR="00BC537B" w:rsidRPr="00672545">
        <w:rPr>
          <w:szCs w:val="26"/>
        </w:rPr>
        <w:t>‘</w:t>
      </w:r>
      <w:r w:rsidR="00AF5284" w:rsidRPr="00672545">
        <w:rPr>
          <w:szCs w:val="26"/>
        </w:rPr>
        <w:t>an inference of guilt</w:t>
      </w:r>
      <w:r w:rsidR="00BC537B" w:rsidRPr="00672545">
        <w:rPr>
          <w:szCs w:val="26"/>
        </w:rPr>
        <w:t>’</w:t>
      </w:r>
      <w:r w:rsidR="00AF5284" w:rsidRPr="00672545">
        <w:rPr>
          <w:szCs w:val="26"/>
        </w:rPr>
        <w:t xml:space="preserve"> from the fact of possession with slight corroboration, which any rational juror would understand meant he or she could consider this inference in deciding whether the prosecution has established the elements of </w:t>
      </w:r>
      <w:r w:rsidR="00BC537B" w:rsidRPr="00672545">
        <w:rPr>
          <w:szCs w:val="26"/>
        </w:rPr>
        <w:t xml:space="preserve">[the </w:t>
      </w:r>
      <w:r w:rsidR="00BC537B" w:rsidRPr="00672545">
        <w:rPr>
          <w:szCs w:val="26"/>
        </w:rPr>
        <w:lastRenderedPageBreak/>
        <w:t>charged offense]</w:t>
      </w:r>
      <w:r w:rsidR="00AF5284" w:rsidRPr="00672545">
        <w:rPr>
          <w:szCs w:val="26"/>
        </w:rPr>
        <w:t xml:space="preserve"> elsewhere defined in the trial court</w:t>
      </w:r>
      <w:r w:rsidR="00B277A3" w:rsidRPr="00672545">
        <w:rPr>
          <w:szCs w:val="26"/>
        </w:rPr>
        <w:t>’</w:t>
      </w:r>
      <w:r w:rsidR="00AF5284" w:rsidRPr="00672545">
        <w:rPr>
          <w:szCs w:val="26"/>
        </w:rPr>
        <w:t xml:space="preserve">s instructions. </w:t>
      </w:r>
      <w:r w:rsidR="00B277A3" w:rsidRPr="00672545">
        <w:rPr>
          <w:szCs w:val="26"/>
        </w:rPr>
        <w:t xml:space="preserve"> </w:t>
      </w:r>
      <w:r w:rsidR="00AF5284" w:rsidRPr="00672545">
        <w:rPr>
          <w:szCs w:val="26"/>
        </w:rPr>
        <w:t>The instruction purported to explain to the jury its proper consideration of a particular item of circumstantial evidence in reaching a verdict on the charges; it did not alter the defining elements of those charges.</w:t>
      </w:r>
      <w:r w:rsidR="00B277A3" w:rsidRPr="00672545">
        <w:rPr>
          <w:szCs w:val="26"/>
        </w:rPr>
        <w:t>”  (</w:t>
      </w:r>
      <w:r w:rsidR="00FB48F8" w:rsidRPr="00672545">
        <w:rPr>
          <w:i/>
          <w:szCs w:val="26"/>
        </w:rPr>
        <w:t>Id.</w:t>
      </w:r>
      <w:r w:rsidR="00FB48F8" w:rsidRPr="00672545">
        <w:rPr>
          <w:szCs w:val="26"/>
        </w:rPr>
        <w:t xml:space="preserve">, at p. </w:t>
      </w:r>
      <w:r w:rsidR="00505525" w:rsidRPr="00672545">
        <w:rPr>
          <w:szCs w:val="26"/>
        </w:rPr>
        <w:t xml:space="preserve">1131.)  </w:t>
      </w:r>
    </w:p>
    <w:p w14:paraId="0D519241" w14:textId="77777777" w:rsidR="00E462E4" w:rsidRPr="00672545" w:rsidRDefault="00FB48F8" w:rsidP="00672545">
      <w:pPr>
        <w:rPr>
          <w:szCs w:val="26"/>
        </w:rPr>
      </w:pPr>
      <w:r w:rsidRPr="00672545">
        <w:rPr>
          <w:szCs w:val="26"/>
        </w:rPr>
        <w:tab/>
        <w:t>Defendant asks that we re</w:t>
      </w:r>
      <w:r w:rsidR="00A26F5E" w:rsidRPr="00672545">
        <w:rPr>
          <w:szCs w:val="26"/>
        </w:rPr>
        <w:t>ach a different conclusion with respect to</w:t>
      </w:r>
      <w:r w:rsidR="00564922" w:rsidRPr="00672545">
        <w:rPr>
          <w:szCs w:val="26"/>
        </w:rPr>
        <w:t xml:space="preserve"> CALJIC No. 2.16 </w:t>
      </w:r>
      <w:proofErr w:type="gramStart"/>
      <w:r w:rsidR="00564922" w:rsidRPr="00672545">
        <w:rPr>
          <w:szCs w:val="26"/>
        </w:rPr>
        <w:t xml:space="preserve">in light </w:t>
      </w:r>
      <w:r w:rsidRPr="00672545">
        <w:rPr>
          <w:szCs w:val="26"/>
        </w:rPr>
        <w:t>of</w:t>
      </w:r>
      <w:proofErr w:type="gramEnd"/>
      <w:r w:rsidRPr="00672545">
        <w:rPr>
          <w:szCs w:val="26"/>
        </w:rPr>
        <w:t xml:space="preserve"> </w:t>
      </w:r>
      <w:r w:rsidR="00564922" w:rsidRPr="00672545">
        <w:rPr>
          <w:szCs w:val="26"/>
        </w:rPr>
        <w:t xml:space="preserve">the </w:t>
      </w:r>
      <w:r w:rsidR="00735EE1" w:rsidRPr="00672545">
        <w:rPr>
          <w:szCs w:val="26"/>
        </w:rPr>
        <w:t xml:space="preserve">CALCRIM committee’s decision to add </w:t>
      </w:r>
      <w:r w:rsidR="00505525" w:rsidRPr="00672545">
        <w:rPr>
          <w:szCs w:val="26"/>
        </w:rPr>
        <w:t xml:space="preserve">to CALCRIM No. 376 </w:t>
      </w:r>
      <w:r w:rsidR="00735EE1" w:rsidRPr="00672545">
        <w:rPr>
          <w:szCs w:val="26"/>
        </w:rPr>
        <w:t xml:space="preserve">the closing </w:t>
      </w:r>
      <w:r w:rsidR="00761DE7" w:rsidRPr="00672545">
        <w:rPr>
          <w:szCs w:val="26"/>
        </w:rPr>
        <w:t xml:space="preserve">reminder regarding the burden of proof </w:t>
      </w:r>
      <w:r w:rsidR="00735EE1" w:rsidRPr="00672545">
        <w:rPr>
          <w:szCs w:val="26"/>
        </w:rPr>
        <w:t xml:space="preserve">and </w:t>
      </w:r>
      <w:r w:rsidR="00F43FBD" w:rsidRPr="00672545">
        <w:rPr>
          <w:szCs w:val="26"/>
        </w:rPr>
        <w:t>in light of his assertion</w:t>
      </w:r>
      <w:r w:rsidR="00735EE1" w:rsidRPr="00672545">
        <w:rPr>
          <w:szCs w:val="26"/>
        </w:rPr>
        <w:t xml:space="preserve"> that dog-scent evidence is </w:t>
      </w:r>
      <w:r w:rsidR="004410D4" w:rsidRPr="00672545">
        <w:rPr>
          <w:szCs w:val="26"/>
        </w:rPr>
        <w:t>“</w:t>
      </w:r>
      <w:r w:rsidR="00735EE1" w:rsidRPr="00672545">
        <w:rPr>
          <w:szCs w:val="26"/>
        </w:rPr>
        <w:t>typically unreliable.</w:t>
      </w:r>
      <w:r w:rsidR="004410D4" w:rsidRPr="00672545">
        <w:rPr>
          <w:szCs w:val="26"/>
        </w:rPr>
        <w:t>”</w:t>
      </w:r>
      <w:r w:rsidR="00F81CD5" w:rsidRPr="00672545">
        <w:rPr>
          <w:szCs w:val="26"/>
        </w:rPr>
        <w:t xml:space="preserve">  </w:t>
      </w:r>
      <w:r w:rsidR="00761DE7" w:rsidRPr="00672545">
        <w:rPr>
          <w:szCs w:val="26"/>
        </w:rPr>
        <w:t xml:space="preserve">Contrary to defendant’s </w:t>
      </w:r>
      <w:r w:rsidR="004410D4" w:rsidRPr="00672545">
        <w:rPr>
          <w:szCs w:val="26"/>
        </w:rPr>
        <w:t>view</w:t>
      </w:r>
      <w:r w:rsidR="00761DE7" w:rsidRPr="00672545">
        <w:rPr>
          <w:szCs w:val="26"/>
        </w:rPr>
        <w:t xml:space="preserve">, </w:t>
      </w:r>
      <w:r w:rsidR="000F6A33" w:rsidRPr="00672545">
        <w:rPr>
          <w:szCs w:val="26"/>
        </w:rPr>
        <w:t xml:space="preserve">however, </w:t>
      </w:r>
      <w:r w:rsidR="004410D4" w:rsidRPr="00672545">
        <w:rPr>
          <w:szCs w:val="26"/>
        </w:rPr>
        <w:t xml:space="preserve">the </w:t>
      </w:r>
      <w:r w:rsidR="002D4982" w:rsidRPr="00672545">
        <w:rPr>
          <w:szCs w:val="26"/>
        </w:rPr>
        <w:t xml:space="preserve">additional </w:t>
      </w:r>
      <w:r w:rsidR="00CB5FB2" w:rsidRPr="00672545">
        <w:rPr>
          <w:szCs w:val="26"/>
        </w:rPr>
        <w:t xml:space="preserve">language of </w:t>
      </w:r>
      <w:r w:rsidR="004410D4" w:rsidRPr="00672545">
        <w:rPr>
          <w:szCs w:val="26"/>
        </w:rPr>
        <w:t xml:space="preserve">CALCRIM No. 376 does not reflect a </w:t>
      </w:r>
      <w:r w:rsidR="00505525" w:rsidRPr="00672545">
        <w:rPr>
          <w:szCs w:val="26"/>
        </w:rPr>
        <w:t xml:space="preserve">legal </w:t>
      </w:r>
      <w:r w:rsidR="005411B7" w:rsidRPr="00672545">
        <w:rPr>
          <w:szCs w:val="26"/>
        </w:rPr>
        <w:t xml:space="preserve">inaccuracy or </w:t>
      </w:r>
      <w:r w:rsidR="004410D4" w:rsidRPr="00672545">
        <w:rPr>
          <w:szCs w:val="26"/>
        </w:rPr>
        <w:t>deficiency in</w:t>
      </w:r>
      <w:r w:rsidR="00CB5FB2" w:rsidRPr="00672545">
        <w:rPr>
          <w:szCs w:val="26"/>
        </w:rPr>
        <w:t xml:space="preserve"> CALJIC No. 2.16.</w:t>
      </w:r>
      <w:r w:rsidR="004410D4" w:rsidRPr="00672545">
        <w:rPr>
          <w:szCs w:val="26"/>
        </w:rPr>
        <w:t xml:space="preserve">  </w:t>
      </w:r>
      <w:r w:rsidR="00B55DE1" w:rsidRPr="00672545">
        <w:rPr>
          <w:szCs w:val="26"/>
        </w:rPr>
        <w:t>CALJIC No. 2.16</w:t>
      </w:r>
      <w:r w:rsidR="00756F2B" w:rsidRPr="00672545">
        <w:rPr>
          <w:szCs w:val="26"/>
        </w:rPr>
        <w:t xml:space="preserve"> provided the jury with instruction</w:t>
      </w:r>
      <w:r w:rsidR="00B55DE1" w:rsidRPr="00672545">
        <w:rPr>
          <w:szCs w:val="26"/>
        </w:rPr>
        <w:t>s</w:t>
      </w:r>
      <w:r w:rsidR="00756F2B" w:rsidRPr="00672545">
        <w:rPr>
          <w:szCs w:val="26"/>
        </w:rPr>
        <w:t xml:space="preserve"> regarding a</w:t>
      </w:r>
      <w:r w:rsidR="00396E18" w:rsidRPr="00672545">
        <w:rPr>
          <w:szCs w:val="26"/>
        </w:rPr>
        <w:t>n</w:t>
      </w:r>
      <w:r w:rsidR="00756F2B" w:rsidRPr="00672545">
        <w:rPr>
          <w:szCs w:val="26"/>
        </w:rPr>
        <w:t xml:space="preserve"> inference that the jury might </w:t>
      </w:r>
      <w:r w:rsidR="00396E18" w:rsidRPr="00672545">
        <w:rPr>
          <w:szCs w:val="26"/>
        </w:rPr>
        <w:t xml:space="preserve">draw from this </w:t>
      </w:r>
      <w:proofErr w:type="gramStart"/>
      <w:r w:rsidR="00396E18" w:rsidRPr="00672545">
        <w:rPr>
          <w:szCs w:val="26"/>
        </w:rPr>
        <w:t>particular item</w:t>
      </w:r>
      <w:proofErr w:type="gramEnd"/>
      <w:r w:rsidR="00396E18" w:rsidRPr="00672545">
        <w:rPr>
          <w:szCs w:val="26"/>
        </w:rPr>
        <w:t xml:space="preserve"> of circumstantial evidence</w:t>
      </w:r>
      <w:r w:rsidR="00756F2B" w:rsidRPr="00672545">
        <w:rPr>
          <w:szCs w:val="26"/>
        </w:rPr>
        <w:t xml:space="preserve"> but did not alter the </w:t>
      </w:r>
      <w:r w:rsidR="00B55DE1" w:rsidRPr="00672545">
        <w:rPr>
          <w:szCs w:val="26"/>
        </w:rPr>
        <w:t xml:space="preserve">court’s other instructions concerning the necessity of proof beyond a reasonable doubt.  (CALJIC Nos. 2.01, 2.90.)  </w:t>
      </w:r>
      <w:r w:rsidR="004C74F9" w:rsidRPr="00672545">
        <w:rPr>
          <w:szCs w:val="26"/>
        </w:rPr>
        <w:t>And, a</w:t>
      </w:r>
      <w:r w:rsidR="00735EE1" w:rsidRPr="00672545">
        <w:rPr>
          <w:szCs w:val="26"/>
        </w:rPr>
        <w:t xml:space="preserve">s explained in the previous section, </w:t>
      </w:r>
      <w:r w:rsidR="00B808CA" w:rsidRPr="00672545">
        <w:rPr>
          <w:szCs w:val="26"/>
        </w:rPr>
        <w:t xml:space="preserve">courts have treated </w:t>
      </w:r>
      <w:r w:rsidR="00735EE1" w:rsidRPr="00672545">
        <w:rPr>
          <w:szCs w:val="26"/>
        </w:rPr>
        <w:t xml:space="preserve">dog-scent evidence that has passed the stringent foundational requirements for admission into evidence </w:t>
      </w:r>
      <w:r w:rsidR="00B808CA" w:rsidRPr="00672545">
        <w:rPr>
          <w:szCs w:val="26"/>
        </w:rPr>
        <w:t>as not “inferior or untrustworthy.”  (</w:t>
      </w:r>
      <w:proofErr w:type="spellStart"/>
      <w:r w:rsidR="00B808CA" w:rsidRPr="00672545">
        <w:rPr>
          <w:i/>
          <w:szCs w:val="26"/>
        </w:rPr>
        <w:t>Malgren</w:t>
      </w:r>
      <w:proofErr w:type="spellEnd"/>
      <w:r w:rsidR="00B808CA" w:rsidRPr="00672545">
        <w:rPr>
          <w:szCs w:val="26"/>
        </w:rPr>
        <w:t xml:space="preserve">, </w:t>
      </w:r>
      <w:r w:rsidR="006242A5" w:rsidRPr="00672545">
        <w:rPr>
          <w:i/>
          <w:szCs w:val="26"/>
        </w:rPr>
        <w:t>supra</w:t>
      </w:r>
      <w:r w:rsidR="006242A5" w:rsidRPr="00672545">
        <w:rPr>
          <w:szCs w:val="26"/>
        </w:rPr>
        <w:t>, 139 Cal.App.3d at p.</w:t>
      </w:r>
      <w:r w:rsidR="00B808CA" w:rsidRPr="00672545">
        <w:rPr>
          <w:szCs w:val="26"/>
        </w:rPr>
        <w:t xml:space="preserve"> 241.)</w:t>
      </w:r>
      <w:r w:rsidR="00175FD8" w:rsidRPr="00672545">
        <w:rPr>
          <w:szCs w:val="26"/>
        </w:rPr>
        <w:t xml:space="preserve">  Defendant fails</w:t>
      </w:r>
      <w:r w:rsidR="004C74F9" w:rsidRPr="00672545">
        <w:rPr>
          <w:szCs w:val="26"/>
        </w:rPr>
        <w:t xml:space="preserve"> t</w:t>
      </w:r>
      <w:r w:rsidR="00175FD8" w:rsidRPr="00672545">
        <w:rPr>
          <w:szCs w:val="26"/>
        </w:rPr>
        <w:t xml:space="preserve">o persuade us that </w:t>
      </w:r>
      <w:r w:rsidR="00CB5FB2" w:rsidRPr="00672545">
        <w:rPr>
          <w:szCs w:val="26"/>
        </w:rPr>
        <w:t xml:space="preserve">our previous rejection of this argument in the context of CALJIC No. 2.15 should </w:t>
      </w:r>
      <w:r w:rsidR="0058367F" w:rsidRPr="00672545">
        <w:rPr>
          <w:szCs w:val="26"/>
        </w:rPr>
        <w:t xml:space="preserve">not be </w:t>
      </w:r>
      <w:r w:rsidR="004269F5" w:rsidRPr="00672545">
        <w:rPr>
          <w:szCs w:val="26"/>
        </w:rPr>
        <w:t>applied by analogy to CALJIC No. 2.16.</w:t>
      </w:r>
      <w:r w:rsidR="00175FD8" w:rsidRPr="00672545">
        <w:rPr>
          <w:szCs w:val="26"/>
        </w:rPr>
        <w:t xml:space="preserve">  </w:t>
      </w:r>
      <w:r w:rsidR="00482C98" w:rsidRPr="00672545">
        <w:rPr>
          <w:szCs w:val="26"/>
        </w:rPr>
        <w:t>Doing so, we reject defendant’s claim of error.</w:t>
      </w:r>
    </w:p>
    <w:p w14:paraId="0D648415" w14:textId="77777777" w:rsidR="00482C98" w:rsidRPr="00672545" w:rsidRDefault="005411B7" w:rsidP="00672545">
      <w:pPr>
        <w:pStyle w:val="Heading3"/>
      </w:pPr>
      <w:bookmarkStart w:id="26" w:name="_Toc506979817"/>
      <w:r w:rsidRPr="00672545">
        <w:t xml:space="preserve">11.  </w:t>
      </w:r>
      <w:r w:rsidR="00F64E31" w:rsidRPr="00672545">
        <w:t xml:space="preserve">The Trial Court’s Refusal to Modify CALJIC No. 2.51 </w:t>
      </w:r>
      <w:r w:rsidR="00FC7C58" w:rsidRPr="00672545">
        <w:t xml:space="preserve"> </w:t>
      </w:r>
      <w:bookmarkEnd w:id="26"/>
    </w:p>
    <w:p w14:paraId="642BE382" w14:textId="77777777" w:rsidR="00FB4E5B" w:rsidRPr="00672545" w:rsidRDefault="00F64E31" w:rsidP="00672545">
      <w:pPr>
        <w:rPr>
          <w:szCs w:val="26"/>
        </w:rPr>
      </w:pPr>
      <w:r w:rsidRPr="00672545">
        <w:rPr>
          <w:szCs w:val="26"/>
        </w:rPr>
        <w:tab/>
      </w:r>
      <w:r w:rsidR="00590873" w:rsidRPr="00672545">
        <w:rPr>
          <w:szCs w:val="26"/>
        </w:rPr>
        <w:t xml:space="preserve">The trial court instructed the jury </w:t>
      </w:r>
      <w:r w:rsidR="0097763B" w:rsidRPr="00672545">
        <w:rPr>
          <w:szCs w:val="26"/>
        </w:rPr>
        <w:t xml:space="preserve">with CALJIC No. 2.51 </w:t>
      </w:r>
      <w:r w:rsidR="00590873" w:rsidRPr="00672545">
        <w:rPr>
          <w:szCs w:val="26"/>
        </w:rPr>
        <w:t>that “[m]</w:t>
      </w:r>
      <w:proofErr w:type="spellStart"/>
      <w:r w:rsidR="00590873" w:rsidRPr="00672545">
        <w:rPr>
          <w:szCs w:val="26"/>
        </w:rPr>
        <w:t>otive</w:t>
      </w:r>
      <w:proofErr w:type="spellEnd"/>
      <w:r w:rsidR="00590873" w:rsidRPr="00672545">
        <w:rPr>
          <w:szCs w:val="26"/>
        </w:rPr>
        <w:t xml:space="preserve"> is not an element of the crime charged and need not be shown.  However, you may consider motive or lack of motive as a circumstance in this case.  Presence of motive may </w:t>
      </w:r>
      <w:r w:rsidR="00590873" w:rsidRPr="00672545">
        <w:rPr>
          <w:szCs w:val="26"/>
        </w:rPr>
        <w:lastRenderedPageBreak/>
        <w:t>tend to establish the defendant is guilty.  Absence of motive may tend to show the defendant is not guilty.”</w:t>
      </w:r>
      <w:r w:rsidR="00F81CD5" w:rsidRPr="00672545">
        <w:rPr>
          <w:szCs w:val="26"/>
        </w:rPr>
        <w:t xml:space="preserve">  </w:t>
      </w:r>
      <w:r w:rsidR="00590873" w:rsidRPr="00672545">
        <w:rPr>
          <w:szCs w:val="26"/>
        </w:rPr>
        <w:t>The trial court de</w:t>
      </w:r>
      <w:r w:rsidR="00DA6C83" w:rsidRPr="00672545">
        <w:rPr>
          <w:szCs w:val="26"/>
        </w:rPr>
        <w:t>nied</w:t>
      </w:r>
      <w:r w:rsidR="00590873" w:rsidRPr="00672545">
        <w:rPr>
          <w:szCs w:val="26"/>
        </w:rPr>
        <w:t xml:space="preserve"> defendant’s request to add language instructing the jury that “motive is not sufficient by itself to prove guilt, and its weight and significance, if any, are for you to decide.”</w:t>
      </w:r>
      <w:r w:rsidR="00F81CD5" w:rsidRPr="00672545">
        <w:rPr>
          <w:szCs w:val="26"/>
        </w:rPr>
        <w:t xml:space="preserve">  </w:t>
      </w:r>
    </w:p>
    <w:p w14:paraId="02C3CFD1" w14:textId="77777777" w:rsidR="00482C98" w:rsidRPr="00672545" w:rsidRDefault="00FB4E5B" w:rsidP="00672545">
      <w:pPr>
        <w:rPr>
          <w:szCs w:val="26"/>
        </w:rPr>
      </w:pPr>
      <w:r w:rsidRPr="00672545">
        <w:rPr>
          <w:szCs w:val="26"/>
        </w:rPr>
        <w:tab/>
      </w:r>
      <w:r w:rsidR="003E211B" w:rsidRPr="00672545">
        <w:rPr>
          <w:szCs w:val="26"/>
        </w:rPr>
        <w:t>Pointing to other instructions</w:t>
      </w:r>
      <w:r w:rsidR="00590873" w:rsidRPr="00672545">
        <w:rPr>
          <w:szCs w:val="26"/>
        </w:rPr>
        <w:t xml:space="preserve"> that contain language</w:t>
      </w:r>
      <w:r w:rsidR="00E3355B" w:rsidRPr="00672545">
        <w:rPr>
          <w:szCs w:val="26"/>
        </w:rPr>
        <w:t xml:space="preserve"> cautioning the jury that certain evidence is not </w:t>
      </w:r>
      <w:proofErr w:type="gramStart"/>
      <w:r w:rsidR="00E3355B" w:rsidRPr="00672545">
        <w:rPr>
          <w:szCs w:val="26"/>
        </w:rPr>
        <w:t>sufficient</w:t>
      </w:r>
      <w:proofErr w:type="gramEnd"/>
      <w:r w:rsidR="00E3355B" w:rsidRPr="00672545">
        <w:rPr>
          <w:szCs w:val="26"/>
        </w:rPr>
        <w:t xml:space="preserve"> to establish guilt</w:t>
      </w:r>
      <w:r w:rsidR="00590873" w:rsidRPr="00672545">
        <w:rPr>
          <w:szCs w:val="26"/>
        </w:rPr>
        <w:t xml:space="preserve">, </w:t>
      </w:r>
      <w:r w:rsidR="003E211B" w:rsidRPr="00672545">
        <w:rPr>
          <w:szCs w:val="26"/>
        </w:rPr>
        <w:t xml:space="preserve">including CALJIC Nos. 2.15 and 2.16, </w:t>
      </w:r>
      <w:r w:rsidR="00590873" w:rsidRPr="00672545">
        <w:rPr>
          <w:szCs w:val="26"/>
        </w:rPr>
        <w:t>defendant argues that it was error for the trial court to refuse his request</w:t>
      </w:r>
      <w:r w:rsidR="003E211B" w:rsidRPr="00672545">
        <w:rPr>
          <w:szCs w:val="26"/>
        </w:rPr>
        <w:t xml:space="preserve">.  </w:t>
      </w:r>
      <w:r w:rsidR="00DA6CD2" w:rsidRPr="00672545">
        <w:rPr>
          <w:szCs w:val="26"/>
        </w:rPr>
        <w:t xml:space="preserve">Defendant contends that under the specific circumstances of this case, </w:t>
      </w:r>
      <w:r w:rsidR="000D095F" w:rsidRPr="00672545">
        <w:rPr>
          <w:szCs w:val="26"/>
        </w:rPr>
        <w:t>in which</w:t>
      </w:r>
      <w:r w:rsidR="00DA6CD2" w:rsidRPr="00672545">
        <w:rPr>
          <w:szCs w:val="26"/>
        </w:rPr>
        <w:t xml:space="preserve"> inflammatory images of child pornography were offered as evidence of motive, the additional language was not only salutary, but necessary</w:t>
      </w:r>
      <w:r w:rsidR="00F02001" w:rsidRPr="00672545">
        <w:rPr>
          <w:szCs w:val="26"/>
        </w:rPr>
        <w:t xml:space="preserve">.  </w:t>
      </w:r>
    </w:p>
    <w:p w14:paraId="2D083362" w14:textId="77777777" w:rsidR="00F02001" w:rsidRPr="00672545" w:rsidRDefault="003E211B" w:rsidP="00672545">
      <w:pPr>
        <w:rPr>
          <w:szCs w:val="26"/>
        </w:rPr>
      </w:pPr>
      <w:r w:rsidRPr="00672545">
        <w:rPr>
          <w:szCs w:val="26"/>
        </w:rPr>
        <w:tab/>
      </w:r>
      <w:r w:rsidR="00F02001" w:rsidRPr="00672545">
        <w:rPr>
          <w:szCs w:val="26"/>
        </w:rPr>
        <w:t>This court has previously rejected the argument that it is necessary to instruct th</w:t>
      </w:r>
      <w:r w:rsidR="000D095F" w:rsidRPr="00672545">
        <w:rPr>
          <w:szCs w:val="26"/>
        </w:rPr>
        <w:t>e jury that motive alone is in</w:t>
      </w:r>
      <w:r w:rsidR="00F02001" w:rsidRPr="00672545">
        <w:rPr>
          <w:szCs w:val="26"/>
        </w:rPr>
        <w:t xml:space="preserve">sufficient to establish guilt.  We have explained that if CALJIC No. 2.51 </w:t>
      </w:r>
      <w:proofErr w:type="gramStart"/>
      <w:r w:rsidR="00F02001" w:rsidRPr="00672545">
        <w:rPr>
          <w:szCs w:val="26"/>
        </w:rPr>
        <w:t>“</w:t>
      </w:r>
      <w:r w:rsidR="002E0A9C" w:rsidRPr="00672545">
        <w:rPr>
          <w:szCs w:val="26"/>
        </w:rPr>
        <w:t xml:space="preserve"> ‘</w:t>
      </w:r>
      <w:proofErr w:type="gramEnd"/>
      <w:r w:rsidR="00F02001" w:rsidRPr="00672545">
        <w:rPr>
          <w:szCs w:val="26"/>
        </w:rPr>
        <w:t xml:space="preserve">somehow suggested that motive alone </w:t>
      </w:r>
      <w:r w:rsidR="00F02001" w:rsidRPr="00672545">
        <w:rPr>
          <w:i/>
          <w:iCs/>
          <w:szCs w:val="26"/>
        </w:rPr>
        <w:t>was</w:t>
      </w:r>
      <w:r w:rsidR="00F02001" w:rsidRPr="00672545">
        <w:rPr>
          <w:szCs w:val="26"/>
        </w:rPr>
        <w:t xml:space="preserve"> sufficient to establish guilt, defendant’s point might have merit. </w:t>
      </w:r>
      <w:r w:rsidR="00E4190E" w:rsidRPr="00672545">
        <w:rPr>
          <w:szCs w:val="26"/>
        </w:rPr>
        <w:t xml:space="preserve"> </w:t>
      </w:r>
      <w:r w:rsidR="00F02001" w:rsidRPr="00672545">
        <w:rPr>
          <w:szCs w:val="26"/>
        </w:rPr>
        <w:t xml:space="preserve">But in </w:t>
      </w:r>
      <w:proofErr w:type="gramStart"/>
      <w:r w:rsidR="00F02001" w:rsidRPr="00672545">
        <w:rPr>
          <w:szCs w:val="26"/>
        </w:rPr>
        <w:t>fact</w:t>
      </w:r>
      <w:proofErr w:type="gramEnd"/>
      <w:r w:rsidR="00F02001" w:rsidRPr="00672545">
        <w:rPr>
          <w:szCs w:val="26"/>
        </w:rPr>
        <w:t xml:space="preserve"> the instruction tells the jury that motive is not an element of the crime charged (murder) and need not be shown, which leaves little conceptual room for the idea that motive could establish </w:t>
      </w:r>
      <w:r w:rsidR="00F02001" w:rsidRPr="00672545">
        <w:rPr>
          <w:i/>
          <w:iCs/>
          <w:szCs w:val="26"/>
        </w:rPr>
        <w:t>all</w:t>
      </w:r>
      <w:r w:rsidR="00F02001" w:rsidRPr="00672545">
        <w:rPr>
          <w:szCs w:val="26"/>
        </w:rPr>
        <w:t xml:space="preserve"> the elements of murder. </w:t>
      </w:r>
      <w:r w:rsidR="00E4190E" w:rsidRPr="00672545">
        <w:rPr>
          <w:szCs w:val="26"/>
        </w:rPr>
        <w:t xml:space="preserve"> </w:t>
      </w:r>
      <w:r w:rsidR="00F02001" w:rsidRPr="00672545">
        <w:rPr>
          <w:szCs w:val="26"/>
        </w:rPr>
        <w:t xml:space="preserve">When CALJIC No. 2.51 is taken together with the instruction on the concurrence of act and specific intent (CALJIC No. 3.31) and the instruction outlining the elements of murder and requiring each of them to be proved in order to prove the crime (CALJIC No. 8.10), there is no reasonable likelihood </w:t>
      </w:r>
      <w:r w:rsidR="00E4190E" w:rsidRPr="00672545">
        <w:rPr>
          <w:szCs w:val="26"/>
        </w:rPr>
        <w:t xml:space="preserve">[citation] </w:t>
      </w:r>
      <w:r w:rsidR="00F02001" w:rsidRPr="00672545">
        <w:rPr>
          <w:szCs w:val="26"/>
        </w:rPr>
        <w:t xml:space="preserve">it would be read as suggesting that proof of motive alone may establish </w:t>
      </w:r>
      <w:proofErr w:type="spellStart"/>
      <w:r w:rsidR="00F02001" w:rsidRPr="00672545">
        <w:rPr>
          <w:szCs w:val="26"/>
        </w:rPr>
        <w:t>guilt</w:t>
      </w:r>
      <w:proofErr w:type="spellEnd"/>
      <w:r w:rsidR="00F02001" w:rsidRPr="00672545">
        <w:rPr>
          <w:szCs w:val="26"/>
        </w:rPr>
        <w:t xml:space="preserve"> of murder.</w:t>
      </w:r>
      <w:r w:rsidR="002E0A9C" w:rsidRPr="00672545">
        <w:rPr>
          <w:szCs w:val="26"/>
        </w:rPr>
        <w:t xml:space="preserve">’ </w:t>
      </w:r>
      <w:r w:rsidR="00E4190E" w:rsidRPr="00672545">
        <w:rPr>
          <w:szCs w:val="26"/>
        </w:rPr>
        <w:t xml:space="preserve">” </w:t>
      </w:r>
      <w:r w:rsidR="00F02001" w:rsidRPr="00672545">
        <w:rPr>
          <w:szCs w:val="26"/>
        </w:rPr>
        <w:t xml:space="preserve"> </w:t>
      </w:r>
      <w:r w:rsidR="00E4190E" w:rsidRPr="00672545">
        <w:rPr>
          <w:szCs w:val="26"/>
        </w:rPr>
        <w:t>(</w:t>
      </w:r>
      <w:r w:rsidR="00E4190E" w:rsidRPr="00672545">
        <w:rPr>
          <w:i/>
          <w:szCs w:val="26"/>
        </w:rPr>
        <w:t>People v. Livingston</w:t>
      </w:r>
      <w:r w:rsidR="00E4190E" w:rsidRPr="00672545">
        <w:rPr>
          <w:szCs w:val="26"/>
        </w:rPr>
        <w:t xml:space="preserve"> (2012) 53 Cal.4th 1145, 1168</w:t>
      </w:r>
      <w:r w:rsidR="00203096" w:rsidRPr="00672545">
        <w:rPr>
          <w:szCs w:val="26"/>
        </w:rPr>
        <w:t xml:space="preserve"> (</w:t>
      </w:r>
      <w:r w:rsidR="00203096" w:rsidRPr="00672545">
        <w:rPr>
          <w:i/>
          <w:szCs w:val="26"/>
        </w:rPr>
        <w:t>Livingston</w:t>
      </w:r>
      <w:r w:rsidR="00203096" w:rsidRPr="00672545">
        <w:rPr>
          <w:szCs w:val="26"/>
        </w:rPr>
        <w:t>)</w:t>
      </w:r>
      <w:r w:rsidR="002E0A9C" w:rsidRPr="00672545">
        <w:rPr>
          <w:szCs w:val="26"/>
        </w:rPr>
        <w:t xml:space="preserve">, quoting </w:t>
      </w:r>
      <w:r w:rsidR="002E0A9C" w:rsidRPr="00672545">
        <w:rPr>
          <w:i/>
          <w:szCs w:val="26"/>
        </w:rPr>
        <w:t>People v. Snow</w:t>
      </w:r>
      <w:r w:rsidR="002E0A9C" w:rsidRPr="00672545">
        <w:rPr>
          <w:szCs w:val="26"/>
        </w:rPr>
        <w:t xml:space="preserve"> (2003) 30 Cal.4th 43, 97-98 (</w:t>
      </w:r>
      <w:r w:rsidR="002E0A9C" w:rsidRPr="00672545">
        <w:rPr>
          <w:i/>
          <w:szCs w:val="26"/>
        </w:rPr>
        <w:t>Snow</w:t>
      </w:r>
      <w:r w:rsidR="002E0A9C" w:rsidRPr="00672545">
        <w:rPr>
          <w:szCs w:val="26"/>
        </w:rPr>
        <w:t>)</w:t>
      </w:r>
      <w:r w:rsidR="00E4190E" w:rsidRPr="00672545">
        <w:rPr>
          <w:szCs w:val="26"/>
        </w:rPr>
        <w:t>.)</w:t>
      </w:r>
    </w:p>
    <w:p w14:paraId="2EA801C2" w14:textId="7B9178B3" w:rsidR="003E211B" w:rsidRPr="00672545" w:rsidRDefault="00A770AC" w:rsidP="00672545">
      <w:pPr>
        <w:rPr>
          <w:szCs w:val="26"/>
        </w:rPr>
      </w:pPr>
      <w:r w:rsidRPr="00672545">
        <w:rPr>
          <w:szCs w:val="26"/>
        </w:rPr>
        <w:lastRenderedPageBreak/>
        <w:tab/>
        <w:t xml:space="preserve">Defendant </w:t>
      </w:r>
      <w:r w:rsidR="000A510F" w:rsidRPr="00672545">
        <w:rPr>
          <w:szCs w:val="26"/>
        </w:rPr>
        <w:t>argues</w:t>
      </w:r>
      <w:r w:rsidR="00203096" w:rsidRPr="00672545">
        <w:rPr>
          <w:szCs w:val="26"/>
        </w:rPr>
        <w:t xml:space="preserve"> that because</w:t>
      </w:r>
      <w:r w:rsidRPr="00672545">
        <w:rPr>
          <w:szCs w:val="26"/>
        </w:rPr>
        <w:t xml:space="preserve"> </w:t>
      </w:r>
      <w:r w:rsidRPr="00672545">
        <w:rPr>
          <w:i/>
          <w:szCs w:val="26"/>
        </w:rPr>
        <w:t>Livingston, supra</w:t>
      </w:r>
      <w:r w:rsidR="000D095F" w:rsidRPr="00672545">
        <w:rPr>
          <w:szCs w:val="26"/>
        </w:rPr>
        <w:t>, 53 Cal.4th at page</w:t>
      </w:r>
      <w:r w:rsidRPr="00672545">
        <w:rPr>
          <w:szCs w:val="26"/>
        </w:rPr>
        <w:t xml:space="preserve"> 1168, </w:t>
      </w:r>
      <w:r w:rsidR="00203096" w:rsidRPr="00672545">
        <w:rPr>
          <w:szCs w:val="26"/>
        </w:rPr>
        <w:t xml:space="preserve">involved a claim </w:t>
      </w:r>
      <w:r w:rsidRPr="00672545">
        <w:rPr>
          <w:szCs w:val="26"/>
        </w:rPr>
        <w:t xml:space="preserve">that the trial court had a </w:t>
      </w:r>
      <w:r w:rsidR="00203096" w:rsidRPr="00672545">
        <w:rPr>
          <w:szCs w:val="26"/>
        </w:rPr>
        <w:t>duty to modify CALJIC No. 2.51</w:t>
      </w:r>
      <w:r w:rsidR="00CC56C4" w:rsidRPr="00672545">
        <w:rPr>
          <w:szCs w:val="26"/>
        </w:rPr>
        <w:t xml:space="preserve"> on its own motion</w:t>
      </w:r>
      <w:r w:rsidR="00203096" w:rsidRPr="00672545">
        <w:rPr>
          <w:szCs w:val="26"/>
        </w:rPr>
        <w:t xml:space="preserve">, it is not authority for rejecting his </w:t>
      </w:r>
      <w:r w:rsidR="000A510F" w:rsidRPr="00672545">
        <w:rPr>
          <w:szCs w:val="26"/>
        </w:rPr>
        <w:t>contention</w:t>
      </w:r>
      <w:r w:rsidR="00203096" w:rsidRPr="00672545">
        <w:rPr>
          <w:szCs w:val="26"/>
        </w:rPr>
        <w:t xml:space="preserve"> that the trial court erred in denying his </w:t>
      </w:r>
      <w:r w:rsidR="00203096" w:rsidRPr="00672545">
        <w:rPr>
          <w:i/>
          <w:szCs w:val="26"/>
        </w:rPr>
        <w:t>request</w:t>
      </w:r>
      <w:r w:rsidR="00203096" w:rsidRPr="00672545">
        <w:rPr>
          <w:szCs w:val="26"/>
        </w:rPr>
        <w:t xml:space="preserve"> for the additional language.</w:t>
      </w:r>
      <w:r w:rsidRPr="00672545">
        <w:rPr>
          <w:szCs w:val="26"/>
        </w:rPr>
        <w:t xml:space="preserve">  </w:t>
      </w:r>
      <w:r w:rsidR="00203096" w:rsidRPr="00672545">
        <w:rPr>
          <w:szCs w:val="26"/>
        </w:rPr>
        <w:t xml:space="preserve">However, nothing in </w:t>
      </w:r>
      <w:r w:rsidR="00203096" w:rsidRPr="00672545">
        <w:rPr>
          <w:i/>
          <w:szCs w:val="26"/>
        </w:rPr>
        <w:t>Snow</w:t>
      </w:r>
      <w:r w:rsidR="00203096" w:rsidRPr="00672545">
        <w:rPr>
          <w:szCs w:val="26"/>
        </w:rPr>
        <w:t xml:space="preserve"> or </w:t>
      </w:r>
      <w:r w:rsidR="00203096" w:rsidRPr="00672545">
        <w:rPr>
          <w:i/>
          <w:szCs w:val="26"/>
        </w:rPr>
        <w:t>Livingston</w:t>
      </w:r>
      <w:r w:rsidR="00203096" w:rsidRPr="00672545">
        <w:rPr>
          <w:szCs w:val="26"/>
        </w:rPr>
        <w:t xml:space="preserve"> suggests our rejection of the argument was limited to claims concern</w:t>
      </w:r>
      <w:r w:rsidR="00CC56C4" w:rsidRPr="00672545">
        <w:rPr>
          <w:szCs w:val="26"/>
        </w:rPr>
        <w:t>ing the trial court’s</w:t>
      </w:r>
      <w:r w:rsidR="00203096" w:rsidRPr="00672545">
        <w:rPr>
          <w:szCs w:val="26"/>
        </w:rPr>
        <w:t xml:space="preserve"> duty to instruct</w:t>
      </w:r>
      <w:r w:rsidR="00CC56C4" w:rsidRPr="00672545">
        <w:rPr>
          <w:szCs w:val="26"/>
        </w:rPr>
        <w:t xml:space="preserve"> on its own motion</w:t>
      </w:r>
      <w:r w:rsidR="00203096" w:rsidRPr="00672545">
        <w:rPr>
          <w:szCs w:val="26"/>
        </w:rPr>
        <w:t xml:space="preserve">.  Indeed, </w:t>
      </w:r>
      <w:r w:rsidR="000A510F" w:rsidRPr="00672545">
        <w:rPr>
          <w:szCs w:val="26"/>
        </w:rPr>
        <w:t xml:space="preserve">the defendant in </w:t>
      </w:r>
      <w:r w:rsidR="000A510F" w:rsidRPr="00672545">
        <w:rPr>
          <w:i/>
          <w:szCs w:val="26"/>
        </w:rPr>
        <w:t>Livingston</w:t>
      </w:r>
      <w:r w:rsidR="000A510F" w:rsidRPr="00672545">
        <w:rPr>
          <w:szCs w:val="26"/>
        </w:rPr>
        <w:t xml:space="preserve"> noted that the court had instructed the jury in his case regarding flight, using the language of CALJIC No. 2.52, which told the jury that evidence </w:t>
      </w:r>
      <w:r w:rsidR="004B20C4" w:rsidRPr="00672545">
        <w:rPr>
          <w:szCs w:val="26"/>
        </w:rPr>
        <w:t xml:space="preserve">of flight </w:t>
      </w:r>
      <w:r w:rsidR="000A510F" w:rsidRPr="00672545">
        <w:rPr>
          <w:szCs w:val="26"/>
        </w:rPr>
        <w:t xml:space="preserve">is not </w:t>
      </w:r>
      <w:proofErr w:type="gramStart"/>
      <w:r w:rsidR="000A510F" w:rsidRPr="00672545">
        <w:rPr>
          <w:szCs w:val="26"/>
        </w:rPr>
        <w:t>sufficient</w:t>
      </w:r>
      <w:proofErr w:type="gramEnd"/>
      <w:r w:rsidR="000A510F" w:rsidRPr="00672545">
        <w:rPr>
          <w:szCs w:val="26"/>
        </w:rPr>
        <w:t xml:space="preserve"> by itself to establish guilt.  Livingston contended that “the failure to so state regarding motive would cause the jury to believe that motive alone </w:t>
      </w:r>
      <w:r w:rsidR="000A510F" w:rsidRPr="00672545">
        <w:rPr>
          <w:i/>
          <w:szCs w:val="26"/>
        </w:rPr>
        <w:t>was</w:t>
      </w:r>
      <w:r w:rsidR="000A510F" w:rsidRPr="00672545">
        <w:rPr>
          <w:szCs w:val="26"/>
        </w:rPr>
        <w:t xml:space="preserve"> enough to convict.”  (</w:t>
      </w:r>
      <w:r w:rsidR="00AF04CF">
        <w:rPr>
          <w:i/>
          <w:szCs w:val="26"/>
        </w:rPr>
        <w:t>Living</w:t>
      </w:r>
      <w:r w:rsidR="008F4915">
        <w:rPr>
          <w:i/>
          <w:szCs w:val="26"/>
        </w:rPr>
        <w:t>s</w:t>
      </w:r>
      <w:r w:rsidR="00AF04CF">
        <w:rPr>
          <w:i/>
          <w:szCs w:val="26"/>
        </w:rPr>
        <w:t xml:space="preserve">ton, supra, </w:t>
      </w:r>
      <w:r w:rsidR="00AF04CF">
        <w:rPr>
          <w:szCs w:val="26"/>
        </w:rPr>
        <w:t>53 Cal.4th at p. 1168</w:t>
      </w:r>
      <w:proofErr w:type="gramStart"/>
      <w:r w:rsidR="00D21214" w:rsidRPr="00672545">
        <w:rPr>
          <w:szCs w:val="26"/>
        </w:rPr>
        <w:t xml:space="preserve">) </w:t>
      </w:r>
      <w:r w:rsidR="000A510F" w:rsidRPr="00672545">
        <w:rPr>
          <w:szCs w:val="26"/>
        </w:rPr>
        <w:t xml:space="preserve"> </w:t>
      </w:r>
      <w:r w:rsidR="001E58DA" w:rsidRPr="00672545">
        <w:rPr>
          <w:szCs w:val="26"/>
        </w:rPr>
        <w:t>A</w:t>
      </w:r>
      <w:r w:rsidR="00D21214" w:rsidRPr="00672545">
        <w:rPr>
          <w:szCs w:val="26"/>
        </w:rPr>
        <w:t>s</w:t>
      </w:r>
      <w:proofErr w:type="gramEnd"/>
      <w:r w:rsidR="00D21214" w:rsidRPr="00672545">
        <w:rPr>
          <w:szCs w:val="26"/>
        </w:rPr>
        <w:t xml:space="preserve"> relevant here, we found there was no error and no prejudice.  We stated: “The court fully instructed the jury on the reasonable doubt standard.  We find no reasonable likelihood the jury would infer from the motive instruction that motive alone could establish guilt.  Moreover, given the strong evidence of guilt aside from motive, the jury certainly did not base its verdicts solely on motive.”  (</w:t>
      </w:r>
      <w:r w:rsidR="00D21214" w:rsidRPr="00672545">
        <w:rPr>
          <w:i/>
          <w:szCs w:val="26"/>
        </w:rPr>
        <w:t>Id.</w:t>
      </w:r>
      <w:r w:rsidR="00AF04CF">
        <w:rPr>
          <w:szCs w:val="26"/>
        </w:rPr>
        <w:t xml:space="preserve">, at </w:t>
      </w:r>
      <w:r w:rsidR="00D21214" w:rsidRPr="00672545">
        <w:rPr>
          <w:szCs w:val="26"/>
        </w:rPr>
        <w:t>p. 1169.)  The same can be said here.</w:t>
      </w:r>
      <w:r w:rsidR="004B20C4" w:rsidRPr="00672545">
        <w:rPr>
          <w:szCs w:val="26"/>
        </w:rPr>
        <w:t xml:space="preserve">  </w:t>
      </w:r>
    </w:p>
    <w:p w14:paraId="7E584112" w14:textId="77777777" w:rsidR="00382E03" w:rsidRPr="00672545" w:rsidRDefault="00641B9E" w:rsidP="00672545">
      <w:pPr>
        <w:pStyle w:val="Heading3"/>
      </w:pPr>
      <w:bookmarkStart w:id="27" w:name="_Toc506979818"/>
      <w:r w:rsidRPr="00672545">
        <w:t xml:space="preserve">12.  </w:t>
      </w:r>
      <w:r w:rsidR="00DD7BA8" w:rsidRPr="00672545">
        <w:t>Sufficiency of the Evid</w:t>
      </w:r>
      <w:r w:rsidR="00F21FF7" w:rsidRPr="00672545">
        <w:t xml:space="preserve">ence of Forcible Asportation </w:t>
      </w:r>
      <w:r w:rsidR="00A121F4" w:rsidRPr="00672545">
        <w:t>Underlying the</w:t>
      </w:r>
      <w:r w:rsidR="00DD7BA8" w:rsidRPr="00672545">
        <w:t xml:space="preserve"> Kidnapping </w:t>
      </w:r>
      <w:r w:rsidR="00A121F4" w:rsidRPr="00672545">
        <w:t>Conviction</w:t>
      </w:r>
      <w:r w:rsidR="00DD7BA8" w:rsidRPr="00672545">
        <w:t xml:space="preserve"> </w:t>
      </w:r>
      <w:bookmarkEnd w:id="27"/>
    </w:p>
    <w:p w14:paraId="1AC54853" w14:textId="77777777" w:rsidR="00AF61CC" w:rsidRPr="00672545" w:rsidRDefault="00DD7BA8" w:rsidP="00672545">
      <w:pPr>
        <w:rPr>
          <w:szCs w:val="26"/>
        </w:rPr>
      </w:pPr>
      <w:r w:rsidRPr="00672545">
        <w:rPr>
          <w:szCs w:val="26"/>
        </w:rPr>
        <w:tab/>
      </w:r>
      <w:r w:rsidR="00AF61CC" w:rsidRPr="00672545">
        <w:rPr>
          <w:szCs w:val="26"/>
        </w:rPr>
        <w:t>Defendant contends that the evidence presented at the guilt phase of trial was insufficient to support his conviction of kidnapping</w:t>
      </w:r>
      <w:r w:rsidR="00D75564" w:rsidRPr="00672545">
        <w:rPr>
          <w:szCs w:val="26"/>
        </w:rPr>
        <w:t xml:space="preserve"> under section 207</w:t>
      </w:r>
      <w:r w:rsidR="00A121F4" w:rsidRPr="00672545">
        <w:rPr>
          <w:szCs w:val="26"/>
        </w:rPr>
        <w:t xml:space="preserve"> —</w:t>
      </w:r>
      <w:r w:rsidR="00AF61CC" w:rsidRPr="00672545">
        <w:rPr>
          <w:szCs w:val="26"/>
        </w:rPr>
        <w:t xml:space="preserve"> and therefore his conviction of felony </w:t>
      </w:r>
      <w:r w:rsidR="00A121F4" w:rsidRPr="00672545">
        <w:rPr>
          <w:szCs w:val="26"/>
        </w:rPr>
        <w:t>murder predicated on kidnapping —</w:t>
      </w:r>
      <w:r w:rsidR="00AF61CC" w:rsidRPr="00672545">
        <w:rPr>
          <w:szCs w:val="26"/>
        </w:rPr>
        <w:t xml:space="preserve"> because there was </w:t>
      </w:r>
      <w:r w:rsidR="00A121F4" w:rsidRPr="00672545">
        <w:rPr>
          <w:szCs w:val="26"/>
        </w:rPr>
        <w:t xml:space="preserve">assertedly </w:t>
      </w:r>
      <w:r w:rsidR="00AF61CC" w:rsidRPr="00672545">
        <w:rPr>
          <w:szCs w:val="26"/>
        </w:rPr>
        <w:t xml:space="preserve">no evidence that Danielle was removed from her house by force or fear.  Defendant </w:t>
      </w:r>
      <w:r w:rsidR="00127925" w:rsidRPr="00672545">
        <w:rPr>
          <w:szCs w:val="26"/>
        </w:rPr>
        <w:t>emphasizes that</w:t>
      </w:r>
      <w:r w:rsidR="007C2B60" w:rsidRPr="00672545">
        <w:rPr>
          <w:szCs w:val="26"/>
        </w:rPr>
        <w:t xml:space="preserve"> </w:t>
      </w:r>
      <w:r w:rsidR="004B0A32" w:rsidRPr="00672545">
        <w:rPr>
          <w:szCs w:val="26"/>
        </w:rPr>
        <w:t>there is no</w:t>
      </w:r>
      <w:r w:rsidR="00AF61CC" w:rsidRPr="00672545">
        <w:rPr>
          <w:szCs w:val="26"/>
        </w:rPr>
        <w:t xml:space="preserve"> evidence showing how Danielle was taken</w:t>
      </w:r>
      <w:r w:rsidR="00D73282" w:rsidRPr="00672545">
        <w:rPr>
          <w:szCs w:val="26"/>
        </w:rPr>
        <w:t>,</w:t>
      </w:r>
      <w:r w:rsidR="007E019E" w:rsidRPr="00672545">
        <w:rPr>
          <w:szCs w:val="26"/>
        </w:rPr>
        <w:t xml:space="preserve"> </w:t>
      </w:r>
      <w:r w:rsidR="00D73282" w:rsidRPr="00672545">
        <w:rPr>
          <w:szCs w:val="26"/>
        </w:rPr>
        <w:t>no</w:t>
      </w:r>
      <w:r w:rsidR="007E019E" w:rsidRPr="00672545">
        <w:rPr>
          <w:szCs w:val="26"/>
        </w:rPr>
        <w:t xml:space="preserve"> evidence of</w:t>
      </w:r>
      <w:r w:rsidR="00AF61CC" w:rsidRPr="00672545">
        <w:rPr>
          <w:szCs w:val="26"/>
        </w:rPr>
        <w:t xml:space="preserve"> </w:t>
      </w:r>
      <w:r w:rsidR="007E019E" w:rsidRPr="00672545">
        <w:rPr>
          <w:szCs w:val="26"/>
        </w:rPr>
        <w:t>a</w:t>
      </w:r>
      <w:r w:rsidR="00AF61CC" w:rsidRPr="00672545">
        <w:rPr>
          <w:szCs w:val="26"/>
        </w:rPr>
        <w:t xml:space="preserve"> </w:t>
      </w:r>
      <w:r w:rsidR="00AF61CC" w:rsidRPr="00672545">
        <w:rPr>
          <w:szCs w:val="26"/>
        </w:rPr>
        <w:lastRenderedPageBreak/>
        <w:t xml:space="preserve">disturbance or commotion noticed by </w:t>
      </w:r>
      <w:r w:rsidR="00FC41DC" w:rsidRPr="00672545">
        <w:rPr>
          <w:szCs w:val="26"/>
        </w:rPr>
        <w:t xml:space="preserve">those </w:t>
      </w:r>
      <w:r w:rsidR="005E270D" w:rsidRPr="00672545">
        <w:rPr>
          <w:szCs w:val="26"/>
        </w:rPr>
        <w:t xml:space="preserve">at </w:t>
      </w:r>
      <w:r w:rsidR="00AF61CC" w:rsidRPr="00672545">
        <w:rPr>
          <w:szCs w:val="26"/>
        </w:rPr>
        <w:t xml:space="preserve">the house </w:t>
      </w:r>
      <w:r w:rsidR="00FC41DC" w:rsidRPr="00672545">
        <w:rPr>
          <w:szCs w:val="26"/>
        </w:rPr>
        <w:t>or the family dog</w:t>
      </w:r>
      <w:r w:rsidR="00AF61CC" w:rsidRPr="00672545">
        <w:rPr>
          <w:szCs w:val="26"/>
        </w:rPr>
        <w:t xml:space="preserve">, </w:t>
      </w:r>
      <w:r w:rsidR="00D73282" w:rsidRPr="00672545">
        <w:rPr>
          <w:szCs w:val="26"/>
        </w:rPr>
        <w:t xml:space="preserve">and </w:t>
      </w:r>
      <w:r w:rsidR="00DC78BF" w:rsidRPr="00672545">
        <w:rPr>
          <w:szCs w:val="26"/>
        </w:rPr>
        <w:t>no</w:t>
      </w:r>
      <w:r w:rsidR="00AF61CC" w:rsidRPr="00672545">
        <w:rPr>
          <w:szCs w:val="26"/>
        </w:rPr>
        <w:t xml:space="preserve"> trace evidence linking defendant to t</w:t>
      </w:r>
      <w:r w:rsidR="00DC78BF" w:rsidRPr="00672545">
        <w:rPr>
          <w:szCs w:val="26"/>
        </w:rPr>
        <w:t>he interior of the Van Dam home.  He contends, therefore, that</w:t>
      </w:r>
      <w:r w:rsidR="00AF61CC" w:rsidRPr="00672545">
        <w:rPr>
          <w:szCs w:val="26"/>
        </w:rPr>
        <w:t xml:space="preserve"> </w:t>
      </w:r>
      <w:r w:rsidR="00D75564" w:rsidRPr="00672545">
        <w:rPr>
          <w:szCs w:val="26"/>
        </w:rPr>
        <w:t>the circumstances amount</w:t>
      </w:r>
      <w:r w:rsidR="00AF61CC" w:rsidRPr="00672545">
        <w:rPr>
          <w:szCs w:val="26"/>
        </w:rPr>
        <w:t xml:space="preserve"> to a taking effected by fraud or deceit</w:t>
      </w:r>
      <w:r w:rsidR="00D75564" w:rsidRPr="00672545">
        <w:rPr>
          <w:szCs w:val="26"/>
        </w:rPr>
        <w:t>, which does not constitute kidnapping within the meaning of section 207</w:t>
      </w:r>
      <w:r w:rsidR="00AF61CC" w:rsidRPr="00672545">
        <w:rPr>
          <w:szCs w:val="26"/>
        </w:rPr>
        <w:t xml:space="preserve">.  </w:t>
      </w:r>
      <w:r w:rsidR="002805F1" w:rsidRPr="00672545">
        <w:rPr>
          <w:szCs w:val="26"/>
        </w:rPr>
        <w:t xml:space="preserve">(See </w:t>
      </w:r>
      <w:r w:rsidR="002805F1" w:rsidRPr="00672545">
        <w:rPr>
          <w:i/>
          <w:szCs w:val="26"/>
        </w:rPr>
        <w:t>People v. Majors</w:t>
      </w:r>
      <w:r w:rsidR="002805F1" w:rsidRPr="00672545">
        <w:rPr>
          <w:szCs w:val="26"/>
        </w:rPr>
        <w:t xml:space="preserve"> (2004) 33 Cal.4th 321, 327-328.)  </w:t>
      </w:r>
      <w:r w:rsidR="00AF61CC" w:rsidRPr="00672545">
        <w:rPr>
          <w:szCs w:val="26"/>
        </w:rPr>
        <w:t>Defendant further asserts that the record contains no evidence of later use of force or exploitation of fear.  We reject defendant’s sufficiency of the evidence claim</w:t>
      </w:r>
      <w:r w:rsidR="002E6DEE" w:rsidRPr="00672545">
        <w:rPr>
          <w:szCs w:val="26"/>
        </w:rPr>
        <w:t>.</w:t>
      </w:r>
      <w:r w:rsidR="004304C7" w:rsidRPr="00672545">
        <w:rPr>
          <w:szCs w:val="26"/>
        </w:rPr>
        <w:t xml:space="preserve"> </w:t>
      </w:r>
    </w:p>
    <w:p w14:paraId="1D746A80" w14:textId="77777777" w:rsidR="00382E03" w:rsidRPr="00672545" w:rsidRDefault="00233613" w:rsidP="00672545">
      <w:pPr>
        <w:ind w:firstLine="720"/>
        <w:rPr>
          <w:szCs w:val="26"/>
        </w:rPr>
      </w:pPr>
      <w:r w:rsidRPr="00672545">
        <w:rPr>
          <w:szCs w:val="26"/>
        </w:rPr>
        <w:t xml:space="preserve">Defendant was charged with kidnapping </w:t>
      </w:r>
      <w:r w:rsidR="00A16F89" w:rsidRPr="00672545">
        <w:rPr>
          <w:szCs w:val="26"/>
        </w:rPr>
        <w:t xml:space="preserve">Danielle </w:t>
      </w:r>
      <w:r w:rsidRPr="00672545">
        <w:rPr>
          <w:szCs w:val="26"/>
        </w:rPr>
        <w:t>in violation of section 207, subdivision (a), which provides that “[e]very person who forcibly, or by any other means of instilling fear, steals or takes, or hold</w:t>
      </w:r>
      <w:r w:rsidR="000D672F" w:rsidRPr="00672545">
        <w:rPr>
          <w:szCs w:val="26"/>
        </w:rPr>
        <w:t>s</w:t>
      </w:r>
      <w:r w:rsidRPr="00672545">
        <w:rPr>
          <w:szCs w:val="26"/>
        </w:rPr>
        <w:t>,</w:t>
      </w:r>
      <w:r w:rsidR="00A16F89" w:rsidRPr="00672545">
        <w:rPr>
          <w:szCs w:val="26"/>
        </w:rPr>
        <w:t xml:space="preserve"> detains, or arrests any person</w:t>
      </w:r>
      <w:r w:rsidRPr="00672545">
        <w:rPr>
          <w:szCs w:val="26"/>
        </w:rPr>
        <w:t xml:space="preserve"> in this state, and carries the person into another country, state, or county, or into another part of the same county, is guilty of kidnapping.”  (§ 207</w:t>
      </w:r>
      <w:r w:rsidR="00A05C61" w:rsidRPr="00672545">
        <w:rPr>
          <w:szCs w:val="26"/>
        </w:rPr>
        <w:t xml:space="preserve">, </w:t>
      </w:r>
      <w:proofErr w:type="spellStart"/>
      <w:r w:rsidR="00A05C61" w:rsidRPr="00672545">
        <w:rPr>
          <w:szCs w:val="26"/>
        </w:rPr>
        <w:t>subd</w:t>
      </w:r>
      <w:proofErr w:type="spellEnd"/>
      <w:r w:rsidR="00A05C61" w:rsidRPr="00672545">
        <w:rPr>
          <w:szCs w:val="26"/>
        </w:rPr>
        <w:t xml:space="preserve">. </w:t>
      </w:r>
      <w:r w:rsidRPr="00672545">
        <w:rPr>
          <w:szCs w:val="26"/>
        </w:rPr>
        <w:t>(a).)</w:t>
      </w:r>
    </w:p>
    <w:p w14:paraId="16267BE1" w14:textId="77777777" w:rsidR="002D255E" w:rsidRPr="00672545" w:rsidRDefault="00233613" w:rsidP="00672545">
      <w:pPr>
        <w:rPr>
          <w:szCs w:val="26"/>
        </w:rPr>
      </w:pPr>
      <w:r w:rsidRPr="00672545">
        <w:rPr>
          <w:szCs w:val="26"/>
        </w:rPr>
        <w:tab/>
        <w:t>“As can be seen by this language, in order to constitute section 207(a) kidnapping, the victim’s movement must be accomplished by force or any other means of instilling fear.”  (</w:t>
      </w:r>
      <w:r w:rsidRPr="00672545">
        <w:rPr>
          <w:i/>
          <w:iCs/>
          <w:szCs w:val="26"/>
        </w:rPr>
        <w:t>People v. Majors</w:t>
      </w:r>
      <w:r w:rsidR="00EC2CA7" w:rsidRPr="00672545">
        <w:rPr>
          <w:szCs w:val="26"/>
        </w:rPr>
        <w:t xml:space="preserve">, </w:t>
      </w:r>
      <w:r w:rsidR="00EC2CA7" w:rsidRPr="00672545">
        <w:rPr>
          <w:i/>
          <w:szCs w:val="26"/>
        </w:rPr>
        <w:t>supra</w:t>
      </w:r>
      <w:r w:rsidR="00EC2CA7" w:rsidRPr="00672545">
        <w:rPr>
          <w:szCs w:val="26"/>
        </w:rPr>
        <w:t>,</w:t>
      </w:r>
      <w:r w:rsidR="00101A19" w:rsidRPr="00672545">
        <w:rPr>
          <w:szCs w:val="26"/>
        </w:rPr>
        <w:t xml:space="preserve"> </w:t>
      </w:r>
      <w:r w:rsidRPr="00672545">
        <w:rPr>
          <w:szCs w:val="26"/>
        </w:rPr>
        <w:t xml:space="preserve">33 Cal.4th </w:t>
      </w:r>
      <w:r w:rsidR="00EC2CA7" w:rsidRPr="00672545">
        <w:rPr>
          <w:szCs w:val="26"/>
        </w:rPr>
        <w:t>at p.</w:t>
      </w:r>
      <w:r w:rsidRPr="00672545">
        <w:rPr>
          <w:szCs w:val="26"/>
        </w:rPr>
        <w:t xml:space="preserve"> 326.)</w:t>
      </w:r>
      <w:r w:rsidR="0051149F" w:rsidRPr="00672545">
        <w:rPr>
          <w:szCs w:val="26"/>
        </w:rPr>
        <w:t xml:space="preserve">  Defendant’s jury was instructed accordingly with CALJIC No. 9.50, which </w:t>
      </w:r>
      <w:r w:rsidR="004C00C4" w:rsidRPr="00672545">
        <w:rPr>
          <w:szCs w:val="26"/>
        </w:rPr>
        <w:t xml:space="preserve">in relevant part, </w:t>
      </w:r>
      <w:r w:rsidR="0051149F" w:rsidRPr="00672545">
        <w:rPr>
          <w:szCs w:val="26"/>
        </w:rPr>
        <w:t xml:space="preserve">told the jury that </w:t>
      </w:r>
      <w:r w:rsidR="004C00C4" w:rsidRPr="00672545">
        <w:rPr>
          <w:szCs w:val="26"/>
        </w:rPr>
        <w:t>“[</w:t>
      </w:r>
      <w:proofErr w:type="spellStart"/>
      <w:r w:rsidR="0051149F" w:rsidRPr="00672545">
        <w:rPr>
          <w:szCs w:val="26"/>
        </w:rPr>
        <w:t>i</w:t>
      </w:r>
      <w:proofErr w:type="spellEnd"/>
      <w:r w:rsidR="004C00C4" w:rsidRPr="00672545">
        <w:rPr>
          <w:szCs w:val="26"/>
        </w:rPr>
        <w:t>]</w:t>
      </w:r>
      <w:r w:rsidR="0051149F" w:rsidRPr="00672545">
        <w:rPr>
          <w:szCs w:val="26"/>
        </w:rPr>
        <w:t xml:space="preserve">n order to prove </w:t>
      </w:r>
      <w:r w:rsidR="004C00C4" w:rsidRPr="00672545">
        <w:rPr>
          <w:szCs w:val="26"/>
        </w:rPr>
        <w:t>this crime,” it must be proved that “[a] person was unlawfully moved by the use of physical force, or by any other means of instilling fear[.]”</w:t>
      </w:r>
      <w:r w:rsidR="00F81CD5" w:rsidRPr="00672545">
        <w:rPr>
          <w:szCs w:val="26"/>
        </w:rPr>
        <w:t xml:space="preserve">  </w:t>
      </w:r>
      <w:r w:rsidR="002D23C8" w:rsidRPr="00672545">
        <w:rPr>
          <w:szCs w:val="26"/>
        </w:rPr>
        <w:t>D</w:t>
      </w:r>
      <w:r w:rsidR="004C00C4" w:rsidRPr="00672545">
        <w:rPr>
          <w:szCs w:val="26"/>
        </w:rPr>
        <w:t>efendant points out</w:t>
      </w:r>
      <w:r w:rsidR="009A3159" w:rsidRPr="00672545">
        <w:rPr>
          <w:szCs w:val="26"/>
        </w:rPr>
        <w:t xml:space="preserve"> that</w:t>
      </w:r>
      <w:r w:rsidR="002D23C8" w:rsidRPr="00672545">
        <w:rPr>
          <w:szCs w:val="26"/>
        </w:rPr>
        <w:t xml:space="preserve"> </w:t>
      </w:r>
      <w:r w:rsidR="0051149F" w:rsidRPr="00672545">
        <w:rPr>
          <w:szCs w:val="26"/>
        </w:rPr>
        <w:t>“</w:t>
      </w:r>
      <w:r w:rsidR="004C00C4" w:rsidRPr="00672545">
        <w:rPr>
          <w:szCs w:val="26"/>
        </w:rPr>
        <w:t>a</w:t>
      </w:r>
      <w:r w:rsidR="0051149F" w:rsidRPr="00672545">
        <w:rPr>
          <w:szCs w:val="26"/>
        </w:rPr>
        <w:t>sportation by fraud alone does not constitute general kidnapping in California.”  (</w:t>
      </w:r>
      <w:r w:rsidR="0051149F" w:rsidRPr="00672545">
        <w:rPr>
          <w:i/>
          <w:szCs w:val="26"/>
        </w:rPr>
        <w:t>People v. Davis</w:t>
      </w:r>
      <w:r w:rsidR="0051149F" w:rsidRPr="00672545">
        <w:rPr>
          <w:szCs w:val="26"/>
        </w:rPr>
        <w:t xml:space="preserve"> (1995) 10 Cal.4th 463, 517, fn. 13.)  </w:t>
      </w:r>
    </w:p>
    <w:p w14:paraId="5D6B363C" w14:textId="0476EA2A" w:rsidR="00233613" w:rsidRPr="00672545" w:rsidRDefault="002D255E" w:rsidP="00672545">
      <w:pPr>
        <w:rPr>
          <w:szCs w:val="26"/>
        </w:rPr>
      </w:pPr>
      <w:r w:rsidRPr="00672545">
        <w:rPr>
          <w:szCs w:val="26"/>
        </w:rPr>
        <w:tab/>
      </w:r>
      <w:r w:rsidR="00A86AA7" w:rsidRPr="00672545">
        <w:rPr>
          <w:szCs w:val="26"/>
        </w:rPr>
        <w:t xml:space="preserve">In </w:t>
      </w:r>
      <w:r w:rsidR="009D2CE5" w:rsidRPr="00672545">
        <w:rPr>
          <w:szCs w:val="26"/>
        </w:rPr>
        <w:t>evaluating a claim regarding the sufficiency of the evidence, w</w:t>
      </w:r>
      <w:r w:rsidRPr="00672545">
        <w:rPr>
          <w:szCs w:val="26"/>
        </w:rPr>
        <w:t xml:space="preserve">e review the record </w:t>
      </w:r>
      <w:r w:rsidR="00D828F6" w:rsidRPr="00672545">
        <w:rPr>
          <w:szCs w:val="26"/>
        </w:rPr>
        <w:t>“</w:t>
      </w:r>
      <w:r w:rsidRPr="00672545">
        <w:rPr>
          <w:szCs w:val="26"/>
        </w:rPr>
        <w:t xml:space="preserve">in the light most favorable to the judgment below to determine whether it discloses </w:t>
      </w:r>
      <w:r w:rsidRPr="00672545">
        <w:rPr>
          <w:szCs w:val="26"/>
        </w:rPr>
        <w:lastRenderedPageBreak/>
        <w:t>substantial evidence</w:t>
      </w:r>
      <w:r w:rsidR="000D672F" w:rsidRPr="00672545">
        <w:rPr>
          <w:szCs w:val="26"/>
        </w:rPr>
        <w:t xml:space="preserve"> </w:t>
      </w:r>
      <w:r w:rsidRPr="00672545">
        <w:rPr>
          <w:szCs w:val="26"/>
        </w:rPr>
        <w:t>—</w:t>
      </w:r>
      <w:r w:rsidR="000D672F" w:rsidRPr="00672545">
        <w:rPr>
          <w:szCs w:val="26"/>
        </w:rPr>
        <w:t xml:space="preserve"> </w:t>
      </w:r>
      <w:r w:rsidRPr="00672545">
        <w:rPr>
          <w:szCs w:val="26"/>
        </w:rPr>
        <w:t>that is, evidence which is reasonable, credible, and of solid value</w:t>
      </w:r>
      <w:r w:rsidR="000D672F" w:rsidRPr="00672545">
        <w:rPr>
          <w:szCs w:val="26"/>
        </w:rPr>
        <w:t xml:space="preserve"> </w:t>
      </w:r>
      <w:r w:rsidRPr="00672545">
        <w:rPr>
          <w:szCs w:val="26"/>
        </w:rPr>
        <w:t>—</w:t>
      </w:r>
      <w:r w:rsidR="000D672F" w:rsidRPr="00672545">
        <w:rPr>
          <w:szCs w:val="26"/>
        </w:rPr>
        <w:t xml:space="preserve"> </w:t>
      </w:r>
      <w:r w:rsidRPr="00672545">
        <w:rPr>
          <w:szCs w:val="26"/>
        </w:rPr>
        <w:t>such that a reasonable trier of fact could find the defendant guilty beyond a reasonable doubt.</w:t>
      </w:r>
      <w:r w:rsidR="00D828F6" w:rsidRPr="00672545">
        <w:rPr>
          <w:szCs w:val="26"/>
        </w:rPr>
        <w:t xml:space="preserve">” </w:t>
      </w:r>
      <w:r w:rsidRPr="00672545">
        <w:rPr>
          <w:szCs w:val="26"/>
        </w:rPr>
        <w:t xml:space="preserve"> (</w:t>
      </w:r>
      <w:r w:rsidRPr="00672545">
        <w:rPr>
          <w:bCs/>
          <w:i/>
          <w:iCs/>
          <w:szCs w:val="26"/>
        </w:rPr>
        <w:t>People v. Johnson</w:t>
      </w:r>
      <w:r w:rsidRPr="00672545">
        <w:rPr>
          <w:bCs/>
          <w:szCs w:val="26"/>
        </w:rPr>
        <w:t xml:space="preserve"> (1980) 26 Cal.3d 557, 578</w:t>
      </w:r>
      <w:r w:rsidRPr="00672545">
        <w:rPr>
          <w:szCs w:val="26"/>
        </w:rPr>
        <w:t>.)</w:t>
      </w:r>
      <w:r w:rsidR="00D828F6" w:rsidRPr="00672545">
        <w:rPr>
          <w:szCs w:val="26"/>
        </w:rPr>
        <w:t xml:space="preserve"> </w:t>
      </w:r>
      <w:r w:rsidRPr="00672545">
        <w:rPr>
          <w:szCs w:val="26"/>
        </w:rPr>
        <w:t xml:space="preserve"> </w:t>
      </w:r>
      <w:r w:rsidR="00D828F6" w:rsidRPr="00672545">
        <w:rPr>
          <w:szCs w:val="26"/>
        </w:rPr>
        <w:t>“</w:t>
      </w:r>
      <w:r w:rsidRPr="00672545">
        <w:rPr>
          <w:szCs w:val="26"/>
        </w:rPr>
        <w:t xml:space="preserve">The federal standard of review is to the same effect: </w:t>
      </w:r>
      <w:r w:rsidR="00F979BD" w:rsidRPr="00672545">
        <w:rPr>
          <w:szCs w:val="26"/>
        </w:rPr>
        <w:t xml:space="preserve"> </w:t>
      </w:r>
      <w:r w:rsidRPr="00672545">
        <w:rPr>
          <w:szCs w:val="26"/>
        </w:rPr>
        <w:t>Under principles of federal due process, review for sufficiency of evidence entails not the determination whether the reviewing court itself believes the evidence at trial establishes guilt beyond a reasonable doubt, but, instead, whether, after viewing the evidence in the light most favorable to the prosecution, any rational trier of fact could have found the essential elements of the crime beyond a reasonable doubt.</w:t>
      </w:r>
      <w:r w:rsidR="00EF371D" w:rsidRPr="00672545">
        <w:rPr>
          <w:szCs w:val="26"/>
        </w:rPr>
        <w:t>”</w:t>
      </w:r>
      <w:r w:rsidR="00D828F6" w:rsidRPr="00672545">
        <w:rPr>
          <w:szCs w:val="26"/>
        </w:rPr>
        <w:t xml:space="preserve"> </w:t>
      </w:r>
      <w:r w:rsidRPr="00672545">
        <w:rPr>
          <w:szCs w:val="26"/>
        </w:rPr>
        <w:t xml:space="preserve"> (</w:t>
      </w:r>
      <w:r w:rsidR="000F006E" w:rsidRPr="000F006E">
        <w:rPr>
          <w:i/>
          <w:szCs w:val="26"/>
        </w:rPr>
        <w:t>People v. Rodriguez</w:t>
      </w:r>
      <w:r w:rsidR="000F006E">
        <w:rPr>
          <w:szCs w:val="26"/>
        </w:rPr>
        <w:t xml:space="preserve"> (1999) 20 Cal.4th 1, 11, citing </w:t>
      </w:r>
      <w:r w:rsidRPr="00672545">
        <w:rPr>
          <w:i/>
          <w:iCs/>
          <w:szCs w:val="26"/>
        </w:rPr>
        <w:t>Jackson v. Virginia</w:t>
      </w:r>
      <w:r w:rsidR="00CF3785" w:rsidRPr="00672545">
        <w:rPr>
          <w:i/>
          <w:iCs/>
          <w:szCs w:val="26"/>
        </w:rPr>
        <w:t xml:space="preserve"> </w:t>
      </w:r>
      <w:r w:rsidR="00D828F6" w:rsidRPr="00672545">
        <w:rPr>
          <w:iCs/>
          <w:szCs w:val="26"/>
        </w:rPr>
        <w:t xml:space="preserve">(1979) </w:t>
      </w:r>
      <w:r w:rsidR="000D672F" w:rsidRPr="00672545">
        <w:rPr>
          <w:szCs w:val="26"/>
        </w:rPr>
        <w:t>443 U.S. 307, 317-</w:t>
      </w:r>
      <w:r w:rsidRPr="00672545">
        <w:rPr>
          <w:szCs w:val="26"/>
        </w:rPr>
        <w:t>320</w:t>
      </w:r>
      <w:r w:rsidR="00EF371D" w:rsidRPr="00672545">
        <w:rPr>
          <w:szCs w:val="26"/>
        </w:rPr>
        <w:t xml:space="preserve">; accord </w:t>
      </w:r>
      <w:r w:rsidR="00EF371D" w:rsidRPr="00672545">
        <w:rPr>
          <w:i/>
          <w:szCs w:val="26"/>
        </w:rPr>
        <w:t xml:space="preserve">People v. Castaneda </w:t>
      </w:r>
      <w:r w:rsidR="00EF371D" w:rsidRPr="00672545">
        <w:rPr>
          <w:szCs w:val="26"/>
        </w:rPr>
        <w:t>(2011) 51 Cal.4th 1292, 1322</w:t>
      </w:r>
      <w:r w:rsidRPr="00672545">
        <w:rPr>
          <w:szCs w:val="26"/>
        </w:rPr>
        <w:t>.</w:t>
      </w:r>
      <w:r w:rsidR="00EF371D" w:rsidRPr="00672545">
        <w:rPr>
          <w:szCs w:val="26"/>
        </w:rPr>
        <w:t>)</w:t>
      </w:r>
      <w:r w:rsidRPr="00672545">
        <w:rPr>
          <w:szCs w:val="26"/>
        </w:rPr>
        <w:t xml:space="preserve"> </w:t>
      </w:r>
      <w:r w:rsidR="00D828F6" w:rsidRPr="00672545">
        <w:rPr>
          <w:szCs w:val="26"/>
        </w:rPr>
        <w:t xml:space="preserve"> “The standard of review is the same in cases in which the prosecution relies mainly on circumstantial evidence.”  </w:t>
      </w:r>
      <w:r w:rsidRPr="00672545">
        <w:rPr>
          <w:szCs w:val="26"/>
        </w:rPr>
        <w:t>(</w:t>
      </w:r>
      <w:r w:rsidRPr="00672545">
        <w:rPr>
          <w:i/>
          <w:iCs/>
          <w:szCs w:val="26"/>
        </w:rPr>
        <w:t>People v. Rodriguez</w:t>
      </w:r>
      <w:r w:rsidR="000F006E">
        <w:rPr>
          <w:i/>
          <w:iCs/>
          <w:szCs w:val="26"/>
        </w:rPr>
        <w:t>, supra,</w:t>
      </w:r>
      <w:r w:rsidRPr="00672545">
        <w:rPr>
          <w:szCs w:val="26"/>
        </w:rPr>
        <w:t xml:space="preserve"> 20 Cal.4th </w:t>
      </w:r>
      <w:r w:rsidR="000F006E">
        <w:rPr>
          <w:szCs w:val="26"/>
        </w:rPr>
        <w:t>at p.</w:t>
      </w:r>
      <w:r w:rsidRPr="00672545">
        <w:rPr>
          <w:szCs w:val="26"/>
        </w:rPr>
        <w:t xml:space="preserve"> 11</w:t>
      </w:r>
      <w:r w:rsidR="00D828F6" w:rsidRPr="00672545">
        <w:rPr>
          <w:szCs w:val="26"/>
        </w:rPr>
        <w:t xml:space="preserve">; accord </w:t>
      </w:r>
      <w:r w:rsidRPr="00672545">
        <w:rPr>
          <w:i/>
          <w:iCs/>
          <w:szCs w:val="26"/>
        </w:rPr>
        <w:t>People v. Watkins</w:t>
      </w:r>
      <w:r w:rsidRPr="00672545">
        <w:rPr>
          <w:szCs w:val="26"/>
        </w:rPr>
        <w:t xml:space="preserve"> (2012) 55 Cal.4th 999, 1019-1020</w:t>
      </w:r>
      <w:r w:rsidR="00D828F6" w:rsidRPr="00672545">
        <w:rPr>
          <w:szCs w:val="26"/>
        </w:rPr>
        <w:t>.)</w:t>
      </w:r>
      <w:r w:rsidR="00EF371D" w:rsidRPr="00672545">
        <w:rPr>
          <w:szCs w:val="26"/>
        </w:rPr>
        <w:t xml:space="preserve">  </w:t>
      </w:r>
      <w:r w:rsidR="00E62521" w:rsidRPr="00672545">
        <w:rPr>
          <w:szCs w:val="26"/>
        </w:rPr>
        <w:t>“</w:t>
      </w:r>
      <w:r w:rsidR="00EF371D" w:rsidRPr="00672545">
        <w:rPr>
          <w:rStyle w:val="ssrfcpassagedeactivated"/>
          <w:szCs w:val="26"/>
        </w:rPr>
        <w:t>We presume in support of the judgment the existence of every fact the trier of fact reasonably could infer from the evidence.</w:t>
      </w:r>
      <w:r w:rsidR="00E62521" w:rsidRPr="00672545">
        <w:rPr>
          <w:rStyle w:val="ssrfcpassagedeactivated"/>
          <w:szCs w:val="26"/>
        </w:rPr>
        <w:t xml:space="preserve">  [Citation.]  </w:t>
      </w:r>
      <w:r w:rsidR="00EF371D" w:rsidRPr="00672545">
        <w:rPr>
          <w:rStyle w:val="ssrfcpassagedeactivated"/>
          <w:szCs w:val="26"/>
        </w:rPr>
        <w:t>If the circumstances reasonably justify the trier of fact</w:t>
      </w:r>
      <w:r w:rsidR="00E62521" w:rsidRPr="00672545">
        <w:rPr>
          <w:rStyle w:val="ssrfcpassagedeactivated"/>
          <w:szCs w:val="26"/>
        </w:rPr>
        <w:t>’</w:t>
      </w:r>
      <w:r w:rsidR="00EF371D" w:rsidRPr="00672545">
        <w:rPr>
          <w:rStyle w:val="ssrfcpassagedeactivated"/>
          <w:szCs w:val="26"/>
        </w:rPr>
        <w:t>s findings, reversal of the judgment is not warranted simply because the circumstances might also reasonably be reconciled with a contrary finding.</w:t>
      </w:r>
      <w:r w:rsidR="00E62521" w:rsidRPr="00672545">
        <w:rPr>
          <w:rStyle w:val="ssrfcpassagedeactivated"/>
          <w:szCs w:val="26"/>
        </w:rPr>
        <w:t xml:space="preserve">”  </w:t>
      </w:r>
      <w:r w:rsidR="00EF371D" w:rsidRPr="00672545">
        <w:rPr>
          <w:szCs w:val="26"/>
        </w:rPr>
        <w:t>(</w:t>
      </w:r>
      <w:r w:rsidR="00EF371D" w:rsidRPr="00672545">
        <w:rPr>
          <w:i/>
          <w:iCs/>
          <w:szCs w:val="26"/>
        </w:rPr>
        <w:t>People v. Lindberg</w:t>
      </w:r>
      <w:r w:rsidR="00EF371D" w:rsidRPr="00672545">
        <w:rPr>
          <w:szCs w:val="26"/>
        </w:rPr>
        <w:t xml:space="preserve"> (2008) 45 Cal.4th 1, 27</w:t>
      </w:r>
      <w:r w:rsidR="002B0A2B" w:rsidRPr="00672545">
        <w:rPr>
          <w:szCs w:val="26"/>
        </w:rPr>
        <w:t xml:space="preserve"> (</w:t>
      </w:r>
      <w:r w:rsidR="002B0A2B" w:rsidRPr="00672545">
        <w:rPr>
          <w:i/>
          <w:szCs w:val="26"/>
        </w:rPr>
        <w:t>Lindberg</w:t>
      </w:r>
      <w:r w:rsidR="002B0A2B" w:rsidRPr="00672545">
        <w:rPr>
          <w:szCs w:val="26"/>
        </w:rPr>
        <w:t>)</w:t>
      </w:r>
      <w:r w:rsidR="00E62521" w:rsidRPr="00672545">
        <w:rPr>
          <w:szCs w:val="26"/>
        </w:rPr>
        <w:t>.</w:t>
      </w:r>
      <w:r w:rsidR="00EF371D" w:rsidRPr="00672545">
        <w:rPr>
          <w:szCs w:val="26"/>
        </w:rPr>
        <w:t>)</w:t>
      </w:r>
    </w:p>
    <w:p w14:paraId="750C9148" w14:textId="77777777" w:rsidR="000B4BCA" w:rsidRPr="00672545" w:rsidRDefault="00567DAD" w:rsidP="00672545">
      <w:pPr>
        <w:rPr>
          <w:szCs w:val="26"/>
        </w:rPr>
      </w:pPr>
      <w:r w:rsidRPr="00672545">
        <w:rPr>
          <w:szCs w:val="26"/>
        </w:rPr>
        <w:tab/>
        <w:t xml:space="preserve">There is no dispute that </w:t>
      </w:r>
      <w:r w:rsidR="008A4B42" w:rsidRPr="00672545">
        <w:rPr>
          <w:szCs w:val="26"/>
        </w:rPr>
        <w:t xml:space="preserve">seven-year-old </w:t>
      </w:r>
      <w:r w:rsidRPr="00672545">
        <w:rPr>
          <w:szCs w:val="26"/>
        </w:rPr>
        <w:t xml:space="preserve">Danielle was </w:t>
      </w:r>
      <w:r w:rsidR="00251C40" w:rsidRPr="00672545">
        <w:rPr>
          <w:szCs w:val="26"/>
        </w:rPr>
        <w:t>removed</w:t>
      </w:r>
      <w:r w:rsidRPr="00672545">
        <w:rPr>
          <w:szCs w:val="26"/>
        </w:rPr>
        <w:t xml:space="preserve"> from her bedroom in the Van Dam home sometime between 10:30 p.m. </w:t>
      </w:r>
      <w:r w:rsidR="008A4B42" w:rsidRPr="00672545">
        <w:rPr>
          <w:szCs w:val="26"/>
        </w:rPr>
        <w:t xml:space="preserve">on February 1, </w:t>
      </w:r>
      <w:r w:rsidR="00452C68" w:rsidRPr="00672545">
        <w:rPr>
          <w:szCs w:val="26"/>
        </w:rPr>
        <w:t xml:space="preserve">after </w:t>
      </w:r>
      <w:r w:rsidRPr="00672545">
        <w:rPr>
          <w:szCs w:val="26"/>
        </w:rPr>
        <w:t xml:space="preserve">her father </w:t>
      </w:r>
      <w:r w:rsidR="008A4B42" w:rsidRPr="00672545">
        <w:rPr>
          <w:szCs w:val="26"/>
        </w:rPr>
        <w:t>Damon first went to bed, and 9</w:t>
      </w:r>
      <w:r w:rsidR="000F006E">
        <w:rPr>
          <w:szCs w:val="26"/>
        </w:rPr>
        <w:t>:00</w:t>
      </w:r>
      <w:r w:rsidR="008A4B42" w:rsidRPr="00672545">
        <w:rPr>
          <w:szCs w:val="26"/>
        </w:rPr>
        <w:t xml:space="preserve"> a.m. on February 2 when she was discovered</w:t>
      </w:r>
      <w:r w:rsidR="000D672F" w:rsidRPr="00672545">
        <w:rPr>
          <w:szCs w:val="26"/>
        </w:rPr>
        <w:t xml:space="preserve"> to be</w:t>
      </w:r>
      <w:r w:rsidR="008A4B42" w:rsidRPr="00672545">
        <w:rPr>
          <w:szCs w:val="26"/>
        </w:rPr>
        <w:t xml:space="preserve"> missing.  </w:t>
      </w:r>
      <w:r w:rsidRPr="00672545">
        <w:rPr>
          <w:szCs w:val="26"/>
        </w:rPr>
        <w:t xml:space="preserve">We agree with the People </w:t>
      </w:r>
      <w:r w:rsidR="000B4BCA" w:rsidRPr="00672545">
        <w:rPr>
          <w:szCs w:val="26"/>
        </w:rPr>
        <w:t xml:space="preserve">that </w:t>
      </w:r>
      <w:r w:rsidR="002D1A49" w:rsidRPr="00672545">
        <w:rPr>
          <w:szCs w:val="26"/>
        </w:rPr>
        <w:t xml:space="preserve">the jury could have reasonably inferred </w:t>
      </w:r>
      <w:r w:rsidR="000B4BCA" w:rsidRPr="00672545">
        <w:rPr>
          <w:szCs w:val="26"/>
        </w:rPr>
        <w:t xml:space="preserve">that </w:t>
      </w:r>
      <w:r w:rsidR="00F36A86" w:rsidRPr="00672545">
        <w:rPr>
          <w:szCs w:val="26"/>
        </w:rPr>
        <w:t>defendant abducted Danielle</w:t>
      </w:r>
      <w:r w:rsidR="000B4BCA" w:rsidRPr="00672545">
        <w:rPr>
          <w:szCs w:val="26"/>
        </w:rPr>
        <w:t xml:space="preserve"> </w:t>
      </w:r>
      <w:r w:rsidR="007D612F" w:rsidRPr="00672545">
        <w:rPr>
          <w:szCs w:val="26"/>
        </w:rPr>
        <w:t>by either</w:t>
      </w:r>
      <w:r w:rsidR="000726DA" w:rsidRPr="00672545">
        <w:rPr>
          <w:szCs w:val="26"/>
        </w:rPr>
        <w:t xml:space="preserve"> </w:t>
      </w:r>
      <w:r w:rsidR="007D612F" w:rsidRPr="00672545">
        <w:rPr>
          <w:szCs w:val="26"/>
        </w:rPr>
        <w:t xml:space="preserve">using </w:t>
      </w:r>
      <w:r w:rsidR="000726DA" w:rsidRPr="00672545">
        <w:rPr>
          <w:szCs w:val="26"/>
        </w:rPr>
        <w:t xml:space="preserve">force to </w:t>
      </w:r>
      <w:r w:rsidR="007D612F" w:rsidRPr="00672545">
        <w:rPr>
          <w:szCs w:val="26"/>
        </w:rPr>
        <w:t xml:space="preserve">quietly </w:t>
      </w:r>
      <w:r w:rsidR="000726DA" w:rsidRPr="00672545">
        <w:rPr>
          <w:szCs w:val="26"/>
        </w:rPr>
        <w:t>subdue her or</w:t>
      </w:r>
      <w:r w:rsidR="007D612F" w:rsidRPr="00672545">
        <w:rPr>
          <w:szCs w:val="26"/>
        </w:rPr>
        <w:t xml:space="preserve"> by</w:t>
      </w:r>
      <w:r w:rsidR="000726DA" w:rsidRPr="00672545">
        <w:rPr>
          <w:szCs w:val="26"/>
        </w:rPr>
        <w:t xml:space="preserve"> </w:t>
      </w:r>
      <w:r w:rsidR="000726DA" w:rsidRPr="00672545">
        <w:rPr>
          <w:szCs w:val="26"/>
        </w:rPr>
        <w:lastRenderedPageBreak/>
        <w:t>threaten</w:t>
      </w:r>
      <w:r w:rsidR="007D612F" w:rsidRPr="00672545">
        <w:rPr>
          <w:szCs w:val="26"/>
        </w:rPr>
        <w:t>ing</w:t>
      </w:r>
      <w:r w:rsidR="000726DA" w:rsidRPr="00672545">
        <w:rPr>
          <w:szCs w:val="26"/>
        </w:rPr>
        <w:t xml:space="preserve"> her with harm if she made any noise.  </w:t>
      </w:r>
      <w:r w:rsidR="00853546" w:rsidRPr="00672545">
        <w:rPr>
          <w:szCs w:val="26"/>
        </w:rPr>
        <w:t xml:space="preserve">Although it is possible that defendant </w:t>
      </w:r>
      <w:r w:rsidR="008D7D02" w:rsidRPr="00672545">
        <w:rPr>
          <w:szCs w:val="26"/>
        </w:rPr>
        <w:t xml:space="preserve">persuaded or tricked </w:t>
      </w:r>
      <w:r w:rsidR="000726DA" w:rsidRPr="00672545">
        <w:rPr>
          <w:szCs w:val="26"/>
        </w:rPr>
        <w:t xml:space="preserve">Danielle </w:t>
      </w:r>
      <w:r w:rsidR="008D7D02" w:rsidRPr="00672545">
        <w:rPr>
          <w:szCs w:val="26"/>
        </w:rPr>
        <w:t>into</w:t>
      </w:r>
      <w:r w:rsidR="000726DA" w:rsidRPr="00672545">
        <w:rPr>
          <w:szCs w:val="26"/>
        </w:rPr>
        <w:t xml:space="preserve"> </w:t>
      </w:r>
      <w:r w:rsidR="00ED0C40" w:rsidRPr="00672545">
        <w:rPr>
          <w:szCs w:val="26"/>
        </w:rPr>
        <w:t>secretly</w:t>
      </w:r>
      <w:r w:rsidR="008F665E" w:rsidRPr="00672545">
        <w:rPr>
          <w:szCs w:val="26"/>
        </w:rPr>
        <w:t xml:space="preserve"> </w:t>
      </w:r>
      <w:r w:rsidR="000726DA" w:rsidRPr="00672545">
        <w:rPr>
          <w:szCs w:val="26"/>
        </w:rPr>
        <w:t>leav</w:t>
      </w:r>
      <w:r w:rsidR="008D7D02" w:rsidRPr="00672545">
        <w:rPr>
          <w:szCs w:val="26"/>
        </w:rPr>
        <w:t>ing with him</w:t>
      </w:r>
      <w:r w:rsidR="00F50EB6" w:rsidRPr="00672545">
        <w:rPr>
          <w:szCs w:val="26"/>
        </w:rPr>
        <w:t>,</w:t>
      </w:r>
      <w:r w:rsidR="000F562B" w:rsidRPr="00672545">
        <w:rPr>
          <w:szCs w:val="26"/>
        </w:rPr>
        <w:t xml:space="preserve"> </w:t>
      </w:r>
      <w:r w:rsidR="002B0A2B" w:rsidRPr="00672545">
        <w:rPr>
          <w:szCs w:val="26"/>
        </w:rPr>
        <w:t xml:space="preserve">even assuming </w:t>
      </w:r>
      <w:r w:rsidR="008D7D02" w:rsidRPr="00672545">
        <w:rPr>
          <w:szCs w:val="26"/>
        </w:rPr>
        <w:t xml:space="preserve">such </w:t>
      </w:r>
      <w:r w:rsidR="002B0A2B" w:rsidRPr="00672545">
        <w:rPr>
          <w:szCs w:val="26"/>
        </w:rPr>
        <w:t xml:space="preserve">a </w:t>
      </w:r>
      <w:r w:rsidR="008D7D02" w:rsidRPr="00672545">
        <w:rPr>
          <w:szCs w:val="26"/>
        </w:rPr>
        <w:t>possibility</w:t>
      </w:r>
      <w:r w:rsidR="009A3159" w:rsidRPr="00672545">
        <w:rPr>
          <w:szCs w:val="26"/>
        </w:rPr>
        <w:t xml:space="preserve"> reasonably exists, </w:t>
      </w:r>
      <w:r w:rsidR="002B0A2B" w:rsidRPr="00672545">
        <w:rPr>
          <w:szCs w:val="26"/>
        </w:rPr>
        <w:t xml:space="preserve">it </w:t>
      </w:r>
      <w:r w:rsidR="00897EB7" w:rsidRPr="00672545">
        <w:rPr>
          <w:szCs w:val="26"/>
        </w:rPr>
        <w:t>simply presents a contrary view of the evidence.  Reversal is “not warranted simply because the circumstances might also reasonably be reconciled with a contrary finding.”  (</w:t>
      </w:r>
      <w:r w:rsidR="002B0A2B" w:rsidRPr="00672545">
        <w:rPr>
          <w:i/>
          <w:szCs w:val="26"/>
        </w:rPr>
        <w:t>Lindberg, supra</w:t>
      </w:r>
      <w:r w:rsidR="002B0A2B" w:rsidRPr="00672545">
        <w:rPr>
          <w:szCs w:val="26"/>
        </w:rPr>
        <w:t>, 45 Cal.4th at p. 27.)</w:t>
      </w:r>
      <w:r w:rsidR="009D6FEA" w:rsidRPr="00672545">
        <w:rPr>
          <w:szCs w:val="26"/>
        </w:rPr>
        <w:t xml:space="preserve">  </w:t>
      </w:r>
    </w:p>
    <w:p w14:paraId="7E2E7029" w14:textId="77777777" w:rsidR="00D732FA" w:rsidRPr="00672545" w:rsidRDefault="00CD6EFD" w:rsidP="005E2A64">
      <w:pPr>
        <w:rPr>
          <w:szCs w:val="26"/>
        </w:rPr>
      </w:pPr>
      <w:r w:rsidRPr="00672545">
        <w:rPr>
          <w:szCs w:val="26"/>
        </w:rPr>
        <w:tab/>
      </w:r>
      <w:r w:rsidR="00303CA1" w:rsidRPr="00672545">
        <w:rPr>
          <w:szCs w:val="26"/>
        </w:rPr>
        <w:t xml:space="preserve">More important, </w:t>
      </w:r>
      <w:r w:rsidR="001F1F79" w:rsidRPr="00672545">
        <w:rPr>
          <w:szCs w:val="26"/>
        </w:rPr>
        <w:t>even assuming</w:t>
      </w:r>
      <w:r w:rsidR="00085029" w:rsidRPr="00672545">
        <w:rPr>
          <w:szCs w:val="26"/>
        </w:rPr>
        <w:t xml:space="preserve"> Danielle had been moved by </w:t>
      </w:r>
      <w:r w:rsidR="001F1F79" w:rsidRPr="00672545">
        <w:rPr>
          <w:szCs w:val="26"/>
        </w:rPr>
        <w:t xml:space="preserve">a ruse and not through </w:t>
      </w:r>
      <w:r w:rsidR="00085029" w:rsidRPr="00672545">
        <w:rPr>
          <w:szCs w:val="26"/>
        </w:rPr>
        <w:t>force or fear</w:t>
      </w:r>
      <w:r w:rsidR="003F6D7D" w:rsidRPr="00672545">
        <w:rPr>
          <w:szCs w:val="26"/>
        </w:rPr>
        <w:t xml:space="preserve">, the evidence was </w:t>
      </w:r>
      <w:proofErr w:type="gramStart"/>
      <w:r w:rsidR="003F6D7D" w:rsidRPr="00672545">
        <w:rPr>
          <w:szCs w:val="26"/>
        </w:rPr>
        <w:t>sufficient</w:t>
      </w:r>
      <w:proofErr w:type="gramEnd"/>
      <w:r w:rsidR="003F6D7D" w:rsidRPr="00672545">
        <w:rPr>
          <w:szCs w:val="26"/>
        </w:rPr>
        <w:t xml:space="preserve"> to support defendant’s conviction for kidnapping</w:t>
      </w:r>
      <w:r w:rsidR="00F363F1" w:rsidRPr="00672545">
        <w:rPr>
          <w:szCs w:val="26"/>
        </w:rPr>
        <w:t xml:space="preserve">. </w:t>
      </w:r>
      <w:r w:rsidR="00085029" w:rsidRPr="00672545">
        <w:rPr>
          <w:szCs w:val="26"/>
        </w:rPr>
        <w:t xml:space="preserve"> </w:t>
      </w:r>
      <w:r w:rsidR="00191E02" w:rsidRPr="00672545">
        <w:rPr>
          <w:szCs w:val="26"/>
        </w:rPr>
        <w:t xml:space="preserve">Danielle’s status as a young child </w:t>
      </w:r>
      <w:r w:rsidR="00857638" w:rsidRPr="00672545">
        <w:rPr>
          <w:szCs w:val="26"/>
        </w:rPr>
        <w:t xml:space="preserve">is significant because we have </w:t>
      </w:r>
      <w:r w:rsidR="00530740" w:rsidRPr="00672545">
        <w:rPr>
          <w:szCs w:val="26"/>
        </w:rPr>
        <w:t xml:space="preserve">long </w:t>
      </w:r>
      <w:r w:rsidR="00857638" w:rsidRPr="00672545">
        <w:rPr>
          <w:szCs w:val="26"/>
        </w:rPr>
        <w:t xml:space="preserve">recognized </w:t>
      </w:r>
      <w:r w:rsidR="0051195B" w:rsidRPr="00672545">
        <w:rPr>
          <w:szCs w:val="26"/>
        </w:rPr>
        <w:t>a</w:t>
      </w:r>
      <w:r w:rsidR="00145980" w:rsidRPr="00672545">
        <w:rPr>
          <w:szCs w:val="26"/>
        </w:rPr>
        <w:t>n alternative</w:t>
      </w:r>
      <w:r w:rsidR="005E2A64">
        <w:rPr>
          <w:szCs w:val="26"/>
        </w:rPr>
        <w:t xml:space="preserve"> </w:t>
      </w:r>
      <w:r w:rsidR="0051195B" w:rsidRPr="00672545">
        <w:rPr>
          <w:szCs w:val="26"/>
        </w:rPr>
        <w:t xml:space="preserve">standard </w:t>
      </w:r>
      <w:r w:rsidR="00664573" w:rsidRPr="00672545">
        <w:rPr>
          <w:szCs w:val="26"/>
        </w:rPr>
        <w:t xml:space="preserve">for such victims for purposes of kidnapping under section 207.  We have held </w:t>
      </w:r>
      <w:r w:rsidR="00857638" w:rsidRPr="00672545">
        <w:rPr>
          <w:szCs w:val="26"/>
        </w:rPr>
        <w:t xml:space="preserve">that the kidnaping of a minor can be accomplished without </w:t>
      </w:r>
      <w:r w:rsidR="00E87798" w:rsidRPr="00672545">
        <w:rPr>
          <w:szCs w:val="26"/>
        </w:rPr>
        <w:t xml:space="preserve">the same </w:t>
      </w:r>
      <w:r w:rsidR="004D6BD1" w:rsidRPr="00672545">
        <w:rPr>
          <w:szCs w:val="26"/>
        </w:rPr>
        <w:t xml:space="preserve">kind of </w:t>
      </w:r>
      <w:r w:rsidR="00857638" w:rsidRPr="00672545">
        <w:rPr>
          <w:szCs w:val="26"/>
        </w:rPr>
        <w:t>force or fear</w:t>
      </w:r>
      <w:r w:rsidR="004D6BD1" w:rsidRPr="00672545">
        <w:rPr>
          <w:szCs w:val="26"/>
        </w:rPr>
        <w:t xml:space="preserve"> applicable to adult victims</w:t>
      </w:r>
      <w:r w:rsidR="00857638" w:rsidRPr="00672545">
        <w:rPr>
          <w:szCs w:val="26"/>
        </w:rPr>
        <w:t xml:space="preserve"> </w:t>
      </w:r>
      <w:proofErr w:type="gramStart"/>
      <w:r w:rsidR="00530740" w:rsidRPr="00672545">
        <w:rPr>
          <w:szCs w:val="26"/>
        </w:rPr>
        <w:t>provided that</w:t>
      </w:r>
      <w:proofErr w:type="gramEnd"/>
      <w:r w:rsidR="00857638" w:rsidRPr="00672545">
        <w:rPr>
          <w:szCs w:val="26"/>
        </w:rPr>
        <w:t xml:space="preserve"> it was done for an improp</w:t>
      </w:r>
      <w:r w:rsidR="000F006E">
        <w:rPr>
          <w:szCs w:val="26"/>
        </w:rPr>
        <w:t xml:space="preserve">er purpose, because a minor </w:t>
      </w:r>
      <w:r w:rsidR="00857638" w:rsidRPr="00672545">
        <w:rPr>
          <w:szCs w:val="26"/>
        </w:rPr>
        <w:t xml:space="preserve">is </w:t>
      </w:r>
      <w:r w:rsidR="000F006E">
        <w:rPr>
          <w:szCs w:val="26"/>
        </w:rPr>
        <w:t>“</w:t>
      </w:r>
      <w:r w:rsidR="00857638" w:rsidRPr="00672545">
        <w:rPr>
          <w:szCs w:val="26"/>
        </w:rPr>
        <w:t>too young to give his</w:t>
      </w:r>
      <w:r w:rsidR="00B929AD" w:rsidRPr="00672545">
        <w:rPr>
          <w:szCs w:val="26"/>
        </w:rPr>
        <w:t xml:space="preserve"> [or her]</w:t>
      </w:r>
      <w:r w:rsidR="000F006E">
        <w:rPr>
          <w:szCs w:val="26"/>
        </w:rPr>
        <w:t xml:space="preserve"> legal consent to being taken</w:t>
      </w:r>
      <w:r w:rsidR="00857638" w:rsidRPr="00672545">
        <w:rPr>
          <w:szCs w:val="26"/>
        </w:rPr>
        <w:t xml:space="preserve">.” </w:t>
      </w:r>
      <w:r w:rsidR="00E73B7B" w:rsidRPr="00672545">
        <w:rPr>
          <w:szCs w:val="26"/>
        </w:rPr>
        <w:t xml:space="preserve"> </w:t>
      </w:r>
      <w:r w:rsidR="00857638" w:rsidRPr="00672545">
        <w:rPr>
          <w:szCs w:val="26"/>
        </w:rPr>
        <w:t>(</w:t>
      </w:r>
      <w:r w:rsidR="00857638" w:rsidRPr="00672545">
        <w:rPr>
          <w:i/>
          <w:szCs w:val="26"/>
        </w:rPr>
        <w:t>People v. Oliver</w:t>
      </w:r>
      <w:r w:rsidR="00857638" w:rsidRPr="00672545">
        <w:rPr>
          <w:szCs w:val="26"/>
        </w:rPr>
        <w:t xml:space="preserve"> (1961) 55 Cal.2d 761, 764</w:t>
      </w:r>
      <w:r w:rsidR="000F006E">
        <w:rPr>
          <w:szCs w:val="26"/>
        </w:rPr>
        <w:t xml:space="preserve"> </w:t>
      </w:r>
      <w:r w:rsidR="00857638" w:rsidRPr="00672545">
        <w:rPr>
          <w:szCs w:val="26"/>
        </w:rPr>
        <w:t>(</w:t>
      </w:r>
      <w:r w:rsidR="00857638" w:rsidRPr="00672545">
        <w:rPr>
          <w:i/>
          <w:szCs w:val="26"/>
        </w:rPr>
        <w:t>Oliver</w:t>
      </w:r>
      <w:r w:rsidR="00857638" w:rsidRPr="00672545">
        <w:rPr>
          <w:szCs w:val="26"/>
        </w:rPr>
        <w:t xml:space="preserve">).) </w:t>
      </w:r>
      <w:r w:rsidR="00186A7B" w:rsidRPr="00672545">
        <w:rPr>
          <w:szCs w:val="26"/>
        </w:rPr>
        <w:t xml:space="preserve"> </w:t>
      </w:r>
      <w:r w:rsidR="00C22EDC" w:rsidRPr="00672545">
        <w:rPr>
          <w:szCs w:val="26"/>
        </w:rPr>
        <w:t>Accordingly</w:t>
      </w:r>
      <w:r w:rsidRPr="00672545">
        <w:rPr>
          <w:szCs w:val="26"/>
        </w:rPr>
        <w:t xml:space="preserve">, we have </w:t>
      </w:r>
      <w:r w:rsidR="002B0A2B" w:rsidRPr="00672545">
        <w:rPr>
          <w:szCs w:val="26"/>
        </w:rPr>
        <w:t xml:space="preserve">construed section 207, </w:t>
      </w:r>
      <w:r w:rsidR="00785090" w:rsidRPr="00672545">
        <w:rPr>
          <w:szCs w:val="26"/>
        </w:rPr>
        <w:t>“as applied to a person forcibly taking and carrying away another, who by reason of immaturity or mental condition is unable to give his</w:t>
      </w:r>
      <w:r w:rsidR="00B07C9B" w:rsidRPr="00672545">
        <w:rPr>
          <w:szCs w:val="26"/>
        </w:rPr>
        <w:t xml:space="preserve"> [or her]</w:t>
      </w:r>
      <w:r w:rsidR="00785090" w:rsidRPr="00672545">
        <w:rPr>
          <w:szCs w:val="26"/>
        </w:rPr>
        <w:t xml:space="preserve"> legal consent thereto, . . . [to constitute] kidnaping only if the taking and carrying away is done for an illegal purpose or with an illegal intent.”</w:t>
      </w:r>
      <w:r w:rsidR="00B07C9B" w:rsidRPr="00672545">
        <w:rPr>
          <w:szCs w:val="26"/>
        </w:rPr>
        <w:t xml:space="preserve"> </w:t>
      </w:r>
      <w:r w:rsidR="00E15630" w:rsidRPr="00672545">
        <w:rPr>
          <w:szCs w:val="26"/>
        </w:rPr>
        <w:t xml:space="preserve"> </w:t>
      </w:r>
      <w:r w:rsidR="00B07C9B" w:rsidRPr="00672545">
        <w:rPr>
          <w:szCs w:val="26"/>
        </w:rPr>
        <w:t>(</w:t>
      </w:r>
      <w:r w:rsidR="00B07C9B" w:rsidRPr="00672545">
        <w:rPr>
          <w:i/>
          <w:szCs w:val="26"/>
        </w:rPr>
        <w:t>Oliver</w:t>
      </w:r>
      <w:r w:rsidR="00556744" w:rsidRPr="00672545">
        <w:rPr>
          <w:szCs w:val="26"/>
        </w:rPr>
        <w:t xml:space="preserve">, </w:t>
      </w:r>
      <w:r w:rsidR="00556744" w:rsidRPr="00672545">
        <w:rPr>
          <w:i/>
          <w:szCs w:val="26"/>
        </w:rPr>
        <w:t>supra</w:t>
      </w:r>
      <w:r w:rsidR="00556744" w:rsidRPr="00672545">
        <w:rPr>
          <w:szCs w:val="26"/>
        </w:rPr>
        <w:t xml:space="preserve">, </w:t>
      </w:r>
      <w:r w:rsidR="00B07C9B" w:rsidRPr="00672545">
        <w:rPr>
          <w:szCs w:val="26"/>
        </w:rPr>
        <w:t xml:space="preserve">55 Cal.2d </w:t>
      </w:r>
      <w:r w:rsidR="00556744" w:rsidRPr="00672545">
        <w:rPr>
          <w:szCs w:val="26"/>
        </w:rPr>
        <w:t>at p.</w:t>
      </w:r>
      <w:r w:rsidR="00B07C9B" w:rsidRPr="00672545">
        <w:rPr>
          <w:szCs w:val="26"/>
        </w:rPr>
        <w:t xml:space="preserve"> 76</w:t>
      </w:r>
      <w:r w:rsidR="000F006E">
        <w:rPr>
          <w:szCs w:val="26"/>
        </w:rPr>
        <w:t>8</w:t>
      </w:r>
      <w:r w:rsidR="00B07C9B" w:rsidRPr="00672545">
        <w:rPr>
          <w:szCs w:val="26"/>
        </w:rPr>
        <w:t>.)</w:t>
      </w:r>
      <w:r w:rsidR="00665C4E" w:rsidRPr="00672545">
        <w:rPr>
          <w:szCs w:val="26"/>
        </w:rPr>
        <w:t xml:space="preserve"> </w:t>
      </w:r>
      <w:r w:rsidR="00B07C9B" w:rsidRPr="00672545">
        <w:rPr>
          <w:szCs w:val="26"/>
        </w:rPr>
        <w:t xml:space="preserve"> </w:t>
      </w:r>
      <w:r w:rsidR="00665C4E" w:rsidRPr="00672545">
        <w:rPr>
          <w:szCs w:val="26"/>
        </w:rPr>
        <w:t xml:space="preserve">In </w:t>
      </w:r>
      <w:r w:rsidR="00665C4E" w:rsidRPr="00672545">
        <w:rPr>
          <w:i/>
          <w:szCs w:val="26"/>
        </w:rPr>
        <w:t>Oliver</w:t>
      </w:r>
      <w:r w:rsidR="00665C4E" w:rsidRPr="00672545">
        <w:rPr>
          <w:szCs w:val="26"/>
        </w:rPr>
        <w:t xml:space="preserve">, </w:t>
      </w:r>
      <w:r w:rsidR="00521869" w:rsidRPr="00672545">
        <w:rPr>
          <w:szCs w:val="26"/>
        </w:rPr>
        <w:t>we applied this</w:t>
      </w:r>
      <w:r w:rsidR="00665C4E" w:rsidRPr="00672545">
        <w:rPr>
          <w:szCs w:val="26"/>
        </w:rPr>
        <w:t xml:space="preserve"> construction of section 207 to the ta</w:t>
      </w:r>
      <w:r w:rsidR="00701738" w:rsidRPr="00672545">
        <w:rPr>
          <w:szCs w:val="26"/>
        </w:rPr>
        <w:t>king of a two-year</w:t>
      </w:r>
      <w:r w:rsidR="00FC61A7" w:rsidRPr="00672545">
        <w:rPr>
          <w:szCs w:val="26"/>
        </w:rPr>
        <w:t>-</w:t>
      </w:r>
      <w:r w:rsidR="00701738" w:rsidRPr="00672545">
        <w:rPr>
          <w:szCs w:val="26"/>
        </w:rPr>
        <w:t>old child</w:t>
      </w:r>
      <w:r w:rsidR="00DB1721" w:rsidRPr="00672545">
        <w:rPr>
          <w:szCs w:val="26"/>
        </w:rPr>
        <w:t xml:space="preserve">.  We later applied the same construction to </w:t>
      </w:r>
      <w:r w:rsidR="00D778C6" w:rsidRPr="00672545">
        <w:rPr>
          <w:szCs w:val="26"/>
        </w:rPr>
        <w:t>the taking</w:t>
      </w:r>
      <w:r w:rsidR="005B5DA2" w:rsidRPr="00672545">
        <w:rPr>
          <w:szCs w:val="26"/>
        </w:rPr>
        <w:t>s</w:t>
      </w:r>
      <w:r w:rsidR="00D778C6" w:rsidRPr="00672545">
        <w:rPr>
          <w:szCs w:val="26"/>
        </w:rPr>
        <w:t xml:space="preserve"> of </w:t>
      </w:r>
      <w:r w:rsidR="00687FA8" w:rsidRPr="00672545">
        <w:rPr>
          <w:szCs w:val="26"/>
        </w:rPr>
        <w:t>even younger</w:t>
      </w:r>
      <w:r w:rsidR="00650CA6" w:rsidRPr="00672545">
        <w:rPr>
          <w:szCs w:val="26"/>
        </w:rPr>
        <w:t xml:space="preserve"> child</w:t>
      </w:r>
      <w:r w:rsidR="00687FA8" w:rsidRPr="00672545">
        <w:rPr>
          <w:szCs w:val="26"/>
        </w:rPr>
        <w:t>ren</w:t>
      </w:r>
      <w:r w:rsidR="00DB1721" w:rsidRPr="00672545">
        <w:rPr>
          <w:szCs w:val="26"/>
        </w:rPr>
        <w:t xml:space="preserve">.  </w:t>
      </w:r>
      <w:r w:rsidR="00FB7889" w:rsidRPr="00672545">
        <w:rPr>
          <w:szCs w:val="26"/>
        </w:rPr>
        <w:t>(</w:t>
      </w:r>
      <w:r w:rsidR="00AC040E" w:rsidRPr="00672545">
        <w:rPr>
          <w:szCs w:val="26"/>
        </w:rPr>
        <w:t xml:space="preserve">See </w:t>
      </w:r>
      <w:r w:rsidR="00AC040E" w:rsidRPr="00672545">
        <w:rPr>
          <w:i/>
          <w:szCs w:val="26"/>
        </w:rPr>
        <w:t>People v. Hill</w:t>
      </w:r>
      <w:r w:rsidR="00AC040E" w:rsidRPr="00672545">
        <w:rPr>
          <w:szCs w:val="26"/>
        </w:rPr>
        <w:t xml:space="preserve"> (2000) 23 Cal.4th 853</w:t>
      </w:r>
      <w:r w:rsidR="00095FAA" w:rsidRPr="00672545">
        <w:rPr>
          <w:szCs w:val="26"/>
        </w:rPr>
        <w:t>, 857-858 [seven-month-old]</w:t>
      </w:r>
      <w:r w:rsidR="00AC040E" w:rsidRPr="00672545">
        <w:rPr>
          <w:szCs w:val="26"/>
        </w:rPr>
        <w:t xml:space="preserve">; </w:t>
      </w:r>
      <w:r w:rsidR="00FB7889" w:rsidRPr="00672545">
        <w:rPr>
          <w:i/>
          <w:szCs w:val="26"/>
        </w:rPr>
        <w:t>In re Michele D.</w:t>
      </w:r>
      <w:r w:rsidR="00FB7889" w:rsidRPr="00672545">
        <w:rPr>
          <w:szCs w:val="26"/>
        </w:rPr>
        <w:t xml:space="preserve"> (2002) 29 Cal.4th 600, 6</w:t>
      </w:r>
      <w:r w:rsidR="00DB1721" w:rsidRPr="00672545">
        <w:rPr>
          <w:szCs w:val="26"/>
        </w:rPr>
        <w:t>07</w:t>
      </w:r>
      <w:r w:rsidR="00FB7889" w:rsidRPr="00672545">
        <w:rPr>
          <w:szCs w:val="26"/>
        </w:rPr>
        <w:t xml:space="preserve"> (</w:t>
      </w:r>
      <w:r w:rsidR="00FB7889" w:rsidRPr="00672545">
        <w:rPr>
          <w:i/>
          <w:szCs w:val="26"/>
        </w:rPr>
        <w:t>Michele D.</w:t>
      </w:r>
      <w:r w:rsidR="00FB7889" w:rsidRPr="00672545">
        <w:rPr>
          <w:szCs w:val="26"/>
        </w:rPr>
        <w:t>)</w:t>
      </w:r>
      <w:r w:rsidR="00281E08" w:rsidRPr="00672545">
        <w:rPr>
          <w:szCs w:val="26"/>
        </w:rPr>
        <w:t xml:space="preserve"> </w:t>
      </w:r>
      <w:r w:rsidR="00095FAA" w:rsidRPr="00672545">
        <w:rPr>
          <w:szCs w:val="26"/>
        </w:rPr>
        <w:t>[12-month-old]</w:t>
      </w:r>
      <w:r w:rsidR="00FB7889" w:rsidRPr="00672545">
        <w:rPr>
          <w:szCs w:val="26"/>
        </w:rPr>
        <w:t>.)</w:t>
      </w:r>
    </w:p>
    <w:p w14:paraId="5691E295" w14:textId="77777777" w:rsidR="00242D62" w:rsidRPr="00672545" w:rsidRDefault="00242D62" w:rsidP="00672545">
      <w:pPr>
        <w:ind w:firstLine="720"/>
        <w:rPr>
          <w:szCs w:val="26"/>
        </w:rPr>
      </w:pPr>
      <w:r w:rsidRPr="00672545">
        <w:rPr>
          <w:szCs w:val="26"/>
        </w:rPr>
        <w:t xml:space="preserve">Moreover, at the time of defendant’s trial, the use note for CALJIC 9.50 described the exception we established in </w:t>
      </w:r>
      <w:r w:rsidRPr="00672545">
        <w:rPr>
          <w:i/>
          <w:szCs w:val="26"/>
        </w:rPr>
        <w:t>Oliver</w:t>
      </w:r>
      <w:proofErr w:type="gramStart"/>
      <w:r w:rsidRPr="00672545">
        <w:rPr>
          <w:szCs w:val="26"/>
        </w:rPr>
        <w:t xml:space="preserve">:  </w:t>
      </w:r>
      <w:r w:rsidRPr="00672545">
        <w:rPr>
          <w:szCs w:val="26"/>
        </w:rPr>
        <w:lastRenderedPageBreak/>
        <w:t>“</w:t>
      </w:r>
      <w:proofErr w:type="gramEnd"/>
      <w:r w:rsidRPr="00672545">
        <w:rPr>
          <w:szCs w:val="26"/>
        </w:rPr>
        <w:t xml:space="preserve">If the victim of the alleged kidnapping is incapable of giving consent, the </w:t>
      </w:r>
      <w:r w:rsidRPr="000F006E">
        <w:rPr>
          <w:i/>
          <w:szCs w:val="26"/>
        </w:rPr>
        <w:t>People</w:t>
      </w:r>
      <w:r w:rsidRPr="00672545">
        <w:rPr>
          <w:szCs w:val="26"/>
        </w:rPr>
        <w:t xml:space="preserve"> must prove the movement was done for an illegal purpose or with an illegal intent.”  (CALJIC No. 9.50 (1999 rev.) (6th ed. 1996), citing </w:t>
      </w:r>
      <w:r w:rsidRPr="00672545">
        <w:rPr>
          <w:i/>
          <w:szCs w:val="26"/>
        </w:rPr>
        <w:t>Oliver</w:t>
      </w:r>
      <w:r w:rsidRPr="00672545">
        <w:rPr>
          <w:szCs w:val="26"/>
        </w:rPr>
        <w:t xml:space="preserve">, </w:t>
      </w:r>
      <w:r w:rsidRPr="00672545">
        <w:rPr>
          <w:i/>
          <w:szCs w:val="26"/>
        </w:rPr>
        <w:t>supra</w:t>
      </w:r>
      <w:r w:rsidRPr="00672545">
        <w:rPr>
          <w:szCs w:val="26"/>
        </w:rPr>
        <w:t xml:space="preserve">, 55 Cal.2d at p. 768.)  Thus, it was well-established at the time of defendant’s trial that the forcible taking language of section 207 as charged against defendant </w:t>
      </w:r>
      <w:r w:rsidR="0005112C" w:rsidRPr="00672545">
        <w:rPr>
          <w:szCs w:val="26"/>
        </w:rPr>
        <w:t>involves a</w:t>
      </w:r>
      <w:r w:rsidR="00CD69AC" w:rsidRPr="00672545">
        <w:rPr>
          <w:szCs w:val="26"/>
        </w:rPr>
        <w:t xml:space="preserve">n alternative </w:t>
      </w:r>
      <w:r w:rsidR="00E71716" w:rsidRPr="00672545">
        <w:rPr>
          <w:szCs w:val="26"/>
        </w:rPr>
        <w:t>standard</w:t>
      </w:r>
      <w:r w:rsidR="000F006E">
        <w:rPr>
          <w:szCs w:val="26"/>
        </w:rPr>
        <w:t xml:space="preserve"> when the child victim </w:t>
      </w:r>
      <w:r w:rsidRPr="00672545">
        <w:rPr>
          <w:szCs w:val="26"/>
        </w:rPr>
        <w:t xml:space="preserve">is </w:t>
      </w:r>
      <w:r w:rsidR="000F006E">
        <w:rPr>
          <w:szCs w:val="26"/>
        </w:rPr>
        <w:t>“</w:t>
      </w:r>
      <w:r w:rsidRPr="00672545">
        <w:rPr>
          <w:szCs w:val="26"/>
        </w:rPr>
        <w:t>too young to give his [or her] legal consent to being taken.”  (</w:t>
      </w:r>
      <w:r w:rsidRPr="00672545">
        <w:rPr>
          <w:i/>
          <w:szCs w:val="26"/>
        </w:rPr>
        <w:t>Oliver</w:t>
      </w:r>
      <w:r w:rsidRPr="00672545">
        <w:rPr>
          <w:szCs w:val="26"/>
        </w:rPr>
        <w:t xml:space="preserve">, </w:t>
      </w:r>
      <w:r w:rsidRPr="00672545">
        <w:rPr>
          <w:i/>
          <w:szCs w:val="26"/>
        </w:rPr>
        <w:t>supra</w:t>
      </w:r>
      <w:r w:rsidRPr="00672545">
        <w:rPr>
          <w:szCs w:val="26"/>
        </w:rPr>
        <w:t>, 55 Cal.2d at p. 764.)</w:t>
      </w:r>
    </w:p>
    <w:p w14:paraId="35AE5A8D" w14:textId="77777777" w:rsidR="007B3595" w:rsidRPr="00672545" w:rsidRDefault="0053433A" w:rsidP="00672545">
      <w:pPr>
        <w:ind w:firstLine="720"/>
        <w:rPr>
          <w:szCs w:val="26"/>
        </w:rPr>
      </w:pPr>
      <w:r w:rsidRPr="00672545">
        <w:rPr>
          <w:szCs w:val="26"/>
        </w:rPr>
        <w:t>Consequently</w:t>
      </w:r>
      <w:r w:rsidR="009A3159" w:rsidRPr="00672545">
        <w:rPr>
          <w:szCs w:val="26"/>
        </w:rPr>
        <w:t xml:space="preserve">, even if Danielle was </w:t>
      </w:r>
      <w:r w:rsidR="004112C9" w:rsidRPr="00672545">
        <w:rPr>
          <w:szCs w:val="26"/>
        </w:rPr>
        <w:t>persuaded</w:t>
      </w:r>
      <w:r w:rsidR="009A3159" w:rsidRPr="00672545">
        <w:rPr>
          <w:szCs w:val="26"/>
        </w:rPr>
        <w:t xml:space="preserve"> into leaving her home, she could not </w:t>
      </w:r>
      <w:r w:rsidR="009202C7" w:rsidRPr="00672545">
        <w:rPr>
          <w:szCs w:val="26"/>
        </w:rPr>
        <w:t xml:space="preserve">have </w:t>
      </w:r>
      <w:r w:rsidR="009A3159" w:rsidRPr="00672545">
        <w:rPr>
          <w:szCs w:val="26"/>
        </w:rPr>
        <w:t>legally consent</w:t>
      </w:r>
      <w:r w:rsidR="002F1283" w:rsidRPr="00672545">
        <w:rPr>
          <w:szCs w:val="26"/>
        </w:rPr>
        <w:t>ed</w:t>
      </w:r>
      <w:r w:rsidR="009A3159" w:rsidRPr="00672545">
        <w:rPr>
          <w:szCs w:val="26"/>
        </w:rPr>
        <w:t xml:space="preserve"> and was still kidnapped if she was taken away a substantial distance for an illegal purpose or with an illegal intent.  </w:t>
      </w:r>
      <w:r w:rsidR="00A719B2" w:rsidRPr="00672545">
        <w:rPr>
          <w:szCs w:val="26"/>
        </w:rPr>
        <w:t>Kidnapping is</w:t>
      </w:r>
      <w:r w:rsidR="002E2E3C" w:rsidRPr="00672545">
        <w:rPr>
          <w:szCs w:val="26"/>
        </w:rPr>
        <w:t>, moreover,</w:t>
      </w:r>
      <w:r w:rsidR="00A719B2" w:rsidRPr="00672545">
        <w:rPr>
          <w:szCs w:val="26"/>
        </w:rPr>
        <w:t xml:space="preserve"> a continuous offense.  (</w:t>
      </w:r>
      <w:r w:rsidR="00A719B2" w:rsidRPr="00672545">
        <w:rPr>
          <w:i/>
          <w:szCs w:val="26"/>
        </w:rPr>
        <w:t xml:space="preserve">People v. Barnett </w:t>
      </w:r>
      <w:r w:rsidR="00A719B2" w:rsidRPr="00672545">
        <w:rPr>
          <w:szCs w:val="26"/>
        </w:rPr>
        <w:t>(1998) 17 Cal.4th 1044, 1159 [kidnapping continues “until such time as the kidnapper releases or otherwise disposes of the victim and has reached a place of temporary safety”].)</w:t>
      </w:r>
    </w:p>
    <w:p w14:paraId="7CD4A6B0" w14:textId="77777777" w:rsidR="00694D76" w:rsidRPr="00672545" w:rsidRDefault="007B3595" w:rsidP="00672545">
      <w:pPr>
        <w:ind w:firstLine="720"/>
        <w:rPr>
          <w:szCs w:val="26"/>
        </w:rPr>
      </w:pPr>
      <w:r w:rsidRPr="00672545">
        <w:rPr>
          <w:szCs w:val="26"/>
        </w:rPr>
        <w:t xml:space="preserve">The evidence indicated that </w:t>
      </w:r>
      <w:r w:rsidR="00D262A7" w:rsidRPr="00672545">
        <w:rPr>
          <w:szCs w:val="26"/>
        </w:rPr>
        <w:t xml:space="preserve">defendant had moved </w:t>
      </w:r>
      <w:r w:rsidRPr="00672545">
        <w:rPr>
          <w:szCs w:val="26"/>
        </w:rPr>
        <w:t xml:space="preserve">Danielle.  </w:t>
      </w:r>
      <w:r w:rsidR="00595EC2" w:rsidRPr="00672545">
        <w:rPr>
          <w:szCs w:val="26"/>
        </w:rPr>
        <w:t>The mitochondrial DNA profiles of six hairs recovered from the master bedroom of defendant’s residence matched Danielle’s mitochondrial DNA profile</w:t>
      </w:r>
      <w:r w:rsidR="00EA7279" w:rsidRPr="00672545">
        <w:rPr>
          <w:szCs w:val="26"/>
        </w:rPr>
        <w:t>, suggesting she had been in defendant’s bedroom</w:t>
      </w:r>
      <w:r w:rsidR="00595EC2" w:rsidRPr="00672545">
        <w:rPr>
          <w:szCs w:val="26"/>
        </w:rPr>
        <w:t>.</w:t>
      </w:r>
      <w:r w:rsidR="00F81CD5" w:rsidRPr="00672545">
        <w:rPr>
          <w:szCs w:val="26"/>
        </w:rPr>
        <w:t xml:space="preserve">  </w:t>
      </w:r>
      <w:r w:rsidR="00641E63" w:rsidRPr="00672545">
        <w:rPr>
          <w:szCs w:val="26"/>
        </w:rPr>
        <w:t xml:space="preserve">According to the latent fingerprint examiner, the </w:t>
      </w:r>
      <w:r w:rsidR="00D9151B" w:rsidRPr="00672545">
        <w:rPr>
          <w:szCs w:val="26"/>
        </w:rPr>
        <w:t>hand</w:t>
      </w:r>
      <w:r w:rsidR="00641E63" w:rsidRPr="00672545">
        <w:rPr>
          <w:szCs w:val="26"/>
        </w:rPr>
        <w:t>print Danielle left on the cabinet above defendant’s motorhome bed showed pressured movement of her hand.</w:t>
      </w:r>
      <w:r w:rsidR="00F81CD5" w:rsidRPr="00672545">
        <w:rPr>
          <w:szCs w:val="26"/>
        </w:rPr>
        <w:t xml:space="preserve">  </w:t>
      </w:r>
      <w:r w:rsidRPr="00672545">
        <w:rPr>
          <w:szCs w:val="26"/>
        </w:rPr>
        <w:t>Moreover, the m</w:t>
      </w:r>
      <w:r w:rsidR="00712D97" w:rsidRPr="00672545">
        <w:rPr>
          <w:szCs w:val="26"/>
        </w:rPr>
        <w:t>itochondrial DNA profiles of two</w:t>
      </w:r>
      <w:r w:rsidRPr="00672545">
        <w:rPr>
          <w:szCs w:val="26"/>
        </w:rPr>
        <w:t xml:space="preserve"> hairs recovered from the floor of defendant’s motorhome matched Danielle’s </w:t>
      </w:r>
      <w:r w:rsidR="00272BC2" w:rsidRPr="00672545">
        <w:rPr>
          <w:szCs w:val="26"/>
        </w:rPr>
        <w:t xml:space="preserve">mitochondrial </w:t>
      </w:r>
      <w:r w:rsidRPr="00672545">
        <w:rPr>
          <w:szCs w:val="26"/>
        </w:rPr>
        <w:t>DNA profile</w:t>
      </w:r>
      <w:r w:rsidR="00D262A7" w:rsidRPr="00672545">
        <w:rPr>
          <w:szCs w:val="26"/>
        </w:rPr>
        <w:t>,</w:t>
      </w:r>
      <w:r w:rsidR="00272BC2" w:rsidRPr="00672545">
        <w:rPr>
          <w:szCs w:val="26"/>
        </w:rPr>
        <w:t xml:space="preserve"> and a third hair found in the motorhome sink matched Danielle’s more distinct nuclear DNA profile</w:t>
      </w:r>
      <w:r w:rsidR="00E0151A" w:rsidRPr="00672545">
        <w:rPr>
          <w:szCs w:val="26"/>
        </w:rPr>
        <w:t>, all of which</w:t>
      </w:r>
      <w:r w:rsidR="00D262A7" w:rsidRPr="00672545">
        <w:rPr>
          <w:szCs w:val="26"/>
        </w:rPr>
        <w:t xml:space="preserve"> </w:t>
      </w:r>
      <w:r w:rsidR="001D76EF" w:rsidRPr="00672545">
        <w:rPr>
          <w:szCs w:val="26"/>
        </w:rPr>
        <w:t xml:space="preserve">further </w:t>
      </w:r>
      <w:r w:rsidR="00EA7279" w:rsidRPr="00672545">
        <w:rPr>
          <w:szCs w:val="26"/>
        </w:rPr>
        <w:t>support</w:t>
      </w:r>
      <w:r w:rsidR="00CE645C" w:rsidRPr="00672545">
        <w:rPr>
          <w:szCs w:val="26"/>
        </w:rPr>
        <w:t xml:space="preserve"> her presence in defendant’s motorhome</w:t>
      </w:r>
      <w:r w:rsidRPr="00672545">
        <w:rPr>
          <w:szCs w:val="26"/>
        </w:rPr>
        <w:t>.</w:t>
      </w:r>
      <w:r w:rsidR="00F81CD5" w:rsidRPr="00672545">
        <w:t xml:space="preserve">  </w:t>
      </w:r>
      <w:r w:rsidR="00641E63" w:rsidRPr="00672545">
        <w:rPr>
          <w:szCs w:val="26"/>
        </w:rPr>
        <w:t>Viewing the evidence in a light most favorable to the judgment, th</w:t>
      </w:r>
      <w:r w:rsidR="00D262A7" w:rsidRPr="00672545">
        <w:rPr>
          <w:szCs w:val="26"/>
        </w:rPr>
        <w:t>ese circumstances</w:t>
      </w:r>
      <w:r w:rsidR="00641E63" w:rsidRPr="00672545">
        <w:rPr>
          <w:szCs w:val="26"/>
        </w:rPr>
        <w:t xml:space="preserve"> suggests she </w:t>
      </w:r>
      <w:r w:rsidR="00641E63" w:rsidRPr="00672545">
        <w:rPr>
          <w:szCs w:val="26"/>
        </w:rPr>
        <w:lastRenderedPageBreak/>
        <w:t xml:space="preserve">was alive at some point when defendant drove the motorhome to various locations. </w:t>
      </w:r>
      <w:r w:rsidR="00CE645C" w:rsidRPr="00672545">
        <w:rPr>
          <w:szCs w:val="26"/>
        </w:rPr>
        <w:t xml:space="preserve"> </w:t>
      </w:r>
      <w:r w:rsidR="00895F8A" w:rsidRPr="00672545">
        <w:rPr>
          <w:szCs w:val="26"/>
        </w:rPr>
        <w:t>Thus, defendant’s movement of Danielle</w:t>
      </w:r>
      <w:r w:rsidR="004112C9" w:rsidRPr="00672545">
        <w:rPr>
          <w:szCs w:val="26"/>
        </w:rPr>
        <w:t xml:space="preserve"> —</w:t>
      </w:r>
      <w:r w:rsidR="00895F8A" w:rsidRPr="00672545">
        <w:rPr>
          <w:szCs w:val="26"/>
        </w:rPr>
        <w:t xml:space="preserve"> likely to his house and certainly in his motorhome</w:t>
      </w:r>
      <w:r w:rsidR="004112C9" w:rsidRPr="00672545">
        <w:rPr>
          <w:szCs w:val="26"/>
        </w:rPr>
        <w:t xml:space="preserve"> —</w:t>
      </w:r>
      <w:r w:rsidR="00895F8A" w:rsidRPr="00672545">
        <w:rPr>
          <w:szCs w:val="26"/>
        </w:rPr>
        <w:t xml:space="preserve"> continued the kidnapping.</w:t>
      </w:r>
    </w:p>
    <w:p w14:paraId="050BBB7B" w14:textId="1B73E902" w:rsidR="00EF371D" w:rsidRPr="00672545" w:rsidRDefault="00694D76" w:rsidP="00672545">
      <w:pPr>
        <w:ind w:firstLine="720"/>
        <w:rPr>
          <w:szCs w:val="26"/>
        </w:rPr>
      </w:pPr>
      <w:r w:rsidRPr="00672545">
        <w:rPr>
          <w:szCs w:val="26"/>
        </w:rPr>
        <w:t>Defendant suggests, however, that this recognize</w:t>
      </w:r>
      <w:r w:rsidR="0029751A" w:rsidRPr="00672545">
        <w:rPr>
          <w:szCs w:val="26"/>
        </w:rPr>
        <w:t>d exception to the force</w:t>
      </w:r>
      <w:r w:rsidRPr="00672545">
        <w:rPr>
          <w:szCs w:val="26"/>
        </w:rPr>
        <w:t xml:space="preserve"> requirement of section</w:t>
      </w:r>
      <w:r w:rsidR="00A30000" w:rsidRPr="00672545">
        <w:rPr>
          <w:szCs w:val="26"/>
        </w:rPr>
        <w:t xml:space="preserve"> 207</w:t>
      </w:r>
      <w:r w:rsidRPr="00672545">
        <w:rPr>
          <w:szCs w:val="26"/>
        </w:rPr>
        <w:t xml:space="preserve"> has been applied to </w:t>
      </w:r>
      <w:r w:rsidR="00865E01" w:rsidRPr="00672545">
        <w:rPr>
          <w:szCs w:val="26"/>
        </w:rPr>
        <w:t xml:space="preserve">only </w:t>
      </w:r>
      <w:r w:rsidRPr="00672545">
        <w:rPr>
          <w:szCs w:val="26"/>
        </w:rPr>
        <w:t xml:space="preserve">the takings of infants, and not </w:t>
      </w:r>
      <w:r w:rsidR="006510E3" w:rsidRPr="00672545">
        <w:rPr>
          <w:szCs w:val="26"/>
        </w:rPr>
        <w:t xml:space="preserve">older children such as Danielle.  But the Courts of Appeal have applied </w:t>
      </w:r>
      <w:r w:rsidR="006510E3" w:rsidRPr="00672545">
        <w:rPr>
          <w:i/>
          <w:szCs w:val="26"/>
        </w:rPr>
        <w:t>Oliver</w:t>
      </w:r>
      <w:r w:rsidR="006510E3" w:rsidRPr="00672545">
        <w:rPr>
          <w:szCs w:val="26"/>
        </w:rPr>
        <w:t xml:space="preserve"> </w:t>
      </w:r>
      <w:r w:rsidR="00617BD9" w:rsidRPr="00672545">
        <w:rPr>
          <w:szCs w:val="26"/>
        </w:rPr>
        <w:t xml:space="preserve">to child victims with ages </w:t>
      </w:r>
      <w:proofErr w:type="gramStart"/>
      <w:r w:rsidR="00617BD9" w:rsidRPr="00672545">
        <w:rPr>
          <w:szCs w:val="26"/>
        </w:rPr>
        <w:t>similar to</w:t>
      </w:r>
      <w:proofErr w:type="gramEnd"/>
      <w:r w:rsidR="00617BD9" w:rsidRPr="00672545">
        <w:rPr>
          <w:szCs w:val="26"/>
        </w:rPr>
        <w:t xml:space="preserve"> seven-year-old Danielle.  (See </w:t>
      </w:r>
      <w:r w:rsidR="00617BD9" w:rsidRPr="00672545">
        <w:rPr>
          <w:i/>
          <w:szCs w:val="26"/>
        </w:rPr>
        <w:t xml:space="preserve">People v. </w:t>
      </w:r>
      <w:proofErr w:type="spellStart"/>
      <w:r w:rsidR="00617BD9" w:rsidRPr="00672545">
        <w:rPr>
          <w:i/>
          <w:szCs w:val="26"/>
        </w:rPr>
        <w:t>Dalerio</w:t>
      </w:r>
      <w:proofErr w:type="spellEnd"/>
      <w:r w:rsidR="00617BD9" w:rsidRPr="00672545">
        <w:rPr>
          <w:szCs w:val="26"/>
        </w:rPr>
        <w:t xml:space="preserve"> (2006) 144 Cal.App.4th 775, 782 [nine-year-old]; </w:t>
      </w:r>
      <w:r w:rsidR="00DD044F" w:rsidRPr="00672545">
        <w:rPr>
          <w:i/>
          <w:szCs w:val="26"/>
        </w:rPr>
        <w:t>Parnell v. Superior Court</w:t>
      </w:r>
      <w:r w:rsidR="00DD044F" w:rsidRPr="00672545">
        <w:rPr>
          <w:szCs w:val="26"/>
        </w:rPr>
        <w:t xml:space="preserve"> (1981) 119 Cal.App.3d 392, 403, fn. 3 [seven-year old]; see also </w:t>
      </w:r>
      <w:r w:rsidR="00692D17" w:rsidRPr="00672545">
        <w:rPr>
          <w:i/>
          <w:szCs w:val="26"/>
        </w:rPr>
        <w:t>People v. Ojeda-Parra</w:t>
      </w:r>
      <w:r w:rsidR="00692D17" w:rsidRPr="00672545">
        <w:rPr>
          <w:szCs w:val="26"/>
        </w:rPr>
        <w:t xml:space="preserve"> (1992) 7 Cal.App.4th 46, 50</w:t>
      </w:r>
      <w:r w:rsidR="00AB6E8B" w:rsidRPr="00672545">
        <w:rPr>
          <w:szCs w:val="26"/>
        </w:rPr>
        <w:t xml:space="preserve"> [</w:t>
      </w:r>
      <w:r w:rsidR="001660EB" w:rsidRPr="00672545">
        <w:rPr>
          <w:szCs w:val="26"/>
        </w:rPr>
        <w:t>three-year-old</w:t>
      </w:r>
      <w:r w:rsidR="00AB6E8B" w:rsidRPr="00672545">
        <w:rPr>
          <w:szCs w:val="26"/>
        </w:rPr>
        <w:t>]</w:t>
      </w:r>
      <w:r w:rsidR="00BD41D3" w:rsidRPr="00672545">
        <w:rPr>
          <w:szCs w:val="26"/>
        </w:rPr>
        <w:t>.</w:t>
      </w:r>
      <w:r w:rsidR="00692D17" w:rsidRPr="00672545">
        <w:rPr>
          <w:szCs w:val="26"/>
        </w:rPr>
        <w:t>)</w:t>
      </w:r>
      <w:r w:rsidR="00BD41D3" w:rsidRPr="00672545">
        <w:rPr>
          <w:szCs w:val="26"/>
        </w:rPr>
        <w:t xml:space="preserve">  </w:t>
      </w:r>
      <w:r w:rsidR="00B929AD" w:rsidRPr="00672545">
        <w:rPr>
          <w:szCs w:val="26"/>
        </w:rPr>
        <w:t>As a result, t</w:t>
      </w:r>
      <w:r w:rsidR="000F4D4E" w:rsidRPr="00672545">
        <w:rPr>
          <w:szCs w:val="26"/>
        </w:rPr>
        <w:t xml:space="preserve">he record </w:t>
      </w:r>
      <w:r w:rsidR="00E600BB" w:rsidRPr="00672545">
        <w:rPr>
          <w:szCs w:val="26"/>
        </w:rPr>
        <w:t>overwhelmingly</w:t>
      </w:r>
      <w:r w:rsidR="000F4D4E" w:rsidRPr="00672545">
        <w:rPr>
          <w:szCs w:val="26"/>
        </w:rPr>
        <w:t xml:space="preserve"> meets </w:t>
      </w:r>
      <w:r w:rsidR="00790CA2" w:rsidRPr="00790CA2">
        <w:t>the standard of force as we apply it to children,</w:t>
      </w:r>
      <w:r w:rsidR="00E600BB" w:rsidRPr="00672545">
        <w:rPr>
          <w:szCs w:val="26"/>
        </w:rPr>
        <w:t xml:space="preserve"> given that Danielle was removed from her house without her parents’ consent</w:t>
      </w:r>
      <w:r w:rsidR="009D6FEA" w:rsidRPr="00672545">
        <w:rPr>
          <w:szCs w:val="26"/>
        </w:rPr>
        <w:t xml:space="preserve"> and moved from there to where her body was </w:t>
      </w:r>
      <w:r w:rsidR="00005C1A" w:rsidRPr="00672545">
        <w:rPr>
          <w:szCs w:val="26"/>
        </w:rPr>
        <w:t xml:space="preserve">eventually </w:t>
      </w:r>
      <w:r w:rsidR="009D6FEA" w:rsidRPr="00672545">
        <w:rPr>
          <w:szCs w:val="26"/>
        </w:rPr>
        <w:t>found</w:t>
      </w:r>
      <w:r w:rsidR="000F4D4E" w:rsidRPr="00672545">
        <w:rPr>
          <w:szCs w:val="26"/>
        </w:rPr>
        <w:t xml:space="preserve">.  </w:t>
      </w:r>
    </w:p>
    <w:p w14:paraId="2E2415CE" w14:textId="77777777" w:rsidR="00430221" w:rsidRPr="00672545" w:rsidRDefault="00BD41D3" w:rsidP="00672545">
      <w:pPr>
        <w:rPr>
          <w:szCs w:val="26"/>
        </w:rPr>
      </w:pPr>
      <w:r w:rsidRPr="00672545">
        <w:rPr>
          <w:szCs w:val="26"/>
        </w:rPr>
        <w:tab/>
        <w:t xml:space="preserve">Defendant </w:t>
      </w:r>
      <w:r w:rsidR="00E672BB" w:rsidRPr="00672545">
        <w:rPr>
          <w:szCs w:val="26"/>
        </w:rPr>
        <w:t xml:space="preserve">further </w:t>
      </w:r>
      <w:r w:rsidRPr="00672545">
        <w:rPr>
          <w:szCs w:val="26"/>
        </w:rPr>
        <w:t>objects</w:t>
      </w:r>
      <w:r w:rsidR="000F4D4E" w:rsidRPr="00672545">
        <w:rPr>
          <w:szCs w:val="26"/>
        </w:rPr>
        <w:t>, however,</w:t>
      </w:r>
      <w:r w:rsidRPr="00672545">
        <w:rPr>
          <w:szCs w:val="26"/>
        </w:rPr>
        <w:t xml:space="preserve"> to the application of the standard of force described by </w:t>
      </w:r>
      <w:r w:rsidR="00E127AA" w:rsidRPr="00672545">
        <w:rPr>
          <w:szCs w:val="26"/>
        </w:rPr>
        <w:t xml:space="preserve">the </w:t>
      </w:r>
      <w:r w:rsidR="00E127AA" w:rsidRPr="00672545">
        <w:rPr>
          <w:i/>
          <w:szCs w:val="26"/>
        </w:rPr>
        <w:t>Oliver</w:t>
      </w:r>
      <w:r w:rsidRPr="00672545">
        <w:rPr>
          <w:szCs w:val="26"/>
        </w:rPr>
        <w:t xml:space="preserve"> </w:t>
      </w:r>
      <w:r w:rsidR="00E127AA" w:rsidRPr="00672545">
        <w:rPr>
          <w:szCs w:val="26"/>
        </w:rPr>
        <w:t xml:space="preserve">line of cases </w:t>
      </w:r>
      <w:proofErr w:type="gramStart"/>
      <w:r w:rsidRPr="00672545">
        <w:rPr>
          <w:szCs w:val="26"/>
        </w:rPr>
        <w:t>on the grounds that</w:t>
      </w:r>
      <w:proofErr w:type="gramEnd"/>
      <w:r w:rsidRPr="00672545">
        <w:rPr>
          <w:szCs w:val="26"/>
        </w:rPr>
        <w:t xml:space="preserve"> “this alternate theory of forcible kidnapping” was not alleged against him and the jury was not instructed on </w:t>
      </w:r>
      <w:r w:rsidR="00751CAC" w:rsidRPr="00672545">
        <w:rPr>
          <w:szCs w:val="26"/>
        </w:rPr>
        <w:t xml:space="preserve">this alternative </w:t>
      </w:r>
      <w:r w:rsidR="00B5108C" w:rsidRPr="00672545">
        <w:rPr>
          <w:szCs w:val="26"/>
        </w:rPr>
        <w:t>theory.  He contends that these circumstances also contributed to the insufficiency of the evidence to support his conviction for kidnapping because a conviction cannot be affirmed on appeal on a factual theory never tried before a jury.</w:t>
      </w:r>
    </w:p>
    <w:p w14:paraId="39655B8D" w14:textId="77777777" w:rsidR="000F5DD7" w:rsidRPr="00672545" w:rsidRDefault="00430221" w:rsidP="00672545">
      <w:pPr>
        <w:ind w:firstLine="720"/>
        <w:rPr>
          <w:szCs w:val="26"/>
        </w:rPr>
      </w:pPr>
      <w:r w:rsidRPr="00672545">
        <w:rPr>
          <w:szCs w:val="26"/>
        </w:rPr>
        <w:t xml:space="preserve">Concerning </w:t>
      </w:r>
      <w:r w:rsidR="002B70D0" w:rsidRPr="00672545">
        <w:rPr>
          <w:szCs w:val="26"/>
        </w:rPr>
        <w:t>the alleged pleading error, defendant’s</w:t>
      </w:r>
      <w:r w:rsidR="00346892" w:rsidRPr="00672545">
        <w:rPr>
          <w:szCs w:val="26"/>
        </w:rPr>
        <w:t xml:space="preserve"> argument is inapt </w:t>
      </w:r>
      <w:r w:rsidR="009920BF" w:rsidRPr="00672545">
        <w:rPr>
          <w:szCs w:val="26"/>
        </w:rPr>
        <w:t xml:space="preserve">because </w:t>
      </w:r>
      <w:r w:rsidR="009920BF" w:rsidRPr="00672545">
        <w:rPr>
          <w:i/>
          <w:szCs w:val="26"/>
        </w:rPr>
        <w:t>Oliver</w:t>
      </w:r>
      <w:r w:rsidR="009920BF" w:rsidRPr="00672545">
        <w:rPr>
          <w:szCs w:val="26"/>
        </w:rPr>
        <w:t xml:space="preserve"> and </w:t>
      </w:r>
      <w:r w:rsidR="009920BF" w:rsidRPr="00672545">
        <w:rPr>
          <w:i/>
          <w:szCs w:val="26"/>
        </w:rPr>
        <w:t>Michele D.</w:t>
      </w:r>
      <w:r w:rsidR="009920BF" w:rsidRPr="00672545">
        <w:rPr>
          <w:szCs w:val="26"/>
        </w:rPr>
        <w:t>, and the other related cases</w:t>
      </w:r>
      <w:r w:rsidR="00782204" w:rsidRPr="00672545">
        <w:rPr>
          <w:szCs w:val="26"/>
        </w:rPr>
        <w:t xml:space="preserve"> described above</w:t>
      </w:r>
      <w:r w:rsidR="009920BF" w:rsidRPr="00672545">
        <w:rPr>
          <w:szCs w:val="26"/>
        </w:rPr>
        <w:t xml:space="preserve">, did not </w:t>
      </w:r>
      <w:r w:rsidR="0022093C" w:rsidRPr="00672545">
        <w:rPr>
          <w:szCs w:val="26"/>
        </w:rPr>
        <w:t>create</w:t>
      </w:r>
      <w:r w:rsidR="009920BF" w:rsidRPr="00672545">
        <w:rPr>
          <w:szCs w:val="26"/>
        </w:rPr>
        <w:t xml:space="preserve"> a </w:t>
      </w:r>
      <w:r w:rsidR="0022093C" w:rsidRPr="00672545">
        <w:rPr>
          <w:szCs w:val="26"/>
        </w:rPr>
        <w:t xml:space="preserve">new or </w:t>
      </w:r>
      <w:r w:rsidR="009920BF" w:rsidRPr="00672545">
        <w:rPr>
          <w:szCs w:val="26"/>
        </w:rPr>
        <w:t xml:space="preserve">different </w:t>
      </w:r>
      <w:r w:rsidR="000233BB" w:rsidRPr="00672545">
        <w:rPr>
          <w:szCs w:val="26"/>
        </w:rPr>
        <w:t>crime</w:t>
      </w:r>
      <w:r w:rsidR="00EB6CED" w:rsidRPr="00672545">
        <w:rPr>
          <w:szCs w:val="26"/>
        </w:rPr>
        <w:t xml:space="preserve"> </w:t>
      </w:r>
      <w:r w:rsidR="009920BF" w:rsidRPr="00672545">
        <w:rPr>
          <w:szCs w:val="26"/>
        </w:rPr>
        <w:t xml:space="preserve">of kidnapping that </w:t>
      </w:r>
      <w:r w:rsidR="00B06DF9" w:rsidRPr="00672545">
        <w:rPr>
          <w:szCs w:val="26"/>
        </w:rPr>
        <w:t>needed to be</w:t>
      </w:r>
      <w:r w:rsidR="009920BF" w:rsidRPr="00672545">
        <w:rPr>
          <w:szCs w:val="26"/>
        </w:rPr>
        <w:t xml:space="preserve"> expressly pleaded against </w:t>
      </w:r>
      <w:r w:rsidR="009920BF" w:rsidRPr="00672545">
        <w:rPr>
          <w:szCs w:val="26"/>
        </w:rPr>
        <w:lastRenderedPageBreak/>
        <w:t>the defendant</w:t>
      </w:r>
      <w:r w:rsidR="0022093C" w:rsidRPr="00672545">
        <w:rPr>
          <w:szCs w:val="26"/>
        </w:rPr>
        <w:t>.</w:t>
      </w:r>
      <w:r w:rsidR="00FC3B97" w:rsidRPr="00672545">
        <w:rPr>
          <w:szCs w:val="26"/>
        </w:rPr>
        <w:t xml:space="preserve">  Instead, these cases simply </w:t>
      </w:r>
      <w:r w:rsidR="00500C00" w:rsidRPr="00672545">
        <w:rPr>
          <w:szCs w:val="26"/>
        </w:rPr>
        <w:t>applied an alternative standard</w:t>
      </w:r>
      <w:r w:rsidR="007B4ED4" w:rsidRPr="00672545">
        <w:rPr>
          <w:szCs w:val="26"/>
        </w:rPr>
        <w:t xml:space="preserve"> in kidnapping cases involving children.  </w:t>
      </w:r>
    </w:p>
    <w:p w14:paraId="0075F04A" w14:textId="77777777" w:rsidR="00AD7DFE" w:rsidRPr="00672545" w:rsidRDefault="00DB09AA" w:rsidP="00672545">
      <w:pPr>
        <w:ind w:firstLine="720"/>
        <w:rPr>
          <w:szCs w:val="26"/>
        </w:rPr>
      </w:pPr>
      <w:r w:rsidRPr="00672545">
        <w:rPr>
          <w:szCs w:val="26"/>
        </w:rPr>
        <w:t xml:space="preserve">Moreover, </w:t>
      </w:r>
      <w:r w:rsidR="000F5DD7" w:rsidRPr="00672545">
        <w:rPr>
          <w:szCs w:val="26"/>
        </w:rPr>
        <w:t>the information made clear that defendant was being charged with the kidnapping of a child</w:t>
      </w:r>
      <w:r w:rsidR="001D59CA" w:rsidRPr="00672545">
        <w:rPr>
          <w:szCs w:val="26"/>
        </w:rPr>
        <w:t xml:space="preserve">. </w:t>
      </w:r>
      <w:r w:rsidR="003A0434" w:rsidRPr="00672545">
        <w:rPr>
          <w:szCs w:val="26"/>
        </w:rPr>
        <w:t xml:space="preserve"> In fact</w:t>
      </w:r>
      <w:r w:rsidR="00B72DE3" w:rsidRPr="00672545">
        <w:rPr>
          <w:szCs w:val="26"/>
        </w:rPr>
        <w:t xml:space="preserve">, </w:t>
      </w:r>
      <w:r w:rsidRPr="00672545">
        <w:rPr>
          <w:szCs w:val="26"/>
        </w:rPr>
        <w:t xml:space="preserve">defendant concedes that </w:t>
      </w:r>
      <w:r w:rsidR="003A0434" w:rsidRPr="00672545">
        <w:rPr>
          <w:szCs w:val="26"/>
        </w:rPr>
        <w:t xml:space="preserve">his kidnapping charge </w:t>
      </w:r>
      <w:r w:rsidRPr="00672545">
        <w:rPr>
          <w:szCs w:val="26"/>
        </w:rPr>
        <w:t xml:space="preserve">alleged that Danielle was “a child </w:t>
      </w:r>
      <w:r w:rsidR="006A559D" w:rsidRPr="00672545">
        <w:rPr>
          <w:szCs w:val="26"/>
        </w:rPr>
        <w:t>under the age of fourteen years</w:t>
      </w:r>
      <w:r w:rsidR="003A0434" w:rsidRPr="00672545">
        <w:rPr>
          <w:szCs w:val="26"/>
        </w:rPr>
        <w:t>.</w:t>
      </w:r>
      <w:r w:rsidR="003F18A7" w:rsidRPr="00672545">
        <w:rPr>
          <w:szCs w:val="26"/>
        </w:rPr>
        <w:t>”</w:t>
      </w:r>
      <w:r w:rsidR="00F81CD5" w:rsidRPr="00672545">
        <w:rPr>
          <w:szCs w:val="26"/>
        </w:rPr>
        <w:t xml:space="preserve">  </w:t>
      </w:r>
      <w:r w:rsidR="00B250DD" w:rsidRPr="00672545">
        <w:rPr>
          <w:szCs w:val="26"/>
        </w:rPr>
        <w:t xml:space="preserve">In a similar context, we </w:t>
      </w:r>
      <w:r w:rsidR="000F006E">
        <w:rPr>
          <w:szCs w:val="26"/>
        </w:rPr>
        <w:t xml:space="preserve">have held </w:t>
      </w:r>
      <w:r w:rsidR="006F63F4" w:rsidRPr="00672545">
        <w:rPr>
          <w:szCs w:val="26"/>
        </w:rPr>
        <w:t xml:space="preserve">that </w:t>
      </w:r>
      <w:r w:rsidR="000F006E">
        <w:rPr>
          <w:szCs w:val="26"/>
        </w:rPr>
        <w:t>“</w:t>
      </w:r>
      <w:r w:rsidR="006F63F4" w:rsidRPr="00672545">
        <w:rPr>
          <w:szCs w:val="26"/>
        </w:rPr>
        <w:t>an accusatory pleading charging murder need not specify the theory of murder upon which the prosecution intends to rely.”  (</w:t>
      </w:r>
      <w:r w:rsidR="006F63F4" w:rsidRPr="00672545">
        <w:rPr>
          <w:i/>
          <w:szCs w:val="26"/>
        </w:rPr>
        <w:t>People v. Abel</w:t>
      </w:r>
      <w:r w:rsidR="006F63F4" w:rsidRPr="00672545">
        <w:rPr>
          <w:szCs w:val="26"/>
        </w:rPr>
        <w:t xml:space="preserve"> (2012) 53 Cal.4th 891, 937.)</w:t>
      </w:r>
      <w:r w:rsidR="000F5DD7" w:rsidRPr="00672545">
        <w:rPr>
          <w:szCs w:val="26"/>
        </w:rPr>
        <w:t xml:space="preserve">  </w:t>
      </w:r>
      <w:r w:rsidR="001B1457" w:rsidRPr="00672545">
        <w:rPr>
          <w:szCs w:val="26"/>
        </w:rPr>
        <w:t>Here, t</w:t>
      </w:r>
      <w:r w:rsidR="001D59CA" w:rsidRPr="00672545">
        <w:rPr>
          <w:szCs w:val="26"/>
        </w:rPr>
        <w:t>he information</w:t>
      </w:r>
      <w:r w:rsidR="001B1457" w:rsidRPr="00672545">
        <w:rPr>
          <w:szCs w:val="26"/>
        </w:rPr>
        <w:t xml:space="preserve"> filed against defendant</w:t>
      </w:r>
      <w:r w:rsidR="003427CF" w:rsidRPr="00672545">
        <w:rPr>
          <w:szCs w:val="26"/>
        </w:rPr>
        <w:t>, if anything,</w:t>
      </w:r>
      <w:r w:rsidR="001B1457" w:rsidRPr="00672545">
        <w:rPr>
          <w:szCs w:val="26"/>
        </w:rPr>
        <w:t xml:space="preserve"> </w:t>
      </w:r>
      <w:r w:rsidR="00E90ADC" w:rsidRPr="00672545">
        <w:rPr>
          <w:szCs w:val="26"/>
        </w:rPr>
        <w:t>highlighted the theory of which he now complains</w:t>
      </w:r>
      <w:r w:rsidR="00787504" w:rsidRPr="00672545">
        <w:rPr>
          <w:szCs w:val="26"/>
        </w:rPr>
        <w:t xml:space="preserve"> by alleging the kidnapping of a child,</w:t>
      </w:r>
      <w:r w:rsidR="001D59CA" w:rsidRPr="00672545">
        <w:rPr>
          <w:szCs w:val="26"/>
        </w:rPr>
        <w:t xml:space="preserve"> </w:t>
      </w:r>
      <w:r w:rsidR="003427CF" w:rsidRPr="00672545">
        <w:rPr>
          <w:szCs w:val="26"/>
        </w:rPr>
        <w:t xml:space="preserve">thereby </w:t>
      </w:r>
      <w:r w:rsidR="001D59CA" w:rsidRPr="00672545">
        <w:rPr>
          <w:szCs w:val="26"/>
        </w:rPr>
        <w:t xml:space="preserve">placing him on notice that the prosecution could rely on </w:t>
      </w:r>
      <w:r w:rsidR="00573DC6" w:rsidRPr="00672545">
        <w:rPr>
          <w:szCs w:val="26"/>
        </w:rPr>
        <w:t>the</w:t>
      </w:r>
      <w:r w:rsidR="001D59CA" w:rsidRPr="00672545">
        <w:rPr>
          <w:szCs w:val="26"/>
        </w:rPr>
        <w:t xml:space="preserve"> theory of kidnapping used in </w:t>
      </w:r>
      <w:r w:rsidR="001D59CA" w:rsidRPr="00672545">
        <w:rPr>
          <w:i/>
          <w:szCs w:val="26"/>
        </w:rPr>
        <w:t>Oliver</w:t>
      </w:r>
      <w:r w:rsidR="001D59CA" w:rsidRPr="00672545">
        <w:rPr>
          <w:szCs w:val="26"/>
        </w:rPr>
        <w:t xml:space="preserve"> and </w:t>
      </w:r>
      <w:r w:rsidR="001D59CA" w:rsidRPr="00672545">
        <w:rPr>
          <w:i/>
          <w:szCs w:val="26"/>
        </w:rPr>
        <w:t>Michele D.</w:t>
      </w:r>
    </w:p>
    <w:p w14:paraId="479005F9" w14:textId="77777777" w:rsidR="0098586B" w:rsidRPr="00672545" w:rsidRDefault="00225052" w:rsidP="00672545">
      <w:pPr>
        <w:ind w:firstLine="720"/>
        <w:rPr>
          <w:szCs w:val="26"/>
        </w:rPr>
      </w:pPr>
      <w:r w:rsidRPr="00672545">
        <w:rPr>
          <w:szCs w:val="26"/>
        </w:rPr>
        <w:t>Nor does it matter for purposes of defendant’s insu</w:t>
      </w:r>
      <w:r w:rsidR="00985743" w:rsidRPr="00672545">
        <w:rPr>
          <w:szCs w:val="26"/>
        </w:rPr>
        <w:t>fficiency of the evidence claim</w:t>
      </w:r>
      <w:r w:rsidRPr="00672545">
        <w:rPr>
          <w:szCs w:val="26"/>
        </w:rPr>
        <w:t xml:space="preserve"> that the jury </w:t>
      </w:r>
      <w:r w:rsidR="00093331" w:rsidRPr="00672545">
        <w:rPr>
          <w:szCs w:val="26"/>
        </w:rPr>
        <w:t xml:space="preserve">was </w:t>
      </w:r>
      <w:r w:rsidR="005F0289" w:rsidRPr="00672545">
        <w:rPr>
          <w:szCs w:val="26"/>
        </w:rPr>
        <w:t xml:space="preserve">not informed of the </w:t>
      </w:r>
      <w:r w:rsidR="00362CBC" w:rsidRPr="00672545">
        <w:rPr>
          <w:szCs w:val="26"/>
        </w:rPr>
        <w:t>alternative standard</w:t>
      </w:r>
      <w:r w:rsidR="005F0289" w:rsidRPr="00672545">
        <w:rPr>
          <w:szCs w:val="26"/>
        </w:rPr>
        <w:t xml:space="preserve"> applicable to the kidnapping of a child.  </w:t>
      </w:r>
      <w:r w:rsidR="00B83CAF" w:rsidRPr="00672545">
        <w:rPr>
          <w:szCs w:val="26"/>
        </w:rPr>
        <w:t xml:space="preserve">The jury was instructed that, </w:t>
      </w:r>
      <w:proofErr w:type="gramStart"/>
      <w:r w:rsidR="00B83CAF" w:rsidRPr="00672545">
        <w:rPr>
          <w:szCs w:val="26"/>
        </w:rPr>
        <w:t>in order to</w:t>
      </w:r>
      <w:proofErr w:type="gramEnd"/>
      <w:r w:rsidR="00B83CAF" w:rsidRPr="00672545">
        <w:rPr>
          <w:szCs w:val="26"/>
        </w:rPr>
        <w:t xml:space="preserve"> convict defendant of kidnapping, the evidence must show that defendant moved Danielle using</w:t>
      </w:r>
      <w:r w:rsidR="004D04C3" w:rsidRPr="00672545">
        <w:rPr>
          <w:szCs w:val="26"/>
        </w:rPr>
        <w:t xml:space="preserve"> the </w:t>
      </w:r>
      <w:r w:rsidR="00533658" w:rsidRPr="00672545">
        <w:rPr>
          <w:szCs w:val="26"/>
        </w:rPr>
        <w:t>standard threshold</w:t>
      </w:r>
      <w:r w:rsidR="00A96ADF" w:rsidRPr="00672545">
        <w:rPr>
          <w:szCs w:val="26"/>
        </w:rPr>
        <w:t xml:space="preserve"> of force required for kidnapping</w:t>
      </w:r>
      <w:r w:rsidR="009B4B53" w:rsidRPr="00672545">
        <w:rPr>
          <w:szCs w:val="26"/>
        </w:rPr>
        <w:t xml:space="preserve">, which is higher than the threshold of force we established in </w:t>
      </w:r>
      <w:r w:rsidR="009B4B53" w:rsidRPr="00672545">
        <w:rPr>
          <w:i/>
          <w:szCs w:val="26"/>
        </w:rPr>
        <w:t>Oliver</w:t>
      </w:r>
      <w:r w:rsidR="00B83CAF" w:rsidRPr="00672545">
        <w:rPr>
          <w:szCs w:val="26"/>
        </w:rPr>
        <w:t xml:space="preserve">.  </w:t>
      </w:r>
      <w:r w:rsidR="00B37B46" w:rsidRPr="00672545">
        <w:rPr>
          <w:szCs w:val="26"/>
        </w:rPr>
        <w:t>Additionally</w:t>
      </w:r>
      <w:r w:rsidR="00A96ADF" w:rsidRPr="00672545">
        <w:rPr>
          <w:szCs w:val="26"/>
        </w:rPr>
        <w:t>, the</w:t>
      </w:r>
      <w:r w:rsidR="00B83CAF" w:rsidRPr="00672545">
        <w:rPr>
          <w:szCs w:val="26"/>
        </w:rPr>
        <w:t xml:space="preserve"> jury’s finding of guilt for the kidnapping charge necessarily indicates </w:t>
      </w:r>
      <w:r w:rsidR="00CB418B" w:rsidRPr="00672545">
        <w:rPr>
          <w:szCs w:val="26"/>
        </w:rPr>
        <w:t>it</w:t>
      </w:r>
      <w:r w:rsidR="00B83CAF" w:rsidRPr="00672545">
        <w:rPr>
          <w:szCs w:val="26"/>
        </w:rPr>
        <w:t xml:space="preserve"> believed she had been moved against her will</w:t>
      </w:r>
      <w:r w:rsidR="008B7FD7" w:rsidRPr="00672545">
        <w:rPr>
          <w:szCs w:val="26"/>
        </w:rPr>
        <w:t xml:space="preserve">, </w:t>
      </w:r>
      <w:r w:rsidR="00724EF9" w:rsidRPr="00672545">
        <w:rPr>
          <w:szCs w:val="26"/>
        </w:rPr>
        <w:t xml:space="preserve">either </w:t>
      </w:r>
      <w:r w:rsidR="008B7FD7" w:rsidRPr="00672545">
        <w:rPr>
          <w:szCs w:val="26"/>
        </w:rPr>
        <w:t xml:space="preserve">by </w:t>
      </w:r>
      <w:r w:rsidR="0060777F" w:rsidRPr="00672545">
        <w:rPr>
          <w:szCs w:val="26"/>
        </w:rPr>
        <w:t>force</w:t>
      </w:r>
      <w:r w:rsidR="00724EF9" w:rsidRPr="00672545">
        <w:rPr>
          <w:szCs w:val="26"/>
        </w:rPr>
        <w:t xml:space="preserve"> or</w:t>
      </w:r>
      <w:r w:rsidR="008B7FD7" w:rsidRPr="00672545">
        <w:rPr>
          <w:szCs w:val="26"/>
        </w:rPr>
        <w:t xml:space="preserve"> b</w:t>
      </w:r>
      <w:r w:rsidR="00724EF9" w:rsidRPr="00672545">
        <w:rPr>
          <w:szCs w:val="26"/>
        </w:rPr>
        <w:t xml:space="preserve">y inducing </w:t>
      </w:r>
      <w:r w:rsidR="008B7FD7" w:rsidRPr="00672545">
        <w:rPr>
          <w:szCs w:val="26"/>
        </w:rPr>
        <w:t>fear</w:t>
      </w:r>
      <w:r w:rsidR="00485652" w:rsidRPr="00672545">
        <w:rPr>
          <w:szCs w:val="26"/>
        </w:rPr>
        <w:t>,</w:t>
      </w:r>
      <w:r w:rsidR="009701C8" w:rsidRPr="00672545">
        <w:rPr>
          <w:szCs w:val="26"/>
        </w:rPr>
        <w:t xml:space="preserve"> or both</w:t>
      </w:r>
      <w:r w:rsidR="00B83CAF" w:rsidRPr="00672545">
        <w:rPr>
          <w:szCs w:val="26"/>
        </w:rPr>
        <w:t>.</w:t>
      </w:r>
    </w:p>
    <w:p w14:paraId="7B41F90C" w14:textId="77777777" w:rsidR="00BD41D3" w:rsidRPr="00672545" w:rsidRDefault="00426498" w:rsidP="00672545">
      <w:pPr>
        <w:ind w:firstLine="720"/>
        <w:rPr>
          <w:szCs w:val="26"/>
        </w:rPr>
      </w:pPr>
      <w:r w:rsidRPr="00672545">
        <w:rPr>
          <w:szCs w:val="26"/>
        </w:rPr>
        <w:t>Thus, i</w:t>
      </w:r>
      <w:r w:rsidR="003D22A6" w:rsidRPr="00672545">
        <w:rPr>
          <w:szCs w:val="26"/>
        </w:rPr>
        <w:t xml:space="preserve">f the jury concluded that Danielle </w:t>
      </w:r>
      <w:r w:rsidR="0098586B" w:rsidRPr="00672545">
        <w:rPr>
          <w:szCs w:val="26"/>
        </w:rPr>
        <w:t xml:space="preserve">had </w:t>
      </w:r>
      <w:r w:rsidR="003D22A6" w:rsidRPr="00672545">
        <w:rPr>
          <w:szCs w:val="26"/>
        </w:rPr>
        <w:t xml:space="preserve">accompanied defendant </w:t>
      </w:r>
      <w:r w:rsidR="0098586B" w:rsidRPr="00672545">
        <w:rPr>
          <w:szCs w:val="26"/>
        </w:rPr>
        <w:t xml:space="preserve">out of fear, then any definition of force, </w:t>
      </w:r>
      <w:r w:rsidR="008552B2" w:rsidRPr="00672545">
        <w:rPr>
          <w:szCs w:val="26"/>
        </w:rPr>
        <w:t xml:space="preserve">alternatively defined </w:t>
      </w:r>
      <w:r w:rsidR="0098586B" w:rsidRPr="00672545">
        <w:rPr>
          <w:szCs w:val="26"/>
        </w:rPr>
        <w:t>or not, was irrelevant</w:t>
      </w:r>
      <w:r w:rsidR="0006521B" w:rsidRPr="00672545">
        <w:rPr>
          <w:szCs w:val="26"/>
        </w:rPr>
        <w:t xml:space="preserve"> to defendant’s conviction for kidnapping.  On the other hand, i</w:t>
      </w:r>
      <w:r w:rsidR="0098586B" w:rsidRPr="00672545">
        <w:rPr>
          <w:szCs w:val="26"/>
        </w:rPr>
        <w:t xml:space="preserve">f the jury concluded that </w:t>
      </w:r>
      <w:r w:rsidR="00831A74" w:rsidRPr="00672545">
        <w:rPr>
          <w:szCs w:val="26"/>
        </w:rPr>
        <w:t xml:space="preserve">a seven-year old would have </w:t>
      </w:r>
      <w:r w:rsidR="009E32BE" w:rsidRPr="00672545">
        <w:rPr>
          <w:szCs w:val="26"/>
        </w:rPr>
        <w:t xml:space="preserve">made some effort to resist but was </w:t>
      </w:r>
      <w:r w:rsidR="009E32BE" w:rsidRPr="00672545">
        <w:rPr>
          <w:szCs w:val="26"/>
        </w:rPr>
        <w:lastRenderedPageBreak/>
        <w:t xml:space="preserve">overcome through defendant’s use of force to move her, </w:t>
      </w:r>
      <w:r w:rsidR="00FB0A18" w:rsidRPr="00672545">
        <w:rPr>
          <w:szCs w:val="26"/>
        </w:rPr>
        <w:t>then the</w:t>
      </w:r>
      <w:r w:rsidR="009E32BE" w:rsidRPr="00672545">
        <w:rPr>
          <w:szCs w:val="26"/>
        </w:rPr>
        <w:t xml:space="preserve"> </w:t>
      </w:r>
      <w:r w:rsidR="00CE3822" w:rsidRPr="00672545">
        <w:rPr>
          <w:szCs w:val="26"/>
        </w:rPr>
        <w:t xml:space="preserve">alternative </w:t>
      </w:r>
      <w:r w:rsidR="009E32BE" w:rsidRPr="00672545">
        <w:rPr>
          <w:szCs w:val="26"/>
        </w:rPr>
        <w:t>definition of force</w:t>
      </w:r>
      <w:r w:rsidR="00FB0A18" w:rsidRPr="00672545">
        <w:rPr>
          <w:szCs w:val="26"/>
        </w:rPr>
        <w:t xml:space="preserve"> under </w:t>
      </w:r>
      <w:r w:rsidR="00FB0A18" w:rsidRPr="00672545">
        <w:rPr>
          <w:i/>
          <w:szCs w:val="26"/>
        </w:rPr>
        <w:t>Oliver</w:t>
      </w:r>
      <w:r w:rsidR="00FB0A18" w:rsidRPr="00672545">
        <w:rPr>
          <w:szCs w:val="26"/>
        </w:rPr>
        <w:t xml:space="preserve"> is also irr</w:t>
      </w:r>
      <w:r w:rsidR="007202A0" w:rsidRPr="00672545">
        <w:rPr>
          <w:szCs w:val="26"/>
        </w:rPr>
        <w:t>elevant</w:t>
      </w:r>
      <w:r w:rsidR="0006521B" w:rsidRPr="00672545">
        <w:rPr>
          <w:szCs w:val="26"/>
        </w:rPr>
        <w:t xml:space="preserve"> to defendant’s conviction for kidnapping</w:t>
      </w:r>
      <w:r w:rsidR="007202A0" w:rsidRPr="00672545">
        <w:rPr>
          <w:szCs w:val="26"/>
        </w:rPr>
        <w:t>.  Consequently, w</w:t>
      </w:r>
      <w:r w:rsidR="00976BEC" w:rsidRPr="00672545">
        <w:rPr>
          <w:szCs w:val="26"/>
        </w:rPr>
        <w:t xml:space="preserve">ith the understanding that the showing of force required for a child victim like Danielle is greatly reduced, </w:t>
      </w:r>
      <w:r w:rsidR="005A4857" w:rsidRPr="00672545">
        <w:rPr>
          <w:szCs w:val="26"/>
        </w:rPr>
        <w:t xml:space="preserve">there is no doubt that, construing the facts most favorable to the judgment, </w:t>
      </w:r>
      <w:r w:rsidR="005A133D" w:rsidRPr="00672545">
        <w:rPr>
          <w:szCs w:val="26"/>
        </w:rPr>
        <w:t xml:space="preserve">any rational trier of fact could have reasonably </w:t>
      </w:r>
      <w:r w:rsidR="005A133D" w:rsidRPr="00672545">
        <w:rPr>
          <w:rStyle w:val="ssrfcpassagedeactivated"/>
          <w:szCs w:val="26"/>
        </w:rPr>
        <w:t>inferred from the evidence that Danielle had been removed from her home</w:t>
      </w:r>
      <w:r w:rsidR="00303E15" w:rsidRPr="00672545">
        <w:rPr>
          <w:rStyle w:val="ssrfcpassagedeactivated"/>
          <w:szCs w:val="26"/>
        </w:rPr>
        <w:t xml:space="preserve"> against her will</w:t>
      </w:r>
      <w:r w:rsidR="00B73D41" w:rsidRPr="00672545">
        <w:rPr>
          <w:rStyle w:val="ssrfcpassagedeactivated"/>
          <w:szCs w:val="26"/>
        </w:rPr>
        <w:t xml:space="preserve"> for purposes of kidnapping</w:t>
      </w:r>
      <w:r w:rsidR="005A133D" w:rsidRPr="00672545">
        <w:rPr>
          <w:rStyle w:val="ssrfcpassagedeactivated"/>
          <w:szCs w:val="26"/>
        </w:rPr>
        <w:t>.</w:t>
      </w:r>
    </w:p>
    <w:p w14:paraId="2CFC33A0" w14:textId="77777777" w:rsidR="0054303A" w:rsidRPr="00672545" w:rsidRDefault="00515C30" w:rsidP="00672545">
      <w:pPr>
        <w:rPr>
          <w:szCs w:val="26"/>
        </w:rPr>
      </w:pPr>
      <w:r w:rsidRPr="00672545">
        <w:rPr>
          <w:szCs w:val="26"/>
        </w:rPr>
        <w:tab/>
        <w:t xml:space="preserve">Admittedly, </w:t>
      </w:r>
      <w:r w:rsidR="00761E06" w:rsidRPr="00672545">
        <w:rPr>
          <w:szCs w:val="26"/>
        </w:rPr>
        <w:t xml:space="preserve">however, </w:t>
      </w:r>
      <w:r w:rsidRPr="00672545">
        <w:rPr>
          <w:szCs w:val="26"/>
        </w:rPr>
        <w:t xml:space="preserve">defendant’s jury was not instructed that it must find Danielle was taken and carried away “for an illegal purpose or with an illegal intent.”  </w:t>
      </w:r>
      <w:r w:rsidR="00A73F7B" w:rsidRPr="00672545">
        <w:rPr>
          <w:szCs w:val="26"/>
        </w:rPr>
        <w:t>We have recognized the importance</w:t>
      </w:r>
      <w:r w:rsidR="00324BFA" w:rsidRPr="00672545">
        <w:rPr>
          <w:szCs w:val="26"/>
        </w:rPr>
        <w:t xml:space="preserve"> of the</w:t>
      </w:r>
      <w:r w:rsidR="00A73F7B" w:rsidRPr="00672545">
        <w:rPr>
          <w:szCs w:val="26"/>
        </w:rPr>
        <w:t xml:space="preserve"> </w:t>
      </w:r>
      <w:r w:rsidR="00FC60F3" w:rsidRPr="00672545">
        <w:rPr>
          <w:szCs w:val="26"/>
        </w:rPr>
        <w:t xml:space="preserve">“illegal purpose or </w:t>
      </w:r>
      <w:r w:rsidR="000F006E">
        <w:rPr>
          <w:szCs w:val="26"/>
        </w:rPr>
        <w:t xml:space="preserve">illegal </w:t>
      </w:r>
      <w:r w:rsidR="00FC60F3" w:rsidRPr="00672545">
        <w:rPr>
          <w:szCs w:val="26"/>
        </w:rPr>
        <w:t xml:space="preserve">intent” requirement that was established in </w:t>
      </w:r>
      <w:r w:rsidR="00FC60F3" w:rsidRPr="00672545">
        <w:rPr>
          <w:i/>
          <w:szCs w:val="26"/>
        </w:rPr>
        <w:t>Oliver</w:t>
      </w:r>
      <w:r w:rsidR="000F006E" w:rsidRPr="000F006E">
        <w:rPr>
          <w:szCs w:val="26"/>
        </w:rPr>
        <w:t>,</w:t>
      </w:r>
      <w:r w:rsidR="000F006E">
        <w:rPr>
          <w:i/>
          <w:szCs w:val="26"/>
        </w:rPr>
        <w:t xml:space="preserve"> supra</w:t>
      </w:r>
      <w:r w:rsidR="000F006E" w:rsidRPr="000F006E">
        <w:rPr>
          <w:szCs w:val="26"/>
        </w:rPr>
        <w:t>,</w:t>
      </w:r>
      <w:r w:rsidR="000F006E">
        <w:rPr>
          <w:szCs w:val="26"/>
        </w:rPr>
        <w:t xml:space="preserve"> 55 Cal.2d at page 764,</w:t>
      </w:r>
      <w:r w:rsidR="00FC60F3" w:rsidRPr="00672545">
        <w:rPr>
          <w:szCs w:val="26"/>
        </w:rPr>
        <w:t xml:space="preserve"> because, without su</w:t>
      </w:r>
      <w:r w:rsidR="00E6331F" w:rsidRPr="00672545">
        <w:rPr>
          <w:szCs w:val="26"/>
        </w:rPr>
        <w:t>ch a requirement</w:t>
      </w:r>
      <w:r w:rsidR="00FC60F3" w:rsidRPr="00672545">
        <w:rPr>
          <w:szCs w:val="26"/>
        </w:rPr>
        <w:t xml:space="preserve"> in cases involving children, “every time a person picks up and moves a child, he or she could be charged with kidnapping.”  (</w:t>
      </w:r>
      <w:r w:rsidR="00FC60F3" w:rsidRPr="00672545">
        <w:rPr>
          <w:i/>
          <w:szCs w:val="26"/>
        </w:rPr>
        <w:t>Michele D.</w:t>
      </w:r>
      <w:r w:rsidR="00FC60F3" w:rsidRPr="00672545">
        <w:rPr>
          <w:szCs w:val="26"/>
        </w:rPr>
        <w:t xml:space="preserve">, </w:t>
      </w:r>
      <w:r w:rsidR="00FC60F3" w:rsidRPr="00672545">
        <w:rPr>
          <w:i/>
          <w:szCs w:val="26"/>
        </w:rPr>
        <w:t>supra</w:t>
      </w:r>
      <w:r w:rsidR="00FC60F3" w:rsidRPr="00672545">
        <w:rPr>
          <w:szCs w:val="26"/>
        </w:rPr>
        <w:t>, 29 Cal.4th at p. 612</w:t>
      </w:r>
      <w:r w:rsidR="00AF0601" w:rsidRPr="00672545">
        <w:rPr>
          <w:szCs w:val="26"/>
        </w:rPr>
        <w:t xml:space="preserve">; </w:t>
      </w:r>
      <w:r w:rsidR="00AF0601" w:rsidRPr="00672545">
        <w:rPr>
          <w:rStyle w:val="ssit"/>
          <w:i/>
          <w:iCs/>
          <w:szCs w:val="26"/>
          <w:bdr w:val="none" w:sz="0" w:space="0" w:color="auto" w:frame="1"/>
          <w:shd w:val="clear" w:color="auto" w:fill="FFFFFF"/>
        </w:rPr>
        <w:t>Oliver, supra,</w:t>
      </w:r>
      <w:r w:rsidR="00AF0601" w:rsidRPr="00672545">
        <w:rPr>
          <w:szCs w:val="26"/>
          <w:shd w:val="clear" w:color="auto" w:fill="FFFFFF"/>
        </w:rPr>
        <w:t> 55 Cal.2d at p. 768</w:t>
      </w:r>
      <w:r w:rsidR="00AF0601" w:rsidRPr="00672545">
        <w:rPr>
          <w:szCs w:val="26"/>
        </w:rPr>
        <w:t xml:space="preserve"> [“So construed the legislative purpose will be preserved and furthered, and innocent persons who cannot have been within the legislative intention in adopting section 207 will be excluded from the operation of the law”]</w:t>
      </w:r>
      <w:r w:rsidR="00FC60F3" w:rsidRPr="00672545">
        <w:rPr>
          <w:szCs w:val="26"/>
        </w:rPr>
        <w:t>.)</w:t>
      </w:r>
    </w:p>
    <w:p w14:paraId="62555B1D" w14:textId="630A3059" w:rsidR="00755806" w:rsidRPr="00672545" w:rsidRDefault="002F6AF1" w:rsidP="00672545">
      <w:pPr>
        <w:ind w:firstLine="720"/>
        <w:rPr>
          <w:szCs w:val="26"/>
        </w:rPr>
      </w:pPr>
      <w:r>
        <w:rPr>
          <w:color w:val="000000"/>
          <w:szCs w:val="26"/>
        </w:rPr>
        <w:t>A</w:t>
      </w:r>
      <w:r w:rsidR="00F53FBC" w:rsidRPr="00672545">
        <w:rPr>
          <w:color w:val="000000"/>
          <w:szCs w:val="26"/>
        </w:rPr>
        <w:t>lthough</w:t>
      </w:r>
      <w:r w:rsidR="00E50BE4" w:rsidRPr="00672545">
        <w:rPr>
          <w:color w:val="000000"/>
          <w:szCs w:val="26"/>
        </w:rPr>
        <w:t xml:space="preserve"> </w:t>
      </w:r>
      <w:r w:rsidR="005A71FD" w:rsidRPr="00672545">
        <w:rPr>
          <w:color w:val="000000"/>
          <w:szCs w:val="26"/>
        </w:rPr>
        <w:t xml:space="preserve">this element </w:t>
      </w:r>
      <w:r w:rsidR="00B852F8" w:rsidRPr="00672545">
        <w:rPr>
          <w:color w:val="000000"/>
          <w:szCs w:val="26"/>
        </w:rPr>
        <w:t xml:space="preserve">concerning </w:t>
      </w:r>
      <w:r w:rsidR="005A71FD" w:rsidRPr="00672545">
        <w:rPr>
          <w:color w:val="000000"/>
          <w:szCs w:val="26"/>
        </w:rPr>
        <w:t xml:space="preserve">the </w:t>
      </w:r>
      <w:r w:rsidR="005A71FD" w:rsidRPr="00672545">
        <w:rPr>
          <w:i/>
          <w:color w:val="000000"/>
          <w:szCs w:val="26"/>
        </w:rPr>
        <w:t>Oliver</w:t>
      </w:r>
      <w:r w:rsidR="005A71FD" w:rsidRPr="00672545">
        <w:rPr>
          <w:color w:val="000000"/>
          <w:szCs w:val="26"/>
        </w:rPr>
        <w:t xml:space="preserve"> theory of kidnapping was not presented to the jury</w:t>
      </w:r>
      <w:r w:rsidR="005A71FD" w:rsidRPr="00672545">
        <w:rPr>
          <w:color w:val="000000"/>
        </w:rPr>
        <w:t xml:space="preserve">, </w:t>
      </w:r>
      <w:r w:rsidR="00D62805" w:rsidRPr="00672545">
        <w:rPr>
          <w:color w:val="000000"/>
        </w:rPr>
        <w:t xml:space="preserve">any </w:t>
      </w:r>
      <w:r w:rsidR="002C3276" w:rsidRPr="00672545">
        <w:rPr>
          <w:color w:val="000000"/>
        </w:rPr>
        <w:t xml:space="preserve">asserted </w:t>
      </w:r>
      <w:r w:rsidR="00D62805" w:rsidRPr="00672545">
        <w:rPr>
          <w:color w:val="000000"/>
        </w:rPr>
        <w:t xml:space="preserve">error was harmless </w:t>
      </w:r>
      <w:r w:rsidR="00DB33BF" w:rsidRPr="00672545">
        <w:rPr>
          <w:color w:val="000000"/>
        </w:rPr>
        <w:t>under either the state or federal constitutions</w:t>
      </w:r>
      <w:r w:rsidR="00024769" w:rsidRPr="00672545">
        <w:rPr>
          <w:color w:val="000000"/>
        </w:rPr>
        <w:t xml:space="preserve">.  (See </w:t>
      </w:r>
      <w:proofErr w:type="spellStart"/>
      <w:r w:rsidR="007F7456" w:rsidRPr="00672545">
        <w:rPr>
          <w:rStyle w:val="ssrfcpassagedeactivated"/>
          <w:i/>
          <w:color w:val="000000"/>
        </w:rPr>
        <w:t>Neder</w:t>
      </w:r>
      <w:proofErr w:type="spellEnd"/>
      <w:r w:rsidR="007F7456" w:rsidRPr="00672545">
        <w:rPr>
          <w:rStyle w:val="ssrfcpassagedeactivated"/>
          <w:i/>
          <w:color w:val="000000"/>
        </w:rPr>
        <w:t xml:space="preserve"> v. United States </w:t>
      </w:r>
      <w:r w:rsidR="007F7456" w:rsidRPr="00672545">
        <w:rPr>
          <w:rStyle w:val="ssrfcpassagedeactivated"/>
          <w:color w:val="000000"/>
        </w:rPr>
        <w:t>(1999) 527 U.S. 1, 17</w:t>
      </w:r>
      <w:r w:rsidR="005A71FD" w:rsidRPr="00672545">
        <w:rPr>
          <w:rStyle w:val="ssrfcpassagedeactivated"/>
          <w:color w:val="000000"/>
          <w:szCs w:val="26"/>
        </w:rPr>
        <w:t xml:space="preserve"> [</w:t>
      </w:r>
      <w:r w:rsidR="00833BF0" w:rsidRPr="00672545">
        <w:rPr>
          <w:rStyle w:val="ssrfcpassagedeactivated"/>
          <w:color w:val="000000"/>
          <w:szCs w:val="26"/>
        </w:rPr>
        <w:t xml:space="preserve">under the federal constitution, the </w:t>
      </w:r>
      <w:r w:rsidR="00946238" w:rsidRPr="00672545">
        <w:rPr>
          <w:rStyle w:val="ssrfcpassagedeactivated"/>
          <w:color w:val="000000"/>
          <w:szCs w:val="26"/>
        </w:rPr>
        <w:t xml:space="preserve">failure to instruct the jury on an element of the crime </w:t>
      </w:r>
      <w:r w:rsidR="00A171B8" w:rsidRPr="00672545">
        <w:rPr>
          <w:rStyle w:val="ssrfcpassagedeactivated"/>
          <w:color w:val="000000"/>
          <w:szCs w:val="26"/>
        </w:rPr>
        <w:t>is reviewed for whether the error was harmless beyond a reasonable doubt</w:t>
      </w:r>
      <w:r w:rsidR="005A71FD" w:rsidRPr="00672545">
        <w:rPr>
          <w:rStyle w:val="ssrfcpassagedeactivated"/>
          <w:color w:val="000000"/>
          <w:szCs w:val="26"/>
        </w:rPr>
        <w:t>]</w:t>
      </w:r>
      <w:r w:rsidR="00024769" w:rsidRPr="00672545">
        <w:rPr>
          <w:color w:val="000000"/>
          <w:szCs w:val="26"/>
        </w:rPr>
        <w:t>;</w:t>
      </w:r>
      <w:r w:rsidR="00024769" w:rsidRPr="00672545">
        <w:rPr>
          <w:color w:val="000000"/>
        </w:rPr>
        <w:t xml:space="preserve"> </w:t>
      </w:r>
      <w:r w:rsidR="00F173B1" w:rsidRPr="00672545">
        <w:rPr>
          <w:i/>
          <w:color w:val="000000"/>
        </w:rPr>
        <w:t xml:space="preserve">People v. </w:t>
      </w:r>
      <w:r w:rsidR="00F173B1" w:rsidRPr="00672545">
        <w:rPr>
          <w:i/>
          <w:color w:val="000000"/>
          <w:szCs w:val="26"/>
        </w:rPr>
        <w:t>Cole</w:t>
      </w:r>
      <w:r w:rsidR="00F173B1" w:rsidRPr="00672545">
        <w:rPr>
          <w:color w:val="000000"/>
          <w:szCs w:val="26"/>
        </w:rPr>
        <w:t xml:space="preserve"> (2004) 33 Cal.4th 1158, 1208, citing </w:t>
      </w:r>
      <w:r w:rsidR="00024769" w:rsidRPr="00672545">
        <w:rPr>
          <w:i/>
          <w:color w:val="000000"/>
          <w:szCs w:val="26"/>
        </w:rPr>
        <w:t xml:space="preserve">People v. </w:t>
      </w:r>
      <w:r w:rsidR="00024769" w:rsidRPr="00672545">
        <w:rPr>
          <w:i/>
          <w:color w:val="000000"/>
        </w:rPr>
        <w:t>Watson</w:t>
      </w:r>
      <w:r w:rsidR="00024769" w:rsidRPr="00672545">
        <w:rPr>
          <w:color w:val="000000"/>
        </w:rPr>
        <w:t xml:space="preserve">, </w:t>
      </w:r>
      <w:r w:rsidR="00024769" w:rsidRPr="00672545">
        <w:rPr>
          <w:i/>
          <w:color w:val="000000"/>
        </w:rPr>
        <w:t>supra</w:t>
      </w:r>
      <w:r w:rsidR="00024769" w:rsidRPr="00672545">
        <w:rPr>
          <w:color w:val="000000"/>
        </w:rPr>
        <w:t>, 46 Cal.2d at p. 836</w:t>
      </w:r>
      <w:r w:rsidR="00E82DDE" w:rsidRPr="00672545">
        <w:rPr>
          <w:color w:val="000000"/>
          <w:szCs w:val="26"/>
        </w:rPr>
        <w:t xml:space="preserve"> [</w:t>
      </w:r>
      <w:r w:rsidR="00872C65" w:rsidRPr="00672545">
        <w:rPr>
          <w:color w:val="000000"/>
          <w:szCs w:val="26"/>
        </w:rPr>
        <w:t>under the state constitution, the inquiry is</w:t>
      </w:r>
      <w:r w:rsidR="00902AC5" w:rsidRPr="00672545">
        <w:rPr>
          <w:color w:val="000000"/>
          <w:szCs w:val="26"/>
        </w:rPr>
        <w:t xml:space="preserve"> whether there </w:t>
      </w:r>
      <w:r w:rsidR="00902AC5" w:rsidRPr="00672545">
        <w:rPr>
          <w:color w:val="000000"/>
          <w:szCs w:val="26"/>
        </w:rPr>
        <w:lastRenderedPageBreak/>
        <w:t xml:space="preserve">is </w:t>
      </w:r>
      <w:r w:rsidR="00E82DDE" w:rsidRPr="00672545">
        <w:rPr>
          <w:color w:val="000000"/>
          <w:szCs w:val="26"/>
        </w:rPr>
        <w:t>no reasonable probability that the outcome of defendant’s trial would have been different had the trial court properly instructed the jury]</w:t>
      </w:r>
      <w:r w:rsidR="00024769" w:rsidRPr="00672545">
        <w:rPr>
          <w:color w:val="000000"/>
          <w:szCs w:val="26"/>
        </w:rPr>
        <w:t xml:space="preserve">.) </w:t>
      </w:r>
      <w:r w:rsidR="007F7456" w:rsidRPr="00672545">
        <w:rPr>
          <w:color w:val="000000"/>
          <w:szCs w:val="26"/>
        </w:rPr>
        <w:t xml:space="preserve"> </w:t>
      </w:r>
      <w:r w:rsidR="00C45023" w:rsidRPr="00672545">
        <w:rPr>
          <w:szCs w:val="26"/>
        </w:rPr>
        <w:t>Defendant</w:t>
      </w:r>
      <w:r w:rsidR="00AA1A1E" w:rsidRPr="00672545">
        <w:rPr>
          <w:szCs w:val="26"/>
        </w:rPr>
        <w:t xml:space="preserve"> </w:t>
      </w:r>
      <w:r w:rsidR="001B2873" w:rsidRPr="00672545">
        <w:rPr>
          <w:szCs w:val="26"/>
        </w:rPr>
        <w:t>relied on</w:t>
      </w:r>
      <w:r w:rsidR="00AA1A1E" w:rsidRPr="00672545">
        <w:rPr>
          <w:szCs w:val="26"/>
        </w:rPr>
        <w:t xml:space="preserve"> an </w:t>
      </w:r>
      <w:r w:rsidR="001B2873" w:rsidRPr="00672545">
        <w:rPr>
          <w:szCs w:val="26"/>
        </w:rPr>
        <w:t>alibi</w:t>
      </w:r>
      <w:r w:rsidR="00AA1A1E" w:rsidRPr="00672545">
        <w:rPr>
          <w:szCs w:val="26"/>
        </w:rPr>
        <w:t xml:space="preserve"> defense and made no claim </w:t>
      </w:r>
      <w:r w:rsidR="007018A3" w:rsidRPr="00672545">
        <w:rPr>
          <w:szCs w:val="26"/>
        </w:rPr>
        <w:t xml:space="preserve">asserting that </w:t>
      </w:r>
      <w:r w:rsidR="00AA1A1E" w:rsidRPr="00672545">
        <w:rPr>
          <w:szCs w:val="26"/>
        </w:rPr>
        <w:t xml:space="preserve">Danielle </w:t>
      </w:r>
      <w:r w:rsidR="007018A3" w:rsidRPr="00672545">
        <w:rPr>
          <w:szCs w:val="26"/>
        </w:rPr>
        <w:t xml:space="preserve">willingly left </w:t>
      </w:r>
      <w:r w:rsidR="00AA1A1E" w:rsidRPr="00672545">
        <w:rPr>
          <w:szCs w:val="26"/>
        </w:rPr>
        <w:t xml:space="preserve">her </w:t>
      </w:r>
      <w:r w:rsidR="00B2713C" w:rsidRPr="00672545">
        <w:rPr>
          <w:szCs w:val="26"/>
        </w:rPr>
        <w:t xml:space="preserve">home </w:t>
      </w:r>
      <w:r w:rsidR="007018A3" w:rsidRPr="00672545">
        <w:rPr>
          <w:szCs w:val="26"/>
        </w:rPr>
        <w:t xml:space="preserve">with him </w:t>
      </w:r>
      <w:r w:rsidR="00B2713C" w:rsidRPr="00672545">
        <w:rPr>
          <w:szCs w:val="26"/>
        </w:rPr>
        <w:t>on the night of February 2, 2</w:t>
      </w:r>
      <w:r w:rsidR="001B2873" w:rsidRPr="00672545">
        <w:rPr>
          <w:szCs w:val="26"/>
        </w:rPr>
        <w:t>002</w:t>
      </w:r>
      <w:r w:rsidR="00B2713C" w:rsidRPr="00672545">
        <w:rPr>
          <w:szCs w:val="26"/>
        </w:rPr>
        <w:t xml:space="preserve">.  </w:t>
      </w:r>
      <w:r w:rsidR="009570EB" w:rsidRPr="00672545">
        <w:rPr>
          <w:szCs w:val="26"/>
        </w:rPr>
        <w:t>More important, t</w:t>
      </w:r>
      <w:r w:rsidR="0004113D" w:rsidRPr="00672545">
        <w:rPr>
          <w:szCs w:val="26"/>
        </w:rPr>
        <w:t xml:space="preserve">he record reflects </w:t>
      </w:r>
      <w:r w:rsidR="00A65FCF" w:rsidRPr="00672545">
        <w:rPr>
          <w:szCs w:val="26"/>
        </w:rPr>
        <w:t xml:space="preserve">there could have been </w:t>
      </w:r>
      <w:r w:rsidR="0004113D" w:rsidRPr="00672545">
        <w:rPr>
          <w:szCs w:val="26"/>
        </w:rPr>
        <w:t xml:space="preserve">no possible lawful purpose for </w:t>
      </w:r>
      <w:r w:rsidR="005A54FA" w:rsidRPr="00672545">
        <w:rPr>
          <w:szCs w:val="26"/>
        </w:rPr>
        <w:t xml:space="preserve">surreptitiously </w:t>
      </w:r>
      <w:r w:rsidR="0004113D" w:rsidRPr="00672545">
        <w:rPr>
          <w:szCs w:val="26"/>
        </w:rPr>
        <w:t xml:space="preserve">removing </w:t>
      </w:r>
      <w:r w:rsidR="005A54FA" w:rsidRPr="00672545">
        <w:rPr>
          <w:szCs w:val="26"/>
        </w:rPr>
        <w:t xml:space="preserve">seven-year-old </w:t>
      </w:r>
      <w:r w:rsidR="0004113D" w:rsidRPr="00672545">
        <w:rPr>
          <w:szCs w:val="26"/>
        </w:rPr>
        <w:t xml:space="preserve">Danielle from her home without her parents’ knowledge and consent.  There was no fire or other emergency, for example.  </w:t>
      </w:r>
      <w:r w:rsidR="00824992" w:rsidRPr="00672545">
        <w:t xml:space="preserve">There can be no other reasonable interpretation of the evidence that shows, or remotely suggests, </w:t>
      </w:r>
      <w:r w:rsidR="000F006E">
        <w:t>defendant</w:t>
      </w:r>
      <w:r w:rsidR="00824992" w:rsidRPr="00672545">
        <w:t xml:space="preserve"> took Danielle for a lawful purpose.  And this is all that the law requires.</w:t>
      </w:r>
    </w:p>
    <w:p w14:paraId="7F954724" w14:textId="77777777" w:rsidR="00755806" w:rsidRPr="00672545" w:rsidRDefault="00B43F74" w:rsidP="00672545">
      <w:pPr>
        <w:pStyle w:val="Heading3"/>
      </w:pPr>
      <w:bookmarkStart w:id="28" w:name="_Toc506979819"/>
      <w:r w:rsidRPr="00672545">
        <w:t xml:space="preserve">13.  The Trial Court’s Failure to Instruct on Second Degree Murder and Involuntary Manslaughter as Lesser Included Offenses of </w:t>
      </w:r>
      <w:proofErr w:type="gramStart"/>
      <w:r w:rsidRPr="00672545">
        <w:t>First Degree</w:t>
      </w:r>
      <w:proofErr w:type="gramEnd"/>
      <w:r w:rsidRPr="00672545">
        <w:t xml:space="preserve"> Felony Murder  </w:t>
      </w:r>
      <w:bookmarkEnd w:id="28"/>
    </w:p>
    <w:p w14:paraId="1CD72797" w14:textId="77777777" w:rsidR="00BE2434" w:rsidRPr="00672545" w:rsidRDefault="00BE2434" w:rsidP="00672545">
      <w:pPr>
        <w:rPr>
          <w:szCs w:val="26"/>
        </w:rPr>
      </w:pPr>
      <w:r w:rsidRPr="00672545">
        <w:rPr>
          <w:szCs w:val="26"/>
        </w:rPr>
        <w:tab/>
      </w:r>
      <w:r w:rsidR="006B62E9" w:rsidRPr="00672545">
        <w:rPr>
          <w:szCs w:val="26"/>
        </w:rPr>
        <w:t>O</w:t>
      </w:r>
      <w:r w:rsidR="000E726E" w:rsidRPr="00672545">
        <w:rPr>
          <w:szCs w:val="26"/>
        </w:rPr>
        <w:t xml:space="preserve">ver </w:t>
      </w:r>
      <w:r w:rsidRPr="00672545">
        <w:rPr>
          <w:szCs w:val="26"/>
        </w:rPr>
        <w:t xml:space="preserve">defendant’s </w:t>
      </w:r>
      <w:r w:rsidR="000E726E" w:rsidRPr="00672545">
        <w:rPr>
          <w:szCs w:val="26"/>
        </w:rPr>
        <w:t>objection that the jury should also be instructed on first degree</w:t>
      </w:r>
      <w:r w:rsidRPr="00672545">
        <w:rPr>
          <w:szCs w:val="26"/>
        </w:rPr>
        <w:t xml:space="preserve"> premeditated murder</w:t>
      </w:r>
      <w:r w:rsidR="00DC1D94" w:rsidRPr="00672545">
        <w:rPr>
          <w:szCs w:val="26"/>
        </w:rPr>
        <w:t>, the trial court instructed t</w:t>
      </w:r>
      <w:r w:rsidRPr="00672545">
        <w:rPr>
          <w:szCs w:val="26"/>
        </w:rPr>
        <w:t>he jury on first degree felony murder</w:t>
      </w:r>
      <w:r w:rsidR="000B5BCD" w:rsidRPr="00672545">
        <w:rPr>
          <w:szCs w:val="26"/>
        </w:rPr>
        <w:t xml:space="preserve"> </w:t>
      </w:r>
      <w:r w:rsidR="001949D7" w:rsidRPr="00672545">
        <w:rPr>
          <w:szCs w:val="26"/>
        </w:rPr>
        <w:t>only</w:t>
      </w:r>
      <w:r w:rsidR="000F006E">
        <w:rPr>
          <w:szCs w:val="26"/>
        </w:rPr>
        <w:t>,</w:t>
      </w:r>
      <w:r w:rsidR="001949D7" w:rsidRPr="00672545">
        <w:rPr>
          <w:szCs w:val="26"/>
        </w:rPr>
        <w:t xml:space="preserve"> </w:t>
      </w:r>
      <w:r w:rsidR="000B5BCD" w:rsidRPr="00672545">
        <w:rPr>
          <w:szCs w:val="26"/>
        </w:rPr>
        <w:t>and his liability for murder was tried solely on that basis</w:t>
      </w:r>
      <w:r w:rsidRPr="00672545">
        <w:rPr>
          <w:szCs w:val="26"/>
        </w:rPr>
        <w:t>.</w:t>
      </w:r>
      <w:r w:rsidR="00F81CD5" w:rsidRPr="00672545">
        <w:rPr>
          <w:szCs w:val="26"/>
        </w:rPr>
        <w:t xml:space="preserve">  </w:t>
      </w:r>
      <w:r w:rsidR="00DC1D94" w:rsidRPr="00672545">
        <w:rPr>
          <w:szCs w:val="26"/>
        </w:rPr>
        <w:t xml:space="preserve">Defendant contends </w:t>
      </w:r>
      <w:r w:rsidR="0056746D" w:rsidRPr="00672545">
        <w:rPr>
          <w:szCs w:val="26"/>
        </w:rPr>
        <w:t>the trial court had a duty to instruct on second degree murder and inv</w:t>
      </w:r>
      <w:r w:rsidR="000F006E">
        <w:rPr>
          <w:szCs w:val="26"/>
        </w:rPr>
        <w:t xml:space="preserve">oluntary manslaughter as lesser </w:t>
      </w:r>
      <w:r w:rsidR="0056746D" w:rsidRPr="00672545">
        <w:rPr>
          <w:szCs w:val="26"/>
        </w:rPr>
        <w:t>included offenses</w:t>
      </w:r>
      <w:r w:rsidR="00B15130" w:rsidRPr="00672545">
        <w:rPr>
          <w:szCs w:val="26"/>
        </w:rPr>
        <w:t xml:space="preserve"> on the court’s own motion</w:t>
      </w:r>
      <w:r w:rsidR="0056746D" w:rsidRPr="00672545">
        <w:rPr>
          <w:szCs w:val="26"/>
        </w:rPr>
        <w:t xml:space="preserve">.  </w:t>
      </w:r>
      <w:r w:rsidR="00EC10FC" w:rsidRPr="00672545">
        <w:rPr>
          <w:szCs w:val="26"/>
        </w:rPr>
        <w:t xml:space="preserve">For his claim that second degree murder is a lesser included offense of </w:t>
      </w:r>
      <w:proofErr w:type="gramStart"/>
      <w:r w:rsidR="00EC10FC" w:rsidRPr="00672545">
        <w:rPr>
          <w:szCs w:val="26"/>
        </w:rPr>
        <w:t>first degree</w:t>
      </w:r>
      <w:proofErr w:type="gramEnd"/>
      <w:r w:rsidR="00EC10FC" w:rsidRPr="00672545">
        <w:rPr>
          <w:szCs w:val="26"/>
        </w:rPr>
        <w:t xml:space="preserve"> felony murder, defendant</w:t>
      </w:r>
      <w:r w:rsidR="0056746D" w:rsidRPr="00672545">
        <w:rPr>
          <w:szCs w:val="26"/>
        </w:rPr>
        <w:t xml:space="preserve"> relies on our discussion of the law regarding second degree felony murder in </w:t>
      </w:r>
      <w:r w:rsidR="0056746D" w:rsidRPr="00672545">
        <w:rPr>
          <w:i/>
          <w:szCs w:val="26"/>
        </w:rPr>
        <w:t>People v. Chun</w:t>
      </w:r>
      <w:r w:rsidR="0056746D" w:rsidRPr="00672545">
        <w:rPr>
          <w:szCs w:val="26"/>
        </w:rPr>
        <w:t xml:space="preserve"> (2009) 45 Cal.4th 1172.</w:t>
      </w:r>
      <w:r w:rsidR="00E869F7" w:rsidRPr="00672545">
        <w:rPr>
          <w:szCs w:val="26"/>
        </w:rPr>
        <w:t xml:space="preserve">  </w:t>
      </w:r>
      <w:r w:rsidR="00434747" w:rsidRPr="00672545">
        <w:rPr>
          <w:szCs w:val="26"/>
        </w:rPr>
        <w:t>Defendant contends the failure to instruct on the lesser</w:t>
      </w:r>
      <w:r w:rsidR="000F006E">
        <w:rPr>
          <w:szCs w:val="26"/>
        </w:rPr>
        <w:t xml:space="preserve"> </w:t>
      </w:r>
      <w:r w:rsidR="00434747" w:rsidRPr="00672545">
        <w:rPr>
          <w:szCs w:val="26"/>
        </w:rPr>
        <w:t>included offenses c</w:t>
      </w:r>
      <w:r w:rsidR="000F006E">
        <w:rPr>
          <w:szCs w:val="26"/>
        </w:rPr>
        <w:t>onstituted both state law error;</w:t>
      </w:r>
      <w:r w:rsidR="00434747" w:rsidRPr="00672545">
        <w:rPr>
          <w:szCs w:val="26"/>
        </w:rPr>
        <w:t xml:space="preserve"> and </w:t>
      </w:r>
      <w:r w:rsidR="003B6B57" w:rsidRPr="00672545">
        <w:rPr>
          <w:szCs w:val="26"/>
        </w:rPr>
        <w:t xml:space="preserve">a </w:t>
      </w:r>
      <w:r w:rsidR="00434747" w:rsidRPr="00672545">
        <w:rPr>
          <w:szCs w:val="26"/>
        </w:rPr>
        <w:t>violat</w:t>
      </w:r>
      <w:r w:rsidR="003B6B57" w:rsidRPr="00672545">
        <w:rPr>
          <w:szCs w:val="26"/>
        </w:rPr>
        <w:t>ion of</w:t>
      </w:r>
      <w:r w:rsidR="00434747" w:rsidRPr="00672545">
        <w:rPr>
          <w:szCs w:val="26"/>
        </w:rPr>
        <w:t xml:space="preserve"> his constitutional rights under the Eighth Amendment</w:t>
      </w:r>
      <w:r w:rsidR="000F006E">
        <w:rPr>
          <w:szCs w:val="26"/>
        </w:rPr>
        <w:t>.</w:t>
      </w:r>
      <w:r w:rsidR="00434747" w:rsidRPr="00672545">
        <w:rPr>
          <w:szCs w:val="26"/>
        </w:rPr>
        <w:t xml:space="preserve"> (</w:t>
      </w:r>
      <w:r w:rsidR="00434747" w:rsidRPr="00672545">
        <w:rPr>
          <w:i/>
          <w:szCs w:val="26"/>
        </w:rPr>
        <w:t>Beck v. Alabama</w:t>
      </w:r>
      <w:r w:rsidR="00434747" w:rsidRPr="00672545">
        <w:rPr>
          <w:szCs w:val="26"/>
        </w:rPr>
        <w:t xml:space="preserve"> (1980) 447 U.S. 625, 638)  </w:t>
      </w:r>
    </w:p>
    <w:p w14:paraId="05169AE9" w14:textId="77777777" w:rsidR="00ED7EF8" w:rsidRPr="00672545" w:rsidRDefault="00ED7EF8" w:rsidP="00672545">
      <w:pPr>
        <w:rPr>
          <w:szCs w:val="26"/>
        </w:rPr>
      </w:pPr>
      <w:r w:rsidRPr="00672545">
        <w:rPr>
          <w:szCs w:val="26"/>
        </w:rPr>
        <w:lastRenderedPageBreak/>
        <w:tab/>
        <w:t xml:space="preserve">As defendant observes, we have previously declined to address the question of whether second degree murder is a lesser included offense of </w:t>
      </w:r>
      <w:proofErr w:type="gramStart"/>
      <w:r w:rsidRPr="00672545">
        <w:rPr>
          <w:szCs w:val="26"/>
        </w:rPr>
        <w:t>first degree</w:t>
      </w:r>
      <w:proofErr w:type="gramEnd"/>
      <w:r w:rsidRPr="00672545">
        <w:rPr>
          <w:szCs w:val="26"/>
        </w:rPr>
        <w:t xml:space="preserve"> felony murder.  (</w:t>
      </w:r>
      <w:r w:rsidRPr="00672545">
        <w:rPr>
          <w:i/>
          <w:iCs/>
          <w:szCs w:val="26"/>
        </w:rPr>
        <w:t>People v. Castaneda</w:t>
      </w:r>
      <w:r w:rsidR="000F006E" w:rsidRPr="000F006E">
        <w:rPr>
          <w:iCs/>
          <w:szCs w:val="26"/>
        </w:rPr>
        <w:t>,</w:t>
      </w:r>
      <w:r w:rsidR="000F006E">
        <w:rPr>
          <w:i/>
          <w:iCs/>
          <w:szCs w:val="26"/>
        </w:rPr>
        <w:t xml:space="preserve"> supra</w:t>
      </w:r>
      <w:r w:rsidR="000F006E" w:rsidRPr="000F006E">
        <w:rPr>
          <w:iCs/>
          <w:szCs w:val="26"/>
        </w:rPr>
        <w:t>,</w:t>
      </w:r>
      <w:r w:rsidRPr="00672545">
        <w:rPr>
          <w:szCs w:val="26"/>
        </w:rPr>
        <w:t xml:space="preserve"> 51 Cal.4th</w:t>
      </w:r>
      <w:r w:rsidR="000F006E">
        <w:rPr>
          <w:szCs w:val="26"/>
        </w:rPr>
        <w:t xml:space="preserve">, at pp. </w:t>
      </w:r>
      <w:r w:rsidRPr="00672545">
        <w:rPr>
          <w:szCs w:val="26"/>
        </w:rPr>
        <w:t>1328-1329 (</w:t>
      </w:r>
      <w:r w:rsidRPr="00672545">
        <w:rPr>
          <w:i/>
          <w:szCs w:val="26"/>
        </w:rPr>
        <w:t>Castaneda</w:t>
      </w:r>
      <w:r w:rsidRPr="00672545">
        <w:rPr>
          <w:szCs w:val="26"/>
        </w:rPr>
        <w:t xml:space="preserve">); </w:t>
      </w:r>
      <w:r w:rsidRPr="00672545">
        <w:rPr>
          <w:i/>
          <w:iCs/>
          <w:szCs w:val="26"/>
        </w:rPr>
        <w:t>People v. Romero</w:t>
      </w:r>
      <w:r w:rsidRPr="00672545">
        <w:rPr>
          <w:szCs w:val="26"/>
        </w:rPr>
        <w:t xml:space="preserve"> (2008) 44 Cal.4th 386, 402;</w:t>
      </w:r>
      <w:r w:rsidRPr="00672545">
        <w:rPr>
          <w:i/>
          <w:szCs w:val="26"/>
        </w:rPr>
        <w:t xml:space="preserve"> People v. Valdez</w:t>
      </w:r>
      <w:r w:rsidR="006B3461">
        <w:rPr>
          <w:szCs w:val="26"/>
        </w:rPr>
        <w:t xml:space="preserve">, </w:t>
      </w:r>
      <w:r w:rsidR="006B3461" w:rsidRPr="006B3461">
        <w:rPr>
          <w:i/>
          <w:szCs w:val="26"/>
        </w:rPr>
        <w:t>supra</w:t>
      </w:r>
      <w:r w:rsidR="006B3461">
        <w:rPr>
          <w:szCs w:val="26"/>
        </w:rPr>
        <w:t>,</w:t>
      </w:r>
      <w:r w:rsidRPr="00672545">
        <w:rPr>
          <w:szCs w:val="26"/>
        </w:rPr>
        <w:t xml:space="preserve"> 32 Cal.4th,</w:t>
      </w:r>
      <w:r w:rsidR="006B3461">
        <w:rPr>
          <w:szCs w:val="26"/>
        </w:rPr>
        <w:t xml:space="preserve"> at p.</w:t>
      </w:r>
      <w:r w:rsidRPr="00672545">
        <w:rPr>
          <w:szCs w:val="26"/>
        </w:rPr>
        <w:t xml:space="preserve"> 114, fn. 17.)  We do so again here.  Even assuming for purposes of argument that </w:t>
      </w:r>
      <w:proofErr w:type="gramStart"/>
      <w:r w:rsidRPr="00672545">
        <w:rPr>
          <w:szCs w:val="26"/>
        </w:rPr>
        <w:t>second degree</w:t>
      </w:r>
      <w:proofErr w:type="gramEnd"/>
      <w:r w:rsidRPr="00672545">
        <w:rPr>
          <w:szCs w:val="26"/>
        </w:rPr>
        <w:t xml:space="preserve"> murder, and involuntary manslaughter, are lesser included offenses of first degree felony murder, we conclude that the trial court did not error in failing to instruct the jury on them here.</w:t>
      </w:r>
    </w:p>
    <w:p w14:paraId="4F4181F5" w14:textId="77777777" w:rsidR="00434747" w:rsidRPr="00672545" w:rsidRDefault="00F8520E" w:rsidP="00672545">
      <w:pPr>
        <w:rPr>
          <w:szCs w:val="26"/>
        </w:rPr>
      </w:pPr>
      <w:r w:rsidRPr="00672545">
        <w:rPr>
          <w:rStyle w:val="ssrfcpassagedeactivated"/>
          <w:szCs w:val="26"/>
        </w:rPr>
        <w:tab/>
      </w:r>
      <w:proofErr w:type="gramStart"/>
      <w:r w:rsidRPr="00672545">
        <w:rPr>
          <w:rStyle w:val="ssrfcpassagedeactivated"/>
          <w:szCs w:val="26"/>
        </w:rPr>
        <w:t>“ ‘</w:t>
      </w:r>
      <w:proofErr w:type="gramEnd"/>
      <w:r w:rsidRPr="00672545">
        <w:rPr>
          <w:rStyle w:val="ssrfcpassagedeactivated"/>
          <w:szCs w:val="26"/>
        </w:rPr>
        <w:t xml:space="preserve">[I]t is the “court’s duty to instruct the jury not only on the crime with which the defendant is charged, but also on any lesser offense that is both included in the offense charged </w:t>
      </w:r>
      <w:r w:rsidRPr="00672545">
        <w:rPr>
          <w:rStyle w:val="ssrfcpassagedeactivated"/>
          <w:i/>
          <w:szCs w:val="26"/>
        </w:rPr>
        <w:t>and shown by the evidence to have been committed</w:t>
      </w:r>
      <w:r w:rsidRPr="00672545">
        <w:rPr>
          <w:rStyle w:val="ssrfcpassagedeactivated"/>
          <w:szCs w:val="26"/>
        </w:rPr>
        <w:t>.”  [Citation.]’  [Citations.]</w:t>
      </w:r>
      <w:r w:rsidR="00E3427A" w:rsidRPr="00672545">
        <w:rPr>
          <w:rStyle w:val="ssrfcpassagedeactivated"/>
          <w:szCs w:val="26"/>
        </w:rPr>
        <w:t>”</w:t>
      </w:r>
      <w:r w:rsidRPr="00672545">
        <w:rPr>
          <w:rStyle w:val="ssrfcpassagedeactivated"/>
          <w:szCs w:val="26"/>
        </w:rPr>
        <w:t xml:space="preserve"> </w:t>
      </w:r>
      <w:r w:rsidRPr="00672545">
        <w:rPr>
          <w:szCs w:val="26"/>
        </w:rPr>
        <w:t>(</w:t>
      </w:r>
      <w:r w:rsidRPr="00672545">
        <w:rPr>
          <w:i/>
          <w:iCs/>
          <w:szCs w:val="26"/>
        </w:rPr>
        <w:t>Castaneda</w:t>
      </w:r>
      <w:r w:rsidR="00B66150" w:rsidRPr="00672545">
        <w:rPr>
          <w:i/>
          <w:iCs/>
          <w:szCs w:val="26"/>
        </w:rPr>
        <w:t>, supra</w:t>
      </w:r>
      <w:r w:rsidR="00B66150" w:rsidRPr="00672545">
        <w:rPr>
          <w:iCs/>
          <w:szCs w:val="26"/>
        </w:rPr>
        <w:t>,</w:t>
      </w:r>
      <w:r w:rsidRPr="00672545">
        <w:rPr>
          <w:szCs w:val="26"/>
        </w:rPr>
        <w:t xml:space="preserve"> 51 Cal.4th,</w:t>
      </w:r>
      <w:r w:rsidR="006B3461">
        <w:rPr>
          <w:szCs w:val="26"/>
        </w:rPr>
        <w:t xml:space="preserve"> at p. </w:t>
      </w:r>
      <w:r w:rsidRPr="00672545">
        <w:rPr>
          <w:szCs w:val="26"/>
        </w:rPr>
        <w:t>1327</w:t>
      </w:r>
      <w:r w:rsidR="001A4FD3" w:rsidRPr="00672545">
        <w:rPr>
          <w:szCs w:val="26"/>
        </w:rPr>
        <w:t>, italics added</w:t>
      </w:r>
      <w:r w:rsidRPr="00672545">
        <w:rPr>
          <w:szCs w:val="26"/>
        </w:rPr>
        <w:t>.)</w:t>
      </w:r>
      <w:r w:rsidR="001A4FD3" w:rsidRPr="00672545">
        <w:rPr>
          <w:szCs w:val="26"/>
        </w:rPr>
        <w:t xml:space="preserve">  </w:t>
      </w:r>
      <w:r w:rsidR="00E3427A" w:rsidRPr="00672545">
        <w:rPr>
          <w:szCs w:val="26"/>
        </w:rPr>
        <w:t>“</w:t>
      </w:r>
      <w:r w:rsidR="001A4FD3" w:rsidRPr="00672545">
        <w:rPr>
          <w:szCs w:val="26"/>
        </w:rPr>
        <w:t>S</w:t>
      </w:r>
      <w:r w:rsidR="00E3427A" w:rsidRPr="00672545">
        <w:rPr>
          <w:szCs w:val="26"/>
        </w:rPr>
        <w:t>peculation is an insufficient basis upon which to require the givin</w:t>
      </w:r>
      <w:r w:rsidR="006B3461">
        <w:rPr>
          <w:szCs w:val="26"/>
        </w:rPr>
        <w:t xml:space="preserve">g of an instruction on a lesser </w:t>
      </w:r>
      <w:r w:rsidR="00E3427A" w:rsidRPr="00672545">
        <w:rPr>
          <w:szCs w:val="26"/>
        </w:rPr>
        <w:t xml:space="preserve">offense.” </w:t>
      </w:r>
      <w:r w:rsidR="001A4FD3" w:rsidRPr="00672545">
        <w:rPr>
          <w:szCs w:val="26"/>
        </w:rPr>
        <w:t xml:space="preserve"> (</w:t>
      </w:r>
      <w:r w:rsidR="00E3427A" w:rsidRPr="00672545">
        <w:rPr>
          <w:i/>
          <w:iCs/>
          <w:szCs w:val="26"/>
        </w:rPr>
        <w:t>People v. Wilson</w:t>
      </w:r>
      <w:r w:rsidR="00E3427A" w:rsidRPr="00672545">
        <w:rPr>
          <w:szCs w:val="26"/>
        </w:rPr>
        <w:t xml:space="preserve"> (1992) 3 Cal.4th 926, 941.)</w:t>
      </w:r>
      <w:r w:rsidR="001A4FD3" w:rsidRPr="00672545">
        <w:rPr>
          <w:szCs w:val="26"/>
        </w:rPr>
        <w:t xml:space="preserve"> </w:t>
      </w:r>
      <w:r w:rsidR="00E3427A" w:rsidRPr="00672545">
        <w:rPr>
          <w:szCs w:val="26"/>
        </w:rPr>
        <w:t xml:space="preserve"> </w:t>
      </w:r>
      <w:proofErr w:type="gramStart"/>
      <w:r w:rsidR="00E3427A" w:rsidRPr="00672545">
        <w:rPr>
          <w:szCs w:val="26"/>
        </w:rPr>
        <w:t>“</w:t>
      </w:r>
      <w:r w:rsidR="001A4FD3" w:rsidRPr="00672545">
        <w:rPr>
          <w:szCs w:val="26"/>
        </w:rPr>
        <w:t xml:space="preserve"> ‘</w:t>
      </w:r>
      <w:proofErr w:type="gramEnd"/>
      <w:r w:rsidR="00E3427A" w:rsidRPr="00672545">
        <w:rPr>
          <w:szCs w:val="26"/>
        </w:rPr>
        <w:t xml:space="preserve">[T]he existence of </w:t>
      </w:r>
      <w:r w:rsidR="001A4FD3" w:rsidRPr="00672545">
        <w:rPr>
          <w:szCs w:val="26"/>
        </w:rPr>
        <w:t>“</w:t>
      </w:r>
      <w:r w:rsidR="00E3427A" w:rsidRPr="00672545">
        <w:rPr>
          <w:i/>
          <w:iCs/>
          <w:szCs w:val="26"/>
        </w:rPr>
        <w:t>any</w:t>
      </w:r>
      <w:r w:rsidR="00E3427A" w:rsidRPr="00672545">
        <w:rPr>
          <w:szCs w:val="26"/>
        </w:rPr>
        <w:t xml:space="preserve"> evidence, no matter how weak’ will not justify instruction</w:t>
      </w:r>
      <w:r w:rsidR="00437170" w:rsidRPr="00672545">
        <w:rPr>
          <w:szCs w:val="26"/>
        </w:rPr>
        <w:t>s on a lesser included offense . . .</w:t>
      </w:r>
      <w:r w:rsidR="00E3427A" w:rsidRPr="00672545">
        <w:rPr>
          <w:szCs w:val="26"/>
        </w:rPr>
        <w:t xml:space="preserve"> .</w:t>
      </w:r>
      <w:r w:rsidR="001A4FD3" w:rsidRPr="00672545">
        <w:rPr>
          <w:szCs w:val="26"/>
        </w:rPr>
        <w:t xml:space="preserve">’ </w:t>
      </w:r>
      <w:r w:rsidR="00E3427A" w:rsidRPr="00672545">
        <w:rPr>
          <w:szCs w:val="26"/>
        </w:rPr>
        <w:t xml:space="preserve"> </w:t>
      </w:r>
      <w:r w:rsidR="001A4FD3" w:rsidRPr="00672545">
        <w:rPr>
          <w:szCs w:val="26"/>
        </w:rPr>
        <w:t xml:space="preserve">[Citation.] </w:t>
      </w:r>
      <w:r w:rsidR="00E3427A" w:rsidRPr="00672545">
        <w:rPr>
          <w:szCs w:val="26"/>
        </w:rPr>
        <w:t xml:space="preserve"> Rather, substantial evidence must exist to allow a reasonable jury to find that the defendant is guilty of a lesser but not the greater offense. </w:t>
      </w:r>
      <w:r w:rsidR="000B3858" w:rsidRPr="00672545">
        <w:rPr>
          <w:szCs w:val="26"/>
        </w:rPr>
        <w:t xml:space="preserve"> [Citation.]</w:t>
      </w:r>
      <w:r w:rsidR="006B3461">
        <w:rPr>
          <w:szCs w:val="26"/>
        </w:rPr>
        <w:t xml:space="preserve"> </w:t>
      </w:r>
      <w:proofErr w:type="gramStart"/>
      <w:r w:rsidR="00E3427A" w:rsidRPr="00672545">
        <w:rPr>
          <w:szCs w:val="26"/>
        </w:rPr>
        <w:t>‘ “</w:t>
      </w:r>
      <w:proofErr w:type="gramEnd"/>
      <w:r w:rsidR="000B3858" w:rsidRPr="00672545">
        <w:rPr>
          <w:szCs w:val="26"/>
        </w:rPr>
        <w:t xml:space="preserve"> ‘</w:t>
      </w:r>
      <w:r w:rsidR="00E3427A" w:rsidRPr="00672545">
        <w:rPr>
          <w:szCs w:val="26"/>
        </w:rPr>
        <w:t>Substantial evid</w:t>
      </w:r>
      <w:r w:rsidR="000B3858" w:rsidRPr="00672545">
        <w:rPr>
          <w:szCs w:val="26"/>
        </w:rPr>
        <w:t>ence is evidence sufficient to “</w:t>
      </w:r>
      <w:r w:rsidR="00E3427A" w:rsidRPr="00672545">
        <w:rPr>
          <w:szCs w:val="26"/>
        </w:rPr>
        <w:t>deserve consideration by the jury,</w:t>
      </w:r>
      <w:r w:rsidR="000B3858" w:rsidRPr="00672545">
        <w:rPr>
          <w:szCs w:val="26"/>
        </w:rPr>
        <w:t>”</w:t>
      </w:r>
      <w:r w:rsidR="00E3427A" w:rsidRPr="00672545">
        <w:rPr>
          <w:szCs w:val="26"/>
        </w:rPr>
        <w:t xml:space="preserve"> that is, evidence that a reasonable jury could find persuasive.’ ”</w:t>
      </w:r>
      <w:r w:rsidR="000B3858" w:rsidRPr="00672545">
        <w:rPr>
          <w:szCs w:val="26"/>
        </w:rPr>
        <w:t xml:space="preserve"> ’ </w:t>
      </w:r>
      <w:r w:rsidR="00E3427A" w:rsidRPr="00672545">
        <w:rPr>
          <w:szCs w:val="26"/>
        </w:rPr>
        <w:t xml:space="preserve"> </w:t>
      </w:r>
      <w:r w:rsidR="000B3858" w:rsidRPr="00672545">
        <w:rPr>
          <w:szCs w:val="26"/>
        </w:rPr>
        <w:t>[Citation.]”  (</w:t>
      </w:r>
      <w:r w:rsidR="000B3858" w:rsidRPr="00672545">
        <w:rPr>
          <w:i/>
          <w:szCs w:val="26"/>
        </w:rPr>
        <w:t>People v. Valdez, supra</w:t>
      </w:r>
      <w:r w:rsidR="000B3858" w:rsidRPr="00672545">
        <w:rPr>
          <w:szCs w:val="26"/>
        </w:rPr>
        <w:t>, 32 Cal.4th at p. 116</w:t>
      </w:r>
      <w:r w:rsidR="006B3461">
        <w:rPr>
          <w:szCs w:val="26"/>
        </w:rPr>
        <w:t xml:space="preserve"> fn. omitted</w:t>
      </w:r>
      <w:r w:rsidR="000B3858" w:rsidRPr="00672545">
        <w:rPr>
          <w:szCs w:val="26"/>
        </w:rPr>
        <w:t>.)</w:t>
      </w:r>
    </w:p>
    <w:p w14:paraId="1F237F61" w14:textId="77777777" w:rsidR="007776D4" w:rsidRPr="00672545" w:rsidRDefault="00EB235A" w:rsidP="00672545">
      <w:pPr>
        <w:rPr>
          <w:szCs w:val="26"/>
        </w:rPr>
      </w:pPr>
      <w:r w:rsidRPr="00672545">
        <w:rPr>
          <w:szCs w:val="26"/>
        </w:rPr>
        <w:tab/>
      </w:r>
      <w:r w:rsidR="004708B3" w:rsidRPr="00672545">
        <w:rPr>
          <w:szCs w:val="26"/>
        </w:rPr>
        <w:t>We conclude that t</w:t>
      </w:r>
      <w:r w:rsidR="00E3427A" w:rsidRPr="00672545">
        <w:rPr>
          <w:szCs w:val="26"/>
        </w:rPr>
        <w:t>here was no substantial evidence introduced at defendant</w:t>
      </w:r>
      <w:r w:rsidRPr="00672545">
        <w:rPr>
          <w:szCs w:val="26"/>
        </w:rPr>
        <w:t>’</w:t>
      </w:r>
      <w:r w:rsidR="00E3427A" w:rsidRPr="00672545">
        <w:rPr>
          <w:szCs w:val="26"/>
        </w:rPr>
        <w:t xml:space="preserve">s trial that the killing </w:t>
      </w:r>
      <w:r w:rsidRPr="00672545">
        <w:rPr>
          <w:szCs w:val="26"/>
        </w:rPr>
        <w:t xml:space="preserve">of Danielle </w:t>
      </w:r>
      <w:r w:rsidR="00E3427A" w:rsidRPr="00672545">
        <w:rPr>
          <w:szCs w:val="26"/>
        </w:rPr>
        <w:t xml:space="preserve">was other than </w:t>
      </w:r>
      <w:r w:rsidRPr="00672545">
        <w:rPr>
          <w:szCs w:val="26"/>
        </w:rPr>
        <w:t xml:space="preserve">a </w:t>
      </w:r>
      <w:r w:rsidR="00E3427A" w:rsidRPr="00672545">
        <w:rPr>
          <w:szCs w:val="26"/>
        </w:rPr>
        <w:t>murder</w:t>
      </w:r>
      <w:r w:rsidRPr="00672545">
        <w:rPr>
          <w:szCs w:val="26"/>
        </w:rPr>
        <w:t xml:space="preserve"> during the commission of a kidnapping</w:t>
      </w:r>
      <w:r w:rsidR="001A4FD3" w:rsidRPr="00672545">
        <w:rPr>
          <w:szCs w:val="26"/>
        </w:rPr>
        <w:t>.</w:t>
      </w:r>
      <w:r w:rsidRPr="00672545">
        <w:rPr>
          <w:szCs w:val="26"/>
        </w:rPr>
        <w:t xml:space="preserve">  </w:t>
      </w:r>
      <w:r w:rsidR="00F83EA7" w:rsidRPr="00672545">
        <w:rPr>
          <w:szCs w:val="26"/>
        </w:rPr>
        <w:t xml:space="preserve">First, to the extent defendant’s argument that the jury could have concluded he was guilty of only </w:t>
      </w:r>
      <w:proofErr w:type="gramStart"/>
      <w:r w:rsidR="00F83EA7" w:rsidRPr="00672545">
        <w:rPr>
          <w:szCs w:val="26"/>
        </w:rPr>
        <w:t>second degree</w:t>
      </w:r>
      <w:proofErr w:type="gramEnd"/>
      <w:r w:rsidR="00F83EA7" w:rsidRPr="00672545">
        <w:rPr>
          <w:szCs w:val="26"/>
        </w:rPr>
        <w:t xml:space="preserve"> murder or </w:t>
      </w:r>
      <w:r w:rsidR="00F83EA7" w:rsidRPr="00672545">
        <w:rPr>
          <w:szCs w:val="26"/>
        </w:rPr>
        <w:lastRenderedPageBreak/>
        <w:t>involuntary manslaughter relies on his view of the evidence of forcible asportation for purposes of kidnapping, as discussed and rejected in the previous section, we find it purely speculative in this context.  Second, a</w:t>
      </w:r>
      <w:r w:rsidRPr="00672545">
        <w:rPr>
          <w:szCs w:val="26"/>
        </w:rPr>
        <w:t xml:space="preserve">s </w:t>
      </w:r>
      <w:r w:rsidR="00F83EA7" w:rsidRPr="00672545">
        <w:rPr>
          <w:szCs w:val="26"/>
        </w:rPr>
        <w:t xml:space="preserve">we have previously </w:t>
      </w:r>
      <w:r w:rsidRPr="00672545">
        <w:rPr>
          <w:szCs w:val="26"/>
        </w:rPr>
        <w:t xml:space="preserve">explained, it was uncontested that Danielle was taken from her home </w:t>
      </w:r>
      <w:r w:rsidR="0079717A" w:rsidRPr="00672545">
        <w:rPr>
          <w:szCs w:val="26"/>
        </w:rPr>
        <w:t xml:space="preserve">during the night </w:t>
      </w:r>
      <w:r w:rsidRPr="00672545">
        <w:rPr>
          <w:szCs w:val="26"/>
        </w:rPr>
        <w:t xml:space="preserve">without her parents’ consent.  </w:t>
      </w:r>
      <w:r w:rsidR="007776D4" w:rsidRPr="00672545">
        <w:rPr>
          <w:szCs w:val="26"/>
        </w:rPr>
        <w:t xml:space="preserve">Someone kidnapped her.  </w:t>
      </w:r>
      <w:r w:rsidRPr="00672545">
        <w:rPr>
          <w:szCs w:val="26"/>
        </w:rPr>
        <w:t>Defendant contended that he was n</w:t>
      </w:r>
      <w:r w:rsidR="007776D4" w:rsidRPr="00672545">
        <w:rPr>
          <w:szCs w:val="26"/>
        </w:rPr>
        <w:t>either</w:t>
      </w:r>
      <w:r w:rsidRPr="00672545">
        <w:rPr>
          <w:szCs w:val="26"/>
        </w:rPr>
        <w:t xml:space="preserve"> </w:t>
      </w:r>
      <w:r w:rsidR="0079717A" w:rsidRPr="00672545">
        <w:rPr>
          <w:szCs w:val="26"/>
        </w:rPr>
        <w:t>her</w:t>
      </w:r>
      <w:r w:rsidRPr="00672545">
        <w:rPr>
          <w:szCs w:val="26"/>
        </w:rPr>
        <w:t xml:space="preserve"> abductor</w:t>
      </w:r>
      <w:r w:rsidR="0079717A" w:rsidRPr="00672545">
        <w:rPr>
          <w:szCs w:val="26"/>
        </w:rPr>
        <w:t xml:space="preserve"> </w:t>
      </w:r>
      <w:r w:rsidR="007776D4" w:rsidRPr="00672545">
        <w:rPr>
          <w:szCs w:val="26"/>
        </w:rPr>
        <w:t>n</w:t>
      </w:r>
      <w:r w:rsidR="0079717A" w:rsidRPr="00672545">
        <w:rPr>
          <w:szCs w:val="26"/>
        </w:rPr>
        <w:t xml:space="preserve">or </w:t>
      </w:r>
      <w:r w:rsidR="007776D4" w:rsidRPr="00672545">
        <w:rPr>
          <w:szCs w:val="26"/>
        </w:rPr>
        <w:t xml:space="preserve">her </w:t>
      </w:r>
      <w:r w:rsidR="0079717A" w:rsidRPr="00672545">
        <w:rPr>
          <w:szCs w:val="26"/>
        </w:rPr>
        <w:t xml:space="preserve">killer.  </w:t>
      </w:r>
      <w:r w:rsidR="007776D4" w:rsidRPr="00672545">
        <w:rPr>
          <w:szCs w:val="26"/>
        </w:rPr>
        <w:t xml:space="preserve">But </w:t>
      </w:r>
      <w:r w:rsidR="00F64113" w:rsidRPr="00672545">
        <w:rPr>
          <w:szCs w:val="26"/>
        </w:rPr>
        <w:t>blood and trace</w:t>
      </w:r>
      <w:r w:rsidR="007776D4" w:rsidRPr="00672545">
        <w:rPr>
          <w:szCs w:val="26"/>
        </w:rPr>
        <w:t xml:space="preserve"> evidence showed Danielle’s presence in defendant’s home, SUV, and motorhome.  Her naked</w:t>
      </w:r>
      <w:r w:rsidR="00FC61A7" w:rsidRPr="00672545">
        <w:rPr>
          <w:szCs w:val="26"/>
        </w:rPr>
        <w:t>,</w:t>
      </w:r>
      <w:r w:rsidR="007776D4" w:rsidRPr="00672545">
        <w:rPr>
          <w:szCs w:val="26"/>
        </w:rPr>
        <w:t xml:space="preserve"> animal-ravaged body was subsequently found </w:t>
      </w:r>
      <w:r w:rsidR="00B64752" w:rsidRPr="00672545">
        <w:t>off the side of a road in a remote part of San Diego County</w:t>
      </w:r>
      <w:r w:rsidR="00B64752" w:rsidRPr="00672545">
        <w:rPr>
          <w:szCs w:val="26"/>
        </w:rPr>
        <w:t xml:space="preserve"> miles away from her home. </w:t>
      </w:r>
      <w:r w:rsidR="007776D4" w:rsidRPr="00672545">
        <w:rPr>
          <w:szCs w:val="26"/>
        </w:rPr>
        <w:t xml:space="preserve"> </w:t>
      </w:r>
      <w:r w:rsidR="00F64113" w:rsidRPr="00672545">
        <w:rPr>
          <w:szCs w:val="26"/>
        </w:rPr>
        <w:t xml:space="preserve">There was no evidence </w:t>
      </w:r>
      <w:r w:rsidR="00037D6E" w:rsidRPr="00672545">
        <w:rPr>
          <w:szCs w:val="26"/>
        </w:rPr>
        <w:t>from which the jury could find</w:t>
      </w:r>
      <w:r w:rsidR="00F97DCD" w:rsidRPr="00672545">
        <w:rPr>
          <w:szCs w:val="26"/>
        </w:rPr>
        <w:t>, for example,</w:t>
      </w:r>
      <w:r w:rsidR="00037D6E" w:rsidRPr="00672545">
        <w:rPr>
          <w:szCs w:val="26"/>
        </w:rPr>
        <w:t xml:space="preserve"> </w:t>
      </w:r>
      <w:r w:rsidR="00F64113" w:rsidRPr="00672545">
        <w:rPr>
          <w:szCs w:val="26"/>
        </w:rPr>
        <w:t xml:space="preserve">that defendant </w:t>
      </w:r>
      <w:r w:rsidR="00E21F34" w:rsidRPr="00672545">
        <w:rPr>
          <w:szCs w:val="26"/>
        </w:rPr>
        <w:t>simply</w:t>
      </w:r>
      <w:r w:rsidR="00F64113" w:rsidRPr="00672545">
        <w:rPr>
          <w:szCs w:val="26"/>
        </w:rPr>
        <w:t xml:space="preserve"> came upon her and killed her where her body was found</w:t>
      </w:r>
      <w:r w:rsidR="00E25A07" w:rsidRPr="00672545">
        <w:rPr>
          <w:szCs w:val="26"/>
        </w:rPr>
        <w:t>, warranting instructions on the assumed lesser included homicide offenses</w:t>
      </w:r>
      <w:r w:rsidR="00F64113" w:rsidRPr="00672545">
        <w:rPr>
          <w:szCs w:val="26"/>
        </w:rPr>
        <w:t xml:space="preserve">.  </w:t>
      </w:r>
    </w:p>
    <w:p w14:paraId="2FDA6AE1" w14:textId="77777777" w:rsidR="007776D4" w:rsidRPr="00672545" w:rsidRDefault="00B66150" w:rsidP="00672545">
      <w:pPr>
        <w:pStyle w:val="Heading3"/>
      </w:pPr>
      <w:bookmarkStart w:id="29" w:name="_Toc506979820"/>
      <w:r w:rsidRPr="00672545">
        <w:t xml:space="preserve">14.  </w:t>
      </w:r>
      <w:r w:rsidR="003B7703" w:rsidRPr="00672545">
        <w:t xml:space="preserve">The Trial Court’s Refusal to Instruct the Jury on First Degree Premeditated Murder  </w:t>
      </w:r>
      <w:bookmarkEnd w:id="29"/>
    </w:p>
    <w:p w14:paraId="69430DE1" w14:textId="77777777" w:rsidR="00AA5A7E" w:rsidRPr="00672545" w:rsidRDefault="003B7703" w:rsidP="00672545">
      <w:pPr>
        <w:rPr>
          <w:szCs w:val="26"/>
        </w:rPr>
      </w:pPr>
      <w:r w:rsidRPr="00672545">
        <w:rPr>
          <w:szCs w:val="26"/>
        </w:rPr>
        <w:tab/>
        <w:t xml:space="preserve">As just noted, the prosecution tried this case solely on a </w:t>
      </w:r>
      <w:proofErr w:type="gramStart"/>
      <w:r w:rsidRPr="00672545">
        <w:rPr>
          <w:szCs w:val="26"/>
        </w:rPr>
        <w:t>first degree</w:t>
      </w:r>
      <w:proofErr w:type="gramEnd"/>
      <w:r w:rsidRPr="00672545">
        <w:rPr>
          <w:szCs w:val="26"/>
        </w:rPr>
        <w:t xml:space="preserve"> felony murder theory.  </w:t>
      </w:r>
      <w:r w:rsidR="006F09CF" w:rsidRPr="00672545">
        <w:rPr>
          <w:szCs w:val="26"/>
        </w:rPr>
        <w:t xml:space="preserve">The trial court denied defendant’s request to instruct the jury on </w:t>
      </w:r>
      <w:r w:rsidR="00B5224F" w:rsidRPr="00672545">
        <w:rPr>
          <w:szCs w:val="26"/>
        </w:rPr>
        <w:t xml:space="preserve">premeditated and deliberate murder, finding that there was no substantial evidence to support </w:t>
      </w:r>
      <w:r w:rsidR="00392EDF" w:rsidRPr="00672545">
        <w:rPr>
          <w:szCs w:val="26"/>
        </w:rPr>
        <w:t>that theory</w:t>
      </w:r>
      <w:r w:rsidR="00B5224F" w:rsidRPr="00672545">
        <w:rPr>
          <w:szCs w:val="26"/>
        </w:rPr>
        <w:t>.  Defendant argues that the trial court erred</w:t>
      </w:r>
      <w:r w:rsidR="007E52BC" w:rsidRPr="00672545">
        <w:rPr>
          <w:szCs w:val="26"/>
        </w:rPr>
        <w:t xml:space="preserve">.  He contends </w:t>
      </w:r>
      <w:r w:rsidR="000550FE" w:rsidRPr="00672545">
        <w:rPr>
          <w:szCs w:val="26"/>
        </w:rPr>
        <w:t xml:space="preserve">the jury could have drawn an inference from the evidence that defendant put thought and planning into Danielle’s abduction, transportation, and </w:t>
      </w:r>
      <w:r w:rsidR="00AA5A7E" w:rsidRPr="00672545">
        <w:rPr>
          <w:szCs w:val="26"/>
        </w:rPr>
        <w:t xml:space="preserve">later in the </w:t>
      </w:r>
      <w:r w:rsidR="000550FE" w:rsidRPr="00672545">
        <w:rPr>
          <w:szCs w:val="26"/>
        </w:rPr>
        <w:t>disposal of her body</w:t>
      </w:r>
      <w:r w:rsidR="007E52BC" w:rsidRPr="00672545">
        <w:rPr>
          <w:szCs w:val="26"/>
        </w:rPr>
        <w:t xml:space="preserve"> and on that basis</w:t>
      </w:r>
      <w:r w:rsidR="007778F1" w:rsidRPr="00672545">
        <w:rPr>
          <w:szCs w:val="26"/>
        </w:rPr>
        <w:t xml:space="preserve">, </w:t>
      </w:r>
      <w:r w:rsidR="00546229" w:rsidRPr="00672545">
        <w:rPr>
          <w:szCs w:val="26"/>
        </w:rPr>
        <w:t>the jury</w:t>
      </w:r>
      <w:r w:rsidR="007778F1" w:rsidRPr="00672545">
        <w:rPr>
          <w:szCs w:val="26"/>
        </w:rPr>
        <w:t xml:space="preserve"> could have found him guilty of </w:t>
      </w:r>
      <w:proofErr w:type="gramStart"/>
      <w:r w:rsidR="007778F1" w:rsidRPr="00672545">
        <w:rPr>
          <w:szCs w:val="26"/>
        </w:rPr>
        <w:t>first degree</w:t>
      </w:r>
      <w:proofErr w:type="gramEnd"/>
      <w:r w:rsidR="007778F1" w:rsidRPr="00672545">
        <w:rPr>
          <w:szCs w:val="26"/>
        </w:rPr>
        <w:t xml:space="preserve"> premeditated murder</w:t>
      </w:r>
      <w:r w:rsidR="00B5224F" w:rsidRPr="00672545">
        <w:rPr>
          <w:szCs w:val="26"/>
        </w:rPr>
        <w:t xml:space="preserve">.  </w:t>
      </w:r>
      <w:r w:rsidR="00823401" w:rsidRPr="00672545">
        <w:rPr>
          <w:szCs w:val="26"/>
        </w:rPr>
        <w:t>Defendant claims prejudice from the trial court’s refusal to instruct on premeditated murder because it co</w:t>
      </w:r>
      <w:r w:rsidR="004861AF" w:rsidRPr="00672545">
        <w:rPr>
          <w:szCs w:val="26"/>
        </w:rPr>
        <w:t>nco</w:t>
      </w:r>
      <w:r w:rsidR="00823401" w:rsidRPr="00672545">
        <w:rPr>
          <w:szCs w:val="26"/>
        </w:rPr>
        <w:t xml:space="preserve">mitantly denied him the right to instructions on the lesser included offenses of </w:t>
      </w:r>
      <w:proofErr w:type="gramStart"/>
      <w:r w:rsidR="00823401" w:rsidRPr="00672545">
        <w:rPr>
          <w:szCs w:val="26"/>
        </w:rPr>
        <w:t>second degree</w:t>
      </w:r>
      <w:proofErr w:type="gramEnd"/>
      <w:r w:rsidR="00823401" w:rsidRPr="00672545">
        <w:rPr>
          <w:szCs w:val="26"/>
        </w:rPr>
        <w:t xml:space="preserve"> murder and involuntary manslaughter.  </w:t>
      </w:r>
    </w:p>
    <w:p w14:paraId="4C787044" w14:textId="77777777" w:rsidR="00546229" w:rsidRPr="00672545" w:rsidRDefault="007E52BC" w:rsidP="00672545">
      <w:pPr>
        <w:rPr>
          <w:szCs w:val="26"/>
        </w:rPr>
      </w:pPr>
      <w:r w:rsidRPr="00672545">
        <w:rPr>
          <w:szCs w:val="26"/>
        </w:rPr>
        <w:lastRenderedPageBreak/>
        <w:tab/>
      </w:r>
      <w:r w:rsidR="00AA5A7E" w:rsidRPr="00672545">
        <w:rPr>
          <w:szCs w:val="26"/>
        </w:rPr>
        <w:t xml:space="preserve">The inference of premeditation and deliberation defendant argues </w:t>
      </w:r>
      <w:r w:rsidR="00546229" w:rsidRPr="00672545">
        <w:rPr>
          <w:szCs w:val="26"/>
        </w:rPr>
        <w:t xml:space="preserve">contradicts the position taken by the defense at trial.  </w:t>
      </w:r>
      <w:r w:rsidR="001B7FF0" w:rsidRPr="00672545">
        <w:rPr>
          <w:szCs w:val="26"/>
        </w:rPr>
        <w:t>There</w:t>
      </w:r>
      <w:r w:rsidR="00546229" w:rsidRPr="00672545">
        <w:rPr>
          <w:szCs w:val="26"/>
        </w:rPr>
        <w:t>, defense</w:t>
      </w:r>
      <w:r w:rsidR="001B7FF0" w:rsidRPr="00672545">
        <w:rPr>
          <w:szCs w:val="26"/>
        </w:rPr>
        <w:t xml:space="preserve"> counsel</w:t>
      </w:r>
      <w:r w:rsidR="00546229" w:rsidRPr="00672545">
        <w:rPr>
          <w:szCs w:val="26"/>
        </w:rPr>
        <w:t xml:space="preserve"> argued that the jury should be instructed on premeditated first degree murder because the </w:t>
      </w:r>
      <w:r w:rsidR="00886B0E" w:rsidRPr="00672545">
        <w:rPr>
          <w:szCs w:val="26"/>
        </w:rPr>
        <w:t xml:space="preserve">evidence warranted a </w:t>
      </w:r>
      <w:r w:rsidR="00546229" w:rsidRPr="00672545">
        <w:rPr>
          <w:szCs w:val="26"/>
        </w:rPr>
        <w:t>jury find</w:t>
      </w:r>
      <w:r w:rsidR="00886B0E" w:rsidRPr="00672545">
        <w:rPr>
          <w:szCs w:val="26"/>
        </w:rPr>
        <w:t>ing that</w:t>
      </w:r>
      <w:r w:rsidR="00546229" w:rsidRPr="00672545">
        <w:rPr>
          <w:szCs w:val="26"/>
        </w:rPr>
        <w:t xml:space="preserve"> defendant was the killer, </w:t>
      </w:r>
      <w:r w:rsidR="00681FC0" w:rsidRPr="00672545">
        <w:rPr>
          <w:szCs w:val="26"/>
        </w:rPr>
        <w:t>yet</w:t>
      </w:r>
      <w:r w:rsidR="00546229" w:rsidRPr="00672545">
        <w:rPr>
          <w:szCs w:val="26"/>
        </w:rPr>
        <w:t xml:space="preserve"> not Danielle’s kidnapper</w:t>
      </w:r>
      <w:r w:rsidR="00AA5A7E" w:rsidRPr="00672545">
        <w:rPr>
          <w:szCs w:val="26"/>
        </w:rPr>
        <w:t>.</w:t>
      </w:r>
      <w:r w:rsidR="00F81CD5" w:rsidRPr="00672545">
        <w:rPr>
          <w:szCs w:val="26"/>
        </w:rPr>
        <w:t xml:space="preserve">  </w:t>
      </w:r>
      <w:r w:rsidR="00681FC0" w:rsidRPr="00672545">
        <w:rPr>
          <w:szCs w:val="26"/>
        </w:rPr>
        <w:t>That</w:t>
      </w:r>
      <w:r w:rsidR="00546229" w:rsidRPr="00672545">
        <w:rPr>
          <w:szCs w:val="26"/>
        </w:rPr>
        <w:t xml:space="preserve"> position was not supported by the e</w:t>
      </w:r>
      <w:r w:rsidR="007378FD" w:rsidRPr="00672545">
        <w:rPr>
          <w:szCs w:val="26"/>
        </w:rPr>
        <w:t xml:space="preserve">vidence, as we have explained, and the trial court did not err in refusing to instruct </w:t>
      </w:r>
      <w:r w:rsidR="00F146EA" w:rsidRPr="00672545">
        <w:rPr>
          <w:szCs w:val="26"/>
        </w:rPr>
        <w:t>the jury on premeditated murder, or its lesser included offenses,</w:t>
      </w:r>
      <w:r w:rsidR="007378FD" w:rsidRPr="00672545">
        <w:rPr>
          <w:szCs w:val="26"/>
        </w:rPr>
        <w:t xml:space="preserve"> on th</w:t>
      </w:r>
      <w:r w:rsidR="00823401" w:rsidRPr="00672545">
        <w:rPr>
          <w:szCs w:val="26"/>
        </w:rPr>
        <w:t>at</w:t>
      </w:r>
      <w:r w:rsidR="007378FD" w:rsidRPr="00672545">
        <w:rPr>
          <w:szCs w:val="26"/>
        </w:rPr>
        <w:t xml:space="preserve"> </w:t>
      </w:r>
      <w:r w:rsidR="00886B0E" w:rsidRPr="00672545">
        <w:rPr>
          <w:szCs w:val="26"/>
        </w:rPr>
        <w:t>basis</w:t>
      </w:r>
      <w:r w:rsidR="007378FD" w:rsidRPr="00672545">
        <w:rPr>
          <w:szCs w:val="26"/>
        </w:rPr>
        <w:t>.</w:t>
      </w:r>
    </w:p>
    <w:p w14:paraId="4377C063" w14:textId="77777777" w:rsidR="007776D4" w:rsidRPr="00672545" w:rsidRDefault="00546229" w:rsidP="00672545">
      <w:pPr>
        <w:rPr>
          <w:szCs w:val="26"/>
        </w:rPr>
      </w:pPr>
      <w:r w:rsidRPr="00672545">
        <w:rPr>
          <w:szCs w:val="26"/>
        </w:rPr>
        <w:tab/>
        <w:t>Moreover</w:t>
      </w:r>
      <w:r w:rsidR="002A5892" w:rsidRPr="00672545">
        <w:rPr>
          <w:szCs w:val="26"/>
        </w:rPr>
        <w:t xml:space="preserve">, </w:t>
      </w:r>
      <w:r w:rsidR="007E52BC" w:rsidRPr="00672545">
        <w:rPr>
          <w:szCs w:val="26"/>
        </w:rPr>
        <w:t>assuming</w:t>
      </w:r>
      <w:r w:rsidR="00AA5A7E" w:rsidRPr="00672545">
        <w:rPr>
          <w:szCs w:val="26"/>
        </w:rPr>
        <w:t xml:space="preserve"> </w:t>
      </w:r>
      <w:r w:rsidR="007378FD" w:rsidRPr="00672545">
        <w:rPr>
          <w:szCs w:val="26"/>
        </w:rPr>
        <w:t xml:space="preserve">for purposes of argument that </w:t>
      </w:r>
      <w:r w:rsidR="00AA5A7E" w:rsidRPr="00672545">
        <w:rPr>
          <w:szCs w:val="26"/>
        </w:rPr>
        <w:t xml:space="preserve">the jury </w:t>
      </w:r>
      <w:r w:rsidR="002A5892" w:rsidRPr="00672545">
        <w:rPr>
          <w:szCs w:val="26"/>
        </w:rPr>
        <w:t>could have</w:t>
      </w:r>
      <w:r w:rsidR="00AA5A7E" w:rsidRPr="00672545">
        <w:rPr>
          <w:szCs w:val="26"/>
        </w:rPr>
        <w:t xml:space="preserve"> </w:t>
      </w:r>
      <w:r w:rsidR="006759D3" w:rsidRPr="00672545">
        <w:rPr>
          <w:szCs w:val="26"/>
        </w:rPr>
        <w:t xml:space="preserve">drawn the inference defendant now </w:t>
      </w:r>
      <w:r w:rsidR="00A26AD9" w:rsidRPr="00672545">
        <w:rPr>
          <w:szCs w:val="26"/>
        </w:rPr>
        <w:t>urge</w:t>
      </w:r>
      <w:r w:rsidR="006759D3" w:rsidRPr="00672545">
        <w:rPr>
          <w:szCs w:val="26"/>
        </w:rPr>
        <w:t>s</w:t>
      </w:r>
      <w:r w:rsidR="007378FD" w:rsidRPr="00672545">
        <w:rPr>
          <w:szCs w:val="26"/>
        </w:rPr>
        <w:t xml:space="preserve"> based on the circumstances of </w:t>
      </w:r>
      <w:r w:rsidR="00524424" w:rsidRPr="00672545">
        <w:rPr>
          <w:szCs w:val="26"/>
        </w:rPr>
        <w:t>defendant’s</w:t>
      </w:r>
      <w:r w:rsidR="007378FD" w:rsidRPr="00672545">
        <w:rPr>
          <w:szCs w:val="26"/>
        </w:rPr>
        <w:t xml:space="preserve"> kidnapping</w:t>
      </w:r>
      <w:r w:rsidR="003A5830" w:rsidRPr="00672545">
        <w:rPr>
          <w:szCs w:val="26"/>
        </w:rPr>
        <w:t>, transpor</w:t>
      </w:r>
      <w:r w:rsidR="00B4459E" w:rsidRPr="00672545">
        <w:rPr>
          <w:szCs w:val="26"/>
        </w:rPr>
        <w:t>t</w:t>
      </w:r>
      <w:r w:rsidR="003A5830" w:rsidRPr="00672545">
        <w:rPr>
          <w:szCs w:val="26"/>
        </w:rPr>
        <w:t>ation</w:t>
      </w:r>
      <w:r w:rsidR="006B3461">
        <w:rPr>
          <w:szCs w:val="26"/>
        </w:rPr>
        <w:t>,</w:t>
      </w:r>
      <w:r w:rsidR="007378FD" w:rsidRPr="00672545">
        <w:rPr>
          <w:szCs w:val="26"/>
        </w:rPr>
        <w:t xml:space="preserve"> and disposal of Danielle’s body</w:t>
      </w:r>
      <w:r w:rsidR="006759D3" w:rsidRPr="00672545">
        <w:rPr>
          <w:szCs w:val="26"/>
        </w:rPr>
        <w:t>,</w:t>
      </w:r>
      <w:r w:rsidR="00F146EA" w:rsidRPr="00672545">
        <w:rPr>
          <w:szCs w:val="26"/>
        </w:rPr>
        <w:t xml:space="preserve"> </w:t>
      </w:r>
      <w:r w:rsidR="00EC44CA" w:rsidRPr="00672545">
        <w:rPr>
          <w:szCs w:val="26"/>
        </w:rPr>
        <w:t>the jury would also have necessarily found that defendant committed the murder during the commission of a kidnapping.  T</w:t>
      </w:r>
      <w:r w:rsidR="0088504F" w:rsidRPr="00672545">
        <w:rPr>
          <w:szCs w:val="26"/>
        </w:rPr>
        <w:t>here w</w:t>
      </w:r>
      <w:r w:rsidR="00886B0E" w:rsidRPr="00672545">
        <w:rPr>
          <w:szCs w:val="26"/>
        </w:rPr>
        <w:t>ould have been</w:t>
      </w:r>
      <w:r w:rsidR="0088504F" w:rsidRPr="00672545">
        <w:rPr>
          <w:szCs w:val="26"/>
        </w:rPr>
        <w:t xml:space="preserve"> no eviden</w:t>
      </w:r>
      <w:r w:rsidR="000550FE" w:rsidRPr="00672545">
        <w:rPr>
          <w:szCs w:val="26"/>
        </w:rPr>
        <w:t xml:space="preserve">tiary basis for a finding by the jury </w:t>
      </w:r>
      <w:r w:rsidR="0088504F" w:rsidRPr="00672545">
        <w:rPr>
          <w:szCs w:val="26"/>
        </w:rPr>
        <w:t xml:space="preserve">that defendant </w:t>
      </w:r>
      <w:r w:rsidR="00A26AD9" w:rsidRPr="00672545">
        <w:rPr>
          <w:szCs w:val="26"/>
        </w:rPr>
        <w:t>killed</w:t>
      </w:r>
      <w:r w:rsidR="0088504F" w:rsidRPr="00672545">
        <w:rPr>
          <w:szCs w:val="26"/>
        </w:rPr>
        <w:t xml:space="preserve"> Danielle with premeditation and </w:t>
      </w:r>
      <w:proofErr w:type="gramStart"/>
      <w:r w:rsidR="0088504F" w:rsidRPr="00672545">
        <w:rPr>
          <w:szCs w:val="26"/>
        </w:rPr>
        <w:t>deliberation, but</w:t>
      </w:r>
      <w:proofErr w:type="gramEnd"/>
      <w:r w:rsidR="0088504F" w:rsidRPr="00672545">
        <w:rPr>
          <w:szCs w:val="26"/>
        </w:rPr>
        <w:t xml:space="preserve"> did not </w:t>
      </w:r>
      <w:r w:rsidR="002A5DA3" w:rsidRPr="00672545">
        <w:rPr>
          <w:szCs w:val="26"/>
        </w:rPr>
        <w:t>do so</w:t>
      </w:r>
      <w:r w:rsidR="006C122C" w:rsidRPr="00672545">
        <w:rPr>
          <w:szCs w:val="26"/>
        </w:rPr>
        <w:t xml:space="preserve"> her</w:t>
      </w:r>
      <w:r w:rsidR="0088504F" w:rsidRPr="00672545">
        <w:rPr>
          <w:szCs w:val="26"/>
        </w:rPr>
        <w:t xml:space="preserve"> during the commission of </w:t>
      </w:r>
      <w:r w:rsidR="006C122C" w:rsidRPr="00672545">
        <w:rPr>
          <w:szCs w:val="26"/>
        </w:rPr>
        <w:t xml:space="preserve">the </w:t>
      </w:r>
      <w:r w:rsidR="0088504F" w:rsidRPr="00672545">
        <w:rPr>
          <w:szCs w:val="26"/>
        </w:rPr>
        <w:t>kidnapping.</w:t>
      </w:r>
      <w:r w:rsidR="00AA5A7E" w:rsidRPr="00672545">
        <w:rPr>
          <w:szCs w:val="26"/>
        </w:rPr>
        <w:t xml:space="preserve">  </w:t>
      </w:r>
      <w:r w:rsidR="007E52BC" w:rsidRPr="00672545">
        <w:rPr>
          <w:szCs w:val="26"/>
        </w:rPr>
        <w:t xml:space="preserve">Thus, </w:t>
      </w:r>
      <w:r w:rsidR="00886B0E" w:rsidRPr="00672545">
        <w:rPr>
          <w:szCs w:val="26"/>
        </w:rPr>
        <w:t>at</w:t>
      </w:r>
      <w:r w:rsidR="007E52BC" w:rsidRPr="00672545">
        <w:rPr>
          <w:szCs w:val="26"/>
        </w:rPr>
        <w:t xml:space="preserve"> most defendant has shown that the jury might have found him guilty of </w:t>
      </w:r>
      <w:r w:rsidR="00B4459E" w:rsidRPr="00672545">
        <w:rPr>
          <w:szCs w:val="26"/>
        </w:rPr>
        <w:t xml:space="preserve">both </w:t>
      </w:r>
      <w:proofErr w:type="gramStart"/>
      <w:r w:rsidR="00A41A95" w:rsidRPr="00672545">
        <w:rPr>
          <w:szCs w:val="26"/>
        </w:rPr>
        <w:t>first</w:t>
      </w:r>
      <w:r w:rsidR="006B3461">
        <w:rPr>
          <w:szCs w:val="26"/>
        </w:rPr>
        <w:t xml:space="preserve"> </w:t>
      </w:r>
      <w:r w:rsidR="00A41A95" w:rsidRPr="00672545">
        <w:rPr>
          <w:szCs w:val="26"/>
        </w:rPr>
        <w:t>degree</w:t>
      </w:r>
      <w:proofErr w:type="gramEnd"/>
      <w:r w:rsidR="007E52BC" w:rsidRPr="00672545">
        <w:rPr>
          <w:szCs w:val="26"/>
        </w:rPr>
        <w:t xml:space="preserve"> </w:t>
      </w:r>
      <w:r w:rsidR="00B4459E" w:rsidRPr="00672545">
        <w:rPr>
          <w:szCs w:val="26"/>
        </w:rPr>
        <w:t xml:space="preserve">felony murder and first degree </w:t>
      </w:r>
      <w:r w:rsidR="007E52BC" w:rsidRPr="00672545">
        <w:rPr>
          <w:szCs w:val="26"/>
        </w:rPr>
        <w:t>premeditated murder</w:t>
      </w:r>
      <w:r w:rsidR="00F146EA" w:rsidRPr="00672545">
        <w:rPr>
          <w:szCs w:val="26"/>
        </w:rPr>
        <w:t xml:space="preserve">, not that </w:t>
      </w:r>
      <w:r w:rsidR="0059536D" w:rsidRPr="00672545">
        <w:rPr>
          <w:szCs w:val="26"/>
        </w:rPr>
        <w:t>the</w:t>
      </w:r>
      <w:r w:rsidR="00826AC6" w:rsidRPr="00672545">
        <w:rPr>
          <w:szCs w:val="26"/>
        </w:rPr>
        <w:t>re was substantial evidence on which the</w:t>
      </w:r>
      <w:r w:rsidR="0059536D" w:rsidRPr="00672545">
        <w:rPr>
          <w:szCs w:val="26"/>
        </w:rPr>
        <w:t xml:space="preserve"> j</w:t>
      </w:r>
      <w:r w:rsidR="00F146EA" w:rsidRPr="00672545">
        <w:rPr>
          <w:szCs w:val="26"/>
        </w:rPr>
        <w:t xml:space="preserve">ury </w:t>
      </w:r>
      <w:r w:rsidR="00826AC6" w:rsidRPr="00672545">
        <w:rPr>
          <w:szCs w:val="26"/>
        </w:rPr>
        <w:t xml:space="preserve">could have </w:t>
      </w:r>
      <w:r w:rsidR="0059536D" w:rsidRPr="00672545">
        <w:rPr>
          <w:szCs w:val="26"/>
        </w:rPr>
        <w:t>f</w:t>
      </w:r>
      <w:r w:rsidR="00826AC6" w:rsidRPr="00672545">
        <w:rPr>
          <w:szCs w:val="26"/>
        </w:rPr>
        <w:t>ound him</w:t>
      </w:r>
      <w:r w:rsidR="0059536D" w:rsidRPr="00672545">
        <w:rPr>
          <w:szCs w:val="26"/>
        </w:rPr>
        <w:t xml:space="preserve"> </w:t>
      </w:r>
      <w:r w:rsidR="00F146EA" w:rsidRPr="00672545">
        <w:rPr>
          <w:szCs w:val="26"/>
        </w:rPr>
        <w:t xml:space="preserve">guilty of </w:t>
      </w:r>
      <w:r w:rsidR="0059536D" w:rsidRPr="00672545">
        <w:rPr>
          <w:i/>
          <w:szCs w:val="26"/>
        </w:rPr>
        <w:t>only</w:t>
      </w:r>
      <w:r w:rsidR="0059536D" w:rsidRPr="00672545">
        <w:rPr>
          <w:szCs w:val="26"/>
        </w:rPr>
        <w:t xml:space="preserve"> </w:t>
      </w:r>
      <w:r w:rsidR="00F146EA" w:rsidRPr="00672545">
        <w:rPr>
          <w:szCs w:val="26"/>
        </w:rPr>
        <w:t>lesser offenses to premeditated murder</w:t>
      </w:r>
      <w:r w:rsidR="007E52BC" w:rsidRPr="00672545">
        <w:rPr>
          <w:szCs w:val="26"/>
        </w:rPr>
        <w:t xml:space="preserve">.  </w:t>
      </w:r>
      <w:r w:rsidR="00826AC6" w:rsidRPr="00672545">
        <w:rPr>
          <w:szCs w:val="26"/>
        </w:rPr>
        <w:t>Under these circumstances, d</w:t>
      </w:r>
      <w:r w:rsidR="0059536D" w:rsidRPr="00672545">
        <w:rPr>
          <w:szCs w:val="26"/>
        </w:rPr>
        <w:t xml:space="preserve">efendant </w:t>
      </w:r>
      <w:r w:rsidR="00EC44CA" w:rsidRPr="00672545">
        <w:rPr>
          <w:szCs w:val="26"/>
        </w:rPr>
        <w:t xml:space="preserve">could have </w:t>
      </w:r>
      <w:r w:rsidR="0059536D" w:rsidRPr="00672545">
        <w:rPr>
          <w:szCs w:val="26"/>
        </w:rPr>
        <w:t xml:space="preserve">suffered no prejudice from the </w:t>
      </w:r>
      <w:r w:rsidR="00EC44CA" w:rsidRPr="00672545">
        <w:rPr>
          <w:szCs w:val="26"/>
        </w:rPr>
        <w:t>trial court’s refusal to</w:t>
      </w:r>
      <w:r w:rsidR="0059536D" w:rsidRPr="00672545">
        <w:rPr>
          <w:szCs w:val="26"/>
        </w:rPr>
        <w:t xml:space="preserve"> instruct on a </w:t>
      </w:r>
      <w:r w:rsidR="0072002D" w:rsidRPr="00672545">
        <w:rPr>
          <w:szCs w:val="26"/>
        </w:rPr>
        <w:t>supplementary</w:t>
      </w:r>
      <w:r w:rsidR="0059536D" w:rsidRPr="00672545">
        <w:rPr>
          <w:szCs w:val="26"/>
        </w:rPr>
        <w:t xml:space="preserve"> theory of </w:t>
      </w:r>
      <w:proofErr w:type="gramStart"/>
      <w:r w:rsidR="0059536D" w:rsidRPr="00672545">
        <w:rPr>
          <w:szCs w:val="26"/>
        </w:rPr>
        <w:t>first degree</w:t>
      </w:r>
      <w:proofErr w:type="gramEnd"/>
      <w:r w:rsidR="0059536D" w:rsidRPr="00672545">
        <w:rPr>
          <w:szCs w:val="26"/>
        </w:rPr>
        <w:t xml:space="preserve"> murder.  </w:t>
      </w:r>
    </w:p>
    <w:p w14:paraId="641C6E14" w14:textId="77777777" w:rsidR="007776D4" w:rsidRPr="00672545" w:rsidRDefault="001F6B55" w:rsidP="00672545">
      <w:pPr>
        <w:pStyle w:val="Heading2"/>
      </w:pPr>
      <w:bookmarkStart w:id="30" w:name="_Toc506979821"/>
      <w:r w:rsidRPr="00672545">
        <w:t>B.  Penalty Phase Issues</w:t>
      </w:r>
      <w:bookmarkEnd w:id="30"/>
    </w:p>
    <w:p w14:paraId="31B7E67C" w14:textId="77777777" w:rsidR="00526EEF" w:rsidRPr="00672545" w:rsidRDefault="001F6B55" w:rsidP="00672545">
      <w:pPr>
        <w:pStyle w:val="Heading3"/>
      </w:pPr>
      <w:bookmarkStart w:id="31" w:name="_Toc506979822"/>
      <w:r w:rsidRPr="00672545">
        <w:t xml:space="preserve">1.  </w:t>
      </w:r>
      <w:r w:rsidR="00BA1958" w:rsidRPr="00672545">
        <w:t xml:space="preserve">Admission of the </w:t>
      </w:r>
      <w:r w:rsidR="00787988">
        <w:t>J.N.</w:t>
      </w:r>
      <w:r w:rsidR="00BA1958" w:rsidRPr="00672545">
        <w:t xml:space="preserve"> Incident as Factor (b) Evidence</w:t>
      </w:r>
      <w:bookmarkEnd w:id="31"/>
      <w:r w:rsidR="00BA1958" w:rsidRPr="00672545">
        <w:t xml:space="preserve">  </w:t>
      </w:r>
    </w:p>
    <w:p w14:paraId="7711E821" w14:textId="77777777" w:rsidR="008F0BB2" w:rsidRPr="00672545" w:rsidRDefault="008F0BB2" w:rsidP="00672545">
      <w:pPr>
        <w:tabs>
          <w:tab w:val="left" w:pos="720"/>
        </w:tabs>
        <w:rPr>
          <w:szCs w:val="26"/>
        </w:rPr>
      </w:pPr>
      <w:r w:rsidRPr="00672545">
        <w:rPr>
          <w:szCs w:val="26"/>
        </w:rPr>
        <w:tab/>
        <w:t xml:space="preserve">Factor (b) of section 190.3 permits the jury, in determining the penalty in a capital case, to consider “[t]he presence or </w:t>
      </w:r>
      <w:r w:rsidRPr="00672545">
        <w:rPr>
          <w:szCs w:val="26"/>
        </w:rPr>
        <w:lastRenderedPageBreak/>
        <w:t>absence of criminal activity by the defendant which involved the use or att</w:t>
      </w:r>
      <w:r w:rsidR="00154DE7" w:rsidRPr="00672545">
        <w:rPr>
          <w:szCs w:val="26"/>
        </w:rPr>
        <w:t>empted use of force or violence</w:t>
      </w:r>
      <w:r w:rsidRPr="00672545">
        <w:rPr>
          <w:szCs w:val="26"/>
        </w:rPr>
        <w:t xml:space="preserve"> or the express or implied threat to use force or violence.”  </w:t>
      </w:r>
      <w:r w:rsidR="00C253E2" w:rsidRPr="00672545">
        <w:rPr>
          <w:szCs w:val="26"/>
        </w:rPr>
        <w:t xml:space="preserve">Factor (b) evidence “shows </w:t>
      </w:r>
      <w:r w:rsidR="006B3461">
        <w:rPr>
          <w:szCs w:val="26"/>
        </w:rPr>
        <w:t xml:space="preserve">the defendant’s </w:t>
      </w:r>
      <w:r w:rsidR="00C253E2" w:rsidRPr="00672545">
        <w:rPr>
          <w:szCs w:val="26"/>
        </w:rPr>
        <w:t>propensity for violence, and helps jurors decide whether [the defendant] deserves to die.”  (</w:t>
      </w:r>
      <w:r w:rsidR="00C253E2" w:rsidRPr="00672545">
        <w:rPr>
          <w:i/>
          <w:szCs w:val="26"/>
        </w:rPr>
        <w:t xml:space="preserve">People v. </w:t>
      </w:r>
      <w:proofErr w:type="spellStart"/>
      <w:r w:rsidR="00C253E2" w:rsidRPr="00672545">
        <w:rPr>
          <w:i/>
          <w:szCs w:val="26"/>
        </w:rPr>
        <w:t>Stiteley</w:t>
      </w:r>
      <w:proofErr w:type="spellEnd"/>
      <w:r w:rsidR="00C253E2" w:rsidRPr="00672545">
        <w:rPr>
          <w:i/>
          <w:szCs w:val="26"/>
        </w:rPr>
        <w:t xml:space="preserve"> </w:t>
      </w:r>
      <w:r w:rsidR="00C253E2" w:rsidRPr="00672545">
        <w:rPr>
          <w:szCs w:val="26"/>
        </w:rPr>
        <w:t xml:space="preserve">(2005) 35 Cal.4th 514, 564.)  </w:t>
      </w:r>
    </w:p>
    <w:p w14:paraId="050325F7" w14:textId="77777777" w:rsidR="00E3427A" w:rsidRPr="00672545" w:rsidRDefault="00526EEF" w:rsidP="00672545">
      <w:pPr>
        <w:tabs>
          <w:tab w:val="left" w:pos="720"/>
        </w:tabs>
        <w:rPr>
          <w:szCs w:val="26"/>
        </w:rPr>
      </w:pPr>
      <w:r w:rsidRPr="00672545">
        <w:rPr>
          <w:szCs w:val="26"/>
        </w:rPr>
        <w:tab/>
      </w:r>
      <w:r w:rsidR="007F35D3" w:rsidRPr="00672545">
        <w:rPr>
          <w:szCs w:val="26"/>
        </w:rPr>
        <w:t>The prosecution proffered evidence of an incident involving defendant’s niece</w:t>
      </w:r>
      <w:r w:rsidR="002A5DA3" w:rsidRPr="00672545">
        <w:rPr>
          <w:szCs w:val="26"/>
        </w:rPr>
        <w:t>,</w:t>
      </w:r>
      <w:r w:rsidR="007F35D3" w:rsidRPr="00672545">
        <w:rPr>
          <w:szCs w:val="26"/>
        </w:rPr>
        <w:t xml:space="preserve"> </w:t>
      </w:r>
      <w:r w:rsidR="00787988">
        <w:rPr>
          <w:szCs w:val="26"/>
        </w:rPr>
        <w:t>J.N.</w:t>
      </w:r>
      <w:r w:rsidR="002A5DA3" w:rsidRPr="00672545">
        <w:rPr>
          <w:szCs w:val="26"/>
        </w:rPr>
        <w:t>,</w:t>
      </w:r>
      <w:r w:rsidR="008F0BB2" w:rsidRPr="00672545">
        <w:rPr>
          <w:szCs w:val="26"/>
        </w:rPr>
        <w:t xml:space="preserve"> as factor (b) aggravating evidence</w:t>
      </w:r>
      <w:r w:rsidR="007F35D3" w:rsidRPr="00672545">
        <w:rPr>
          <w:szCs w:val="26"/>
        </w:rPr>
        <w:t xml:space="preserve">.  </w:t>
      </w:r>
      <w:r w:rsidR="00D207DE" w:rsidRPr="00672545">
        <w:rPr>
          <w:szCs w:val="26"/>
        </w:rPr>
        <w:t>A</w:t>
      </w:r>
      <w:r w:rsidR="002A5DA3" w:rsidRPr="00672545">
        <w:rPr>
          <w:szCs w:val="26"/>
        </w:rPr>
        <w:t xml:space="preserve">s recounted earlier, </w:t>
      </w:r>
      <w:r w:rsidR="00787988">
        <w:rPr>
          <w:szCs w:val="26"/>
        </w:rPr>
        <w:t>J.N.</w:t>
      </w:r>
      <w:r w:rsidR="00C9148F" w:rsidRPr="00672545">
        <w:rPr>
          <w:szCs w:val="26"/>
        </w:rPr>
        <w:t xml:space="preserve"> described an </w:t>
      </w:r>
      <w:r w:rsidR="00D207DE" w:rsidRPr="00672545">
        <w:rPr>
          <w:szCs w:val="26"/>
        </w:rPr>
        <w:t>incident</w:t>
      </w:r>
      <w:r w:rsidR="00020443" w:rsidRPr="00672545">
        <w:rPr>
          <w:szCs w:val="26"/>
        </w:rPr>
        <w:t>,</w:t>
      </w:r>
      <w:r w:rsidR="00D207DE" w:rsidRPr="00672545">
        <w:rPr>
          <w:szCs w:val="26"/>
        </w:rPr>
        <w:t xml:space="preserve"> when she was between five and seven years old</w:t>
      </w:r>
      <w:r w:rsidR="00020443" w:rsidRPr="00672545">
        <w:rPr>
          <w:szCs w:val="26"/>
        </w:rPr>
        <w:t>,</w:t>
      </w:r>
      <w:r w:rsidR="00D207DE" w:rsidRPr="00672545">
        <w:rPr>
          <w:szCs w:val="26"/>
        </w:rPr>
        <w:t xml:space="preserve"> </w:t>
      </w:r>
      <w:r w:rsidR="00020443" w:rsidRPr="00672545">
        <w:rPr>
          <w:szCs w:val="26"/>
        </w:rPr>
        <w:t xml:space="preserve">involving </w:t>
      </w:r>
      <w:r w:rsidR="007F35D3" w:rsidRPr="00672545">
        <w:rPr>
          <w:szCs w:val="26"/>
        </w:rPr>
        <w:t xml:space="preserve">defendant </w:t>
      </w:r>
      <w:r w:rsidR="00020443" w:rsidRPr="00672545">
        <w:rPr>
          <w:szCs w:val="26"/>
        </w:rPr>
        <w:t>placing</w:t>
      </w:r>
      <w:r w:rsidR="007F35D3" w:rsidRPr="00672545">
        <w:rPr>
          <w:szCs w:val="26"/>
        </w:rPr>
        <w:t xml:space="preserve"> his fingers into </w:t>
      </w:r>
      <w:r w:rsidR="00020443" w:rsidRPr="00672545">
        <w:rPr>
          <w:szCs w:val="26"/>
        </w:rPr>
        <w:t>her</w:t>
      </w:r>
      <w:r w:rsidR="002237D4" w:rsidRPr="00672545">
        <w:rPr>
          <w:szCs w:val="26"/>
        </w:rPr>
        <w:t xml:space="preserve"> mouth</w:t>
      </w:r>
      <w:r w:rsidR="00020443" w:rsidRPr="00672545">
        <w:rPr>
          <w:szCs w:val="26"/>
        </w:rPr>
        <w:t xml:space="preserve"> and</w:t>
      </w:r>
      <w:r w:rsidR="007F35D3" w:rsidRPr="00672545">
        <w:rPr>
          <w:szCs w:val="26"/>
        </w:rPr>
        <w:t xml:space="preserve"> rubbing or massaging her teeth</w:t>
      </w:r>
      <w:r w:rsidR="00020443" w:rsidRPr="00672545">
        <w:rPr>
          <w:szCs w:val="26"/>
        </w:rPr>
        <w:t xml:space="preserve"> while she had been sleeping</w:t>
      </w:r>
      <w:r w:rsidR="007F35D3" w:rsidRPr="00672545">
        <w:rPr>
          <w:szCs w:val="26"/>
        </w:rPr>
        <w:t xml:space="preserve">.  </w:t>
      </w:r>
      <w:r w:rsidR="00787988">
        <w:rPr>
          <w:szCs w:val="26"/>
        </w:rPr>
        <w:t>J.N.</w:t>
      </w:r>
      <w:r w:rsidR="005727E8" w:rsidRPr="00672545">
        <w:rPr>
          <w:szCs w:val="26"/>
        </w:rPr>
        <w:t xml:space="preserve"> testified that she first pretended to be asleep during the</w:t>
      </w:r>
      <w:r w:rsidR="00D53000" w:rsidRPr="00672545">
        <w:rPr>
          <w:szCs w:val="26"/>
        </w:rPr>
        <w:t xml:space="preserve"> initial</w:t>
      </w:r>
      <w:r w:rsidR="005727E8" w:rsidRPr="00672545">
        <w:rPr>
          <w:szCs w:val="26"/>
        </w:rPr>
        <w:t xml:space="preserve"> touching, but s</w:t>
      </w:r>
      <w:r w:rsidR="002237D4" w:rsidRPr="00672545">
        <w:rPr>
          <w:szCs w:val="26"/>
        </w:rPr>
        <w:t>he bit him</w:t>
      </w:r>
      <w:r w:rsidR="006B02A0" w:rsidRPr="00672545">
        <w:rPr>
          <w:szCs w:val="26"/>
        </w:rPr>
        <w:t xml:space="preserve"> the second time he </w:t>
      </w:r>
      <w:r w:rsidR="00D53000" w:rsidRPr="00672545">
        <w:rPr>
          <w:szCs w:val="26"/>
        </w:rPr>
        <w:t>touched her teeth</w:t>
      </w:r>
      <w:r w:rsidR="005727E8" w:rsidRPr="00672545">
        <w:rPr>
          <w:szCs w:val="26"/>
        </w:rPr>
        <w:t>.</w:t>
      </w:r>
      <w:r w:rsidR="00F81CD5" w:rsidRPr="00672545">
        <w:rPr>
          <w:szCs w:val="26"/>
        </w:rPr>
        <w:t xml:space="preserve">  </w:t>
      </w:r>
      <w:r w:rsidR="00787988">
        <w:rPr>
          <w:szCs w:val="26"/>
        </w:rPr>
        <w:t>J.N.</w:t>
      </w:r>
      <w:r w:rsidR="002237D4" w:rsidRPr="00672545">
        <w:rPr>
          <w:szCs w:val="26"/>
        </w:rPr>
        <w:t xml:space="preserve"> </w:t>
      </w:r>
      <w:r w:rsidR="002A7B70" w:rsidRPr="00672545">
        <w:rPr>
          <w:szCs w:val="26"/>
        </w:rPr>
        <w:t xml:space="preserve">thereafter told her </w:t>
      </w:r>
      <w:r w:rsidR="002237D4" w:rsidRPr="00672545">
        <w:rPr>
          <w:szCs w:val="26"/>
        </w:rPr>
        <w:t xml:space="preserve">mother that defendant </w:t>
      </w:r>
      <w:r w:rsidR="00130BC1" w:rsidRPr="00672545">
        <w:rPr>
          <w:szCs w:val="26"/>
        </w:rPr>
        <w:t>had behaved</w:t>
      </w:r>
      <w:r w:rsidR="002237D4" w:rsidRPr="00672545">
        <w:rPr>
          <w:szCs w:val="26"/>
        </w:rPr>
        <w:t xml:space="preserve"> </w:t>
      </w:r>
      <w:r w:rsidR="0019700B" w:rsidRPr="00672545">
        <w:rPr>
          <w:szCs w:val="26"/>
        </w:rPr>
        <w:t>“</w:t>
      </w:r>
      <w:r w:rsidR="002237D4" w:rsidRPr="00672545">
        <w:rPr>
          <w:szCs w:val="26"/>
        </w:rPr>
        <w:t>weird,” and that it bothered her</w:t>
      </w:r>
      <w:r w:rsidR="0019700B" w:rsidRPr="00672545">
        <w:rPr>
          <w:szCs w:val="26"/>
        </w:rPr>
        <w:t>.</w:t>
      </w:r>
      <w:r w:rsidR="00F81CD5" w:rsidRPr="00672545">
        <w:rPr>
          <w:szCs w:val="26"/>
        </w:rPr>
        <w:t xml:space="preserve">  </w:t>
      </w:r>
      <w:r w:rsidR="0094261A" w:rsidRPr="00672545">
        <w:rPr>
          <w:szCs w:val="26"/>
        </w:rPr>
        <w:t>Years later, w</w:t>
      </w:r>
      <w:r w:rsidR="007C44E6" w:rsidRPr="00672545">
        <w:rPr>
          <w:szCs w:val="26"/>
        </w:rPr>
        <w:t xml:space="preserve">hen Officer Redden </w:t>
      </w:r>
      <w:r w:rsidR="0094261A" w:rsidRPr="00672545">
        <w:rPr>
          <w:szCs w:val="26"/>
        </w:rPr>
        <w:t>asked defendant</w:t>
      </w:r>
      <w:r w:rsidR="007C44E6" w:rsidRPr="00672545">
        <w:rPr>
          <w:szCs w:val="26"/>
        </w:rPr>
        <w:t xml:space="preserve"> if </w:t>
      </w:r>
      <w:r w:rsidR="00EE26B9" w:rsidRPr="00672545">
        <w:rPr>
          <w:szCs w:val="26"/>
        </w:rPr>
        <w:t>anyone</w:t>
      </w:r>
      <w:r w:rsidR="007C44E6" w:rsidRPr="00672545">
        <w:rPr>
          <w:szCs w:val="26"/>
        </w:rPr>
        <w:t xml:space="preserve"> might think defendant was involved in the kidnapping of Danielle</w:t>
      </w:r>
      <w:r w:rsidR="0094261A" w:rsidRPr="00672545">
        <w:rPr>
          <w:szCs w:val="26"/>
        </w:rPr>
        <w:t xml:space="preserve">, </w:t>
      </w:r>
      <w:r w:rsidR="007C44E6" w:rsidRPr="00672545">
        <w:rPr>
          <w:szCs w:val="26"/>
        </w:rPr>
        <w:t xml:space="preserve">defendant </w:t>
      </w:r>
      <w:r w:rsidR="00E60B97" w:rsidRPr="00672545">
        <w:rPr>
          <w:szCs w:val="26"/>
        </w:rPr>
        <w:t xml:space="preserve">recalled the incident </w:t>
      </w:r>
      <w:r w:rsidR="00EE26B9" w:rsidRPr="00672545">
        <w:rPr>
          <w:szCs w:val="26"/>
        </w:rPr>
        <w:t xml:space="preserve">involving </w:t>
      </w:r>
      <w:r w:rsidR="00787988">
        <w:rPr>
          <w:szCs w:val="26"/>
        </w:rPr>
        <w:t>J.N.</w:t>
      </w:r>
      <w:r w:rsidR="00EE26B9" w:rsidRPr="00672545">
        <w:rPr>
          <w:szCs w:val="26"/>
        </w:rPr>
        <w:t xml:space="preserve"> </w:t>
      </w:r>
      <w:r w:rsidR="0094261A" w:rsidRPr="00672545">
        <w:rPr>
          <w:szCs w:val="26"/>
        </w:rPr>
        <w:t xml:space="preserve">and said </w:t>
      </w:r>
      <w:r w:rsidR="00E60B97" w:rsidRPr="00672545">
        <w:rPr>
          <w:szCs w:val="26"/>
        </w:rPr>
        <w:t xml:space="preserve">that </w:t>
      </w:r>
      <w:r w:rsidR="00EE26B9" w:rsidRPr="00672545">
        <w:rPr>
          <w:szCs w:val="26"/>
        </w:rPr>
        <w:t>her mother</w:t>
      </w:r>
      <w:r w:rsidR="00E60B97" w:rsidRPr="00672545">
        <w:rPr>
          <w:szCs w:val="26"/>
        </w:rPr>
        <w:t xml:space="preserve"> had accused him of molesting </w:t>
      </w:r>
      <w:proofErr w:type="gramStart"/>
      <w:r w:rsidR="00787988">
        <w:rPr>
          <w:szCs w:val="26"/>
        </w:rPr>
        <w:t>J.N.</w:t>
      </w:r>
      <w:r w:rsidR="00E60B97" w:rsidRPr="00672545">
        <w:rPr>
          <w:szCs w:val="26"/>
        </w:rPr>
        <w:t>.</w:t>
      </w:r>
      <w:proofErr w:type="gramEnd"/>
      <w:r w:rsidR="00F81CD5" w:rsidRPr="00672545">
        <w:rPr>
          <w:szCs w:val="26"/>
        </w:rPr>
        <w:t xml:space="preserve">  </w:t>
      </w:r>
    </w:p>
    <w:p w14:paraId="64D41E77" w14:textId="77777777" w:rsidR="00337B06" w:rsidRPr="00672545" w:rsidRDefault="00337B06" w:rsidP="00672545">
      <w:pPr>
        <w:tabs>
          <w:tab w:val="left" w:pos="720"/>
        </w:tabs>
        <w:rPr>
          <w:szCs w:val="26"/>
        </w:rPr>
      </w:pPr>
      <w:r w:rsidRPr="00672545">
        <w:rPr>
          <w:szCs w:val="26"/>
        </w:rPr>
        <w:tab/>
        <w:t>The defense objected that the incident at most constituted a “technical battery” and was not a crime of force or violence.</w:t>
      </w:r>
      <w:r w:rsidR="00F81CD5" w:rsidRPr="00672545">
        <w:rPr>
          <w:szCs w:val="26"/>
        </w:rPr>
        <w:t xml:space="preserve">  </w:t>
      </w:r>
      <w:r w:rsidRPr="00672545">
        <w:rPr>
          <w:szCs w:val="26"/>
        </w:rPr>
        <w:t>The prosecution took the position that defendant had committed an assault and battery, as well as a lewd act in violation of section 288.</w:t>
      </w:r>
      <w:r w:rsidR="00F81CD5" w:rsidRPr="00672545">
        <w:rPr>
          <w:szCs w:val="26"/>
        </w:rPr>
        <w:t xml:space="preserve">  </w:t>
      </w:r>
      <w:r w:rsidRPr="00672545">
        <w:rPr>
          <w:szCs w:val="26"/>
        </w:rPr>
        <w:t xml:space="preserve">The trial court </w:t>
      </w:r>
      <w:r w:rsidR="00E23EB3" w:rsidRPr="00672545">
        <w:rPr>
          <w:szCs w:val="26"/>
        </w:rPr>
        <w:t xml:space="preserve">agreed with the prosecution that </w:t>
      </w:r>
      <w:r w:rsidRPr="00672545">
        <w:rPr>
          <w:szCs w:val="26"/>
        </w:rPr>
        <w:t xml:space="preserve">the incident constituted a crime of force or violence that was admissible at the penalty phase </w:t>
      </w:r>
      <w:r w:rsidR="00875255" w:rsidRPr="00672545">
        <w:rPr>
          <w:szCs w:val="26"/>
        </w:rPr>
        <w:t xml:space="preserve">and allowed </w:t>
      </w:r>
      <w:r w:rsidR="00787988">
        <w:rPr>
          <w:szCs w:val="26"/>
        </w:rPr>
        <w:t>J.N.</w:t>
      </w:r>
      <w:r w:rsidR="00875255" w:rsidRPr="00672545">
        <w:rPr>
          <w:szCs w:val="26"/>
        </w:rPr>
        <w:t xml:space="preserve"> to testify </w:t>
      </w:r>
      <w:r w:rsidR="001351D4" w:rsidRPr="00672545">
        <w:rPr>
          <w:szCs w:val="26"/>
        </w:rPr>
        <w:t>regarding</w:t>
      </w:r>
      <w:r w:rsidR="00875255" w:rsidRPr="00672545">
        <w:rPr>
          <w:szCs w:val="26"/>
        </w:rPr>
        <w:t xml:space="preserve"> </w:t>
      </w:r>
      <w:r w:rsidR="00E23EB3" w:rsidRPr="00672545">
        <w:rPr>
          <w:szCs w:val="26"/>
        </w:rPr>
        <w:t>it</w:t>
      </w:r>
      <w:r w:rsidR="00875255" w:rsidRPr="00672545">
        <w:rPr>
          <w:szCs w:val="26"/>
        </w:rPr>
        <w:t>.</w:t>
      </w:r>
      <w:r w:rsidR="00F81CD5" w:rsidRPr="00672545">
        <w:rPr>
          <w:szCs w:val="26"/>
        </w:rPr>
        <w:t xml:space="preserve">  </w:t>
      </w:r>
    </w:p>
    <w:p w14:paraId="38A19BBD" w14:textId="77777777" w:rsidR="00E60B97" w:rsidRPr="00672545" w:rsidRDefault="007C20AD" w:rsidP="00672545">
      <w:pPr>
        <w:tabs>
          <w:tab w:val="left" w:pos="720"/>
        </w:tabs>
        <w:rPr>
          <w:szCs w:val="26"/>
        </w:rPr>
      </w:pPr>
      <w:r w:rsidRPr="00672545">
        <w:rPr>
          <w:szCs w:val="26"/>
        </w:rPr>
        <w:tab/>
        <w:t>Defendant claims on appeal that the trial court erred</w:t>
      </w:r>
      <w:r w:rsidR="00896BAF" w:rsidRPr="00672545">
        <w:rPr>
          <w:szCs w:val="26"/>
        </w:rPr>
        <w:t xml:space="preserve">.  He contends </w:t>
      </w:r>
      <w:r w:rsidR="009378C5" w:rsidRPr="00672545">
        <w:rPr>
          <w:szCs w:val="26"/>
        </w:rPr>
        <w:t xml:space="preserve">first that </w:t>
      </w:r>
      <w:r w:rsidR="00896BAF" w:rsidRPr="00672545">
        <w:rPr>
          <w:szCs w:val="26"/>
        </w:rPr>
        <w:t>the court mis</w:t>
      </w:r>
      <w:r w:rsidR="0065247D" w:rsidRPr="00672545">
        <w:rPr>
          <w:szCs w:val="26"/>
        </w:rPr>
        <w:t>interpreted</w:t>
      </w:r>
      <w:r w:rsidR="00896BAF" w:rsidRPr="00672545">
        <w:rPr>
          <w:szCs w:val="26"/>
        </w:rPr>
        <w:t xml:space="preserve"> section 190.3, factor </w:t>
      </w:r>
      <w:r w:rsidR="00896BAF" w:rsidRPr="00672545">
        <w:rPr>
          <w:szCs w:val="26"/>
        </w:rPr>
        <w:lastRenderedPageBreak/>
        <w:t xml:space="preserve">(b), to require only the amount of force necessary for a battery, i.e., the slightest touching done in an offensive manner.  (See </w:t>
      </w:r>
      <w:r w:rsidR="00DA530F" w:rsidRPr="00672545">
        <w:rPr>
          <w:i/>
          <w:szCs w:val="26"/>
        </w:rPr>
        <w:t>People v. Rocha</w:t>
      </w:r>
      <w:r w:rsidR="00DA530F" w:rsidRPr="00672545">
        <w:rPr>
          <w:szCs w:val="26"/>
        </w:rPr>
        <w:t xml:space="preserve"> (1971) 3 Cal.3d 893, 899-900, fn. 12; </w:t>
      </w:r>
      <w:r w:rsidR="00896BAF" w:rsidRPr="00672545">
        <w:rPr>
          <w:szCs w:val="26"/>
        </w:rPr>
        <w:t xml:space="preserve">CALJIC No. 16.141; CALCRIM No. 960.)  Defendant argues that “force or violence” as used in factor (b) must </w:t>
      </w:r>
      <w:r w:rsidR="00ED23C7" w:rsidRPr="00672545">
        <w:rPr>
          <w:szCs w:val="26"/>
        </w:rPr>
        <w:t xml:space="preserve">instead </w:t>
      </w:r>
      <w:r w:rsidR="00896BAF" w:rsidRPr="00672545">
        <w:rPr>
          <w:szCs w:val="26"/>
        </w:rPr>
        <w:t xml:space="preserve">be </w:t>
      </w:r>
      <w:r w:rsidR="0065247D" w:rsidRPr="00672545">
        <w:rPr>
          <w:szCs w:val="26"/>
        </w:rPr>
        <w:t>construed</w:t>
      </w:r>
      <w:r w:rsidR="00896BAF" w:rsidRPr="00672545">
        <w:rPr>
          <w:szCs w:val="26"/>
        </w:rPr>
        <w:t xml:space="preserve"> to mean “forcible violence” or “violent force.”</w:t>
      </w:r>
      <w:r w:rsidR="00F81CD5" w:rsidRPr="00672545">
        <w:rPr>
          <w:szCs w:val="26"/>
        </w:rPr>
        <w:t xml:space="preserve">  </w:t>
      </w:r>
      <w:r w:rsidR="00ED23C7" w:rsidRPr="00672545">
        <w:rPr>
          <w:szCs w:val="26"/>
        </w:rPr>
        <w:t>Applying</w:t>
      </w:r>
      <w:r w:rsidR="001E7634" w:rsidRPr="00672545">
        <w:rPr>
          <w:szCs w:val="26"/>
        </w:rPr>
        <w:t xml:space="preserve"> </w:t>
      </w:r>
      <w:r w:rsidR="00ED23C7" w:rsidRPr="00672545">
        <w:rPr>
          <w:szCs w:val="26"/>
        </w:rPr>
        <w:t xml:space="preserve">such </w:t>
      </w:r>
      <w:r w:rsidR="00D377B2" w:rsidRPr="00672545">
        <w:rPr>
          <w:szCs w:val="26"/>
        </w:rPr>
        <w:t xml:space="preserve">a </w:t>
      </w:r>
      <w:r w:rsidR="00ED23C7" w:rsidRPr="00672545">
        <w:rPr>
          <w:szCs w:val="26"/>
        </w:rPr>
        <w:t xml:space="preserve">standard, defendant contends that the </w:t>
      </w:r>
      <w:r w:rsidR="00787988">
        <w:rPr>
          <w:szCs w:val="26"/>
        </w:rPr>
        <w:t>J.N.</w:t>
      </w:r>
      <w:r w:rsidR="00ED23C7" w:rsidRPr="00672545">
        <w:rPr>
          <w:szCs w:val="26"/>
        </w:rPr>
        <w:t xml:space="preserve"> incident could not qualify as anything more t</w:t>
      </w:r>
      <w:r w:rsidR="00B33099" w:rsidRPr="00672545">
        <w:rPr>
          <w:szCs w:val="26"/>
        </w:rPr>
        <w:t xml:space="preserve">han a “non-factor (b) battery” </w:t>
      </w:r>
      <w:r w:rsidR="00ED23C7" w:rsidRPr="00672545">
        <w:rPr>
          <w:szCs w:val="26"/>
        </w:rPr>
        <w:t xml:space="preserve">and that its admission into evidence constituted a violation of due process.  </w:t>
      </w:r>
    </w:p>
    <w:p w14:paraId="2AE079B4" w14:textId="04F67B48" w:rsidR="00EC0146" w:rsidRDefault="0065247D" w:rsidP="00672545">
      <w:pPr>
        <w:tabs>
          <w:tab w:val="left" w:pos="720"/>
        </w:tabs>
        <w:rPr>
          <w:szCs w:val="26"/>
        </w:rPr>
      </w:pPr>
      <w:r w:rsidRPr="00672545">
        <w:rPr>
          <w:szCs w:val="26"/>
        </w:rPr>
        <w:tab/>
      </w:r>
      <w:r w:rsidR="00887068">
        <w:rPr>
          <w:szCs w:val="26"/>
        </w:rPr>
        <w:t>F</w:t>
      </w:r>
      <w:r w:rsidRPr="00672545">
        <w:rPr>
          <w:szCs w:val="26"/>
        </w:rPr>
        <w:t xml:space="preserve">actor (b) </w:t>
      </w:r>
      <w:r w:rsidR="00887068">
        <w:rPr>
          <w:szCs w:val="26"/>
        </w:rPr>
        <w:t xml:space="preserve">is </w:t>
      </w:r>
      <w:proofErr w:type="gramStart"/>
      <w:r w:rsidR="00887068">
        <w:rPr>
          <w:szCs w:val="26"/>
        </w:rPr>
        <w:t xml:space="preserve">not </w:t>
      </w:r>
      <w:r w:rsidRPr="00672545">
        <w:rPr>
          <w:szCs w:val="26"/>
        </w:rPr>
        <w:t xml:space="preserve"> limited</w:t>
      </w:r>
      <w:proofErr w:type="gramEnd"/>
      <w:r w:rsidRPr="00672545">
        <w:rPr>
          <w:szCs w:val="26"/>
        </w:rPr>
        <w:t xml:space="preserve"> </w:t>
      </w:r>
      <w:r w:rsidR="00887068">
        <w:rPr>
          <w:szCs w:val="26"/>
        </w:rPr>
        <w:t xml:space="preserve">in all circumstances </w:t>
      </w:r>
      <w:r w:rsidRPr="00672545">
        <w:rPr>
          <w:szCs w:val="26"/>
        </w:rPr>
        <w:t xml:space="preserve">to acts </w:t>
      </w:r>
      <w:r w:rsidR="00310D3B" w:rsidRPr="00672545">
        <w:rPr>
          <w:szCs w:val="26"/>
        </w:rPr>
        <w:t>as to which</w:t>
      </w:r>
      <w:r w:rsidRPr="00672545">
        <w:rPr>
          <w:szCs w:val="26"/>
        </w:rPr>
        <w:t xml:space="preserve"> the defendant </w:t>
      </w:r>
      <w:r w:rsidR="00D268C4" w:rsidRPr="00672545">
        <w:rPr>
          <w:szCs w:val="26"/>
        </w:rPr>
        <w:t xml:space="preserve">has </w:t>
      </w:r>
      <w:r w:rsidRPr="00672545">
        <w:rPr>
          <w:szCs w:val="26"/>
        </w:rPr>
        <w:t>use</w:t>
      </w:r>
      <w:r w:rsidR="00390843" w:rsidRPr="00672545">
        <w:rPr>
          <w:szCs w:val="26"/>
        </w:rPr>
        <w:t>d</w:t>
      </w:r>
      <w:r w:rsidRPr="00672545">
        <w:rPr>
          <w:szCs w:val="26"/>
        </w:rPr>
        <w:t xml:space="preserve"> forcible violence or violent force.  </w:t>
      </w:r>
      <w:r w:rsidR="00944570">
        <w:rPr>
          <w:szCs w:val="26"/>
        </w:rPr>
        <w:t>W</w:t>
      </w:r>
      <w:r w:rsidRPr="00672545">
        <w:rPr>
          <w:szCs w:val="26"/>
        </w:rPr>
        <w:t>e have stated previously</w:t>
      </w:r>
      <w:r w:rsidR="00944570">
        <w:rPr>
          <w:szCs w:val="26"/>
        </w:rPr>
        <w:t xml:space="preserve"> that</w:t>
      </w:r>
      <w:r w:rsidR="00E43226" w:rsidRPr="00672545">
        <w:rPr>
          <w:szCs w:val="26"/>
        </w:rPr>
        <w:t xml:space="preserve"> “[f]</w:t>
      </w:r>
      <w:r w:rsidR="00257314" w:rsidRPr="00672545">
        <w:rPr>
          <w:szCs w:val="26"/>
        </w:rPr>
        <w:t>or the purpose of admissibility u</w:t>
      </w:r>
      <w:r w:rsidR="00681A09">
        <w:rPr>
          <w:szCs w:val="26"/>
        </w:rPr>
        <w:t xml:space="preserve">nder section 190.3, factor (b): </w:t>
      </w:r>
      <w:proofErr w:type="gramStart"/>
      <w:r w:rsidR="00E43226" w:rsidRPr="00672545">
        <w:rPr>
          <w:szCs w:val="26"/>
        </w:rPr>
        <w:t>‘ “</w:t>
      </w:r>
      <w:proofErr w:type="gramEnd"/>
      <w:r w:rsidR="00257314" w:rsidRPr="00672545">
        <w:rPr>
          <w:szCs w:val="26"/>
        </w:rPr>
        <w:t xml:space="preserve">[T]he </w:t>
      </w:r>
      <w:r w:rsidR="00E43226" w:rsidRPr="00672545">
        <w:rPr>
          <w:szCs w:val="26"/>
        </w:rPr>
        <w:t>‘</w:t>
      </w:r>
      <w:r w:rsidR="00257314" w:rsidRPr="00672545">
        <w:rPr>
          <w:szCs w:val="26"/>
        </w:rPr>
        <w:t>force</w:t>
      </w:r>
      <w:r w:rsidR="00E43226" w:rsidRPr="00672545">
        <w:rPr>
          <w:szCs w:val="26"/>
        </w:rPr>
        <w:t>’</w:t>
      </w:r>
      <w:r w:rsidR="00257314" w:rsidRPr="00672545">
        <w:rPr>
          <w:szCs w:val="26"/>
        </w:rPr>
        <w:t xml:space="preserve"> requisite</w:t>
      </w:r>
      <w:r w:rsidR="00E43226" w:rsidRPr="00672545">
        <w:rPr>
          <w:szCs w:val="26"/>
        </w:rPr>
        <w:t xml:space="preserve"> . . . d</w:t>
      </w:r>
      <w:r w:rsidR="00257314" w:rsidRPr="00672545">
        <w:rPr>
          <w:szCs w:val="26"/>
        </w:rPr>
        <w:t>oes not mean bodily harm but the physical power required in the circumstances to overcome [the victim</w:t>
      </w:r>
      <w:r w:rsidR="00E43226" w:rsidRPr="00672545">
        <w:rPr>
          <w:szCs w:val="26"/>
        </w:rPr>
        <w:t>’</w:t>
      </w:r>
      <w:r w:rsidR="00257314" w:rsidRPr="00672545">
        <w:rPr>
          <w:szCs w:val="26"/>
        </w:rPr>
        <w:t>s] resistance.</w:t>
      </w:r>
      <w:proofErr w:type="gramStart"/>
      <w:r w:rsidR="00E43226" w:rsidRPr="00672545">
        <w:rPr>
          <w:szCs w:val="26"/>
        </w:rPr>
        <w:t>” ’</w:t>
      </w:r>
      <w:proofErr w:type="gramEnd"/>
      <w:r w:rsidR="00257314" w:rsidRPr="00672545">
        <w:rPr>
          <w:szCs w:val="26"/>
        </w:rPr>
        <w:t xml:space="preserve"> </w:t>
      </w:r>
      <w:r w:rsidRPr="00672545">
        <w:rPr>
          <w:szCs w:val="26"/>
        </w:rPr>
        <w:t xml:space="preserve">” </w:t>
      </w:r>
      <w:r w:rsidR="00257314" w:rsidRPr="00672545">
        <w:rPr>
          <w:szCs w:val="26"/>
        </w:rPr>
        <w:t xml:space="preserve"> (</w:t>
      </w:r>
      <w:r w:rsidR="00257314" w:rsidRPr="00672545">
        <w:rPr>
          <w:i/>
          <w:iCs/>
          <w:szCs w:val="26"/>
        </w:rPr>
        <w:t xml:space="preserve">People v. </w:t>
      </w:r>
      <w:proofErr w:type="spellStart"/>
      <w:r w:rsidR="00257314" w:rsidRPr="00672545">
        <w:rPr>
          <w:i/>
          <w:iCs/>
          <w:szCs w:val="26"/>
        </w:rPr>
        <w:t>Raley</w:t>
      </w:r>
      <w:proofErr w:type="spellEnd"/>
      <w:r w:rsidR="00257314" w:rsidRPr="00672545">
        <w:rPr>
          <w:szCs w:val="26"/>
        </w:rPr>
        <w:t xml:space="preserve"> (1992) 2 Cal.4th 870, 907</w:t>
      </w:r>
      <w:r w:rsidR="00390843" w:rsidRPr="00672545">
        <w:rPr>
          <w:szCs w:val="26"/>
        </w:rPr>
        <w:t xml:space="preserve"> (</w:t>
      </w:r>
      <w:proofErr w:type="spellStart"/>
      <w:r w:rsidR="00390843" w:rsidRPr="00672545">
        <w:rPr>
          <w:i/>
          <w:szCs w:val="26"/>
        </w:rPr>
        <w:t>Raley</w:t>
      </w:r>
      <w:proofErr w:type="spellEnd"/>
      <w:r w:rsidR="00390843" w:rsidRPr="00672545">
        <w:rPr>
          <w:szCs w:val="26"/>
        </w:rPr>
        <w:t>)</w:t>
      </w:r>
      <w:r w:rsidR="00257314" w:rsidRPr="00672545">
        <w:rPr>
          <w:szCs w:val="26"/>
        </w:rPr>
        <w:t>.)</w:t>
      </w:r>
      <w:r w:rsidR="00E43226" w:rsidRPr="00672545">
        <w:rPr>
          <w:szCs w:val="26"/>
        </w:rPr>
        <w:t xml:space="preserve">  </w:t>
      </w:r>
      <w:r w:rsidR="00887068">
        <w:rPr>
          <w:szCs w:val="26"/>
        </w:rPr>
        <w:t>But h</w:t>
      </w:r>
      <w:r w:rsidR="00EC0146">
        <w:rPr>
          <w:szCs w:val="26"/>
        </w:rPr>
        <w:t xml:space="preserve">ow that standard would apply to the </w:t>
      </w:r>
      <w:r w:rsidR="006A692A">
        <w:rPr>
          <w:szCs w:val="26"/>
        </w:rPr>
        <w:t xml:space="preserve">unwanted </w:t>
      </w:r>
      <w:r w:rsidR="00EC0146">
        <w:rPr>
          <w:szCs w:val="26"/>
        </w:rPr>
        <w:t>touching here</w:t>
      </w:r>
      <w:r w:rsidR="006A692A">
        <w:rPr>
          <w:szCs w:val="26"/>
        </w:rPr>
        <w:t xml:space="preserve"> is </w:t>
      </w:r>
      <w:r w:rsidR="00887068">
        <w:rPr>
          <w:szCs w:val="26"/>
        </w:rPr>
        <w:t>not entirely clear</w:t>
      </w:r>
      <w:r w:rsidR="006A692A">
        <w:rPr>
          <w:szCs w:val="26"/>
        </w:rPr>
        <w:t>.</w:t>
      </w:r>
    </w:p>
    <w:p w14:paraId="00A9B248" w14:textId="151F9F11" w:rsidR="006A692A" w:rsidRPr="00672545" w:rsidRDefault="00EC0146" w:rsidP="00672545">
      <w:pPr>
        <w:tabs>
          <w:tab w:val="left" w:pos="720"/>
        </w:tabs>
        <w:rPr>
          <w:szCs w:val="26"/>
        </w:rPr>
      </w:pPr>
      <w:r>
        <w:rPr>
          <w:szCs w:val="26"/>
        </w:rPr>
        <w:tab/>
      </w:r>
      <w:r w:rsidR="00A010C9" w:rsidRPr="00672545">
        <w:rPr>
          <w:szCs w:val="26"/>
        </w:rPr>
        <w:t>“F</w:t>
      </w:r>
      <w:r w:rsidR="0065247D" w:rsidRPr="00672545">
        <w:rPr>
          <w:szCs w:val="26"/>
        </w:rPr>
        <w:t xml:space="preserve">orce or violence” </w:t>
      </w:r>
      <w:r w:rsidR="00A010C9" w:rsidRPr="00672545">
        <w:rPr>
          <w:szCs w:val="26"/>
        </w:rPr>
        <w:t xml:space="preserve">for purposes of factor (b) </w:t>
      </w:r>
      <w:r w:rsidR="00681A09">
        <w:rPr>
          <w:szCs w:val="26"/>
        </w:rPr>
        <w:t>has a conventional and common</w:t>
      </w:r>
      <w:r w:rsidR="0065247D" w:rsidRPr="00672545">
        <w:rPr>
          <w:szCs w:val="26"/>
        </w:rPr>
        <w:t>sense</w:t>
      </w:r>
      <w:r w:rsidR="005A5C83" w:rsidRPr="00672545">
        <w:rPr>
          <w:szCs w:val="26"/>
        </w:rPr>
        <w:t xml:space="preserve"> </w:t>
      </w:r>
      <w:r w:rsidR="0065247D" w:rsidRPr="00672545">
        <w:rPr>
          <w:szCs w:val="26"/>
        </w:rPr>
        <w:t xml:space="preserve">meaning.  </w:t>
      </w:r>
      <w:r w:rsidR="00E13FE4" w:rsidRPr="00672545">
        <w:rPr>
          <w:szCs w:val="26"/>
        </w:rPr>
        <w:t>(</w:t>
      </w:r>
      <w:r w:rsidR="00E13FE4" w:rsidRPr="00672545">
        <w:rPr>
          <w:i/>
          <w:szCs w:val="26"/>
        </w:rPr>
        <w:t xml:space="preserve">People v. </w:t>
      </w:r>
      <w:proofErr w:type="spellStart"/>
      <w:r w:rsidR="00E13FE4" w:rsidRPr="00672545">
        <w:rPr>
          <w:i/>
          <w:szCs w:val="26"/>
        </w:rPr>
        <w:t>Dunkle</w:t>
      </w:r>
      <w:proofErr w:type="spellEnd"/>
      <w:r w:rsidR="00E13FE4" w:rsidRPr="00672545">
        <w:rPr>
          <w:szCs w:val="26"/>
        </w:rPr>
        <w:t xml:space="preserve"> (2005) 36 Cal.4</w:t>
      </w:r>
      <w:r w:rsidR="00CE004D" w:rsidRPr="00672545">
        <w:rPr>
          <w:szCs w:val="26"/>
        </w:rPr>
        <w:t>th</w:t>
      </w:r>
      <w:r w:rsidR="00E13FE4" w:rsidRPr="00672545">
        <w:rPr>
          <w:szCs w:val="26"/>
        </w:rPr>
        <w:t xml:space="preserve"> 861, 922</w:t>
      </w:r>
      <w:r w:rsidR="002A44A7" w:rsidRPr="00672545">
        <w:rPr>
          <w:szCs w:val="26"/>
        </w:rPr>
        <w:t xml:space="preserve"> (</w:t>
      </w:r>
      <w:proofErr w:type="spellStart"/>
      <w:r w:rsidR="002A44A7" w:rsidRPr="00672545">
        <w:rPr>
          <w:i/>
          <w:szCs w:val="26"/>
        </w:rPr>
        <w:t>Dunkle</w:t>
      </w:r>
      <w:proofErr w:type="spellEnd"/>
      <w:r w:rsidR="002A44A7" w:rsidRPr="00672545">
        <w:rPr>
          <w:szCs w:val="26"/>
        </w:rPr>
        <w:t>)</w:t>
      </w:r>
      <w:r w:rsidR="00400D00" w:rsidRPr="00672545">
        <w:rPr>
          <w:szCs w:val="26"/>
        </w:rPr>
        <w:t xml:space="preserve">, citing </w:t>
      </w:r>
      <w:proofErr w:type="spellStart"/>
      <w:r w:rsidR="00400D00" w:rsidRPr="00672545">
        <w:rPr>
          <w:i/>
          <w:szCs w:val="26"/>
        </w:rPr>
        <w:t>Tuilaepa</w:t>
      </w:r>
      <w:proofErr w:type="spellEnd"/>
      <w:r w:rsidR="00400D00" w:rsidRPr="00672545">
        <w:rPr>
          <w:i/>
          <w:szCs w:val="26"/>
        </w:rPr>
        <w:t xml:space="preserve"> v. California</w:t>
      </w:r>
      <w:r w:rsidR="00400D00" w:rsidRPr="00672545">
        <w:rPr>
          <w:szCs w:val="26"/>
        </w:rPr>
        <w:t xml:space="preserve"> (1994) 512 </w:t>
      </w:r>
      <w:r w:rsidR="003A06BB" w:rsidRPr="00672545">
        <w:rPr>
          <w:szCs w:val="26"/>
        </w:rPr>
        <w:t>U.S. 967, 975</w:t>
      </w:r>
      <w:r w:rsidR="00E13FE4" w:rsidRPr="00672545">
        <w:rPr>
          <w:szCs w:val="26"/>
        </w:rPr>
        <w:t xml:space="preserve">.)  </w:t>
      </w:r>
      <w:r w:rsidR="00390843" w:rsidRPr="00672545">
        <w:rPr>
          <w:szCs w:val="26"/>
        </w:rPr>
        <w:t>Those circumstances may include an in</w:t>
      </w:r>
      <w:r w:rsidR="0065247D" w:rsidRPr="00672545">
        <w:rPr>
          <w:szCs w:val="26"/>
        </w:rPr>
        <w:t xml:space="preserve">equality in size between the </w:t>
      </w:r>
      <w:r w:rsidR="00390843" w:rsidRPr="00672545">
        <w:rPr>
          <w:szCs w:val="26"/>
        </w:rPr>
        <w:t>defendant</w:t>
      </w:r>
      <w:r w:rsidR="0065247D" w:rsidRPr="00672545">
        <w:rPr>
          <w:szCs w:val="26"/>
        </w:rPr>
        <w:t xml:space="preserve"> and victim as an element of physical power.  </w:t>
      </w:r>
      <w:r w:rsidR="00390843" w:rsidRPr="00672545">
        <w:rPr>
          <w:szCs w:val="26"/>
        </w:rPr>
        <w:t>(</w:t>
      </w:r>
      <w:proofErr w:type="spellStart"/>
      <w:r w:rsidR="00390843" w:rsidRPr="00672545">
        <w:rPr>
          <w:i/>
          <w:szCs w:val="26"/>
        </w:rPr>
        <w:t>Raley</w:t>
      </w:r>
      <w:proofErr w:type="spellEnd"/>
      <w:r w:rsidR="00390843" w:rsidRPr="00672545">
        <w:rPr>
          <w:i/>
          <w:szCs w:val="26"/>
        </w:rPr>
        <w:t>, supra</w:t>
      </w:r>
      <w:r w:rsidR="00390843" w:rsidRPr="00672545">
        <w:rPr>
          <w:szCs w:val="26"/>
        </w:rPr>
        <w:t>, at p. 907.)</w:t>
      </w:r>
      <w:r w:rsidR="00523CB0" w:rsidRPr="00672545">
        <w:rPr>
          <w:szCs w:val="26"/>
        </w:rPr>
        <w:t xml:space="preserve">  </w:t>
      </w:r>
      <w:r w:rsidR="006A692A">
        <w:rPr>
          <w:szCs w:val="26"/>
        </w:rPr>
        <w:tab/>
      </w:r>
      <w:r w:rsidR="006A692A" w:rsidRPr="00672545">
        <w:rPr>
          <w:szCs w:val="26"/>
        </w:rPr>
        <w:t xml:space="preserve">When the victim is a child, for example, the child may be too surprised, shocked, or intimidated by the defendant to offer much, if any, resistance.  (See </w:t>
      </w:r>
      <w:r w:rsidR="006A692A" w:rsidRPr="00672545">
        <w:rPr>
          <w:i/>
          <w:szCs w:val="26"/>
        </w:rPr>
        <w:t>People v. Soto</w:t>
      </w:r>
      <w:r w:rsidR="006A692A" w:rsidRPr="00672545">
        <w:rPr>
          <w:szCs w:val="26"/>
        </w:rPr>
        <w:t xml:space="preserve"> (2011) 51 Cal.4th 229, 243 [children are uniquely susceptible to abuse because of their dependence upon adults, their smaller size, and relative </w:t>
      </w:r>
      <w:r w:rsidR="006A692A" w:rsidRPr="00672545">
        <w:rPr>
          <w:szCs w:val="26"/>
        </w:rPr>
        <w:lastRenderedPageBreak/>
        <w:t>naiveté].)</w:t>
      </w:r>
      <w:r w:rsidR="00007161">
        <w:rPr>
          <w:szCs w:val="26"/>
        </w:rPr>
        <w:t xml:space="preserve">  </w:t>
      </w:r>
      <w:r w:rsidR="006A692A" w:rsidRPr="00672545">
        <w:rPr>
          <w:szCs w:val="26"/>
        </w:rPr>
        <w:t>Here, the victim was between five and seven years old when defendant placed his fingers in her mouth.</w:t>
      </w:r>
    </w:p>
    <w:p w14:paraId="09291700" w14:textId="288CEC69" w:rsidR="00526EEF" w:rsidRPr="00672545" w:rsidRDefault="009378C5" w:rsidP="00672545">
      <w:pPr>
        <w:tabs>
          <w:tab w:val="left" w:pos="720"/>
        </w:tabs>
        <w:rPr>
          <w:szCs w:val="26"/>
        </w:rPr>
      </w:pPr>
      <w:r w:rsidRPr="00672545">
        <w:rPr>
          <w:szCs w:val="26"/>
        </w:rPr>
        <w:tab/>
        <w:t xml:space="preserve">Defendant argues that, even so, we should find that the trial court erred in admitting the evidence.  We review </w:t>
      </w:r>
      <w:proofErr w:type="gramStart"/>
      <w:r w:rsidR="00523CB0" w:rsidRPr="00672545">
        <w:rPr>
          <w:szCs w:val="26"/>
        </w:rPr>
        <w:t>“ ‘</w:t>
      </w:r>
      <w:proofErr w:type="gramEnd"/>
      <w:r w:rsidRPr="00672545">
        <w:rPr>
          <w:szCs w:val="26"/>
        </w:rPr>
        <w:t>a</w:t>
      </w:r>
      <w:r w:rsidR="00523CB0" w:rsidRPr="00672545">
        <w:rPr>
          <w:szCs w:val="26"/>
        </w:rPr>
        <w:t xml:space="preserve"> trial court’s decision to admit “other crimes” evidence at the penalty phase</w:t>
      </w:r>
      <w:r w:rsidRPr="00672545">
        <w:rPr>
          <w:szCs w:val="26"/>
        </w:rPr>
        <w:t xml:space="preserve"> . . . </w:t>
      </w:r>
      <w:r w:rsidR="00523CB0" w:rsidRPr="00672545">
        <w:rPr>
          <w:szCs w:val="26"/>
        </w:rPr>
        <w:t>for abuse of discretion, and no abuse of discretion will be found where, in fact, the evidence in question was legally sufficient.</w:t>
      </w:r>
      <w:proofErr w:type="gramStart"/>
      <w:r w:rsidR="00523CB0" w:rsidRPr="00672545">
        <w:rPr>
          <w:szCs w:val="26"/>
        </w:rPr>
        <w:t>’ ”</w:t>
      </w:r>
      <w:proofErr w:type="gramEnd"/>
      <w:r w:rsidR="00523CB0" w:rsidRPr="00672545">
        <w:rPr>
          <w:szCs w:val="26"/>
        </w:rPr>
        <w:t xml:space="preserve">  (</w:t>
      </w:r>
      <w:r w:rsidR="00523CB0" w:rsidRPr="00672545">
        <w:rPr>
          <w:i/>
          <w:szCs w:val="26"/>
        </w:rPr>
        <w:t>People v. Whisenhunt</w:t>
      </w:r>
      <w:r w:rsidR="00523CB0" w:rsidRPr="00672545">
        <w:rPr>
          <w:szCs w:val="26"/>
        </w:rPr>
        <w:t xml:space="preserve"> (2008) 44 Cal.4</w:t>
      </w:r>
      <w:r w:rsidR="00CE004D" w:rsidRPr="00672545">
        <w:rPr>
          <w:szCs w:val="26"/>
        </w:rPr>
        <w:t>th</w:t>
      </w:r>
      <w:r w:rsidR="00523CB0" w:rsidRPr="00672545">
        <w:rPr>
          <w:szCs w:val="26"/>
        </w:rPr>
        <w:t xml:space="preserve"> 174, 225; accord </w:t>
      </w:r>
      <w:r w:rsidR="00523CB0" w:rsidRPr="00672545">
        <w:rPr>
          <w:i/>
          <w:szCs w:val="26"/>
        </w:rPr>
        <w:t>People v. Bacon</w:t>
      </w:r>
      <w:r w:rsidR="00523CB0" w:rsidRPr="00672545">
        <w:rPr>
          <w:szCs w:val="26"/>
        </w:rPr>
        <w:t xml:space="preserve"> (2010) 50 Cal.4</w:t>
      </w:r>
      <w:r w:rsidR="002156BB" w:rsidRPr="00672545">
        <w:rPr>
          <w:szCs w:val="26"/>
        </w:rPr>
        <w:t>th</w:t>
      </w:r>
      <w:r w:rsidR="00523CB0" w:rsidRPr="00672545">
        <w:rPr>
          <w:szCs w:val="26"/>
        </w:rPr>
        <w:t xml:space="preserve"> 1082, 1127.)  </w:t>
      </w:r>
    </w:p>
    <w:p w14:paraId="0864203D" w14:textId="15AAB394" w:rsidR="00523CB0" w:rsidRPr="00672545" w:rsidRDefault="009078C3" w:rsidP="00672545">
      <w:pPr>
        <w:tabs>
          <w:tab w:val="left" w:pos="720"/>
        </w:tabs>
        <w:rPr>
          <w:szCs w:val="26"/>
        </w:rPr>
      </w:pPr>
      <w:r w:rsidRPr="00672545">
        <w:rPr>
          <w:szCs w:val="26"/>
        </w:rPr>
        <w:tab/>
      </w:r>
      <w:r w:rsidR="00F9676E" w:rsidRPr="00672545">
        <w:rPr>
          <w:szCs w:val="26"/>
        </w:rPr>
        <w:t>Defendant argues that the evidence here was legally insufficient to support the trial court’s exercise of its discretion</w:t>
      </w:r>
      <w:r w:rsidR="00765AB5" w:rsidRPr="00672545">
        <w:rPr>
          <w:szCs w:val="26"/>
        </w:rPr>
        <w:t xml:space="preserve"> and that its admission constituted </w:t>
      </w:r>
      <w:r w:rsidR="0073792A" w:rsidRPr="00672545">
        <w:rPr>
          <w:szCs w:val="26"/>
        </w:rPr>
        <w:t>an abuse of discretion</w:t>
      </w:r>
      <w:r w:rsidR="00F9676E" w:rsidRPr="00672545">
        <w:rPr>
          <w:szCs w:val="26"/>
        </w:rPr>
        <w:t xml:space="preserve">.  In defendant’s view, there is nothing in the record reflecting that when he put his fingers into </w:t>
      </w:r>
      <w:r w:rsidR="00787988">
        <w:rPr>
          <w:szCs w:val="26"/>
        </w:rPr>
        <w:t>J.N.</w:t>
      </w:r>
      <w:r w:rsidR="00F9676E" w:rsidRPr="00672545">
        <w:rPr>
          <w:szCs w:val="26"/>
        </w:rPr>
        <w:t xml:space="preserve">’s mouth, he used </w:t>
      </w:r>
      <w:r w:rsidR="00E541A8" w:rsidRPr="00672545">
        <w:rPr>
          <w:szCs w:val="26"/>
        </w:rPr>
        <w:t xml:space="preserve">any </w:t>
      </w:r>
      <w:r w:rsidR="00F9676E" w:rsidRPr="00672545">
        <w:rPr>
          <w:szCs w:val="26"/>
        </w:rPr>
        <w:t xml:space="preserve">physical power to overcome resistance </w:t>
      </w:r>
      <w:r w:rsidR="00365F62" w:rsidRPr="00672545">
        <w:rPr>
          <w:szCs w:val="26"/>
        </w:rPr>
        <w:t xml:space="preserve">that was </w:t>
      </w:r>
      <w:r w:rsidR="00F9676E" w:rsidRPr="00672545">
        <w:rPr>
          <w:szCs w:val="26"/>
        </w:rPr>
        <w:t xml:space="preserve">offered by </w:t>
      </w:r>
      <w:r w:rsidR="00787988">
        <w:rPr>
          <w:szCs w:val="26"/>
        </w:rPr>
        <w:t>J.N.</w:t>
      </w:r>
      <w:r w:rsidR="00F9676E" w:rsidRPr="00672545">
        <w:rPr>
          <w:szCs w:val="26"/>
        </w:rPr>
        <w:t xml:space="preserve"> as she slept or feigned sleep.  He emphasizes </w:t>
      </w:r>
      <w:r w:rsidR="00787988">
        <w:rPr>
          <w:szCs w:val="26"/>
        </w:rPr>
        <w:t>J.N.</w:t>
      </w:r>
      <w:r w:rsidR="00F9676E" w:rsidRPr="00672545">
        <w:rPr>
          <w:szCs w:val="26"/>
        </w:rPr>
        <w:t xml:space="preserve">’s memory </w:t>
      </w:r>
      <w:r w:rsidR="00E541A8" w:rsidRPr="00672545">
        <w:rPr>
          <w:szCs w:val="26"/>
        </w:rPr>
        <w:t xml:space="preserve">was </w:t>
      </w:r>
      <w:r w:rsidR="00F9676E" w:rsidRPr="00672545">
        <w:rPr>
          <w:szCs w:val="26"/>
        </w:rPr>
        <w:t xml:space="preserve">of his rubbing or massaging her teeth, not </w:t>
      </w:r>
      <w:r w:rsidR="00E541A8" w:rsidRPr="00672545">
        <w:rPr>
          <w:szCs w:val="26"/>
        </w:rPr>
        <w:t xml:space="preserve">his use </w:t>
      </w:r>
      <w:r w:rsidR="00F9676E" w:rsidRPr="00672545">
        <w:rPr>
          <w:szCs w:val="26"/>
        </w:rPr>
        <w:t xml:space="preserve">of any “force” in putting his fingers into her mouth.  The People respond that defendant’s conduct was </w:t>
      </w:r>
      <w:r w:rsidR="00B04A9E" w:rsidRPr="00672545">
        <w:rPr>
          <w:szCs w:val="26"/>
        </w:rPr>
        <w:t xml:space="preserve">not only a </w:t>
      </w:r>
      <w:r w:rsidR="00F9676E" w:rsidRPr="00672545">
        <w:rPr>
          <w:szCs w:val="26"/>
        </w:rPr>
        <w:t>battery</w:t>
      </w:r>
      <w:r w:rsidR="00B04A9E" w:rsidRPr="00672545">
        <w:rPr>
          <w:szCs w:val="26"/>
        </w:rPr>
        <w:t xml:space="preserve">, but </w:t>
      </w:r>
      <w:r w:rsidR="00E541A8" w:rsidRPr="00672545">
        <w:rPr>
          <w:szCs w:val="26"/>
        </w:rPr>
        <w:t xml:space="preserve">a </w:t>
      </w:r>
      <w:r w:rsidR="0073792A" w:rsidRPr="00672545">
        <w:rPr>
          <w:szCs w:val="26"/>
        </w:rPr>
        <w:t xml:space="preserve">touching of the body of </w:t>
      </w:r>
      <w:r w:rsidR="00E541A8" w:rsidRPr="00672545">
        <w:rPr>
          <w:szCs w:val="26"/>
        </w:rPr>
        <w:t xml:space="preserve">a child </w:t>
      </w:r>
      <w:r w:rsidR="0073792A" w:rsidRPr="00672545">
        <w:rPr>
          <w:szCs w:val="26"/>
        </w:rPr>
        <w:t>under the age of 14 with sexual intent, that is, a lewd act on a child, in violation of section 288, subdivision (a)</w:t>
      </w:r>
      <w:r w:rsidR="0088374C" w:rsidRPr="00672545">
        <w:rPr>
          <w:szCs w:val="26"/>
        </w:rPr>
        <w:t xml:space="preserve"> (</w:t>
      </w:r>
      <w:r w:rsidR="00681A09">
        <w:rPr>
          <w:szCs w:val="26"/>
        </w:rPr>
        <w:t>section</w:t>
      </w:r>
      <w:r w:rsidR="0088374C" w:rsidRPr="00672545">
        <w:rPr>
          <w:szCs w:val="26"/>
        </w:rPr>
        <w:t> 288(a))</w:t>
      </w:r>
      <w:r w:rsidR="0073792A" w:rsidRPr="00672545">
        <w:rPr>
          <w:szCs w:val="26"/>
        </w:rPr>
        <w:t>.</w:t>
      </w:r>
      <w:r w:rsidR="004F603B">
        <w:rPr>
          <w:szCs w:val="26"/>
        </w:rPr>
        <w:t xml:space="preserve"> </w:t>
      </w:r>
      <w:r w:rsidR="0073792A" w:rsidRPr="00672545">
        <w:rPr>
          <w:szCs w:val="26"/>
        </w:rPr>
        <w:t xml:space="preserve"> </w:t>
      </w:r>
      <w:r w:rsidR="006735CB" w:rsidRPr="00672545">
        <w:rPr>
          <w:szCs w:val="26"/>
        </w:rPr>
        <w:t>Moreover, i</w:t>
      </w:r>
      <w:r w:rsidR="00B04A9E" w:rsidRPr="00672545">
        <w:rPr>
          <w:szCs w:val="26"/>
        </w:rPr>
        <w:t xml:space="preserve">n the view of the People, defendant’s acts were more than </w:t>
      </w:r>
      <w:r w:rsidR="006735CB" w:rsidRPr="00672545">
        <w:rPr>
          <w:szCs w:val="26"/>
        </w:rPr>
        <w:t>a touching for purposes of section 288</w:t>
      </w:r>
      <w:r w:rsidR="0088374C" w:rsidRPr="00672545">
        <w:rPr>
          <w:szCs w:val="26"/>
        </w:rPr>
        <w:t>(a)</w:t>
      </w:r>
      <w:r w:rsidR="006735CB" w:rsidRPr="00672545">
        <w:rPr>
          <w:szCs w:val="26"/>
        </w:rPr>
        <w:t xml:space="preserve"> or a</w:t>
      </w:r>
      <w:r w:rsidR="00B04A9E" w:rsidRPr="00672545">
        <w:rPr>
          <w:szCs w:val="26"/>
        </w:rPr>
        <w:t xml:space="preserve"> slight offensive touching</w:t>
      </w:r>
      <w:r w:rsidR="006735CB" w:rsidRPr="00672545">
        <w:rPr>
          <w:szCs w:val="26"/>
        </w:rPr>
        <w:t xml:space="preserve"> for purposes of</w:t>
      </w:r>
      <w:r w:rsidR="00B04A9E" w:rsidRPr="00672545">
        <w:rPr>
          <w:szCs w:val="26"/>
        </w:rPr>
        <w:t xml:space="preserve"> battery. T</w:t>
      </w:r>
      <w:r w:rsidR="00F9676E" w:rsidRPr="00672545">
        <w:rPr>
          <w:szCs w:val="26"/>
        </w:rPr>
        <w:t>he People argue</w:t>
      </w:r>
      <w:r w:rsidR="00B04A9E" w:rsidRPr="00672545">
        <w:rPr>
          <w:szCs w:val="26"/>
        </w:rPr>
        <w:t xml:space="preserve"> that</w:t>
      </w:r>
      <w:r w:rsidR="00F9676E" w:rsidRPr="00672545">
        <w:rPr>
          <w:szCs w:val="26"/>
        </w:rPr>
        <w:t xml:space="preserve"> </w:t>
      </w:r>
      <w:r w:rsidR="00E541A8" w:rsidRPr="00672545">
        <w:rPr>
          <w:szCs w:val="26"/>
        </w:rPr>
        <w:t>an adult’s</w:t>
      </w:r>
      <w:r w:rsidR="00F9676E" w:rsidRPr="00672545">
        <w:rPr>
          <w:szCs w:val="26"/>
        </w:rPr>
        <w:t xml:space="preserve"> insertion</w:t>
      </w:r>
      <w:r w:rsidR="00E541A8" w:rsidRPr="00672545">
        <w:rPr>
          <w:szCs w:val="26"/>
        </w:rPr>
        <w:t xml:space="preserve"> of </w:t>
      </w:r>
      <w:r w:rsidR="001820F4" w:rsidRPr="00672545">
        <w:rPr>
          <w:szCs w:val="26"/>
        </w:rPr>
        <w:t xml:space="preserve">a </w:t>
      </w:r>
      <w:r w:rsidR="00E541A8" w:rsidRPr="00672545">
        <w:rPr>
          <w:szCs w:val="26"/>
        </w:rPr>
        <w:t>finger into a sleeping child’s mouth is a forceful act</w:t>
      </w:r>
      <w:r w:rsidR="003C1156" w:rsidRPr="00672545">
        <w:rPr>
          <w:szCs w:val="26"/>
        </w:rPr>
        <w:t>.  The People characterize</w:t>
      </w:r>
      <w:r w:rsidR="00E541A8" w:rsidRPr="00672545">
        <w:rPr>
          <w:szCs w:val="26"/>
        </w:rPr>
        <w:t xml:space="preserve"> it as an “attack</w:t>
      </w:r>
      <w:r w:rsidR="003C1156" w:rsidRPr="00672545">
        <w:rPr>
          <w:szCs w:val="26"/>
        </w:rPr>
        <w:t>.</w:t>
      </w:r>
      <w:r w:rsidR="00E541A8" w:rsidRPr="00672545">
        <w:rPr>
          <w:szCs w:val="26"/>
        </w:rPr>
        <w:t xml:space="preserve">”  </w:t>
      </w:r>
    </w:p>
    <w:p w14:paraId="130340E7" w14:textId="149B185C" w:rsidR="005F0CF6" w:rsidRPr="00672545" w:rsidRDefault="0073792A" w:rsidP="00672545">
      <w:pPr>
        <w:tabs>
          <w:tab w:val="left" w:pos="720"/>
        </w:tabs>
        <w:rPr>
          <w:szCs w:val="26"/>
        </w:rPr>
      </w:pPr>
      <w:r w:rsidRPr="00672545">
        <w:rPr>
          <w:szCs w:val="26"/>
        </w:rPr>
        <w:tab/>
      </w:r>
      <w:r w:rsidR="00A004F1" w:rsidRPr="00672545">
        <w:rPr>
          <w:szCs w:val="26"/>
        </w:rPr>
        <w:t xml:space="preserve">  </w:t>
      </w:r>
      <w:r w:rsidR="006A692A">
        <w:rPr>
          <w:szCs w:val="26"/>
        </w:rPr>
        <w:t>We need not decide whether, under these standards, the touching here involved the use of force for factor (b) purposes.  Even if</w:t>
      </w:r>
      <w:r w:rsidR="005F0CF6" w:rsidRPr="00672545">
        <w:rPr>
          <w:szCs w:val="26"/>
        </w:rPr>
        <w:t xml:space="preserve"> the evidence was improperly admitted, </w:t>
      </w:r>
      <w:r w:rsidR="00153A0F" w:rsidRPr="00672545">
        <w:rPr>
          <w:szCs w:val="26"/>
        </w:rPr>
        <w:t>we conclude that</w:t>
      </w:r>
      <w:r w:rsidR="005F0CF6" w:rsidRPr="00672545">
        <w:rPr>
          <w:szCs w:val="26"/>
        </w:rPr>
        <w:t xml:space="preserve"> </w:t>
      </w:r>
      <w:r w:rsidR="005F0CF6" w:rsidRPr="00672545">
        <w:rPr>
          <w:szCs w:val="26"/>
        </w:rPr>
        <w:lastRenderedPageBreak/>
        <w:t>t</w:t>
      </w:r>
      <w:r w:rsidR="005F0CF6" w:rsidRPr="00672545">
        <w:rPr>
          <w:rStyle w:val="ssrfcpassagedeactivated"/>
          <w:szCs w:val="26"/>
        </w:rPr>
        <w:t xml:space="preserve">he record does not demonstrate prejudice. </w:t>
      </w:r>
      <w:r w:rsidR="000C234A" w:rsidRPr="00672545">
        <w:rPr>
          <w:szCs w:val="26"/>
        </w:rPr>
        <w:t xml:space="preserve"> </w:t>
      </w:r>
      <w:r w:rsidR="005F0CF6" w:rsidRPr="00672545">
        <w:rPr>
          <w:szCs w:val="26"/>
        </w:rPr>
        <w:t>(</w:t>
      </w:r>
      <w:r w:rsidR="005F0CF6" w:rsidRPr="00672545">
        <w:rPr>
          <w:i/>
          <w:szCs w:val="26"/>
        </w:rPr>
        <w:t xml:space="preserve">People v. Rodrigues </w:t>
      </w:r>
      <w:r w:rsidR="005F0CF6" w:rsidRPr="00672545">
        <w:rPr>
          <w:szCs w:val="26"/>
        </w:rPr>
        <w:t>(1994) 8 Cal.4</w:t>
      </w:r>
      <w:r w:rsidR="00CE004D" w:rsidRPr="00672545">
        <w:rPr>
          <w:szCs w:val="26"/>
        </w:rPr>
        <w:t>th</w:t>
      </w:r>
      <w:r w:rsidR="005F0CF6" w:rsidRPr="00672545">
        <w:rPr>
          <w:szCs w:val="26"/>
        </w:rPr>
        <w:t xml:space="preserve"> 1060, 1170</w:t>
      </w:r>
      <w:r w:rsidR="00862188" w:rsidRPr="00672545">
        <w:rPr>
          <w:szCs w:val="26"/>
        </w:rPr>
        <w:t>.</w:t>
      </w:r>
      <w:r w:rsidR="005F0CF6" w:rsidRPr="00672545">
        <w:rPr>
          <w:szCs w:val="26"/>
        </w:rPr>
        <w:t>)</w:t>
      </w:r>
      <w:r w:rsidR="00EF2278" w:rsidRPr="00672545">
        <w:rPr>
          <w:szCs w:val="26"/>
        </w:rPr>
        <w:t xml:space="preserve">  The jur</w:t>
      </w:r>
      <w:r w:rsidR="003906B5" w:rsidRPr="00672545">
        <w:rPr>
          <w:szCs w:val="26"/>
        </w:rPr>
        <w:t>y</w:t>
      </w:r>
      <w:r w:rsidR="00EF2278" w:rsidRPr="00672545">
        <w:rPr>
          <w:szCs w:val="26"/>
        </w:rPr>
        <w:t xml:space="preserve"> had already convicted defendant of the abduction and murder of seven-year-old Danielle.  It had found true the special circumstance of a murder committed during the commission of a kidnapping.  The</w:t>
      </w:r>
      <w:r w:rsidR="003906B5" w:rsidRPr="00672545">
        <w:rPr>
          <w:szCs w:val="26"/>
        </w:rPr>
        <w:t xml:space="preserve"> jurors</w:t>
      </w:r>
      <w:r w:rsidR="00EF2278" w:rsidRPr="00672545">
        <w:rPr>
          <w:szCs w:val="26"/>
        </w:rPr>
        <w:t xml:space="preserve"> had heard </w:t>
      </w:r>
      <w:proofErr w:type="gramStart"/>
      <w:r w:rsidR="00EF2278" w:rsidRPr="00672545">
        <w:rPr>
          <w:szCs w:val="26"/>
        </w:rPr>
        <w:t xml:space="preserve">all </w:t>
      </w:r>
      <w:r w:rsidR="008B0AB9" w:rsidRPr="00672545">
        <w:rPr>
          <w:szCs w:val="26"/>
        </w:rPr>
        <w:t>of</w:t>
      </w:r>
      <w:proofErr w:type="gramEnd"/>
      <w:r w:rsidR="008B0AB9" w:rsidRPr="00672545">
        <w:rPr>
          <w:szCs w:val="26"/>
        </w:rPr>
        <w:t xml:space="preserve"> </w:t>
      </w:r>
      <w:r w:rsidR="00EF2278" w:rsidRPr="00672545">
        <w:rPr>
          <w:szCs w:val="26"/>
        </w:rPr>
        <w:t xml:space="preserve">the circumstances of the crimes and special circumstance, </w:t>
      </w:r>
      <w:r w:rsidR="00A63C37" w:rsidRPr="00672545">
        <w:rPr>
          <w:szCs w:val="26"/>
        </w:rPr>
        <w:t xml:space="preserve">which </w:t>
      </w:r>
      <w:r w:rsidR="00EF2278" w:rsidRPr="00672545">
        <w:rPr>
          <w:szCs w:val="26"/>
        </w:rPr>
        <w:t>in</w:t>
      </w:r>
      <w:r w:rsidR="00EB4419" w:rsidRPr="00672545">
        <w:rPr>
          <w:szCs w:val="26"/>
        </w:rPr>
        <w:t>volv</w:t>
      </w:r>
      <w:r w:rsidR="00A63C37" w:rsidRPr="00672545">
        <w:rPr>
          <w:szCs w:val="26"/>
        </w:rPr>
        <w:t>ed</w:t>
      </w:r>
      <w:r w:rsidR="00EF2278" w:rsidRPr="00672545">
        <w:rPr>
          <w:szCs w:val="26"/>
        </w:rPr>
        <w:t xml:space="preserve"> </w:t>
      </w:r>
      <w:r w:rsidR="00031121" w:rsidRPr="00672545">
        <w:rPr>
          <w:szCs w:val="26"/>
        </w:rPr>
        <w:t xml:space="preserve">the </w:t>
      </w:r>
      <w:r w:rsidR="00585C61" w:rsidRPr="00672545">
        <w:rPr>
          <w:szCs w:val="26"/>
        </w:rPr>
        <w:t>snatching</w:t>
      </w:r>
      <w:r w:rsidR="00031121" w:rsidRPr="00672545">
        <w:rPr>
          <w:szCs w:val="26"/>
        </w:rPr>
        <w:t xml:space="preserve"> of </w:t>
      </w:r>
      <w:r w:rsidR="00DA6091" w:rsidRPr="00672545">
        <w:rPr>
          <w:szCs w:val="26"/>
        </w:rPr>
        <w:t>a</w:t>
      </w:r>
      <w:r w:rsidR="00031121" w:rsidRPr="00672545">
        <w:rPr>
          <w:szCs w:val="26"/>
        </w:rPr>
        <w:t xml:space="preserve"> </w:t>
      </w:r>
      <w:r w:rsidR="00A63C37" w:rsidRPr="00672545">
        <w:rPr>
          <w:szCs w:val="26"/>
        </w:rPr>
        <w:t xml:space="preserve">very </w:t>
      </w:r>
      <w:r w:rsidR="00031121" w:rsidRPr="00672545">
        <w:rPr>
          <w:szCs w:val="26"/>
        </w:rPr>
        <w:t xml:space="preserve">young girl from </w:t>
      </w:r>
      <w:r w:rsidR="00454954" w:rsidRPr="00672545">
        <w:rPr>
          <w:szCs w:val="26"/>
        </w:rPr>
        <w:t xml:space="preserve">the safety of </w:t>
      </w:r>
      <w:r w:rsidR="00031121" w:rsidRPr="00672545">
        <w:rPr>
          <w:szCs w:val="26"/>
        </w:rPr>
        <w:t xml:space="preserve">her bedroom in the middle of the night, her subsequent murder, and the </w:t>
      </w:r>
      <w:r w:rsidR="00585C61" w:rsidRPr="00672545">
        <w:rPr>
          <w:szCs w:val="26"/>
        </w:rPr>
        <w:t>dumping</w:t>
      </w:r>
      <w:r w:rsidR="00031121" w:rsidRPr="00672545">
        <w:rPr>
          <w:szCs w:val="26"/>
        </w:rPr>
        <w:t xml:space="preserve"> of her naked body</w:t>
      </w:r>
      <w:r w:rsidR="00585C61" w:rsidRPr="00672545">
        <w:rPr>
          <w:szCs w:val="26"/>
        </w:rPr>
        <w:t xml:space="preserve"> out in the desert. </w:t>
      </w:r>
      <w:r w:rsidR="006B65BB" w:rsidRPr="00672545">
        <w:rPr>
          <w:szCs w:val="26"/>
        </w:rPr>
        <w:t xml:space="preserve"> The jury learned of defendant’s likely sexual motivation for </w:t>
      </w:r>
      <w:r w:rsidR="00EB4419" w:rsidRPr="00672545">
        <w:rPr>
          <w:szCs w:val="26"/>
        </w:rPr>
        <w:t xml:space="preserve">the kidnapping through the </w:t>
      </w:r>
      <w:r w:rsidR="00FE6FA9" w:rsidRPr="00672545">
        <w:rPr>
          <w:szCs w:val="26"/>
        </w:rPr>
        <w:t xml:space="preserve">child </w:t>
      </w:r>
      <w:r w:rsidR="00EB4419" w:rsidRPr="00672545">
        <w:rPr>
          <w:szCs w:val="26"/>
        </w:rPr>
        <w:t xml:space="preserve">pornography evidence.  </w:t>
      </w:r>
      <w:r w:rsidR="005711CB" w:rsidRPr="00672545">
        <w:rPr>
          <w:szCs w:val="26"/>
        </w:rPr>
        <w:t xml:space="preserve">The jury heard evidence regarding the impact of defendant’s crimes on Danielle’s family and teachers.  </w:t>
      </w:r>
      <w:r w:rsidR="00A63C37" w:rsidRPr="00672545">
        <w:rPr>
          <w:szCs w:val="26"/>
        </w:rPr>
        <w:t xml:space="preserve">(§ 190.3, factor (a).)  </w:t>
      </w:r>
      <w:r w:rsidR="00862188" w:rsidRPr="00672545">
        <w:rPr>
          <w:szCs w:val="26"/>
        </w:rPr>
        <w:t xml:space="preserve">The evidence </w:t>
      </w:r>
      <w:r w:rsidR="007501B8" w:rsidRPr="00672545">
        <w:rPr>
          <w:szCs w:val="26"/>
        </w:rPr>
        <w:t xml:space="preserve">admitted </w:t>
      </w:r>
      <w:r w:rsidR="00862188" w:rsidRPr="00672545">
        <w:rPr>
          <w:szCs w:val="26"/>
        </w:rPr>
        <w:t>in aggravation</w:t>
      </w:r>
      <w:r w:rsidR="005243DF" w:rsidRPr="00672545">
        <w:rPr>
          <w:szCs w:val="26"/>
        </w:rPr>
        <w:t xml:space="preserve"> in our view</w:t>
      </w:r>
      <w:r w:rsidR="00862188" w:rsidRPr="00672545">
        <w:rPr>
          <w:szCs w:val="26"/>
        </w:rPr>
        <w:t xml:space="preserve"> was </w:t>
      </w:r>
      <w:r w:rsidR="001810EF" w:rsidRPr="00672545">
        <w:rPr>
          <w:szCs w:val="26"/>
        </w:rPr>
        <w:t xml:space="preserve">significant </w:t>
      </w:r>
      <w:r w:rsidR="000C0B4D" w:rsidRPr="00672545">
        <w:rPr>
          <w:szCs w:val="26"/>
        </w:rPr>
        <w:t>and</w:t>
      </w:r>
      <w:r w:rsidR="00C94DD0" w:rsidRPr="00672545">
        <w:rPr>
          <w:szCs w:val="26"/>
        </w:rPr>
        <w:t>,</w:t>
      </w:r>
      <w:r w:rsidR="00033FD6" w:rsidRPr="00672545">
        <w:rPr>
          <w:szCs w:val="26"/>
        </w:rPr>
        <w:t xml:space="preserve"> contrary to defendant’s assertion,</w:t>
      </w:r>
      <w:r w:rsidR="00C94DD0" w:rsidRPr="00672545">
        <w:rPr>
          <w:szCs w:val="26"/>
        </w:rPr>
        <w:t xml:space="preserve"> the case in mitigation </w:t>
      </w:r>
      <w:r w:rsidR="00851A61" w:rsidRPr="00672545">
        <w:rPr>
          <w:szCs w:val="26"/>
        </w:rPr>
        <w:t xml:space="preserve">was, by comparison, not particularly </w:t>
      </w:r>
      <w:r w:rsidR="00033FD6" w:rsidRPr="00672545">
        <w:rPr>
          <w:szCs w:val="26"/>
        </w:rPr>
        <w:t>substantial.  It reflected</w:t>
      </w:r>
      <w:r w:rsidR="00C94DD0" w:rsidRPr="00672545">
        <w:rPr>
          <w:szCs w:val="26"/>
        </w:rPr>
        <w:t xml:space="preserve"> defendant’s outward </w:t>
      </w:r>
      <w:r w:rsidR="00FA4E8B" w:rsidRPr="00672545">
        <w:rPr>
          <w:szCs w:val="26"/>
        </w:rPr>
        <w:t>positive contribut</w:t>
      </w:r>
      <w:r w:rsidR="00C94DD0" w:rsidRPr="00672545">
        <w:rPr>
          <w:szCs w:val="26"/>
        </w:rPr>
        <w:t>ion</w:t>
      </w:r>
      <w:r w:rsidR="00FA4E8B" w:rsidRPr="00672545">
        <w:rPr>
          <w:szCs w:val="26"/>
        </w:rPr>
        <w:t xml:space="preserve"> to society</w:t>
      </w:r>
      <w:r w:rsidR="00C94DD0" w:rsidRPr="00672545">
        <w:rPr>
          <w:szCs w:val="26"/>
        </w:rPr>
        <w:t xml:space="preserve"> and</w:t>
      </w:r>
      <w:r w:rsidR="00FA4E8B" w:rsidRPr="00672545">
        <w:rPr>
          <w:szCs w:val="26"/>
        </w:rPr>
        <w:t xml:space="preserve"> value</w:t>
      </w:r>
      <w:r w:rsidR="00C94DD0" w:rsidRPr="00672545">
        <w:rPr>
          <w:szCs w:val="26"/>
        </w:rPr>
        <w:t xml:space="preserve"> to </w:t>
      </w:r>
      <w:r w:rsidR="00FA4E8B" w:rsidRPr="00672545">
        <w:rPr>
          <w:szCs w:val="26"/>
        </w:rPr>
        <w:t>his coworkers, employers, friends</w:t>
      </w:r>
      <w:r w:rsidR="00681A09">
        <w:rPr>
          <w:szCs w:val="26"/>
        </w:rPr>
        <w:t>,</w:t>
      </w:r>
      <w:r w:rsidR="00FA4E8B" w:rsidRPr="00672545">
        <w:rPr>
          <w:szCs w:val="26"/>
        </w:rPr>
        <w:t xml:space="preserve"> and family.  </w:t>
      </w:r>
      <w:r w:rsidR="00033FD6" w:rsidRPr="00672545">
        <w:rPr>
          <w:szCs w:val="26"/>
        </w:rPr>
        <w:t>But su</w:t>
      </w:r>
      <w:r w:rsidR="00FA4E8B" w:rsidRPr="00672545">
        <w:rPr>
          <w:szCs w:val="26"/>
        </w:rPr>
        <w:t>ch evidence</w:t>
      </w:r>
      <w:r w:rsidR="00033FD6" w:rsidRPr="00672545">
        <w:rPr>
          <w:szCs w:val="26"/>
        </w:rPr>
        <w:t xml:space="preserve"> </w:t>
      </w:r>
      <w:r w:rsidR="00FA4E8B" w:rsidRPr="00672545">
        <w:rPr>
          <w:szCs w:val="26"/>
        </w:rPr>
        <w:t xml:space="preserve">did not significantly address </w:t>
      </w:r>
      <w:r w:rsidR="00033FD6" w:rsidRPr="00672545">
        <w:rPr>
          <w:szCs w:val="26"/>
        </w:rPr>
        <w:t xml:space="preserve">or undermine the evidence of </w:t>
      </w:r>
      <w:r w:rsidR="00FA4E8B" w:rsidRPr="00672545">
        <w:rPr>
          <w:szCs w:val="26"/>
        </w:rPr>
        <w:t xml:space="preserve">defendant’s apparent </w:t>
      </w:r>
      <w:r w:rsidR="00851A61" w:rsidRPr="00672545">
        <w:rPr>
          <w:szCs w:val="26"/>
        </w:rPr>
        <w:t>inner sexual compulsions toward</w:t>
      </w:r>
      <w:r w:rsidR="00FA4E8B" w:rsidRPr="00672545">
        <w:rPr>
          <w:szCs w:val="26"/>
        </w:rPr>
        <w:t xml:space="preserve"> young girls.  </w:t>
      </w:r>
      <w:r w:rsidR="005B1FC5" w:rsidRPr="00672545">
        <w:rPr>
          <w:szCs w:val="26"/>
        </w:rPr>
        <w:t>D</w:t>
      </w:r>
      <w:r w:rsidR="00EB533B" w:rsidRPr="00672545">
        <w:rPr>
          <w:szCs w:val="26"/>
        </w:rPr>
        <w:t>efendant fails to persuade us that t</w:t>
      </w:r>
      <w:r w:rsidR="00033FD6" w:rsidRPr="00672545">
        <w:rPr>
          <w:szCs w:val="26"/>
        </w:rPr>
        <w:t>h</w:t>
      </w:r>
      <w:r w:rsidR="00FA4E8B" w:rsidRPr="00672545">
        <w:rPr>
          <w:szCs w:val="26"/>
        </w:rPr>
        <w:t xml:space="preserve">e </w:t>
      </w:r>
      <w:r w:rsidR="00E01604" w:rsidRPr="00672545">
        <w:rPr>
          <w:szCs w:val="26"/>
        </w:rPr>
        <w:t xml:space="preserve">defense </w:t>
      </w:r>
      <w:r w:rsidR="00EB4419" w:rsidRPr="00672545">
        <w:rPr>
          <w:szCs w:val="26"/>
        </w:rPr>
        <w:t>entomological evidence</w:t>
      </w:r>
      <w:r w:rsidR="00E46FFF" w:rsidRPr="00672545">
        <w:rPr>
          <w:szCs w:val="26"/>
        </w:rPr>
        <w:t xml:space="preserve"> </w:t>
      </w:r>
      <w:r w:rsidR="00E01604" w:rsidRPr="00672545">
        <w:rPr>
          <w:szCs w:val="26"/>
        </w:rPr>
        <w:t>was so strong</w:t>
      </w:r>
      <w:r w:rsidR="005B1FC5" w:rsidRPr="00672545">
        <w:rPr>
          <w:szCs w:val="26"/>
        </w:rPr>
        <w:t xml:space="preserve"> t</w:t>
      </w:r>
      <w:r w:rsidR="00E01604" w:rsidRPr="00672545">
        <w:rPr>
          <w:szCs w:val="26"/>
        </w:rPr>
        <w:t xml:space="preserve">hat it </w:t>
      </w:r>
      <w:r w:rsidR="006C2E50" w:rsidRPr="00672545">
        <w:rPr>
          <w:szCs w:val="26"/>
        </w:rPr>
        <w:t>necessarily raised</w:t>
      </w:r>
      <w:r w:rsidR="00EB4419" w:rsidRPr="00672545">
        <w:rPr>
          <w:szCs w:val="26"/>
        </w:rPr>
        <w:t xml:space="preserve"> </w:t>
      </w:r>
      <w:r w:rsidR="00333205" w:rsidRPr="00672545">
        <w:rPr>
          <w:szCs w:val="26"/>
        </w:rPr>
        <w:t xml:space="preserve">a </w:t>
      </w:r>
      <w:r w:rsidR="00EB4419" w:rsidRPr="00672545">
        <w:rPr>
          <w:szCs w:val="26"/>
        </w:rPr>
        <w:t xml:space="preserve">lingering doubt </w:t>
      </w:r>
      <w:r w:rsidR="00D450A4" w:rsidRPr="00672545">
        <w:rPr>
          <w:szCs w:val="26"/>
        </w:rPr>
        <w:t>concerning</w:t>
      </w:r>
      <w:r w:rsidR="00EB4419" w:rsidRPr="00672545">
        <w:rPr>
          <w:szCs w:val="26"/>
        </w:rPr>
        <w:t xml:space="preserve"> </w:t>
      </w:r>
      <w:r w:rsidR="00E46FFF" w:rsidRPr="00672545">
        <w:rPr>
          <w:szCs w:val="26"/>
        </w:rPr>
        <w:t>his</w:t>
      </w:r>
      <w:r w:rsidR="00740FEF" w:rsidRPr="00672545">
        <w:rPr>
          <w:szCs w:val="26"/>
        </w:rPr>
        <w:t xml:space="preserve"> g</w:t>
      </w:r>
      <w:r w:rsidR="00EB4419" w:rsidRPr="00672545">
        <w:rPr>
          <w:szCs w:val="26"/>
        </w:rPr>
        <w:t xml:space="preserve">uilt.  </w:t>
      </w:r>
      <w:r w:rsidR="005B1FC5" w:rsidRPr="00672545">
        <w:rPr>
          <w:szCs w:val="26"/>
        </w:rPr>
        <w:t xml:space="preserve">The entomological evidence was seriously called into doubt through the rebuttal evidence introduced by the prosecution.  </w:t>
      </w:r>
      <w:r w:rsidR="00EB4419" w:rsidRPr="00672545">
        <w:rPr>
          <w:szCs w:val="26"/>
        </w:rPr>
        <w:t xml:space="preserve">And the </w:t>
      </w:r>
      <w:r w:rsidR="00787988">
        <w:rPr>
          <w:szCs w:val="26"/>
        </w:rPr>
        <w:t>J.N.</w:t>
      </w:r>
      <w:r w:rsidR="00FA4E8B" w:rsidRPr="00672545">
        <w:rPr>
          <w:szCs w:val="26"/>
        </w:rPr>
        <w:t xml:space="preserve"> incident itself was subject to reasonable questions and amb</w:t>
      </w:r>
      <w:r w:rsidR="003906B5" w:rsidRPr="00672545">
        <w:rPr>
          <w:szCs w:val="26"/>
        </w:rPr>
        <w:t xml:space="preserve">iguities, which may explain the jury’s request </w:t>
      </w:r>
      <w:r w:rsidR="00822057" w:rsidRPr="00672545">
        <w:rPr>
          <w:szCs w:val="26"/>
        </w:rPr>
        <w:t xml:space="preserve">early </w:t>
      </w:r>
      <w:r w:rsidR="00377220" w:rsidRPr="00672545">
        <w:rPr>
          <w:szCs w:val="26"/>
        </w:rPr>
        <w:t xml:space="preserve">during its penalty phase deliberations </w:t>
      </w:r>
      <w:r w:rsidR="003906B5" w:rsidRPr="00672545">
        <w:rPr>
          <w:szCs w:val="26"/>
        </w:rPr>
        <w:t xml:space="preserve">for a reread of the </w:t>
      </w:r>
      <w:r w:rsidR="00377220" w:rsidRPr="00672545">
        <w:rPr>
          <w:szCs w:val="26"/>
        </w:rPr>
        <w:t>relevant testimony</w:t>
      </w:r>
      <w:r w:rsidR="00D450A4" w:rsidRPr="00672545">
        <w:rPr>
          <w:szCs w:val="26"/>
        </w:rPr>
        <w:t xml:space="preserve"> regarding that incident</w:t>
      </w:r>
      <w:r w:rsidR="00377220" w:rsidRPr="00672545">
        <w:rPr>
          <w:szCs w:val="26"/>
        </w:rPr>
        <w:t>.</w:t>
      </w:r>
      <w:r w:rsidR="00F81CD5" w:rsidRPr="00672545">
        <w:rPr>
          <w:szCs w:val="26"/>
        </w:rPr>
        <w:t xml:space="preserve">  </w:t>
      </w:r>
      <w:r w:rsidR="00033FD6" w:rsidRPr="00672545">
        <w:rPr>
          <w:szCs w:val="26"/>
        </w:rPr>
        <w:t xml:space="preserve">Nothing in the record suggests the jury ultimately relied on </w:t>
      </w:r>
      <w:r w:rsidR="00D450A4" w:rsidRPr="00672545">
        <w:rPr>
          <w:szCs w:val="26"/>
        </w:rPr>
        <w:t>that evidence</w:t>
      </w:r>
      <w:r w:rsidR="00033FD6" w:rsidRPr="00672545">
        <w:rPr>
          <w:szCs w:val="26"/>
        </w:rPr>
        <w:t xml:space="preserve"> in reaching its penalty verdict</w:t>
      </w:r>
      <w:r w:rsidR="00E46FFF" w:rsidRPr="00672545">
        <w:rPr>
          <w:szCs w:val="26"/>
        </w:rPr>
        <w:t xml:space="preserve"> or that it tipped the scale in favor of death</w:t>
      </w:r>
      <w:r w:rsidR="00033FD6" w:rsidRPr="00672545">
        <w:rPr>
          <w:szCs w:val="26"/>
        </w:rPr>
        <w:t xml:space="preserve">.  </w:t>
      </w:r>
      <w:r w:rsidR="00C94DD0" w:rsidRPr="00672545">
        <w:rPr>
          <w:szCs w:val="26"/>
        </w:rPr>
        <w:t xml:space="preserve">Under these </w:t>
      </w:r>
      <w:r w:rsidR="00C94DD0" w:rsidRPr="00672545">
        <w:rPr>
          <w:szCs w:val="26"/>
        </w:rPr>
        <w:lastRenderedPageBreak/>
        <w:t xml:space="preserve">circumstances, we are confident that under any standard, the </w:t>
      </w:r>
      <w:r w:rsidR="00E46FFF" w:rsidRPr="00672545">
        <w:rPr>
          <w:szCs w:val="26"/>
        </w:rPr>
        <w:t xml:space="preserve">admission of the </w:t>
      </w:r>
      <w:r w:rsidR="00787988">
        <w:rPr>
          <w:szCs w:val="26"/>
        </w:rPr>
        <w:t>J.N.</w:t>
      </w:r>
      <w:r w:rsidR="00C94DD0" w:rsidRPr="00672545">
        <w:rPr>
          <w:szCs w:val="26"/>
        </w:rPr>
        <w:t xml:space="preserve"> incident</w:t>
      </w:r>
      <w:r w:rsidR="00E46FFF" w:rsidRPr="00672545">
        <w:rPr>
          <w:szCs w:val="26"/>
        </w:rPr>
        <w:t>, if erroneous,</w:t>
      </w:r>
      <w:r w:rsidR="00C94DD0" w:rsidRPr="00672545">
        <w:rPr>
          <w:szCs w:val="26"/>
        </w:rPr>
        <w:t xml:space="preserve"> </w:t>
      </w:r>
      <w:r w:rsidR="00E46FFF" w:rsidRPr="00672545">
        <w:rPr>
          <w:szCs w:val="26"/>
        </w:rPr>
        <w:t xml:space="preserve">was harmless.  </w:t>
      </w:r>
    </w:p>
    <w:p w14:paraId="7EDD9240" w14:textId="77777777" w:rsidR="00EF2278" w:rsidRPr="00672545" w:rsidRDefault="009729C3" w:rsidP="00672545">
      <w:pPr>
        <w:pStyle w:val="Heading3"/>
      </w:pPr>
      <w:bookmarkStart w:id="32" w:name="_Toc506979823"/>
      <w:r w:rsidRPr="00672545">
        <w:t xml:space="preserve">2.  </w:t>
      </w:r>
      <w:r w:rsidR="00141F03" w:rsidRPr="00672545">
        <w:t xml:space="preserve">The Labeling of the </w:t>
      </w:r>
      <w:r w:rsidR="00787988">
        <w:t>J.N.</w:t>
      </w:r>
      <w:r w:rsidR="00141F03" w:rsidRPr="00672545">
        <w:t xml:space="preserve"> Incident as a Lewd Act with a Child  </w:t>
      </w:r>
      <w:bookmarkEnd w:id="32"/>
    </w:p>
    <w:p w14:paraId="1540AFE1" w14:textId="77777777" w:rsidR="00DA6091" w:rsidRPr="00672545" w:rsidRDefault="00141F03" w:rsidP="00672545">
      <w:pPr>
        <w:tabs>
          <w:tab w:val="left" w:pos="720"/>
        </w:tabs>
        <w:rPr>
          <w:szCs w:val="26"/>
        </w:rPr>
      </w:pPr>
      <w:r w:rsidRPr="00672545">
        <w:rPr>
          <w:szCs w:val="26"/>
        </w:rPr>
        <w:tab/>
      </w:r>
      <w:r w:rsidR="0035194E" w:rsidRPr="00672545">
        <w:rPr>
          <w:szCs w:val="26"/>
        </w:rPr>
        <w:t>CALJIC No. 8.87 instructs the jury on consideration of other criminal activity by the defendant</w:t>
      </w:r>
      <w:r w:rsidR="00222E44" w:rsidRPr="00672545">
        <w:rPr>
          <w:szCs w:val="26"/>
        </w:rPr>
        <w:t xml:space="preserve"> involving the use of force or violence</w:t>
      </w:r>
      <w:r w:rsidR="0035194E" w:rsidRPr="00672545">
        <w:rPr>
          <w:szCs w:val="26"/>
        </w:rPr>
        <w:t xml:space="preserve"> as an aggravating circumstance.  </w:t>
      </w:r>
      <w:r w:rsidR="009C0E43" w:rsidRPr="00672545">
        <w:rPr>
          <w:szCs w:val="26"/>
        </w:rPr>
        <w:t>When the parties discussed the penalty phase jury instructions, d</w:t>
      </w:r>
      <w:r w:rsidR="0035194E" w:rsidRPr="00672545">
        <w:rPr>
          <w:szCs w:val="26"/>
        </w:rPr>
        <w:t>e</w:t>
      </w:r>
      <w:r w:rsidR="00755BBC" w:rsidRPr="00672545">
        <w:rPr>
          <w:szCs w:val="26"/>
        </w:rPr>
        <w:t>fendant requested that</w:t>
      </w:r>
      <w:r w:rsidR="00C54EFA" w:rsidRPr="00672545">
        <w:rPr>
          <w:szCs w:val="26"/>
        </w:rPr>
        <w:t xml:space="preserve">, if the jury was to be instructed with CALJIC No. 8.87, </w:t>
      </w:r>
      <w:r w:rsidR="0035194E" w:rsidRPr="00672545">
        <w:rPr>
          <w:szCs w:val="26"/>
        </w:rPr>
        <w:t xml:space="preserve">the evidence of the </w:t>
      </w:r>
      <w:r w:rsidR="00787988">
        <w:rPr>
          <w:szCs w:val="26"/>
        </w:rPr>
        <w:t>J.N.</w:t>
      </w:r>
      <w:r w:rsidR="00A778E5" w:rsidRPr="00672545">
        <w:rPr>
          <w:szCs w:val="26"/>
        </w:rPr>
        <w:t xml:space="preserve"> incident </w:t>
      </w:r>
      <w:r w:rsidR="00261FEF" w:rsidRPr="00672545">
        <w:rPr>
          <w:szCs w:val="26"/>
        </w:rPr>
        <w:t xml:space="preserve">should </w:t>
      </w:r>
      <w:r w:rsidR="00A778E5" w:rsidRPr="00672545">
        <w:rPr>
          <w:szCs w:val="26"/>
        </w:rPr>
        <w:t xml:space="preserve">be labeled </w:t>
      </w:r>
      <w:r w:rsidR="0035194E" w:rsidRPr="00672545">
        <w:rPr>
          <w:szCs w:val="26"/>
        </w:rPr>
        <w:t xml:space="preserve">a </w:t>
      </w:r>
      <w:r w:rsidR="008C0134" w:rsidRPr="00672545">
        <w:rPr>
          <w:szCs w:val="26"/>
        </w:rPr>
        <w:t>battery</w:t>
      </w:r>
      <w:r w:rsidR="0035194E" w:rsidRPr="00672545">
        <w:rPr>
          <w:szCs w:val="26"/>
        </w:rPr>
        <w:t xml:space="preserve"> and that </w:t>
      </w:r>
      <w:r w:rsidR="00755BBC" w:rsidRPr="00672545">
        <w:rPr>
          <w:szCs w:val="26"/>
        </w:rPr>
        <w:t xml:space="preserve">the jury be </w:t>
      </w:r>
      <w:r w:rsidR="0035194E" w:rsidRPr="00672545">
        <w:rPr>
          <w:szCs w:val="26"/>
        </w:rPr>
        <w:t xml:space="preserve">separately </w:t>
      </w:r>
      <w:r w:rsidR="00755BBC" w:rsidRPr="00672545">
        <w:rPr>
          <w:szCs w:val="26"/>
        </w:rPr>
        <w:t>instructed on the elements of battery.</w:t>
      </w:r>
      <w:r w:rsidR="00F81CD5" w:rsidRPr="00672545">
        <w:rPr>
          <w:szCs w:val="26"/>
        </w:rPr>
        <w:t xml:space="preserve">  </w:t>
      </w:r>
      <w:r w:rsidR="00755BBC" w:rsidRPr="00672545">
        <w:rPr>
          <w:szCs w:val="26"/>
        </w:rPr>
        <w:t>The prosecution</w:t>
      </w:r>
      <w:r w:rsidR="0035194E" w:rsidRPr="00672545">
        <w:rPr>
          <w:szCs w:val="26"/>
        </w:rPr>
        <w:t xml:space="preserve"> took the position that the </w:t>
      </w:r>
      <w:r w:rsidR="00787988">
        <w:rPr>
          <w:szCs w:val="26"/>
        </w:rPr>
        <w:t>J.N.</w:t>
      </w:r>
      <w:r w:rsidR="0035194E" w:rsidRPr="00672545">
        <w:rPr>
          <w:szCs w:val="26"/>
        </w:rPr>
        <w:t xml:space="preserve"> incident was not only a battery, but also a lewd act upon a child under 14 in violation of section 288(a).  The prosecution</w:t>
      </w:r>
      <w:r w:rsidR="00755BBC" w:rsidRPr="00672545">
        <w:rPr>
          <w:szCs w:val="26"/>
        </w:rPr>
        <w:t xml:space="preserve"> requested that the jury also </w:t>
      </w:r>
      <w:r w:rsidR="0035194E" w:rsidRPr="00672545">
        <w:rPr>
          <w:szCs w:val="26"/>
        </w:rPr>
        <w:t xml:space="preserve">receive </w:t>
      </w:r>
      <w:r w:rsidR="00755BBC" w:rsidRPr="00672545">
        <w:rPr>
          <w:szCs w:val="26"/>
        </w:rPr>
        <w:t>instruct</w:t>
      </w:r>
      <w:r w:rsidR="0035194E" w:rsidRPr="00672545">
        <w:rPr>
          <w:szCs w:val="26"/>
        </w:rPr>
        <w:t>ions</w:t>
      </w:r>
      <w:r w:rsidR="00755BBC" w:rsidRPr="00672545">
        <w:rPr>
          <w:szCs w:val="26"/>
        </w:rPr>
        <w:t xml:space="preserve"> </w:t>
      </w:r>
      <w:r w:rsidR="00177733" w:rsidRPr="00672545">
        <w:rPr>
          <w:szCs w:val="26"/>
        </w:rPr>
        <w:t>regarding</w:t>
      </w:r>
      <w:r w:rsidR="00755BBC" w:rsidRPr="00672545">
        <w:rPr>
          <w:szCs w:val="26"/>
        </w:rPr>
        <w:t xml:space="preserve"> the elements of section 288(a).</w:t>
      </w:r>
      <w:r w:rsidR="00F81CD5" w:rsidRPr="00672545">
        <w:rPr>
          <w:szCs w:val="26"/>
        </w:rPr>
        <w:t xml:space="preserve">  </w:t>
      </w:r>
      <w:r w:rsidR="00E574D7" w:rsidRPr="00672545">
        <w:rPr>
          <w:szCs w:val="26"/>
        </w:rPr>
        <w:t>The defense opposed the prosecution’s requests</w:t>
      </w:r>
      <w:r w:rsidR="0035194E" w:rsidRPr="00672545">
        <w:rPr>
          <w:szCs w:val="26"/>
        </w:rPr>
        <w:t xml:space="preserve">, contending </w:t>
      </w:r>
      <w:r w:rsidR="00755BBC" w:rsidRPr="00672545">
        <w:rPr>
          <w:szCs w:val="26"/>
        </w:rPr>
        <w:t>that</w:t>
      </w:r>
      <w:r w:rsidR="00E574D7" w:rsidRPr="00672545">
        <w:rPr>
          <w:szCs w:val="26"/>
        </w:rPr>
        <w:t xml:space="preserve"> </w:t>
      </w:r>
      <w:r w:rsidR="00755BBC" w:rsidRPr="00672545">
        <w:rPr>
          <w:szCs w:val="26"/>
        </w:rPr>
        <w:t>a violation of section 288(a) is not a factor (b) crime because it can be committed without the use of force or violence.</w:t>
      </w:r>
      <w:r w:rsidR="00F81CD5" w:rsidRPr="00672545">
        <w:rPr>
          <w:szCs w:val="26"/>
        </w:rPr>
        <w:t xml:space="preserve">  </w:t>
      </w:r>
      <w:r w:rsidR="00E574D7" w:rsidRPr="00672545">
        <w:rPr>
          <w:szCs w:val="26"/>
        </w:rPr>
        <w:t xml:space="preserve">The trial court </w:t>
      </w:r>
      <w:r w:rsidR="009C0E43" w:rsidRPr="00672545">
        <w:rPr>
          <w:szCs w:val="26"/>
        </w:rPr>
        <w:t xml:space="preserve">observed that it had previously rejected </w:t>
      </w:r>
      <w:r w:rsidR="00222E44" w:rsidRPr="00672545">
        <w:rPr>
          <w:szCs w:val="26"/>
        </w:rPr>
        <w:t>defendant’s</w:t>
      </w:r>
      <w:r w:rsidR="00BD3CDF" w:rsidRPr="00672545">
        <w:rPr>
          <w:szCs w:val="26"/>
        </w:rPr>
        <w:t xml:space="preserve"> </w:t>
      </w:r>
      <w:r w:rsidR="009C0E43" w:rsidRPr="00672545">
        <w:rPr>
          <w:szCs w:val="26"/>
        </w:rPr>
        <w:t xml:space="preserve">argument.  It tentatively ruled that </w:t>
      </w:r>
      <w:r w:rsidR="00E574D7" w:rsidRPr="00672545">
        <w:rPr>
          <w:szCs w:val="26"/>
        </w:rPr>
        <w:t xml:space="preserve">both battery and lewd act on a child </w:t>
      </w:r>
      <w:r w:rsidR="00D606C5" w:rsidRPr="00672545">
        <w:rPr>
          <w:szCs w:val="26"/>
        </w:rPr>
        <w:t xml:space="preserve">would be </w:t>
      </w:r>
      <w:r w:rsidR="009C0E43" w:rsidRPr="00672545">
        <w:rPr>
          <w:szCs w:val="26"/>
        </w:rPr>
        <w:t xml:space="preserve">identified </w:t>
      </w:r>
      <w:r w:rsidR="00E574D7" w:rsidRPr="00672545">
        <w:rPr>
          <w:szCs w:val="26"/>
        </w:rPr>
        <w:t xml:space="preserve">in the </w:t>
      </w:r>
      <w:r w:rsidR="00D606C5" w:rsidRPr="00672545">
        <w:rPr>
          <w:szCs w:val="26"/>
        </w:rPr>
        <w:t>version</w:t>
      </w:r>
      <w:r w:rsidR="00E574D7" w:rsidRPr="00672545">
        <w:rPr>
          <w:szCs w:val="26"/>
        </w:rPr>
        <w:t xml:space="preserve"> of CALJIC No. 8.87 given to the jury and </w:t>
      </w:r>
      <w:r w:rsidR="00D606C5" w:rsidRPr="00672545">
        <w:rPr>
          <w:szCs w:val="26"/>
        </w:rPr>
        <w:t xml:space="preserve">that </w:t>
      </w:r>
      <w:r w:rsidR="00E574D7" w:rsidRPr="00672545">
        <w:rPr>
          <w:szCs w:val="26"/>
        </w:rPr>
        <w:t>the jury would be instructed on the elements of both crimes.</w:t>
      </w:r>
      <w:r w:rsidR="00F81CD5" w:rsidRPr="00672545">
        <w:rPr>
          <w:szCs w:val="26"/>
        </w:rPr>
        <w:t xml:space="preserve">  </w:t>
      </w:r>
      <w:r w:rsidR="00BD3CDF" w:rsidRPr="00672545">
        <w:rPr>
          <w:szCs w:val="26"/>
        </w:rPr>
        <w:t xml:space="preserve">The trial court later confirmed that the instruction would name both </w:t>
      </w:r>
      <w:proofErr w:type="gramStart"/>
      <w:r w:rsidR="00BD3CDF" w:rsidRPr="00672545">
        <w:rPr>
          <w:szCs w:val="26"/>
        </w:rPr>
        <w:t>crimes, but</w:t>
      </w:r>
      <w:proofErr w:type="gramEnd"/>
      <w:r w:rsidR="00BD3CDF" w:rsidRPr="00672545">
        <w:rPr>
          <w:szCs w:val="26"/>
        </w:rPr>
        <w:t xml:space="preserve"> </w:t>
      </w:r>
      <w:r w:rsidR="00EB5CEE" w:rsidRPr="00672545">
        <w:rPr>
          <w:szCs w:val="26"/>
        </w:rPr>
        <w:t>offered defendant th</w:t>
      </w:r>
      <w:r w:rsidR="00BD3CDF" w:rsidRPr="00672545">
        <w:rPr>
          <w:szCs w:val="26"/>
        </w:rPr>
        <w:t xml:space="preserve">e choice of </w:t>
      </w:r>
      <w:r w:rsidR="00BD3CDF" w:rsidRPr="00672545">
        <w:rPr>
          <w:szCs w:val="26"/>
        </w:rPr>
        <w:lastRenderedPageBreak/>
        <w:t>whether the trial court should instruct on their elements.</w:t>
      </w:r>
      <w:r w:rsidR="00950DD0" w:rsidRPr="00672545">
        <w:rPr>
          <w:rStyle w:val="FootnoteReference"/>
          <w:szCs w:val="26"/>
        </w:rPr>
        <w:footnoteReference w:id="12"/>
      </w:r>
      <w:r w:rsidR="00F81CD5" w:rsidRPr="00672545">
        <w:rPr>
          <w:szCs w:val="26"/>
        </w:rPr>
        <w:t xml:space="preserve">  </w:t>
      </w:r>
      <w:r w:rsidR="00005141" w:rsidRPr="00672545">
        <w:rPr>
          <w:szCs w:val="26"/>
        </w:rPr>
        <w:t>T</w:t>
      </w:r>
      <w:r w:rsidR="00D606C5" w:rsidRPr="00672545">
        <w:rPr>
          <w:szCs w:val="26"/>
        </w:rPr>
        <w:t xml:space="preserve">he defense </w:t>
      </w:r>
      <w:r w:rsidR="00005141" w:rsidRPr="00672545">
        <w:rPr>
          <w:szCs w:val="26"/>
        </w:rPr>
        <w:t xml:space="preserve">ultimately </w:t>
      </w:r>
      <w:r w:rsidR="00D606C5" w:rsidRPr="00672545">
        <w:rPr>
          <w:szCs w:val="26"/>
        </w:rPr>
        <w:t>requested that no instruction be given on the elements of either of the designated crimes.</w:t>
      </w:r>
      <w:r w:rsidR="00F81CD5" w:rsidRPr="00672545">
        <w:rPr>
          <w:szCs w:val="26"/>
        </w:rPr>
        <w:t xml:space="preserve">  </w:t>
      </w:r>
      <w:r w:rsidR="00B33E71" w:rsidRPr="00672545">
        <w:rPr>
          <w:szCs w:val="26"/>
        </w:rPr>
        <w:t>Over defen</w:t>
      </w:r>
      <w:r w:rsidR="0026260B" w:rsidRPr="00672545">
        <w:rPr>
          <w:szCs w:val="26"/>
        </w:rPr>
        <w:t>dant’s</w:t>
      </w:r>
      <w:r w:rsidR="00B33E71" w:rsidRPr="00672545">
        <w:rPr>
          <w:szCs w:val="26"/>
        </w:rPr>
        <w:t xml:space="preserve"> objection</w:t>
      </w:r>
      <w:r w:rsidR="00AA0E7E" w:rsidRPr="00672545">
        <w:rPr>
          <w:szCs w:val="26"/>
        </w:rPr>
        <w:t>,</w:t>
      </w:r>
      <w:r w:rsidR="00B33E71" w:rsidRPr="00672545">
        <w:rPr>
          <w:szCs w:val="26"/>
        </w:rPr>
        <w:t xml:space="preserve"> </w:t>
      </w:r>
      <w:r w:rsidR="00005141" w:rsidRPr="00672545">
        <w:rPr>
          <w:szCs w:val="26"/>
        </w:rPr>
        <w:t xml:space="preserve">the jury was instructed with </w:t>
      </w:r>
      <w:r w:rsidR="00B33E71" w:rsidRPr="00672545">
        <w:rPr>
          <w:szCs w:val="26"/>
        </w:rPr>
        <w:t>CALJIC No. 8.87</w:t>
      </w:r>
      <w:r w:rsidR="00005141" w:rsidRPr="00672545">
        <w:rPr>
          <w:szCs w:val="26"/>
        </w:rPr>
        <w:t>, identifying</w:t>
      </w:r>
      <w:r w:rsidR="00B33E71" w:rsidRPr="00672545">
        <w:rPr>
          <w:szCs w:val="26"/>
        </w:rPr>
        <w:t xml:space="preserve"> battery “and/or” lewd act </w:t>
      </w:r>
      <w:r w:rsidR="00222E44" w:rsidRPr="00672545">
        <w:rPr>
          <w:szCs w:val="26"/>
        </w:rPr>
        <w:t>with</w:t>
      </w:r>
      <w:r w:rsidR="00B33E71" w:rsidRPr="00672545">
        <w:rPr>
          <w:szCs w:val="26"/>
        </w:rPr>
        <w:t xml:space="preserve"> a child under 14 </w:t>
      </w:r>
      <w:r w:rsidR="00222E44" w:rsidRPr="00672545">
        <w:rPr>
          <w:szCs w:val="26"/>
        </w:rPr>
        <w:t xml:space="preserve">years old </w:t>
      </w:r>
      <w:r w:rsidR="00B33E71" w:rsidRPr="00672545">
        <w:rPr>
          <w:szCs w:val="26"/>
        </w:rPr>
        <w:t xml:space="preserve">as defendant’s </w:t>
      </w:r>
      <w:r w:rsidR="00005141" w:rsidRPr="00672545">
        <w:rPr>
          <w:szCs w:val="26"/>
        </w:rPr>
        <w:t xml:space="preserve">asserted </w:t>
      </w:r>
      <w:r w:rsidR="00B33E71" w:rsidRPr="00672545">
        <w:rPr>
          <w:szCs w:val="26"/>
        </w:rPr>
        <w:t>criminal acts.</w:t>
      </w:r>
      <w:r w:rsidR="00B33E71" w:rsidRPr="00672545">
        <w:rPr>
          <w:rStyle w:val="FootnoteReference"/>
          <w:szCs w:val="26"/>
        </w:rPr>
        <w:footnoteReference w:id="13"/>
      </w:r>
      <w:r w:rsidR="0026260B" w:rsidRPr="00672545">
        <w:rPr>
          <w:szCs w:val="26"/>
        </w:rPr>
        <w:t xml:space="preserve">  </w:t>
      </w:r>
    </w:p>
    <w:p w14:paraId="6DA807F4" w14:textId="77777777" w:rsidR="0026260B" w:rsidRPr="00672545" w:rsidRDefault="0026260B" w:rsidP="00672545">
      <w:pPr>
        <w:tabs>
          <w:tab w:val="left" w:pos="720"/>
        </w:tabs>
        <w:rPr>
          <w:szCs w:val="26"/>
        </w:rPr>
      </w:pPr>
      <w:r w:rsidRPr="00672545">
        <w:rPr>
          <w:szCs w:val="26"/>
        </w:rPr>
        <w:tab/>
        <w:t xml:space="preserve">Defendant argues that even if the </w:t>
      </w:r>
      <w:r w:rsidR="00787988">
        <w:rPr>
          <w:szCs w:val="26"/>
        </w:rPr>
        <w:t>J.N.</w:t>
      </w:r>
      <w:r w:rsidRPr="00672545">
        <w:rPr>
          <w:szCs w:val="26"/>
        </w:rPr>
        <w:t xml:space="preserve"> incident was admissible as a factor (b) crime, labeling it as a lewd act with a child was unduly prejudicial because that aspect of </w:t>
      </w:r>
      <w:r w:rsidR="00222E44" w:rsidRPr="00672545">
        <w:rPr>
          <w:szCs w:val="26"/>
        </w:rPr>
        <w:t>the</w:t>
      </w:r>
      <w:r w:rsidRPr="00672545">
        <w:rPr>
          <w:szCs w:val="26"/>
        </w:rPr>
        <w:t xml:space="preserve"> conduct was irrelevant to the purpose of factor (b) and the </w:t>
      </w:r>
      <w:r w:rsidR="004A5B3D" w:rsidRPr="00672545">
        <w:rPr>
          <w:szCs w:val="26"/>
        </w:rPr>
        <w:t>incident could have been adequately identified a</w:t>
      </w:r>
      <w:r w:rsidR="006A7E84" w:rsidRPr="00672545">
        <w:rPr>
          <w:szCs w:val="26"/>
        </w:rPr>
        <w:t>s</w:t>
      </w:r>
      <w:r w:rsidR="004A5B3D" w:rsidRPr="00672545">
        <w:rPr>
          <w:szCs w:val="26"/>
        </w:rPr>
        <w:t xml:space="preserve"> a</w:t>
      </w:r>
      <w:r w:rsidRPr="00672545">
        <w:rPr>
          <w:szCs w:val="26"/>
        </w:rPr>
        <w:t xml:space="preserve"> battery</w:t>
      </w:r>
      <w:r w:rsidR="004A5B3D" w:rsidRPr="00672545">
        <w:rPr>
          <w:szCs w:val="26"/>
        </w:rPr>
        <w:t xml:space="preserve">. </w:t>
      </w:r>
      <w:r w:rsidRPr="00672545">
        <w:rPr>
          <w:szCs w:val="26"/>
        </w:rPr>
        <w:t xml:space="preserve"> </w:t>
      </w:r>
      <w:r w:rsidR="005B3E51" w:rsidRPr="00672545">
        <w:rPr>
          <w:szCs w:val="26"/>
        </w:rPr>
        <w:t xml:space="preserve">Defendant contends that </w:t>
      </w:r>
      <w:r w:rsidR="00222E44" w:rsidRPr="00672545">
        <w:rPr>
          <w:szCs w:val="26"/>
        </w:rPr>
        <w:t xml:space="preserve">the lewd act </w:t>
      </w:r>
      <w:r w:rsidR="005B3E51" w:rsidRPr="00672545">
        <w:rPr>
          <w:szCs w:val="26"/>
        </w:rPr>
        <w:t xml:space="preserve">label risked </w:t>
      </w:r>
      <w:r w:rsidR="008739F8" w:rsidRPr="00672545">
        <w:rPr>
          <w:szCs w:val="26"/>
        </w:rPr>
        <w:t xml:space="preserve">distracting, misleading, </w:t>
      </w:r>
      <w:r w:rsidR="005B3E51" w:rsidRPr="00672545">
        <w:rPr>
          <w:szCs w:val="26"/>
        </w:rPr>
        <w:t>inflaming</w:t>
      </w:r>
      <w:r w:rsidR="00681A09">
        <w:rPr>
          <w:szCs w:val="26"/>
        </w:rPr>
        <w:t>,</w:t>
      </w:r>
      <w:r w:rsidR="005B3E51" w:rsidRPr="00672545">
        <w:rPr>
          <w:szCs w:val="26"/>
        </w:rPr>
        <w:t xml:space="preserve"> and provoking </w:t>
      </w:r>
      <w:r w:rsidR="008739F8" w:rsidRPr="00672545">
        <w:rPr>
          <w:szCs w:val="26"/>
        </w:rPr>
        <w:t xml:space="preserve">the jury </w:t>
      </w:r>
      <w:r w:rsidR="005B3E51" w:rsidRPr="00672545">
        <w:rPr>
          <w:szCs w:val="26"/>
        </w:rPr>
        <w:t xml:space="preserve">to use the evidence as character evidence beyond that allowed by factor (b).  Defendant </w:t>
      </w:r>
      <w:r w:rsidR="005B3E51" w:rsidRPr="00672545">
        <w:rPr>
          <w:szCs w:val="26"/>
        </w:rPr>
        <w:lastRenderedPageBreak/>
        <w:t xml:space="preserve">claims that it was far from clear that a violation of section 288(a) had even occurred and that the jury was prevented from reasonably and rationally assessing the event because of the trial court’s instruction that “if” anything happened, it was a lewd act with a child under 14 years.  </w:t>
      </w:r>
    </w:p>
    <w:p w14:paraId="624604D7" w14:textId="77777777" w:rsidR="00AD2F41" w:rsidRPr="00672545" w:rsidRDefault="005B3E51" w:rsidP="00672545">
      <w:pPr>
        <w:tabs>
          <w:tab w:val="left" w:pos="720"/>
        </w:tabs>
        <w:rPr>
          <w:szCs w:val="26"/>
        </w:rPr>
      </w:pPr>
      <w:r w:rsidRPr="00672545">
        <w:rPr>
          <w:szCs w:val="26"/>
        </w:rPr>
        <w:tab/>
      </w:r>
      <w:r w:rsidR="003956AF" w:rsidRPr="00672545">
        <w:rPr>
          <w:szCs w:val="26"/>
        </w:rPr>
        <w:t xml:space="preserve">To the extent defendant’s argument </w:t>
      </w:r>
      <w:r w:rsidR="00926C38" w:rsidRPr="00672545">
        <w:rPr>
          <w:szCs w:val="26"/>
        </w:rPr>
        <w:t xml:space="preserve">suggests </w:t>
      </w:r>
      <w:r w:rsidR="003956AF" w:rsidRPr="00672545">
        <w:rPr>
          <w:szCs w:val="26"/>
        </w:rPr>
        <w:t xml:space="preserve">that a violation of section 288(a) cannot constitute factor (b) evidence, we </w:t>
      </w:r>
      <w:r w:rsidR="00E20961" w:rsidRPr="00672545">
        <w:rPr>
          <w:szCs w:val="26"/>
        </w:rPr>
        <w:t>reference</w:t>
      </w:r>
      <w:r w:rsidR="003956AF" w:rsidRPr="00672545">
        <w:rPr>
          <w:szCs w:val="26"/>
        </w:rPr>
        <w:t xml:space="preserve"> our previous discussion and </w:t>
      </w:r>
      <w:r w:rsidR="00926C38" w:rsidRPr="00672545">
        <w:rPr>
          <w:szCs w:val="26"/>
        </w:rPr>
        <w:t xml:space="preserve">expressly </w:t>
      </w:r>
      <w:r w:rsidR="003956AF" w:rsidRPr="00672545">
        <w:rPr>
          <w:szCs w:val="26"/>
        </w:rPr>
        <w:t xml:space="preserve">reject the claim that section 288(a) is categorically outside of the scope of factor (b).  </w:t>
      </w:r>
      <w:r w:rsidR="00AD2F41" w:rsidRPr="00672545">
        <w:rPr>
          <w:szCs w:val="26"/>
        </w:rPr>
        <w:t>A violation of section 288(a) may under the circumstances be a crime involving force or violence or the implied or express threat of force or violence</w:t>
      </w:r>
      <w:r w:rsidR="00944BC5" w:rsidRPr="00672545">
        <w:rPr>
          <w:szCs w:val="26"/>
        </w:rPr>
        <w:t xml:space="preserve"> within the meaning of factor (b)</w:t>
      </w:r>
      <w:r w:rsidR="00AD2F41" w:rsidRPr="00672545">
        <w:rPr>
          <w:szCs w:val="26"/>
        </w:rPr>
        <w:t xml:space="preserve">.  </w:t>
      </w:r>
      <w:r w:rsidR="0061754C" w:rsidRPr="00672545">
        <w:rPr>
          <w:szCs w:val="26"/>
        </w:rPr>
        <w:t>(</w:t>
      </w:r>
      <w:proofErr w:type="spellStart"/>
      <w:r w:rsidR="0061754C" w:rsidRPr="00672545">
        <w:rPr>
          <w:i/>
          <w:szCs w:val="26"/>
        </w:rPr>
        <w:t>Raley</w:t>
      </w:r>
      <w:proofErr w:type="spellEnd"/>
      <w:r w:rsidR="0061754C" w:rsidRPr="00672545">
        <w:rPr>
          <w:i/>
          <w:szCs w:val="26"/>
        </w:rPr>
        <w:t>, supra</w:t>
      </w:r>
      <w:r w:rsidR="0061754C" w:rsidRPr="00672545">
        <w:rPr>
          <w:szCs w:val="26"/>
        </w:rPr>
        <w:t>, 2 Cal.4</w:t>
      </w:r>
      <w:r w:rsidR="00CE004D" w:rsidRPr="00672545">
        <w:rPr>
          <w:szCs w:val="26"/>
        </w:rPr>
        <w:t>th</w:t>
      </w:r>
      <w:r w:rsidR="0061754C" w:rsidRPr="00672545">
        <w:rPr>
          <w:szCs w:val="26"/>
        </w:rPr>
        <w:t xml:space="preserve"> at p. 907.)  </w:t>
      </w:r>
      <w:r w:rsidR="00AD2F41" w:rsidRPr="00672545">
        <w:rPr>
          <w:szCs w:val="26"/>
        </w:rPr>
        <w:t xml:space="preserve">We have concluded that the trial court did not abuse its discretion in determining that to be the case here.  </w:t>
      </w:r>
    </w:p>
    <w:p w14:paraId="333486D8" w14:textId="77777777" w:rsidR="005B3E51" w:rsidRPr="00672545" w:rsidRDefault="00AD2F41" w:rsidP="00672545">
      <w:pPr>
        <w:tabs>
          <w:tab w:val="left" w:pos="720"/>
        </w:tabs>
        <w:rPr>
          <w:szCs w:val="26"/>
        </w:rPr>
      </w:pPr>
      <w:r w:rsidRPr="00672545">
        <w:rPr>
          <w:szCs w:val="26"/>
        </w:rPr>
        <w:tab/>
      </w:r>
      <w:r w:rsidR="003956AF" w:rsidRPr="00672545">
        <w:rPr>
          <w:szCs w:val="26"/>
        </w:rPr>
        <w:t xml:space="preserve">To the extent defendant’s argument is premised on a view that his conduct may not have constituted a violation of section 288(a), </w:t>
      </w:r>
      <w:r w:rsidR="00E20961" w:rsidRPr="00672545">
        <w:rPr>
          <w:szCs w:val="26"/>
        </w:rPr>
        <w:t xml:space="preserve">we </w:t>
      </w:r>
      <w:r w:rsidR="00836DB7" w:rsidRPr="00672545">
        <w:rPr>
          <w:szCs w:val="26"/>
        </w:rPr>
        <w:t>find</w:t>
      </w:r>
      <w:r w:rsidR="00E20961" w:rsidRPr="00672545">
        <w:rPr>
          <w:szCs w:val="26"/>
        </w:rPr>
        <w:t xml:space="preserve"> substantial evidence in the record to support a </w:t>
      </w:r>
      <w:r w:rsidR="001622EF" w:rsidRPr="00672545">
        <w:rPr>
          <w:szCs w:val="26"/>
        </w:rPr>
        <w:t>rational juror’s</w:t>
      </w:r>
      <w:r w:rsidR="00405A0A" w:rsidRPr="00672545">
        <w:rPr>
          <w:szCs w:val="26"/>
        </w:rPr>
        <w:t xml:space="preserve"> </w:t>
      </w:r>
      <w:r w:rsidR="00E20961" w:rsidRPr="00672545">
        <w:rPr>
          <w:szCs w:val="26"/>
        </w:rPr>
        <w:t xml:space="preserve">finding that </w:t>
      </w:r>
      <w:r w:rsidR="0061754C" w:rsidRPr="00672545">
        <w:rPr>
          <w:szCs w:val="26"/>
        </w:rPr>
        <w:t xml:space="preserve">defendant </w:t>
      </w:r>
      <w:r w:rsidR="00E20961" w:rsidRPr="00672545">
        <w:rPr>
          <w:szCs w:val="26"/>
        </w:rPr>
        <w:t xml:space="preserve">put his fingers in </w:t>
      </w:r>
      <w:r w:rsidR="00787988">
        <w:rPr>
          <w:szCs w:val="26"/>
        </w:rPr>
        <w:t>J.N.</w:t>
      </w:r>
      <w:r w:rsidR="00E20961" w:rsidRPr="00672545">
        <w:rPr>
          <w:szCs w:val="26"/>
        </w:rPr>
        <w:t>’s mouth and massaged her teeth with the requisite sexual intent.  D</w:t>
      </w:r>
      <w:r w:rsidR="003956AF" w:rsidRPr="00672545">
        <w:rPr>
          <w:szCs w:val="26"/>
        </w:rPr>
        <w:t xml:space="preserve">efendant’s tactical decision to forego instructions on the elements of section 288(a) waived his right to the jury’s determination of the issue.  </w:t>
      </w:r>
    </w:p>
    <w:p w14:paraId="0125E50A" w14:textId="77777777" w:rsidR="008739F8" w:rsidRPr="00672545" w:rsidRDefault="00AD2F41" w:rsidP="00672545">
      <w:pPr>
        <w:tabs>
          <w:tab w:val="left" w:pos="720"/>
        </w:tabs>
        <w:rPr>
          <w:szCs w:val="26"/>
        </w:rPr>
      </w:pPr>
      <w:r w:rsidRPr="00672545">
        <w:rPr>
          <w:szCs w:val="26"/>
        </w:rPr>
        <w:tab/>
      </w:r>
      <w:r w:rsidR="007C51D9" w:rsidRPr="00672545">
        <w:rPr>
          <w:szCs w:val="26"/>
        </w:rPr>
        <w:t xml:space="preserve">With respect to </w:t>
      </w:r>
      <w:r w:rsidR="00722AF2" w:rsidRPr="00672545">
        <w:rPr>
          <w:szCs w:val="26"/>
        </w:rPr>
        <w:t xml:space="preserve">purely </w:t>
      </w:r>
      <w:r w:rsidR="008837E9" w:rsidRPr="00672545">
        <w:rPr>
          <w:szCs w:val="26"/>
        </w:rPr>
        <w:t xml:space="preserve">the </w:t>
      </w:r>
      <w:r w:rsidR="00836DB7" w:rsidRPr="00672545">
        <w:rPr>
          <w:szCs w:val="26"/>
        </w:rPr>
        <w:t>labeling</w:t>
      </w:r>
      <w:r w:rsidRPr="00672545">
        <w:rPr>
          <w:szCs w:val="26"/>
        </w:rPr>
        <w:t xml:space="preserve"> </w:t>
      </w:r>
      <w:r w:rsidR="008837E9" w:rsidRPr="00672545">
        <w:rPr>
          <w:szCs w:val="26"/>
        </w:rPr>
        <w:t xml:space="preserve">of </w:t>
      </w:r>
      <w:r w:rsidR="00843DB6" w:rsidRPr="00672545">
        <w:rPr>
          <w:szCs w:val="26"/>
        </w:rPr>
        <w:t xml:space="preserve">the </w:t>
      </w:r>
      <w:r w:rsidR="00787988">
        <w:rPr>
          <w:szCs w:val="26"/>
        </w:rPr>
        <w:t>J.N.</w:t>
      </w:r>
      <w:r w:rsidR="00843DB6" w:rsidRPr="00672545">
        <w:rPr>
          <w:szCs w:val="26"/>
        </w:rPr>
        <w:t xml:space="preserve"> incident</w:t>
      </w:r>
      <w:r w:rsidRPr="00672545">
        <w:rPr>
          <w:szCs w:val="26"/>
        </w:rPr>
        <w:t xml:space="preserve"> </w:t>
      </w:r>
      <w:r w:rsidR="00836DB7" w:rsidRPr="00672545">
        <w:rPr>
          <w:szCs w:val="26"/>
        </w:rPr>
        <w:t xml:space="preserve">as </w:t>
      </w:r>
      <w:r w:rsidR="00E20961" w:rsidRPr="00672545">
        <w:rPr>
          <w:szCs w:val="26"/>
        </w:rPr>
        <w:t xml:space="preserve">a </w:t>
      </w:r>
      <w:r w:rsidRPr="00672545">
        <w:rPr>
          <w:szCs w:val="26"/>
        </w:rPr>
        <w:t xml:space="preserve">lewd act </w:t>
      </w:r>
      <w:r w:rsidR="00E20961" w:rsidRPr="00672545">
        <w:rPr>
          <w:szCs w:val="26"/>
        </w:rPr>
        <w:t>on a child</w:t>
      </w:r>
      <w:r w:rsidR="007C51D9" w:rsidRPr="00672545">
        <w:rPr>
          <w:szCs w:val="26"/>
        </w:rPr>
        <w:t>, we reject defendant’s claim</w:t>
      </w:r>
      <w:r w:rsidR="00E20961" w:rsidRPr="00672545">
        <w:rPr>
          <w:szCs w:val="26"/>
        </w:rPr>
        <w:t xml:space="preserve"> </w:t>
      </w:r>
      <w:r w:rsidR="007C51D9" w:rsidRPr="00672545">
        <w:rPr>
          <w:szCs w:val="26"/>
        </w:rPr>
        <w:t xml:space="preserve">that </w:t>
      </w:r>
      <w:r w:rsidR="00B323C7" w:rsidRPr="00672545">
        <w:rPr>
          <w:szCs w:val="26"/>
        </w:rPr>
        <w:t>the</w:t>
      </w:r>
      <w:r w:rsidR="00D13735" w:rsidRPr="00672545">
        <w:rPr>
          <w:szCs w:val="26"/>
        </w:rPr>
        <w:t xml:space="preserve"> </w:t>
      </w:r>
      <w:r w:rsidR="007C51D9" w:rsidRPr="00672545">
        <w:rPr>
          <w:szCs w:val="26"/>
        </w:rPr>
        <w:t xml:space="preserve">naming </w:t>
      </w:r>
      <w:r w:rsidR="00B323C7" w:rsidRPr="00672545">
        <w:rPr>
          <w:szCs w:val="26"/>
        </w:rPr>
        <w:t xml:space="preserve">of </w:t>
      </w:r>
      <w:r w:rsidR="007C51D9" w:rsidRPr="00672545">
        <w:rPr>
          <w:szCs w:val="26"/>
        </w:rPr>
        <w:t xml:space="preserve">it in the instruction </w:t>
      </w:r>
      <w:r w:rsidR="00B323C7" w:rsidRPr="00672545">
        <w:rPr>
          <w:szCs w:val="26"/>
        </w:rPr>
        <w:t xml:space="preserve">prejudicially </w:t>
      </w:r>
      <w:r w:rsidR="00E20961" w:rsidRPr="00672545">
        <w:rPr>
          <w:szCs w:val="26"/>
        </w:rPr>
        <w:t xml:space="preserve">misled or distracted the jury from the proper focus of factor (b) evidence.  </w:t>
      </w:r>
      <w:r w:rsidR="0061754C" w:rsidRPr="00672545">
        <w:rPr>
          <w:szCs w:val="26"/>
        </w:rPr>
        <w:t>CALJIC No. 8.87, as given,</w:t>
      </w:r>
      <w:r w:rsidR="00836DB7" w:rsidRPr="00672545">
        <w:rPr>
          <w:szCs w:val="26"/>
        </w:rPr>
        <w:t xml:space="preserve"> </w:t>
      </w:r>
      <w:r w:rsidR="008A2496" w:rsidRPr="00672545">
        <w:rPr>
          <w:szCs w:val="26"/>
        </w:rPr>
        <w:t xml:space="preserve">expressly </w:t>
      </w:r>
      <w:r w:rsidR="00836DB7" w:rsidRPr="00672545">
        <w:rPr>
          <w:szCs w:val="26"/>
        </w:rPr>
        <w:t xml:space="preserve">told the jury that the evidence had been introduced </w:t>
      </w:r>
      <w:proofErr w:type="gramStart"/>
      <w:r w:rsidR="00836DB7" w:rsidRPr="00672545">
        <w:rPr>
          <w:szCs w:val="26"/>
        </w:rPr>
        <w:t>for the purpose of</w:t>
      </w:r>
      <w:proofErr w:type="gramEnd"/>
      <w:r w:rsidR="00836DB7" w:rsidRPr="00672545">
        <w:rPr>
          <w:szCs w:val="26"/>
        </w:rPr>
        <w:t xml:space="preserve"> showing </w:t>
      </w:r>
      <w:r w:rsidR="008A2496" w:rsidRPr="00672545">
        <w:rPr>
          <w:szCs w:val="26"/>
        </w:rPr>
        <w:t xml:space="preserve">that defendant had committed </w:t>
      </w:r>
      <w:r w:rsidR="00836DB7" w:rsidRPr="00672545">
        <w:rPr>
          <w:szCs w:val="26"/>
        </w:rPr>
        <w:t xml:space="preserve">battery and/or </w:t>
      </w:r>
      <w:r w:rsidR="008A2496" w:rsidRPr="00672545">
        <w:rPr>
          <w:szCs w:val="26"/>
        </w:rPr>
        <w:t xml:space="preserve">a lewd act with a child </w:t>
      </w:r>
      <w:r w:rsidR="00836DB7" w:rsidRPr="00672545">
        <w:rPr>
          <w:szCs w:val="26"/>
        </w:rPr>
        <w:t xml:space="preserve">involving the </w:t>
      </w:r>
      <w:r w:rsidR="00836DB7" w:rsidRPr="00672545">
        <w:rPr>
          <w:szCs w:val="26"/>
        </w:rPr>
        <w:lastRenderedPageBreak/>
        <w:t>use of force</w:t>
      </w:r>
      <w:r w:rsidR="008A2496" w:rsidRPr="00672545">
        <w:rPr>
          <w:szCs w:val="26"/>
        </w:rPr>
        <w:t xml:space="preserve"> or violence.  The jury was thus given </w:t>
      </w:r>
      <w:r w:rsidR="0061754C" w:rsidRPr="00672545">
        <w:rPr>
          <w:szCs w:val="26"/>
        </w:rPr>
        <w:t xml:space="preserve">the possibility of </w:t>
      </w:r>
      <w:r w:rsidR="008A2496" w:rsidRPr="00672545">
        <w:rPr>
          <w:szCs w:val="26"/>
        </w:rPr>
        <w:t>alternat</w:t>
      </w:r>
      <w:r w:rsidR="0061754C" w:rsidRPr="00672545">
        <w:rPr>
          <w:szCs w:val="26"/>
        </w:rPr>
        <w:t xml:space="preserve">ive </w:t>
      </w:r>
      <w:r w:rsidR="008A2496" w:rsidRPr="00672545">
        <w:rPr>
          <w:szCs w:val="26"/>
        </w:rPr>
        <w:t xml:space="preserve">crimes.  </w:t>
      </w:r>
      <w:r w:rsidR="00B323C7" w:rsidRPr="00672545">
        <w:rPr>
          <w:szCs w:val="26"/>
        </w:rPr>
        <w:t xml:space="preserve">It was not told that defendant’s conduct was definitively criminal lewd conduct with a child.  </w:t>
      </w:r>
      <w:r w:rsidR="008A2496" w:rsidRPr="00672545">
        <w:rPr>
          <w:szCs w:val="26"/>
        </w:rPr>
        <w:t xml:space="preserve">More importantly, </w:t>
      </w:r>
      <w:r w:rsidR="0061754C" w:rsidRPr="00672545">
        <w:rPr>
          <w:szCs w:val="26"/>
        </w:rPr>
        <w:t>its</w:t>
      </w:r>
      <w:r w:rsidR="008A2496" w:rsidRPr="00672545">
        <w:rPr>
          <w:szCs w:val="26"/>
        </w:rPr>
        <w:t xml:space="preserve"> attention was </w:t>
      </w:r>
      <w:r w:rsidR="0061754C" w:rsidRPr="00672545">
        <w:rPr>
          <w:szCs w:val="26"/>
        </w:rPr>
        <w:t>specifically directed at the fact</w:t>
      </w:r>
      <w:r w:rsidR="00DA3203" w:rsidRPr="00672545">
        <w:rPr>
          <w:szCs w:val="26"/>
        </w:rPr>
        <w:t>s of</w:t>
      </w:r>
      <w:r w:rsidR="0061754C" w:rsidRPr="00672545">
        <w:rPr>
          <w:szCs w:val="26"/>
        </w:rPr>
        <w:t xml:space="preserve"> </w:t>
      </w:r>
      <w:r w:rsidR="00926C38" w:rsidRPr="00672545">
        <w:rPr>
          <w:szCs w:val="26"/>
        </w:rPr>
        <w:t xml:space="preserve">defendant’s past </w:t>
      </w:r>
      <w:r w:rsidR="0061754C" w:rsidRPr="00672545">
        <w:rPr>
          <w:szCs w:val="26"/>
        </w:rPr>
        <w:t xml:space="preserve">criminal </w:t>
      </w:r>
      <w:r w:rsidR="00926C38" w:rsidRPr="00672545">
        <w:rPr>
          <w:szCs w:val="26"/>
        </w:rPr>
        <w:t>conduct</w:t>
      </w:r>
      <w:r w:rsidR="0061754C" w:rsidRPr="00672545">
        <w:rPr>
          <w:szCs w:val="26"/>
        </w:rPr>
        <w:t xml:space="preserve"> </w:t>
      </w:r>
      <w:r w:rsidR="008D13B9" w:rsidRPr="00672545">
        <w:rPr>
          <w:szCs w:val="26"/>
        </w:rPr>
        <w:t xml:space="preserve">as </w:t>
      </w:r>
      <w:r w:rsidR="0061754C" w:rsidRPr="00672545">
        <w:rPr>
          <w:szCs w:val="26"/>
        </w:rPr>
        <w:t>involv</w:t>
      </w:r>
      <w:r w:rsidR="00F5314D" w:rsidRPr="00672545">
        <w:rPr>
          <w:szCs w:val="26"/>
        </w:rPr>
        <w:t>ing</w:t>
      </w:r>
      <w:r w:rsidR="0061754C" w:rsidRPr="00672545">
        <w:rPr>
          <w:szCs w:val="26"/>
        </w:rPr>
        <w:t xml:space="preserve"> the use of force or violence</w:t>
      </w:r>
      <w:r w:rsidR="00926C38" w:rsidRPr="00672545">
        <w:rPr>
          <w:szCs w:val="26"/>
        </w:rPr>
        <w:t xml:space="preserve"> — the </w:t>
      </w:r>
      <w:r w:rsidR="008D13B9" w:rsidRPr="00672545">
        <w:rPr>
          <w:szCs w:val="26"/>
        </w:rPr>
        <w:t xml:space="preserve">specific </w:t>
      </w:r>
      <w:r w:rsidR="00926C38" w:rsidRPr="00672545">
        <w:rPr>
          <w:szCs w:val="26"/>
        </w:rPr>
        <w:t>focus of factor (b)</w:t>
      </w:r>
      <w:r w:rsidR="00D13735" w:rsidRPr="00672545">
        <w:rPr>
          <w:szCs w:val="26"/>
        </w:rPr>
        <w:t xml:space="preserve">.  </w:t>
      </w:r>
    </w:p>
    <w:p w14:paraId="25D05892" w14:textId="77777777" w:rsidR="00B52F5A" w:rsidRPr="00672545" w:rsidRDefault="008739F8" w:rsidP="00672545">
      <w:pPr>
        <w:tabs>
          <w:tab w:val="left" w:pos="720"/>
        </w:tabs>
        <w:rPr>
          <w:szCs w:val="26"/>
        </w:rPr>
      </w:pPr>
      <w:r w:rsidRPr="00672545">
        <w:rPr>
          <w:szCs w:val="26"/>
        </w:rPr>
        <w:tab/>
      </w:r>
      <w:r w:rsidR="00843DB6" w:rsidRPr="00672545">
        <w:rPr>
          <w:szCs w:val="26"/>
        </w:rPr>
        <w:t>Furthermore, accurately l</w:t>
      </w:r>
      <w:r w:rsidR="0061754C" w:rsidRPr="00672545">
        <w:rPr>
          <w:szCs w:val="26"/>
        </w:rPr>
        <w:t xml:space="preserve">abelling defendant’s </w:t>
      </w:r>
      <w:r w:rsidR="00CA2D6A" w:rsidRPr="00672545">
        <w:rPr>
          <w:szCs w:val="26"/>
        </w:rPr>
        <w:t>conduct</w:t>
      </w:r>
      <w:r w:rsidR="0061754C" w:rsidRPr="00672545">
        <w:rPr>
          <w:szCs w:val="26"/>
        </w:rPr>
        <w:t xml:space="preserve"> as a lewd act </w:t>
      </w:r>
      <w:r w:rsidR="00843DB6" w:rsidRPr="00672545">
        <w:rPr>
          <w:szCs w:val="26"/>
        </w:rPr>
        <w:t xml:space="preserve">provided the jury with </w:t>
      </w:r>
      <w:r w:rsidR="00D56235" w:rsidRPr="00672545">
        <w:rPr>
          <w:szCs w:val="26"/>
        </w:rPr>
        <w:t>an</w:t>
      </w:r>
      <w:r w:rsidR="00843DB6" w:rsidRPr="00672545">
        <w:rPr>
          <w:szCs w:val="26"/>
        </w:rPr>
        <w:t xml:space="preserve"> appropriate legal </w:t>
      </w:r>
      <w:r w:rsidRPr="00672545">
        <w:rPr>
          <w:szCs w:val="26"/>
        </w:rPr>
        <w:t>description of defendant’s criminal offense</w:t>
      </w:r>
      <w:r w:rsidR="00843DB6" w:rsidRPr="00672545">
        <w:rPr>
          <w:szCs w:val="26"/>
        </w:rPr>
        <w:t xml:space="preserve">, if the jurors found that </w:t>
      </w:r>
      <w:r w:rsidR="00CA2D6A" w:rsidRPr="00672545">
        <w:rPr>
          <w:szCs w:val="26"/>
        </w:rPr>
        <w:t>the conduct</w:t>
      </w:r>
      <w:r w:rsidR="00843DB6" w:rsidRPr="00672545">
        <w:rPr>
          <w:szCs w:val="26"/>
        </w:rPr>
        <w:t xml:space="preserve"> occurred. </w:t>
      </w:r>
      <w:r w:rsidR="0061754C" w:rsidRPr="00672545">
        <w:rPr>
          <w:szCs w:val="26"/>
        </w:rPr>
        <w:t xml:space="preserve"> </w:t>
      </w:r>
      <w:r w:rsidR="008E61E7" w:rsidRPr="00672545">
        <w:rPr>
          <w:szCs w:val="26"/>
        </w:rPr>
        <w:t>When evidence of a</w:t>
      </w:r>
      <w:r w:rsidR="00D56235" w:rsidRPr="00672545">
        <w:rPr>
          <w:szCs w:val="26"/>
        </w:rPr>
        <w:t xml:space="preserve"> defendant’s </w:t>
      </w:r>
      <w:r w:rsidR="004E1EDD" w:rsidRPr="00672545">
        <w:rPr>
          <w:szCs w:val="26"/>
        </w:rPr>
        <w:t>factor (b) conduct</w:t>
      </w:r>
      <w:r w:rsidR="00D56235" w:rsidRPr="00672545">
        <w:rPr>
          <w:szCs w:val="26"/>
        </w:rPr>
        <w:t xml:space="preserve"> violate</w:t>
      </w:r>
      <w:r w:rsidR="00237741" w:rsidRPr="00672545">
        <w:rPr>
          <w:szCs w:val="26"/>
        </w:rPr>
        <w:t>s</w:t>
      </w:r>
      <w:r w:rsidR="00D56235" w:rsidRPr="00672545">
        <w:rPr>
          <w:szCs w:val="26"/>
        </w:rPr>
        <w:t xml:space="preserve"> multiple criminal provisions, </w:t>
      </w:r>
      <w:r w:rsidR="00237741" w:rsidRPr="00672545">
        <w:rPr>
          <w:szCs w:val="26"/>
        </w:rPr>
        <w:t>a court may</w:t>
      </w:r>
      <w:r w:rsidR="00D56235" w:rsidRPr="00672545">
        <w:rPr>
          <w:szCs w:val="26"/>
        </w:rPr>
        <w:t xml:space="preserve"> identify those offenses for the jury.  </w:t>
      </w:r>
      <w:r w:rsidR="008177C6" w:rsidRPr="00672545">
        <w:rPr>
          <w:szCs w:val="26"/>
        </w:rPr>
        <w:t xml:space="preserve">To the extent </w:t>
      </w:r>
      <w:r w:rsidR="00F2151F" w:rsidRPr="00672545">
        <w:rPr>
          <w:szCs w:val="26"/>
        </w:rPr>
        <w:t xml:space="preserve">the cases defendant cites </w:t>
      </w:r>
      <w:r w:rsidR="00EE30EB" w:rsidRPr="00672545">
        <w:rPr>
          <w:szCs w:val="26"/>
        </w:rPr>
        <w:t>in support of his argument t</w:t>
      </w:r>
      <w:r w:rsidR="00F2151F" w:rsidRPr="00672545">
        <w:rPr>
          <w:szCs w:val="26"/>
        </w:rPr>
        <w:t xml:space="preserve">hat a court </w:t>
      </w:r>
      <w:r w:rsidR="00EE30EB" w:rsidRPr="00672545">
        <w:rPr>
          <w:szCs w:val="26"/>
        </w:rPr>
        <w:t>must</w:t>
      </w:r>
      <w:r w:rsidR="00F2151F" w:rsidRPr="00672545">
        <w:rPr>
          <w:szCs w:val="26"/>
        </w:rPr>
        <w:t xml:space="preserve"> exercise its discretion to </w:t>
      </w:r>
      <w:r w:rsidR="00EE30EB" w:rsidRPr="00672545">
        <w:rPr>
          <w:szCs w:val="26"/>
        </w:rPr>
        <w:t xml:space="preserve">eliminate </w:t>
      </w:r>
      <w:r w:rsidR="00F2151F" w:rsidRPr="00672545">
        <w:rPr>
          <w:szCs w:val="26"/>
        </w:rPr>
        <w:t xml:space="preserve">unnecessary </w:t>
      </w:r>
      <w:r w:rsidR="00EE30EB" w:rsidRPr="00672545">
        <w:rPr>
          <w:szCs w:val="26"/>
        </w:rPr>
        <w:t>labeling of factor (b) e</w:t>
      </w:r>
      <w:r w:rsidR="00F2151F" w:rsidRPr="00672545">
        <w:rPr>
          <w:szCs w:val="26"/>
        </w:rPr>
        <w:t>vidence</w:t>
      </w:r>
      <w:r w:rsidR="00EE30EB" w:rsidRPr="00672545">
        <w:rPr>
          <w:szCs w:val="26"/>
        </w:rPr>
        <w:t xml:space="preserve"> (</w:t>
      </w:r>
      <w:r w:rsidR="00EE30EB" w:rsidRPr="00672545">
        <w:rPr>
          <w:i/>
          <w:szCs w:val="26"/>
        </w:rPr>
        <w:t xml:space="preserve">People v. </w:t>
      </w:r>
      <w:proofErr w:type="spellStart"/>
      <w:r w:rsidR="00EE30EB" w:rsidRPr="00672545">
        <w:rPr>
          <w:i/>
          <w:szCs w:val="26"/>
        </w:rPr>
        <w:t>Schader</w:t>
      </w:r>
      <w:proofErr w:type="spellEnd"/>
      <w:r w:rsidR="00EE30EB" w:rsidRPr="00672545">
        <w:rPr>
          <w:szCs w:val="26"/>
        </w:rPr>
        <w:t xml:space="preserve"> (1969) 71 Cal.2d 761, 775-775; </w:t>
      </w:r>
      <w:r w:rsidR="00EE30EB" w:rsidRPr="00672545">
        <w:rPr>
          <w:i/>
          <w:szCs w:val="26"/>
        </w:rPr>
        <w:t>People v. Holt</w:t>
      </w:r>
      <w:r w:rsidR="00EE30EB" w:rsidRPr="00672545">
        <w:rPr>
          <w:szCs w:val="26"/>
        </w:rPr>
        <w:t xml:space="preserve"> (1984) 37 Cal.</w:t>
      </w:r>
      <w:r w:rsidR="00681A09">
        <w:rPr>
          <w:szCs w:val="26"/>
        </w:rPr>
        <w:t xml:space="preserve">3d 436, 462 (dis. </w:t>
      </w:r>
      <w:proofErr w:type="spellStart"/>
      <w:r w:rsidR="00681A09">
        <w:rPr>
          <w:szCs w:val="26"/>
        </w:rPr>
        <w:t>opn</w:t>
      </w:r>
      <w:proofErr w:type="spellEnd"/>
      <w:r w:rsidR="00681A09">
        <w:rPr>
          <w:szCs w:val="26"/>
        </w:rPr>
        <w:t>. of Bird, </w:t>
      </w:r>
      <w:r w:rsidR="00EE30EB" w:rsidRPr="00672545">
        <w:rPr>
          <w:szCs w:val="26"/>
        </w:rPr>
        <w:t>C.</w:t>
      </w:r>
      <w:r w:rsidR="00681A09">
        <w:rPr>
          <w:szCs w:val="26"/>
        </w:rPr>
        <w:t> </w:t>
      </w:r>
      <w:r w:rsidR="00EE30EB" w:rsidRPr="00672545">
        <w:rPr>
          <w:szCs w:val="26"/>
        </w:rPr>
        <w:t xml:space="preserve">J.); </w:t>
      </w:r>
      <w:r w:rsidR="00EE30EB" w:rsidRPr="00672545">
        <w:rPr>
          <w:i/>
          <w:szCs w:val="26"/>
        </w:rPr>
        <w:t>People v. Cardenas</w:t>
      </w:r>
      <w:r w:rsidR="00EE30EB" w:rsidRPr="00672545">
        <w:rPr>
          <w:szCs w:val="26"/>
        </w:rPr>
        <w:t xml:space="preserve"> (1982) 31 Cal.3d 897, 905; </w:t>
      </w:r>
      <w:r w:rsidR="00EE30EB" w:rsidRPr="00672545">
        <w:rPr>
          <w:i/>
          <w:szCs w:val="26"/>
        </w:rPr>
        <w:t xml:space="preserve">People v. </w:t>
      </w:r>
      <w:proofErr w:type="spellStart"/>
      <w:r w:rsidR="00EE30EB" w:rsidRPr="00672545">
        <w:rPr>
          <w:i/>
          <w:szCs w:val="26"/>
        </w:rPr>
        <w:t>Avitia</w:t>
      </w:r>
      <w:proofErr w:type="spellEnd"/>
      <w:r w:rsidR="00EE30EB" w:rsidRPr="00672545">
        <w:rPr>
          <w:szCs w:val="26"/>
        </w:rPr>
        <w:t xml:space="preserve"> (2005) 127 Cal.App.4</w:t>
      </w:r>
      <w:r w:rsidR="00CE004D" w:rsidRPr="00672545">
        <w:rPr>
          <w:szCs w:val="26"/>
        </w:rPr>
        <w:t>th</w:t>
      </w:r>
      <w:r w:rsidR="00EE30EB" w:rsidRPr="00672545">
        <w:rPr>
          <w:szCs w:val="26"/>
        </w:rPr>
        <w:t xml:space="preserve"> 185, 194) </w:t>
      </w:r>
      <w:r w:rsidR="00C82854" w:rsidRPr="00672545">
        <w:rPr>
          <w:szCs w:val="26"/>
        </w:rPr>
        <w:t xml:space="preserve">are </w:t>
      </w:r>
      <w:r w:rsidR="00EE30EB" w:rsidRPr="00672545">
        <w:rPr>
          <w:szCs w:val="26"/>
        </w:rPr>
        <w:t>apposite</w:t>
      </w:r>
      <w:r w:rsidR="00C82854" w:rsidRPr="00672545">
        <w:rPr>
          <w:szCs w:val="26"/>
        </w:rPr>
        <w:t>, we find no abuse of discretion in the trial court’s decision here to name both offenses in the instruction</w:t>
      </w:r>
      <w:r w:rsidR="00EE30EB" w:rsidRPr="00672545">
        <w:rPr>
          <w:szCs w:val="26"/>
        </w:rPr>
        <w:t xml:space="preserve">. </w:t>
      </w:r>
      <w:r w:rsidR="00F2151F" w:rsidRPr="00672545">
        <w:rPr>
          <w:szCs w:val="26"/>
        </w:rPr>
        <w:t xml:space="preserve"> </w:t>
      </w:r>
    </w:p>
    <w:p w14:paraId="44E2ABC3" w14:textId="77777777" w:rsidR="00D56235" w:rsidRPr="00672545" w:rsidRDefault="00D56235" w:rsidP="00672545">
      <w:pPr>
        <w:tabs>
          <w:tab w:val="left" w:pos="720"/>
        </w:tabs>
        <w:rPr>
          <w:szCs w:val="26"/>
        </w:rPr>
      </w:pPr>
      <w:r w:rsidRPr="00672545">
        <w:rPr>
          <w:szCs w:val="26"/>
        </w:rPr>
        <w:tab/>
        <w:t xml:space="preserve">Finally, for the same reasons given in the previous section finding harmless any error in the admission of the evidence concerning the </w:t>
      </w:r>
      <w:r w:rsidR="00787988">
        <w:rPr>
          <w:szCs w:val="26"/>
        </w:rPr>
        <w:t>J.N.</w:t>
      </w:r>
      <w:r w:rsidRPr="00672545">
        <w:rPr>
          <w:szCs w:val="26"/>
        </w:rPr>
        <w:t xml:space="preserve"> incident, we similarly find any error in the trial court’s labelling </w:t>
      </w:r>
      <w:r w:rsidR="00055AA7" w:rsidRPr="00672545">
        <w:rPr>
          <w:szCs w:val="26"/>
        </w:rPr>
        <w:t xml:space="preserve">of </w:t>
      </w:r>
      <w:r w:rsidRPr="00672545">
        <w:rPr>
          <w:szCs w:val="26"/>
        </w:rPr>
        <w:t xml:space="preserve">defendant’s criminal </w:t>
      </w:r>
      <w:r w:rsidR="000A78F1" w:rsidRPr="00672545">
        <w:rPr>
          <w:szCs w:val="26"/>
        </w:rPr>
        <w:t>conduct</w:t>
      </w:r>
      <w:r w:rsidRPr="00672545">
        <w:rPr>
          <w:szCs w:val="26"/>
        </w:rPr>
        <w:t xml:space="preserve"> in CALJIC No. 8.87 to be harmless.  </w:t>
      </w:r>
      <w:r w:rsidR="00D13735" w:rsidRPr="00672545">
        <w:rPr>
          <w:szCs w:val="26"/>
        </w:rPr>
        <w:t xml:space="preserve">(See </w:t>
      </w:r>
      <w:r w:rsidR="00D13735" w:rsidRPr="00672545">
        <w:rPr>
          <w:i/>
          <w:szCs w:val="26"/>
        </w:rPr>
        <w:t xml:space="preserve">People v. Collins </w:t>
      </w:r>
      <w:r w:rsidR="00D13735" w:rsidRPr="00672545">
        <w:rPr>
          <w:szCs w:val="26"/>
        </w:rPr>
        <w:t>(2010) 49 Cal.4</w:t>
      </w:r>
      <w:r w:rsidR="00CE004D" w:rsidRPr="00672545">
        <w:rPr>
          <w:szCs w:val="26"/>
        </w:rPr>
        <w:t>th</w:t>
      </w:r>
      <w:r w:rsidR="00D13735" w:rsidRPr="00672545">
        <w:rPr>
          <w:szCs w:val="26"/>
        </w:rPr>
        <w:t xml:space="preserve"> 175, 219 [a factor (b) incident of marginal significance given an inappropriate label could not have affected the outcome within any reasonable possibility]; </w:t>
      </w:r>
      <w:r w:rsidR="00D13735" w:rsidRPr="00672545">
        <w:rPr>
          <w:i/>
          <w:szCs w:val="26"/>
        </w:rPr>
        <w:t>People v. Clair</w:t>
      </w:r>
      <w:r w:rsidR="00D13735" w:rsidRPr="00672545">
        <w:rPr>
          <w:szCs w:val="26"/>
        </w:rPr>
        <w:t xml:space="preserve"> (1992) 2 Cal.4</w:t>
      </w:r>
      <w:r w:rsidR="00CE004D" w:rsidRPr="00672545">
        <w:rPr>
          <w:szCs w:val="26"/>
        </w:rPr>
        <w:t>th</w:t>
      </w:r>
      <w:r w:rsidR="00D13735" w:rsidRPr="00672545">
        <w:rPr>
          <w:szCs w:val="26"/>
        </w:rPr>
        <w:t xml:space="preserve"> 629, 681 [same].)  </w:t>
      </w:r>
    </w:p>
    <w:p w14:paraId="46E42B33" w14:textId="77777777" w:rsidR="00E20961" w:rsidRPr="00672545" w:rsidRDefault="008D13B9" w:rsidP="00672545">
      <w:pPr>
        <w:pStyle w:val="Heading3"/>
      </w:pPr>
      <w:bookmarkStart w:id="33" w:name="_Toc506979824"/>
      <w:r w:rsidRPr="00672545">
        <w:lastRenderedPageBreak/>
        <w:t xml:space="preserve">3.  </w:t>
      </w:r>
      <w:r w:rsidR="00D5617E" w:rsidRPr="00672545">
        <w:t xml:space="preserve">Failure of CALJIC No. 8.87 to </w:t>
      </w:r>
      <w:r w:rsidR="00C524AC" w:rsidRPr="00672545">
        <w:t xml:space="preserve">Submit the Question of Force or Violence to the Jury  </w:t>
      </w:r>
      <w:bookmarkEnd w:id="33"/>
    </w:p>
    <w:p w14:paraId="3A5A0D1C" w14:textId="77777777" w:rsidR="00055AA7" w:rsidRPr="00672545" w:rsidRDefault="00A35C07" w:rsidP="00672545">
      <w:pPr>
        <w:tabs>
          <w:tab w:val="left" w:pos="720"/>
        </w:tabs>
        <w:rPr>
          <w:szCs w:val="26"/>
        </w:rPr>
      </w:pPr>
      <w:r w:rsidRPr="00672545">
        <w:rPr>
          <w:szCs w:val="26"/>
        </w:rPr>
        <w:tab/>
      </w:r>
      <w:r w:rsidR="0005288E" w:rsidRPr="00672545">
        <w:rPr>
          <w:szCs w:val="26"/>
        </w:rPr>
        <w:t xml:space="preserve">Defendant complains that CALJIC No. 8.87 </w:t>
      </w:r>
      <w:r w:rsidR="00002745" w:rsidRPr="00672545">
        <w:rPr>
          <w:szCs w:val="26"/>
        </w:rPr>
        <w:t xml:space="preserve">improperly </w:t>
      </w:r>
      <w:r w:rsidR="0005288E" w:rsidRPr="00672545">
        <w:rPr>
          <w:szCs w:val="26"/>
        </w:rPr>
        <w:t>fails to submit to the jury whether the crime involved the use or threatened use of force or violence.  Although this court has repeatedly rejected this claim (</w:t>
      </w:r>
      <w:r w:rsidR="00806145" w:rsidRPr="00672545">
        <w:rPr>
          <w:szCs w:val="26"/>
        </w:rPr>
        <w:t xml:space="preserve">e.g., </w:t>
      </w:r>
      <w:r w:rsidR="0005288E" w:rsidRPr="00672545">
        <w:rPr>
          <w:i/>
          <w:szCs w:val="26"/>
        </w:rPr>
        <w:t>People v. Streeter</w:t>
      </w:r>
      <w:r w:rsidR="0005288E" w:rsidRPr="00672545">
        <w:rPr>
          <w:szCs w:val="26"/>
        </w:rPr>
        <w:t xml:space="preserve"> (2012) 54 Cal.4</w:t>
      </w:r>
      <w:r w:rsidR="00CE004D" w:rsidRPr="00672545">
        <w:rPr>
          <w:szCs w:val="26"/>
        </w:rPr>
        <w:t>th</w:t>
      </w:r>
      <w:r w:rsidR="0005288E" w:rsidRPr="00672545">
        <w:rPr>
          <w:szCs w:val="26"/>
        </w:rPr>
        <w:t xml:space="preserve"> 205, 266; </w:t>
      </w:r>
      <w:r w:rsidR="0005288E" w:rsidRPr="00672545">
        <w:rPr>
          <w:i/>
          <w:szCs w:val="26"/>
        </w:rPr>
        <w:t xml:space="preserve">People v. </w:t>
      </w:r>
      <w:proofErr w:type="spellStart"/>
      <w:r w:rsidR="0005288E" w:rsidRPr="00672545">
        <w:rPr>
          <w:i/>
          <w:szCs w:val="26"/>
        </w:rPr>
        <w:t>Loker</w:t>
      </w:r>
      <w:proofErr w:type="spellEnd"/>
      <w:r w:rsidR="0005288E" w:rsidRPr="00672545">
        <w:rPr>
          <w:i/>
          <w:szCs w:val="26"/>
        </w:rPr>
        <w:t xml:space="preserve"> </w:t>
      </w:r>
      <w:r w:rsidR="0005288E" w:rsidRPr="00672545">
        <w:rPr>
          <w:szCs w:val="26"/>
        </w:rPr>
        <w:t>(2008) 44 Cal.4</w:t>
      </w:r>
      <w:r w:rsidR="00CE004D" w:rsidRPr="00672545">
        <w:rPr>
          <w:szCs w:val="26"/>
        </w:rPr>
        <w:t>th</w:t>
      </w:r>
      <w:r w:rsidR="0005288E" w:rsidRPr="00672545">
        <w:rPr>
          <w:szCs w:val="26"/>
        </w:rPr>
        <w:t xml:space="preserve"> 691, 745; </w:t>
      </w:r>
      <w:r w:rsidR="0005288E" w:rsidRPr="00672545">
        <w:rPr>
          <w:i/>
          <w:szCs w:val="26"/>
        </w:rPr>
        <w:t xml:space="preserve">People v. Nakahara </w:t>
      </w:r>
      <w:r w:rsidR="0005288E" w:rsidRPr="00672545">
        <w:rPr>
          <w:szCs w:val="26"/>
        </w:rPr>
        <w:t>(2003) 30 Cal.4</w:t>
      </w:r>
      <w:r w:rsidR="00CE004D" w:rsidRPr="00672545">
        <w:rPr>
          <w:szCs w:val="26"/>
        </w:rPr>
        <w:t>th</w:t>
      </w:r>
      <w:r w:rsidR="0005288E" w:rsidRPr="00672545">
        <w:rPr>
          <w:szCs w:val="26"/>
        </w:rPr>
        <w:t xml:space="preserve"> 705, 720</w:t>
      </w:r>
      <w:r w:rsidR="00AB3B8F" w:rsidRPr="00672545">
        <w:rPr>
          <w:szCs w:val="26"/>
        </w:rPr>
        <w:t xml:space="preserve"> (</w:t>
      </w:r>
      <w:r w:rsidR="00AB3B8F" w:rsidRPr="00672545">
        <w:rPr>
          <w:i/>
          <w:szCs w:val="26"/>
        </w:rPr>
        <w:t>Nakahara</w:t>
      </w:r>
      <w:r w:rsidR="00AB3B8F" w:rsidRPr="00672545">
        <w:rPr>
          <w:szCs w:val="26"/>
        </w:rPr>
        <w:t>)</w:t>
      </w:r>
      <w:r w:rsidR="0005288E" w:rsidRPr="00672545">
        <w:rPr>
          <w:szCs w:val="26"/>
        </w:rPr>
        <w:t xml:space="preserve">), defendant asks us to reconsider our position </w:t>
      </w:r>
      <w:proofErr w:type="gramStart"/>
      <w:r w:rsidR="0005288E" w:rsidRPr="00672545">
        <w:rPr>
          <w:szCs w:val="26"/>
        </w:rPr>
        <w:t>in light of</w:t>
      </w:r>
      <w:proofErr w:type="gramEnd"/>
      <w:r w:rsidR="0005288E" w:rsidRPr="00672545">
        <w:rPr>
          <w:szCs w:val="26"/>
        </w:rPr>
        <w:t xml:space="preserve"> Evidence Code section 403.  </w:t>
      </w:r>
    </w:p>
    <w:p w14:paraId="2BB5ACE3" w14:textId="77777777" w:rsidR="0005288E" w:rsidRPr="00672545" w:rsidRDefault="0005288E" w:rsidP="00672545">
      <w:pPr>
        <w:tabs>
          <w:tab w:val="left" w:pos="720"/>
        </w:tabs>
        <w:rPr>
          <w:szCs w:val="26"/>
        </w:rPr>
      </w:pPr>
      <w:r w:rsidRPr="00672545">
        <w:rPr>
          <w:szCs w:val="26"/>
        </w:rPr>
        <w:tab/>
        <w:t>Initially, we reject the People’s argument that the issue is forfeited because defendant failed</w:t>
      </w:r>
      <w:r w:rsidR="00511FE5" w:rsidRPr="00672545">
        <w:rPr>
          <w:szCs w:val="26"/>
        </w:rPr>
        <w:t xml:space="preserve"> </w:t>
      </w:r>
      <w:r w:rsidRPr="00672545">
        <w:rPr>
          <w:szCs w:val="26"/>
        </w:rPr>
        <w:t>to renew</w:t>
      </w:r>
      <w:r w:rsidR="00D36ECD" w:rsidRPr="00672545">
        <w:rPr>
          <w:szCs w:val="26"/>
        </w:rPr>
        <w:t xml:space="preserve">, </w:t>
      </w:r>
      <w:r w:rsidR="00D92AE2" w:rsidRPr="00672545">
        <w:rPr>
          <w:szCs w:val="26"/>
        </w:rPr>
        <w:t>when</w:t>
      </w:r>
      <w:r w:rsidR="00D36ECD" w:rsidRPr="00672545">
        <w:rPr>
          <w:szCs w:val="26"/>
        </w:rPr>
        <w:t xml:space="preserve"> jury instructions were discussed with the court,</w:t>
      </w:r>
      <w:r w:rsidRPr="00672545">
        <w:rPr>
          <w:szCs w:val="26"/>
        </w:rPr>
        <w:t xml:space="preserve"> his written request to </w:t>
      </w:r>
      <w:r w:rsidR="00D92AE2" w:rsidRPr="00672545">
        <w:rPr>
          <w:szCs w:val="26"/>
        </w:rPr>
        <w:t xml:space="preserve">so </w:t>
      </w:r>
      <w:r w:rsidRPr="00672545">
        <w:rPr>
          <w:szCs w:val="26"/>
        </w:rPr>
        <w:t>modify the instruction.</w:t>
      </w:r>
      <w:r w:rsidR="00F81CD5" w:rsidRPr="00672545">
        <w:rPr>
          <w:szCs w:val="26"/>
        </w:rPr>
        <w:t xml:space="preserve">  </w:t>
      </w:r>
      <w:r w:rsidR="0017224E" w:rsidRPr="00672545">
        <w:rPr>
          <w:szCs w:val="26"/>
        </w:rPr>
        <w:t>We note</w:t>
      </w:r>
      <w:r w:rsidR="009C6684" w:rsidRPr="00672545">
        <w:rPr>
          <w:szCs w:val="26"/>
        </w:rPr>
        <w:t xml:space="preserve"> </w:t>
      </w:r>
      <w:r w:rsidR="0017224E" w:rsidRPr="00672545">
        <w:rPr>
          <w:szCs w:val="26"/>
        </w:rPr>
        <w:t>that e</w:t>
      </w:r>
      <w:r w:rsidR="00883E34" w:rsidRPr="00672545">
        <w:rPr>
          <w:szCs w:val="26"/>
        </w:rPr>
        <w:t xml:space="preserve">ven if defendant had completely failed to object at trial, we </w:t>
      </w:r>
      <w:r w:rsidR="0037557B" w:rsidRPr="00672545">
        <w:rPr>
          <w:szCs w:val="26"/>
        </w:rPr>
        <w:t>may</w:t>
      </w:r>
      <w:r w:rsidR="00883E34" w:rsidRPr="00672545">
        <w:rPr>
          <w:szCs w:val="26"/>
        </w:rPr>
        <w:t xml:space="preserve"> review his claim on appeal to the extent his claim of instructional error affected his substantial rights.  (</w:t>
      </w:r>
      <w:r w:rsidR="00883E34" w:rsidRPr="00672545">
        <w:rPr>
          <w:i/>
          <w:szCs w:val="26"/>
        </w:rPr>
        <w:t xml:space="preserve">People v. D’Arcy </w:t>
      </w:r>
      <w:r w:rsidR="00883E34" w:rsidRPr="00672545">
        <w:rPr>
          <w:szCs w:val="26"/>
        </w:rPr>
        <w:t>(2010) 48 Cal.4</w:t>
      </w:r>
      <w:r w:rsidR="00CE004D" w:rsidRPr="00672545">
        <w:rPr>
          <w:szCs w:val="26"/>
        </w:rPr>
        <w:t>th</w:t>
      </w:r>
      <w:r w:rsidR="00883E34" w:rsidRPr="00672545">
        <w:rPr>
          <w:szCs w:val="26"/>
        </w:rPr>
        <w:t xml:space="preserve"> 257, 302.)</w:t>
      </w:r>
    </w:p>
    <w:p w14:paraId="73B63F67" w14:textId="77777777" w:rsidR="005F0CF6" w:rsidRPr="00672545" w:rsidRDefault="00883E34" w:rsidP="00672545">
      <w:pPr>
        <w:tabs>
          <w:tab w:val="left" w:pos="720"/>
        </w:tabs>
        <w:rPr>
          <w:szCs w:val="26"/>
        </w:rPr>
      </w:pPr>
      <w:r w:rsidRPr="00672545">
        <w:rPr>
          <w:szCs w:val="26"/>
        </w:rPr>
        <w:tab/>
      </w:r>
      <w:r w:rsidR="0017224E" w:rsidRPr="00672545">
        <w:rPr>
          <w:szCs w:val="26"/>
        </w:rPr>
        <w:t>Nevertheless, o</w:t>
      </w:r>
      <w:r w:rsidRPr="00672545">
        <w:rPr>
          <w:szCs w:val="26"/>
        </w:rPr>
        <w:t>n the merits, defendant fails to persuade us to reconsider our position that CALJIC No. 8.87</w:t>
      </w:r>
      <w:r w:rsidR="00083AE1" w:rsidRPr="00672545">
        <w:rPr>
          <w:szCs w:val="26"/>
        </w:rPr>
        <w:t xml:space="preserve"> is not defective </w:t>
      </w:r>
      <w:r w:rsidR="00736BFB" w:rsidRPr="00672545">
        <w:rPr>
          <w:szCs w:val="26"/>
        </w:rPr>
        <w:t>for failing to submit</w:t>
      </w:r>
      <w:r w:rsidR="00083AE1" w:rsidRPr="00672545">
        <w:rPr>
          <w:szCs w:val="26"/>
        </w:rPr>
        <w:t xml:space="preserve"> the question of force or violence for purposes of factor (b) other crimes evidence to the </w:t>
      </w:r>
      <w:r w:rsidR="00D711F5" w:rsidRPr="00672545">
        <w:rPr>
          <w:szCs w:val="26"/>
        </w:rPr>
        <w:t>jury</w:t>
      </w:r>
      <w:r w:rsidR="00083AE1" w:rsidRPr="00672545">
        <w:rPr>
          <w:szCs w:val="26"/>
        </w:rPr>
        <w:t xml:space="preserve">. </w:t>
      </w:r>
      <w:r w:rsidR="00D711F5" w:rsidRPr="00672545">
        <w:rPr>
          <w:szCs w:val="26"/>
        </w:rPr>
        <w:t xml:space="preserve"> </w:t>
      </w:r>
      <w:r w:rsidR="00AB3B8F" w:rsidRPr="00672545">
        <w:rPr>
          <w:szCs w:val="26"/>
        </w:rPr>
        <w:t xml:space="preserve">As we have explained, “[t]he question whether the acts occurred is certainly a factual matter for the jury, but the </w:t>
      </w:r>
      <w:r w:rsidR="00AB3B8F" w:rsidRPr="00672545">
        <w:rPr>
          <w:i/>
          <w:szCs w:val="26"/>
        </w:rPr>
        <w:t>characterization</w:t>
      </w:r>
      <w:r w:rsidR="00AB3B8F" w:rsidRPr="00672545">
        <w:rPr>
          <w:szCs w:val="26"/>
        </w:rPr>
        <w:t xml:space="preserve"> of those acts as involving an express or implied use of force or </w:t>
      </w:r>
      <w:proofErr w:type="gramStart"/>
      <w:r w:rsidR="00AB3B8F" w:rsidRPr="00672545">
        <w:rPr>
          <w:szCs w:val="26"/>
        </w:rPr>
        <w:t>violence .</w:t>
      </w:r>
      <w:proofErr w:type="gramEnd"/>
      <w:r w:rsidR="00AB3B8F" w:rsidRPr="00672545">
        <w:rPr>
          <w:szCs w:val="26"/>
        </w:rPr>
        <w:t xml:space="preserve"> . . [is] a legal matter properly decided by the court.”  </w:t>
      </w:r>
      <w:r w:rsidR="00083AE1" w:rsidRPr="00672545">
        <w:rPr>
          <w:szCs w:val="26"/>
        </w:rPr>
        <w:t>(</w:t>
      </w:r>
      <w:r w:rsidR="00083AE1" w:rsidRPr="00672545">
        <w:rPr>
          <w:i/>
          <w:szCs w:val="26"/>
        </w:rPr>
        <w:t>Nakahara, supra</w:t>
      </w:r>
      <w:r w:rsidR="00083AE1" w:rsidRPr="00672545">
        <w:rPr>
          <w:szCs w:val="26"/>
        </w:rPr>
        <w:t>, 30 Cal.4</w:t>
      </w:r>
      <w:r w:rsidR="00CE004D" w:rsidRPr="00672545">
        <w:rPr>
          <w:szCs w:val="26"/>
        </w:rPr>
        <w:t>th</w:t>
      </w:r>
      <w:r w:rsidR="00083AE1" w:rsidRPr="00672545">
        <w:rPr>
          <w:szCs w:val="26"/>
        </w:rPr>
        <w:t xml:space="preserve"> at p. 720.)  In contrast, Evidence Code section 403 is concerned with a </w:t>
      </w:r>
      <w:r w:rsidR="000E5191" w:rsidRPr="00672545">
        <w:rPr>
          <w:szCs w:val="26"/>
        </w:rPr>
        <w:t xml:space="preserve">trial </w:t>
      </w:r>
      <w:r w:rsidR="00083AE1" w:rsidRPr="00672545">
        <w:rPr>
          <w:szCs w:val="26"/>
        </w:rPr>
        <w:t xml:space="preserve">court’s initial determination that </w:t>
      </w:r>
      <w:proofErr w:type="gramStart"/>
      <w:r w:rsidR="00083AE1" w:rsidRPr="00672545">
        <w:rPr>
          <w:szCs w:val="26"/>
        </w:rPr>
        <w:t>sufficient</w:t>
      </w:r>
      <w:proofErr w:type="gramEnd"/>
      <w:r w:rsidR="00083AE1" w:rsidRPr="00672545">
        <w:rPr>
          <w:szCs w:val="26"/>
        </w:rPr>
        <w:t xml:space="preserve"> evidence has been produced to show the existence of a preliminary fact necessary to support admission of proffered evidence, and the court’s duty to instruct, on request, that the jury determine whether the preliminary </w:t>
      </w:r>
      <w:r w:rsidR="00083AE1" w:rsidRPr="00672545">
        <w:rPr>
          <w:szCs w:val="26"/>
        </w:rPr>
        <w:lastRenderedPageBreak/>
        <w:t>facts exists before it considers the evidence</w:t>
      </w:r>
      <w:r w:rsidR="005D7961" w:rsidRPr="00672545">
        <w:rPr>
          <w:szCs w:val="26"/>
        </w:rPr>
        <w:t xml:space="preserve"> introduced</w:t>
      </w:r>
      <w:r w:rsidR="00083AE1" w:rsidRPr="00672545">
        <w:rPr>
          <w:szCs w:val="26"/>
        </w:rPr>
        <w:t>.  (</w:t>
      </w:r>
      <w:r w:rsidR="00A7272F" w:rsidRPr="00672545">
        <w:rPr>
          <w:i/>
          <w:szCs w:val="26"/>
        </w:rPr>
        <w:t xml:space="preserve">People v. Lewis </w:t>
      </w:r>
      <w:r w:rsidR="00A7272F" w:rsidRPr="00672545">
        <w:rPr>
          <w:szCs w:val="26"/>
        </w:rPr>
        <w:t>(2001) 26 Cal.4th 334, 362</w:t>
      </w:r>
      <w:r w:rsidR="00BE090D" w:rsidRPr="00672545">
        <w:rPr>
          <w:szCs w:val="26"/>
        </w:rPr>
        <w:t>.</w:t>
      </w:r>
      <w:r w:rsidR="00083AE1" w:rsidRPr="00672545">
        <w:rPr>
          <w:szCs w:val="26"/>
        </w:rPr>
        <w:t>)  Evidence Code section 403</w:t>
      </w:r>
      <w:r w:rsidR="0037557B" w:rsidRPr="00672545">
        <w:rPr>
          <w:szCs w:val="26"/>
        </w:rPr>
        <w:t>,</w:t>
      </w:r>
      <w:r w:rsidR="00083AE1" w:rsidRPr="00672545">
        <w:rPr>
          <w:szCs w:val="26"/>
        </w:rPr>
        <w:t xml:space="preserve"> dealing with a </w:t>
      </w:r>
      <w:r w:rsidR="00083AE1" w:rsidRPr="00672545">
        <w:rPr>
          <w:i/>
          <w:szCs w:val="26"/>
        </w:rPr>
        <w:t>factual</w:t>
      </w:r>
      <w:r w:rsidR="00083AE1" w:rsidRPr="00672545">
        <w:rPr>
          <w:szCs w:val="26"/>
        </w:rPr>
        <w:t xml:space="preserve"> determination</w:t>
      </w:r>
      <w:r w:rsidR="0037557B" w:rsidRPr="00672545">
        <w:rPr>
          <w:szCs w:val="26"/>
        </w:rPr>
        <w:t>, is in</w:t>
      </w:r>
      <w:r w:rsidR="00083AE1" w:rsidRPr="00672545">
        <w:rPr>
          <w:szCs w:val="26"/>
        </w:rPr>
        <w:t xml:space="preserve">applicable </w:t>
      </w:r>
      <w:r w:rsidR="000E5191" w:rsidRPr="00672545">
        <w:rPr>
          <w:szCs w:val="26"/>
        </w:rPr>
        <w:t xml:space="preserve">to the </w:t>
      </w:r>
      <w:r w:rsidR="000E5191" w:rsidRPr="00672545">
        <w:rPr>
          <w:i/>
          <w:szCs w:val="26"/>
        </w:rPr>
        <w:t>legal</w:t>
      </w:r>
      <w:r w:rsidR="000E5191" w:rsidRPr="00672545">
        <w:rPr>
          <w:szCs w:val="26"/>
        </w:rPr>
        <w:t xml:space="preserve"> question involved here</w:t>
      </w:r>
      <w:r w:rsidR="00083AE1" w:rsidRPr="00672545">
        <w:rPr>
          <w:szCs w:val="26"/>
        </w:rPr>
        <w:t xml:space="preserve">.  </w:t>
      </w:r>
    </w:p>
    <w:p w14:paraId="31AB4270" w14:textId="77777777" w:rsidR="00985365" w:rsidRPr="00672545" w:rsidRDefault="00D711F5" w:rsidP="00672545">
      <w:pPr>
        <w:pStyle w:val="Heading3"/>
      </w:pPr>
      <w:bookmarkStart w:id="34" w:name="_Toc506979825"/>
      <w:r w:rsidRPr="00672545">
        <w:t xml:space="preserve">4.  </w:t>
      </w:r>
      <w:r w:rsidR="00B76478" w:rsidRPr="00672545">
        <w:t xml:space="preserve">Admission </w:t>
      </w:r>
      <w:r w:rsidR="006C184E" w:rsidRPr="00672545">
        <w:t xml:space="preserve">and Use </w:t>
      </w:r>
      <w:r w:rsidR="00B76478" w:rsidRPr="00672545">
        <w:t xml:space="preserve">of the </w:t>
      </w:r>
      <w:r w:rsidR="002E610E" w:rsidRPr="00672545">
        <w:t xml:space="preserve">Child </w:t>
      </w:r>
      <w:r w:rsidR="00B76478" w:rsidRPr="00672545">
        <w:t xml:space="preserve">Pornography Evidence at the Penalty Phase </w:t>
      </w:r>
      <w:bookmarkEnd w:id="34"/>
    </w:p>
    <w:p w14:paraId="12208B72" w14:textId="77777777" w:rsidR="00535078" w:rsidRPr="00672545" w:rsidRDefault="00822E9E" w:rsidP="00672545">
      <w:pPr>
        <w:tabs>
          <w:tab w:val="left" w:pos="720"/>
        </w:tabs>
        <w:rPr>
          <w:szCs w:val="26"/>
        </w:rPr>
      </w:pPr>
      <w:r w:rsidRPr="00672545">
        <w:rPr>
          <w:szCs w:val="26"/>
        </w:rPr>
        <w:tab/>
      </w:r>
      <w:r w:rsidR="00D2346C" w:rsidRPr="00672545">
        <w:rPr>
          <w:szCs w:val="26"/>
        </w:rPr>
        <w:t>Defendant c</w:t>
      </w:r>
      <w:r w:rsidR="005E2102" w:rsidRPr="00672545">
        <w:rPr>
          <w:szCs w:val="26"/>
        </w:rPr>
        <w:t>laims</w:t>
      </w:r>
      <w:r w:rsidR="00D2346C" w:rsidRPr="00672545">
        <w:rPr>
          <w:szCs w:val="26"/>
        </w:rPr>
        <w:t xml:space="preserve"> his death sentence must be reversed because of the </w:t>
      </w:r>
      <w:r w:rsidR="003209D5" w:rsidRPr="00672545">
        <w:rPr>
          <w:szCs w:val="26"/>
        </w:rPr>
        <w:t xml:space="preserve">assertedly </w:t>
      </w:r>
      <w:r w:rsidR="00D2346C" w:rsidRPr="00672545">
        <w:rPr>
          <w:szCs w:val="26"/>
        </w:rPr>
        <w:t>erroneous admission of the</w:t>
      </w:r>
      <w:r w:rsidR="002E610E" w:rsidRPr="00672545">
        <w:rPr>
          <w:szCs w:val="26"/>
        </w:rPr>
        <w:t xml:space="preserve"> child</w:t>
      </w:r>
      <w:r w:rsidR="00D2346C" w:rsidRPr="00672545">
        <w:rPr>
          <w:szCs w:val="26"/>
        </w:rPr>
        <w:t xml:space="preserve"> pornography evidence at the penalty phase</w:t>
      </w:r>
      <w:r w:rsidR="005E2102" w:rsidRPr="00672545">
        <w:rPr>
          <w:szCs w:val="26"/>
        </w:rPr>
        <w:t xml:space="preserve"> of his trial.</w:t>
      </w:r>
      <w:r w:rsidR="00FE422B" w:rsidRPr="00672545">
        <w:rPr>
          <w:szCs w:val="26"/>
        </w:rPr>
        <w:t xml:space="preserve">  </w:t>
      </w:r>
    </w:p>
    <w:p w14:paraId="05925634" w14:textId="77777777" w:rsidR="00D711F5" w:rsidRPr="00672545" w:rsidRDefault="00535078" w:rsidP="00672545">
      <w:pPr>
        <w:tabs>
          <w:tab w:val="left" w:pos="720"/>
        </w:tabs>
        <w:rPr>
          <w:szCs w:val="26"/>
        </w:rPr>
      </w:pPr>
      <w:r w:rsidRPr="00672545">
        <w:rPr>
          <w:szCs w:val="26"/>
        </w:rPr>
        <w:tab/>
      </w:r>
      <w:r w:rsidR="00A95AFE" w:rsidRPr="00672545">
        <w:rPr>
          <w:szCs w:val="26"/>
        </w:rPr>
        <w:t>De</w:t>
      </w:r>
      <w:r w:rsidRPr="00672545">
        <w:rPr>
          <w:szCs w:val="26"/>
        </w:rPr>
        <w:t xml:space="preserve">fendant </w:t>
      </w:r>
      <w:r w:rsidR="00A95AFE" w:rsidRPr="00672545">
        <w:rPr>
          <w:szCs w:val="26"/>
        </w:rPr>
        <w:t xml:space="preserve">first </w:t>
      </w:r>
      <w:r w:rsidR="00257F2A" w:rsidRPr="00672545">
        <w:rPr>
          <w:szCs w:val="26"/>
        </w:rPr>
        <w:t>reasserts h</w:t>
      </w:r>
      <w:r w:rsidR="0049578C" w:rsidRPr="00672545">
        <w:rPr>
          <w:szCs w:val="26"/>
        </w:rPr>
        <w:t xml:space="preserve">is </w:t>
      </w:r>
      <w:r w:rsidR="00257F2A" w:rsidRPr="00672545">
        <w:rPr>
          <w:szCs w:val="26"/>
        </w:rPr>
        <w:t>claims that the trial court</w:t>
      </w:r>
      <w:r w:rsidR="001B263B" w:rsidRPr="00672545">
        <w:rPr>
          <w:szCs w:val="26"/>
        </w:rPr>
        <w:t xml:space="preserve"> improper</w:t>
      </w:r>
      <w:r w:rsidR="00257F2A" w:rsidRPr="00672545">
        <w:rPr>
          <w:szCs w:val="26"/>
        </w:rPr>
        <w:t>ly</w:t>
      </w:r>
      <w:r w:rsidR="001B263B" w:rsidRPr="00672545">
        <w:rPr>
          <w:szCs w:val="26"/>
        </w:rPr>
        <w:t xml:space="preserve"> join</w:t>
      </w:r>
      <w:r w:rsidR="00257F2A" w:rsidRPr="00672545">
        <w:rPr>
          <w:szCs w:val="26"/>
        </w:rPr>
        <w:t>e</w:t>
      </w:r>
      <w:r w:rsidR="001B263B" w:rsidRPr="00672545">
        <w:rPr>
          <w:szCs w:val="26"/>
        </w:rPr>
        <w:t xml:space="preserve">d the child pornography count to the other charges and </w:t>
      </w:r>
      <w:r w:rsidR="00E72758" w:rsidRPr="00672545">
        <w:rPr>
          <w:szCs w:val="26"/>
        </w:rPr>
        <w:t>erroneous</w:t>
      </w:r>
      <w:r w:rsidR="00257F2A" w:rsidRPr="00672545">
        <w:rPr>
          <w:szCs w:val="26"/>
        </w:rPr>
        <w:t>ly</w:t>
      </w:r>
      <w:r w:rsidR="00E72758" w:rsidRPr="00672545">
        <w:rPr>
          <w:szCs w:val="26"/>
        </w:rPr>
        <w:t xml:space="preserve"> admi</w:t>
      </w:r>
      <w:r w:rsidR="00257F2A" w:rsidRPr="00672545">
        <w:rPr>
          <w:szCs w:val="26"/>
        </w:rPr>
        <w:t xml:space="preserve">tted </w:t>
      </w:r>
      <w:r w:rsidR="00E72758" w:rsidRPr="00672545">
        <w:rPr>
          <w:szCs w:val="26"/>
        </w:rPr>
        <w:t>the pornography evidence at the guilt phase</w:t>
      </w:r>
      <w:r w:rsidR="00257F2A" w:rsidRPr="00672545">
        <w:rPr>
          <w:szCs w:val="26"/>
        </w:rPr>
        <w:t xml:space="preserve">. </w:t>
      </w:r>
      <w:r w:rsidR="00F61816" w:rsidRPr="00672545">
        <w:rPr>
          <w:szCs w:val="26"/>
        </w:rPr>
        <w:t xml:space="preserve"> </w:t>
      </w:r>
      <w:r w:rsidR="00257F2A" w:rsidRPr="00672545">
        <w:rPr>
          <w:szCs w:val="26"/>
        </w:rPr>
        <w:t xml:space="preserve">He </w:t>
      </w:r>
      <w:r w:rsidR="00E56E2A" w:rsidRPr="00672545">
        <w:rPr>
          <w:szCs w:val="26"/>
        </w:rPr>
        <w:t>contends</w:t>
      </w:r>
      <w:r w:rsidR="00257F2A" w:rsidRPr="00672545">
        <w:rPr>
          <w:szCs w:val="26"/>
        </w:rPr>
        <w:t xml:space="preserve"> that </w:t>
      </w:r>
      <w:r w:rsidR="00D2346C" w:rsidRPr="00672545">
        <w:rPr>
          <w:szCs w:val="26"/>
        </w:rPr>
        <w:t>the</w:t>
      </w:r>
      <w:r w:rsidR="00715D04" w:rsidRPr="00672545">
        <w:rPr>
          <w:szCs w:val="26"/>
        </w:rPr>
        <w:t xml:space="preserve"> prejudicial effect of the</w:t>
      </w:r>
      <w:r w:rsidR="00257F2A" w:rsidRPr="00672545">
        <w:rPr>
          <w:szCs w:val="26"/>
        </w:rPr>
        <w:t>se</w:t>
      </w:r>
      <w:r w:rsidR="00D2346C" w:rsidRPr="00672545">
        <w:rPr>
          <w:szCs w:val="26"/>
        </w:rPr>
        <w:t xml:space="preserve"> errors w</w:t>
      </w:r>
      <w:r w:rsidR="00715D04" w:rsidRPr="00672545">
        <w:rPr>
          <w:szCs w:val="26"/>
        </w:rPr>
        <w:t>as</w:t>
      </w:r>
      <w:r w:rsidR="00D2346C" w:rsidRPr="00672545">
        <w:rPr>
          <w:szCs w:val="26"/>
        </w:rPr>
        <w:t xml:space="preserve"> compounded in the penalty phase by </w:t>
      </w:r>
      <w:r w:rsidR="00F66997" w:rsidRPr="00672545">
        <w:rPr>
          <w:szCs w:val="26"/>
        </w:rPr>
        <w:t xml:space="preserve">admission of the evidence as </w:t>
      </w:r>
      <w:r w:rsidR="0004739D" w:rsidRPr="00672545">
        <w:rPr>
          <w:szCs w:val="26"/>
        </w:rPr>
        <w:t xml:space="preserve">part of the prosecution’s case in </w:t>
      </w:r>
      <w:r w:rsidR="00F66997" w:rsidRPr="00672545">
        <w:rPr>
          <w:szCs w:val="26"/>
        </w:rPr>
        <w:t>aggravati</w:t>
      </w:r>
      <w:r w:rsidR="0004739D" w:rsidRPr="00672545">
        <w:rPr>
          <w:szCs w:val="26"/>
        </w:rPr>
        <w:t>on</w:t>
      </w:r>
      <w:r w:rsidR="00F66997" w:rsidRPr="00672545">
        <w:rPr>
          <w:szCs w:val="26"/>
        </w:rPr>
        <w:t xml:space="preserve"> and the </w:t>
      </w:r>
      <w:r w:rsidR="00D2346C" w:rsidRPr="00672545">
        <w:rPr>
          <w:szCs w:val="26"/>
        </w:rPr>
        <w:t xml:space="preserve">prosecutor’s </w:t>
      </w:r>
      <w:r w:rsidR="0004739D" w:rsidRPr="00672545">
        <w:rPr>
          <w:szCs w:val="26"/>
        </w:rPr>
        <w:t xml:space="preserve">references to it in his </w:t>
      </w:r>
      <w:r w:rsidR="00245EA1" w:rsidRPr="00672545">
        <w:rPr>
          <w:szCs w:val="26"/>
        </w:rPr>
        <w:t xml:space="preserve">penalty phase </w:t>
      </w:r>
      <w:r w:rsidR="00D2346C" w:rsidRPr="00672545">
        <w:rPr>
          <w:szCs w:val="26"/>
        </w:rPr>
        <w:t>closing argument</w:t>
      </w:r>
      <w:r w:rsidR="009449C7" w:rsidRPr="00672545">
        <w:rPr>
          <w:szCs w:val="26"/>
        </w:rPr>
        <w:t>.  Because</w:t>
      </w:r>
      <w:r w:rsidR="00715D04" w:rsidRPr="00672545">
        <w:rPr>
          <w:szCs w:val="26"/>
        </w:rPr>
        <w:t xml:space="preserve"> we have rejected defendant’s claims of error in joinder and admission of the evidence (see </w:t>
      </w:r>
      <w:r w:rsidR="00715D04" w:rsidRPr="00672545">
        <w:rPr>
          <w:i/>
          <w:szCs w:val="26"/>
        </w:rPr>
        <w:t>ante</w:t>
      </w:r>
      <w:r w:rsidR="00715D04" w:rsidRPr="00672545">
        <w:rPr>
          <w:szCs w:val="26"/>
        </w:rPr>
        <w:t xml:space="preserve">, Part II.A.5 &amp; Part II.A.6), there is no error to be compounded.  </w:t>
      </w:r>
    </w:p>
    <w:p w14:paraId="5A01CECC" w14:textId="77777777" w:rsidR="00BD7E68" w:rsidRPr="00672545" w:rsidRDefault="00715D04" w:rsidP="00672545">
      <w:pPr>
        <w:tabs>
          <w:tab w:val="left" w:pos="720"/>
        </w:tabs>
        <w:rPr>
          <w:szCs w:val="26"/>
        </w:rPr>
      </w:pPr>
      <w:r w:rsidRPr="00672545">
        <w:rPr>
          <w:szCs w:val="26"/>
        </w:rPr>
        <w:tab/>
        <w:t xml:space="preserve">Defendant </w:t>
      </w:r>
      <w:r w:rsidR="00A95AFE" w:rsidRPr="00672545">
        <w:rPr>
          <w:szCs w:val="26"/>
        </w:rPr>
        <w:t xml:space="preserve">next </w:t>
      </w:r>
      <w:r w:rsidRPr="00672545">
        <w:rPr>
          <w:szCs w:val="26"/>
        </w:rPr>
        <w:t xml:space="preserve">contends that even if there was no error in joinder or in the </w:t>
      </w:r>
      <w:r w:rsidR="006B612C" w:rsidRPr="00672545">
        <w:rPr>
          <w:szCs w:val="26"/>
        </w:rPr>
        <w:t xml:space="preserve">guilt phase </w:t>
      </w:r>
      <w:r w:rsidRPr="00672545">
        <w:rPr>
          <w:szCs w:val="26"/>
        </w:rPr>
        <w:t>admission of the</w:t>
      </w:r>
      <w:r w:rsidR="000460A4" w:rsidRPr="00672545">
        <w:rPr>
          <w:szCs w:val="26"/>
        </w:rPr>
        <w:t xml:space="preserve"> child</w:t>
      </w:r>
      <w:r w:rsidRPr="00672545">
        <w:rPr>
          <w:szCs w:val="26"/>
        </w:rPr>
        <w:t xml:space="preserve"> pornographic evidence, </w:t>
      </w:r>
      <w:r w:rsidR="00EC70F3" w:rsidRPr="00672545">
        <w:rPr>
          <w:szCs w:val="26"/>
        </w:rPr>
        <w:t xml:space="preserve">nevertheless, </w:t>
      </w:r>
      <w:r w:rsidR="00C34027" w:rsidRPr="00672545">
        <w:rPr>
          <w:szCs w:val="26"/>
        </w:rPr>
        <w:t>the admission o</w:t>
      </w:r>
      <w:r w:rsidRPr="00672545">
        <w:rPr>
          <w:szCs w:val="26"/>
        </w:rPr>
        <w:t>f the</w:t>
      </w:r>
      <w:r w:rsidR="000460A4" w:rsidRPr="00672545">
        <w:rPr>
          <w:szCs w:val="26"/>
        </w:rPr>
        <w:t xml:space="preserve"> child</w:t>
      </w:r>
      <w:r w:rsidRPr="00672545">
        <w:rPr>
          <w:szCs w:val="26"/>
        </w:rPr>
        <w:t xml:space="preserve"> pornograph</w:t>
      </w:r>
      <w:r w:rsidR="00C34027" w:rsidRPr="00672545">
        <w:rPr>
          <w:szCs w:val="26"/>
        </w:rPr>
        <w:t>y</w:t>
      </w:r>
      <w:r w:rsidRPr="00672545">
        <w:rPr>
          <w:szCs w:val="26"/>
        </w:rPr>
        <w:t xml:space="preserve"> a</w:t>
      </w:r>
      <w:r w:rsidR="00C34027" w:rsidRPr="00672545">
        <w:rPr>
          <w:szCs w:val="26"/>
        </w:rPr>
        <w:t>t</w:t>
      </w:r>
      <w:r w:rsidRPr="00672545">
        <w:rPr>
          <w:szCs w:val="26"/>
        </w:rPr>
        <w:t xml:space="preserve"> </w:t>
      </w:r>
      <w:r w:rsidR="00C34027" w:rsidRPr="00672545">
        <w:rPr>
          <w:szCs w:val="26"/>
        </w:rPr>
        <w:t xml:space="preserve">the </w:t>
      </w:r>
      <w:r w:rsidR="006B612C" w:rsidRPr="00672545">
        <w:rPr>
          <w:szCs w:val="26"/>
        </w:rPr>
        <w:t xml:space="preserve">penalty phase </w:t>
      </w:r>
      <w:r w:rsidR="00C34027" w:rsidRPr="00672545">
        <w:rPr>
          <w:szCs w:val="26"/>
        </w:rPr>
        <w:t xml:space="preserve">as </w:t>
      </w:r>
      <w:r w:rsidR="00E67968" w:rsidRPr="00672545">
        <w:rPr>
          <w:szCs w:val="26"/>
        </w:rPr>
        <w:t xml:space="preserve">evidence </w:t>
      </w:r>
      <w:r w:rsidR="00C34027" w:rsidRPr="00672545">
        <w:rPr>
          <w:szCs w:val="26"/>
        </w:rPr>
        <w:t xml:space="preserve">in </w:t>
      </w:r>
      <w:r w:rsidR="00E67968" w:rsidRPr="00672545">
        <w:rPr>
          <w:szCs w:val="26"/>
        </w:rPr>
        <w:t xml:space="preserve">aggravation under </w:t>
      </w:r>
      <w:r w:rsidRPr="00672545">
        <w:rPr>
          <w:szCs w:val="26"/>
        </w:rPr>
        <w:t>factor (a)</w:t>
      </w:r>
      <w:r w:rsidR="00EC70F3" w:rsidRPr="00672545">
        <w:rPr>
          <w:szCs w:val="26"/>
        </w:rPr>
        <w:t xml:space="preserve"> constituted independent error</w:t>
      </w:r>
      <w:r w:rsidR="00E67968" w:rsidRPr="00672545">
        <w:rPr>
          <w:szCs w:val="26"/>
        </w:rPr>
        <w:t>.</w:t>
      </w:r>
      <w:r w:rsidRPr="00672545">
        <w:rPr>
          <w:szCs w:val="26"/>
        </w:rPr>
        <w:t xml:space="preserve"> </w:t>
      </w:r>
      <w:r w:rsidR="006B612C" w:rsidRPr="00672545">
        <w:rPr>
          <w:szCs w:val="26"/>
        </w:rPr>
        <w:t xml:space="preserve"> </w:t>
      </w:r>
    </w:p>
    <w:p w14:paraId="12675402" w14:textId="77777777" w:rsidR="00D711F5" w:rsidRPr="00672545" w:rsidRDefault="00BD7E68" w:rsidP="00672545">
      <w:pPr>
        <w:tabs>
          <w:tab w:val="left" w:pos="720"/>
        </w:tabs>
        <w:rPr>
          <w:szCs w:val="26"/>
        </w:rPr>
      </w:pPr>
      <w:r w:rsidRPr="00672545">
        <w:rPr>
          <w:szCs w:val="26"/>
        </w:rPr>
        <w:tab/>
        <w:t xml:space="preserve">Factor (a) allows the jury to consider “[t]he circumstances of the crime of which defendant was convicted in the present proceeding and the existence of any special circumstances found to be true.”  (§ 190.3, factor (a).)  </w:t>
      </w:r>
      <w:r w:rsidR="00A50FBC" w:rsidRPr="00672545">
        <w:rPr>
          <w:szCs w:val="26"/>
        </w:rPr>
        <w:t xml:space="preserve">Defendant </w:t>
      </w:r>
      <w:r w:rsidR="00A95AFE" w:rsidRPr="00672545">
        <w:rPr>
          <w:szCs w:val="26"/>
        </w:rPr>
        <w:t xml:space="preserve">argues that factor (a) evidence is limited under </w:t>
      </w:r>
      <w:r w:rsidR="00A0281C" w:rsidRPr="00672545">
        <w:rPr>
          <w:szCs w:val="26"/>
        </w:rPr>
        <w:t>the statute</w:t>
      </w:r>
      <w:r w:rsidR="00A95AFE" w:rsidRPr="00672545">
        <w:rPr>
          <w:szCs w:val="26"/>
        </w:rPr>
        <w:t xml:space="preserve"> to </w:t>
      </w:r>
      <w:r w:rsidR="00483BFA" w:rsidRPr="00672545">
        <w:rPr>
          <w:szCs w:val="26"/>
        </w:rPr>
        <w:t xml:space="preserve">the circumstances of </w:t>
      </w:r>
      <w:r w:rsidR="00A95AFE" w:rsidRPr="00672545">
        <w:rPr>
          <w:szCs w:val="26"/>
        </w:rPr>
        <w:t xml:space="preserve">only </w:t>
      </w:r>
      <w:r w:rsidR="00483BFA" w:rsidRPr="00672545">
        <w:rPr>
          <w:szCs w:val="26"/>
        </w:rPr>
        <w:t>the crimes that trigger</w:t>
      </w:r>
      <w:r w:rsidR="00793BEC" w:rsidRPr="00672545">
        <w:rPr>
          <w:szCs w:val="26"/>
        </w:rPr>
        <w:t>ed</w:t>
      </w:r>
      <w:r w:rsidR="00483BFA" w:rsidRPr="00672545">
        <w:rPr>
          <w:szCs w:val="26"/>
        </w:rPr>
        <w:t xml:space="preserve"> the death penalty</w:t>
      </w:r>
      <w:r w:rsidR="00A95AFE" w:rsidRPr="00672545">
        <w:rPr>
          <w:szCs w:val="26"/>
        </w:rPr>
        <w:t>.  Thus,</w:t>
      </w:r>
      <w:r w:rsidR="00483BFA" w:rsidRPr="00672545">
        <w:rPr>
          <w:szCs w:val="26"/>
        </w:rPr>
        <w:t xml:space="preserve"> </w:t>
      </w:r>
      <w:r w:rsidR="009A36D5" w:rsidRPr="00672545">
        <w:rPr>
          <w:szCs w:val="26"/>
        </w:rPr>
        <w:t xml:space="preserve">he </w:t>
      </w:r>
      <w:r w:rsidR="00243515" w:rsidRPr="00672545">
        <w:rPr>
          <w:szCs w:val="26"/>
        </w:rPr>
        <w:lastRenderedPageBreak/>
        <w:t>claims</w:t>
      </w:r>
      <w:r w:rsidR="009A36D5" w:rsidRPr="00672545">
        <w:rPr>
          <w:szCs w:val="26"/>
        </w:rPr>
        <w:t xml:space="preserve">, </w:t>
      </w:r>
      <w:r w:rsidR="00A50FBC" w:rsidRPr="00672545">
        <w:rPr>
          <w:szCs w:val="26"/>
        </w:rPr>
        <w:t xml:space="preserve">the evidence </w:t>
      </w:r>
      <w:r w:rsidR="00A95AFE" w:rsidRPr="00672545">
        <w:rPr>
          <w:szCs w:val="26"/>
        </w:rPr>
        <w:t xml:space="preserve">submitted </w:t>
      </w:r>
      <w:r w:rsidR="00A50FBC" w:rsidRPr="00672545">
        <w:rPr>
          <w:szCs w:val="26"/>
        </w:rPr>
        <w:t xml:space="preserve">to prove the </w:t>
      </w:r>
      <w:r w:rsidR="00EB5E02" w:rsidRPr="00672545">
        <w:rPr>
          <w:szCs w:val="26"/>
        </w:rPr>
        <w:t>joine</w:t>
      </w:r>
      <w:r w:rsidR="003B44A9" w:rsidRPr="00672545">
        <w:rPr>
          <w:szCs w:val="26"/>
        </w:rPr>
        <w:t>d</w:t>
      </w:r>
      <w:r w:rsidR="00EB5E02" w:rsidRPr="00672545">
        <w:rPr>
          <w:szCs w:val="26"/>
        </w:rPr>
        <w:t xml:space="preserve"> count</w:t>
      </w:r>
      <w:r w:rsidR="00A50FBC" w:rsidRPr="00672545">
        <w:rPr>
          <w:szCs w:val="26"/>
        </w:rPr>
        <w:t xml:space="preserve"> of possession of child pornography does not come within factor (a)</w:t>
      </w:r>
      <w:r w:rsidR="009A36D5" w:rsidRPr="00672545">
        <w:rPr>
          <w:szCs w:val="26"/>
        </w:rPr>
        <w:t xml:space="preserve"> and was improperly </w:t>
      </w:r>
      <w:r w:rsidR="0044367B" w:rsidRPr="00672545">
        <w:rPr>
          <w:szCs w:val="26"/>
        </w:rPr>
        <w:t>introduced</w:t>
      </w:r>
      <w:r w:rsidR="009A36D5" w:rsidRPr="00672545">
        <w:rPr>
          <w:szCs w:val="26"/>
        </w:rPr>
        <w:t xml:space="preserve"> as such</w:t>
      </w:r>
      <w:r w:rsidR="00370D04" w:rsidRPr="00672545">
        <w:rPr>
          <w:szCs w:val="26"/>
        </w:rPr>
        <w:t xml:space="preserve">. </w:t>
      </w:r>
      <w:r w:rsidR="00A50FBC" w:rsidRPr="00672545">
        <w:rPr>
          <w:szCs w:val="26"/>
        </w:rPr>
        <w:t xml:space="preserve"> </w:t>
      </w:r>
      <w:r w:rsidR="00370D04" w:rsidRPr="00672545">
        <w:rPr>
          <w:szCs w:val="26"/>
        </w:rPr>
        <w:t xml:space="preserve">We have previously </w:t>
      </w:r>
      <w:proofErr w:type="gramStart"/>
      <w:r w:rsidR="00370D04" w:rsidRPr="00672545">
        <w:rPr>
          <w:szCs w:val="26"/>
        </w:rPr>
        <w:t>“ ‘</w:t>
      </w:r>
      <w:proofErr w:type="gramEnd"/>
      <w:r w:rsidR="00370D04" w:rsidRPr="00672545">
        <w:rPr>
          <w:szCs w:val="26"/>
        </w:rPr>
        <w:t>assumed that factor (a), though it</w:t>
      </w:r>
      <w:r w:rsidR="00681A09">
        <w:rPr>
          <w:szCs w:val="26"/>
        </w:rPr>
        <w:t xml:space="preserve"> speaks in the singular of the “crime”</w:t>
      </w:r>
      <w:r w:rsidR="00370D04" w:rsidRPr="00672545">
        <w:rPr>
          <w:szCs w:val="26"/>
        </w:rPr>
        <w:t xml:space="preserve"> of which defendant was currently convicted, covers the “circumstances” of </w:t>
      </w:r>
      <w:r w:rsidR="00370D04" w:rsidRPr="00672545">
        <w:rPr>
          <w:i/>
          <w:iCs/>
          <w:szCs w:val="26"/>
        </w:rPr>
        <w:t>all</w:t>
      </w:r>
      <w:r w:rsidR="00370D04" w:rsidRPr="00672545">
        <w:rPr>
          <w:szCs w:val="26"/>
        </w:rPr>
        <w:t xml:space="preserve"> offenses, singular or plural, that were adjudicated in the capital proceeding.’ ”</w:t>
      </w:r>
      <w:r w:rsidR="00370D04" w:rsidRPr="00672545">
        <w:rPr>
          <w:rFonts w:cs="Helvetica"/>
          <w:color w:val="373739"/>
          <w:szCs w:val="21"/>
        </w:rPr>
        <w:t xml:space="preserve">  </w:t>
      </w:r>
      <w:r w:rsidR="00370D04" w:rsidRPr="00672545">
        <w:rPr>
          <w:szCs w:val="26"/>
        </w:rPr>
        <w:t>(</w:t>
      </w:r>
      <w:r w:rsidR="00370D04" w:rsidRPr="00672545">
        <w:rPr>
          <w:i/>
          <w:iCs/>
          <w:szCs w:val="26"/>
        </w:rPr>
        <w:t>People v. Thomas</w:t>
      </w:r>
      <w:r w:rsidR="00681A09">
        <w:rPr>
          <w:szCs w:val="26"/>
        </w:rPr>
        <w:t xml:space="preserve">, </w:t>
      </w:r>
      <w:r w:rsidR="00681A09" w:rsidRPr="00681A09">
        <w:rPr>
          <w:i/>
          <w:szCs w:val="26"/>
        </w:rPr>
        <w:t>supra</w:t>
      </w:r>
      <w:r w:rsidR="00681A09">
        <w:rPr>
          <w:szCs w:val="26"/>
        </w:rPr>
        <w:t>,</w:t>
      </w:r>
      <w:r w:rsidR="00370D04" w:rsidRPr="00672545">
        <w:rPr>
          <w:szCs w:val="26"/>
        </w:rPr>
        <w:t xml:space="preserve"> 53 Cal.4th,</w:t>
      </w:r>
      <w:r w:rsidR="00681A09">
        <w:rPr>
          <w:szCs w:val="26"/>
        </w:rPr>
        <w:t xml:space="preserve"> at p.</w:t>
      </w:r>
      <w:r w:rsidR="00370D04" w:rsidRPr="00672545">
        <w:rPr>
          <w:szCs w:val="26"/>
        </w:rPr>
        <w:t xml:space="preserve"> 821, quoting </w:t>
      </w:r>
      <w:r w:rsidR="00370D04" w:rsidRPr="00672545">
        <w:rPr>
          <w:i/>
          <w:szCs w:val="26"/>
        </w:rPr>
        <w:t xml:space="preserve">People v. Montiel </w:t>
      </w:r>
      <w:r w:rsidR="00370D04" w:rsidRPr="00672545">
        <w:rPr>
          <w:szCs w:val="26"/>
        </w:rPr>
        <w:t>(1993) 5 Cal.4</w:t>
      </w:r>
      <w:r w:rsidR="00CE004D" w:rsidRPr="00672545">
        <w:rPr>
          <w:szCs w:val="26"/>
        </w:rPr>
        <w:t>th</w:t>
      </w:r>
      <w:r w:rsidR="00370D04" w:rsidRPr="00672545">
        <w:rPr>
          <w:szCs w:val="26"/>
        </w:rPr>
        <w:t xml:space="preserve"> 877, 938, fn. 33; accord </w:t>
      </w:r>
      <w:r w:rsidR="00370D04" w:rsidRPr="00672545">
        <w:rPr>
          <w:i/>
          <w:szCs w:val="26"/>
        </w:rPr>
        <w:t xml:space="preserve">People v. Rogers </w:t>
      </w:r>
      <w:r w:rsidR="00370D04" w:rsidRPr="00672545">
        <w:rPr>
          <w:szCs w:val="26"/>
        </w:rPr>
        <w:t>(2006) 39 Cal.4</w:t>
      </w:r>
      <w:r w:rsidR="00CE004D" w:rsidRPr="00672545">
        <w:rPr>
          <w:szCs w:val="26"/>
        </w:rPr>
        <w:t>th</w:t>
      </w:r>
      <w:r w:rsidR="00370D04" w:rsidRPr="00672545">
        <w:rPr>
          <w:szCs w:val="26"/>
        </w:rPr>
        <w:t xml:space="preserve"> 826, 909</w:t>
      </w:r>
      <w:r w:rsidR="006B6108" w:rsidRPr="00672545">
        <w:rPr>
          <w:szCs w:val="26"/>
        </w:rPr>
        <w:t xml:space="preserve">; </w:t>
      </w:r>
      <w:r w:rsidR="006B6108" w:rsidRPr="00672545">
        <w:rPr>
          <w:i/>
          <w:szCs w:val="26"/>
        </w:rPr>
        <w:t xml:space="preserve">People v. Sanchez </w:t>
      </w:r>
      <w:r w:rsidR="006B6108" w:rsidRPr="00672545">
        <w:rPr>
          <w:szCs w:val="26"/>
        </w:rPr>
        <w:t>(1995) 12 Cal.4</w:t>
      </w:r>
      <w:r w:rsidR="00CE004D" w:rsidRPr="00672545">
        <w:rPr>
          <w:szCs w:val="26"/>
        </w:rPr>
        <w:t>th</w:t>
      </w:r>
      <w:r w:rsidR="006B6108" w:rsidRPr="00672545">
        <w:rPr>
          <w:szCs w:val="26"/>
        </w:rPr>
        <w:t xml:space="preserve"> 1, 70.</w:t>
      </w:r>
      <w:r w:rsidR="00370D04" w:rsidRPr="00672545">
        <w:rPr>
          <w:szCs w:val="26"/>
        </w:rPr>
        <w:t xml:space="preserve">)  </w:t>
      </w:r>
      <w:r w:rsidR="00EB5E02" w:rsidRPr="00672545">
        <w:rPr>
          <w:szCs w:val="26"/>
        </w:rPr>
        <w:t>Although defendant questions this assumption, w</w:t>
      </w:r>
      <w:r w:rsidR="006B6108" w:rsidRPr="00672545">
        <w:rPr>
          <w:szCs w:val="26"/>
        </w:rPr>
        <w:t xml:space="preserve">e need not definitively resolve the issue here because the child pornography, along with the other pornography </w:t>
      </w:r>
      <w:r w:rsidR="009A36D5" w:rsidRPr="00672545">
        <w:rPr>
          <w:szCs w:val="26"/>
        </w:rPr>
        <w:t xml:space="preserve">depicting children in cartoon </w:t>
      </w:r>
      <w:r w:rsidR="00EB5E02" w:rsidRPr="00672545">
        <w:rPr>
          <w:szCs w:val="26"/>
        </w:rPr>
        <w:t>and</w:t>
      </w:r>
      <w:r w:rsidR="009A36D5" w:rsidRPr="00672545">
        <w:rPr>
          <w:szCs w:val="26"/>
        </w:rPr>
        <w:t xml:space="preserve"> </w:t>
      </w:r>
      <w:r w:rsidR="00B217E6" w:rsidRPr="00672545">
        <w:rPr>
          <w:szCs w:val="26"/>
        </w:rPr>
        <w:t>anime</w:t>
      </w:r>
      <w:r w:rsidR="001162AC" w:rsidRPr="00672545">
        <w:rPr>
          <w:szCs w:val="26"/>
        </w:rPr>
        <w:t xml:space="preserve"> </w:t>
      </w:r>
      <w:r w:rsidR="009A36D5" w:rsidRPr="00672545">
        <w:rPr>
          <w:szCs w:val="26"/>
        </w:rPr>
        <w:t>forms</w:t>
      </w:r>
      <w:r w:rsidR="0015265F" w:rsidRPr="00672545">
        <w:rPr>
          <w:szCs w:val="26"/>
        </w:rPr>
        <w:t>,</w:t>
      </w:r>
      <w:r w:rsidR="009A36D5" w:rsidRPr="00672545">
        <w:rPr>
          <w:szCs w:val="26"/>
        </w:rPr>
        <w:t xml:space="preserve"> </w:t>
      </w:r>
      <w:r w:rsidR="006B6108" w:rsidRPr="00672545">
        <w:rPr>
          <w:szCs w:val="26"/>
        </w:rPr>
        <w:t xml:space="preserve">was also </w:t>
      </w:r>
      <w:r w:rsidR="00715257" w:rsidRPr="00672545">
        <w:rPr>
          <w:szCs w:val="26"/>
        </w:rPr>
        <w:t xml:space="preserve">properly </w:t>
      </w:r>
      <w:r w:rsidR="006B6108" w:rsidRPr="00672545">
        <w:rPr>
          <w:szCs w:val="26"/>
        </w:rPr>
        <w:t>admitted</w:t>
      </w:r>
      <w:r w:rsidR="009A36D5" w:rsidRPr="00672545">
        <w:rPr>
          <w:szCs w:val="26"/>
        </w:rPr>
        <w:t xml:space="preserve"> as evidence of defendant’s motive in committing the kidnapping and murder of Danielle, </w:t>
      </w:r>
      <w:r w:rsidR="00EB5E02" w:rsidRPr="00672545">
        <w:rPr>
          <w:szCs w:val="26"/>
        </w:rPr>
        <w:t xml:space="preserve">that is, as evidence pertaining to </w:t>
      </w:r>
      <w:r w:rsidR="009A36D5" w:rsidRPr="00672545">
        <w:rPr>
          <w:szCs w:val="26"/>
        </w:rPr>
        <w:t xml:space="preserve">the crimes that subjected defendant to </w:t>
      </w:r>
      <w:r w:rsidR="00EB5E02" w:rsidRPr="00672545">
        <w:rPr>
          <w:szCs w:val="26"/>
        </w:rPr>
        <w:t>the death penalty.</w:t>
      </w:r>
      <w:r w:rsidR="007D520E" w:rsidRPr="00672545">
        <w:rPr>
          <w:rStyle w:val="FootnoteReference"/>
          <w:szCs w:val="26"/>
        </w:rPr>
        <w:footnoteReference w:id="14"/>
      </w:r>
      <w:r w:rsidR="00EB5E02" w:rsidRPr="00672545">
        <w:rPr>
          <w:szCs w:val="26"/>
        </w:rPr>
        <w:t xml:space="preserve">  </w:t>
      </w:r>
    </w:p>
    <w:p w14:paraId="210E99C9" w14:textId="77777777" w:rsidR="002B4EDE" w:rsidRPr="00672545" w:rsidRDefault="00EB5E02" w:rsidP="00672545">
      <w:pPr>
        <w:tabs>
          <w:tab w:val="left" w:pos="720"/>
        </w:tabs>
        <w:rPr>
          <w:szCs w:val="26"/>
        </w:rPr>
      </w:pPr>
      <w:r w:rsidRPr="00672545">
        <w:rPr>
          <w:szCs w:val="26"/>
        </w:rPr>
        <w:lastRenderedPageBreak/>
        <w:tab/>
      </w:r>
      <w:r w:rsidR="001162AC" w:rsidRPr="00672545">
        <w:rPr>
          <w:szCs w:val="26"/>
        </w:rPr>
        <w:t xml:space="preserve">In this regard, defendant </w:t>
      </w:r>
      <w:r w:rsidR="00927367" w:rsidRPr="00672545">
        <w:rPr>
          <w:szCs w:val="26"/>
        </w:rPr>
        <w:t>contends</w:t>
      </w:r>
      <w:r w:rsidR="001162AC" w:rsidRPr="00672545">
        <w:rPr>
          <w:szCs w:val="26"/>
        </w:rPr>
        <w:t xml:space="preserve"> that evidence of motive </w:t>
      </w:r>
      <w:r w:rsidR="00243515" w:rsidRPr="00672545">
        <w:rPr>
          <w:szCs w:val="26"/>
        </w:rPr>
        <w:t xml:space="preserve">admitted at the guilt phase </w:t>
      </w:r>
      <w:r w:rsidR="001162AC" w:rsidRPr="00672545">
        <w:rPr>
          <w:szCs w:val="26"/>
        </w:rPr>
        <w:t>under Evidence Code section 1101,</w:t>
      </w:r>
      <w:r w:rsidR="008253C3" w:rsidRPr="00672545">
        <w:rPr>
          <w:szCs w:val="26"/>
        </w:rPr>
        <w:t xml:space="preserve"> subdivision (b), is not properly considered a “circumstance” of the crime within the meaning of factor (</w:t>
      </w:r>
      <w:r w:rsidR="00927367" w:rsidRPr="00672545">
        <w:rPr>
          <w:szCs w:val="26"/>
        </w:rPr>
        <w:t>a</w:t>
      </w:r>
      <w:r w:rsidR="008253C3" w:rsidRPr="00672545">
        <w:rPr>
          <w:szCs w:val="26"/>
        </w:rPr>
        <w:t>)</w:t>
      </w:r>
      <w:r w:rsidR="00927367" w:rsidRPr="00672545">
        <w:rPr>
          <w:szCs w:val="26"/>
        </w:rPr>
        <w:t xml:space="preserve"> because </w:t>
      </w:r>
      <w:r w:rsidR="00146AD3" w:rsidRPr="00672545">
        <w:rPr>
          <w:szCs w:val="26"/>
        </w:rPr>
        <w:t xml:space="preserve">in this case </w:t>
      </w:r>
      <w:r w:rsidR="00927367" w:rsidRPr="00672545">
        <w:rPr>
          <w:szCs w:val="26"/>
        </w:rPr>
        <w:t>it</w:t>
      </w:r>
      <w:r w:rsidR="00726835" w:rsidRPr="00672545">
        <w:rPr>
          <w:szCs w:val="26"/>
        </w:rPr>
        <w:t xml:space="preserve"> </w:t>
      </w:r>
      <w:r w:rsidR="00DD1F01" w:rsidRPr="00672545">
        <w:rPr>
          <w:szCs w:val="26"/>
        </w:rPr>
        <w:t>constituted</w:t>
      </w:r>
      <w:r w:rsidR="00927367" w:rsidRPr="00672545">
        <w:rPr>
          <w:szCs w:val="26"/>
        </w:rPr>
        <w:t xml:space="preserve"> neither</w:t>
      </w:r>
      <w:r w:rsidR="00726835" w:rsidRPr="00672545">
        <w:rPr>
          <w:szCs w:val="26"/>
        </w:rPr>
        <w:t xml:space="preserve"> “evidence relevant to ‘the immediate temporal and spatial circumstances of the crime,’</w:t>
      </w:r>
      <w:proofErr w:type="gramStart"/>
      <w:r w:rsidR="00681A09">
        <w:rPr>
          <w:szCs w:val="26"/>
        </w:rPr>
        <w:t>. .</w:t>
      </w:r>
      <w:proofErr w:type="gramEnd"/>
      <w:r w:rsidR="00681A09">
        <w:rPr>
          <w:szCs w:val="26"/>
        </w:rPr>
        <w:t> </w:t>
      </w:r>
      <w:proofErr w:type="gramStart"/>
      <w:r w:rsidR="00681A09">
        <w:rPr>
          <w:szCs w:val="26"/>
        </w:rPr>
        <w:t>.</w:t>
      </w:r>
      <w:r w:rsidR="00726835" w:rsidRPr="00672545">
        <w:rPr>
          <w:szCs w:val="26"/>
        </w:rPr>
        <w:t>[</w:t>
      </w:r>
      <w:proofErr w:type="gramEnd"/>
      <w:r w:rsidR="00927367" w:rsidRPr="00672545">
        <w:rPr>
          <w:szCs w:val="26"/>
        </w:rPr>
        <w:t>n</w:t>
      </w:r>
      <w:r w:rsidR="00726835" w:rsidRPr="00672545">
        <w:rPr>
          <w:szCs w:val="26"/>
        </w:rPr>
        <w:t xml:space="preserve">or] additional evidence, </w:t>
      </w:r>
      <w:r w:rsidR="00927367" w:rsidRPr="00672545">
        <w:rPr>
          <w:szCs w:val="26"/>
        </w:rPr>
        <w:t>like victim impact evidence</w:t>
      </w:r>
      <w:r w:rsidR="00726835" w:rsidRPr="00672545">
        <w:rPr>
          <w:szCs w:val="26"/>
        </w:rPr>
        <w:t>,</w:t>
      </w:r>
      <w:r w:rsidR="00927367" w:rsidRPr="00672545">
        <w:rPr>
          <w:szCs w:val="26"/>
        </w:rPr>
        <w:t xml:space="preserve"> </w:t>
      </w:r>
      <w:r w:rsidR="00726835" w:rsidRPr="00672545">
        <w:rPr>
          <w:szCs w:val="26"/>
        </w:rPr>
        <w:t>that ‘ “surrounds materially, morally, or logically” the crime.” ’ ”  (</w:t>
      </w:r>
      <w:r w:rsidR="00726835" w:rsidRPr="00672545">
        <w:rPr>
          <w:i/>
          <w:szCs w:val="26"/>
        </w:rPr>
        <w:t>People v. Tully</w:t>
      </w:r>
      <w:r w:rsidR="00243515" w:rsidRPr="00672545">
        <w:rPr>
          <w:szCs w:val="26"/>
        </w:rPr>
        <w:t xml:space="preserve"> (2012) 54 Cal.4</w:t>
      </w:r>
      <w:r w:rsidR="00CE004D" w:rsidRPr="00672545">
        <w:rPr>
          <w:szCs w:val="26"/>
        </w:rPr>
        <w:t>th</w:t>
      </w:r>
      <w:r w:rsidR="00243515" w:rsidRPr="00672545">
        <w:rPr>
          <w:szCs w:val="26"/>
        </w:rPr>
        <w:t xml:space="preserve"> 952, 1042.)  </w:t>
      </w:r>
      <w:r w:rsidR="003C1FB3" w:rsidRPr="00672545">
        <w:rPr>
          <w:szCs w:val="26"/>
        </w:rPr>
        <w:t xml:space="preserve">Defendant elaborates that </w:t>
      </w:r>
      <w:r w:rsidR="0096311A" w:rsidRPr="00672545">
        <w:rPr>
          <w:szCs w:val="26"/>
        </w:rPr>
        <w:t xml:space="preserve">even if motive itself could be a factor (a) circumstance, </w:t>
      </w:r>
      <w:r w:rsidR="003C1FB3" w:rsidRPr="00672545">
        <w:rPr>
          <w:szCs w:val="26"/>
        </w:rPr>
        <w:t xml:space="preserve">specific acts of conduct from which motive </w:t>
      </w:r>
      <w:r w:rsidR="004A1857" w:rsidRPr="00672545">
        <w:rPr>
          <w:szCs w:val="26"/>
        </w:rPr>
        <w:t>is</w:t>
      </w:r>
      <w:r w:rsidR="003C1FB3" w:rsidRPr="00672545">
        <w:rPr>
          <w:szCs w:val="26"/>
        </w:rPr>
        <w:t xml:space="preserve"> inferable </w:t>
      </w:r>
      <w:r w:rsidR="004A1857" w:rsidRPr="00672545">
        <w:rPr>
          <w:szCs w:val="26"/>
        </w:rPr>
        <w:t>are not in themselves factor (a) circumstances.</w:t>
      </w:r>
      <w:r w:rsidR="00F81CD5" w:rsidRPr="00672545">
        <w:rPr>
          <w:szCs w:val="26"/>
        </w:rPr>
        <w:t xml:space="preserve">  </w:t>
      </w:r>
    </w:p>
    <w:p w14:paraId="482E6B51" w14:textId="77777777" w:rsidR="00EB5E02" w:rsidRPr="00672545" w:rsidRDefault="002B4EDE" w:rsidP="00672545">
      <w:pPr>
        <w:tabs>
          <w:tab w:val="left" w:pos="720"/>
        </w:tabs>
        <w:rPr>
          <w:szCs w:val="26"/>
        </w:rPr>
      </w:pPr>
      <w:r w:rsidRPr="00672545">
        <w:rPr>
          <w:szCs w:val="26"/>
        </w:rPr>
        <w:tab/>
        <w:t xml:space="preserve">On the contrary, we </w:t>
      </w:r>
      <w:r w:rsidR="007F225F" w:rsidRPr="00672545">
        <w:rPr>
          <w:szCs w:val="26"/>
        </w:rPr>
        <w:t xml:space="preserve">have previously concluded that consideration </w:t>
      </w:r>
      <w:r w:rsidR="00F608C7" w:rsidRPr="00672545">
        <w:rPr>
          <w:szCs w:val="26"/>
        </w:rPr>
        <w:t xml:space="preserve">of a defendant’s prior </w:t>
      </w:r>
      <w:r w:rsidR="009D3FFC" w:rsidRPr="00672545">
        <w:rPr>
          <w:szCs w:val="26"/>
        </w:rPr>
        <w:t>use of drugs</w:t>
      </w:r>
      <w:r w:rsidR="007F225F" w:rsidRPr="00672545">
        <w:rPr>
          <w:szCs w:val="26"/>
        </w:rPr>
        <w:t xml:space="preserve"> is permissible under </w:t>
      </w:r>
      <w:r w:rsidR="005D6712" w:rsidRPr="00672545">
        <w:rPr>
          <w:szCs w:val="26"/>
        </w:rPr>
        <w:t>section</w:t>
      </w:r>
      <w:r w:rsidR="007F225F" w:rsidRPr="00672545">
        <w:rPr>
          <w:szCs w:val="26"/>
        </w:rPr>
        <w:t xml:space="preserve"> 190.3, factor (a)</w:t>
      </w:r>
      <w:r w:rsidR="00CC0E7E" w:rsidRPr="00672545">
        <w:rPr>
          <w:szCs w:val="26"/>
        </w:rPr>
        <w:t xml:space="preserve"> </w:t>
      </w:r>
      <w:r w:rsidR="00362AF9" w:rsidRPr="00672545">
        <w:rPr>
          <w:szCs w:val="26"/>
        </w:rPr>
        <w:t xml:space="preserve">to </w:t>
      </w:r>
      <w:r w:rsidR="004965D3" w:rsidRPr="00672545">
        <w:rPr>
          <w:szCs w:val="26"/>
        </w:rPr>
        <w:t>demonstr</w:t>
      </w:r>
      <w:r w:rsidR="005D6712" w:rsidRPr="00672545">
        <w:rPr>
          <w:szCs w:val="26"/>
        </w:rPr>
        <w:t>ate</w:t>
      </w:r>
      <w:r w:rsidR="00362AF9" w:rsidRPr="00672545">
        <w:rPr>
          <w:szCs w:val="26"/>
        </w:rPr>
        <w:t xml:space="preserve"> that he killed the victim </w:t>
      </w:r>
      <w:r w:rsidR="009D3FFC" w:rsidRPr="00672545">
        <w:rPr>
          <w:szCs w:val="26"/>
        </w:rPr>
        <w:t xml:space="preserve">with the “particularly base motive” </w:t>
      </w:r>
      <w:r w:rsidR="00362AF9" w:rsidRPr="00672545">
        <w:rPr>
          <w:szCs w:val="26"/>
        </w:rPr>
        <w:t>to obtain money to buy drugs</w:t>
      </w:r>
      <w:r w:rsidR="007F225F" w:rsidRPr="00672545">
        <w:rPr>
          <w:szCs w:val="26"/>
        </w:rPr>
        <w:t>.  (</w:t>
      </w:r>
      <w:r w:rsidR="007F225F" w:rsidRPr="00672545">
        <w:rPr>
          <w:i/>
          <w:szCs w:val="26"/>
        </w:rPr>
        <w:t xml:space="preserve">People v. </w:t>
      </w:r>
      <w:proofErr w:type="spellStart"/>
      <w:r w:rsidR="007F225F" w:rsidRPr="00672545">
        <w:rPr>
          <w:i/>
          <w:szCs w:val="26"/>
        </w:rPr>
        <w:t>Osband</w:t>
      </w:r>
      <w:proofErr w:type="spellEnd"/>
      <w:r w:rsidR="007F225F" w:rsidRPr="00672545">
        <w:rPr>
          <w:szCs w:val="26"/>
        </w:rPr>
        <w:t xml:space="preserve"> (1996) 13 Cal.4th 622, 708.)  </w:t>
      </w:r>
      <w:r w:rsidR="008738E4" w:rsidRPr="00672545">
        <w:rPr>
          <w:szCs w:val="26"/>
        </w:rPr>
        <w:t xml:space="preserve">Similarly, </w:t>
      </w:r>
      <w:r w:rsidR="00681A09">
        <w:rPr>
          <w:szCs w:val="26"/>
        </w:rPr>
        <w:t xml:space="preserve">here, </w:t>
      </w:r>
      <w:r w:rsidR="008738E4" w:rsidRPr="00672545">
        <w:rPr>
          <w:szCs w:val="26"/>
        </w:rPr>
        <w:t>d</w:t>
      </w:r>
      <w:r w:rsidRPr="00672545">
        <w:rPr>
          <w:szCs w:val="26"/>
        </w:rPr>
        <w:t xml:space="preserve">efendant’s </w:t>
      </w:r>
      <w:r w:rsidR="00FD4B04" w:rsidRPr="00672545">
        <w:rPr>
          <w:szCs w:val="26"/>
        </w:rPr>
        <w:t xml:space="preserve">prior </w:t>
      </w:r>
      <w:r w:rsidRPr="00672545">
        <w:rPr>
          <w:szCs w:val="26"/>
        </w:rPr>
        <w:t>interest in the depiction of sexual</w:t>
      </w:r>
      <w:r w:rsidR="00536617" w:rsidRPr="00672545">
        <w:rPr>
          <w:szCs w:val="26"/>
        </w:rPr>
        <w:t xml:space="preserve"> conduct with children, </w:t>
      </w:r>
      <w:r w:rsidR="008738E4" w:rsidRPr="00672545">
        <w:rPr>
          <w:szCs w:val="26"/>
        </w:rPr>
        <w:t xml:space="preserve">and </w:t>
      </w:r>
      <w:r w:rsidR="008D19D5" w:rsidRPr="00672545">
        <w:rPr>
          <w:szCs w:val="26"/>
        </w:rPr>
        <w:t>sometimes</w:t>
      </w:r>
      <w:r w:rsidR="00536617" w:rsidRPr="00672545">
        <w:rPr>
          <w:szCs w:val="26"/>
        </w:rPr>
        <w:t xml:space="preserve"> violent sexual</w:t>
      </w:r>
      <w:r w:rsidRPr="00672545">
        <w:rPr>
          <w:szCs w:val="26"/>
        </w:rPr>
        <w:t xml:space="preserve"> </w:t>
      </w:r>
      <w:r w:rsidR="00536617" w:rsidRPr="00672545">
        <w:rPr>
          <w:szCs w:val="26"/>
        </w:rPr>
        <w:t>assault of</w:t>
      </w:r>
      <w:r w:rsidRPr="00672545">
        <w:rPr>
          <w:szCs w:val="26"/>
        </w:rPr>
        <w:t xml:space="preserve"> children, as reflected by </w:t>
      </w:r>
      <w:r w:rsidR="00536617" w:rsidRPr="00672545">
        <w:rPr>
          <w:szCs w:val="26"/>
        </w:rPr>
        <w:t>his</w:t>
      </w:r>
      <w:r w:rsidR="00FF2242" w:rsidRPr="00672545">
        <w:rPr>
          <w:szCs w:val="26"/>
        </w:rPr>
        <w:t xml:space="preserve"> specific action of</w:t>
      </w:r>
      <w:r w:rsidR="008738E4" w:rsidRPr="00672545">
        <w:rPr>
          <w:szCs w:val="26"/>
        </w:rPr>
        <w:t xml:space="preserve"> possessing</w:t>
      </w:r>
      <w:r w:rsidRPr="00672545">
        <w:rPr>
          <w:szCs w:val="26"/>
        </w:rPr>
        <w:t xml:space="preserve"> such pornography, provided ev</w:t>
      </w:r>
      <w:r w:rsidR="002A02E1" w:rsidRPr="00672545">
        <w:rPr>
          <w:szCs w:val="26"/>
        </w:rPr>
        <w:t>idence</w:t>
      </w:r>
      <w:r w:rsidR="009D3FFC" w:rsidRPr="00672545">
        <w:rPr>
          <w:szCs w:val="26"/>
        </w:rPr>
        <w:t xml:space="preserve"> that</w:t>
      </w:r>
      <w:r w:rsidR="002A02E1" w:rsidRPr="00672545">
        <w:rPr>
          <w:szCs w:val="26"/>
        </w:rPr>
        <w:t xml:space="preserve"> </w:t>
      </w:r>
      <w:r w:rsidR="00536617" w:rsidRPr="00672545">
        <w:rPr>
          <w:szCs w:val="26"/>
        </w:rPr>
        <w:t>logically connected</w:t>
      </w:r>
      <w:r w:rsidR="002A02E1" w:rsidRPr="00672545">
        <w:rPr>
          <w:szCs w:val="26"/>
        </w:rPr>
        <w:t xml:space="preserve"> to the jury’s moral assessment of the crimes at the penalty phase.  </w:t>
      </w:r>
    </w:p>
    <w:p w14:paraId="37D7DE37" w14:textId="77777777" w:rsidR="009B6446" w:rsidRPr="00672545" w:rsidRDefault="006F6E78" w:rsidP="00672545">
      <w:pPr>
        <w:tabs>
          <w:tab w:val="left" w:pos="720"/>
        </w:tabs>
        <w:rPr>
          <w:szCs w:val="26"/>
        </w:rPr>
      </w:pPr>
      <w:r w:rsidRPr="00672545">
        <w:rPr>
          <w:szCs w:val="26"/>
        </w:rPr>
        <w:tab/>
      </w:r>
      <w:r w:rsidR="00520B7C" w:rsidRPr="00672545">
        <w:rPr>
          <w:szCs w:val="26"/>
        </w:rPr>
        <w:t xml:space="preserve">In addition to arguing that the </w:t>
      </w:r>
      <w:r w:rsidR="000460A4" w:rsidRPr="00672545">
        <w:rPr>
          <w:szCs w:val="26"/>
        </w:rPr>
        <w:t xml:space="preserve">child </w:t>
      </w:r>
      <w:r w:rsidR="00520B7C" w:rsidRPr="00672545">
        <w:rPr>
          <w:szCs w:val="26"/>
        </w:rPr>
        <w:t xml:space="preserve">pornography was improperly admitted as factor (a) evidence, defendant contends the </w:t>
      </w:r>
      <w:r w:rsidRPr="00672545">
        <w:rPr>
          <w:szCs w:val="26"/>
        </w:rPr>
        <w:t>prosecutor</w:t>
      </w:r>
      <w:r w:rsidR="00520B7C" w:rsidRPr="00672545">
        <w:rPr>
          <w:szCs w:val="26"/>
        </w:rPr>
        <w:t xml:space="preserve"> </w:t>
      </w:r>
      <w:r w:rsidR="001D4C91" w:rsidRPr="00672545">
        <w:rPr>
          <w:szCs w:val="26"/>
        </w:rPr>
        <w:t xml:space="preserve">improperly and </w:t>
      </w:r>
      <w:r w:rsidR="00520B7C" w:rsidRPr="00672545">
        <w:rPr>
          <w:szCs w:val="26"/>
        </w:rPr>
        <w:t xml:space="preserve">misleadingly </w:t>
      </w:r>
      <w:r w:rsidR="001D4C91" w:rsidRPr="00672545">
        <w:rPr>
          <w:szCs w:val="26"/>
        </w:rPr>
        <w:t>urged the jury to also use</w:t>
      </w:r>
      <w:r w:rsidR="00520B7C" w:rsidRPr="00672545">
        <w:rPr>
          <w:szCs w:val="26"/>
        </w:rPr>
        <w:t xml:space="preserve"> the evidence as factor (b) evidence.  Defendant points to a portion of the prosecutor</w:t>
      </w:r>
      <w:r w:rsidRPr="00672545">
        <w:rPr>
          <w:szCs w:val="26"/>
        </w:rPr>
        <w:t xml:space="preserve">’s closing argument </w:t>
      </w:r>
      <w:r w:rsidR="00520B7C" w:rsidRPr="00672545">
        <w:rPr>
          <w:szCs w:val="26"/>
        </w:rPr>
        <w:t xml:space="preserve">in which the prosecutor told the jury </w:t>
      </w:r>
      <w:r w:rsidRPr="00672545">
        <w:rPr>
          <w:szCs w:val="26"/>
        </w:rPr>
        <w:t xml:space="preserve">that the </w:t>
      </w:r>
      <w:r w:rsidR="00787988">
        <w:rPr>
          <w:szCs w:val="26"/>
        </w:rPr>
        <w:t>J.N.</w:t>
      </w:r>
      <w:r w:rsidRPr="00672545">
        <w:rPr>
          <w:szCs w:val="26"/>
        </w:rPr>
        <w:t xml:space="preserve"> incident reflected a beginning stage of defendant’s fantasies</w:t>
      </w:r>
      <w:r w:rsidR="009566ED" w:rsidRPr="00672545">
        <w:rPr>
          <w:szCs w:val="26"/>
        </w:rPr>
        <w:t xml:space="preserve">, </w:t>
      </w:r>
      <w:r w:rsidR="00203F00" w:rsidRPr="00672545">
        <w:rPr>
          <w:szCs w:val="26"/>
        </w:rPr>
        <w:t>that those fantasies</w:t>
      </w:r>
      <w:r w:rsidR="009566ED" w:rsidRPr="00672545">
        <w:rPr>
          <w:szCs w:val="26"/>
        </w:rPr>
        <w:t xml:space="preserve"> </w:t>
      </w:r>
      <w:r w:rsidR="009A4924" w:rsidRPr="00672545">
        <w:rPr>
          <w:szCs w:val="26"/>
        </w:rPr>
        <w:t xml:space="preserve">continued with </w:t>
      </w:r>
      <w:r w:rsidR="00203F00" w:rsidRPr="00672545">
        <w:rPr>
          <w:szCs w:val="26"/>
        </w:rPr>
        <w:t>defendant’s</w:t>
      </w:r>
      <w:r w:rsidR="009A4924" w:rsidRPr="00672545">
        <w:rPr>
          <w:szCs w:val="26"/>
        </w:rPr>
        <w:t xml:space="preserve"> possession of the pornography </w:t>
      </w:r>
      <w:r w:rsidR="009A4924" w:rsidRPr="00672545">
        <w:rPr>
          <w:szCs w:val="26"/>
        </w:rPr>
        <w:lastRenderedPageBreak/>
        <w:t xml:space="preserve">depicting children, and </w:t>
      </w:r>
      <w:r w:rsidR="00203F00" w:rsidRPr="00672545">
        <w:rPr>
          <w:szCs w:val="26"/>
        </w:rPr>
        <w:t xml:space="preserve">ultimately </w:t>
      </w:r>
      <w:r w:rsidR="009A4924" w:rsidRPr="00672545">
        <w:rPr>
          <w:szCs w:val="26"/>
        </w:rPr>
        <w:t>progressed to the kidnap</w:t>
      </w:r>
      <w:r w:rsidR="00B37843" w:rsidRPr="00672545">
        <w:rPr>
          <w:szCs w:val="26"/>
        </w:rPr>
        <w:t>ping</w:t>
      </w:r>
      <w:r w:rsidR="009A4924" w:rsidRPr="00672545">
        <w:rPr>
          <w:szCs w:val="26"/>
        </w:rPr>
        <w:t xml:space="preserve"> and murder of Danielle.</w:t>
      </w:r>
      <w:r w:rsidR="00F81CD5" w:rsidRPr="00672545">
        <w:rPr>
          <w:szCs w:val="26"/>
        </w:rPr>
        <w:t xml:space="preserve">  </w:t>
      </w:r>
      <w:r w:rsidR="006A6005" w:rsidRPr="00672545">
        <w:rPr>
          <w:szCs w:val="26"/>
        </w:rPr>
        <w:t>Not only did defendant fail to object to this portion of the prosecutor’s argument, thereby forfeiting any claim of misconduct, w</w:t>
      </w:r>
      <w:r w:rsidR="001D4C91" w:rsidRPr="00672545">
        <w:rPr>
          <w:szCs w:val="26"/>
        </w:rPr>
        <w:t>e are not persuaded</w:t>
      </w:r>
      <w:r w:rsidR="0087565D" w:rsidRPr="00672545">
        <w:rPr>
          <w:szCs w:val="26"/>
        </w:rPr>
        <w:t xml:space="preserve"> that </w:t>
      </w:r>
      <w:r w:rsidR="006A6005" w:rsidRPr="00672545">
        <w:rPr>
          <w:szCs w:val="26"/>
        </w:rPr>
        <w:t>any mis</w:t>
      </w:r>
      <w:r w:rsidR="004B388F" w:rsidRPr="00672545">
        <w:rPr>
          <w:szCs w:val="26"/>
        </w:rPr>
        <w:t>conduct</w:t>
      </w:r>
      <w:r w:rsidR="006A6005" w:rsidRPr="00672545">
        <w:rPr>
          <w:szCs w:val="26"/>
        </w:rPr>
        <w:t xml:space="preserve"> occurred.  The record reflects that the </w:t>
      </w:r>
      <w:r w:rsidR="00A43DC2" w:rsidRPr="00672545">
        <w:rPr>
          <w:szCs w:val="26"/>
        </w:rPr>
        <w:t xml:space="preserve">complained-of </w:t>
      </w:r>
      <w:r w:rsidR="00C708DB" w:rsidRPr="00672545">
        <w:rPr>
          <w:szCs w:val="26"/>
        </w:rPr>
        <w:t xml:space="preserve">prosecutorial </w:t>
      </w:r>
      <w:r w:rsidR="004B388F" w:rsidRPr="00672545">
        <w:rPr>
          <w:szCs w:val="26"/>
        </w:rPr>
        <w:t>comments</w:t>
      </w:r>
      <w:r w:rsidR="006A6005" w:rsidRPr="00672545">
        <w:rPr>
          <w:szCs w:val="26"/>
        </w:rPr>
        <w:t xml:space="preserve"> came after t</w:t>
      </w:r>
      <w:r w:rsidR="0087565D" w:rsidRPr="00672545">
        <w:rPr>
          <w:szCs w:val="26"/>
        </w:rPr>
        <w:t xml:space="preserve">he prosecutor identified the </w:t>
      </w:r>
      <w:r w:rsidR="00787988">
        <w:rPr>
          <w:szCs w:val="26"/>
        </w:rPr>
        <w:t>J.N.</w:t>
      </w:r>
      <w:r w:rsidR="0087565D" w:rsidRPr="00672545">
        <w:rPr>
          <w:szCs w:val="26"/>
        </w:rPr>
        <w:t xml:space="preserve"> incident as the factor (b) evidence </w:t>
      </w:r>
      <w:r w:rsidR="006A6005" w:rsidRPr="00672545">
        <w:rPr>
          <w:szCs w:val="26"/>
        </w:rPr>
        <w:t>in this case.</w:t>
      </w:r>
      <w:r w:rsidR="00F81CD5" w:rsidRPr="00672545">
        <w:rPr>
          <w:szCs w:val="26"/>
        </w:rPr>
        <w:t xml:space="preserve">  </w:t>
      </w:r>
      <w:r w:rsidR="006A6005" w:rsidRPr="00672545">
        <w:rPr>
          <w:szCs w:val="26"/>
        </w:rPr>
        <w:t xml:space="preserve">The prosecutor </w:t>
      </w:r>
      <w:r w:rsidR="00A43DC2" w:rsidRPr="00672545">
        <w:rPr>
          <w:szCs w:val="26"/>
        </w:rPr>
        <w:t>explained</w:t>
      </w:r>
      <w:r w:rsidR="00C708DB" w:rsidRPr="00672545">
        <w:rPr>
          <w:szCs w:val="26"/>
        </w:rPr>
        <w:t xml:space="preserve"> how that incident could fit into the jury’s penalty consideration</w:t>
      </w:r>
      <w:r w:rsidR="0087565D" w:rsidRPr="00672545">
        <w:rPr>
          <w:szCs w:val="26"/>
        </w:rPr>
        <w:t>.  Specifically, t</w:t>
      </w:r>
      <w:r w:rsidR="001D4C91" w:rsidRPr="00672545">
        <w:rPr>
          <w:szCs w:val="26"/>
        </w:rPr>
        <w:t>he prosecutor</w:t>
      </w:r>
      <w:r w:rsidR="0087565D" w:rsidRPr="00672545">
        <w:rPr>
          <w:szCs w:val="26"/>
        </w:rPr>
        <w:t xml:space="preserve"> suggested that beginning with the </w:t>
      </w:r>
      <w:r w:rsidR="00787988">
        <w:rPr>
          <w:szCs w:val="26"/>
        </w:rPr>
        <w:t>J.N.</w:t>
      </w:r>
      <w:r w:rsidR="0087565D" w:rsidRPr="00672545">
        <w:rPr>
          <w:szCs w:val="26"/>
        </w:rPr>
        <w:t xml:space="preserve"> incident, there was a pattern or </w:t>
      </w:r>
      <w:r w:rsidR="001D4C91" w:rsidRPr="00672545">
        <w:rPr>
          <w:szCs w:val="26"/>
        </w:rPr>
        <w:t xml:space="preserve">“history” </w:t>
      </w:r>
      <w:r w:rsidR="0087565D" w:rsidRPr="00672545">
        <w:rPr>
          <w:szCs w:val="26"/>
        </w:rPr>
        <w:t xml:space="preserve">of </w:t>
      </w:r>
      <w:r w:rsidR="00E9211A" w:rsidRPr="00672545">
        <w:rPr>
          <w:szCs w:val="26"/>
        </w:rPr>
        <w:t xml:space="preserve">defendant’s </w:t>
      </w:r>
      <w:r w:rsidR="0087565D" w:rsidRPr="00672545">
        <w:rPr>
          <w:szCs w:val="26"/>
        </w:rPr>
        <w:t xml:space="preserve">sexual interest </w:t>
      </w:r>
      <w:r w:rsidR="00E9211A" w:rsidRPr="00672545">
        <w:rPr>
          <w:szCs w:val="26"/>
        </w:rPr>
        <w:t>in children</w:t>
      </w:r>
      <w:r w:rsidR="00EE08DE" w:rsidRPr="00672545">
        <w:rPr>
          <w:szCs w:val="26"/>
        </w:rPr>
        <w:t>, which</w:t>
      </w:r>
      <w:r w:rsidR="00E9211A" w:rsidRPr="00672545">
        <w:rPr>
          <w:szCs w:val="26"/>
        </w:rPr>
        <w:t xml:space="preserve"> </w:t>
      </w:r>
      <w:r w:rsidR="001D4C91" w:rsidRPr="00672545">
        <w:rPr>
          <w:szCs w:val="26"/>
        </w:rPr>
        <w:t xml:space="preserve">not only </w:t>
      </w:r>
      <w:r w:rsidR="008E5563" w:rsidRPr="00672545">
        <w:rPr>
          <w:szCs w:val="26"/>
        </w:rPr>
        <w:t>reflected</w:t>
      </w:r>
      <w:r w:rsidR="001D4C91" w:rsidRPr="00672545">
        <w:rPr>
          <w:szCs w:val="26"/>
        </w:rPr>
        <w:t xml:space="preserve"> defendant’s </w:t>
      </w:r>
      <w:r w:rsidR="004B388F" w:rsidRPr="00672545">
        <w:rPr>
          <w:szCs w:val="26"/>
        </w:rPr>
        <w:t xml:space="preserve">fantasies and </w:t>
      </w:r>
      <w:r w:rsidR="001D4C91" w:rsidRPr="00672545">
        <w:rPr>
          <w:szCs w:val="26"/>
        </w:rPr>
        <w:t>desires</w:t>
      </w:r>
      <w:r w:rsidR="00E9211A" w:rsidRPr="00672545">
        <w:rPr>
          <w:szCs w:val="26"/>
        </w:rPr>
        <w:t xml:space="preserve"> </w:t>
      </w:r>
      <w:r w:rsidR="001D4C91" w:rsidRPr="00672545">
        <w:rPr>
          <w:szCs w:val="26"/>
        </w:rPr>
        <w:t>but should provide the jury with additional confidence that defendant committed the crimes against Danielle</w:t>
      </w:r>
      <w:r w:rsidR="00B37843" w:rsidRPr="00672545">
        <w:rPr>
          <w:szCs w:val="26"/>
        </w:rPr>
        <w:t xml:space="preserve"> in the event the defense argued lingering doubt</w:t>
      </w:r>
      <w:r w:rsidR="008833C8" w:rsidRPr="00672545">
        <w:rPr>
          <w:szCs w:val="26"/>
        </w:rPr>
        <w:t>.  The prosecutor stated that defendant “is not the saint he has been portrayed.”</w:t>
      </w:r>
      <w:r w:rsidR="00F81CD5" w:rsidRPr="00672545">
        <w:rPr>
          <w:szCs w:val="26"/>
        </w:rPr>
        <w:t xml:space="preserve">  </w:t>
      </w:r>
      <w:r w:rsidR="0087565D" w:rsidRPr="00672545">
        <w:rPr>
          <w:szCs w:val="26"/>
        </w:rPr>
        <w:t xml:space="preserve">Nothing in the prosecutor’s argument urged the jury to </w:t>
      </w:r>
      <w:r w:rsidR="005C68B9" w:rsidRPr="00672545">
        <w:rPr>
          <w:szCs w:val="26"/>
        </w:rPr>
        <w:t>view</w:t>
      </w:r>
      <w:r w:rsidR="0087565D" w:rsidRPr="00672545">
        <w:rPr>
          <w:szCs w:val="26"/>
        </w:rPr>
        <w:t xml:space="preserve"> the </w:t>
      </w:r>
      <w:r w:rsidR="00356A5F" w:rsidRPr="00672545">
        <w:rPr>
          <w:szCs w:val="26"/>
        </w:rPr>
        <w:t xml:space="preserve">child </w:t>
      </w:r>
      <w:r w:rsidR="0087565D" w:rsidRPr="00672545">
        <w:rPr>
          <w:szCs w:val="26"/>
        </w:rPr>
        <w:t>pornography as factor (b) evidence</w:t>
      </w:r>
      <w:r w:rsidR="006A6005" w:rsidRPr="00672545">
        <w:rPr>
          <w:szCs w:val="26"/>
        </w:rPr>
        <w:t xml:space="preserve"> and no rational juror could have construed the argument as urging the jury to </w:t>
      </w:r>
      <w:r w:rsidR="001C37B0" w:rsidRPr="00672545">
        <w:rPr>
          <w:szCs w:val="26"/>
        </w:rPr>
        <w:t>do so</w:t>
      </w:r>
      <w:r w:rsidR="006A6005" w:rsidRPr="00672545">
        <w:rPr>
          <w:szCs w:val="26"/>
        </w:rPr>
        <w:t xml:space="preserve">.  </w:t>
      </w:r>
    </w:p>
    <w:p w14:paraId="6F74AB03" w14:textId="77777777" w:rsidR="00A43DC2" w:rsidRPr="00672545" w:rsidRDefault="00A43DC2" w:rsidP="00672545">
      <w:pPr>
        <w:tabs>
          <w:tab w:val="left" w:pos="720"/>
        </w:tabs>
        <w:rPr>
          <w:szCs w:val="26"/>
        </w:rPr>
      </w:pPr>
      <w:r w:rsidRPr="00672545">
        <w:rPr>
          <w:szCs w:val="26"/>
        </w:rPr>
        <w:tab/>
        <w:t xml:space="preserve">In sum, </w:t>
      </w:r>
      <w:r w:rsidR="00B37843" w:rsidRPr="00672545">
        <w:rPr>
          <w:szCs w:val="26"/>
        </w:rPr>
        <w:t>defendant has shown no</w:t>
      </w:r>
      <w:r w:rsidRPr="00672545">
        <w:rPr>
          <w:szCs w:val="26"/>
        </w:rPr>
        <w:t xml:space="preserve"> error in the admission and use of the </w:t>
      </w:r>
      <w:r w:rsidR="00356A5F" w:rsidRPr="00672545">
        <w:rPr>
          <w:szCs w:val="26"/>
        </w:rPr>
        <w:t xml:space="preserve">child </w:t>
      </w:r>
      <w:r w:rsidRPr="00672545">
        <w:rPr>
          <w:szCs w:val="26"/>
        </w:rPr>
        <w:t>pornography evidence at the penalty phase</w:t>
      </w:r>
      <w:r w:rsidR="00B37843" w:rsidRPr="00672545">
        <w:rPr>
          <w:szCs w:val="26"/>
        </w:rPr>
        <w:t xml:space="preserve"> of his trial</w:t>
      </w:r>
      <w:r w:rsidRPr="00672545">
        <w:rPr>
          <w:szCs w:val="26"/>
        </w:rPr>
        <w:t>.</w:t>
      </w:r>
    </w:p>
    <w:p w14:paraId="69D1736B" w14:textId="77777777" w:rsidR="00B37843" w:rsidRPr="00672545" w:rsidRDefault="00B37843" w:rsidP="00672545">
      <w:pPr>
        <w:pStyle w:val="Heading3"/>
      </w:pPr>
      <w:bookmarkStart w:id="35" w:name="_Toc506979826"/>
      <w:r w:rsidRPr="00672545">
        <w:t xml:space="preserve">5.  </w:t>
      </w:r>
      <w:r w:rsidR="00A47931" w:rsidRPr="00672545">
        <w:t xml:space="preserve">Penalty Phase Prejudice from </w:t>
      </w:r>
      <w:r w:rsidR="00170985" w:rsidRPr="00672545">
        <w:t>the Cross-</w:t>
      </w:r>
      <w:r w:rsidR="00EB6C14" w:rsidRPr="00672545">
        <w:t>E</w:t>
      </w:r>
      <w:r w:rsidR="00170985" w:rsidRPr="00672545">
        <w:t xml:space="preserve">xamination of </w:t>
      </w:r>
      <w:r w:rsidR="000213B0" w:rsidRPr="00672545">
        <w:t xml:space="preserve">Susan L.  </w:t>
      </w:r>
      <w:bookmarkEnd w:id="35"/>
    </w:p>
    <w:p w14:paraId="2345CE47" w14:textId="77777777" w:rsidR="009B6446" w:rsidRPr="00672545" w:rsidRDefault="007F4000" w:rsidP="00672545">
      <w:pPr>
        <w:tabs>
          <w:tab w:val="left" w:pos="720"/>
        </w:tabs>
        <w:rPr>
          <w:szCs w:val="26"/>
        </w:rPr>
      </w:pPr>
      <w:r w:rsidRPr="00672545">
        <w:rPr>
          <w:szCs w:val="26"/>
        </w:rPr>
        <w:tab/>
      </w:r>
      <w:r w:rsidR="005612C1" w:rsidRPr="00672545">
        <w:rPr>
          <w:szCs w:val="26"/>
        </w:rPr>
        <w:t xml:space="preserve">Defendant </w:t>
      </w:r>
      <w:r w:rsidR="00170985" w:rsidRPr="00672545">
        <w:rPr>
          <w:szCs w:val="26"/>
        </w:rPr>
        <w:t>reminds us of his guilt phase claim that the trial court erroneously allowed cross-examination of Susan L. regarding an alleged “stalking” incident</w:t>
      </w:r>
      <w:r w:rsidR="00725821" w:rsidRPr="00672545">
        <w:rPr>
          <w:szCs w:val="26"/>
        </w:rPr>
        <w:t xml:space="preserve"> and her opinion </w:t>
      </w:r>
      <w:r w:rsidR="001C37B0" w:rsidRPr="00672545">
        <w:rPr>
          <w:szCs w:val="26"/>
        </w:rPr>
        <w:t>concerning</w:t>
      </w:r>
      <w:r w:rsidR="00725821" w:rsidRPr="00672545">
        <w:rPr>
          <w:szCs w:val="26"/>
        </w:rPr>
        <w:t xml:space="preserve"> defendant’s “forcefulness” after he </w:t>
      </w:r>
      <w:r w:rsidR="00122CA0" w:rsidRPr="00672545">
        <w:rPr>
          <w:szCs w:val="26"/>
        </w:rPr>
        <w:t>had been</w:t>
      </w:r>
      <w:r w:rsidR="00725821" w:rsidRPr="00672545">
        <w:rPr>
          <w:szCs w:val="26"/>
        </w:rPr>
        <w:t xml:space="preserve"> drinking.  </w:t>
      </w:r>
      <w:r w:rsidR="00BB2864" w:rsidRPr="00672545">
        <w:rPr>
          <w:szCs w:val="26"/>
        </w:rPr>
        <w:t xml:space="preserve">(See </w:t>
      </w:r>
      <w:r w:rsidR="00BB2864" w:rsidRPr="00672545">
        <w:rPr>
          <w:i/>
          <w:szCs w:val="26"/>
        </w:rPr>
        <w:t>ante</w:t>
      </w:r>
      <w:r w:rsidR="00BB2864" w:rsidRPr="00672545">
        <w:rPr>
          <w:szCs w:val="26"/>
        </w:rPr>
        <w:t xml:space="preserve">, Part II.A.7.)  </w:t>
      </w:r>
      <w:r w:rsidR="00C7331A" w:rsidRPr="00672545">
        <w:rPr>
          <w:szCs w:val="26"/>
        </w:rPr>
        <w:t>Defendant</w:t>
      </w:r>
      <w:r w:rsidR="00725821" w:rsidRPr="00672545">
        <w:rPr>
          <w:szCs w:val="26"/>
        </w:rPr>
        <w:t xml:space="preserve"> now contends that even if we reject his claim of prejudicial error at the guilt phase, the use of such evidence at the penalty phase was prejudicial.  </w:t>
      </w:r>
      <w:r w:rsidR="00BB2864" w:rsidRPr="00672545">
        <w:rPr>
          <w:szCs w:val="26"/>
        </w:rPr>
        <w:lastRenderedPageBreak/>
        <w:t xml:space="preserve">He argues that the evidence was responsive to none of the factors listed in section 190.3 </w:t>
      </w:r>
      <w:r w:rsidR="0001000D" w:rsidRPr="00672545">
        <w:rPr>
          <w:szCs w:val="26"/>
        </w:rPr>
        <w:t xml:space="preserve">and violated his right under the Eighth Amendment’s heightened reliability requirement for capital cases.  </w:t>
      </w:r>
    </w:p>
    <w:p w14:paraId="58D6056A" w14:textId="682E842A" w:rsidR="00174D60" w:rsidRPr="00672545" w:rsidRDefault="00BB2864" w:rsidP="00672545">
      <w:pPr>
        <w:tabs>
          <w:tab w:val="left" w:pos="720"/>
        </w:tabs>
        <w:rPr>
          <w:szCs w:val="26"/>
        </w:rPr>
      </w:pPr>
      <w:r w:rsidRPr="00672545">
        <w:rPr>
          <w:szCs w:val="26"/>
        </w:rPr>
        <w:tab/>
      </w:r>
      <w:r w:rsidR="00C7331A" w:rsidRPr="00672545">
        <w:rPr>
          <w:szCs w:val="26"/>
        </w:rPr>
        <w:t xml:space="preserve">Initially, we note the defendant failed to object to the prosecutor’s closing argument regarding Susan L.’s testimony and so forfeited his claim that the prosecutor improperly used the evidence as a </w:t>
      </w:r>
      <w:proofErr w:type="spellStart"/>
      <w:r w:rsidR="00C7331A" w:rsidRPr="00672545">
        <w:rPr>
          <w:szCs w:val="26"/>
        </w:rPr>
        <w:t>nonstatutory</w:t>
      </w:r>
      <w:proofErr w:type="spellEnd"/>
      <w:r w:rsidR="00C7331A" w:rsidRPr="00672545">
        <w:rPr>
          <w:szCs w:val="26"/>
        </w:rPr>
        <w:t xml:space="preserve"> aggravating circumstance.  </w:t>
      </w:r>
      <w:r w:rsidR="008603B8" w:rsidRPr="00672545">
        <w:rPr>
          <w:szCs w:val="26"/>
        </w:rPr>
        <w:t xml:space="preserve">(See </w:t>
      </w:r>
      <w:r w:rsidR="008603B8" w:rsidRPr="00672545">
        <w:rPr>
          <w:i/>
          <w:szCs w:val="26"/>
        </w:rPr>
        <w:t xml:space="preserve">People v. Boyd </w:t>
      </w:r>
      <w:r w:rsidR="008603B8" w:rsidRPr="00672545">
        <w:rPr>
          <w:szCs w:val="26"/>
        </w:rPr>
        <w:t xml:space="preserve">(1985) 38 Cal.3d 762, 772-776.)  </w:t>
      </w:r>
      <w:r w:rsidR="00C7331A" w:rsidRPr="00672545">
        <w:rPr>
          <w:szCs w:val="26"/>
        </w:rPr>
        <w:t>In any event, w</w:t>
      </w:r>
      <w:r w:rsidRPr="00672545">
        <w:rPr>
          <w:szCs w:val="26"/>
        </w:rPr>
        <w:t xml:space="preserve">e agree with the </w:t>
      </w:r>
      <w:r w:rsidR="00616C7F" w:rsidRPr="00672545">
        <w:rPr>
          <w:szCs w:val="26"/>
        </w:rPr>
        <w:t>Attorney General</w:t>
      </w:r>
      <w:r w:rsidRPr="00672545">
        <w:rPr>
          <w:szCs w:val="26"/>
        </w:rPr>
        <w:t xml:space="preserve"> that the prosec</w:t>
      </w:r>
      <w:r w:rsidR="00C7331A" w:rsidRPr="00672545">
        <w:rPr>
          <w:szCs w:val="26"/>
        </w:rPr>
        <w:t xml:space="preserve">ution never asked the jury to consider this evidence as improper </w:t>
      </w:r>
      <w:proofErr w:type="spellStart"/>
      <w:r w:rsidR="00C7331A" w:rsidRPr="00672545">
        <w:rPr>
          <w:szCs w:val="26"/>
        </w:rPr>
        <w:t>nonstatutory</w:t>
      </w:r>
      <w:proofErr w:type="spellEnd"/>
      <w:r w:rsidR="00C7331A" w:rsidRPr="00672545">
        <w:rPr>
          <w:szCs w:val="26"/>
        </w:rPr>
        <w:t xml:space="preserve"> aggravating evidence.  Rather, the prosecution used the evidence to </w:t>
      </w:r>
      <w:r w:rsidR="00616C7F" w:rsidRPr="00672545">
        <w:rPr>
          <w:szCs w:val="26"/>
        </w:rPr>
        <w:t>rebut</w:t>
      </w:r>
      <w:r w:rsidR="00C7331A" w:rsidRPr="00672545">
        <w:rPr>
          <w:szCs w:val="26"/>
        </w:rPr>
        <w:t xml:space="preserve"> </w:t>
      </w:r>
      <w:r w:rsidR="00473A47" w:rsidRPr="00672545">
        <w:rPr>
          <w:szCs w:val="26"/>
        </w:rPr>
        <w:t xml:space="preserve">the penalty phase </w:t>
      </w:r>
      <w:r w:rsidR="00C7331A" w:rsidRPr="00672545">
        <w:rPr>
          <w:szCs w:val="26"/>
        </w:rPr>
        <w:t xml:space="preserve">testimony </w:t>
      </w:r>
      <w:r w:rsidR="00473A47" w:rsidRPr="00672545">
        <w:rPr>
          <w:szCs w:val="26"/>
        </w:rPr>
        <w:t>of Susan L. and her daughter Christina</w:t>
      </w:r>
      <w:r w:rsidR="00681A09">
        <w:rPr>
          <w:szCs w:val="26"/>
        </w:rPr>
        <w:t xml:space="preserve"> G. </w:t>
      </w:r>
      <w:r w:rsidR="00C7331A" w:rsidRPr="00672545">
        <w:rPr>
          <w:szCs w:val="26"/>
        </w:rPr>
        <w:t>that defendant had been kind</w:t>
      </w:r>
      <w:r w:rsidR="00473A47" w:rsidRPr="00672545">
        <w:rPr>
          <w:szCs w:val="26"/>
        </w:rPr>
        <w:t>, helpful,</w:t>
      </w:r>
      <w:r w:rsidR="00C7331A" w:rsidRPr="00672545">
        <w:rPr>
          <w:szCs w:val="26"/>
        </w:rPr>
        <w:t xml:space="preserve"> and generous to </w:t>
      </w:r>
      <w:r w:rsidR="00473A47" w:rsidRPr="00672545">
        <w:rPr>
          <w:szCs w:val="26"/>
        </w:rPr>
        <w:t>them</w:t>
      </w:r>
      <w:r w:rsidR="00C7331A" w:rsidRPr="00672545">
        <w:rPr>
          <w:szCs w:val="26"/>
        </w:rPr>
        <w:t>.</w:t>
      </w:r>
      <w:r w:rsidR="00F81CD5" w:rsidRPr="00672545">
        <w:rPr>
          <w:szCs w:val="26"/>
        </w:rPr>
        <w:t xml:space="preserve">  </w:t>
      </w:r>
      <w:r w:rsidR="00174D60" w:rsidRPr="00672545">
        <w:rPr>
          <w:szCs w:val="26"/>
        </w:rPr>
        <w:t>“</w:t>
      </w:r>
      <w:r w:rsidR="00174D60" w:rsidRPr="00672545">
        <w:rPr>
          <w:rStyle w:val="ssrfcpassagedeactivated"/>
          <w:szCs w:val="26"/>
        </w:rPr>
        <w:t>A defendant who offers evidence of his or her good character widens the scope of the evidence of bad character that may be introduced in rebuttal.  [Citation.]  ‘</w:t>
      </w:r>
      <w:r w:rsidR="00174D60" w:rsidRPr="00672545">
        <w:rPr>
          <w:szCs w:val="26"/>
        </w:rPr>
        <w:t>The scope of rebuttal legitimately embraces argument by the prosecutor “suggesting a more balanced picture of [the accused’s] personality.”  [Citation.]’ [Citation.]”  (</w:t>
      </w:r>
      <w:r w:rsidR="00174D60" w:rsidRPr="00672545">
        <w:rPr>
          <w:i/>
          <w:szCs w:val="26"/>
        </w:rPr>
        <w:t>People v. Cunningham</w:t>
      </w:r>
      <w:r w:rsidR="00CA414A" w:rsidRPr="00672545">
        <w:rPr>
          <w:szCs w:val="26"/>
        </w:rPr>
        <w:t xml:space="preserve">, </w:t>
      </w:r>
      <w:r w:rsidR="00CA414A" w:rsidRPr="00672545">
        <w:rPr>
          <w:i/>
          <w:szCs w:val="26"/>
        </w:rPr>
        <w:t>supra</w:t>
      </w:r>
      <w:r w:rsidR="00CA414A" w:rsidRPr="00672545">
        <w:rPr>
          <w:szCs w:val="26"/>
        </w:rPr>
        <w:t xml:space="preserve">, </w:t>
      </w:r>
      <w:r w:rsidR="00174D60" w:rsidRPr="00672545">
        <w:rPr>
          <w:szCs w:val="26"/>
        </w:rPr>
        <w:t>25 Cal.4</w:t>
      </w:r>
      <w:r w:rsidR="00CE004D" w:rsidRPr="00672545">
        <w:rPr>
          <w:szCs w:val="26"/>
        </w:rPr>
        <w:t>th</w:t>
      </w:r>
      <w:r w:rsidR="00174D60" w:rsidRPr="00672545">
        <w:rPr>
          <w:szCs w:val="26"/>
        </w:rPr>
        <w:t xml:space="preserve"> 926, 1024; accord </w:t>
      </w:r>
      <w:r w:rsidR="00174D60" w:rsidRPr="00672545">
        <w:rPr>
          <w:i/>
          <w:szCs w:val="26"/>
        </w:rPr>
        <w:t>People v. Hawthorne</w:t>
      </w:r>
      <w:r w:rsidR="00174D60" w:rsidRPr="00672545">
        <w:rPr>
          <w:szCs w:val="26"/>
        </w:rPr>
        <w:t xml:space="preserve"> (2009) 46 Cal.4</w:t>
      </w:r>
      <w:r w:rsidR="00CE004D" w:rsidRPr="00672545">
        <w:rPr>
          <w:szCs w:val="26"/>
        </w:rPr>
        <w:t>th</w:t>
      </w:r>
      <w:r w:rsidR="00174D60" w:rsidRPr="00672545">
        <w:rPr>
          <w:szCs w:val="26"/>
        </w:rPr>
        <w:t xml:space="preserve"> 67, 92.)  </w:t>
      </w:r>
    </w:p>
    <w:p w14:paraId="259A9F1B" w14:textId="77777777" w:rsidR="00174D60" w:rsidRPr="00672545" w:rsidRDefault="00EF0C61" w:rsidP="00672545">
      <w:pPr>
        <w:pStyle w:val="Heading3"/>
      </w:pPr>
      <w:bookmarkStart w:id="36" w:name="_Toc506979827"/>
      <w:r w:rsidRPr="00672545">
        <w:t xml:space="preserve">6.  </w:t>
      </w:r>
      <w:r w:rsidR="00616C7F" w:rsidRPr="00672545">
        <w:t xml:space="preserve">Asserted </w:t>
      </w:r>
      <w:r w:rsidRPr="00672545">
        <w:t xml:space="preserve">Cumulative Error </w:t>
      </w:r>
      <w:bookmarkEnd w:id="36"/>
    </w:p>
    <w:p w14:paraId="37D6A25B" w14:textId="77777777" w:rsidR="00EF0C61" w:rsidRPr="00672545" w:rsidRDefault="008A5E1A" w:rsidP="00672545">
      <w:pPr>
        <w:ind w:firstLine="720"/>
        <w:rPr>
          <w:szCs w:val="26"/>
        </w:rPr>
      </w:pPr>
      <w:r w:rsidRPr="00672545">
        <w:rPr>
          <w:szCs w:val="26"/>
        </w:rPr>
        <w:t>Although d</w:t>
      </w:r>
      <w:r w:rsidR="00EF0C61" w:rsidRPr="00672545">
        <w:rPr>
          <w:szCs w:val="26"/>
        </w:rPr>
        <w:t xml:space="preserve">efendant contends that </w:t>
      </w:r>
      <w:r w:rsidRPr="00672545">
        <w:rPr>
          <w:szCs w:val="26"/>
        </w:rPr>
        <w:t xml:space="preserve">each of </w:t>
      </w:r>
      <w:r w:rsidR="00EF0C61" w:rsidRPr="00672545">
        <w:rPr>
          <w:szCs w:val="26"/>
        </w:rPr>
        <w:t>the penalty phase errors</w:t>
      </w:r>
      <w:r w:rsidRPr="00672545">
        <w:rPr>
          <w:szCs w:val="26"/>
        </w:rPr>
        <w:t xml:space="preserve"> he has alleged is prejudicial </w:t>
      </w:r>
      <w:r w:rsidR="00616C7F" w:rsidRPr="00672545">
        <w:rPr>
          <w:szCs w:val="26"/>
        </w:rPr>
        <w:t xml:space="preserve">standing </w:t>
      </w:r>
      <w:r w:rsidRPr="00672545">
        <w:rPr>
          <w:szCs w:val="26"/>
        </w:rPr>
        <w:t xml:space="preserve">alone, he </w:t>
      </w:r>
      <w:r w:rsidR="00EE7F52" w:rsidRPr="00672545">
        <w:rPr>
          <w:szCs w:val="26"/>
        </w:rPr>
        <w:t xml:space="preserve">also </w:t>
      </w:r>
      <w:r w:rsidRPr="00672545">
        <w:rPr>
          <w:szCs w:val="26"/>
        </w:rPr>
        <w:t xml:space="preserve">argues that any combination of the errors </w:t>
      </w:r>
      <w:r w:rsidR="00EE7F52" w:rsidRPr="00672545">
        <w:rPr>
          <w:szCs w:val="26"/>
        </w:rPr>
        <w:t xml:space="preserve">would also </w:t>
      </w:r>
      <w:r w:rsidRPr="00672545">
        <w:rPr>
          <w:szCs w:val="26"/>
        </w:rPr>
        <w:t xml:space="preserve">warrant reversal of the penalty judgment.  </w:t>
      </w:r>
    </w:p>
    <w:p w14:paraId="401F44D7" w14:textId="77777777" w:rsidR="00956F35" w:rsidRPr="00672545" w:rsidRDefault="00647867" w:rsidP="00672545">
      <w:pPr>
        <w:rPr>
          <w:szCs w:val="26"/>
        </w:rPr>
      </w:pPr>
      <w:r w:rsidRPr="00672545">
        <w:rPr>
          <w:szCs w:val="26"/>
        </w:rPr>
        <w:tab/>
      </w:r>
      <w:r w:rsidR="00EE7F52" w:rsidRPr="00672545">
        <w:rPr>
          <w:szCs w:val="26"/>
        </w:rPr>
        <w:t>We have rejected def</w:t>
      </w:r>
      <w:r w:rsidR="00725353" w:rsidRPr="00672545">
        <w:rPr>
          <w:szCs w:val="26"/>
        </w:rPr>
        <w:t>endant’s claims of error.  When</w:t>
      </w:r>
      <w:r w:rsidR="00EE7F52" w:rsidRPr="00672545">
        <w:rPr>
          <w:szCs w:val="26"/>
        </w:rPr>
        <w:t xml:space="preserve"> we have alternatively assumed error, we have found each possible error </w:t>
      </w:r>
      <w:r w:rsidR="007707FD" w:rsidRPr="00672545">
        <w:rPr>
          <w:szCs w:val="26"/>
        </w:rPr>
        <w:t xml:space="preserve">also </w:t>
      </w:r>
      <w:r w:rsidR="00A71C87" w:rsidRPr="00672545">
        <w:rPr>
          <w:szCs w:val="26"/>
        </w:rPr>
        <w:t xml:space="preserve">to </w:t>
      </w:r>
      <w:r w:rsidR="00EE7F52" w:rsidRPr="00672545">
        <w:rPr>
          <w:szCs w:val="26"/>
        </w:rPr>
        <w:t xml:space="preserve">be harmless.  Considering the possible errors </w:t>
      </w:r>
      <w:r w:rsidR="00EE7F52" w:rsidRPr="00672545">
        <w:rPr>
          <w:szCs w:val="26"/>
        </w:rPr>
        <w:lastRenderedPageBreak/>
        <w:t>together</w:t>
      </w:r>
      <w:r w:rsidR="007707FD" w:rsidRPr="00672545">
        <w:rPr>
          <w:szCs w:val="26"/>
        </w:rPr>
        <w:t xml:space="preserve"> for the purposes of this claim</w:t>
      </w:r>
      <w:r w:rsidR="00EE7F52" w:rsidRPr="00672545">
        <w:rPr>
          <w:szCs w:val="26"/>
        </w:rPr>
        <w:t xml:space="preserve">, we also conclude that their cumulative effect does not warrant reversal of the judgment.  </w:t>
      </w:r>
      <w:r w:rsidRPr="00672545">
        <w:rPr>
          <w:szCs w:val="26"/>
        </w:rPr>
        <w:t>(</w:t>
      </w:r>
      <w:r w:rsidRPr="00672545">
        <w:rPr>
          <w:i/>
          <w:szCs w:val="26"/>
        </w:rPr>
        <w:t xml:space="preserve">People v. </w:t>
      </w:r>
      <w:proofErr w:type="spellStart"/>
      <w:r w:rsidRPr="00672545">
        <w:rPr>
          <w:i/>
          <w:szCs w:val="26"/>
        </w:rPr>
        <w:t>Panah</w:t>
      </w:r>
      <w:proofErr w:type="spellEnd"/>
      <w:r w:rsidRPr="00672545">
        <w:rPr>
          <w:szCs w:val="26"/>
        </w:rPr>
        <w:t xml:space="preserve"> (2005) 35 Cal.4</w:t>
      </w:r>
      <w:r w:rsidR="00CE004D" w:rsidRPr="00672545">
        <w:rPr>
          <w:szCs w:val="26"/>
        </w:rPr>
        <w:t>th</w:t>
      </w:r>
      <w:r w:rsidRPr="00672545">
        <w:rPr>
          <w:szCs w:val="26"/>
        </w:rPr>
        <w:t xml:space="preserve"> 395, </w:t>
      </w:r>
      <w:r w:rsidR="00EF0C61" w:rsidRPr="00672545">
        <w:rPr>
          <w:szCs w:val="26"/>
        </w:rPr>
        <w:t>479-480.)</w:t>
      </w:r>
    </w:p>
    <w:p w14:paraId="0AA0C666" w14:textId="77777777" w:rsidR="005F0CF6" w:rsidRPr="00672545" w:rsidRDefault="007707FD" w:rsidP="00672545">
      <w:pPr>
        <w:pStyle w:val="Heading3"/>
      </w:pPr>
      <w:bookmarkStart w:id="37" w:name="_Toc506979828"/>
      <w:r w:rsidRPr="00672545">
        <w:t>7.  Victim Impact Evidence</w:t>
      </w:r>
      <w:bookmarkEnd w:id="37"/>
      <w:r w:rsidR="00F81CD5" w:rsidRPr="00672545">
        <w:t xml:space="preserve">  </w:t>
      </w:r>
    </w:p>
    <w:p w14:paraId="54E7E5CF" w14:textId="77777777" w:rsidR="00942719" w:rsidRPr="00672545" w:rsidRDefault="0048129D" w:rsidP="00672545">
      <w:pPr>
        <w:rPr>
          <w:rStyle w:val="ssrfcpassagedeactivated"/>
          <w:szCs w:val="26"/>
        </w:rPr>
      </w:pPr>
      <w:r w:rsidRPr="00672545">
        <w:rPr>
          <w:szCs w:val="26"/>
        </w:rPr>
        <w:tab/>
      </w:r>
      <w:r w:rsidR="00942719" w:rsidRPr="00672545">
        <w:rPr>
          <w:rStyle w:val="ssrfcpassagedeactivated"/>
          <w:szCs w:val="26"/>
        </w:rPr>
        <w:t xml:space="preserve">Defendant claims the trial court erred in allowing, over defense objection, Danielle’s teachers to testify </w:t>
      </w:r>
      <w:r w:rsidR="00725353" w:rsidRPr="00672545">
        <w:rPr>
          <w:rStyle w:val="ssrfcpassagedeactivated"/>
          <w:szCs w:val="26"/>
        </w:rPr>
        <w:t>regarding</w:t>
      </w:r>
      <w:r w:rsidR="00942719" w:rsidRPr="00672545">
        <w:rPr>
          <w:rStyle w:val="ssrfcpassagedeactivated"/>
          <w:szCs w:val="26"/>
        </w:rPr>
        <w:t xml:space="preserve"> Danielle’s character and contributions, and to the effect of her murder on themselves and Danielle’s classmates.  Defendant asserts that the abduction and murder of “a middle-class young girl, living happily with her brothers and parents in a nice, safe neighborhood in San Diego” was itself sufficient victim impact evidence and anything more “could only irrationally exploit feelings that would be extremely close to the surface in any event.”  </w:t>
      </w:r>
    </w:p>
    <w:p w14:paraId="5F681D39" w14:textId="77777777" w:rsidR="00222EDB" w:rsidRPr="00672545" w:rsidRDefault="00222EDB" w:rsidP="00672545">
      <w:pPr>
        <w:ind w:firstLine="720"/>
        <w:rPr>
          <w:rStyle w:val="ssrfcpassagedeactivated"/>
          <w:szCs w:val="26"/>
        </w:rPr>
      </w:pPr>
      <w:r w:rsidRPr="00672545">
        <w:rPr>
          <w:szCs w:val="26"/>
        </w:rPr>
        <w:t xml:space="preserve">It is well settled that the prosecution may introduce victim impact evidence in the penalty phase of a capital case.  </w:t>
      </w:r>
      <w:proofErr w:type="gramStart"/>
      <w:r w:rsidRPr="00672545">
        <w:rPr>
          <w:rStyle w:val="ssrfcpassagedeactivated"/>
          <w:szCs w:val="26"/>
        </w:rPr>
        <w:t>“ ‘</w:t>
      </w:r>
      <w:proofErr w:type="gramEnd"/>
      <w:r w:rsidRPr="00672545">
        <w:rPr>
          <w:rStyle w:val="ssrfcpassagedeactivated"/>
          <w:szCs w:val="26"/>
        </w:rPr>
        <w:t>Unless it invites a purely irrational response from the jury, the devastating effect of a capital crime on loved ones and the community is relevant and admissible as a circumstance of the crime under section 190.3, factor (a).’ (</w:t>
      </w:r>
      <w:r w:rsidRPr="00672545">
        <w:rPr>
          <w:rStyle w:val="ssit1"/>
          <w:szCs w:val="26"/>
        </w:rPr>
        <w:t>People v. Lewis and Oliver</w:t>
      </w:r>
      <w:r w:rsidRPr="00672545">
        <w:rPr>
          <w:rStyle w:val="ssrfcpassagedeactivated"/>
          <w:szCs w:val="26"/>
        </w:rPr>
        <w:t xml:space="preserve"> (2006) 39 Cal.4th 970, 1056–1057.) ‘The federal Constitution bars victim impact evidence only if it is “so unduly prejudicial” as to render the trial “fundamentally unfair.</w:t>
      </w:r>
      <w:proofErr w:type="gramStart"/>
      <w:r w:rsidRPr="00672545">
        <w:rPr>
          <w:rStyle w:val="ssrfcpassagedeactivated"/>
          <w:szCs w:val="26"/>
        </w:rPr>
        <w:t>” ’</w:t>
      </w:r>
      <w:proofErr w:type="gramEnd"/>
      <w:r w:rsidRPr="00672545">
        <w:rPr>
          <w:rStyle w:val="ssrfcpassagedeactivated"/>
          <w:szCs w:val="26"/>
        </w:rPr>
        <w:t xml:space="preserve"> (</w:t>
      </w:r>
      <w:r w:rsidRPr="00672545">
        <w:rPr>
          <w:rStyle w:val="ssit1"/>
          <w:szCs w:val="26"/>
        </w:rPr>
        <w:t>Id</w:t>
      </w:r>
      <w:r w:rsidRPr="00672545">
        <w:rPr>
          <w:rStyle w:val="ssrfcpassagedeactivated"/>
          <w:szCs w:val="26"/>
        </w:rPr>
        <w:t xml:space="preserve">. at p. 1056, quoting </w:t>
      </w:r>
      <w:r w:rsidRPr="00672545">
        <w:rPr>
          <w:rStyle w:val="ssit1"/>
          <w:szCs w:val="26"/>
        </w:rPr>
        <w:t>Payne v. Tennessee</w:t>
      </w:r>
      <w:r w:rsidRPr="00672545">
        <w:rPr>
          <w:rStyle w:val="ssrfcpassagedeactivated"/>
          <w:szCs w:val="26"/>
        </w:rPr>
        <w:t xml:space="preserve"> (1991) 501 U.S. 808, 825.)”</w:t>
      </w:r>
      <w:r w:rsidR="00DF38C4" w:rsidRPr="00672545">
        <w:rPr>
          <w:rStyle w:val="ssrfcpassagedeactivated"/>
          <w:szCs w:val="26"/>
        </w:rPr>
        <w:t xml:space="preserve"> </w:t>
      </w:r>
      <w:r w:rsidRPr="00672545">
        <w:rPr>
          <w:rStyle w:val="ssrfcpassagedeactivated"/>
          <w:szCs w:val="26"/>
        </w:rPr>
        <w:t xml:space="preserve"> (</w:t>
      </w:r>
      <w:r w:rsidRPr="00672545">
        <w:rPr>
          <w:rStyle w:val="ssit1"/>
          <w:szCs w:val="26"/>
        </w:rPr>
        <w:t>People v. Cruz</w:t>
      </w:r>
      <w:r w:rsidRPr="00672545">
        <w:rPr>
          <w:rStyle w:val="ssrfcpassagedeactivated"/>
          <w:szCs w:val="26"/>
        </w:rPr>
        <w:t xml:space="preserve"> (2008) 44 Cal.4th 636, 682.)  </w:t>
      </w:r>
    </w:p>
    <w:p w14:paraId="38360A8B" w14:textId="77777777" w:rsidR="001A5226" w:rsidRPr="00672545" w:rsidRDefault="001A5226" w:rsidP="00672545">
      <w:pPr>
        <w:rPr>
          <w:rStyle w:val="ssrfcpassagedeactivated"/>
          <w:szCs w:val="26"/>
        </w:rPr>
      </w:pPr>
      <w:r w:rsidRPr="00672545">
        <w:rPr>
          <w:rStyle w:val="ssrfcpassagedeactivated"/>
          <w:szCs w:val="26"/>
        </w:rPr>
        <w:tab/>
      </w:r>
      <w:r w:rsidR="00CB67F1" w:rsidRPr="00672545">
        <w:rPr>
          <w:rStyle w:val="ssrfcpassagedeactivated"/>
          <w:szCs w:val="26"/>
        </w:rPr>
        <w:t>“</w:t>
      </w:r>
      <w:r w:rsidR="009209B2" w:rsidRPr="00672545">
        <w:rPr>
          <w:rStyle w:val="ssrfcpassagedeactivated"/>
          <w:szCs w:val="26"/>
        </w:rPr>
        <w:t>The purpose of victim impact evidence is to demonstrate the immediate harm caused by the defendant</w:t>
      </w:r>
      <w:r w:rsidR="007E0756" w:rsidRPr="00672545">
        <w:rPr>
          <w:rStyle w:val="ssrfcpassagedeactivated"/>
          <w:szCs w:val="26"/>
        </w:rPr>
        <w:t>’</w:t>
      </w:r>
      <w:r w:rsidR="009209B2" w:rsidRPr="00672545">
        <w:rPr>
          <w:rStyle w:val="ssrfcpassagedeactivated"/>
          <w:szCs w:val="26"/>
        </w:rPr>
        <w:t>s criminal conduct.</w:t>
      </w:r>
      <w:r w:rsidR="00CB67F1" w:rsidRPr="00672545">
        <w:rPr>
          <w:rStyle w:val="ssrfcpassagedeactivated"/>
          <w:szCs w:val="26"/>
        </w:rPr>
        <w:t>”</w:t>
      </w:r>
      <w:r w:rsidR="009209B2" w:rsidRPr="00672545">
        <w:rPr>
          <w:rStyle w:val="ssrfcpassagedeactivated"/>
          <w:szCs w:val="26"/>
        </w:rPr>
        <w:t xml:space="preserve">  </w:t>
      </w:r>
      <w:r w:rsidR="00CB67F1" w:rsidRPr="00672545">
        <w:rPr>
          <w:rStyle w:val="ssrfcpassagedeactivated"/>
          <w:szCs w:val="26"/>
        </w:rPr>
        <w:t>(</w:t>
      </w:r>
      <w:r w:rsidR="009209B2" w:rsidRPr="00672545">
        <w:rPr>
          <w:rStyle w:val="ssrfcpassagedeactivated"/>
          <w:i/>
          <w:szCs w:val="26"/>
        </w:rPr>
        <w:t>People v. Pollock</w:t>
      </w:r>
      <w:r w:rsidR="009209B2" w:rsidRPr="00672545">
        <w:rPr>
          <w:rStyle w:val="ssrfcpassagedeactivated"/>
          <w:szCs w:val="26"/>
        </w:rPr>
        <w:t xml:space="preserve"> </w:t>
      </w:r>
      <w:r w:rsidR="009D5378" w:rsidRPr="00672545">
        <w:rPr>
          <w:rStyle w:val="ssrfcpassagedeactivated"/>
          <w:szCs w:val="26"/>
        </w:rPr>
        <w:t xml:space="preserve">(2004) </w:t>
      </w:r>
      <w:r w:rsidR="009209B2" w:rsidRPr="00672545">
        <w:rPr>
          <w:rStyle w:val="ssrfcpassagedeactivated"/>
          <w:szCs w:val="26"/>
        </w:rPr>
        <w:t>32 Cal. 4th 1153, 1183</w:t>
      </w:r>
      <w:r w:rsidR="00CB67F1" w:rsidRPr="00672545">
        <w:rPr>
          <w:rStyle w:val="ssrfcpassagedeactivated"/>
          <w:szCs w:val="26"/>
        </w:rPr>
        <w:t>.)</w:t>
      </w:r>
      <w:r w:rsidR="009209B2" w:rsidRPr="00672545">
        <w:rPr>
          <w:rStyle w:val="ssrfcpassagedeactivated"/>
          <w:szCs w:val="26"/>
        </w:rPr>
        <w:t xml:space="preserve">  </w:t>
      </w:r>
      <w:r w:rsidR="00B10BE3" w:rsidRPr="00672545">
        <w:rPr>
          <w:rStyle w:val="ssrfcpassagedeactivated"/>
          <w:szCs w:val="26"/>
        </w:rPr>
        <w:t>That</w:t>
      </w:r>
      <w:r w:rsidR="009209B2" w:rsidRPr="00672545">
        <w:rPr>
          <w:rStyle w:val="ssrfcpassagedeactivated"/>
          <w:szCs w:val="26"/>
        </w:rPr>
        <w:t xml:space="preserve"> harm is not limited to immediate family members.  </w:t>
      </w:r>
      <w:r w:rsidR="009D5378" w:rsidRPr="00672545">
        <w:rPr>
          <w:rStyle w:val="ssrfcpassagedeactivated"/>
          <w:szCs w:val="26"/>
        </w:rPr>
        <w:t>(</w:t>
      </w:r>
      <w:r w:rsidR="009D5378" w:rsidRPr="00672545">
        <w:rPr>
          <w:rStyle w:val="ssrfcpassagedeactivated"/>
          <w:i/>
          <w:szCs w:val="26"/>
        </w:rPr>
        <w:t>People v. Williams</w:t>
      </w:r>
      <w:r w:rsidR="009D5378" w:rsidRPr="00672545">
        <w:rPr>
          <w:rStyle w:val="ssrfcpassagedeactivated"/>
          <w:szCs w:val="26"/>
        </w:rPr>
        <w:t xml:space="preserve"> (2015) 61 Cal. 4th 1244, 1285</w:t>
      </w:r>
      <w:r w:rsidR="00AE4A4B" w:rsidRPr="00672545">
        <w:rPr>
          <w:rStyle w:val="ssrfcpassagedeactivated"/>
          <w:szCs w:val="26"/>
        </w:rPr>
        <w:t xml:space="preserve">.)  </w:t>
      </w:r>
      <w:proofErr w:type="gramStart"/>
      <w:r w:rsidR="009209B2" w:rsidRPr="00672545">
        <w:rPr>
          <w:rStyle w:val="ssrfcpassagedeactivated"/>
          <w:szCs w:val="26"/>
        </w:rPr>
        <w:t xml:space="preserve">Friends, coworkers, </w:t>
      </w:r>
      <w:r w:rsidR="004F4753" w:rsidRPr="00672545">
        <w:rPr>
          <w:rStyle w:val="ssrfcpassagedeactivated"/>
          <w:szCs w:val="26"/>
        </w:rPr>
        <w:lastRenderedPageBreak/>
        <w:t>classmates,</w:t>
      </w:r>
      <w:r w:rsidR="009209B2" w:rsidRPr="00672545">
        <w:rPr>
          <w:rStyle w:val="ssrfcpassagedeactivated"/>
          <w:szCs w:val="26"/>
        </w:rPr>
        <w:t xml:space="preserve"> </w:t>
      </w:r>
      <w:r w:rsidR="00273FFE" w:rsidRPr="00672545">
        <w:rPr>
          <w:rStyle w:val="ssrfcpassagedeactivated"/>
          <w:szCs w:val="26"/>
        </w:rPr>
        <w:t xml:space="preserve">and </w:t>
      </w:r>
      <w:r w:rsidR="009209B2" w:rsidRPr="00672545">
        <w:rPr>
          <w:rStyle w:val="ssrfcpassagedeactivated"/>
          <w:szCs w:val="26"/>
        </w:rPr>
        <w:t>teachers</w:t>
      </w:r>
      <w:r w:rsidR="00273FFE" w:rsidRPr="00672545">
        <w:rPr>
          <w:rStyle w:val="ssrfcpassagedeactivated"/>
          <w:szCs w:val="26"/>
        </w:rPr>
        <w:t>,</w:t>
      </w:r>
      <w:proofErr w:type="gramEnd"/>
      <w:r w:rsidR="009209B2" w:rsidRPr="00672545">
        <w:rPr>
          <w:rStyle w:val="ssrfcpassagedeactivated"/>
          <w:szCs w:val="26"/>
        </w:rPr>
        <w:t xml:space="preserve"> may all be </w:t>
      </w:r>
      <w:r w:rsidR="00690231" w:rsidRPr="00672545">
        <w:rPr>
          <w:rStyle w:val="ssrfcpassagedeactivated"/>
          <w:szCs w:val="26"/>
        </w:rPr>
        <w:t>affected</w:t>
      </w:r>
      <w:r w:rsidR="009209B2" w:rsidRPr="00672545">
        <w:rPr>
          <w:rStyle w:val="ssrfcpassagedeactivated"/>
          <w:szCs w:val="26"/>
        </w:rPr>
        <w:t xml:space="preserve"> by the death of the victim under the </w:t>
      </w:r>
      <w:r w:rsidR="004F4753" w:rsidRPr="00672545">
        <w:rPr>
          <w:rStyle w:val="ssrfcpassagedeactivated"/>
          <w:szCs w:val="26"/>
        </w:rPr>
        <w:t>specific</w:t>
      </w:r>
      <w:r w:rsidR="009209B2" w:rsidRPr="00672545">
        <w:rPr>
          <w:rStyle w:val="ssrfcpassagedeactivated"/>
          <w:szCs w:val="26"/>
        </w:rPr>
        <w:t xml:space="preserve"> circumstances of a case.  </w:t>
      </w:r>
      <w:r w:rsidR="00AE4A4B" w:rsidRPr="00672545">
        <w:rPr>
          <w:rStyle w:val="ssrfcpassagedeactivated"/>
          <w:szCs w:val="26"/>
        </w:rPr>
        <w:t>(</w:t>
      </w:r>
      <w:r w:rsidR="005D0910" w:rsidRPr="00672545">
        <w:rPr>
          <w:rStyle w:val="ssrfcpassagedeactivated"/>
          <w:szCs w:val="26"/>
        </w:rPr>
        <w:t xml:space="preserve">E.g., </w:t>
      </w:r>
      <w:r w:rsidR="005D0910" w:rsidRPr="00672545">
        <w:rPr>
          <w:rStyle w:val="ssrfcpassagedeactivated"/>
          <w:i/>
          <w:szCs w:val="26"/>
        </w:rPr>
        <w:t>i</w:t>
      </w:r>
      <w:r w:rsidR="00AE4A4B" w:rsidRPr="00672545">
        <w:rPr>
          <w:rStyle w:val="ssrfcpassagedeactivated"/>
          <w:i/>
          <w:szCs w:val="26"/>
        </w:rPr>
        <w:t>bid</w:t>
      </w:r>
      <w:r w:rsidR="00AE4A4B" w:rsidRPr="00672545">
        <w:rPr>
          <w:rStyle w:val="ssrfcpassagedeactivated"/>
          <w:szCs w:val="26"/>
        </w:rPr>
        <w:t>. [</w:t>
      </w:r>
      <w:r w:rsidR="00273FFE" w:rsidRPr="00672545">
        <w:rPr>
          <w:rStyle w:val="ssrfcpassagedeactivated"/>
          <w:szCs w:val="26"/>
        </w:rPr>
        <w:t>c</w:t>
      </w:r>
      <w:r w:rsidR="00AE4A4B" w:rsidRPr="00672545">
        <w:rPr>
          <w:rStyle w:val="ssrfcpassagedeactivated"/>
          <w:szCs w:val="26"/>
        </w:rPr>
        <w:t xml:space="preserve">oworkers]; </w:t>
      </w:r>
      <w:r w:rsidR="00AE4A4B" w:rsidRPr="00672545">
        <w:rPr>
          <w:rStyle w:val="ssrfcpassagedeactivated"/>
          <w:i/>
          <w:szCs w:val="26"/>
        </w:rPr>
        <w:t>People v. Thomas</w:t>
      </w:r>
      <w:r w:rsidR="00AE4A4B" w:rsidRPr="00672545">
        <w:rPr>
          <w:rStyle w:val="ssrfcpassagedeactivated"/>
          <w:szCs w:val="26"/>
        </w:rPr>
        <w:t xml:space="preserve"> (2011) 51 Cal.4</w:t>
      </w:r>
      <w:r w:rsidR="00CE004D" w:rsidRPr="00672545">
        <w:rPr>
          <w:rStyle w:val="ssrfcpassagedeactivated"/>
          <w:szCs w:val="26"/>
        </w:rPr>
        <w:t>th</w:t>
      </w:r>
      <w:r w:rsidR="00AE4A4B" w:rsidRPr="00672545">
        <w:rPr>
          <w:rStyle w:val="ssrfcpassagedeactivated"/>
          <w:szCs w:val="26"/>
        </w:rPr>
        <w:t xml:space="preserve"> 449, 507-508 [</w:t>
      </w:r>
      <w:r w:rsidR="00273FFE" w:rsidRPr="00672545">
        <w:rPr>
          <w:rStyle w:val="ssrfcpassagedeactivated"/>
          <w:szCs w:val="26"/>
        </w:rPr>
        <w:t xml:space="preserve">a </w:t>
      </w:r>
      <w:r w:rsidR="00AE4A4B" w:rsidRPr="00672545">
        <w:rPr>
          <w:rStyle w:val="ssrfcpassagedeactivated"/>
          <w:szCs w:val="26"/>
        </w:rPr>
        <w:t xml:space="preserve">friend and classmate]; </w:t>
      </w:r>
      <w:r w:rsidR="00C01147" w:rsidRPr="00672545">
        <w:rPr>
          <w:rStyle w:val="ssrfcpassagedeactivated"/>
          <w:i/>
          <w:szCs w:val="26"/>
        </w:rPr>
        <w:t xml:space="preserve">People v. Taylor </w:t>
      </w:r>
      <w:r w:rsidR="00C01147" w:rsidRPr="00672545">
        <w:rPr>
          <w:rStyle w:val="ssrfcpassagedeactivated"/>
          <w:szCs w:val="26"/>
        </w:rPr>
        <w:t>(2010) 48 Cal.4</w:t>
      </w:r>
      <w:r w:rsidR="00CE004D" w:rsidRPr="00672545">
        <w:rPr>
          <w:rStyle w:val="ssrfcpassagedeactivated"/>
          <w:szCs w:val="26"/>
        </w:rPr>
        <w:t>th</w:t>
      </w:r>
      <w:r w:rsidR="00C01147" w:rsidRPr="00672545">
        <w:rPr>
          <w:rStyle w:val="ssrfcpassagedeactivated"/>
          <w:szCs w:val="26"/>
        </w:rPr>
        <w:t xml:space="preserve"> 574, 645-646 [</w:t>
      </w:r>
      <w:r w:rsidR="00273FFE" w:rsidRPr="00672545">
        <w:rPr>
          <w:rStyle w:val="ssrfcpassagedeactivated"/>
          <w:szCs w:val="26"/>
        </w:rPr>
        <w:t xml:space="preserve">the </w:t>
      </w:r>
      <w:r w:rsidR="00C01147" w:rsidRPr="00672545">
        <w:rPr>
          <w:rStyle w:val="ssrfcpassagedeactivated"/>
          <w:szCs w:val="26"/>
        </w:rPr>
        <w:t xml:space="preserve">director of </w:t>
      </w:r>
      <w:r w:rsidR="00273FFE" w:rsidRPr="00672545">
        <w:rPr>
          <w:rStyle w:val="ssrfcpassagedeactivated"/>
          <w:szCs w:val="26"/>
        </w:rPr>
        <w:t xml:space="preserve">an </w:t>
      </w:r>
      <w:r w:rsidR="00C01147" w:rsidRPr="00672545">
        <w:rPr>
          <w:rStyle w:val="ssrfcpassagedeactivated"/>
          <w:szCs w:val="26"/>
        </w:rPr>
        <w:t xml:space="preserve">afterschool program </w:t>
      </w:r>
      <w:r w:rsidR="00B10BE3" w:rsidRPr="00672545">
        <w:rPr>
          <w:rStyle w:val="ssrfcpassagedeactivated"/>
          <w:szCs w:val="26"/>
        </w:rPr>
        <w:t>at which</w:t>
      </w:r>
      <w:r w:rsidR="00C01147" w:rsidRPr="00672545">
        <w:rPr>
          <w:rStyle w:val="ssrfcpassagedeactivated"/>
          <w:szCs w:val="26"/>
        </w:rPr>
        <w:t xml:space="preserve"> </w:t>
      </w:r>
      <w:r w:rsidR="005D0910" w:rsidRPr="00672545">
        <w:rPr>
          <w:rStyle w:val="ssrfcpassagedeactivated"/>
          <w:szCs w:val="26"/>
        </w:rPr>
        <w:t xml:space="preserve">the </w:t>
      </w:r>
      <w:r w:rsidR="00C01147" w:rsidRPr="00672545">
        <w:rPr>
          <w:rStyle w:val="ssrfcpassagedeactivated"/>
          <w:szCs w:val="26"/>
        </w:rPr>
        <w:t xml:space="preserve">victim volunteered]; </w:t>
      </w:r>
      <w:r w:rsidR="00AE4A4B" w:rsidRPr="00672545">
        <w:rPr>
          <w:rStyle w:val="ssrfcpassagedeactivated"/>
          <w:i/>
          <w:szCs w:val="26"/>
        </w:rPr>
        <w:t>People v. Ervine</w:t>
      </w:r>
      <w:r w:rsidR="00AE4A4B" w:rsidRPr="00672545">
        <w:rPr>
          <w:rStyle w:val="ssrfcpassagedeactivated"/>
          <w:szCs w:val="26"/>
        </w:rPr>
        <w:t xml:space="preserve"> (2009) 47 Cal.4</w:t>
      </w:r>
      <w:r w:rsidR="00CE004D" w:rsidRPr="00672545">
        <w:rPr>
          <w:rStyle w:val="ssrfcpassagedeactivated"/>
          <w:szCs w:val="26"/>
        </w:rPr>
        <w:t>th</w:t>
      </w:r>
      <w:r w:rsidR="00AE4A4B" w:rsidRPr="00672545">
        <w:rPr>
          <w:rStyle w:val="ssrfcpassagedeactivated"/>
          <w:szCs w:val="26"/>
        </w:rPr>
        <w:t xml:space="preserve"> 745, 792 [</w:t>
      </w:r>
      <w:r w:rsidR="00BF0551" w:rsidRPr="00672545">
        <w:rPr>
          <w:rStyle w:val="ssrfcpassagedeactivated"/>
          <w:szCs w:val="26"/>
        </w:rPr>
        <w:t>t</w:t>
      </w:r>
      <w:r w:rsidR="005D0910" w:rsidRPr="00672545">
        <w:rPr>
          <w:rStyle w:val="ssrfcpassagedeactivated"/>
          <w:szCs w:val="26"/>
        </w:rPr>
        <w:t>he victim’s work supervisor</w:t>
      </w:r>
      <w:r w:rsidR="00AE4A4B" w:rsidRPr="00672545">
        <w:rPr>
          <w:rStyle w:val="ssrfcpassagedeactivated"/>
          <w:szCs w:val="26"/>
        </w:rPr>
        <w:t xml:space="preserve">]; </w:t>
      </w:r>
      <w:r w:rsidR="00C76538" w:rsidRPr="00672545">
        <w:rPr>
          <w:rStyle w:val="ssrfcpassagedeactivated"/>
          <w:i/>
          <w:szCs w:val="26"/>
        </w:rPr>
        <w:t>People v. Dykes</w:t>
      </w:r>
      <w:r w:rsidR="00C76538" w:rsidRPr="00672545">
        <w:rPr>
          <w:rStyle w:val="ssrfcpassagedeactivated"/>
          <w:szCs w:val="26"/>
        </w:rPr>
        <w:t xml:space="preserve"> (2009) 46 Cal.4</w:t>
      </w:r>
      <w:r w:rsidR="00CE004D" w:rsidRPr="00672545">
        <w:rPr>
          <w:rStyle w:val="ssrfcpassagedeactivated"/>
          <w:szCs w:val="26"/>
        </w:rPr>
        <w:t>th</w:t>
      </w:r>
      <w:r w:rsidR="00C76538" w:rsidRPr="00672545">
        <w:rPr>
          <w:rStyle w:val="ssrfcpassagedeactivated"/>
          <w:szCs w:val="26"/>
        </w:rPr>
        <w:t xml:space="preserve"> 731, 779-780 [</w:t>
      </w:r>
      <w:r w:rsidR="00BF0551" w:rsidRPr="00672545">
        <w:rPr>
          <w:rStyle w:val="ssrfcpassagedeactivated"/>
          <w:szCs w:val="26"/>
        </w:rPr>
        <w:t>t</w:t>
      </w:r>
      <w:r w:rsidR="00273FFE" w:rsidRPr="00672545">
        <w:rPr>
          <w:rStyle w:val="ssrfcpassagedeactivated"/>
          <w:szCs w:val="26"/>
        </w:rPr>
        <w:t xml:space="preserve">he victim’s </w:t>
      </w:r>
      <w:r w:rsidR="00C76538" w:rsidRPr="00672545">
        <w:rPr>
          <w:rStyle w:val="ssrfcpassagedeactivated"/>
          <w:szCs w:val="26"/>
        </w:rPr>
        <w:t xml:space="preserve">teacher].)  </w:t>
      </w:r>
      <w:r w:rsidR="00CB67F1" w:rsidRPr="00672545">
        <w:rPr>
          <w:rStyle w:val="ssrfcpassagedeactivated"/>
          <w:szCs w:val="26"/>
        </w:rPr>
        <w:t>Here, defendant’s shocking abduction and murder of seven-year-old Danielle caused emotional harm to her teachers and classmates.  Our review of the r</w:t>
      </w:r>
      <w:r w:rsidR="005646B8" w:rsidRPr="00672545">
        <w:rPr>
          <w:rStyle w:val="ssrfcpassagedeactivated"/>
          <w:szCs w:val="26"/>
        </w:rPr>
        <w:t>ecord does not persuade us that her teachers’</w:t>
      </w:r>
      <w:r w:rsidR="007E0756" w:rsidRPr="00672545">
        <w:rPr>
          <w:rStyle w:val="ssrfcpassagedeactivated"/>
          <w:szCs w:val="26"/>
        </w:rPr>
        <w:t xml:space="preserve"> testimony</w:t>
      </w:r>
      <w:r w:rsidR="00CB67F1" w:rsidRPr="00672545">
        <w:rPr>
          <w:rStyle w:val="ssrfcpassagedeactivated"/>
          <w:szCs w:val="26"/>
        </w:rPr>
        <w:t xml:space="preserve"> </w:t>
      </w:r>
      <w:r w:rsidR="00756927" w:rsidRPr="00672545">
        <w:rPr>
          <w:rStyle w:val="ssrfcpassagedeactivated"/>
          <w:szCs w:val="26"/>
        </w:rPr>
        <w:t xml:space="preserve">regarding Danielle and those effects </w:t>
      </w:r>
      <w:r w:rsidR="00B10BE3" w:rsidRPr="00672545">
        <w:rPr>
          <w:rStyle w:val="ssrfcpassagedeactivated"/>
          <w:szCs w:val="26"/>
        </w:rPr>
        <w:t xml:space="preserve">would </w:t>
      </w:r>
      <w:r w:rsidR="00CB67F1" w:rsidRPr="00672545">
        <w:rPr>
          <w:rStyle w:val="ssrfcpassagedeactivated"/>
          <w:szCs w:val="26"/>
        </w:rPr>
        <w:t xml:space="preserve">invite a purely irrational response from the jury or </w:t>
      </w:r>
      <w:r w:rsidR="00022235" w:rsidRPr="00672545">
        <w:rPr>
          <w:rStyle w:val="ssrfcpassagedeactivated"/>
          <w:szCs w:val="26"/>
        </w:rPr>
        <w:t xml:space="preserve">that it </w:t>
      </w:r>
      <w:r w:rsidR="00CB67F1" w:rsidRPr="00672545">
        <w:rPr>
          <w:rStyle w:val="ssrfcpassagedeactivated"/>
          <w:szCs w:val="26"/>
        </w:rPr>
        <w:t>render</w:t>
      </w:r>
      <w:r w:rsidR="00022235" w:rsidRPr="00672545">
        <w:rPr>
          <w:rStyle w:val="ssrfcpassagedeactivated"/>
          <w:szCs w:val="26"/>
        </w:rPr>
        <w:t>ed</w:t>
      </w:r>
      <w:r w:rsidR="00CB67F1" w:rsidRPr="00672545">
        <w:rPr>
          <w:rStyle w:val="ssrfcpassagedeactivated"/>
          <w:szCs w:val="26"/>
        </w:rPr>
        <w:t xml:space="preserve"> defendant’s trial fundamentally unfair</w:t>
      </w:r>
      <w:r w:rsidR="00273FFE" w:rsidRPr="00672545">
        <w:rPr>
          <w:rStyle w:val="ssrfcpassagedeactivated"/>
          <w:szCs w:val="26"/>
        </w:rPr>
        <w:t xml:space="preserve"> under the circumstances</w:t>
      </w:r>
      <w:r w:rsidR="00CB67F1" w:rsidRPr="00672545">
        <w:rPr>
          <w:rStyle w:val="ssrfcpassagedeactivated"/>
          <w:szCs w:val="26"/>
        </w:rPr>
        <w:t xml:space="preserve">.  </w:t>
      </w:r>
    </w:p>
    <w:p w14:paraId="0C3F537C" w14:textId="77777777" w:rsidR="00B277B8" w:rsidRPr="00672545" w:rsidRDefault="00B277B8" w:rsidP="00672545">
      <w:pPr>
        <w:pStyle w:val="Heading3"/>
        <w:rPr>
          <w:rStyle w:val="ssrfcpassagedeactivated"/>
          <w:szCs w:val="26"/>
        </w:rPr>
      </w:pPr>
      <w:bookmarkStart w:id="38" w:name="_Toc506979829"/>
      <w:r w:rsidRPr="00672545">
        <w:rPr>
          <w:rStyle w:val="ssrfcpassagedeactivated"/>
          <w:szCs w:val="26"/>
        </w:rPr>
        <w:t xml:space="preserve">8.  </w:t>
      </w:r>
      <w:r w:rsidR="00482CD1" w:rsidRPr="00672545">
        <w:rPr>
          <w:rStyle w:val="ssrfcpassagedeactivated"/>
          <w:szCs w:val="26"/>
        </w:rPr>
        <w:t>Failure to Sequester the Jury as</w:t>
      </w:r>
      <w:r w:rsidR="00022235" w:rsidRPr="00672545">
        <w:rPr>
          <w:rStyle w:val="ssrfcpassagedeactivated"/>
          <w:szCs w:val="26"/>
        </w:rPr>
        <w:t xml:space="preserve"> Constituting</w:t>
      </w:r>
      <w:r w:rsidR="00482CD1" w:rsidRPr="00672545">
        <w:rPr>
          <w:rStyle w:val="ssrfcpassagedeactivated"/>
          <w:szCs w:val="26"/>
        </w:rPr>
        <w:t xml:space="preserve"> Penalty Phase Err</w:t>
      </w:r>
      <w:r w:rsidR="00332EC6" w:rsidRPr="00672545">
        <w:rPr>
          <w:rStyle w:val="ssrfcpassagedeactivated"/>
          <w:szCs w:val="26"/>
        </w:rPr>
        <w:t>or</w:t>
      </w:r>
      <w:r w:rsidR="00482CD1" w:rsidRPr="00672545">
        <w:rPr>
          <w:rStyle w:val="ssrfcpassagedeactivated"/>
          <w:szCs w:val="26"/>
        </w:rPr>
        <w:t xml:space="preserve">  </w:t>
      </w:r>
      <w:bookmarkEnd w:id="38"/>
    </w:p>
    <w:p w14:paraId="74727F7B" w14:textId="77777777" w:rsidR="00CD7A19" w:rsidRPr="00672545" w:rsidRDefault="00CD7A19" w:rsidP="00672545">
      <w:pPr>
        <w:rPr>
          <w:szCs w:val="26"/>
        </w:rPr>
      </w:pPr>
      <w:r w:rsidRPr="00672545">
        <w:rPr>
          <w:szCs w:val="26"/>
        </w:rPr>
        <w:tab/>
      </w:r>
      <w:r w:rsidR="00332EC6" w:rsidRPr="00672545">
        <w:rPr>
          <w:szCs w:val="26"/>
        </w:rPr>
        <w:t xml:space="preserve">Defendant contends the trial court’s failure to sequester the jury at the guilt phase </w:t>
      </w:r>
      <w:r w:rsidR="00022235" w:rsidRPr="00672545">
        <w:rPr>
          <w:szCs w:val="26"/>
        </w:rPr>
        <w:t>created</w:t>
      </w:r>
      <w:r w:rsidR="00332EC6" w:rsidRPr="00672545">
        <w:rPr>
          <w:szCs w:val="26"/>
        </w:rPr>
        <w:t xml:space="preserve"> prejudice reaching into the penalty phase, requiring reversal of the penalty judgment.  In the alternative, defendant claims that</w:t>
      </w:r>
      <w:r w:rsidR="007C29C3" w:rsidRPr="00672545">
        <w:rPr>
          <w:szCs w:val="26"/>
        </w:rPr>
        <w:t>,</w:t>
      </w:r>
      <w:r w:rsidR="00332EC6" w:rsidRPr="00672545">
        <w:rPr>
          <w:szCs w:val="26"/>
        </w:rPr>
        <w:t xml:space="preserve"> </w:t>
      </w:r>
      <w:r w:rsidR="007C29C3" w:rsidRPr="00672545">
        <w:rPr>
          <w:szCs w:val="26"/>
        </w:rPr>
        <w:t xml:space="preserve">given the public’s reaction to </w:t>
      </w:r>
      <w:r w:rsidR="0004508B" w:rsidRPr="00672545">
        <w:rPr>
          <w:szCs w:val="26"/>
        </w:rPr>
        <w:t xml:space="preserve">the </w:t>
      </w:r>
      <w:r w:rsidR="00392D08" w:rsidRPr="00672545">
        <w:rPr>
          <w:szCs w:val="26"/>
        </w:rPr>
        <w:t>guilty</w:t>
      </w:r>
      <w:r w:rsidR="0004508B" w:rsidRPr="00672545">
        <w:rPr>
          <w:szCs w:val="26"/>
        </w:rPr>
        <w:t xml:space="preserve"> verdicts </w:t>
      </w:r>
      <w:r w:rsidR="007C29C3" w:rsidRPr="00672545">
        <w:rPr>
          <w:szCs w:val="26"/>
        </w:rPr>
        <w:t xml:space="preserve">and </w:t>
      </w:r>
      <w:r w:rsidR="0004508B" w:rsidRPr="00672545">
        <w:rPr>
          <w:szCs w:val="26"/>
        </w:rPr>
        <w:t xml:space="preserve">the </w:t>
      </w:r>
      <w:r w:rsidR="007C29C3" w:rsidRPr="00672545">
        <w:rPr>
          <w:szCs w:val="26"/>
        </w:rPr>
        <w:t>publicity surrounding the penalty phase, t</w:t>
      </w:r>
      <w:r w:rsidR="00332EC6" w:rsidRPr="00672545">
        <w:rPr>
          <w:szCs w:val="26"/>
        </w:rPr>
        <w:t xml:space="preserve">he trial court committed independent reversible error at the penalty phase by failing to sequester the jury at that time.  We have found no error in the trial court’s failure to sequester the jury at the guilt phase.  (See </w:t>
      </w:r>
      <w:r w:rsidR="00332EC6" w:rsidRPr="00672545">
        <w:rPr>
          <w:i/>
          <w:szCs w:val="26"/>
        </w:rPr>
        <w:t xml:space="preserve">ante </w:t>
      </w:r>
      <w:r w:rsidR="00332EC6" w:rsidRPr="00672545">
        <w:rPr>
          <w:szCs w:val="26"/>
        </w:rPr>
        <w:t>Part II.A.4.)  Therefore, there is no prejudice to carry forward to the penalty phase</w:t>
      </w:r>
      <w:r w:rsidR="009121EC" w:rsidRPr="00672545">
        <w:rPr>
          <w:szCs w:val="26"/>
        </w:rPr>
        <w:t>,</w:t>
      </w:r>
      <w:r w:rsidR="00332EC6" w:rsidRPr="00672545">
        <w:rPr>
          <w:szCs w:val="26"/>
        </w:rPr>
        <w:t xml:space="preserve"> and we reject defendant’s initial claim.  Reviewing the circumstances surrounding the penalty phase of trial</w:t>
      </w:r>
      <w:r w:rsidR="00606F91" w:rsidRPr="00672545">
        <w:rPr>
          <w:szCs w:val="26"/>
        </w:rPr>
        <w:t xml:space="preserve"> (see </w:t>
      </w:r>
      <w:r w:rsidR="00606F91" w:rsidRPr="00672545">
        <w:rPr>
          <w:i/>
          <w:szCs w:val="26"/>
        </w:rPr>
        <w:t>post</w:t>
      </w:r>
      <w:r w:rsidR="00606F91" w:rsidRPr="00672545">
        <w:rPr>
          <w:szCs w:val="26"/>
        </w:rPr>
        <w:t>)</w:t>
      </w:r>
      <w:r w:rsidR="00332EC6" w:rsidRPr="00672545">
        <w:rPr>
          <w:szCs w:val="26"/>
        </w:rPr>
        <w:t xml:space="preserve">, we also find no abuse of discretion in the trial court’s failure to sequester the jury at </w:t>
      </w:r>
      <w:r w:rsidR="00022235" w:rsidRPr="00672545">
        <w:rPr>
          <w:szCs w:val="26"/>
        </w:rPr>
        <w:t>that</w:t>
      </w:r>
      <w:r w:rsidR="00332EC6" w:rsidRPr="00672545">
        <w:rPr>
          <w:szCs w:val="26"/>
        </w:rPr>
        <w:t xml:space="preserve"> time and therefore reject defendant’s alternate claim.</w:t>
      </w:r>
      <w:r w:rsidR="00606F91" w:rsidRPr="00672545">
        <w:rPr>
          <w:szCs w:val="26"/>
        </w:rPr>
        <w:t xml:space="preserve">  </w:t>
      </w:r>
    </w:p>
    <w:p w14:paraId="67917DCE" w14:textId="77777777" w:rsidR="00CD7A19" w:rsidRPr="00672545" w:rsidRDefault="00CD7A19" w:rsidP="00672545">
      <w:pPr>
        <w:pStyle w:val="Heading4"/>
        <w:numPr>
          <w:ilvl w:val="0"/>
          <w:numId w:val="1"/>
        </w:numPr>
        <w:ind w:left="2016" w:hanging="432"/>
      </w:pPr>
      <w:r w:rsidRPr="00672545">
        <w:lastRenderedPageBreak/>
        <w:t xml:space="preserve"> </w:t>
      </w:r>
      <w:r w:rsidR="005E4674" w:rsidRPr="00672545">
        <w:t xml:space="preserve">Penalty Phase </w:t>
      </w:r>
      <w:r w:rsidRPr="00672545">
        <w:t>Background</w:t>
      </w:r>
    </w:p>
    <w:p w14:paraId="539425DF" w14:textId="77777777" w:rsidR="001A5226" w:rsidRPr="00672545" w:rsidRDefault="005646B8" w:rsidP="00672545">
      <w:pPr>
        <w:rPr>
          <w:szCs w:val="26"/>
        </w:rPr>
      </w:pPr>
      <w:r w:rsidRPr="00672545">
        <w:rPr>
          <w:szCs w:val="26"/>
        </w:rPr>
        <w:tab/>
      </w:r>
      <w:r w:rsidR="006F45BF" w:rsidRPr="00672545">
        <w:rPr>
          <w:szCs w:val="26"/>
        </w:rPr>
        <w:t>The guilt phase verdicts were announced in open court on August 21, 2002.</w:t>
      </w:r>
      <w:r w:rsidR="00F81CD5" w:rsidRPr="00672545">
        <w:rPr>
          <w:szCs w:val="26"/>
        </w:rPr>
        <w:t xml:space="preserve">  </w:t>
      </w:r>
      <w:r w:rsidR="006F45BF" w:rsidRPr="00672545">
        <w:rPr>
          <w:szCs w:val="26"/>
        </w:rPr>
        <w:t xml:space="preserve">The jurors were ordered to return on August 28 for the beginning of the penalty phase and </w:t>
      </w:r>
      <w:r w:rsidR="00681A09">
        <w:rPr>
          <w:szCs w:val="26"/>
        </w:rPr>
        <w:t xml:space="preserve">were </w:t>
      </w:r>
      <w:r w:rsidR="006F45BF" w:rsidRPr="00672545">
        <w:rPr>
          <w:szCs w:val="26"/>
        </w:rPr>
        <w:t>released with the standard admonition not to discuss the case or anything concerning their deliberations with anyone.  They were directed to report to the court if anyone contacted or attempted to contact them about the case.</w:t>
      </w:r>
      <w:r w:rsidR="00F81CD5" w:rsidRPr="00672545">
        <w:rPr>
          <w:szCs w:val="26"/>
        </w:rPr>
        <w:t xml:space="preserve">  </w:t>
      </w:r>
      <w:r w:rsidR="006F45BF" w:rsidRPr="00672545">
        <w:rPr>
          <w:szCs w:val="26"/>
        </w:rPr>
        <w:t>The trial court denied defendant’s renewed motion for sequestration with the comment that it had “every confidence [the jury] is abiding by the orders of this court.”</w:t>
      </w:r>
      <w:r w:rsidR="00F81CD5" w:rsidRPr="00672545">
        <w:rPr>
          <w:szCs w:val="26"/>
        </w:rPr>
        <w:t xml:space="preserve">  </w:t>
      </w:r>
      <w:r w:rsidR="006F45BF" w:rsidRPr="00672545">
        <w:rPr>
          <w:szCs w:val="26"/>
        </w:rPr>
        <w:t>It noted that it had not “seen nor heard nor read anything to indicate otherwise.”</w:t>
      </w:r>
      <w:r w:rsidR="00F81CD5" w:rsidRPr="00672545">
        <w:rPr>
          <w:szCs w:val="26"/>
        </w:rPr>
        <w:t xml:space="preserve">  </w:t>
      </w:r>
    </w:p>
    <w:p w14:paraId="757DB446" w14:textId="77777777" w:rsidR="005B1C50" w:rsidRPr="00672545" w:rsidRDefault="006F45BF" w:rsidP="00672545">
      <w:pPr>
        <w:rPr>
          <w:szCs w:val="26"/>
        </w:rPr>
      </w:pPr>
      <w:r w:rsidRPr="00672545">
        <w:rPr>
          <w:szCs w:val="26"/>
        </w:rPr>
        <w:tab/>
        <w:t>After the jury’s verdicts were announced, onlookers who were congregated around the courthouse let out a cheer that was televised along with the news of the verdicts.</w:t>
      </w:r>
      <w:r w:rsidR="00F81CD5" w:rsidRPr="00672545">
        <w:rPr>
          <w:szCs w:val="26"/>
        </w:rPr>
        <w:t xml:space="preserve">  </w:t>
      </w:r>
      <w:r w:rsidR="006C39A7" w:rsidRPr="00672545">
        <w:rPr>
          <w:szCs w:val="26"/>
        </w:rPr>
        <w:t xml:space="preserve">A photographer snapped a photograph of the Van Dams in the courtroom just as the verdict was announced in violation of </w:t>
      </w:r>
      <w:r w:rsidR="004D4BE9" w:rsidRPr="00672545">
        <w:rPr>
          <w:szCs w:val="26"/>
        </w:rPr>
        <w:t>court</w:t>
      </w:r>
      <w:r w:rsidR="006C39A7" w:rsidRPr="00672545">
        <w:rPr>
          <w:szCs w:val="26"/>
        </w:rPr>
        <w:t xml:space="preserve"> rules and the photograph appeared in </w:t>
      </w:r>
      <w:r w:rsidR="00186355" w:rsidRPr="00672545">
        <w:rPr>
          <w:szCs w:val="26"/>
        </w:rPr>
        <w:t>a local</w:t>
      </w:r>
      <w:r w:rsidR="006C39A7" w:rsidRPr="00672545">
        <w:rPr>
          <w:szCs w:val="26"/>
        </w:rPr>
        <w:t xml:space="preserve"> newspaper a short time later.</w:t>
      </w:r>
      <w:r w:rsidR="00F81CD5" w:rsidRPr="00672545">
        <w:rPr>
          <w:szCs w:val="26"/>
        </w:rPr>
        <w:t xml:space="preserve">  </w:t>
      </w:r>
      <w:r w:rsidR="006C39A7" w:rsidRPr="00672545">
        <w:rPr>
          <w:szCs w:val="26"/>
        </w:rPr>
        <w:t>On the same day</w:t>
      </w:r>
      <w:r w:rsidR="00275ED1" w:rsidRPr="00672545">
        <w:rPr>
          <w:szCs w:val="26"/>
        </w:rPr>
        <w:t xml:space="preserve">, </w:t>
      </w:r>
      <w:r w:rsidR="005B1C50" w:rsidRPr="00672545">
        <w:rPr>
          <w:szCs w:val="26"/>
        </w:rPr>
        <w:t xml:space="preserve">in violation of the trial court’s gag order, </w:t>
      </w:r>
      <w:r w:rsidR="00275ED1" w:rsidRPr="00672545">
        <w:rPr>
          <w:szCs w:val="26"/>
        </w:rPr>
        <w:t xml:space="preserve">the San Diego Police Chief gave a news conference </w:t>
      </w:r>
      <w:r w:rsidR="006C39A7" w:rsidRPr="00672545">
        <w:rPr>
          <w:szCs w:val="26"/>
        </w:rPr>
        <w:t>in which he commented on the handling of the matter by his department</w:t>
      </w:r>
      <w:r w:rsidR="00275ED1" w:rsidRPr="00672545">
        <w:rPr>
          <w:szCs w:val="26"/>
        </w:rPr>
        <w:t>.</w:t>
      </w:r>
      <w:r w:rsidR="00F81CD5" w:rsidRPr="00672545">
        <w:rPr>
          <w:szCs w:val="26"/>
        </w:rPr>
        <w:t xml:space="preserve">  </w:t>
      </w:r>
      <w:r w:rsidR="005B1C50" w:rsidRPr="00672545">
        <w:rPr>
          <w:szCs w:val="26"/>
        </w:rPr>
        <w:t xml:space="preserve">The trial court initially considered issuing an order to show cause to the Police </w:t>
      </w:r>
      <w:proofErr w:type="gramStart"/>
      <w:r w:rsidR="005B1C50" w:rsidRPr="00672545">
        <w:rPr>
          <w:szCs w:val="26"/>
        </w:rPr>
        <w:t>Chief, but</w:t>
      </w:r>
      <w:proofErr w:type="gramEnd"/>
      <w:r w:rsidR="005B1C50" w:rsidRPr="00672545">
        <w:rPr>
          <w:szCs w:val="26"/>
        </w:rPr>
        <w:t xml:space="preserve"> decided that there was no meaningful sanction </w:t>
      </w:r>
      <w:r w:rsidR="004D4BE9" w:rsidRPr="00672545">
        <w:rPr>
          <w:szCs w:val="26"/>
        </w:rPr>
        <w:t xml:space="preserve">it could impose </w:t>
      </w:r>
      <w:r w:rsidR="00D97081" w:rsidRPr="00672545">
        <w:rPr>
          <w:szCs w:val="26"/>
        </w:rPr>
        <w:t>at the</w:t>
      </w:r>
      <w:r w:rsidR="00E5275F" w:rsidRPr="00672545">
        <w:rPr>
          <w:szCs w:val="26"/>
        </w:rPr>
        <w:t xml:space="preserve"> time </w:t>
      </w:r>
      <w:r w:rsidR="005B1C50" w:rsidRPr="00672545">
        <w:rPr>
          <w:szCs w:val="26"/>
        </w:rPr>
        <w:t xml:space="preserve">and noted the Chief’s comments were </w:t>
      </w:r>
      <w:r w:rsidR="004D4BE9" w:rsidRPr="00672545">
        <w:rPr>
          <w:szCs w:val="26"/>
        </w:rPr>
        <w:t xml:space="preserve">“fortunately” </w:t>
      </w:r>
      <w:r w:rsidR="005B1C50" w:rsidRPr="00672545">
        <w:rPr>
          <w:szCs w:val="26"/>
        </w:rPr>
        <w:t>“limited in context.”</w:t>
      </w:r>
      <w:r w:rsidR="00F81CD5" w:rsidRPr="00672545">
        <w:rPr>
          <w:szCs w:val="26"/>
        </w:rPr>
        <w:t xml:space="preserve">  </w:t>
      </w:r>
      <w:r w:rsidR="004D4BE9" w:rsidRPr="00672545">
        <w:rPr>
          <w:szCs w:val="26"/>
        </w:rPr>
        <w:t>With respect to the offending photographer, however, t</w:t>
      </w:r>
      <w:r w:rsidR="005B1C50" w:rsidRPr="00672545">
        <w:rPr>
          <w:szCs w:val="26"/>
        </w:rPr>
        <w:t xml:space="preserve">he court barred </w:t>
      </w:r>
      <w:r w:rsidR="00D97081" w:rsidRPr="00672545">
        <w:rPr>
          <w:szCs w:val="26"/>
        </w:rPr>
        <w:t>that person</w:t>
      </w:r>
      <w:r w:rsidR="004D4BE9" w:rsidRPr="00672545">
        <w:rPr>
          <w:szCs w:val="26"/>
        </w:rPr>
        <w:t xml:space="preserve"> </w:t>
      </w:r>
      <w:r w:rsidR="005B1C50" w:rsidRPr="00672545">
        <w:rPr>
          <w:szCs w:val="26"/>
        </w:rPr>
        <w:t>from the balance</w:t>
      </w:r>
      <w:r w:rsidR="00763E1F" w:rsidRPr="00672545">
        <w:rPr>
          <w:szCs w:val="26"/>
        </w:rPr>
        <w:t xml:space="preserve"> of the trial.</w:t>
      </w:r>
      <w:r w:rsidR="00F81CD5" w:rsidRPr="00672545">
        <w:rPr>
          <w:szCs w:val="26"/>
        </w:rPr>
        <w:t xml:space="preserve">  </w:t>
      </w:r>
    </w:p>
    <w:p w14:paraId="7279E095" w14:textId="77777777" w:rsidR="006F651A" w:rsidRPr="00672545" w:rsidRDefault="005B1C50" w:rsidP="00672545">
      <w:pPr>
        <w:rPr>
          <w:szCs w:val="26"/>
        </w:rPr>
      </w:pPr>
      <w:r w:rsidRPr="00672545">
        <w:rPr>
          <w:szCs w:val="26"/>
        </w:rPr>
        <w:tab/>
      </w:r>
      <w:r w:rsidR="00C16888" w:rsidRPr="00672545">
        <w:rPr>
          <w:szCs w:val="26"/>
        </w:rPr>
        <w:t>When the jurors returned on August 28, they hear</w:t>
      </w:r>
      <w:r w:rsidR="009A00D1" w:rsidRPr="00672545">
        <w:rPr>
          <w:szCs w:val="26"/>
        </w:rPr>
        <w:t>d</w:t>
      </w:r>
      <w:r w:rsidR="00C16888" w:rsidRPr="00672545">
        <w:rPr>
          <w:szCs w:val="26"/>
        </w:rPr>
        <w:t xml:space="preserve"> the victim impact evidence and the testimony of defendant’s niece, </w:t>
      </w:r>
      <w:r w:rsidR="00787988">
        <w:rPr>
          <w:szCs w:val="26"/>
        </w:rPr>
        <w:t>J.N.</w:t>
      </w:r>
      <w:r w:rsidR="00134DA4">
        <w:rPr>
          <w:szCs w:val="26"/>
        </w:rPr>
        <w:t xml:space="preserve">, </w:t>
      </w:r>
      <w:r w:rsidR="00EB35A1" w:rsidRPr="00672545">
        <w:rPr>
          <w:szCs w:val="26"/>
        </w:rPr>
        <w:t>concerning defendant touching her teeth while she slept.</w:t>
      </w:r>
      <w:r w:rsidR="00C16888" w:rsidRPr="00672545">
        <w:rPr>
          <w:szCs w:val="26"/>
        </w:rPr>
        <w:t xml:space="preserve">  </w:t>
      </w:r>
      <w:r w:rsidR="00C16888" w:rsidRPr="00672545">
        <w:rPr>
          <w:szCs w:val="26"/>
        </w:rPr>
        <w:lastRenderedPageBreak/>
        <w:t>In releasing the jury at the end of the day, the trial court noted that there were two professional sports games being televised that night</w:t>
      </w:r>
      <w:r w:rsidR="00E5275F" w:rsidRPr="00672545">
        <w:rPr>
          <w:szCs w:val="26"/>
        </w:rPr>
        <w:t>, implicitly suggesting that the jury could safely watch the games to avoid seeing any televised news concerning the trial.</w:t>
      </w:r>
      <w:r w:rsidR="00F81CD5" w:rsidRPr="00672545">
        <w:rPr>
          <w:szCs w:val="26"/>
        </w:rPr>
        <w:t xml:space="preserve">  </w:t>
      </w:r>
      <w:r w:rsidR="00B455F6" w:rsidRPr="00672545">
        <w:rPr>
          <w:szCs w:val="26"/>
        </w:rPr>
        <w:t xml:space="preserve">The court had </w:t>
      </w:r>
      <w:r w:rsidR="00E5275F" w:rsidRPr="00672545">
        <w:rPr>
          <w:szCs w:val="26"/>
        </w:rPr>
        <w:t xml:space="preserve">followed </w:t>
      </w:r>
      <w:r w:rsidR="00A20658" w:rsidRPr="00672545">
        <w:rPr>
          <w:szCs w:val="26"/>
        </w:rPr>
        <w:t>a</w:t>
      </w:r>
      <w:r w:rsidR="00314279" w:rsidRPr="00672545">
        <w:rPr>
          <w:szCs w:val="26"/>
        </w:rPr>
        <w:t xml:space="preserve"> similar</w:t>
      </w:r>
      <w:r w:rsidR="00E5275F" w:rsidRPr="00672545">
        <w:rPr>
          <w:szCs w:val="26"/>
        </w:rPr>
        <w:t xml:space="preserve"> pattern </w:t>
      </w:r>
      <w:r w:rsidR="00314279" w:rsidRPr="00672545">
        <w:rPr>
          <w:szCs w:val="26"/>
        </w:rPr>
        <w:t xml:space="preserve">during the </w:t>
      </w:r>
      <w:r w:rsidR="00E5275F" w:rsidRPr="00672545">
        <w:rPr>
          <w:szCs w:val="26"/>
        </w:rPr>
        <w:t>guilt phase</w:t>
      </w:r>
      <w:r w:rsidR="009A00D1" w:rsidRPr="00672545">
        <w:rPr>
          <w:szCs w:val="26"/>
        </w:rPr>
        <w:t xml:space="preserve"> </w:t>
      </w:r>
      <w:r w:rsidR="00B33099" w:rsidRPr="00672545">
        <w:rPr>
          <w:szCs w:val="26"/>
        </w:rPr>
        <w:t>by suggesting</w:t>
      </w:r>
      <w:r w:rsidR="00314279" w:rsidRPr="00672545">
        <w:rPr>
          <w:szCs w:val="26"/>
        </w:rPr>
        <w:t xml:space="preserve"> to the jury </w:t>
      </w:r>
      <w:r w:rsidR="00FB2B3E" w:rsidRPr="00672545">
        <w:rPr>
          <w:szCs w:val="26"/>
        </w:rPr>
        <w:t xml:space="preserve">that it could </w:t>
      </w:r>
      <w:r w:rsidR="000E5356" w:rsidRPr="00672545">
        <w:rPr>
          <w:szCs w:val="26"/>
        </w:rPr>
        <w:t xml:space="preserve">watch television and still be </w:t>
      </w:r>
      <w:r w:rsidR="00A20658" w:rsidRPr="00672545">
        <w:rPr>
          <w:szCs w:val="26"/>
        </w:rPr>
        <w:t>insulat</w:t>
      </w:r>
      <w:r w:rsidR="00FB2B3E" w:rsidRPr="00672545">
        <w:rPr>
          <w:szCs w:val="26"/>
        </w:rPr>
        <w:t>e</w:t>
      </w:r>
      <w:r w:rsidR="000E5356" w:rsidRPr="00672545">
        <w:rPr>
          <w:szCs w:val="26"/>
        </w:rPr>
        <w:t>d</w:t>
      </w:r>
      <w:r w:rsidR="00A20658" w:rsidRPr="00672545">
        <w:rPr>
          <w:szCs w:val="26"/>
        </w:rPr>
        <w:t xml:space="preserve"> from outside influences</w:t>
      </w:r>
      <w:r w:rsidR="00FB2B3E" w:rsidRPr="00672545">
        <w:rPr>
          <w:szCs w:val="26"/>
        </w:rPr>
        <w:t xml:space="preserve"> by watching such sport</w:t>
      </w:r>
      <w:r w:rsidR="00CB60F8" w:rsidRPr="00672545">
        <w:rPr>
          <w:szCs w:val="26"/>
        </w:rPr>
        <w:t>ing</w:t>
      </w:r>
      <w:r w:rsidR="00FB2B3E" w:rsidRPr="00672545">
        <w:rPr>
          <w:szCs w:val="26"/>
        </w:rPr>
        <w:t xml:space="preserve"> events</w:t>
      </w:r>
      <w:r w:rsidR="00A20658" w:rsidRPr="00672545">
        <w:rPr>
          <w:szCs w:val="26"/>
        </w:rPr>
        <w:t>.</w:t>
      </w:r>
      <w:r w:rsidR="00F81CD5" w:rsidRPr="00672545">
        <w:rPr>
          <w:szCs w:val="26"/>
        </w:rPr>
        <w:t xml:space="preserve">  </w:t>
      </w:r>
      <w:r w:rsidR="00C96F84" w:rsidRPr="00672545">
        <w:rPr>
          <w:szCs w:val="26"/>
        </w:rPr>
        <w:t xml:space="preserve">This time, however, the station televising the San Diego Chargers </w:t>
      </w:r>
      <w:r w:rsidR="00092CD6" w:rsidRPr="00672545">
        <w:rPr>
          <w:szCs w:val="26"/>
        </w:rPr>
        <w:t xml:space="preserve">football </w:t>
      </w:r>
      <w:r w:rsidR="00C96F84" w:rsidRPr="00672545">
        <w:rPr>
          <w:szCs w:val="26"/>
        </w:rPr>
        <w:t xml:space="preserve">game broadcast during halftime </w:t>
      </w:r>
      <w:r w:rsidR="00AB27E0" w:rsidRPr="00672545">
        <w:rPr>
          <w:szCs w:val="26"/>
        </w:rPr>
        <w:t xml:space="preserve">a report concerning the </w:t>
      </w:r>
      <w:r w:rsidR="00C96F84" w:rsidRPr="00672545">
        <w:rPr>
          <w:szCs w:val="26"/>
        </w:rPr>
        <w:t>proceedings</w:t>
      </w:r>
      <w:r w:rsidR="00AB27E0" w:rsidRPr="00672545">
        <w:rPr>
          <w:szCs w:val="26"/>
        </w:rPr>
        <w:t xml:space="preserve"> in defendant’s trial.  The report </w:t>
      </w:r>
      <w:r w:rsidR="006F651A" w:rsidRPr="00672545">
        <w:rPr>
          <w:szCs w:val="26"/>
        </w:rPr>
        <w:t>mentioned allegations of child molestation.</w:t>
      </w:r>
      <w:r w:rsidR="00F81CD5" w:rsidRPr="00672545">
        <w:rPr>
          <w:szCs w:val="26"/>
        </w:rPr>
        <w:t xml:space="preserve">  </w:t>
      </w:r>
    </w:p>
    <w:p w14:paraId="48A99769" w14:textId="77777777" w:rsidR="006F45BF" w:rsidRPr="00672545" w:rsidRDefault="006F651A" w:rsidP="00672545">
      <w:pPr>
        <w:ind w:firstLine="720"/>
        <w:rPr>
          <w:szCs w:val="26"/>
        </w:rPr>
      </w:pPr>
      <w:r w:rsidRPr="00672545">
        <w:rPr>
          <w:szCs w:val="26"/>
        </w:rPr>
        <w:t>Defendant renewed his request for jury sequestration</w:t>
      </w:r>
      <w:r w:rsidR="00FA3BAD" w:rsidRPr="00672545">
        <w:rPr>
          <w:szCs w:val="26"/>
        </w:rPr>
        <w:t xml:space="preserve"> the next day</w:t>
      </w:r>
      <w:r w:rsidR="00092CD6" w:rsidRPr="00672545">
        <w:rPr>
          <w:szCs w:val="26"/>
        </w:rPr>
        <w:t xml:space="preserve"> based on the </w:t>
      </w:r>
      <w:r w:rsidR="00D97081" w:rsidRPr="00672545">
        <w:rPr>
          <w:szCs w:val="26"/>
        </w:rPr>
        <w:t xml:space="preserve">television </w:t>
      </w:r>
      <w:r w:rsidR="00092CD6" w:rsidRPr="00672545">
        <w:rPr>
          <w:szCs w:val="26"/>
        </w:rPr>
        <w:t>coverage</w:t>
      </w:r>
      <w:r w:rsidRPr="00672545">
        <w:rPr>
          <w:szCs w:val="26"/>
        </w:rPr>
        <w:t>.</w:t>
      </w:r>
      <w:r w:rsidR="00F81CD5" w:rsidRPr="00672545">
        <w:rPr>
          <w:szCs w:val="26"/>
        </w:rPr>
        <w:t xml:space="preserve">  </w:t>
      </w:r>
      <w:r w:rsidRPr="00672545">
        <w:rPr>
          <w:szCs w:val="26"/>
        </w:rPr>
        <w:t xml:space="preserve">The trial court denied his request, noting that if any jurors had inadvertently seen anything during the halftime report, it was not different from </w:t>
      </w:r>
      <w:r w:rsidR="00787988">
        <w:rPr>
          <w:szCs w:val="26"/>
        </w:rPr>
        <w:t>J.N.</w:t>
      </w:r>
      <w:r w:rsidRPr="00672545">
        <w:rPr>
          <w:szCs w:val="26"/>
        </w:rPr>
        <w:t xml:space="preserve">’s testimony that they </w:t>
      </w:r>
      <w:r w:rsidR="007F319B" w:rsidRPr="00672545">
        <w:rPr>
          <w:szCs w:val="26"/>
        </w:rPr>
        <w:t xml:space="preserve">had </w:t>
      </w:r>
      <w:r w:rsidRPr="00672545">
        <w:rPr>
          <w:szCs w:val="26"/>
        </w:rPr>
        <w:t>heard during the trial.</w:t>
      </w:r>
      <w:r w:rsidR="00F81CD5" w:rsidRPr="00672545">
        <w:rPr>
          <w:szCs w:val="26"/>
        </w:rPr>
        <w:t xml:space="preserve">  </w:t>
      </w:r>
      <w:r w:rsidRPr="00672545">
        <w:rPr>
          <w:szCs w:val="26"/>
        </w:rPr>
        <w:t xml:space="preserve">When the jurors returned to the courtroom, the trial court observed that if any juror was watching the previous night’s football game, he or she would have been exposed to some coverage of the trial at halftime.  The court assumed, in line with its previous repeated admonitions to avoid watching any news coverage of the trial, that the jurors would have “just looked another way or </w:t>
      </w:r>
      <w:r w:rsidR="003577F5" w:rsidRPr="00672545">
        <w:rPr>
          <w:szCs w:val="26"/>
        </w:rPr>
        <w:t>[switched channels]</w:t>
      </w:r>
      <w:r w:rsidRPr="00672545">
        <w:rPr>
          <w:szCs w:val="26"/>
        </w:rPr>
        <w:t xml:space="preserve"> to see how the Padres were doing.”  </w:t>
      </w:r>
      <w:r w:rsidR="00092CD6" w:rsidRPr="00672545">
        <w:rPr>
          <w:szCs w:val="26"/>
        </w:rPr>
        <w:t>No juror indicated differently.</w:t>
      </w:r>
      <w:r w:rsidR="00F81CD5" w:rsidRPr="00672545">
        <w:rPr>
          <w:szCs w:val="26"/>
        </w:rPr>
        <w:t xml:space="preserve">  </w:t>
      </w:r>
    </w:p>
    <w:p w14:paraId="2D22648C" w14:textId="77777777" w:rsidR="00C8171B" w:rsidRPr="00672545" w:rsidRDefault="00771D06" w:rsidP="00672545">
      <w:pPr>
        <w:rPr>
          <w:szCs w:val="26"/>
        </w:rPr>
      </w:pPr>
      <w:r w:rsidRPr="00672545">
        <w:rPr>
          <w:szCs w:val="26"/>
        </w:rPr>
        <w:tab/>
      </w:r>
      <w:r w:rsidR="00BF291B" w:rsidRPr="00672545">
        <w:rPr>
          <w:szCs w:val="26"/>
        </w:rPr>
        <w:t xml:space="preserve">On the morning of the </w:t>
      </w:r>
      <w:r w:rsidR="00092CD6" w:rsidRPr="00672545">
        <w:rPr>
          <w:szCs w:val="26"/>
        </w:rPr>
        <w:t>next</w:t>
      </w:r>
      <w:r w:rsidR="00BF291B" w:rsidRPr="00672545">
        <w:rPr>
          <w:szCs w:val="26"/>
        </w:rPr>
        <w:t xml:space="preserve"> day of trial, the defense asked to make a record of its investigation regarding a </w:t>
      </w:r>
      <w:r w:rsidR="00412CCA" w:rsidRPr="00672545">
        <w:rPr>
          <w:szCs w:val="26"/>
        </w:rPr>
        <w:t xml:space="preserve">previously received </w:t>
      </w:r>
      <w:r w:rsidR="00BF291B" w:rsidRPr="00672545">
        <w:rPr>
          <w:szCs w:val="26"/>
        </w:rPr>
        <w:t xml:space="preserve">second-hand report that Juror </w:t>
      </w:r>
      <w:r w:rsidR="00EE0894" w:rsidRPr="00672545">
        <w:rPr>
          <w:szCs w:val="26"/>
        </w:rPr>
        <w:t>n</w:t>
      </w:r>
      <w:r w:rsidR="00D41323" w:rsidRPr="00672545">
        <w:rPr>
          <w:szCs w:val="26"/>
        </w:rPr>
        <w:t>umber</w:t>
      </w:r>
      <w:r w:rsidR="00BF291B" w:rsidRPr="00672545">
        <w:rPr>
          <w:szCs w:val="26"/>
        </w:rPr>
        <w:t xml:space="preserve"> 12 had said at work that he would not believe anything one of defendant’s counsel said because he did not like counsel.  </w:t>
      </w:r>
      <w:r w:rsidR="00FC6A97" w:rsidRPr="00672545">
        <w:rPr>
          <w:szCs w:val="26"/>
        </w:rPr>
        <w:t xml:space="preserve">(See </w:t>
      </w:r>
      <w:r w:rsidR="00FC6A97" w:rsidRPr="00672545">
        <w:rPr>
          <w:i/>
          <w:szCs w:val="26"/>
        </w:rPr>
        <w:t>ante</w:t>
      </w:r>
      <w:r w:rsidR="00FC6A97" w:rsidRPr="00672545">
        <w:rPr>
          <w:szCs w:val="26"/>
        </w:rPr>
        <w:t xml:space="preserve">, Part II.A.4.a.)  </w:t>
      </w:r>
      <w:r w:rsidR="00412CCA" w:rsidRPr="00672545">
        <w:rPr>
          <w:szCs w:val="26"/>
        </w:rPr>
        <w:t>The defense</w:t>
      </w:r>
      <w:r w:rsidR="00FC6A97" w:rsidRPr="00672545">
        <w:rPr>
          <w:szCs w:val="26"/>
        </w:rPr>
        <w:t xml:space="preserve"> reported that </w:t>
      </w:r>
      <w:r w:rsidR="00412CCA" w:rsidRPr="00672545">
        <w:rPr>
          <w:szCs w:val="26"/>
        </w:rPr>
        <w:t>its</w:t>
      </w:r>
      <w:r w:rsidR="00FC6A97" w:rsidRPr="00672545">
        <w:rPr>
          <w:szCs w:val="26"/>
        </w:rPr>
        <w:t xml:space="preserve"> investigator was told that Juror </w:t>
      </w:r>
      <w:r w:rsidR="00EE0894" w:rsidRPr="00672545">
        <w:rPr>
          <w:szCs w:val="26"/>
        </w:rPr>
        <w:t>n</w:t>
      </w:r>
      <w:r w:rsidR="00FC6A97" w:rsidRPr="00672545">
        <w:rPr>
          <w:szCs w:val="26"/>
        </w:rPr>
        <w:t xml:space="preserve">umber 12 had been essentially “tight-lipped” </w:t>
      </w:r>
      <w:r w:rsidR="00412CCA" w:rsidRPr="00672545">
        <w:rPr>
          <w:szCs w:val="26"/>
        </w:rPr>
        <w:t xml:space="preserve">at </w:t>
      </w:r>
      <w:r w:rsidR="00412CCA" w:rsidRPr="00672545">
        <w:rPr>
          <w:szCs w:val="26"/>
        </w:rPr>
        <w:lastRenderedPageBreak/>
        <w:t xml:space="preserve">work </w:t>
      </w:r>
      <w:r w:rsidR="00FC6A97" w:rsidRPr="00672545">
        <w:rPr>
          <w:szCs w:val="26"/>
        </w:rPr>
        <w:t>and had said nothing.</w:t>
      </w:r>
      <w:r w:rsidR="00F81CD5" w:rsidRPr="00672545">
        <w:rPr>
          <w:szCs w:val="26"/>
        </w:rPr>
        <w:t xml:space="preserve">  </w:t>
      </w:r>
      <w:r w:rsidR="00FC6A97" w:rsidRPr="00672545">
        <w:rPr>
          <w:szCs w:val="26"/>
        </w:rPr>
        <w:t xml:space="preserve">Juror </w:t>
      </w:r>
      <w:r w:rsidR="00EE0894" w:rsidRPr="00672545">
        <w:rPr>
          <w:szCs w:val="26"/>
        </w:rPr>
        <w:t>n</w:t>
      </w:r>
      <w:r w:rsidR="00FC6A97" w:rsidRPr="00672545">
        <w:rPr>
          <w:szCs w:val="26"/>
        </w:rPr>
        <w:t>umber 12, however, became aware of the defense inquiries and</w:t>
      </w:r>
      <w:r w:rsidR="00134DA4">
        <w:rPr>
          <w:szCs w:val="26"/>
        </w:rPr>
        <w:t>,</w:t>
      </w:r>
      <w:r w:rsidR="00FC6A97" w:rsidRPr="00672545">
        <w:rPr>
          <w:szCs w:val="26"/>
        </w:rPr>
        <w:t xml:space="preserve"> later that day, sent the court a note to ask why</w:t>
      </w:r>
      <w:r w:rsidR="006C47D3" w:rsidRPr="00672545">
        <w:rPr>
          <w:szCs w:val="26"/>
        </w:rPr>
        <w:t xml:space="preserve"> they had been made</w:t>
      </w:r>
      <w:r w:rsidR="00FC6A97" w:rsidRPr="00672545">
        <w:rPr>
          <w:szCs w:val="26"/>
        </w:rPr>
        <w:t>.</w:t>
      </w:r>
      <w:r w:rsidR="00F81CD5" w:rsidRPr="00672545">
        <w:rPr>
          <w:szCs w:val="26"/>
        </w:rPr>
        <w:t xml:space="preserve">  </w:t>
      </w:r>
      <w:r w:rsidR="006375EB" w:rsidRPr="00672545">
        <w:rPr>
          <w:szCs w:val="26"/>
        </w:rPr>
        <w:t xml:space="preserve">The defense requested that the trial court bring Juror </w:t>
      </w:r>
      <w:r w:rsidR="00EE0894" w:rsidRPr="00672545">
        <w:rPr>
          <w:szCs w:val="26"/>
        </w:rPr>
        <w:t>n</w:t>
      </w:r>
      <w:r w:rsidR="006375EB" w:rsidRPr="00672545">
        <w:rPr>
          <w:szCs w:val="26"/>
        </w:rPr>
        <w:t xml:space="preserve">umber 12 into the courtroom </w:t>
      </w:r>
      <w:proofErr w:type="gramStart"/>
      <w:r w:rsidR="006375EB" w:rsidRPr="00672545">
        <w:rPr>
          <w:szCs w:val="26"/>
        </w:rPr>
        <w:t>in order to</w:t>
      </w:r>
      <w:proofErr w:type="gramEnd"/>
      <w:r w:rsidR="006375EB" w:rsidRPr="00672545">
        <w:rPr>
          <w:szCs w:val="26"/>
        </w:rPr>
        <w:t xml:space="preserve"> assure him that nothing improper had been done by the defense.  The court granted the request and Juror </w:t>
      </w:r>
      <w:r w:rsidR="00EE0894" w:rsidRPr="00672545">
        <w:rPr>
          <w:szCs w:val="26"/>
        </w:rPr>
        <w:t>n</w:t>
      </w:r>
      <w:r w:rsidR="006375EB" w:rsidRPr="00672545">
        <w:rPr>
          <w:szCs w:val="26"/>
        </w:rPr>
        <w:t xml:space="preserve">umber 12 was called in.  </w:t>
      </w:r>
    </w:p>
    <w:p w14:paraId="1B781AB0" w14:textId="77777777" w:rsidR="00275ED1" w:rsidRPr="00672545" w:rsidRDefault="006375EB" w:rsidP="00672545">
      <w:pPr>
        <w:ind w:firstLine="720"/>
        <w:rPr>
          <w:szCs w:val="26"/>
        </w:rPr>
      </w:pPr>
      <w:r w:rsidRPr="00672545">
        <w:rPr>
          <w:szCs w:val="26"/>
        </w:rPr>
        <w:t xml:space="preserve">The trial court </w:t>
      </w:r>
      <w:r w:rsidR="000A413D" w:rsidRPr="00672545">
        <w:rPr>
          <w:szCs w:val="26"/>
        </w:rPr>
        <w:t xml:space="preserve">explained to Juror </w:t>
      </w:r>
      <w:r w:rsidR="00EE0894" w:rsidRPr="00672545">
        <w:rPr>
          <w:szCs w:val="26"/>
        </w:rPr>
        <w:t>n</w:t>
      </w:r>
      <w:r w:rsidR="000A413D" w:rsidRPr="00672545">
        <w:rPr>
          <w:szCs w:val="26"/>
        </w:rPr>
        <w:t xml:space="preserve">umber 12 </w:t>
      </w:r>
      <w:r w:rsidRPr="00672545">
        <w:rPr>
          <w:szCs w:val="26"/>
        </w:rPr>
        <w:t xml:space="preserve">that </w:t>
      </w:r>
      <w:r w:rsidR="000A413D" w:rsidRPr="00672545">
        <w:rPr>
          <w:szCs w:val="26"/>
        </w:rPr>
        <w:t xml:space="preserve">courts sometimes receive reports regarding the conduct of jurors, substantiated or not, and when such a situation arises, it is incumbent </w:t>
      </w:r>
      <w:r w:rsidR="004A371B" w:rsidRPr="00672545">
        <w:rPr>
          <w:szCs w:val="26"/>
        </w:rPr>
        <w:t>on the court to allow the parties to investigate.  The court</w:t>
      </w:r>
      <w:r w:rsidRPr="00672545">
        <w:rPr>
          <w:szCs w:val="26"/>
        </w:rPr>
        <w:t xml:space="preserve"> had </w:t>
      </w:r>
      <w:r w:rsidR="000A413D" w:rsidRPr="00672545">
        <w:rPr>
          <w:szCs w:val="26"/>
        </w:rPr>
        <w:t xml:space="preserve">received such a report from someone at Juror </w:t>
      </w:r>
      <w:r w:rsidR="00EE0894" w:rsidRPr="00672545">
        <w:rPr>
          <w:szCs w:val="26"/>
        </w:rPr>
        <w:t>n</w:t>
      </w:r>
      <w:r w:rsidR="000A413D" w:rsidRPr="00672545">
        <w:rPr>
          <w:szCs w:val="26"/>
        </w:rPr>
        <w:t xml:space="preserve">umber 12’s work </w:t>
      </w:r>
      <w:r w:rsidR="004A371B" w:rsidRPr="00672545">
        <w:rPr>
          <w:szCs w:val="26"/>
        </w:rPr>
        <w:t xml:space="preserve">that had caused some concern among both sides </w:t>
      </w:r>
      <w:r w:rsidR="000A413D" w:rsidRPr="00672545">
        <w:rPr>
          <w:szCs w:val="26"/>
        </w:rPr>
        <w:t xml:space="preserve">and </w:t>
      </w:r>
      <w:r w:rsidR="004A371B" w:rsidRPr="00672545">
        <w:rPr>
          <w:szCs w:val="26"/>
        </w:rPr>
        <w:t>the court</w:t>
      </w:r>
      <w:r w:rsidR="000A413D" w:rsidRPr="00672545">
        <w:rPr>
          <w:szCs w:val="26"/>
        </w:rPr>
        <w:t xml:space="preserve"> had </w:t>
      </w:r>
      <w:r w:rsidRPr="00672545">
        <w:rPr>
          <w:szCs w:val="26"/>
        </w:rPr>
        <w:t xml:space="preserve">authorized each side to </w:t>
      </w:r>
      <w:r w:rsidR="004A371B" w:rsidRPr="00672545">
        <w:rPr>
          <w:szCs w:val="26"/>
        </w:rPr>
        <w:t xml:space="preserve">pursue </w:t>
      </w:r>
      <w:r w:rsidR="006C47D3" w:rsidRPr="00672545">
        <w:rPr>
          <w:szCs w:val="26"/>
        </w:rPr>
        <w:t>the rumor</w:t>
      </w:r>
      <w:r w:rsidR="004A371B" w:rsidRPr="00672545">
        <w:rPr>
          <w:szCs w:val="26"/>
        </w:rPr>
        <w:t xml:space="preserve"> </w:t>
      </w:r>
      <w:proofErr w:type="gramStart"/>
      <w:r w:rsidR="004A371B" w:rsidRPr="00672545">
        <w:rPr>
          <w:szCs w:val="26"/>
        </w:rPr>
        <w:t>in order to</w:t>
      </w:r>
      <w:proofErr w:type="gramEnd"/>
      <w:r w:rsidR="004A371B" w:rsidRPr="00672545">
        <w:rPr>
          <w:szCs w:val="26"/>
        </w:rPr>
        <w:t xml:space="preserve"> allay any concerns</w:t>
      </w:r>
      <w:r w:rsidR="00DC29A8" w:rsidRPr="00672545">
        <w:rPr>
          <w:szCs w:val="26"/>
        </w:rPr>
        <w:t xml:space="preserve"> they might have</w:t>
      </w:r>
      <w:r w:rsidR="004A371B" w:rsidRPr="00672545">
        <w:rPr>
          <w:szCs w:val="26"/>
        </w:rPr>
        <w:t xml:space="preserve">. </w:t>
      </w:r>
      <w:r w:rsidRPr="00672545">
        <w:rPr>
          <w:szCs w:val="26"/>
        </w:rPr>
        <w:t xml:space="preserve"> </w:t>
      </w:r>
      <w:r w:rsidR="00DC29A8" w:rsidRPr="00672545">
        <w:rPr>
          <w:szCs w:val="26"/>
        </w:rPr>
        <w:t>T</w:t>
      </w:r>
      <w:r w:rsidRPr="00672545">
        <w:rPr>
          <w:szCs w:val="26"/>
        </w:rPr>
        <w:t xml:space="preserve">he defense had </w:t>
      </w:r>
      <w:r w:rsidR="00596B3E" w:rsidRPr="00672545">
        <w:rPr>
          <w:szCs w:val="26"/>
        </w:rPr>
        <w:t>chosen to do</w:t>
      </w:r>
      <w:r w:rsidR="004A371B" w:rsidRPr="00672545">
        <w:rPr>
          <w:szCs w:val="26"/>
        </w:rPr>
        <w:t xml:space="preserve"> so, but</w:t>
      </w:r>
      <w:r w:rsidR="00B56D5B" w:rsidRPr="00672545">
        <w:rPr>
          <w:szCs w:val="26"/>
        </w:rPr>
        <w:t>, the court explained,</w:t>
      </w:r>
      <w:r w:rsidR="004A371B" w:rsidRPr="00672545">
        <w:rPr>
          <w:szCs w:val="26"/>
        </w:rPr>
        <w:t xml:space="preserve"> nothing in the results caused </w:t>
      </w:r>
      <w:r w:rsidR="006C0EE8" w:rsidRPr="00672545">
        <w:rPr>
          <w:szCs w:val="26"/>
        </w:rPr>
        <w:t>it</w:t>
      </w:r>
      <w:r w:rsidR="004A371B" w:rsidRPr="00672545">
        <w:rPr>
          <w:szCs w:val="26"/>
        </w:rPr>
        <w:t xml:space="preserve"> any concern</w:t>
      </w:r>
      <w:r w:rsidRPr="00672545">
        <w:rPr>
          <w:szCs w:val="26"/>
        </w:rPr>
        <w:t>.</w:t>
      </w:r>
      <w:r w:rsidR="00F81CD5" w:rsidRPr="00672545">
        <w:rPr>
          <w:szCs w:val="26"/>
        </w:rPr>
        <w:t xml:space="preserve">  </w:t>
      </w:r>
      <w:r w:rsidR="004A371B" w:rsidRPr="00672545">
        <w:rPr>
          <w:szCs w:val="26"/>
        </w:rPr>
        <w:t xml:space="preserve">The court </w:t>
      </w:r>
      <w:r w:rsidR="00DC29A8" w:rsidRPr="00672545">
        <w:rPr>
          <w:szCs w:val="26"/>
        </w:rPr>
        <w:t xml:space="preserve">then </w:t>
      </w:r>
      <w:r w:rsidR="004A371B" w:rsidRPr="00672545">
        <w:rPr>
          <w:szCs w:val="26"/>
        </w:rPr>
        <w:t xml:space="preserve">enquired of Juror </w:t>
      </w:r>
      <w:r w:rsidR="00EE0894" w:rsidRPr="00672545">
        <w:rPr>
          <w:szCs w:val="26"/>
        </w:rPr>
        <w:t>nu</w:t>
      </w:r>
      <w:r w:rsidR="004A371B" w:rsidRPr="00672545">
        <w:rPr>
          <w:szCs w:val="26"/>
        </w:rPr>
        <w:t xml:space="preserve">mber 12 whether there was anything about this situation that affected his ability to be fair and neutral.  Juror </w:t>
      </w:r>
      <w:r w:rsidR="00EE0894" w:rsidRPr="00672545">
        <w:rPr>
          <w:szCs w:val="26"/>
        </w:rPr>
        <w:t>n</w:t>
      </w:r>
      <w:r w:rsidR="004A371B" w:rsidRPr="00672545">
        <w:rPr>
          <w:szCs w:val="26"/>
        </w:rPr>
        <w:t>umber 12 responded that it did not affect him at all</w:t>
      </w:r>
      <w:r w:rsidR="003B3D9A" w:rsidRPr="00672545">
        <w:rPr>
          <w:szCs w:val="26"/>
        </w:rPr>
        <w:t xml:space="preserve"> and repeated </w:t>
      </w:r>
      <w:r w:rsidR="00B56D5B" w:rsidRPr="00672545">
        <w:rPr>
          <w:szCs w:val="26"/>
        </w:rPr>
        <w:t>that</w:t>
      </w:r>
      <w:r w:rsidR="003B3D9A" w:rsidRPr="00672545">
        <w:rPr>
          <w:szCs w:val="26"/>
        </w:rPr>
        <w:t xml:space="preserve"> assurance when asked </w:t>
      </w:r>
      <w:r w:rsidR="006C47D3" w:rsidRPr="00672545">
        <w:rPr>
          <w:szCs w:val="26"/>
        </w:rPr>
        <w:t>a second time</w:t>
      </w:r>
      <w:r w:rsidR="003B3D9A" w:rsidRPr="00672545">
        <w:rPr>
          <w:szCs w:val="26"/>
        </w:rPr>
        <w:t xml:space="preserve"> by the defense</w:t>
      </w:r>
      <w:r w:rsidR="004A371B" w:rsidRPr="00672545">
        <w:rPr>
          <w:szCs w:val="26"/>
        </w:rPr>
        <w:t>.</w:t>
      </w:r>
      <w:r w:rsidR="00F81CD5" w:rsidRPr="00672545">
        <w:rPr>
          <w:szCs w:val="26"/>
        </w:rPr>
        <w:t xml:space="preserve">  </w:t>
      </w:r>
      <w:r w:rsidR="003A6FA5" w:rsidRPr="00672545">
        <w:rPr>
          <w:szCs w:val="26"/>
        </w:rPr>
        <w:t xml:space="preserve">After Juror </w:t>
      </w:r>
      <w:r w:rsidR="00EE0894" w:rsidRPr="00672545">
        <w:rPr>
          <w:szCs w:val="26"/>
        </w:rPr>
        <w:t>n</w:t>
      </w:r>
      <w:r w:rsidR="003A6FA5" w:rsidRPr="00672545">
        <w:rPr>
          <w:szCs w:val="26"/>
        </w:rPr>
        <w:t xml:space="preserve">umber 12 left the courtroom, the defense renewed its motion to sequester the jurors.  The trial court </w:t>
      </w:r>
      <w:r w:rsidR="006C47D3" w:rsidRPr="00672545">
        <w:rPr>
          <w:szCs w:val="26"/>
        </w:rPr>
        <w:t xml:space="preserve">again </w:t>
      </w:r>
      <w:r w:rsidR="003A6FA5" w:rsidRPr="00672545">
        <w:rPr>
          <w:szCs w:val="26"/>
        </w:rPr>
        <w:t xml:space="preserve">denied the motion.  </w:t>
      </w:r>
    </w:p>
    <w:p w14:paraId="69A4A4E2" w14:textId="77777777" w:rsidR="00771D06" w:rsidRPr="00672545" w:rsidRDefault="009F2260" w:rsidP="00672545">
      <w:pPr>
        <w:pStyle w:val="Heading4"/>
        <w:numPr>
          <w:ilvl w:val="0"/>
          <w:numId w:val="1"/>
        </w:numPr>
        <w:ind w:left="2016" w:hanging="432"/>
      </w:pPr>
      <w:r w:rsidRPr="00672545">
        <w:t xml:space="preserve"> Discussion</w:t>
      </w:r>
    </w:p>
    <w:p w14:paraId="6C564EDC" w14:textId="77777777" w:rsidR="00B224EC" w:rsidRPr="00672545" w:rsidRDefault="003E1C04" w:rsidP="00672545">
      <w:pPr>
        <w:rPr>
          <w:szCs w:val="26"/>
        </w:rPr>
      </w:pPr>
      <w:r w:rsidRPr="00672545">
        <w:rPr>
          <w:szCs w:val="26"/>
        </w:rPr>
        <w:tab/>
        <w:t>We earlier concluded, in accordance with our prior law, that a trial court’s decision whether to sequester a jury is subject to an abuse of discretion standard of review.  (</w:t>
      </w:r>
      <w:r w:rsidR="004D6716" w:rsidRPr="00672545">
        <w:rPr>
          <w:szCs w:val="26"/>
        </w:rPr>
        <w:t xml:space="preserve">See </w:t>
      </w:r>
      <w:r w:rsidR="004D6716" w:rsidRPr="00672545">
        <w:rPr>
          <w:i/>
          <w:szCs w:val="26"/>
        </w:rPr>
        <w:t>ante</w:t>
      </w:r>
      <w:r w:rsidR="004D6716" w:rsidRPr="00672545">
        <w:rPr>
          <w:szCs w:val="26"/>
        </w:rPr>
        <w:t xml:space="preserve">, </w:t>
      </w:r>
      <w:r w:rsidRPr="00672545">
        <w:rPr>
          <w:szCs w:val="26"/>
        </w:rPr>
        <w:t>Part II.A.4</w:t>
      </w:r>
      <w:r w:rsidR="004D6716" w:rsidRPr="00672545">
        <w:rPr>
          <w:szCs w:val="26"/>
        </w:rPr>
        <w:t>.b</w:t>
      </w:r>
      <w:r w:rsidRPr="00672545">
        <w:rPr>
          <w:szCs w:val="26"/>
        </w:rPr>
        <w:t xml:space="preserve">.)  Applying that standard again to the trial court’s decision not </w:t>
      </w:r>
      <w:r w:rsidR="00CD6351" w:rsidRPr="00672545">
        <w:rPr>
          <w:szCs w:val="26"/>
        </w:rPr>
        <w:t xml:space="preserve">to </w:t>
      </w:r>
      <w:r w:rsidRPr="00672545">
        <w:rPr>
          <w:szCs w:val="26"/>
        </w:rPr>
        <w:t xml:space="preserve">sequester the jury during the penalty phase of trial, we find no error.  </w:t>
      </w:r>
      <w:r w:rsidR="009F2260" w:rsidRPr="00672545">
        <w:rPr>
          <w:szCs w:val="26"/>
        </w:rPr>
        <w:t xml:space="preserve">Although </w:t>
      </w:r>
      <w:r w:rsidR="008C6215" w:rsidRPr="00672545">
        <w:rPr>
          <w:szCs w:val="26"/>
        </w:rPr>
        <w:t xml:space="preserve">defendant has demonstrated </w:t>
      </w:r>
      <w:r w:rsidR="008C6215" w:rsidRPr="00672545">
        <w:rPr>
          <w:szCs w:val="26"/>
        </w:rPr>
        <w:lastRenderedPageBreak/>
        <w:t xml:space="preserve">that </w:t>
      </w:r>
      <w:r w:rsidR="009F2260" w:rsidRPr="00672545">
        <w:rPr>
          <w:szCs w:val="26"/>
        </w:rPr>
        <w:t xml:space="preserve">there was considerable </w:t>
      </w:r>
      <w:r w:rsidR="004D6716" w:rsidRPr="00672545">
        <w:rPr>
          <w:szCs w:val="26"/>
        </w:rPr>
        <w:t xml:space="preserve">ongoing </w:t>
      </w:r>
      <w:r w:rsidR="009F2260" w:rsidRPr="00672545">
        <w:rPr>
          <w:szCs w:val="26"/>
        </w:rPr>
        <w:t xml:space="preserve">public and media interest in this case, there is nothing in the record to indicate that the jury did not </w:t>
      </w:r>
      <w:r w:rsidR="00D440E4" w:rsidRPr="00672545">
        <w:rPr>
          <w:szCs w:val="26"/>
        </w:rPr>
        <w:t xml:space="preserve">continue </w:t>
      </w:r>
      <w:r w:rsidR="009F2260" w:rsidRPr="00672545">
        <w:rPr>
          <w:szCs w:val="26"/>
        </w:rPr>
        <w:t xml:space="preserve">to abide by the trial court’s repeated admonitions </w:t>
      </w:r>
      <w:r w:rsidR="00B224EC" w:rsidRPr="00672545">
        <w:rPr>
          <w:szCs w:val="26"/>
        </w:rPr>
        <w:t xml:space="preserve">and orders </w:t>
      </w:r>
      <w:r w:rsidR="009F2260" w:rsidRPr="00672545">
        <w:rPr>
          <w:szCs w:val="26"/>
        </w:rPr>
        <w:t xml:space="preserve">to avoid </w:t>
      </w:r>
      <w:r w:rsidR="00B224EC" w:rsidRPr="00672545">
        <w:rPr>
          <w:szCs w:val="26"/>
        </w:rPr>
        <w:t xml:space="preserve">exposure to </w:t>
      </w:r>
      <w:r w:rsidR="008C6215" w:rsidRPr="00672545">
        <w:rPr>
          <w:szCs w:val="26"/>
        </w:rPr>
        <w:t xml:space="preserve">the </w:t>
      </w:r>
      <w:r w:rsidR="00B224EC" w:rsidRPr="00672545">
        <w:rPr>
          <w:szCs w:val="26"/>
        </w:rPr>
        <w:t xml:space="preserve">news and publicity concerning the case or that Juror </w:t>
      </w:r>
      <w:r w:rsidR="00EE0894" w:rsidRPr="00672545">
        <w:rPr>
          <w:szCs w:val="26"/>
        </w:rPr>
        <w:t>n</w:t>
      </w:r>
      <w:r w:rsidR="00B224EC" w:rsidRPr="00672545">
        <w:rPr>
          <w:szCs w:val="26"/>
        </w:rPr>
        <w:t xml:space="preserve">umber 12, or any other juror, misrepresented </w:t>
      </w:r>
      <w:r w:rsidR="00B56D5B" w:rsidRPr="00672545">
        <w:rPr>
          <w:szCs w:val="26"/>
        </w:rPr>
        <w:t>his or her</w:t>
      </w:r>
      <w:r w:rsidR="00B224EC" w:rsidRPr="00672545">
        <w:rPr>
          <w:szCs w:val="26"/>
        </w:rPr>
        <w:t xml:space="preserve"> ability to reach a penalty phase verdict on the trial evidence</w:t>
      </w:r>
      <w:r w:rsidR="008C6215" w:rsidRPr="00672545">
        <w:rPr>
          <w:szCs w:val="26"/>
        </w:rPr>
        <w:t xml:space="preserve"> alone</w:t>
      </w:r>
      <w:r w:rsidR="00D440E4" w:rsidRPr="00672545">
        <w:rPr>
          <w:szCs w:val="26"/>
        </w:rPr>
        <w:t xml:space="preserve">.  We repeat that </w:t>
      </w:r>
      <w:r w:rsidR="00B224EC" w:rsidRPr="00672545">
        <w:t>“</w:t>
      </w:r>
      <w:r w:rsidR="00D440E4" w:rsidRPr="00672545">
        <w:t>w</w:t>
      </w:r>
      <w:r w:rsidR="00B224EC" w:rsidRPr="00672545">
        <w:rPr>
          <w:szCs w:val="26"/>
        </w:rPr>
        <w:t xml:space="preserve">e cannot assume on a silent record that </w:t>
      </w:r>
      <w:r w:rsidR="00B56D5B" w:rsidRPr="00672545">
        <w:rPr>
          <w:szCs w:val="26"/>
        </w:rPr>
        <w:t>[jurors]</w:t>
      </w:r>
      <w:r w:rsidR="00B224EC" w:rsidRPr="00672545">
        <w:rPr>
          <w:szCs w:val="26"/>
        </w:rPr>
        <w:t xml:space="preserve"> ignored [such orders and admonishments] and were exposed to prejudicial material.”  (</w:t>
      </w:r>
      <w:r w:rsidR="00B224EC" w:rsidRPr="00672545">
        <w:rPr>
          <w:i/>
          <w:iCs/>
          <w:szCs w:val="26"/>
        </w:rPr>
        <w:t>People v. Ruiz, supra</w:t>
      </w:r>
      <w:r w:rsidR="00B224EC" w:rsidRPr="00672545">
        <w:rPr>
          <w:iCs/>
          <w:szCs w:val="26"/>
        </w:rPr>
        <w:t>,</w:t>
      </w:r>
      <w:r w:rsidR="00B224EC" w:rsidRPr="00672545">
        <w:rPr>
          <w:szCs w:val="26"/>
        </w:rPr>
        <w:t xml:space="preserve"> 44 Cal.3d at p. 617.)</w:t>
      </w:r>
      <w:r w:rsidR="00D440E4" w:rsidRPr="00672545">
        <w:rPr>
          <w:szCs w:val="26"/>
        </w:rPr>
        <w:t xml:space="preserve"> </w:t>
      </w:r>
    </w:p>
    <w:p w14:paraId="461C492E" w14:textId="77777777" w:rsidR="00B224EC" w:rsidRPr="00672545" w:rsidRDefault="004C7CEF" w:rsidP="00672545">
      <w:pPr>
        <w:pStyle w:val="Heading3"/>
      </w:pPr>
      <w:bookmarkStart w:id="39" w:name="_Toc506979830"/>
      <w:r w:rsidRPr="00672545">
        <w:t xml:space="preserve">9.  </w:t>
      </w:r>
      <w:r w:rsidR="00C63E85" w:rsidRPr="00672545">
        <w:t xml:space="preserve">Denial of Defendant’s Challenge for Cause to Prospective Juror No. 19 As Effecting the Penalty Judgment  </w:t>
      </w:r>
      <w:bookmarkEnd w:id="39"/>
    </w:p>
    <w:p w14:paraId="46303BE8" w14:textId="77777777" w:rsidR="004C7CEF" w:rsidRPr="00672545" w:rsidRDefault="00CA71AD" w:rsidP="00672545">
      <w:pPr>
        <w:rPr>
          <w:szCs w:val="26"/>
        </w:rPr>
      </w:pPr>
      <w:r w:rsidRPr="00672545">
        <w:rPr>
          <w:szCs w:val="26"/>
        </w:rPr>
        <w:tab/>
      </w:r>
      <w:proofErr w:type="gramStart"/>
      <w:r w:rsidRPr="00672545">
        <w:rPr>
          <w:szCs w:val="26"/>
        </w:rPr>
        <w:t>Referring back</w:t>
      </w:r>
      <w:proofErr w:type="gramEnd"/>
      <w:r w:rsidRPr="00672545">
        <w:rPr>
          <w:szCs w:val="26"/>
        </w:rPr>
        <w:t xml:space="preserve"> to his guilt phase argument, defendant contends the trial court’s </w:t>
      </w:r>
      <w:r w:rsidR="0034505F" w:rsidRPr="00672545">
        <w:rPr>
          <w:szCs w:val="26"/>
        </w:rPr>
        <w:t xml:space="preserve">assertedly </w:t>
      </w:r>
      <w:r w:rsidRPr="00672545">
        <w:rPr>
          <w:szCs w:val="26"/>
        </w:rPr>
        <w:t xml:space="preserve">erroneous denial of his challenge for cause to Prospective Juror number 19 requires reversal of the penalty judgment because it left the defense with no remedy for the </w:t>
      </w:r>
      <w:r w:rsidR="0034505F" w:rsidRPr="00672545">
        <w:rPr>
          <w:szCs w:val="26"/>
        </w:rPr>
        <w:t xml:space="preserve">allegedly </w:t>
      </w:r>
      <w:r w:rsidRPr="00672545">
        <w:rPr>
          <w:szCs w:val="26"/>
        </w:rPr>
        <w:t>improper retention of not only Juror</w:t>
      </w:r>
      <w:r w:rsidR="00683C79" w:rsidRPr="00672545">
        <w:rPr>
          <w:szCs w:val="26"/>
        </w:rPr>
        <w:t xml:space="preserve"> number 4, but </w:t>
      </w:r>
      <w:r w:rsidR="0034505F" w:rsidRPr="00672545">
        <w:rPr>
          <w:szCs w:val="26"/>
        </w:rPr>
        <w:t xml:space="preserve">also of </w:t>
      </w:r>
      <w:r w:rsidR="00683C79" w:rsidRPr="00672545">
        <w:rPr>
          <w:szCs w:val="26"/>
        </w:rPr>
        <w:t>Juror number 2</w:t>
      </w:r>
      <w:r w:rsidR="00F246F2" w:rsidRPr="00672545">
        <w:rPr>
          <w:szCs w:val="26"/>
        </w:rPr>
        <w:t xml:space="preserve">. Defendant claims that </w:t>
      </w:r>
      <w:r w:rsidR="00D86547" w:rsidRPr="00672545">
        <w:rPr>
          <w:szCs w:val="26"/>
        </w:rPr>
        <w:t xml:space="preserve">insofar as the record reflects that </w:t>
      </w:r>
      <w:r w:rsidR="00F246F2" w:rsidRPr="00672545">
        <w:rPr>
          <w:szCs w:val="26"/>
        </w:rPr>
        <w:t xml:space="preserve">Juror number 2 </w:t>
      </w:r>
      <w:r w:rsidR="00D86547" w:rsidRPr="00672545">
        <w:rPr>
          <w:szCs w:val="26"/>
        </w:rPr>
        <w:t>was incompetent to sit as a juror in the penalty phase (</w:t>
      </w:r>
      <w:r w:rsidR="00D86547" w:rsidRPr="00672545">
        <w:rPr>
          <w:i/>
          <w:szCs w:val="26"/>
        </w:rPr>
        <w:t>People v. Booker</w:t>
      </w:r>
      <w:r w:rsidR="00D86547" w:rsidRPr="00672545">
        <w:rPr>
          <w:szCs w:val="26"/>
        </w:rPr>
        <w:t xml:space="preserve"> (2011) 51 Cal.4</w:t>
      </w:r>
      <w:r w:rsidR="00CE004D" w:rsidRPr="00672545">
        <w:rPr>
          <w:szCs w:val="26"/>
        </w:rPr>
        <w:t>th</w:t>
      </w:r>
      <w:r w:rsidR="00D86547" w:rsidRPr="00672545">
        <w:rPr>
          <w:szCs w:val="26"/>
        </w:rPr>
        <w:t xml:space="preserve"> 141</w:t>
      </w:r>
      <w:r w:rsidR="00131397" w:rsidRPr="00672545">
        <w:rPr>
          <w:szCs w:val="26"/>
        </w:rPr>
        <w:t>,</w:t>
      </w:r>
      <w:r w:rsidR="00D86547" w:rsidRPr="00672545">
        <w:rPr>
          <w:szCs w:val="26"/>
        </w:rPr>
        <w:t xml:space="preserve"> 158; </w:t>
      </w:r>
      <w:r w:rsidR="00D86547" w:rsidRPr="00672545">
        <w:rPr>
          <w:i/>
          <w:szCs w:val="26"/>
        </w:rPr>
        <w:t>Wainwright v. Witt</w:t>
      </w:r>
      <w:r w:rsidR="00D86547" w:rsidRPr="00672545">
        <w:rPr>
          <w:szCs w:val="26"/>
        </w:rPr>
        <w:t xml:space="preserve"> (1985) 469 U.S. 412, 424; </w:t>
      </w:r>
      <w:r w:rsidR="00D86547" w:rsidRPr="00672545">
        <w:rPr>
          <w:i/>
          <w:szCs w:val="26"/>
        </w:rPr>
        <w:t>Witherspoon v. Illinois</w:t>
      </w:r>
      <w:r w:rsidR="00D86547" w:rsidRPr="00672545">
        <w:rPr>
          <w:szCs w:val="26"/>
        </w:rPr>
        <w:t xml:space="preserve"> (1968) 391 U.S. 510, 522, fn. 21), the error in denying the challenge for cause to Prospective Juror number 19 was prejudicial.  </w:t>
      </w:r>
    </w:p>
    <w:p w14:paraId="43771716" w14:textId="77777777" w:rsidR="004C7CEF" w:rsidRPr="00672545" w:rsidRDefault="00D86547" w:rsidP="00672545">
      <w:pPr>
        <w:rPr>
          <w:szCs w:val="26"/>
          <w:vertAlign w:val="superscript"/>
        </w:rPr>
      </w:pPr>
      <w:r w:rsidRPr="00672545">
        <w:rPr>
          <w:szCs w:val="26"/>
        </w:rPr>
        <w:tab/>
        <w:t xml:space="preserve">We have previously </w:t>
      </w:r>
      <w:r w:rsidR="00F80B65" w:rsidRPr="00672545">
        <w:rPr>
          <w:szCs w:val="26"/>
        </w:rPr>
        <w:t>concluded that the trial court did not err in denying defendant’s challenge for cause to Prospective Juror number 19</w:t>
      </w:r>
      <w:r w:rsidR="00615486">
        <w:rPr>
          <w:szCs w:val="26"/>
        </w:rPr>
        <w:t>, and we further concluded that</w:t>
      </w:r>
      <w:r w:rsidR="00AF5F9A">
        <w:rPr>
          <w:szCs w:val="26"/>
        </w:rPr>
        <w:t>, even assuming error,</w:t>
      </w:r>
      <w:r w:rsidR="00615486">
        <w:rPr>
          <w:szCs w:val="26"/>
        </w:rPr>
        <w:t xml:space="preserve"> defendant has failed to show he was prejudiced by the retention of </w:t>
      </w:r>
      <w:r w:rsidR="00615486" w:rsidRPr="00672545">
        <w:rPr>
          <w:szCs w:val="26"/>
        </w:rPr>
        <w:t>Juror number</w:t>
      </w:r>
      <w:r w:rsidR="00615486">
        <w:rPr>
          <w:szCs w:val="26"/>
        </w:rPr>
        <w:t>s</w:t>
      </w:r>
      <w:r w:rsidR="00615486" w:rsidRPr="00672545">
        <w:rPr>
          <w:szCs w:val="26"/>
        </w:rPr>
        <w:t xml:space="preserve"> 2</w:t>
      </w:r>
      <w:r w:rsidR="00615486">
        <w:rPr>
          <w:szCs w:val="26"/>
        </w:rPr>
        <w:t xml:space="preserve"> and 4</w:t>
      </w:r>
      <w:proofErr w:type="gramStart"/>
      <w:r w:rsidR="00F80B65" w:rsidRPr="00672545">
        <w:rPr>
          <w:szCs w:val="26"/>
        </w:rPr>
        <w:t>.  (</w:t>
      </w:r>
      <w:proofErr w:type="gramEnd"/>
      <w:r w:rsidR="00F80B65" w:rsidRPr="00672545">
        <w:rPr>
          <w:szCs w:val="26"/>
        </w:rPr>
        <w:t xml:space="preserve">See </w:t>
      </w:r>
      <w:r w:rsidR="00F80B65" w:rsidRPr="00672545">
        <w:rPr>
          <w:i/>
          <w:szCs w:val="26"/>
        </w:rPr>
        <w:t>ante</w:t>
      </w:r>
      <w:r w:rsidR="00615486">
        <w:rPr>
          <w:szCs w:val="26"/>
        </w:rPr>
        <w:t>, Part II.A.2</w:t>
      </w:r>
      <w:r w:rsidR="00F80B65" w:rsidRPr="00672545">
        <w:rPr>
          <w:szCs w:val="26"/>
        </w:rPr>
        <w:t>.)  There</w:t>
      </w:r>
      <w:r w:rsidR="000D4A5A" w:rsidRPr="00672545">
        <w:rPr>
          <w:szCs w:val="26"/>
        </w:rPr>
        <w:t xml:space="preserve">fore, </w:t>
      </w:r>
      <w:r w:rsidR="00AF5F9A">
        <w:rPr>
          <w:szCs w:val="26"/>
        </w:rPr>
        <w:t xml:space="preserve">defendant fails to show that any error concerning </w:t>
      </w:r>
      <w:r w:rsidR="00AF5F9A">
        <w:rPr>
          <w:szCs w:val="26"/>
        </w:rPr>
        <w:lastRenderedPageBreak/>
        <w:t>P</w:t>
      </w:r>
      <w:r w:rsidR="00AF5F9A" w:rsidRPr="00672545">
        <w:rPr>
          <w:szCs w:val="26"/>
        </w:rPr>
        <w:t>rospective Juror number 19</w:t>
      </w:r>
      <w:r w:rsidR="00AF5F9A">
        <w:rPr>
          <w:szCs w:val="26"/>
        </w:rPr>
        <w:t xml:space="preserve"> prejudiced his penalty phase judgment</w:t>
      </w:r>
      <w:r w:rsidR="00F80B65" w:rsidRPr="00672545">
        <w:rPr>
          <w:szCs w:val="26"/>
        </w:rPr>
        <w:t>.</w:t>
      </w:r>
    </w:p>
    <w:p w14:paraId="4ABD7EBC" w14:textId="77777777" w:rsidR="00D06B7D" w:rsidRPr="00672545" w:rsidRDefault="00D06B7D" w:rsidP="00672545">
      <w:pPr>
        <w:pStyle w:val="Heading3"/>
      </w:pPr>
      <w:bookmarkStart w:id="40" w:name="_Toc506979831"/>
      <w:r w:rsidRPr="00672545">
        <w:t xml:space="preserve">10.  </w:t>
      </w:r>
      <w:r w:rsidR="005C626C" w:rsidRPr="00672545">
        <w:t xml:space="preserve">The Trial Court’s Failure to Grant Additional Peremptory Challenges </w:t>
      </w:r>
      <w:proofErr w:type="gramStart"/>
      <w:r w:rsidR="005C626C" w:rsidRPr="00672545">
        <w:t>As</w:t>
      </w:r>
      <w:proofErr w:type="gramEnd"/>
      <w:r w:rsidR="005C626C" w:rsidRPr="00672545">
        <w:t xml:space="preserve"> Effecting the Penalty Judgment  </w:t>
      </w:r>
      <w:bookmarkEnd w:id="40"/>
    </w:p>
    <w:p w14:paraId="62B3C0AC" w14:textId="77777777" w:rsidR="00DF22AB" w:rsidRPr="00672545" w:rsidRDefault="005D19A4" w:rsidP="00672545">
      <w:pPr>
        <w:rPr>
          <w:szCs w:val="26"/>
        </w:rPr>
      </w:pPr>
      <w:r w:rsidRPr="00672545">
        <w:rPr>
          <w:szCs w:val="26"/>
        </w:rPr>
        <w:tab/>
        <w:t>As part of his guilt phase arguments, defendant contend</w:t>
      </w:r>
      <w:r w:rsidR="00675CC1" w:rsidRPr="00672545">
        <w:rPr>
          <w:szCs w:val="26"/>
        </w:rPr>
        <w:t xml:space="preserve">s </w:t>
      </w:r>
      <w:r w:rsidRPr="00672545">
        <w:rPr>
          <w:szCs w:val="26"/>
        </w:rPr>
        <w:t xml:space="preserve">the </w:t>
      </w:r>
      <w:r w:rsidR="00DD252E" w:rsidRPr="00672545">
        <w:rPr>
          <w:szCs w:val="26"/>
        </w:rPr>
        <w:t>amount of</w:t>
      </w:r>
      <w:r w:rsidRPr="00672545">
        <w:rPr>
          <w:szCs w:val="26"/>
        </w:rPr>
        <w:t xml:space="preserve"> media and public attention focused on his case required, as a federal constitutional matter, that the trial court grant his requests for additional peremptory challenges.  We have concluded that defendant’s failure to cite </w:t>
      </w:r>
      <w:r w:rsidR="00DD252E" w:rsidRPr="00672545">
        <w:rPr>
          <w:szCs w:val="26"/>
        </w:rPr>
        <w:t xml:space="preserve">pretrial </w:t>
      </w:r>
      <w:r w:rsidRPr="00672545">
        <w:rPr>
          <w:szCs w:val="26"/>
        </w:rPr>
        <w:t>publicity as a basis for his requests for additional peremptory challenges forfeited his claim on appeal.  We have also determined that even if defendant had preserved his claim for appeal, we would reject it on the merits</w:t>
      </w:r>
      <w:r w:rsidR="00C23E6F" w:rsidRPr="00672545">
        <w:rPr>
          <w:szCs w:val="26"/>
        </w:rPr>
        <w:t xml:space="preserve"> because defendant has not met his burden to show that he was likely to receive an unfair trial because of </w:t>
      </w:r>
      <w:r w:rsidR="00522FE2" w:rsidRPr="00672545">
        <w:rPr>
          <w:szCs w:val="26"/>
        </w:rPr>
        <w:t xml:space="preserve">juror </w:t>
      </w:r>
      <w:r w:rsidR="00C23E6F" w:rsidRPr="00672545">
        <w:rPr>
          <w:szCs w:val="26"/>
        </w:rPr>
        <w:t xml:space="preserve">bias based on pretrial publicity.  </w:t>
      </w:r>
      <w:r w:rsidRPr="00672545">
        <w:rPr>
          <w:szCs w:val="26"/>
        </w:rPr>
        <w:t xml:space="preserve">(See </w:t>
      </w:r>
      <w:r w:rsidRPr="00672545">
        <w:rPr>
          <w:i/>
          <w:szCs w:val="26"/>
        </w:rPr>
        <w:t>ante,</w:t>
      </w:r>
      <w:r w:rsidRPr="00672545">
        <w:rPr>
          <w:szCs w:val="26"/>
        </w:rPr>
        <w:t xml:space="preserve"> Part II.A.</w:t>
      </w:r>
      <w:r w:rsidR="00D530F3" w:rsidRPr="00672545">
        <w:rPr>
          <w:szCs w:val="26"/>
        </w:rPr>
        <w:t>3</w:t>
      </w:r>
      <w:r w:rsidRPr="00672545">
        <w:rPr>
          <w:szCs w:val="26"/>
        </w:rPr>
        <w:t xml:space="preserve">.)  </w:t>
      </w:r>
    </w:p>
    <w:p w14:paraId="24F3602D" w14:textId="77777777" w:rsidR="00AC2CBE" w:rsidRPr="00672545" w:rsidRDefault="00AC2CBE" w:rsidP="00672545">
      <w:pPr>
        <w:rPr>
          <w:szCs w:val="26"/>
        </w:rPr>
      </w:pPr>
      <w:r w:rsidRPr="00672545">
        <w:rPr>
          <w:szCs w:val="26"/>
        </w:rPr>
        <w:tab/>
        <w:t xml:space="preserve">Defendant reasserts his claim </w:t>
      </w:r>
      <w:r w:rsidR="00E064A1" w:rsidRPr="00672545">
        <w:rPr>
          <w:szCs w:val="26"/>
        </w:rPr>
        <w:t>with respect to</w:t>
      </w:r>
      <w:r w:rsidR="009F499B" w:rsidRPr="00672545">
        <w:rPr>
          <w:szCs w:val="26"/>
        </w:rPr>
        <w:t xml:space="preserve"> the penalty phase </w:t>
      </w:r>
      <w:r w:rsidRPr="00672545">
        <w:rPr>
          <w:szCs w:val="26"/>
        </w:rPr>
        <w:t xml:space="preserve">and contends that the trial court’s failure to </w:t>
      </w:r>
      <w:r w:rsidR="00955089" w:rsidRPr="00672545">
        <w:rPr>
          <w:szCs w:val="26"/>
        </w:rPr>
        <w:t xml:space="preserve">at least </w:t>
      </w:r>
      <w:r w:rsidRPr="00672545">
        <w:rPr>
          <w:szCs w:val="26"/>
        </w:rPr>
        <w:t>grant the defense requests for additional peremptory challenges render</w:t>
      </w:r>
      <w:r w:rsidR="00522FE2" w:rsidRPr="00672545">
        <w:rPr>
          <w:szCs w:val="26"/>
        </w:rPr>
        <w:t xml:space="preserve">ed his penalty trial unfair.  </w:t>
      </w:r>
      <w:r w:rsidR="00A12458" w:rsidRPr="00672545">
        <w:rPr>
          <w:szCs w:val="26"/>
        </w:rPr>
        <w:t>Pointing us to virtually the same portions of the record, h</w:t>
      </w:r>
      <w:r w:rsidR="00522FE2" w:rsidRPr="00672545">
        <w:rPr>
          <w:szCs w:val="26"/>
        </w:rPr>
        <w:t xml:space="preserve">e </w:t>
      </w:r>
      <w:r w:rsidR="004D2CD4" w:rsidRPr="00672545">
        <w:rPr>
          <w:szCs w:val="26"/>
        </w:rPr>
        <w:t>argues</w:t>
      </w:r>
      <w:r w:rsidR="00522FE2" w:rsidRPr="00672545">
        <w:rPr>
          <w:szCs w:val="26"/>
        </w:rPr>
        <w:t xml:space="preserve"> that </w:t>
      </w:r>
      <w:r w:rsidRPr="00672545">
        <w:rPr>
          <w:szCs w:val="26"/>
        </w:rPr>
        <w:t xml:space="preserve">the penalty judgment should be reversed.  </w:t>
      </w:r>
      <w:r w:rsidR="00B62FA9" w:rsidRPr="00672545">
        <w:rPr>
          <w:szCs w:val="26"/>
        </w:rPr>
        <w:t xml:space="preserve">Again, </w:t>
      </w:r>
      <w:r w:rsidR="007546A3" w:rsidRPr="00672545">
        <w:rPr>
          <w:szCs w:val="26"/>
        </w:rPr>
        <w:t xml:space="preserve">we conclude </w:t>
      </w:r>
      <w:r w:rsidR="00B62FA9" w:rsidRPr="00672545">
        <w:rPr>
          <w:szCs w:val="26"/>
        </w:rPr>
        <w:t>defendant forfeited his claim by failing to raise it a</w:t>
      </w:r>
      <w:r w:rsidR="00955089" w:rsidRPr="00672545">
        <w:rPr>
          <w:szCs w:val="26"/>
        </w:rPr>
        <w:t>s a ground</w:t>
      </w:r>
      <w:r w:rsidR="00B62FA9" w:rsidRPr="00672545">
        <w:rPr>
          <w:szCs w:val="26"/>
        </w:rPr>
        <w:t xml:space="preserve"> </w:t>
      </w:r>
      <w:r w:rsidR="00955089" w:rsidRPr="00672545">
        <w:rPr>
          <w:szCs w:val="26"/>
        </w:rPr>
        <w:t>supporting his request for</w:t>
      </w:r>
      <w:r w:rsidR="00B62FA9" w:rsidRPr="00672545">
        <w:rPr>
          <w:szCs w:val="26"/>
        </w:rPr>
        <w:t xml:space="preserve"> additional peremptory challenges.  </w:t>
      </w:r>
      <w:r w:rsidR="007546A3" w:rsidRPr="00672545">
        <w:rPr>
          <w:szCs w:val="26"/>
        </w:rPr>
        <w:t>D</w:t>
      </w:r>
      <w:r w:rsidR="00FB339E" w:rsidRPr="00672545">
        <w:rPr>
          <w:szCs w:val="26"/>
        </w:rPr>
        <w:t xml:space="preserve">efendant </w:t>
      </w:r>
      <w:r w:rsidR="007546A3" w:rsidRPr="00672545">
        <w:rPr>
          <w:szCs w:val="26"/>
        </w:rPr>
        <w:t xml:space="preserve">also </w:t>
      </w:r>
      <w:r w:rsidR="00FB339E" w:rsidRPr="00672545">
        <w:rPr>
          <w:szCs w:val="26"/>
        </w:rPr>
        <w:t>fails to persuade us that</w:t>
      </w:r>
      <w:r w:rsidR="007546A3" w:rsidRPr="00672545">
        <w:rPr>
          <w:szCs w:val="26"/>
        </w:rPr>
        <w:t xml:space="preserve">, if we </w:t>
      </w:r>
      <w:r w:rsidR="00955089" w:rsidRPr="00672545">
        <w:rPr>
          <w:szCs w:val="26"/>
        </w:rPr>
        <w:t>addressed</w:t>
      </w:r>
      <w:r w:rsidR="007546A3" w:rsidRPr="00672545">
        <w:rPr>
          <w:szCs w:val="26"/>
        </w:rPr>
        <w:t xml:space="preserve"> the merits of his claim,</w:t>
      </w:r>
      <w:r w:rsidR="00FB339E" w:rsidRPr="00672545">
        <w:rPr>
          <w:szCs w:val="26"/>
        </w:rPr>
        <w:t xml:space="preserve"> </w:t>
      </w:r>
      <w:r w:rsidR="004D2CD4" w:rsidRPr="00672545">
        <w:rPr>
          <w:szCs w:val="26"/>
        </w:rPr>
        <w:t xml:space="preserve">we would reach </w:t>
      </w:r>
      <w:r w:rsidR="00FB339E" w:rsidRPr="00672545">
        <w:rPr>
          <w:szCs w:val="26"/>
        </w:rPr>
        <w:t xml:space="preserve">a different conclusion for purposes of the penalty phase of this trial.  </w:t>
      </w:r>
    </w:p>
    <w:p w14:paraId="27BD6216" w14:textId="77777777" w:rsidR="005D19A4" w:rsidRPr="00672545" w:rsidRDefault="0037262D" w:rsidP="00672545">
      <w:pPr>
        <w:pStyle w:val="Heading3"/>
      </w:pPr>
      <w:bookmarkStart w:id="41" w:name="_Toc506979832"/>
      <w:r w:rsidRPr="00672545">
        <w:lastRenderedPageBreak/>
        <w:t xml:space="preserve">11.  </w:t>
      </w:r>
      <w:r w:rsidR="00D47744" w:rsidRPr="00672545">
        <w:t xml:space="preserve">Challenges to the Constitutionality of California’s Death Penalty Law  </w:t>
      </w:r>
      <w:bookmarkEnd w:id="41"/>
    </w:p>
    <w:p w14:paraId="2768A143" w14:textId="77777777" w:rsidR="003F129E" w:rsidRPr="00672545" w:rsidRDefault="003F129E" w:rsidP="00672545">
      <w:pPr>
        <w:rPr>
          <w:szCs w:val="26"/>
        </w:rPr>
      </w:pPr>
      <w:r w:rsidRPr="00672545">
        <w:rPr>
          <w:szCs w:val="26"/>
        </w:rPr>
        <w:tab/>
        <w:t xml:space="preserve">Defendant raises several challenges to California’s death penalty scheme that we have previously considered and rejected.  We find no persuasive reason to reexamine those conclusions and </w:t>
      </w:r>
      <w:r w:rsidR="00DD1E9C" w:rsidRPr="00672545">
        <w:rPr>
          <w:szCs w:val="26"/>
        </w:rPr>
        <w:t xml:space="preserve">we </w:t>
      </w:r>
      <w:r w:rsidRPr="00672545">
        <w:rPr>
          <w:szCs w:val="26"/>
        </w:rPr>
        <w:t>therefore reject defendant’s claims as follows:</w:t>
      </w:r>
    </w:p>
    <w:p w14:paraId="73FF54D0" w14:textId="77777777" w:rsidR="007D2DD9" w:rsidRPr="00672545" w:rsidRDefault="006F1C15" w:rsidP="00672545">
      <w:pPr>
        <w:rPr>
          <w:rStyle w:val="ssrfcpassagedeactivated"/>
          <w:szCs w:val="26"/>
        </w:rPr>
      </w:pPr>
      <w:r w:rsidRPr="00672545">
        <w:rPr>
          <w:szCs w:val="26"/>
        </w:rPr>
        <w:tab/>
      </w:r>
      <w:r w:rsidR="008C2B29" w:rsidRPr="00672545">
        <w:rPr>
          <w:szCs w:val="26"/>
        </w:rPr>
        <w:t>Defendant contends California</w:t>
      </w:r>
      <w:r w:rsidR="00955089" w:rsidRPr="00672545">
        <w:rPr>
          <w:szCs w:val="26"/>
        </w:rPr>
        <w:t>’s</w:t>
      </w:r>
      <w:r w:rsidR="008C2B29" w:rsidRPr="00672545">
        <w:rPr>
          <w:szCs w:val="26"/>
        </w:rPr>
        <w:t xml:space="preserve"> death penalty statute fails to narrow the class of offenders eligible for the death penalty and thus violates the federal constitution.  (</w:t>
      </w:r>
      <w:r w:rsidR="008C2B29" w:rsidRPr="00672545">
        <w:rPr>
          <w:i/>
          <w:szCs w:val="26"/>
        </w:rPr>
        <w:t>Furman v. Georgia</w:t>
      </w:r>
      <w:r w:rsidR="008C2B29" w:rsidRPr="00672545">
        <w:rPr>
          <w:szCs w:val="26"/>
        </w:rPr>
        <w:t xml:space="preserve"> (1972) 408 U.S. 238.)  In support, defendant </w:t>
      </w:r>
      <w:r w:rsidR="00931AA7" w:rsidRPr="00672545">
        <w:rPr>
          <w:szCs w:val="26"/>
        </w:rPr>
        <w:t>has supplied a declaration from a</w:t>
      </w:r>
      <w:r w:rsidR="00AB432A" w:rsidRPr="00672545">
        <w:rPr>
          <w:szCs w:val="26"/>
        </w:rPr>
        <w:t xml:space="preserve"> law professor </w:t>
      </w:r>
      <w:r w:rsidR="00931AA7" w:rsidRPr="00672545">
        <w:rPr>
          <w:szCs w:val="26"/>
        </w:rPr>
        <w:t>who in 1997 conducted a statistical study of California murder convictions for the five-year period 1988 to 1992.</w:t>
      </w:r>
      <w:r w:rsidR="00F81CD5" w:rsidRPr="00672545">
        <w:rPr>
          <w:szCs w:val="26"/>
        </w:rPr>
        <w:t xml:space="preserve">  </w:t>
      </w:r>
      <w:r w:rsidR="00931AA7" w:rsidRPr="00672545">
        <w:rPr>
          <w:szCs w:val="26"/>
        </w:rPr>
        <w:t xml:space="preserve">Defendant claims the statistics show that section 190.2 fails to </w:t>
      </w:r>
      <w:r w:rsidR="00EE530B" w:rsidRPr="00672545">
        <w:rPr>
          <w:szCs w:val="26"/>
        </w:rPr>
        <w:t xml:space="preserve">sufficiently </w:t>
      </w:r>
      <w:r w:rsidR="00931AA7" w:rsidRPr="00672545">
        <w:rPr>
          <w:szCs w:val="26"/>
        </w:rPr>
        <w:t xml:space="preserve">narrow the class of death-eligible defendants.  </w:t>
      </w:r>
      <w:r w:rsidR="00ED241C" w:rsidRPr="00672545">
        <w:rPr>
          <w:szCs w:val="26"/>
        </w:rPr>
        <w:t xml:space="preserve">On the contrary, we continue to conclude that </w:t>
      </w:r>
      <w:proofErr w:type="gramStart"/>
      <w:r w:rsidR="00ED241C" w:rsidRPr="00672545">
        <w:rPr>
          <w:szCs w:val="26"/>
        </w:rPr>
        <w:t>“ ‘</w:t>
      </w:r>
      <w:proofErr w:type="gramEnd"/>
      <w:r w:rsidR="007D2DD9" w:rsidRPr="00672545">
        <w:rPr>
          <w:rStyle w:val="ssrfcpassagedeactivated"/>
          <w:szCs w:val="26"/>
        </w:rPr>
        <w:t>the statutory [</w:t>
      </w:r>
      <w:r w:rsidR="007D2DD9" w:rsidRPr="00672545">
        <w:rPr>
          <w:rStyle w:val="sssh"/>
          <w:bCs/>
          <w:szCs w:val="26"/>
        </w:rPr>
        <w:t>death penalty</w:t>
      </w:r>
      <w:r w:rsidR="00931AA7" w:rsidRPr="00672545">
        <w:rPr>
          <w:rStyle w:val="ssrfcpassagedeactivated"/>
          <w:szCs w:val="26"/>
        </w:rPr>
        <w:t>] scheme</w:t>
      </w:r>
      <w:r w:rsidR="00ED241C" w:rsidRPr="00672545">
        <w:rPr>
          <w:rStyle w:val="ssrfcpassagedeactivated"/>
          <w:szCs w:val="26"/>
        </w:rPr>
        <w:t xml:space="preserve"> “</w:t>
      </w:r>
      <w:r w:rsidR="007D2DD9" w:rsidRPr="00672545">
        <w:rPr>
          <w:rStyle w:val="ssrfcpassagedeactivated"/>
          <w:szCs w:val="26"/>
        </w:rPr>
        <w:t xml:space="preserve">adequately </w:t>
      </w:r>
      <w:r w:rsidR="007D2DD9" w:rsidRPr="00672545">
        <w:rPr>
          <w:rStyle w:val="sssh"/>
          <w:bCs/>
          <w:szCs w:val="26"/>
        </w:rPr>
        <w:t>narrows</w:t>
      </w:r>
      <w:r w:rsidR="007D2DD9" w:rsidRPr="00672545">
        <w:rPr>
          <w:rStyle w:val="ssrfcpassagedeactivated"/>
          <w:szCs w:val="26"/>
        </w:rPr>
        <w:t xml:space="preserve"> the class of murder for which the </w:t>
      </w:r>
      <w:r w:rsidR="007D2DD9" w:rsidRPr="00672545">
        <w:rPr>
          <w:rStyle w:val="sssh"/>
          <w:bCs/>
          <w:szCs w:val="26"/>
        </w:rPr>
        <w:t>death penalty</w:t>
      </w:r>
      <w:r w:rsidR="007D2DD9" w:rsidRPr="00672545">
        <w:rPr>
          <w:rStyle w:val="ssrfcpassagedeactivated"/>
          <w:szCs w:val="26"/>
        </w:rPr>
        <w:t xml:space="preserve"> may be imposed [ci</w:t>
      </w:r>
      <w:r w:rsidR="000C2213" w:rsidRPr="00672545">
        <w:rPr>
          <w:rStyle w:val="ssrfcpassagedeactivated"/>
          <w:szCs w:val="26"/>
        </w:rPr>
        <w:t xml:space="preserve">tation], and is not overbroad . . . </w:t>
      </w:r>
      <w:r w:rsidR="007D2DD9" w:rsidRPr="00672545">
        <w:rPr>
          <w:rStyle w:val="ssrfcpassagedeactivated"/>
          <w:szCs w:val="26"/>
        </w:rPr>
        <w:t xml:space="preserve">because of the sheer number and scope of special circumstances </w:t>
      </w:r>
      <w:r w:rsidR="000C2213" w:rsidRPr="00672545">
        <w:rPr>
          <w:rStyle w:val="ssrfcpassagedeactivated"/>
          <w:szCs w:val="26"/>
        </w:rPr>
        <w:t>[that] define a capital murder . . .</w:t>
      </w:r>
      <w:r w:rsidR="007D2DD9" w:rsidRPr="00672545">
        <w:rPr>
          <w:rStyle w:val="ssrfcpassagedeactivated"/>
          <w:szCs w:val="26"/>
        </w:rPr>
        <w:t xml:space="preserve"> .</w:t>
      </w:r>
      <w:r w:rsidR="003F129E" w:rsidRPr="00672545">
        <w:rPr>
          <w:rStyle w:val="ssrfcpassagedeactivated"/>
          <w:szCs w:val="26"/>
        </w:rPr>
        <w:t xml:space="preserve">” </w:t>
      </w:r>
      <w:r w:rsidR="007D2DD9" w:rsidRPr="00672545">
        <w:rPr>
          <w:rStyle w:val="ssrfcpassagedeactivated"/>
          <w:szCs w:val="26"/>
        </w:rPr>
        <w:t xml:space="preserve">’ </w:t>
      </w:r>
      <w:r w:rsidR="003F129E" w:rsidRPr="00672545">
        <w:rPr>
          <w:rStyle w:val="ssrfcpassagedeactivated"/>
          <w:szCs w:val="26"/>
        </w:rPr>
        <w:t xml:space="preserve"> [Citation.]”  (</w:t>
      </w:r>
      <w:r w:rsidR="003F129E" w:rsidRPr="00672545">
        <w:rPr>
          <w:rStyle w:val="ssrfcpassagedeactivated"/>
          <w:i/>
          <w:szCs w:val="26"/>
        </w:rPr>
        <w:t>People v. Banks</w:t>
      </w:r>
      <w:r w:rsidR="003F129E" w:rsidRPr="00672545">
        <w:rPr>
          <w:rStyle w:val="ssrfcpassagedeactivated"/>
          <w:szCs w:val="26"/>
        </w:rPr>
        <w:t xml:space="preserve"> (2014) 59 Cal.4</w:t>
      </w:r>
      <w:r w:rsidR="00CE004D" w:rsidRPr="00672545">
        <w:rPr>
          <w:rStyle w:val="ssrfcpassagedeactivated"/>
          <w:szCs w:val="26"/>
        </w:rPr>
        <w:t>th</w:t>
      </w:r>
      <w:r w:rsidR="003F129E" w:rsidRPr="00672545">
        <w:rPr>
          <w:rStyle w:val="ssrfcpassagedeactivated"/>
          <w:szCs w:val="26"/>
        </w:rPr>
        <w:t xml:space="preserve"> 1113, 1206-1207;</w:t>
      </w:r>
      <w:r w:rsidR="00671E94" w:rsidRPr="00672545">
        <w:rPr>
          <w:rStyle w:val="ssrfcpassagedeactivated"/>
          <w:szCs w:val="26"/>
        </w:rPr>
        <w:t xml:space="preserve"> </w:t>
      </w:r>
      <w:r w:rsidR="00671E94" w:rsidRPr="00672545">
        <w:rPr>
          <w:rStyle w:val="ssrfcpassagedeactivated"/>
          <w:i/>
          <w:szCs w:val="26"/>
        </w:rPr>
        <w:t>People v. Vieira</w:t>
      </w:r>
      <w:r w:rsidR="00671E94" w:rsidRPr="00672545">
        <w:rPr>
          <w:rStyle w:val="ssrfcpassagedeactivated"/>
          <w:szCs w:val="26"/>
        </w:rPr>
        <w:t xml:space="preserve"> (2005) 35 Cal.4</w:t>
      </w:r>
      <w:r w:rsidR="00CE004D" w:rsidRPr="00672545">
        <w:rPr>
          <w:rStyle w:val="ssrfcpassagedeactivated"/>
          <w:szCs w:val="26"/>
        </w:rPr>
        <w:t>th</w:t>
      </w:r>
      <w:r w:rsidR="00671E94" w:rsidRPr="00672545">
        <w:rPr>
          <w:rStyle w:val="ssrfcpassagedeactivated"/>
          <w:szCs w:val="26"/>
        </w:rPr>
        <w:t xml:space="preserve"> 264, 303-304.</w:t>
      </w:r>
      <w:r w:rsidR="00CE3C68" w:rsidRPr="00672545">
        <w:rPr>
          <w:rStyle w:val="ssrfcpassagedeactivated"/>
          <w:szCs w:val="26"/>
        </w:rPr>
        <w:t>)</w:t>
      </w:r>
    </w:p>
    <w:p w14:paraId="2565A8B9" w14:textId="4AAEDA7D" w:rsidR="00EE530B" w:rsidRPr="00672545" w:rsidRDefault="00AB5909" w:rsidP="00672545">
      <w:pPr>
        <w:rPr>
          <w:rStyle w:val="ssrfcpassagedeactivated"/>
          <w:szCs w:val="26"/>
        </w:rPr>
      </w:pPr>
      <w:r w:rsidRPr="00672545">
        <w:rPr>
          <w:rStyle w:val="ssrfcpassagedeactivated"/>
          <w:szCs w:val="26"/>
        </w:rPr>
        <w:tab/>
        <w:t xml:space="preserve">Contrary to defendant’s arguments, to reach a </w:t>
      </w:r>
      <w:proofErr w:type="gramStart"/>
      <w:r w:rsidRPr="00672545">
        <w:rPr>
          <w:rStyle w:val="ssrfcpassagedeactivated"/>
          <w:szCs w:val="26"/>
        </w:rPr>
        <w:t>death verdict jurors</w:t>
      </w:r>
      <w:proofErr w:type="gramEnd"/>
      <w:r w:rsidRPr="00672545">
        <w:rPr>
          <w:rStyle w:val="ssrfcpassagedeactivated"/>
          <w:szCs w:val="26"/>
        </w:rPr>
        <w:t xml:space="preserve"> do not have to find </w:t>
      </w:r>
      <w:r w:rsidR="00C91CE3" w:rsidRPr="00672545">
        <w:rPr>
          <w:rStyle w:val="ssrfcpassagedeactivated"/>
          <w:szCs w:val="26"/>
        </w:rPr>
        <w:t>that death is the appropriate penalty using a be</w:t>
      </w:r>
      <w:r w:rsidRPr="00672545">
        <w:rPr>
          <w:rStyle w:val="ssrfcpassagedeactivated"/>
          <w:szCs w:val="26"/>
        </w:rPr>
        <w:t>yond</w:t>
      </w:r>
      <w:r w:rsidR="001C5E7B" w:rsidRPr="00672545">
        <w:rPr>
          <w:rStyle w:val="ssrfcpassagedeactivated"/>
          <w:szCs w:val="26"/>
        </w:rPr>
        <w:t>-</w:t>
      </w:r>
      <w:r w:rsidRPr="00672545">
        <w:rPr>
          <w:rStyle w:val="ssrfcpassagedeactivated"/>
          <w:szCs w:val="26"/>
        </w:rPr>
        <w:t>a</w:t>
      </w:r>
      <w:r w:rsidR="001C5E7B" w:rsidRPr="00672545">
        <w:rPr>
          <w:rStyle w:val="ssrfcpassagedeactivated"/>
          <w:szCs w:val="26"/>
        </w:rPr>
        <w:t>-</w:t>
      </w:r>
      <w:r w:rsidRPr="00672545">
        <w:rPr>
          <w:rStyle w:val="ssrfcpassagedeactivated"/>
          <w:szCs w:val="26"/>
        </w:rPr>
        <w:t>reasonable</w:t>
      </w:r>
      <w:r w:rsidR="001C5E7B" w:rsidRPr="00672545">
        <w:rPr>
          <w:rStyle w:val="ssrfcpassagedeactivated"/>
          <w:szCs w:val="26"/>
        </w:rPr>
        <w:t>-</w:t>
      </w:r>
      <w:r w:rsidRPr="00672545">
        <w:rPr>
          <w:rStyle w:val="ssrfcpassagedeactivated"/>
          <w:szCs w:val="26"/>
        </w:rPr>
        <w:t xml:space="preserve">doubt </w:t>
      </w:r>
      <w:r w:rsidR="00C91CE3" w:rsidRPr="00672545">
        <w:rPr>
          <w:rStyle w:val="ssrfcpassagedeactivated"/>
          <w:szCs w:val="26"/>
        </w:rPr>
        <w:t>standard</w:t>
      </w:r>
      <w:r w:rsidR="007C6213" w:rsidRPr="00672545">
        <w:rPr>
          <w:rStyle w:val="ssrfcpassagedeactivated"/>
          <w:szCs w:val="26"/>
        </w:rPr>
        <w:t xml:space="preserve"> of proof.</w:t>
      </w:r>
      <w:r w:rsidRPr="00672545">
        <w:rPr>
          <w:rStyle w:val="ssrfcpassagedeactivated"/>
          <w:szCs w:val="26"/>
        </w:rPr>
        <w:t xml:space="preserve">  </w:t>
      </w:r>
      <w:r w:rsidR="002F766E" w:rsidRPr="00672545">
        <w:rPr>
          <w:rStyle w:val="ssrfcpassagedeactivated"/>
          <w:szCs w:val="26"/>
        </w:rPr>
        <w:t>(</w:t>
      </w:r>
      <w:r w:rsidR="002F766E" w:rsidRPr="00672545">
        <w:rPr>
          <w:rStyle w:val="ssrfcpassagedeactivated"/>
          <w:i/>
          <w:szCs w:val="26"/>
        </w:rPr>
        <w:t>People v.</w:t>
      </w:r>
      <w:r w:rsidR="00284915" w:rsidRPr="00672545">
        <w:rPr>
          <w:rStyle w:val="ssrfcpassagedeactivated"/>
          <w:i/>
          <w:szCs w:val="26"/>
        </w:rPr>
        <w:t xml:space="preserve"> </w:t>
      </w:r>
      <w:r w:rsidR="00C91CE3" w:rsidRPr="00672545">
        <w:rPr>
          <w:rStyle w:val="ssrfcpassagedeactivated"/>
          <w:i/>
          <w:szCs w:val="26"/>
        </w:rPr>
        <w:t>Banks</w:t>
      </w:r>
      <w:r w:rsidR="00C91CE3" w:rsidRPr="00672545">
        <w:rPr>
          <w:rStyle w:val="ssrfcpassagedeactivated"/>
          <w:szCs w:val="26"/>
        </w:rPr>
        <w:t>,</w:t>
      </w:r>
      <w:r w:rsidR="00C91CE3" w:rsidRPr="00672545">
        <w:rPr>
          <w:rStyle w:val="ssrfcpassagedeactivated"/>
          <w:i/>
          <w:szCs w:val="26"/>
        </w:rPr>
        <w:t xml:space="preserve"> supra</w:t>
      </w:r>
      <w:r w:rsidR="00C91CE3" w:rsidRPr="00672545">
        <w:rPr>
          <w:rStyle w:val="ssrfcpassagedeactivated"/>
          <w:szCs w:val="26"/>
        </w:rPr>
        <w:t>,</w:t>
      </w:r>
      <w:r w:rsidR="00C91CE3" w:rsidRPr="00672545">
        <w:rPr>
          <w:rStyle w:val="ssrfcpassagedeactivated"/>
          <w:i/>
          <w:szCs w:val="26"/>
        </w:rPr>
        <w:t xml:space="preserve"> </w:t>
      </w:r>
      <w:r w:rsidR="00C91CE3" w:rsidRPr="00672545">
        <w:rPr>
          <w:rStyle w:val="ssrfcpassagedeactivated"/>
          <w:szCs w:val="26"/>
        </w:rPr>
        <w:t>59 Cal.4</w:t>
      </w:r>
      <w:r w:rsidR="00CE004D" w:rsidRPr="00672545">
        <w:rPr>
          <w:rStyle w:val="ssrfcpassagedeactivated"/>
          <w:szCs w:val="26"/>
        </w:rPr>
        <w:t>th</w:t>
      </w:r>
      <w:r w:rsidR="00C91CE3" w:rsidRPr="00672545">
        <w:rPr>
          <w:rStyle w:val="ssrfcpassagedeactivated"/>
          <w:szCs w:val="26"/>
        </w:rPr>
        <w:t xml:space="preserve"> at p. 1207; </w:t>
      </w:r>
      <w:r w:rsidRPr="00672545">
        <w:rPr>
          <w:rStyle w:val="ssrfcpassagedeactivated"/>
          <w:i/>
          <w:szCs w:val="26"/>
        </w:rPr>
        <w:t xml:space="preserve">People v. Melendez </w:t>
      </w:r>
      <w:r w:rsidRPr="00672545">
        <w:rPr>
          <w:rStyle w:val="ssrfcpassagedeactivated"/>
          <w:szCs w:val="26"/>
        </w:rPr>
        <w:t>(2016) 2 Cal.5</w:t>
      </w:r>
      <w:r w:rsidR="00CE004D" w:rsidRPr="00672545">
        <w:rPr>
          <w:rStyle w:val="ssrfcpassagedeactivated"/>
          <w:szCs w:val="26"/>
        </w:rPr>
        <w:t>th</w:t>
      </w:r>
      <w:r w:rsidRPr="00672545">
        <w:rPr>
          <w:rStyle w:val="ssrfcpassagedeactivated"/>
          <w:szCs w:val="26"/>
        </w:rPr>
        <w:t xml:space="preserve"> 1, 33</w:t>
      </w:r>
      <w:r w:rsidR="00E7401E" w:rsidRPr="00672545">
        <w:rPr>
          <w:rStyle w:val="ssrfcpassagedeactivated"/>
          <w:szCs w:val="26"/>
        </w:rPr>
        <w:t xml:space="preserve">.) </w:t>
      </w:r>
      <w:r w:rsidRPr="00672545">
        <w:rPr>
          <w:rStyle w:val="ssrfcpassagedeactivated"/>
          <w:szCs w:val="26"/>
        </w:rPr>
        <w:t xml:space="preserve"> </w:t>
      </w:r>
      <w:r w:rsidR="00E7401E" w:rsidRPr="00672545">
        <w:rPr>
          <w:rStyle w:val="ssrfcpassagedeactivated"/>
          <w:szCs w:val="26"/>
        </w:rPr>
        <w:t xml:space="preserve">Except for the verdict itself, </w:t>
      </w:r>
      <w:r w:rsidR="00284379" w:rsidRPr="00672545">
        <w:rPr>
          <w:rStyle w:val="ssrfcpassagedeactivated"/>
          <w:szCs w:val="26"/>
        </w:rPr>
        <w:t>there is no requirement that the jury unanimously agree on which aggravating factors apply.</w:t>
      </w:r>
      <w:r w:rsidR="00E7401E" w:rsidRPr="00672545">
        <w:rPr>
          <w:rStyle w:val="ssrfcpassagedeactivated"/>
          <w:szCs w:val="26"/>
        </w:rPr>
        <w:t xml:space="preserve">  (</w:t>
      </w:r>
      <w:r w:rsidR="00284915" w:rsidRPr="00672545">
        <w:rPr>
          <w:rStyle w:val="ssrfcpassagedeactivated"/>
          <w:i/>
          <w:szCs w:val="26"/>
        </w:rPr>
        <w:t>People v. Banks</w:t>
      </w:r>
      <w:r w:rsidR="00284915" w:rsidRPr="00672545">
        <w:rPr>
          <w:rStyle w:val="ssrfcpassagedeactivated"/>
          <w:szCs w:val="26"/>
        </w:rPr>
        <w:t>,</w:t>
      </w:r>
      <w:r w:rsidR="00284915" w:rsidRPr="00672545">
        <w:rPr>
          <w:rStyle w:val="ssrfcpassagedeactivated"/>
          <w:i/>
          <w:szCs w:val="26"/>
        </w:rPr>
        <w:t xml:space="preserve"> supra</w:t>
      </w:r>
      <w:r w:rsidR="000D5438" w:rsidRPr="00672545">
        <w:rPr>
          <w:rStyle w:val="ssrfcpassagedeactivated"/>
          <w:szCs w:val="26"/>
        </w:rPr>
        <w:t xml:space="preserve">, </w:t>
      </w:r>
      <w:r w:rsidR="000D5438" w:rsidRPr="00672545">
        <w:rPr>
          <w:rStyle w:val="ssrfcpassagedeactivated"/>
          <w:szCs w:val="26"/>
        </w:rPr>
        <w:lastRenderedPageBreak/>
        <w:t>59</w:t>
      </w:r>
      <w:r w:rsidR="001314C1">
        <w:rPr>
          <w:rStyle w:val="ssrfcpassagedeactivated"/>
          <w:szCs w:val="26"/>
        </w:rPr>
        <w:t> </w:t>
      </w:r>
      <w:r w:rsidR="000D5438" w:rsidRPr="00672545">
        <w:rPr>
          <w:rStyle w:val="ssrfcpassagedeactivated"/>
          <w:szCs w:val="26"/>
        </w:rPr>
        <w:t>Cal.4th at p. 1207</w:t>
      </w:r>
      <w:r w:rsidR="00842A72" w:rsidRPr="00672545">
        <w:rPr>
          <w:rStyle w:val="ssrfcpassagedeactivated"/>
          <w:i/>
          <w:szCs w:val="26"/>
        </w:rPr>
        <w:t>.</w:t>
      </w:r>
      <w:r w:rsidR="00E7401E" w:rsidRPr="00672545">
        <w:rPr>
          <w:rStyle w:val="ssrfcpassagedeactivated"/>
          <w:szCs w:val="26"/>
        </w:rPr>
        <w:t xml:space="preserve">)  </w:t>
      </w:r>
      <w:proofErr w:type="gramStart"/>
      <w:r w:rsidR="001C5E7B" w:rsidRPr="00672545">
        <w:rPr>
          <w:rStyle w:val="ssrfcpassagedeactivated"/>
          <w:szCs w:val="26"/>
        </w:rPr>
        <w:t>“ ‘</w:t>
      </w:r>
      <w:proofErr w:type="gramEnd"/>
      <w:r w:rsidR="001C5E7B" w:rsidRPr="00672545">
        <w:rPr>
          <w:rStyle w:val="ssrfcpassagedeactivated"/>
          <w:szCs w:val="26"/>
        </w:rPr>
        <w:t xml:space="preserve">Review for </w:t>
      </w:r>
      <w:proofErr w:type="spellStart"/>
      <w:r w:rsidR="001C5E7B" w:rsidRPr="00672545">
        <w:rPr>
          <w:rStyle w:val="ssrfcpassagedeactivated"/>
          <w:szCs w:val="26"/>
        </w:rPr>
        <w:t>intercase</w:t>
      </w:r>
      <w:proofErr w:type="spellEnd"/>
      <w:r w:rsidR="001C5E7B" w:rsidRPr="00672545">
        <w:rPr>
          <w:rStyle w:val="ssrfcpassagedeactivated"/>
          <w:szCs w:val="26"/>
        </w:rPr>
        <w:t xml:space="preserve"> proportionality is not constitutionally compelled.’ ”  </w:t>
      </w:r>
      <w:r w:rsidR="00842A72" w:rsidRPr="00672545">
        <w:rPr>
          <w:rStyle w:val="ssrfcpassagedeactivated"/>
          <w:szCs w:val="26"/>
        </w:rPr>
        <w:t>(</w:t>
      </w:r>
      <w:r w:rsidR="00284915" w:rsidRPr="00672545">
        <w:rPr>
          <w:rStyle w:val="ssrfcpassagedeactivated"/>
          <w:i/>
          <w:szCs w:val="26"/>
        </w:rPr>
        <w:t>Ibid.</w:t>
      </w:r>
      <w:r w:rsidR="00842A72" w:rsidRPr="00672545">
        <w:rPr>
          <w:rStyle w:val="ssrfcpassagedeactivated"/>
          <w:szCs w:val="26"/>
        </w:rPr>
        <w:t>)</w:t>
      </w:r>
    </w:p>
    <w:p w14:paraId="4806901B" w14:textId="77777777" w:rsidR="0039322B" w:rsidRPr="00672545" w:rsidRDefault="0039322B" w:rsidP="00672545">
      <w:pPr>
        <w:pStyle w:val="Heading1"/>
      </w:pPr>
      <w:bookmarkStart w:id="42" w:name="_Toc506979833"/>
      <w:r w:rsidRPr="00672545">
        <w:t>III.  Disposition</w:t>
      </w:r>
      <w:bookmarkEnd w:id="42"/>
    </w:p>
    <w:p w14:paraId="3ED33FEA" w14:textId="77777777" w:rsidR="0039322B" w:rsidRPr="00672545" w:rsidRDefault="0039322B" w:rsidP="00672545">
      <w:r w:rsidRPr="00672545">
        <w:tab/>
      </w:r>
      <w:r w:rsidR="00CC6580" w:rsidRPr="00672545">
        <w:t>W</w:t>
      </w:r>
      <w:r w:rsidRPr="00672545">
        <w:t>e affirm the judgment.</w:t>
      </w:r>
    </w:p>
    <w:p w14:paraId="4947C142" w14:textId="26A5E587" w:rsidR="00BE5223" w:rsidRDefault="00BE5223" w:rsidP="0008561E">
      <w:pPr>
        <w:ind w:left="4320"/>
        <w:rPr>
          <w:b/>
        </w:rPr>
      </w:pPr>
      <w:r w:rsidRPr="00672545">
        <w:rPr>
          <w:b/>
        </w:rPr>
        <w:t>CANTIL-SAKAUYE, C.</w:t>
      </w:r>
      <w:r w:rsidR="00134DA4">
        <w:rPr>
          <w:b/>
        </w:rPr>
        <w:t> </w:t>
      </w:r>
      <w:r w:rsidRPr="00672545">
        <w:rPr>
          <w:b/>
        </w:rPr>
        <w:t>J.</w:t>
      </w:r>
    </w:p>
    <w:p w14:paraId="4563419C" w14:textId="0BD8E826" w:rsidR="001314C1" w:rsidRDefault="001314C1" w:rsidP="001314C1">
      <w:pPr>
        <w:spacing w:after="0" w:line="240" w:lineRule="auto"/>
        <w:ind w:left="4320"/>
        <w:rPr>
          <w:b/>
        </w:rPr>
      </w:pPr>
    </w:p>
    <w:p w14:paraId="1B4EB18E" w14:textId="34FE4D75" w:rsidR="001314C1" w:rsidRDefault="001314C1" w:rsidP="001314C1">
      <w:pPr>
        <w:spacing w:after="0" w:line="240" w:lineRule="auto"/>
        <w:ind w:left="4320"/>
        <w:rPr>
          <w:b/>
        </w:rPr>
      </w:pPr>
    </w:p>
    <w:p w14:paraId="1AEE562D" w14:textId="446CB990" w:rsidR="001314C1" w:rsidRDefault="001314C1" w:rsidP="001314C1">
      <w:pPr>
        <w:spacing w:after="0" w:line="240" w:lineRule="auto"/>
        <w:ind w:left="4320"/>
        <w:rPr>
          <w:b/>
        </w:rPr>
      </w:pPr>
    </w:p>
    <w:p w14:paraId="1A17B284" w14:textId="5865B3A4" w:rsidR="001314C1" w:rsidRDefault="001314C1" w:rsidP="001314C1">
      <w:pPr>
        <w:rPr>
          <w:b/>
        </w:rPr>
      </w:pPr>
      <w:r>
        <w:rPr>
          <w:b/>
        </w:rPr>
        <w:t>We Concur:</w:t>
      </w:r>
    </w:p>
    <w:p w14:paraId="50A9765D" w14:textId="06F3FF19" w:rsidR="001314C1" w:rsidRDefault="001314C1" w:rsidP="001314C1">
      <w:pPr>
        <w:spacing w:after="0" w:line="240" w:lineRule="auto"/>
        <w:rPr>
          <w:b/>
        </w:rPr>
      </w:pPr>
      <w:r>
        <w:rPr>
          <w:b/>
        </w:rPr>
        <w:t>CHIN, J.</w:t>
      </w:r>
    </w:p>
    <w:p w14:paraId="598E2631" w14:textId="6F18C4E9" w:rsidR="001314C1" w:rsidRDefault="001314C1" w:rsidP="001314C1">
      <w:pPr>
        <w:spacing w:after="0" w:line="240" w:lineRule="auto"/>
        <w:rPr>
          <w:b/>
        </w:rPr>
      </w:pPr>
      <w:r>
        <w:rPr>
          <w:b/>
        </w:rPr>
        <w:t>CORRIGAN, J.</w:t>
      </w:r>
    </w:p>
    <w:p w14:paraId="24471B54" w14:textId="1710DE89" w:rsidR="001314C1" w:rsidRDefault="001314C1" w:rsidP="001314C1">
      <w:pPr>
        <w:spacing w:after="0" w:line="240" w:lineRule="auto"/>
        <w:rPr>
          <w:b/>
        </w:rPr>
      </w:pPr>
      <w:r>
        <w:rPr>
          <w:b/>
        </w:rPr>
        <w:t>LIU, J.</w:t>
      </w:r>
    </w:p>
    <w:p w14:paraId="7D35DFAB" w14:textId="4906F38C" w:rsidR="001314C1" w:rsidRDefault="001314C1" w:rsidP="001314C1">
      <w:pPr>
        <w:spacing w:after="0" w:line="240" w:lineRule="auto"/>
        <w:rPr>
          <w:b/>
        </w:rPr>
      </w:pPr>
      <w:r>
        <w:rPr>
          <w:b/>
        </w:rPr>
        <w:t>CUÉLLAR, J.</w:t>
      </w:r>
    </w:p>
    <w:p w14:paraId="2ABA2BBC" w14:textId="16FA15E9" w:rsidR="001314C1" w:rsidRDefault="001314C1" w:rsidP="001314C1">
      <w:pPr>
        <w:spacing w:after="0" w:line="240" w:lineRule="auto"/>
        <w:rPr>
          <w:b/>
        </w:rPr>
      </w:pPr>
      <w:r>
        <w:rPr>
          <w:b/>
        </w:rPr>
        <w:t>KRUGER, J.</w:t>
      </w:r>
    </w:p>
    <w:p w14:paraId="5E3494B1" w14:textId="1B331F09" w:rsidR="001314C1" w:rsidRDefault="001314C1" w:rsidP="001314C1">
      <w:pPr>
        <w:spacing w:after="0" w:line="240" w:lineRule="auto"/>
        <w:rPr>
          <w:b/>
        </w:rPr>
        <w:sectPr w:rsidR="001314C1" w:rsidSect="00672545">
          <w:footerReference w:type="first" r:id="rId13"/>
          <w:pgSz w:w="12240" w:h="15840"/>
          <w:pgMar w:top="1800" w:right="2160" w:bottom="1440" w:left="2160" w:header="720" w:footer="720" w:gutter="0"/>
          <w:pgNumType w:start="1"/>
          <w:cols w:space="720"/>
          <w:titlePg/>
          <w:docGrid w:linePitch="367"/>
        </w:sectPr>
      </w:pPr>
      <w:r>
        <w:rPr>
          <w:b/>
        </w:rPr>
        <w:t>SLOUGH, J.</w:t>
      </w:r>
      <w:r>
        <w:rPr>
          <w:rStyle w:val="FootnoteReference"/>
          <w:b w:val="0"/>
        </w:rPr>
        <w:footnoteReference w:customMarkFollows="1" w:id="15"/>
        <w:t>*</w:t>
      </w:r>
    </w:p>
    <w:p w14:paraId="132759CC" w14:textId="223927BD" w:rsidR="001314C1" w:rsidRPr="00672545" w:rsidRDefault="001314C1" w:rsidP="001314C1">
      <w:pPr>
        <w:spacing w:after="0" w:line="240" w:lineRule="auto"/>
        <w:rPr>
          <w:b/>
        </w:rPr>
      </w:pPr>
    </w:p>
    <w:p w14:paraId="60CDE53B" w14:textId="77777777" w:rsidR="00BE5223" w:rsidRPr="00672545" w:rsidRDefault="00BE5223" w:rsidP="00672545"/>
    <w:p w14:paraId="0A1592AC" w14:textId="77777777" w:rsidR="003D4A5D" w:rsidRDefault="003D4A5D" w:rsidP="001620A7">
      <w:pPr>
        <w:tabs>
          <w:tab w:val="right" w:pos="7200"/>
        </w:tabs>
        <w:spacing w:after="0" w:line="240" w:lineRule="auto"/>
        <w:sectPr w:rsidR="003D4A5D" w:rsidSect="001314C1">
          <w:type w:val="continuous"/>
          <w:pgSz w:w="12240" w:h="15840"/>
          <w:pgMar w:top="1800" w:right="2160" w:bottom="1440" w:left="2160" w:header="720" w:footer="720" w:gutter="0"/>
          <w:pgNumType w:start="1"/>
          <w:cols w:space="720"/>
          <w:titlePg/>
          <w:docGrid w:linePitch="367"/>
        </w:sectPr>
      </w:pPr>
      <w:bookmarkStart w:id="45" w:name="calendar"/>
      <w:bookmarkStart w:id="46" w:name="plaintiff"/>
      <w:bookmarkStart w:id="47" w:name="defendant"/>
      <w:bookmarkStart w:id="48" w:name="casenum"/>
      <w:bookmarkStart w:id="49" w:name="initials"/>
      <w:bookmarkEnd w:id="45"/>
      <w:bookmarkEnd w:id="46"/>
      <w:bookmarkEnd w:id="47"/>
      <w:bookmarkEnd w:id="48"/>
      <w:bookmarkEnd w:id="49"/>
    </w:p>
    <w:p w14:paraId="349852DB" w14:textId="77777777" w:rsidR="003D4A5D" w:rsidRPr="003D4A5D" w:rsidRDefault="003D4A5D" w:rsidP="003D4A5D">
      <w:pPr>
        <w:spacing w:after="0" w:line="240" w:lineRule="auto"/>
        <w:jc w:val="left"/>
        <w:rPr>
          <w:rFonts w:ascii="Times New Roman" w:hAnsi="Times New Roman"/>
          <w:i/>
          <w:sz w:val="20"/>
        </w:rPr>
      </w:pPr>
      <w:r w:rsidRPr="003D4A5D">
        <w:rPr>
          <w:rFonts w:ascii="Times New Roman" w:hAnsi="Times New Roman"/>
          <w:i/>
          <w:sz w:val="20"/>
        </w:rPr>
        <w:lastRenderedPageBreak/>
        <w:t>See next page for addresses and telephone numbers for counsel who argued in Supreme Court.</w:t>
      </w:r>
    </w:p>
    <w:p w14:paraId="52AF5AB9" w14:textId="77777777" w:rsidR="003D4A5D" w:rsidRPr="003D4A5D" w:rsidRDefault="003D4A5D" w:rsidP="003D4A5D">
      <w:pPr>
        <w:spacing w:after="0" w:line="240" w:lineRule="auto"/>
        <w:jc w:val="left"/>
        <w:rPr>
          <w:rFonts w:ascii="Times New Roman" w:hAnsi="Times New Roman"/>
          <w:i/>
          <w:sz w:val="20"/>
        </w:rPr>
      </w:pPr>
    </w:p>
    <w:p w14:paraId="2C3849C5" w14:textId="77777777" w:rsidR="003D4A5D" w:rsidRPr="003D4A5D" w:rsidRDefault="003D4A5D" w:rsidP="003D4A5D">
      <w:pPr>
        <w:spacing w:after="0" w:line="240" w:lineRule="auto"/>
        <w:jc w:val="left"/>
        <w:rPr>
          <w:rFonts w:ascii="Times New Roman" w:hAnsi="Times New Roman"/>
          <w:bCs/>
          <w:i/>
          <w:sz w:val="20"/>
        </w:rPr>
      </w:pPr>
      <w:r w:rsidRPr="003D4A5D">
        <w:rPr>
          <w:rFonts w:ascii="Times New Roman" w:hAnsi="Times New Roman"/>
          <w:b/>
          <w:sz w:val="20"/>
        </w:rPr>
        <w:t>Name of Opinion</w:t>
      </w:r>
      <w:r w:rsidRPr="003D4A5D">
        <w:rPr>
          <w:rFonts w:ascii="Times New Roman" w:hAnsi="Times New Roman"/>
          <w:sz w:val="20"/>
        </w:rPr>
        <w:t xml:space="preserve"> People v. </w:t>
      </w:r>
      <w:proofErr w:type="spellStart"/>
      <w:r w:rsidRPr="003D4A5D">
        <w:rPr>
          <w:rFonts w:ascii="Times New Roman" w:hAnsi="Times New Roman"/>
          <w:sz w:val="20"/>
        </w:rPr>
        <w:t>Westerfield</w:t>
      </w:r>
      <w:proofErr w:type="spellEnd"/>
    </w:p>
    <w:p w14:paraId="0672C6E3"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t>__________________________________________________________________________________</w:t>
      </w:r>
    </w:p>
    <w:p w14:paraId="7C44AE67" w14:textId="77777777" w:rsidR="003D4A5D" w:rsidRPr="003D4A5D" w:rsidRDefault="003D4A5D" w:rsidP="003D4A5D">
      <w:pPr>
        <w:spacing w:after="0" w:line="240" w:lineRule="auto"/>
        <w:jc w:val="left"/>
        <w:rPr>
          <w:rFonts w:ascii="Times New Roman" w:hAnsi="Times New Roman"/>
          <w:b/>
          <w:sz w:val="20"/>
        </w:rPr>
      </w:pPr>
    </w:p>
    <w:p w14:paraId="71E3B19B" w14:textId="77777777" w:rsidR="003D4A5D" w:rsidRPr="003D4A5D" w:rsidRDefault="003D4A5D" w:rsidP="003D4A5D">
      <w:pPr>
        <w:spacing w:after="0" w:line="240" w:lineRule="auto"/>
        <w:jc w:val="left"/>
        <w:rPr>
          <w:rFonts w:ascii="Times New Roman" w:hAnsi="Times New Roman"/>
          <w:bCs/>
          <w:sz w:val="20"/>
        </w:rPr>
      </w:pPr>
      <w:r w:rsidRPr="003D4A5D">
        <w:rPr>
          <w:rFonts w:ascii="Times New Roman" w:hAnsi="Times New Roman"/>
          <w:b/>
          <w:sz w:val="20"/>
        </w:rPr>
        <w:t>Unpublished Opinion</w:t>
      </w:r>
    </w:p>
    <w:p w14:paraId="472181D1"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b/>
          <w:sz w:val="20"/>
        </w:rPr>
        <w:t>Original Appeal</w:t>
      </w:r>
      <w:r w:rsidRPr="003D4A5D">
        <w:rPr>
          <w:rFonts w:ascii="Times New Roman" w:hAnsi="Times New Roman"/>
          <w:sz w:val="20"/>
        </w:rPr>
        <w:t xml:space="preserve"> XXX</w:t>
      </w:r>
    </w:p>
    <w:p w14:paraId="6B7E082A"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t>Original Proceeding</w:t>
      </w:r>
    </w:p>
    <w:p w14:paraId="5D0C19E8"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b/>
          <w:sz w:val="20"/>
        </w:rPr>
        <w:t>Review Granted</w:t>
      </w:r>
    </w:p>
    <w:p w14:paraId="344AD3CA"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t>Rehearing Granted</w:t>
      </w:r>
    </w:p>
    <w:p w14:paraId="35ABC58C" w14:textId="77777777" w:rsidR="003D4A5D" w:rsidRPr="003D4A5D" w:rsidRDefault="003D4A5D" w:rsidP="003D4A5D">
      <w:pPr>
        <w:spacing w:after="0" w:line="240" w:lineRule="auto"/>
        <w:jc w:val="left"/>
        <w:rPr>
          <w:rFonts w:ascii="Times New Roman" w:hAnsi="Times New Roman"/>
          <w:b/>
          <w:sz w:val="20"/>
        </w:rPr>
      </w:pPr>
    </w:p>
    <w:p w14:paraId="19C66B8C"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t>__________________________________________________________________________________</w:t>
      </w:r>
    </w:p>
    <w:p w14:paraId="6C188B9C" w14:textId="77777777" w:rsidR="003D4A5D" w:rsidRPr="003D4A5D" w:rsidRDefault="003D4A5D" w:rsidP="003D4A5D">
      <w:pPr>
        <w:spacing w:after="0" w:line="240" w:lineRule="auto"/>
        <w:jc w:val="left"/>
        <w:rPr>
          <w:rFonts w:ascii="Times New Roman" w:hAnsi="Times New Roman"/>
          <w:b/>
          <w:sz w:val="20"/>
        </w:rPr>
      </w:pPr>
    </w:p>
    <w:p w14:paraId="04B0D0E4"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b/>
          <w:sz w:val="20"/>
        </w:rPr>
        <w:t>Opinion No.</w:t>
      </w:r>
      <w:r w:rsidRPr="003D4A5D">
        <w:rPr>
          <w:rFonts w:ascii="Times New Roman" w:hAnsi="Times New Roman"/>
          <w:sz w:val="20"/>
        </w:rPr>
        <w:t xml:space="preserve"> S112691</w:t>
      </w:r>
    </w:p>
    <w:p w14:paraId="0E4A7FFE" w14:textId="77777777" w:rsidR="003D4A5D" w:rsidRPr="003D4A5D" w:rsidRDefault="003D4A5D" w:rsidP="003D4A5D">
      <w:pPr>
        <w:spacing w:after="0" w:line="240" w:lineRule="auto"/>
        <w:jc w:val="left"/>
        <w:rPr>
          <w:rFonts w:ascii="Times New Roman" w:hAnsi="Times New Roman"/>
          <w:bCs/>
          <w:sz w:val="20"/>
        </w:rPr>
      </w:pPr>
      <w:r w:rsidRPr="003D4A5D">
        <w:rPr>
          <w:rFonts w:ascii="Times New Roman" w:hAnsi="Times New Roman"/>
          <w:b/>
          <w:sz w:val="20"/>
        </w:rPr>
        <w:t>Date Filed:</w:t>
      </w:r>
      <w:r w:rsidRPr="003D4A5D">
        <w:rPr>
          <w:rFonts w:ascii="Times New Roman" w:hAnsi="Times New Roman"/>
          <w:sz w:val="20"/>
        </w:rPr>
        <w:t xml:space="preserve"> February 4, 2019</w:t>
      </w:r>
    </w:p>
    <w:p w14:paraId="5B1CD97C"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t>__________________________________________________________________________________</w:t>
      </w:r>
    </w:p>
    <w:p w14:paraId="7CD05C4F" w14:textId="77777777" w:rsidR="003D4A5D" w:rsidRPr="003D4A5D" w:rsidRDefault="003D4A5D" w:rsidP="003D4A5D">
      <w:pPr>
        <w:spacing w:after="0" w:line="240" w:lineRule="auto"/>
        <w:jc w:val="left"/>
        <w:rPr>
          <w:rFonts w:ascii="Times New Roman" w:hAnsi="Times New Roman"/>
          <w:b/>
          <w:sz w:val="20"/>
        </w:rPr>
      </w:pPr>
    </w:p>
    <w:p w14:paraId="607242FA" w14:textId="77777777" w:rsidR="003D4A5D" w:rsidRPr="003D4A5D" w:rsidRDefault="003D4A5D" w:rsidP="003D4A5D">
      <w:pPr>
        <w:spacing w:after="0" w:line="240" w:lineRule="auto"/>
        <w:jc w:val="left"/>
        <w:rPr>
          <w:rFonts w:ascii="Times New Roman" w:hAnsi="Times New Roman"/>
          <w:bCs/>
          <w:sz w:val="20"/>
        </w:rPr>
      </w:pPr>
      <w:r w:rsidRPr="003D4A5D">
        <w:rPr>
          <w:rFonts w:ascii="Times New Roman" w:hAnsi="Times New Roman"/>
          <w:b/>
          <w:sz w:val="20"/>
        </w:rPr>
        <w:t>Court:</w:t>
      </w:r>
      <w:r w:rsidRPr="003D4A5D">
        <w:rPr>
          <w:rFonts w:ascii="Times New Roman" w:hAnsi="Times New Roman"/>
          <w:sz w:val="20"/>
        </w:rPr>
        <w:t xml:space="preserve"> Superior</w:t>
      </w:r>
    </w:p>
    <w:p w14:paraId="1A804977" w14:textId="77777777" w:rsidR="003D4A5D" w:rsidRPr="003D4A5D" w:rsidRDefault="003D4A5D" w:rsidP="003D4A5D">
      <w:pPr>
        <w:spacing w:after="0" w:line="240" w:lineRule="auto"/>
        <w:jc w:val="left"/>
        <w:rPr>
          <w:rFonts w:ascii="Times New Roman" w:hAnsi="Times New Roman"/>
          <w:bCs/>
          <w:sz w:val="20"/>
        </w:rPr>
      </w:pPr>
      <w:r w:rsidRPr="003D4A5D">
        <w:rPr>
          <w:rFonts w:ascii="Times New Roman" w:hAnsi="Times New Roman"/>
          <w:b/>
          <w:sz w:val="20"/>
        </w:rPr>
        <w:t>County:</w:t>
      </w:r>
      <w:r w:rsidRPr="003D4A5D">
        <w:rPr>
          <w:rFonts w:ascii="Times New Roman" w:hAnsi="Times New Roman"/>
          <w:sz w:val="20"/>
        </w:rPr>
        <w:t xml:space="preserve"> San Diego</w:t>
      </w:r>
    </w:p>
    <w:p w14:paraId="468F0923" w14:textId="77777777" w:rsidR="003D4A5D" w:rsidRPr="003D4A5D" w:rsidRDefault="003D4A5D" w:rsidP="003D4A5D">
      <w:pPr>
        <w:spacing w:after="0" w:line="240" w:lineRule="auto"/>
        <w:ind w:left="720" w:hanging="720"/>
        <w:jc w:val="left"/>
        <w:rPr>
          <w:rFonts w:ascii="Times New Roman" w:hAnsi="Times New Roman"/>
          <w:bCs/>
          <w:sz w:val="20"/>
        </w:rPr>
      </w:pPr>
      <w:r w:rsidRPr="003D4A5D">
        <w:rPr>
          <w:rFonts w:ascii="Times New Roman" w:hAnsi="Times New Roman"/>
          <w:b/>
          <w:sz w:val="20"/>
        </w:rPr>
        <w:t>Judge:</w:t>
      </w:r>
      <w:r w:rsidRPr="003D4A5D">
        <w:rPr>
          <w:rFonts w:ascii="Times New Roman" w:hAnsi="Times New Roman"/>
          <w:sz w:val="20"/>
        </w:rPr>
        <w:t xml:space="preserve"> William D. Mudd</w:t>
      </w:r>
    </w:p>
    <w:p w14:paraId="785E5250" w14:textId="77777777" w:rsidR="003D4A5D" w:rsidRPr="003D4A5D" w:rsidRDefault="003D4A5D" w:rsidP="003D4A5D">
      <w:pPr>
        <w:spacing w:after="0" w:line="240" w:lineRule="auto"/>
        <w:jc w:val="left"/>
        <w:rPr>
          <w:rFonts w:ascii="Times New Roman" w:hAnsi="Times New Roman"/>
          <w:b/>
          <w:sz w:val="20"/>
        </w:rPr>
      </w:pPr>
    </w:p>
    <w:p w14:paraId="5588B5A8"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t>__________________________________________________________________________________</w:t>
      </w:r>
    </w:p>
    <w:p w14:paraId="78ADCBC3" w14:textId="77777777" w:rsidR="003D4A5D" w:rsidRPr="003D4A5D" w:rsidRDefault="003D4A5D" w:rsidP="003D4A5D">
      <w:pPr>
        <w:spacing w:after="0" w:line="240" w:lineRule="auto"/>
        <w:jc w:val="left"/>
        <w:rPr>
          <w:rFonts w:ascii="Times New Roman" w:hAnsi="Times New Roman"/>
          <w:b/>
          <w:sz w:val="20"/>
        </w:rPr>
      </w:pPr>
    </w:p>
    <w:p w14:paraId="3E6F00F6"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t>Counsel:</w:t>
      </w:r>
    </w:p>
    <w:p w14:paraId="4384A06E" w14:textId="77777777" w:rsidR="003D4A5D" w:rsidRPr="003D4A5D" w:rsidRDefault="003D4A5D" w:rsidP="003D4A5D">
      <w:pPr>
        <w:spacing w:after="0" w:line="240" w:lineRule="auto"/>
        <w:jc w:val="left"/>
        <w:rPr>
          <w:rFonts w:ascii="Times New Roman" w:hAnsi="Times New Roman"/>
          <w:b/>
          <w:sz w:val="20"/>
        </w:rPr>
      </w:pPr>
    </w:p>
    <w:p w14:paraId="520B653D"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Mark David Greenberg, under appointment by the Supreme Court, for Defendant and Appellant.</w:t>
      </w:r>
    </w:p>
    <w:p w14:paraId="1A37C7BA" w14:textId="77777777" w:rsidR="003D4A5D" w:rsidRPr="003D4A5D" w:rsidRDefault="003D4A5D" w:rsidP="003D4A5D">
      <w:pPr>
        <w:spacing w:after="0" w:line="240" w:lineRule="auto"/>
        <w:jc w:val="left"/>
        <w:rPr>
          <w:rFonts w:ascii="Times New Roman" w:hAnsi="Times New Roman"/>
          <w:b/>
          <w:sz w:val="20"/>
        </w:rPr>
      </w:pPr>
    </w:p>
    <w:p w14:paraId="68F5F9FE"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Kamala D. Harris and Xavier Becerra, Attorneys General, Dane R. Gillette and Gerald A. Engler, Chief Assistant Attorneys General, Julie L. Garland, Assistant Attorney General, Holly D. Wilkens and Robin Urbanski, Deputy Attorneys General, for Plaintiff and Respondent.</w:t>
      </w:r>
    </w:p>
    <w:p w14:paraId="3F8473CB" w14:textId="77777777" w:rsidR="003D4A5D" w:rsidRPr="003D4A5D" w:rsidRDefault="003D4A5D" w:rsidP="003D4A5D">
      <w:pPr>
        <w:spacing w:after="0" w:line="240" w:lineRule="auto"/>
        <w:jc w:val="left"/>
        <w:rPr>
          <w:rFonts w:ascii="Times New Roman" w:hAnsi="Times New Roman"/>
          <w:sz w:val="20"/>
        </w:rPr>
      </w:pPr>
    </w:p>
    <w:p w14:paraId="575B0983" w14:textId="77777777" w:rsidR="003D4A5D" w:rsidRPr="003D4A5D" w:rsidRDefault="003D4A5D" w:rsidP="003D4A5D">
      <w:pPr>
        <w:spacing w:after="0" w:line="240" w:lineRule="auto"/>
        <w:jc w:val="left"/>
        <w:rPr>
          <w:rFonts w:ascii="Times New Roman" w:hAnsi="Times New Roman"/>
          <w:b/>
          <w:sz w:val="20"/>
        </w:rPr>
      </w:pPr>
    </w:p>
    <w:p w14:paraId="5A88CD77" w14:textId="77777777" w:rsidR="003D4A5D" w:rsidRPr="003D4A5D" w:rsidRDefault="003D4A5D" w:rsidP="003D4A5D">
      <w:pPr>
        <w:spacing w:after="0" w:line="240" w:lineRule="auto"/>
        <w:jc w:val="left"/>
        <w:rPr>
          <w:rFonts w:ascii="Times New Roman" w:hAnsi="Times New Roman"/>
          <w:b/>
          <w:sz w:val="20"/>
        </w:rPr>
      </w:pPr>
    </w:p>
    <w:p w14:paraId="4D3F3721" w14:textId="77777777" w:rsidR="003D4A5D" w:rsidRPr="003D4A5D" w:rsidRDefault="003D4A5D" w:rsidP="003D4A5D">
      <w:pPr>
        <w:spacing w:after="0" w:line="240" w:lineRule="auto"/>
        <w:jc w:val="left"/>
        <w:rPr>
          <w:rFonts w:ascii="Times New Roman" w:hAnsi="Times New Roman"/>
          <w:b/>
          <w:sz w:val="20"/>
        </w:rPr>
      </w:pPr>
    </w:p>
    <w:p w14:paraId="0D32D238"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br w:type="page"/>
      </w:r>
    </w:p>
    <w:p w14:paraId="71B77107" w14:textId="77777777" w:rsidR="003D4A5D" w:rsidRPr="003D4A5D" w:rsidRDefault="003D4A5D" w:rsidP="003D4A5D">
      <w:pPr>
        <w:spacing w:after="0" w:line="240" w:lineRule="auto"/>
        <w:jc w:val="left"/>
        <w:rPr>
          <w:rFonts w:ascii="Times New Roman" w:hAnsi="Times New Roman"/>
          <w:b/>
          <w:sz w:val="20"/>
        </w:rPr>
      </w:pPr>
    </w:p>
    <w:p w14:paraId="25780CB6" w14:textId="77777777" w:rsidR="003D4A5D" w:rsidRPr="003D4A5D" w:rsidRDefault="003D4A5D" w:rsidP="003D4A5D">
      <w:pPr>
        <w:spacing w:after="0" w:line="240" w:lineRule="auto"/>
        <w:jc w:val="left"/>
        <w:rPr>
          <w:rFonts w:ascii="Times New Roman" w:hAnsi="Times New Roman"/>
          <w:b/>
          <w:sz w:val="20"/>
        </w:rPr>
      </w:pPr>
    </w:p>
    <w:p w14:paraId="098C5CA4" w14:textId="77777777" w:rsidR="003D4A5D" w:rsidRPr="003D4A5D" w:rsidRDefault="003D4A5D" w:rsidP="003D4A5D">
      <w:pPr>
        <w:spacing w:after="0" w:line="240" w:lineRule="auto"/>
        <w:jc w:val="left"/>
        <w:rPr>
          <w:rFonts w:ascii="Times New Roman" w:hAnsi="Times New Roman"/>
          <w:b/>
          <w:sz w:val="20"/>
        </w:rPr>
      </w:pPr>
    </w:p>
    <w:p w14:paraId="68CAADBB"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b/>
          <w:sz w:val="20"/>
        </w:rPr>
        <w:t>Counsel who argued in Supreme Court (not intended for publication with opinion):</w:t>
      </w:r>
    </w:p>
    <w:p w14:paraId="4277DAF1" w14:textId="77777777" w:rsidR="003D4A5D" w:rsidRPr="003D4A5D" w:rsidRDefault="003D4A5D" w:rsidP="003D4A5D">
      <w:pPr>
        <w:spacing w:after="0" w:line="240" w:lineRule="auto"/>
        <w:jc w:val="left"/>
        <w:rPr>
          <w:rFonts w:ascii="Times New Roman" w:hAnsi="Times New Roman"/>
          <w:b/>
          <w:sz w:val="20"/>
        </w:rPr>
      </w:pPr>
    </w:p>
    <w:p w14:paraId="0B171AA2"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Mark David Greenberg</w:t>
      </w:r>
    </w:p>
    <w:p w14:paraId="10656C7B"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484 Lake Park Avenue, No. 429</w:t>
      </w:r>
    </w:p>
    <w:p w14:paraId="1DFF63EE"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Oakland, CA  94610</w:t>
      </w:r>
    </w:p>
    <w:p w14:paraId="69A9729B"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(510) 452-3126</w:t>
      </w:r>
    </w:p>
    <w:p w14:paraId="249E99A6" w14:textId="77777777" w:rsidR="003D4A5D" w:rsidRPr="003D4A5D" w:rsidRDefault="003D4A5D" w:rsidP="003D4A5D">
      <w:pPr>
        <w:spacing w:after="0" w:line="240" w:lineRule="auto"/>
        <w:jc w:val="left"/>
        <w:rPr>
          <w:rFonts w:ascii="Times New Roman" w:hAnsi="Times New Roman"/>
          <w:sz w:val="20"/>
        </w:rPr>
      </w:pPr>
    </w:p>
    <w:p w14:paraId="73793A03"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Robin Urbanski</w:t>
      </w:r>
    </w:p>
    <w:p w14:paraId="0CB37496"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Deputy Attorney General</w:t>
      </w:r>
    </w:p>
    <w:p w14:paraId="5B8C5CC2"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600 West Broadway, Suite 1800</w:t>
      </w:r>
    </w:p>
    <w:p w14:paraId="32CF5625" w14:textId="77777777" w:rsidR="003D4A5D" w:rsidRPr="003D4A5D" w:rsidRDefault="003D4A5D" w:rsidP="003D4A5D">
      <w:pPr>
        <w:spacing w:after="0" w:line="240" w:lineRule="auto"/>
        <w:jc w:val="left"/>
        <w:rPr>
          <w:rFonts w:ascii="Times New Roman" w:hAnsi="Times New Roman"/>
          <w:sz w:val="20"/>
        </w:rPr>
      </w:pPr>
      <w:r w:rsidRPr="003D4A5D">
        <w:rPr>
          <w:rFonts w:ascii="Times New Roman" w:hAnsi="Times New Roman"/>
          <w:sz w:val="20"/>
        </w:rPr>
        <w:t>San Diego, CA  92101</w:t>
      </w:r>
    </w:p>
    <w:p w14:paraId="572890D9" w14:textId="77777777" w:rsidR="003D4A5D" w:rsidRPr="003D4A5D" w:rsidRDefault="003D4A5D" w:rsidP="003D4A5D">
      <w:pPr>
        <w:spacing w:after="0" w:line="240" w:lineRule="auto"/>
        <w:jc w:val="left"/>
        <w:rPr>
          <w:rFonts w:ascii="Times New Roman" w:hAnsi="Times New Roman"/>
          <w:b/>
          <w:sz w:val="20"/>
        </w:rPr>
      </w:pPr>
      <w:r w:rsidRPr="003D4A5D">
        <w:rPr>
          <w:rFonts w:ascii="Times New Roman" w:hAnsi="Times New Roman"/>
          <w:sz w:val="20"/>
        </w:rPr>
        <w:t>(619) 738-9115</w:t>
      </w:r>
    </w:p>
    <w:p w14:paraId="28C30052" w14:textId="389A149D" w:rsidR="00BE5223" w:rsidRPr="00672545" w:rsidRDefault="00BE5223" w:rsidP="001620A7">
      <w:pPr>
        <w:tabs>
          <w:tab w:val="right" w:pos="7200"/>
        </w:tabs>
        <w:spacing w:after="0" w:line="240" w:lineRule="auto"/>
      </w:pPr>
    </w:p>
    <w:sectPr w:rsidR="00BE5223" w:rsidRPr="00672545">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D009E" w14:textId="77777777" w:rsidR="00FB6ED7" w:rsidRDefault="00FB6ED7">
      <w:r>
        <w:separator/>
      </w:r>
    </w:p>
  </w:endnote>
  <w:endnote w:type="continuationSeparator" w:id="0">
    <w:p w14:paraId="6C5E4B6F" w14:textId="77777777" w:rsidR="00FB6ED7" w:rsidRDefault="00FB6ED7">
      <w:r>
        <w:continuationSeparator/>
      </w:r>
    </w:p>
  </w:endnote>
  <w:endnote w:type="continuationNotice" w:id="1">
    <w:p w14:paraId="022DD73E" w14:textId="77777777" w:rsidR="00FB6ED7" w:rsidRDefault="00FB6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7FFF" w14:textId="77777777" w:rsidR="00FB6ED7" w:rsidRDefault="00FB6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9D31" w14:textId="77777777" w:rsidR="00FB6ED7" w:rsidRDefault="00FB6ED7">
    <w:pPr>
      <w:pStyle w:val="Footer"/>
    </w:pPr>
    <w:r>
      <w:fldChar w:fldCharType="begin"/>
    </w:r>
    <w:r>
      <w:instrText>PAGE</w:instrText>
    </w:r>
    <w:r>
      <w:fldChar w:fldCharType="separate"/>
    </w:r>
    <w:r>
      <w:rPr>
        <w:noProof/>
      </w:rPr>
      <w:t>134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A996" w14:textId="77777777" w:rsidR="00FB6ED7" w:rsidRDefault="00FB6E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83906" w14:textId="77777777" w:rsidR="00FB6ED7" w:rsidRDefault="00FB6ED7">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FB3AE" w14:textId="77777777" w:rsidR="00FB6ED7" w:rsidRDefault="00FB6E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9F3B" w14:textId="77777777" w:rsidR="00FB6ED7" w:rsidRDefault="00FB6E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A0CA" w14:textId="77777777" w:rsidR="00FB6ED7" w:rsidRDefault="00FB6E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1234" w14:textId="77777777" w:rsidR="00FB6ED7" w:rsidRDefault="00FB6ED7">
      <w:r>
        <w:separator/>
      </w:r>
    </w:p>
  </w:footnote>
  <w:footnote w:type="continuationSeparator" w:id="0">
    <w:p w14:paraId="1D4A93D1" w14:textId="77777777" w:rsidR="00FB6ED7" w:rsidRDefault="00FB6ED7">
      <w:pPr>
        <w:rPr>
          <w:sz w:val="22"/>
        </w:rPr>
      </w:pPr>
      <w:r>
        <w:continuationSeparator/>
      </w:r>
    </w:p>
  </w:footnote>
  <w:footnote w:type="continuationNotice" w:id="1">
    <w:p w14:paraId="3EC13385" w14:textId="77777777" w:rsidR="00FB6ED7" w:rsidRDefault="00FB6ED7">
      <w:pPr>
        <w:jc w:val="right"/>
        <w:rPr>
          <w:i/>
          <w:sz w:val="20"/>
        </w:rPr>
      </w:pPr>
    </w:p>
  </w:footnote>
  <w:footnote w:id="2">
    <w:p w14:paraId="697235AE" w14:textId="77777777" w:rsidR="00FB6ED7" w:rsidRDefault="00FB6ED7" w:rsidP="00E42E8B">
      <w:pPr>
        <w:pStyle w:val="FootnoteText"/>
      </w:pPr>
      <w:r w:rsidRPr="000122E5">
        <w:rPr>
          <w:rStyle w:val="FootnoteReference"/>
        </w:rPr>
        <w:sym w:font="Symbol" w:char="F02A"/>
      </w:r>
      <w:r>
        <w:t xml:space="preserve"> </w:t>
      </w:r>
      <w:r>
        <w:tab/>
        <w:t>Associate Justice of the Court of Appeal, Fourth Appellate District, Division Two, assigned by the Chief Justice pursuant to article VI, section 6 of the California Constitution.</w:t>
      </w:r>
    </w:p>
  </w:footnote>
  <w:footnote w:id="3">
    <w:p w14:paraId="323D2839" w14:textId="77777777" w:rsidR="00FB6ED7" w:rsidRDefault="00FB6ED7" w:rsidP="00672545">
      <w:pPr>
        <w:pStyle w:val="FootnoteText"/>
      </w:pPr>
      <w:r>
        <w:rPr>
          <w:rStyle w:val="FootnoteReference"/>
        </w:rPr>
        <w:footnoteRef/>
      </w:r>
      <w:r>
        <w:t xml:space="preserve"> </w:t>
      </w:r>
      <w:r>
        <w:tab/>
        <w:t>All further statutory references are to the Penal Code unless otherwise indicated.</w:t>
      </w:r>
    </w:p>
  </w:footnote>
  <w:footnote w:id="4">
    <w:p w14:paraId="6F3CD10B" w14:textId="77777777" w:rsidR="00FB6ED7" w:rsidRDefault="00FB6ED7" w:rsidP="00672545">
      <w:pPr>
        <w:pStyle w:val="FootnoteText"/>
      </w:pPr>
      <w:r>
        <w:rPr>
          <w:rStyle w:val="FootnoteReference"/>
        </w:rPr>
        <w:footnoteRef/>
      </w:r>
      <w:r>
        <w:t xml:space="preserve"> </w:t>
      </w:r>
      <w:r>
        <w:tab/>
        <w:t xml:space="preserve">Brenda found Easton and Damon “snuggling” and kissing.  </w:t>
      </w:r>
      <w:proofErr w:type="gramStart"/>
      <w:r>
        <w:t>In an effort to</w:t>
      </w:r>
      <w:proofErr w:type="gramEnd"/>
      <w:r>
        <w:t xml:space="preserve"> attack their credibility, the defense presented testimony that neither Damon nor Brenda had initially told officers that Damon had previously had sex with Easton in the presence of Brenda and that he had also had sex with Kemal in the presence of Brenda and Kemal’s then husband.  Brenda later acknowledged she had had a sexual encounter with Kemal.  </w:t>
      </w:r>
    </w:p>
  </w:footnote>
  <w:footnote w:id="5">
    <w:p w14:paraId="0B2C97FF" w14:textId="77777777" w:rsidR="00FB6ED7" w:rsidRDefault="00FB6ED7" w:rsidP="00672545">
      <w:pPr>
        <w:pStyle w:val="FootnoteText"/>
      </w:pPr>
      <w:r>
        <w:rPr>
          <w:rStyle w:val="FootnoteReference"/>
        </w:rPr>
        <w:footnoteRef/>
      </w:r>
      <w:r>
        <w:t xml:space="preserve"> </w:t>
      </w:r>
      <w:r>
        <w:tab/>
        <w:t xml:space="preserve"> Before Holland’s testing, Annette Peer of the San Diego Police Department had tested a different cutting of the bloodstain located on the carpet of defendant’s motorhome.  Her testing did not return a complete 13-marker genetic profile, resulting in a lower rarity statistic of one in 130 quadrillion persons within the Caucasian population.  </w:t>
      </w:r>
    </w:p>
  </w:footnote>
  <w:footnote w:id="6">
    <w:p w14:paraId="48CFD4FF" w14:textId="77777777" w:rsidR="00FB6ED7" w:rsidRDefault="00FB6ED7" w:rsidP="00672545">
      <w:pPr>
        <w:pStyle w:val="FootnoteText"/>
      </w:pPr>
      <w:r>
        <w:rPr>
          <w:rStyle w:val="FootnoteReference"/>
        </w:rPr>
        <w:footnoteRef/>
      </w:r>
      <w:r>
        <w:t xml:space="preserve"> </w:t>
      </w:r>
      <w:r>
        <w:tab/>
        <w:t xml:space="preserve">Theisen explained that nuclear DNA is inherited from both the mother and father.  It confers a unique identity.  Mitochondrial DNA in inherited only from the mother.  It is, therefore, shared with siblings, the mother, the mother’s siblings, and anyone else related in the maternal line.  Nevertheless, mitochondrial DNA is extremely useful in analyzing items of evidence that contain little nuclear DNA, such as hair that does not have the hair root attached.  </w:t>
      </w:r>
    </w:p>
  </w:footnote>
  <w:footnote w:id="7">
    <w:p w14:paraId="682B1FCA" w14:textId="77777777" w:rsidR="00FB6ED7" w:rsidRDefault="00FB6ED7" w:rsidP="00672545">
      <w:pPr>
        <w:pStyle w:val="FootnoteText"/>
      </w:pPr>
      <w:r>
        <w:rPr>
          <w:rStyle w:val="FootnoteReference"/>
        </w:rPr>
        <w:footnoteRef/>
      </w:r>
      <w:r>
        <w:t xml:space="preserve"> </w:t>
      </w:r>
      <w:r>
        <w:tab/>
        <w:t xml:space="preserve">After the execution of the first warrant, </w:t>
      </w:r>
      <w:proofErr w:type="spellStart"/>
      <w:r>
        <w:t>Alldredge</w:t>
      </w:r>
      <w:proofErr w:type="spellEnd"/>
      <w:r>
        <w:t xml:space="preserve"> learned from Brenda that she might have discussed the father-daughter dance in defendant’s presence.</w:t>
      </w:r>
    </w:p>
  </w:footnote>
  <w:footnote w:id="8">
    <w:p w14:paraId="596F6A76" w14:textId="77777777" w:rsidR="00FB6ED7" w:rsidRDefault="00FB6ED7" w:rsidP="00672545">
      <w:pPr>
        <w:pStyle w:val="FootnoteText"/>
      </w:pPr>
      <w:r>
        <w:rPr>
          <w:rStyle w:val="FootnoteReference"/>
        </w:rPr>
        <w:footnoteRef/>
      </w:r>
      <w:r>
        <w:t xml:space="preserve"> </w:t>
      </w:r>
      <w:r>
        <w:tab/>
        <w:t xml:space="preserve">In 2006, section 311.11 was amended to classify a first-time commission of the offense as a “wobbler.”  (Stats. 2006, </w:t>
      </w:r>
      <w:proofErr w:type="spellStart"/>
      <w:r>
        <w:t>ch.</w:t>
      </w:r>
      <w:proofErr w:type="spellEnd"/>
      <w:r>
        <w:t xml:space="preserve"> 337, § 23.)  In 2007, a first-time commission of the offense was designated a felony.  (Stats. 2007, </w:t>
      </w:r>
      <w:proofErr w:type="spellStart"/>
      <w:r>
        <w:t>ch.</w:t>
      </w:r>
      <w:proofErr w:type="spellEnd"/>
      <w:r>
        <w:t xml:space="preserve"> 579, § 38.)</w:t>
      </w:r>
    </w:p>
  </w:footnote>
  <w:footnote w:id="9">
    <w:p w14:paraId="22542828" w14:textId="77777777" w:rsidR="00FB6ED7" w:rsidRDefault="00FB6ED7" w:rsidP="00672545">
      <w:pPr>
        <w:pStyle w:val="FootnoteText"/>
      </w:pPr>
      <w:r>
        <w:rPr>
          <w:rStyle w:val="FootnoteReference"/>
        </w:rPr>
        <w:footnoteRef/>
      </w:r>
      <w:r>
        <w:t xml:space="preserve"> </w:t>
      </w:r>
      <w:r>
        <w:tab/>
        <w:t xml:space="preserve">CALJIC No. 2.16 refers to this type of evidence as dog-tracking evidence.  Under the circumstances here, the evidence is more readily understood as dog-scent evidence.  </w:t>
      </w:r>
    </w:p>
  </w:footnote>
  <w:footnote w:id="10">
    <w:p w14:paraId="1195409B" w14:textId="77777777" w:rsidR="00FB6ED7" w:rsidRPr="001E19EF" w:rsidRDefault="00FB6ED7" w:rsidP="00672545">
      <w:pPr>
        <w:pStyle w:val="FootnoteText"/>
      </w:pPr>
      <w:r>
        <w:rPr>
          <w:rStyle w:val="FootnoteReference"/>
        </w:rPr>
        <w:footnoteRef/>
      </w:r>
      <w:r>
        <w:t xml:space="preserve"> </w:t>
      </w:r>
      <w:r>
        <w:tab/>
        <w:t xml:space="preserve">Defendant did not object to the instruction on this </w:t>
      </w:r>
      <w:proofErr w:type="gramStart"/>
      <w:r>
        <w:t>ground, but</w:t>
      </w:r>
      <w:proofErr w:type="gramEnd"/>
      <w:r>
        <w:t xml:space="preserve"> raises the claim on appeal relying on section 1259, which provides instructional errors are reviewable “if the substantial rights of the defendant were affected thereby.”  (§ 1259; </w:t>
      </w:r>
      <w:r w:rsidRPr="001E19EF">
        <w:rPr>
          <w:i/>
        </w:rPr>
        <w:t>People v. Prieto</w:t>
      </w:r>
      <w:r>
        <w:t xml:space="preserve"> (2003) 30 Cal.4th 226, 247.)  The People do not challenge the applicability of section 1259.  But</w:t>
      </w:r>
      <w:r>
        <w:rPr>
          <w:szCs w:val="26"/>
        </w:rPr>
        <w:t xml:space="preserve"> we have previously recognized </w:t>
      </w:r>
      <w:r>
        <w:t>that “it is more appropriate to permit defendants to determine whether to request the instruction than to require the trial judge to give it in every case” because dog tracking evidence can be either inculpatory or exculpatory.  (</w:t>
      </w:r>
      <w:r>
        <w:rPr>
          <w:i/>
        </w:rPr>
        <w:t>People v. Diaz</w:t>
      </w:r>
      <w:r>
        <w:t xml:space="preserve"> (2015) 60 Cal.4th 1176, 1192 (</w:t>
      </w:r>
      <w:r w:rsidRPr="00AF04CF">
        <w:rPr>
          <w:i/>
        </w:rPr>
        <w:t>Diaz</w:t>
      </w:r>
      <w:r>
        <w:t>).)</w:t>
      </w:r>
    </w:p>
  </w:footnote>
  <w:footnote w:id="11">
    <w:p w14:paraId="25DC2505" w14:textId="77777777" w:rsidR="00FB6ED7" w:rsidRDefault="00FB6ED7" w:rsidP="00672545">
      <w:pPr>
        <w:pStyle w:val="FootnoteText"/>
      </w:pPr>
      <w:r>
        <w:rPr>
          <w:rStyle w:val="FootnoteReference"/>
        </w:rPr>
        <w:footnoteRef/>
      </w:r>
      <w:r>
        <w:t xml:space="preserve"> </w:t>
      </w:r>
      <w:r>
        <w:tab/>
        <w:t xml:space="preserve">Defendant fails to persuade us that the foundational requirements are so easy to satisfy in this “age of the credential and the certification” that they do not provide an adequate measure of reliability.  The fact that a dog and its handler have been certified by a credentialed organization specializing in canine search and rescue is only one of many circumstances that a trial court may considered in determining whether the foundational requirements for admissibility of proffered dog-scent evidence have been met.  If the evidence is allowed, it is only one of many circumstances that may be considered by the jury in deciding the weight to give the evidence.  </w:t>
      </w:r>
    </w:p>
  </w:footnote>
  <w:footnote w:id="12">
    <w:p w14:paraId="0984F8D3" w14:textId="77777777" w:rsidR="00FB6ED7" w:rsidRDefault="00FB6ED7" w:rsidP="00672545">
      <w:pPr>
        <w:pStyle w:val="FootnoteText"/>
        <w:keepNext/>
        <w:keepLines/>
      </w:pPr>
      <w:r>
        <w:rPr>
          <w:rStyle w:val="FootnoteReference"/>
        </w:rPr>
        <w:footnoteRef/>
      </w:r>
      <w:r>
        <w:t xml:space="preserve"> </w:t>
      </w:r>
      <w:r>
        <w:tab/>
        <w:t xml:space="preserve">Subsequent to defendant’s trial, we have expressly confirmed that a </w:t>
      </w:r>
      <w:r>
        <w:rPr>
          <w:szCs w:val="26"/>
        </w:rPr>
        <w:t xml:space="preserve">defendant is entitled to instructions on the elements of alleged other factor (b) crimes on </w:t>
      </w:r>
      <w:proofErr w:type="gramStart"/>
      <w:r>
        <w:rPr>
          <w:szCs w:val="26"/>
        </w:rPr>
        <w:t>request, but</w:t>
      </w:r>
      <w:proofErr w:type="gramEnd"/>
      <w:r>
        <w:rPr>
          <w:szCs w:val="26"/>
        </w:rPr>
        <w:t xml:space="preserve"> may make a tactical choice to forego them.  (</w:t>
      </w:r>
      <w:r>
        <w:rPr>
          <w:i/>
          <w:szCs w:val="26"/>
        </w:rPr>
        <w:t xml:space="preserve">People v. Brown </w:t>
      </w:r>
      <w:r>
        <w:rPr>
          <w:szCs w:val="26"/>
        </w:rPr>
        <w:t>(2003) 31 Cal.4</w:t>
      </w:r>
      <w:r w:rsidRPr="00A230E1">
        <w:rPr>
          <w:szCs w:val="26"/>
        </w:rPr>
        <w:t>th</w:t>
      </w:r>
      <w:r>
        <w:rPr>
          <w:szCs w:val="26"/>
        </w:rPr>
        <w:t xml:space="preserve"> 518, 571.)  </w:t>
      </w:r>
    </w:p>
  </w:footnote>
  <w:footnote w:id="13">
    <w:p w14:paraId="4D4A7F7B" w14:textId="77777777" w:rsidR="00FB6ED7" w:rsidRDefault="00FB6ED7" w:rsidP="00672545">
      <w:pPr>
        <w:pStyle w:val="FootnoteText"/>
      </w:pPr>
      <w:r>
        <w:rPr>
          <w:rStyle w:val="FootnoteReference"/>
        </w:rPr>
        <w:footnoteRef/>
      </w:r>
      <w:r>
        <w:t xml:space="preserve"> </w:t>
      </w:r>
      <w:r>
        <w:tab/>
        <w:t xml:space="preserve">The full version of CALJIC No. 8.87 given to the jury stated that: “Evidence has been introduced </w:t>
      </w:r>
      <w:proofErr w:type="gramStart"/>
      <w:r>
        <w:t>for the purpose of</w:t>
      </w:r>
      <w:proofErr w:type="gramEnd"/>
      <w:r>
        <w:t xml:space="preserve"> showing that the defendant has committed the following criminal acts:  battery and/or lewd act with a child under fourteen years, which involved the express or implied use of force or violence.  Before a juror may consider any of such criminal acts as an aggravating circumstance in this case, a juror must first be satisfied beyond a reasonable doubt that the defendant did in fact commit the criminal acts.  A juror may not consider any evidence of any other criminal acts as an aggravating circumstance.  [</w:t>
      </w:r>
      <w:proofErr w:type="gramStart"/>
      <w:r>
        <w:t>¶]  It</w:t>
      </w:r>
      <w:proofErr w:type="gramEnd"/>
      <w:r>
        <w:t xml:space="preserve"> is not necessary for all jurors to agree.  If any juror is convinced beyond a reasonable doubt that the criminal activity occurred, that juror may consider that activity as a fact in aggravation.  If a juror is not so convinced, that juror must not consider that evidence for any purpose.”  </w:t>
      </w:r>
    </w:p>
  </w:footnote>
  <w:footnote w:id="14">
    <w:p w14:paraId="3E0980CD" w14:textId="77777777" w:rsidR="00FB6ED7" w:rsidRDefault="00FB6ED7" w:rsidP="00672545">
      <w:pPr>
        <w:pStyle w:val="FootnoteText"/>
      </w:pPr>
      <w:r>
        <w:rPr>
          <w:rStyle w:val="FootnoteReference"/>
        </w:rPr>
        <w:footnoteRef/>
      </w:r>
      <w:r>
        <w:t xml:space="preserve"> </w:t>
      </w:r>
      <w:r>
        <w:tab/>
        <w:t>During his penalty phase closing argument, the prosecutor referred to all three convictions — the child pornography, the kidnapping, and the murder — as coming within the crimes covered by factor (a).  The trial court overruled defendant’s objection that this misstated the law.  Defendant on appeal claims that the prosecutor’s comment was a form of prosecutorial misconduct because it misrepresented the scope of factor (a).  We disagree.  At the time of defendant’s trial, our cases generally construed factor (a) to cover all crimes alleged as part of the capital proceeding.  (</w:t>
      </w:r>
      <w:r>
        <w:rPr>
          <w:i/>
          <w:szCs w:val="26"/>
        </w:rPr>
        <w:t>People v. Sanchez, supra</w:t>
      </w:r>
      <w:r>
        <w:rPr>
          <w:szCs w:val="26"/>
        </w:rPr>
        <w:t>, 12 Cal.4</w:t>
      </w:r>
      <w:r w:rsidRPr="00A230E1">
        <w:rPr>
          <w:szCs w:val="26"/>
        </w:rPr>
        <w:t>th</w:t>
      </w:r>
      <w:r>
        <w:rPr>
          <w:szCs w:val="26"/>
        </w:rPr>
        <w:t xml:space="preserve"> at p. 70.)  Moreover, even if it were otherwise, there is no reasonable possibility that the prosecutor’s brief mention of the child pornography conviction prejudiced defendant given that the evidence underlying the charge could be considered as motive evidence relevant to the kidnapping and murder convictions.  (</w:t>
      </w:r>
      <w:r>
        <w:rPr>
          <w:i/>
          <w:szCs w:val="26"/>
        </w:rPr>
        <w:t>People v. Thomas, supra</w:t>
      </w:r>
      <w:r>
        <w:rPr>
          <w:szCs w:val="26"/>
        </w:rPr>
        <w:t>, 53 Cal.4</w:t>
      </w:r>
      <w:r w:rsidRPr="00A230E1">
        <w:rPr>
          <w:szCs w:val="26"/>
        </w:rPr>
        <w:t>th</w:t>
      </w:r>
      <w:r>
        <w:rPr>
          <w:szCs w:val="26"/>
        </w:rPr>
        <w:t xml:space="preserve"> at p. 821.)</w:t>
      </w:r>
    </w:p>
  </w:footnote>
  <w:footnote w:id="15">
    <w:p w14:paraId="07541E52" w14:textId="64F3447F" w:rsidR="00FB6ED7" w:rsidRDefault="00FB6ED7" w:rsidP="001314C1">
      <w:pPr>
        <w:pStyle w:val="FootnoteText"/>
      </w:pPr>
      <w:bookmarkStart w:id="43" w:name="_Hlk536602498"/>
      <w:bookmarkStart w:id="44" w:name="_Hlk536602499"/>
      <w:r>
        <w:rPr>
          <w:rStyle w:val="FootnoteReference"/>
        </w:rPr>
        <w:t>*</w:t>
      </w:r>
      <w:r>
        <w:t xml:space="preserve"> </w:t>
      </w:r>
      <w:r>
        <w:tab/>
        <w:t>Associate Justice of the Court of Appeal, Fourth Appellate District, Division Two, assigned by the Chief Justice pursuant to article VI, section 6 of the California Constitution.</w:t>
      </w:r>
    </w:p>
    <w:bookmarkEnd w:id="43"/>
    <w:bookmarkEnd w:id="44"/>
    <w:p w14:paraId="133A6D1F" w14:textId="11D051FB" w:rsidR="00FB6ED7" w:rsidRDefault="00FB6E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2B46D" w14:textId="77777777" w:rsidR="00FB6ED7" w:rsidRDefault="00FB6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40B5" w14:textId="77777777" w:rsidR="00FB6ED7" w:rsidRDefault="00FB6ED7">
    <w:pPr>
      <w:pStyle w:val="Header"/>
    </w:pPr>
    <w:r>
      <w:t>PEOPLE v. WESTERFIELD</w:t>
    </w:r>
  </w:p>
  <w:p w14:paraId="68F93A31" w14:textId="77777777" w:rsidR="00FB6ED7" w:rsidRDefault="00FB6ED7">
    <w:pPr>
      <w:pStyle w:val="Header"/>
    </w:pPr>
    <w:r>
      <w:t>Opinion of the Court by Cantil-Sakauye, C. J.</w:t>
    </w:r>
  </w:p>
  <w:p w14:paraId="3C3A4CDB" w14:textId="77777777" w:rsidR="00FB6ED7" w:rsidRDefault="00FB6E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C8D47" w14:textId="77777777" w:rsidR="00FB6ED7" w:rsidRDefault="00FB6E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B2A4" w14:textId="77777777" w:rsidR="00FB6ED7" w:rsidRDefault="00FB6E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B9A21" w14:textId="77777777" w:rsidR="00FB6ED7" w:rsidRDefault="00FB6E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A51E1" w14:textId="77777777" w:rsidR="00FB6ED7" w:rsidRDefault="00FB6E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48F9"/>
    <w:multiLevelType w:val="hybridMultilevel"/>
    <w:tmpl w:val="2034D8C6"/>
    <w:lvl w:ilvl="0" w:tplc="9886DC2C">
      <w:start w:val="1"/>
      <w:numFmt w:val="lowerLetter"/>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10"/>
  <w:removePersonalInformation/>
  <w:removeDateAndTime/>
  <w:printFractionalCharacterWidth/>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ITRUS_DOC_GUID" w:val="159c69ab-6d5a-44ed-8fa2-38cc7da58c03"/>
  </w:docVars>
  <w:rsids>
    <w:rsidRoot w:val="00967B15"/>
    <w:rsid w:val="0000027F"/>
    <w:rsid w:val="00000DB8"/>
    <w:rsid w:val="00000F69"/>
    <w:rsid w:val="000011DD"/>
    <w:rsid w:val="00001B4F"/>
    <w:rsid w:val="00002425"/>
    <w:rsid w:val="000024D5"/>
    <w:rsid w:val="00002745"/>
    <w:rsid w:val="000028B9"/>
    <w:rsid w:val="00002C75"/>
    <w:rsid w:val="0000505A"/>
    <w:rsid w:val="00005141"/>
    <w:rsid w:val="00005C1A"/>
    <w:rsid w:val="000069E1"/>
    <w:rsid w:val="00006B84"/>
    <w:rsid w:val="00007161"/>
    <w:rsid w:val="0001000D"/>
    <w:rsid w:val="0001074C"/>
    <w:rsid w:val="00010BDB"/>
    <w:rsid w:val="00010C09"/>
    <w:rsid w:val="00011332"/>
    <w:rsid w:val="000119F2"/>
    <w:rsid w:val="00011DA9"/>
    <w:rsid w:val="00011E02"/>
    <w:rsid w:val="00011F81"/>
    <w:rsid w:val="0001206E"/>
    <w:rsid w:val="00013046"/>
    <w:rsid w:val="00013359"/>
    <w:rsid w:val="000136CD"/>
    <w:rsid w:val="00013773"/>
    <w:rsid w:val="000142E9"/>
    <w:rsid w:val="00016886"/>
    <w:rsid w:val="00016D43"/>
    <w:rsid w:val="00016F7D"/>
    <w:rsid w:val="00020443"/>
    <w:rsid w:val="000206B6"/>
    <w:rsid w:val="0002120A"/>
    <w:rsid w:val="000213B0"/>
    <w:rsid w:val="0002164F"/>
    <w:rsid w:val="00022235"/>
    <w:rsid w:val="0002241F"/>
    <w:rsid w:val="000227BC"/>
    <w:rsid w:val="000227CB"/>
    <w:rsid w:val="0002327B"/>
    <w:rsid w:val="000233BB"/>
    <w:rsid w:val="00023E08"/>
    <w:rsid w:val="00024769"/>
    <w:rsid w:val="00025789"/>
    <w:rsid w:val="00026BD6"/>
    <w:rsid w:val="0002729E"/>
    <w:rsid w:val="000272A3"/>
    <w:rsid w:val="0002744C"/>
    <w:rsid w:val="000278AD"/>
    <w:rsid w:val="00027E56"/>
    <w:rsid w:val="00030264"/>
    <w:rsid w:val="00031121"/>
    <w:rsid w:val="00032586"/>
    <w:rsid w:val="00032944"/>
    <w:rsid w:val="000331F1"/>
    <w:rsid w:val="00033DE9"/>
    <w:rsid w:val="00033FD6"/>
    <w:rsid w:val="000342DD"/>
    <w:rsid w:val="00035B37"/>
    <w:rsid w:val="000360FE"/>
    <w:rsid w:val="00037ACB"/>
    <w:rsid w:val="00037D6E"/>
    <w:rsid w:val="000404ED"/>
    <w:rsid w:val="00040E1B"/>
    <w:rsid w:val="00041013"/>
    <w:rsid w:val="0004113D"/>
    <w:rsid w:val="000420DC"/>
    <w:rsid w:val="0004403D"/>
    <w:rsid w:val="00044F79"/>
    <w:rsid w:val="0004508B"/>
    <w:rsid w:val="00045DBE"/>
    <w:rsid w:val="00045DF5"/>
    <w:rsid w:val="000460A4"/>
    <w:rsid w:val="00046258"/>
    <w:rsid w:val="000467A5"/>
    <w:rsid w:val="00046A42"/>
    <w:rsid w:val="0004739D"/>
    <w:rsid w:val="00047955"/>
    <w:rsid w:val="00050EFA"/>
    <w:rsid w:val="0005112C"/>
    <w:rsid w:val="000515C4"/>
    <w:rsid w:val="00052550"/>
    <w:rsid w:val="0005288E"/>
    <w:rsid w:val="00052AFA"/>
    <w:rsid w:val="0005352F"/>
    <w:rsid w:val="00053837"/>
    <w:rsid w:val="000543C7"/>
    <w:rsid w:val="00054931"/>
    <w:rsid w:val="000550FE"/>
    <w:rsid w:val="00055456"/>
    <w:rsid w:val="00055AA7"/>
    <w:rsid w:val="0005640A"/>
    <w:rsid w:val="00056488"/>
    <w:rsid w:val="00056A42"/>
    <w:rsid w:val="00056B52"/>
    <w:rsid w:val="00056C9F"/>
    <w:rsid w:val="0005735C"/>
    <w:rsid w:val="000574C9"/>
    <w:rsid w:val="000575E1"/>
    <w:rsid w:val="00060A0B"/>
    <w:rsid w:val="00060E3A"/>
    <w:rsid w:val="00061160"/>
    <w:rsid w:val="0006159E"/>
    <w:rsid w:val="000616D9"/>
    <w:rsid w:val="00061E55"/>
    <w:rsid w:val="00061ED9"/>
    <w:rsid w:val="00062BFB"/>
    <w:rsid w:val="00064C77"/>
    <w:rsid w:val="0006521B"/>
    <w:rsid w:val="00065444"/>
    <w:rsid w:val="00066A7F"/>
    <w:rsid w:val="00066DE5"/>
    <w:rsid w:val="00067044"/>
    <w:rsid w:val="00067122"/>
    <w:rsid w:val="00067990"/>
    <w:rsid w:val="00067A21"/>
    <w:rsid w:val="00070238"/>
    <w:rsid w:val="000707BD"/>
    <w:rsid w:val="00071C23"/>
    <w:rsid w:val="0007203C"/>
    <w:rsid w:val="0007246C"/>
    <w:rsid w:val="000726DA"/>
    <w:rsid w:val="000730A4"/>
    <w:rsid w:val="00073D5C"/>
    <w:rsid w:val="00074C66"/>
    <w:rsid w:val="00075443"/>
    <w:rsid w:val="0007598E"/>
    <w:rsid w:val="000766E4"/>
    <w:rsid w:val="00076C18"/>
    <w:rsid w:val="000771C4"/>
    <w:rsid w:val="00077809"/>
    <w:rsid w:val="00077E6E"/>
    <w:rsid w:val="00077E90"/>
    <w:rsid w:val="00077F42"/>
    <w:rsid w:val="000805E7"/>
    <w:rsid w:val="00081863"/>
    <w:rsid w:val="000818AA"/>
    <w:rsid w:val="000818B0"/>
    <w:rsid w:val="0008200D"/>
    <w:rsid w:val="00082710"/>
    <w:rsid w:val="00082894"/>
    <w:rsid w:val="00083AE1"/>
    <w:rsid w:val="00084BD0"/>
    <w:rsid w:val="00085029"/>
    <w:rsid w:val="000853BF"/>
    <w:rsid w:val="000854F1"/>
    <w:rsid w:val="0008561E"/>
    <w:rsid w:val="0008587E"/>
    <w:rsid w:val="00087086"/>
    <w:rsid w:val="00091DD4"/>
    <w:rsid w:val="000929D0"/>
    <w:rsid w:val="00092CD6"/>
    <w:rsid w:val="00093331"/>
    <w:rsid w:val="000935B2"/>
    <w:rsid w:val="00094D0C"/>
    <w:rsid w:val="00094E1F"/>
    <w:rsid w:val="0009515A"/>
    <w:rsid w:val="0009533E"/>
    <w:rsid w:val="000954D8"/>
    <w:rsid w:val="00095F4B"/>
    <w:rsid w:val="00095FAA"/>
    <w:rsid w:val="000961CC"/>
    <w:rsid w:val="00097037"/>
    <w:rsid w:val="00097E0B"/>
    <w:rsid w:val="000A053E"/>
    <w:rsid w:val="000A2A82"/>
    <w:rsid w:val="000A2BF1"/>
    <w:rsid w:val="000A312C"/>
    <w:rsid w:val="000A3B92"/>
    <w:rsid w:val="000A413D"/>
    <w:rsid w:val="000A449B"/>
    <w:rsid w:val="000A4E96"/>
    <w:rsid w:val="000A510F"/>
    <w:rsid w:val="000A615D"/>
    <w:rsid w:val="000A7367"/>
    <w:rsid w:val="000A78F1"/>
    <w:rsid w:val="000B0AD0"/>
    <w:rsid w:val="000B0C32"/>
    <w:rsid w:val="000B10EF"/>
    <w:rsid w:val="000B2013"/>
    <w:rsid w:val="000B2856"/>
    <w:rsid w:val="000B2FC5"/>
    <w:rsid w:val="000B368E"/>
    <w:rsid w:val="000B3858"/>
    <w:rsid w:val="000B3B40"/>
    <w:rsid w:val="000B3CD2"/>
    <w:rsid w:val="000B4099"/>
    <w:rsid w:val="000B43D4"/>
    <w:rsid w:val="000B4BCA"/>
    <w:rsid w:val="000B5128"/>
    <w:rsid w:val="000B5BCD"/>
    <w:rsid w:val="000B65E3"/>
    <w:rsid w:val="000B6AF7"/>
    <w:rsid w:val="000B7708"/>
    <w:rsid w:val="000B77BB"/>
    <w:rsid w:val="000C00A6"/>
    <w:rsid w:val="000C0B4D"/>
    <w:rsid w:val="000C1535"/>
    <w:rsid w:val="000C2213"/>
    <w:rsid w:val="000C234A"/>
    <w:rsid w:val="000C236C"/>
    <w:rsid w:val="000C2A62"/>
    <w:rsid w:val="000C2A8E"/>
    <w:rsid w:val="000C2BD3"/>
    <w:rsid w:val="000C320D"/>
    <w:rsid w:val="000C322A"/>
    <w:rsid w:val="000C3532"/>
    <w:rsid w:val="000C3EF5"/>
    <w:rsid w:val="000C4325"/>
    <w:rsid w:val="000C434E"/>
    <w:rsid w:val="000C4431"/>
    <w:rsid w:val="000C46B8"/>
    <w:rsid w:val="000C46D9"/>
    <w:rsid w:val="000C47CC"/>
    <w:rsid w:val="000C48A6"/>
    <w:rsid w:val="000C4AAA"/>
    <w:rsid w:val="000C4B3C"/>
    <w:rsid w:val="000C4CD8"/>
    <w:rsid w:val="000C4D87"/>
    <w:rsid w:val="000C5AFA"/>
    <w:rsid w:val="000C5C33"/>
    <w:rsid w:val="000C6357"/>
    <w:rsid w:val="000C6D4E"/>
    <w:rsid w:val="000C7083"/>
    <w:rsid w:val="000C71E3"/>
    <w:rsid w:val="000C773B"/>
    <w:rsid w:val="000C7D89"/>
    <w:rsid w:val="000D02BB"/>
    <w:rsid w:val="000D095F"/>
    <w:rsid w:val="000D1C4B"/>
    <w:rsid w:val="000D3C6B"/>
    <w:rsid w:val="000D4A5A"/>
    <w:rsid w:val="000D5235"/>
    <w:rsid w:val="000D5438"/>
    <w:rsid w:val="000D55A0"/>
    <w:rsid w:val="000D5B09"/>
    <w:rsid w:val="000D5BD2"/>
    <w:rsid w:val="000D5E9A"/>
    <w:rsid w:val="000D619C"/>
    <w:rsid w:val="000D6507"/>
    <w:rsid w:val="000D65DA"/>
    <w:rsid w:val="000D672F"/>
    <w:rsid w:val="000D706C"/>
    <w:rsid w:val="000D74CF"/>
    <w:rsid w:val="000E045F"/>
    <w:rsid w:val="000E05A1"/>
    <w:rsid w:val="000E0FB7"/>
    <w:rsid w:val="000E1034"/>
    <w:rsid w:val="000E1088"/>
    <w:rsid w:val="000E2000"/>
    <w:rsid w:val="000E2274"/>
    <w:rsid w:val="000E26FE"/>
    <w:rsid w:val="000E270E"/>
    <w:rsid w:val="000E272B"/>
    <w:rsid w:val="000E28CF"/>
    <w:rsid w:val="000E2D95"/>
    <w:rsid w:val="000E3D05"/>
    <w:rsid w:val="000E4038"/>
    <w:rsid w:val="000E4238"/>
    <w:rsid w:val="000E5191"/>
    <w:rsid w:val="000E5356"/>
    <w:rsid w:val="000E56B9"/>
    <w:rsid w:val="000E5B45"/>
    <w:rsid w:val="000E6582"/>
    <w:rsid w:val="000E6A8A"/>
    <w:rsid w:val="000E726E"/>
    <w:rsid w:val="000E791F"/>
    <w:rsid w:val="000F006E"/>
    <w:rsid w:val="000F0917"/>
    <w:rsid w:val="000F0D59"/>
    <w:rsid w:val="000F12CC"/>
    <w:rsid w:val="000F2C39"/>
    <w:rsid w:val="000F30C7"/>
    <w:rsid w:val="000F3E58"/>
    <w:rsid w:val="000F4789"/>
    <w:rsid w:val="000F4D4E"/>
    <w:rsid w:val="000F503C"/>
    <w:rsid w:val="000F562B"/>
    <w:rsid w:val="000F5960"/>
    <w:rsid w:val="000F5DD7"/>
    <w:rsid w:val="000F5E19"/>
    <w:rsid w:val="000F617A"/>
    <w:rsid w:val="000F699F"/>
    <w:rsid w:val="000F6A33"/>
    <w:rsid w:val="000F7235"/>
    <w:rsid w:val="00100E2F"/>
    <w:rsid w:val="00101A19"/>
    <w:rsid w:val="00101F08"/>
    <w:rsid w:val="00102223"/>
    <w:rsid w:val="0010223E"/>
    <w:rsid w:val="00102483"/>
    <w:rsid w:val="00102D81"/>
    <w:rsid w:val="0010366E"/>
    <w:rsid w:val="0010416D"/>
    <w:rsid w:val="00105A3A"/>
    <w:rsid w:val="00105BE6"/>
    <w:rsid w:val="0010650F"/>
    <w:rsid w:val="00106A7D"/>
    <w:rsid w:val="00107144"/>
    <w:rsid w:val="00107995"/>
    <w:rsid w:val="00110413"/>
    <w:rsid w:val="001109EC"/>
    <w:rsid w:val="00110F10"/>
    <w:rsid w:val="00111047"/>
    <w:rsid w:val="0011205D"/>
    <w:rsid w:val="0011222A"/>
    <w:rsid w:val="001125B7"/>
    <w:rsid w:val="001128FF"/>
    <w:rsid w:val="00113095"/>
    <w:rsid w:val="00113F7D"/>
    <w:rsid w:val="00113FF0"/>
    <w:rsid w:val="00114BE6"/>
    <w:rsid w:val="0011504A"/>
    <w:rsid w:val="001162AC"/>
    <w:rsid w:val="00116417"/>
    <w:rsid w:val="001174B5"/>
    <w:rsid w:val="00117AFA"/>
    <w:rsid w:val="001200D2"/>
    <w:rsid w:val="00120949"/>
    <w:rsid w:val="0012191B"/>
    <w:rsid w:val="00121A23"/>
    <w:rsid w:val="00122109"/>
    <w:rsid w:val="0012249B"/>
    <w:rsid w:val="00122CA0"/>
    <w:rsid w:val="00122D1A"/>
    <w:rsid w:val="00123067"/>
    <w:rsid w:val="0012364C"/>
    <w:rsid w:val="00123E01"/>
    <w:rsid w:val="00124BD0"/>
    <w:rsid w:val="00124C8C"/>
    <w:rsid w:val="001250BB"/>
    <w:rsid w:val="001252E1"/>
    <w:rsid w:val="0012568F"/>
    <w:rsid w:val="001266A7"/>
    <w:rsid w:val="001266C1"/>
    <w:rsid w:val="0012683A"/>
    <w:rsid w:val="00126941"/>
    <w:rsid w:val="00127925"/>
    <w:rsid w:val="001303EE"/>
    <w:rsid w:val="001308EE"/>
    <w:rsid w:val="00130BC1"/>
    <w:rsid w:val="00130C63"/>
    <w:rsid w:val="00131397"/>
    <w:rsid w:val="001314C1"/>
    <w:rsid w:val="00131748"/>
    <w:rsid w:val="00132F06"/>
    <w:rsid w:val="00133A06"/>
    <w:rsid w:val="00134B91"/>
    <w:rsid w:val="00134DA4"/>
    <w:rsid w:val="0013500F"/>
    <w:rsid w:val="001351D4"/>
    <w:rsid w:val="001363DA"/>
    <w:rsid w:val="001368A0"/>
    <w:rsid w:val="00136A0B"/>
    <w:rsid w:val="00136BCE"/>
    <w:rsid w:val="001376C9"/>
    <w:rsid w:val="0014030C"/>
    <w:rsid w:val="00141EF7"/>
    <w:rsid w:val="00141F03"/>
    <w:rsid w:val="00142847"/>
    <w:rsid w:val="001428E5"/>
    <w:rsid w:val="00142D55"/>
    <w:rsid w:val="00142E3F"/>
    <w:rsid w:val="0014376B"/>
    <w:rsid w:val="0014518F"/>
    <w:rsid w:val="00145939"/>
    <w:rsid w:val="00145980"/>
    <w:rsid w:val="001468F6"/>
    <w:rsid w:val="00146AD3"/>
    <w:rsid w:val="001470C4"/>
    <w:rsid w:val="001470F1"/>
    <w:rsid w:val="00147314"/>
    <w:rsid w:val="00150066"/>
    <w:rsid w:val="001513F4"/>
    <w:rsid w:val="001524B9"/>
    <w:rsid w:val="0015265F"/>
    <w:rsid w:val="00152819"/>
    <w:rsid w:val="0015398D"/>
    <w:rsid w:val="00153A0F"/>
    <w:rsid w:val="00154DE7"/>
    <w:rsid w:val="00155CAD"/>
    <w:rsid w:val="00156344"/>
    <w:rsid w:val="0015742E"/>
    <w:rsid w:val="0016097F"/>
    <w:rsid w:val="00160998"/>
    <w:rsid w:val="0016178E"/>
    <w:rsid w:val="001620A7"/>
    <w:rsid w:val="001622EF"/>
    <w:rsid w:val="00162D63"/>
    <w:rsid w:val="00163104"/>
    <w:rsid w:val="00163722"/>
    <w:rsid w:val="00163839"/>
    <w:rsid w:val="001646C6"/>
    <w:rsid w:val="00164EAE"/>
    <w:rsid w:val="00165074"/>
    <w:rsid w:val="001651D3"/>
    <w:rsid w:val="00165272"/>
    <w:rsid w:val="001660EB"/>
    <w:rsid w:val="001661A6"/>
    <w:rsid w:val="00167289"/>
    <w:rsid w:val="0016793E"/>
    <w:rsid w:val="0017013D"/>
    <w:rsid w:val="00170985"/>
    <w:rsid w:val="00170DD3"/>
    <w:rsid w:val="0017149D"/>
    <w:rsid w:val="00172236"/>
    <w:rsid w:val="0017224E"/>
    <w:rsid w:val="00172BEE"/>
    <w:rsid w:val="0017314F"/>
    <w:rsid w:val="00173DEB"/>
    <w:rsid w:val="00173F76"/>
    <w:rsid w:val="00174BDF"/>
    <w:rsid w:val="00174C7A"/>
    <w:rsid w:val="00174D60"/>
    <w:rsid w:val="001753B2"/>
    <w:rsid w:val="00175BD3"/>
    <w:rsid w:val="00175FD8"/>
    <w:rsid w:val="00177733"/>
    <w:rsid w:val="00177ABE"/>
    <w:rsid w:val="00177B26"/>
    <w:rsid w:val="001810EF"/>
    <w:rsid w:val="001815A4"/>
    <w:rsid w:val="001820F4"/>
    <w:rsid w:val="00182282"/>
    <w:rsid w:val="00182DAE"/>
    <w:rsid w:val="00182F80"/>
    <w:rsid w:val="0018398B"/>
    <w:rsid w:val="00183CCD"/>
    <w:rsid w:val="00183ED0"/>
    <w:rsid w:val="0018443A"/>
    <w:rsid w:val="001846CD"/>
    <w:rsid w:val="001848FA"/>
    <w:rsid w:val="00184C2B"/>
    <w:rsid w:val="00184CF2"/>
    <w:rsid w:val="00184D74"/>
    <w:rsid w:val="001862F4"/>
    <w:rsid w:val="00186355"/>
    <w:rsid w:val="00186777"/>
    <w:rsid w:val="00186A13"/>
    <w:rsid w:val="00186A7B"/>
    <w:rsid w:val="0018771B"/>
    <w:rsid w:val="00191B48"/>
    <w:rsid w:val="00191BC2"/>
    <w:rsid w:val="00191E02"/>
    <w:rsid w:val="00191FDE"/>
    <w:rsid w:val="001925DF"/>
    <w:rsid w:val="001929C6"/>
    <w:rsid w:val="00192A43"/>
    <w:rsid w:val="00193BF4"/>
    <w:rsid w:val="00194459"/>
    <w:rsid w:val="001949D7"/>
    <w:rsid w:val="0019549A"/>
    <w:rsid w:val="00195C9A"/>
    <w:rsid w:val="00196D5F"/>
    <w:rsid w:val="0019700B"/>
    <w:rsid w:val="00197741"/>
    <w:rsid w:val="001A0017"/>
    <w:rsid w:val="001A0072"/>
    <w:rsid w:val="001A03D0"/>
    <w:rsid w:val="001A0F74"/>
    <w:rsid w:val="001A1E74"/>
    <w:rsid w:val="001A266E"/>
    <w:rsid w:val="001A29C9"/>
    <w:rsid w:val="001A2A6E"/>
    <w:rsid w:val="001A4F53"/>
    <w:rsid w:val="001A4FD3"/>
    <w:rsid w:val="001A5226"/>
    <w:rsid w:val="001A55DC"/>
    <w:rsid w:val="001A58EE"/>
    <w:rsid w:val="001A77D7"/>
    <w:rsid w:val="001A7907"/>
    <w:rsid w:val="001A7E26"/>
    <w:rsid w:val="001B144D"/>
    <w:rsid w:val="001B1457"/>
    <w:rsid w:val="001B1829"/>
    <w:rsid w:val="001B1FB1"/>
    <w:rsid w:val="001B225C"/>
    <w:rsid w:val="001B263B"/>
    <w:rsid w:val="001B2873"/>
    <w:rsid w:val="001B3A83"/>
    <w:rsid w:val="001B4152"/>
    <w:rsid w:val="001B445D"/>
    <w:rsid w:val="001B4C07"/>
    <w:rsid w:val="001B52AE"/>
    <w:rsid w:val="001B578B"/>
    <w:rsid w:val="001B5E9C"/>
    <w:rsid w:val="001B6422"/>
    <w:rsid w:val="001B65D2"/>
    <w:rsid w:val="001B6642"/>
    <w:rsid w:val="001B70DF"/>
    <w:rsid w:val="001B71D4"/>
    <w:rsid w:val="001B7761"/>
    <w:rsid w:val="001B7A90"/>
    <w:rsid w:val="001B7FF0"/>
    <w:rsid w:val="001C02C5"/>
    <w:rsid w:val="001C37B0"/>
    <w:rsid w:val="001C4B20"/>
    <w:rsid w:val="001C5E7B"/>
    <w:rsid w:val="001C618D"/>
    <w:rsid w:val="001C62A7"/>
    <w:rsid w:val="001C719D"/>
    <w:rsid w:val="001C7F83"/>
    <w:rsid w:val="001D0456"/>
    <w:rsid w:val="001D130F"/>
    <w:rsid w:val="001D141F"/>
    <w:rsid w:val="001D1428"/>
    <w:rsid w:val="001D1AD1"/>
    <w:rsid w:val="001D216F"/>
    <w:rsid w:val="001D22DA"/>
    <w:rsid w:val="001D3109"/>
    <w:rsid w:val="001D4C4A"/>
    <w:rsid w:val="001D4C91"/>
    <w:rsid w:val="001D59CA"/>
    <w:rsid w:val="001D5A50"/>
    <w:rsid w:val="001D71D2"/>
    <w:rsid w:val="001D7624"/>
    <w:rsid w:val="001D76EF"/>
    <w:rsid w:val="001E0592"/>
    <w:rsid w:val="001E10B8"/>
    <w:rsid w:val="001E140E"/>
    <w:rsid w:val="001E16D7"/>
    <w:rsid w:val="001E19EF"/>
    <w:rsid w:val="001E1E4F"/>
    <w:rsid w:val="001E2603"/>
    <w:rsid w:val="001E2C03"/>
    <w:rsid w:val="001E2EF6"/>
    <w:rsid w:val="001E521D"/>
    <w:rsid w:val="001E58DA"/>
    <w:rsid w:val="001E66B6"/>
    <w:rsid w:val="001E6A92"/>
    <w:rsid w:val="001E70B4"/>
    <w:rsid w:val="001E73E5"/>
    <w:rsid w:val="001E7634"/>
    <w:rsid w:val="001F12C5"/>
    <w:rsid w:val="001F131F"/>
    <w:rsid w:val="001F1428"/>
    <w:rsid w:val="001F1B49"/>
    <w:rsid w:val="001F1F79"/>
    <w:rsid w:val="001F2452"/>
    <w:rsid w:val="001F2FCB"/>
    <w:rsid w:val="001F38E8"/>
    <w:rsid w:val="001F45D3"/>
    <w:rsid w:val="001F460E"/>
    <w:rsid w:val="001F467F"/>
    <w:rsid w:val="001F5EF2"/>
    <w:rsid w:val="001F68E7"/>
    <w:rsid w:val="001F6B55"/>
    <w:rsid w:val="001F74F9"/>
    <w:rsid w:val="002000F8"/>
    <w:rsid w:val="002015C5"/>
    <w:rsid w:val="00201BD0"/>
    <w:rsid w:val="00201D72"/>
    <w:rsid w:val="002027E3"/>
    <w:rsid w:val="00203096"/>
    <w:rsid w:val="00203199"/>
    <w:rsid w:val="00203255"/>
    <w:rsid w:val="00203F00"/>
    <w:rsid w:val="00203FDA"/>
    <w:rsid w:val="00204095"/>
    <w:rsid w:val="00204434"/>
    <w:rsid w:val="00206911"/>
    <w:rsid w:val="00207094"/>
    <w:rsid w:val="0021076F"/>
    <w:rsid w:val="002116BF"/>
    <w:rsid w:val="00211BAD"/>
    <w:rsid w:val="002126C4"/>
    <w:rsid w:val="00212FA8"/>
    <w:rsid w:val="00213225"/>
    <w:rsid w:val="002132CB"/>
    <w:rsid w:val="00213315"/>
    <w:rsid w:val="002133F9"/>
    <w:rsid w:val="00213B9A"/>
    <w:rsid w:val="00214870"/>
    <w:rsid w:val="00214981"/>
    <w:rsid w:val="00214D72"/>
    <w:rsid w:val="002152BF"/>
    <w:rsid w:val="002156BB"/>
    <w:rsid w:val="0021724D"/>
    <w:rsid w:val="00217D78"/>
    <w:rsid w:val="0022093C"/>
    <w:rsid w:val="00220C65"/>
    <w:rsid w:val="00222799"/>
    <w:rsid w:val="00222E44"/>
    <w:rsid w:val="00222EDB"/>
    <w:rsid w:val="002237D4"/>
    <w:rsid w:val="0022415B"/>
    <w:rsid w:val="00224348"/>
    <w:rsid w:val="00224434"/>
    <w:rsid w:val="00224B5A"/>
    <w:rsid w:val="00224CEA"/>
    <w:rsid w:val="00225052"/>
    <w:rsid w:val="0022567C"/>
    <w:rsid w:val="00227122"/>
    <w:rsid w:val="00230852"/>
    <w:rsid w:val="00232F13"/>
    <w:rsid w:val="002333EF"/>
    <w:rsid w:val="00233613"/>
    <w:rsid w:val="002337FB"/>
    <w:rsid w:val="00233AAE"/>
    <w:rsid w:val="00235084"/>
    <w:rsid w:val="0023518D"/>
    <w:rsid w:val="002352B6"/>
    <w:rsid w:val="00235D2D"/>
    <w:rsid w:val="0023617B"/>
    <w:rsid w:val="002368AF"/>
    <w:rsid w:val="00237741"/>
    <w:rsid w:val="002379D0"/>
    <w:rsid w:val="00237BD2"/>
    <w:rsid w:val="00240C2B"/>
    <w:rsid w:val="00242547"/>
    <w:rsid w:val="00242B2D"/>
    <w:rsid w:val="00242D62"/>
    <w:rsid w:val="002434AC"/>
    <w:rsid w:val="00243515"/>
    <w:rsid w:val="002444B3"/>
    <w:rsid w:val="00244A40"/>
    <w:rsid w:val="00244D72"/>
    <w:rsid w:val="002450BC"/>
    <w:rsid w:val="00245757"/>
    <w:rsid w:val="0024587D"/>
    <w:rsid w:val="00245EA1"/>
    <w:rsid w:val="00246001"/>
    <w:rsid w:val="00246408"/>
    <w:rsid w:val="00246BA3"/>
    <w:rsid w:val="002473C2"/>
    <w:rsid w:val="00250CF3"/>
    <w:rsid w:val="0025189D"/>
    <w:rsid w:val="00251C40"/>
    <w:rsid w:val="00251E98"/>
    <w:rsid w:val="00252B4D"/>
    <w:rsid w:val="0025336F"/>
    <w:rsid w:val="002533D2"/>
    <w:rsid w:val="002535C6"/>
    <w:rsid w:val="00253FB5"/>
    <w:rsid w:val="00254169"/>
    <w:rsid w:val="002548D4"/>
    <w:rsid w:val="00254EE2"/>
    <w:rsid w:val="0025514F"/>
    <w:rsid w:val="002563AA"/>
    <w:rsid w:val="00257314"/>
    <w:rsid w:val="002576CE"/>
    <w:rsid w:val="00257F2A"/>
    <w:rsid w:val="002609B9"/>
    <w:rsid w:val="00260C13"/>
    <w:rsid w:val="00261139"/>
    <w:rsid w:val="00261FEF"/>
    <w:rsid w:val="00262238"/>
    <w:rsid w:val="0026260B"/>
    <w:rsid w:val="00262982"/>
    <w:rsid w:val="00266F77"/>
    <w:rsid w:val="002674B1"/>
    <w:rsid w:val="00267D61"/>
    <w:rsid w:val="0027064F"/>
    <w:rsid w:val="0027153B"/>
    <w:rsid w:val="00271761"/>
    <w:rsid w:val="00271806"/>
    <w:rsid w:val="002726E5"/>
    <w:rsid w:val="00272BC2"/>
    <w:rsid w:val="00272C63"/>
    <w:rsid w:val="00273125"/>
    <w:rsid w:val="00273F09"/>
    <w:rsid w:val="00273FFE"/>
    <w:rsid w:val="002746CB"/>
    <w:rsid w:val="00274910"/>
    <w:rsid w:val="002749B5"/>
    <w:rsid w:val="00274B07"/>
    <w:rsid w:val="00274B3A"/>
    <w:rsid w:val="00275561"/>
    <w:rsid w:val="00275ED1"/>
    <w:rsid w:val="002760F7"/>
    <w:rsid w:val="0027630E"/>
    <w:rsid w:val="00276A28"/>
    <w:rsid w:val="002778DC"/>
    <w:rsid w:val="00277B72"/>
    <w:rsid w:val="00280111"/>
    <w:rsid w:val="002805F1"/>
    <w:rsid w:val="00281E08"/>
    <w:rsid w:val="00281E80"/>
    <w:rsid w:val="002821B2"/>
    <w:rsid w:val="00283398"/>
    <w:rsid w:val="00283797"/>
    <w:rsid w:val="00283F8E"/>
    <w:rsid w:val="00284379"/>
    <w:rsid w:val="002844AB"/>
    <w:rsid w:val="00284915"/>
    <w:rsid w:val="002849AB"/>
    <w:rsid w:val="0028719E"/>
    <w:rsid w:val="0029002B"/>
    <w:rsid w:val="002911A4"/>
    <w:rsid w:val="00294210"/>
    <w:rsid w:val="002945FE"/>
    <w:rsid w:val="0029468E"/>
    <w:rsid w:val="00294F14"/>
    <w:rsid w:val="00295872"/>
    <w:rsid w:val="00295908"/>
    <w:rsid w:val="00295F08"/>
    <w:rsid w:val="002965D7"/>
    <w:rsid w:val="00296931"/>
    <w:rsid w:val="0029751A"/>
    <w:rsid w:val="002A02E1"/>
    <w:rsid w:val="002A1819"/>
    <w:rsid w:val="002A2C42"/>
    <w:rsid w:val="002A3542"/>
    <w:rsid w:val="002A3690"/>
    <w:rsid w:val="002A44A7"/>
    <w:rsid w:val="002A5892"/>
    <w:rsid w:val="002A5DA3"/>
    <w:rsid w:val="002A6829"/>
    <w:rsid w:val="002A6E3F"/>
    <w:rsid w:val="002A7B70"/>
    <w:rsid w:val="002A7B79"/>
    <w:rsid w:val="002A7F3F"/>
    <w:rsid w:val="002B01C0"/>
    <w:rsid w:val="002B0A2B"/>
    <w:rsid w:val="002B2A17"/>
    <w:rsid w:val="002B2DC6"/>
    <w:rsid w:val="002B3CF9"/>
    <w:rsid w:val="002B3DA1"/>
    <w:rsid w:val="002B4475"/>
    <w:rsid w:val="002B46F1"/>
    <w:rsid w:val="002B48CA"/>
    <w:rsid w:val="002B4EDE"/>
    <w:rsid w:val="002B54F4"/>
    <w:rsid w:val="002B5D8E"/>
    <w:rsid w:val="002B61A3"/>
    <w:rsid w:val="002B68DC"/>
    <w:rsid w:val="002B6D01"/>
    <w:rsid w:val="002B70D0"/>
    <w:rsid w:val="002B76B2"/>
    <w:rsid w:val="002B7832"/>
    <w:rsid w:val="002C0F61"/>
    <w:rsid w:val="002C13E0"/>
    <w:rsid w:val="002C205A"/>
    <w:rsid w:val="002C3276"/>
    <w:rsid w:val="002C3FA1"/>
    <w:rsid w:val="002C4284"/>
    <w:rsid w:val="002C46DB"/>
    <w:rsid w:val="002C48CF"/>
    <w:rsid w:val="002C4A63"/>
    <w:rsid w:val="002C6598"/>
    <w:rsid w:val="002D01A3"/>
    <w:rsid w:val="002D051F"/>
    <w:rsid w:val="002D1A49"/>
    <w:rsid w:val="002D23C8"/>
    <w:rsid w:val="002D255E"/>
    <w:rsid w:val="002D2F3C"/>
    <w:rsid w:val="002D319E"/>
    <w:rsid w:val="002D3733"/>
    <w:rsid w:val="002D3C2E"/>
    <w:rsid w:val="002D3D4C"/>
    <w:rsid w:val="002D45EA"/>
    <w:rsid w:val="002D4982"/>
    <w:rsid w:val="002D4AEF"/>
    <w:rsid w:val="002D4C61"/>
    <w:rsid w:val="002D4E48"/>
    <w:rsid w:val="002D5297"/>
    <w:rsid w:val="002D5784"/>
    <w:rsid w:val="002D678E"/>
    <w:rsid w:val="002D6AF0"/>
    <w:rsid w:val="002D7588"/>
    <w:rsid w:val="002E0A9C"/>
    <w:rsid w:val="002E0F38"/>
    <w:rsid w:val="002E14C8"/>
    <w:rsid w:val="002E1522"/>
    <w:rsid w:val="002E2E3C"/>
    <w:rsid w:val="002E30C4"/>
    <w:rsid w:val="002E3817"/>
    <w:rsid w:val="002E3AD8"/>
    <w:rsid w:val="002E465B"/>
    <w:rsid w:val="002E4A93"/>
    <w:rsid w:val="002E4AB2"/>
    <w:rsid w:val="002E5039"/>
    <w:rsid w:val="002E610E"/>
    <w:rsid w:val="002E628D"/>
    <w:rsid w:val="002E6DEE"/>
    <w:rsid w:val="002E7297"/>
    <w:rsid w:val="002E78F6"/>
    <w:rsid w:val="002F04F1"/>
    <w:rsid w:val="002F0B10"/>
    <w:rsid w:val="002F0B5D"/>
    <w:rsid w:val="002F1283"/>
    <w:rsid w:val="002F16D3"/>
    <w:rsid w:val="002F1979"/>
    <w:rsid w:val="002F2450"/>
    <w:rsid w:val="002F25B3"/>
    <w:rsid w:val="002F2CBF"/>
    <w:rsid w:val="002F33C5"/>
    <w:rsid w:val="002F3404"/>
    <w:rsid w:val="002F48C0"/>
    <w:rsid w:val="002F4F7F"/>
    <w:rsid w:val="002F57D3"/>
    <w:rsid w:val="002F6AF1"/>
    <w:rsid w:val="002F6CD0"/>
    <w:rsid w:val="002F74E3"/>
    <w:rsid w:val="002F74F2"/>
    <w:rsid w:val="002F766E"/>
    <w:rsid w:val="00300B6F"/>
    <w:rsid w:val="00300BDD"/>
    <w:rsid w:val="00302DC9"/>
    <w:rsid w:val="00303CA1"/>
    <w:rsid w:val="00303E15"/>
    <w:rsid w:val="00304992"/>
    <w:rsid w:val="0030504E"/>
    <w:rsid w:val="00305F4E"/>
    <w:rsid w:val="00306211"/>
    <w:rsid w:val="00306B0E"/>
    <w:rsid w:val="00307B76"/>
    <w:rsid w:val="00310076"/>
    <w:rsid w:val="00310BFB"/>
    <w:rsid w:val="00310D3B"/>
    <w:rsid w:val="00310E9F"/>
    <w:rsid w:val="00311275"/>
    <w:rsid w:val="00311CAD"/>
    <w:rsid w:val="00312ECE"/>
    <w:rsid w:val="003131DB"/>
    <w:rsid w:val="003137F9"/>
    <w:rsid w:val="00314279"/>
    <w:rsid w:val="00314FDD"/>
    <w:rsid w:val="003156F8"/>
    <w:rsid w:val="00316E1C"/>
    <w:rsid w:val="0031712C"/>
    <w:rsid w:val="003171F1"/>
    <w:rsid w:val="00317256"/>
    <w:rsid w:val="00317EA6"/>
    <w:rsid w:val="0032023C"/>
    <w:rsid w:val="003209D5"/>
    <w:rsid w:val="003219D4"/>
    <w:rsid w:val="00322222"/>
    <w:rsid w:val="003230DB"/>
    <w:rsid w:val="00324BA9"/>
    <w:rsid w:val="00324BFA"/>
    <w:rsid w:val="003253E6"/>
    <w:rsid w:val="00325ABD"/>
    <w:rsid w:val="00325FB4"/>
    <w:rsid w:val="00326170"/>
    <w:rsid w:val="00326D3B"/>
    <w:rsid w:val="00327007"/>
    <w:rsid w:val="003273A3"/>
    <w:rsid w:val="00330633"/>
    <w:rsid w:val="0033086A"/>
    <w:rsid w:val="0033103A"/>
    <w:rsid w:val="00332643"/>
    <w:rsid w:val="00332872"/>
    <w:rsid w:val="00332CFC"/>
    <w:rsid w:val="00332EC6"/>
    <w:rsid w:val="00333205"/>
    <w:rsid w:val="00333524"/>
    <w:rsid w:val="003335DC"/>
    <w:rsid w:val="0033451F"/>
    <w:rsid w:val="0033454E"/>
    <w:rsid w:val="003355A8"/>
    <w:rsid w:val="003359FB"/>
    <w:rsid w:val="00335B0C"/>
    <w:rsid w:val="00335D3D"/>
    <w:rsid w:val="00336BCA"/>
    <w:rsid w:val="00336C8C"/>
    <w:rsid w:val="00337B06"/>
    <w:rsid w:val="0034102E"/>
    <w:rsid w:val="00341ABC"/>
    <w:rsid w:val="00341B50"/>
    <w:rsid w:val="00341BC8"/>
    <w:rsid w:val="003427CF"/>
    <w:rsid w:val="00342FC8"/>
    <w:rsid w:val="003432BE"/>
    <w:rsid w:val="0034350A"/>
    <w:rsid w:val="003437A5"/>
    <w:rsid w:val="00343D1C"/>
    <w:rsid w:val="00344839"/>
    <w:rsid w:val="0034505F"/>
    <w:rsid w:val="003455FF"/>
    <w:rsid w:val="003461FF"/>
    <w:rsid w:val="00346892"/>
    <w:rsid w:val="00347063"/>
    <w:rsid w:val="00347C84"/>
    <w:rsid w:val="00347F2C"/>
    <w:rsid w:val="003511EE"/>
    <w:rsid w:val="0035194E"/>
    <w:rsid w:val="00352B74"/>
    <w:rsid w:val="00352F17"/>
    <w:rsid w:val="00353E42"/>
    <w:rsid w:val="003541F8"/>
    <w:rsid w:val="00354C55"/>
    <w:rsid w:val="00355F6C"/>
    <w:rsid w:val="00356291"/>
    <w:rsid w:val="003564C3"/>
    <w:rsid w:val="0035676F"/>
    <w:rsid w:val="003568D5"/>
    <w:rsid w:val="00356A5F"/>
    <w:rsid w:val="003577F5"/>
    <w:rsid w:val="003578C7"/>
    <w:rsid w:val="00360B28"/>
    <w:rsid w:val="003613EA"/>
    <w:rsid w:val="00361480"/>
    <w:rsid w:val="00361BFF"/>
    <w:rsid w:val="00362AF9"/>
    <w:rsid w:val="00362CBC"/>
    <w:rsid w:val="0036342D"/>
    <w:rsid w:val="00364089"/>
    <w:rsid w:val="00364B19"/>
    <w:rsid w:val="00365921"/>
    <w:rsid w:val="00365BA8"/>
    <w:rsid w:val="00365F62"/>
    <w:rsid w:val="00366D17"/>
    <w:rsid w:val="00367426"/>
    <w:rsid w:val="00370760"/>
    <w:rsid w:val="00370D04"/>
    <w:rsid w:val="00370F22"/>
    <w:rsid w:val="00370F9E"/>
    <w:rsid w:val="00371E05"/>
    <w:rsid w:val="00371FE1"/>
    <w:rsid w:val="0037262D"/>
    <w:rsid w:val="00372B84"/>
    <w:rsid w:val="003739DE"/>
    <w:rsid w:val="003746EF"/>
    <w:rsid w:val="00374773"/>
    <w:rsid w:val="00374A1D"/>
    <w:rsid w:val="00374A80"/>
    <w:rsid w:val="0037557B"/>
    <w:rsid w:val="00376229"/>
    <w:rsid w:val="003767CB"/>
    <w:rsid w:val="00376FE7"/>
    <w:rsid w:val="00377220"/>
    <w:rsid w:val="00377726"/>
    <w:rsid w:val="00377C49"/>
    <w:rsid w:val="00377E03"/>
    <w:rsid w:val="00382907"/>
    <w:rsid w:val="00382E03"/>
    <w:rsid w:val="0038398B"/>
    <w:rsid w:val="00384266"/>
    <w:rsid w:val="00384963"/>
    <w:rsid w:val="00384D47"/>
    <w:rsid w:val="00385820"/>
    <w:rsid w:val="003859E7"/>
    <w:rsid w:val="00386AF6"/>
    <w:rsid w:val="0038716A"/>
    <w:rsid w:val="00387567"/>
    <w:rsid w:val="00387EB2"/>
    <w:rsid w:val="003906B5"/>
    <w:rsid w:val="00390843"/>
    <w:rsid w:val="0039178C"/>
    <w:rsid w:val="00391ECA"/>
    <w:rsid w:val="003920DB"/>
    <w:rsid w:val="0039224D"/>
    <w:rsid w:val="003922C8"/>
    <w:rsid w:val="003928F4"/>
    <w:rsid w:val="00392D08"/>
    <w:rsid w:val="00392EDF"/>
    <w:rsid w:val="00392FA2"/>
    <w:rsid w:val="0039322B"/>
    <w:rsid w:val="00393707"/>
    <w:rsid w:val="00393766"/>
    <w:rsid w:val="00394AE1"/>
    <w:rsid w:val="00395124"/>
    <w:rsid w:val="003956AF"/>
    <w:rsid w:val="00395780"/>
    <w:rsid w:val="003957E7"/>
    <w:rsid w:val="00396B30"/>
    <w:rsid w:val="00396E18"/>
    <w:rsid w:val="00396EC8"/>
    <w:rsid w:val="00396F45"/>
    <w:rsid w:val="00397552"/>
    <w:rsid w:val="003A00D6"/>
    <w:rsid w:val="003A00FE"/>
    <w:rsid w:val="003A0434"/>
    <w:rsid w:val="003A06BB"/>
    <w:rsid w:val="003A260F"/>
    <w:rsid w:val="003A2D02"/>
    <w:rsid w:val="003A2D75"/>
    <w:rsid w:val="003A3F3F"/>
    <w:rsid w:val="003A4083"/>
    <w:rsid w:val="003A41F8"/>
    <w:rsid w:val="003A4233"/>
    <w:rsid w:val="003A4518"/>
    <w:rsid w:val="003A4E8F"/>
    <w:rsid w:val="003A51DB"/>
    <w:rsid w:val="003A5439"/>
    <w:rsid w:val="003A55ED"/>
    <w:rsid w:val="003A57A5"/>
    <w:rsid w:val="003A57DA"/>
    <w:rsid w:val="003A5830"/>
    <w:rsid w:val="003A5C75"/>
    <w:rsid w:val="003A6058"/>
    <w:rsid w:val="003A67BB"/>
    <w:rsid w:val="003A6F60"/>
    <w:rsid w:val="003A6FA5"/>
    <w:rsid w:val="003A7B04"/>
    <w:rsid w:val="003B0846"/>
    <w:rsid w:val="003B0A0C"/>
    <w:rsid w:val="003B0DEC"/>
    <w:rsid w:val="003B0FBD"/>
    <w:rsid w:val="003B1A50"/>
    <w:rsid w:val="003B2332"/>
    <w:rsid w:val="003B2BE0"/>
    <w:rsid w:val="003B3290"/>
    <w:rsid w:val="003B3D9A"/>
    <w:rsid w:val="003B43D1"/>
    <w:rsid w:val="003B44A9"/>
    <w:rsid w:val="003B51A7"/>
    <w:rsid w:val="003B5425"/>
    <w:rsid w:val="003B6B57"/>
    <w:rsid w:val="003B737D"/>
    <w:rsid w:val="003B7703"/>
    <w:rsid w:val="003C1156"/>
    <w:rsid w:val="003C1FB3"/>
    <w:rsid w:val="003C2B32"/>
    <w:rsid w:val="003C2BAC"/>
    <w:rsid w:val="003C3A2E"/>
    <w:rsid w:val="003C3E0E"/>
    <w:rsid w:val="003C3ED1"/>
    <w:rsid w:val="003C3F8C"/>
    <w:rsid w:val="003C67CA"/>
    <w:rsid w:val="003C7199"/>
    <w:rsid w:val="003D0B31"/>
    <w:rsid w:val="003D0D74"/>
    <w:rsid w:val="003D0F12"/>
    <w:rsid w:val="003D17FA"/>
    <w:rsid w:val="003D2260"/>
    <w:rsid w:val="003D22A6"/>
    <w:rsid w:val="003D2386"/>
    <w:rsid w:val="003D3260"/>
    <w:rsid w:val="003D3327"/>
    <w:rsid w:val="003D34ED"/>
    <w:rsid w:val="003D467A"/>
    <w:rsid w:val="003D476F"/>
    <w:rsid w:val="003D4A5D"/>
    <w:rsid w:val="003D4FB0"/>
    <w:rsid w:val="003D560D"/>
    <w:rsid w:val="003D5A12"/>
    <w:rsid w:val="003D680E"/>
    <w:rsid w:val="003D6ABD"/>
    <w:rsid w:val="003D6C92"/>
    <w:rsid w:val="003D76AA"/>
    <w:rsid w:val="003D772A"/>
    <w:rsid w:val="003D7AE0"/>
    <w:rsid w:val="003D7D17"/>
    <w:rsid w:val="003E0EA2"/>
    <w:rsid w:val="003E1439"/>
    <w:rsid w:val="003E1C04"/>
    <w:rsid w:val="003E211B"/>
    <w:rsid w:val="003E2D01"/>
    <w:rsid w:val="003E2D8D"/>
    <w:rsid w:val="003E2DE5"/>
    <w:rsid w:val="003E329C"/>
    <w:rsid w:val="003E368D"/>
    <w:rsid w:val="003E38B5"/>
    <w:rsid w:val="003E418E"/>
    <w:rsid w:val="003E43A1"/>
    <w:rsid w:val="003E444F"/>
    <w:rsid w:val="003E45F0"/>
    <w:rsid w:val="003E499A"/>
    <w:rsid w:val="003E53F0"/>
    <w:rsid w:val="003E567E"/>
    <w:rsid w:val="003E5A5E"/>
    <w:rsid w:val="003E5B1A"/>
    <w:rsid w:val="003E60D4"/>
    <w:rsid w:val="003E686F"/>
    <w:rsid w:val="003E6A98"/>
    <w:rsid w:val="003E6BC6"/>
    <w:rsid w:val="003E7DD5"/>
    <w:rsid w:val="003E7E93"/>
    <w:rsid w:val="003F014D"/>
    <w:rsid w:val="003F100B"/>
    <w:rsid w:val="003F1037"/>
    <w:rsid w:val="003F1151"/>
    <w:rsid w:val="003F129E"/>
    <w:rsid w:val="003F18A7"/>
    <w:rsid w:val="003F2C3C"/>
    <w:rsid w:val="003F4EE5"/>
    <w:rsid w:val="003F549D"/>
    <w:rsid w:val="003F61D7"/>
    <w:rsid w:val="003F6772"/>
    <w:rsid w:val="003F69BF"/>
    <w:rsid w:val="003F6D7D"/>
    <w:rsid w:val="003F6F0E"/>
    <w:rsid w:val="003F6FCE"/>
    <w:rsid w:val="003F70F2"/>
    <w:rsid w:val="003F7277"/>
    <w:rsid w:val="00400B32"/>
    <w:rsid w:val="00400D00"/>
    <w:rsid w:val="004029AD"/>
    <w:rsid w:val="00402EBB"/>
    <w:rsid w:val="004032AB"/>
    <w:rsid w:val="004032DA"/>
    <w:rsid w:val="00403D98"/>
    <w:rsid w:val="00404C7C"/>
    <w:rsid w:val="00405A0A"/>
    <w:rsid w:val="00406856"/>
    <w:rsid w:val="00407543"/>
    <w:rsid w:val="00407B7C"/>
    <w:rsid w:val="00407C88"/>
    <w:rsid w:val="00407D07"/>
    <w:rsid w:val="004100E0"/>
    <w:rsid w:val="004101FC"/>
    <w:rsid w:val="00410765"/>
    <w:rsid w:val="004112C9"/>
    <w:rsid w:val="00411552"/>
    <w:rsid w:val="0041170D"/>
    <w:rsid w:val="004123CE"/>
    <w:rsid w:val="00412CCA"/>
    <w:rsid w:val="00412E81"/>
    <w:rsid w:val="00413567"/>
    <w:rsid w:val="00414196"/>
    <w:rsid w:val="00414268"/>
    <w:rsid w:val="00414711"/>
    <w:rsid w:val="00414A0A"/>
    <w:rsid w:val="00415FCD"/>
    <w:rsid w:val="00416121"/>
    <w:rsid w:val="00416157"/>
    <w:rsid w:val="00416596"/>
    <w:rsid w:val="00417107"/>
    <w:rsid w:val="0041724C"/>
    <w:rsid w:val="00420995"/>
    <w:rsid w:val="004211D1"/>
    <w:rsid w:val="00421250"/>
    <w:rsid w:val="00421981"/>
    <w:rsid w:val="00421ADE"/>
    <w:rsid w:val="00422C3E"/>
    <w:rsid w:val="00423CC3"/>
    <w:rsid w:val="00424087"/>
    <w:rsid w:val="004242A8"/>
    <w:rsid w:val="00424CE4"/>
    <w:rsid w:val="00426498"/>
    <w:rsid w:val="0042662A"/>
    <w:rsid w:val="004269F5"/>
    <w:rsid w:val="0042763A"/>
    <w:rsid w:val="004300AC"/>
    <w:rsid w:val="00430221"/>
    <w:rsid w:val="004303FC"/>
    <w:rsid w:val="004304C7"/>
    <w:rsid w:val="00430B5C"/>
    <w:rsid w:val="00430E68"/>
    <w:rsid w:val="004311FA"/>
    <w:rsid w:val="00431C68"/>
    <w:rsid w:val="00432343"/>
    <w:rsid w:val="00433FC3"/>
    <w:rsid w:val="00434747"/>
    <w:rsid w:val="00434DDA"/>
    <w:rsid w:val="00434F11"/>
    <w:rsid w:val="00435784"/>
    <w:rsid w:val="004359E2"/>
    <w:rsid w:val="00436545"/>
    <w:rsid w:val="00436651"/>
    <w:rsid w:val="00436752"/>
    <w:rsid w:val="00437170"/>
    <w:rsid w:val="00437670"/>
    <w:rsid w:val="00440F35"/>
    <w:rsid w:val="004410D4"/>
    <w:rsid w:val="00441107"/>
    <w:rsid w:val="0044151C"/>
    <w:rsid w:val="00441733"/>
    <w:rsid w:val="00441B72"/>
    <w:rsid w:val="004428C3"/>
    <w:rsid w:val="004429EA"/>
    <w:rsid w:val="00442BC9"/>
    <w:rsid w:val="00442EDA"/>
    <w:rsid w:val="004430EC"/>
    <w:rsid w:val="0044367B"/>
    <w:rsid w:val="004439C6"/>
    <w:rsid w:val="004440F7"/>
    <w:rsid w:val="00444909"/>
    <w:rsid w:val="00444BBA"/>
    <w:rsid w:val="00444C84"/>
    <w:rsid w:val="004453D7"/>
    <w:rsid w:val="004456FF"/>
    <w:rsid w:val="004457FE"/>
    <w:rsid w:val="00446207"/>
    <w:rsid w:val="00447C7E"/>
    <w:rsid w:val="004503E4"/>
    <w:rsid w:val="00450596"/>
    <w:rsid w:val="00451649"/>
    <w:rsid w:val="00451D60"/>
    <w:rsid w:val="00452478"/>
    <w:rsid w:val="0045247B"/>
    <w:rsid w:val="00452798"/>
    <w:rsid w:val="00452C68"/>
    <w:rsid w:val="00454685"/>
    <w:rsid w:val="00454954"/>
    <w:rsid w:val="00454DA4"/>
    <w:rsid w:val="00455417"/>
    <w:rsid w:val="00456B8B"/>
    <w:rsid w:val="0046046A"/>
    <w:rsid w:val="004606E3"/>
    <w:rsid w:val="004608DC"/>
    <w:rsid w:val="00460946"/>
    <w:rsid w:val="00460DE3"/>
    <w:rsid w:val="0046116D"/>
    <w:rsid w:val="00461396"/>
    <w:rsid w:val="00461905"/>
    <w:rsid w:val="00461B03"/>
    <w:rsid w:val="00462C97"/>
    <w:rsid w:val="00462E2A"/>
    <w:rsid w:val="00463828"/>
    <w:rsid w:val="00463F60"/>
    <w:rsid w:val="00463FEB"/>
    <w:rsid w:val="00464627"/>
    <w:rsid w:val="0046475A"/>
    <w:rsid w:val="004650C8"/>
    <w:rsid w:val="0046572B"/>
    <w:rsid w:val="00466335"/>
    <w:rsid w:val="004671DE"/>
    <w:rsid w:val="00467E4F"/>
    <w:rsid w:val="004708B3"/>
    <w:rsid w:val="004716B6"/>
    <w:rsid w:val="00471CC9"/>
    <w:rsid w:val="00471D8D"/>
    <w:rsid w:val="00472A3C"/>
    <w:rsid w:val="004735C6"/>
    <w:rsid w:val="00473A47"/>
    <w:rsid w:val="00473BE6"/>
    <w:rsid w:val="00474875"/>
    <w:rsid w:val="0047554E"/>
    <w:rsid w:val="004761A4"/>
    <w:rsid w:val="00477766"/>
    <w:rsid w:val="00480665"/>
    <w:rsid w:val="0048117C"/>
    <w:rsid w:val="0048129D"/>
    <w:rsid w:val="00481E54"/>
    <w:rsid w:val="00482C98"/>
    <w:rsid w:val="00482CD1"/>
    <w:rsid w:val="00482F1B"/>
    <w:rsid w:val="00483547"/>
    <w:rsid w:val="00483BFA"/>
    <w:rsid w:val="00485652"/>
    <w:rsid w:val="0048567B"/>
    <w:rsid w:val="004857DE"/>
    <w:rsid w:val="00485A8D"/>
    <w:rsid w:val="00485DE1"/>
    <w:rsid w:val="004861AF"/>
    <w:rsid w:val="00486921"/>
    <w:rsid w:val="00487735"/>
    <w:rsid w:val="0049244A"/>
    <w:rsid w:val="00493C5A"/>
    <w:rsid w:val="00493DDA"/>
    <w:rsid w:val="00494473"/>
    <w:rsid w:val="00494B0E"/>
    <w:rsid w:val="0049578C"/>
    <w:rsid w:val="004960C2"/>
    <w:rsid w:val="004965B2"/>
    <w:rsid w:val="004965D3"/>
    <w:rsid w:val="00496703"/>
    <w:rsid w:val="004972AC"/>
    <w:rsid w:val="004A040D"/>
    <w:rsid w:val="004A0547"/>
    <w:rsid w:val="004A0869"/>
    <w:rsid w:val="004A089B"/>
    <w:rsid w:val="004A0CBE"/>
    <w:rsid w:val="004A14C5"/>
    <w:rsid w:val="004A1857"/>
    <w:rsid w:val="004A2718"/>
    <w:rsid w:val="004A31D1"/>
    <w:rsid w:val="004A3643"/>
    <w:rsid w:val="004A371B"/>
    <w:rsid w:val="004A4990"/>
    <w:rsid w:val="004A5959"/>
    <w:rsid w:val="004A5B3D"/>
    <w:rsid w:val="004A664B"/>
    <w:rsid w:val="004A6A47"/>
    <w:rsid w:val="004B09CB"/>
    <w:rsid w:val="004B0A32"/>
    <w:rsid w:val="004B0AA8"/>
    <w:rsid w:val="004B1015"/>
    <w:rsid w:val="004B1EF6"/>
    <w:rsid w:val="004B20C4"/>
    <w:rsid w:val="004B225D"/>
    <w:rsid w:val="004B296E"/>
    <w:rsid w:val="004B2BC0"/>
    <w:rsid w:val="004B2BED"/>
    <w:rsid w:val="004B31DE"/>
    <w:rsid w:val="004B388F"/>
    <w:rsid w:val="004B3A30"/>
    <w:rsid w:val="004B45F0"/>
    <w:rsid w:val="004B4CE4"/>
    <w:rsid w:val="004B51B7"/>
    <w:rsid w:val="004B562E"/>
    <w:rsid w:val="004B5B65"/>
    <w:rsid w:val="004B5CE5"/>
    <w:rsid w:val="004B5D0E"/>
    <w:rsid w:val="004B5D35"/>
    <w:rsid w:val="004B743E"/>
    <w:rsid w:val="004C00C4"/>
    <w:rsid w:val="004C1365"/>
    <w:rsid w:val="004C1866"/>
    <w:rsid w:val="004C2EBD"/>
    <w:rsid w:val="004C3DAE"/>
    <w:rsid w:val="004C3E8E"/>
    <w:rsid w:val="004C43A4"/>
    <w:rsid w:val="004C4489"/>
    <w:rsid w:val="004C490C"/>
    <w:rsid w:val="004C5411"/>
    <w:rsid w:val="004C55D2"/>
    <w:rsid w:val="004C5E8D"/>
    <w:rsid w:val="004C697E"/>
    <w:rsid w:val="004C732C"/>
    <w:rsid w:val="004C74F9"/>
    <w:rsid w:val="004C762A"/>
    <w:rsid w:val="004C7CEF"/>
    <w:rsid w:val="004D02B2"/>
    <w:rsid w:val="004D03F3"/>
    <w:rsid w:val="004D04C3"/>
    <w:rsid w:val="004D09EE"/>
    <w:rsid w:val="004D1BFE"/>
    <w:rsid w:val="004D23FA"/>
    <w:rsid w:val="004D2793"/>
    <w:rsid w:val="004D2CD4"/>
    <w:rsid w:val="004D3CFB"/>
    <w:rsid w:val="004D410F"/>
    <w:rsid w:val="004D4B09"/>
    <w:rsid w:val="004D4BE9"/>
    <w:rsid w:val="004D5490"/>
    <w:rsid w:val="004D5F7B"/>
    <w:rsid w:val="004D6085"/>
    <w:rsid w:val="004D616E"/>
    <w:rsid w:val="004D6716"/>
    <w:rsid w:val="004D6BD1"/>
    <w:rsid w:val="004D770A"/>
    <w:rsid w:val="004E0644"/>
    <w:rsid w:val="004E06B3"/>
    <w:rsid w:val="004E1EDD"/>
    <w:rsid w:val="004E28B3"/>
    <w:rsid w:val="004E33CC"/>
    <w:rsid w:val="004E33D5"/>
    <w:rsid w:val="004E46DA"/>
    <w:rsid w:val="004E4B6D"/>
    <w:rsid w:val="004E54C8"/>
    <w:rsid w:val="004E575A"/>
    <w:rsid w:val="004E5A7B"/>
    <w:rsid w:val="004E5E6D"/>
    <w:rsid w:val="004E6E06"/>
    <w:rsid w:val="004E7D81"/>
    <w:rsid w:val="004F0100"/>
    <w:rsid w:val="004F09EE"/>
    <w:rsid w:val="004F0E67"/>
    <w:rsid w:val="004F141E"/>
    <w:rsid w:val="004F1EA8"/>
    <w:rsid w:val="004F264C"/>
    <w:rsid w:val="004F278C"/>
    <w:rsid w:val="004F3BB5"/>
    <w:rsid w:val="004F3C59"/>
    <w:rsid w:val="004F460F"/>
    <w:rsid w:val="004F4753"/>
    <w:rsid w:val="004F4AB5"/>
    <w:rsid w:val="004F603B"/>
    <w:rsid w:val="004F632E"/>
    <w:rsid w:val="004F7E25"/>
    <w:rsid w:val="0050081F"/>
    <w:rsid w:val="00500C00"/>
    <w:rsid w:val="005014E1"/>
    <w:rsid w:val="00502191"/>
    <w:rsid w:val="00502252"/>
    <w:rsid w:val="0050234C"/>
    <w:rsid w:val="00503A42"/>
    <w:rsid w:val="00503A4F"/>
    <w:rsid w:val="00503D28"/>
    <w:rsid w:val="0050461E"/>
    <w:rsid w:val="00504884"/>
    <w:rsid w:val="00504E6D"/>
    <w:rsid w:val="0050523E"/>
    <w:rsid w:val="00505525"/>
    <w:rsid w:val="00507CAB"/>
    <w:rsid w:val="005103E9"/>
    <w:rsid w:val="00510A36"/>
    <w:rsid w:val="0051149F"/>
    <w:rsid w:val="0051195B"/>
    <w:rsid w:val="00511FE5"/>
    <w:rsid w:val="00512959"/>
    <w:rsid w:val="00512EC2"/>
    <w:rsid w:val="00512EEA"/>
    <w:rsid w:val="005135C0"/>
    <w:rsid w:val="005139AF"/>
    <w:rsid w:val="00513C6E"/>
    <w:rsid w:val="005145B9"/>
    <w:rsid w:val="00514F0B"/>
    <w:rsid w:val="005156E9"/>
    <w:rsid w:val="00515808"/>
    <w:rsid w:val="00515C30"/>
    <w:rsid w:val="005166E4"/>
    <w:rsid w:val="00517BF8"/>
    <w:rsid w:val="00517CBC"/>
    <w:rsid w:val="0052099B"/>
    <w:rsid w:val="00520B7C"/>
    <w:rsid w:val="00520CD8"/>
    <w:rsid w:val="00521869"/>
    <w:rsid w:val="005228A9"/>
    <w:rsid w:val="00522F37"/>
    <w:rsid w:val="00522FE2"/>
    <w:rsid w:val="00522FEC"/>
    <w:rsid w:val="00523CB0"/>
    <w:rsid w:val="00524149"/>
    <w:rsid w:val="00524380"/>
    <w:rsid w:val="005243DF"/>
    <w:rsid w:val="00524424"/>
    <w:rsid w:val="00524FED"/>
    <w:rsid w:val="00525435"/>
    <w:rsid w:val="0052567F"/>
    <w:rsid w:val="00525A5A"/>
    <w:rsid w:val="00526E6F"/>
    <w:rsid w:val="00526EEF"/>
    <w:rsid w:val="005300B3"/>
    <w:rsid w:val="00530740"/>
    <w:rsid w:val="00531690"/>
    <w:rsid w:val="00531A09"/>
    <w:rsid w:val="00532A51"/>
    <w:rsid w:val="00532E1D"/>
    <w:rsid w:val="00533658"/>
    <w:rsid w:val="0053433A"/>
    <w:rsid w:val="00535078"/>
    <w:rsid w:val="005354AA"/>
    <w:rsid w:val="00535552"/>
    <w:rsid w:val="00535DF0"/>
    <w:rsid w:val="00536617"/>
    <w:rsid w:val="00536742"/>
    <w:rsid w:val="00537178"/>
    <w:rsid w:val="005371C6"/>
    <w:rsid w:val="00537482"/>
    <w:rsid w:val="00537CAF"/>
    <w:rsid w:val="0054009A"/>
    <w:rsid w:val="005411B7"/>
    <w:rsid w:val="0054303A"/>
    <w:rsid w:val="005430FB"/>
    <w:rsid w:val="005432F5"/>
    <w:rsid w:val="00544E2D"/>
    <w:rsid w:val="0054513C"/>
    <w:rsid w:val="005456C9"/>
    <w:rsid w:val="00545928"/>
    <w:rsid w:val="00546229"/>
    <w:rsid w:val="005462C1"/>
    <w:rsid w:val="00546530"/>
    <w:rsid w:val="00546531"/>
    <w:rsid w:val="005465CD"/>
    <w:rsid w:val="005501A7"/>
    <w:rsid w:val="005503EF"/>
    <w:rsid w:val="00550703"/>
    <w:rsid w:val="00550C6E"/>
    <w:rsid w:val="00551369"/>
    <w:rsid w:val="00551C36"/>
    <w:rsid w:val="0055253C"/>
    <w:rsid w:val="005536E8"/>
    <w:rsid w:val="0055384A"/>
    <w:rsid w:val="00553EB8"/>
    <w:rsid w:val="00553F5A"/>
    <w:rsid w:val="00553FDF"/>
    <w:rsid w:val="0055478C"/>
    <w:rsid w:val="00554957"/>
    <w:rsid w:val="00555873"/>
    <w:rsid w:val="00555956"/>
    <w:rsid w:val="0055666D"/>
    <w:rsid w:val="00556744"/>
    <w:rsid w:val="00557780"/>
    <w:rsid w:val="0056044E"/>
    <w:rsid w:val="00560DD6"/>
    <w:rsid w:val="00561103"/>
    <w:rsid w:val="0056126F"/>
    <w:rsid w:val="005612C1"/>
    <w:rsid w:val="00561D8D"/>
    <w:rsid w:val="005626F6"/>
    <w:rsid w:val="00563415"/>
    <w:rsid w:val="005646B8"/>
    <w:rsid w:val="00564922"/>
    <w:rsid w:val="00564E24"/>
    <w:rsid w:val="00565230"/>
    <w:rsid w:val="0056664D"/>
    <w:rsid w:val="00566BCA"/>
    <w:rsid w:val="00566F2F"/>
    <w:rsid w:val="005671C3"/>
    <w:rsid w:val="0056746D"/>
    <w:rsid w:val="005679FC"/>
    <w:rsid w:val="00567DAD"/>
    <w:rsid w:val="00570C0A"/>
    <w:rsid w:val="0057114E"/>
    <w:rsid w:val="005711CB"/>
    <w:rsid w:val="0057145D"/>
    <w:rsid w:val="005717C6"/>
    <w:rsid w:val="00572332"/>
    <w:rsid w:val="00572686"/>
    <w:rsid w:val="005727E8"/>
    <w:rsid w:val="0057363D"/>
    <w:rsid w:val="00573DC6"/>
    <w:rsid w:val="00574360"/>
    <w:rsid w:val="0057678C"/>
    <w:rsid w:val="00576C43"/>
    <w:rsid w:val="00576C73"/>
    <w:rsid w:val="00577B8F"/>
    <w:rsid w:val="00577C21"/>
    <w:rsid w:val="00580121"/>
    <w:rsid w:val="005819EC"/>
    <w:rsid w:val="0058242F"/>
    <w:rsid w:val="0058367F"/>
    <w:rsid w:val="00583DA2"/>
    <w:rsid w:val="00585BDA"/>
    <w:rsid w:val="00585C61"/>
    <w:rsid w:val="00585D76"/>
    <w:rsid w:val="00586B21"/>
    <w:rsid w:val="00587930"/>
    <w:rsid w:val="00587B10"/>
    <w:rsid w:val="005906AC"/>
    <w:rsid w:val="00590873"/>
    <w:rsid w:val="0059117B"/>
    <w:rsid w:val="0059186C"/>
    <w:rsid w:val="00591DD9"/>
    <w:rsid w:val="00592707"/>
    <w:rsid w:val="00592C70"/>
    <w:rsid w:val="00592D51"/>
    <w:rsid w:val="00593839"/>
    <w:rsid w:val="00593DF2"/>
    <w:rsid w:val="00593E84"/>
    <w:rsid w:val="00594F02"/>
    <w:rsid w:val="00595010"/>
    <w:rsid w:val="005952A0"/>
    <w:rsid w:val="0059536D"/>
    <w:rsid w:val="00595EC2"/>
    <w:rsid w:val="00595ED4"/>
    <w:rsid w:val="00596B3E"/>
    <w:rsid w:val="0059746F"/>
    <w:rsid w:val="005974ED"/>
    <w:rsid w:val="00597C83"/>
    <w:rsid w:val="005A014D"/>
    <w:rsid w:val="005A0479"/>
    <w:rsid w:val="005A133D"/>
    <w:rsid w:val="005A1C61"/>
    <w:rsid w:val="005A305B"/>
    <w:rsid w:val="005A318F"/>
    <w:rsid w:val="005A3CEE"/>
    <w:rsid w:val="005A4857"/>
    <w:rsid w:val="005A4AE6"/>
    <w:rsid w:val="005A5065"/>
    <w:rsid w:val="005A54FA"/>
    <w:rsid w:val="005A564E"/>
    <w:rsid w:val="005A5AB6"/>
    <w:rsid w:val="005A5B45"/>
    <w:rsid w:val="005A5C83"/>
    <w:rsid w:val="005A5F22"/>
    <w:rsid w:val="005A64C7"/>
    <w:rsid w:val="005A6744"/>
    <w:rsid w:val="005A68A6"/>
    <w:rsid w:val="005A6B8B"/>
    <w:rsid w:val="005A71FD"/>
    <w:rsid w:val="005A7621"/>
    <w:rsid w:val="005A7C38"/>
    <w:rsid w:val="005A7E7B"/>
    <w:rsid w:val="005B0417"/>
    <w:rsid w:val="005B06C2"/>
    <w:rsid w:val="005B1C50"/>
    <w:rsid w:val="005B1C71"/>
    <w:rsid w:val="005B1D3F"/>
    <w:rsid w:val="005B1FC5"/>
    <w:rsid w:val="005B2ADB"/>
    <w:rsid w:val="005B2C5E"/>
    <w:rsid w:val="005B300C"/>
    <w:rsid w:val="005B3161"/>
    <w:rsid w:val="005B3E51"/>
    <w:rsid w:val="005B4418"/>
    <w:rsid w:val="005B457C"/>
    <w:rsid w:val="005B459A"/>
    <w:rsid w:val="005B4A70"/>
    <w:rsid w:val="005B5602"/>
    <w:rsid w:val="005B5CC5"/>
    <w:rsid w:val="005B5DA2"/>
    <w:rsid w:val="005B5EC9"/>
    <w:rsid w:val="005B6C43"/>
    <w:rsid w:val="005B6D83"/>
    <w:rsid w:val="005B7ED8"/>
    <w:rsid w:val="005C0909"/>
    <w:rsid w:val="005C0D2A"/>
    <w:rsid w:val="005C1037"/>
    <w:rsid w:val="005C150F"/>
    <w:rsid w:val="005C19D0"/>
    <w:rsid w:val="005C39E1"/>
    <w:rsid w:val="005C3A07"/>
    <w:rsid w:val="005C475D"/>
    <w:rsid w:val="005C5092"/>
    <w:rsid w:val="005C561E"/>
    <w:rsid w:val="005C5E01"/>
    <w:rsid w:val="005C5F22"/>
    <w:rsid w:val="005C626C"/>
    <w:rsid w:val="005C640D"/>
    <w:rsid w:val="005C658F"/>
    <w:rsid w:val="005C6613"/>
    <w:rsid w:val="005C68B9"/>
    <w:rsid w:val="005D0389"/>
    <w:rsid w:val="005D05BB"/>
    <w:rsid w:val="005D0910"/>
    <w:rsid w:val="005D0AAD"/>
    <w:rsid w:val="005D0D95"/>
    <w:rsid w:val="005D13E9"/>
    <w:rsid w:val="005D19A4"/>
    <w:rsid w:val="005D302F"/>
    <w:rsid w:val="005D3AC9"/>
    <w:rsid w:val="005D3FB5"/>
    <w:rsid w:val="005D4658"/>
    <w:rsid w:val="005D5751"/>
    <w:rsid w:val="005D57D1"/>
    <w:rsid w:val="005D5A0E"/>
    <w:rsid w:val="005D6712"/>
    <w:rsid w:val="005D6A81"/>
    <w:rsid w:val="005D72F7"/>
    <w:rsid w:val="005D73D5"/>
    <w:rsid w:val="005D74EC"/>
    <w:rsid w:val="005D7572"/>
    <w:rsid w:val="005D7961"/>
    <w:rsid w:val="005D7F17"/>
    <w:rsid w:val="005E0F56"/>
    <w:rsid w:val="005E2102"/>
    <w:rsid w:val="005E22C7"/>
    <w:rsid w:val="005E270D"/>
    <w:rsid w:val="005E2A64"/>
    <w:rsid w:val="005E3017"/>
    <w:rsid w:val="005E3DA1"/>
    <w:rsid w:val="005E3E5B"/>
    <w:rsid w:val="005E4674"/>
    <w:rsid w:val="005E4A99"/>
    <w:rsid w:val="005E6AE3"/>
    <w:rsid w:val="005E7EFC"/>
    <w:rsid w:val="005E7FE8"/>
    <w:rsid w:val="005E7FFE"/>
    <w:rsid w:val="005F0289"/>
    <w:rsid w:val="005F0A2F"/>
    <w:rsid w:val="005F0CF6"/>
    <w:rsid w:val="005F1FF2"/>
    <w:rsid w:val="005F233D"/>
    <w:rsid w:val="005F50D9"/>
    <w:rsid w:val="005F5C6A"/>
    <w:rsid w:val="005F5D22"/>
    <w:rsid w:val="005F654E"/>
    <w:rsid w:val="005F6D5B"/>
    <w:rsid w:val="005F7002"/>
    <w:rsid w:val="005F74AC"/>
    <w:rsid w:val="00600A51"/>
    <w:rsid w:val="00601AF0"/>
    <w:rsid w:val="00602D88"/>
    <w:rsid w:val="00603269"/>
    <w:rsid w:val="006039AE"/>
    <w:rsid w:val="006043DB"/>
    <w:rsid w:val="00604763"/>
    <w:rsid w:val="0060569B"/>
    <w:rsid w:val="00605B21"/>
    <w:rsid w:val="00606F91"/>
    <w:rsid w:val="0060752F"/>
    <w:rsid w:val="006076B6"/>
    <w:rsid w:val="0060777F"/>
    <w:rsid w:val="0060778D"/>
    <w:rsid w:val="00610016"/>
    <w:rsid w:val="0061008B"/>
    <w:rsid w:val="00610257"/>
    <w:rsid w:val="006106A2"/>
    <w:rsid w:val="00610F1A"/>
    <w:rsid w:val="006110A3"/>
    <w:rsid w:val="006119D6"/>
    <w:rsid w:val="00611A93"/>
    <w:rsid w:val="00612C19"/>
    <w:rsid w:val="006136CF"/>
    <w:rsid w:val="00613B28"/>
    <w:rsid w:val="00614324"/>
    <w:rsid w:val="00614933"/>
    <w:rsid w:val="00614C8A"/>
    <w:rsid w:val="00615486"/>
    <w:rsid w:val="00616C7F"/>
    <w:rsid w:val="0061754C"/>
    <w:rsid w:val="00617BD9"/>
    <w:rsid w:val="006203AF"/>
    <w:rsid w:val="006203D2"/>
    <w:rsid w:val="00620AFD"/>
    <w:rsid w:val="00621CBB"/>
    <w:rsid w:val="00623296"/>
    <w:rsid w:val="00623677"/>
    <w:rsid w:val="00623FDA"/>
    <w:rsid w:val="006241EF"/>
    <w:rsid w:val="006242A5"/>
    <w:rsid w:val="006254A6"/>
    <w:rsid w:val="00625AEA"/>
    <w:rsid w:val="006270FA"/>
    <w:rsid w:val="00630597"/>
    <w:rsid w:val="006313E4"/>
    <w:rsid w:val="00631BFA"/>
    <w:rsid w:val="00632F4B"/>
    <w:rsid w:val="00632F4D"/>
    <w:rsid w:val="00633637"/>
    <w:rsid w:val="0063370A"/>
    <w:rsid w:val="00633A46"/>
    <w:rsid w:val="0063472F"/>
    <w:rsid w:val="00634DBE"/>
    <w:rsid w:val="00634DC2"/>
    <w:rsid w:val="00635393"/>
    <w:rsid w:val="0063541C"/>
    <w:rsid w:val="006356C4"/>
    <w:rsid w:val="00635DD5"/>
    <w:rsid w:val="006371FE"/>
    <w:rsid w:val="006373FE"/>
    <w:rsid w:val="006375EB"/>
    <w:rsid w:val="00637636"/>
    <w:rsid w:val="006403E8"/>
    <w:rsid w:val="006405BC"/>
    <w:rsid w:val="00640C9A"/>
    <w:rsid w:val="00640FED"/>
    <w:rsid w:val="00641B9E"/>
    <w:rsid w:val="00641CA5"/>
    <w:rsid w:val="00641E63"/>
    <w:rsid w:val="00642203"/>
    <w:rsid w:val="00642C12"/>
    <w:rsid w:val="00643750"/>
    <w:rsid w:val="006449FF"/>
    <w:rsid w:val="00644F0D"/>
    <w:rsid w:val="00645035"/>
    <w:rsid w:val="006455B2"/>
    <w:rsid w:val="0064576F"/>
    <w:rsid w:val="00646487"/>
    <w:rsid w:val="00647867"/>
    <w:rsid w:val="00647A1E"/>
    <w:rsid w:val="00647C2E"/>
    <w:rsid w:val="00647F53"/>
    <w:rsid w:val="0065022D"/>
    <w:rsid w:val="00650C4F"/>
    <w:rsid w:val="00650CA6"/>
    <w:rsid w:val="006510E3"/>
    <w:rsid w:val="006511D1"/>
    <w:rsid w:val="006512F1"/>
    <w:rsid w:val="0065132E"/>
    <w:rsid w:val="00651854"/>
    <w:rsid w:val="00651DC6"/>
    <w:rsid w:val="006522BD"/>
    <w:rsid w:val="0065247D"/>
    <w:rsid w:val="00652969"/>
    <w:rsid w:val="00652BB8"/>
    <w:rsid w:val="00652CFE"/>
    <w:rsid w:val="00652E0B"/>
    <w:rsid w:val="0065363A"/>
    <w:rsid w:val="006542F9"/>
    <w:rsid w:val="006543A6"/>
    <w:rsid w:val="00655EEA"/>
    <w:rsid w:val="00656589"/>
    <w:rsid w:val="00656BAF"/>
    <w:rsid w:val="00657F9E"/>
    <w:rsid w:val="00660968"/>
    <w:rsid w:val="00661AD8"/>
    <w:rsid w:val="006627B0"/>
    <w:rsid w:val="00662876"/>
    <w:rsid w:val="00662F02"/>
    <w:rsid w:val="00662F65"/>
    <w:rsid w:val="00664573"/>
    <w:rsid w:val="00664592"/>
    <w:rsid w:val="006645D1"/>
    <w:rsid w:val="006654DB"/>
    <w:rsid w:val="006658EB"/>
    <w:rsid w:val="00665986"/>
    <w:rsid w:val="00665B0C"/>
    <w:rsid w:val="00665C4E"/>
    <w:rsid w:val="0066793A"/>
    <w:rsid w:val="00667B51"/>
    <w:rsid w:val="00667CDE"/>
    <w:rsid w:val="00670874"/>
    <w:rsid w:val="00670A93"/>
    <w:rsid w:val="00670F48"/>
    <w:rsid w:val="00671252"/>
    <w:rsid w:val="0067181C"/>
    <w:rsid w:val="00671ABA"/>
    <w:rsid w:val="00671E94"/>
    <w:rsid w:val="006722A6"/>
    <w:rsid w:val="006723A8"/>
    <w:rsid w:val="0067245B"/>
    <w:rsid w:val="00672545"/>
    <w:rsid w:val="006731B7"/>
    <w:rsid w:val="00673536"/>
    <w:rsid w:val="006735CB"/>
    <w:rsid w:val="006736B8"/>
    <w:rsid w:val="00674292"/>
    <w:rsid w:val="006743C1"/>
    <w:rsid w:val="006748D0"/>
    <w:rsid w:val="00674F33"/>
    <w:rsid w:val="00675108"/>
    <w:rsid w:val="00675450"/>
    <w:rsid w:val="006759D3"/>
    <w:rsid w:val="00675CC1"/>
    <w:rsid w:val="006762E8"/>
    <w:rsid w:val="006769C4"/>
    <w:rsid w:val="00676DD9"/>
    <w:rsid w:val="00676F3D"/>
    <w:rsid w:val="00677EB8"/>
    <w:rsid w:val="00680925"/>
    <w:rsid w:val="00681A09"/>
    <w:rsid w:val="00681FC0"/>
    <w:rsid w:val="00682435"/>
    <w:rsid w:val="00682E52"/>
    <w:rsid w:val="00683B24"/>
    <w:rsid w:val="00683BEA"/>
    <w:rsid w:val="00683C79"/>
    <w:rsid w:val="00683F61"/>
    <w:rsid w:val="00684B70"/>
    <w:rsid w:val="00684D69"/>
    <w:rsid w:val="00685211"/>
    <w:rsid w:val="00685371"/>
    <w:rsid w:val="006860AC"/>
    <w:rsid w:val="00687891"/>
    <w:rsid w:val="00687FA8"/>
    <w:rsid w:val="00690184"/>
    <w:rsid w:val="00690231"/>
    <w:rsid w:val="006920B2"/>
    <w:rsid w:val="00692487"/>
    <w:rsid w:val="00692D17"/>
    <w:rsid w:val="00693D6B"/>
    <w:rsid w:val="00693FE7"/>
    <w:rsid w:val="00694D76"/>
    <w:rsid w:val="00695863"/>
    <w:rsid w:val="00696A56"/>
    <w:rsid w:val="00696B8C"/>
    <w:rsid w:val="00696D5D"/>
    <w:rsid w:val="006970DB"/>
    <w:rsid w:val="006A037D"/>
    <w:rsid w:val="006A0B25"/>
    <w:rsid w:val="006A0BE3"/>
    <w:rsid w:val="006A0F22"/>
    <w:rsid w:val="006A426E"/>
    <w:rsid w:val="006A4701"/>
    <w:rsid w:val="006A47F9"/>
    <w:rsid w:val="006A51AB"/>
    <w:rsid w:val="006A559D"/>
    <w:rsid w:val="006A6005"/>
    <w:rsid w:val="006A692A"/>
    <w:rsid w:val="006A6EB1"/>
    <w:rsid w:val="006A7E07"/>
    <w:rsid w:val="006A7E84"/>
    <w:rsid w:val="006B00CF"/>
    <w:rsid w:val="006B02A0"/>
    <w:rsid w:val="006B04DD"/>
    <w:rsid w:val="006B19DD"/>
    <w:rsid w:val="006B1DDE"/>
    <w:rsid w:val="006B1F81"/>
    <w:rsid w:val="006B21C3"/>
    <w:rsid w:val="006B2569"/>
    <w:rsid w:val="006B2A68"/>
    <w:rsid w:val="006B3461"/>
    <w:rsid w:val="006B3642"/>
    <w:rsid w:val="006B3EA9"/>
    <w:rsid w:val="006B45BA"/>
    <w:rsid w:val="006B4B91"/>
    <w:rsid w:val="006B4F2D"/>
    <w:rsid w:val="006B5487"/>
    <w:rsid w:val="006B6108"/>
    <w:rsid w:val="006B612C"/>
    <w:rsid w:val="006B62E9"/>
    <w:rsid w:val="006B65BB"/>
    <w:rsid w:val="006B67DB"/>
    <w:rsid w:val="006C04B8"/>
    <w:rsid w:val="006C072B"/>
    <w:rsid w:val="006C0C08"/>
    <w:rsid w:val="006C0EE8"/>
    <w:rsid w:val="006C122C"/>
    <w:rsid w:val="006C13FC"/>
    <w:rsid w:val="006C184E"/>
    <w:rsid w:val="006C1934"/>
    <w:rsid w:val="006C1CD1"/>
    <w:rsid w:val="006C22A3"/>
    <w:rsid w:val="006C285C"/>
    <w:rsid w:val="006C2E50"/>
    <w:rsid w:val="006C2E57"/>
    <w:rsid w:val="006C39A7"/>
    <w:rsid w:val="006C47D3"/>
    <w:rsid w:val="006C484F"/>
    <w:rsid w:val="006C4947"/>
    <w:rsid w:val="006C55CF"/>
    <w:rsid w:val="006C5A47"/>
    <w:rsid w:val="006C62D8"/>
    <w:rsid w:val="006C7DF9"/>
    <w:rsid w:val="006C7F1F"/>
    <w:rsid w:val="006D09FE"/>
    <w:rsid w:val="006D0BFF"/>
    <w:rsid w:val="006D2BB6"/>
    <w:rsid w:val="006D3F30"/>
    <w:rsid w:val="006D40D9"/>
    <w:rsid w:val="006D699F"/>
    <w:rsid w:val="006D7330"/>
    <w:rsid w:val="006D76C9"/>
    <w:rsid w:val="006D7801"/>
    <w:rsid w:val="006E0101"/>
    <w:rsid w:val="006E0ABD"/>
    <w:rsid w:val="006E0CB0"/>
    <w:rsid w:val="006E1384"/>
    <w:rsid w:val="006E149E"/>
    <w:rsid w:val="006E1F51"/>
    <w:rsid w:val="006E23D6"/>
    <w:rsid w:val="006E29C8"/>
    <w:rsid w:val="006E35F8"/>
    <w:rsid w:val="006E3B0D"/>
    <w:rsid w:val="006E3E8C"/>
    <w:rsid w:val="006E3F88"/>
    <w:rsid w:val="006E45F8"/>
    <w:rsid w:val="006E48DE"/>
    <w:rsid w:val="006E50AB"/>
    <w:rsid w:val="006E5A37"/>
    <w:rsid w:val="006E7633"/>
    <w:rsid w:val="006E7648"/>
    <w:rsid w:val="006E7F12"/>
    <w:rsid w:val="006F01E4"/>
    <w:rsid w:val="006F09CF"/>
    <w:rsid w:val="006F1C15"/>
    <w:rsid w:val="006F25E2"/>
    <w:rsid w:val="006F28BB"/>
    <w:rsid w:val="006F3271"/>
    <w:rsid w:val="006F3581"/>
    <w:rsid w:val="006F38A6"/>
    <w:rsid w:val="006F4083"/>
    <w:rsid w:val="006F45BF"/>
    <w:rsid w:val="006F4B6A"/>
    <w:rsid w:val="006F5078"/>
    <w:rsid w:val="006F5D44"/>
    <w:rsid w:val="006F63F4"/>
    <w:rsid w:val="006F651A"/>
    <w:rsid w:val="006F6A2C"/>
    <w:rsid w:val="006F6E78"/>
    <w:rsid w:val="006F7A86"/>
    <w:rsid w:val="00700120"/>
    <w:rsid w:val="00700744"/>
    <w:rsid w:val="00700843"/>
    <w:rsid w:val="00701027"/>
    <w:rsid w:val="00701738"/>
    <w:rsid w:val="007018A3"/>
    <w:rsid w:val="007020AF"/>
    <w:rsid w:val="0070277F"/>
    <w:rsid w:val="00703AC1"/>
    <w:rsid w:val="00703D18"/>
    <w:rsid w:val="00704462"/>
    <w:rsid w:val="0070447C"/>
    <w:rsid w:val="007051CF"/>
    <w:rsid w:val="007053E2"/>
    <w:rsid w:val="00705409"/>
    <w:rsid w:val="0070543D"/>
    <w:rsid w:val="0070606B"/>
    <w:rsid w:val="007064B4"/>
    <w:rsid w:val="00707607"/>
    <w:rsid w:val="00707E61"/>
    <w:rsid w:val="00710E03"/>
    <w:rsid w:val="00711A59"/>
    <w:rsid w:val="007121CE"/>
    <w:rsid w:val="007125D9"/>
    <w:rsid w:val="00712D97"/>
    <w:rsid w:val="00713058"/>
    <w:rsid w:val="00714375"/>
    <w:rsid w:val="007148A8"/>
    <w:rsid w:val="007149B6"/>
    <w:rsid w:val="007150CF"/>
    <w:rsid w:val="00715257"/>
    <w:rsid w:val="00715398"/>
    <w:rsid w:val="00715D04"/>
    <w:rsid w:val="0072002D"/>
    <w:rsid w:val="007202A0"/>
    <w:rsid w:val="007207F9"/>
    <w:rsid w:val="00720AD8"/>
    <w:rsid w:val="007216A7"/>
    <w:rsid w:val="00721893"/>
    <w:rsid w:val="00721F78"/>
    <w:rsid w:val="007220C9"/>
    <w:rsid w:val="00722AF2"/>
    <w:rsid w:val="00722B6E"/>
    <w:rsid w:val="00723A9B"/>
    <w:rsid w:val="00723BFE"/>
    <w:rsid w:val="00723D70"/>
    <w:rsid w:val="007243E9"/>
    <w:rsid w:val="007245E6"/>
    <w:rsid w:val="0072475A"/>
    <w:rsid w:val="00724EF9"/>
    <w:rsid w:val="007251F6"/>
    <w:rsid w:val="00725353"/>
    <w:rsid w:val="00725821"/>
    <w:rsid w:val="00725AC4"/>
    <w:rsid w:val="00725E06"/>
    <w:rsid w:val="007265D9"/>
    <w:rsid w:val="0072671D"/>
    <w:rsid w:val="00726835"/>
    <w:rsid w:val="00726C15"/>
    <w:rsid w:val="00727D62"/>
    <w:rsid w:val="00731178"/>
    <w:rsid w:val="0073191E"/>
    <w:rsid w:val="00731C5A"/>
    <w:rsid w:val="00732F2F"/>
    <w:rsid w:val="00733375"/>
    <w:rsid w:val="0073351E"/>
    <w:rsid w:val="0073492A"/>
    <w:rsid w:val="00734FE2"/>
    <w:rsid w:val="00735AA3"/>
    <w:rsid w:val="00735EE1"/>
    <w:rsid w:val="00736247"/>
    <w:rsid w:val="00736BFB"/>
    <w:rsid w:val="00737648"/>
    <w:rsid w:val="007378FD"/>
    <w:rsid w:val="0073792A"/>
    <w:rsid w:val="0073792E"/>
    <w:rsid w:val="00740244"/>
    <w:rsid w:val="007408E1"/>
    <w:rsid w:val="00740FEF"/>
    <w:rsid w:val="007416DB"/>
    <w:rsid w:val="007422B8"/>
    <w:rsid w:val="00742869"/>
    <w:rsid w:val="00744D60"/>
    <w:rsid w:val="0074519F"/>
    <w:rsid w:val="00745864"/>
    <w:rsid w:val="007458C5"/>
    <w:rsid w:val="0074651A"/>
    <w:rsid w:val="00747C57"/>
    <w:rsid w:val="007501B8"/>
    <w:rsid w:val="0075076E"/>
    <w:rsid w:val="00750873"/>
    <w:rsid w:val="007511AE"/>
    <w:rsid w:val="00751778"/>
    <w:rsid w:val="00751CAC"/>
    <w:rsid w:val="00752148"/>
    <w:rsid w:val="007534B0"/>
    <w:rsid w:val="007535BD"/>
    <w:rsid w:val="00753E65"/>
    <w:rsid w:val="007546A3"/>
    <w:rsid w:val="00755806"/>
    <w:rsid w:val="0075591B"/>
    <w:rsid w:val="00755947"/>
    <w:rsid w:val="00755BBC"/>
    <w:rsid w:val="00755E26"/>
    <w:rsid w:val="00755EE1"/>
    <w:rsid w:val="00756166"/>
    <w:rsid w:val="00756927"/>
    <w:rsid w:val="00756F2B"/>
    <w:rsid w:val="0075740D"/>
    <w:rsid w:val="007605AD"/>
    <w:rsid w:val="0076091E"/>
    <w:rsid w:val="00760B94"/>
    <w:rsid w:val="00760C81"/>
    <w:rsid w:val="00761373"/>
    <w:rsid w:val="00761DE7"/>
    <w:rsid w:val="00761E06"/>
    <w:rsid w:val="0076239E"/>
    <w:rsid w:val="00762B79"/>
    <w:rsid w:val="00763E1F"/>
    <w:rsid w:val="00765AB5"/>
    <w:rsid w:val="00766C21"/>
    <w:rsid w:val="007676D9"/>
    <w:rsid w:val="00767744"/>
    <w:rsid w:val="00767FE7"/>
    <w:rsid w:val="00770111"/>
    <w:rsid w:val="007707FD"/>
    <w:rsid w:val="00770FC7"/>
    <w:rsid w:val="00771061"/>
    <w:rsid w:val="00771199"/>
    <w:rsid w:val="007713FC"/>
    <w:rsid w:val="00771D06"/>
    <w:rsid w:val="0077494A"/>
    <w:rsid w:val="00774DBD"/>
    <w:rsid w:val="007751BA"/>
    <w:rsid w:val="0077567C"/>
    <w:rsid w:val="00775799"/>
    <w:rsid w:val="00775E0B"/>
    <w:rsid w:val="00777011"/>
    <w:rsid w:val="0077706F"/>
    <w:rsid w:val="007776D4"/>
    <w:rsid w:val="007778F1"/>
    <w:rsid w:val="00780063"/>
    <w:rsid w:val="007810A9"/>
    <w:rsid w:val="00781BE2"/>
    <w:rsid w:val="00781F95"/>
    <w:rsid w:val="00782204"/>
    <w:rsid w:val="007828D5"/>
    <w:rsid w:val="00782E33"/>
    <w:rsid w:val="00783820"/>
    <w:rsid w:val="00783ABF"/>
    <w:rsid w:val="00785090"/>
    <w:rsid w:val="007854E2"/>
    <w:rsid w:val="007860A2"/>
    <w:rsid w:val="00786CB2"/>
    <w:rsid w:val="00786D50"/>
    <w:rsid w:val="00786E16"/>
    <w:rsid w:val="00787251"/>
    <w:rsid w:val="00787504"/>
    <w:rsid w:val="00787553"/>
    <w:rsid w:val="00787988"/>
    <w:rsid w:val="00787EFA"/>
    <w:rsid w:val="00790CA2"/>
    <w:rsid w:val="00790EA1"/>
    <w:rsid w:val="0079176E"/>
    <w:rsid w:val="00791C1B"/>
    <w:rsid w:val="0079302D"/>
    <w:rsid w:val="00793BEC"/>
    <w:rsid w:val="00794BD1"/>
    <w:rsid w:val="00794E7B"/>
    <w:rsid w:val="00795254"/>
    <w:rsid w:val="0079553F"/>
    <w:rsid w:val="00796025"/>
    <w:rsid w:val="007961B9"/>
    <w:rsid w:val="0079717A"/>
    <w:rsid w:val="00797FC0"/>
    <w:rsid w:val="007A135A"/>
    <w:rsid w:val="007A18DE"/>
    <w:rsid w:val="007A1D0D"/>
    <w:rsid w:val="007A23B8"/>
    <w:rsid w:val="007A244F"/>
    <w:rsid w:val="007A370E"/>
    <w:rsid w:val="007A39AD"/>
    <w:rsid w:val="007A3B51"/>
    <w:rsid w:val="007A3F19"/>
    <w:rsid w:val="007A493F"/>
    <w:rsid w:val="007A49A5"/>
    <w:rsid w:val="007A57BA"/>
    <w:rsid w:val="007A6402"/>
    <w:rsid w:val="007A6471"/>
    <w:rsid w:val="007A6C42"/>
    <w:rsid w:val="007A6E96"/>
    <w:rsid w:val="007A7AE6"/>
    <w:rsid w:val="007B07DB"/>
    <w:rsid w:val="007B0CB1"/>
    <w:rsid w:val="007B1CE9"/>
    <w:rsid w:val="007B3131"/>
    <w:rsid w:val="007B33D5"/>
    <w:rsid w:val="007B3595"/>
    <w:rsid w:val="007B39E6"/>
    <w:rsid w:val="007B3C50"/>
    <w:rsid w:val="007B410B"/>
    <w:rsid w:val="007B43C7"/>
    <w:rsid w:val="007B48A9"/>
    <w:rsid w:val="007B4973"/>
    <w:rsid w:val="007B4A18"/>
    <w:rsid w:val="007B4CAB"/>
    <w:rsid w:val="007B4DC2"/>
    <w:rsid w:val="007B4DE0"/>
    <w:rsid w:val="007B4ED4"/>
    <w:rsid w:val="007B4F41"/>
    <w:rsid w:val="007B57C1"/>
    <w:rsid w:val="007B6EC3"/>
    <w:rsid w:val="007C0BF0"/>
    <w:rsid w:val="007C0FE0"/>
    <w:rsid w:val="007C20AD"/>
    <w:rsid w:val="007C210C"/>
    <w:rsid w:val="007C2334"/>
    <w:rsid w:val="007C29C3"/>
    <w:rsid w:val="007C2B60"/>
    <w:rsid w:val="007C2E22"/>
    <w:rsid w:val="007C3055"/>
    <w:rsid w:val="007C3659"/>
    <w:rsid w:val="007C3676"/>
    <w:rsid w:val="007C4200"/>
    <w:rsid w:val="007C4213"/>
    <w:rsid w:val="007C424E"/>
    <w:rsid w:val="007C4325"/>
    <w:rsid w:val="007C44E6"/>
    <w:rsid w:val="007C4A32"/>
    <w:rsid w:val="007C51D9"/>
    <w:rsid w:val="007C5634"/>
    <w:rsid w:val="007C6213"/>
    <w:rsid w:val="007C776A"/>
    <w:rsid w:val="007D2DD9"/>
    <w:rsid w:val="007D3669"/>
    <w:rsid w:val="007D520E"/>
    <w:rsid w:val="007D5380"/>
    <w:rsid w:val="007D56E4"/>
    <w:rsid w:val="007D60D1"/>
    <w:rsid w:val="007D612F"/>
    <w:rsid w:val="007D7FE4"/>
    <w:rsid w:val="007E019E"/>
    <w:rsid w:val="007E0655"/>
    <w:rsid w:val="007E0756"/>
    <w:rsid w:val="007E097F"/>
    <w:rsid w:val="007E1200"/>
    <w:rsid w:val="007E1A82"/>
    <w:rsid w:val="007E29FF"/>
    <w:rsid w:val="007E2CAF"/>
    <w:rsid w:val="007E2FDB"/>
    <w:rsid w:val="007E3638"/>
    <w:rsid w:val="007E36E7"/>
    <w:rsid w:val="007E4808"/>
    <w:rsid w:val="007E4E15"/>
    <w:rsid w:val="007E52BC"/>
    <w:rsid w:val="007E5DDD"/>
    <w:rsid w:val="007E6406"/>
    <w:rsid w:val="007E6D15"/>
    <w:rsid w:val="007E6EB2"/>
    <w:rsid w:val="007E6F6E"/>
    <w:rsid w:val="007E7356"/>
    <w:rsid w:val="007E7C0D"/>
    <w:rsid w:val="007F0089"/>
    <w:rsid w:val="007F149F"/>
    <w:rsid w:val="007F19D7"/>
    <w:rsid w:val="007F1A88"/>
    <w:rsid w:val="007F1CCA"/>
    <w:rsid w:val="007F225F"/>
    <w:rsid w:val="007F319B"/>
    <w:rsid w:val="007F3540"/>
    <w:rsid w:val="007F35D3"/>
    <w:rsid w:val="007F3BB9"/>
    <w:rsid w:val="007F3EEE"/>
    <w:rsid w:val="007F3F03"/>
    <w:rsid w:val="007F3F0F"/>
    <w:rsid w:val="007F4000"/>
    <w:rsid w:val="007F4045"/>
    <w:rsid w:val="007F45A1"/>
    <w:rsid w:val="007F53D3"/>
    <w:rsid w:val="007F5502"/>
    <w:rsid w:val="007F5C38"/>
    <w:rsid w:val="007F62EE"/>
    <w:rsid w:val="007F66A8"/>
    <w:rsid w:val="007F6968"/>
    <w:rsid w:val="007F7456"/>
    <w:rsid w:val="007F7676"/>
    <w:rsid w:val="007F7B3C"/>
    <w:rsid w:val="007F7EAA"/>
    <w:rsid w:val="00800BDA"/>
    <w:rsid w:val="0080107A"/>
    <w:rsid w:val="008019E5"/>
    <w:rsid w:val="00802EFA"/>
    <w:rsid w:val="008038FF"/>
    <w:rsid w:val="00803CEE"/>
    <w:rsid w:val="008049D3"/>
    <w:rsid w:val="00806145"/>
    <w:rsid w:val="008066A1"/>
    <w:rsid w:val="008103D3"/>
    <w:rsid w:val="008112FA"/>
    <w:rsid w:val="00811785"/>
    <w:rsid w:val="00811CA4"/>
    <w:rsid w:val="00811DEC"/>
    <w:rsid w:val="0081213B"/>
    <w:rsid w:val="0081385F"/>
    <w:rsid w:val="00814250"/>
    <w:rsid w:val="00815B2A"/>
    <w:rsid w:val="00815CC3"/>
    <w:rsid w:val="0081632B"/>
    <w:rsid w:val="0081775E"/>
    <w:rsid w:val="008177C6"/>
    <w:rsid w:val="00817C91"/>
    <w:rsid w:val="00820827"/>
    <w:rsid w:val="00820A55"/>
    <w:rsid w:val="0082136A"/>
    <w:rsid w:val="0082166E"/>
    <w:rsid w:val="00822057"/>
    <w:rsid w:val="00822394"/>
    <w:rsid w:val="00822E9E"/>
    <w:rsid w:val="00823275"/>
    <w:rsid w:val="008232AE"/>
    <w:rsid w:val="00823345"/>
    <w:rsid w:val="00823401"/>
    <w:rsid w:val="00823740"/>
    <w:rsid w:val="008243CE"/>
    <w:rsid w:val="00824992"/>
    <w:rsid w:val="008252A1"/>
    <w:rsid w:val="008253C3"/>
    <w:rsid w:val="00825D1A"/>
    <w:rsid w:val="00826AC6"/>
    <w:rsid w:val="00827157"/>
    <w:rsid w:val="008315C3"/>
    <w:rsid w:val="00831A74"/>
    <w:rsid w:val="00832B57"/>
    <w:rsid w:val="00833597"/>
    <w:rsid w:val="00833BF0"/>
    <w:rsid w:val="00833F12"/>
    <w:rsid w:val="0083439C"/>
    <w:rsid w:val="008344E2"/>
    <w:rsid w:val="0083452C"/>
    <w:rsid w:val="00834552"/>
    <w:rsid w:val="00834651"/>
    <w:rsid w:val="0083483D"/>
    <w:rsid w:val="008351FF"/>
    <w:rsid w:val="008367A3"/>
    <w:rsid w:val="00836DB7"/>
    <w:rsid w:val="0084189C"/>
    <w:rsid w:val="008421FC"/>
    <w:rsid w:val="008426D5"/>
    <w:rsid w:val="00842A72"/>
    <w:rsid w:val="00843AEE"/>
    <w:rsid w:val="00843DB6"/>
    <w:rsid w:val="00843EC2"/>
    <w:rsid w:val="00845353"/>
    <w:rsid w:val="00845824"/>
    <w:rsid w:val="00845BC2"/>
    <w:rsid w:val="0084647C"/>
    <w:rsid w:val="00846488"/>
    <w:rsid w:val="00846499"/>
    <w:rsid w:val="008470DF"/>
    <w:rsid w:val="00847A5D"/>
    <w:rsid w:val="008501D7"/>
    <w:rsid w:val="00850257"/>
    <w:rsid w:val="00850413"/>
    <w:rsid w:val="00850A4D"/>
    <w:rsid w:val="00851A61"/>
    <w:rsid w:val="0085233D"/>
    <w:rsid w:val="00852DCF"/>
    <w:rsid w:val="0085350A"/>
    <w:rsid w:val="00853546"/>
    <w:rsid w:val="00853AFB"/>
    <w:rsid w:val="00853B4A"/>
    <w:rsid w:val="0085453A"/>
    <w:rsid w:val="008552B2"/>
    <w:rsid w:val="0085556C"/>
    <w:rsid w:val="00855AD3"/>
    <w:rsid w:val="00855E90"/>
    <w:rsid w:val="00856008"/>
    <w:rsid w:val="00857638"/>
    <w:rsid w:val="008603B8"/>
    <w:rsid w:val="008613C4"/>
    <w:rsid w:val="00861AF6"/>
    <w:rsid w:val="0086207D"/>
    <w:rsid w:val="00862188"/>
    <w:rsid w:val="0086252D"/>
    <w:rsid w:val="0086297F"/>
    <w:rsid w:val="0086331D"/>
    <w:rsid w:val="00863B60"/>
    <w:rsid w:val="00863C90"/>
    <w:rsid w:val="00864262"/>
    <w:rsid w:val="0086432F"/>
    <w:rsid w:val="00865280"/>
    <w:rsid w:val="00865E01"/>
    <w:rsid w:val="00865EBF"/>
    <w:rsid w:val="0086625C"/>
    <w:rsid w:val="00866D95"/>
    <w:rsid w:val="0086773D"/>
    <w:rsid w:val="00871EDE"/>
    <w:rsid w:val="0087203A"/>
    <w:rsid w:val="00872C65"/>
    <w:rsid w:val="00872EC7"/>
    <w:rsid w:val="00872EEF"/>
    <w:rsid w:val="0087344C"/>
    <w:rsid w:val="00873773"/>
    <w:rsid w:val="008738E4"/>
    <w:rsid w:val="008739F8"/>
    <w:rsid w:val="008745DB"/>
    <w:rsid w:val="00875255"/>
    <w:rsid w:val="0087565D"/>
    <w:rsid w:val="008767FA"/>
    <w:rsid w:val="00876C7A"/>
    <w:rsid w:val="00877686"/>
    <w:rsid w:val="00877B4E"/>
    <w:rsid w:val="00877E50"/>
    <w:rsid w:val="00883097"/>
    <w:rsid w:val="008833C8"/>
    <w:rsid w:val="0088374C"/>
    <w:rsid w:val="008837E9"/>
    <w:rsid w:val="00883B3C"/>
    <w:rsid w:val="00883E34"/>
    <w:rsid w:val="00883F89"/>
    <w:rsid w:val="0088407A"/>
    <w:rsid w:val="0088504F"/>
    <w:rsid w:val="00886B0E"/>
    <w:rsid w:val="00887068"/>
    <w:rsid w:val="00890315"/>
    <w:rsid w:val="00890466"/>
    <w:rsid w:val="008916A1"/>
    <w:rsid w:val="00891E01"/>
    <w:rsid w:val="00893250"/>
    <w:rsid w:val="00893F1D"/>
    <w:rsid w:val="00894F24"/>
    <w:rsid w:val="008953D9"/>
    <w:rsid w:val="00895F8A"/>
    <w:rsid w:val="0089606D"/>
    <w:rsid w:val="00896BAF"/>
    <w:rsid w:val="0089701F"/>
    <w:rsid w:val="00897285"/>
    <w:rsid w:val="008979C0"/>
    <w:rsid w:val="00897EB7"/>
    <w:rsid w:val="00897FA4"/>
    <w:rsid w:val="008A0529"/>
    <w:rsid w:val="008A0802"/>
    <w:rsid w:val="008A08AC"/>
    <w:rsid w:val="008A1766"/>
    <w:rsid w:val="008A1B02"/>
    <w:rsid w:val="008A2496"/>
    <w:rsid w:val="008A283C"/>
    <w:rsid w:val="008A297C"/>
    <w:rsid w:val="008A3C28"/>
    <w:rsid w:val="008A4B42"/>
    <w:rsid w:val="008A50C8"/>
    <w:rsid w:val="008A52FF"/>
    <w:rsid w:val="008A5E1A"/>
    <w:rsid w:val="008A636A"/>
    <w:rsid w:val="008A63BF"/>
    <w:rsid w:val="008A655B"/>
    <w:rsid w:val="008A6F49"/>
    <w:rsid w:val="008A706A"/>
    <w:rsid w:val="008A72E9"/>
    <w:rsid w:val="008A7473"/>
    <w:rsid w:val="008B000A"/>
    <w:rsid w:val="008B045E"/>
    <w:rsid w:val="008B0AB9"/>
    <w:rsid w:val="008B0E83"/>
    <w:rsid w:val="008B38AC"/>
    <w:rsid w:val="008B43AA"/>
    <w:rsid w:val="008B46E7"/>
    <w:rsid w:val="008B4780"/>
    <w:rsid w:val="008B4A1A"/>
    <w:rsid w:val="008B56C2"/>
    <w:rsid w:val="008B6669"/>
    <w:rsid w:val="008B701E"/>
    <w:rsid w:val="008B7CE4"/>
    <w:rsid w:val="008B7FD7"/>
    <w:rsid w:val="008C0134"/>
    <w:rsid w:val="008C08B1"/>
    <w:rsid w:val="008C0977"/>
    <w:rsid w:val="008C1CF5"/>
    <w:rsid w:val="008C1FFD"/>
    <w:rsid w:val="008C26C7"/>
    <w:rsid w:val="008C2B29"/>
    <w:rsid w:val="008C315B"/>
    <w:rsid w:val="008C43C2"/>
    <w:rsid w:val="008C48C7"/>
    <w:rsid w:val="008C5EE7"/>
    <w:rsid w:val="008C6215"/>
    <w:rsid w:val="008C670B"/>
    <w:rsid w:val="008D002E"/>
    <w:rsid w:val="008D13B9"/>
    <w:rsid w:val="008D16C3"/>
    <w:rsid w:val="008D1885"/>
    <w:rsid w:val="008D19D5"/>
    <w:rsid w:val="008D1DBE"/>
    <w:rsid w:val="008D26C8"/>
    <w:rsid w:val="008D27EC"/>
    <w:rsid w:val="008D2F61"/>
    <w:rsid w:val="008D3005"/>
    <w:rsid w:val="008D5ABD"/>
    <w:rsid w:val="008D72E0"/>
    <w:rsid w:val="008D72EB"/>
    <w:rsid w:val="008D7D02"/>
    <w:rsid w:val="008E06FE"/>
    <w:rsid w:val="008E0930"/>
    <w:rsid w:val="008E1DE0"/>
    <w:rsid w:val="008E38BE"/>
    <w:rsid w:val="008E417D"/>
    <w:rsid w:val="008E52B3"/>
    <w:rsid w:val="008E5563"/>
    <w:rsid w:val="008E61E7"/>
    <w:rsid w:val="008E6BFB"/>
    <w:rsid w:val="008E7281"/>
    <w:rsid w:val="008E771C"/>
    <w:rsid w:val="008E7F7C"/>
    <w:rsid w:val="008F056F"/>
    <w:rsid w:val="008F064B"/>
    <w:rsid w:val="008F089E"/>
    <w:rsid w:val="008F0BB2"/>
    <w:rsid w:val="008F240F"/>
    <w:rsid w:val="008F3231"/>
    <w:rsid w:val="008F392B"/>
    <w:rsid w:val="008F3F4B"/>
    <w:rsid w:val="008F40BB"/>
    <w:rsid w:val="008F45CF"/>
    <w:rsid w:val="008F4915"/>
    <w:rsid w:val="008F52D4"/>
    <w:rsid w:val="008F5B47"/>
    <w:rsid w:val="008F63A9"/>
    <w:rsid w:val="008F665E"/>
    <w:rsid w:val="008F66CA"/>
    <w:rsid w:val="008F68A4"/>
    <w:rsid w:val="008F7E31"/>
    <w:rsid w:val="008F7E72"/>
    <w:rsid w:val="00901E22"/>
    <w:rsid w:val="00902421"/>
    <w:rsid w:val="0090250B"/>
    <w:rsid w:val="009028A4"/>
    <w:rsid w:val="009029F9"/>
    <w:rsid w:val="00902AC5"/>
    <w:rsid w:val="00902E15"/>
    <w:rsid w:val="00902F0A"/>
    <w:rsid w:val="009033E3"/>
    <w:rsid w:val="009036CE"/>
    <w:rsid w:val="00904167"/>
    <w:rsid w:val="00905202"/>
    <w:rsid w:val="00906066"/>
    <w:rsid w:val="009078C3"/>
    <w:rsid w:val="009100E8"/>
    <w:rsid w:val="00910541"/>
    <w:rsid w:val="0091074E"/>
    <w:rsid w:val="009107D7"/>
    <w:rsid w:val="00910A52"/>
    <w:rsid w:val="009112E3"/>
    <w:rsid w:val="009115C7"/>
    <w:rsid w:val="009117BB"/>
    <w:rsid w:val="00911AB7"/>
    <w:rsid w:val="009121EC"/>
    <w:rsid w:val="00912506"/>
    <w:rsid w:val="009125EA"/>
    <w:rsid w:val="00913401"/>
    <w:rsid w:val="00915BF7"/>
    <w:rsid w:val="009163D8"/>
    <w:rsid w:val="00917411"/>
    <w:rsid w:val="00917D6B"/>
    <w:rsid w:val="009202C7"/>
    <w:rsid w:val="00920464"/>
    <w:rsid w:val="00920857"/>
    <w:rsid w:val="009209B2"/>
    <w:rsid w:val="00920AC5"/>
    <w:rsid w:val="00920E66"/>
    <w:rsid w:val="0092362C"/>
    <w:rsid w:val="00923951"/>
    <w:rsid w:val="00923BB7"/>
    <w:rsid w:val="0092453A"/>
    <w:rsid w:val="0092485E"/>
    <w:rsid w:val="00925316"/>
    <w:rsid w:val="0092624D"/>
    <w:rsid w:val="00926AC3"/>
    <w:rsid w:val="00926B1E"/>
    <w:rsid w:val="00926C14"/>
    <w:rsid w:val="00926C38"/>
    <w:rsid w:val="00926D69"/>
    <w:rsid w:val="00927367"/>
    <w:rsid w:val="00930BBF"/>
    <w:rsid w:val="0093106F"/>
    <w:rsid w:val="0093111F"/>
    <w:rsid w:val="00931AA7"/>
    <w:rsid w:val="00931BA1"/>
    <w:rsid w:val="00932102"/>
    <w:rsid w:val="0093261A"/>
    <w:rsid w:val="009337DC"/>
    <w:rsid w:val="009337FB"/>
    <w:rsid w:val="00934093"/>
    <w:rsid w:val="00935A01"/>
    <w:rsid w:val="0093654A"/>
    <w:rsid w:val="009376D7"/>
    <w:rsid w:val="009378C5"/>
    <w:rsid w:val="0094022D"/>
    <w:rsid w:val="0094123C"/>
    <w:rsid w:val="0094253A"/>
    <w:rsid w:val="0094261A"/>
    <w:rsid w:val="00942719"/>
    <w:rsid w:val="0094348C"/>
    <w:rsid w:val="009436AC"/>
    <w:rsid w:val="00944570"/>
    <w:rsid w:val="00944751"/>
    <w:rsid w:val="009447E0"/>
    <w:rsid w:val="009449C7"/>
    <w:rsid w:val="00944A80"/>
    <w:rsid w:val="00944BC5"/>
    <w:rsid w:val="009459D2"/>
    <w:rsid w:val="00945D58"/>
    <w:rsid w:val="00946238"/>
    <w:rsid w:val="009465AF"/>
    <w:rsid w:val="0095018C"/>
    <w:rsid w:val="00950538"/>
    <w:rsid w:val="00950DD0"/>
    <w:rsid w:val="009514FF"/>
    <w:rsid w:val="009515E2"/>
    <w:rsid w:val="00951921"/>
    <w:rsid w:val="00951F23"/>
    <w:rsid w:val="0095273B"/>
    <w:rsid w:val="009528ED"/>
    <w:rsid w:val="00952D73"/>
    <w:rsid w:val="00952F0F"/>
    <w:rsid w:val="00953E2F"/>
    <w:rsid w:val="00954D4B"/>
    <w:rsid w:val="00954DEF"/>
    <w:rsid w:val="00955089"/>
    <w:rsid w:val="00955492"/>
    <w:rsid w:val="009559E9"/>
    <w:rsid w:val="00956669"/>
    <w:rsid w:val="009566ED"/>
    <w:rsid w:val="00956A6D"/>
    <w:rsid w:val="00956F35"/>
    <w:rsid w:val="009570EB"/>
    <w:rsid w:val="0096062C"/>
    <w:rsid w:val="00960946"/>
    <w:rsid w:val="00960A93"/>
    <w:rsid w:val="00960F3F"/>
    <w:rsid w:val="009611A7"/>
    <w:rsid w:val="00961AA6"/>
    <w:rsid w:val="00962254"/>
    <w:rsid w:val="00962656"/>
    <w:rsid w:val="00962D8C"/>
    <w:rsid w:val="0096311A"/>
    <w:rsid w:val="00963359"/>
    <w:rsid w:val="009636D9"/>
    <w:rsid w:val="009638C1"/>
    <w:rsid w:val="0096447D"/>
    <w:rsid w:val="009647A5"/>
    <w:rsid w:val="009647D5"/>
    <w:rsid w:val="009655AE"/>
    <w:rsid w:val="00965692"/>
    <w:rsid w:val="00966998"/>
    <w:rsid w:val="009669D6"/>
    <w:rsid w:val="00966A84"/>
    <w:rsid w:val="00966B68"/>
    <w:rsid w:val="00967B15"/>
    <w:rsid w:val="00967ED1"/>
    <w:rsid w:val="009701C8"/>
    <w:rsid w:val="009702DF"/>
    <w:rsid w:val="00970853"/>
    <w:rsid w:val="009711EC"/>
    <w:rsid w:val="009729C3"/>
    <w:rsid w:val="00972AB6"/>
    <w:rsid w:val="009733D3"/>
    <w:rsid w:val="00973579"/>
    <w:rsid w:val="0097385D"/>
    <w:rsid w:val="00973DF3"/>
    <w:rsid w:val="00975A09"/>
    <w:rsid w:val="009762C3"/>
    <w:rsid w:val="0097675C"/>
    <w:rsid w:val="00976AD4"/>
    <w:rsid w:val="00976BB8"/>
    <w:rsid w:val="00976BEC"/>
    <w:rsid w:val="00976DC1"/>
    <w:rsid w:val="0097763B"/>
    <w:rsid w:val="00977E41"/>
    <w:rsid w:val="00977F01"/>
    <w:rsid w:val="009807A7"/>
    <w:rsid w:val="00980A5C"/>
    <w:rsid w:val="00980CA0"/>
    <w:rsid w:val="0098180E"/>
    <w:rsid w:val="00982052"/>
    <w:rsid w:val="009821B9"/>
    <w:rsid w:val="00982443"/>
    <w:rsid w:val="00982D22"/>
    <w:rsid w:val="00983242"/>
    <w:rsid w:val="00984081"/>
    <w:rsid w:val="00985365"/>
    <w:rsid w:val="009853E3"/>
    <w:rsid w:val="00985743"/>
    <w:rsid w:val="0098586B"/>
    <w:rsid w:val="00985EE4"/>
    <w:rsid w:val="0098630B"/>
    <w:rsid w:val="0098652A"/>
    <w:rsid w:val="00986D80"/>
    <w:rsid w:val="0099017B"/>
    <w:rsid w:val="00991548"/>
    <w:rsid w:val="00991634"/>
    <w:rsid w:val="00991756"/>
    <w:rsid w:val="00991C2F"/>
    <w:rsid w:val="009920BF"/>
    <w:rsid w:val="00993530"/>
    <w:rsid w:val="00994225"/>
    <w:rsid w:val="0099561F"/>
    <w:rsid w:val="00995DDA"/>
    <w:rsid w:val="00996574"/>
    <w:rsid w:val="00996883"/>
    <w:rsid w:val="00996A22"/>
    <w:rsid w:val="00996E2D"/>
    <w:rsid w:val="00997420"/>
    <w:rsid w:val="00997780"/>
    <w:rsid w:val="00997C7F"/>
    <w:rsid w:val="00997EA7"/>
    <w:rsid w:val="009A00D1"/>
    <w:rsid w:val="009A05C2"/>
    <w:rsid w:val="009A060D"/>
    <w:rsid w:val="009A143D"/>
    <w:rsid w:val="009A1B5D"/>
    <w:rsid w:val="009A2165"/>
    <w:rsid w:val="009A2671"/>
    <w:rsid w:val="009A2879"/>
    <w:rsid w:val="009A2D6A"/>
    <w:rsid w:val="009A3115"/>
    <w:rsid w:val="009A3159"/>
    <w:rsid w:val="009A36D5"/>
    <w:rsid w:val="009A4924"/>
    <w:rsid w:val="009A4B17"/>
    <w:rsid w:val="009A62FE"/>
    <w:rsid w:val="009A688F"/>
    <w:rsid w:val="009A6E7C"/>
    <w:rsid w:val="009B02E3"/>
    <w:rsid w:val="009B0672"/>
    <w:rsid w:val="009B157C"/>
    <w:rsid w:val="009B3245"/>
    <w:rsid w:val="009B3608"/>
    <w:rsid w:val="009B4B53"/>
    <w:rsid w:val="009B512A"/>
    <w:rsid w:val="009B5530"/>
    <w:rsid w:val="009B5568"/>
    <w:rsid w:val="009B58A4"/>
    <w:rsid w:val="009B61A1"/>
    <w:rsid w:val="009B6446"/>
    <w:rsid w:val="009C0D5D"/>
    <w:rsid w:val="009C0E43"/>
    <w:rsid w:val="009C120F"/>
    <w:rsid w:val="009C12E2"/>
    <w:rsid w:val="009C287E"/>
    <w:rsid w:val="009C2A24"/>
    <w:rsid w:val="009C329D"/>
    <w:rsid w:val="009C3625"/>
    <w:rsid w:val="009C3B62"/>
    <w:rsid w:val="009C42D9"/>
    <w:rsid w:val="009C48C9"/>
    <w:rsid w:val="009C53EB"/>
    <w:rsid w:val="009C590A"/>
    <w:rsid w:val="009C6684"/>
    <w:rsid w:val="009C6831"/>
    <w:rsid w:val="009C68F5"/>
    <w:rsid w:val="009C6CE6"/>
    <w:rsid w:val="009C6E82"/>
    <w:rsid w:val="009C7949"/>
    <w:rsid w:val="009C7CA2"/>
    <w:rsid w:val="009D0672"/>
    <w:rsid w:val="009D0BAC"/>
    <w:rsid w:val="009D0E47"/>
    <w:rsid w:val="009D0F37"/>
    <w:rsid w:val="009D1AE3"/>
    <w:rsid w:val="009D2CE5"/>
    <w:rsid w:val="009D2E39"/>
    <w:rsid w:val="009D30B8"/>
    <w:rsid w:val="009D3FFC"/>
    <w:rsid w:val="009D5378"/>
    <w:rsid w:val="009D5765"/>
    <w:rsid w:val="009D6764"/>
    <w:rsid w:val="009D6FBE"/>
    <w:rsid w:val="009D6FEA"/>
    <w:rsid w:val="009D7176"/>
    <w:rsid w:val="009D78FE"/>
    <w:rsid w:val="009E0B0A"/>
    <w:rsid w:val="009E13CD"/>
    <w:rsid w:val="009E14A0"/>
    <w:rsid w:val="009E1C8C"/>
    <w:rsid w:val="009E2D72"/>
    <w:rsid w:val="009E32BE"/>
    <w:rsid w:val="009E3CD7"/>
    <w:rsid w:val="009E4289"/>
    <w:rsid w:val="009E5943"/>
    <w:rsid w:val="009E5974"/>
    <w:rsid w:val="009E6A8D"/>
    <w:rsid w:val="009E71BE"/>
    <w:rsid w:val="009E79BC"/>
    <w:rsid w:val="009F1CCC"/>
    <w:rsid w:val="009F2260"/>
    <w:rsid w:val="009F2581"/>
    <w:rsid w:val="009F28FC"/>
    <w:rsid w:val="009F3748"/>
    <w:rsid w:val="009F3B34"/>
    <w:rsid w:val="009F3D0E"/>
    <w:rsid w:val="009F434C"/>
    <w:rsid w:val="009F499B"/>
    <w:rsid w:val="009F5AFA"/>
    <w:rsid w:val="009F71E9"/>
    <w:rsid w:val="009F7596"/>
    <w:rsid w:val="00A004F1"/>
    <w:rsid w:val="00A00520"/>
    <w:rsid w:val="00A00DA4"/>
    <w:rsid w:val="00A010C9"/>
    <w:rsid w:val="00A0113F"/>
    <w:rsid w:val="00A012F2"/>
    <w:rsid w:val="00A013C6"/>
    <w:rsid w:val="00A017DE"/>
    <w:rsid w:val="00A018D1"/>
    <w:rsid w:val="00A0272F"/>
    <w:rsid w:val="00A0281C"/>
    <w:rsid w:val="00A03E5C"/>
    <w:rsid w:val="00A05880"/>
    <w:rsid w:val="00A05BE9"/>
    <w:rsid w:val="00A05C61"/>
    <w:rsid w:val="00A05ED8"/>
    <w:rsid w:val="00A05F4B"/>
    <w:rsid w:val="00A06A8D"/>
    <w:rsid w:val="00A07991"/>
    <w:rsid w:val="00A104B9"/>
    <w:rsid w:val="00A1084D"/>
    <w:rsid w:val="00A11B8F"/>
    <w:rsid w:val="00A12055"/>
    <w:rsid w:val="00A121F4"/>
    <w:rsid w:val="00A12458"/>
    <w:rsid w:val="00A12DB8"/>
    <w:rsid w:val="00A12FA0"/>
    <w:rsid w:val="00A13586"/>
    <w:rsid w:val="00A13714"/>
    <w:rsid w:val="00A13B08"/>
    <w:rsid w:val="00A14507"/>
    <w:rsid w:val="00A1458A"/>
    <w:rsid w:val="00A14A44"/>
    <w:rsid w:val="00A14A73"/>
    <w:rsid w:val="00A154C3"/>
    <w:rsid w:val="00A161C8"/>
    <w:rsid w:val="00A16D39"/>
    <w:rsid w:val="00A16F89"/>
    <w:rsid w:val="00A171B8"/>
    <w:rsid w:val="00A2063D"/>
    <w:rsid w:val="00A20658"/>
    <w:rsid w:val="00A2088F"/>
    <w:rsid w:val="00A20A82"/>
    <w:rsid w:val="00A2133F"/>
    <w:rsid w:val="00A21F8F"/>
    <w:rsid w:val="00A227F9"/>
    <w:rsid w:val="00A230E1"/>
    <w:rsid w:val="00A23100"/>
    <w:rsid w:val="00A23D51"/>
    <w:rsid w:val="00A24450"/>
    <w:rsid w:val="00A2485B"/>
    <w:rsid w:val="00A2597E"/>
    <w:rsid w:val="00A25CBF"/>
    <w:rsid w:val="00A25F6F"/>
    <w:rsid w:val="00A2647F"/>
    <w:rsid w:val="00A26AD9"/>
    <w:rsid w:val="00A26B3E"/>
    <w:rsid w:val="00A26D2E"/>
    <w:rsid w:val="00A26F5E"/>
    <w:rsid w:val="00A27007"/>
    <w:rsid w:val="00A272CF"/>
    <w:rsid w:val="00A2736E"/>
    <w:rsid w:val="00A276E1"/>
    <w:rsid w:val="00A30000"/>
    <w:rsid w:val="00A30374"/>
    <w:rsid w:val="00A3062C"/>
    <w:rsid w:val="00A30D78"/>
    <w:rsid w:val="00A329C1"/>
    <w:rsid w:val="00A32A16"/>
    <w:rsid w:val="00A32AC3"/>
    <w:rsid w:val="00A32D7D"/>
    <w:rsid w:val="00A32FF6"/>
    <w:rsid w:val="00A3311D"/>
    <w:rsid w:val="00A339F4"/>
    <w:rsid w:val="00A33A67"/>
    <w:rsid w:val="00A33BB6"/>
    <w:rsid w:val="00A348EF"/>
    <w:rsid w:val="00A34DA9"/>
    <w:rsid w:val="00A3546C"/>
    <w:rsid w:val="00A35C07"/>
    <w:rsid w:val="00A35D9C"/>
    <w:rsid w:val="00A36675"/>
    <w:rsid w:val="00A37BB5"/>
    <w:rsid w:val="00A406C7"/>
    <w:rsid w:val="00A407E2"/>
    <w:rsid w:val="00A4086B"/>
    <w:rsid w:val="00A408B7"/>
    <w:rsid w:val="00A408DC"/>
    <w:rsid w:val="00A41954"/>
    <w:rsid w:val="00A41A95"/>
    <w:rsid w:val="00A42059"/>
    <w:rsid w:val="00A42299"/>
    <w:rsid w:val="00A42537"/>
    <w:rsid w:val="00A4318E"/>
    <w:rsid w:val="00A435EB"/>
    <w:rsid w:val="00A43823"/>
    <w:rsid w:val="00A43D1F"/>
    <w:rsid w:val="00A43DB2"/>
    <w:rsid w:val="00A43DC2"/>
    <w:rsid w:val="00A4414B"/>
    <w:rsid w:val="00A44369"/>
    <w:rsid w:val="00A4470A"/>
    <w:rsid w:val="00A45681"/>
    <w:rsid w:val="00A4597C"/>
    <w:rsid w:val="00A45FAE"/>
    <w:rsid w:val="00A46972"/>
    <w:rsid w:val="00A4758C"/>
    <w:rsid w:val="00A47931"/>
    <w:rsid w:val="00A47E29"/>
    <w:rsid w:val="00A50A13"/>
    <w:rsid w:val="00A50FBC"/>
    <w:rsid w:val="00A51038"/>
    <w:rsid w:val="00A514D1"/>
    <w:rsid w:val="00A514EA"/>
    <w:rsid w:val="00A5188A"/>
    <w:rsid w:val="00A51D15"/>
    <w:rsid w:val="00A51EC6"/>
    <w:rsid w:val="00A521F6"/>
    <w:rsid w:val="00A5297F"/>
    <w:rsid w:val="00A55463"/>
    <w:rsid w:val="00A55E19"/>
    <w:rsid w:val="00A56E9F"/>
    <w:rsid w:val="00A56FB8"/>
    <w:rsid w:val="00A57443"/>
    <w:rsid w:val="00A57A78"/>
    <w:rsid w:val="00A57CCD"/>
    <w:rsid w:val="00A602FD"/>
    <w:rsid w:val="00A60AF0"/>
    <w:rsid w:val="00A60C72"/>
    <w:rsid w:val="00A62C0C"/>
    <w:rsid w:val="00A62EF3"/>
    <w:rsid w:val="00A63C37"/>
    <w:rsid w:val="00A64543"/>
    <w:rsid w:val="00A65604"/>
    <w:rsid w:val="00A65FCF"/>
    <w:rsid w:val="00A665CA"/>
    <w:rsid w:val="00A673EE"/>
    <w:rsid w:val="00A679DB"/>
    <w:rsid w:val="00A71861"/>
    <w:rsid w:val="00A71890"/>
    <w:rsid w:val="00A719B2"/>
    <w:rsid w:val="00A71C87"/>
    <w:rsid w:val="00A7272F"/>
    <w:rsid w:val="00A730FC"/>
    <w:rsid w:val="00A73F7B"/>
    <w:rsid w:val="00A73FB9"/>
    <w:rsid w:val="00A74784"/>
    <w:rsid w:val="00A74F4D"/>
    <w:rsid w:val="00A75EBE"/>
    <w:rsid w:val="00A7615E"/>
    <w:rsid w:val="00A76271"/>
    <w:rsid w:val="00A7658E"/>
    <w:rsid w:val="00A768FF"/>
    <w:rsid w:val="00A770AC"/>
    <w:rsid w:val="00A7722C"/>
    <w:rsid w:val="00A7751C"/>
    <w:rsid w:val="00A778E5"/>
    <w:rsid w:val="00A77949"/>
    <w:rsid w:val="00A77C25"/>
    <w:rsid w:val="00A805F2"/>
    <w:rsid w:val="00A8246B"/>
    <w:rsid w:val="00A8278F"/>
    <w:rsid w:val="00A82807"/>
    <w:rsid w:val="00A83709"/>
    <w:rsid w:val="00A851FD"/>
    <w:rsid w:val="00A85527"/>
    <w:rsid w:val="00A86AA7"/>
    <w:rsid w:val="00A86CFA"/>
    <w:rsid w:val="00A8728E"/>
    <w:rsid w:val="00A87587"/>
    <w:rsid w:val="00A900E3"/>
    <w:rsid w:val="00A913B6"/>
    <w:rsid w:val="00A91ECC"/>
    <w:rsid w:val="00A93A3E"/>
    <w:rsid w:val="00A94A72"/>
    <w:rsid w:val="00A95AFE"/>
    <w:rsid w:val="00A95EBB"/>
    <w:rsid w:val="00A96518"/>
    <w:rsid w:val="00A96ADF"/>
    <w:rsid w:val="00A96B64"/>
    <w:rsid w:val="00A9717F"/>
    <w:rsid w:val="00A9726A"/>
    <w:rsid w:val="00A978D8"/>
    <w:rsid w:val="00AA0B56"/>
    <w:rsid w:val="00AA0E7E"/>
    <w:rsid w:val="00AA1A1E"/>
    <w:rsid w:val="00AA1BD9"/>
    <w:rsid w:val="00AA2470"/>
    <w:rsid w:val="00AA25DC"/>
    <w:rsid w:val="00AA2FC3"/>
    <w:rsid w:val="00AA37DF"/>
    <w:rsid w:val="00AA3A88"/>
    <w:rsid w:val="00AA4BD2"/>
    <w:rsid w:val="00AA5A7E"/>
    <w:rsid w:val="00AA5C13"/>
    <w:rsid w:val="00AA5FA2"/>
    <w:rsid w:val="00AA6157"/>
    <w:rsid w:val="00AA6967"/>
    <w:rsid w:val="00AA730D"/>
    <w:rsid w:val="00AA7B2C"/>
    <w:rsid w:val="00AA7EE3"/>
    <w:rsid w:val="00AA7F28"/>
    <w:rsid w:val="00AA7F96"/>
    <w:rsid w:val="00AB0044"/>
    <w:rsid w:val="00AB034D"/>
    <w:rsid w:val="00AB0CFF"/>
    <w:rsid w:val="00AB106C"/>
    <w:rsid w:val="00AB12BC"/>
    <w:rsid w:val="00AB22F8"/>
    <w:rsid w:val="00AB27E0"/>
    <w:rsid w:val="00AB2AE4"/>
    <w:rsid w:val="00AB2DA9"/>
    <w:rsid w:val="00AB362B"/>
    <w:rsid w:val="00AB3B8F"/>
    <w:rsid w:val="00AB432A"/>
    <w:rsid w:val="00AB4BC9"/>
    <w:rsid w:val="00AB5909"/>
    <w:rsid w:val="00AB60F5"/>
    <w:rsid w:val="00AB6E8B"/>
    <w:rsid w:val="00AC040E"/>
    <w:rsid w:val="00AC0697"/>
    <w:rsid w:val="00AC0E97"/>
    <w:rsid w:val="00AC273E"/>
    <w:rsid w:val="00AC2BD3"/>
    <w:rsid w:val="00AC2CBE"/>
    <w:rsid w:val="00AC39A5"/>
    <w:rsid w:val="00AC3D4C"/>
    <w:rsid w:val="00AC3F68"/>
    <w:rsid w:val="00AC419A"/>
    <w:rsid w:val="00AC4EE3"/>
    <w:rsid w:val="00AC65BA"/>
    <w:rsid w:val="00AC790F"/>
    <w:rsid w:val="00AC7B83"/>
    <w:rsid w:val="00AD01AE"/>
    <w:rsid w:val="00AD07B9"/>
    <w:rsid w:val="00AD0A76"/>
    <w:rsid w:val="00AD0F9C"/>
    <w:rsid w:val="00AD142C"/>
    <w:rsid w:val="00AD21A8"/>
    <w:rsid w:val="00AD21F8"/>
    <w:rsid w:val="00AD2263"/>
    <w:rsid w:val="00AD2C44"/>
    <w:rsid w:val="00AD2D88"/>
    <w:rsid w:val="00AD2F41"/>
    <w:rsid w:val="00AD334A"/>
    <w:rsid w:val="00AD3365"/>
    <w:rsid w:val="00AD3477"/>
    <w:rsid w:val="00AD4734"/>
    <w:rsid w:val="00AD5082"/>
    <w:rsid w:val="00AD5E59"/>
    <w:rsid w:val="00AD6A13"/>
    <w:rsid w:val="00AD70CB"/>
    <w:rsid w:val="00AD75D8"/>
    <w:rsid w:val="00AD7CBE"/>
    <w:rsid w:val="00AD7DFE"/>
    <w:rsid w:val="00AE0501"/>
    <w:rsid w:val="00AE07B2"/>
    <w:rsid w:val="00AE0AED"/>
    <w:rsid w:val="00AE1344"/>
    <w:rsid w:val="00AE1B58"/>
    <w:rsid w:val="00AE25DD"/>
    <w:rsid w:val="00AE2A72"/>
    <w:rsid w:val="00AE3E2D"/>
    <w:rsid w:val="00AE41BC"/>
    <w:rsid w:val="00AE4312"/>
    <w:rsid w:val="00AE4A4B"/>
    <w:rsid w:val="00AE51D4"/>
    <w:rsid w:val="00AE5427"/>
    <w:rsid w:val="00AE5592"/>
    <w:rsid w:val="00AE5D6B"/>
    <w:rsid w:val="00AE6B9D"/>
    <w:rsid w:val="00AE6CD4"/>
    <w:rsid w:val="00AF04CF"/>
    <w:rsid w:val="00AF0601"/>
    <w:rsid w:val="00AF117C"/>
    <w:rsid w:val="00AF17AE"/>
    <w:rsid w:val="00AF2236"/>
    <w:rsid w:val="00AF227B"/>
    <w:rsid w:val="00AF271D"/>
    <w:rsid w:val="00AF2F21"/>
    <w:rsid w:val="00AF3710"/>
    <w:rsid w:val="00AF43ED"/>
    <w:rsid w:val="00AF441B"/>
    <w:rsid w:val="00AF45CE"/>
    <w:rsid w:val="00AF45D7"/>
    <w:rsid w:val="00AF5284"/>
    <w:rsid w:val="00AF5F9A"/>
    <w:rsid w:val="00AF609E"/>
    <w:rsid w:val="00AF61CC"/>
    <w:rsid w:val="00AF62B3"/>
    <w:rsid w:val="00AF7406"/>
    <w:rsid w:val="00AF746C"/>
    <w:rsid w:val="00B01CFC"/>
    <w:rsid w:val="00B01E51"/>
    <w:rsid w:val="00B02C69"/>
    <w:rsid w:val="00B02EEC"/>
    <w:rsid w:val="00B0331F"/>
    <w:rsid w:val="00B03546"/>
    <w:rsid w:val="00B03EB6"/>
    <w:rsid w:val="00B04637"/>
    <w:rsid w:val="00B04A9E"/>
    <w:rsid w:val="00B0565D"/>
    <w:rsid w:val="00B05CCE"/>
    <w:rsid w:val="00B05F11"/>
    <w:rsid w:val="00B067FD"/>
    <w:rsid w:val="00B0697E"/>
    <w:rsid w:val="00B06DF9"/>
    <w:rsid w:val="00B06F64"/>
    <w:rsid w:val="00B070A7"/>
    <w:rsid w:val="00B073D7"/>
    <w:rsid w:val="00B07C9B"/>
    <w:rsid w:val="00B07F57"/>
    <w:rsid w:val="00B10BE3"/>
    <w:rsid w:val="00B10CD0"/>
    <w:rsid w:val="00B1126A"/>
    <w:rsid w:val="00B112E1"/>
    <w:rsid w:val="00B11DAD"/>
    <w:rsid w:val="00B12210"/>
    <w:rsid w:val="00B12969"/>
    <w:rsid w:val="00B12F84"/>
    <w:rsid w:val="00B13C4E"/>
    <w:rsid w:val="00B14B8C"/>
    <w:rsid w:val="00B15130"/>
    <w:rsid w:val="00B15582"/>
    <w:rsid w:val="00B157FF"/>
    <w:rsid w:val="00B1626D"/>
    <w:rsid w:val="00B16891"/>
    <w:rsid w:val="00B16AAB"/>
    <w:rsid w:val="00B175C6"/>
    <w:rsid w:val="00B20155"/>
    <w:rsid w:val="00B20C0E"/>
    <w:rsid w:val="00B20EB7"/>
    <w:rsid w:val="00B217E6"/>
    <w:rsid w:val="00B21E9F"/>
    <w:rsid w:val="00B21FD0"/>
    <w:rsid w:val="00B224EC"/>
    <w:rsid w:val="00B2369E"/>
    <w:rsid w:val="00B24956"/>
    <w:rsid w:val="00B24D69"/>
    <w:rsid w:val="00B250DD"/>
    <w:rsid w:val="00B2513A"/>
    <w:rsid w:val="00B253E2"/>
    <w:rsid w:val="00B25460"/>
    <w:rsid w:val="00B2597F"/>
    <w:rsid w:val="00B25B4B"/>
    <w:rsid w:val="00B26334"/>
    <w:rsid w:val="00B270F0"/>
    <w:rsid w:val="00B2713C"/>
    <w:rsid w:val="00B277A3"/>
    <w:rsid w:val="00B277B8"/>
    <w:rsid w:val="00B303AE"/>
    <w:rsid w:val="00B31126"/>
    <w:rsid w:val="00B3142D"/>
    <w:rsid w:val="00B3173A"/>
    <w:rsid w:val="00B31777"/>
    <w:rsid w:val="00B323C7"/>
    <w:rsid w:val="00B33099"/>
    <w:rsid w:val="00B33600"/>
    <w:rsid w:val="00B33E71"/>
    <w:rsid w:val="00B34FC9"/>
    <w:rsid w:val="00B35E0E"/>
    <w:rsid w:val="00B366D6"/>
    <w:rsid w:val="00B36D45"/>
    <w:rsid w:val="00B37843"/>
    <w:rsid w:val="00B37B46"/>
    <w:rsid w:val="00B37C32"/>
    <w:rsid w:val="00B37FB9"/>
    <w:rsid w:val="00B4025D"/>
    <w:rsid w:val="00B40432"/>
    <w:rsid w:val="00B40C63"/>
    <w:rsid w:val="00B40F79"/>
    <w:rsid w:val="00B4104A"/>
    <w:rsid w:val="00B41A67"/>
    <w:rsid w:val="00B42606"/>
    <w:rsid w:val="00B42BD7"/>
    <w:rsid w:val="00B42D03"/>
    <w:rsid w:val="00B43F74"/>
    <w:rsid w:val="00B4408B"/>
    <w:rsid w:val="00B440DC"/>
    <w:rsid w:val="00B4459E"/>
    <w:rsid w:val="00B44F3B"/>
    <w:rsid w:val="00B455F6"/>
    <w:rsid w:val="00B456F0"/>
    <w:rsid w:val="00B4610C"/>
    <w:rsid w:val="00B46288"/>
    <w:rsid w:val="00B46893"/>
    <w:rsid w:val="00B46FB9"/>
    <w:rsid w:val="00B471D8"/>
    <w:rsid w:val="00B5017F"/>
    <w:rsid w:val="00B50749"/>
    <w:rsid w:val="00B5108C"/>
    <w:rsid w:val="00B51D06"/>
    <w:rsid w:val="00B5224F"/>
    <w:rsid w:val="00B52F5A"/>
    <w:rsid w:val="00B53CE7"/>
    <w:rsid w:val="00B54095"/>
    <w:rsid w:val="00B54890"/>
    <w:rsid w:val="00B54EC4"/>
    <w:rsid w:val="00B55900"/>
    <w:rsid w:val="00B55CC3"/>
    <w:rsid w:val="00B55DE1"/>
    <w:rsid w:val="00B56646"/>
    <w:rsid w:val="00B56773"/>
    <w:rsid w:val="00B56968"/>
    <w:rsid w:val="00B56D5B"/>
    <w:rsid w:val="00B57D20"/>
    <w:rsid w:val="00B60338"/>
    <w:rsid w:val="00B60798"/>
    <w:rsid w:val="00B60C57"/>
    <w:rsid w:val="00B60E3E"/>
    <w:rsid w:val="00B610BC"/>
    <w:rsid w:val="00B62789"/>
    <w:rsid w:val="00B629BE"/>
    <w:rsid w:val="00B62E94"/>
    <w:rsid w:val="00B62FA9"/>
    <w:rsid w:val="00B6370D"/>
    <w:rsid w:val="00B64752"/>
    <w:rsid w:val="00B64B02"/>
    <w:rsid w:val="00B66150"/>
    <w:rsid w:val="00B66BBF"/>
    <w:rsid w:val="00B66CEA"/>
    <w:rsid w:val="00B679EB"/>
    <w:rsid w:val="00B67C79"/>
    <w:rsid w:val="00B70223"/>
    <w:rsid w:val="00B705BC"/>
    <w:rsid w:val="00B70CDB"/>
    <w:rsid w:val="00B712C3"/>
    <w:rsid w:val="00B71FCC"/>
    <w:rsid w:val="00B72340"/>
    <w:rsid w:val="00B72C05"/>
    <w:rsid w:val="00B72DE3"/>
    <w:rsid w:val="00B732FC"/>
    <w:rsid w:val="00B733AE"/>
    <w:rsid w:val="00B734C2"/>
    <w:rsid w:val="00B73D41"/>
    <w:rsid w:val="00B748AA"/>
    <w:rsid w:val="00B74B31"/>
    <w:rsid w:val="00B74CDD"/>
    <w:rsid w:val="00B751A1"/>
    <w:rsid w:val="00B7570C"/>
    <w:rsid w:val="00B757A3"/>
    <w:rsid w:val="00B7639A"/>
    <w:rsid w:val="00B76478"/>
    <w:rsid w:val="00B769F5"/>
    <w:rsid w:val="00B76F8E"/>
    <w:rsid w:val="00B77456"/>
    <w:rsid w:val="00B8043D"/>
    <w:rsid w:val="00B80459"/>
    <w:rsid w:val="00B808CA"/>
    <w:rsid w:val="00B80DA1"/>
    <w:rsid w:val="00B82509"/>
    <w:rsid w:val="00B82735"/>
    <w:rsid w:val="00B83CAF"/>
    <w:rsid w:val="00B84225"/>
    <w:rsid w:val="00B844A8"/>
    <w:rsid w:val="00B852F8"/>
    <w:rsid w:val="00B858B7"/>
    <w:rsid w:val="00B86314"/>
    <w:rsid w:val="00B867EF"/>
    <w:rsid w:val="00B86C35"/>
    <w:rsid w:val="00B87225"/>
    <w:rsid w:val="00B877F1"/>
    <w:rsid w:val="00B900D6"/>
    <w:rsid w:val="00B917CE"/>
    <w:rsid w:val="00B91B7D"/>
    <w:rsid w:val="00B929AD"/>
    <w:rsid w:val="00B9414D"/>
    <w:rsid w:val="00B95280"/>
    <w:rsid w:val="00B95BB3"/>
    <w:rsid w:val="00B95F6C"/>
    <w:rsid w:val="00B9729D"/>
    <w:rsid w:val="00B978A1"/>
    <w:rsid w:val="00BA01AA"/>
    <w:rsid w:val="00BA0E16"/>
    <w:rsid w:val="00BA0E8A"/>
    <w:rsid w:val="00BA1102"/>
    <w:rsid w:val="00BA11C6"/>
    <w:rsid w:val="00BA145B"/>
    <w:rsid w:val="00BA188B"/>
    <w:rsid w:val="00BA188D"/>
    <w:rsid w:val="00BA1958"/>
    <w:rsid w:val="00BA1B26"/>
    <w:rsid w:val="00BA1C35"/>
    <w:rsid w:val="00BA1EBA"/>
    <w:rsid w:val="00BA2412"/>
    <w:rsid w:val="00BA2E0D"/>
    <w:rsid w:val="00BA2F54"/>
    <w:rsid w:val="00BA35E1"/>
    <w:rsid w:val="00BA4221"/>
    <w:rsid w:val="00BA4599"/>
    <w:rsid w:val="00BA6399"/>
    <w:rsid w:val="00BA7224"/>
    <w:rsid w:val="00BA72D2"/>
    <w:rsid w:val="00BA745A"/>
    <w:rsid w:val="00BB0647"/>
    <w:rsid w:val="00BB078E"/>
    <w:rsid w:val="00BB0B7E"/>
    <w:rsid w:val="00BB1729"/>
    <w:rsid w:val="00BB2323"/>
    <w:rsid w:val="00BB268B"/>
    <w:rsid w:val="00BB2864"/>
    <w:rsid w:val="00BB2C85"/>
    <w:rsid w:val="00BB2E0F"/>
    <w:rsid w:val="00BB4707"/>
    <w:rsid w:val="00BB54E5"/>
    <w:rsid w:val="00BB5B2A"/>
    <w:rsid w:val="00BB6451"/>
    <w:rsid w:val="00BB6AB5"/>
    <w:rsid w:val="00BB747E"/>
    <w:rsid w:val="00BB7A86"/>
    <w:rsid w:val="00BC0436"/>
    <w:rsid w:val="00BC0A11"/>
    <w:rsid w:val="00BC1A55"/>
    <w:rsid w:val="00BC1B23"/>
    <w:rsid w:val="00BC1BAD"/>
    <w:rsid w:val="00BC2618"/>
    <w:rsid w:val="00BC26AF"/>
    <w:rsid w:val="00BC2B70"/>
    <w:rsid w:val="00BC2FFD"/>
    <w:rsid w:val="00BC41B0"/>
    <w:rsid w:val="00BC4C2E"/>
    <w:rsid w:val="00BC5063"/>
    <w:rsid w:val="00BC537B"/>
    <w:rsid w:val="00BC58FB"/>
    <w:rsid w:val="00BC58FD"/>
    <w:rsid w:val="00BC61CD"/>
    <w:rsid w:val="00BC6200"/>
    <w:rsid w:val="00BC6F2F"/>
    <w:rsid w:val="00BD08F0"/>
    <w:rsid w:val="00BD0D2D"/>
    <w:rsid w:val="00BD0E17"/>
    <w:rsid w:val="00BD26A0"/>
    <w:rsid w:val="00BD2947"/>
    <w:rsid w:val="00BD2DD5"/>
    <w:rsid w:val="00BD3B24"/>
    <w:rsid w:val="00BD3CDF"/>
    <w:rsid w:val="00BD41D3"/>
    <w:rsid w:val="00BD4816"/>
    <w:rsid w:val="00BD5433"/>
    <w:rsid w:val="00BD590A"/>
    <w:rsid w:val="00BD5D29"/>
    <w:rsid w:val="00BD5E91"/>
    <w:rsid w:val="00BD6557"/>
    <w:rsid w:val="00BD7B8C"/>
    <w:rsid w:val="00BD7E68"/>
    <w:rsid w:val="00BD7FE0"/>
    <w:rsid w:val="00BE090D"/>
    <w:rsid w:val="00BE0E45"/>
    <w:rsid w:val="00BE14CE"/>
    <w:rsid w:val="00BE19A1"/>
    <w:rsid w:val="00BE1F07"/>
    <w:rsid w:val="00BE2434"/>
    <w:rsid w:val="00BE39F6"/>
    <w:rsid w:val="00BE459C"/>
    <w:rsid w:val="00BE4DE1"/>
    <w:rsid w:val="00BE514F"/>
    <w:rsid w:val="00BE5223"/>
    <w:rsid w:val="00BE578E"/>
    <w:rsid w:val="00BE57F2"/>
    <w:rsid w:val="00BE5C53"/>
    <w:rsid w:val="00BE5C63"/>
    <w:rsid w:val="00BE6451"/>
    <w:rsid w:val="00BE6A86"/>
    <w:rsid w:val="00BE785F"/>
    <w:rsid w:val="00BE7BB2"/>
    <w:rsid w:val="00BF0551"/>
    <w:rsid w:val="00BF0758"/>
    <w:rsid w:val="00BF119C"/>
    <w:rsid w:val="00BF1253"/>
    <w:rsid w:val="00BF16C0"/>
    <w:rsid w:val="00BF1835"/>
    <w:rsid w:val="00BF1C38"/>
    <w:rsid w:val="00BF256D"/>
    <w:rsid w:val="00BF291B"/>
    <w:rsid w:val="00BF2E17"/>
    <w:rsid w:val="00BF340B"/>
    <w:rsid w:val="00BF363F"/>
    <w:rsid w:val="00BF3D88"/>
    <w:rsid w:val="00BF5339"/>
    <w:rsid w:val="00BF5773"/>
    <w:rsid w:val="00BF5B6F"/>
    <w:rsid w:val="00BF5DD0"/>
    <w:rsid w:val="00BF76D7"/>
    <w:rsid w:val="00BF7819"/>
    <w:rsid w:val="00BF7A6E"/>
    <w:rsid w:val="00BF7BDF"/>
    <w:rsid w:val="00C00C65"/>
    <w:rsid w:val="00C01147"/>
    <w:rsid w:val="00C02370"/>
    <w:rsid w:val="00C02BA4"/>
    <w:rsid w:val="00C03C03"/>
    <w:rsid w:val="00C03CE5"/>
    <w:rsid w:val="00C03E7C"/>
    <w:rsid w:val="00C04757"/>
    <w:rsid w:val="00C04F33"/>
    <w:rsid w:val="00C0628F"/>
    <w:rsid w:val="00C06CE6"/>
    <w:rsid w:val="00C07C99"/>
    <w:rsid w:val="00C10909"/>
    <w:rsid w:val="00C11AAA"/>
    <w:rsid w:val="00C120C7"/>
    <w:rsid w:val="00C12304"/>
    <w:rsid w:val="00C13D3D"/>
    <w:rsid w:val="00C13F62"/>
    <w:rsid w:val="00C14359"/>
    <w:rsid w:val="00C146BE"/>
    <w:rsid w:val="00C147B7"/>
    <w:rsid w:val="00C14C42"/>
    <w:rsid w:val="00C15A39"/>
    <w:rsid w:val="00C16888"/>
    <w:rsid w:val="00C200B9"/>
    <w:rsid w:val="00C20256"/>
    <w:rsid w:val="00C21565"/>
    <w:rsid w:val="00C2164F"/>
    <w:rsid w:val="00C216C8"/>
    <w:rsid w:val="00C21F53"/>
    <w:rsid w:val="00C22EDC"/>
    <w:rsid w:val="00C2306F"/>
    <w:rsid w:val="00C23238"/>
    <w:rsid w:val="00C23E6F"/>
    <w:rsid w:val="00C24060"/>
    <w:rsid w:val="00C24CD8"/>
    <w:rsid w:val="00C253E2"/>
    <w:rsid w:val="00C258F3"/>
    <w:rsid w:val="00C26F6A"/>
    <w:rsid w:val="00C27873"/>
    <w:rsid w:val="00C27D35"/>
    <w:rsid w:val="00C30805"/>
    <w:rsid w:val="00C32940"/>
    <w:rsid w:val="00C33562"/>
    <w:rsid w:val="00C34027"/>
    <w:rsid w:val="00C349D3"/>
    <w:rsid w:val="00C353CF"/>
    <w:rsid w:val="00C356C1"/>
    <w:rsid w:val="00C35A1B"/>
    <w:rsid w:val="00C35AA7"/>
    <w:rsid w:val="00C35AF9"/>
    <w:rsid w:val="00C3698F"/>
    <w:rsid w:val="00C41105"/>
    <w:rsid w:val="00C4112B"/>
    <w:rsid w:val="00C41866"/>
    <w:rsid w:val="00C41D1C"/>
    <w:rsid w:val="00C41FE4"/>
    <w:rsid w:val="00C4202C"/>
    <w:rsid w:val="00C43C8A"/>
    <w:rsid w:val="00C4455C"/>
    <w:rsid w:val="00C449E3"/>
    <w:rsid w:val="00C45023"/>
    <w:rsid w:val="00C45F83"/>
    <w:rsid w:val="00C47804"/>
    <w:rsid w:val="00C504CB"/>
    <w:rsid w:val="00C52196"/>
    <w:rsid w:val="00C524AC"/>
    <w:rsid w:val="00C52D8B"/>
    <w:rsid w:val="00C53193"/>
    <w:rsid w:val="00C54167"/>
    <w:rsid w:val="00C541F2"/>
    <w:rsid w:val="00C543C1"/>
    <w:rsid w:val="00C54EFA"/>
    <w:rsid w:val="00C5561F"/>
    <w:rsid w:val="00C56224"/>
    <w:rsid w:val="00C5697A"/>
    <w:rsid w:val="00C571EE"/>
    <w:rsid w:val="00C60999"/>
    <w:rsid w:val="00C60CCD"/>
    <w:rsid w:val="00C60D5B"/>
    <w:rsid w:val="00C60F71"/>
    <w:rsid w:val="00C6148C"/>
    <w:rsid w:val="00C614D5"/>
    <w:rsid w:val="00C6181D"/>
    <w:rsid w:val="00C61D40"/>
    <w:rsid w:val="00C61FC5"/>
    <w:rsid w:val="00C62B35"/>
    <w:rsid w:val="00C6318E"/>
    <w:rsid w:val="00C63321"/>
    <w:rsid w:val="00C634C8"/>
    <w:rsid w:val="00C6372C"/>
    <w:rsid w:val="00C63CB0"/>
    <w:rsid w:val="00C63E85"/>
    <w:rsid w:val="00C642C4"/>
    <w:rsid w:val="00C6443B"/>
    <w:rsid w:val="00C649FA"/>
    <w:rsid w:val="00C64BE2"/>
    <w:rsid w:val="00C64CD7"/>
    <w:rsid w:val="00C65A02"/>
    <w:rsid w:val="00C66826"/>
    <w:rsid w:val="00C6719B"/>
    <w:rsid w:val="00C6734D"/>
    <w:rsid w:val="00C67F24"/>
    <w:rsid w:val="00C7005A"/>
    <w:rsid w:val="00C7066A"/>
    <w:rsid w:val="00C708DB"/>
    <w:rsid w:val="00C70CEA"/>
    <w:rsid w:val="00C710BF"/>
    <w:rsid w:val="00C7307A"/>
    <w:rsid w:val="00C732AB"/>
    <w:rsid w:val="00C7331A"/>
    <w:rsid w:val="00C734BD"/>
    <w:rsid w:val="00C73904"/>
    <w:rsid w:val="00C73905"/>
    <w:rsid w:val="00C73A49"/>
    <w:rsid w:val="00C74261"/>
    <w:rsid w:val="00C74E49"/>
    <w:rsid w:val="00C75153"/>
    <w:rsid w:val="00C75643"/>
    <w:rsid w:val="00C76191"/>
    <w:rsid w:val="00C7631A"/>
    <w:rsid w:val="00C76538"/>
    <w:rsid w:val="00C77074"/>
    <w:rsid w:val="00C774EB"/>
    <w:rsid w:val="00C77BAE"/>
    <w:rsid w:val="00C803C3"/>
    <w:rsid w:val="00C803E7"/>
    <w:rsid w:val="00C80C72"/>
    <w:rsid w:val="00C8171B"/>
    <w:rsid w:val="00C81AC5"/>
    <w:rsid w:val="00C81D7D"/>
    <w:rsid w:val="00C826F2"/>
    <w:rsid w:val="00C82854"/>
    <w:rsid w:val="00C83817"/>
    <w:rsid w:val="00C83940"/>
    <w:rsid w:val="00C83C48"/>
    <w:rsid w:val="00C83C4F"/>
    <w:rsid w:val="00C84074"/>
    <w:rsid w:val="00C8420A"/>
    <w:rsid w:val="00C8647F"/>
    <w:rsid w:val="00C8675D"/>
    <w:rsid w:val="00C87638"/>
    <w:rsid w:val="00C902C2"/>
    <w:rsid w:val="00C9148F"/>
    <w:rsid w:val="00C91CE3"/>
    <w:rsid w:val="00C92079"/>
    <w:rsid w:val="00C926EF"/>
    <w:rsid w:val="00C9319F"/>
    <w:rsid w:val="00C93330"/>
    <w:rsid w:val="00C94DD0"/>
    <w:rsid w:val="00C952BB"/>
    <w:rsid w:val="00C960EF"/>
    <w:rsid w:val="00C96C27"/>
    <w:rsid w:val="00C96F84"/>
    <w:rsid w:val="00C972D4"/>
    <w:rsid w:val="00C977E4"/>
    <w:rsid w:val="00CA047F"/>
    <w:rsid w:val="00CA0859"/>
    <w:rsid w:val="00CA0977"/>
    <w:rsid w:val="00CA10B8"/>
    <w:rsid w:val="00CA118C"/>
    <w:rsid w:val="00CA2052"/>
    <w:rsid w:val="00CA217E"/>
    <w:rsid w:val="00CA283C"/>
    <w:rsid w:val="00CA2876"/>
    <w:rsid w:val="00CA2D6A"/>
    <w:rsid w:val="00CA3200"/>
    <w:rsid w:val="00CA414A"/>
    <w:rsid w:val="00CA4BA0"/>
    <w:rsid w:val="00CA50D3"/>
    <w:rsid w:val="00CA52F5"/>
    <w:rsid w:val="00CA52FA"/>
    <w:rsid w:val="00CA532A"/>
    <w:rsid w:val="00CA5A2B"/>
    <w:rsid w:val="00CA5CFD"/>
    <w:rsid w:val="00CA71AD"/>
    <w:rsid w:val="00CA74EF"/>
    <w:rsid w:val="00CA76EF"/>
    <w:rsid w:val="00CA7E9E"/>
    <w:rsid w:val="00CB030E"/>
    <w:rsid w:val="00CB0A3C"/>
    <w:rsid w:val="00CB0C9C"/>
    <w:rsid w:val="00CB129B"/>
    <w:rsid w:val="00CB1BCD"/>
    <w:rsid w:val="00CB204A"/>
    <w:rsid w:val="00CB3232"/>
    <w:rsid w:val="00CB3AA4"/>
    <w:rsid w:val="00CB3B32"/>
    <w:rsid w:val="00CB3EE5"/>
    <w:rsid w:val="00CB402B"/>
    <w:rsid w:val="00CB418B"/>
    <w:rsid w:val="00CB4293"/>
    <w:rsid w:val="00CB45BD"/>
    <w:rsid w:val="00CB467B"/>
    <w:rsid w:val="00CB46FB"/>
    <w:rsid w:val="00CB4AB8"/>
    <w:rsid w:val="00CB4E79"/>
    <w:rsid w:val="00CB4EE4"/>
    <w:rsid w:val="00CB545F"/>
    <w:rsid w:val="00CB559D"/>
    <w:rsid w:val="00CB5C6F"/>
    <w:rsid w:val="00CB5FB2"/>
    <w:rsid w:val="00CB60F8"/>
    <w:rsid w:val="00CB6594"/>
    <w:rsid w:val="00CB6647"/>
    <w:rsid w:val="00CB67F1"/>
    <w:rsid w:val="00CB723B"/>
    <w:rsid w:val="00CB789B"/>
    <w:rsid w:val="00CB7903"/>
    <w:rsid w:val="00CB7D67"/>
    <w:rsid w:val="00CC0CDB"/>
    <w:rsid w:val="00CC0E7E"/>
    <w:rsid w:val="00CC29A8"/>
    <w:rsid w:val="00CC359B"/>
    <w:rsid w:val="00CC4025"/>
    <w:rsid w:val="00CC4279"/>
    <w:rsid w:val="00CC4C4B"/>
    <w:rsid w:val="00CC56C4"/>
    <w:rsid w:val="00CC634D"/>
    <w:rsid w:val="00CC6580"/>
    <w:rsid w:val="00CC703F"/>
    <w:rsid w:val="00CD0328"/>
    <w:rsid w:val="00CD0DEC"/>
    <w:rsid w:val="00CD286A"/>
    <w:rsid w:val="00CD2DB4"/>
    <w:rsid w:val="00CD3BC5"/>
    <w:rsid w:val="00CD3FA8"/>
    <w:rsid w:val="00CD41A8"/>
    <w:rsid w:val="00CD446D"/>
    <w:rsid w:val="00CD4563"/>
    <w:rsid w:val="00CD6351"/>
    <w:rsid w:val="00CD6354"/>
    <w:rsid w:val="00CD69AC"/>
    <w:rsid w:val="00CD6EFD"/>
    <w:rsid w:val="00CD6F2E"/>
    <w:rsid w:val="00CD733D"/>
    <w:rsid w:val="00CD78C5"/>
    <w:rsid w:val="00CD7A19"/>
    <w:rsid w:val="00CD7CC2"/>
    <w:rsid w:val="00CD7E04"/>
    <w:rsid w:val="00CE004D"/>
    <w:rsid w:val="00CE0F24"/>
    <w:rsid w:val="00CE13DD"/>
    <w:rsid w:val="00CE1FCE"/>
    <w:rsid w:val="00CE254A"/>
    <w:rsid w:val="00CE37E4"/>
    <w:rsid w:val="00CE3822"/>
    <w:rsid w:val="00CE38A6"/>
    <w:rsid w:val="00CE3C68"/>
    <w:rsid w:val="00CE4275"/>
    <w:rsid w:val="00CE5DF0"/>
    <w:rsid w:val="00CE60FB"/>
    <w:rsid w:val="00CE645C"/>
    <w:rsid w:val="00CE6DAC"/>
    <w:rsid w:val="00CF01CF"/>
    <w:rsid w:val="00CF20A9"/>
    <w:rsid w:val="00CF238B"/>
    <w:rsid w:val="00CF2574"/>
    <w:rsid w:val="00CF2DD3"/>
    <w:rsid w:val="00CF2EA7"/>
    <w:rsid w:val="00CF3785"/>
    <w:rsid w:val="00CF4634"/>
    <w:rsid w:val="00CF5927"/>
    <w:rsid w:val="00CF6743"/>
    <w:rsid w:val="00CF702D"/>
    <w:rsid w:val="00CF7087"/>
    <w:rsid w:val="00D0012D"/>
    <w:rsid w:val="00D0188F"/>
    <w:rsid w:val="00D018B0"/>
    <w:rsid w:val="00D01E51"/>
    <w:rsid w:val="00D026A3"/>
    <w:rsid w:val="00D03145"/>
    <w:rsid w:val="00D03462"/>
    <w:rsid w:val="00D039CA"/>
    <w:rsid w:val="00D0411F"/>
    <w:rsid w:val="00D057B2"/>
    <w:rsid w:val="00D05AA2"/>
    <w:rsid w:val="00D06B7D"/>
    <w:rsid w:val="00D1051E"/>
    <w:rsid w:val="00D114D8"/>
    <w:rsid w:val="00D1197F"/>
    <w:rsid w:val="00D11B85"/>
    <w:rsid w:val="00D11C18"/>
    <w:rsid w:val="00D12520"/>
    <w:rsid w:val="00D125EB"/>
    <w:rsid w:val="00D12F55"/>
    <w:rsid w:val="00D13139"/>
    <w:rsid w:val="00D13735"/>
    <w:rsid w:val="00D156B8"/>
    <w:rsid w:val="00D15D8E"/>
    <w:rsid w:val="00D1606C"/>
    <w:rsid w:val="00D16DC3"/>
    <w:rsid w:val="00D16FA9"/>
    <w:rsid w:val="00D17248"/>
    <w:rsid w:val="00D17B29"/>
    <w:rsid w:val="00D202CE"/>
    <w:rsid w:val="00D20310"/>
    <w:rsid w:val="00D207DE"/>
    <w:rsid w:val="00D20A7C"/>
    <w:rsid w:val="00D2116C"/>
    <w:rsid w:val="00D21214"/>
    <w:rsid w:val="00D2190B"/>
    <w:rsid w:val="00D2194E"/>
    <w:rsid w:val="00D21F21"/>
    <w:rsid w:val="00D221CC"/>
    <w:rsid w:val="00D233FB"/>
    <w:rsid w:val="00D2346C"/>
    <w:rsid w:val="00D239C9"/>
    <w:rsid w:val="00D23C6F"/>
    <w:rsid w:val="00D24616"/>
    <w:rsid w:val="00D248C5"/>
    <w:rsid w:val="00D25EBF"/>
    <w:rsid w:val="00D262A7"/>
    <w:rsid w:val="00D268C4"/>
    <w:rsid w:val="00D26CE7"/>
    <w:rsid w:val="00D26FCB"/>
    <w:rsid w:val="00D2728E"/>
    <w:rsid w:val="00D27BFF"/>
    <w:rsid w:val="00D3068F"/>
    <w:rsid w:val="00D313E3"/>
    <w:rsid w:val="00D32F1D"/>
    <w:rsid w:val="00D32FB0"/>
    <w:rsid w:val="00D3367F"/>
    <w:rsid w:val="00D33B5D"/>
    <w:rsid w:val="00D342E4"/>
    <w:rsid w:val="00D35B04"/>
    <w:rsid w:val="00D36AEF"/>
    <w:rsid w:val="00D36ECD"/>
    <w:rsid w:val="00D37101"/>
    <w:rsid w:val="00D37113"/>
    <w:rsid w:val="00D37510"/>
    <w:rsid w:val="00D377B2"/>
    <w:rsid w:val="00D37BB2"/>
    <w:rsid w:val="00D407B9"/>
    <w:rsid w:val="00D40B82"/>
    <w:rsid w:val="00D40D88"/>
    <w:rsid w:val="00D4107B"/>
    <w:rsid w:val="00D41194"/>
    <w:rsid w:val="00D41323"/>
    <w:rsid w:val="00D41B34"/>
    <w:rsid w:val="00D41B7C"/>
    <w:rsid w:val="00D4225A"/>
    <w:rsid w:val="00D425B8"/>
    <w:rsid w:val="00D42B27"/>
    <w:rsid w:val="00D433E1"/>
    <w:rsid w:val="00D4399D"/>
    <w:rsid w:val="00D440E4"/>
    <w:rsid w:val="00D44F09"/>
    <w:rsid w:val="00D450A4"/>
    <w:rsid w:val="00D4564D"/>
    <w:rsid w:val="00D470BF"/>
    <w:rsid w:val="00D474D7"/>
    <w:rsid w:val="00D47744"/>
    <w:rsid w:val="00D47872"/>
    <w:rsid w:val="00D47DA4"/>
    <w:rsid w:val="00D5000D"/>
    <w:rsid w:val="00D501F5"/>
    <w:rsid w:val="00D507E0"/>
    <w:rsid w:val="00D50855"/>
    <w:rsid w:val="00D50C07"/>
    <w:rsid w:val="00D512A2"/>
    <w:rsid w:val="00D51E4A"/>
    <w:rsid w:val="00D53000"/>
    <w:rsid w:val="00D530F3"/>
    <w:rsid w:val="00D541BF"/>
    <w:rsid w:val="00D546E5"/>
    <w:rsid w:val="00D548B9"/>
    <w:rsid w:val="00D55882"/>
    <w:rsid w:val="00D5593B"/>
    <w:rsid w:val="00D560ED"/>
    <w:rsid w:val="00D5617E"/>
    <w:rsid w:val="00D56235"/>
    <w:rsid w:val="00D57044"/>
    <w:rsid w:val="00D57426"/>
    <w:rsid w:val="00D57699"/>
    <w:rsid w:val="00D60490"/>
    <w:rsid w:val="00D606C5"/>
    <w:rsid w:val="00D6073E"/>
    <w:rsid w:val="00D60E6C"/>
    <w:rsid w:val="00D610A1"/>
    <w:rsid w:val="00D61EF8"/>
    <w:rsid w:val="00D62118"/>
    <w:rsid w:val="00D623AB"/>
    <w:rsid w:val="00D62770"/>
    <w:rsid w:val="00D62805"/>
    <w:rsid w:val="00D62CE7"/>
    <w:rsid w:val="00D62D61"/>
    <w:rsid w:val="00D634C2"/>
    <w:rsid w:val="00D63922"/>
    <w:rsid w:val="00D64960"/>
    <w:rsid w:val="00D6498D"/>
    <w:rsid w:val="00D64BB1"/>
    <w:rsid w:val="00D65522"/>
    <w:rsid w:val="00D658BA"/>
    <w:rsid w:val="00D6613F"/>
    <w:rsid w:val="00D66C1D"/>
    <w:rsid w:val="00D67472"/>
    <w:rsid w:val="00D70431"/>
    <w:rsid w:val="00D70525"/>
    <w:rsid w:val="00D711F5"/>
    <w:rsid w:val="00D71D42"/>
    <w:rsid w:val="00D73282"/>
    <w:rsid w:val="00D732FA"/>
    <w:rsid w:val="00D74BEC"/>
    <w:rsid w:val="00D74D93"/>
    <w:rsid w:val="00D74E59"/>
    <w:rsid w:val="00D74E8E"/>
    <w:rsid w:val="00D75564"/>
    <w:rsid w:val="00D75945"/>
    <w:rsid w:val="00D76490"/>
    <w:rsid w:val="00D76660"/>
    <w:rsid w:val="00D776B9"/>
    <w:rsid w:val="00D77866"/>
    <w:rsid w:val="00D778C6"/>
    <w:rsid w:val="00D8073B"/>
    <w:rsid w:val="00D80929"/>
    <w:rsid w:val="00D8117B"/>
    <w:rsid w:val="00D811B0"/>
    <w:rsid w:val="00D811E5"/>
    <w:rsid w:val="00D81781"/>
    <w:rsid w:val="00D81C55"/>
    <w:rsid w:val="00D81DFD"/>
    <w:rsid w:val="00D828F6"/>
    <w:rsid w:val="00D82B85"/>
    <w:rsid w:val="00D82CB1"/>
    <w:rsid w:val="00D82FBA"/>
    <w:rsid w:val="00D8369B"/>
    <w:rsid w:val="00D846F2"/>
    <w:rsid w:val="00D851E5"/>
    <w:rsid w:val="00D86547"/>
    <w:rsid w:val="00D8665A"/>
    <w:rsid w:val="00D871EC"/>
    <w:rsid w:val="00D873B2"/>
    <w:rsid w:val="00D87536"/>
    <w:rsid w:val="00D87B1F"/>
    <w:rsid w:val="00D90E38"/>
    <w:rsid w:val="00D9151B"/>
    <w:rsid w:val="00D91BAF"/>
    <w:rsid w:val="00D92AE2"/>
    <w:rsid w:val="00D92E1D"/>
    <w:rsid w:val="00D92FEF"/>
    <w:rsid w:val="00D93086"/>
    <w:rsid w:val="00D940A3"/>
    <w:rsid w:val="00D94B51"/>
    <w:rsid w:val="00D94D6E"/>
    <w:rsid w:val="00D950BD"/>
    <w:rsid w:val="00D9522D"/>
    <w:rsid w:val="00D95616"/>
    <w:rsid w:val="00D958BB"/>
    <w:rsid w:val="00D963F4"/>
    <w:rsid w:val="00D97081"/>
    <w:rsid w:val="00D971A5"/>
    <w:rsid w:val="00D977E1"/>
    <w:rsid w:val="00D97E97"/>
    <w:rsid w:val="00DA11F7"/>
    <w:rsid w:val="00DA13B9"/>
    <w:rsid w:val="00DA18BE"/>
    <w:rsid w:val="00DA1A85"/>
    <w:rsid w:val="00DA1E3E"/>
    <w:rsid w:val="00DA1E6E"/>
    <w:rsid w:val="00DA23D5"/>
    <w:rsid w:val="00DA2B44"/>
    <w:rsid w:val="00DA314A"/>
    <w:rsid w:val="00DA3203"/>
    <w:rsid w:val="00DA3927"/>
    <w:rsid w:val="00DA3A1B"/>
    <w:rsid w:val="00DA3C3B"/>
    <w:rsid w:val="00DA4FCC"/>
    <w:rsid w:val="00DA50D1"/>
    <w:rsid w:val="00DA530F"/>
    <w:rsid w:val="00DA6091"/>
    <w:rsid w:val="00DA610B"/>
    <w:rsid w:val="00DA6C83"/>
    <w:rsid w:val="00DA6CD2"/>
    <w:rsid w:val="00DA7454"/>
    <w:rsid w:val="00DA7558"/>
    <w:rsid w:val="00DA7A2D"/>
    <w:rsid w:val="00DB09AA"/>
    <w:rsid w:val="00DB0AEB"/>
    <w:rsid w:val="00DB0F79"/>
    <w:rsid w:val="00DB10FE"/>
    <w:rsid w:val="00DB1385"/>
    <w:rsid w:val="00DB1721"/>
    <w:rsid w:val="00DB2101"/>
    <w:rsid w:val="00DB24F0"/>
    <w:rsid w:val="00DB33BF"/>
    <w:rsid w:val="00DB4C0E"/>
    <w:rsid w:val="00DB5783"/>
    <w:rsid w:val="00DB6F7A"/>
    <w:rsid w:val="00DB79EF"/>
    <w:rsid w:val="00DC0936"/>
    <w:rsid w:val="00DC0DEA"/>
    <w:rsid w:val="00DC1C06"/>
    <w:rsid w:val="00DC1D94"/>
    <w:rsid w:val="00DC29A8"/>
    <w:rsid w:val="00DC40AC"/>
    <w:rsid w:val="00DC5075"/>
    <w:rsid w:val="00DC5698"/>
    <w:rsid w:val="00DC7338"/>
    <w:rsid w:val="00DC78BF"/>
    <w:rsid w:val="00DD019E"/>
    <w:rsid w:val="00DD044F"/>
    <w:rsid w:val="00DD0786"/>
    <w:rsid w:val="00DD1D7D"/>
    <w:rsid w:val="00DD1E9C"/>
    <w:rsid w:val="00DD1F01"/>
    <w:rsid w:val="00DD2036"/>
    <w:rsid w:val="00DD23CC"/>
    <w:rsid w:val="00DD252E"/>
    <w:rsid w:val="00DD266F"/>
    <w:rsid w:val="00DD2D4B"/>
    <w:rsid w:val="00DD3963"/>
    <w:rsid w:val="00DD44D0"/>
    <w:rsid w:val="00DD46FA"/>
    <w:rsid w:val="00DD6D2E"/>
    <w:rsid w:val="00DD7924"/>
    <w:rsid w:val="00DD79D3"/>
    <w:rsid w:val="00DD7BA8"/>
    <w:rsid w:val="00DE01CB"/>
    <w:rsid w:val="00DE06C0"/>
    <w:rsid w:val="00DE127B"/>
    <w:rsid w:val="00DE146C"/>
    <w:rsid w:val="00DE18AF"/>
    <w:rsid w:val="00DE1F8A"/>
    <w:rsid w:val="00DE29D1"/>
    <w:rsid w:val="00DE35EB"/>
    <w:rsid w:val="00DE4493"/>
    <w:rsid w:val="00DE4B7F"/>
    <w:rsid w:val="00DE4B95"/>
    <w:rsid w:val="00DE59A0"/>
    <w:rsid w:val="00DE5C45"/>
    <w:rsid w:val="00DE5E62"/>
    <w:rsid w:val="00DE7B33"/>
    <w:rsid w:val="00DE7F89"/>
    <w:rsid w:val="00DF061A"/>
    <w:rsid w:val="00DF064C"/>
    <w:rsid w:val="00DF0C3C"/>
    <w:rsid w:val="00DF0D06"/>
    <w:rsid w:val="00DF1404"/>
    <w:rsid w:val="00DF142F"/>
    <w:rsid w:val="00DF1660"/>
    <w:rsid w:val="00DF1CF1"/>
    <w:rsid w:val="00DF22AB"/>
    <w:rsid w:val="00DF23E0"/>
    <w:rsid w:val="00DF2963"/>
    <w:rsid w:val="00DF382F"/>
    <w:rsid w:val="00DF38C4"/>
    <w:rsid w:val="00DF4DDD"/>
    <w:rsid w:val="00DF4FC5"/>
    <w:rsid w:val="00DF5AEC"/>
    <w:rsid w:val="00DF5DD1"/>
    <w:rsid w:val="00DF5EB4"/>
    <w:rsid w:val="00DF5FF6"/>
    <w:rsid w:val="00DF62E4"/>
    <w:rsid w:val="00DF7BBD"/>
    <w:rsid w:val="00DF7BF5"/>
    <w:rsid w:val="00E0151A"/>
    <w:rsid w:val="00E01604"/>
    <w:rsid w:val="00E016A9"/>
    <w:rsid w:val="00E01B62"/>
    <w:rsid w:val="00E04CE4"/>
    <w:rsid w:val="00E064A1"/>
    <w:rsid w:val="00E065BB"/>
    <w:rsid w:val="00E06A3A"/>
    <w:rsid w:val="00E10CE3"/>
    <w:rsid w:val="00E11E25"/>
    <w:rsid w:val="00E12189"/>
    <w:rsid w:val="00E126E0"/>
    <w:rsid w:val="00E127AA"/>
    <w:rsid w:val="00E12ADC"/>
    <w:rsid w:val="00E13A06"/>
    <w:rsid w:val="00E13F2A"/>
    <w:rsid w:val="00E13FE4"/>
    <w:rsid w:val="00E14039"/>
    <w:rsid w:val="00E147EF"/>
    <w:rsid w:val="00E149D0"/>
    <w:rsid w:val="00E14DEA"/>
    <w:rsid w:val="00E15630"/>
    <w:rsid w:val="00E15D17"/>
    <w:rsid w:val="00E165F9"/>
    <w:rsid w:val="00E167B3"/>
    <w:rsid w:val="00E16EFE"/>
    <w:rsid w:val="00E16FF5"/>
    <w:rsid w:val="00E1765C"/>
    <w:rsid w:val="00E17F51"/>
    <w:rsid w:val="00E2015F"/>
    <w:rsid w:val="00E20820"/>
    <w:rsid w:val="00E20961"/>
    <w:rsid w:val="00E2110C"/>
    <w:rsid w:val="00E21D93"/>
    <w:rsid w:val="00E21F34"/>
    <w:rsid w:val="00E225F1"/>
    <w:rsid w:val="00E22F86"/>
    <w:rsid w:val="00E23581"/>
    <w:rsid w:val="00E23BBB"/>
    <w:rsid w:val="00E23EB3"/>
    <w:rsid w:val="00E23ECB"/>
    <w:rsid w:val="00E24729"/>
    <w:rsid w:val="00E25904"/>
    <w:rsid w:val="00E259AF"/>
    <w:rsid w:val="00E25A07"/>
    <w:rsid w:val="00E25C02"/>
    <w:rsid w:val="00E2683D"/>
    <w:rsid w:val="00E26C60"/>
    <w:rsid w:val="00E27A3D"/>
    <w:rsid w:val="00E302DC"/>
    <w:rsid w:val="00E309BB"/>
    <w:rsid w:val="00E315B5"/>
    <w:rsid w:val="00E318B5"/>
    <w:rsid w:val="00E318B9"/>
    <w:rsid w:val="00E31D78"/>
    <w:rsid w:val="00E3355B"/>
    <w:rsid w:val="00E337D2"/>
    <w:rsid w:val="00E3414B"/>
    <w:rsid w:val="00E3427A"/>
    <w:rsid w:val="00E35D86"/>
    <w:rsid w:val="00E36917"/>
    <w:rsid w:val="00E36AAB"/>
    <w:rsid w:val="00E375DF"/>
    <w:rsid w:val="00E40705"/>
    <w:rsid w:val="00E40B9F"/>
    <w:rsid w:val="00E41769"/>
    <w:rsid w:val="00E4190E"/>
    <w:rsid w:val="00E42761"/>
    <w:rsid w:val="00E428F2"/>
    <w:rsid w:val="00E42E8B"/>
    <w:rsid w:val="00E43226"/>
    <w:rsid w:val="00E4399D"/>
    <w:rsid w:val="00E43B57"/>
    <w:rsid w:val="00E44130"/>
    <w:rsid w:val="00E44A3A"/>
    <w:rsid w:val="00E459E7"/>
    <w:rsid w:val="00E462E4"/>
    <w:rsid w:val="00E4649E"/>
    <w:rsid w:val="00E46A4A"/>
    <w:rsid w:val="00E46FFF"/>
    <w:rsid w:val="00E47C72"/>
    <w:rsid w:val="00E5005B"/>
    <w:rsid w:val="00E5055A"/>
    <w:rsid w:val="00E507E8"/>
    <w:rsid w:val="00E50BE4"/>
    <w:rsid w:val="00E517BA"/>
    <w:rsid w:val="00E525BF"/>
    <w:rsid w:val="00E5275F"/>
    <w:rsid w:val="00E52A30"/>
    <w:rsid w:val="00E5358D"/>
    <w:rsid w:val="00E53B12"/>
    <w:rsid w:val="00E53BD8"/>
    <w:rsid w:val="00E541A8"/>
    <w:rsid w:val="00E55328"/>
    <w:rsid w:val="00E56E2A"/>
    <w:rsid w:val="00E5748A"/>
    <w:rsid w:val="00E574D7"/>
    <w:rsid w:val="00E600BB"/>
    <w:rsid w:val="00E6099E"/>
    <w:rsid w:val="00E60B97"/>
    <w:rsid w:val="00E623E4"/>
    <w:rsid w:val="00E62521"/>
    <w:rsid w:val="00E6253F"/>
    <w:rsid w:val="00E6265C"/>
    <w:rsid w:val="00E6331F"/>
    <w:rsid w:val="00E6498E"/>
    <w:rsid w:val="00E65272"/>
    <w:rsid w:val="00E6639B"/>
    <w:rsid w:val="00E6728C"/>
    <w:rsid w:val="00E672BB"/>
    <w:rsid w:val="00E67968"/>
    <w:rsid w:val="00E70610"/>
    <w:rsid w:val="00E7107B"/>
    <w:rsid w:val="00E71716"/>
    <w:rsid w:val="00E7178F"/>
    <w:rsid w:val="00E71BB8"/>
    <w:rsid w:val="00E72239"/>
    <w:rsid w:val="00E722EC"/>
    <w:rsid w:val="00E72373"/>
    <w:rsid w:val="00E72758"/>
    <w:rsid w:val="00E73106"/>
    <w:rsid w:val="00E73B7B"/>
    <w:rsid w:val="00E73E37"/>
    <w:rsid w:val="00E73F48"/>
    <w:rsid w:val="00E7401E"/>
    <w:rsid w:val="00E742E0"/>
    <w:rsid w:val="00E74D13"/>
    <w:rsid w:val="00E74DE9"/>
    <w:rsid w:val="00E75680"/>
    <w:rsid w:val="00E7577B"/>
    <w:rsid w:val="00E75975"/>
    <w:rsid w:val="00E7665D"/>
    <w:rsid w:val="00E77A27"/>
    <w:rsid w:val="00E807A5"/>
    <w:rsid w:val="00E8107D"/>
    <w:rsid w:val="00E812FF"/>
    <w:rsid w:val="00E814C0"/>
    <w:rsid w:val="00E81EC3"/>
    <w:rsid w:val="00E8202E"/>
    <w:rsid w:val="00E82D2C"/>
    <w:rsid w:val="00E82DDE"/>
    <w:rsid w:val="00E83434"/>
    <w:rsid w:val="00E837D3"/>
    <w:rsid w:val="00E83CE2"/>
    <w:rsid w:val="00E8463A"/>
    <w:rsid w:val="00E84758"/>
    <w:rsid w:val="00E85B01"/>
    <w:rsid w:val="00E85FEC"/>
    <w:rsid w:val="00E86149"/>
    <w:rsid w:val="00E862F4"/>
    <w:rsid w:val="00E869F7"/>
    <w:rsid w:val="00E87798"/>
    <w:rsid w:val="00E90AD6"/>
    <w:rsid w:val="00E90ADC"/>
    <w:rsid w:val="00E91E20"/>
    <w:rsid w:val="00E91ECB"/>
    <w:rsid w:val="00E9211A"/>
    <w:rsid w:val="00E92376"/>
    <w:rsid w:val="00E92570"/>
    <w:rsid w:val="00E934A2"/>
    <w:rsid w:val="00E94403"/>
    <w:rsid w:val="00E94E6D"/>
    <w:rsid w:val="00E95E9A"/>
    <w:rsid w:val="00E9674E"/>
    <w:rsid w:val="00E96E76"/>
    <w:rsid w:val="00E970C9"/>
    <w:rsid w:val="00E97192"/>
    <w:rsid w:val="00E972D2"/>
    <w:rsid w:val="00EA00EE"/>
    <w:rsid w:val="00EA0F8E"/>
    <w:rsid w:val="00EA190F"/>
    <w:rsid w:val="00EA19C6"/>
    <w:rsid w:val="00EA1CBE"/>
    <w:rsid w:val="00EA2677"/>
    <w:rsid w:val="00EA2DD4"/>
    <w:rsid w:val="00EA2F17"/>
    <w:rsid w:val="00EA3F44"/>
    <w:rsid w:val="00EA4590"/>
    <w:rsid w:val="00EA45B0"/>
    <w:rsid w:val="00EA49E4"/>
    <w:rsid w:val="00EA4EA0"/>
    <w:rsid w:val="00EA5748"/>
    <w:rsid w:val="00EA59C5"/>
    <w:rsid w:val="00EA5C1B"/>
    <w:rsid w:val="00EA69C2"/>
    <w:rsid w:val="00EA7279"/>
    <w:rsid w:val="00EB0E4D"/>
    <w:rsid w:val="00EB19B3"/>
    <w:rsid w:val="00EB21CD"/>
    <w:rsid w:val="00EB235A"/>
    <w:rsid w:val="00EB2891"/>
    <w:rsid w:val="00EB30AB"/>
    <w:rsid w:val="00EB35A1"/>
    <w:rsid w:val="00EB37DF"/>
    <w:rsid w:val="00EB4258"/>
    <w:rsid w:val="00EB4419"/>
    <w:rsid w:val="00EB533B"/>
    <w:rsid w:val="00EB5CEE"/>
    <w:rsid w:val="00EB5E02"/>
    <w:rsid w:val="00EB6934"/>
    <w:rsid w:val="00EB6C14"/>
    <w:rsid w:val="00EB6CED"/>
    <w:rsid w:val="00EB6D48"/>
    <w:rsid w:val="00EB7508"/>
    <w:rsid w:val="00EC008E"/>
    <w:rsid w:val="00EC0146"/>
    <w:rsid w:val="00EC0BD8"/>
    <w:rsid w:val="00EC10FC"/>
    <w:rsid w:val="00EC1896"/>
    <w:rsid w:val="00EC1F9D"/>
    <w:rsid w:val="00EC22D8"/>
    <w:rsid w:val="00EC2CA7"/>
    <w:rsid w:val="00EC34E8"/>
    <w:rsid w:val="00EC44CA"/>
    <w:rsid w:val="00EC4D98"/>
    <w:rsid w:val="00EC507F"/>
    <w:rsid w:val="00EC590B"/>
    <w:rsid w:val="00EC6BEE"/>
    <w:rsid w:val="00EC70F3"/>
    <w:rsid w:val="00EC7B98"/>
    <w:rsid w:val="00ED07B9"/>
    <w:rsid w:val="00ED0C40"/>
    <w:rsid w:val="00ED1008"/>
    <w:rsid w:val="00ED1863"/>
    <w:rsid w:val="00ED23C7"/>
    <w:rsid w:val="00ED241C"/>
    <w:rsid w:val="00ED2510"/>
    <w:rsid w:val="00ED2CFB"/>
    <w:rsid w:val="00ED3C27"/>
    <w:rsid w:val="00ED43AE"/>
    <w:rsid w:val="00ED4F77"/>
    <w:rsid w:val="00ED5293"/>
    <w:rsid w:val="00ED56B2"/>
    <w:rsid w:val="00ED613F"/>
    <w:rsid w:val="00ED7775"/>
    <w:rsid w:val="00ED7EF8"/>
    <w:rsid w:val="00EE0894"/>
    <w:rsid w:val="00EE08DE"/>
    <w:rsid w:val="00EE0A60"/>
    <w:rsid w:val="00EE200A"/>
    <w:rsid w:val="00EE26B9"/>
    <w:rsid w:val="00EE30EB"/>
    <w:rsid w:val="00EE325D"/>
    <w:rsid w:val="00EE3E94"/>
    <w:rsid w:val="00EE4081"/>
    <w:rsid w:val="00EE42E8"/>
    <w:rsid w:val="00EE44B7"/>
    <w:rsid w:val="00EE4816"/>
    <w:rsid w:val="00EE4EBA"/>
    <w:rsid w:val="00EE530B"/>
    <w:rsid w:val="00EE546A"/>
    <w:rsid w:val="00EE5AE4"/>
    <w:rsid w:val="00EE5AF7"/>
    <w:rsid w:val="00EE6A01"/>
    <w:rsid w:val="00EE6B7B"/>
    <w:rsid w:val="00EE74B3"/>
    <w:rsid w:val="00EE7EDB"/>
    <w:rsid w:val="00EE7F52"/>
    <w:rsid w:val="00EF0C61"/>
    <w:rsid w:val="00EF151C"/>
    <w:rsid w:val="00EF2278"/>
    <w:rsid w:val="00EF2B2D"/>
    <w:rsid w:val="00EF2D00"/>
    <w:rsid w:val="00EF371D"/>
    <w:rsid w:val="00EF390B"/>
    <w:rsid w:val="00EF3D3C"/>
    <w:rsid w:val="00EF4263"/>
    <w:rsid w:val="00F00670"/>
    <w:rsid w:val="00F01ACF"/>
    <w:rsid w:val="00F01EE4"/>
    <w:rsid w:val="00F02001"/>
    <w:rsid w:val="00F024B0"/>
    <w:rsid w:val="00F0456A"/>
    <w:rsid w:val="00F059A7"/>
    <w:rsid w:val="00F060F1"/>
    <w:rsid w:val="00F0633D"/>
    <w:rsid w:val="00F064A6"/>
    <w:rsid w:val="00F07A6A"/>
    <w:rsid w:val="00F07E17"/>
    <w:rsid w:val="00F1027E"/>
    <w:rsid w:val="00F108BF"/>
    <w:rsid w:val="00F10DDA"/>
    <w:rsid w:val="00F113DB"/>
    <w:rsid w:val="00F11540"/>
    <w:rsid w:val="00F1172C"/>
    <w:rsid w:val="00F11899"/>
    <w:rsid w:val="00F11D42"/>
    <w:rsid w:val="00F11D9D"/>
    <w:rsid w:val="00F14452"/>
    <w:rsid w:val="00F14653"/>
    <w:rsid w:val="00F146EA"/>
    <w:rsid w:val="00F148A6"/>
    <w:rsid w:val="00F14C3C"/>
    <w:rsid w:val="00F14D91"/>
    <w:rsid w:val="00F15482"/>
    <w:rsid w:val="00F15603"/>
    <w:rsid w:val="00F1620A"/>
    <w:rsid w:val="00F16948"/>
    <w:rsid w:val="00F170CE"/>
    <w:rsid w:val="00F17118"/>
    <w:rsid w:val="00F173B1"/>
    <w:rsid w:val="00F17D76"/>
    <w:rsid w:val="00F20960"/>
    <w:rsid w:val="00F2151F"/>
    <w:rsid w:val="00F21CF1"/>
    <w:rsid w:val="00F21FF7"/>
    <w:rsid w:val="00F246F2"/>
    <w:rsid w:val="00F24AF0"/>
    <w:rsid w:val="00F2627D"/>
    <w:rsid w:val="00F26C7B"/>
    <w:rsid w:val="00F26C9D"/>
    <w:rsid w:val="00F27159"/>
    <w:rsid w:val="00F27498"/>
    <w:rsid w:val="00F302DC"/>
    <w:rsid w:val="00F30481"/>
    <w:rsid w:val="00F31BBF"/>
    <w:rsid w:val="00F3232D"/>
    <w:rsid w:val="00F32887"/>
    <w:rsid w:val="00F32A93"/>
    <w:rsid w:val="00F32F44"/>
    <w:rsid w:val="00F335CC"/>
    <w:rsid w:val="00F34DA3"/>
    <w:rsid w:val="00F35A26"/>
    <w:rsid w:val="00F35B7D"/>
    <w:rsid w:val="00F363F1"/>
    <w:rsid w:val="00F365BD"/>
    <w:rsid w:val="00F36A86"/>
    <w:rsid w:val="00F36C48"/>
    <w:rsid w:val="00F36C4D"/>
    <w:rsid w:val="00F376FA"/>
    <w:rsid w:val="00F4004D"/>
    <w:rsid w:val="00F4019C"/>
    <w:rsid w:val="00F4131A"/>
    <w:rsid w:val="00F424DF"/>
    <w:rsid w:val="00F4256E"/>
    <w:rsid w:val="00F42B17"/>
    <w:rsid w:val="00F4324B"/>
    <w:rsid w:val="00F438F0"/>
    <w:rsid w:val="00F43FBD"/>
    <w:rsid w:val="00F44189"/>
    <w:rsid w:val="00F44FC3"/>
    <w:rsid w:val="00F4592B"/>
    <w:rsid w:val="00F45AB8"/>
    <w:rsid w:val="00F46212"/>
    <w:rsid w:val="00F46A74"/>
    <w:rsid w:val="00F47185"/>
    <w:rsid w:val="00F47684"/>
    <w:rsid w:val="00F47F98"/>
    <w:rsid w:val="00F5005C"/>
    <w:rsid w:val="00F50EB6"/>
    <w:rsid w:val="00F50FCB"/>
    <w:rsid w:val="00F51199"/>
    <w:rsid w:val="00F51DFD"/>
    <w:rsid w:val="00F52015"/>
    <w:rsid w:val="00F5213C"/>
    <w:rsid w:val="00F52F46"/>
    <w:rsid w:val="00F5314D"/>
    <w:rsid w:val="00F536A3"/>
    <w:rsid w:val="00F53B50"/>
    <w:rsid w:val="00F53C1B"/>
    <w:rsid w:val="00F53FBC"/>
    <w:rsid w:val="00F544A1"/>
    <w:rsid w:val="00F57038"/>
    <w:rsid w:val="00F57824"/>
    <w:rsid w:val="00F578FA"/>
    <w:rsid w:val="00F57D4E"/>
    <w:rsid w:val="00F57EF9"/>
    <w:rsid w:val="00F60307"/>
    <w:rsid w:val="00F60828"/>
    <w:rsid w:val="00F608C7"/>
    <w:rsid w:val="00F61306"/>
    <w:rsid w:val="00F61816"/>
    <w:rsid w:val="00F62202"/>
    <w:rsid w:val="00F62662"/>
    <w:rsid w:val="00F632B3"/>
    <w:rsid w:val="00F63540"/>
    <w:rsid w:val="00F63C19"/>
    <w:rsid w:val="00F63EF8"/>
    <w:rsid w:val="00F64113"/>
    <w:rsid w:val="00F6490D"/>
    <w:rsid w:val="00F64D23"/>
    <w:rsid w:val="00F64E31"/>
    <w:rsid w:val="00F664CA"/>
    <w:rsid w:val="00F66997"/>
    <w:rsid w:val="00F66D9D"/>
    <w:rsid w:val="00F670AE"/>
    <w:rsid w:val="00F6767B"/>
    <w:rsid w:val="00F676F0"/>
    <w:rsid w:val="00F67E3F"/>
    <w:rsid w:val="00F701F5"/>
    <w:rsid w:val="00F70DF0"/>
    <w:rsid w:val="00F71600"/>
    <w:rsid w:val="00F71606"/>
    <w:rsid w:val="00F71E1D"/>
    <w:rsid w:val="00F729DE"/>
    <w:rsid w:val="00F72FAA"/>
    <w:rsid w:val="00F7323B"/>
    <w:rsid w:val="00F7439E"/>
    <w:rsid w:val="00F74509"/>
    <w:rsid w:val="00F74F29"/>
    <w:rsid w:val="00F75831"/>
    <w:rsid w:val="00F765F4"/>
    <w:rsid w:val="00F76DA4"/>
    <w:rsid w:val="00F803F7"/>
    <w:rsid w:val="00F80924"/>
    <w:rsid w:val="00F80A20"/>
    <w:rsid w:val="00F80B65"/>
    <w:rsid w:val="00F81CD5"/>
    <w:rsid w:val="00F8242F"/>
    <w:rsid w:val="00F82C8B"/>
    <w:rsid w:val="00F83EA7"/>
    <w:rsid w:val="00F84138"/>
    <w:rsid w:val="00F8433B"/>
    <w:rsid w:val="00F84A16"/>
    <w:rsid w:val="00F8520E"/>
    <w:rsid w:val="00F85556"/>
    <w:rsid w:val="00F85C62"/>
    <w:rsid w:val="00F8685E"/>
    <w:rsid w:val="00F87657"/>
    <w:rsid w:val="00F87827"/>
    <w:rsid w:val="00F87F45"/>
    <w:rsid w:val="00F90789"/>
    <w:rsid w:val="00F90A27"/>
    <w:rsid w:val="00F9170F"/>
    <w:rsid w:val="00F91B89"/>
    <w:rsid w:val="00F92526"/>
    <w:rsid w:val="00F93C1E"/>
    <w:rsid w:val="00F948F5"/>
    <w:rsid w:val="00F949C1"/>
    <w:rsid w:val="00F9676E"/>
    <w:rsid w:val="00F978AA"/>
    <w:rsid w:val="00F979BD"/>
    <w:rsid w:val="00F97DCD"/>
    <w:rsid w:val="00F97E52"/>
    <w:rsid w:val="00FA0484"/>
    <w:rsid w:val="00FA078C"/>
    <w:rsid w:val="00FA0891"/>
    <w:rsid w:val="00FA09A7"/>
    <w:rsid w:val="00FA0A17"/>
    <w:rsid w:val="00FA2048"/>
    <w:rsid w:val="00FA206F"/>
    <w:rsid w:val="00FA34CF"/>
    <w:rsid w:val="00FA35E7"/>
    <w:rsid w:val="00FA38E5"/>
    <w:rsid w:val="00FA3938"/>
    <w:rsid w:val="00FA3BAD"/>
    <w:rsid w:val="00FA4E8B"/>
    <w:rsid w:val="00FA5A45"/>
    <w:rsid w:val="00FA5CD9"/>
    <w:rsid w:val="00FA6212"/>
    <w:rsid w:val="00FA6678"/>
    <w:rsid w:val="00FA7F0B"/>
    <w:rsid w:val="00FB05AD"/>
    <w:rsid w:val="00FB0A18"/>
    <w:rsid w:val="00FB0CB2"/>
    <w:rsid w:val="00FB0EBF"/>
    <w:rsid w:val="00FB0FFD"/>
    <w:rsid w:val="00FB115F"/>
    <w:rsid w:val="00FB2200"/>
    <w:rsid w:val="00FB24F1"/>
    <w:rsid w:val="00FB25F9"/>
    <w:rsid w:val="00FB2B3E"/>
    <w:rsid w:val="00FB303A"/>
    <w:rsid w:val="00FB30DD"/>
    <w:rsid w:val="00FB339E"/>
    <w:rsid w:val="00FB35C9"/>
    <w:rsid w:val="00FB35D9"/>
    <w:rsid w:val="00FB48F8"/>
    <w:rsid w:val="00FB4E5B"/>
    <w:rsid w:val="00FB5172"/>
    <w:rsid w:val="00FB5557"/>
    <w:rsid w:val="00FB58AB"/>
    <w:rsid w:val="00FB5D20"/>
    <w:rsid w:val="00FB6382"/>
    <w:rsid w:val="00FB6667"/>
    <w:rsid w:val="00FB6833"/>
    <w:rsid w:val="00FB6ED7"/>
    <w:rsid w:val="00FB7284"/>
    <w:rsid w:val="00FB7889"/>
    <w:rsid w:val="00FC05E5"/>
    <w:rsid w:val="00FC07AC"/>
    <w:rsid w:val="00FC190B"/>
    <w:rsid w:val="00FC1D0F"/>
    <w:rsid w:val="00FC3823"/>
    <w:rsid w:val="00FC3B97"/>
    <w:rsid w:val="00FC3E5F"/>
    <w:rsid w:val="00FC41DC"/>
    <w:rsid w:val="00FC54E3"/>
    <w:rsid w:val="00FC5E50"/>
    <w:rsid w:val="00FC6022"/>
    <w:rsid w:val="00FC60F3"/>
    <w:rsid w:val="00FC6104"/>
    <w:rsid w:val="00FC6192"/>
    <w:rsid w:val="00FC61A7"/>
    <w:rsid w:val="00FC6A97"/>
    <w:rsid w:val="00FC7C58"/>
    <w:rsid w:val="00FD01E2"/>
    <w:rsid w:val="00FD0548"/>
    <w:rsid w:val="00FD134A"/>
    <w:rsid w:val="00FD147E"/>
    <w:rsid w:val="00FD1AAD"/>
    <w:rsid w:val="00FD38BB"/>
    <w:rsid w:val="00FD3EFA"/>
    <w:rsid w:val="00FD4B04"/>
    <w:rsid w:val="00FD5343"/>
    <w:rsid w:val="00FD6815"/>
    <w:rsid w:val="00FD6A3F"/>
    <w:rsid w:val="00FD724B"/>
    <w:rsid w:val="00FE18EA"/>
    <w:rsid w:val="00FE1A5A"/>
    <w:rsid w:val="00FE20A9"/>
    <w:rsid w:val="00FE2DC9"/>
    <w:rsid w:val="00FE422B"/>
    <w:rsid w:val="00FE4990"/>
    <w:rsid w:val="00FE5491"/>
    <w:rsid w:val="00FE6FA9"/>
    <w:rsid w:val="00FE7CE3"/>
    <w:rsid w:val="00FF0CC9"/>
    <w:rsid w:val="00FF1C85"/>
    <w:rsid w:val="00FF2242"/>
    <w:rsid w:val="00FF2AE8"/>
    <w:rsid w:val="00FF3E3A"/>
    <w:rsid w:val="00FF5EEC"/>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91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545"/>
    <w:pPr>
      <w:spacing w:after="100" w:line="400" w:lineRule="exact"/>
      <w:jc w:val="both"/>
    </w:pPr>
    <w:rPr>
      <w:rFonts w:ascii="Century Schoolbook" w:hAnsi="Century Schoolbook"/>
      <w:sz w:val="27"/>
    </w:rPr>
  </w:style>
  <w:style w:type="paragraph" w:styleId="Heading1">
    <w:name w:val="heading 1"/>
    <w:basedOn w:val="Normal"/>
    <w:next w:val="Normal"/>
    <w:qFormat/>
    <w:rsid w:val="00672545"/>
    <w:pPr>
      <w:keepNext/>
      <w:spacing w:before="140" w:line="240" w:lineRule="atLeast"/>
      <w:jc w:val="center"/>
      <w:outlineLvl w:val="0"/>
    </w:pPr>
    <w:rPr>
      <w:b/>
      <w:smallCaps/>
    </w:rPr>
  </w:style>
  <w:style w:type="paragraph" w:styleId="Heading2">
    <w:name w:val="heading 2"/>
    <w:basedOn w:val="Normal"/>
    <w:next w:val="Normal"/>
    <w:qFormat/>
    <w:rsid w:val="00672545"/>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672545"/>
    <w:pPr>
      <w:keepNext/>
      <w:tabs>
        <w:tab w:val="left" w:pos="1584"/>
      </w:tabs>
      <w:spacing w:before="140" w:line="240" w:lineRule="atLeast"/>
      <w:ind w:left="1584" w:hanging="432"/>
      <w:jc w:val="left"/>
      <w:outlineLvl w:val="2"/>
    </w:pPr>
    <w:rPr>
      <w:i/>
    </w:rPr>
  </w:style>
  <w:style w:type="paragraph" w:styleId="Heading4">
    <w:name w:val="heading 4"/>
    <w:basedOn w:val="Normal"/>
    <w:rsid w:val="00672545"/>
    <w:pPr>
      <w:keepNext/>
      <w:tabs>
        <w:tab w:val="left" w:pos="2016"/>
      </w:tabs>
      <w:spacing w:before="140" w:line="240" w:lineRule="atLeast"/>
      <w:ind w:left="2016" w:hanging="432"/>
      <w:jc w:val="left"/>
      <w:outlineLvl w:val="3"/>
    </w:pPr>
    <w:rPr>
      <w:i/>
    </w:rPr>
  </w:style>
  <w:style w:type="paragraph" w:styleId="Heading5">
    <w:name w:val="heading 5"/>
    <w:basedOn w:val="Normal"/>
    <w:rsid w:val="00672545"/>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72545"/>
    <w:pPr>
      <w:ind w:left="720"/>
    </w:pPr>
  </w:style>
  <w:style w:type="paragraph" w:styleId="Footer">
    <w:name w:val="footer"/>
    <w:basedOn w:val="Normal"/>
    <w:qFormat/>
    <w:rsid w:val="00672545"/>
    <w:pPr>
      <w:tabs>
        <w:tab w:val="center" w:pos="3960"/>
        <w:tab w:val="right" w:pos="10080"/>
      </w:tabs>
      <w:spacing w:after="0" w:line="240" w:lineRule="auto"/>
      <w:jc w:val="center"/>
    </w:pPr>
    <w:rPr>
      <w:sz w:val="22"/>
    </w:rPr>
  </w:style>
  <w:style w:type="paragraph" w:styleId="Header">
    <w:name w:val="header"/>
    <w:basedOn w:val="Normal"/>
    <w:qFormat/>
    <w:rsid w:val="00672545"/>
    <w:pPr>
      <w:tabs>
        <w:tab w:val="center" w:pos="3960"/>
        <w:tab w:val="right" w:pos="10080"/>
      </w:tabs>
      <w:spacing w:after="80" w:line="240" w:lineRule="auto"/>
      <w:jc w:val="center"/>
    </w:pPr>
    <w:rPr>
      <w:sz w:val="22"/>
    </w:rPr>
  </w:style>
  <w:style w:type="character" w:styleId="FootnoteReference">
    <w:name w:val="footnote reference"/>
    <w:rsid w:val="00672545"/>
    <w:rPr>
      <w:rFonts w:ascii="Century Schoolbook" w:hAnsi="Century Schoolbook"/>
      <w:b/>
      <w:i w:val="0"/>
      <w:position w:val="4"/>
      <w:sz w:val="27"/>
      <w:vertAlign w:val="superscript"/>
    </w:rPr>
  </w:style>
  <w:style w:type="paragraph" w:styleId="FootnoteText">
    <w:name w:val="footnote text"/>
    <w:basedOn w:val="Normal"/>
    <w:link w:val="FootnoteTextChar"/>
    <w:rsid w:val="00672545"/>
    <w:pPr>
      <w:spacing w:line="300" w:lineRule="exact"/>
    </w:pPr>
  </w:style>
  <w:style w:type="paragraph" w:customStyle="1" w:styleId="Title1">
    <w:name w:val="Title1"/>
    <w:basedOn w:val="Normal"/>
    <w:rsid w:val="00672545"/>
    <w:pPr>
      <w:tabs>
        <w:tab w:val="left" w:pos="5760"/>
        <w:tab w:val="left" w:pos="6480"/>
      </w:tabs>
      <w:spacing w:line="240" w:lineRule="atLeast"/>
    </w:pPr>
  </w:style>
  <w:style w:type="paragraph" w:customStyle="1" w:styleId="Recommend">
    <w:name w:val="Recommend"/>
    <w:basedOn w:val="Normal"/>
    <w:rsid w:val="00672545"/>
  </w:style>
  <w:style w:type="paragraph" w:customStyle="1" w:styleId="Summary">
    <w:name w:val="Summary"/>
    <w:basedOn w:val="Normal"/>
    <w:rsid w:val="00672545"/>
    <w:pPr>
      <w:ind w:left="2160" w:hanging="2160"/>
    </w:pPr>
  </w:style>
  <w:style w:type="paragraph" w:customStyle="1" w:styleId="Text">
    <w:name w:val="Text"/>
    <w:basedOn w:val="Normal"/>
    <w:rsid w:val="00672545"/>
    <w:pPr>
      <w:tabs>
        <w:tab w:val="left" w:pos="720"/>
        <w:tab w:val="left" w:pos="1440"/>
        <w:tab w:val="left" w:pos="2160"/>
        <w:tab w:val="center" w:pos="4320"/>
      </w:tabs>
      <w:spacing w:line="480" w:lineRule="atLeast"/>
      <w:ind w:firstLine="540"/>
    </w:pPr>
  </w:style>
  <w:style w:type="paragraph" w:styleId="Date">
    <w:name w:val="Date"/>
    <w:basedOn w:val="Normal"/>
    <w:semiHidden/>
    <w:rsid w:val="00672545"/>
    <w:pPr>
      <w:jc w:val="right"/>
    </w:pPr>
  </w:style>
  <w:style w:type="character" w:styleId="PageNumber">
    <w:name w:val="page number"/>
    <w:rsid w:val="00672545"/>
  </w:style>
  <w:style w:type="paragraph" w:customStyle="1" w:styleId="subject">
    <w:name w:val="subject"/>
    <w:basedOn w:val="Normal"/>
    <w:rsid w:val="00672545"/>
    <w:pPr>
      <w:tabs>
        <w:tab w:val="left" w:pos="1008"/>
      </w:tabs>
      <w:ind w:left="990" w:hanging="990"/>
    </w:pPr>
    <w:rPr>
      <w:b/>
    </w:rPr>
  </w:style>
  <w:style w:type="paragraph" w:customStyle="1" w:styleId="Titles">
    <w:name w:val="Titles"/>
    <w:basedOn w:val="Normal"/>
    <w:rsid w:val="00672545"/>
    <w:pPr>
      <w:tabs>
        <w:tab w:val="left" w:pos="2160"/>
      </w:tabs>
      <w:ind w:left="2160" w:hanging="2160"/>
    </w:pPr>
    <w:rPr>
      <w:b/>
    </w:rPr>
  </w:style>
  <w:style w:type="paragraph" w:styleId="TOAHeading">
    <w:name w:val="toa heading"/>
    <w:basedOn w:val="Normal"/>
    <w:next w:val="Normal"/>
    <w:semiHidden/>
    <w:rsid w:val="00672545"/>
    <w:pPr>
      <w:spacing w:before="120"/>
    </w:pPr>
    <w:rPr>
      <w:b/>
    </w:rPr>
  </w:style>
  <w:style w:type="paragraph" w:styleId="TOC1">
    <w:name w:val="toc 1"/>
    <w:basedOn w:val="Normal"/>
    <w:next w:val="Normal"/>
    <w:autoRedefine/>
    <w:rsid w:val="00672545"/>
  </w:style>
  <w:style w:type="paragraph" w:styleId="TOC2">
    <w:name w:val="toc 2"/>
    <w:basedOn w:val="Normal"/>
    <w:next w:val="Normal"/>
    <w:autoRedefine/>
    <w:rsid w:val="00672545"/>
    <w:pPr>
      <w:ind w:left="259"/>
    </w:pPr>
  </w:style>
  <w:style w:type="paragraph" w:styleId="TOC3">
    <w:name w:val="toc 3"/>
    <w:basedOn w:val="Normal"/>
    <w:next w:val="Normal"/>
    <w:autoRedefine/>
    <w:rsid w:val="00672545"/>
    <w:pPr>
      <w:ind w:left="520"/>
    </w:pPr>
  </w:style>
  <w:style w:type="paragraph" w:styleId="TOC4">
    <w:name w:val="toc 4"/>
    <w:basedOn w:val="Normal"/>
    <w:next w:val="Normal"/>
    <w:autoRedefine/>
    <w:semiHidden/>
    <w:rsid w:val="00672545"/>
    <w:pPr>
      <w:ind w:left="780"/>
    </w:pPr>
  </w:style>
  <w:style w:type="paragraph" w:styleId="TOC5">
    <w:name w:val="toc 5"/>
    <w:basedOn w:val="Normal"/>
    <w:next w:val="Normal"/>
    <w:autoRedefine/>
    <w:semiHidden/>
    <w:rsid w:val="00672545"/>
    <w:pPr>
      <w:ind w:left="1040"/>
    </w:pPr>
  </w:style>
  <w:style w:type="paragraph" w:styleId="TOC6">
    <w:name w:val="toc 6"/>
    <w:basedOn w:val="Normal"/>
    <w:next w:val="Normal"/>
    <w:autoRedefine/>
    <w:semiHidden/>
    <w:rsid w:val="00672545"/>
    <w:pPr>
      <w:ind w:left="1300"/>
    </w:pPr>
  </w:style>
  <w:style w:type="paragraph" w:styleId="TOC7">
    <w:name w:val="toc 7"/>
    <w:basedOn w:val="Normal"/>
    <w:next w:val="Normal"/>
    <w:autoRedefine/>
    <w:semiHidden/>
    <w:rsid w:val="00672545"/>
    <w:pPr>
      <w:ind w:left="1560"/>
    </w:pPr>
  </w:style>
  <w:style w:type="paragraph" w:styleId="TOC8">
    <w:name w:val="toc 8"/>
    <w:basedOn w:val="Normal"/>
    <w:next w:val="Normal"/>
    <w:autoRedefine/>
    <w:semiHidden/>
    <w:rsid w:val="00672545"/>
    <w:pPr>
      <w:ind w:left="1820"/>
    </w:pPr>
  </w:style>
  <w:style w:type="paragraph" w:styleId="TOC9">
    <w:name w:val="toc 9"/>
    <w:basedOn w:val="Normal"/>
    <w:next w:val="Normal"/>
    <w:autoRedefine/>
    <w:semiHidden/>
    <w:rsid w:val="00672545"/>
    <w:pPr>
      <w:ind w:left="2080"/>
    </w:pPr>
  </w:style>
  <w:style w:type="paragraph" w:customStyle="1" w:styleId="Contents">
    <w:name w:val="Contents"/>
    <w:basedOn w:val="Normal"/>
    <w:rsid w:val="00672545"/>
    <w:pPr>
      <w:jc w:val="center"/>
    </w:pPr>
    <w:rPr>
      <w:b/>
      <w:spacing w:val="100"/>
    </w:rPr>
  </w:style>
  <w:style w:type="character" w:customStyle="1" w:styleId="ssit1">
    <w:name w:val="ss_it1"/>
    <w:rsid w:val="00D1197F"/>
    <w:rPr>
      <w:i/>
      <w:iCs/>
    </w:rPr>
  </w:style>
  <w:style w:type="paragraph" w:styleId="BalloonText">
    <w:name w:val="Balloon Text"/>
    <w:basedOn w:val="Normal"/>
    <w:link w:val="BalloonTextChar"/>
    <w:uiPriority w:val="99"/>
    <w:semiHidden/>
    <w:unhideWhenUsed/>
    <w:rsid w:val="00CE4275"/>
    <w:rPr>
      <w:rFonts w:ascii="Tahoma" w:hAnsi="Tahoma" w:cs="Tahoma"/>
      <w:sz w:val="16"/>
      <w:szCs w:val="16"/>
    </w:rPr>
  </w:style>
  <w:style w:type="character" w:customStyle="1" w:styleId="BalloonTextChar">
    <w:name w:val="Balloon Text Char"/>
    <w:link w:val="BalloonText"/>
    <w:uiPriority w:val="99"/>
    <w:semiHidden/>
    <w:rsid w:val="00CE4275"/>
    <w:rPr>
      <w:rFonts w:ascii="Tahoma" w:hAnsi="Tahoma" w:cs="Tahoma"/>
      <w:sz w:val="16"/>
      <w:szCs w:val="16"/>
    </w:rPr>
  </w:style>
  <w:style w:type="character" w:customStyle="1" w:styleId="sssh">
    <w:name w:val="ss_sh"/>
    <w:basedOn w:val="DefaultParagraphFont"/>
    <w:rsid w:val="00C76191"/>
  </w:style>
  <w:style w:type="character" w:customStyle="1" w:styleId="ssrfcpassagedeactivated">
    <w:name w:val="ss_rfcpassage_deactivated"/>
    <w:basedOn w:val="DefaultParagraphFont"/>
    <w:rsid w:val="00C76191"/>
  </w:style>
  <w:style w:type="character" w:customStyle="1" w:styleId="ssib1">
    <w:name w:val="ss_ib1"/>
    <w:rsid w:val="00766C21"/>
    <w:rPr>
      <w:b/>
      <w:bCs/>
      <w:i/>
      <w:iCs/>
    </w:rPr>
  </w:style>
  <w:style w:type="character" w:customStyle="1" w:styleId="sscrbhighlight">
    <w:name w:val="ss_crbhighlight"/>
    <w:basedOn w:val="DefaultParagraphFont"/>
    <w:rsid w:val="00766C21"/>
  </w:style>
  <w:style w:type="character" w:styleId="Hyperlink">
    <w:name w:val="Hyperlink"/>
    <w:uiPriority w:val="99"/>
    <w:unhideWhenUsed/>
    <w:rsid w:val="000E270E"/>
    <w:rPr>
      <w:color w:val="0077CC"/>
      <w:u w:val="single"/>
    </w:rPr>
  </w:style>
  <w:style w:type="paragraph" w:styleId="NormalWeb">
    <w:name w:val="Normal (Web)"/>
    <w:basedOn w:val="Normal"/>
    <w:uiPriority w:val="99"/>
    <w:semiHidden/>
    <w:unhideWhenUsed/>
    <w:rsid w:val="002D255E"/>
    <w:pPr>
      <w:spacing w:before="100" w:beforeAutospacing="1" w:afterAutospacing="1"/>
    </w:pPr>
    <w:rPr>
      <w:sz w:val="24"/>
      <w:szCs w:val="24"/>
    </w:rPr>
  </w:style>
  <w:style w:type="character" w:styleId="PlaceholderText">
    <w:name w:val="Placeholder Text"/>
    <w:uiPriority w:val="99"/>
    <w:semiHidden/>
    <w:rsid w:val="009A36D5"/>
    <w:rPr>
      <w:color w:val="808080"/>
    </w:rPr>
  </w:style>
  <w:style w:type="character" w:styleId="CommentReference">
    <w:name w:val="annotation reference"/>
    <w:uiPriority w:val="99"/>
    <w:semiHidden/>
    <w:unhideWhenUsed/>
    <w:rsid w:val="00BC2B70"/>
    <w:rPr>
      <w:sz w:val="16"/>
      <w:szCs w:val="16"/>
    </w:rPr>
  </w:style>
  <w:style w:type="paragraph" w:styleId="CommentText">
    <w:name w:val="annotation text"/>
    <w:basedOn w:val="Normal"/>
    <w:link w:val="CommentTextChar"/>
    <w:uiPriority w:val="99"/>
    <w:semiHidden/>
    <w:unhideWhenUsed/>
    <w:rsid w:val="00BC2B70"/>
    <w:rPr>
      <w:sz w:val="20"/>
    </w:rPr>
  </w:style>
  <w:style w:type="character" w:customStyle="1" w:styleId="CommentTextChar">
    <w:name w:val="Comment Text Char"/>
    <w:basedOn w:val="DefaultParagraphFont"/>
    <w:link w:val="CommentText"/>
    <w:uiPriority w:val="99"/>
    <w:semiHidden/>
    <w:rsid w:val="00BC2B70"/>
  </w:style>
  <w:style w:type="paragraph" w:styleId="CommentSubject">
    <w:name w:val="annotation subject"/>
    <w:basedOn w:val="CommentText"/>
    <w:next w:val="CommentText"/>
    <w:link w:val="CommentSubjectChar"/>
    <w:uiPriority w:val="99"/>
    <w:semiHidden/>
    <w:unhideWhenUsed/>
    <w:rsid w:val="00BC2B70"/>
    <w:rPr>
      <w:b/>
      <w:bCs/>
    </w:rPr>
  </w:style>
  <w:style w:type="character" w:customStyle="1" w:styleId="CommentSubjectChar">
    <w:name w:val="Comment Subject Char"/>
    <w:link w:val="CommentSubject"/>
    <w:uiPriority w:val="99"/>
    <w:semiHidden/>
    <w:rsid w:val="00BC2B70"/>
    <w:rPr>
      <w:b/>
      <w:bCs/>
    </w:rPr>
  </w:style>
  <w:style w:type="paragraph" w:styleId="Revision">
    <w:name w:val="Revision"/>
    <w:hidden/>
    <w:uiPriority w:val="99"/>
    <w:semiHidden/>
    <w:rsid w:val="00BC2B70"/>
    <w:rPr>
      <w:sz w:val="26"/>
    </w:rPr>
  </w:style>
  <w:style w:type="paragraph" w:styleId="TOCHeading">
    <w:name w:val="TOC Heading"/>
    <w:basedOn w:val="Heading1"/>
    <w:next w:val="Normal"/>
    <w:uiPriority w:val="39"/>
    <w:unhideWhenUsed/>
    <w:qFormat/>
    <w:rsid w:val="00DE146C"/>
    <w:pPr>
      <w:keepLines/>
      <w:spacing w:before="240" w:line="259" w:lineRule="auto"/>
      <w:jc w:val="left"/>
      <w:outlineLvl w:val="9"/>
    </w:pPr>
    <w:rPr>
      <w:rFonts w:ascii="Cambria" w:hAnsi="Cambria"/>
      <w:b w:val="0"/>
      <w:smallCaps w:val="0"/>
      <w:color w:val="365F91"/>
      <w:sz w:val="32"/>
      <w:szCs w:val="32"/>
    </w:rPr>
  </w:style>
  <w:style w:type="character" w:customStyle="1" w:styleId="ssit">
    <w:name w:val="ss_it"/>
    <w:basedOn w:val="DefaultParagraphFont"/>
    <w:rsid w:val="00AF0601"/>
  </w:style>
  <w:style w:type="character" w:styleId="EndnoteReference">
    <w:name w:val="endnote reference"/>
    <w:uiPriority w:val="99"/>
    <w:semiHidden/>
    <w:unhideWhenUsed/>
    <w:rsid w:val="00C60999"/>
    <w:rPr>
      <w:vertAlign w:val="superscript"/>
    </w:rPr>
  </w:style>
  <w:style w:type="character" w:customStyle="1" w:styleId="FootnoteTextChar">
    <w:name w:val="Footnote Text Char"/>
    <w:link w:val="FootnoteText"/>
    <w:rsid w:val="00D5593B"/>
    <w:rPr>
      <w:rFonts w:ascii="Century Schoolbook" w:hAnsi="Century Schoolbook"/>
      <w:sz w:val="27"/>
    </w:rPr>
  </w:style>
  <w:style w:type="paragraph" w:customStyle="1" w:styleId="PRComments">
    <w:name w:val="PR Comments"/>
    <w:basedOn w:val="Normal"/>
    <w:rsid w:val="001B578B"/>
    <w:pPr>
      <w:spacing w:line="360" w:lineRule="atLeast"/>
      <w:ind w:right="-360"/>
    </w:pPr>
  </w:style>
  <w:style w:type="paragraph" w:styleId="BodyText">
    <w:name w:val="Body Text"/>
    <w:basedOn w:val="Normal"/>
    <w:link w:val="BodyTextChar"/>
    <w:qFormat/>
    <w:rsid w:val="00672545"/>
  </w:style>
  <w:style w:type="character" w:customStyle="1" w:styleId="BodyTextChar">
    <w:name w:val="Body Text Char"/>
    <w:link w:val="BodyText"/>
    <w:rsid w:val="0067254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18340">
      <w:bodyDiv w:val="1"/>
      <w:marLeft w:val="0"/>
      <w:marRight w:val="0"/>
      <w:marTop w:val="0"/>
      <w:marBottom w:val="0"/>
      <w:divBdr>
        <w:top w:val="none" w:sz="0" w:space="0" w:color="auto"/>
        <w:left w:val="none" w:sz="0" w:space="0" w:color="auto"/>
        <w:bottom w:val="none" w:sz="0" w:space="0" w:color="auto"/>
        <w:right w:val="none" w:sz="0" w:space="0" w:color="auto"/>
      </w:divBdr>
    </w:div>
    <w:div w:id="1383361294">
      <w:bodyDiv w:val="1"/>
      <w:marLeft w:val="0"/>
      <w:marRight w:val="0"/>
      <w:marTop w:val="0"/>
      <w:marBottom w:val="0"/>
      <w:divBdr>
        <w:top w:val="none" w:sz="0" w:space="0" w:color="auto"/>
        <w:left w:val="none" w:sz="0" w:space="0" w:color="auto"/>
        <w:bottom w:val="none" w:sz="0" w:space="0" w:color="auto"/>
        <w:right w:val="none" w:sz="0" w:space="0" w:color="auto"/>
      </w:divBdr>
      <w:divsChild>
        <w:div w:id="476455026">
          <w:marLeft w:val="0"/>
          <w:marRight w:val="0"/>
          <w:marTop w:val="0"/>
          <w:marBottom w:val="0"/>
          <w:divBdr>
            <w:top w:val="none" w:sz="0" w:space="0" w:color="auto"/>
            <w:left w:val="none" w:sz="0" w:space="0" w:color="auto"/>
            <w:bottom w:val="none" w:sz="0" w:space="0" w:color="auto"/>
            <w:right w:val="none" w:sz="0" w:space="0" w:color="auto"/>
          </w:divBdr>
          <w:divsChild>
            <w:div w:id="526069027">
              <w:marLeft w:val="0"/>
              <w:marRight w:val="0"/>
              <w:marTop w:val="0"/>
              <w:marBottom w:val="0"/>
              <w:divBdr>
                <w:top w:val="none" w:sz="0" w:space="0" w:color="auto"/>
                <w:left w:val="none" w:sz="0" w:space="0" w:color="auto"/>
                <w:bottom w:val="none" w:sz="0" w:space="0" w:color="auto"/>
                <w:right w:val="none" w:sz="0" w:space="0" w:color="auto"/>
              </w:divBdr>
              <w:divsChild>
                <w:div w:id="643655928">
                  <w:marLeft w:val="0"/>
                  <w:marRight w:val="300"/>
                  <w:marTop w:val="0"/>
                  <w:marBottom w:val="0"/>
                  <w:divBdr>
                    <w:top w:val="none" w:sz="0" w:space="0" w:color="auto"/>
                    <w:left w:val="none" w:sz="0" w:space="0" w:color="auto"/>
                    <w:bottom w:val="none" w:sz="0" w:space="0" w:color="auto"/>
                    <w:right w:val="none" w:sz="0" w:space="0" w:color="auto"/>
                  </w:divBdr>
                  <w:divsChild>
                    <w:div w:id="1629553268">
                      <w:marLeft w:val="0"/>
                      <w:marRight w:val="0"/>
                      <w:marTop w:val="0"/>
                      <w:marBottom w:val="0"/>
                      <w:divBdr>
                        <w:top w:val="none" w:sz="0" w:space="0" w:color="auto"/>
                        <w:left w:val="none" w:sz="0" w:space="0" w:color="auto"/>
                        <w:bottom w:val="none" w:sz="0" w:space="0" w:color="auto"/>
                        <w:right w:val="none" w:sz="0" w:space="0" w:color="auto"/>
                      </w:divBdr>
                      <w:divsChild>
                        <w:div w:id="20950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28688">
      <w:bodyDiv w:val="1"/>
      <w:marLeft w:val="0"/>
      <w:marRight w:val="0"/>
      <w:marTop w:val="0"/>
      <w:marBottom w:val="0"/>
      <w:divBdr>
        <w:top w:val="none" w:sz="0" w:space="0" w:color="auto"/>
        <w:left w:val="none" w:sz="0" w:space="0" w:color="auto"/>
        <w:bottom w:val="none" w:sz="0" w:space="0" w:color="auto"/>
        <w:right w:val="none" w:sz="0" w:space="0" w:color="auto"/>
      </w:divBdr>
      <w:divsChild>
        <w:div w:id="2100909318">
          <w:marLeft w:val="0"/>
          <w:marRight w:val="0"/>
          <w:marTop w:val="0"/>
          <w:marBottom w:val="0"/>
          <w:divBdr>
            <w:top w:val="none" w:sz="0" w:space="0" w:color="auto"/>
            <w:left w:val="none" w:sz="0" w:space="0" w:color="auto"/>
            <w:bottom w:val="none" w:sz="0" w:space="0" w:color="auto"/>
            <w:right w:val="none" w:sz="0" w:space="0" w:color="auto"/>
          </w:divBdr>
          <w:divsChild>
            <w:div w:id="1794669366">
              <w:marLeft w:val="0"/>
              <w:marRight w:val="0"/>
              <w:marTop w:val="0"/>
              <w:marBottom w:val="0"/>
              <w:divBdr>
                <w:top w:val="none" w:sz="0" w:space="0" w:color="auto"/>
                <w:left w:val="none" w:sz="0" w:space="0" w:color="auto"/>
                <w:bottom w:val="none" w:sz="0" w:space="0" w:color="auto"/>
                <w:right w:val="none" w:sz="0" w:space="0" w:color="auto"/>
              </w:divBdr>
              <w:divsChild>
                <w:div w:id="1032924236">
                  <w:marLeft w:val="0"/>
                  <w:marRight w:val="300"/>
                  <w:marTop w:val="0"/>
                  <w:marBottom w:val="0"/>
                  <w:divBdr>
                    <w:top w:val="none" w:sz="0" w:space="0" w:color="auto"/>
                    <w:left w:val="none" w:sz="0" w:space="0" w:color="auto"/>
                    <w:bottom w:val="none" w:sz="0" w:space="0" w:color="auto"/>
                    <w:right w:val="none" w:sz="0" w:space="0" w:color="auto"/>
                  </w:divBdr>
                  <w:divsChild>
                    <w:div w:id="2084402279">
                      <w:marLeft w:val="0"/>
                      <w:marRight w:val="0"/>
                      <w:marTop w:val="0"/>
                      <w:marBottom w:val="0"/>
                      <w:divBdr>
                        <w:top w:val="none" w:sz="0" w:space="0" w:color="auto"/>
                        <w:left w:val="none" w:sz="0" w:space="0" w:color="auto"/>
                        <w:bottom w:val="none" w:sz="0" w:space="0" w:color="auto"/>
                        <w:right w:val="none" w:sz="0" w:space="0" w:color="auto"/>
                      </w:divBdr>
                      <w:divsChild>
                        <w:div w:id="7167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067723">
      <w:bodyDiv w:val="1"/>
      <w:marLeft w:val="0"/>
      <w:marRight w:val="0"/>
      <w:marTop w:val="0"/>
      <w:marBottom w:val="0"/>
      <w:divBdr>
        <w:top w:val="none" w:sz="0" w:space="0" w:color="auto"/>
        <w:left w:val="none" w:sz="0" w:space="0" w:color="auto"/>
        <w:bottom w:val="none" w:sz="0" w:space="0" w:color="auto"/>
        <w:right w:val="none" w:sz="0" w:space="0" w:color="auto"/>
      </w:divBdr>
      <w:divsChild>
        <w:div w:id="947196205">
          <w:marLeft w:val="0"/>
          <w:marRight w:val="0"/>
          <w:marTop w:val="0"/>
          <w:marBottom w:val="0"/>
          <w:divBdr>
            <w:top w:val="none" w:sz="0" w:space="0" w:color="auto"/>
            <w:left w:val="none" w:sz="0" w:space="0" w:color="auto"/>
            <w:bottom w:val="none" w:sz="0" w:space="0" w:color="auto"/>
            <w:right w:val="none" w:sz="0" w:space="0" w:color="auto"/>
          </w:divBdr>
          <w:divsChild>
            <w:div w:id="1203787296">
              <w:marLeft w:val="0"/>
              <w:marRight w:val="0"/>
              <w:marTop w:val="0"/>
              <w:marBottom w:val="0"/>
              <w:divBdr>
                <w:top w:val="none" w:sz="0" w:space="0" w:color="auto"/>
                <w:left w:val="none" w:sz="0" w:space="0" w:color="auto"/>
                <w:bottom w:val="none" w:sz="0" w:space="0" w:color="auto"/>
                <w:right w:val="none" w:sz="0" w:space="0" w:color="auto"/>
              </w:divBdr>
              <w:divsChild>
                <w:div w:id="712539960">
                  <w:marLeft w:val="0"/>
                  <w:marRight w:val="300"/>
                  <w:marTop w:val="0"/>
                  <w:marBottom w:val="0"/>
                  <w:divBdr>
                    <w:top w:val="none" w:sz="0" w:space="0" w:color="auto"/>
                    <w:left w:val="none" w:sz="0" w:space="0" w:color="auto"/>
                    <w:bottom w:val="none" w:sz="0" w:space="0" w:color="auto"/>
                    <w:right w:val="none" w:sz="0" w:space="0" w:color="auto"/>
                  </w:divBdr>
                  <w:divsChild>
                    <w:div w:id="1070537581">
                      <w:marLeft w:val="0"/>
                      <w:marRight w:val="0"/>
                      <w:marTop w:val="0"/>
                      <w:marBottom w:val="0"/>
                      <w:divBdr>
                        <w:top w:val="none" w:sz="0" w:space="0" w:color="auto"/>
                        <w:left w:val="none" w:sz="0" w:space="0" w:color="auto"/>
                        <w:bottom w:val="none" w:sz="0" w:space="0" w:color="auto"/>
                        <w:right w:val="none" w:sz="0" w:space="0" w:color="auto"/>
                      </w:divBdr>
                      <w:divsChild>
                        <w:div w:id="50320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153</Pages>
  <Words>42094</Words>
  <Characters>220173</Characters>
  <Application>Microsoft Office Word</Application>
  <DocSecurity>0</DocSecurity>
  <Lines>1834</Lines>
  <Paragraphs>523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261744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2019-02-01T18:09:00Z</cp:lastPrinted>
  <dcterms:created xsi:type="dcterms:W3CDTF">2019-02-01T19:14:00Z</dcterms:created>
  <dcterms:modified xsi:type="dcterms:W3CDTF">2019-02-01T19:27:00Z</dcterms:modified>
</cp:coreProperties>
</file>