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DC44" w14:textId="790B416F" w:rsidR="00FD6A2B" w:rsidRPr="00ED7CB1" w:rsidRDefault="00ED7CB1" w:rsidP="003F6F8E">
      <w:pPr>
        <w:pStyle w:val="Text"/>
        <w:ind w:firstLine="0"/>
        <w:rPr>
          <w:sz w:val="20"/>
        </w:rPr>
      </w:pPr>
      <w:bookmarkStart w:id="0" w:name="_GoBack"/>
      <w:bookmarkEnd w:id="0"/>
      <w:r>
        <w:rPr>
          <w:sz w:val="20"/>
        </w:rPr>
        <w:t>Filed 4/10/19</w:t>
      </w:r>
    </w:p>
    <w:p w14:paraId="51020AEC"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b/>
          <w:sz w:val="27"/>
          <w:szCs w:val="27"/>
        </w:rPr>
        <w:t>IN THE SUPREME COURT OF CALIFORNIA</w:t>
      </w:r>
    </w:p>
    <w:p w14:paraId="5669E0FE"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p>
    <w:p w14:paraId="36E94146"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sz w:val="27"/>
          <w:szCs w:val="27"/>
        </w:rPr>
        <w:t>THE PEOPLE,</w:t>
      </w:r>
    </w:p>
    <w:p w14:paraId="2D79DB78" w14:textId="77777777" w:rsidR="005606A2" w:rsidRPr="00B24530" w:rsidRDefault="005606A2" w:rsidP="00566E36">
      <w:pPr>
        <w:tabs>
          <w:tab w:val="left" w:pos="1440"/>
          <w:tab w:val="left" w:pos="4680"/>
          <w:tab w:val="center" w:pos="7200"/>
        </w:tabs>
        <w:jc w:val="center"/>
        <w:rPr>
          <w:rFonts w:ascii="Century Schoolbook" w:hAnsi="Century Schoolbook"/>
          <w:sz w:val="27"/>
          <w:szCs w:val="27"/>
        </w:rPr>
      </w:pPr>
    </w:p>
    <w:p w14:paraId="36E5578C"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sz w:val="27"/>
          <w:szCs w:val="27"/>
        </w:rPr>
        <w:t>Plaintiff and Respondent,</w:t>
      </w:r>
    </w:p>
    <w:p w14:paraId="175C5E3E" w14:textId="77777777" w:rsidR="005606A2" w:rsidRPr="00B24530" w:rsidRDefault="005606A2" w:rsidP="00566E36">
      <w:pPr>
        <w:tabs>
          <w:tab w:val="left" w:pos="1440"/>
          <w:tab w:val="left" w:pos="4680"/>
          <w:tab w:val="center" w:pos="7200"/>
        </w:tabs>
        <w:jc w:val="center"/>
        <w:rPr>
          <w:rFonts w:ascii="Century Schoolbook" w:hAnsi="Century Schoolbook"/>
          <w:sz w:val="27"/>
          <w:szCs w:val="27"/>
        </w:rPr>
      </w:pPr>
    </w:p>
    <w:p w14:paraId="4D9835D5"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sz w:val="27"/>
          <w:szCs w:val="27"/>
        </w:rPr>
        <w:t>v.</w:t>
      </w:r>
    </w:p>
    <w:p w14:paraId="635606E4" w14:textId="77777777" w:rsidR="005606A2" w:rsidRPr="00B24530" w:rsidRDefault="005606A2" w:rsidP="00566E36">
      <w:pPr>
        <w:tabs>
          <w:tab w:val="left" w:pos="1440"/>
          <w:tab w:val="left" w:pos="4680"/>
          <w:tab w:val="center" w:pos="7200"/>
        </w:tabs>
        <w:jc w:val="center"/>
        <w:rPr>
          <w:rFonts w:ascii="Century Schoolbook" w:hAnsi="Century Schoolbook"/>
          <w:sz w:val="27"/>
          <w:szCs w:val="27"/>
        </w:rPr>
      </w:pPr>
    </w:p>
    <w:p w14:paraId="765342D9"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sz w:val="27"/>
          <w:szCs w:val="27"/>
        </w:rPr>
        <w:t>DAVID ALAN WESTERFIELD,</w:t>
      </w:r>
    </w:p>
    <w:p w14:paraId="73387FDB" w14:textId="77777777" w:rsidR="005606A2" w:rsidRPr="00B24530" w:rsidRDefault="005606A2" w:rsidP="00566E36">
      <w:pPr>
        <w:tabs>
          <w:tab w:val="left" w:pos="1440"/>
          <w:tab w:val="left" w:pos="4680"/>
          <w:tab w:val="center" w:pos="7200"/>
        </w:tabs>
        <w:jc w:val="center"/>
        <w:rPr>
          <w:rFonts w:ascii="Century Schoolbook" w:hAnsi="Century Schoolbook"/>
          <w:sz w:val="27"/>
          <w:szCs w:val="27"/>
        </w:rPr>
      </w:pPr>
    </w:p>
    <w:p w14:paraId="598DECAB"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sz w:val="27"/>
          <w:szCs w:val="27"/>
        </w:rPr>
        <w:t>Defendant and Appellant.</w:t>
      </w:r>
    </w:p>
    <w:p w14:paraId="34BD3C8E"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p>
    <w:p w14:paraId="5AC8E4A8"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sz w:val="27"/>
          <w:szCs w:val="27"/>
        </w:rPr>
        <w:t>S112691</w:t>
      </w:r>
    </w:p>
    <w:p w14:paraId="67F8EF66"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p>
    <w:p w14:paraId="54050B3F"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sz w:val="27"/>
          <w:szCs w:val="27"/>
        </w:rPr>
        <w:t>San Diego County Superior Court</w:t>
      </w:r>
    </w:p>
    <w:p w14:paraId="608D5F01"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r w:rsidRPr="00B24530">
        <w:rPr>
          <w:rFonts w:ascii="Century Schoolbook" w:hAnsi="Century Schoolbook"/>
          <w:sz w:val="27"/>
          <w:szCs w:val="27"/>
        </w:rPr>
        <w:t>SCD165805</w:t>
      </w:r>
    </w:p>
    <w:p w14:paraId="2A829184" w14:textId="77777777" w:rsidR="00566E36" w:rsidRPr="00B24530" w:rsidRDefault="00566E36" w:rsidP="00566E36">
      <w:pPr>
        <w:pBdr>
          <w:bottom w:val="single" w:sz="4" w:space="1" w:color="auto"/>
        </w:pBdr>
        <w:tabs>
          <w:tab w:val="left" w:pos="1440"/>
          <w:tab w:val="left" w:pos="4680"/>
          <w:tab w:val="center" w:pos="7200"/>
        </w:tabs>
        <w:jc w:val="center"/>
        <w:rPr>
          <w:rFonts w:ascii="Century Schoolbook" w:hAnsi="Century Schoolbook"/>
          <w:sz w:val="27"/>
          <w:szCs w:val="27"/>
        </w:rPr>
      </w:pPr>
    </w:p>
    <w:p w14:paraId="6E153ADC" w14:textId="77777777" w:rsidR="00566E36" w:rsidRPr="00B24530" w:rsidRDefault="00566E36" w:rsidP="00566E36">
      <w:pPr>
        <w:tabs>
          <w:tab w:val="left" w:pos="1440"/>
          <w:tab w:val="left" w:pos="4680"/>
          <w:tab w:val="center" w:pos="7200"/>
        </w:tabs>
        <w:jc w:val="center"/>
        <w:rPr>
          <w:rFonts w:ascii="Century Schoolbook" w:hAnsi="Century Schoolbook"/>
          <w:sz w:val="27"/>
          <w:szCs w:val="27"/>
        </w:rPr>
      </w:pPr>
    </w:p>
    <w:p w14:paraId="3F7FF5D2" w14:textId="77777777" w:rsidR="00566E36" w:rsidRPr="00B24530" w:rsidRDefault="00566E36" w:rsidP="00566E36">
      <w:pPr>
        <w:jc w:val="center"/>
        <w:rPr>
          <w:rFonts w:ascii="Century Schoolbook" w:hAnsi="Century Schoolbook"/>
          <w:b/>
          <w:sz w:val="27"/>
          <w:szCs w:val="27"/>
        </w:rPr>
      </w:pPr>
      <w:r w:rsidRPr="00B24530">
        <w:rPr>
          <w:rFonts w:ascii="Century Schoolbook" w:hAnsi="Century Schoolbook"/>
          <w:b/>
          <w:sz w:val="27"/>
          <w:szCs w:val="27"/>
        </w:rPr>
        <w:t xml:space="preserve">ORDER MODIFYING OPINION AND </w:t>
      </w:r>
    </w:p>
    <w:p w14:paraId="2B064259" w14:textId="77777777" w:rsidR="00566E36" w:rsidRPr="00B24530" w:rsidRDefault="00566E36" w:rsidP="00566E36">
      <w:pPr>
        <w:jc w:val="center"/>
        <w:rPr>
          <w:rFonts w:ascii="Century Schoolbook" w:hAnsi="Century Schoolbook"/>
          <w:sz w:val="27"/>
          <w:szCs w:val="27"/>
        </w:rPr>
      </w:pPr>
      <w:r w:rsidRPr="00B24530">
        <w:rPr>
          <w:rFonts w:ascii="Century Schoolbook" w:hAnsi="Century Schoolbook"/>
          <w:b/>
          <w:sz w:val="27"/>
          <w:szCs w:val="27"/>
        </w:rPr>
        <w:t>DENYING PETITION FOR REHEARING</w:t>
      </w:r>
    </w:p>
    <w:p w14:paraId="2A2C07A1" w14:textId="77777777" w:rsidR="00566E36" w:rsidRPr="00B24530" w:rsidRDefault="00566E36" w:rsidP="00566E36">
      <w:pPr>
        <w:jc w:val="center"/>
        <w:rPr>
          <w:rFonts w:ascii="Century Schoolbook" w:hAnsi="Century Schoolbook"/>
          <w:sz w:val="27"/>
          <w:szCs w:val="27"/>
        </w:rPr>
      </w:pPr>
    </w:p>
    <w:p w14:paraId="762D8746" w14:textId="77777777" w:rsidR="00566E36" w:rsidRPr="00B24530" w:rsidRDefault="00566E36" w:rsidP="00566E36">
      <w:pPr>
        <w:rPr>
          <w:rFonts w:ascii="Century Schoolbook" w:hAnsi="Century Schoolbook"/>
          <w:sz w:val="27"/>
          <w:szCs w:val="27"/>
        </w:rPr>
      </w:pPr>
      <w:r w:rsidRPr="00B24530">
        <w:rPr>
          <w:rFonts w:ascii="Century Schoolbook" w:hAnsi="Century Schoolbook"/>
          <w:sz w:val="27"/>
          <w:szCs w:val="27"/>
        </w:rPr>
        <w:t>THE COURT:</w:t>
      </w:r>
    </w:p>
    <w:p w14:paraId="4BAB75D3" w14:textId="77777777" w:rsidR="00566E36" w:rsidRPr="00B24530" w:rsidRDefault="00566E36" w:rsidP="00566E36">
      <w:pPr>
        <w:rPr>
          <w:rFonts w:ascii="Century Schoolbook" w:hAnsi="Century Schoolbook"/>
          <w:sz w:val="27"/>
          <w:szCs w:val="27"/>
        </w:rPr>
      </w:pPr>
    </w:p>
    <w:p w14:paraId="0BD400FD" w14:textId="77777777" w:rsidR="00566E36" w:rsidRPr="00B24530" w:rsidRDefault="00566E36" w:rsidP="00566E36">
      <w:pPr>
        <w:pStyle w:val="Text"/>
        <w:ind w:firstLine="720"/>
        <w:rPr>
          <w:rFonts w:ascii="Century Schoolbook" w:hAnsi="Century Schoolbook"/>
          <w:sz w:val="27"/>
          <w:szCs w:val="27"/>
        </w:rPr>
      </w:pPr>
      <w:r w:rsidRPr="00B24530">
        <w:rPr>
          <w:rFonts w:ascii="Century Schoolbook" w:hAnsi="Century Schoolbook"/>
          <w:sz w:val="27"/>
          <w:szCs w:val="27"/>
        </w:rPr>
        <w:t xml:space="preserve">The opinion in this matter filed on February 4, 2019, and appearing at 6 Cal.5th 632, is modified as follows:  </w:t>
      </w:r>
    </w:p>
    <w:p w14:paraId="5F369B83" w14:textId="77777777" w:rsidR="00276ACB" w:rsidRDefault="00276ACB" w:rsidP="00566E36">
      <w:pPr>
        <w:pStyle w:val="Text"/>
        <w:ind w:firstLine="720"/>
        <w:rPr>
          <w:rFonts w:ascii="Century Schoolbook" w:hAnsi="Century Schoolbook"/>
          <w:sz w:val="27"/>
          <w:szCs w:val="27"/>
        </w:rPr>
      </w:pPr>
      <w:r>
        <w:rPr>
          <w:rFonts w:ascii="Century Schoolbook" w:hAnsi="Century Schoolbook"/>
          <w:sz w:val="27"/>
          <w:szCs w:val="27"/>
        </w:rPr>
        <w:t xml:space="preserve">1.  </w:t>
      </w:r>
      <w:r w:rsidR="00566E36" w:rsidRPr="00B24530">
        <w:rPr>
          <w:rFonts w:ascii="Century Schoolbook" w:hAnsi="Century Schoolbook"/>
          <w:sz w:val="27"/>
          <w:szCs w:val="27"/>
        </w:rPr>
        <w:t>In the first paragraph on page 684, the sentence reading, “We further conclude defendant failed to preserve the claim that the trial court abused its discretion in denying severance, although we would find no error in any event” is modified to read</w:t>
      </w:r>
      <w:r>
        <w:rPr>
          <w:rFonts w:ascii="Century Schoolbook" w:hAnsi="Century Schoolbook"/>
          <w:sz w:val="27"/>
          <w:szCs w:val="27"/>
        </w:rPr>
        <w:t>:</w:t>
      </w:r>
    </w:p>
    <w:p w14:paraId="4CF8D3DF" w14:textId="77777777" w:rsidR="00566E36" w:rsidRDefault="00566E36" w:rsidP="00566E36">
      <w:pPr>
        <w:pStyle w:val="Text"/>
        <w:ind w:firstLine="720"/>
        <w:rPr>
          <w:rFonts w:ascii="Century Schoolbook" w:hAnsi="Century Schoolbook"/>
          <w:sz w:val="27"/>
          <w:szCs w:val="27"/>
        </w:rPr>
      </w:pPr>
      <w:r w:rsidRPr="00B24530">
        <w:rPr>
          <w:rFonts w:ascii="Century Schoolbook" w:hAnsi="Century Schoolbook"/>
          <w:sz w:val="27"/>
          <w:szCs w:val="27"/>
        </w:rPr>
        <w:t>We further conclude the trial court did not abuse its discretion in denying severance.</w:t>
      </w:r>
    </w:p>
    <w:p w14:paraId="00E4DF58" w14:textId="77777777" w:rsidR="00276ACB" w:rsidRPr="00B24530" w:rsidRDefault="00276ACB" w:rsidP="00566E36">
      <w:pPr>
        <w:pStyle w:val="Text"/>
        <w:ind w:firstLine="720"/>
        <w:rPr>
          <w:rFonts w:ascii="Century Schoolbook" w:hAnsi="Century Schoolbook"/>
          <w:sz w:val="27"/>
          <w:szCs w:val="27"/>
        </w:rPr>
      </w:pPr>
    </w:p>
    <w:p w14:paraId="6758D176" w14:textId="77777777" w:rsidR="00276ACB" w:rsidRDefault="00276ACB" w:rsidP="00566E36">
      <w:pPr>
        <w:pStyle w:val="Text"/>
        <w:ind w:firstLine="720"/>
        <w:rPr>
          <w:rFonts w:ascii="Century Schoolbook" w:hAnsi="Century Schoolbook"/>
          <w:sz w:val="27"/>
          <w:szCs w:val="27"/>
        </w:rPr>
      </w:pPr>
      <w:r>
        <w:rPr>
          <w:rFonts w:ascii="Century Schoolbook" w:hAnsi="Century Schoolbook"/>
          <w:sz w:val="27"/>
          <w:szCs w:val="27"/>
        </w:rPr>
        <w:lastRenderedPageBreak/>
        <w:t xml:space="preserve">2.  </w:t>
      </w:r>
      <w:r w:rsidR="00566E36" w:rsidRPr="00B24530">
        <w:rPr>
          <w:rFonts w:ascii="Century Schoolbook" w:hAnsi="Century Schoolbook"/>
          <w:sz w:val="27"/>
          <w:szCs w:val="27"/>
        </w:rPr>
        <w:t>On page 690, the first two paragraphs and the first sentence of the third paragraph are deleted.  A new sentence is added at the beginning of the third paragraph, reading</w:t>
      </w:r>
      <w:r>
        <w:rPr>
          <w:rFonts w:ascii="Century Schoolbook" w:hAnsi="Century Schoolbook"/>
          <w:sz w:val="27"/>
          <w:szCs w:val="27"/>
        </w:rPr>
        <w:t>:</w:t>
      </w:r>
    </w:p>
    <w:p w14:paraId="5568994C" w14:textId="77777777" w:rsidR="00566E36" w:rsidRDefault="00566E36" w:rsidP="00566E36">
      <w:pPr>
        <w:pStyle w:val="Text"/>
        <w:ind w:firstLine="720"/>
        <w:rPr>
          <w:rFonts w:ascii="Century Schoolbook" w:hAnsi="Century Schoolbook"/>
          <w:sz w:val="27"/>
          <w:szCs w:val="27"/>
        </w:rPr>
      </w:pPr>
      <w:r w:rsidRPr="00B24530">
        <w:rPr>
          <w:rFonts w:ascii="Century Schoolbook" w:hAnsi="Century Schoolbook"/>
          <w:sz w:val="27"/>
          <w:szCs w:val="27"/>
        </w:rPr>
        <w:t>There was no abuse of discretion in this case.</w:t>
      </w:r>
    </w:p>
    <w:p w14:paraId="28CDE076" w14:textId="77777777" w:rsidR="00276ACB" w:rsidRDefault="00276ACB" w:rsidP="00566E36">
      <w:pPr>
        <w:pStyle w:val="Text"/>
        <w:ind w:firstLine="720"/>
        <w:rPr>
          <w:rFonts w:ascii="Century Schoolbook" w:hAnsi="Century Schoolbook"/>
          <w:sz w:val="27"/>
          <w:szCs w:val="27"/>
        </w:rPr>
      </w:pPr>
      <w:r>
        <w:rPr>
          <w:rFonts w:ascii="Century Schoolbook" w:hAnsi="Century Schoolbook"/>
          <w:sz w:val="27"/>
          <w:szCs w:val="27"/>
        </w:rPr>
        <w:t xml:space="preserve">3.  </w:t>
      </w:r>
      <w:r w:rsidR="00566E36" w:rsidRPr="00B24530">
        <w:rPr>
          <w:rFonts w:ascii="Century Schoolbook" w:hAnsi="Century Schoolbook"/>
          <w:sz w:val="27"/>
          <w:szCs w:val="27"/>
        </w:rPr>
        <w:t>In the final paragraph on page 694, the sentence reading, “Watkins agreed, but noted that there were several images that were ‘borderline’ as to the subject’s age, and he did not include those in the 85 he deemed questionable” is modified to read</w:t>
      </w:r>
      <w:r>
        <w:rPr>
          <w:rFonts w:ascii="Century Schoolbook" w:hAnsi="Century Schoolbook"/>
          <w:sz w:val="27"/>
          <w:szCs w:val="27"/>
        </w:rPr>
        <w:t>:</w:t>
      </w:r>
    </w:p>
    <w:p w14:paraId="7D28DF43" w14:textId="77777777" w:rsidR="00566E36" w:rsidRDefault="00566E36" w:rsidP="00566E36">
      <w:pPr>
        <w:pStyle w:val="Text"/>
        <w:ind w:firstLine="720"/>
        <w:rPr>
          <w:rFonts w:ascii="Century Schoolbook" w:hAnsi="Century Schoolbook"/>
          <w:sz w:val="27"/>
          <w:szCs w:val="27"/>
        </w:rPr>
      </w:pPr>
      <w:r w:rsidRPr="00B24530">
        <w:rPr>
          <w:rFonts w:ascii="Century Schoolbook" w:hAnsi="Century Schoolbook"/>
          <w:sz w:val="27"/>
          <w:szCs w:val="27"/>
        </w:rPr>
        <w:t xml:space="preserve">Watkins agreed, but noted that there were </w:t>
      </w:r>
      <w:proofErr w:type="gramStart"/>
      <w:r w:rsidRPr="00B24530">
        <w:rPr>
          <w:rFonts w:ascii="Century Schoolbook" w:hAnsi="Century Schoolbook"/>
          <w:sz w:val="27"/>
          <w:szCs w:val="27"/>
        </w:rPr>
        <w:t>several</w:t>
      </w:r>
      <w:proofErr w:type="gramEnd"/>
      <w:r w:rsidRPr="00B24530">
        <w:rPr>
          <w:rFonts w:ascii="Century Schoolbook" w:hAnsi="Century Schoolbook"/>
          <w:sz w:val="27"/>
          <w:szCs w:val="27"/>
        </w:rPr>
        <w:t xml:space="preserve"> images that were </w:t>
      </w:r>
      <w:r w:rsidR="00276ACB">
        <w:rPr>
          <w:rFonts w:ascii="Century Schoolbook" w:hAnsi="Century Schoolbook"/>
          <w:sz w:val="27"/>
          <w:szCs w:val="27"/>
        </w:rPr>
        <w:t>“</w:t>
      </w:r>
      <w:r w:rsidRPr="00B24530">
        <w:rPr>
          <w:rFonts w:ascii="Century Schoolbook" w:hAnsi="Century Schoolbook"/>
          <w:sz w:val="27"/>
          <w:szCs w:val="27"/>
        </w:rPr>
        <w:t>borderline</w:t>
      </w:r>
      <w:r w:rsidR="00276ACB">
        <w:rPr>
          <w:rFonts w:ascii="Century Schoolbook" w:hAnsi="Century Schoolbook"/>
          <w:sz w:val="27"/>
          <w:szCs w:val="27"/>
        </w:rPr>
        <w:t>”</w:t>
      </w:r>
      <w:r w:rsidRPr="00B24530">
        <w:rPr>
          <w:rFonts w:ascii="Century Schoolbook" w:hAnsi="Century Schoolbook"/>
          <w:sz w:val="27"/>
          <w:szCs w:val="27"/>
        </w:rPr>
        <w:t xml:space="preserve"> as to the subject’s age, and he gave defendant </w:t>
      </w:r>
      <w:r w:rsidR="00276ACB">
        <w:rPr>
          <w:rFonts w:ascii="Century Schoolbook" w:hAnsi="Century Schoolbook"/>
          <w:sz w:val="27"/>
          <w:szCs w:val="27"/>
        </w:rPr>
        <w:t>“</w:t>
      </w:r>
      <w:r w:rsidRPr="00B24530">
        <w:rPr>
          <w:rFonts w:ascii="Century Schoolbook" w:hAnsi="Century Schoolbook"/>
          <w:sz w:val="27"/>
          <w:szCs w:val="27"/>
        </w:rPr>
        <w:t>the benefit of the doubt</w:t>
      </w:r>
      <w:r w:rsidR="00276ACB">
        <w:rPr>
          <w:rFonts w:ascii="Century Schoolbook" w:hAnsi="Century Schoolbook"/>
          <w:sz w:val="27"/>
          <w:szCs w:val="27"/>
        </w:rPr>
        <w:t>”</w:t>
      </w:r>
      <w:r w:rsidRPr="00B24530">
        <w:rPr>
          <w:rFonts w:ascii="Century Schoolbook" w:hAnsi="Century Schoolbook"/>
          <w:sz w:val="27"/>
          <w:szCs w:val="27"/>
        </w:rPr>
        <w:t xml:space="preserve"> as to those images.</w:t>
      </w:r>
    </w:p>
    <w:p w14:paraId="240A09B9" w14:textId="77777777" w:rsidR="00F734FF" w:rsidRPr="00B24530" w:rsidRDefault="00F734FF" w:rsidP="00566E36">
      <w:pPr>
        <w:pStyle w:val="Text"/>
        <w:ind w:firstLine="720"/>
        <w:rPr>
          <w:rFonts w:ascii="Century Schoolbook" w:hAnsi="Century Schoolbook"/>
          <w:sz w:val="27"/>
          <w:szCs w:val="27"/>
        </w:rPr>
      </w:pPr>
    </w:p>
    <w:p w14:paraId="3023C5C4" w14:textId="77777777" w:rsidR="00566E36" w:rsidRPr="00B24530" w:rsidRDefault="00566E36" w:rsidP="00566E36">
      <w:pPr>
        <w:pStyle w:val="Text"/>
        <w:ind w:firstLine="720"/>
        <w:rPr>
          <w:rFonts w:ascii="Century Schoolbook" w:hAnsi="Century Schoolbook"/>
          <w:sz w:val="27"/>
          <w:szCs w:val="27"/>
        </w:rPr>
      </w:pPr>
      <w:r w:rsidRPr="00B24530">
        <w:rPr>
          <w:rFonts w:ascii="Century Schoolbook" w:hAnsi="Century Schoolbook"/>
          <w:sz w:val="27"/>
          <w:szCs w:val="27"/>
        </w:rPr>
        <w:t>This modification does not affect the judgment.</w:t>
      </w:r>
    </w:p>
    <w:p w14:paraId="6766B596" w14:textId="77777777" w:rsidR="00AF6BAC" w:rsidRPr="004E7AE9" w:rsidRDefault="00566E36" w:rsidP="003F6F8E">
      <w:pPr>
        <w:pStyle w:val="Text"/>
        <w:ind w:firstLine="720"/>
      </w:pPr>
      <w:r w:rsidRPr="00B24530">
        <w:rPr>
          <w:rFonts w:ascii="Century Schoolbook" w:hAnsi="Century Schoolbook"/>
          <w:sz w:val="27"/>
          <w:szCs w:val="27"/>
        </w:rPr>
        <w:t>The petition for rehearing is denied.</w:t>
      </w:r>
    </w:p>
    <w:sectPr w:rsidR="00AF6BAC" w:rsidRPr="004E7A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800" w:left="1800"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4BDB" w14:textId="77777777" w:rsidR="00CC182E" w:rsidRDefault="00CC182E">
      <w:r>
        <w:separator/>
      </w:r>
    </w:p>
  </w:endnote>
  <w:endnote w:type="continuationSeparator" w:id="0">
    <w:p w14:paraId="56EE98FE" w14:textId="77777777" w:rsidR="00CC182E" w:rsidRDefault="00CC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1)">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811A" w14:textId="77777777" w:rsidR="00BF256A" w:rsidRDefault="00BF256A">
    <w:pPr>
      <w:spacing w:before="480" w:line="1" w:lineRule="exact"/>
      <w:rPr>
        <w:rFonts w:ascii="Univers (W1)" w:hAnsi="Univers (W1)"/>
      </w:rPr>
    </w:pPr>
  </w:p>
  <w:p w14:paraId="3C4BAC05" w14:textId="77777777" w:rsidR="00BF256A" w:rsidRDefault="005837B2">
    <w:pPr>
      <w:tabs>
        <w:tab w:val="center" w:pos="4680"/>
        <w:tab w:val="right" w:pos="9360"/>
      </w:tabs>
    </w:pPr>
    <w:r>
      <w:rPr>
        <w:rFonts w:ascii="Univers (W1)" w:hAnsi="Univers (W1)"/>
      </w:rPr>
      <w:tab/>
    </w:r>
    <w:r>
      <w:fldChar w:fldCharType="begin"/>
    </w:r>
    <w:r>
      <w:instrText>page \* arabic</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043A" w14:textId="77777777" w:rsidR="00BF256A" w:rsidRDefault="00BF256A">
    <w:pPr>
      <w:spacing w:before="480" w:line="1" w:lineRule="exact"/>
    </w:pPr>
  </w:p>
  <w:p w14:paraId="06851B9C" w14:textId="77777777" w:rsidR="00BF256A" w:rsidRDefault="005837B2">
    <w:pPr>
      <w:tabs>
        <w:tab w:val="center" w:pos="4680"/>
        <w:tab w:val="right" w:pos="9360"/>
      </w:tabs>
    </w:pPr>
    <w:r>
      <w:tab/>
    </w:r>
    <w:r>
      <w:rPr>
        <w:noProof/>
      </w:rPr>
      <w:fldChar w:fldCharType="begin"/>
    </w:r>
    <w:r>
      <w:rPr>
        <w:noProof/>
      </w:rPr>
      <w:instrText>page \* arabic</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AEB0" w14:textId="77777777" w:rsidR="00917210" w:rsidRDefault="0091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1CF9" w14:textId="77777777" w:rsidR="00CC182E" w:rsidRDefault="00CC182E">
      <w:r>
        <w:separator/>
      </w:r>
    </w:p>
    <w:p w14:paraId="44D1625C" w14:textId="77777777" w:rsidR="00CC182E" w:rsidRDefault="00CC182E"/>
  </w:footnote>
  <w:footnote w:type="continuationSeparator" w:id="0">
    <w:p w14:paraId="23E402F2" w14:textId="77777777" w:rsidR="00CC182E" w:rsidRDefault="00CC182E">
      <w:pPr>
        <w:rPr>
          <w:sz w:val="22"/>
        </w:rPr>
      </w:pPr>
      <w:r>
        <w:continuationSeparator/>
      </w:r>
    </w:p>
    <w:p w14:paraId="7D51BBBA" w14:textId="77777777" w:rsidR="00CC182E" w:rsidRDefault="00CC182E">
      <w:pPr>
        <w:rPr>
          <w:i/>
          <w:sz w:val="20"/>
        </w:rPr>
      </w:pPr>
    </w:p>
    <w:p w14:paraId="439BC927" w14:textId="77777777" w:rsidR="00CC182E" w:rsidRDefault="00CC182E">
      <w:pPr>
        <w:rPr>
          <w:i/>
          <w:sz w:val="20"/>
        </w:rPr>
      </w:pPr>
      <w:r>
        <w:rPr>
          <w:i/>
          <w:sz w:val="20"/>
        </w:rPr>
        <w:t>(footnote continued from previous page)</w:t>
      </w:r>
    </w:p>
    <w:p w14:paraId="4A80BD4D" w14:textId="77777777" w:rsidR="00CC182E" w:rsidRDefault="00CC182E"/>
    <w:p w14:paraId="47EB0E89" w14:textId="77777777" w:rsidR="00CC182E" w:rsidRDefault="00CC182E"/>
  </w:footnote>
  <w:footnote w:type="continuationNotice" w:id="1">
    <w:p w14:paraId="5D5AAFAC" w14:textId="77777777" w:rsidR="00CC182E" w:rsidRDefault="00CC182E">
      <w:pPr>
        <w:rPr>
          <w:i/>
          <w:sz w:val="22"/>
        </w:rPr>
      </w:pPr>
    </w:p>
    <w:p w14:paraId="7B123053" w14:textId="77777777" w:rsidR="00CC182E" w:rsidRDefault="00CC182E">
      <w:pPr>
        <w:jc w:val="right"/>
        <w:rPr>
          <w:i/>
          <w:sz w:val="20"/>
        </w:rPr>
      </w:pPr>
      <w:r>
        <w:rPr>
          <w:i/>
          <w:sz w:val="20"/>
        </w:rPr>
        <w:t xml:space="preserve">(footnote </w:t>
      </w:r>
      <w:proofErr w:type="gramStart"/>
      <w:r>
        <w:rPr>
          <w:i/>
          <w:sz w:val="20"/>
        </w:rPr>
        <w:t>continued on</w:t>
      </w:r>
      <w:proofErr w:type="gramEnd"/>
      <w:r>
        <w:rPr>
          <w:i/>
          <w:sz w:val="20"/>
        </w:rPr>
        <w:t xml:space="preserve"> next page)</w:t>
      </w:r>
    </w:p>
    <w:p w14:paraId="03D4CE00" w14:textId="77777777" w:rsidR="00CC182E" w:rsidRDefault="00CC1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2947" w14:textId="77777777" w:rsidR="00917210" w:rsidRDefault="00917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583C" w14:textId="77777777" w:rsidR="00917210" w:rsidRDefault="00917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BB57" w14:textId="77777777" w:rsidR="00917210" w:rsidRDefault="00917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E1"/>
    <w:rsid w:val="000D1983"/>
    <w:rsid w:val="00136140"/>
    <w:rsid w:val="001F70D0"/>
    <w:rsid w:val="00276ACB"/>
    <w:rsid w:val="002B2835"/>
    <w:rsid w:val="00335AA6"/>
    <w:rsid w:val="00392722"/>
    <w:rsid w:val="003B4356"/>
    <w:rsid w:val="003E6D7E"/>
    <w:rsid w:val="003F6F8E"/>
    <w:rsid w:val="00402FDE"/>
    <w:rsid w:val="00443C73"/>
    <w:rsid w:val="004B6FCF"/>
    <w:rsid w:val="004E7AE9"/>
    <w:rsid w:val="005606A2"/>
    <w:rsid w:val="00566E36"/>
    <w:rsid w:val="005837B2"/>
    <w:rsid w:val="005939E3"/>
    <w:rsid w:val="00594A56"/>
    <w:rsid w:val="0064618D"/>
    <w:rsid w:val="00662574"/>
    <w:rsid w:val="00716C33"/>
    <w:rsid w:val="00731E53"/>
    <w:rsid w:val="007447F8"/>
    <w:rsid w:val="007532E1"/>
    <w:rsid w:val="00776CEC"/>
    <w:rsid w:val="007C0420"/>
    <w:rsid w:val="007D6229"/>
    <w:rsid w:val="0083384F"/>
    <w:rsid w:val="008975B0"/>
    <w:rsid w:val="00910B62"/>
    <w:rsid w:val="00917210"/>
    <w:rsid w:val="009E1294"/>
    <w:rsid w:val="009E500C"/>
    <w:rsid w:val="00A85D59"/>
    <w:rsid w:val="00AA7708"/>
    <w:rsid w:val="00AE3E68"/>
    <w:rsid w:val="00AE6335"/>
    <w:rsid w:val="00AF6BAC"/>
    <w:rsid w:val="00B01ED5"/>
    <w:rsid w:val="00B24530"/>
    <w:rsid w:val="00B33021"/>
    <w:rsid w:val="00B51B6F"/>
    <w:rsid w:val="00BC7986"/>
    <w:rsid w:val="00BF256A"/>
    <w:rsid w:val="00C95A43"/>
    <w:rsid w:val="00CC182E"/>
    <w:rsid w:val="00D5681E"/>
    <w:rsid w:val="00DD7790"/>
    <w:rsid w:val="00E5274C"/>
    <w:rsid w:val="00E629EE"/>
    <w:rsid w:val="00E64480"/>
    <w:rsid w:val="00E81F87"/>
    <w:rsid w:val="00E92B9D"/>
    <w:rsid w:val="00EA23AA"/>
    <w:rsid w:val="00ED7CB1"/>
    <w:rsid w:val="00F11BD2"/>
    <w:rsid w:val="00F44951"/>
    <w:rsid w:val="00F734FF"/>
    <w:rsid w:val="00FD6A2B"/>
    <w:rsid w:val="00F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3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4B6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2019-04-11T15:04:00Z</cp:lastPrinted>
  <dcterms:created xsi:type="dcterms:W3CDTF">2019-04-11T15:05:00Z</dcterms:created>
  <dcterms:modified xsi:type="dcterms:W3CDTF">2019-04-11T15:05:00Z</dcterms:modified>
</cp:coreProperties>
</file>