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5BF38" w14:textId="77777777" w:rsidR="00A5727C" w:rsidRPr="00625242" w:rsidRDefault="00A5727C" w:rsidP="00A5727C">
      <w:pPr>
        <w:pStyle w:val="NormalIndent"/>
        <w:ind w:left="0"/>
        <w:jc w:val="center"/>
        <w:rPr>
          <w:caps/>
          <w:sz w:val="36"/>
        </w:rPr>
      </w:pPr>
      <w:r w:rsidRPr="00625242">
        <w:rPr>
          <w:b/>
          <w:caps/>
          <w:sz w:val="36"/>
        </w:rPr>
        <w:t xml:space="preserve">IN THE SUPREME COURT OF </w:t>
      </w:r>
      <w:r>
        <w:rPr>
          <w:b/>
          <w:caps/>
          <w:sz w:val="36"/>
        </w:rPr>
        <w:br/>
      </w:r>
      <w:r w:rsidRPr="00625242">
        <w:rPr>
          <w:b/>
          <w:caps/>
          <w:sz w:val="36"/>
        </w:rPr>
        <w:t>CALIFORNIA</w:t>
      </w:r>
    </w:p>
    <w:p w14:paraId="557E5394" w14:textId="77777777" w:rsidR="00A5727C" w:rsidRPr="004F724D" w:rsidRDefault="00A5727C" w:rsidP="00A5727C">
      <w:pPr>
        <w:tabs>
          <w:tab w:val="left" w:pos="1440"/>
          <w:tab w:val="left" w:pos="4680"/>
          <w:tab w:val="center" w:pos="7200"/>
        </w:tabs>
        <w:jc w:val="center"/>
        <w:rPr>
          <w:szCs w:val="27"/>
        </w:rPr>
      </w:pPr>
    </w:p>
    <w:p w14:paraId="6A593F63" w14:textId="77777777" w:rsidR="00A5727C" w:rsidRDefault="00A5727C" w:rsidP="00A5727C">
      <w:pPr>
        <w:tabs>
          <w:tab w:val="left" w:pos="1440"/>
          <w:tab w:val="left" w:pos="4680"/>
          <w:tab w:val="center" w:pos="7200"/>
        </w:tabs>
        <w:jc w:val="center"/>
        <w:rPr>
          <w:szCs w:val="27"/>
        </w:rPr>
      </w:pPr>
      <w:r w:rsidRPr="004F724D">
        <w:rPr>
          <w:szCs w:val="27"/>
        </w:rPr>
        <w:t>THE PEOPLE</w:t>
      </w:r>
    </w:p>
    <w:p w14:paraId="7CE1A502" w14:textId="77777777" w:rsidR="00A5727C" w:rsidRDefault="00A5727C" w:rsidP="00A5727C">
      <w:pPr>
        <w:tabs>
          <w:tab w:val="left" w:pos="1440"/>
          <w:tab w:val="left" w:pos="4680"/>
          <w:tab w:val="center" w:pos="7200"/>
        </w:tabs>
        <w:jc w:val="center"/>
        <w:rPr>
          <w:szCs w:val="27"/>
        </w:rPr>
      </w:pPr>
      <w:r w:rsidRPr="004F724D">
        <w:rPr>
          <w:szCs w:val="27"/>
        </w:rPr>
        <w:t>Plaintiff and Respondent,</w:t>
      </w:r>
    </w:p>
    <w:p w14:paraId="26DB6A20" w14:textId="77777777" w:rsidR="00A5727C" w:rsidRDefault="00A5727C" w:rsidP="00A5727C">
      <w:pPr>
        <w:tabs>
          <w:tab w:val="left" w:pos="1440"/>
          <w:tab w:val="left" w:pos="4680"/>
          <w:tab w:val="center" w:pos="7200"/>
        </w:tabs>
        <w:jc w:val="center"/>
        <w:rPr>
          <w:szCs w:val="27"/>
        </w:rPr>
      </w:pPr>
      <w:r w:rsidRPr="004F724D">
        <w:rPr>
          <w:szCs w:val="27"/>
        </w:rPr>
        <w:t>v.</w:t>
      </w:r>
    </w:p>
    <w:p w14:paraId="2043C34F" w14:textId="2D386A1A" w:rsidR="00A5727C" w:rsidRDefault="00A5727C" w:rsidP="00A5727C">
      <w:pPr>
        <w:tabs>
          <w:tab w:val="left" w:pos="1440"/>
          <w:tab w:val="left" w:pos="4680"/>
          <w:tab w:val="center" w:pos="7200"/>
        </w:tabs>
        <w:jc w:val="center"/>
        <w:rPr>
          <w:szCs w:val="27"/>
        </w:rPr>
      </w:pPr>
      <w:r>
        <w:rPr>
          <w:szCs w:val="27"/>
        </w:rPr>
        <w:t>RYAN JAMES HOYT</w:t>
      </w:r>
      <w:r w:rsidRPr="004F724D">
        <w:rPr>
          <w:szCs w:val="27"/>
        </w:rPr>
        <w:t>,</w:t>
      </w:r>
    </w:p>
    <w:p w14:paraId="62A86213" w14:textId="77777777" w:rsidR="00A5727C" w:rsidRPr="004F724D" w:rsidRDefault="00A5727C" w:rsidP="00A5727C">
      <w:pPr>
        <w:tabs>
          <w:tab w:val="left" w:pos="1440"/>
          <w:tab w:val="left" w:pos="4680"/>
          <w:tab w:val="center" w:pos="7200"/>
        </w:tabs>
        <w:jc w:val="center"/>
        <w:rPr>
          <w:szCs w:val="27"/>
        </w:rPr>
      </w:pPr>
      <w:r w:rsidRPr="004F724D">
        <w:rPr>
          <w:szCs w:val="27"/>
        </w:rPr>
        <w:t>Defendant and Appellant.</w:t>
      </w:r>
    </w:p>
    <w:p w14:paraId="70C74B77" w14:textId="77777777" w:rsidR="00A5727C" w:rsidRPr="004F724D" w:rsidRDefault="00A5727C" w:rsidP="00A5727C">
      <w:pPr>
        <w:tabs>
          <w:tab w:val="left" w:pos="1440"/>
          <w:tab w:val="left" w:pos="4680"/>
          <w:tab w:val="center" w:pos="7200"/>
        </w:tabs>
        <w:jc w:val="center"/>
        <w:rPr>
          <w:szCs w:val="27"/>
        </w:rPr>
      </w:pPr>
    </w:p>
    <w:p w14:paraId="2E91B7BC" w14:textId="3C0A4EB4" w:rsidR="00A5727C" w:rsidRDefault="00A5727C" w:rsidP="00A5727C">
      <w:pPr>
        <w:tabs>
          <w:tab w:val="left" w:pos="1440"/>
          <w:tab w:val="left" w:pos="4680"/>
          <w:tab w:val="center" w:pos="7200"/>
        </w:tabs>
        <w:jc w:val="center"/>
        <w:rPr>
          <w:szCs w:val="27"/>
        </w:rPr>
      </w:pPr>
      <w:r w:rsidRPr="004F724D">
        <w:rPr>
          <w:szCs w:val="27"/>
        </w:rPr>
        <w:t>S</w:t>
      </w:r>
      <w:r>
        <w:rPr>
          <w:szCs w:val="27"/>
        </w:rPr>
        <w:t>113653</w:t>
      </w:r>
    </w:p>
    <w:p w14:paraId="2742846F" w14:textId="77777777" w:rsidR="00A5727C" w:rsidRPr="004F724D" w:rsidRDefault="00A5727C" w:rsidP="00A5727C">
      <w:pPr>
        <w:tabs>
          <w:tab w:val="left" w:pos="1440"/>
          <w:tab w:val="left" w:pos="4680"/>
          <w:tab w:val="center" w:pos="7200"/>
        </w:tabs>
        <w:jc w:val="center"/>
        <w:rPr>
          <w:szCs w:val="27"/>
        </w:rPr>
      </w:pPr>
    </w:p>
    <w:p w14:paraId="3DDF67B2" w14:textId="45FD5C24" w:rsidR="00A5727C" w:rsidRPr="004F724D" w:rsidRDefault="00A5727C" w:rsidP="00A5727C">
      <w:pPr>
        <w:tabs>
          <w:tab w:val="left" w:pos="1440"/>
          <w:tab w:val="left" w:pos="4680"/>
          <w:tab w:val="center" w:pos="7200"/>
        </w:tabs>
        <w:jc w:val="center"/>
        <w:rPr>
          <w:szCs w:val="27"/>
        </w:rPr>
      </w:pPr>
      <w:r>
        <w:rPr>
          <w:szCs w:val="27"/>
        </w:rPr>
        <w:t>Santa Barbara</w:t>
      </w:r>
      <w:r w:rsidRPr="004F724D">
        <w:rPr>
          <w:szCs w:val="27"/>
        </w:rPr>
        <w:t xml:space="preserve"> County Superior Court</w:t>
      </w:r>
    </w:p>
    <w:p w14:paraId="2720B64B" w14:textId="6C1589D6" w:rsidR="00A5727C" w:rsidRDefault="00A5727C" w:rsidP="00A5727C">
      <w:pPr>
        <w:tabs>
          <w:tab w:val="left" w:pos="1440"/>
          <w:tab w:val="left" w:pos="4680"/>
          <w:tab w:val="center" w:pos="7200"/>
        </w:tabs>
        <w:jc w:val="center"/>
        <w:rPr>
          <w:szCs w:val="27"/>
        </w:rPr>
      </w:pPr>
      <w:r>
        <w:rPr>
          <w:szCs w:val="27"/>
        </w:rPr>
        <w:t>1014465</w:t>
      </w:r>
    </w:p>
    <w:p w14:paraId="1155C950" w14:textId="77777777" w:rsidR="00A80E70" w:rsidRPr="004F724D" w:rsidRDefault="00A80E70" w:rsidP="00A5727C">
      <w:pPr>
        <w:tabs>
          <w:tab w:val="left" w:pos="1440"/>
          <w:tab w:val="left" w:pos="4680"/>
          <w:tab w:val="center" w:pos="7200"/>
        </w:tabs>
        <w:jc w:val="center"/>
        <w:rPr>
          <w:szCs w:val="27"/>
        </w:rPr>
      </w:pPr>
    </w:p>
    <w:p w14:paraId="2CFE1B76" w14:textId="77777777" w:rsidR="00A5727C" w:rsidRPr="004F724D" w:rsidRDefault="00A5727C" w:rsidP="00A5727C">
      <w:pPr>
        <w:tabs>
          <w:tab w:val="left" w:pos="1440"/>
          <w:tab w:val="left" w:pos="4680"/>
          <w:tab w:val="center" w:pos="7200"/>
        </w:tabs>
        <w:jc w:val="center"/>
        <w:rPr>
          <w:szCs w:val="27"/>
        </w:rPr>
      </w:pPr>
      <w:r w:rsidRPr="004F724D">
        <w:rPr>
          <w:szCs w:val="27"/>
        </w:rPr>
        <w:t>__________________________________________________________</w:t>
      </w:r>
    </w:p>
    <w:p w14:paraId="2B704AE5" w14:textId="77777777" w:rsidR="00A5727C" w:rsidRPr="004F724D" w:rsidRDefault="00A5727C" w:rsidP="00A5727C">
      <w:pPr>
        <w:tabs>
          <w:tab w:val="left" w:pos="1440"/>
          <w:tab w:val="left" w:pos="4680"/>
          <w:tab w:val="center" w:pos="7200"/>
        </w:tabs>
        <w:jc w:val="center"/>
        <w:rPr>
          <w:szCs w:val="27"/>
        </w:rPr>
      </w:pPr>
    </w:p>
    <w:p w14:paraId="0DF6028B" w14:textId="5081E13B" w:rsidR="00A5727C" w:rsidRPr="004F724D" w:rsidRDefault="00B00EAA" w:rsidP="00A5727C">
      <w:pPr>
        <w:tabs>
          <w:tab w:val="left" w:pos="1440"/>
          <w:tab w:val="left" w:pos="4680"/>
          <w:tab w:val="center" w:pos="7200"/>
        </w:tabs>
        <w:jc w:val="center"/>
        <w:rPr>
          <w:szCs w:val="27"/>
        </w:rPr>
      </w:pPr>
      <w:r>
        <w:rPr>
          <w:szCs w:val="27"/>
        </w:rPr>
        <w:t>January 30</w:t>
      </w:r>
      <w:r w:rsidR="00A5727C" w:rsidRPr="004F724D">
        <w:rPr>
          <w:szCs w:val="27"/>
        </w:rPr>
        <w:t>, 20</w:t>
      </w:r>
      <w:r w:rsidR="0088135A">
        <w:rPr>
          <w:szCs w:val="27"/>
        </w:rPr>
        <w:t>20</w:t>
      </w:r>
    </w:p>
    <w:p w14:paraId="31CC4FAF" w14:textId="77777777" w:rsidR="00A5727C" w:rsidRPr="004F724D" w:rsidRDefault="00A5727C" w:rsidP="00A5727C">
      <w:pPr>
        <w:tabs>
          <w:tab w:val="left" w:pos="1440"/>
          <w:tab w:val="left" w:pos="4680"/>
          <w:tab w:val="center" w:pos="7200"/>
        </w:tabs>
        <w:jc w:val="center"/>
        <w:rPr>
          <w:szCs w:val="27"/>
        </w:rPr>
      </w:pPr>
    </w:p>
    <w:p w14:paraId="7B20D67F" w14:textId="688762D4" w:rsidR="00A80E70" w:rsidRDefault="00A5727C" w:rsidP="00A80E70">
      <w:pPr>
        <w:tabs>
          <w:tab w:val="left" w:pos="1440"/>
          <w:tab w:val="left" w:pos="4680"/>
        </w:tabs>
        <w:ind w:left="720"/>
        <w:jc w:val="left"/>
        <w:rPr>
          <w:szCs w:val="27"/>
        </w:rPr>
      </w:pPr>
      <w:r w:rsidRPr="004F724D">
        <w:rPr>
          <w:szCs w:val="27"/>
        </w:rPr>
        <w:t xml:space="preserve">Justice Kruger authored the opinion of the </w:t>
      </w:r>
      <w:r w:rsidR="0088135A">
        <w:rPr>
          <w:szCs w:val="27"/>
        </w:rPr>
        <w:t>C</w:t>
      </w:r>
      <w:r w:rsidRPr="004F724D">
        <w:rPr>
          <w:szCs w:val="27"/>
        </w:rPr>
        <w:t xml:space="preserve">ourt, in which </w:t>
      </w:r>
      <w:r w:rsidR="00B00EAA">
        <w:rPr>
          <w:szCs w:val="27"/>
        </w:rPr>
        <w:t>Chief Justice Cantil-Sakauye and Justices Chin, Corrigan, Liu, Cuéllar, and Groban</w:t>
      </w:r>
      <w:r w:rsidRPr="004F724D">
        <w:rPr>
          <w:szCs w:val="27"/>
        </w:rPr>
        <w:t xml:space="preserve"> concurred</w:t>
      </w:r>
      <w:r w:rsidR="00A80E70">
        <w:rPr>
          <w:szCs w:val="27"/>
        </w:rPr>
        <w:t>.</w:t>
      </w:r>
    </w:p>
    <w:p w14:paraId="4CC738B9" w14:textId="5442E350" w:rsidR="00A80E70" w:rsidRDefault="00A80E70" w:rsidP="00A80E70">
      <w:pPr>
        <w:tabs>
          <w:tab w:val="left" w:pos="1440"/>
          <w:tab w:val="left" w:pos="4680"/>
        </w:tabs>
        <w:ind w:left="720"/>
        <w:jc w:val="left"/>
        <w:rPr>
          <w:szCs w:val="27"/>
        </w:rPr>
      </w:pPr>
      <w:r>
        <w:rPr>
          <w:szCs w:val="27"/>
        </w:rPr>
        <w:t>___________________________________________________________</w:t>
      </w:r>
    </w:p>
    <w:p w14:paraId="07EAF28F" w14:textId="234DCF92" w:rsidR="00A85904" w:rsidRDefault="00A5727C" w:rsidP="00A5727C">
      <w:pPr>
        <w:tabs>
          <w:tab w:val="left" w:pos="1440"/>
          <w:tab w:val="left" w:pos="4680"/>
          <w:tab w:val="center" w:pos="7200"/>
        </w:tabs>
        <w:rPr>
          <w:szCs w:val="27"/>
        </w:rPr>
        <w:sectPr w:rsidR="00A85904" w:rsidSect="00574FEF">
          <w:headerReference w:type="default" r:id="rId8"/>
          <w:footerReference w:type="default" r:id="rId9"/>
          <w:pgSz w:w="12240" w:h="15840"/>
          <w:pgMar w:top="1800" w:right="1440" w:bottom="1440" w:left="1440" w:header="720" w:footer="720" w:gutter="0"/>
          <w:cols w:space="720"/>
          <w:titlePg/>
          <w:docGrid w:linePitch="367"/>
        </w:sectPr>
      </w:pPr>
      <w:r w:rsidRPr="004F724D">
        <w:rPr>
          <w:szCs w:val="27"/>
        </w:rPr>
        <w:t>.</w:t>
      </w:r>
    </w:p>
    <w:p w14:paraId="0619C777" w14:textId="2C6A5FD3" w:rsidR="00A5727C" w:rsidRPr="004F724D" w:rsidRDefault="00A5727C" w:rsidP="00A5727C">
      <w:pPr>
        <w:tabs>
          <w:tab w:val="left" w:pos="1440"/>
          <w:tab w:val="left" w:pos="4680"/>
          <w:tab w:val="center" w:pos="7200"/>
        </w:tabs>
        <w:rPr>
          <w:szCs w:val="27"/>
        </w:rPr>
      </w:pPr>
    </w:p>
    <w:p w14:paraId="7FD1EAA9" w14:textId="77777777" w:rsidR="003D0C0D" w:rsidRDefault="003D0C0D" w:rsidP="00A5727C">
      <w:pPr>
        <w:tabs>
          <w:tab w:val="left" w:pos="1440"/>
          <w:tab w:val="left" w:pos="4680"/>
          <w:tab w:val="center" w:pos="7200"/>
        </w:tabs>
        <w:jc w:val="center"/>
        <w:rPr>
          <w:szCs w:val="27"/>
        </w:rPr>
      </w:pPr>
    </w:p>
    <w:p w14:paraId="13F4A055" w14:textId="77777777" w:rsidR="003D0C0D" w:rsidRDefault="003D0C0D" w:rsidP="00A5727C">
      <w:pPr>
        <w:tabs>
          <w:tab w:val="left" w:pos="1440"/>
          <w:tab w:val="left" w:pos="4680"/>
          <w:tab w:val="center" w:pos="7200"/>
        </w:tabs>
        <w:jc w:val="center"/>
        <w:rPr>
          <w:szCs w:val="27"/>
        </w:rPr>
      </w:pPr>
    </w:p>
    <w:p w14:paraId="0EA0FFC7" w14:textId="33245599" w:rsidR="00A5727C" w:rsidRPr="004F724D" w:rsidRDefault="00A5727C" w:rsidP="00A5727C">
      <w:pPr>
        <w:tabs>
          <w:tab w:val="left" w:pos="1440"/>
          <w:tab w:val="left" w:pos="4680"/>
          <w:tab w:val="center" w:pos="7200"/>
        </w:tabs>
        <w:jc w:val="center"/>
        <w:rPr>
          <w:szCs w:val="27"/>
        </w:rPr>
      </w:pPr>
      <w:r w:rsidRPr="004F724D">
        <w:rPr>
          <w:szCs w:val="27"/>
        </w:rPr>
        <w:t xml:space="preserve">PEOPLE v. </w:t>
      </w:r>
      <w:r>
        <w:rPr>
          <w:szCs w:val="27"/>
        </w:rPr>
        <w:t>HOYT</w:t>
      </w:r>
    </w:p>
    <w:p w14:paraId="367117F7" w14:textId="6EA0E973" w:rsidR="00A5727C" w:rsidRPr="004F724D" w:rsidRDefault="00A5727C" w:rsidP="00A5727C">
      <w:pPr>
        <w:tabs>
          <w:tab w:val="left" w:pos="1440"/>
          <w:tab w:val="left" w:pos="4680"/>
          <w:tab w:val="center" w:pos="7200"/>
        </w:tabs>
        <w:jc w:val="center"/>
        <w:rPr>
          <w:szCs w:val="27"/>
        </w:rPr>
      </w:pPr>
      <w:r w:rsidRPr="004F724D">
        <w:rPr>
          <w:szCs w:val="27"/>
        </w:rPr>
        <w:t>S</w:t>
      </w:r>
      <w:r>
        <w:rPr>
          <w:szCs w:val="27"/>
        </w:rPr>
        <w:t>113653</w:t>
      </w:r>
    </w:p>
    <w:p w14:paraId="2BB13007" w14:textId="77777777" w:rsidR="00A5727C" w:rsidRPr="004F724D" w:rsidRDefault="00A5727C" w:rsidP="00A5727C">
      <w:pPr>
        <w:tabs>
          <w:tab w:val="left" w:pos="1440"/>
          <w:tab w:val="left" w:pos="4680"/>
          <w:tab w:val="center" w:pos="7200"/>
        </w:tabs>
        <w:jc w:val="center"/>
        <w:rPr>
          <w:szCs w:val="27"/>
        </w:rPr>
      </w:pPr>
    </w:p>
    <w:p w14:paraId="57B0EE19" w14:textId="5BFF8A23" w:rsidR="00665A10" w:rsidRPr="00AC259A" w:rsidRDefault="00A5727C" w:rsidP="00665A10">
      <w:pPr>
        <w:jc w:val="center"/>
        <w:rPr>
          <w:rFonts w:cstheme="minorHAnsi"/>
        </w:rPr>
      </w:pPr>
      <w:r w:rsidRPr="004F724D">
        <w:rPr>
          <w:szCs w:val="27"/>
        </w:rPr>
        <w:t>Opinion of the Court by Kruger, J.</w:t>
      </w:r>
    </w:p>
    <w:p w14:paraId="39AB07A7" w14:textId="77777777" w:rsidR="00665A10" w:rsidRPr="00AC259A" w:rsidRDefault="00665A10" w:rsidP="00665A10">
      <w:pPr>
        <w:jc w:val="center"/>
        <w:rPr>
          <w:rFonts w:cstheme="minorHAnsi"/>
        </w:rPr>
      </w:pPr>
    </w:p>
    <w:p w14:paraId="0C343641" w14:textId="549F9DC2" w:rsidR="00CD4E8C" w:rsidRPr="00631676" w:rsidRDefault="009719A8" w:rsidP="00B702F2">
      <w:pPr>
        <w:tabs>
          <w:tab w:val="left" w:pos="1440"/>
        </w:tabs>
        <w:ind w:firstLine="720"/>
        <w:rPr>
          <w:rFonts w:cstheme="minorHAnsi"/>
          <w:szCs w:val="26"/>
        </w:rPr>
      </w:pPr>
      <w:bookmarkStart w:id="0" w:name="justice"/>
      <w:bookmarkStart w:id="1" w:name="mainstory"/>
      <w:bookmarkStart w:id="2" w:name="MarkDocLoc"/>
      <w:bookmarkEnd w:id="0"/>
      <w:bookmarkEnd w:id="1"/>
      <w:bookmarkEnd w:id="2"/>
      <w:r>
        <w:rPr>
          <w:rFonts w:cstheme="minorHAnsi"/>
          <w:szCs w:val="26"/>
        </w:rPr>
        <w:t>D</w:t>
      </w:r>
      <w:r w:rsidR="00CD4E8C" w:rsidRPr="00631676">
        <w:rPr>
          <w:rFonts w:cstheme="minorHAnsi"/>
          <w:szCs w:val="26"/>
        </w:rPr>
        <w:t>efendant Ryan James Hoyt</w:t>
      </w:r>
      <w:r>
        <w:rPr>
          <w:rFonts w:cstheme="minorHAnsi"/>
          <w:szCs w:val="26"/>
        </w:rPr>
        <w:t xml:space="preserve"> was convicted of the </w:t>
      </w:r>
      <w:r w:rsidR="00CD4E8C" w:rsidRPr="00631676">
        <w:rPr>
          <w:rFonts w:cstheme="minorHAnsi"/>
          <w:szCs w:val="26"/>
        </w:rPr>
        <w:t>kidnap and murder of Nicholas Markowitz</w:t>
      </w:r>
      <w:r>
        <w:rPr>
          <w:rFonts w:cstheme="minorHAnsi"/>
          <w:szCs w:val="26"/>
        </w:rPr>
        <w:t xml:space="preserve"> and sentenced to death</w:t>
      </w:r>
      <w:r w:rsidR="00CD4E8C" w:rsidRPr="00631676">
        <w:rPr>
          <w:rFonts w:cstheme="minorHAnsi"/>
          <w:szCs w:val="26"/>
        </w:rPr>
        <w:t>.</w:t>
      </w:r>
      <w:r>
        <w:rPr>
          <w:rFonts w:cstheme="minorHAnsi"/>
          <w:szCs w:val="26"/>
        </w:rPr>
        <w:t xml:space="preserve">  </w:t>
      </w:r>
      <w:r w:rsidR="00377CF8">
        <w:rPr>
          <w:rFonts w:cstheme="minorHAnsi"/>
          <w:szCs w:val="26"/>
        </w:rPr>
        <w:t>W</w:t>
      </w:r>
      <w:r w:rsidR="00CD4E8C" w:rsidRPr="00631676">
        <w:rPr>
          <w:rFonts w:cstheme="minorHAnsi"/>
        </w:rPr>
        <w:t>e affirm the judgment.</w:t>
      </w:r>
    </w:p>
    <w:p w14:paraId="4A122305" w14:textId="77777777" w:rsidR="00665A10" w:rsidRPr="00574FEF" w:rsidRDefault="00665A10" w:rsidP="00574FEF">
      <w:pPr>
        <w:pStyle w:val="Heading1"/>
        <w:rPr>
          <w:rFonts w:cstheme="minorHAnsi"/>
          <w:caps/>
          <w:szCs w:val="26"/>
        </w:rPr>
      </w:pPr>
      <w:bookmarkStart w:id="3" w:name="_Toc487448083"/>
      <w:bookmarkStart w:id="4" w:name="_Toc498594108"/>
      <w:bookmarkStart w:id="5" w:name="_Toc12993744"/>
      <w:r w:rsidRPr="00574FEF">
        <w:rPr>
          <w:rFonts w:cstheme="minorHAnsi"/>
          <w:caps/>
          <w:szCs w:val="26"/>
        </w:rPr>
        <w:t>I.</w:t>
      </w:r>
      <w:bookmarkEnd w:id="3"/>
      <w:r w:rsidR="007346EC" w:rsidRPr="00574FEF">
        <w:rPr>
          <w:rFonts w:cstheme="minorHAnsi"/>
          <w:caps/>
          <w:szCs w:val="26"/>
        </w:rPr>
        <w:tab/>
      </w:r>
      <w:r w:rsidRPr="00574FEF">
        <w:rPr>
          <w:rFonts w:cstheme="minorHAnsi"/>
          <w:caps/>
          <w:szCs w:val="26"/>
        </w:rPr>
        <w:t>Background</w:t>
      </w:r>
      <w:bookmarkEnd w:id="4"/>
      <w:bookmarkEnd w:id="5"/>
    </w:p>
    <w:p w14:paraId="34D654A1" w14:textId="033A3C42" w:rsidR="004A699D" w:rsidRPr="00631676" w:rsidRDefault="00092BC3" w:rsidP="00574FEF">
      <w:pPr>
        <w:rPr>
          <w:rFonts w:cstheme="minorHAnsi"/>
        </w:rPr>
      </w:pPr>
      <w:r w:rsidRPr="00631676">
        <w:rPr>
          <w:rFonts w:cstheme="minorHAnsi"/>
        </w:rPr>
        <w:tab/>
      </w:r>
      <w:r w:rsidR="004A699D" w:rsidRPr="00631676">
        <w:rPr>
          <w:rFonts w:cstheme="minorHAnsi"/>
        </w:rPr>
        <w:t>On October 30, 2000, defendant</w:t>
      </w:r>
      <w:r w:rsidR="008A1C05" w:rsidRPr="00631676">
        <w:rPr>
          <w:rFonts w:cstheme="minorHAnsi"/>
        </w:rPr>
        <w:t xml:space="preserve"> </w:t>
      </w:r>
      <w:r w:rsidR="003B6B09" w:rsidRPr="00631676">
        <w:rPr>
          <w:rFonts w:cstheme="minorHAnsi"/>
        </w:rPr>
        <w:t xml:space="preserve">was </w:t>
      </w:r>
      <w:r w:rsidR="004A699D" w:rsidRPr="00631676">
        <w:rPr>
          <w:rFonts w:cstheme="minorHAnsi"/>
        </w:rPr>
        <w:t xml:space="preserve">charged by </w:t>
      </w:r>
      <w:r w:rsidR="009B1E89" w:rsidRPr="00631676">
        <w:rPr>
          <w:rFonts w:cstheme="minorHAnsi"/>
        </w:rPr>
        <w:t>g</w:t>
      </w:r>
      <w:r w:rsidR="004A699D" w:rsidRPr="00631676">
        <w:rPr>
          <w:rFonts w:cstheme="minorHAnsi"/>
        </w:rPr>
        <w:t xml:space="preserve">rand </w:t>
      </w:r>
      <w:r w:rsidR="009B1E89" w:rsidRPr="00631676">
        <w:rPr>
          <w:rFonts w:cstheme="minorHAnsi"/>
        </w:rPr>
        <w:t>j</w:t>
      </w:r>
      <w:r w:rsidR="004A699D" w:rsidRPr="00631676">
        <w:rPr>
          <w:rFonts w:cstheme="minorHAnsi"/>
        </w:rPr>
        <w:t xml:space="preserve">ury </w:t>
      </w:r>
      <w:r w:rsidR="009B1E89" w:rsidRPr="00631676">
        <w:rPr>
          <w:rFonts w:cstheme="minorHAnsi"/>
        </w:rPr>
        <w:t>i</w:t>
      </w:r>
      <w:r w:rsidR="004A699D" w:rsidRPr="00631676">
        <w:rPr>
          <w:rFonts w:cstheme="minorHAnsi"/>
        </w:rPr>
        <w:t>ndictment with</w:t>
      </w:r>
      <w:r w:rsidR="00200CC5" w:rsidRPr="00631676">
        <w:rPr>
          <w:rFonts w:cstheme="minorHAnsi"/>
        </w:rPr>
        <w:t xml:space="preserve"> </w:t>
      </w:r>
      <w:r w:rsidR="004A699D" w:rsidRPr="00631676">
        <w:rPr>
          <w:rFonts w:cstheme="minorHAnsi"/>
        </w:rPr>
        <w:t>kidnap</w:t>
      </w:r>
      <w:r w:rsidR="004B2AAF" w:rsidRPr="00631676">
        <w:rPr>
          <w:rFonts w:cstheme="minorHAnsi"/>
        </w:rPr>
        <w:t>ping</w:t>
      </w:r>
      <w:r w:rsidR="004A699D" w:rsidRPr="00631676">
        <w:rPr>
          <w:rFonts w:cstheme="minorHAnsi"/>
        </w:rPr>
        <w:t xml:space="preserve"> </w:t>
      </w:r>
      <w:r w:rsidR="005B7EEE">
        <w:rPr>
          <w:rFonts w:cstheme="minorHAnsi"/>
        </w:rPr>
        <w:t xml:space="preserve">15-year-old </w:t>
      </w:r>
      <w:r w:rsidR="00BB563D" w:rsidRPr="00631676">
        <w:rPr>
          <w:rFonts w:cstheme="minorHAnsi"/>
        </w:rPr>
        <w:t xml:space="preserve">Nicholas Markowitz </w:t>
      </w:r>
      <w:r w:rsidR="00775280" w:rsidRPr="00631676">
        <w:rPr>
          <w:rFonts w:cstheme="minorHAnsi"/>
        </w:rPr>
        <w:t>(</w:t>
      </w:r>
      <w:r w:rsidR="00CA5CF8">
        <w:rPr>
          <w:rFonts w:cstheme="minorHAnsi"/>
        </w:rPr>
        <w:t xml:space="preserve">who was </w:t>
      </w:r>
      <w:r w:rsidR="009719A8">
        <w:rPr>
          <w:rFonts w:cstheme="minorHAnsi"/>
        </w:rPr>
        <w:t xml:space="preserve">known as </w:t>
      </w:r>
      <w:r w:rsidR="00775280" w:rsidRPr="00631676">
        <w:rPr>
          <w:rFonts w:cstheme="minorHAnsi"/>
        </w:rPr>
        <w:t>Nick)</w:t>
      </w:r>
      <w:r w:rsidR="008858AF" w:rsidRPr="00631676">
        <w:rPr>
          <w:rFonts w:cstheme="minorHAnsi"/>
        </w:rPr>
        <w:t xml:space="preserve"> </w:t>
      </w:r>
      <w:r w:rsidR="004A699D" w:rsidRPr="00631676">
        <w:rPr>
          <w:rFonts w:cstheme="minorHAnsi"/>
        </w:rPr>
        <w:t xml:space="preserve">for ransom or extortion and </w:t>
      </w:r>
      <w:r w:rsidR="00BB563D" w:rsidRPr="00631676">
        <w:rPr>
          <w:rFonts w:cstheme="minorHAnsi"/>
        </w:rPr>
        <w:t xml:space="preserve">for </w:t>
      </w:r>
      <w:r w:rsidR="004A699D" w:rsidRPr="00631676">
        <w:rPr>
          <w:rFonts w:cstheme="minorHAnsi"/>
        </w:rPr>
        <w:t>murdering</w:t>
      </w:r>
      <w:r w:rsidR="00BB563D" w:rsidRPr="00631676">
        <w:rPr>
          <w:rFonts w:cstheme="minorHAnsi"/>
        </w:rPr>
        <w:t xml:space="preserve"> him</w:t>
      </w:r>
      <w:r w:rsidR="004A699D" w:rsidRPr="00631676">
        <w:rPr>
          <w:rFonts w:cstheme="minorHAnsi"/>
        </w:rPr>
        <w:t xml:space="preserve">, </w:t>
      </w:r>
      <w:r w:rsidR="004E7D43" w:rsidRPr="00631676">
        <w:rPr>
          <w:rFonts w:cstheme="minorHAnsi"/>
        </w:rPr>
        <w:t>as well as</w:t>
      </w:r>
      <w:r w:rsidR="004A699D" w:rsidRPr="00631676">
        <w:rPr>
          <w:rFonts w:cstheme="minorHAnsi"/>
        </w:rPr>
        <w:t xml:space="preserve"> a personal firearm use enhancement.  </w:t>
      </w:r>
      <w:r w:rsidR="004E7D43" w:rsidRPr="00631676">
        <w:rPr>
          <w:rFonts w:cstheme="minorHAnsi"/>
        </w:rPr>
        <w:t>(Pen. Code, §§ 187, subd. (a), 190.2, subd. (a)(17)(B), 209, subd. (a)</w:t>
      </w:r>
      <w:r w:rsidR="00770B0A" w:rsidRPr="00631676">
        <w:rPr>
          <w:rFonts w:cstheme="minorHAnsi"/>
        </w:rPr>
        <w:t>.)</w:t>
      </w:r>
      <w:r w:rsidR="004A699D" w:rsidRPr="00631676">
        <w:rPr>
          <w:rFonts w:cstheme="minorHAnsi"/>
        </w:rPr>
        <w:t xml:space="preserve">  </w:t>
      </w:r>
      <w:r w:rsidR="008A1C05" w:rsidRPr="00631676">
        <w:rPr>
          <w:rFonts w:cstheme="minorHAnsi"/>
        </w:rPr>
        <w:t xml:space="preserve">Codefendants </w:t>
      </w:r>
      <w:r w:rsidR="003B6B09" w:rsidRPr="00631676">
        <w:rPr>
          <w:rFonts w:cstheme="minorHAnsi"/>
        </w:rPr>
        <w:t xml:space="preserve">Jesse James Hollywood, Jesse Rugge, Graham Pressley, and William Skidmore </w:t>
      </w:r>
      <w:r w:rsidR="008A1C05" w:rsidRPr="00631676">
        <w:rPr>
          <w:rFonts w:cstheme="minorHAnsi"/>
        </w:rPr>
        <w:t>were charged with the same crimes, but t</w:t>
      </w:r>
      <w:r w:rsidR="004A699D" w:rsidRPr="00631676">
        <w:rPr>
          <w:rFonts w:cstheme="minorHAnsi"/>
        </w:rPr>
        <w:t>h</w:t>
      </w:r>
      <w:r w:rsidR="008A1C05" w:rsidRPr="00631676">
        <w:rPr>
          <w:rFonts w:cstheme="minorHAnsi"/>
        </w:rPr>
        <w:t xml:space="preserve">e </w:t>
      </w:r>
      <w:r w:rsidR="00B01DA4" w:rsidRPr="00631676">
        <w:rPr>
          <w:rFonts w:cstheme="minorHAnsi"/>
        </w:rPr>
        <w:t xml:space="preserve">cases were </w:t>
      </w:r>
      <w:proofErr w:type="gramStart"/>
      <w:r w:rsidR="00B01DA4" w:rsidRPr="00631676">
        <w:rPr>
          <w:rFonts w:cstheme="minorHAnsi"/>
        </w:rPr>
        <w:t>severed</w:t>
      </w:r>
      <w:proofErr w:type="gramEnd"/>
      <w:r w:rsidR="00B01DA4" w:rsidRPr="00631676">
        <w:rPr>
          <w:rFonts w:cstheme="minorHAnsi"/>
        </w:rPr>
        <w:t xml:space="preserve"> and </w:t>
      </w:r>
      <w:r w:rsidR="004A699D" w:rsidRPr="00631676">
        <w:rPr>
          <w:rFonts w:cstheme="minorHAnsi"/>
        </w:rPr>
        <w:t xml:space="preserve">defendant stood trial first.  </w:t>
      </w:r>
      <w:r w:rsidR="004B2AAF" w:rsidRPr="00631676">
        <w:rPr>
          <w:rFonts w:cstheme="minorHAnsi"/>
        </w:rPr>
        <w:t>A</w:t>
      </w:r>
      <w:r w:rsidR="00B01DA4" w:rsidRPr="00631676">
        <w:rPr>
          <w:rFonts w:cstheme="minorHAnsi"/>
        </w:rPr>
        <w:t xml:space="preserve"> jury convicted </w:t>
      </w:r>
      <w:r w:rsidR="004A699D" w:rsidRPr="00631676">
        <w:rPr>
          <w:rFonts w:cstheme="minorHAnsi"/>
        </w:rPr>
        <w:t>defendant of one count of first degree murder in violation of</w:t>
      </w:r>
      <w:r w:rsidR="0092529B" w:rsidRPr="00631676">
        <w:rPr>
          <w:rFonts w:cstheme="minorHAnsi"/>
        </w:rPr>
        <w:t xml:space="preserve"> Penal Code</w:t>
      </w:r>
      <w:r w:rsidR="004A699D" w:rsidRPr="00631676">
        <w:rPr>
          <w:rFonts w:cstheme="minorHAnsi"/>
        </w:rPr>
        <w:t xml:space="preserve"> section 187 </w:t>
      </w:r>
      <w:r w:rsidR="00065CA1" w:rsidRPr="00631676">
        <w:rPr>
          <w:rFonts w:cstheme="minorHAnsi"/>
        </w:rPr>
        <w:t xml:space="preserve">and </w:t>
      </w:r>
      <w:r w:rsidR="004A699D" w:rsidRPr="00631676">
        <w:rPr>
          <w:rFonts w:cstheme="minorHAnsi"/>
        </w:rPr>
        <w:t>one count of kidnap</w:t>
      </w:r>
      <w:r w:rsidR="00B702F2">
        <w:rPr>
          <w:rFonts w:cstheme="minorHAnsi"/>
        </w:rPr>
        <w:t>ping</w:t>
      </w:r>
      <w:r w:rsidR="004A699D" w:rsidRPr="00631676">
        <w:rPr>
          <w:rFonts w:cstheme="minorHAnsi"/>
        </w:rPr>
        <w:t xml:space="preserve"> committed with the personal use of a firearm in violation of </w:t>
      </w:r>
      <w:r w:rsidR="0092529B" w:rsidRPr="00631676">
        <w:rPr>
          <w:rFonts w:cstheme="minorHAnsi"/>
        </w:rPr>
        <w:t xml:space="preserve">Penal Code </w:t>
      </w:r>
      <w:r w:rsidR="004A699D" w:rsidRPr="00631676">
        <w:rPr>
          <w:rFonts w:cstheme="minorHAnsi"/>
        </w:rPr>
        <w:t>sections 207 and 12022.5, respectively.  The jury also found true the special circumstance allegation that the murder was committed during the course of a kidnapping under</w:t>
      </w:r>
      <w:r w:rsidR="0092529B" w:rsidRPr="00631676">
        <w:rPr>
          <w:rFonts w:cstheme="minorHAnsi"/>
        </w:rPr>
        <w:t xml:space="preserve"> Penal Code</w:t>
      </w:r>
      <w:r w:rsidR="004A699D" w:rsidRPr="00631676">
        <w:rPr>
          <w:rFonts w:cstheme="minorHAnsi"/>
        </w:rPr>
        <w:t xml:space="preserve"> section 190.2, subdivision (a)(17)(B).  </w:t>
      </w:r>
      <w:r w:rsidR="00C82501" w:rsidRPr="00631676">
        <w:rPr>
          <w:rFonts w:cstheme="minorHAnsi"/>
        </w:rPr>
        <w:t>The jury re</w:t>
      </w:r>
      <w:r w:rsidR="00342402" w:rsidRPr="00631676">
        <w:rPr>
          <w:rFonts w:cstheme="minorHAnsi"/>
        </w:rPr>
        <w:t xml:space="preserve">turned a verdict of death. </w:t>
      </w:r>
      <w:r w:rsidR="00E3609F" w:rsidRPr="00631676">
        <w:rPr>
          <w:rFonts w:cstheme="minorHAnsi"/>
        </w:rPr>
        <w:t xml:space="preserve"> </w:t>
      </w:r>
      <w:r w:rsidR="00C82501" w:rsidRPr="00631676">
        <w:rPr>
          <w:rFonts w:cstheme="minorHAnsi"/>
        </w:rPr>
        <w:t>This appeal is automatic.  (</w:t>
      </w:r>
      <w:r w:rsidR="00402260" w:rsidRPr="00402260">
        <w:rPr>
          <w:rFonts w:cstheme="minorHAnsi"/>
          <w:i/>
        </w:rPr>
        <w:t>Id.</w:t>
      </w:r>
      <w:r w:rsidR="0092529B" w:rsidRPr="00631676">
        <w:rPr>
          <w:rFonts w:cstheme="minorHAnsi"/>
        </w:rPr>
        <w:t xml:space="preserve">, </w:t>
      </w:r>
      <w:r w:rsidR="00C82501" w:rsidRPr="00631676">
        <w:rPr>
          <w:rFonts w:cstheme="minorHAnsi"/>
        </w:rPr>
        <w:t>§</w:t>
      </w:r>
      <w:r w:rsidR="0092529B" w:rsidRPr="00631676">
        <w:rPr>
          <w:rFonts w:cstheme="minorHAnsi"/>
        </w:rPr>
        <w:t> </w:t>
      </w:r>
      <w:r w:rsidR="00C82501" w:rsidRPr="00631676">
        <w:rPr>
          <w:rFonts w:cstheme="minorHAnsi"/>
        </w:rPr>
        <w:t>1239, subd.</w:t>
      </w:r>
      <w:r w:rsidR="00B601FF" w:rsidRPr="00631676">
        <w:rPr>
          <w:rFonts w:cstheme="minorHAnsi"/>
        </w:rPr>
        <w:t> </w:t>
      </w:r>
      <w:r w:rsidR="00C82501" w:rsidRPr="00631676">
        <w:rPr>
          <w:rFonts w:cstheme="minorHAnsi"/>
        </w:rPr>
        <w:t>(b).)</w:t>
      </w:r>
    </w:p>
    <w:p w14:paraId="1D7967DA" w14:textId="24E70905" w:rsidR="00AE38F0" w:rsidRPr="00574FEF" w:rsidRDefault="007517CA" w:rsidP="00BB5464">
      <w:pPr>
        <w:pStyle w:val="Heading2"/>
        <w:ind w:left="1584"/>
        <w:rPr>
          <w:rFonts w:cstheme="minorHAnsi"/>
          <w:b w:val="0"/>
        </w:rPr>
      </w:pPr>
      <w:bookmarkStart w:id="6" w:name="_Toc12993745"/>
      <w:r>
        <w:rPr>
          <w:rFonts w:cstheme="minorHAnsi"/>
          <w:szCs w:val="26"/>
        </w:rPr>
        <w:lastRenderedPageBreak/>
        <w:t>A</w:t>
      </w:r>
      <w:r w:rsidR="001243F5">
        <w:rPr>
          <w:rFonts w:cstheme="minorHAnsi"/>
          <w:szCs w:val="26"/>
        </w:rPr>
        <w:t>.</w:t>
      </w:r>
      <w:r>
        <w:rPr>
          <w:rFonts w:cstheme="minorHAnsi"/>
          <w:szCs w:val="26"/>
        </w:rPr>
        <w:tab/>
      </w:r>
      <w:r w:rsidR="00153E6D">
        <w:rPr>
          <w:rFonts w:cstheme="minorHAnsi"/>
          <w:szCs w:val="26"/>
        </w:rPr>
        <w:tab/>
      </w:r>
      <w:r w:rsidR="00EA69D1" w:rsidRPr="00574FEF">
        <w:rPr>
          <w:rFonts w:cstheme="minorHAnsi"/>
          <w:szCs w:val="26"/>
        </w:rPr>
        <w:t xml:space="preserve">Guilt Phase Prosecution </w:t>
      </w:r>
      <w:r w:rsidR="00B04B91" w:rsidRPr="00574FEF">
        <w:rPr>
          <w:rFonts w:cstheme="minorHAnsi"/>
          <w:szCs w:val="26"/>
        </w:rPr>
        <w:t>Case</w:t>
      </w:r>
      <w:bookmarkEnd w:id="6"/>
      <w:r w:rsidR="00EA69D1" w:rsidRPr="00574FEF">
        <w:rPr>
          <w:rFonts w:cstheme="minorHAnsi"/>
        </w:rPr>
        <w:tab/>
      </w:r>
    </w:p>
    <w:p w14:paraId="69B9B076" w14:textId="75868E05" w:rsidR="003C4EAB" w:rsidRDefault="00BB563D">
      <w:pPr>
        <w:rPr>
          <w:rFonts w:cstheme="minorHAnsi"/>
        </w:rPr>
      </w:pPr>
      <w:r w:rsidRPr="00631676">
        <w:rPr>
          <w:rFonts w:cstheme="minorHAnsi"/>
        </w:rPr>
        <w:tab/>
      </w:r>
      <w:r w:rsidR="009719A8">
        <w:rPr>
          <w:rFonts w:cstheme="minorHAnsi"/>
        </w:rPr>
        <w:t>T</w:t>
      </w:r>
      <w:r w:rsidRPr="00631676">
        <w:rPr>
          <w:rFonts w:cstheme="minorHAnsi"/>
        </w:rPr>
        <w:t xml:space="preserve">he </w:t>
      </w:r>
      <w:r w:rsidR="00733B92" w:rsidRPr="00631676">
        <w:rPr>
          <w:rFonts w:cstheme="minorHAnsi"/>
        </w:rPr>
        <w:t xml:space="preserve">events that </w:t>
      </w:r>
      <w:r w:rsidR="005D779F" w:rsidRPr="00631676">
        <w:rPr>
          <w:rFonts w:cstheme="minorHAnsi"/>
        </w:rPr>
        <w:t xml:space="preserve">led </w:t>
      </w:r>
      <w:r w:rsidR="00733B92" w:rsidRPr="00631676">
        <w:rPr>
          <w:rFonts w:cstheme="minorHAnsi"/>
        </w:rPr>
        <w:t xml:space="preserve">to </w:t>
      </w:r>
      <w:r w:rsidR="009719A8">
        <w:rPr>
          <w:rFonts w:cstheme="minorHAnsi"/>
        </w:rPr>
        <w:t xml:space="preserve">Nick’s </w:t>
      </w:r>
      <w:r w:rsidR="00733B92" w:rsidRPr="00631676">
        <w:rPr>
          <w:rFonts w:cstheme="minorHAnsi"/>
        </w:rPr>
        <w:t xml:space="preserve">kidnap and murder </w:t>
      </w:r>
      <w:r w:rsidR="00600BA9" w:rsidRPr="00631676">
        <w:rPr>
          <w:rFonts w:cstheme="minorHAnsi"/>
        </w:rPr>
        <w:t>stemmed from</w:t>
      </w:r>
      <w:r w:rsidR="000B06E7" w:rsidRPr="00631676">
        <w:rPr>
          <w:rFonts w:cstheme="minorHAnsi"/>
        </w:rPr>
        <w:t xml:space="preserve"> </w:t>
      </w:r>
      <w:r w:rsidR="00733B92" w:rsidRPr="00631676">
        <w:rPr>
          <w:rFonts w:cstheme="minorHAnsi"/>
        </w:rPr>
        <w:t xml:space="preserve">a feud between </w:t>
      </w:r>
      <w:r w:rsidR="0046199C">
        <w:rPr>
          <w:rFonts w:cstheme="minorHAnsi"/>
        </w:rPr>
        <w:t xml:space="preserve">Jesse James </w:t>
      </w:r>
      <w:r w:rsidRPr="00631676">
        <w:rPr>
          <w:rFonts w:cstheme="minorHAnsi"/>
        </w:rPr>
        <w:t>Hollywood</w:t>
      </w:r>
      <w:r w:rsidR="00733B92" w:rsidRPr="00631676">
        <w:rPr>
          <w:rFonts w:cstheme="minorHAnsi"/>
        </w:rPr>
        <w:t xml:space="preserve"> and Nic</w:t>
      </w:r>
      <w:r w:rsidR="008858AF" w:rsidRPr="00631676">
        <w:rPr>
          <w:rFonts w:cstheme="minorHAnsi"/>
        </w:rPr>
        <w:t>k</w:t>
      </w:r>
      <w:r w:rsidR="00733B92" w:rsidRPr="00631676">
        <w:rPr>
          <w:rFonts w:cstheme="minorHAnsi"/>
        </w:rPr>
        <w:t xml:space="preserve">’s </w:t>
      </w:r>
      <w:r w:rsidR="00543109" w:rsidRPr="00231CFA">
        <w:rPr>
          <w:rFonts w:cstheme="minorHAnsi"/>
        </w:rPr>
        <w:t>half-</w:t>
      </w:r>
      <w:r w:rsidR="00733B92" w:rsidRPr="00231CFA">
        <w:rPr>
          <w:rFonts w:cstheme="minorHAnsi"/>
        </w:rPr>
        <w:t>brother</w:t>
      </w:r>
      <w:r w:rsidR="00733B92" w:rsidRPr="00631676">
        <w:rPr>
          <w:rFonts w:cstheme="minorHAnsi"/>
        </w:rPr>
        <w:t>, Ben</w:t>
      </w:r>
      <w:r w:rsidR="005D28C1">
        <w:rPr>
          <w:rFonts w:cstheme="minorHAnsi"/>
        </w:rPr>
        <w:t>, over a drug debt</w:t>
      </w:r>
      <w:r w:rsidR="00F564EA">
        <w:rPr>
          <w:rFonts w:cstheme="minorHAnsi"/>
        </w:rPr>
        <w:t xml:space="preserve">.  </w:t>
      </w:r>
      <w:r w:rsidR="00DA620D">
        <w:rPr>
          <w:rFonts w:cstheme="minorHAnsi"/>
        </w:rPr>
        <w:t xml:space="preserve">Ben </w:t>
      </w:r>
      <w:r w:rsidR="005D28C1">
        <w:rPr>
          <w:rFonts w:cstheme="minorHAnsi"/>
        </w:rPr>
        <w:t>was supposed to have sold illegal drugs for Hollywood but failed to do s</w:t>
      </w:r>
      <w:r w:rsidR="005E4F5F">
        <w:rPr>
          <w:rFonts w:cstheme="minorHAnsi"/>
        </w:rPr>
        <w:t xml:space="preserve">o.  As a result, Ben owed Hollywood </w:t>
      </w:r>
      <w:r w:rsidR="00DB094E">
        <w:rPr>
          <w:rFonts w:cstheme="minorHAnsi"/>
        </w:rPr>
        <w:t>$1,200</w:t>
      </w:r>
      <w:r w:rsidR="005E4F5F">
        <w:rPr>
          <w:rFonts w:cstheme="minorHAnsi"/>
        </w:rPr>
        <w:t>, and their relationship had soured over th</w:t>
      </w:r>
      <w:r w:rsidR="005E06CA">
        <w:rPr>
          <w:rFonts w:cstheme="minorHAnsi"/>
        </w:rPr>
        <w:t>is</w:t>
      </w:r>
      <w:r w:rsidR="005E4F5F">
        <w:rPr>
          <w:rFonts w:cstheme="minorHAnsi"/>
        </w:rPr>
        <w:t xml:space="preserve"> debt.  </w:t>
      </w:r>
      <w:r w:rsidR="00EF1EC7">
        <w:rPr>
          <w:rFonts w:cstheme="minorHAnsi"/>
        </w:rPr>
        <w:t xml:space="preserve">On one occasion, </w:t>
      </w:r>
      <w:r w:rsidR="00C90F4A" w:rsidRPr="00631676">
        <w:rPr>
          <w:rFonts w:cstheme="minorHAnsi"/>
        </w:rPr>
        <w:t xml:space="preserve">Hollywood retaliated against Ben by running up a tab in the restaurant where Ben’s girlfriend worked and leaving a note </w:t>
      </w:r>
      <w:r w:rsidR="00EF1EC7">
        <w:rPr>
          <w:rFonts w:cstheme="minorHAnsi"/>
        </w:rPr>
        <w:t xml:space="preserve">saying </w:t>
      </w:r>
      <w:r w:rsidR="00C90F4A" w:rsidRPr="00631676">
        <w:rPr>
          <w:rFonts w:cstheme="minorHAnsi"/>
        </w:rPr>
        <w:t xml:space="preserve">Ben could pay the bill from the </w:t>
      </w:r>
      <w:proofErr w:type="gramStart"/>
      <w:r w:rsidR="00C90F4A" w:rsidRPr="00631676">
        <w:rPr>
          <w:rFonts w:cstheme="minorHAnsi"/>
        </w:rPr>
        <w:t>debt</w:t>
      </w:r>
      <w:proofErr w:type="gramEnd"/>
      <w:r w:rsidR="00C90F4A" w:rsidRPr="00631676">
        <w:rPr>
          <w:rFonts w:cstheme="minorHAnsi"/>
        </w:rPr>
        <w:t xml:space="preserve"> he owed Hollywood.  </w:t>
      </w:r>
      <w:r w:rsidR="00EF1EC7">
        <w:rPr>
          <w:rFonts w:cstheme="minorHAnsi"/>
        </w:rPr>
        <w:t>For his part</w:t>
      </w:r>
      <w:r w:rsidR="00C90F4A" w:rsidRPr="00631676">
        <w:rPr>
          <w:rFonts w:cstheme="minorHAnsi"/>
        </w:rPr>
        <w:t>, Ben</w:t>
      </w:r>
      <w:r w:rsidR="00EF1EC7">
        <w:rPr>
          <w:rFonts w:cstheme="minorHAnsi"/>
        </w:rPr>
        <w:t xml:space="preserve"> </w:t>
      </w:r>
      <w:r w:rsidR="00BB7AC8">
        <w:rPr>
          <w:rFonts w:cstheme="minorHAnsi"/>
        </w:rPr>
        <w:t>took revenge on</w:t>
      </w:r>
      <w:r w:rsidR="00EF1EC7">
        <w:rPr>
          <w:rFonts w:cstheme="minorHAnsi"/>
        </w:rPr>
        <w:t xml:space="preserve"> Hollywood</w:t>
      </w:r>
      <w:r w:rsidR="00BB7AC8">
        <w:rPr>
          <w:rFonts w:cstheme="minorHAnsi"/>
        </w:rPr>
        <w:t xml:space="preserve"> by telling</w:t>
      </w:r>
      <w:r w:rsidR="00C90F4A" w:rsidRPr="00631676">
        <w:rPr>
          <w:rFonts w:cstheme="minorHAnsi"/>
        </w:rPr>
        <w:t xml:space="preserve"> Hollywood’s insurance company that Hollywood had </w:t>
      </w:r>
      <w:r w:rsidR="009462A1">
        <w:rPr>
          <w:rFonts w:cstheme="minorHAnsi"/>
        </w:rPr>
        <w:t>falsely reported a vehicle stolen.</w:t>
      </w:r>
      <w:r w:rsidR="00AC63D2">
        <w:rPr>
          <w:rFonts w:cstheme="minorHAnsi"/>
        </w:rPr>
        <w:t xml:space="preserve">  Ben </w:t>
      </w:r>
      <w:r w:rsidR="00510016">
        <w:rPr>
          <w:rFonts w:cstheme="minorHAnsi"/>
        </w:rPr>
        <w:t xml:space="preserve">later broke windows in Hollywood’s home.  Although there was conflicting testimony about precisely when the windows were broken, one prosecution witness testified the event occurred on August 4, 2000.  The next day, Hollywood would inform others that he needed to move because his windows had been “busted out” and people knew where he lived.  </w:t>
      </w:r>
      <w:r w:rsidR="003C4EAB">
        <w:rPr>
          <w:rFonts w:cstheme="minorHAnsi"/>
        </w:rPr>
        <w:t xml:space="preserve">The day after that, Hollywood arranged to have Nick kidnapped.  A few days later, worried about the serious penal consequences if that crime was discovered, Hollywood decided to eliminate Nick.  </w:t>
      </w:r>
    </w:p>
    <w:p w14:paraId="146826A5" w14:textId="148D626A" w:rsidR="00E95940" w:rsidRPr="00631676" w:rsidRDefault="005C615B" w:rsidP="00E82A79">
      <w:pPr>
        <w:rPr>
          <w:rFonts w:cstheme="minorHAnsi"/>
        </w:rPr>
      </w:pPr>
      <w:r>
        <w:rPr>
          <w:rFonts w:cstheme="minorHAnsi"/>
        </w:rPr>
        <w:tab/>
      </w:r>
      <w:r w:rsidR="003C4EAB">
        <w:rPr>
          <w:rFonts w:cstheme="minorHAnsi"/>
        </w:rPr>
        <w:t xml:space="preserve">Hollywood enlisted defendant’s help.  </w:t>
      </w:r>
      <w:r w:rsidR="00733B92" w:rsidRPr="00631676">
        <w:rPr>
          <w:rFonts w:cstheme="minorHAnsi"/>
        </w:rPr>
        <w:t>Defendant</w:t>
      </w:r>
      <w:r w:rsidR="00510016">
        <w:rPr>
          <w:rFonts w:cstheme="minorHAnsi"/>
        </w:rPr>
        <w:t>, like Ben,</w:t>
      </w:r>
      <w:r w:rsidR="00B014D3">
        <w:rPr>
          <w:rFonts w:cstheme="minorHAnsi"/>
        </w:rPr>
        <w:t xml:space="preserve"> sold drugs for Hollywood</w:t>
      </w:r>
      <w:r w:rsidR="003C4EAB">
        <w:rPr>
          <w:rFonts w:cstheme="minorHAnsi"/>
        </w:rPr>
        <w:t xml:space="preserve">, and he also owed </w:t>
      </w:r>
      <w:r w:rsidR="00510016">
        <w:rPr>
          <w:rFonts w:cstheme="minorHAnsi"/>
        </w:rPr>
        <w:t xml:space="preserve">Hollywood </w:t>
      </w:r>
      <w:r w:rsidR="00B014D3">
        <w:rPr>
          <w:rFonts w:cstheme="minorHAnsi"/>
        </w:rPr>
        <w:t xml:space="preserve">money.  </w:t>
      </w:r>
      <w:r w:rsidR="00574FEF">
        <w:rPr>
          <w:rFonts w:cstheme="minorHAnsi"/>
        </w:rPr>
        <w:t>Mutual friends</w:t>
      </w:r>
      <w:r w:rsidR="00B014D3">
        <w:rPr>
          <w:rFonts w:cstheme="minorHAnsi"/>
        </w:rPr>
        <w:t xml:space="preserve"> </w:t>
      </w:r>
      <w:r w:rsidR="005C27AE">
        <w:rPr>
          <w:rFonts w:cstheme="minorHAnsi"/>
        </w:rPr>
        <w:t xml:space="preserve">described </w:t>
      </w:r>
      <w:r w:rsidR="00574FEF">
        <w:rPr>
          <w:rFonts w:cstheme="minorHAnsi"/>
        </w:rPr>
        <w:t>defendant</w:t>
      </w:r>
      <w:r w:rsidR="005C27AE">
        <w:rPr>
          <w:rFonts w:cstheme="minorHAnsi"/>
        </w:rPr>
        <w:t xml:space="preserve"> as the “low man on the totem pole” in their </w:t>
      </w:r>
      <w:r w:rsidR="00734027">
        <w:rPr>
          <w:rFonts w:cstheme="minorHAnsi"/>
        </w:rPr>
        <w:t>circle</w:t>
      </w:r>
      <w:r w:rsidR="005C27AE">
        <w:rPr>
          <w:rFonts w:cstheme="minorHAnsi"/>
        </w:rPr>
        <w:t xml:space="preserve">.  </w:t>
      </w:r>
      <w:r w:rsidR="00DB094E">
        <w:rPr>
          <w:rFonts w:cstheme="minorHAnsi"/>
        </w:rPr>
        <w:t>To pay for the drugs he purchased from Hollywood for resale, d</w:t>
      </w:r>
      <w:r w:rsidR="0029350B" w:rsidRPr="00631676">
        <w:rPr>
          <w:rFonts w:cstheme="minorHAnsi"/>
        </w:rPr>
        <w:t xml:space="preserve">efendant </w:t>
      </w:r>
      <w:r w:rsidR="00040C57">
        <w:rPr>
          <w:rFonts w:cstheme="minorHAnsi"/>
        </w:rPr>
        <w:t>performed—and was often teased for doing—</w:t>
      </w:r>
      <w:r w:rsidR="00D86A30">
        <w:rPr>
          <w:rFonts w:cstheme="minorHAnsi"/>
        </w:rPr>
        <w:t xml:space="preserve">menial, </w:t>
      </w:r>
      <w:r w:rsidR="0029350B" w:rsidRPr="00631676">
        <w:rPr>
          <w:rFonts w:cstheme="minorHAnsi"/>
        </w:rPr>
        <w:t>odd jobs</w:t>
      </w:r>
      <w:r w:rsidR="00DB094E">
        <w:rPr>
          <w:rFonts w:cstheme="minorHAnsi"/>
        </w:rPr>
        <w:t xml:space="preserve"> for Hollywood, </w:t>
      </w:r>
      <w:r w:rsidR="0029350B" w:rsidRPr="00631676">
        <w:rPr>
          <w:rFonts w:cstheme="minorHAnsi"/>
        </w:rPr>
        <w:t>including yard work</w:t>
      </w:r>
      <w:r w:rsidR="00D86A30">
        <w:rPr>
          <w:rFonts w:cstheme="minorHAnsi"/>
        </w:rPr>
        <w:t>, pet care,</w:t>
      </w:r>
      <w:r w:rsidR="0029350B" w:rsidRPr="00631676">
        <w:rPr>
          <w:rFonts w:cstheme="minorHAnsi"/>
        </w:rPr>
        <w:t xml:space="preserve"> and housework.</w:t>
      </w:r>
      <w:r w:rsidR="00E95940">
        <w:rPr>
          <w:rFonts w:cstheme="minorHAnsi"/>
        </w:rPr>
        <w:t xml:space="preserve">  </w:t>
      </w:r>
      <w:r w:rsidR="009A1B4A">
        <w:rPr>
          <w:rFonts w:cstheme="minorHAnsi"/>
        </w:rPr>
        <w:t xml:space="preserve">According to </w:t>
      </w:r>
      <w:r w:rsidR="003B57F4" w:rsidRPr="00631676">
        <w:rPr>
          <w:rFonts w:cstheme="minorHAnsi"/>
        </w:rPr>
        <w:t>Brian Affronti, a</w:t>
      </w:r>
      <w:r w:rsidR="003B57F4">
        <w:rPr>
          <w:rFonts w:cstheme="minorHAnsi"/>
        </w:rPr>
        <w:t xml:space="preserve"> </w:t>
      </w:r>
      <w:r w:rsidR="003B57F4" w:rsidRPr="00631676">
        <w:rPr>
          <w:rFonts w:cstheme="minorHAnsi"/>
        </w:rPr>
        <w:t xml:space="preserve">friend of </w:t>
      </w:r>
      <w:r w:rsidR="00734027">
        <w:rPr>
          <w:rFonts w:cstheme="minorHAnsi"/>
        </w:rPr>
        <w:t xml:space="preserve">both defendant and </w:t>
      </w:r>
      <w:r w:rsidR="003B57F4" w:rsidRPr="00631676">
        <w:rPr>
          <w:rFonts w:cstheme="minorHAnsi"/>
        </w:rPr>
        <w:t>Hollywood</w:t>
      </w:r>
      <w:r w:rsidR="00734027">
        <w:rPr>
          <w:rFonts w:cstheme="minorHAnsi"/>
        </w:rPr>
        <w:t xml:space="preserve">, </w:t>
      </w:r>
      <w:r w:rsidR="003B57F4" w:rsidRPr="00631676">
        <w:rPr>
          <w:rFonts w:cstheme="minorHAnsi"/>
        </w:rPr>
        <w:t>defendant did whatever Hollywood asked of him</w:t>
      </w:r>
      <w:r w:rsidR="004C7427">
        <w:rPr>
          <w:rFonts w:cstheme="minorHAnsi"/>
        </w:rPr>
        <w:t>, without complaint</w:t>
      </w:r>
      <w:r w:rsidR="003B57F4" w:rsidRPr="00631676">
        <w:rPr>
          <w:rFonts w:cstheme="minorHAnsi"/>
        </w:rPr>
        <w:t>.</w:t>
      </w:r>
      <w:r w:rsidR="003C4EAB">
        <w:rPr>
          <w:rFonts w:cstheme="minorHAnsi"/>
        </w:rPr>
        <w:t xml:space="preserve">  D</w:t>
      </w:r>
      <w:r w:rsidR="005619DA">
        <w:rPr>
          <w:rFonts w:cstheme="minorHAnsi"/>
        </w:rPr>
        <w:t xml:space="preserve">efendant </w:t>
      </w:r>
      <w:r w:rsidR="003315CB">
        <w:rPr>
          <w:rFonts w:cstheme="minorHAnsi"/>
        </w:rPr>
        <w:t xml:space="preserve">agreed to carry out </w:t>
      </w:r>
      <w:r w:rsidR="005619DA">
        <w:rPr>
          <w:rFonts w:cstheme="minorHAnsi"/>
        </w:rPr>
        <w:t>the killing</w:t>
      </w:r>
      <w:r w:rsidR="003315CB">
        <w:rPr>
          <w:rFonts w:cstheme="minorHAnsi"/>
        </w:rPr>
        <w:t xml:space="preserve">, </w:t>
      </w:r>
      <w:r w:rsidR="00B63958">
        <w:rPr>
          <w:rFonts w:cstheme="minorHAnsi"/>
        </w:rPr>
        <w:t xml:space="preserve">along with two accomplices, in exchange </w:t>
      </w:r>
      <w:r w:rsidR="00B63958">
        <w:rPr>
          <w:rFonts w:cstheme="minorHAnsi"/>
        </w:rPr>
        <w:lastRenderedPageBreak/>
        <w:t xml:space="preserve">for </w:t>
      </w:r>
      <w:r w:rsidR="0017552D">
        <w:rPr>
          <w:rFonts w:cstheme="minorHAnsi"/>
        </w:rPr>
        <w:t>financial compensation including the forgiveness of his debt to Hollywood</w:t>
      </w:r>
      <w:r w:rsidR="006538C8">
        <w:rPr>
          <w:rFonts w:cstheme="minorHAnsi"/>
        </w:rPr>
        <w:t>.</w:t>
      </w:r>
      <w:r w:rsidR="00041DFF">
        <w:rPr>
          <w:rFonts w:cstheme="minorHAnsi"/>
        </w:rPr>
        <w:t xml:space="preserve">  </w:t>
      </w:r>
    </w:p>
    <w:p w14:paraId="060C566A" w14:textId="77777777" w:rsidR="00D26E81" w:rsidRPr="00631676" w:rsidRDefault="00D26E81" w:rsidP="00231CFA">
      <w:pPr>
        <w:pStyle w:val="Heading2"/>
        <w:rPr>
          <w:rFonts w:cstheme="minorHAnsi"/>
          <w:szCs w:val="26"/>
        </w:rPr>
      </w:pPr>
      <w:r w:rsidRPr="00631676">
        <w:tab/>
      </w:r>
      <w:bookmarkStart w:id="7" w:name="_Toc12993746"/>
      <w:r w:rsidRPr="00231CFA">
        <w:rPr>
          <w:rFonts w:cstheme="minorHAnsi"/>
          <w:szCs w:val="26"/>
        </w:rPr>
        <w:t>Timeline</w:t>
      </w:r>
      <w:bookmarkEnd w:id="7"/>
    </w:p>
    <w:p w14:paraId="225BDA94" w14:textId="77777777" w:rsidR="00BB563D" w:rsidRPr="00631676" w:rsidRDefault="00AE38F0" w:rsidP="00231CFA">
      <w:pPr>
        <w:pStyle w:val="Heading3"/>
        <w:rPr>
          <w:rFonts w:cstheme="minorHAnsi"/>
          <w:i w:val="0"/>
        </w:rPr>
      </w:pPr>
      <w:r w:rsidRPr="00631676">
        <w:tab/>
      </w:r>
      <w:r w:rsidR="00152C79" w:rsidRPr="00231CFA">
        <w:rPr>
          <w:rFonts w:cstheme="minorHAnsi"/>
        </w:rPr>
        <w:tab/>
      </w:r>
      <w:bookmarkStart w:id="8" w:name="_Toc12993747"/>
      <w:r w:rsidR="00E71E5F" w:rsidRPr="00231CFA">
        <w:rPr>
          <w:rFonts w:cstheme="minorHAnsi"/>
        </w:rPr>
        <w:t>1</w:t>
      </w:r>
      <w:r w:rsidRPr="00231CFA">
        <w:rPr>
          <w:rFonts w:cstheme="minorHAnsi"/>
        </w:rPr>
        <w:t>.</w:t>
      </w:r>
      <w:r w:rsidRPr="00231CFA">
        <w:rPr>
          <w:rFonts w:cstheme="minorHAnsi"/>
        </w:rPr>
        <w:tab/>
        <w:t>August 5, 2000</w:t>
      </w:r>
      <w:bookmarkEnd w:id="8"/>
      <w:r w:rsidR="0029350B" w:rsidRPr="00231CFA">
        <w:rPr>
          <w:rFonts w:cstheme="minorHAnsi"/>
        </w:rPr>
        <w:t xml:space="preserve"> </w:t>
      </w:r>
    </w:p>
    <w:p w14:paraId="38DD30D7" w14:textId="2B2F8570" w:rsidR="00E615E7" w:rsidRPr="00631676" w:rsidRDefault="00CB38AC" w:rsidP="00D3450D">
      <w:pPr>
        <w:rPr>
          <w:rFonts w:cstheme="minorHAnsi"/>
        </w:rPr>
      </w:pPr>
      <w:r w:rsidRPr="00631676">
        <w:rPr>
          <w:rFonts w:cstheme="minorHAnsi"/>
        </w:rPr>
        <w:tab/>
        <w:t xml:space="preserve">The events leading up to the crimes began on </w:t>
      </w:r>
      <w:r w:rsidR="00A7247D">
        <w:rPr>
          <w:rFonts w:cstheme="minorHAnsi"/>
        </w:rPr>
        <w:t xml:space="preserve">Saturday, </w:t>
      </w:r>
      <w:r w:rsidRPr="00631676">
        <w:rPr>
          <w:rFonts w:cstheme="minorHAnsi"/>
        </w:rPr>
        <w:t xml:space="preserve">August 5, 2000, when </w:t>
      </w:r>
      <w:r w:rsidR="00AF7734">
        <w:rPr>
          <w:rFonts w:cstheme="minorHAnsi"/>
        </w:rPr>
        <w:t xml:space="preserve">Casey </w:t>
      </w:r>
      <w:r w:rsidRPr="00631676">
        <w:rPr>
          <w:rFonts w:cstheme="minorHAnsi"/>
        </w:rPr>
        <w:t>Sheehan</w:t>
      </w:r>
      <w:r w:rsidR="00D34D6B">
        <w:rPr>
          <w:rFonts w:cstheme="minorHAnsi"/>
        </w:rPr>
        <w:t xml:space="preserve">, who also sold marijuana for Hollywood, </w:t>
      </w:r>
      <w:r w:rsidRPr="00631676">
        <w:rPr>
          <w:rFonts w:cstheme="minorHAnsi"/>
        </w:rPr>
        <w:t xml:space="preserve">delivered </w:t>
      </w:r>
      <w:r w:rsidR="00092BC3" w:rsidRPr="00631676">
        <w:rPr>
          <w:rFonts w:cstheme="minorHAnsi"/>
        </w:rPr>
        <w:t xml:space="preserve">a van to Hollywood’s </w:t>
      </w:r>
      <w:r w:rsidR="00D962C2" w:rsidRPr="00631676">
        <w:rPr>
          <w:rFonts w:cstheme="minorHAnsi"/>
        </w:rPr>
        <w:t xml:space="preserve">West Hills </w:t>
      </w:r>
      <w:r w:rsidR="00092BC3" w:rsidRPr="00631676">
        <w:rPr>
          <w:rFonts w:cstheme="minorHAnsi"/>
        </w:rPr>
        <w:t>home.</w:t>
      </w:r>
      <w:r w:rsidR="00D34D6B">
        <w:rPr>
          <w:rStyle w:val="FootnoteReference"/>
          <w:rFonts w:cstheme="minorHAnsi"/>
        </w:rPr>
        <w:footnoteReference w:id="2"/>
      </w:r>
      <w:r w:rsidR="00092BC3" w:rsidRPr="00631676">
        <w:rPr>
          <w:rFonts w:cstheme="minorHAnsi"/>
        </w:rPr>
        <w:t xml:space="preserve">  Hollywood </w:t>
      </w:r>
      <w:r w:rsidR="00D34D6B">
        <w:rPr>
          <w:rFonts w:cstheme="minorHAnsi"/>
        </w:rPr>
        <w:t xml:space="preserve">had </w:t>
      </w:r>
      <w:r w:rsidR="00092BC3" w:rsidRPr="00631676">
        <w:rPr>
          <w:rFonts w:cstheme="minorHAnsi"/>
        </w:rPr>
        <w:t xml:space="preserve">told Sheehan </w:t>
      </w:r>
      <w:r w:rsidR="003B6B09" w:rsidRPr="00631676">
        <w:rPr>
          <w:rFonts w:cstheme="minorHAnsi"/>
        </w:rPr>
        <w:t xml:space="preserve">that Hollywood </w:t>
      </w:r>
      <w:r w:rsidR="00092BC3" w:rsidRPr="00631676">
        <w:rPr>
          <w:rFonts w:cstheme="minorHAnsi"/>
        </w:rPr>
        <w:t>needed to move because peop</w:t>
      </w:r>
      <w:r w:rsidR="00E31C16" w:rsidRPr="00631676">
        <w:rPr>
          <w:rFonts w:cstheme="minorHAnsi"/>
        </w:rPr>
        <w:t xml:space="preserve">le knew where he lived.  </w:t>
      </w:r>
      <w:r w:rsidR="00E615E7" w:rsidRPr="00631676">
        <w:rPr>
          <w:rFonts w:cstheme="minorHAnsi"/>
        </w:rPr>
        <w:t xml:space="preserve">When Sheehan arrived at Hollywood’s home, defendant, Skidmore, and </w:t>
      </w:r>
      <w:r w:rsidR="00D34D6B">
        <w:rPr>
          <w:rFonts w:cstheme="minorHAnsi"/>
        </w:rPr>
        <w:t xml:space="preserve">one other friend </w:t>
      </w:r>
      <w:r w:rsidR="00E615E7" w:rsidRPr="00631676">
        <w:rPr>
          <w:rFonts w:cstheme="minorHAnsi"/>
        </w:rPr>
        <w:t xml:space="preserve">were there, </w:t>
      </w:r>
      <w:r w:rsidR="00D66DBB" w:rsidRPr="00631676">
        <w:rPr>
          <w:rFonts w:cstheme="minorHAnsi"/>
        </w:rPr>
        <w:t>drinking</w:t>
      </w:r>
      <w:r w:rsidR="00E615E7" w:rsidRPr="00631676">
        <w:rPr>
          <w:rFonts w:cstheme="minorHAnsi"/>
        </w:rPr>
        <w:t xml:space="preserve"> beer and smok</w:t>
      </w:r>
      <w:r w:rsidR="00D66DBB" w:rsidRPr="00631676">
        <w:rPr>
          <w:rFonts w:cstheme="minorHAnsi"/>
        </w:rPr>
        <w:t>ing</w:t>
      </w:r>
      <w:r w:rsidR="00E615E7" w:rsidRPr="00631676">
        <w:rPr>
          <w:rFonts w:cstheme="minorHAnsi"/>
        </w:rPr>
        <w:t xml:space="preserve"> marijuana.  </w:t>
      </w:r>
      <w:r w:rsidR="00D34D6B">
        <w:rPr>
          <w:rFonts w:cstheme="minorHAnsi"/>
        </w:rPr>
        <w:t>S</w:t>
      </w:r>
      <w:r w:rsidR="00D26E81" w:rsidRPr="00631676">
        <w:rPr>
          <w:rFonts w:cstheme="minorHAnsi"/>
        </w:rPr>
        <w:t xml:space="preserve">ome hours later, Sheehan, Hollywood, and Skidmore met </w:t>
      </w:r>
      <w:r w:rsidR="00D34D6B">
        <w:rPr>
          <w:rFonts w:cstheme="minorHAnsi"/>
        </w:rPr>
        <w:t xml:space="preserve">again </w:t>
      </w:r>
      <w:r w:rsidR="00D26E81" w:rsidRPr="00631676">
        <w:rPr>
          <w:rFonts w:cstheme="minorHAnsi"/>
        </w:rPr>
        <w:t>at Sheehan’s apartment, where Hollywood and Skidmore</w:t>
      </w:r>
      <w:r w:rsidR="00116042" w:rsidRPr="00631676">
        <w:rPr>
          <w:rFonts w:cstheme="minorHAnsi"/>
        </w:rPr>
        <w:t xml:space="preserve"> </w:t>
      </w:r>
      <w:r w:rsidR="00D26E81" w:rsidRPr="00631676">
        <w:rPr>
          <w:rFonts w:cstheme="minorHAnsi"/>
        </w:rPr>
        <w:t>t</w:t>
      </w:r>
      <w:r w:rsidR="00B50244" w:rsidRPr="00631676">
        <w:rPr>
          <w:rFonts w:cstheme="minorHAnsi"/>
        </w:rPr>
        <w:t>alked about</w:t>
      </w:r>
      <w:r w:rsidR="00116042" w:rsidRPr="00631676">
        <w:rPr>
          <w:rFonts w:cstheme="minorHAnsi"/>
        </w:rPr>
        <w:t xml:space="preserve"> driving to Santa Barbara for a local party known as Fiesta.</w:t>
      </w:r>
      <w:r w:rsidR="00475943" w:rsidRPr="00631676">
        <w:rPr>
          <w:rFonts w:cstheme="minorHAnsi"/>
        </w:rPr>
        <w:t xml:space="preserve">  </w:t>
      </w:r>
    </w:p>
    <w:p w14:paraId="18A7701D" w14:textId="1F9DD540" w:rsidR="00F4498C" w:rsidRPr="00631676" w:rsidRDefault="00190F11" w:rsidP="00231CFA">
      <w:pPr>
        <w:rPr>
          <w:rFonts w:cstheme="minorHAnsi"/>
        </w:rPr>
      </w:pPr>
      <w:r w:rsidRPr="00631676">
        <w:rPr>
          <w:rFonts w:cstheme="minorHAnsi"/>
        </w:rPr>
        <w:tab/>
      </w:r>
      <w:r w:rsidR="00EB6B51" w:rsidRPr="00631676">
        <w:rPr>
          <w:rFonts w:cstheme="minorHAnsi"/>
        </w:rPr>
        <w:t>That same evening, Nick</w:t>
      </w:r>
      <w:r w:rsidR="005B7EEE">
        <w:rPr>
          <w:rFonts w:cstheme="minorHAnsi"/>
        </w:rPr>
        <w:t xml:space="preserve"> </w:t>
      </w:r>
      <w:r w:rsidR="00EB6B51" w:rsidRPr="00631676">
        <w:rPr>
          <w:rFonts w:cstheme="minorHAnsi"/>
        </w:rPr>
        <w:t xml:space="preserve">returned home a half hour before his midnight curfew.  His parents noticed he looked “glazed,” his speech was slurred, and he had </w:t>
      </w:r>
      <w:r w:rsidR="00AE1584" w:rsidRPr="00631676">
        <w:rPr>
          <w:rFonts w:cstheme="minorHAnsi"/>
        </w:rPr>
        <w:t>a bulge in his pocket</w:t>
      </w:r>
      <w:r w:rsidR="00EB6B51" w:rsidRPr="00631676">
        <w:rPr>
          <w:rFonts w:cstheme="minorHAnsi"/>
        </w:rPr>
        <w:t>.  When they confronted him, he ran out of the house and did not return for an hour.  When he returned, he agreed to speak with his parents in the morning</w:t>
      </w:r>
      <w:r w:rsidR="00AD57BE" w:rsidRPr="00631676">
        <w:rPr>
          <w:rFonts w:cstheme="minorHAnsi"/>
        </w:rPr>
        <w:t xml:space="preserve">.  </w:t>
      </w:r>
      <w:r w:rsidR="002F4D00" w:rsidRPr="00631676">
        <w:rPr>
          <w:rFonts w:cstheme="minorHAnsi"/>
        </w:rPr>
        <w:t xml:space="preserve">Nick’s parents worried that he </w:t>
      </w:r>
      <w:r w:rsidR="000C0C52" w:rsidRPr="00631676">
        <w:rPr>
          <w:rFonts w:cstheme="minorHAnsi"/>
        </w:rPr>
        <w:t>had been getting</w:t>
      </w:r>
      <w:r w:rsidR="002F4D00" w:rsidRPr="00631676">
        <w:rPr>
          <w:rFonts w:cstheme="minorHAnsi"/>
        </w:rPr>
        <w:t xml:space="preserve"> involved with drugs, in</w:t>
      </w:r>
      <w:r w:rsidR="006E0932" w:rsidRPr="00631676">
        <w:rPr>
          <w:rFonts w:cstheme="minorHAnsi"/>
        </w:rPr>
        <w:t xml:space="preserve"> part because </w:t>
      </w:r>
      <w:r w:rsidR="002F4D00" w:rsidRPr="00631676">
        <w:rPr>
          <w:rFonts w:cstheme="minorHAnsi"/>
        </w:rPr>
        <w:t>Ben</w:t>
      </w:r>
      <w:r w:rsidR="000C0C52" w:rsidRPr="00631676">
        <w:rPr>
          <w:rFonts w:cstheme="minorHAnsi"/>
        </w:rPr>
        <w:t xml:space="preserve"> </w:t>
      </w:r>
      <w:r w:rsidR="002F4D00" w:rsidRPr="00631676">
        <w:rPr>
          <w:rFonts w:cstheme="minorHAnsi"/>
        </w:rPr>
        <w:t xml:space="preserve">was a drug user.  </w:t>
      </w:r>
    </w:p>
    <w:p w14:paraId="6A84D15D" w14:textId="77777777" w:rsidR="00096B6B" w:rsidRPr="00880755" w:rsidRDefault="00EB6B51" w:rsidP="00880755">
      <w:pPr>
        <w:pStyle w:val="Heading3"/>
        <w:rPr>
          <w:rFonts w:cstheme="minorHAnsi"/>
          <w:b/>
          <w:i w:val="0"/>
        </w:rPr>
      </w:pPr>
      <w:r w:rsidRPr="00631676">
        <w:tab/>
      </w:r>
      <w:r w:rsidR="00EA69D1" w:rsidRPr="00880755">
        <w:rPr>
          <w:rFonts w:cstheme="minorHAnsi"/>
        </w:rPr>
        <w:tab/>
      </w:r>
      <w:bookmarkStart w:id="9" w:name="_Toc12993748"/>
      <w:r w:rsidR="00EA69D1" w:rsidRPr="00880755">
        <w:rPr>
          <w:rFonts w:cstheme="minorHAnsi"/>
        </w:rPr>
        <w:t>2</w:t>
      </w:r>
      <w:r w:rsidRPr="00880755">
        <w:rPr>
          <w:rFonts w:cstheme="minorHAnsi"/>
        </w:rPr>
        <w:t>.</w:t>
      </w:r>
      <w:r w:rsidRPr="00880755">
        <w:rPr>
          <w:rFonts w:cstheme="minorHAnsi"/>
        </w:rPr>
        <w:tab/>
        <w:t>August 6, 2000</w:t>
      </w:r>
      <w:bookmarkEnd w:id="9"/>
    </w:p>
    <w:p w14:paraId="0460CBE8" w14:textId="2E6E1EDB" w:rsidR="000B4793" w:rsidRPr="00631676" w:rsidRDefault="000B4793" w:rsidP="00E74B8B">
      <w:pPr>
        <w:rPr>
          <w:rFonts w:cstheme="minorHAnsi"/>
        </w:rPr>
      </w:pPr>
      <w:r w:rsidRPr="00631676">
        <w:rPr>
          <w:rFonts w:cstheme="minorHAnsi"/>
        </w:rPr>
        <w:tab/>
        <w:t xml:space="preserve">On </w:t>
      </w:r>
      <w:r w:rsidR="00D30AAE" w:rsidRPr="00631676">
        <w:rPr>
          <w:rFonts w:cstheme="minorHAnsi"/>
        </w:rPr>
        <w:t xml:space="preserve">the morning of </w:t>
      </w:r>
      <w:r w:rsidRPr="00631676">
        <w:rPr>
          <w:rFonts w:cstheme="minorHAnsi"/>
        </w:rPr>
        <w:t xml:space="preserve">Sunday, </w:t>
      </w:r>
      <w:r w:rsidR="00D30AAE" w:rsidRPr="00631676">
        <w:rPr>
          <w:rFonts w:cstheme="minorHAnsi"/>
        </w:rPr>
        <w:t>August 6</w:t>
      </w:r>
      <w:r w:rsidR="0082530E" w:rsidRPr="00631676">
        <w:rPr>
          <w:rFonts w:cstheme="minorHAnsi"/>
        </w:rPr>
        <w:t xml:space="preserve">, </w:t>
      </w:r>
      <w:r w:rsidR="0008760A">
        <w:rPr>
          <w:rFonts w:cstheme="minorHAnsi"/>
        </w:rPr>
        <w:t xml:space="preserve">two </w:t>
      </w:r>
      <w:r w:rsidR="0082530E" w:rsidRPr="00631676">
        <w:rPr>
          <w:rFonts w:cstheme="minorHAnsi"/>
        </w:rPr>
        <w:t xml:space="preserve">passersby saw a dark-haired teenager being beaten by four other </w:t>
      </w:r>
      <w:r w:rsidR="00C202FC" w:rsidRPr="00631676">
        <w:rPr>
          <w:rFonts w:cstheme="minorHAnsi"/>
        </w:rPr>
        <w:t xml:space="preserve">similar-aged </w:t>
      </w:r>
      <w:r w:rsidR="0082530E" w:rsidRPr="00631676">
        <w:rPr>
          <w:rFonts w:cstheme="minorHAnsi"/>
        </w:rPr>
        <w:t>boys in West Hills.</w:t>
      </w:r>
      <w:r w:rsidRPr="00631676">
        <w:rPr>
          <w:rFonts w:cstheme="minorHAnsi"/>
        </w:rPr>
        <w:t xml:space="preserve"> </w:t>
      </w:r>
      <w:r w:rsidR="004D577E" w:rsidRPr="00631676">
        <w:rPr>
          <w:rFonts w:cstheme="minorHAnsi"/>
        </w:rPr>
        <w:t xml:space="preserve"> </w:t>
      </w:r>
      <w:r w:rsidR="00C202FC" w:rsidRPr="00631676">
        <w:rPr>
          <w:rFonts w:cstheme="minorHAnsi"/>
        </w:rPr>
        <w:t xml:space="preserve">Both the assailants and their victim appeared to be Caucasian.  </w:t>
      </w:r>
      <w:r w:rsidR="00E6148B" w:rsidRPr="00631676">
        <w:rPr>
          <w:rFonts w:cstheme="minorHAnsi"/>
        </w:rPr>
        <w:t>W</w:t>
      </w:r>
      <w:r w:rsidRPr="00631676">
        <w:rPr>
          <w:rFonts w:cstheme="minorHAnsi"/>
        </w:rPr>
        <w:t>hen the</w:t>
      </w:r>
      <w:r w:rsidR="00C202FC" w:rsidRPr="00631676">
        <w:rPr>
          <w:rFonts w:cstheme="minorHAnsi"/>
        </w:rPr>
        <w:t xml:space="preserve"> </w:t>
      </w:r>
      <w:r w:rsidR="0008760A">
        <w:rPr>
          <w:rFonts w:cstheme="minorHAnsi"/>
        </w:rPr>
        <w:t xml:space="preserve">assailants </w:t>
      </w:r>
      <w:r w:rsidRPr="00631676">
        <w:rPr>
          <w:rFonts w:cstheme="minorHAnsi"/>
        </w:rPr>
        <w:t>w</w:t>
      </w:r>
      <w:r w:rsidR="0008760A">
        <w:rPr>
          <w:rFonts w:cstheme="minorHAnsi"/>
        </w:rPr>
        <w:t>ere</w:t>
      </w:r>
      <w:r w:rsidRPr="00631676">
        <w:rPr>
          <w:rFonts w:cstheme="minorHAnsi"/>
        </w:rPr>
        <w:t xml:space="preserve"> done </w:t>
      </w:r>
      <w:r w:rsidRPr="00631676">
        <w:rPr>
          <w:rFonts w:cstheme="minorHAnsi"/>
        </w:rPr>
        <w:lastRenderedPageBreak/>
        <w:t xml:space="preserve">hitting and kicking </w:t>
      </w:r>
      <w:r w:rsidR="00C202FC" w:rsidRPr="00631676">
        <w:rPr>
          <w:rFonts w:cstheme="minorHAnsi"/>
        </w:rPr>
        <w:t xml:space="preserve">the </w:t>
      </w:r>
      <w:r w:rsidR="004A1BA6" w:rsidRPr="00631676">
        <w:rPr>
          <w:rFonts w:cstheme="minorHAnsi"/>
        </w:rPr>
        <w:t xml:space="preserve">dark-haired </w:t>
      </w:r>
      <w:r w:rsidR="00C202FC" w:rsidRPr="00631676">
        <w:rPr>
          <w:rFonts w:cstheme="minorHAnsi"/>
        </w:rPr>
        <w:t>boy</w:t>
      </w:r>
      <w:r w:rsidRPr="00631676">
        <w:rPr>
          <w:rFonts w:cstheme="minorHAnsi"/>
        </w:rPr>
        <w:t xml:space="preserve">, they threw </w:t>
      </w:r>
      <w:r w:rsidR="00C202FC" w:rsidRPr="00631676">
        <w:rPr>
          <w:rFonts w:cstheme="minorHAnsi"/>
        </w:rPr>
        <w:t xml:space="preserve">him </w:t>
      </w:r>
      <w:r w:rsidRPr="00631676">
        <w:rPr>
          <w:rFonts w:cstheme="minorHAnsi"/>
        </w:rPr>
        <w:t xml:space="preserve">into a </w:t>
      </w:r>
      <w:r w:rsidR="00C202FC" w:rsidRPr="00631676">
        <w:rPr>
          <w:rFonts w:cstheme="minorHAnsi"/>
        </w:rPr>
        <w:t xml:space="preserve">white </w:t>
      </w:r>
      <w:r w:rsidRPr="00631676">
        <w:rPr>
          <w:rFonts w:cstheme="minorHAnsi"/>
        </w:rPr>
        <w:t xml:space="preserve">van.  </w:t>
      </w:r>
    </w:p>
    <w:p w14:paraId="107B4512" w14:textId="2B2E51A8" w:rsidR="00096B6B" w:rsidRPr="00631676" w:rsidRDefault="00727EF0" w:rsidP="00E74B8B">
      <w:pPr>
        <w:rPr>
          <w:rFonts w:cstheme="minorHAnsi"/>
        </w:rPr>
      </w:pPr>
      <w:r w:rsidRPr="00631676">
        <w:rPr>
          <w:rFonts w:cstheme="minorHAnsi"/>
        </w:rPr>
        <w:tab/>
      </w:r>
      <w:r w:rsidR="00CD25FF" w:rsidRPr="00631676">
        <w:rPr>
          <w:rFonts w:cstheme="minorHAnsi"/>
        </w:rPr>
        <w:t xml:space="preserve">Affronti testified that </w:t>
      </w:r>
      <w:r w:rsidR="00E74B8B">
        <w:rPr>
          <w:rFonts w:cstheme="minorHAnsi"/>
        </w:rPr>
        <w:t xml:space="preserve">at </w:t>
      </w:r>
      <w:r w:rsidR="00CD25FF" w:rsidRPr="00631676">
        <w:rPr>
          <w:rFonts w:cstheme="minorHAnsi"/>
        </w:rPr>
        <w:t xml:space="preserve">about 2:00 that afternoon, </w:t>
      </w:r>
      <w:r w:rsidR="00501DA0" w:rsidRPr="00631676">
        <w:rPr>
          <w:rFonts w:cstheme="minorHAnsi"/>
        </w:rPr>
        <w:t xml:space="preserve">Hollywood, Skidmore, and their friend Jesse Rugge picked </w:t>
      </w:r>
      <w:r w:rsidR="00A03170" w:rsidRPr="00631676">
        <w:rPr>
          <w:rFonts w:cstheme="minorHAnsi"/>
        </w:rPr>
        <w:t xml:space="preserve">him up in a white </w:t>
      </w:r>
      <w:r w:rsidR="00AA3D5E" w:rsidRPr="00631676">
        <w:rPr>
          <w:rFonts w:cstheme="minorHAnsi"/>
        </w:rPr>
        <w:t xml:space="preserve">van </w:t>
      </w:r>
      <w:r w:rsidR="00501DA0" w:rsidRPr="00631676">
        <w:rPr>
          <w:rFonts w:cstheme="minorHAnsi"/>
        </w:rPr>
        <w:t xml:space="preserve">to drive to Santa Barbara for Fiesta.  </w:t>
      </w:r>
      <w:r w:rsidR="00AA3D5E" w:rsidRPr="00631676">
        <w:rPr>
          <w:rFonts w:cstheme="minorHAnsi"/>
        </w:rPr>
        <w:t xml:space="preserve">When Affronti entered the van, he saw Nick in the back.  </w:t>
      </w:r>
      <w:r w:rsidR="002320B4" w:rsidRPr="00631676">
        <w:rPr>
          <w:rFonts w:cstheme="minorHAnsi"/>
        </w:rPr>
        <w:t xml:space="preserve">Affronti </w:t>
      </w:r>
      <w:r w:rsidR="007674F6" w:rsidRPr="00631676">
        <w:rPr>
          <w:rFonts w:cstheme="minorHAnsi"/>
        </w:rPr>
        <w:t>knew</w:t>
      </w:r>
      <w:r w:rsidR="002320B4" w:rsidRPr="00631676">
        <w:rPr>
          <w:rFonts w:cstheme="minorHAnsi"/>
        </w:rPr>
        <w:t xml:space="preserve"> Ben, but he did not </w:t>
      </w:r>
      <w:r w:rsidR="007674F6" w:rsidRPr="00631676">
        <w:rPr>
          <w:rFonts w:cstheme="minorHAnsi"/>
        </w:rPr>
        <w:t>initially realize Nick was Ben’s younger brother</w:t>
      </w:r>
      <w:r w:rsidR="002320B4" w:rsidRPr="00631676">
        <w:rPr>
          <w:rFonts w:cstheme="minorHAnsi"/>
        </w:rPr>
        <w:t>.  Affront</w:t>
      </w:r>
      <w:r w:rsidR="007674F6" w:rsidRPr="00631676">
        <w:rPr>
          <w:rFonts w:cstheme="minorHAnsi"/>
        </w:rPr>
        <w:t>i did not know</w:t>
      </w:r>
      <w:r w:rsidR="002320B4" w:rsidRPr="00631676">
        <w:rPr>
          <w:rFonts w:cstheme="minorHAnsi"/>
        </w:rPr>
        <w:t xml:space="preserve"> anything was out of the ordinary until Hollywood told Nick “that his brother was going to pay up his money” and “for Nick not to run or anything like that, not to try and do anything irrational.”  </w:t>
      </w:r>
    </w:p>
    <w:p w14:paraId="64158972" w14:textId="700267A5" w:rsidR="00B5017A" w:rsidRPr="00631676" w:rsidRDefault="00C51DF0" w:rsidP="00E74B8B">
      <w:pPr>
        <w:rPr>
          <w:rFonts w:cstheme="minorHAnsi"/>
        </w:rPr>
      </w:pPr>
      <w:r w:rsidRPr="00631676">
        <w:rPr>
          <w:rFonts w:cstheme="minorHAnsi"/>
        </w:rPr>
        <w:tab/>
      </w:r>
      <w:r w:rsidR="00C02273" w:rsidRPr="00631676">
        <w:rPr>
          <w:rFonts w:cstheme="minorHAnsi"/>
        </w:rPr>
        <w:t>When the men arrived in Santa Barbara, they stopped at a</w:t>
      </w:r>
      <w:r w:rsidR="001F6383" w:rsidRPr="00631676">
        <w:rPr>
          <w:rFonts w:cstheme="minorHAnsi"/>
        </w:rPr>
        <w:t xml:space="preserve">n apartment </w:t>
      </w:r>
      <w:r w:rsidR="00C02273" w:rsidRPr="00631676">
        <w:rPr>
          <w:rFonts w:cstheme="minorHAnsi"/>
        </w:rPr>
        <w:t xml:space="preserve">belonging to Richard Hoeflinger, a longtime friend </w:t>
      </w:r>
      <w:r w:rsidR="00C02273" w:rsidRPr="00E57EC2">
        <w:rPr>
          <w:rFonts w:cstheme="minorHAnsi"/>
          <w:szCs w:val="27"/>
        </w:rPr>
        <w:t xml:space="preserve">of Rugge’s.  </w:t>
      </w:r>
      <w:r w:rsidR="00B5017A" w:rsidRPr="00E57EC2">
        <w:rPr>
          <w:rFonts w:cstheme="minorHAnsi"/>
          <w:szCs w:val="27"/>
        </w:rPr>
        <w:t>Hollywood asked Affronti to park the van</w:t>
      </w:r>
      <w:r w:rsidR="002C2B6C" w:rsidRPr="00E57EC2">
        <w:rPr>
          <w:rFonts w:cstheme="minorHAnsi"/>
          <w:szCs w:val="27"/>
        </w:rPr>
        <w:t xml:space="preserve"> and </w:t>
      </w:r>
      <w:r w:rsidR="00416AB8" w:rsidRPr="00E57EC2">
        <w:rPr>
          <w:rFonts w:cstheme="minorHAnsi"/>
          <w:szCs w:val="27"/>
        </w:rPr>
        <w:t>directed Rugge to make calls from Affronti’s cell phone to unknown recipients</w:t>
      </w:r>
      <w:r w:rsidR="00B5017A" w:rsidRPr="00E57EC2">
        <w:rPr>
          <w:rFonts w:cstheme="minorHAnsi"/>
          <w:szCs w:val="27"/>
        </w:rPr>
        <w:t>.</w:t>
      </w:r>
      <w:r w:rsidR="00B5017A" w:rsidRPr="00E57EC2">
        <w:rPr>
          <w:rFonts w:cstheme="minorHAnsi"/>
          <w:b/>
          <w:szCs w:val="27"/>
        </w:rPr>
        <w:t xml:space="preserve"> </w:t>
      </w:r>
      <w:r w:rsidR="00B5017A" w:rsidRPr="00E57EC2">
        <w:rPr>
          <w:rFonts w:cstheme="minorHAnsi"/>
          <w:szCs w:val="27"/>
        </w:rPr>
        <w:t xml:space="preserve"> </w:t>
      </w:r>
      <w:r w:rsidR="00DB0381" w:rsidRPr="00E57EC2">
        <w:rPr>
          <w:rFonts w:cstheme="minorHAnsi"/>
          <w:szCs w:val="27"/>
        </w:rPr>
        <w:t>T</w:t>
      </w:r>
      <w:r w:rsidR="00DB0381" w:rsidRPr="00E74B8B">
        <w:rPr>
          <w:szCs w:val="27"/>
        </w:rPr>
        <w:t xml:space="preserve">elephone records also showed that two phone calls were placed that afternoon from </w:t>
      </w:r>
      <w:r w:rsidR="00A7247D">
        <w:rPr>
          <w:szCs w:val="27"/>
        </w:rPr>
        <w:t xml:space="preserve">Hoeflinger’s </w:t>
      </w:r>
      <w:r w:rsidR="00DB0381" w:rsidRPr="00E74B8B">
        <w:rPr>
          <w:szCs w:val="27"/>
        </w:rPr>
        <w:t>home to defendant’s home phone number.</w:t>
      </w:r>
      <w:r w:rsidR="00DB0381" w:rsidRPr="00E57EC2">
        <w:rPr>
          <w:rFonts w:cstheme="minorHAnsi"/>
          <w:szCs w:val="27"/>
        </w:rPr>
        <w:t xml:space="preserve">  </w:t>
      </w:r>
      <w:r w:rsidR="00416AB8" w:rsidRPr="00E57EC2">
        <w:rPr>
          <w:rFonts w:cstheme="minorHAnsi"/>
          <w:szCs w:val="27"/>
        </w:rPr>
        <w:t xml:space="preserve">Hollywood and Skidmore </w:t>
      </w:r>
      <w:r w:rsidR="007B20D7" w:rsidRPr="00E57EC2">
        <w:rPr>
          <w:rFonts w:cstheme="minorHAnsi"/>
          <w:szCs w:val="27"/>
        </w:rPr>
        <w:t xml:space="preserve">then </w:t>
      </w:r>
      <w:r w:rsidR="00416AB8" w:rsidRPr="00E57EC2">
        <w:rPr>
          <w:rFonts w:cstheme="minorHAnsi"/>
          <w:szCs w:val="27"/>
        </w:rPr>
        <w:t xml:space="preserve">went into the </w:t>
      </w:r>
      <w:r w:rsidR="00B665ED" w:rsidRPr="00E57EC2">
        <w:rPr>
          <w:rFonts w:cstheme="minorHAnsi"/>
          <w:szCs w:val="27"/>
        </w:rPr>
        <w:t xml:space="preserve">apartment </w:t>
      </w:r>
      <w:r w:rsidR="00416AB8" w:rsidRPr="00E57EC2">
        <w:rPr>
          <w:rFonts w:cstheme="minorHAnsi"/>
          <w:szCs w:val="27"/>
        </w:rPr>
        <w:t xml:space="preserve">with Nick.  </w:t>
      </w:r>
      <w:r w:rsidR="007B20D7" w:rsidRPr="00E57EC2">
        <w:rPr>
          <w:rFonts w:cstheme="minorHAnsi"/>
          <w:szCs w:val="27"/>
        </w:rPr>
        <w:t xml:space="preserve">When </w:t>
      </w:r>
      <w:r w:rsidR="00D55EE4" w:rsidRPr="00E57EC2">
        <w:rPr>
          <w:rFonts w:cstheme="minorHAnsi"/>
          <w:szCs w:val="27"/>
        </w:rPr>
        <w:t xml:space="preserve">Affronti </w:t>
      </w:r>
      <w:r w:rsidR="007B20D7" w:rsidRPr="00E57EC2">
        <w:rPr>
          <w:rFonts w:cstheme="minorHAnsi"/>
          <w:szCs w:val="27"/>
        </w:rPr>
        <w:t>entered after parking the van</w:t>
      </w:r>
      <w:r w:rsidR="00903FD4" w:rsidRPr="00E57EC2">
        <w:rPr>
          <w:rFonts w:cstheme="minorHAnsi"/>
          <w:szCs w:val="27"/>
        </w:rPr>
        <w:t xml:space="preserve">, he </w:t>
      </w:r>
      <w:r w:rsidR="00416AB8" w:rsidRPr="00E57EC2">
        <w:rPr>
          <w:rFonts w:cstheme="minorHAnsi"/>
          <w:szCs w:val="27"/>
        </w:rPr>
        <w:t xml:space="preserve">saw </w:t>
      </w:r>
      <w:r w:rsidR="00903FD4" w:rsidRPr="00E57EC2">
        <w:rPr>
          <w:rFonts w:cstheme="minorHAnsi"/>
          <w:szCs w:val="27"/>
        </w:rPr>
        <w:t xml:space="preserve">Nick </w:t>
      </w:r>
      <w:r w:rsidR="00416AB8" w:rsidRPr="00E57EC2">
        <w:rPr>
          <w:rFonts w:cstheme="minorHAnsi"/>
          <w:szCs w:val="27"/>
        </w:rPr>
        <w:t>in a bedroom</w:t>
      </w:r>
      <w:r w:rsidR="00903FD4" w:rsidRPr="00E57EC2">
        <w:rPr>
          <w:rFonts w:cstheme="minorHAnsi"/>
          <w:szCs w:val="27"/>
        </w:rPr>
        <w:t xml:space="preserve"> wit</w:t>
      </w:r>
      <w:r w:rsidR="00903FD4" w:rsidRPr="00631676">
        <w:rPr>
          <w:rFonts w:cstheme="minorHAnsi"/>
        </w:rPr>
        <w:t>h hi</w:t>
      </w:r>
      <w:r w:rsidR="00D55EE4" w:rsidRPr="00631676">
        <w:rPr>
          <w:rFonts w:cstheme="minorHAnsi"/>
        </w:rPr>
        <w:t>s</w:t>
      </w:r>
      <w:r w:rsidR="00B5017A" w:rsidRPr="00631676">
        <w:rPr>
          <w:rFonts w:cstheme="minorHAnsi"/>
        </w:rPr>
        <w:t xml:space="preserve"> hands duct</w:t>
      </w:r>
      <w:r w:rsidR="00D753AC" w:rsidRPr="00631676">
        <w:rPr>
          <w:rFonts w:cstheme="minorHAnsi"/>
        </w:rPr>
        <w:t>-</w:t>
      </w:r>
      <w:r w:rsidR="00B5017A" w:rsidRPr="00631676">
        <w:rPr>
          <w:rFonts w:cstheme="minorHAnsi"/>
        </w:rPr>
        <w:t>taped in front of him</w:t>
      </w:r>
      <w:r w:rsidR="00734847" w:rsidRPr="00631676">
        <w:rPr>
          <w:rFonts w:cstheme="minorHAnsi"/>
        </w:rPr>
        <w:t xml:space="preserve"> and</w:t>
      </w:r>
      <w:r w:rsidR="0057740D" w:rsidRPr="00631676">
        <w:rPr>
          <w:rFonts w:cstheme="minorHAnsi"/>
        </w:rPr>
        <w:t xml:space="preserve"> his</w:t>
      </w:r>
      <w:r w:rsidR="00B5017A" w:rsidRPr="00631676">
        <w:rPr>
          <w:rFonts w:cstheme="minorHAnsi"/>
        </w:rPr>
        <w:t xml:space="preserve"> shins also taped.  </w:t>
      </w:r>
      <w:r w:rsidR="00D55EE4" w:rsidRPr="00631676">
        <w:rPr>
          <w:rFonts w:cstheme="minorHAnsi"/>
        </w:rPr>
        <w:t xml:space="preserve">Hollywood and Rugge </w:t>
      </w:r>
      <w:r w:rsidR="006B1DB0" w:rsidRPr="00631676">
        <w:rPr>
          <w:rFonts w:cstheme="minorHAnsi"/>
        </w:rPr>
        <w:t xml:space="preserve">then </w:t>
      </w:r>
      <w:r w:rsidR="00D55EE4" w:rsidRPr="00631676">
        <w:rPr>
          <w:rFonts w:cstheme="minorHAnsi"/>
        </w:rPr>
        <w:t>left for a time</w:t>
      </w:r>
      <w:r w:rsidR="006B1DB0" w:rsidRPr="00631676">
        <w:rPr>
          <w:rFonts w:cstheme="minorHAnsi"/>
        </w:rPr>
        <w:t>;</w:t>
      </w:r>
      <w:r w:rsidR="00D55EE4" w:rsidRPr="00631676">
        <w:rPr>
          <w:rFonts w:cstheme="minorHAnsi"/>
        </w:rPr>
        <w:t xml:space="preserve"> </w:t>
      </w:r>
      <w:r w:rsidR="00903FD4" w:rsidRPr="00631676">
        <w:rPr>
          <w:rFonts w:cstheme="minorHAnsi"/>
        </w:rPr>
        <w:t xml:space="preserve">when </w:t>
      </w:r>
      <w:r w:rsidR="00D55EE4" w:rsidRPr="00631676">
        <w:rPr>
          <w:rFonts w:cstheme="minorHAnsi"/>
        </w:rPr>
        <w:t>Hollywood returned</w:t>
      </w:r>
      <w:r w:rsidR="00903FD4" w:rsidRPr="00631676">
        <w:rPr>
          <w:rFonts w:cstheme="minorHAnsi"/>
        </w:rPr>
        <w:t>,</w:t>
      </w:r>
      <w:r w:rsidR="00D55EE4" w:rsidRPr="00631676">
        <w:rPr>
          <w:rFonts w:cstheme="minorHAnsi"/>
        </w:rPr>
        <w:t xml:space="preserve"> Affronti and Skidmore </w:t>
      </w:r>
      <w:r w:rsidR="006B1DB0" w:rsidRPr="00631676">
        <w:rPr>
          <w:rFonts w:cstheme="minorHAnsi"/>
        </w:rPr>
        <w:t xml:space="preserve">left </w:t>
      </w:r>
      <w:r w:rsidR="00DD4335" w:rsidRPr="00631676">
        <w:rPr>
          <w:rFonts w:cstheme="minorHAnsi"/>
        </w:rPr>
        <w:t xml:space="preserve">in the </w:t>
      </w:r>
      <w:r w:rsidR="00D55EE4" w:rsidRPr="00631676">
        <w:rPr>
          <w:rFonts w:cstheme="minorHAnsi"/>
        </w:rPr>
        <w:t xml:space="preserve">van.  </w:t>
      </w:r>
    </w:p>
    <w:p w14:paraId="2946C650" w14:textId="47F756D8" w:rsidR="00016FB9" w:rsidRPr="00631676" w:rsidRDefault="00016FB9" w:rsidP="00E74B8B">
      <w:pPr>
        <w:rPr>
          <w:rFonts w:cstheme="minorHAnsi"/>
        </w:rPr>
      </w:pPr>
      <w:r w:rsidRPr="00631676">
        <w:rPr>
          <w:rFonts w:cstheme="minorHAnsi"/>
        </w:rPr>
        <w:tab/>
        <w:t xml:space="preserve">Hoeflinger, </w:t>
      </w:r>
      <w:r w:rsidR="00B665ED" w:rsidRPr="00631676">
        <w:rPr>
          <w:rFonts w:cstheme="minorHAnsi"/>
        </w:rPr>
        <w:t>the apartment’s primary tenant</w:t>
      </w:r>
      <w:r w:rsidRPr="00631676">
        <w:rPr>
          <w:rFonts w:cstheme="minorHAnsi"/>
        </w:rPr>
        <w:t xml:space="preserve">, had not seen his friend Rugge for a while before Rugge stopped by on August 6.  Rugge asked if he could come in and Hoeflinger readily agreed, but Hoeflinger was surprised when a group—which included Nick—came in with Rugge.  Emilio </w:t>
      </w:r>
      <w:r w:rsidR="00B665ED" w:rsidRPr="00631676">
        <w:rPr>
          <w:rFonts w:cstheme="minorHAnsi"/>
        </w:rPr>
        <w:t>Jelez, Jr.</w:t>
      </w:r>
      <w:r w:rsidRPr="00631676">
        <w:rPr>
          <w:rFonts w:cstheme="minorHAnsi"/>
        </w:rPr>
        <w:t xml:space="preserve">, Hoeflinger’s roommate at the time, and their friend Gabriel Ibarra were </w:t>
      </w:r>
      <w:r w:rsidR="00A36B23" w:rsidRPr="00631676">
        <w:rPr>
          <w:rFonts w:cstheme="minorHAnsi"/>
        </w:rPr>
        <w:t xml:space="preserve">also </w:t>
      </w:r>
      <w:r w:rsidRPr="00631676">
        <w:rPr>
          <w:rFonts w:cstheme="minorHAnsi"/>
        </w:rPr>
        <w:t xml:space="preserve">at the house when Rugge and others arrived </w:t>
      </w:r>
      <w:r w:rsidRPr="00631676">
        <w:rPr>
          <w:rFonts w:cstheme="minorHAnsi"/>
        </w:rPr>
        <w:lastRenderedPageBreak/>
        <w:t xml:space="preserve">with Nick.  </w:t>
      </w:r>
      <w:r w:rsidR="00396D13" w:rsidRPr="00631676">
        <w:rPr>
          <w:rFonts w:cstheme="minorHAnsi"/>
        </w:rPr>
        <w:t xml:space="preserve">Jelez </w:t>
      </w:r>
      <w:r w:rsidRPr="00631676">
        <w:rPr>
          <w:rFonts w:cstheme="minorHAnsi"/>
        </w:rPr>
        <w:t>and Ibarra saw Nick sitting in a bedroom of the house with his wrists and ankles bound with duct tape.  Ibarra had never met Hollywood, but testified he did not call the police or tell anyone what he</w:t>
      </w:r>
      <w:r w:rsidR="002C367D" w:rsidRPr="00631676">
        <w:rPr>
          <w:rFonts w:cstheme="minorHAnsi"/>
        </w:rPr>
        <w:t xml:space="preserve"> had </w:t>
      </w:r>
      <w:r w:rsidRPr="00631676">
        <w:rPr>
          <w:rFonts w:cstheme="minorHAnsi"/>
        </w:rPr>
        <w:t xml:space="preserve">seen because he was afraid of Hollywood after Hollywood walked up to Ibarra, intimated he had a gun, “and pretty much threatened [Ibarra], told [him] that [he] better keep [his] F’ing mouth shut.”  </w:t>
      </w:r>
    </w:p>
    <w:p w14:paraId="1B32B41F" w14:textId="630977A8" w:rsidR="00BF1358" w:rsidRPr="00631676" w:rsidRDefault="00A36B23" w:rsidP="00E74B8B">
      <w:r w:rsidRPr="00631676">
        <w:rPr>
          <w:rFonts w:cstheme="minorHAnsi"/>
        </w:rPr>
        <w:tab/>
      </w:r>
      <w:r w:rsidR="003E7556" w:rsidRPr="00631676">
        <w:rPr>
          <w:rFonts w:cstheme="minorHAnsi"/>
        </w:rPr>
        <w:t xml:space="preserve">At some point that evening, </w:t>
      </w:r>
      <w:r w:rsidR="00F61774" w:rsidRPr="00631676">
        <w:rPr>
          <w:rFonts w:cstheme="minorHAnsi"/>
        </w:rPr>
        <w:t xml:space="preserve">Hoeflinger </w:t>
      </w:r>
      <w:r w:rsidR="00AA48ED" w:rsidRPr="00631676">
        <w:rPr>
          <w:rFonts w:cstheme="minorHAnsi"/>
        </w:rPr>
        <w:t xml:space="preserve">walked into his bedroom and </w:t>
      </w:r>
      <w:r w:rsidR="00F61774" w:rsidRPr="00631676">
        <w:rPr>
          <w:rFonts w:cstheme="minorHAnsi"/>
        </w:rPr>
        <w:t xml:space="preserve">saw Rugge and Skidmore </w:t>
      </w:r>
      <w:r w:rsidR="00AA48ED" w:rsidRPr="00631676">
        <w:rPr>
          <w:rFonts w:cstheme="minorHAnsi"/>
        </w:rPr>
        <w:t xml:space="preserve">removing </w:t>
      </w:r>
      <w:r w:rsidR="00F61774" w:rsidRPr="00631676">
        <w:rPr>
          <w:rFonts w:cstheme="minorHAnsi"/>
        </w:rPr>
        <w:t>duct tape from Nick’s wrists.  Skidmore assured Hoeflinger that everything was “ ‘cool’ ” and they were “ ‘just talking’ ” to Nick</w:t>
      </w:r>
      <w:r w:rsidR="00825C57" w:rsidRPr="00631676">
        <w:rPr>
          <w:rFonts w:cstheme="minorHAnsi"/>
        </w:rPr>
        <w:t xml:space="preserve">.  Reassured, Hoeflinger left his </w:t>
      </w:r>
      <w:r w:rsidR="009F1934" w:rsidRPr="00631676">
        <w:rPr>
          <w:rFonts w:cstheme="minorHAnsi"/>
        </w:rPr>
        <w:t>house</w:t>
      </w:r>
      <w:r w:rsidR="00825C57" w:rsidRPr="00631676">
        <w:rPr>
          <w:rFonts w:cstheme="minorHAnsi"/>
        </w:rPr>
        <w:t xml:space="preserve"> </w:t>
      </w:r>
      <w:r w:rsidR="003E7556" w:rsidRPr="00631676">
        <w:rPr>
          <w:rFonts w:cstheme="minorHAnsi"/>
        </w:rPr>
        <w:t>less than a half hour later</w:t>
      </w:r>
      <w:r w:rsidR="00825C57" w:rsidRPr="00631676">
        <w:rPr>
          <w:rFonts w:cstheme="minorHAnsi"/>
        </w:rPr>
        <w:t xml:space="preserve"> to attend a barbe</w:t>
      </w:r>
      <w:r w:rsidR="00E37E6F" w:rsidRPr="00631676">
        <w:rPr>
          <w:rFonts w:cstheme="minorHAnsi"/>
        </w:rPr>
        <w:t>c</w:t>
      </w:r>
      <w:r w:rsidR="00825C57" w:rsidRPr="00631676">
        <w:rPr>
          <w:rFonts w:cstheme="minorHAnsi"/>
        </w:rPr>
        <w:t>ue.</w:t>
      </w:r>
      <w:r w:rsidR="00581250" w:rsidRPr="00631676">
        <w:rPr>
          <w:rFonts w:cstheme="minorHAnsi"/>
        </w:rPr>
        <w:t xml:space="preserve">  </w:t>
      </w:r>
      <w:r w:rsidR="00825C57" w:rsidRPr="00631676">
        <w:rPr>
          <w:rFonts w:cstheme="minorHAnsi"/>
        </w:rPr>
        <w:t xml:space="preserve">Hoeflinger returned home </w:t>
      </w:r>
      <w:r w:rsidR="00581250" w:rsidRPr="00631676">
        <w:rPr>
          <w:rFonts w:cstheme="minorHAnsi"/>
        </w:rPr>
        <w:t xml:space="preserve">at dusk to find </w:t>
      </w:r>
      <w:r w:rsidR="00825C57" w:rsidRPr="00631676">
        <w:rPr>
          <w:rFonts w:cstheme="minorHAnsi"/>
        </w:rPr>
        <w:t xml:space="preserve">Nick </w:t>
      </w:r>
      <w:r w:rsidR="00581250" w:rsidRPr="00631676">
        <w:rPr>
          <w:rFonts w:cstheme="minorHAnsi"/>
        </w:rPr>
        <w:t>and Rugge drinking alcohol together in his living room with Nick still unbound</w:t>
      </w:r>
      <w:r w:rsidR="007E7E9E" w:rsidRPr="00631676">
        <w:rPr>
          <w:rFonts w:cstheme="minorHAnsi"/>
        </w:rPr>
        <w:t xml:space="preserve">.  </w:t>
      </w:r>
      <w:r w:rsidR="00581250" w:rsidRPr="00631676">
        <w:rPr>
          <w:rFonts w:cstheme="minorHAnsi"/>
        </w:rPr>
        <w:t>Nick and Rugge</w:t>
      </w:r>
      <w:r w:rsidR="003E7556" w:rsidRPr="00631676">
        <w:rPr>
          <w:rFonts w:cstheme="minorHAnsi"/>
        </w:rPr>
        <w:t xml:space="preserve"> then</w:t>
      </w:r>
      <w:r w:rsidR="00581250" w:rsidRPr="00631676">
        <w:rPr>
          <w:rFonts w:cstheme="minorHAnsi"/>
        </w:rPr>
        <w:t xml:space="preserve"> left </w:t>
      </w:r>
      <w:r w:rsidR="003E7556" w:rsidRPr="00631676">
        <w:rPr>
          <w:rFonts w:cstheme="minorHAnsi"/>
        </w:rPr>
        <w:t xml:space="preserve">Hoeflinger’s </w:t>
      </w:r>
      <w:r w:rsidR="009F1934" w:rsidRPr="00631676">
        <w:rPr>
          <w:rFonts w:cstheme="minorHAnsi"/>
        </w:rPr>
        <w:t>home</w:t>
      </w:r>
      <w:r w:rsidR="003E7556" w:rsidRPr="00631676">
        <w:rPr>
          <w:rFonts w:cstheme="minorHAnsi"/>
        </w:rPr>
        <w:t xml:space="preserve"> </w:t>
      </w:r>
      <w:r w:rsidR="00943050" w:rsidRPr="00631676">
        <w:rPr>
          <w:rFonts w:cstheme="minorHAnsi"/>
        </w:rPr>
        <w:t xml:space="preserve">together a few hours later.  </w:t>
      </w:r>
    </w:p>
    <w:p w14:paraId="0334C090" w14:textId="73F5E0CB" w:rsidR="00BF1358" w:rsidRPr="00631676" w:rsidRDefault="00BF1358" w:rsidP="00E74B8B">
      <w:pPr>
        <w:rPr>
          <w:rFonts w:cstheme="minorHAnsi"/>
        </w:rPr>
      </w:pPr>
      <w:r w:rsidRPr="00631676">
        <w:rPr>
          <w:rFonts w:cstheme="minorHAnsi"/>
        </w:rPr>
        <w:tab/>
      </w:r>
      <w:r w:rsidR="00DD4335" w:rsidRPr="00631676">
        <w:rPr>
          <w:rFonts w:cstheme="minorHAnsi"/>
        </w:rPr>
        <w:t>In the meantime, Affronti and Skidmore drove back to Los Angeles in the white van</w:t>
      </w:r>
      <w:r w:rsidR="00DB0381">
        <w:rPr>
          <w:rFonts w:cstheme="minorHAnsi"/>
        </w:rPr>
        <w:t xml:space="preserve">.  </w:t>
      </w:r>
      <w:r w:rsidR="00743B32" w:rsidRPr="00631676">
        <w:rPr>
          <w:rFonts w:cstheme="minorHAnsi"/>
        </w:rPr>
        <w:t xml:space="preserve">Affronti </w:t>
      </w:r>
      <w:r w:rsidR="00DB0381">
        <w:rPr>
          <w:rFonts w:cstheme="minorHAnsi"/>
        </w:rPr>
        <w:t xml:space="preserve">realized </w:t>
      </w:r>
      <w:r w:rsidR="00EA4830">
        <w:rPr>
          <w:rFonts w:cstheme="minorHAnsi"/>
        </w:rPr>
        <w:t xml:space="preserve">en route that he had </w:t>
      </w:r>
      <w:r w:rsidR="00743B32" w:rsidRPr="00631676">
        <w:rPr>
          <w:rFonts w:cstheme="minorHAnsi"/>
        </w:rPr>
        <w:t>forgot</w:t>
      </w:r>
      <w:r w:rsidR="00EA4830">
        <w:rPr>
          <w:rFonts w:cstheme="minorHAnsi"/>
        </w:rPr>
        <w:t>te</w:t>
      </w:r>
      <w:r w:rsidR="00E74B8B">
        <w:rPr>
          <w:rFonts w:cstheme="minorHAnsi"/>
        </w:rPr>
        <w:t>n</w:t>
      </w:r>
      <w:r w:rsidR="00743B32" w:rsidRPr="00631676">
        <w:rPr>
          <w:rFonts w:cstheme="minorHAnsi"/>
        </w:rPr>
        <w:t xml:space="preserve"> his cell phone and returned to Hoeflinger’s home to retrieve it</w:t>
      </w:r>
      <w:r w:rsidR="00DB0381">
        <w:rPr>
          <w:rFonts w:cstheme="minorHAnsi"/>
        </w:rPr>
        <w:t>; there</w:t>
      </w:r>
      <w:r w:rsidR="00743B32" w:rsidRPr="00631676">
        <w:rPr>
          <w:rFonts w:cstheme="minorHAnsi"/>
        </w:rPr>
        <w:t xml:space="preserve"> he saw Nick and Hollywood still spending time together</w:t>
      </w:r>
      <w:r w:rsidR="00DD4335" w:rsidRPr="00631676">
        <w:rPr>
          <w:rFonts w:cstheme="minorHAnsi"/>
        </w:rPr>
        <w:t xml:space="preserve">.  </w:t>
      </w:r>
      <w:r w:rsidR="00DB0381">
        <w:rPr>
          <w:rFonts w:cstheme="minorHAnsi"/>
        </w:rPr>
        <w:t xml:space="preserve">Back in Los Angeles, </w:t>
      </w:r>
      <w:r w:rsidR="00DD4335" w:rsidRPr="00631676">
        <w:rPr>
          <w:rFonts w:cstheme="minorHAnsi"/>
        </w:rPr>
        <w:t>Skidmore dropped Affronti off at home and continued to Hollywood’s house, where he met defendant</w:t>
      </w:r>
      <w:r w:rsidRPr="00631676">
        <w:rPr>
          <w:rFonts w:cstheme="minorHAnsi"/>
        </w:rPr>
        <w:t xml:space="preserve">.  Skidmore </w:t>
      </w:r>
      <w:r w:rsidR="00EC781B" w:rsidRPr="00631676">
        <w:rPr>
          <w:rFonts w:cstheme="minorHAnsi"/>
        </w:rPr>
        <w:t xml:space="preserve">did not mention </w:t>
      </w:r>
      <w:r w:rsidRPr="00631676">
        <w:rPr>
          <w:rFonts w:cstheme="minorHAnsi"/>
        </w:rPr>
        <w:t xml:space="preserve">Nick.  </w:t>
      </w:r>
      <w:r w:rsidR="00453A4C" w:rsidRPr="00631676">
        <w:rPr>
          <w:rFonts w:cstheme="minorHAnsi"/>
        </w:rPr>
        <w:t>Defendant and Skidmore returned the van</w:t>
      </w:r>
      <w:r w:rsidR="00FF5327" w:rsidRPr="00631676">
        <w:rPr>
          <w:rFonts w:cstheme="minorHAnsi"/>
        </w:rPr>
        <w:t xml:space="preserve"> to its own</w:t>
      </w:r>
      <w:r w:rsidR="00694751" w:rsidRPr="00631676">
        <w:rPr>
          <w:rFonts w:cstheme="minorHAnsi"/>
        </w:rPr>
        <w:t>er</w:t>
      </w:r>
      <w:r w:rsidR="00FF5327" w:rsidRPr="00631676">
        <w:rPr>
          <w:rFonts w:cstheme="minorHAnsi"/>
        </w:rPr>
        <w:t xml:space="preserve">.  </w:t>
      </w:r>
      <w:r w:rsidR="00513D16" w:rsidRPr="00631676">
        <w:rPr>
          <w:rFonts w:cstheme="minorHAnsi"/>
        </w:rPr>
        <w:t>Defendant and Skidmore walked back to Hollywood’s ho</w:t>
      </w:r>
      <w:r w:rsidR="004410F5" w:rsidRPr="00631676">
        <w:rPr>
          <w:rFonts w:cstheme="minorHAnsi"/>
        </w:rPr>
        <w:t>us</w:t>
      </w:r>
      <w:r w:rsidR="00513D16" w:rsidRPr="00631676">
        <w:rPr>
          <w:rFonts w:cstheme="minorHAnsi"/>
        </w:rPr>
        <w:t>e</w:t>
      </w:r>
      <w:r w:rsidR="004410F5" w:rsidRPr="00631676">
        <w:rPr>
          <w:rFonts w:cstheme="minorHAnsi"/>
        </w:rPr>
        <w:t>, where defendant left Skidmore</w:t>
      </w:r>
      <w:r w:rsidR="00513D16" w:rsidRPr="00631676">
        <w:rPr>
          <w:rFonts w:cstheme="minorHAnsi"/>
        </w:rPr>
        <w:t xml:space="preserve">.  </w:t>
      </w:r>
    </w:p>
    <w:p w14:paraId="19CC09BD" w14:textId="77777777" w:rsidR="00667FB1" w:rsidRPr="00E74B8B" w:rsidRDefault="00667FB1" w:rsidP="00E74B8B">
      <w:pPr>
        <w:pStyle w:val="Heading3"/>
        <w:rPr>
          <w:rFonts w:cstheme="minorHAnsi"/>
          <w:b/>
          <w:i w:val="0"/>
        </w:rPr>
      </w:pPr>
      <w:r w:rsidRPr="00E74B8B">
        <w:rPr>
          <w:rFonts w:cstheme="minorHAnsi"/>
        </w:rPr>
        <w:lastRenderedPageBreak/>
        <w:tab/>
      </w:r>
      <w:r w:rsidR="0015789A" w:rsidRPr="00E74B8B">
        <w:rPr>
          <w:rFonts w:cstheme="minorHAnsi"/>
        </w:rPr>
        <w:tab/>
      </w:r>
      <w:bookmarkStart w:id="10" w:name="_Toc12993749"/>
      <w:r w:rsidR="0015789A" w:rsidRPr="00E74B8B">
        <w:rPr>
          <w:rFonts w:cstheme="minorHAnsi"/>
        </w:rPr>
        <w:t>3</w:t>
      </w:r>
      <w:r w:rsidRPr="00E74B8B">
        <w:rPr>
          <w:rFonts w:cstheme="minorHAnsi"/>
        </w:rPr>
        <w:t>.</w:t>
      </w:r>
      <w:r w:rsidRPr="00E74B8B">
        <w:rPr>
          <w:rFonts w:cstheme="minorHAnsi"/>
        </w:rPr>
        <w:tab/>
        <w:t>August 7, 2000</w:t>
      </w:r>
      <w:bookmarkEnd w:id="10"/>
    </w:p>
    <w:p w14:paraId="439E5EB2" w14:textId="22BDD963" w:rsidR="00A943F5" w:rsidRPr="00E74B8B" w:rsidRDefault="00A943F5" w:rsidP="00E74B8B">
      <w:pPr>
        <w:pStyle w:val="Heading4"/>
        <w:rPr>
          <w:rFonts w:cstheme="minorHAnsi"/>
          <w:b/>
        </w:rPr>
      </w:pPr>
      <w:r w:rsidRPr="00E74B8B">
        <w:rPr>
          <w:rFonts w:cstheme="minorHAnsi"/>
        </w:rPr>
        <w:tab/>
      </w:r>
      <w:r w:rsidRPr="00E74B8B">
        <w:rPr>
          <w:rFonts w:cstheme="minorHAnsi"/>
        </w:rPr>
        <w:tab/>
      </w:r>
      <w:r w:rsidR="0015789A" w:rsidRPr="00E74B8B">
        <w:rPr>
          <w:rFonts w:cstheme="minorHAnsi"/>
        </w:rPr>
        <w:tab/>
        <w:t>a</w:t>
      </w:r>
      <w:r w:rsidRPr="00E74B8B">
        <w:rPr>
          <w:rFonts w:cstheme="minorHAnsi"/>
        </w:rPr>
        <w:t>.</w:t>
      </w:r>
      <w:r w:rsidRPr="00E74B8B">
        <w:rPr>
          <w:rFonts w:cstheme="minorHAnsi"/>
        </w:rPr>
        <w:tab/>
        <w:t xml:space="preserve">Nick Spends the Day in Santa </w:t>
      </w:r>
      <w:r w:rsidR="005D23E0">
        <w:rPr>
          <w:rFonts w:cstheme="minorHAnsi"/>
        </w:rPr>
        <w:br/>
        <w:t xml:space="preserve">                    </w:t>
      </w:r>
      <w:r w:rsidRPr="00E74B8B">
        <w:rPr>
          <w:rFonts w:cstheme="minorHAnsi"/>
        </w:rPr>
        <w:t>Barbara</w:t>
      </w:r>
    </w:p>
    <w:p w14:paraId="2DA3A4A3" w14:textId="0BF748CB" w:rsidR="0010480C" w:rsidRPr="00631676" w:rsidRDefault="00892A2A" w:rsidP="00E74B8B">
      <w:pPr>
        <w:rPr>
          <w:rFonts w:cstheme="minorHAnsi"/>
        </w:rPr>
      </w:pPr>
      <w:r w:rsidRPr="00631676">
        <w:rPr>
          <w:rFonts w:cstheme="minorHAnsi"/>
        </w:rPr>
        <w:tab/>
      </w:r>
      <w:r w:rsidR="00E64483" w:rsidRPr="00631676">
        <w:rPr>
          <w:rFonts w:cstheme="minorHAnsi"/>
        </w:rPr>
        <w:t>On the morning of August 7, Natasha Adams</w:t>
      </w:r>
      <w:r w:rsidR="004C4E14" w:rsidRPr="00631676">
        <w:rPr>
          <w:rFonts w:cstheme="minorHAnsi"/>
        </w:rPr>
        <w:t>-Young</w:t>
      </w:r>
      <w:r w:rsidR="00E64483" w:rsidRPr="00631676">
        <w:rPr>
          <w:rFonts w:cstheme="minorHAnsi"/>
        </w:rPr>
        <w:t>, then age 17, met Nick at Rugge’s house</w:t>
      </w:r>
      <w:r w:rsidR="00067E7B" w:rsidRPr="00631676">
        <w:rPr>
          <w:rFonts w:cstheme="minorHAnsi"/>
        </w:rPr>
        <w:t xml:space="preserve"> in Santa Barbara</w:t>
      </w:r>
      <w:r w:rsidR="00E64483" w:rsidRPr="00631676">
        <w:rPr>
          <w:rFonts w:cstheme="minorHAnsi"/>
        </w:rPr>
        <w:t xml:space="preserve">.  </w:t>
      </w:r>
      <w:r w:rsidR="00D138C2" w:rsidRPr="00631676">
        <w:rPr>
          <w:rFonts w:cstheme="minorHAnsi"/>
        </w:rPr>
        <w:t>Adams</w:t>
      </w:r>
      <w:r w:rsidR="004C4E14" w:rsidRPr="00631676">
        <w:rPr>
          <w:rFonts w:cstheme="minorHAnsi"/>
        </w:rPr>
        <w:t>-Young</w:t>
      </w:r>
      <w:r w:rsidR="00113C78" w:rsidRPr="00631676">
        <w:rPr>
          <w:rFonts w:cstheme="minorHAnsi"/>
        </w:rPr>
        <w:t xml:space="preserve"> had been</w:t>
      </w:r>
      <w:r w:rsidR="00D138C2" w:rsidRPr="00631676">
        <w:rPr>
          <w:rFonts w:cstheme="minorHAnsi"/>
        </w:rPr>
        <w:t xml:space="preserve"> spen</w:t>
      </w:r>
      <w:r w:rsidR="00113C78" w:rsidRPr="00631676">
        <w:rPr>
          <w:rFonts w:cstheme="minorHAnsi"/>
        </w:rPr>
        <w:t>ding</w:t>
      </w:r>
      <w:r w:rsidR="00D138C2" w:rsidRPr="00631676">
        <w:rPr>
          <w:rFonts w:cstheme="minorHAnsi"/>
        </w:rPr>
        <w:t xml:space="preserve"> time with Rugge </w:t>
      </w:r>
      <w:r w:rsidR="000572D7" w:rsidRPr="00631676">
        <w:rPr>
          <w:rFonts w:cstheme="minorHAnsi"/>
        </w:rPr>
        <w:t>that summer</w:t>
      </w:r>
      <w:r w:rsidR="00D138C2" w:rsidRPr="00631676">
        <w:rPr>
          <w:rFonts w:cstheme="minorHAnsi"/>
        </w:rPr>
        <w:t xml:space="preserve">.  After meeting Nick, </w:t>
      </w:r>
      <w:r w:rsidRPr="00631676">
        <w:rPr>
          <w:rFonts w:cstheme="minorHAnsi"/>
        </w:rPr>
        <w:t>Adams</w:t>
      </w:r>
      <w:r w:rsidR="004C4E14" w:rsidRPr="00631676">
        <w:rPr>
          <w:rFonts w:cstheme="minorHAnsi"/>
        </w:rPr>
        <w:t>-Young</w:t>
      </w:r>
      <w:r w:rsidR="00D138C2" w:rsidRPr="00631676">
        <w:rPr>
          <w:rFonts w:cstheme="minorHAnsi"/>
        </w:rPr>
        <w:t xml:space="preserve"> spoke with </w:t>
      </w:r>
      <w:r w:rsidR="000572D7" w:rsidRPr="00631676">
        <w:rPr>
          <w:rFonts w:cstheme="minorHAnsi"/>
        </w:rPr>
        <w:t xml:space="preserve">Pressley, a mutual friend of hers and Rugge’s.  Pressley told her </w:t>
      </w:r>
      <w:r w:rsidR="00D138C2" w:rsidRPr="00631676">
        <w:rPr>
          <w:rFonts w:cstheme="minorHAnsi"/>
        </w:rPr>
        <w:t xml:space="preserve">“that they, quote unquote, kidnapped this kid [Nick] and brought him back up here to Jesse Rugge’s house.”  </w:t>
      </w:r>
      <w:r w:rsidR="00833F06" w:rsidRPr="00631676">
        <w:rPr>
          <w:rFonts w:cstheme="minorHAnsi"/>
        </w:rPr>
        <w:t>The group then caravanned to Adams</w:t>
      </w:r>
      <w:r w:rsidR="004C4E14" w:rsidRPr="00631676">
        <w:rPr>
          <w:rFonts w:cstheme="minorHAnsi"/>
        </w:rPr>
        <w:t>-Young</w:t>
      </w:r>
      <w:r w:rsidR="00833F06" w:rsidRPr="00631676">
        <w:rPr>
          <w:rFonts w:cstheme="minorHAnsi"/>
        </w:rPr>
        <w:t xml:space="preserve">’s house.  </w:t>
      </w:r>
      <w:r w:rsidR="00F848AD" w:rsidRPr="00631676">
        <w:rPr>
          <w:rFonts w:cstheme="minorHAnsi"/>
        </w:rPr>
        <w:t>Adams</w:t>
      </w:r>
      <w:r w:rsidR="004C4E14" w:rsidRPr="00631676">
        <w:rPr>
          <w:rFonts w:cstheme="minorHAnsi"/>
        </w:rPr>
        <w:t>-Young</w:t>
      </w:r>
      <w:r w:rsidR="00F848AD" w:rsidRPr="00631676">
        <w:rPr>
          <w:rFonts w:cstheme="minorHAnsi"/>
        </w:rPr>
        <w:t>, feeling concerned for Nick’s welfare, spoke with Nick</w:t>
      </w:r>
      <w:r w:rsidR="00B702F2">
        <w:rPr>
          <w:rFonts w:cstheme="minorHAnsi"/>
        </w:rPr>
        <w:t>,</w:t>
      </w:r>
      <w:r w:rsidR="00F848AD" w:rsidRPr="00631676">
        <w:rPr>
          <w:rFonts w:cstheme="minorHAnsi"/>
        </w:rPr>
        <w:t xml:space="preserve"> and suggested he was free to leave.  Nick declined, explaining to Adams</w:t>
      </w:r>
      <w:r w:rsidR="004C4E14" w:rsidRPr="00631676">
        <w:rPr>
          <w:rFonts w:cstheme="minorHAnsi"/>
        </w:rPr>
        <w:t>-Young</w:t>
      </w:r>
      <w:r w:rsidR="00F848AD" w:rsidRPr="00631676">
        <w:rPr>
          <w:rFonts w:cstheme="minorHAnsi"/>
        </w:rPr>
        <w:t xml:space="preserve"> that he planned “to stick around” “to help out his brother and that he was fine.”  </w:t>
      </w:r>
    </w:p>
    <w:p w14:paraId="79EFD01C" w14:textId="547A64DE" w:rsidR="00AC572D" w:rsidRPr="00631676" w:rsidRDefault="0010480C" w:rsidP="00E74B8B">
      <w:pPr>
        <w:rPr>
          <w:rFonts w:cstheme="minorHAnsi"/>
        </w:rPr>
      </w:pPr>
      <w:r w:rsidRPr="00631676">
        <w:rPr>
          <w:rFonts w:cstheme="minorHAnsi"/>
        </w:rPr>
        <w:tab/>
      </w:r>
      <w:r w:rsidR="00D138C2" w:rsidRPr="00631676">
        <w:rPr>
          <w:rFonts w:cstheme="minorHAnsi"/>
        </w:rPr>
        <w:t xml:space="preserve">The group eventually returned to Rugge’s home.  </w:t>
      </w:r>
      <w:r w:rsidRPr="00631676">
        <w:rPr>
          <w:rFonts w:cstheme="minorHAnsi"/>
        </w:rPr>
        <w:t>Hollywood</w:t>
      </w:r>
      <w:r w:rsidR="0026424A" w:rsidRPr="00631676">
        <w:rPr>
          <w:rFonts w:cstheme="minorHAnsi"/>
        </w:rPr>
        <w:t xml:space="preserve"> and </w:t>
      </w:r>
      <w:r w:rsidRPr="00631676">
        <w:rPr>
          <w:rFonts w:cstheme="minorHAnsi"/>
        </w:rPr>
        <w:t>his girlfriend</w:t>
      </w:r>
      <w:r w:rsidR="00AE0047" w:rsidRPr="00631676">
        <w:rPr>
          <w:rFonts w:cstheme="minorHAnsi"/>
        </w:rPr>
        <w:t>,</w:t>
      </w:r>
      <w:r w:rsidRPr="00631676">
        <w:rPr>
          <w:rFonts w:cstheme="minorHAnsi"/>
        </w:rPr>
        <w:t xml:space="preserve"> Michele</w:t>
      </w:r>
      <w:r w:rsidR="00CC40E6" w:rsidRPr="00631676">
        <w:rPr>
          <w:rFonts w:cstheme="minorHAnsi"/>
        </w:rPr>
        <w:t xml:space="preserve"> Lasher</w:t>
      </w:r>
      <w:r w:rsidRPr="00631676">
        <w:rPr>
          <w:rFonts w:cstheme="minorHAnsi"/>
        </w:rPr>
        <w:t xml:space="preserve">, met up with the group there.  </w:t>
      </w:r>
      <w:r w:rsidR="009A24FB" w:rsidRPr="00631676">
        <w:rPr>
          <w:rFonts w:cstheme="minorHAnsi"/>
        </w:rPr>
        <w:t>Then-16-year-old Kelly Carpenter, another mutual friend of Adams-Young and Rugge</w:t>
      </w:r>
      <w:r w:rsidR="009A24FB">
        <w:rPr>
          <w:rFonts w:cstheme="minorHAnsi"/>
        </w:rPr>
        <w:t>,</w:t>
      </w:r>
      <w:r w:rsidR="009A24FB" w:rsidRPr="00631676" w:rsidDel="009A24FB">
        <w:rPr>
          <w:rFonts w:cstheme="minorHAnsi"/>
        </w:rPr>
        <w:t xml:space="preserve"> </w:t>
      </w:r>
      <w:r w:rsidR="00BC6855" w:rsidRPr="00631676">
        <w:rPr>
          <w:rFonts w:cstheme="minorHAnsi"/>
        </w:rPr>
        <w:t>had m</w:t>
      </w:r>
      <w:r w:rsidR="006638CF" w:rsidRPr="00631676">
        <w:rPr>
          <w:rFonts w:cstheme="minorHAnsi"/>
        </w:rPr>
        <w:t xml:space="preserve">et Hollywood the week before and knew that </w:t>
      </w:r>
      <w:r w:rsidR="009A24FB">
        <w:rPr>
          <w:rFonts w:cstheme="minorHAnsi"/>
        </w:rPr>
        <w:t>Hollywood</w:t>
      </w:r>
      <w:r w:rsidR="006638CF" w:rsidRPr="00631676">
        <w:rPr>
          <w:rFonts w:cstheme="minorHAnsi"/>
        </w:rPr>
        <w:t xml:space="preserve">, Rugge, and Pressley were involved with selling marijuana.  </w:t>
      </w:r>
      <w:r w:rsidRPr="00631676">
        <w:rPr>
          <w:rFonts w:cstheme="minorHAnsi"/>
        </w:rPr>
        <w:t>Adams</w:t>
      </w:r>
      <w:r w:rsidR="004C4E14" w:rsidRPr="00631676">
        <w:rPr>
          <w:rFonts w:cstheme="minorHAnsi"/>
        </w:rPr>
        <w:t>-Young</w:t>
      </w:r>
      <w:r w:rsidRPr="00631676">
        <w:rPr>
          <w:rFonts w:cstheme="minorHAnsi"/>
        </w:rPr>
        <w:t xml:space="preserve"> understood that Nick’s presence in Santa Barbara and at Rugge’s home was related to Hollywood in some fashion.  </w:t>
      </w:r>
    </w:p>
    <w:p w14:paraId="000FCCA5" w14:textId="2CFC3985" w:rsidR="0057430E" w:rsidRPr="00631676" w:rsidRDefault="00AC572D" w:rsidP="00E74B8B">
      <w:pPr>
        <w:rPr>
          <w:rFonts w:cstheme="minorHAnsi"/>
        </w:rPr>
      </w:pPr>
      <w:r w:rsidRPr="00631676">
        <w:rPr>
          <w:rFonts w:cstheme="minorHAnsi"/>
        </w:rPr>
        <w:tab/>
      </w:r>
      <w:r w:rsidR="003F30B1" w:rsidRPr="00631676">
        <w:rPr>
          <w:rFonts w:cstheme="minorHAnsi"/>
        </w:rPr>
        <w:t xml:space="preserve">At Rugge’s home, </w:t>
      </w:r>
      <w:r w:rsidR="0010480C" w:rsidRPr="00631676">
        <w:rPr>
          <w:rFonts w:cstheme="minorHAnsi"/>
        </w:rPr>
        <w:t xml:space="preserve">Nick remained in a separate bedroom talking to Rugge.  </w:t>
      </w:r>
      <w:r w:rsidR="008916A6" w:rsidRPr="00631676">
        <w:rPr>
          <w:rFonts w:cstheme="minorHAnsi"/>
        </w:rPr>
        <w:t xml:space="preserve">Carpenter overheard Hollywood speaking to his girlfriend about their plans that night and </w:t>
      </w:r>
      <w:r w:rsidR="00864873" w:rsidRPr="00631676">
        <w:rPr>
          <w:rFonts w:cstheme="minorHAnsi"/>
        </w:rPr>
        <w:t>also heard</w:t>
      </w:r>
      <w:r w:rsidR="008916A6" w:rsidRPr="00631676">
        <w:rPr>
          <w:rFonts w:cstheme="minorHAnsi"/>
        </w:rPr>
        <w:t xml:space="preserve"> Hollywood talking </w:t>
      </w:r>
      <w:r w:rsidR="00864873" w:rsidRPr="00631676">
        <w:rPr>
          <w:rFonts w:cstheme="minorHAnsi"/>
        </w:rPr>
        <w:t>to others about</w:t>
      </w:r>
      <w:r w:rsidR="008916A6" w:rsidRPr="00631676">
        <w:rPr>
          <w:rFonts w:cstheme="minorHAnsi"/>
        </w:rPr>
        <w:t xml:space="preserve"> what he </w:t>
      </w:r>
      <w:r w:rsidR="00D217DB" w:rsidRPr="00631676">
        <w:rPr>
          <w:rFonts w:cstheme="minorHAnsi"/>
        </w:rPr>
        <w:t>would</w:t>
      </w:r>
      <w:r w:rsidR="008916A6" w:rsidRPr="00631676">
        <w:rPr>
          <w:rFonts w:cstheme="minorHAnsi"/>
        </w:rPr>
        <w:t xml:space="preserve"> do with Nick.  Hollywood said he might tie Nick up, throw him in the backseat of the car, and </w:t>
      </w:r>
      <w:r w:rsidR="004B2509" w:rsidRPr="00631676">
        <w:rPr>
          <w:rFonts w:cstheme="minorHAnsi"/>
        </w:rPr>
        <w:t>then</w:t>
      </w:r>
      <w:r w:rsidR="008916A6" w:rsidRPr="00631676">
        <w:rPr>
          <w:rFonts w:cstheme="minorHAnsi"/>
        </w:rPr>
        <w:t xml:space="preserve"> get something to eat.  Although it was said in a joking manner, the comment made </w:t>
      </w:r>
      <w:r w:rsidR="00835315" w:rsidRPr="00631676">
        <w:rPr>
          <w:rFonts w:cstheme="minorHAnsi"/>
        </w:rPr>
        <w:t xml:space="preserve">Carpenter </w:t>
      </w:r>
      <w:r w:rsidR="008916A6" w:rsidRPr="00631676">
        <w:rPr>
          <w:rFonts w:cstheme="minorHAnsi"/>
        </w:rPr>
        <w:lastRenderedPageBreak/>
        <w:t xml:space="preserve">uncomfortable.  </w:t>
      </w:r>
      <w:r w:rsidR="00D566FC" w:rsidRPr="00631676">
        <w:rPr>
          <w:rFonts w:cstheme="minorHAnsi"/>
        </w:rPr>
        <w:t>Carpenter and Adams</w:t>
      </w:r>
      <w:r w:rsidR="004C4E14" w:rsidRPr="00631676">
        <w:rPr>
          <w:rFonts w:cstheme="minorHAnsi"/>
        </w:rPr>
        <w:t>-Young</w:t>
      </w:r>
      <w:r w:rsidR="00D566FC" w:rsidRPr="00631676">
        <w:rPr>
          <w:rFonts w:cstheme="minorHAnsi"/>
        </w:rPr>
        <w:t xml:space="preserve"> left Rugge’s house </w:t>
      </w:r>
      <w:r w:rsidR="00DB606D" w:rsidRPr="00631676">
        <w:rPr>
          <w:rFonts w:cstheme="minorHAnsi"/>
        </w:rPr>
        <w:t>shortly thereafter</w:t>
      </w:r>
      <w:r w:rsidR="00D566FC" w:rsidRPr="00631676">
        <w:rPr>
          <w:rFonts w:cstheme="minorHAnsi"/>
        </w:rPr>
        <w:t xml:space="preserve">.  </w:t>
      </w:r>
      <w:r w:rsidR="007E5139" w:rsidRPr="00631676">
        <w:rPr>
          <w:rFonts w:cstheme="minorHAnsi"/>
        </w:rPr>
        <w:t xml:space="preserve"> </w:t>
      </w:r>
      <w:r w:rsidR="00BC6855" w:rsidRPr="00631676">
        <w:rPr>
          <w:rFonts w:cstheme="minorHAnsi"/>
        </w:rPr>
        <w:t xml:space="preserve"> </w:t>
      </w:r>
    </w:p>
    <w:p w14:paraId="792A7CD3" w14:textId="073ED7AA" w:rsidR="00A943F5" w:rsidRPr="00E74B8B" w:rsidRDefault="00A943F5" w:rsidP="00E74B8B">
      <w:pPr>
        <w:pStyle w:val="Heading4"/>
        <w:rPr>
          <w:rFonts w:cstheme="minorHAnsi"/>
          <w:b/>
        </w:rPr>
      </w:pPr>
      <w:r w:rsidRPr="00E74B8B">
        <w:rPr>
          <w:rFonts w:cstheme="minorHAnsi"/>
        </w:rPr>
        <w:tab/>
      </w:r>
      <w:r w:rsidRPr="00E74B8B">
        <w:rPr>
          <w:rFonts w:cstheme="minorHAnsi"/>
        </w:rPr>
        <w:tab/>
      </w:r>
      <w:r w:rsidR="0015789A" w:rsidRPr="00E74B8B">
        <w:rPr>
          <w:rFonts w:cstheme="minorHAnsi"/>
        </w:rPr>
        <w:tab/>
        <w:t>b</w:t>
      </w:r>
      <w:r w:rsidRPr="00E74B8B">
        <w:rPr>
          <w:rFonts w:cstheme="minorHAnsi"/>
        </w:rPr>
        <w:t>.</w:t>
      </w:r>
      <w:r w:rsidRPr="00E74B8B">
        <w:rPr>
          <w:rFonts w:cstheme="minorHAnsi"/>
        </w:rPr>
        <w:tab/>
        <w:t xml:space="preserve">Hollywood Confesses </w:t>
      </w:r>
      <w:r w:rsidR="00A62C7A" w:rsidRPr="00E74B8B">
        <w:rPr>
          <w:rFonts w:cstheme="minorHAnsi"/>
        </w:rPr>
        <w:t>t</w:t>
      </w:r>
      <w:r w:rsidR="002A5BB2" w:rsidRPr="00E74B8B">
        <w:rPr>
          <w:rFonts w:cstheme="minorHAnsi"/>
        </w:rPr>
        <w:t>he</w:t>
      </w:r>
      <w:r w:rsidR="00A62C7A" w:rsidRPr="00E74B8B">
        <w:rPr>
          <w:rFonts w:cstheme="minorHAnsi"/>
        </w:rPr>
        <w:t xml:space="preserve"> </w:t>
      </w:r>
      <w:r w:rsidR="005D23E0">
        <w:rPr>
          <w:rFonts w:cstheme="minorHAnsi"/>
        </w:rPr>
        <w:br/>
        <w:t xml:space="preserve">                    </w:t>
      </w:r>
      <w:r w:rsidRPr="00E74B8B">
        <w:rPr>
          <w:rFonts w:cstheme="minorHAnsi"/>
        </w:rPr>
        <w:t>Kidnapping to Sheehan</w:t>
      </w:r>
    </w:p>
    <w:p w14:paraId="6E03B545" w14:textId="51569934" w:rsidR="00892A2A" w:rsidRPr="00631676" w:rsidRDefault="0051668B" w:rsidP="00E74B8B">
      <w:pPr>
        <w:rPr>
          <w:rFonts w:cstheme="minorHAnsi"/>
        </w:rPr>
      </w:pPr>
      <w:r w:rsidRPr="00631676">
        <w:rPr>
          <w:rFonts w:cstheme="minorHAnsi"/>
        </w:rPr>
        <w:tab/>
      </w:r>
      <w:r w:rsidR="00CC40E6" w:rsidRPr="00631676">
        <w:rPr>
          <w:rFonts w:cstheme="minorHAnsi"/>
        </w:rPr>
        <w:t>Sheehan testified that Hollywood and Lasher</w:t>
      </w:r>
      <w:r w:rsidRPr="00631676">
        <w:rPr>
          <w:rFonts w:cstheme="minorHAnsi"/>
        </w:rPr>
        <w:t xml:space="preserve"> </w:t>
      </w:r>
      <w:r w:rsidR="003E7556" w:rsidRPr="00631676">
        <w:rPr>
          <w:rFonts w:cstheme="minorHAnsi"/>
        </w:rPr>
        <w:t>socialized at Sheehan’s apartment</w:t>
      </w:r>
      <w:r w:rsidR="00C33491" w:rsidRPr="00631676">
        <w:rPr>
          <w:rFonts w:cstheme="minorHAnsi"/>
        </w:rPr>
        <w:t xml:space="preserve"> later on the night of</w:t>
      </w:r>
      <w:r w:rsidRPr="00631676">
        <w:rPr>
          <w:rFonts w:cstheme="minorHAnsi"/>
        </w:rPr>
        <w:t xml:space="preserve"> August 7</w:t>
      </w:r>
      <w:r w:rsidR="00CC40E6" w:rsidRPr="00631676">
        <w:rPr>
          <w:rFonts w:cstheme="minorHAnsi"/>
        </w:rPr>
        <w:t xml:space="preserve">, </w:t>
      </w:r>
      <w:r w:rsidR="00835315" w:rsidRPr="00631676">
        <w:rPr>
          <w:rFonts w:cstheme="minorHAnsi"/>
        </w:rPr>
        <w:t>drinking</w:t>
      </w:r>
      <w:r w:rsidR="00CC40E6" w:rsidRPr="00631676">
        <w:rPr>
          <w:rFonts w:cstheme="minorHAnsi"/>
        </w:rPr>
        <w:t xml:space="preserve"> alcohol and smok</w:t>
      </w:r>
      <w:r w:rsidR="00835315" w:rsidRPr="00631676">
        <w:rPr>
          <w:rFonts w:cstheme="minorHAnsi"/>
        </w:rPr>
        <w:t>ing</w:t>
      </w:r>
      <w:r w:rsidR="00CC40E6" w:rsidRPr="00631676">
        <w:rPr>
          <w:rFonts w:cstheme="minorHAnsi"/>
        </w:rPr>
        <w:t xml:space="preserve"> marijuana </w:t>
      </w:r>
      <w:r w:rsidR="00835315" w:rsidRPr="00631676">
        <w:rPr>
          <w:rFonts w:cstheme="minorHAnsi"/>
        </w:rPr>
        <w:t>with him</w:t>
      </w:r>
      <w:r w:rsidRPr="00631676">
        <w:rPr>
          <w:rFonts w:cstheme="minorHAnsi"/>
        </w:rPr>
        <w:t>.</w:t>
      </w:r>
      <w:r w:rsidR="00D649EB">
        <w:rPr>
          <w:rFonts w:cstheme="minorHAnsi"/>
        </w:rPr>
        <w:t xml:space="preserve">  </w:t>
      </w:r>
      <w:r w:rsidR="00CC40E6" w:rsidRPr="00631676">
        <w:rPr>
          <w:rFonts w:cstheme="minorHAnsi"/>
        </w:rPr>
        <w:t>Sheehan conceded he was “probably” “pretty wasted” and d</w:t>
      </w:r>
      <w:r w:rsidR="00BE560E" w:rsidRPr="00631676">
        <w:rPr>
          <w:rFonts w:cstheme="minorHAnsi"/>
        </w:rPr>
        <w:t>id</w:t>
      </w:r>
      <w:r w:rsidR="00CC40E6" w:rsidRPr="00631676">
        <w:rPr>
          <w:rFonts w:cstheme="minorHAnsi"/>
        </w:rPr>
        <w:t xml:space="preserve"> not recall whether Hollywood and Lasher spent the night</w:t>
      </w:r>
      <w:r w:rsidR="00714134" w:rsidRPr="00631676">
        <w:rPr>
          <w:rFonts w:cstheme="minorHAnsi"/>
        </w:rPr>
        <w:t xml:space="preserve">.  </w:t>
      </w:r>
      <w:r w:rsidR="002E753B" w:rsidRPr="00631676">
        <w:rPr>
          <w:rFonts w:cstheme="minorHAnsi"/>
        </w:rPr>
        <w:t xml:space="preserve">Sheehan did recall </w:t>
      </w:r>
      <w:r w:rsidR="005A3DEC" w:rsidRPr="00631676">
        <w:rPr>
          <w:rFonts w:cstheme="minorHAnsi"/>
        </w:rPr>
        <w:t xml:space="preserve">Hollywood </w:t>
      </w:r>
      <w:r w:rsidR="002E753B" w:rsidRPr="00631676">
        <w:rPr>
          <w:rFonts w:cstheme="minorHAnsi"/>
        </w:rPr>
        <w:t>telling him he</w:t>
      </w:r>
      <w:r w:rsidR="005A3DEC" w:rsidRPr="00631676">
        <w:rPr>
          <w:rFonts w:cstheme="minorHAnsi"/>
        </w:rPr>
        <w:t xml:space="preserve"> had taken Nick to Santa Barbara</w:t>
      </w:r>
      <w:r w:rsidR="002E753B" w:rsidRPr="00631676">
        <w:rPr>
          <w:rFonts w:cstheme="minorHAnsi"/>
        </w:rPr>
        <w:t xml:space="preserve"> on </w:t>
      </w:r>
      <w:r w:rsidR="00E74B8B">
        <w:rPr>
          <w:rFonts w:cstheme="minorHAnsi"/>
        </w:rPr>
        <w:t>Sunday</w:t>
      </w:r>
      <w:r w:rsidR="002E753B" w:rsidRPr="00631676">
        <w:rPr>
          <w:rFonts w:cstheme="minorHAnsi"/>
        </w:rPr>
        <w:t>, August 6</w:t>
      </w:r>
      <w:r w:rsidR="00F810B8" w:rsidRPr="00631676">
        <w:rPr>
          <w:rFonts w:cstheme="minorHAnsi"/>
        </w:rPr>
        <w:t xml:space="preserve">. </w:t>
      </w:r>
      <w:r w:rsidR="002E753B" w:rsidRPr="00631676">
        <w:rPr>
          <w:rFonts w:cstheme="minorHAnsi"/>
        </w:rPr>
        <w:t xml:space="preserve"> </w:t>
      </w:r>
      <w:r w:rsidR="00F810B8" w:rsidRPr="00631676">
        <w:rPr>
          <w:rFonts w:cstheme="minorHAnsi"/>
        </w:rPr>
        <w:t xml:space="preserve">Hollywood, </w:t>
      </w:r>
      <w:r w:rsidR="005A3DEC" w:rsidRPr="00631676">
        <w:rPr>
          <w:rFonts w:cstheme="minorHAnsi"/>
        </w:rPr>
        <w:t>Rugge, Affronti, and Skidmore</w:t>
      </w:r>
      <w:r w:rsidR="00F810B8" w:rsidRPr="00631676">
        <w:rPr>
          <w:rFonts w:cstheme="minorHAnsi"/>
        </w:rPr>
        <w:t xml:space="preserve"> “pulled over” and “picked up” or “grabbed” Nick while he was walking down the street. </w:t>
      </w:r>
      <w:r w:rsidR="005A3DEC" w:rsidRPr="00631676">
        <w:rPr>
          <w:rFonts w:cstheme="minorHAnsi"/>
        </w:rPr>
        <w:t xml:space="preserve"> </w:t>
      </w:r>
      <w:r w:rsidR="00F810B8" w:rsidRPr="00631676">
        <w:rPr>
          <w:rFonts w:cstheme="minorHAnsi"/>
        </w:rPr>
        <w:t>Sheehan d</w:t>
      </w:r>
      <w:r w:rsidR="004E3D24" w:rsidRPr="00631676">
        <w:rPr>
          <w:rFonts w:cstheme="minorHAnsi"/>
        </w:rPr>
        <w:t>id</w:t>
      </w:r>
      <w:r w:rsidR="00F810B8" w:rsidRPr="00631676">
        <w:rPr>
          <w:rFonts w:cstheme="minorHAnsi"/>
        </w:rPr>
        <w:t xml:space="preserve"> not believe anyone other than those four men were involved in Nick’s capture.  </w:t>
      </w:r>
      <w:r w:rsidR="005A3DEC" w:rsidRPr="00631676">
        <w:rPr>
          <w:rFonts w:cstheme="minorHAnsi"/>
        </w:rPr>
        <w:t xml:space="preserve">Hollywood told Sheehan </w:t>
      </w:r>
      <w:r w:rsidR="00AE0047" w:rsidRPr="00631676">
        <w:rPr>
          <w:rFonts w:cstheme="minorHAnsi"/>
        </w:rPr>
        <w:t xml:space="preserve">that </w:t>
      </w:r>
      <w:r w:rsidR="005A3DEC" w:rsidRPr="00631676">
        <w:rPr>
          <w:rFonts w:cstheme="minorHAnsi"/>
        </w:rPr>
        <w:t>Nick was still staying with Rugge</w:t>
      </w:r>
      <w:r w:rsidR="00F810B8" w:rsidRPr="00631676">
        <w:rPr>
          <w:rFonts w:cstheme="minorHAnsi"/>
        </w:rPr>
        <w:t xml:space="preserve"> </w:t>
      </w:r>
      <w:r w:rsidR="0067246B" w:rsidRPr="00631676">
        <w:rPr>
          <w:rFonts w:cstheme="minorHAnsi"/>
        </w:rPr>
        <w:t xml:space="preserve">in Santa Barbara </w:t>
      </w:r>
      <w:r w:rsidR="00F810B8" w:rsidRPr="00631676">
        <w:rPr>
          <w:rFonts w:cstheme="minorHAnsi"/>
        </w:rPr>
        <w:t>on August 7</w:t>
      </w:r>
      <w:r w:rsidR="005A3DEC" w:rsidRPr="00631676">
        <w:rPr>
          <w:rFonts w:cstheme="minorHAnsi"/>
        </w:rPr>
        <w:t xml:space="preserve">.  </w:t>
      </w:r>
    </w:p>
    <w:p w14:paraId="1F4E010B" w14:textId="77777777" w:rsidR="00892A2A" w:rsidRPr="00E74B8B" w:rsidRDefault="00892A2A" w:rsidP="00E74B8B">
      <w:pPr>
        <w:pStyle w:val="Heading3"/>
        <w:rPr>
          <w:rFonts w:cstheme="minorHAnsi"/>
          <w:b/>
          <w:i w:val="0"/>
        </w:rPr>
      </w:pPr>
      <w:r w:rsidRPr="00E74B8B">
        <w:rPr>
          <w:rFonts w:cstheme="minorHAnsi"/>
        </w:rPr>
        <w:tab/>
      </w:r>
      <w:r w:rsidR="0015789A" w:rsidRPr="00E74B8B">
        <w:rPr>
          <w:rFonts w:cstheme="minorHAnsi"/>
        </w:rPr>
        <w:tab/>
      </w:r>
      <w:bookmarkStart w:id="11" w:name="_Toc12993750"/>
      <w:r w:rsidR="0015789A" w:rsidRPr="00E74B8B">
        <w:rPr>
          <w:rFonts w:cstheme="minorHAnsi"/>
        </w:rPr>
        <w:t>4</w:t>
      </w:r>
      <w:r w:rsidRPr="00E74B8B">
        <w:rPr>
          <w:rFonts w:cstheme="minorHAnsi"/>
        </w:rPr>
        <w:t>.</w:t>
      </w:r>
      <w:r w:rsidRPr="00E74B8B">
        <w:rPr>
          <w:rFonts w:cstheme="minorHAnsi"/>
        </w:rPr>
        <w:tab/>
        <w:t>August 8, 2000</w:t>
      </w:r>
      <w:bookmarkEnd w:id="11"/>
    </w:p>
    <w:p w14:paraId="0E8AC8E8" w14:textId="6A2184B4" w:rsidR="00892A2A" w:rsidRPr="00631676" w:rsidRDefault="00A943F5" w:rsidP="00E74B8B">
      <w:pPr>
        <w:rPr>
          <w:rFonts w:cstheme="minorHAnsi"/>
        </w:rPr>
      </w:pPr>
      <w:r w:rsidRPr="00631676">
        <w:rPr>
          <w:rFonts w:cstheme="minorHAnsi"/>
        </w:rPr>
        <w:tab/>
      </w:r>
      <w:r w:rsidR="00892A2A" w:rsidRPr="00631676">
        <w:rPr>
          <w:rFonts w:cstheme="minorHAnsi"/>
        </w:rPr>
        <w:t xml:space="preserve">Nick’s parents </w:t>
      </w:r>
      <w:r w:rsidR="00753C79" w:rsidRPr="00631676">
        <w:rPr>
          <w:rFonts w:cstheme="minorHAnsi"/>
        </w:rPr>
        <w:t xml:space="preserve">reported their son missing on Tuesday morning, August 8, after finally </w:t>
      </w:r>
      <w:r w:rsidRPr="00631676">
        <w:rPr>
          <w:rFonts w:cstheme="minorHAnsi"/>
        </w:rPr>
        <w:t>reach</w:t>
      </w:r>
      <w:r w:rsidR="00753C79" w:rsidRPr="00631676">
        <w:rPr>
          <w:rFonts w:cstheme="minorHAnsi"/>
        </w:rPr>
        <w:t>ing</w:t>
      </w:r>
      <w:r w:rsidRPr="00631676">
        <w:rPr>
          <w:rFonts w:cstheme="minorHAnsi"/>
        </w:rPr>
        <w:t xml:space="preserve"> Ben </w:t>
      </w:r>
      <w:r w:rsidR="00753C79" w:rsidRPr="00631676">
        <w:rPr>
          <w:rFonts w:cstheme="minorHAnsi"/>
        </w:rPr>
        <w:t>and realizing</w:t>
      </w:r>
      <w:r w:rsidRPr="00631676">
        <w:rPr>
          <w:rFonts w:cstheme="minorHAnsi"/>
        </w:rPr>
        <w:t xml:space="preserve"> Nick was not with him</w:t>
      </w:r>
      <w:r w:rsidR="005F544D" w:rsidRPr="00631676">
        <w:rPr>
          <w:rFonts w:cstheme="minorHAnsi"/>
        </w:rPr>
        <w:t xml:space="preserve">.  </w:t>
      </w:r>
    </w:p>
    <w:p w14:paraId="7D4A31D0" w14:textId="77777777" w:rsidR="00A943F5" w:rsidRPr="00E74B8B" w:rsidRDefault="00A943F5" w:rsidP="00E74B8B">
      <w:pPr>
        <w:pStyle w:val="Heading4"/>
        <w:rPr>
          <w:rFonts w:cstheme="minorHAnsi"/>
          <w:b/>
        </w:rPr>
      </w:pPr>
      <w:r w:rsidRPr="00E74B8B">
        <w:rPr>
          <w:rFonts w:cstheme="minorHAnsi"/>
        </w:rPr>
        <w:tab/>
      </w:r>
      <w:r w:rsidRPr="00E74B8B">
        <w:rPr>
          <w:rFonts w:cstheme="minorHAnsi"/>
        </w:rPr>
        <w:tab/>
      </w:r>
      <w:r w:rsidR="0015789A" w:rsidRPr="00E74B8B">
        <w:rPr>
          <w:rFonts w:cstheme="minorHAnsi"/>
        </w:rPr>
        <w:tab/>
        <w:t>a</w:t>
      </w:r>
      <w:r w:rsidRPr="00E74B8B">
        <w:rPr>
          <w:rFonts w:cstheme="minorHAnsi"/>
        </w:rPr>
        <w:t>.</w:t>
      </w:r>
      <w:r w:rsidRPr="00E74B8B">
        <w:rPr>
          <w:rFonts w:cstheme="minorHAnsi"/>
        </w:rPr>
        <w:tab/>
        <w:t>Nick’s Time in Santa Barbara</w:t>
      </w:r>
    </w:p>
    <w:p w14:paraId="3DAB8F53" w14:textId="170B2BFA" w:rsidR="00DB0381" w:rsidRDefault="00D340CB">
      <w:pPr>
        <w:rPr>
          <w:rFonts w:cstheme="minorHAnsi"/>
        </w:rPr>
      </w:pPr>
      <w:r w:rsidRPr="00631676">
        <w:rPr>
          <w:rFonts w:cstheme="minorHAnsi"/>
        </w:rPr>
        <w:tab/>
      </w:r>
      <w:r w:rsidR="0070306D" w:rsidRPr="00631676">
        <w:rPr>
          <w:rFonts w:cstheme="minorHAnsi"/>
        </w:rPr>
        <w:t>Adams</w:t>
      </w:r>
      <w:r w:rsidR="004C4E14" w:rsidRPr="00631676">
        <w:rPr>
          <w:rFonts w:cstheme="minorHAnsi"/>
        </w:rPr>
        <w:t>-Young</w:t>
      </w:r>
      <w:r w:rsidR="0070306D" w:rsidRPr="00631676">
        <w:rPr>
          <w:rFonts w:cstheme="minorHAnsi"/>
        </w:rPr>
        <w:t xml:space="preserve"> testified that </w:t>
      </w:r>
      <w:r w:rsidRPr="00631676">
        <w:rPr>
          <w:rFonts w:cstheme="minorHAnsi"/>
        </w:rPr>
        <w:t xml:space="preserve">Nick </w:t>
      </w:r>
      <w:r w:rsidR="0070306D" w:rsidRPr="00631676">
        <w:rPr>
          <w:rFonts w:cstheme="minorHAnsi"/>
        </w:rPr>
        <w:t>was still</w:t>
      </w:r>
      <w:r w:rsidRPr="00631676">
        <w:rPr>
          <w:rFonts w:cstheme="minorHAnsi"/>
        </w:rPr>
        <w:t xml:space="preserve"> at Rugge’s</w:t>
      </w:r>
      <w:r w:rsidR="00F6501C" w:rsidRPr="00631676">
        <w:rPr>
          <w:rFonts w:cstheme="minorHAnsi"/>
        </w:rPr>
        <w:t xml:space="preserve"> house</w:t>
      </w:r>
      <w:r w:rsidRPr="00631676">
        <w:rPr>
          <w:rFonts w:cstheme="minorHAnsi"/>
        </w:rPr>
        <w:t xml:space="preserve"> </w:t>
      </w:r>
      <w:r w:rsidR="00AC666C" w:rsidRPr="00631676">
        <w:rPr>
          <w:rFonts w:cstheme="minorHAnsi"/>
        </w:rPr>
        <w:t xml:space="preserve">when </w:t>
      </w:r>
      <w:r w:rsidR="0070306D" w:rsidRPr="00631676">
        <w:rPr>
          <w:rFonts w:cstheme="minorHAnsi"/>
        </w:rPr>
        <w:t xml:space="preserve">she </w:t>
      </w:r>
      <w:r w:rsidR="00AC666C" w:rsidRPr="00631676">
        <w:rPr>
          <w:rFonts w:cstheme="minorHAnsi"/>
        </w:rPr>
        <w:t>returned</w:t>
      </w:r>
      <w:r w:rsidRPr="00631676">
        <w:rPr>
          <w:rFonts w:cstheme="minorHAnsi"/>
        </w:rPr>
        <w:t xml:space="preserve"> the</w:t>
      </w:r>
      <w:r w:rsidR="0070306D" w:rsidRPr="00631676">
        <w:rPr>
          <w:rFonts w:cstheme="minorHAnsi"/>
        </w:rPr>
        <w:t>re</w:t>
      </w:r>
      <w:r w:rsidRPr="00631676">
        <w:rPr>
          <w:rFonts w:cstheme="minorHAnsi"/>
        </w:rPr>
        <w:t xml:space="preserve"> </w:t>
      </w:r>
      <w:r w:rsidR="0070306D" w:rsidRPr="00631676">
        <w:rPr>
          <w:rFonts w:cstheme="minorHAnsi"/>
        </w:rPr>
        <w:t>the morning of August 8</w:t>
      </w:r>
      <w:r w:rsidRPr="00631676">
        <w:rPr>
          <w:rFonts w:cstheme="minorHAnsi"/>
        </w:rPr>
        <w:t>.  Adams</w:t>
      </w:r>
      <w:r w:rsidR="004C4E14" w:rsidRPr="00631676">
        <w:rPr>
          <w:rFonts w:cstheme="minorHAnsi"/>
        </w:rPr>
        <w:t>-Young</w:t>
      </w:r>
      <w:r w:rsidRPr="00631676">
        <w:rPr>
          <w:rFonts w:cstheme="minorHAnsi"/>
        </w:rPr>
        <w:t xml:space="preserve"> was concerned with Nick’s continued presence in Santa Barbara</w:t>
      </w:r>
      <w:r w:rsidR="00A31F13" w:rsidRPr="00631676">
        <w:rPr>
          <w:rFonts w:cstheme="minorHAnsi"/>
        </w:rPr>
        <w:t xml:space="preserve"> when “he wasn’t supposed to be</w:t>
      </w:r>
      <w:r w:rsidRPr="00631676">
        <w:rPr>
          <w:rFonts w:cstheme="minorHAnsi"/>
        </w:rPr>
        <w:t>”</w:t>
      </w:r>
      <w:r w:rsidR="00A31F13" w:rsidRPr="00631676">
        <w:rPr>
          <w:rFonts w:cstheme="minorHAnsi"/>
        </w:rPr>
        <w:t xml:space="preserve"> there</w:t>
      </w:r>
      <w:r w:rsidRPr="00631676">
        <w:rPr>
          <w:rFonts w:cstheme="minorHAnsi"/>
        </w:rPr>
        <w:t xml:space="preserve"> and</w:t>
      </w:r>
      <w:r w:rsidR="00A31F13" w:rsidRPr="00631676">
        <w:rPr>
          <w:rFonts w:cstheme="minorHAnsi"/>
        </w:rPr>
        <w:t xml:space="preserve"> </w:t>
      </w:r>
      <w:r w:rsidR="006238ED" w:rsidRPr="00631676">
        <w:rPr>
          <w:rFonts w:cstheme="minorHAnsi"/>
        </w:rPr>
        <w:t>discussed the issue</w:t>
      </w:r>
      <w:r w:rsidRPr="00631676">
        <w:rPr>
          <w:rFonts w:cstheme="minorHAnsi"/>
        </w:rPr>
        <w:t xml:space="preserve"> with Pressley and Carpenter.  Pressley told Adams</w:t>
      </w:r>
      <w:r w:rsidR="004C4E14" w:rsidRPr="00631676">
        <w:rPr>
          <w:rFonts w:cstheme="minorHAnsi"/>
        </w:rPr>
        <w:t>-Young</w:t>
      </w:r>
      <w:r w:rsidRPr="00631676">
        <w:rPr>
          <w:rFonts w:cstheme="minorHAnsi"/>
        </w:rPr>
        <w:t xml:space="preserve"> he was not sure what he planned to do “but that they weren’t going to hurt [Nick] in any way and that they were just waiting to get a call from Jesse Hollywood.”  Pressley also told Adams</w:t>
      </w:r>
      <w:r w:rsidR="004C4E14" w:rsidRPr="00631676">
        <w:rPr>
          <w:rFonts w:cstheme="minorHAnsi"/>
        </w:rPr>
        <w:t>-Young</w:t>
      </w:r>
      <w:r w:rsidRPr="00631676">
        <w:rPr>
          <w:rFonts w:cstheme="minorHAnsi"/>
        </w:rPr>
        <w:t xml:space="preserve"> that “Hollywood had called Jesse Rugge and </w:t>
      </w:r>
      <w:r w:rsidRPr="00631676">
        <w:rPr>
          <w:rFonts w:cstheme="minorHAnsi"/>
        </w:rPr>
        <w:lastRenderedPageBreak/>
        <w:t>offered him money to kill Nick Markowitz.”  Adams</w:t>
      </w:r>
      <w:r w:rsidR="004C4E14" w:rsidRPr="00631676">
        <w:rPr>
          <w:rFonts w:cstheme="minorHAnsi"/>
        </w:rPr>
        <w:t>-Young</w:t>
      </w:r>
      <w:r w:rsidRPr="00631676">
        <w:rPr>
          <w:rFonts w:cstheme="minorHAnsi"/>
        </w:rPr>
        <w:t xml:space="preserve"> recalled “being shocked and appalled,” and Pressley assured her he had no plans to kill Nick</w:t>
      </w:r>
      <w:r w:rsidR="00105531" w:rsidRPr="00631676">
        <w:rPr>
          <w:rFonts w:cstheme="minorHAnsi"/>
        </w:rPr>
        <w:t xml:space="preserve"> but also </w:t>
      </w:r>
      <w:r w:rsidRPr="00631676">
        <w:rPr>
          <w:rFonts w:cstheme="minorHAnsi"/>
        </w:rPr>
        <w:t xml:space="preserve">confessed he was not sure what should be done with </w:t>
      </w:r>
      <w:r w:rsidR="00D02B2C" w:rsidRPr="00631676">
        <w:rPr>
          <w:rFonts w:cstheme="minorHAnsi"/>
        </w:rPr>
        <w:t>Nick</w:t>
      </w:r>
      <w:r w:rsidR="00105531" w:rsidRPr="00631676">
        <w:rPr>
          <w:rFonts w:cstheme="minorHAnsi"/>
        </w:rPr>
        <w:t xml:space="preserve">.  Pressley </w:t>
      </w:r>
      <w:r w:rsidR="00DB0381">
        <w:rPr>
          <w:rFonts w:cstheme="minorHAnsi"/>
        </w:rPr>
        <w:t>believed they were all in danger.</w:t>
      </w:r>
    </w:p>
    <w:p w14:paraId="3A8165EB" w14:textId="437B3AA4" w:rsidR="00892A2A" w:rsidRPr="00631676" w:rsidRDefault="000D39FE" w:rsidP="00E74B8B">
      <w:pPr>
        <w:rPr>
          <w:rFonts w:cstheme="minorHAnsi"/>
        </w:rPr>
      </w:pPr>
      <w:r w:rsidRPr="00631676">
        <w:rPr>
          <w:rFonts w:cstheme="minorHAnsi"/>
        </w:rPr>
        <w:tab/>
      </w:r>
      <w:r w:rsidR="00F33E3B" w:rsidRPr="00631676">
        <w:rPr>
          <w:rFonts w:cstheme="minorHAnsi"/>
        </w:rPr>
        <w:t>Adams</w:t>
      </w:r>
      <w:r w:rsidR="00222CAC" w:rsidRPr="00631676">
        <w:rPr>
          <w:rFonts w:cstheme="minorHAnsi"/>
        </w:rPr>
        <w:t>-Young</w:t>
      </w:r>
      <w:r w:rsidR="00F33E3B" w:rsidRPr="00631676">
        <w:rPr>
          <w:rFonts w:cstheme="minorHAnsi"/>
        </w:rPr>
        <w:t xml:space="preserve"> returned to Rugge’s home and confronted him.  Rugge told Adams</w:t>
      </w:r>
      <w:r w:rsidR="004C4E14" w:rsidRPr="00631676">
        <w:rPr>
          <w:rFonts w:cstheme="minorHAnsi"/>
        </w:rPr>
        <w:t>-Young</w:t>
      </w:r>
      <w:r w:rsidR="00F33E3B" w:rsidRPr="00631676">
        <w:rPr>
          <w:rFonts w:cstheme="minorHAnsi"/>
        </w:rPr>
        <w:t xml:space="preserve"> he was not sure what he should do, but “knew he was going to take Nick home” </w:t>
      </w:r>
      <w:r w:rsidR="00D02B2C" w:rsidRPr="00631676">
        <w:rPr>
          <w:rFonts w:cstheme="minorHAnsi"/>
        </w:rPr>
        <w:t xml:space="preserve">and </w:t>
      </w:r>
      <w:r w:rsidR="00F33E3B" w:rsidRPr="00631676">
        <w:rPr>
          <w:rFonts w:cstheme="minorHAnsi"/>
        </w:rPr>
        <w:t xml:space="preserve">planned to provide </w:t>
      </w:r>
      <w:r w:rsidR="004D5388" w:rsidRPr="00631676">
        <w:rPr>
          <w:rFonts w:cstheme="minorHAnsi"/>
        </w:rPr>
        <w:t xml:space="preserve">him </w:t>
      </w:r>
      <w:r w:rsidR="00F33E3B" w:rsidRPr="00631676">
        <w:rPr>
          <w:rFonts w:cstheme="minorHAnsi"/>
        </w:rPr>
        <w:t xml:space="preserve">with a bus ticket, </w:t>
      </w:r>
      <w:r w:rsidR="00D02B2C" w:rsidRPr="00631676">
        <w:rPr>
          <w:rFonts w:cstheme="minorHAnsi"/>
        </w:rPr>
        <w:t xml:space="preserve">though he </w:t>
      </w:r>
      <w:r w:rsidR="00F33E3B" w:rsidRPr="00631676">
        <w:rPr>
          <w:rFonts w:cstheme="minorHAnsi"/>
        </w:rPr>
        <w:t xml:space="preserve">feared </w:t>
      </w:r>
      <w:r w:rsidR="00D02B2C" w:rsidRPr="00631676">
        <w:rPr>
          <w:rFonts w:cstheme="minorHAnsi"/>
        </w:rPr>
        <w:t xml:space="preserve">Nick </w:t>
      </w:r>
      <w:r w:rsidR="00F33E3B" w:rsidRPr="00631676">
        <w:rPr>
          <w:rFonts w:cstheme="minorHAnsi"/>
        </w:rPr>
        <w:t xml:space="preserve">would tell someone about the kidnap when he returned home.  Rugge expressed concern about going to jail.  Nick, who was present during this conversation, assured Rugge he would not tell anyone when he got home.  </w:t>
      </w:r>
    </w:p>
    <w:p w14:paraId="112FCB21" w14:textId="1ACF98CD" w:rsidR="00F33E3B" w:rsidRPr="00631676" w:rsidRDefault="00F33E3B" w:rsidP="00E74B8B">
      <w:pPr>
        <w:rPr>
          <w:rFonts w:cstheme="minorHAnsi"/>
        </w:rPr>
      </w:pPr>
      <w:r w:rsidRPr="00631676">
        <w:rPr>
          <w:rFonts w:cstheme="minorHAnsi"/>
        </w:rPr>
        <w:tab/>
        <w:t xml:space="preserve">Shortly thereafter, Rugge suggested the group go </w:t>
      </w:r>
      <w:r w:rsidR="00CE48DC" w:rsidRPr="00631676">
        <w:rPr>
          <w:rFonts w:cstheme="minorHAnsi"/>
        </w:rPr>
        <w:t xml:space="preserve">to a motel for the evening.  </w:t>
      </w:r>
      <w:r w:rsidR="00200EC4" w:rsidRPr="00631676">
        <w:rPr>
          <w:rFonts w:cstheme="minorHAnsi"/>
        </w:rPr>
        <w:t>Pressley’s mo</w:t>
      </w:r>
      <w:r w:rsidR="00AE4566" w:rsidRPr="00631676">
        <w:rPr>
          <w:rFonts w:cstheme="minorHAnsi"/>
        </w:rPr>
        <w:t>ther</w:t>
      </w:r>
      <w:r w:rsidR="00200EC4" w:rsidRPr="00631676">
        <w:rPr>
          <w:rFonts w:cstheme="minorHAnsi"/>
        </w:rPr>
        <w:t xml:space="preserve"> drove</w:t>
      </w:r>
      <w:r w:rsidR="00BD03E8" w:rsidRPr="00631676">
        <w:rPr>
          <w:rFonts w:cstheme="minorHAnsi"/>
        </w:rPr>
        <w:t xml:space="preserve"> Pressley, Carpenter, Rugge, and Nick to the</w:t>
      </w:r>
      <w:r w:rsidR="00AE4566" w:rsidRPr="00631676">
        <w:rPr>
          <w:rFonts w:cstheme="minorHAnsi"/>
        </w:rPr>
        <w:t xml:space="preserve"> Lemon Tree Inn, where the group stayed from </w:t>
      </w:r>
      <w:r w:rsidR="00630B1C" w:rsidRPr="00631676">
        <w:rPr>
          <w:rFonts w:cstheme="minorHAnsi"/>
        </w:rPr>
        <w:t xml:space="preserve">7:00 p.m. until 11:30 p.m.  </w:t>
      </w:r>
      <w:r w:rsidR="00647234" w:rsidRPr="00631676">
        <w:rPr>
          <w:rFonts w:cstheme="minorHAnsi"/>
        </w:rPr>
        <w:t xml:space="preserve">Rugge </w:t>
      </w:r>
      <w:r w:rsidR="003E7556" w:rsidRPr="00631676">
        <w:rPr>
          <w:rFonts w:cstheme="minorHAnsi"/>
        </w:rPr>
        <w:t xml:space="preserve">selected and </w:t>
      </w:r>
      <w:r w:rsidR="00647234" w:rsidRPr="00631676">
        <w:rPr>
          <w:rFonts w:cstheme="minorHAnsi"/>
        </w:rPr>
        <w:t xml:space="preserve">paid for the </w:t>
      </w:r>
      <w:r w:rsidR="003E7556" w:rsidRPr="00631676">
        <w:rPr>
          <w:rFonts w:cstheme="minorHAnsi"/>
        </w:rPr>
        <w:t>motel</w:t>
      </w:r>
      <w:r w:rsidR="00647234" w:rsidRPr="00631676">
        <w:rPr>
          <w:rFonts w:cstheme="minorHAnsi"/>
        </w:rPr>
        <w:t>.  Once there, t</w:t>
      </w:r>
      <w:r w:rsidR="0030099C" w:rsidRPr="00631676">
        <w:rPr>
          <w:rFonts w:cstheme="minorHAnsi"/>
        </w:rPr>
        <w:t xml:space="preserve">hey </w:t>
      </w:r>
      <w:r w:rsidRPr="00631676">
        <w:rPr>
          <w:rFonts w:cstheme="minorHAnsi"/>
        </w:rPr>
        <w:t>were joined by a friend, Nathan Appleton</w:t>
      </w:r>
      <w:r w:rsidR="00BD03E8" w:rsidRPr="00631676">
        <w:rPr>
          <w:rFonts w:cstheme="minorHAnsi"/>
        </w:rPr>
        <w:t>, and Adams</w:t>
      </w:r>
      <w:r w:rsidR="004C4E14" w:rsidRPr="00631676">
        <w:rPr>
          <w:rFonts w:cstheme="minorHAnsi"/>
        </w:rPr>
        <w:t>-Young</w:t>
      </w:r>
      <w:r w:rsidR="00BD03E8" w:rsidRPr="00631676">
        <w:rPr>
          <w:rFonts w:cstheme="minorHAnsi"/>
        </w:rPr>
        <w:t xml:space="preserve"> met up with the group </w:t>
      </w:r>
      <w:r w:rsidR="00323408" w:rsidRPr="00631676">
        <w:rPr>
          <w:rFonts w:cstheme="minorHAnsi"/>
        </w:rPr>
        <w:t>later</w:t>
      </w:r>
      <w:r w:rsidR="003B324D" w:rsidRPr="00631676">
        <w:rPr>
          <w:rFonts w:cstheme="minorHAnsi"/>
        </w:rPr>
        <w:t>.</w:t>
      </w:r>
      <w:r w:rsidR="00FA5D79" w:rsidRPr="00631676">
        <w:rPr>
          <w:rFonts w:cstheme="minorHAnsi"/>
        </w:rPr>
        <w:t xml:space="preserve"> </w:t>
      </w:r>
      <w:r w:rsidR="003E7556" w:rsidRPr="00631676">
        <w:rPr>
          <w:rFonts w:cstheme="minorHAnsi"/>
        </w:rPr>
        <w:t xml:space="preserve"> </w:t>
      </w:r>
      <w:r w:rsidR="00EB65F3" w:rsidRPr="00631676">
        <w:rPr>
          <w:rFonts w:cstheme="minorHAnsi"/>
        </w:rPr>
        <w:t>The mood was celebratory</w:t>
      </w:r>
      <w:r w:rsidR="00120A86" w:rsidRPr="00631676">
        <w:rPr>
          <w:rFonts w:cstheme="minorHAnsi"/>
        </w:rPr>
        <w:t>,</w:t>
      </w:r>
      <w:r w:rsidR="00EB65F3" w:rsidRPr="00631676">
        <w:rPr>
          <w:rFonts w:cstheme="minorHAnsi"/>
        </w:rPr>
        <w:t xml:space="preserve"> as Adams</w:t>
      </w:r>
      <w:r w:rsidR="00222CAC" w:rsidRPr="00631676">
        <w:rPr>
          <w:rFonts w:cstheme="minorHAnsi"/>
        </w:rPr>
        <w:t>-Young</w:t>
      </w:r>
      <w:r w:rsidR="00EB65F3" w:rsidRPr="00631676">
        <w:rPr>
          <w:rFonts w:cstheme="minorHAnsi"/>
        </w:rPr>
        <w:t xml:space="preserve"> and Carpenter believed Nick would be going home that evening.  Nick spoke happily about what he would do once he returned home.  </w:t>
      </w:r>
      <w:r w:rsidR="00323408" w:rsidRPr="00631676">
        <w:rPr>
          <w:rFonts w:cstheme="minorHAnsi"/>
        </w:rPr>
        <w:t>A</w:t>
      </w:r>
      <w:r w:rsidR="00B408FB" w:rsidRPr="00631676">
        <w:rPr>
          <w:rFonts w:cstheme="minorHAnsi"/>
        </w:rPr>
        <w:t xml:space="preserve">round </w:t>
      </w:r>
      <w:r w:rsidR="00B76038" w:rsidRPr="00631676">
        <w:rPr>
          <w:rFonts w:cstheme="minorHAnsi"/>
        </w:rPr>
        <w:t xml:space="preserve">11:00 or </w:t>
      </w:r>
      <w:r w:rsidR="00B408FB" w:rsidRPr="00631676">
        <w:rPr>
          <w:rFonts w:cstheme="minorHAnsi"/>
        </w:rPr>
        <w:t>11:30 p.m.</w:t>
      </w:r>
      <w:r w:rsidR="00AC0274" w:rsidRPr="00631676">
        <w:rPr>
          <w:rFonts w:cstheme="minorHAnsi"/>
        </w:rPr>
        <w:t>, Rugge</w:t>
      </w:r>
      <w:r w:rsidR="00B408FB" w:rsidRPr="00631676">
        <w:rPr>
          <w:rFonts w:cstheme="minorHAnsi"/>
        </w:rPr>
        <w:t xml:space="preserve"> asked Adams</w:t>
      </w:r>
      <w:r w:rsidR="00222CAC" w:rsidRPr="00631676">
        <w:rPr>
          <w:rFonts w:cstheme="minorHAnsi"/>
        </w:rPr>
        <w:t>-Young</w:t>
      </w:r>
      <w:r w:rsidR="00AC0274" w:rsidRPr="00631676">
        <w:rPr>
          <w:rFonts w:cstheme="minorHAnsi"/>
        </w:rPr>
        <w:t>, Appleton,</w:t>
      </w:r>
      <w:r w:rsidR="00B408FB" w:rsidRPr="00631676">
        <w:rPr>
          <w:rFonts w:cstheme="minorHAnsi"/>
        </w:rPr>
        <w:t xml:space="preserve"> and Carpenter to leave</w:t>
      </w:r>
      <w:r w:rsidR="00647234" w:rsidRPr="00631676">
        <w:rPr>
          <w:rFonts w:cstheme="minorHAnsi"/>
        </w:rPr>
        <w:t xml:space="preserve"> for the night</w:t>
      </w:r>
      <w:r w:rsidR="00B408FB" w:rsidRPr="00631676">
        <w:rPr>
          <w:rFonts w:cstheme="minorHAnsi"/>
        </w:rPr>
        <w:t xml:space="preserve">.  </w:t>
      </w:r>
    </w:p>
    <w:p w14:paraId="719073E6" w14:textId="0ED578A8" w:rsidR="005F6434" w:rsidRPr="00E74B8B" w:rsidRDefault="005F6434" w:rsidP="00E74B8B">
      <w:pPr>
        <w:pStyle w:val="Heading4"/>
        <w:rPr>
          <w:rFonts w:cstheme="minorHAnsi"/>
          <w:b/>
        </w:rPr>
      </w:pPr>
      <w:r w:rsidRPr="00E74B8B">
        <w:rPr>
          <w:rFonts w:cstheme="minorHAnsi"/>
        </w:rPr>
        <w:tab/>
      </w:r>
      <w:r w:rsidRPr="00E74B8B">
        <w:rPr>
          <w:rFonts w:cstheme="minorHAnsi"/>
        </w:rPr>
        <w:tab/>
      </w:r>
      <w:r w:rsidR="0015789A" w:rsidRPr="00E74B8B">
        <w:rPr>
          <w:rFonts w:cstheme="minorHAnsi"/>
        </w:rPr>
        <w:tab/>
        <w:t>b</w:t>
      </w:r>
      <w:r w:rsidRPr="00E74B8B">
        <w:rPr>
          <w:rFonts w:cstheme="minorHAnsi"/>
        </w:rPr>
        <w:t>.</w:t>
      </w:r>
      <w:r w:rsidRPr="00E74B8B">
        <w:rPr>
          <w:rFonts w:cstheme="minorHAnsi"/>
        </w:rPr>
        <w:tab/>
        <w:t>Hollywood</w:t>
      </w:r>
      <w:r w:rsidR="004900A1" w:rsidRPr="00E74B8B">
        <w:rPr>
          <w:rFonts w:cstheme="minorHAnsi"/>
        </w:rPr>
        <w:t>’s Activities</w:t>
      </w:r>
      <w:r w:rsidR="00A62C7A" w:rsidRPr="00E74B8B">
        <w:rPr>
          <w:rFonts w:cstheme="minorHAnsi"/>
        </w:rPr>
        <w:t xml:space="preserve"> </w:t>
      </w:r>
      <w:r w:rsidR="005F2886" w:rsidRPr="00E74B8B">
        <w:rPr>
          <w:rFonts w:cstheme="minorHAnsi"/>
        </w:rPr>
        <w:t xml:space="preserve">on </w:t>
      </w:r>
      <w:r w:rsidR="00A62C7A" w:rsidRPr="00E74B8B">
        <w:rPr>
          <w:rFonts w:cstheme="minorHAnsi"/>
        </w:rPr>
        <w:t xml:space="preserve">the </w:t>
      </w:r>
      <w:r w:rsidR="005D23E0">
        <w:rPr>
          <w:rFonts w:cstheme="minorHAnsi"/>
        </w:rPr>
        <w:br/>
        <w:t xml:space="preserve">                    </w:t>
      </w:r>
      <w:r w:rsidR="00A62C7A" w:rsidRPr="00E74B8B">
        <w:rPr>
          <w:rFonts w:cstheme="minorHAnsi"/>
        </w:rPr>
        <w:t>Evening of August 8, 2000</w:t>
      </w:r>
    </w:p>
    <w:p w14:paraId="4DBB2043" w14:textId="7212B1CA" w:rsidR="004900A1" w:rsidRPr="00631676" w:rsidRDefault="00A446CB" w:rsidP="00E74B8B">
      <w:pPr>
        <w:rPr>
          <w:rFonts w:cstheme="minorHAnsi"/>
        </w:rPr>
      </w:pPr>
      <w:r w:rsidRPr="00631676">
        <w:rPr>
          <w:rFonts w:cstheme="minorHAnsi"/>
        </w:rPr>
        <w:tab/>
        <w:t xml:space="preserve">On August 8, </w:t>
      </w:r>
      <w:r w:rsidR="00432D74" w:rsidRPr="00631676">
        <w:rPr>
          <w:rFonts w:cstheme="minorHAnsi"/>
        </w:rPr>
        <w:t xml:space="preserve">Hollywood </w:t>
      </w:r>
      <w:r w:rsidR="009035F4" w:rsidRPr="00631676">
        <w:rPr>
          <w:rFonts w:cstheme="minorHAnsi"/>
        </w:rPr>
        <w:t xml:space="preserve">visited </w:t>
      </w:r>
      <w:r w:rsidR="003C7DAE" w:rsidRPr="00631676">
        <w:rPr>
          <w:rFonts w:cstheme="minorHAnsi"/>
        </w:rPr>
        <w:t xml:space="preserve">the home of </w:t>
      </w:r>
      <w:r w:rsidR="00432D74" w:rsidRPr="00631676">
        <w:rPr>
          <w:rFonts w:cstheme="minorHAnsi"/>
        </w:rPr>
        <w:t xml:space="preserve">Stephen Hogg, </w:t>
      </w:r>
      <w:r w:rsidRPr="00631676">
        <w:rPr>
          <w:rFonts w:cstheme="minorHAnsi"/>
        </w:rPr>
        <w:t>a criminal defense attorney who had a professional relationship with both Hollywood and his father, J</w:t>
      </w:r>
      <w:r w:rsidR="00222CAC" w:rsidRPr="00631676">
        <w:rPr>
          <w:rFonts w:cstheme="minorHAnsi"/>
        </w:rPr>
        <w:t>ohn</w:t>
      </w:r>
      <w:r w:rsidRPr="00631676">
        <w:rPr>
          <w:rFonts w:cstheme="minorHAnsi"/>
        </w:rPr>
        <w:t xml:space="preserve">.  </w:t>
      </w:r>
      <w:r w:rsidR="00CD7D47" w:rsidRPr="00631676">
        <w:rPr>
          <w:rFonts w:cstheme="minorHAnsi"/>
        </w:rPr>
        <w:t>Hollywood</w:t>
      </w:r>
      <w:r w:rsidRPr="00631676">
        <w:rPr>
          <w:rFonts w:cstheme="minorHAnsi"/>
        </w:rPr>
        <w:t xml:space="preserve"> explained </w:t>
      </w:r>
      <w:r w:rsidR="00120A86" w:rsidRPr="00631676">
        <w:rPr>
          <w:rFonts w:cstheme="minorHAnsi"/>
        </w:rPr>
        <w:t xml:space="preserve">to </w:t>
      </w:r>
      <w:r w:rsidR="002675E2">
        <w:rPr>
          <w:rFonts w:cstheme="minorHAnsi"/>
        </w:rPr>
        <w:t>Hogg</w:t>
      </w:r>
      <w:r w:rsidR="002675E2" w:rsidRPr="00631676">
        <w:rPr>
          <w:rFonts w:cstheme="minorHAnsi"/>
        </w:rPr>
        <w:t xml:space="preserve"> </w:t>
      </w:r>
      <w:r w:rsidRPr="00631676">
        <w:rPr>
          <w:rFonts w:cstheme="minorHAnsi"/>
        </w:rPr>
        <w:t xml:space="preserve">that acquaintances had picked up </w:t>
      </w:r>
      <w:r w:rsidRPr="00631676">
        <w:rPr>
          <w:rFonts w:cstheme="minorHAnsi"/>
        </w:rPr>
        <w:lastRenderedPageBreak/>
        <w:t xml:space="preserve">the brother of the man who had </w:t>
      </w:r>
      <w:r w:rsidR="00BC382D" w:rsidRPr="00631676">
        <w:rPr>
          <w:rFonts w:cstheme="minorHAnsi"/>
        </w:rPr>
        <w:t>damaged</w:t>
      </w:r>
      <w:r w:rsidRPr="00631676">
        <w:rPr>
          <w:rFonts w:cstheme="minorHAnsi"/>
        </w:rPr>
        <w:t xml:space="preserve"> his home</w:t>
      </w:r>
      <w:r w:rsidR="00BC382D" w:rsidRPr="00631676">
        <w:rPr>
          <w:rFonts w:cstheme="minorHAnsi"/>
        </w:rPr>
        <w:t xml:space="preserve"> and had taken </w:t>
      </w:r>
      <w:r w:rsidR="003C7DAE" w:rsidRPr="00631676">
        <w:rPr>
          <w:rFonts w:cstheme="minorHAnsi"/>
        </w:rPr>
        <w:t xml:space="preserve">the brother </w:t>
      </w:r>
      <w:r w:rsidR="00BC382D" w:rsidRPr="00631676">
        <w:rPr>
          <w:rFonts w:cstheme="minorHAnsi"/>
        </w:rPr>
        <w:t>to Santa Barbara</w:t>
      </w:r>
      <w:r w:rsidRPr="00631676">
        <w:rPr>
          <w:rFonts w:cstheme="minorHAnsi"/>
        </w:rPr>
        <w:t xml:space="preserve">.  </w:t>
      </w:r>
      <w:r w:rsidR="003C7DAE" w:rsidRPr="00631676">
        <w:rPr>
          <w:rFonts w:cstheme="minorHAnsi"/>
        </w:rPr>
        <w:t>Hollywood sought Hogg’s advic</w:t>
      </w:r>
      <w:r w:rsidR="002B6A81" w:rsidRPr="00631676">
        <w:rPr>
          <w:rFonts w:cstheme="minorHAnsi"/>
        </w:rPr>
        <w:t xml:space="preserve">e.  </w:t>
      </w:r>
      <w:r w:rsidR="003C7DAE" w:rsidRPr="00631676">
        <w:rPr>
          <w:rFonts w:cstheme="minorHAnsi"/>
        </w:rPr>
        <w:t xml:space="preserve">When </w:t>
      </w:r>
      <w:r w:rsidRPr="00631676">
        <w:rPr>
          <w:rFonts w:cstheme="minorHAnsi"/>
        </w:rPr>
        <w:t>Hogg suggested Hollywood go to the police, Hollywood said he cou</w:t>
      </w:r>
      <w:r w:rsidR="00CD7D47" w:rsidRPr="00631676">
        <w:rPr>
          <w:rFonts w:cstheme="minorHAnsi"/>
        </w:rPr>
        <w:t>ld not do that.  Hogg d</w:t>
      </w:r>
      <w:r w:rsidRPr="00631676">
        <w:rPr>
          <w:rFonts w:cstheme="minorHAnsi"/>
        </w:rPr>
        <w:t xml:space="preserve">escribed </w:t>
      </w:r>
      <w:r w:rsidR="00CD7D47" w:rsidRPr="00631676">
        <w:rPr>
          <w:rFonts w:cstheme="minorHAnsi"/>
        </w:rPr>
        <w:t xml:space="preserve">to Hollywood </w:t>
      </w:r>
      <w:r w:rsidRPr="00631676">
        <w:rPr>
          <w:rFonts w:cstheme="minorHAnsi"/>
        </w:rPr>
        <w:t>the penalties for kidnap</w:t>
      </w:r>
      <w:r w:rsidR="002675E2">
        <w:rPr>
          <w:rFonts w:cstheme="minorHAnsi"/>
        </w:rPr>
        <w:t>ping</w:t>
      </w:r>
      <w:r w:rsidRPr="00631676">
        <w:rPr>
          <w:rFonts w:cstheme="minorHAnsi"/>
        </w:rPr>
        <w:t xml:space="preserve"> as eight years, or—if ransom was sought—life.  </w:t>
      </w:r>
      <w:r w:rsidR="00DE70BA" w:rsidRPr="00631676">
        <w:rPr>
          <w:rFonts w:cstheme="minorHAnsi"/>
        </w:rPr>
        <w:t xml:space="preserve">Hollywood made clear that this was something other people had done and that </w:t>
      </w:r>
      <w:r w:rsidR="004430C2" w:rsidRPr="00631676">
        <w:rPr>
          <w:rFonts w:cstheme="minorHAnsi"/>
        </w:rPr>
        <w:t xml:space="preserve">he </w:t>
      </w:r>
      <w:r w:rsidR="00DE70BA" w:rsidRPr="00631676">
        <w:rPr>
          <w:rFonts w:cstheme="minorHAnsi"/>
        </w:rPr>
        <w:t xml:space="preserve">was </w:t>
      </w:r>
      <w:r w:rsidR="003C7DAE" w:rsidRPr="00631676">
        <w:rPr>
          <w:rFonts w:cstheme="minorHAnsi"/>
        </w:rPr>
        <w:t xml:space="preserve">personally </w:t>
      </w:r>
      <w:r w:rsidR="000C27DB" w:rsidRPr="00631676">
        <w:rPr>
          <w:rFonts w:cstheme="minorHAnsi"/>
        </w:rPr>
        <w:t xml:space="preserve">uninvolved.  </w:t>
      </w:r>
      <w:r w:rsidR="00570B35" w:rsidRPr="00631676">
        <w:rPr>
          <w:rFonts w:cstheme="minorHAnsi"/>
        </w:rPr>
        <w:t>Hollywood became agitated and left Hogg’s home within five minutes of Hogg</w:t>
      </w:r>
      <w:r w:rsidR="004D5388" w:rsidRPr="00631676">
        <w:rPr>
          <w:rFonts w:cstheme="minorHAnsi"/>
        </w:rPr>
        <w:t>’s</w:t>
      </w:r>
      <w:r w:rsidR="00570B35" w:rsidRPr="00631676">
        <w:rPr>
          <w:rFonts w:cstheme="minorHAnsi"/>
        </w:rPr>
        <w:t xml:space="preserve"> explaining the potential penalties for kidnap</w:t>
      </w:r>
      <w:r w:rsidR="002675E2">
        <w:rPr>
          <w:rFonts w:cstheme="minorHAnsi"/>
        </w:rPr>
        <w:t>ping</w:t>
      </w:r>
      <w:r w:rsidR="00570B35" w:rsidRPr="00631676">
        <w:rPr>
          <w:rFonts w:cstheme="minorHAnsi"/>
        </w:rPr>
        <w:t xml:space="preserve">.  Hogg tried to page Hollywood several times after </w:t>
      </w:r>
      <w:r w:rsidR="00120A86" w:rsidRPr="00631676">
        <w:rPr>
          <w:rFonts w:cstheme="minorHAnsi"/>
        </w:rPr>
        <w:t>Hollywood</w:t>
      </w:r>
      <w:r w:rsidR="004430C2" w:rsidRPr="00631676">
        <w:rPr>
          <w:rFonts w:cstheme="minorHAnsi"/>
        </w:rPr>
        <w:t xml:space="preserve"> </w:t>
      </w:r>
      <w:r w:rsidR="00570B35" w:rsidRPr="00631676">
        <w:rPr>
          <w:rFonts w:cstheme="minorHAnsi"/>
        </w:rPr>
        <w:t xml:space="preserve">left, but </w:t>
      </w:r>
      <w:r w:rsidR="00120A86" w:rsidRPr="00631676">
        <w:rPr>
          <w:rFonts w:cstheme="minorHAnsi"/>
        </w:rPr>
        <w:t>Hollywood</w:t>
      </w:r>
      <w:r w:rsidR="004D5388" w:rsidRPr="00631676">
        <w:rPr>
          <w:rFonts w:cstheme="minorHAnsi"/>
        </w:rPr>
        <w:t xml:space="preserve"> </w:t>
      </w:r>
      <w:r w:rsidR="00120A86" w:rsidRPr="00631676">
        <w:rPr>
          <w:rFonts w:cstheme="minorHAnsi"/>
        </w:rPr>
        <w:t>did not</w:t>
      </w:r>
      <w:r w:rsidR="00570B35" w:rsidRPr="00631676">
        <w:rPr>
          <w:rFonts w:cstheme="minorHAnsi"/>
        </w:rPr>
        <w:t xml:space="preserve"> respond</w:t>
      </w:r>
      <w:r w:rsidR="00120A86" w:rsidRPr="00631676">
        <w:rPr>
          <w:rFonts w:cstheme="minorHAnsi"/>
        </w:rPr>
        <w:t>.</w:t>
      </w:r>
      <w:r w:rsidR="00570B35" w:rsidRPr="00631676">
        <w:rPr>
          <w:rFonts w:cstheme="minorHAnsi"/>
        </w:rPr>
        <w:t xml:space="preserve">  </w:t>
      </w:r>
    </w:p>
    <w:p w14:paraId="1ED17EC9" w14:textId="1EB3A2FB" w:rsidR="005769F7" w:rsidRPr="00631676" w:rsidRDefault="004900A1" w:rsidP="00E74B8B">
      <w:pPr>
        <w:rPr>
          <w:rFonts w:cstheme="minorHAnsi"/>
        </w:rPr>
      </w:pPr>
      <w:r w:rsidRPr="00631676">
        <w:rPr>
          <w:rFonts w:cstheme="minorHAnsi"/>
        </w:rPr>
        <w:tab/>
      </w:r>
      <w:r w:rsidR="005F2886" w:rsidRPr="00631676">
        <w:rPr>
          <w:rFonts w:cstheme="minorHAnsi"/>
        </w:rPr>
        <w:t>On t</w:t>
      </w:r>
      <w:r w:rsidRPr="00631676">
        <w:rPr>
          <w:rFonts w:cstheme="minorHAnsi"/>
        </w:rPr>
        <w:t>he evening of August 8, Hollywood</w:t>
      </w:r>
      <w:r w:rsidR="00A62C7A" w:rsidRPr="00631676">
        <w:rPr>
          <w:rFonts w:cstheme="minorHAnsi"/>
        </w:rPr>
        <w:t xml:space="preserve"> </w:t>
      </w:r>
      <w:r w:rsidR="00986B0C" w:rsidRPr="00631676">
        <w:rPr>
          <w:rFonts w:cstheme="minorHAnsi"/>
        </w:rPr>
        <w:t xml:space="preserve">and Lasher </w:t>
      </w:r>
      <w:r w:rsidR="00A62C7A" w:rsidRPr="00631676">
        <w:rPr>
          <w:rFonts w:cstheme="minorHAnsi"/>
        </w:rPr>
        <w:t xml:space="preserve">went to Sheehan’s </w:t>
      </w:r>
      <w:r w:rsidR="00986B0C" w:rsidRPr="00631676">
        <w:rPr>
          <w:rFonts w:cstheme="minorHAnsi"/>
        </w:rPr>
        <w:t xml:space="preserve">apartment </w:t>
      </w:r>
      <w:r w:rsidR="00A62C7A" w:rsidRPr="00631676">
        <w:rPr>
          <w:rFonts w:cstheme="minorHAnsi"/>
        </w:rPr>
        <w:t>to</w:t>
      </w:r>
      <w:r w:rsidRPr="00631676">
        <w:rPr>
          <w:rFonts w:cstheme="minorHAnsi"/>
        </w:rPr>
        <w:t xml:space="preserve"> borrow Sheehan’s car.  </w:t>
      </w:r>
      <w:r w:rsidR="002675E2">
        <w:rPr>
          <w:rFonts w:cstheme="minorHAnsi"/>
        </w:rPr>
        <w:t xml:space="preserve">Hollywood ran an errand in the car while Lasher </w:t>
      </w:r>
      <w:r w:rsidRPr="00631676">
        <w:rPr>
          <w:rFonts w:cstheme="minorHAnsi"/>
        </w:rPr>
        <w:t xml:space="preserve">stayed at </w:t>
      </w:r>
      <w:r w:rsidR="002675E2">
        <w:rPr>
          <w:rFonts w:cstheme="minorHAnsi"/>
        </w:rPr>
        <w:t xml:space="preserve">the apartment.  </w:t>
      </w:r>
      <w:r w:rsidR="00803FE4" w:rsidRPr="00631676">
        <w:rPr>
          <w:rFonts w:cstheme="minorHAnsi"/>
        </w:rPr>
        <w:t xml:space="preserve">Hollywood then returned without the car, and </w:t>
      </w:r>
      <w:r w:rsidR="002675E2">
        <w:rPr>
          <w:rFonts w:cstheme="minorHAnsi"/>
        </w:rPr>
        <w:t xml:space="preserve">all three </w:t>
      </w:r>
      <w:r w:rsidRPr="00631676">
        <w:rPr>
          <w:rFonts w:cstheme="minorHAnsi"/>
        </w:rPr>
        <w:t xml:space="preserve">went </w:t>
      </w:r>
      <w:r w:rsidR="00B5207F" w:rsidRPr="00631676">
        <w:rPr>
          <w:rFonts w:cstheme="minorHAnsi"/>
        </w:rPr>
        <w:t xml:space="preserve">out </w:t>
      </w:r>
      <w:r w:rsidRPr="00631676">
        <w:rPr>
          <w:rFonts w:cstheme="minorHAnsi"/>
        </w:rPr>
        <w:t>to dinner</w:t>
      </w:r>
      <w:r w:rsidR="00B30071" w:rsidRPr="00631676">
        <w:rPr>
          <w:rFonts w:cstheme="minorHAnsi"/>
        </w:rPr>
        <w:t xml:space="preserve"> to celebrate Lasher’s birthday</w:t>
      </w:r>
      <w:r w:rsidRPr="00631676">
        <w:rPr>
          <w:rFonts w:cstheme="minorHAnsi"/>
        </w:rPr>
        <w:t xml:space="preserve">.  </w:t>
      </w:r>
    </w:p>
    <w:p w14:paraId="4BFC31E6" w14:textId="2D77E082" w:rsidR="000D0F24" w:rsidRPr="00631676" w:rsidRDefault="000D0F24" w:rsidP="00E74B8B">
      <w:pPr>
        <w:pStyle w:val="Heading3"/>
      </w:pPr>
      <w:r w:rsidRPr="00E74B8B">
        <w:rPr>
          <w:rFonts w:cstheme="minorHAnsi"/>
        </w:rPr>
        <w:tab/>
      </w:r>
      <w:r w:rsidR="0015789A" w:rsidRPr="00E74B8B">
        <w:rPr>
          <w:rFonts w:cstheme="minorHAnsi"/>
        </w:rPr>
        <w:tab/>
      </w:r>
      <w:bookmarkStart w:id="12" w:name="_Toc12993751"/>
      <w:r w:rsidR="0015789A" w:rsidRPr="00E74B8B">
        <w:rPr>
          <w:rFonts w:cstheme="minorHAnsi"/>
        </w:rPr>
        <w:t>5</w:t>
      </w:r>
      <w:r w:rsidRPr="00E74B8B">
        <w:rPr>
          <w:rFonts w:cstheme="minorHAnsi"/>
        </w:rPr>
        <w:t>.</w:t>
      </w:r>
      <w:r w:rsidRPr="00E74B8B">
        <w:rPr>
          <w:rFonts w:cstheme="minorHAnsi"/>
        </w:rPr>
        <w:tab/>
        <w:t>August 9, 2000</w:t>
      </w:r>
      <w:r w:rsidR="00E91509" w:rsidRPr="00631676">
        <w:t>–</w:t>
      </w:r>
      <w:r w:rsidR="00762FC7" w:rsidRPr="00E74B8B">
        <w:rPr>
          <w:rFonts w:cstheme="minorHAnsi"/>
        </w:rPr>
        <w:t>August 1</w:t>
      </w:r>
      <w:r w:rsidR="00B51B7E" w:rsidRPr="00E74B8B">
        <w:rPr>
          <w:rFonts w:cstheme="minorHAnsi"/>
        </w:rPr>
        <w:t>7</w:t>
      </w:r>
      <w:r w:rsidR="00762FC7" w:rsidRPr="00E74B8B">
        <w:rPr>
          <w:rFonts w:cstheme="minorHAnsi"/>
        </w:rPr>
        <w:t>, 2000</w:t>
      </w:r>
      <w:bookmarkEnd w:id="12"/>
    </w:p>
    <w:p w14:paraId="251327B0" w14:textId="09C957F5" w:rsidR="00004615" w:rsidRPr="00E74B8B" w:rsidRDefault="00004615" w:rsidP="00E74B8B">
      <w:pPr>
        <w:pStyle w:val="Heading4"/>
        <w:rPr>
          <w:rFonts w:cstheme="minorHAnsi"/>
          <w:b/>
        </w:rPr>
      </w:pPr>
      <w:r w:rsidRPr="00E74B8B">
        <w:rPr>
          <w:rFonts w:cstheme="minorHAnsi"/>
        </w:rPr>
        <w:tab/>
      </w:r>
      <w:r w:rsidRPr="00E74B8B">
        <w:rPr>
          <w:rFonts w:cstheme="minorHAnsi"/>
        </w:rPr>
        <w:tab/>
      </w:r>
      <w:r w:rsidR="0015789A" w:rsidRPr="00E74B8B">
        <w:rPr>
          <w:rFonts w:cstheme="minorHAnsi"/>
        </w:rPr>
        <w:tab/>
      </w:r>
      <w:r w:rsidR="002675E2">
        <w:rPr>
          <w:rFonts w:cstheme="minorHAnsi"/>
        </w:rPr>
        <w:t>a</w:t>
      </w:r>
      <w:r w:rsidRPr="00E74B8B">
        <w:rPr>
          <w:rFonts w:cstheme="minorHAnsi"/>
        </w:rPr>
        <w:t>.</w:t>
      </w:r>
      <w:r w:rsidRPr="00E74B8B">
        <w:rPr>
          <w:rFonts w:cstheme="minorHAnsi"/>
        </w:rPr>
        <w:tab/>
        <w:t xml:space="preserve">Hollywood’s Father </w:t>
      </w:r>
      <w:r w:rsidR="006A0C10" w:rsidRPr="00E74B8B">
        <w:rPr>
          <w:rFonts w:cstheme="minorHAnsi"/>
        </w:rPr>
        <w:t>Rushes</w:t>
      </w:r>
      <w:r w:rsidRPr="00E74B8B">
        <w:rPr>
          <w:rFonts w:cstheme="minorHAnsi"/>
        </w:rPr>
        <w:t xml:space="preserve"> Home</w:t>
      </w:r>
      <w:r w:rsidR="006A0C10" w:rsidRPr="00E74B8B">
        <w:rPr>
          <w:rFonts w:cstheme="minorHAnsi"/>
        </w:rPr>
        <w:t xml:space="preserve"> </w:t>
      </w:r>
    </w:p>
    <w:p w14:paraId="6AE64A53" w14:textId="1374CE4B" w:rsidR="00004615" w:rsidRPr="00631676" w:rsidRDefault="00004615" w:rsidP="00E74B8B">
      <w:pPr>
        <w:rPr>
          <w:rFonts w:cstheme="minorHAnsi"/>
        </w:rPr>
      </w:pPr>
      <w:r w:rsidRPr="00631676">
        <w:rPr>
          <w:rFonts w:cstheme="minorHAnsi"/>
        </w:rPr>
        <w:tab/>
        <w:t>Hollywood’s father, J</w:t>
      </w:r>
      <w:r w:rsidR="00222CAC" w:rsidRPr="00631676">
        <w:rPr>
          <w:rFonts w:cstheme="minorHAnsi"/>
        </w:rPr>
        <w:t>ohn</w:t>
      </w:r>
      <w:r w:rsidRPr="00631676">
        <w:rPr>
          <w:rFonts w:cstheme="minorHAnsi"/>
        </w:rPr>
        <w:t xml:space="preserve">, </w:t>
      </w:r>
      <w:r w:rsidR="00EE5D5E" w:rsidRPr="00631676">
        <w:rPr>
          <w:rFonts w:cstheme="minorHAnsi"/>
        </w:rPr>
        <w:t xml:space="preserve">testified that </w:t>
      </w:r>
      <w:r w:rsidR="004054D0" w:rsidRPr="00631676">
        <w:rPr>
          <w:rFonts w:cstheme="minorHAnsi"/>
        </w:rPr>
        <w:t xml:space="preserve">on the evening of August 8, </w:t>
      </w:r>
      <w:r w:rsidR="00EE5D5E" w:rsidRPr="00631676">
        <w:rPr>
          <w:rFonts w:cstheme="minorHAnsi"/>
        </w:rPr>
        <w:t xml:space="preserve">he </w:t>
      </w:r>
      <w:r w:rsidRPr="00631676">
        <w:rPr>
          <w:rFonts w:cstheme="minorHAnsi"/>
        </w:rPr>
        <w:t xml:space="preserve">contacted Hogg </w:t>
      </w:r>
      <w:r w:rsidR="00EE5D5E" w:rsidRPr="00631676">
        <w:rPr>
          <w:rFonts w:cstheme="minorHAnsi"/>
        </w:rPr>
        <w:t>and learned</w:t>
      </w:r>
      <w:r w:rsidRPr="00631676">
        <w:rPr>
          <w:rFonts w:cstheme="minorHAnsi"/>
        </w:rPr>
        <w:t xml:space="preserve"> that Hollywood had “a problem” or was “in trouble.”  J</w:t>
      </w:r>
      <w:r w:rsidR="00222CAC" w:rsidRPr="00631676">
        <w:rPr>
          <w:rFonts w:cstheme="minorHAnsi"/>
        </w:rPr>
        <w:t>ohn</w:t>
      </w:r>
      <w:r w:rsidR="002675E2">
        <w:rPr>
          <w:rFonts w:cstheme="minorHAnsi"/>
        </w:rPr>
        <w:t xml:space="preserve"> </w:t>
      </w:r>
      <w:r w:rsidRPr="00631676">
        <w:rPr>
          <w:rFonts w:cstheme="minorHAnsi"/>
        </w:rPr>
        <w:t xml:space="preserve">was </w:t>
      </w:r>
      <w:r w:rsidR="002675E2">
        <w:rPr>
          <w:rFonts w:cstheme="minorHAnsi"/>
        </w:rPr>
        <w:t xml:space="preserve">on vacation </w:t>
      </w:r>
      <w:r w:rsidRPr="00631676">
        <w:rPr>
          <w:rFonts w:cstheme="minorHAnsi"/>
        </w:rPr>
        <w:t xml:space="preserve">in Big Sur </w:t>
      </w:r>
      <w:r w:rsidR="00B25806" w:rsidRPr="00631676">
        <w:rPr>
          <w:rFonts w:cstheme="minorHAnsi"/>
        </w:rPr>
        <w:t xml:space="preserve">but left </w:t>
      </w:r>
      <w:r w:rsidR="00D9515E">
        <w:rPr>
          <w:rFonts w:cstheme="minorHAnsi"/>
        </w:rPr>
        <w:t xml:space="preserve">for home </w:t>
      </w:r>
      <w:r w:rsidR="00B25806" w:rsidRPr="00631676">
        <w:rPr>
          <w:rFonts w:cstheme="minorHAnsi"/>
        </w:rPr>
        <w:t xml:space="preserve">after learning his son might be in trouble. </w:t>
      </w:r>
      <w:r w:rsidRPr="00631676">
        <w:rPr>
          <w:rFonts w:cstheme="minorHAnsi"/>
        </w:rPr>
        <w:t xml:space="preserve"> J</w:t>
      </w:r>
      <w:r w:rsidR="00222CAC" w:rsidRPr="00631676">
        <w:rPr>
          <w:rFonts w:cstheme="minorHAnsi"/>
        </w:rPr>
        <w:t>ohn</w:t>
      </w:r>
      <w:r w:rsidRPr="00631676">
        <w:rPr>
          <w:rFonts w:cstheme="minorHAnsi"/>
        </w:rPr>
        <w:t xml:space="preserve"> tried </w:t>
      </w:r>
      <w:r w:rsidR="002205CD" w:rsidRPr="00631676">
        <w:rPr>
          <w:rFonts w:cstheme="minorHAnsi"/>
        </w:rPr>
        <w:t xml:space="preserve">unsuccessfully </w:t>
      </w:r>
      <w:r w:rsidRPr="00631676">
        <w:rPr>
          <w:rFonts w:cstheme="minorHAnsi"/>
        </w:rPr>
        <w:t>to reach his son nume</w:t>
      </w:r>
      <w:r w:rsidR="005F1556" w:rsidRPr="00631676">
        <w:rPr>
          <w:rFonts w:cstheme="minorHAnsi"/>
        </w:rPr>
        <w:t xml:space="preserve">rous times on his way home.  </w:t>
      </w:r>
      <w:r w:rsidRPr="00631676">
        <w:rPr>
          <w:rFonts w:cstheme="minorHAnsi"/>
        </w:rPr>
        <w:t>J</w:t>
      </w:r>
      <w:r w:rsidR="00222CAC" w:rsidRPr="00631676">
        <w:rPr>
          <w:rFonts w:cstheme="minorHAnsi"/>
        </w:rPr>
        <w:t>ohn</w:t>
      </w:r>
      <w:r w:rsidRPr="00631676">
        <w:rPr>
          <w:rFonts w:cstheme="minorHAnsi"/>
        </w:rPr>
        <w:t xml:space="preserve"> finally reached Hollywood via Lasher, and Hollywood directed him to Lasher’s home.  J</w:t>
      </w:r>
      <w:r w:rsidR="00222CAC" w:rsidRPr="00631676">
        <w:rPr>
          <w:rFonts w:cstheme="minorHAnsi"/>
        </w:rPr>
        <w:t>ohn</w:t>
      </w:r>
      <w:r w:rsidRPr="00631676">
        <w:rPr>
          <w:rFonts w:cstheme="minorHAnsi"/>
        </w:rPr>
        <w:t xml:space="preserve"> </w:t>
      </w:r>
      <w:r w:rsidR="0021077F" w:rsidRPr="00631676">
        <w:rPr>
          <w:rFonts w:cstheme="minorHAnsi"/>
        </w:rPr>
        <w:t>arrived at</w:t>
      </w:r>
      <w:r w:rsidRPr="00631676">
        <w:rPr>
          <w:rFonts w:cstheme="minorHAnsi"/>
        </w:rPr>
        <w:t xml:space="preserve"> Lasher’s </w:t>
      </w:r>
      <w:r w:rsidR="002205CD" w:rsidRPr="00631676">
        <w:rPr>
          <w:rFonts w:cstheme="minorHAnsi"/>
        </w:rPr>
        <w:t xml:space="preserve">Calabasas </w:t>
      </w:r>
      <w:r w:rsidRPr="00631676">
        <w:rPr>
          <w:rFonts w:cstheme="minorHAnsi"/>
        </w:rPr>
        <w:t>home at 2:00 a.m.</w:t>
      </w:r>
      <w:r w:rsidR="002205CD" w:rsidRPr="00631676">
        <w:rPr>
          <w:rFonts w:cstheme="minorHAnsi"/>
        </w:rPr>
        <w:t xml:space="preserve"> </w:t>
      </w:r>
      <w:r w:rsidR="00EE5D5E" w:rsidRPr="00631676">
        <w:rPr>
          <w:rFonts w:cstheme="minorHAnsi"/>
        </w:rPr>
        <w:t xml:space="preserve">on the morning of August 9 </w:t>
      </w:r>
      <w:r w:rsidR="002205CD" w:rsidRPr="00631676">
        <w:rPr>
          <w:rFonts w:cstheme="minorHAnsi"/>
        </w:rPr>
        <w:t>to find</w:t>
      </w:r>
      <w:r w:rsidR="0021077F" w:rsidRPr="00631676">
        <w:rPr>
          <w:rFonts w:cstheme="minorHAnsi"/>
        </w:rPr>
        <w:t xml:space="preserve"> his son looking</w:t>
      </w:r>
      <w:r w:rsidR="005A4F30" w:rsidRPr="00631676">
        <w:rPr>
          <w:rFonts w:cstheme="minorHAnsi"/>
        </w:rPr>
        <w:t xml:space="preserve"> “nervous and rattled.”  </w:t>
      </w:r>
      <w:r w:rsidR="009F2355" w:rsidRPr="00631676">
        <w:rPr>
          <w:rFonts w:cstheme="minorHAnsi"/>
        </w:rPr>
        <w:t>J</w:t>
      </w:r>
      <w:r w:rsidR="00222CAC" w:rsidRPr="00631676">
        <w:rPr>
          <w:rFonts w:cstheme="minorHAnsi"/>
        </w:rPr>
        <w:t>ohn</w:t>
      </w:r>
      <w:r w:rsidRPr="00631676">
        <w:rPr>
          <w:rFonts w:cstheme="minorHAnsi"/>
        </w:rPr>
        <w:t xml:space="preserve"> understood that Hollywood believed his life was in some danger, that Hollywood and Ben had been in a feud for some time, and that </w:t>
      </w:r>
      <w:r w:rsidRPr="00631676">
        <w:rPr>
          <w:rFonts w:cstheme="minorHAnsi"/>
        </w:rPr>
        <w:lastRenderedPageBreak/>
        <w:t xml:space="preserve">Hollywood’s agitation was related to the kidnapping </w:t>
      </w:r>
      <w:r w:rsidR="004B0C33" w:rsidRPr="00631676">
        <w:rPr>
          <w:rFonts w:cstheme="minorHAnsi"/>
        </w:rPr>
        <w:t xml:space="preserve">of </w:t>
      </w:r>
      <w:r w:rsidRPr="00631676">
        <w:rPr>
          <w:rFonts w:cstheme="minorHAnsi"/>
        </w:rPr>
        <w:t xml:space="preserve">Ben’s younger brother.  </w:t>
      </w:r>
    </w:p>
    <w:p w14:paraId="1FBE459F" w14:textId="0FFA437F" w:rsidR="001E065D" w:rsidRPr="00E74B8B" w:rsidRDefault="001E065D" w:rsidP="00E74B8B">
      <w:pPr>
        <w:pStyle w:val="Heading4"/>
        <w:rPr>
          <w:rFonts w:cstheme="minorHAnsi"/>
          <w:b/>
        </w:rPr>
      </w:pPr>
      <w:r w:rsidRPr="00E74B8B">
        <w:rPr>
          <w:rFonts w:cstheme="minorHAnsi"/>
        </w:rPr>
        <w:tab/>
      </w:r>
      <w:r w:rsidRPr="00E74B8B">
        <w:rPr>
          <w:rFonts w:cstheme="minorHAnsi"/>
        </w:rPr>
        <w:tab/>
      </w:r>
      <w:r w:rsidR="0015789A" w:rsidRPr="00E74B8B">
        <w:rPr>
          <w:rFonts w:cstheme="minorHAnsi"/>
        </w:rPr>
        <w:tab/>
      </w:r>
      <w:r w:rsidR="002675E2">
        <w:rPr>
          <w:rFonts w:cstheme="minorHAnsi"/>
        </w:rPr>
        <w:t>b</w:t>
      </w:r>
      <w:r w:rsidRPr="00E74B8B">
        <w:rPr>
          <w:rFonts w:cstheme="minorHAnsi"/>
        </w:rPr>
        <w:t>.</w:t>
      </w:r>
      <w:r w:rsidRPr="00E74B8B">
        <w:rPr>
          <w:rFonts w:cstheme="minorHAnsi"/>
        </w:rPr>
        <w:tab/>
        <w:t xml:space="preserve">Hollywood’s Father Contacts </w:t>
      </w:r>
      <w:r w:rsidR="005D23E0">
        <w:rPr>
          <w:rFonts w:cstheme="minorHAnsi"/>
        </w:rPr>
        <w:br/>
        <w:t xml:space="preserve">                    </w:t>
      </w:r>
      <w:r w:rsidRPr="00E74B8B">
        <w:rPr>
          <w:rFonts w:cstheme="minorHAnsi"/>
        </w:rPr>
        <w:t>Defendant</w:t>
      </w:r>
    </w:p>
    <w:p w14:paraId="618194CA" w14:textId="0E36CB59" w:rsidR="00C449C5" w:rsidRPr="00631676" w:rsidRDefault="001E065D" w:rsidP="00E74B8B">
      <w:pPr>
        <w:rPr>
          <w:rFonts w:cstheme="minorHAnsi"/>
        </w:rPr>
      </w:pPr>
      <w:r w:rsidRPr="00631676">
        <w:rPr>
          <w:rFonts w:cstheme="minorHAnsi"/>
        </w:rPr>
        <w:tab/>
      </w:r>
      <w:r w:rsidR="00EE5D5E" w:rsidRPr="00631676">
        <w:rPr>
          <w:rFonts w:cstheme="minorHAnsi"/>
        </w:rPr>
        <w:t>Later that</w:t>
      </w:r>
      <w:r w:rsidRPr="00631676">
        <w:rPr>
          <w:rFonts w:cstheme="minorHAnsi"/>
        </w:rPr>
        <w:t xml:space="preserve"> day, J</w:t>
      </w:r>
      <w:r w:rsidR="00222CAC" w:rsidRPr="00631676">
        <w:rPr>
          <w:rFonts w:cstheme="minorHAnsi"/>
        </w:rPr>
        <w:t>ohn</w:t>
      </w:r>
      <w:r w:rsidRPr="00631676">
        <w:rPr>
          <w:rFonts w:cstheme="minorHAnsi"/>
        </w:rPr>
        <w:t xml:space="preserve"> paged defendant a</w:t>
      </w:r>
      <w:r w:rsidR="006154EB" w:rsidRPr="00631676">
        <w:rPr>
          <w:rFonts w:cstheme="minorHAnsi"/>
        </w:rPr>
        <w:t xml:space="preserve">nd asked to meet at a park.  </w:t>
      </w:r>
      <w:r w:rsidRPr="00631676">
        <w:rPr>
          <w:rFonts w:cstheme="minorHAnsi"/>
        </w:rPr>
        <w:t>J</w:t>
      </w:r>
      <w:r w:rsidR="00222CAC" w:rsidRPr="00631676">
        <w:rPr>
          <w:rFonts w:cstheme="minorHAnsi"/>
        </w:rPr>
        <w:t>ohn</w:t>
      </w:r>
      <w:r w:rsidRPr="00631676">
        <w:rPr>
          <w:rFonts w:cstheme="minorHAnsi"/>
        </w:rPr>
        <w:t xml:space="preserve"> asked defendant what was “ ‘going on with this situation, you know, this kid’</w:t>
      </w:r>
      <w:r w:rsidR="00E91509" w:rsidRPr="00631676">
        <w:rPr>
          <w:rFonts w:cstheme="minorHAnsi"/>
        </w:rPr>
        <w:t> </w:t>
      </w:r>
      <w:r w:rsidRPr="00631676">
        <w:rPr>
          <w:rFonts w:cstheme="minorHAnsi"/>
        </w:rPr>
        <w:t>” and suggested they go “</w:t>
      </w:r>
      <w:r w:rsidR="00E91509" w:rsidRPr="00631676">
        <w:rPr>
          <w:rFonts w:cstheme="minorHAnsi"/>
        </w:rPr>
        <w:t> </w:t>
      </w:r>
      <w:r w:rsidRPr="00631676">
        <w:rPr>
          <w:rFonts w:cstheme="minorHAnsi"/>
        </w:rPr>
        <w:t>‘find out where he is,’</w:t>
      </w:r>
      <w:r w:rsidR="00E91509" w:rsidRPr="00631676">
        <w:rPr>
          <w:rFonts w:cstheme="minorHAnsi"/>
        </w:rPr>
        <w:t> </w:t>
      </w:r>
      <w:r w:rsidRPr="00631676">
        <w:rPr>
          <w:rFonts w:cstheme="minorHAnsi"/>
        </w:rPr>
        <w:t>” “</w:t>
      </w:r>
      <w:r w:rsidR="00E91509" w:rsidRPr="00631676">
        <w:rPr>
          <w:rFonts w:cstheme="minorHAnsi"/>
        </w:rPr>
        <w:t> </w:t>
      </w:r>
      <w:r w:rsidRPr="00631676">
        <w:rPr>
          <w:rFonts w:cstheme="minorHAnsi"/>
        </w:rPr>
        <w:t>‘go get him and take him home.’</w:t>
      </w:r>
      <w:r w:rsidR="00E91509" w:rsidRPr="00631676">
        <w:rPr>
          <w:rFonts w:cstheme="minorHAnsi"/>
        </w:rPr>
        <w:t> </w:t>
      </w:r>
      <w:r w:rsidRPr="00631676">
        <w:rPr>
          <w:rFonts w:cstheme="minorHAnsi"/>
        </w:rPr>
        <w:t xml:space="preserve">”  </w:t>
      </w:r>
      <w:r w:rsidR="00F72273" w:rsidRPr="00631676">
        <w:rPr>
          <w:rFonts w:cstheme="minorHAnsi"/>
        </w:rPr>
        <w:t>D</w:t>
      </w:r>
      <w:r w:rsidRPr="00631676">
        <w:rPr>
          <w:rFonts w:cstheme="minorHAnsi"/>
        </w:rPr>
        <w:t xml:space="preserve">efendant told him </w:t>
      </w:r>
      <w:r w:rsidR="00B702F2">
        <w:rPr>
          <w:rFonts w:cstheme="minorHAnsi"/>
        </w:rPr>
        <w:t xml:space="preserve">that </w:t>
      </w:r>
      <w:r w:rsidRPr="00631676">
        <w:rPr>
          <w:rFonts w:cstheme="minorHAnsi"/>
        </w:rPr>
        <w:t>“he didn’t have control of the situation.  And he, you know he was trying to find out, but he wasn’t having any luck.”  J</w:t>
      </w:r>
      <w:r w:rsidR="00222CAC" w:rsidRPr="00631676">
        <w:rPr>
          <w:rFonts w:cstheme="minorHAnsi"/>
        </w:rPr>
        <w:t>ohn</w:t>
      </w:r>
      <w:r w:rsidRPr="00631676">
        <w:rPr>
          <w:rFonts w:cstheme="minorHAnsi"/>
        </w:rPr>
        <w:t xml:space="preserve"> told defendant that when he asked his son where Nick was and who was holding him, Hollywood had not provided those details and instead told J</w:t>
      </w:r>
      <w:r w:rsidR="00222CAC" w:rsidRPr="00631676">
        <w:rPr>
          <w:rFonts w:cstheme="minorHAnsi"/>
        </w:rPr>
        <w:t>ohn</w:t>
      </w:r>
      <w:r w:rsidRPr="00631676">
        <w:rPr>
          <w:rFonts w:cstheme="minorHAnsi"/>
        </w:rPr>
        <w:t xml:space="preserve"> to call defendant.  Defendant told J</w:t>
      </w:r>
      <w:r w:rsidR="00222CAC" w:rsidRPr="00631676">
        <w:rPr>
          <w:rFonts w:cstheme="minorHAnsi"/>
        </w:rPr>
        <w:t>ohn</w:t>
      </w:r>
      <w:r w:rsidRPr="00631676">
        <w:rPr>
          <w:rFonts w:cstheme="minorHAnsi"/>
        </w:rPr>
        <w:t xml:space="preserve"> he did not know those details either, but “would see what he could find out.”  J</w:t>
      </w:r>
      <w:r w:rsidR="00222CAC" w:rsidRPr="00631676">
        <w:rPr>
          <w:rFonts w:cstheme="minorHAnsi"/>
        </w:rPr>
        <w:t>ohn</w:t>
      </w:r>
      <w:r w:rsidRPr="00631676">
        <w:rPr>
          <w:rFonts w:cstheme="minorHAnsi"/>
        </w:rPr>
        <w:t xml:space="preserve"> and defendant agreed this was “a bad situation,” and defendant indicated </w:t>
      </w:r>
      <w:r w:rsidR="00B702F2">
        <w:rPr>
          <w:rFonts w:cstheme="minorHAnsi"/>
        </w:rPr>
        <w:t xml:space="preserve">that </w:t>
      </w:r>
      <w:r w:rsidRPr="00631676">
        <w:rPr>
          <w:rFonts w:cstheme="minorHAnsi"/>
        </w:rPr>
        <w:t xml:space="preserve">“he wasn’t involved in this thing from the start, and he was kind of irritated that he was even being dragged into it.”  </w:t>
      </w:r>
    </w:p>
    <w:p w14:paraId="4335F3C8" w14:textId="73293842" w:rsidR="00E346CA" w:rsidRPr="00E74B8B" w:rsidRDefault="0015789A" w:rsidP="00E74B8B">
      <w:pPr>
        <w:pStyle w:val="Heading4"/>
        <w:rPr>
          <w:rFonts w:cstheme="minorHAnsi"/>
          <w:b/>
        </w:rPr>
      </w:pPr>
      <w:r w:rsidRPr="00E74B8B">
        <w:rPr>
          <w:rFonts w:cstheme="minorHAnsi"/>
        </w:rPr>
        <w:tab/>
      </w:r>
      <w:r w:rsidR="00E346CA" w:rsidRPr="00E74B8B">
        <w:rPr>
          <w:rFonts w:cstheme="minorHAnsi"/>
        </w:rPr>
        <w:tab/>
      </w:r>
      <w:r w:rsidR="00E346CA" w:rsidRPr="00E74B8B">
        <w:rPr>
          <w:rFonts w:cstheme="minorHAnsi"/>
          <w:i w:val="0"/>
        </w:rPr>
        <w:tab/>
      </w:r>
      <w:r w:rsidR="002675E2">
        <w:rPr>
          <w:rFonts w:cstheme="minorHAnsi"/>
        </w:rPr>
        <w:t>c</w:t>
      </w:r>
      <w:r w:rsidR="00E346CA" w:rsidRPr="00E74B8B">
        <w:rPr>
          <w:rFonts w:cstheme="minorHAnsi"/>
        </w:rPr>
        <w:t>.</w:t>
      </w:r>
      <w:r w:rsidR="00E346CA" w:rsidRPr="00E74B8B">
        <w:rPr>
          <w:rFonts w:cstheme="minorHAnsi"/>
        </w:rPr>
        <w:tab/>
        <w:t>Sheehan</w:t>
      </w:r>
      <w:r w:rsidR="00762FC7" w:rsidRPr="00E74B8B">
        <w:rPr>
          <w:rFonts w:cstheme="minorHAnsi"/>
        </w:rPr>
        <w:t xml:space="preserve"> and Defendant Spend </w:t>
      </w:r>
      <w:r w:rsidR="005D23E0">
        <w:rPr>
          <w:rFonts w:cstheme="minorHAnsi"/>
        </w:rPr>
        <w:br/>
        <w:t xml:space="preserve">                     </w:t>
      </w:r>
      <w:r w:rsidR="00762FC7" w:rsidRPr="00E74B8B">
        <w:rPr>
          <w:rFonts w:cstheme="minorHAnsi"/>
        </w:rPr>
        <w:t>Time Together</w:t>
      </w:r>
    </w:p>
    <w:p w14:paraId="07D616CD" w14:textId="642EA9E2" w:rsidR="00FE511E" w:rsidRPr="00631676" w:rsidRDefault="00E346CA" w:rsidP="00E74B8B">
      <w:pPr>
        <w:rPr>
          <w:rFonts w:cstheme="minorHAnsi"/>
        </w:rPr>
      </w:pPr>
      <w:r w:rsidRPr="00631676">
        <w:rPr>
          <w:rFonts w:cstheme="minorHAnsi"/>
        </w:rPr>
        <w:tab/>
        <w:t xml:space="preserve">When Sheehan came home from work </w:t>
      </w:r>
      <w:r w:rsidR="00EE5D5E" w:rsidRPr="00631676">
        <w:rPr>
          <w:rFonts w:cstheme="minorHAnsi"/>
        </w:rPr>
        <w:t xml:space="preserve">on the </w:t>
      </w:r>
      <w:r w:rsidRPr="00631676">
        <w:rPr>
          <w:rFonts w:cstheme="minorHAnsi"/>
        </w:rPr>
        <w:t>afternoon</w:t>
      </w:r>
      <w:r w:rsidR="00EE5D5E" w:rsidRPr="00631676">
        <w:rPr>
          <w:rFonts w:cstheme="minorHAnsi"/>
        </w:rPr>
        <w:t xml:space="preserve"> of August 9</w:t>
      </w:r>
      <w:r w:rsidRPr="00631676">
        <w:rPr>
          <w:rFonts w:cstheme="minorHAnsi"/>
        </w:rPr>
        <w:t xml:space="preserve">, he noticed the car he </w:t>
      </w:r>
      <w:r w:rsidR="000B1D77" w:rsidRPr="00631676">
        <w:rPr>
          <w:rFonts w:cstheme="minorHAnsi"/>
        </w:rPr>
        <w:t xml:space="preserve">had </w:t>
      </w:r>
      <w:r w:rsidRPr="00631676">
        <w:rPr>
          <w:rFonts w:cstheme="minorHAnsi"/>
        </w:rPr>
        <w:t xml:space="preserve">loaned to Hollywood the day before had been returned.  That evening, Hollywood, Affronti, Skidmore, Lasher, and defendant were at Sheehan’s home.  </w:t>
      </w:r>
      <w:r w:rsidR="009035F4" w:rsidRPr="00631676">
        <w:rPr>
          <w:rFonts w:cstheme="minorHAnsi"/>
        </w:rPr>
        <w:t>D</w:t>
      </w:r>
      <w:r w:rsidRPr="00631676">
        <w:rPr>
          <w:rFonts w:cstheme="minorHAnsi"/>
        </w:rPr>
        <w:t xml:space="preserve">efendant told Sheehan that “a problem was taken care of.”  Sheehan understood this to </w:t>
      </w:r>
      <w:r w:rsidR="009F13A8" w:rsidRPr="00631676">
        <w:rPr>
          <w:rFonts w:cstheme="minorHAnsi"/>
        </w:rPr>
        <w:t>refer</w:t>
      </w:r>
      <w:r w:rsidRPr="00631676">
        <w:rPr>
          <w:rFonts w:cstheme="minorHAnsi"/>
        </w:rPr>
        <w:t xml:space="preserve"> to Nick.  When Sheehan asked defendant to elaborate, defendant </w:t>
      </w:r>
      <w:r w:rsidR="009F36AF" w:rsidRPr="00631676">
        <w:rPr>
          <w:rFonts w:cstheme="minorHAnsi"/>
        </w:rPr>
        <w:t>i</w:t>
      </w:r>
      <w:r w:rsidR="00221530" w:rsidRPr="00631676">
        <w:rPr>
          <w:rFonts w:cstheme="minorHAnsi"/>
        </w:rPr>
        <w:t>nitially said</w:t>
      </w:r>
      <w:r w:rsidR="009F36AF" w:rsidRPr="00631676">
        <w:rPr>
          <w:rFonts w:cstheme="minorHAnsi"/>
        </w:rPr>
        <w:t xml:space="preserve"> it </w:t>
      </w:r>
      <w:r w:rsidRPr="00631676">
        <w:rPr>
          <w:rFonts w:cstheme="minorHAnsi"/>
        </w:rPr>
        <w:t xml:space="preserve">was “best that [he] </w:t>
      </w:r>
      <w:r w:rsidR="009F36AF" w:rsidRPr="00631676">
        <w:rPr>
          <w:rFonts w:cstheme="minorHAnsi"/>
        </w:rPr>
        <w:t>left things unsaid</w:t>
      </w:r>
      <w:r w:rsidR="00362397" w:rsidRPr="00631676">
        <w:rPr>
          <w:rFonts w:cstheme="minorHAnsi"/>
        </w:rPr>
        <w:t>,</w:t>
      </w:r>
      <w:r w:rsidRPr="00631676">
        <w:rPr>
          <w:rFonts w:cstheme="minorHAnsi"/>
        </w:rPr>
        <w:t>”</w:t>
      </w:r>
      <w:r w:rsidR="009F36AF" w:rsidRPr="00631676">
        <w:rPr>
          <w:rFonts w:cstheme="minorHAnsi"/>
        </w:rPr>
        <w:t xml:space="preserve"> but eventually confessed </w:t>
      </w:r>
      <w:r w:rsidR="00407D9D" w:rsidRPr="00631676">
        <w:rPr>
          <w:rFonts w:cstheme="minorHAnsi"/>
        </w:rPr>
        <w:t xml:space="preserve">that </w:t>
      </w:r>
      <w:r w:rsidR="009F36AF" w:rsidRPr="00631676">
        <w:rPr>
          <w:rFonts w:cstheme="minorHAnsi"/>
        </w:rPr>
        <w:t>“Nick had been killed</w:t>
      </w:r>
      <w:r w:rsidR="00362397" w:rsidRPr="00631676">
        <w:rPr>
          <w:rFonts w:cstheme="minorHAnsi"/>
        </w:rPr>
        <w:t>.</w:t>
      </w:r>
      <w:r w:rsidR="009F36AF" w:rsidRPr="00631676">
        <w:rPr>
          <w:rFonts w:cstheme="minorHAnsi"/>
        </w:rPr>
        <w:t xml:space="preserve">” </w:t>
      </w:r>
      <w:r w:rsidRPr="00631676">
        <w:rPr>
          <w:rFonts w:cstheme="minorHAnsi"/>
        </w:rPr>
        <w:t xml:space="preserve">  </w:t>
      </w:r>
    </w:p>
    <w:p w14:paraId="3B357377" w14:textId="0EE22EDD" w:rsidR="00762FC7" w:rsidRPr="00631676" w:rsidRDefault="00FE511E" w:rsidP="00E74B8B">
      <w:pPr>
        <w:rPr>
          <w:rFonts w:cstheme="minorHAnsi"/>
        </w:rPr>
      </w:pPr>
      <w:r w:rsidRPr="00631676">
        <w:rPr>
          <w:rFonts w:cstheme="minorHAnsi"/>
        </w:rPr>
        <w:lastRenderedPageBreak/>
        <w:tab/>
        <w:t>After this conversation, Sheehan drove defendant to a store where defendant purchased shirts, pants, and shoes totaling a “couple hundred dollars</w:t>
      </w:r>
      <w:r w:rsidR="00BE53D6" w:rsidRPr="00631676">
        <w:rPr>
          <w:rFonts w:cstheme="minorHAnsi"/>
        </w:rPr>
        <w:t>,</w:t>
      </w:r>
      <w:r w:rsidRPr="00631676">
        <w:rPr>
          <w:rFonts w:cstheme="minorHAnsi"/>
        </w:rPr>
        <w:t xml:space="preserve">” </w:t>
      </w:r>
      <w:r w:rsidR="00BE53D6" w:rsidRPr="00631676">
        <w:rPr>
          <w:rFonts w:cstheme="minorHAnsi"/>
        </w:rPr>
        <w:t>paying</w:t>
      </w:r>
      <w:r w:rsidRPr="00631676">
        <w:rPr>
          <w:rFonts w:cstheme="minorHAnsi"/>
        </w:rPr>
        <w:t xml:space="preserve"> in cash.  Sheehan did not believe defendant was working at the time, and he had </w:t>
      </w:r>
      <w:r w:rsidR="00BE53D6" w:rsidRPr="00631676">
        <w:rPr>
          <w:rFonts w:cstheme="minorHAnsi"/>
        </w:rPr>
        <w:t>known</w:t>
      </w:r>
      <w:r w:rsidRPr="00631676">
        <w:rPr>
          <w:rFonts w:cstheme="minorHAnsi"/>
        </w:rPr>
        <w:t xml:space="preserve"> that defendant was in debt to Hollywood.  </w:t>
      </w:r>
      <w:r w:rsidR="003358A6" w:rsidRPr="00631676">
        <w:rPr>
          <w:rFonts w:cstheme="minorHAnsi"/>
        </w:rPr>
        <w:t>D</w:t>
      </w:r>
      <w:r w:rsidRPr="00631676">
        <w:rPr>
          <w:rFonts w:cstheme="minorHAnsi"/>
        </w:rPr>
        <w:t xml:space="preserve">efendant assured Sheehan that the debt to Hollywood “was taken care of.”  </w:t>
      </w:r>
      <w:r w:rsidR="007628D2" w:rsidRPr="00631676">
        <w:rPr>
          <w:rFonts w:cstheme="minorHAnsi"/>
        </w:rPr>
        <w:t>In fact, Hollywood had given defendant “three or four hundred bucks” the day before his birthday and told defendant</w:t>
      </w:r>
      <w:r w:rsidR="00B702F2">
        <w:rPr>
          <w:rFonts w:cstheme="minorHAnsi"/>
        </w:rPr>
        <w:t>,</w:t>
      </w:r>
      <w:r w:rsidR="007628D2" w:rsidRPr="00631676">
        <w:rPr>
          <w:rFonts w:cstheme="minorHAnsi"/>
        </w:rPr>
        <w:t xml:space="preserve"> “</w:t>
      </w:r>
      <w:r w:rsidR="00B702F2">
        <w:rPr>
          <w:rFonts w:cstheme="minorHAnsi"/>
        </w:rPr>
        <w:t>[W]e</w:t>
      </w:r>
      <w:r w:rsidR="007628D2" w:rsidRPr="00631676">
        <w:rPr>
          <w:rFonts w:cstheme="minorHAnsi"/>
        </w:rPr>
        <w:t xml:space="preserve">’re straight.  No more debt.”  </w:t>
      </w:r>
      <w:r w:rsidRPr="00631676">
        <w:rPr>
          <w:rFonts w:cstheme="minorHAnsi"/>
        </w:rPr>
        <w:t xml:space="preserve">Defendant spent the night at Sheehan’s house that evening and celebrated his </w:t>
      </w:r>
      <w:r w:rsidR="00975BCF" w:rsidRPr="00631676">
        <w:rPr>
          <w:rFonts w:cstheme="minorHAnsi"/>
        </w:rPr>
        <w:t>21st bir</w:t>
      </w:r>
      <w:r w:rsidR="00F07354" w:rsidRPr="00631676">
        <w:rPr>
          <w:rFonts w:cstheme="minorHAnsi"/>
        </w:rPr>
        <w:t xml:space="preserve">thday </w:t>
      </w:r>
      <w:r w:rsidR="00FB0A34" w:rsidRPr="00631676">
        <w:rPr>
          <w:rFonts w:cstheme="minorHAnsi"/>
        </w:rPr>
        <w:t>the next day.</w:t>
      </w:r>
      <w:r w:rsidR="00362397" w:rsidRPr="00631676">
        <w:rPr>
          <w:rFonts w:cstheme="minorHAnsi"/>
        </w:rPr>
        <w:t xml:space="preserve"> </w:t>
      </w:r>
      <w:r w:rsidR="00FB0A34" w:rsidRPr="00631676">
        <w:rPr>
          <w:rFonts w:cstheme="minorHAnsi"/>
        </w:rPr>
        <w:t xml:space="preserve"> After enjoying a party with between 20 and 30 guests at Sheehan’s home, defendant again spent the night </w:t>
      </w:r>
      <w:r w:rsidR="002205CD" w:rsidRPr="00631676">
        <w:rPr>
          <w:rFonts w:cstheme="minorHAnsi"/>
        </w:rPr>
        <w:t>there</w:t>
      </w:r>
      <w:r w:rsidR="00FB0A34" w:rsidRPr="00631676">
        <w:rPr>
          <w:rFonts w:cstheme="minorHAnsi"/>
        </w:rPr>
        <w:t xml:space="preserve">.   </w:t>
      </w:r>
    </w:p>
    <w:p w14:paraId="0C9B7087" w14:textId="755405D3" w:rsidR="00E346CA" w:rsidRPr="00631676" w:rsidRDefault="00762FC7" w:rsidP="00E74B8B">
      <w:pPr>
        <w:rPr>
          <w:rFonts w:cstheme="minorHAnsi"/>
        </w:rPr>
      </w:pPr>
      <w:r w:rsidRPr="00631676">
        <w:rPr>
          <w:rFonts w:cstheme="minorHAnsi"/>
        </w:rPr>
        <w:tab/>
        <w:t xml:space="preserve">A few days later, Sheehan and defendant again discussed Nick’s killing.  </w:t>
      </w:r>
      <w:r w:rsidR="003358A6" w:rsidRPr="00631676">
        <w:rPr>
          <w:rFonts w:cstheme="minorHAnsi"/>
        </w:rPr>
        <w:t>Defendant</w:t>
      </w:r>
      <w:r w:rsidR="00BE53D6" w:rsidRPr="00631676">
        <w:rPr>
          <w:rFonts w:cstheme="minorHAnsi"/>
        </w:rPr>
        <w:t xml:space="preserve"> </w:t>
      </w:r>
      <w:r w:rsidRPr="00631676">
        <w:rPr>
          <w:rFonts w:cstheme="minorHAnsi"/>
        </w:rPr>
        <w:t xml:space="preserve">told Sheehan they killed Nick somewhere in Santa Barbara.  Defendant described picking Nick up from a </w:t>
      </w:r>
      <w:r w:rsidR="00895E19" w:rsidRPr="00631676">
        <w:rPr>
          <w:rFonts w:cstheme="minorHAnsi"/>
        </w:rPr>
        <w:t>m</w:t>
      </w:r>
      <w:r w:rsidRPr="00631676">
        <w:rPr>
          <w:rFonts w:cstheme="minorHAnsi"/>
        </w:rPr>
        <w:t>otel and taking him to a site</w:t>
      </w:r>
      <w:r w:rsidR="006255AB" w:rsidRPr="00631676">
        <w:rPr>
          <w:rFonts w:cstheme="minorHAnsi"/>
        </w:rPr>
        <w:t xml:space="preserve"> where they “</w:t>
      </w:r>
      <w:r w:rsidRPr="00631676">
        <w:rPr>
          <w:rFonts w:cstheme="minorHAnsi"/>
        </w:rPr>
        <w:t xml:space="preserve">shot him and put him in a ditch,” and covered him with a bush.  </w:t>
      </w:r>
      <w:r w:rsidR="00D36806" w:rsidRPr="00631676">
        <w:rPr>
          <w:rFonts w:cstheme="minorHAnsi"/>
        </w:rPr>
        <w:t xml:space="preserve">Sheehan and defendant were together when defendant was arrested; Sheehan was also arrested and released that same evening.  </w:t>
      </w:r>
    </w:p>
    <w:p w14:paraId="4238ABC8" w14:textId="33706FEE" w:rsidR="0027639C" w:rsidRPr="00E74B8B" w:rsidRDefault="0015789A" w:rsidP="00E74B8B">
      <w:pPr>
        <w:pStyle w:val="Heading4"/>
        <w:rPr>
          <w:rFonts w:cstheme="minorHAnsi"/>
          <w:b/>
        </w:rPr>
      </w:pPr>
      <w:r w:rsidRPr="00E74B8B">
        <w:rPr>
          <w:rFonts w:cstheme="minorHAnsi"/>
        </w:rPr>
        <w:tab/>
      </w:r>
      <w:r w:rsidR="002F208F" w:rsidRPr="00E74B8B">
        <w:rPr>
          <w:rFonts w:cstheme="minorHAnsi"/>
        </w:rPr>
        <w:tab/>
      </w:r>
      <w:r w:rsidR="002F208F" w:rsidRPr="00E74B8B">
        <w:rPr>
          <w:rFonts w:cstheme="minorHAnsi"/>
        </w:rPr>
        <w:tab/>
      </w:r>
      <w:r w:rsidR="002675E2">
        <w:rPr>
          <w:rFonts w:cstheme="minorHAnsi"/>
        </w:rPr>
        <w:t>d</w:t>
      </w:r>
      <w:r w:rsidR="0027639C" w:rsidRPr="00E74B8B">
        <w:rPr>
          <w:rFonts w:cstheme="minorHAnsi"/>
        </w:rPr>
        <w:t>.</w:t>
      </w:r>
      <w:r w:rsidR="0027639C" w:rsidRPr="00E74B8B">
        <w:rPr>
          <w:rFonts w:cstheme="minorHAnsi"/>
        </w:rPr>
        <w:tab/>
        <w:t>Nick’s Body Is Discovered</w:t>
      </w:r>
    </w:p>
    <w:p w14:paraId="1322EF1A" w14:textId="639A51B5" w:rsidR="00F84A1D" w:rsidRPr="00631676" w:rsidRDefault="0027639C" w:rsidP="00A76E08">
      <w:pPr>
        <w:rPr>
          <w:rFonts w:cstheme="minorHAnsi"/>
        </w:rPr>
      </w:pPr>
      <w:r w:rsidRPr="00631676">
        <w:rPr>
          <w:rFonts w:cstheme="minorHAnsi"/>
        </w:rPr>
        <w:tab/>
      </w:r>
      <w:r w:rsidR="00D0699D" w:rsidRPr="00631676">
        <w:rPr>
          <w:rFonts w:cstheme="minorHAnsi"/>
        </w:rPr>
        <w:t>On August 12, 2000,</w:t>
      </w:r>
      <w:r w:rsidR="003358A6" w:rsidRPr="00631676">
        <w:rPr>
          <w:rFonts w:cstheme="minorHAnsi"/>
        </w:rPr>
        <w:t xml:space="preserve"> </w:t>
      </w:r>
      <w:r w:rsidR="00880043" w:rsidRPr="00631676">
        <w:rPr>
          <w:rFonts w:cstheme="minorHAnsi"/>
        </w:rPr>
        <w:t xml:space="preserve">a group of hikers, including witness Darla Gacek, were </w:t>
      </w:r>
      <w:r w:rsidR="0076063A">
        <w:rPr>
          <w:rFonts w:cstheme="minorHAnsi"/>
        </w:rPr>
        <w:t xml:space="preserve">hiking in the Los Padres National Forest in Santa Barbara County.  They were passing through an area known as Lizard’s Mouth, which is </w:t>
      </w:r>
      <w:r w:rsidR="00185C4C">
        <w:rPr>
          <w:rFonts w:cstheme="minorHAnsi"/>
        </w:rPr>
        <w:t xml:space="preserve">situated approximately three and </w:t>
      </w:r>
      <w:r w:rsidR="00D13066">
        <w:rPr>
          <w:rFonts w:cstheme="minorHAnsi"/>
        </w:rPr>
        <w:t>one-</w:t>
      </w:r>
      <w:r w:rsidR="00185C4C">
        <w:rPr>
          <w:rFonts w:cstheme="minorHAnsi"/>
        </w:rPr>
        <w:t xml:space="preserve">half miles from Highway 154.  The hikers </w:t>
      </w:r>
      <w:r w:rsidR="00F84A1D" w:rsidRPr="00631676">
        <w:rPr>
          <w:rFonts w:cstheme="minorHAnsi"/>
        </w:rPr>
        <w:t>heard what they thought was a swarm of bees</w:t>
      </w:r>
      <w:r w:rsidR="00185C4C">
        <w:rPr>
          <w:rFonts w:cstheme="minorHAnsi"/>
        </w:rPr>
        <w:t xml:space="preserve"> coming from a location approximately one-</w:t>
      </w:r>
      <w:r w:rsidR="00D13066">
        <w:rPr>
          <w:rFonts w:cstheme="minorHAnsi"/>
        </w:rPr>
        <w:t>quarter</w:t>
      </w:r>
      <w:r w:rsidR="00185C4C">
        <w:rPr>
          <w:rFonts w:cstheme="minorHAnsi"/>
        </w:rPr>
        <w:t xml:space="preserve"> mile beyon</w:t>
      </w:r>
      <w:r w:rsidR="0076063A">
        <w:rPr>
          <w:rFonts w:cstheme="minorHAnsi"/>
        </w:rPr>
        <w:t>d</w:t>
      </w:r>
      <w:r w:rsidR="00185C4C">
        <w:rPr>
          <w:rFonts w:cstheme="minorHAnsi"/>
        </w:rPr>
        <w:t xml:space="preserve"> the point where vehicles can go no further</w:t>
      </w:r>
      <w:r w:rsidR="00F84A1D" w:rsidRPr="00631676">
        <w:rPr>
          <w:rFonts w:cstheme="minorHAnsi"/>
        </w:rPr>
        <w:t>.  The</w:t>
      </w:r>
      <w:r w:rsidR="00387422" w:rsidRPr="00631676">
        <w:rPr>
          <w:rFonts w:cstheme="minorHAnsi"/>
        </w:rPr>
        <w:t xml:space="preserve"> group</w:t>
      </w:r>
      <w:r w:rsidR="00F84A1D" w:rsidRPr="00631676">
        <w:rPr>
          <w:rFonts w:cstheme="minorHAnsi"/>
        </w:rPr>
        <w:t xml:space="preserve"> saw brush piled high</w:t>
      </w:r>
      <w:r w:rsidR="00B702F2">
        <w:rPr>
          <w:rFonts w:cstheme="minorHAnsi"/>
        </w:rPr>
        <w:t>,</w:t>
      </w:r>
      <w:r w:rsidR="00F84A1D" w:rsidRPr="00631676">
        <w:rPr>
          <w:rFonts w:cstheme="minorHAnsi"/>
        </w:rPr>
        <w:t xml:space="preserve"> and when </w:t>
      </w:r>
      <w:r w:rsidR="00F84A1D" w:rsidRPr="00631676">
        <w:rPr>
          <w:rFonts w:cstheme="minorHAnsi"/>
        </w:rPr>
        <w:lastRenderedPageBreak/>
        <w:t>they began removing it</w:t>
      </w:r>
      <w:r w:rsidR="00B702F2">
        <w:rPr>
          <w:rFonts w:cstheme="minorHAnsi"/>
        </w:rPr>
        <w:t>,</w:t>
      </w:r>
      <w:r w:rsidR="00F84A1D" w:rsidRPr="00631676">
        <w:rPr>
          <w:rFonts w:cstheme="minorHAnsi"/>
        </w:rPr>
        <w:t xml:space="preserve"> they realized a human might be buried beneath it.  The group of hikers left the site to find a cell phone to call the police.  They encountered a group filming nearby.  </w:t>
      </w:r>
    </w:p>
    <w:p w14:paraId="3E3B6AF3" w14:textId="53E16600" w:rsidR="0027639C" w:rsidRPr="00631676" w:rsidRDefault="00F84A1D" w:rsidP="00A76E08">
      <w:pPr>
        <w:rPr>
          <w:rFonts w:cstheme="minorHAnsi"/>
        </w:rPr>
      </w:pPr>
      <w:r w:rsidRPr="00631676">
        <w:rPr>
          <w:rFonts w:cstheme="minorHAnsi"/>
        </w:rPr>
        <w:tab/>
        <w:t>Lars Wikstrom, a film video editor, had gone to the Lizard’s Mouth</w:t>
      </w:r>
      <w:r w:rsidR="00FA642E" w:rsidRPr="00631676">
        <w:rPr>
          <w:rFonts w:cstheme="minorHAnsi"/>
        </w:rPr>
        <w:t xml:space="preserve"> area that day </w:t>
      </w:r>
      <w:r w:rsidRPr="00631676">
        <w:rPr>
          <w:rFonts w:cstheme="minorHAnsi"/>
        </w:rPr>
        <w:t xml:space="preserve">to help friends film a music video.  </w:t>
      </w:r>
      <w:r w:rsidR="002F208F" w:rsidRPr="00631676">
        <w:rPr>
          <w:rFonts w:cstheme="minorHAnsi"/>
        </w:rPr>
        <w:t>While Wikstrom was filming there, a</w:t>
      </w:r>
      <w:r w:rsidR="00D332C4" w:rsidRPr="00631676">
        <w:rPr>
          <w:rFonts w:cstheme="minorHAnsi"/>
        </w:rPr>
        <w:t xml:space="preserve"> man pointed out an area to </w:t>
      </w:r>
      <w:r w:rsidR="002F208F" w:rsidRPr="00631676">
        <w:rPr>
          <w:rFonts w:cstheme="minorHAnsi"/>
        </w:rPr>
        <w:t>him</w:t>
      </w:r>
      <w:r w:rsidR="00D332C4" w:rsidRPr="00631676">
        <w:rPr>
          <w:rFonts w:cstheme="minorHAnsi"/>
        </w:rPr>
        <w:t xml:space="preserve"> about 20</w:t>
      </w:r>
      <w:r w:rsidR="002541DB" w:rsidRPr="00631676">
        <w:rPr>
          <w:rFonts w:cstheme="minorHAnsi"/>
        </w:rPr>
        <w:t xml:space="preserve"> to </w:t>
      </w:r>
      <w:r w:rsidR="00D332C4" w:rsidRPr="00631676">
        <w:rPr>
          <w:rFonts w:cstheme="minorHAnsi"/>
        </w:rPr>
        <w:t xml:space="preserve">30 yards </w:t>
      </w:r>
      <w:r w:rsidR="002F208F" w:rsidRPr="00631676">
        <w:rPr>
          <w:rFonts w:cstheme="minorHAnsi"/>
        </w:rPr>
        <w:t>away</w:t>
      </w:r>
      <w:r w:rsidR="002541DB" w:rsidRPr="00631676">
        <w:rPr>
          <w:rFonts w:cstheme="minorHAnsi"/>
        </w:rPr>
        <w:t xml:space="preserve">.  Wikstrom </w:t>
      </w:r>
      <w:r w:rsidR="00D332C4" w:rsidRPr="00631676">
        <w:rPr>
          <w:rFonts w:cstheme="minorHAnsi"/>
        </w:rPr>
        <w:t>followed the man</w:t>
      </w:r>
      <w:r w:rsidR="002541DB" w:rsidRPr="00631676">
        <w:rPr>
          <w:rFonts w:cstheme="minorHAnsi"/>
        </w:rPr>
        <w:t>,</w:t>
      </w:r>
      <w:r w:rsidR="00D332C4" w:rsidRPr="00631676">
        <w:rPr>
          <w:rFonts w:cstheme="minorHAnsi"/>
        </w:rPr>
        <w:t xml:space="preserve"> initially not</w:t>
      </w:r>
      <w:r w:rsidR="002541DB" w:rsidRPr="00631676">
        <w:rPr>
          <w:rFonts w:cstheme="minorHAnsi"/>
        </w:rPr>
        <w:t>ing</w:t>
      </w:r>
      <w:r w:rsidR="00D332C4" w:rsidRPr="00631676">
        <w:rPr>
          <w:rFonts w:cstheme="minorHAnsi"/>
        </w:rPr>
        <w:t xml:space="preserve"> a strong odor similar to </w:t>
      </w:r>
      <w:r w:rsidR="003B063B" w:rsidRPr="00631676">
        <w:rPr>
          <w:rFonts w:cstheme="minorHAnsi"/>
        </w:rPr>
        <w:t>that</w:t>
      </w:r>
      <w:r w:rsidR="00D332C4" w:rsidRPr="00631676">
        <w:rPr>
          <w:rFonts w:cstheme="minorHAnsi"/>
        </w:rPr>
        <w:t xml:space="preserve"> of a dead animal by a roadside.  As the two got closer, Wikstrom could see and hear numerous flies near the ground.  Wikstrom saw fine powder on the ground, and then</w:t>
      </w:r>
      <w:r w:rsidR="00124D6F" w:rsidRPr="00631676">
        <w:rPr>
          <w:rFonts w:cstheme="minorHAnsi"/>
        </w:rPr>
        <w:t xml:space="preserve"> noted what appeared to be Levi</w:t>
      </w:r>
      <w:r w:rsidR="00200C91" w:rsidRPr="00631676">
        <w:rPr>
          <w:rFonts w:cstheme="minorHAnsi"/>
        </w:rPr>
        <w:t>’s</w:t>
      </w:r>
      <w:r w:rsidR="00124D6F" w:rsidRPr="00631676">
        <w:rPr>
          <w:rFonts w:cstheme="minorHAnsi"/>
        </w:rPr>
        <w:t xml:space="preserve"> denim jeans</w:t>
      </w:r>
      <w:r w:rsidR="00D332C4" w:rsidRPr="00631676">
        <w:rPr>
          <w:rFonts w:cstheme="minorHAnsi"/>
        </w:rPr>
        <w:t xml:space="preserve"> and </w:t>
      </w:r>
      <w:r w:rsidR="008D7CE1" w:rsidRPr="00631676">
        <w:rPr>
          <w:rFonts w:cstheme="minorHAnsi"/>
        </w:rPr>
        <w:t xml:space="preserve">part </w:t>
      </w:r>
      <w:r w:rsidR="00D332C4" w:rsidRPr="00631676">
        <w:rPr>
          <w:rFonts w:cstheme="minorHAnsi"/>
        </w:rPr>
        <w:t xml:space="preserve">of a shirt.  Because Wikstrom was unsure whether what he saw was a person, he decided to call the police.  Wikstrom waited for the police to come, directing hikers away from the area.  </w:t>
      </w:r>
    </w:p>
    <w:p w14:paraId="0882B017" w14:textId="2C5CF9E8" w:rsidR="00C6314E" w:rsidRPr="00631676" w:rsidRDefault="00F84A1D" w:rsidP="004123E4">
      <w:pPr>
        <w:rPr>
          <w:rFonts w:cstheme="minorHAnsi"/>
        </w:rPr>
      </w:pPr>
      <w:r w:rsidRPr="00631676">
        <w:rPr>
          <w:rFonts w:cstheme="minorHAnsi"/>
        </w:rPr>
        <w:tab/>
      </w:r>
      <w:r w:rsidR="00CD3D38" w:rsidRPr="00631676">
        <w:rPr>
          <w:rFonts w:cstheme="minorHAnsi"/>
        </w:rPr>
        <w:t>Law enforcement arrived about an hour and a half after Wikstrom call</w:t>
      </w:r>
      <w:r w:rsidR="001D2573" w:rsidRPr="00631676">
        <w:rPr>
          <w:rFonts w:cstheme="minorHAnsi"/>
        </w:rPr>
        <w:t>ed</w:t>
      </w:r>
      <w:r w:rsidR="00CD3D38" w:rsidRPr="00631676">
        <w:rPr>
          <w:rFonts w:cstheme="minorHAnsi"/>
        </w:rPr>
        <w:t xml:space="preserve">.  Detective William Michael West, one of the first detectives at the scene, observed cut brush along the entire trail, from the trail head at West Camino Cielo all the way to the location of the shallow grave.  Detective West testified that “[i]t looked like somebody had cleared the trail,” both at the gravesite and all along the trail.  </w:t>
      </w:r>
    </w:p>
    <w:p w14:paraId="18AA2498" w14:textId="03DBBDD6" w:rsidR="00F84A1D" w:rsidRPr="00631676" w:rsidRDefault="00C6314E" w:rsidP="00A76E08">
      <w:pPr>
        <w:rPr>
          <w:rFonts w:cstheme="minorHAnsi"/>
        </w:rPr>
      </w:pPr>
      <w:r w:rsidRPr="00631676">
        <w:rPr>
          <w:rFonts w:cstheme="minorHAnsi"/>
        </w:rPr>
        <w:tab/>
        <w:t xml:space="preserve">Criminalist </w:t>
      </w:r>
      <w:r w:rsidR="00977C31" w:rsidRPr="00631676">
        <w:rPr>
          <w:rFonts w:cstheme="minorHAnsi"/>
        </w:rPr>
        <w:t xml:space="preserve">George Levine </w:t>
      </w:r>
      <w:r w:rsidR="003358A6" w:rsidRPr="00631676">
        <w:rPr>
          <w:rFonts w:cstheme="minorHAnsi"/>
        </w:rPr>
        <w:t xml:space="preserve">also </w:t>
      </w:r>
      <w:r w:rsidR="00977C31" w:rsidRPr="00631676">
        <w:rPr>
          <w:rFonts w:cstheme="minorHAnsi"/>
        </w:rPr>
        <w:t>responded to th</w:t>
      </w:r>
      <w:r w:rsidR="001A0801" w:rsidRPr="00631676">
        <w:rPr>
          <w:rFonts w:cstheme="minorHAnsi"/>
        </w:rPr>
        <w:t>e scene</w:t>
      </w:r>
      <w:r w:rsidR="00185C4C">
        <w:rPr>
          <w:rFonts w:cstheme="minorHAnsi"/>
        </w:rPr>
        <w:t>.</w:t>
      </w:r>
      <w:r w:rsidR="001A0801" w:rsidRPr="00631676">
        <w:rPr>
          <w:rFonts w:cstheme="minorHAnsi"/>
        </w:rPr>
        <w:t xml:space="preserve"> </w:t>
      </w:r>
      <w:r w:rsidR="00185C4C">
        <w:rPr>
          <w:rFonts w:cstheme="minorHAnsi"/>
        </w:rPr>
        <w:t xml:space="preserve"> </w:t>
      </w:r>
      <w:r w:rsidR="001456D0" w:rsidRPr="00631676">
        <w:rPr>
          <w:rFonts w:cstheme="minorHAnsi"/>
        </w:rPr>
        <w:t>Nick’s</w:t>
      </w:r>
      <w:r w:rsidR="00977C31" w:rsidRPr="00631676">
        <w:rPr>
          <w:rFonts w:cstheme="minorHAnsi"/>
        </w:rPr>
        <w:t xml:space="preserve"> body was only lightly </w:t>
      </w:r>
      <w:r w:rsidR="00091573" w:rsidRPr="00631676">
        <w:rPr>
          <w:rFonts w:cstheme="minorHAnsi"/>
        </w:rPr>
        <w:t xml:space="preserve">and partially </w:t>
      </w:r>
      <w:r w:rsidR="00977C31" w:rsidRPr="00631676">
        <w:rPr>
          <w:rFonts w:cstheme="minorHAnsi"/>
        </w:rPr>
        <w:t>covered with dirt.</w:t>
      </w:r>
      <w:r w:rsidR="00362397" w:rsidRPr="00631676">
        <w:rPr>
          <w:rFonts w:cstheme="minorHAnsi"/>
        </w:rPr>
        <w:t xml:space="preserve"> </w:t>
      </w:r>
      <w:r w:rsidR="00977C31" w:rsidRPr="00631676">
        <w:rPr>
          <w:rFonts w:cstheme="minorHAnsi"/>
        </w:rPr>
        <w:t xml:space="preserve"> </w:t>
      </w:r>
      <w:r w:rsidR="008A45CE" w:rsidRPr="00631676">
        <w:rPr>
          <w:rFonts w:cstheme="minorHAnsi"/>
        </w:rPr>
        <w:t xml:space="preserve">The weather that day and for a few days before was warm, resulting in significant decomposition.  </w:t>
      </w:r>
      <w:r w:rsidR="001E1B0F" w:rsidRPr="00631676">
        <w:rPr>
          <w:rFonts w:cstheme="minorHAnsi"/>
        </w:rPr>
        <w:t>Law enforcement officials removed c</w:t>
      </w:r>
      <w:r w:rsidR="001456D0" w:rsidRPr="00631676">
        <w:rPr>
          <w:rFonts w:cstheme="minorHAnsi"/>
        </w:rPr>
        <w:t xml:space="preserve">artridge casings and a bullet </w:t>
      </w:r>
      <w:r w:rsidR="0048598A" w:rsidRPr="00631676">
        <w:rPr>
          <w:rFonts w:cstheme="minorHAnsi"/>
        </w:rPr>
        <w:t>f</w:t>
      </w:r>
      <w:r w:rsidR="001456D0" w:rsidRPr="00631676">
        <w:rPr>
          <w:rFonts w:cstheme="minorHAnsi"/>
        </w:rPr>
        <w:t>rom the first few i</w:t>
      </w:r>
      <w:r w:rsidR="00636941" w:rsidRPr="00631676">
        <w:rPr>
          <w:rFonts w:cstheme="minorHAnsi"/>
        </w:rPr>
        <w:t xml:space="preserve">nches of the shallow grave.  </w:t>
      </w:r>
      <w:r w:rsidR="001456D0" w:rsidRPr="00631676">
        <w:rPr>
          <w:rFonts w:cstheme="minorHAnsi"/>
        </w:rPr>
        <w:t>After the body was removed</w:t>
      </w:r>
      <w:r w:rsidR="008727A6" w:rsidRPr="00631676">
        <w:rPr>
          <w:rFonts w:cstheme="minorHAnsi"/>
        </w:rPr>
        <w:t xml:space="preserve"> from the site</w:t>
      </w:r>
      <w:r w:rsidR="001456D0" w:rsidRPr="00631676">
        <w:rPr>
          <w:rFonts w:cstheme="minorHAnsi"/>
        </w:rPr>
        <w:t>, a TEC-9 weapon</w:t>
      </w:r>
      <w:r w:rsidR="00321D41" w:rsidRPr="00631676">
        <w:rPr>
          <w:rFonts w:cstheme="minorHAnsi"/>
        </w:rPr>
        <w:t>, modified to be fully automatic,</w:t>
      </w:r>
      <w:r w:rsidR="001456D0" w:rsidRPr="00631676">
        <w:rPr>
          <w:rFonts w:cstheme="minorHAnsi"/>
        </w:rPr>
        <w:t xml:space="preserve"> </w:t>
      </w:r>
      <w:r w:rsidR="008727A6" w:rsidRPr="00631676">
        <w:rPr>
          <w:rFonts w:cstheme="minorHAnsi"/>
        </w:rPr>
        <w:t xml:space="preserve">was </w:t>
      </w:r>
      <w:r w:rsidR="001456D0" w:rsidRPr="00631676">
        <w:rPr>
          <w:rFonts w:cstheme="minorHAnsi"/>
        </w:rPr>
        <w:t xml:space="preserve">found under the area where </w:t>
      </w:r>
      <w:r w:rsidR="008727A6" w:rsidRPr="00631676">
        <w:rPr>
          <w:rFonts w:cstheme="minorHAnsi"/>
        </w:rPr>
        <w:t>Nick’s</w:t>
      </w:r>
      <w:r w:rsidR="001456D0" w:rsidRPr="00631676">
        <w:rPr>
          <w:rFonts w:cstheme="minorHAnsi"/>
        </w:rPr>
        <w:t xml:space="preserve"> feet had been resting.  </w:t>
      </w:r>
      <w:r w:rsidR="00977C31" w:rsidRPr="00631676">
        <w:rPr>
          <w:rFonts w:cstheme="minorHAnsi"/>
        </w:rPr>
        <w:t>Nick</w:t>
      </w:r>
      <w:r w:rsidR="003B063B" w:rsidRPr="00631676">
        <w:rPr>
          <w:rFonts w:cstheme="minorHAnsi"/>
        </w:rPr>
        <w:t>’s</w:t>
      </w:r>
      <w:r w:rsidR="00977C31" w:rsidRPr="00631676">
        <w:rPr>
          <w:rFonts w:cstheme="minorHAnsi"/>
        </w:rPr>
        <w:t xml:space="preserve"> mouth </w:t>
      </w:r>
      <w:r w:rsidR="001456D0" w:rsidRPr="00631676">
        <w:rPr>
          <w:rFonts w:cstheme="minorHAnsi"/>
        </w:rPr>
        <w:lastRenderedPageBreak/>
        <w:t>had been</w:t>
      </w:r>
      <w:r w:rsidR="00977C31" w:rsidRPr="00631676">
        <w:rPr>
          <w:rFonts w:cstheme="minorHAnsi"/>
        </w:rPr>
        <w:t xml:space="preserve"> duct</w:t>
      </w:r>
      <w:r w:rsidR="008A45CE" w:rsidRPr="00631676">
        <w:rPr>
          <w:rFonts w:cstheme="minorHAnsi"/>
        </w:rPr>
        <w:t>-</w:t>
      </w:r>
      <w:r w:rsidR="00977C31" w:rsidRPr="00631676">
        <w:rPr>
          <w:rFonts w:cstheme="minorHAnsi"/>
        </w:rPr>
        <w:t xml:space="preserve">taped.  </w:t>
      </w:r>
      <w:r w:rsidR="00BB36E4" w:rsidRPr="00631676">
        <w:rPr>
          <w:rFonts w:cstheme="minorHAnsi"/>
        </w:rPr>
        <w:t>D</w:t>
      </w:r>
      <w:r w:rsidR="001456D0" w:rsidRPr="00631676">
        <w:rPr>
          <w:rFonts w:cstheme="minorHAnsi"/>
        </w:rPr>
        <w:t xml:space="preserve">uct tape was </w:t>
      </w:r>
      <w:r w:rsidR="00091573" w:rsidRPr="00631676">
        <w:rPr>
          <w:rFonts w:cstheme="minorHAnsi"/>
        </w:rPr>
        <w:t xml:space="preserve">also </w:t>
      </w:r>
      <w:r w:rsidR="001456D0" w:rsidRPr="00631676">
        <w:rPr>
          <w:rFonts w:cstheme="minorHAnsi"/>
        </w:rPr>
        <w:t xml:space="preserve">wrapped around Nick’s </w:t>
      </w:r>
      <w:r w:rsidR="00BB36E4" w:rsidRPr="00631676">
        <w:rPr>
          <w:rFonts w:cstheme="minorHAnsi"/>
        </w:rPr>
        <w:t>hands</w:t>
      </w:r>
      <w:r w:rsidR="001456D0" w:rsidRPr="00631676">
        <w:rPr>
          <w:rFonts w:cstheme="minorHAnsi"/>
        </w:rPr>
        <w:t xml:space="preserve"> and head</w:t>
      </w:r>
      <w:r w:rsidR="00BB36E4" w:rsidRPr="00631676">
        <w:rPr>
          <w:rFonts w:cstheme="minorHAnsi"/>
        </w:rPr>
        <w:t>.</w:t>
      </w:r>
      <w:r w:rsidR="00BB36E4" w:rsidRPr="00631676">
        <w:rPr>
          <w:rStyle w:val="FootnoteReference"/>
          <w:rFonts w:cstheme="minorHAnsi"/>
        </w:rPr>
        <w:footnoteReference w:id="3"/>
      </w:r>
      <w:r w:rsidR="00BB36E4" w:rsidRPr="00631676">
        <w:rPr>
          <w:rFonts w:cstheme="minorHAnsi"/>
        </w:rPr>
        <w:t xml:space="preserve">  </w:t>
      </w:r>
    </w:p>
    <w:p w14:paraId="524AA493" w14:textId="08CF5382" w:rsidR="00842D10" w:rsidRDefault="00842D10">
      <w:pPr>
        <w:rPr>
          <w:rFonts w:cstheme="minorHAnsi"/>
        </w:rPr>
      </w:pPr>
      <w:r w:rsidRPr="00631676">
        <w:rPr>
          <w:rFonts w:cstheme="minorHAnsi"/>
        </w:rPr>
        <w:tab/>
        <w:t>An autopsy reveal</w:t>
      </w:r>
      <w:r w:rsidR="003B063B" w:rsidRPr="00631676">
        <w:rPr>
          <w:rFonts w:cstheme="minorHAnsi"/>
        </w:rPr>
        <w:t>ed Nick had</w:t>
      </w:r>
      <w:r w:rsidRPr="00631676">
        <w:rPr>
          <w:rFonts w:cstheme="minorHAnsi"/>
        </w:rPr>
        <w:t xml:space="preserve"> suffered a total of nine gunshot wounds.  </w:t>
      </w:r>
      <w:r w:rsidR="00E87ABD" w:rsidRPr="00631676">
        <w:rPr>
          <w:rFonts w:cstheme="minorHAnsi"/>
        </w:rPr>
        <w:t xml:space="preserve">Several of the gunshots would have independently been fatal, </w:t>
      </w:r>
      <w:r w:rsidR="00B51B7E" w:rsidRPr="00631676">
        <w:rPr>
          <w:rFonts w:cstheme="minorHAnsi"/>
        </w:rPr>
        <w:t>but</w:t>
      </w:r>
      <w:r w:rsidR="00E87ABD" w:rsidRPr="00631676">
        <w:rPr>
          <w:rFonts w:cstheme="minorHAnsi"/>
        </w:rPr>
        <w:t xml:space="preserve"> due to the level of decomposition </w:t>
      </w:r>
      <w:r w:rsidR="00B51B7E" w:rsidRPr="00631676">
        <w:rPr>
          <w:rFonts w:cstheme="minorHAnsi"/>
        </w:rPr>
        <w:t>the</w:t>
      </w:r>
      <w:r w:rsidR="00E87ABD" w:rsidRPr="00631676">
        <w:rPr>
          <w:rFonts w:cstheme="minorHAnsi"/>
        </w:rPr>
        <w:t xml:space="preserve"> medical examiner was unable to state which of the injuries caused Nick’</w:t>
      </w:r>
      <w:r w:rsidR="00801B0D" w:rsidRPr="00631676">
        <w:rPr>
          <w:rFonts w:cstheme="minorHAnsi"/>
        </w:rPr>
        <w:t xml:space="preserve">s death.  </w:t>
      </w:r>
    </w:p>
    <w:p w14:paraId="5088D566" w14:textId="59ADD7A0" w:rsidR="002675E2" w:rsidRDefault="005D23E0" w:rsidP="00F057ED">
      <w:pPr>
        <w:pStyle w:val="Heading3"/>
        <w:ind w:left="2016"/>
      </w:pPr>
      <w:r>
        <w:tab/>
      </w:r>
      <w:r w:rsidR="002675E2" w:rsidRPr="00834D34">
        <w:tab/>
      </w:r>
      <w:r>
        <w:tab/>
      </w:r>
      <w:r w:rsidR="002675E2">
        <w:t>e</w:t>
      </w:r>
      <w:r w:rsidR="002675E2" w:rsidRPr="00834D34">
        <w:t>.</w:t>
      </w:r>
      <w:r w:rsidR="002675E2">
        <w:tab/>
        <w:t xml:space="preserve">Pressley Confesses to Digging the </w:t>
      </w:r>
      <w:r>
        <w:br/>
        <w:t xml:space="preserve">                     </w:t>
      </w:r>
      <w:r w:rsidR="002675E2">
        <w:t>Gravesite</w:t>
      </w:r>
    </w:p>
    <w:p w14:paraId="42DA139B" w14:textId="200E7184" w:rsidR="002675E2" w:rsidRPr="00631676" w:rsidRDefault="002675E2" w:rsidP="00D410E9">
      <w:pPr>
        <w:rPr>
          <w:rFonts w:cstheme="minorHAnsi"/>
        </w:rPr>
      </w:pPr>
      <w:r w:rsidRPr="00631676">
        <w:rPr>
          <w:rFonts w:cstheme="minorHAnsi"/>
        </w:rPr>
        <w:tab/>
      </w:r>
      <w:r w:rsidR="00D410E9">
        <w:rPr>
          <w:rFonts w:cstheme="minorHAnsi"/>
        </w:rPr>
        <w:t>Detective Jerry Cornell</w:t>
      </w:r>
      <w:r w:rsidRPr="00631676">
        <w:rPr>
          <w:rFonts w:cstheme="minorHAnsi"/>
        </w:rPr>
        <w:t xml:space="preserve"> testified</w:t>
      </w:r>
      <w:r w:rsidR="00D410E9">
        <w:rPr>
          <w:rFonts w:cstheme="minorHAnsi"/>
        </w:rPr>
        <w:t xml:space="preserve"> that he interviewed</w:t>
      </w:r>
      <w:r w:rsidRPr="00631676">
        <w:rPr>
          <w:rFonts w:cstheme="minorHAnsi"/>
        </w:rPr>
        <w:t xml:space="preserve"> Pressley</w:t>
      </w:r>
      <w:r w:rsidR="00D410E9">
        <w:rPr>
          <w:rFonts w:cstheme="minorHAnsi"/>
        </w:rPr>
        <w:t xml:space="preserve"> on August 16, and Pressley</w:t>
      </w:r>
      <w:r w:rsidRPr="00631676">
        <w:rPr>
          <w:rFonts w:cstheme="minorHAnsi"/>
        </w:rPr>
        <w:t xml:space="preserve"> admitted digging a grave in </w:t>
      </w:r>
      <w:r w:rsidR="00D13066">
        <w:rPr>
          <w:rFonts w:cstheme="minorHAnsi"/>
        </w:rPr>
        <w:t>the</w:t>
      </w:r>
      <w:r w:rsidRPr="00631676">
        <w:rPr>
          <w:rFonts w:cstheme="minorHAnsi"/>
        </w:rPr>
        <w:t xml:space="preserve"> trail area off San Marcos Pass known as Lizard’s Mouth in the early morning hours of August 9.  </w:t>
      </w:r>
    </w:p>
    <w:p w14:paraId="14986E93" w14:textId="09742AFE" w:rsidR="0027639C" w:rsidRPr="00D410E9" w:rsidRDefault="0015789A" w:rsidP="00D410E9">
      <w:pPr>
        <w:pStyle w:val="Heading4"/>
        <w:rPr>
          <w:rFonts w:cstheme="minorHAnsi"/>
          <w:b/>
        </w:rPr>
      </w:pPr>
      <w:r w:rsidRPr="00880755">
        <w:rPr>
          <w:rFonts w:cstheme="minorHAnsi"/>
        </w:rPr>
        <w:tab/>
      </w:r>
      <w:r w:rsidR="002541DB" w:rsidRPr="00880755">
        <w:rPr>
          <w:rFonts w:cstheme="minorHAnsi"/>
        </w:rPr>
        <w:tab/>
      </w:r>
      <w:r w:rsidR="002541DB" w:rsidRPr="00880755">
        <w:rPr>
          <w:rFonts w:cstheme="minorHAnsi"/>
        </w:rPr>
        <w:tab/>
      </w:r>
      <w:r w:rsidR="002675E2">
        <w:rPr>
          <w:rFonts w:cstheme="minorHAnsi"/>
        </w:rPr>
        <w:t>f</w:t>
      </w:r>
      <w:r w:rsidR="0027639C" w:rsidRPr="00D410E9">
        <w:rPr>
          <w:rFonts w:cstheme="minorHAnsi"/>
        </w:rPr>
        <w:t>.</w:t>
      </w:r>
      <w:r w:rsidR="0027639C" w:rsidRPr="00D410E9">
        <w:rPr>
          <w:rFonts w:cstheme="minorHAnsi"/>
        </w:rPr>
        <w:tab/>
      </w:r>
      <w:r w:rsidR="00760059" w:rsidRPr="00D410E9">
        <w:rPr>
          <w:rFonts w:cstheme="minorHAnsi"/>
        </w:rPr>
        <w:t xml:space="preserve">Defendant Confesses to </w:t>
      </w:r>
      <w:r w:rsidR="008F508D" w:rsidRPr="00D410E9">
        <w:rPr>
          <w:rFonts w:cstheme="minorHAnsi"/>
        </w:rPr>
        <w:t xml:space="preserve">the </w:t>
      </w:r>
      <w:r w:rsidR="00760059" w:rsidRPr="00D410E9">
        <w:rPr>
          <w:rFonts w:cstheme="minorHAnsi"/>
        </w:rPr>
        <w:t xml:space="preserve">Killing </w:t>
      </w:r>
    </w:p>
    <w:p w14:paraId="36D6C8B5" w14:textId="0B1121D5" w:rsidR="00CF29AB" w:rsidRPr="00631676" w:rsidRDefault="002675E2" w:rsidP="00D410E9">
      <w:pPr>
        <w:rPr>
          <w:rFonts w:cstheme="minorHAnsi"/>
        </w:rPr>
      </w:pPr>
      <w:r>
        <w:rPr>
          <w:rFonts w:cstheme="minorHAnsi"/>
        </w:rPr>
        <w:tab/>
      </w:r>
      <w:r w:rsidR="007D7440" w:rsidRPr="00631676">
        <w:rPr>
          <w:rFonts w:cstheme="minorHAnsi"/>
        </w:rPr>
        <w:t>On August 16, d</w:t>
      </w:r>
      <w:r w:rsidR="00B51B7E" w:rsidRPr="00631676">
        <w:rPr>
          <w:rFonts w:cstheme="minorHAnsi"/>
        </w:rPr>
        <w:t xml:space="preserve">efendant was </w:t>
      </w:r>
      <w:r w:rsidR="00010EBA" w:rsidRPr="00631676">
        <w:rPr>
          <w:rFonts w:cstheme="minorHAnsi"/>
        </w:rPr>
        <w:t xml:space="preserve">arrested, </w:t>
      </w:r>
      <w:r w:rsidR="00B51B7E" w:rsidRPr="00631676">
        <w:rPr>
          <w:rFonts w:cstheme="minorHAnsi"/>
        </w:rPr>
        <w:t xml:space="preserve">taken to </w:t>
      </w:r>
      <w:r w:rsidR="009246E1" w:rsidRPr="00631676">
        <w:rPr>
          <w:rFonts w:cstheme="minorHAnsi"/>
        </w:rPr>
        <w:t xml:space="preserve">a </w:t>
      </w:r>
      <w:r w:rsidR="00B51B7E" w:rsidRPr="00631676">
        <w:rPr>
          <w:rFonts w:cstheme="minorHAnsi"/>
        </w:rPr>
        <w:t>Santa Barbara jail</w:t>
      </w:r>
      <w:r w:rsidR="00010EBA" w:rsidRPr="00631676">
        <w:rPr>
          <w:rFonts w:cstheme="minorHAnsi"/>
        </w:rPr>
        <w:t xml:space="preserve">, and advised of his </w:t>
      </w:r>
      <w:r w:rsidR="00010EBA" w:rsidRPr="00631676">
        <w:rPr>
          <w:rFonts w:cstheme="minorHAnsi"/>
          <w:i/>
        </w:rPr>
        <w:t>Miranda</w:t>
      </w:r>
      <w:r w:rsidR="00010EBA" w:rsidRPr="00631676">
        <w:rPr>
          <w:rFonts w:cstheme="minorHAnsi"/>
        </w:rPr>
        <w:t xml:space="preserve"> rights</w:t>
      </w:r>
      <w:r w:rsidR="009246E1" w:rsidRPr="00631676">
        <w:rPr>
          <w:rFonts w:cstheme="minorHAnsi"/>
        </w:rPr>
        <w:t>.</w:t>
      </w:r>
      <w:r w:rsidR="005E40FD" w:rsidRPr="00631676">
        <w:rPr>
          <w:rStyle w:val="FootnoteReference"/>
          <w:rFonts w:cstheme="minorHAnsi"/>
        </w:rPr>
        <w:footnoteReference w:id="4"/>
      </w:r>
      <w:r w:rsidR="009246E1" w:rsidRPr="00631676">
        <w:rPr>
          <w:rFonts w:cstheme="minorHAnsi"/>
          <w:b/>
        </w:rPr>
        <w:t xml:space="preserve"> </w:t>
      </w:r>
      <w:r w:rsidR="009246E1" w:rsidRPr="00631676">
        <w:rPr>
          <w:rFonts w:cstheme="minorHAnsi"/>
        </w:rPr>
        <w:t xml:space="preserve"> </w:t>
      </w:r>
      <w:r w:rsidR="00992D82" w:rsidRPr="00631676">
        <w:rPr>
          <w:rFonts w:cstheme="minorHAnsi"/>
        </w:rPr>
        <w:t xml:space="preserve">According to </w:t>
      </w:r>
      <w:r w:rsidR="009246E1" w:rsidRPr="00631676">
        <w:rPr>
          <w:rFonts w:cstheme="minorHAnsi"/>
        </w:rPr>
        <w:t>Detective West</w:t>
      </w:r>
      <w:r w:rsidR="00992D82" w:rsidRPr="00631676">
        <w:rPr>
          <w:rFonts w:cstheme="minorHAnsi"/>
        </w:rPr>
        <w:t>, defendant said</w:t>
      </w:r>
      <w:r w:rsidR="009246E1" w:rsidRPr="00631676">
        <w:rPr>
          <w:rFonts w:cstheme="minorHAnsi"/>
        </w:rPr>
        <w:t xml:space="preserve"> that </w:t>
      </w:r>
      <w:r w:rsidR="008F508D" w:rsidRPr="00631676">
        <w:rPr>
          <w:rFonts w:cstheme="minorHAnsi"/>
        </w:rPr>
        <w:t xml:space="preserve">he decided to speak to detectives </w:t>
      </w:r>
      <w:r w:rsidR="009246E1" w:rsidRPr="00631676">
        <w:rPr>
          <w:rFonts w:cstheme="minorHAnsi"/>
        </w:rPr>
        <w:t xml:space="preserve">after seeing a television broadcast regarding </w:t>
      </w:r>
      <w:r w:rsidR="00992D82" w:rsidRPr="00631676">
        <w:rPr>
          <w:rFonts w:cstheme="minorHAnsi"/>
        </w:rPr>
        <w:t>the</w:t>
      </w:r>
      <w:r w:rsidR="009246E1" w:rsidRPr="00631676">
        <w:rPr>
          <w:rFonts w:cstheme="minorHAnsi"/>
        </w:rPr>
        <w:t xml:space="preserve"> case and speaking to his mother.  </w:t>
      </w:r>
      <w:r w:rsidR="00EA068C" w:rsidRPr="00631676">
        <w:rPr>
          <w:rFonts w:cstheme="minorHAnsi"/>
        </w:rPr>
        <w:t>After d</w:t>
      </w:r>
      <w:r w:rsidR="002E60F1" w:rsidRPr="00631676">
        <w:rPr>
          <w:rFonts w:cstheme="minorHAnsi"/>
        </w:rPr>
        <w:t xml:space="preserve">efendant informed </w:t>
      </w:r>
      <w:r w:rsidR="000172B4" w:rsidRPr="00631676">
        <w:rPr>
          <w:rFonts w:cstheme="minorHAnsi"/>
        </w:rPr>
        <w:t xml:space="preserve">jail </w:t>
      </w:r>
      <w:proofErr w:type="gramStart"/>
      <w:r w:rsidR="002E60F1" w:rsidRPr="00631676">
        <w:rPr>
          <w:rFonts w:cstheme="minorHAnsi"/>
        </w:rPr>
        <w:t>officials</w:t>
      </w:r>
      <w:proofErr w:type="gramEnd"/>
      <w:r w:rsidR="002E60F1" w:rsidRPr="00631676">
        <w:rPr>
          <w:rFonts w:cstheme="minorHAnsi"/>
        </w:rPr>
        <w:t xml:space="preserve"> he wished to be interviewed</w:t>
      </w:r>
      <w:r w:rsidR="00EA068C" w:rsidRPr="00631676">
        <w:rPr>
          <w:rFonts w:cstheme="minorHAnsi"/>
        </w:rPr>
        <w:t xml:space="preserve">, </w:t>
      </w:r>
      <w:r w:rsidR="0023775A" w:rsidRPr="00631676">
        <w:rPr>
          <w:rFonts w:cstheme="minorHAnsi"/>
        </w:rPr>
        <w:t>detectives</w:t>
      </w:r>
      <w:r w:rsidR="00EA068C" w:rsidRPr="00631676">
        <w:rPr>
          <w:rFonts w:cstheme="minorHAnsi"/>
        </w:rPr>
        <w:t xml:space="preserve"> met with defendant </w:t>
      </w:r>
      <w:r w:rsidR="0060436F" w:rsidRPr="00631676">
        <w:rPr>
          <w:rFonts w:cstheme="minorHAnsi"/>
        </w:rPr>
        <w:t>in the sheriff headquarters in Goleta</w:t>
      </w:r>
      <w:r w:rsidR="00091573" w:rsidRPr="00631676">
        <w:rPr>
          <w:rFonts w:cstheme="minorHAnsi"/>
        </w:rPr>
        <w:t>,</w:t>
      </w:r>
      <w:r w:rsidR="00EA068C" w:rsidRPr="00631676">
        <w:rPr>
          <w:rFonts w:cstheme="minorHAnsi"/>
        </w:rPr>
        <w:t xml:space="preserve"> where they audio- and video-recorded their encounter with him</w:t>
      </w:r>
      <w:r w:rsidR="0060436F" w:rsidRPr="00631676">
        <w:rPr>
          <w:rFonts w:cstheme="minorHAnsi"/>
        </w:rPr>
        <w:t xml:space="preserve">.  </w:t>
      </w:r>
      <w:r w:rsidR="005C4E7D" w:rsidRPr="00631676">
        <w:rPr>
          <w:rFonts w:cstheme="minorHAnsi"/>
        </w:rPr>
        <w:t xml:space="preserve">Defendant </w:t>
      </w:r>
      <w:r w:rsidR="005C4E7D" w:rsidRPr="00631676">
        <w:rPr>
          <w:rFonts w:cstheme="minorHAnsi"/>
        </w:rPr>
        <w:lastRenderedPageBreak/>
        <w:t xml:space="preserve">was </w:t>
      </w:r>
      <w:r w:rsidR="00C97678" w:rsidRPr="00631676">
        <w:rPr>
          <w:rFonts w:cstheme="minorHAnsi"/>
        </w:rPr>
        <w:t>re-</w:t>
      </w:r>
      <w:r w:rsidR="00C97678" w:rsidRPr="00631676">
        <w:rPr>
          <w:rFonts w:cstheme="minorHAnsi"/>
          <w:i/>
        </w:rPr>
        <w:t>Mirandized</w:t>
      </w:r>
      <w:r w:rsidR="00C97678" w:rsidRPr="00631676">
        <w:rPr>
          <w:rFonts w:cstheme="minorHAnsi"/>
        </w:rPr>
        <w:t xml:space="preserve"> and asked to explain why he was involved</w:t>
      </w:r>
      <w:r w:rsidR="009E7D84" w:rsidRPr="00631676">
        <w:rPr>
          <w:rFonts w:cstheme="minorHAnsi"/>
        </w:rPr>
        <w:t xml:space="preserve"> in the crime. </w:t>
      </w:r>
    </w:p>
    <w:p w14:paraId="68DE9048" w14:textId="11725283" w:rsidR="00D3749A" w:rsidRPr="00631676" w:rsidRDefault="00CF29AB" w:rsidP="00D410E9">
      <w:pPr>
        <w:rPr>
          <w:rFonts w:cstheme="minorHAnsi"/>
        </w:rPr>
      </w:pPr>
      <w:r w:rsidRPr="00631676">
        <w:rPr>
          <w:rFonts w:cstheme="minorHAnsi"/>
        </w:rPr>
        <w:tab/>
      </w:r>
      <w:r w:rsidR="009E7D84" w:rsidRPr="00631676">
        <w:rPr>
          <w:rFonts w:cstheme="minorHAnsi"/>
        </w:rPr>
        <w:t xml:space="preserve">Defendant </w:t>
      </w:r>
      <w:r w:rsidRPr="00631676">
        <w:rPr>
          <w:rFonts w:cstheme="minorHAnsi"/>
        </w:rPr>
        <w:t>told Detective West and Sergeant Ken Reinstadler</w:t>
      </w:r>
      <w:r w:rsidR="009E7D84" w:rsidRPr="00631676">
        <w:rPr>
          <w:rFonts w:cstheme="minorHAnsi"/>
        </w:rPr>
        <w:t xml:space="preserve">, “I’m going down.  I, I just realized that.”  </w:t>
      </w:r>
      <w:r w:rsidRPr="00631676">
        <w:rPr>
          <w:rFonts w:cstheme="minorHAnsi"/>
        </w:rPr>
        <w:t xml:space="preserve">The </w:t>
      </w:r>
      <w:r w:rsidR="0023775A" w:rsidRPr="00631676">
        <w:rPr>
          <w:rFonts w:cstheme="minorHAnsi"/>
        </w:rPr>
        <w:t>detectives</w:t>
      </w:r>
      <w:r w:rsidR="009E7D84" w:rsidRPr="00631676">
        <w:rPr>
          <w:rFonts w:cstheme="minorHAnsi"/>
        </w:rPr>
        <w:t xml:space="preserve"> asked defendant to explain “how this went down,” and defendant </w:t>
      </w:r>
      <w:r w:rsidR="00091573" w:rsidRPr="00631676">
        <w:rPr>
          <w:rFonts w:cstheme="minorHAnsi"/>
        </w:rPr>
        <w:t>asked</w:t>
      </w:r>
      <w:r w:rsidR="009E7D84" w:rsidRPr="00631676">
        <w:rPr>
          <w:rFonts w:cstheme="minorHAnsi"/>
        </w:rPr>
        <w:t xml:space="preserve"> if they</w:t>
      </w:r>
      <w:r w:rsidRPr="00631676">
        <w:rPr>
          <w:rFonts w:cstheme="minorHAnsi"/>
        </w:rPr>
        <w:t xml:space="preserve"> woul</w:t>
      </w:r>
      <w:r w:rsidR="009E7D84" w:rsidRPr="00631676">
        <w:rPr>
          <w:rFonts w:cstheme="minorHAnsi"/>
        </w:rPr>
        <w:t xml:space="preserve">d “mind if I go back to my cell and think about [it] tonight and talk to you guys tomorrow because I know my arraignment is Monday.”  Defendant expressed concern that what he said would be repeated in court, </w:t>
      </w:r>
      <w:r w:rsidR="008B5800" w:rsidRPr="00631676">
        <w:rPr>
          <w:rFonts w:cstheme="minorHAnsi"/>
        </w:rPr>
        <w:t xml:space="preserve">but </w:t>
      </w:r>
      <w:r w:rsidR="00A611EC" w:rsidRPr="00631676">
        <w:rPr>
          <w:rFonts w:cstheme="minorHAnsi"/>
        </w:rPr>
        <w:t xml:space="preserve">then </w:t>
      </w:r>
      <w:r w:rsidR="009E7D84" w:rsidRPr="00631676">
        <w:rPr>
          <w:rFonts w:cstheme="minorHAnsi"/>
        </w:rPr>
        <w:t xml:space="preserve">requested water and continued the conversation with </w:t>
      </w:r>
      <w:r w:rsidR="0001672F" w:rsidRPr="00631676">
        <w:rPr>
          <w:rFonts w:cstheme="minorHAnsi"/>
        </w:rPr>
        <w:t xml:space="preserve">the </w:t>
      </w:r>
      <w:r w:rsidR="0022475B" w:rsidRPr="00631676">
        <w:rPr>
          <w:rFonts w:cstheme="minorHAnsi"/>
        </w:rPr>
        <w:t>detectives</w:t>
      </w:r>
      <w:r w:rsidR="0001672F" w:rsidRPr="00631676">
        <w:rPr>
          <w:rFonts w:cstheme="minorHAnsi"/>
        </w:rPr>
        <w:t>,</w:t>
      </w:r>
      <w:r w:rsidR="009E7D84" w:rsidRPr="00631676">
        <w:rPr>
          <w:rFonts w:cstheme="minorHAnsi"/>
        </w:rPr>
        <w:t xml:space="preserve"> explaining, “I had nothing to do with the kidnapping.”  </w:t>
      </w:r>
      <w:r w:rsidR="002C3ADF">
        <w:rPr>
          <w:rFonts w:cstheme="minorHAnsi"/>
        </w:rPr>
        <w:t xml:space="preserve">Defendant </w:t>
      </w:r>
      <w:r w:rsidR="00C56498" w:rsidRPr="00631676">
        <w:rPr>
          <w:rFonts w:cstheme="minorHAnsi"/>
        </w:rPr>
        <w:t>asked why he was charged with that crime.</w:t>
      </w:r>
      <w:r w:rsidR="005269E9" w:rsidRPr="00631676">
        <w:rPr>
          <w:rStyle w:val="FootnoteReference"/>
          <w:rFonts w:cstheme="minorHAnsi"/>
        </w:rPr>
        <w:footnoteReference w:id="5"/>
      </w:r>
      <w:r w:rsidR="00C56498" w:rsidRPr="00631676">
        <w:rPr>
          <w:rFonts w:cstheme="minorHAnsi"/>
        </w:rPr>
        <w:t xml:space="preserve">  </w:t>
      </w:r>
      <w:r w:rsidR="0001672F" w:rsidRPr="00631676">
        <w:rPr>
          <w:rFonts w:cstheme="minorHAnsi"/>
        </w:rPr>
        <w:t xml:space="preserve">The </w:t>
      </w:r>
      <w:r w:rsidR="00F07354" w:rsidRPr="00631676">
        <w:rPr>
          <w:rFonts w:cstheme="minorHAnsi"/>
        </w:rPr>
        <w:t>detectives</w:t>
      </w:r>
      <w:r w:rsidR="00C56498" w:rsidRPr="00631676">
        <w:rPr>
          <w:rFonts w:cstheme="minorHAnsi"/>
        </w:rPr>
        <w:t xml:space="preserve"> </w:t>
      </w:r>
      <w:r w:rsidR="008B5800" w:rsidRPr="00631676">
        <w:rPr>
          <w:rFonts w:cstheme="minorHAnsi"/>
        </w:rPr>
        <w:t xml:space="preserve">responded by </w:t>
      </w:r>
      <w:r w:rsidR="00C56498" w:rsidRPr="00631676">
        <w:rPr>
          <w:rFonts w:cstheme="minorHAnsi"/>
        </w:rPr>
        <w:t>urg</w:t>
      </w:r>
      <w:r w:rsidR="008B5800" w:rsidRPr="00631676">
        <w:rPr>
          <w:rFonts w:cstheme="minorHAnsi"/>
        </w:rPr>
        <w:t>ing</w:t>
      </w:r>
      <w:r w:rsidR="0001672F" w:rsidRPr="00631676">
        <w:rPr>
          <w:rFonts w:cstheme="minorHAnsi"/>
        </w:rPr>
        <w:t xml:space="preserve"> defendant</w:t>
      </w:r>
      <w:r w:rsidR="00C56498" w:rsidRPr="00631676">
        <w:rPr>
          <w:rFonts w:cstheme="minorHAnsi"/>
        </w:rPr>
        <w:t xml:space="preserve"> to tell his story</w:t>
      </w:r>
      <w:r w:rsidR="008B5800" w:rsidRPr="00631676">
        <w:rPr>
          <w:rFonts w:cstheme="minorHAnsi"/>
        </w:rPr>
        <w:t>.</w:t>
      </w:r>
    </w:p>
    <w:p w14:paraId="3D5213C4" w14:textId="225ADCF3" w:rsidR="003603CB" w:rsidRPr="00631676" w:rsidRDefault="00D3749A" w:rsidP="00D410E9">
      <w:pPr>
        <w:rPr>
          <w:rFonts w:cstheme="minorHAnsi"/>
        </w:rPr>
      </w:pPr>
      <w:r w:rsidRPr="00631676">
        <w:rPr>
          <w:rFonts w:cstheme="minorHAnsi"/>
        </w:rPr>
        <w:tab/>
      </w:r>
      <w:r w:rsidR="008B5800" w:rsidRPr="00631676">
        <w:rPr>
          <w:rFonts w:cstheme="minorHAnsi"/>
        </w:rPr>
        <w:t>D</w:t>
      </w:r>
      <w:r w:rsidR="0001672F" w:rsidRPr="00631676">
        <w:rPr>
          <w:rFonts w:cstheme="minorHAnsi"/>
        </w:rPr>
        <w:t xml:space="preserve">efendant </w:t>
      </w:r>
      <w:r w:rsidR="00CE193E" w:rsidRPr="00631676">
        <w:rPr>
          <w:rFonts w:cstheme="minorHAnsi"/>
        </w:rPr>
        <w:t>told them</w:t>
      </w:r>
      <w:r w:rsidR="00C56498" w:rsidRPr="00631676">
        <w:rPr>
          <w:rFonts w:cstheme="minorHAnsi"/>
        </w:rPr>
        <w:t xml:space="preserve"> Ben owed Hollywood significant sums of money, </w:t>
      </w:r>
      <w:r w:rsidR="003A28C8" w:rsidRPr="00631676">
        <w:rPr>
          <w:rFonts w:cstheme="minorHAnsi"/>
        </w:rPr>
        <w:t>as did he</w:t>
      </w:r>
      <w:r w:rsidR="003D20D1" w:rsidRPr="00631676">
        <w:rPr>
          <w:rFonts w:cstheme="minorHAnsi"/>
        </w:rPr>
        <w:t xml:space="preserve">.  </w:t>
      </w:r>
      <w:r w:rsidR="00C56498" w:rsidRPr="00631676">
        <w:rPr>
          <w:rFonts w:cstheme="minorHAnsi"/>
        </w:rPr>
        <w:t xml:space="preserve">Defendant </w:t>
      </w:r>
      <w:r w:rsidR="00BF57FA" w:rsidRPr="00631676">
        <w:rPr>
          <w:rFonts w:cstheme="minorHAnsi"/>
        </w:rPr>
        <w:t xml:space="preserve">explained he </w:t>
      </w:r>
      <w:r w:rsidR="00C56498" w:rsidRPr="00631676">
        <w:rPr>
          <w:rFonts w:cstheme="minorHAnsi"/>
        </w:rPr>
        <w:t xml:space="preserve">was told he could erase his </w:t>
      </w:r>
      <w:r w:rsidR="00B04B91" w:rsidRPr="00631676">
        <w:rPr>
          <w:rFonts w:cstheme="minorHAnsi"/>
        </w:rPr>
        <w:t xml:space="preserve">own </w:t>
      </w:r>
      <w:r w:rsidR="00C56498" w:rsidRPr="00631676">
        <w:rPr>
          <w:rFonts w:cstheme="minorHAnsi"/>
        </w:rPr>
        <w:t>debt in exchange for killing someone; the person was</w:t>
      </w:r>
      <w:r w:rsidR="00C2066E" w:rsidRPr="00631676">
        <w:rPr>
          <w:rFonts w:cstheme="minorHAnsi"/>
        </w:rPr>
        <w:t xml:space="preserve"> someone</w:t>
      </w:r>
      <w:r w:rsidR="00C56498" w:rsidRPr="00631676">
        <w:rPr>
          <w:rFonts w:cstheme="minorHAnsi"/>
        </w:rPr>
        <w:t xml:space="preserve"> unknown to him.  </w:t>
      </w:r>
      <w:r w:rsidR="003603CB" w:rsidRPr="00631676">
        <w:rPr>
          <w:rFonts w:cstheme="minorHAnsi"/>
        </w:rPr>
        <w:t xml:space="preserve">Defendant told detectives </w:t>
      </w:r>
      <w:r w:rsidR="003603CB" w:rsidRPr="00631676">
        <w:rPr>
          <w:rFonts w:cstheme="minorHAnsi"/>
        </w:rPr>
        <w:lastRenderedPageBreak/>
        <w:t xml:space="preserve">he drove Sheehan’s car to a </w:t>
      </w:r>
      <w:r w:rsidR="0022475B" w:rsidRPr="00631676">
        <w:rPr>
          <w:rFonts w:cstheme="minorHAnsi"/>
        </w:rPr>
        <w:t>m</w:t>
      </w:r>
      <w:r w:rsidR="003603CB" w:rsidRPr="00631676">
        <w:rPr>
          <w:rFonts w:cstheme="minorHAnsi"/>
        </w:rPr>
        <w:t>otel in Santa Barbara.  When asked what happened next, defendant said, “You guys know what happened.  I think I’m going to stop there for now.”  He again requested water</w:t>
      </w:r>
      <w:r w:rsidR="00980045" w:rsidRPr="00631676">
        <w:rPr>
          <w:rFonts w:cstheme="minorHAnsi"/>
        </w:rPr>
        <w:t>, then expressed concern for his family’s well</w:t>
      </w:r>
      <w:r w:rsidR="00B04B91" w:rsidRPr="00631676">
        <w:rPr>
          <w:rFonts w:cstheme="minorHAnsi"/>
        </w:rPr>
        <w:t>-</w:t>
      </w:r>
      <w:r w:rsidR="00980045" w:rsidRPr="00631676">
        <w:rPr>
          <w:rFonts w:cstheme="minorHAnsi"/>
        </w:rPr>
        <w:t>being</w:t>
      </w:r>
      <w:r w:rsidR="003603CB" w:rsidRPr="00631676">
        <w:rPr>
          <w:rFonts w:cstheme="minorHAnsi"/>
        </w:rPr>
        <w:t xml:space="preserve">.  </w:t>
      </w:r>
    </w:p>
    <w:p w14:paraId="10CD187A" w14:textId="16ED72B9" w:rsidR="0073263F" w:rsidRPr="00631676" w:rsidRDefault="003603CB" w:rsidP="00D410E9">
      <w:pPr>
        <w:rPr>
          <w:rFonts w:cstheme="minorHAnsi"/>
        </w:rPr>
      </w:pPr>
      <w:r w:rsidRPr="00631676">
        <w:rPr>
          <w:rFonts w:cstheme="minorHAnsi"/>
        </w:rPr>
        <w:tab/>
        <w:t xml:space="preserve">Sergeant Reinstadler reminded </w:t>
      </w:r>
      <w:r w:rsidR="0022475B" w:rsidRPr="00631676">
        <w:rPr>
          <w:rFonts w:cstheme="minorHAnsi"/>
        </w:rPr>
        <w:t>defendant</w:t>
      </w:r>
      <w:r w:rsidR="006E453B" w:rsidRPr="00631676">
        <w:rPr>
          <w:rFonts w:cstheme="minorHAnsi"/>
        </w:rPr>
        <w:t xml:space="preserve"> </w:t>
      </w:r>
      <w:r w:rsidRPr="00631676">
        <w:rPr>
          <w:rFonts w:cstheme="minorHAnsi"/>
        </w:rPr>
        <w:t>that he had the right to stop spe</w:t>
      </w:r>
      <w:r w:rsidR="00A9188E" w:rsidRPr="00631676">
        <w:rPr>
          <w:rFonts w:cstheme="minorHAnsi"/>
        </w:rPr>
        <w:t xml:space="preserve">aking to them at any point.  </w:t>
      </w:r>
      <w:r w:rsidRPr="00631676">
        <w:rPr>
          <w:rFonts w:cstheme="minorHAnsi"/>
        </w:rPr>
        <w:t>Detective West offered to let defendant “collect [his] thoughts</w:t>
      </w:r>
      <w:r w:rsidR="006E453B" w:rsidRPr="00631676">
        <w:rPr>
          <w:rFonts w:cstheme="minorHAnsi"/>
        </w:rPr>
        <w:t>,</w:t>
      </w:r>
      <w:r w:rsidRPr="00631676">
        <w:rPr>
          <w:rFonts w:cstheme="minorHAnsi"/>
        </w:rPr>
        <w:t>” and defendant said he wished “more than anythin</w:t>
      </w:r>
      <w:r w:rsidR="0013099B" w:rsidRPr="00631676">
        <w:rPr>
          <w:rFonts w:cstheme="minorHAnsi"/>
        </w:rPr>
        <w:t xml:space="preserve">g” that he had a cigarette.  </w:t>
      </w:r>
      <w:r w:rsidR="0029291A" w:rsidRPr="00631676">
        <w:rPr>
          <w:rFonts w:cstheme="minorHAnsi"/>
        </w:rPr>
        <w:t xml:space="preserve">Sergeant Reinstadler </w:t>
      </w:r>
      <w:r w:rsidR="0013099B" w:rsidRPr="00631676">
        <w:rPr>
          <w:rFonts w:cstheme="minorHAnsi"/>
        </w:rPr>
        <w:t>reminded</w:t>
      </w:r>
      <w:r w:rsidR="0029291A" w:rsidRPr="00631676">
        <w:rPr>
          <w:rFonts w:cstheme="minorHAnsi"/>
        </w:rPr>
        <w:t xml:space="preserve"> defendant, “You wanted to talk to us, man.”  </w:t>
      </w:r>
      <w:r w:rsidR="0069621F" w:rsidRPr="00631676">
        <w:rPr>
          <w:rFonts w:cstheme="minorHAnsi"/>
        </w:rPr>
        <w:t>D</w:t>
      </w:r>
      <w:r w:rsidR="0029291A" w:rsidRPr="00631676">
        <w:rPr>
          <w:rFonts w:cstheme="minorHAnsi"/>
        </w:rPr>
        <w:t xml:space="preserve">efendant asked </w:t>
      </w:r>
      <w:r w:rsidR="0069621F" w:rsidRPr="00631676">
        <w:rPr>
          <w:rFonts w:cstheme="minorHAnsi"/>
        </w:rPr>
        <w:t>whether</w:t>
      </w:r>
      <w:r w:rsidR="0029291A" w:rsidRPr="00631676">
        <w:rPr>
          <w:rFonts w:cstheme="minorHAnsi"/>
        </w:rPr>
        <w:t xml:space="preserve"> he</w:t>
      </w:r>
      <w:r w:rsidR="0022475B" w:rsidRPr="00631676">
        <w:rPr>
          <w:rFonts w:cstheme="minorHAnsi"/>
        </w:rPr>
        <w:t xml:space="preserve"> had</w:t>
      </w:r>
      <w:r w:rsidR="0029291A" w:rsidRPr="00631676">
        <w:rPr>
          <w:rFonts w:cstheme="minorHAnsi"/>
        </w:rPr>
        <w:t xml:space="preserve"> been helpful, </w:t>
      </w:r>
      <w:r w:rsidR="0069621F" w:rsidRPr="00631676">
        <w:rPr>
          <w:rFonts w:cstheme="minorHAnsi"/>
        </w:rPr>
        <w:t xml:space="preserve">and the </w:t>
      </w:r>
      <w:r w:rsidR="0022475B" w:rsidRPr="00631676">
        <w:rPr>
          <w:rFonts w:cstheme="minorHAnsi"/>
        </w:rPr>
        <w:t>detectives</w:t>
      </w:r>
      <w:r w:rsidR="0069621F" w:rsidRPr="00631676">
        <w:rPr>
          <w:rFonts w:cstheme="minorHAnsi"/>
        </w:rPr>
        <w:t xml:space="preserve"> urge</w:t>
      </w:r>
      <w:r w:rsidR="006E453B" w:rsidRPr="00631676">
        <w:rPr>
          <w:rFonts w:cstheme="minorHAnsi"/>
        </w:rPr>
        <w:t>d</w:t>
      </w:r>
      <w:r w:rsidR="0069621F" w:rsidRPr="00631676">
        <w:rPr>
          <w:rFonts w:cstheme="minorHAnsi"/>
        </w:rPr>
        <w:t xml:space="preserve"> </w:t>
      </w:r>
      <w:r w:rsidR="006E453B" w:rsidRPr="00631676">
        <w:rPr>
          <w:rFonts w:cstheme="minorHAnsi"/>
        </w:rPr>
        <w:t xml:space="preserve">him </w:t>
      </w:r>
      <w:r w:rsidR="0029291A" w:rsidRPr="00631676">
        <w:rPr>
          <w:rFonts w:cstheme="minorHAnsi"/>
        </w:rPr>
        <w:t>to fill in more “piece[s] of the puzzle.”</w:t>
      </w:r>
      <w:r w:rsidR="008B5521" w:rsidRPr="00631676">
        <w:rPr>
          <w:rFonts w:cstheme="minorHAnsi"/>
        </w:rPr>
        <w:t xml:space="preserve">  Reinstadler asked </w:t>
      </w:r>
      <w:r w:rsidR="006E453B" w:rsidRPr="00631676">
        <w:rPr>
          <w:rFonts w:cstheme="minorHAnsi"/>
        </w:rPr>
        <w:t>him</w:t>
      </w:r>
      <w:r w:rsidR="008B5521" w:rsidRPr="00631676">
        <w:rPr>
          <w:rFonts w:cstheme="minorHAnsi"/>
        </w:rPr>
        <w:t>, “</w:t>
      </w:r>
      <w:r w:rsidR="00630B1C" w:rsidRPr="00631676">
        <w:rPr>
          <w:rFonts w:cstheme="minorHAnsi"/>
        </w:rPr>
        <w:t>Who</w:t>
      </w:r>
      <w:r w:rsidR="008B5521" w:rsidRPr="00631676">
        <w:rPr>
          <w:rFonts w:cstheme="minorHAnsi"/>
        </w:rPr>
        <w:t xml:space="preserve"> are you ultimately concerned with?  Who, who do you feel sorry for here?”  Defendant replied, “Not me,” continuing, “That kid I buried.”  Reinstadler asked him if he was “</w:t>
      </w:r>
      <w:r w:rsidR="00D12DA9" w:rsidRPr="00631676">
        <w:rPr>
          <w:rFonts w:cstheme="minorHAnsi"/>
        </w:rPr>
        <w:t>[w]</w:t>
      </w:r>
      <w:r w:rsidR="008B5521" w:rsidRPr="00631676">
        <w:rPr>
          <w:rFonts w:cstheme="minorHAnsi"/>
        </w:rPr>
        <w:t>ak[ing] up thinking about someone say</w:t>
      </w:r>
      <w:r w:rsidR="002101B9" w:rsidRPr="00631676">
        <w:rPr>
          <w:rFonts w:cstheme="minorHAnsi"/>
        </w:rPr>
        <w:t>ing, ‘Please.  Please.’</w:t>
      </w:r>
      <w:r w:rsidR="0041028D" w:rsidRPr="00631676">
        <w:rPr>
          <w:rFonts w:cstheme="minorHAnsi"/>
        </w:rPr>
        <w:t> </w:t>
      </w:r>
      <w:r w:rsidR="002101B9" w:rsidRPr="00631676">
        <w:rPr>
          <w:rFonts w:cstheme="minorHAnsi"/>
        </w:rPr>
        <w:t>”</w:t>
      </w:r>
      <w:r w:rsidR="008B5521" w:rsidRPr="00631676">
        <w:rPr>
          <w:rFonts w:cstheme="minorHAnsi"/>
        </w:rPr>
        <w:t xml:space="preserve">  </w:t>
      </w:r>
      <w:r w:rsidR="0073263F" w:rsidRPr="00631676">
        <w:rPr>
          <w:rFonts w:cstheme="minorHAnsi"/>
        </w:rPr>
        <w:t xml:space="preserve">The </w:t>
      </w:r>
      <w:r w:rsidR="0023775A" w:rsidRPr="00631676">
        <w:rPr>
          <w:rFonts w:cstheme="minorHAnsi"/>
        </w:rPr>
        <w:t>detectives</w:t>
      </w:r>
      <w:r w:rsidR="0073263F" w:rsidRPr="00631676">
        <w:rPr>
          <w:rFonts w:cstheme="minorHAnsi"/>
        </w:rPr>
        <w:t xml:space="preserve"> </w:t>
      </w:r>
      <w:r w:rsidR="006E453B" w:rsidRPr="00631676">
        <w:rPr>
          <w:rFonts w:cstheme="minorHAnsi"/>
        </w:rPr>
        <w:t>asked</w:t>
      </w:r>
      <w:r w:rsidR="0073263F" w:rsidRPr="00631676">
        <w:rPr>
          <w:rFonts w:cstheme="minorHAnsi"/>
        </w:rPr>
        <w:t xml:space="preserve"> </w:t>
      </w:r>
      <w:r w:rsidR="00BD4BA2" w:rsidRPr="00631676">
        <w:rPr>
          <w:rFonts w:cstheme="minorHAnsi"/>
        </w:rPr>
        <w:t>if that was what the duct tape ar</w:t>
      </w:r>
      <w:r w:rsidR="002101B9" w:rsidRPr="00631676">
        <w:rPr>
          <w:rFonts w:cstheme="minorHAnsi"/>
        </w:rPr>
        <w:t>ound the victim’s mouth was for</w:t>
      </w:r>
      <w:r w:rsidR="0073263F" w:rsidRPr="00631676">
        <w:rPr>
          <w:rFonts w:cstheme="minorHAnsi"/>
        </w:rPr>
        <w:t>, and d</w:t>
      </w:r>
      <w:r w:rsidR="00BD4BA2" w:rsidRPr="00631676">
        <w:rPr>
          <w:rFonts w:cstheme="minorHAnsi"/>
        </w:rPr>
        <w:t>efendant repli</w:t>
      </w:r>
      <w:r w:rsidR="002101B9" w:rsidRPr="00631676">
        <w:rPr>
          <w:rFonts w:cstheme="minorHAnsi"/>
        </w:rPr>
        <w:t xml:space="preserve">ed, “Close.”  </w:t>
      </w:r>
      <w:r w:rsidR="00BD4BA2" w:rsidRPr="00631676">
        <w:rPr>
          <w:rFonts w:cstheme="minorHAnsi"/>
        </w:rPr>
        <w:t xml:space="preserve">  </w:t>
      </w:r>
    </w:p>
    <w:p w14:paraId="2730C4BB" w14:textId="7A0F28DA" w:rsidR="00150AD2" w:rsidRPr="00631676" w:rsidRDefault="0073263F" w:rsidP="00D410E9">
      <w:pPr>
        <w:rPr>
          <w:rFonts w:cstheme="minorHAnsi"/>
        </w:rPr>
      </w:pPr>
      <w:r w:rsidRPr="00631676">
        <w:rPr>
          <w:rFonts w:cstheme="minorHAnsi"/>
        </w:rPr>
        <w:tab/>
      </w:r>
      <w:r w:rsidR="00BD4BA2" w:rsidRPr="00631676">
        <w:rPr>
          <w:rFonts w:cstheme="minorHAnsi"/>
        </w:rPr>
        <w:t>Reinstadler asked</w:t>
      </w:r>
      <w:r w:rsidR="00C7232B" w:rsidRPr="00631676">
        <w:rPr>
          <w:rFonts w:cstheme="minorHAnsi"/>
        </w:rPr>
        <w:t xml:space="preserve"> defendant if he put the duct tape on Nick’s mouth, but defendant denied</w:t>
      </w:r>
      <w:r w:rsidR="00BD4BA2" w:rsidRPr="00631676">
        <w:rPr>
          <w:rFonts w:cstheme="minorHAnsi"/>
        </w:rPr>
        <w:t xml:space="preserve"> doing it.  Reinstadler </w:t>
      </w:r>
      <w:r w:rsidRPr="00631676">
        <w:rPr>
          <w:rFonts w:cstheme="minorHAnsi"/>
        </w:rPr>
        <w:t xml:space="preserve">then </w:t>
      </w:r>
      <w:r w:rsidR="00BD4BA2" w:rsidRPr="00631676">
        <w:rPr>
          <w:rFonts w:cstheme="minorHAnsi"/>
        </w:rPr>
        <w:t xml:space="preserve">asked whether Jesse did it, and defendant </w:t>
      </w:r>
      <w:r w:rsidR="00D12DA9" w:rsidRPr="00631676">
        <w:rPr>
          <w:rFonts w:cstheme="minorHAnsi"/>
        </w:rPr>
        <w:t>said</w:t>
      </w:r>
      <w:r w:rsidR="00BD4BA2" w:rsidRPr="00631676">
        <w:rPr>
          <w:rFonts w:cstheme="minorHAnsi"/>
        </w:rPr>
        <w:t xml:space="preserve"> Hollywood was not in Santa Barbara.  Reinstadler clarified he meant Jesse Rugge, </w:t>
      </w:r>
      <w:r w:rsidRPr="00631676">
        <w:rPr>
          <w:rFonts w:cstheme="minorHAnsi"/>
        </w:rPr>
        <w:t xml:space="preserve">not Jesse Hollywood, </w:t>
      </w:r>
      <w:r w:rsidR="00BD4BA2" w:rsidRPr="00631676">
        <w:rPr>
          <w:rFonts w:cstheme="minorHAnsi"/>
        </w:rPr>
        <w:t>and told defendant</w:t>
      </w:r>
      <w:r w:rsidRPr="00631676">
        <w:rPr>
          <w:rFonts w:cstheme="minorHAnsi"/>
        </w:rPr>
        <w:t xml:space="preserve"> that</w:t>
      </w:r>
      <w:r w:rsidR="00BD4BA2" w:rsidRPr="00631676">
        <w:rPr>
          <w:rFonts w:cstheme="minorHAnsi"/>
        </w:rPr>
        <w:t xml:space="preserve"> Rugge </w:t>
      </w:r>
      <w:r w:rsidRPr="00631676">
        <w:rPr>
          <w:rFonts w:cstheme="minorHAnsi"/>
        </w:rPr>
        <w:t xml:space="preserve">had </w:t>
      </w:r>
      <w:r w:rsidR="00BD4BA2" w:rsidRPr="00631676">
        <w:rPr>
          <w:rFonts w:cstheme="minorHAnsi"/>
        </w:rPr>
        <w:t xml:space="preserve">said that defendant placed the duct tape around </w:t>
      </w:r>
      <w:r w:rsidR="00FE062E" w:rsidRPr="00631676">
        <w:rPr>
          <w:rFonts w:cstheme="minorHAnsi"/>
        </w:rPr>
        <w:t>Nick’s</w:t>
      </w:r>
      <w:r w:rsidR="00BD4BA2" w:rsidRPr="00631676">
        <w:rPr>
          <w:rFonts w:cstheme="minorHAnsi"/>
        </w:rPr>
        <w:t xml:space="preserve"> mouth.  Defendant replied, “I love this</w:t>
      </w:r>
      <w:r w:rsidR="004E3529" w:rsidRPr="00631676">
        <w:rPr>
          <w:rFonts w:cstheme="minorHAnsi"/>
        </w:rPr>
        <w:t xml:space="preserve"> one</w:t>
      </w:r>
      <w:r w:rsidR="00BD4BA2" w:rsidRPr="00631676">
        <w:rPr>
          <w:rFonts w:cstheme="minorHAnsi"/>
        </w:rPr>
        <w:t xml:space="preserve">.  </w:t>
      </w:r>
      <w:r w:rsidR="00BD4BA2" w:rsidRPr="00631676">
        <w:rPr>
          <w:rFonts w:cstheme="minorHAnsi"/>
          <w:i/>
        </w:rPr>
        <w:t>The only thing I did was kill him</w:t>
      </w:r>
      <w:r w:rsidR="00BD4BA2" w:rsidRPr="00631676">
        <w:rPr>
          <w:rFonts w:cstheme="minorHAnsi"/>
        </w:rPr>
        <w:t xml:space="preserve">.”  </w:t>
      </w:r>
      <w:r w:rsidR="00150AD2" w:rsidRPr="00631676">
        <w:rPr>
          <w:rFonts w:cstheme="minorHAnsi"/>
        </w:rPr>
        <w:t xml:space="preserve">Defendant </w:t>
      </w:r>
      <w:r w:rsidR="006E453B" w:rsidRPr="00631676">
        <w:rPr>
          <w:rFonts w:cstheme="minorHAnsi"/>
        </w:rPr>
        <w:t>added</w:t>
      </w:r>
      <w:r w:rsidR="00150AD2" w:rsidRPr="00631676">
        <w:rPr>
          <w:rFonts w:cstheme="minorHAnsi"/>
        </w:rPr>
        <w:t xml:space="preserve"> that he did not select the gravesite or dig the grave</w:t>
      </w:r>
      <w:r w:rsidR="003D56F7" w:rsidRPr="00631676">
        <w:rPr>
          <w:rFonts w:cstheme="minorHAnsi"/>
        </w:rPr>
        <w:t xml:space="preserve">; </w:t>
      </w:r>
      <w:r w:rsidR="00150AD2" w:rsidRPr="00631676">
        <w:rPr>
          <w:rFonts w:cstheme="minorHAnsi"/>
        </w:rPr>
        <w:t>Pressley, who</w:t>
      </w:r>
      <w:r w:rsidR="00D12DA9" w:rsidRPr="00631676">
        <w:rPr>
          <w:rFonts w:cstheme="minorHAnsi"/>
        </w:rPr>
        <w:t>m</w:t>
      </w:r>
      <w:r w:rsidR="00150AD2" w:rsidRPr="00631676">
        <w:rPr>
          <w:rFonts w:cstheme="minorHAnsi"/>
        </w:rPr>
        <w:t xml:space="preserve"> he had not previously known, handled both those tasks.  </w:t>
      </w:r>
      <w:r w:rsidR="00500444" w:rsidRPr="00631676">
        <w:rPr>
          <w:rFonts w:cstheme="minorHAnsi"/>
        </w:rPr>
        <w:t xml:space="preserve">The </w:t>
      </w:r>
      <w:r w:rsidR="0023775A" w:rsidRPr="00631676">
        <w:rPr>
          <w:rFonts w:cstheme="minorHAnsi"/>
        </w:rPr>
        <w:t>detectives</w:t>
      </w:r>
      <w:r w:rsidR="00150AD2" w:rsidRPr="00631676">
        <w:rPr>
          <w:rFonts w:cstheme="minorHAnsi"/>
        </w:rPr>
        <w:t xml:space="preserve"> asked defendant if he had any moments of feeling what he was doing was wrong, and he </w:t>
      </w:r>
      <w:r w:rsidR="00500444" w:rsidRPr="00631676">
        <w:rPr>
          <w:rFonts w:cstheme="minorHAnsi"/>
        </w:rPr>
        <w:t>said</w:t>
      </w:r>
      <w:r w:rsidR="00150AD2" w:rsidRPr="00631676">
        <w:rPr>
          <w:rFonts w:cstheme="minorHAnsi"/>
        </w:rPr>
        <w:t xml:space="preserve"> he </w:t>
      </w:r>
      <w:r w:rsidR="00500444" w:rsidRPr="00631676">
        <w:rPr>
          <w:rFonts w:cstheme="minorHAnsi"/>
        </w:rPr>
        <w:t>did think that,</w:t>
      </w:r>
      <w:r w:rsidR="00150AD2" w:rsidRPr="00631676">
        <w:rPr>
          <w:rFonts w:cstheme="minorHAnsi"/>
        </w:rPr>
        <w:t xml:space="preserve"> for a moment</w:t>
      </w:r>
      <w:r w:rsidR="00500444" w:rsidRPr="00631676">
        <w:rPr>
          <w:rFonts w:cstheme="minorHAnsi"/>
        </w:rPr>
        <w:t>,</w:t>
      </w:r>
      <w:r w:rsidR="00150AD2" w:rsidRPr="00631676">
        <w:rPr>
          <w:rFonts w:cstheme="minorHAnsi"/>
        </w:rPr>
        <w:t xml:space="preserve"> “right before.”  </w:t>
      </w:r>
    </w:p>
    <w:p w14:paraId="14F80D8E" w14:textId="35759F56" w:rsidR="00ED7286" w:rsidRPr="00D410E9" w:rsidRDefault="00ED7286" w:rsidP="00004FD5">
      <w:pPr>
        <w:pStyle w:val="Heading2"/>
        <w:rPr>
          <w:rFonts w:cstheme="minorHAnsi"/>
          <w:i/>
          <w:szCs w:val="26"/>
        </w:rPr>
      </w:pPr>
      <w:r w:rsidRPr="00D410E9">
        <w:rPr>
          <w:rFonts w:cstheme="minorHAnsi"/>
          <w:szCs w:val="26"/>
        </w:rPr>
        <w:lastRenderedPageBreak/>
        <w:tab/>
      </w:r>
      <w:bookmarkStart w:id="13" w:name="_Toc12993752"/>
      <w:r w:rsidR="0015789A" w:rsidRPr="00D410E9">
        <w:rPr>
          <w:rFonts w:cstheme="minorHAnsi"/>
          <w:szCs w:val="26"/>
        </w:rPr>
        <w:t>B</w:t>
      </w:r>
      <w:r w:rsidRPr="00D410E9">
        <w:rPr>
          <w:rFonts w:cstheme="minorHAnsi"/>
          <w:szCs w:val="26"/>
        </w:rPr>
        <w:t>.</w:t>
      </w:r>
      <w:r w:rsidR="00153E6D">
        <w:rPr>
          <w:rFonts w:cstheme="minorHAnsi"/>
          <w:szCs w:val="26"/>
        </w:rPr>
        <w:tab/>
      </w:r>
      <w:r w:rsidRPr="00D410E9">
        <w:rPr>
          <w:rFonts w:cstheme="minorHAnsi"/>
          <w:szCs w:val="26"/>
        </w:rPr>
        <w:tab/>
        <w:t>Defense Case</w:t>
      </w:r>
      <w:bookmarkEnd w:id="13"/>
    </w:p>
    <w:p w14:paraId="0B2CCF57" w14:textId="1BF02BB6" w:rsidR="00A8213A" w:rsidRPr="00D410E9" w:rsidRDefault="00A8213A" w:rsidP="00D410E9">
      <w:pPr>
        <w:pStyle w:val="Heading3"/>
        <w:rPr>
          <w:rFonts w:cstheme="minorHAnsi"/>
          <w:b/>
          <w:i w:val="0"/>
        </w:rPr>
      </w:pPr>
      <w:r w:rsidRPr="00D410E9">
        <w:rPr>
          <w:rFonts w:cstheme="minorHAnsi"/>
        </w:rPr>
        <w:tab/>
      </w:r>
      <w:r w:rsidRPr="00D410E9">
        <w:rPr>
          <w:rFonts w:cstheme="minorHAnsi"/>
        </w:rPr>
        <w:tab/>
      </w:r>
      <w:bookmarkStart w:id="14" w:name="_Toc12993753"/>
      <w:r w:rsidRPr="00D410E9">
        <w:rPr>
          <w:rFonts w:cstheme="minorHAnsi"/>
        </w:rPr>
        <w:t>1.</w:t>
      </w:r>
      <w:r w:rsidRPr="00D410E9">
        <w:rPr>
          <w:rFonts w:cstheme="minorHAnsi"/>
        </w:rPr>
        <w:tab/>
        <w:t>Defendant’s Testimony</w:t>
      </w:r>
      <w:bookmarkEnd w:id="14"/>
    </w:p>
    <w:p w14:paraId="511AEC69" w14:textId="0125FCA8" w:rsidR="007D249E" w:rsidRPr="00631676" w:rsidRDefault="00A8213A" w:rsidP="00D410E9">
      <w:pPr>
        <w:rPr>
          <w:rFonts w:cstheme="minorHAnsi"/>
        </w:rPr>
      </w:pPr>
      <w:r w:rsidRPr="00631676">
        <w:rPr>
          <w:rFonts w:cstheme="minorHAnsi"/>
        </w:rPr>
        <w:tab/>
      </w:r>
      <w:r w:rsidR="007D249E" w:rsidRPr="00631676">
        <w:rPr>
          <w:rFonts w:cstheme="minorHAnsi"/>
        </w:rPr>
        <w:t>D</w:t>
      </w:r>
      <w:r w:rsidRPr="00631676">
        <w:rPr>
          <w:rFonts w:cstheme="minorHAnsi"/>
        </w:rPr>
        <w:t xml:space="preserve">efendant testified on his own behalf.  </w:t>
      </w:r>
      <w:r w:rsidR="006E453B" w:rsidRPr="00631676">
        <w:rPr>
          <w:rFonts w:cstheme="minorHAnsi"/>
        </w:rPr>
        <w:t>H</w:t>
      </w:r>
      <w:r w:rsidR="00A27EF7" w:rsidRPr="00631676">
        <w:rPr>
          <w:rFonts w:cstheme="minorHAnsi"/>
        </w:rPr>
        <w:t xml:space="preserve">e </w:t>
      </w:r>
      <w:r w:rsidR="009A24FB">
        <w:rPr>
          <w:rFonts w:cstheme="minorHAnsi"/>
        </w:rPr>
        <w:t xml:space="preserve">acknowledged that he </w:t>
      </w:r>
      <w:r w:rsidR="00A27EF7" w:rsidRPr="00631676">
        <w:rPr>
          <w:rFonts w:cstheme="minorHAnsi"/>
        </w:rPr>
        <w:t xml:space="preserve">was friends with, and sold drugs for, Hollywood.  He was indebted to Hollywood and did odd jobs, including yard work, </w:t>
      </w:r>
      <w:r w:rsidR="008F6F7F" w:rsidRPr="00631676">
        <w:rPr>
          <w:rFonts w:cstheme="minorHAnsi"/>
        </w:rPr>
        <w:t xml:space="preserve">to reduce his debt.  </w:t>
      </w:r>
    </w:p>
    <w:p w14:paraId="10EC4DA4" w14:textId="1B99A6D1" w:rsidR="007D249E" w:rsidRPr="00631676" w:rsidRDefault="007D249E" w:rsidP="00D410E9">
      <w:pPr>
        <w:rPr>
          <w:rFonts w:cstheme="minorHAnsi"/>
        </w:rPr>
      </w:pPr>
      <w:r w:rsidRPr="00631676">
        <w:rPr>
          <w:rFonts w:cstheme="minorHAnsi"/>
        </w:rPr>
        <w:tab/>
        <w:t xml:space="preserve">On August 5, 2000, defendant helped Hollywood pack up his house.  Someone had broken the windows of the house, and Hollywood had received a voicemail that Ben, who sometimes sold marijuana for Hollywood, was the culprit.  Defendant finished cleaning up the broken glass and went to his grandmother’s home around 10:00 p.m. that evening.  </w:t>
      </w:r>
    </w:p>
    <w:p w14:paraId="546B49B8" w14:textId="46BC9157" w:rsidR="007D249E" w:rsidRPr="00631676" w:rsidRDefault="007D249E" w:rsidP="00D410E9">
      <w:pPr>
        <w:rPr>
          <w:rFonts w:cstheme="minorHAnsi"/>
        </w:rPr>
      </w:pPr>
      <w:r w:rsidRPr="00631676">
        <w:rPr>
          <w:rFonts w:cstheme="minorHAnsi"/>
        </w:rPr>
        <w:tab/>
        <w:t>On August 8, 2000, at around 2:30 p.m., defendant went to Hollywood’s home.  He and Hollywood drove around for a while, and Hollywood seemed excited.  Hollywood asked if defendant would like to work off the last $200 of his debt by delivering a package to Rugg</w:t>
      </w:r>
      <w:r w:rsidR="00AA4B7A" w:rsidRPr="00631676">
        <w:rPr>
          <w:rFonts w:cstheme="minorHAnsi"/>
        </w:rPr>
        <w:t xml:space="preserve">e in Santa Barbara.  </w:t>
      </w:r>
      <w:r w:rsidRPr="00631676">
        <w:rPr>
          <w:rFonts w:cstheme="minorHAnsi"/>
        </w:rPr>
        <w:t xml:space="preserve">Defendant testified that Hollywood told him if he delivered the package, his debt would be “clear” by his birthday a few days later.  Defendant was to drive Sheehan’s car.  Defendant assumed Hollywood was not going himself because he was celebrating his girlfriend’s birthday.  Defendant agreed, and Hollywood told him where Rugge was staying and gave him a phone number to reach Rugge.  Defendant testified he then waited at Hollywood’s home for about three or four hours, at which point Hollywood picked up defendant and took him to Sheehan’s home to pick up Sheehan’s car.  Hollywood gave defendant a bag to deliver to Rugge, and defendant testified that he did not look inside, presuming it to contain marijuana.  No one mentioned anything about Nick to defendant.  </w:t>
      </w:r>
    </w:p>
    <w:p w14:paraId="32F7FA13" w14:textId="36FB52C0" w:rsidR="007D249E" w:rsidRPr="00631676" w:rsidRDefault="007D249E" w:rsidP="00D410E9">
      <w:pPr>
        <w:rPr>
          <w:rFonts w:cstheme="minorHAnsi"/>
        </w:rPr>
      </w:pPr>
      <w:r w:rsidRPr="00631676">
        <w:rPr>
          <w:rFonts w:cstheme="minorHAnsi"/>
        </w:rPr>
        <w:lastRenderedPageBreak/>
        <w:tab/>
        <w:t>Defendant drove to Santa Barbara.  He called Rugge from a mini-market off the highway, and Rugge directed him to a room at the Lemon Tree Inn.  Defendant delivered the bag, annoyed that Pressley was in the room because defendant had asked that Rugge be alone.  Rugge asked defendant to drive him back to the San Fernando Valley in the morning</w:t>
      </w:r>
      <w:r w:rsidR="005E3FA2" w:rsidRPr="00631676">
        <w:rPr>
          <w:rFonts w:cstheme="minorHAnsi"/>
        </w:rPr>
        <w:t>,</w:t>
      </w:r>
      <w:r w:rsidRPr="00631676">
        <w:rPr>
          <w:rFonts w:cstheme="minorHAnsi"/>
        </w:rPr>
        <w:t xml:space="preserve"> and defendant agreed.  Rugge and Pressley borrowed the car for several hours, returning to the room about 2:30 a.m.  Once they returned, defendant and Rugge </w:t>
      </w:r>
      <w:r w:rsidR="005E3FA2" w:rsidRPr="00631676">
        <w:rPr>
          <w:rFonts w:cstheme="minorHAnsi"/>
        </w:rPr>
        <w:t>drove</w:t>
      </w:r>
      <w:r w:rsidRPr="00631676">
        <w:rPr>
          <w:rFonts w:cstheme="minorHAnsi"/>
        </w:rPr>
        <w:t xml:space="preserve"> back toward Los Angeles.  Defendant dropped Rugge off at Rugge’s mother’s home.  Defendant then drove to his grandmother’s house, where he was then living.  </w:t>
      </w:r>
    </w:p>
    <w:p w14:paraId="6E4189C2" w14:textId="4C5BA14C" w:rsidR="00F368A1" w:rsidRPr="00631676" w:rsidRDefault="00F368A1" w:rsidP="00F85344">
      <w:pPr>
        <w:rPr>
          <w:rFonts w:cstheme="minorHAnsi"/>
        </w:rPr>
      </w:pPr>
      <w:r w:rsidRPr="00631676">
        <w:rPr>
          <w:rFonts w:cstheme="minorHAnsi"/>
        </w:rPr>
        <w:tab/>
        <w:t xml:space="preserve">Defendant testified that he did not hear of Nick’s death until the evening of August 12, when Skidmore told him </w:t>
      </w:r>
      <w:r w:rsidR="005D5012" w:rsidRPr="00631676">
        <w:rPr>
          <w:rFonts w:cstheme="minorHAnsi"/>
        </w:rPr>
        <w:t xml:space="preserve">that </w:t>
      </w:r>
      <w:r w:rsidRPr="00631676">
        <w:rPr>
          <w:rFonts w:cstheme="minorHAnsi"/>
        </w:rPr>
        <w:t>“Ben’s brothe</w:t>
      </w:r>
      <w:r w:rsidR="00A65F01" w:rsidRPr="00631676">
        <w:rPr>
          <w:rFonts w:cstheme="minorHAnsi"/>
        </w:rPr>
        <w:t xml:space="preserve">r had been found murdered.”  </w:t>
      </w:r>
      <w:r w:rsidR="00854D5C" w:rsidRPr="00631676">
        <w:rPr>
          <w:rFonts w:cstheme="minorHAnsi"/>
        </w:rPr>
        <w:t xml:space="preserve">Several days later, defendant learned Skidmore had been arrested.  Defendant began calling mutual friends, including Sheehan, who told defendant “he didn’t want [him] at his house.”  Defendant did not heed Sheehan’s request.  </w:t>
      </w:r>
      <w:r w:rsidR="00837EC9" w:rsidRPr="00631676">
        <w:rPr>
          <w:rFonts w:cstheme="minorHAnsi"/>
        </w:rPr>
        <w:t>Defendant</w:t>
      </w:r>
      <w:r w:rsidR="00854D5C" w:rsidRPr="00631676">
        <w:rPr>
          <w:rFonts w:cstheme="minorHAnsi"/>
        </w:rPr>
        <w:t xml:space="preserve"> receive</w:t>
      </w:r>
      <w:r w:rsidR="00D12DA9" w:rsidRPr="00631676">
        <w:rPr>
          <w:rFonts w:cstheme="minorHAnsi"/>
        </w:rPr>
        <w:t>d</w:t>
      </w:r>
      <w:r w:rsidR="00854D5C" w:rsidRPr="00631676">
        <w:rPr>
          <w:rFonts w:cstheme="minorHAnsi"/>
        </w:rPr>
        <w:t xml:space="preserve"> several pages from a number he did not recognize, and believed police were trying to reach him.  Defendant asked Sheehan to take him to a pay phone</w:t>
      </w:r>
      <w:r w:rsidR="001634F9">
        <w:rPr>
          <w:rFonts w:cstheme="minorHAnsi"/>
        </w:rPr>
        <w:t xml:space="preserve"> so he could</w:t>
      </w:r>
      <w:r w:rsidR="00854D5C" w:rsidRPr="00631676">
        <w:rPr>
          <w:rFonts w:cstheme="minorHAnsi"/>
        </w:rPr>
        <w:t xml:space="preserve"> call the police</w:t>
      </w:r>
      <w:r w:rsidR="00596162" w:rsidRPr="00631676">
        <w:rPr>
          <w:rFonts w:cstheme="minorHAnsi"/>
        </w:rPr>
        <w:t xml:space="preserve">.  </w:t>
      </w:r>
      <w:r w:rsidR="00837EC9" w:rsidRPr="00631676">
        <w:rPr>
          <w:rFonts w:cstheme="minorHAnsi"/>
        </w:rPr>
        <w:t>H</w:t>
      </w:r>
      <w:r w:rsidR="00854D5C" w:rsidRPr="00631676">
        <w:rPr>
          <w:rFonts w:cstheme="minorHAnsi"/>
        </w:rPr>
        <w:t>e was arrested</w:t>
      </w:r>
      <w:r w:rsidR="00837EC9" w:rsidRPr="00631676">
        <w:rPr>
          <w:rFonts w:cstheme="minorHAnsi"/>
        </w:rPr>
        <w:t xml:space="preserve"> shortly thereafter</w:t>
      </w:r>
      <w:r w:rsidR="00854D5C" w:rsidRPr="00631676">
        <w:rPr>
          <w:rFonts w:cstheme="minorHAnsi"/>
        </w:rPr>
        <w:t xml:space="preserve">.  </w:t>
      </w:r>
    </w:p>
    <w:p w14:paraId="634ED607" w14:textId="67C9AFE5" w:rsidR="00854D5C" w:rsidRPr="00631676" w:rsidRDefault="00854D5C" w:rsidP="00D410E9">
      <w:pPr>
        <w:rPr>
          <w:rFonts w:cstheme="minorHAnsi"/>
        </w:rPr>
      </w:pPr>
      <w:r w:rsidRPr="00631676">
        <w:rPr>
          <w:rFonts w:cstheme="minorHAnsi"/>
        </w:rPr>
        <w:tab/>
        <w:t>Following his arrest, he was eventually taken to Santa Barbara, although he d</w:t>
      </w:r>
      <w:r w:rsidR="00D8060F" w:rsidRPr="00631676">
        <w:rPr>
          <w:rFonts w:cstheme="minorHAnsi"/>
        </w:rPr>
        <w:t>id</w:t>
      </w:r>
      <w:r w:rsidRPr="00631676">
        <w:rPr>
          <w:rFonts w:cstheme="minorHAnsi"/>
        </w:rPr>
        <w:t xml:space="preserve"> not recall events with specificity.  He </w:t>
      </w:r>
      <w:r w:rsidR="008E5454" w:rsidRPr="00631676">
        <w:rPr>
          <w:rFonts w:cstheme="minorHAnsi"/>
        </w:rPr>
        <w:t>recall</w:t>
      </w:r>
      <w:r w:rsidR="007D7440" w:rsidRPr="00631676">
        <w:rPr>
          <w:rFonts w:cstheme="minorHAnsi"/>
        </w:rPr>
        <w:t>ed</w:t>
      </w:r>
      <w:r w:rsidR="008E5454" w:rsidRPr="00631676">
        <w:rPr>
          <w:rFonts w:cstheme="minorHAnsi"/>
        </w:rPr>
        <w:t xml:space="preserve"> throwing up </w:t>
      </w:r>
      <w:r w:rsidR="00D85017" w:rsidRPr="00631676">
        <w:rPr>
          <w:rFonts w:cstheme="minorHAnsi"/>
        </w:rPr>
        <w:t>and</w:t>
      </w:r>
      <w:r w:rsidRPr="00631676">
        <w:rPr>
          <w:rFonts w:cstheme="minorHAnsi"/>
        </w:rPr>
        <w:t xml:space="preserve"> kn</w:t>
      </w:r>
      <w:r w:rsidR="00D8060F" w:rsidRPr="00631676">
        <w:rPr>
          <w:rFonts w:cstheme="minorHAnsi"/>
        </w:rPr>
        <w:t>ew</w:t>
      </w:r>
      <w:r w:rsidRPr="00631676">
        <w:rPr>
          <w:rFonts w:cstheme="minorHAnsi"/>
        </w:rPr>
        <w:t xml:space="preserve"> he called his mother but claim</w:t>
      </w:r>
      <w:r w:rsidR="00D8060F" w:rsidRPr="00631676">
        <w:rPr>
          <w:rFonts w:cstheme="minorHAnsi"/>
        </w:rPr>
        <w:t>ed</w:t>
      </w:r>
      <w:r w:rsidRPr="00631676">
        <w:rPr>
          <w:rFonts w:cstheme="minorHAnsi"/>
        </w:rPr>
        <w:t xml:space="preserve"> to have no memory of the content of the phone call</w:t>
      </w:r>
      <w:r w:rsidR="00552CE2" w:rsidRPr="00631676">
        <w:rPr>
          <w:rFonts w:cstheme="minorHAnsi"/>
        </w:rPr>
        <w:t>.</w:t>
      </w:r>
      <w:r w:rsidRPr="00631676">
        <w:rPr>
          <w:rFonts w:cstheme="minorHAnsi"/>
        </w:rPr>
        <w:t xml:space="preserve">  In </w:t>
      </w:r>
      <w:r w:rsidR="00DF1490" w:rsidRPr="00631676">
        <w:rPr>
          <w:rFonts w:cstheme="minorHAnsi"/>
        </w:rPr>
        <w:t>fact, defendant testified that h</w:t>
      </w:r>
      <w:r w:rsidRPr="00631676">
        <w:rPr>
          <w:rFonts w:cstheme="minorHAnsi"/>
        </w:rPr>
        <w:t>e recalled nothing from the time of his arrest on August 16</w:t>
      </w:r>
      <w:r w:rsidR="00BA04C2" w:rsidRPr="00631676">
        <w:rPr>
          <w:rFonts w:cstheme="minorHAnsi"/>
        </w:rPr>
        <w:t xml:space="preserve"> </w:t>
      </w:r>
      <w:r w:rsidRPr="00631676">
        <w:rPr>
          <w:rFonts w:cstheme="minorHAnsi"/>
        </w:rPr>
        <w:t xml:space="preserve">until he woke up alone in a jail cell four days later.  </w:t>
      </w:r>
      <w:r w:rsidR="00DF1490" w:rsidRPr="00631676">
        <w:rPr>
          <w:rFonts w:cstheme="minorHAnsi"/>
        </w:rPr>
        <w:t>H</w:t>
      </w:r>
      <w:r w:rsidR="004363AA">
        <w:rPr>
          <w:rFonts w:cstheme="minorHAnsi"/>
        </w:rPr>
        <w:t>e did not remember his confession to detectives on August 17.</w:t>
      </w:r>
      <w:r w:rsidR="00DF1490" w:rsidRPr="00631676">
        <w:rPr>
          <w:rFonts w:cstheme="minorHAnsi"/>
        </w:rPr>
        <w:t xml:space="preserve"> </w:t>
      </w:r>
    </w:p>
    <w:p w14:paraId="6275C2CD" w14:textId="2C832404" w:rsidR="00552CE2" w:rsidRPr="00631676" w:rsidRDefault="00552CE2" w:rsidP="00D410E9">
      <w:pPr>
        <w:rPr>
          <w:rFonts w:cstheme="minorHAnsi"/>
        </w:rPr>
      </w:pPr>
      <w:r w:rsidRPr="00631676">
        <w:rPr>
          <w:rFonts w:cstheme="minorHAnsi"/>
        </w:rPr>
        <w:lastRenderedPageBreak/>
        <w:tab/>
        <w:t xml:space="preserve">Defendant’s taped confession was played for the jury.  Defendant testified that none of the statements indicating he was responsible for Nick’s death were true.  </w:t>
      </w:r>
    </w:p>
    <w:p w14:paraId="5ABF20C4" w14:textId="77777777" w:rsidR="00A8213A" w:rsidRPr="00D410E9" w:rsidRDefault="00A8213A" w:rsidP="00880755">
      <w:pPr>
        <w:pStyle w:val="Heading3"/>
        <w:rPr>
          <w:rFonts w:cstheme="minorHAnsi"/>
          <w:b/>
          <w:i w:val="0"/>
        </w:rPr>
      </w:pPr>
      <w:r w:rsidRPr="00D410E9">
        <w:rPr>
          <w:rFonts w:cstheme="minorHAnsi"/>
        </w:rPr>
        <w:tab/>
      </w:r>
      <w:r w:rsidRPr="00D410E9">
        <w:rPr>
          <w:rFonts w:cstheme="minorHAnsi"/>
        </w:rPr>
        <w:tab/>
      </w:r>
      <w:bookmarkStart w:id="15" w:name="_Toc12993754"/>
      <w:r w:rsidRPr="00D410E9">
        <w:rPr>
          <w:rFonts w:cstheme="minorHAnsi"/>
        </w:rPr>
        <w:t>2.</w:t>
      </w:r>
      <w:r w:rsidRPr="00D410E9">
        <w:rPr>
          <w:rFonts w:cstheme="minorHAnsi"/>
        </w:rPr>
        <w:tab/>
        <w:t>Dr. Kania’s Testimony</w:t>
      </w:r>
      <w:bookmarkEnd w:id="15"/>
      <w:r w:rsidRPr="00D410E9">
        <w:rPr>
          <w:rFonts w:cstheme="minorHAnsi"/>
        </w:rPr>
        <w:tab/>
      </w:r>
    </w:p>
    <w:p w14:paraId="7158E76D" w14:textId="57EA2D77" w:rsidR="0060305D" w:rsidRPr="00631676" w:rsidRDefault="005A5AAE" w:rsidP="00D410E9">
      <w:pPr>
        <w:rPr>
          <w:rFonts w:cstheme="minorHAnsi"/>
        </w:rPr>
      </w:pPr>
      <w:r w:rsidRPr="00631676">
        <w:rPr>
          <w:rFonts w:cstheme="minorHAnsi"/>
        </w:rPr>
        <w:tab/>
        <w:t xml:space="preserve">The defense proposed </w:t>
      </w:r>
      <w:r w:rsidR="002B378D" w:rsidRPr="00631676">
        <w:rPr>
          <w:rFonts w:cstheme="minorHAnsi"/>
        </w:rPr>
        <w:t xml:space="preserve">to </w:t>
      </w:r>
      <w:r w:rsidRPr="00631676">
        <w:rPr>
          <w:rFonts w:cstheme="minorHAnsi"/>
        </w:rPr>
        <w:t>call Dr.</w:t>
      </w:r>
      <w:r w:rsidR="000E2CCD" w:rsidRPr="00631676">
        <w:rPr>
          <w:rFonts w:cstheme="minorHAnsi"/>
        </w:rPr>
        <w:t> </w:t>
      </w:r>
      <w:r w:rsidRPr="00631676">
        <w:rPr>
          <w:rFonts w:cstheme="minorHAnsi"/>
        </w:rPr>
        <w:t xml:space="preserve">Michael Kania to testify that defendant’s confession was false.  </w:t>
      </w:r>
      <w:r w:rsidR="0086439C" w:rsidRPr="00631676">
        <w:rPr>
          <w:rFonts w:cstheme="minorHAnsi"/>
        </w:rPr>
        <w:t xml:space="preserve">Following an Evidence Code section 402 hearing, </w:t>
      </w:r>
      <w:r w:rsidR="005D5012" w:rsidRPr="00631676">
        <w:rPr>
          <w:rFonts w:cstheme="minorHAnsi"/>
        </w:rPr>
        <w:t xml:space="preserve">the trial court ruled </w:t>
      </w:r>
      <w:r w:rsidR="0060305D" w:rsidRPr="00631676">
        <w:rPr>
          <w:rFonts w:cstheme="minorHAnsi"/>
        </w:rPr>
        <w:t>that Dr.</w:t>
      </w:r>
      <w:r w:rsidR="000E2CCD" w:rsidRPr="00631676">
        <w:rPr>
          <w:rFonts w:cstheme="minorHAnsi"/>
        </w:rPr>
        <w:t> </w:t>
      </w:r>
      <w:r w:rsidR="0060305D" w:rsidRPr="00631676">
        <w:rPr>
          <w:rFonts w:cstheme="minorHAnsi"/>
        </w:rPr>
        <w:t>Kania could testify in response to hypothetical questions that assume</w:t>
      </w:r>
      <w:r w:rsidR="00B04B91" w:rsidRPr="00631676">
        <w:rPr>
          <w:rFonts w:cstheme="minorHAnsi"/>
        </w:rPr>
        <w:t>d</w:t>
      </w:r>
      <w:r w:rsidR="0060305D" w:rsidRPr="00631676">
        <w:rPr>
          <w:rFonts w:cstheme="minorHAnsi"/>
        </w:rPr>
        <w:t xml:space="preserve"> defendant suffered from amnesia, including the characteristics of amnesia.  </w:t>
      </w:r>
      <w:r w:rsidR="00ED6F8F" w:rsidRPr="00631676">
        <w:rPr>
          <w:rFonts w:cstheme="minorHAnsi"/>
        </w:rPr>
        <w:t>But t</w:t>
      </w:r>
      <w:r w:rsidR="0060305D" w:rsidRPr="00631676">
        <w:rPr>
          <w:rFonts w:cstheme="minorHAnsi"/>
        </w:rPr>
        <w:t xml:space="preserve">he court </w:t>
      </w:r>
      <w:r w:rsidR="00ED6F8F" w:rsidRPr="00631676">
        <w:rPr>
          <w:rFonts w:cstheme="minorHAnsi"/>
        </w:rPr>
        <w:t xml:space="preserve">ruled </w:t>
      </w:r>
      <w:r w:rsidR="0060305D" w:rsidRPr="00631676">
        <w:rPr>
          <w:rFonts w:cstheme="minorHAnsi"/>
        </w:rPr>
        <w:t>that Dr.</w:t>
      </w:r>
      <w:r w:rsidR="000E2CCD" w:rsidRPr="00631676">
        <w:rPr>
          <w:rFonts w:cstheme="minorHAnsi"/>
        </w:rPr>
        <w:t> </w:t>
      </w:r>
      <w:r w:rsidR="0060305D" w:rsidRPr="00631676">
        <w:rPr>
          <w:rFonts w:cstheme="minorHAnsi"/>
        </w:rPr>
        <w:t xml:space="preserve">Kania would not be permitted to “testify as to circumstances, the things that he was told by the defendant.  The defendant can testify to those things.”  </w:t>
      </w:r>
    </w:p>
    <w:p w14:paraId="7AB333D6" w14:textId="7247B20E" w:rsidR="005A5AAE" w:rsidRPr="00631676" w:rsidRDefault="005D5012" w:rsidP="00337128">
      <w:pPr>
        <w:rPr>
          <w:rFonts w:cstheme="minorHAnsi"/>
        </w:rPr>
      </w:pPr>
      <w:r w:rsidRPr="00631676">
        <w:rPr>
          <w:rFonts w:cstheme="minorHAnsi"/>
        </w:rPr>
        <w:tab/>
        <w:t xml:space="preserve">Following the trial court’s ruling, </w:t>
      </w:r>
      <w:r w:rsidR="0086439C" w:rsidRPr="00631676">
        <w:rPr>
          <w:rFonts w:cstheme="minorHAnsi"/>
        </w:rPr>
        <w:t>Dr.</w:t>
      </w:r>
      <w:r w:rsidR="000E2CCD" w:rsidRPr="00631676">
        <w:rPr>
          <w:rFonts w:cstheme="minorHAnsi"/>
        </w:rPr>
        <w:t> </w:t>
      </w:r>
      <w:r w:rsidR="0086439C" w:rsidRPr="00631676">
        <w:rPr>
          <w:rFonts w:cstheme="minorHAnsi"/>
        </w:rPr>
        <w:t>Kania testified that he believed defendant’s claim of amnesia concerning his confession was credible.  Defendant told Dr.</w:t>
      </w:r>
      <w:r w:rsidR="000E2CCD" w:rsidRPr="00631676">
        <w:rPr>
          <w:rFonts w:cstheme="minorHAnsi"/>
        </w:rPr>
        <w:t> </w:t>
      </w:r>
      <w:r w:rsidR="0086439C" w:rsidRPr="00631676">
        <w:rPr>
          <w:rFonts w:cstheme="minorHAnsi"/>
        </w:rPr>
        <w:t xml:space="preserve">Kania the only thing he recalled from the interrogation was walking into the room, being told to calm down, and to wait.  Defendant told him the next thing he remembered was leaving the interrogation.  </w:t>
      </w:r>
    </w:p>
    <w:p w14:paraId="47D880AB" w14:textId="45D4F90A" w:rsidR="00A8213A" w:rsidRPr="00D410E9" w:rsidRDefault="00A8213A" w:rsidP="00D410E9">
      <w:pPr>
        <w:pStyle w:val="Heading2"/>
        <w:rPr>
          <w:rFonts w:cstheme="minorHAnsi"/>
          <w:i/>
          <w:szCs w:val="26"/>
        </w:rPr>
      </w:pPr>
      <w:r w:rsidRPr="00D410E9">
        <w:rPr>
          <w:rFonts w:cstheme="minorHAnsi"/>
          <w:szCs w:val="26"/>
        </w:rPr>
        <w:tab/>
      </w:r>
      <w:bookmarkStart w:id="16" w:name="_Toc12993755"/>
      <w:r w:rsidR="00B04B91" w:rsidRPr="00D410E9">
        <w:rPr>
          <w:rFonts w:cstheme="minorHAnsi"/>
          <w:szCs w:val="26"/>
        </w:rPr>
        <w:t>C.</w:t>
      </w:r>
      <w:r w:rsidR="00B04B91" w:rsidRPr="00D410E9">
        <w:rPr>
          <w:rFonts w:cstheme="minorHAnsi"/>
          <w:szCs w:val="26"/>
        </w:rPr>
        <w:tab/>
      </w:r>
      <w:r w:rsidR="00153E6D">
        <w:rPr>
          <w:rFonts w:cstheme="minorHAnsi"/>
          <w:szCs w:val="26"/>
        </w:rPr>
        <w:tab/>
      </w:r>
      <w:r w:rsidR="00B04B91" w:rsidRPr="00D410E9">
        <w:rPr>
          <w:rFonts w:cstheme="minorHAnsi"/>
          <w:szCs w:val="26"/>
        </w:rPr>
        <w:t>Guilt Phase Rebuttal Case</w:t>
      </w:r>
      <w:bookmarkEnd w:id="16"/>
    </w:p>
    <w:p w14:paraId="57CCF790" w14:textId="0E16EFB2" w:rsidR="005A5AAE" w:rsidRPr="00631676" w:rsidRDefault="00A8213A" w:rsidP="00D410E9">
      <w:pPr>
        <w:rPr>
          <w:rFonts w:cstheme="minorHAnsi"/>
        </w:rPr>
      </w:pPr>
      <w:r w:rsidRPr="00631676">
        <w:rPr>
          <w:rFonts w:cstheme="minorHAnsi"/>
        </w:rPr>
        <w:tab/>
      </w:r>
      <w:r w:rsidR="005A5AAE" w:rsidRPr="00631676">
        <w:rPr>
          <w:rFonts w:cstheme="minorHAnsi"/>
        </w:rPr>
        <w:t>Dr.</w:t>
      </w:r>
      <w:r w:rsidR="000E2CCD" w:rsidRPr="00631676">
        <w:rPr>
          <w:rFonts w:cstheme="minorHAnsi"/>
        </w:rPr>
        <w:t> </w:t>
      </w:r>
      <w:r w:rsidR="005A5AAE" w:rsidRPr="00631676">
        <w:rPr>
          <w:rFonts w:cstheme="minorHAnsi"/>
        </w:rPr>
        <w:t xml:space="preserve">David N. Glaser and </w:t>
      </w:r>
      <w:r w:rsidR="004363AA">
        <w:rPr>
          <w:rFonts w:cstheme="minorHAnsi"/>
        </w:rPr>
        <w:t>Dr.</w:t>
      </w:r>
      <w:r w:rsidR="00CE3EF3">
        <w:rPr>
          <w:rFonts w:cstheme="minorHAnsi"/>
        </w:rPr>
        <w:t> </w:t>
      </w:r>
      <w:r w:rsidR="005A5AAE" w:rsidRPr="00631676">
        <w:rPr>
          <w:rFonts w:cstheme="minorHAnsi"/>
        </w:rPr>
        <w:t xml:space="preserve">Dana Chidekel testified </w:t>
      </w:r>
      <w:r w:rsidR="00503C58" w:rsidRPr="00631676">
        <w:rPr>
          <w:rFonts w:cstheme="minorHAnsi"/>
        </w:rPr>
        <w:t xml:space="preserve">for the prosecution </w:t>
      </w:r>
      <w:r w:rsidR="005A5AAE" w:rsidRPr="00631676">
        <w:rPr>
          <w:rFonts w:cstheme="minorHAnsi"/>
        </w:rPr>
        <w:t>in rebuttal.  Dr.</w:t>
      </w:r>
      <w:r w:rsidR="000E2CCD" w:rsidRPr="00631676">
        <w:rPr>
          <w:rFonts w:cstheme="minorHAnsi"/>
        </w:rPr>
        <w:t> </w:t>
      </w:r>
      <w:r w:rsidR="005A5AAE" w:rsidRPr="00631676">
        <w:rPr>
          <w:rFonts w:cstheme="minorHAnsi"/>
        </w:rPr>
        <w:t>Glaser testified that after examining defendant and reviewing a great deal of case information, he concluded defendant suffered from “no current major mental illness.</w:t>
      </w:r>
      <w:r w:rsidR="009364B0" w:rsidRPr="00631676">
        <w:rPr>
          <w:rFonts w:cstheme="minorHAnsi"/>
        </w:rPr>
        <w:t xml:space="preserve">”  </w:t>
      </w:r>
      <w:r w:rsidR="005A5AAE" w:rsidRPr="00631676">
        <w:rPr>
          <w:rFonts w:cstheme="minorHAnsi"/>
        </w:rPr>
        <w:t>Dr.</w:t>
      </w:r>
      <w:r w:rsidR="000E2CCD" w:rsidRPr="00631676">
        <w:rPr>
          <w:rFonts w:cstheme="minorHAnsi"/>
        </w:rPr>
        <w:t> </w:t>
      </w:r>
      <w:r w:rsidR="005A5AAE" w:rsidRPr="00631676">
        <w:rPr>
          <w:rFonts w:cstheme="minorHAnsi"/>
        </w:rPr>
        <w:t xml:space="preserve">Glaser </w:t>
      </w:r>
      <w:r w:rsidR="003F5661" w:rsidRPr="00631676">
        <w:rPr>
          <w:rFonts w:cstheme="minorHAnsi"/>
        </w:rPr>
        <w:t>opined</w:t>
      </w:r>
      <w:r w:rsidR="005A5AAE" w:rsidRPr="00631676">
        <w:rPr>
          <w:rFonts w:cstheme="minorHAnsi"/>
        </w:rPr>
        <w:t xml:space="preserve"> that defendant suffered from an avoidant personality disorder “with dependent features</w:t>
      </w:r>
      <w:r w:rsidR="00B811D0" w:rsidRPr="00631676">
        <w:rPr>
          <w:rFonts w:cstheme="minorHAnsi"/>
        </w:rPr>
        <w:t>.</w:t>
      </w:r>
      <w:r w:rsidR="005A5AAE" w:rsidRPr="00631676">
        <w:rPr>
          <w:rFonts w:cstheme="minorHAnsi"/>
        </w:rPr>
        <w:t xml:space="preserve">” </w:t>
      </w:r>
      <w:r w:rsidR="00B811D0" w:rsidRPr="00631676">
        <w:rPr>
          <w:rFonts w:cstheme="minorHAnsi"/>
        </w:rPr>
        <w:t xml:space="preserve"> H</w:t>
      </w:r>
      <w:r w:rsidR="005A5AAE" w:rsidRPr="00631676">
        <w:rPr>
          <w:rFonts w:cstheme="minorHAnsi"/>
        </w:rPr>
        <w:t xml:space="preserve">e </w:t>
      </w:r>
      <w:r w:rsidR="00B811D0" w:rsidRPr="00631676">
        <w:rPr>
          <w:rFonts w:cstheme="minorHAnsi"/>
        </w:rPr>
        <w:t>had</w:t>
      </w:r>
      <w:r w:rsidR="00DF1490" w:rsidRPr="00631676">
        <w:rPr>
          <w:rFonts w:cstheme="minorHAnsi"/>
        </w:rPr>
        <w:t xml:space="preserve"> low self-esteem, wa</w:t>
      </w:r>
      <w:r w:rsidR="005A5AAE" w:rsidRPr="00631676">
        <w:rPr>
          <w:rFonts w:cstheme="minorHAnsi"/>
        </w:rPr>
        <w:t xml:space="preserve">s willing to </w:t>
      </w:r>
      <w:r w:rsidR="003F5661" w:rsidRPr="00631676">
        <w:rPr>
          <w:rFonts w:cstheme="minorHAnsi"/>
        </w:rPr>
        <w:t>endure</w:t>
      </w:r>
      <w:r w:rsidR="005A5AAE" w:rsidRPr="00631676">
        <w:rPr>
          <w:rFonts w:cstheme="minorHAnsi"/>
        </w:rPr>
        <w:t xml:space="preserve"> “unpleasant conditions” to rem</w:t>
      </w:r>
      <w:r w:rsidR="00DF1490" w:rsidRPr="00631676">
        <w:rPr>
          <w:rFonts w:cstheme="minorHAnsi"/>
        </w:rPr>
        <w:t>ain near the person on whom he wa</w:t>
      </w:r>
      <w:r w:rsidR="005A5AAE" w:rsidRPr="00631676">
        <w:rPr>
          <w:rFonts w:cstheme="minorHAnsi"/>
        </w:rPr>
        <w:t xml:space="preserve">s </w:t>
      </w:r>
      <w:proofErr w:type="gramStart"/>
      <w:r w:rsidR="005A5AAE" w:rsidRPr="00631676">
        <w:rPr>
          <w:rFonts w:cstheme="minorHAnsi"/>
        </w:rPr>
        <w:t>dependent</w:t>
      </w:r>
      <w:r w:rsidR="00C3550C">
        <w:rPr>
          <w:rFonts w:cstheme="minorHAnsi"/>
        </w:rPr>
        <w:t>,</w:t>
      </w:r>
      <w:r w:rsidR="005A5AAE" w:rsidRPr="00631676">
        <w:rPr>
          <w:rFonts w:cstheme="minorHAnsi"/>
        </w:rPr>
        <w:t xml:space="preserve"> and</w:t>
      </w:r>
      <w:proofErr w:type="gramEnd"/>
      <w:r w:rsidR="005A5AAE" w:rsidRPr="00631676">
        <w:rPr>
          <w:rFonts w:cstheme="minorHAnsi"/>
        </w:rPr>
        <w:t xml:space="preserve"> </w:t>
      </w:r>
      <w:r w:rsidR="00DF1490" w:rsidRPr="00631676">
        <w:rPr>
          <w:rFonts w:cstheme="minorHAnsi"/>
        </w:rPr>
        <w:t>wa</w:t>
      </w:r>
      <w:r w:rsidR="005A5AAE" w:rsidRPr="00631676">
        <w:rPr>
          <w:rFonts w:cstheme="minorHAnsi"/>
        </w:rPr>
        <w:t>s uncomfortable acknowledging his feelings.  None of these features, in Dr.</w:t>
      </w:r>
      <w:r w:rsidR="000E2CCD" w:rsidRPr="00631676">
        <w:rPr>
          <w:rFonts w:cstheme="minorHAnsi"/>
        </w:rPr>
        <w:t> </w:t>
      </w:r>
      <w:r w:rsidR="005A5AAE" w:rsidRPr="00631676">
        <w:rPr>
          <w:rFonts w:cstheme="minorHAnsi"/>
        </w:rPr>
        <w:t xml:space="preserve">Glaser’s opinion, made </w:t>
      </w:r>
      <w:r w:rsidR="005A5AAE" w:rsidRPr="00631676">
        <w:rPr>
          <w:rFonts w:cstheme="minorHAnsi"/>
        </w:rPr>
        <w:lastRenderedPageBreak/>
        <w:t>defendant more likely to falsely confess.  Dr.</w:t>
      </w:r>
      <w:r w:rsidR="000E2CCD" w:rsidRPr="00631676">
        <w:rPr>
          <w:rFonts w:cstheme="minorHAnsi"/>
        </w:rPr>
        <w:t> </w:t>
      </w:r>
      <w:r w:rsidR="005A5AAE" w:rsidRPr="00631676">
        <w:rPr>
          <w:rFonts w:cstheme="minorHAnsi"/>
        </w:rPr>
        <w:t>Glaser also evalu</w:t>
      </w:r>
      <w:r w:rsidR="00946256" w:rsidRPr="00631676">
        <w:rPr>
          <w:rFonts w:cstheme="minorHAnsi"/>
        </w:rPr>
        <w:t xml:space="preserve">ated defendant for amnesia.  </w:t>
      </w:r>
      <w:r w:rsidR="005A5AAE" w:rsidRPr="00631676">
        <w:rPr>
          <w:rFonts w:cstheme="minorHAnsi"/>
        </w:rPr>
        <w:t>Because defendant was unable to recall anything about his interview with police based upon cues given from the transcripts, and because total amnesia absent a traumatic event or general anesthesia is very uncommon, Dr.</w:t>
      </w:r>
      <w:r w:rsidR="000E2CCD" w:rsidRPr="00631676">
        <w:rPr>
          <w:rFonts w:cstheme="minorHAnsi"/>
        </w:rPr>
        <w:t> </w:t>
      </w:r>
      <w:r w:rsidR="005A5AAE" w:rsidRPr="00631676">
        <w:rPr>
          <w:rFonts w:cstheme="minorHAnsi"/>
        </w:rPr>
        <w:t xml:space="preserve">Glaser concluded that defendant was malingering.  </w:t>
      </w:r>
    </w:p>
    <w:p w14:paraId="6D42282D" w14:textId="6358F1FC" w:rsidR="005A5AAE" w:rsidRPr="00631676" w:rsidRDefault="005A5AAE" w:rsidP="00D410E9">
      <w:pPr>
        <w:rPr>
          <w:rFonts w:cstheme="minorHAnsi"/>
        </w:rPr>
      </w:pPr>
      <w:r w:rsidRPr="00631676">
        <w:rPr>
          <w:rFonts w:cstheme="minorHAnsi"/>
        </w:rPr>
        <w:tab/>
        <w:t>Dr.</w:t>
      </w:r>
      <w:r w:rsidR="000E2CCD" w:rsidRPr="00631676">
        <w:rPr>
          <w:rFonts w:cstheme="minorHAnsi"/>
        </w:rPr>
        <w:t> </w:t>
      </w:r>
      <w:r w:rsidRPr="00631676">
        <w:rPr>
          <w:rFonts w:cstheme="minorHAnsi"/>
        </w:rPr>
        <w:t>Chidekel testified that she evaluated defendant and administered numerous psychological tests to determine whether</w:t>
      </w:r>
      <w:r w:rsidR="0086439C" w:rsidRPr="00631676">
        <w:rPr>
          <w:rFonts w:cstheme="minorHAnsi"/>
        </w:rPr>
        <w:t xml:space="preserve"> defendant</w:t>
      </w:r>
      <w:r w:rsidR="00FE588F" w:rsidRPr="00631676">
        <w:rPr>
          <w:rFonts w:cstheme="minorHAnsi"/>
        </w:rPr>
        <w:t xml:space="preserve"> </w:t>
      </w:r>
      <w:r w:rsidR="00DF1490" w:rsidRPr="00631676">
        <w:rPr>
          <w:rFonts w:cstheme="minorHAnsi"/>
        </w:rPr>
        <w:t>had</w:t>
      </w:r>
      <w:r w:rsidRPr="00631676">
        <w:rPr>
          <w:rFonts w:cstheme="minorHAnsi"/>
        </w:rPr>
        <w:t xml:space="preserve"> a psychological disorder rendering him susceptible </w:t>
      </w:r>
      <w:r w:rsidR="0094418C" w:rsidRPr="00631676">
        <w:rPr>
          <w:rFonts w:cstheme="minorHAnsi"/>
        </w:rPr>
        <w:t>to</w:t>
      </w:r>
      <w:r w:rsidRPr="00631676">
        <w:rPr>
          <w:rFonts w:cstheme="minorHAnsi"/>
        </w:rPr>
        <w:t xml:space="preserve"> falsely confessing.  Dr.</w:t>
      </w:r>
      <w:r w:rsidR="000E2CCD" w:rsidRPr="00631676">
        <w:rPr>
          <w:rFonts w:cstheme="minorHAnsi"/>
        </w:rPr>
        <w:t> </w:t>
      </w:r>
      <w:r w:rsidRPr="00631676">
        <w:rPr>
          <w:rFonts w:cstheme="minorHAnsi"/>
        </w:rPr>
        <w:t>Chidekel determined defendant suffer</w:t>
      </w:r>
      <w:r w:rsidR="00DF1490" w:rsidRPr="00631676">
        <w:rPr>
          <w:rFonts w:cstheme="minorHAnsi"/>
        </w:rPr>
        <w:t>ed</w:t>
      </w:r>
      <w:r w:rsidRPr="00631676">
        <w:rPr>
          <w:rFonts w:cstheme="minorHAnsi"/>
        </w:rPr>
        <w:t xml:space="preserve"> from “avoidance </w:t>
      </w:r>
      <w:r w:rsidR="004103F1" w:rsidRPr="00631676">
        <w:rPr>
          <w:rFonts w:cstheme="minorHAnsi"/>
        </w:rPr>
        <w:t>[</w:t>
      </w:r>
      <w:r w:rsidR="004103F1" w:rsidRPr="00631676">
        <w:rPr>
          <w:rFonts w:cstheme="minorHAnsi"/>
          <w:i/>
        </w:rPr>
        <w:t>sic</w:t>
      </w:r>
      <w:r w:rsidR="004103F1" w:rsidRPr="00631676">
        <w:rPr>
          <w:rFonts w:cstheme="minorHAnsi"/>
        </w:rPr>
        <w:t xml:space="preserve">] </w:t>
      </w:r>
      <w:r w:rsidRPr="00631676">
        <w:rPr>
          <w:rFonts w:cstheme="minorHAnsi"/>
        </w:rPr>
        <w:t>personality disorder, with self-defeati</w:t>
      </w:r>
      <w:r w:rsidR="00DF1490" w:rsidRPr="00631676">
        <w:rPr>
          <w:rFonts w:cstheme="minorHAnsi"/>
        </w:rPr>
        <w:t xml:space="preserve">ng and dependent features.”  </w:t>
      </w:r>
      <w:r w:rsidRPr="00631676">
        <w:rPr>
          <w:rFonts w:cstheme="minorHAnsi"/>
        </w:rPr>
        <w:t>Based on the tests administered, Dr.</w:t>
      </w:r>
      <w:r w:rsidR="000E2CCD" w:rsidRPr="00631676">
        <w:rPr>
          <w:rFonts w:cstheme="minorHAnsi"/>
        </w:rPr>
        <w:t> </w:t>
      </w:r>
      <w:r w:rsidRPr="00631676">
        <w:rPr>
          <w:rFonts w:cstheme="minorHAnsi"/>
        </w:rPr>
        <w:t xml:space="preserve">Chidekel was unable to diagnose defendant with any </w:t>
      </w:r>
      <w:r w:rsidR="004103F1" w:rsidRPr="00631676">
        <w:rPr>
          <w:rFonts w:cstheme="minorHAnsi"/>
        </w:rPr>
        <w:t xml:space="preserve">other </w:t>
      </w:r>
      <w:r w:rsidRPr="00631676">
        <w:rPr>
          <w:rFonts w:cstheme="minorHAnsi"/>
        </w:rPr>
        <w:t xml:space="preserve">neuropsychological condition that interfered with his “ability to see, to understand, or to be able to communicate effectively.”  </w:t>
      </w:r>
    </w:p>
    <w:p w14:paraId="1E0C3086" w14:textId="77777777" w:rsidR="00ED7286" w:rsidRPr="00D410E9" w:rsidRDefault="00ED7286" w:rsidP="00D410E9">
      <w:pPr>
        <w:pStyle w:val="Heading2"/>
        <w:rPr>
          <w:rFonts w:cstheme="minorHAnsi"/>
          <w:i/>
          <w:szCs w:val="26"/>
        </w:rPr>
      </w:pPr>
      <w:r w:rsidRPr="00D410E9">
        <w:rPr>
          <w:rFonts w:cstheme="minorHAnsi"/>
          <w:szCs w:val="26"/>
        </w:rPr>
        <w:tab/>
      </w:r>
      <w:bookmarkStart w:id="17" w:name="_Toc12993756"/>
      <w:r w:rsidR="00B04B91" w:rsidRPr="00D410E9">
        <w:rPr>
          <w:rFonts w:cstheme="minorHAnsi"/>
          <w:szCs w:val="26"/>
        </w:rPr>
        <w:t>D</w:t>
      </w:r>
      <w:r w:rsidRPr="00D410E9">
        <w:rPr>
          <w:rFonts w:cstheme="minorHAnsi"/>
          <w:szCs w:val="26"/>
        </w:rPr>
        <w:t>.</w:t>
      </w:r>
      <w:r w:rsidRPr="00D410E9">
        <w:rPr>
          <w:rFonts w:cstheme="minorHAnsi"/>
          <w:szCs w:val="26"/>
        </w:rPr>
        <w:tab/>
        <w:t>Penalty Phase</w:t>
      </w:r>
      <w:bookmarkEnd w:id="17"/>
    </w:p>
    <w:p w14:paraId="54AE46FE" w14:textId="77777777" w:rsidR="00E43BA4" w:rsidRPr="00D410E9" w:rsidRDefault="00E43BA4" w:rsidP="00D410E9">
      <w:pPr>
        <w:pStyle w:val="Heading3"/>
        <w:rPr>
          <w:rFonts w:cstheme="minorHAnsi"/>
          <w:b/>
          <w:i w:val="0"/>
        </w:rPr>
      </w:pPr>
      <w:r w:rsidRPr="00D410E9">
        <w:rPr>
          <w:rFonts w:cstheme="minorHAnsi"/>
        </w:rPr>
        <w:tab/>
      </w:r>
      <w:r w:rsidRPr="00D410E9">
        <w:rPr>
          <w:rFonts w:cstheme="minorHAnsi"/>
        </w:rPr>
        <w:tab/>
      </w:r>
      <w:bookmarkStart w:id="18" w:name="_Toc12993757"/>
      <w:r w:rsidRPr="00D410E9">
        <w:rPr>
          <w:rFonts w:cstheme="minorHAnsi"/>
        </w:rPr>
        <w:t>1.</w:t>
      </w:r>
      <w:r w:rsidRPr="00D410E9">
        <w:rPr>
          <w:rFonts w:cstheme="minorHAnsi"/>
        </w:rPr>
        <w:tab/>
        <w:t>Aggravation</w:t>
      </w:r>
      <w:bookmarkEnd w:id="18"/>
    </w:p>
    <w:p w14:paraId="3CE64E99" w14:textId="7C14D8CB" w:rsidR="00E43BA4" w:rsidRPr="00631676" w:rsidRDefault="00E43BA4" w:rsidP="00D410E9">
      <w:pPr>
        <w:rPr>
          <w:rFonts w:cstheme="minorHAnsi"/>
          <w:b/>
        </w:rPr>
      </w:pPr>
      <w:r w:rsidRPr="00631676">
        <w:rPr>
          <w:rFonts w:cstheme="minorHAnsi"/>
        </w:rPr>
        <w:tab/>
        <w:t>Nick’s mother, Susan Markowitz, testified about the impact the loss of her son had on her</w:t>
      </w:r>
      <w:r w:rsidR="008A027D" w:rsidRPr="00631676">
        <w:rPr>
          <w:rFonts w:cstheme="minorHAnsi"/>
        </w:rPr>
        <w:t xml:space="preserve"> and</w:t>
      </w:r>
      <w:r w:rsidRPr="00631676">
        <w:rPr>
          <w:rFonts w:cstheme="minorHAnsi"/>
        </w:rPr>
        <w:t xml:space="preserve"> on her relatives and friends.  </w:t>
      </w:r>
      <w:r w:rsidR="00290CEE" w:rsidRPr="00631676">
        <w:rPr>
          <w:rFonts w:cstheme="minorHAnsi"/>
        </w:rPr>
        <w:t xml:space="preserve">Nick was one of three children, and his sister had the comfort of knowing </w:t>
      </w:r>
      <w:r w:rsidR="00BF34B6" w:rsidRPr="00631676">
        <w:rPr>
          <w:rFonts w:cstheme="minorHAnsi"/>
        </w:rPr>
        <w:t xml:space="preserve">Nick </w:t>
      </w:r>
      <w:r w:rsidR="00290CEE" w:rsidRPr="00631676">
        <w:rPr>
          <w:rFonts w:cstheme="minorHAnsi"/>
        </w:rPr>
        <w:t xml:space="preserve">held his niece before his death, but not his sister’s second child, </w:t>
      </w:r>
      <w:r w:rsidR="00503C58" w:rsidRPr="00631676">
        <w:rPr>
          <w:rFonts w:cstheme="minorHAnsi"/>
        </w:rPr>
        <w:t xml:space="preserve">who was </w:t>
      </w:r>
      <w:r w:rsidR="00290CEE" w:rsidRPr="00631676">
        <w:rPr>
          <w:rFonts w:cstheme="minorHAnsi"/>
        </w:rPr>
        <w:t xml:space="preserve">not yet born at the time </w:t>
      </w:r>
      <w:r w:rsidR="00503C58" w:rsidRPr="00631676">
        <w:rPr>
          <w:rFonts w:cstheme="minorHAnsi"/>
        </w:rPr>
        <w:t xml:space="preserve">Nick </w:t>
      </w:r>
      <w:r w:rsidR="00290CEE" w:rsidRPr="00631676">
        <w:rPr>
          <w:rFonts w:cstheme="minorHAnsi"/>
        </w:rPr>
        <w:t xml:space="preserve">died.  </w:t>
      </w:r>
      <w:r w:rsidR="002A1C7B" w:rsidRPr="00631676">
        <w:rPr>
          <w:rFonts w:cstheme="minorHAnsi"/>
        </w:rPr>
        <w:t>Susan</w:t>
      </w:r>
      <w:r w:rsidRPr="00631676">
        <w:rPr>
          <w:rFonts w:cstheme="minorHAnsi"/>
        </w:rPr>
        <w:t xml:space="preserve"> testified that </w:t>
      </w:r>
      <w:r w:rsidR="00290CEE" w:rsidRPr="00631676">
        <w:rPr>
          <w:rFonts w:cstheme="minorHAnsi"/>
        </w:rPr>
        <w:t xml:space="preserve">she twice tried to commit suicide, “only to succeed in accumulating a twenty thousand dollar hospital bill.”  She told the jury, “There is no meaning to life without Nick.”  </w:t>
      </w:r>
    </w:p>
    <w:p w14:paraId="6A6212A1" w14:textId="77777777" w:rsidR="00E43BA4" w:rsidRPr="00D410E9" w:rsidRDefault="005F261D" w:rsidP="00D410E9">
      <w:pPr>
        <w:pStyle w:val="Heading3"/>
        <w:rPr>
          <w:rFonts w:cstheme="minorHAnsi"/>
          <w:b/>
          <w:i w:val="0"/>
        </w:rPr>
      </w:pPr>
      <w:r w:rsidRPr="00D410E9">
        <w:rPr>
          <w:rFonts w:cstheme="minorHAnsi"/>
        </w:rPr>
        <w:lastRenderedPageBreak/>
        <w:tab/>
      </w:r>
      <w:r w:rsidRPr="00D410E9">
        <w:rPr>
          <w:rFonts w:cstheme="minorHAnsi"/>
        </w:rPr>
        <w:tab/>
      </w:r>
      <w:bookmarkStart w:id="19" w:name="_Toc12993758"/>
      <w:r w:rsidR="00E43BA4" w:rsidRPr="00D410E9">
        <w:rPr>
          <w:rFonts w:cstheme="minorHAnsi"/>
        </w:rPr>
        <w:t>2.</w:t>
      </w:r>
      <w:r w:rsidR="00E43BA4" w:rsidRPr="00D410E9">
        <w:rPr>
          <w:rFonts w:cstheme="minorHAnsi"/>
        </w:rPr>
        <w:tab/>
        <w:t>Mitigation</w:t>
      </w:r>
      <w:bookmarkEnd w:id="19"/>
    </w:p>
    <w:p w14:paraId="4F719C87" w14:textId="75F24903" w:rsidR="00502C9E" w:rsidRPr="00631676" w:rsidRDefault="005A136D" w:rsidP="00D410E9">
      <w:pPr>
        <w:rPr>
          <w:rFonts w:cstheme="minorHAnsi"/>
        </w:rPr>
      </w:pPr>
      <w:r w:rsidRPr="00631676">
        <w:rPr>
          <w:rFonts w:cstheme="minorHAnsi"/>
        </w:rPr>
        <w:tab/>
        <w:t xml:space="preserve">Victoria, defendant’s mother, testified </w:t>
      </w:r>
      <w:r w:rsidR="00AB3265" w:rsidRPr="00631676">
        <w:rPr>
          <w:rFonts w:cstheme="minorHAnsi"/>
        </w:rPr>
        <w:t xml:space="preserve">about </w:t>
      </w:r>
      <w:r w:rsidRPr="00631676">
        <w:rPr>
          <w:rFonts w:cstheme="minorHAnsi"/>
        </w:rPr>
        <w:t>defendant’s dysfunctional upbringing.  V</w:t>
      </w:r>
      <w:r w:rsidR="00DA6BE6" w:rsidRPr="00631676">
        <w:rPr>
          <w:rFonts w:cstheme="minorHAnsi"/>
        </w:rPr>
        <w:t>ictoria</w:t>
      </w:r>
      <w:r w:rsidRPr="00631676">
        <w:rPr>
          <w:rFonts w:cstheme="minorHAnsi"/>
        </w:rPr>
        <w:t xml:space="preserve"> was 19</w:t>
      </w:r>
      <w:r w:rsidR="007F190F" w:rsidRPr="00631676">
        <w:rPr>
          <w:rFonts w:cstheme="minorHAnsi"/>
        </w:rPr>
        <w:t xml:space="preserve"> </w:t>
      </w:r>
      <w:r w:rsidRPr="00631676">
        <w:rPr>
          <w:rFonts w:cstheme="minorHAnsi"/>
        </w:rPr>
        <w:t>years</w:t>
      </w:r>
      <w:r w:rsidR="007F190F" w:rsidRPr="00631676">
        <w:rPr>
          <w:rFonts w:cstheme="minorHAnsi"/>
        </w:rPr>
        <w:t xml:space="preserve"> </w:t>
      </w:r>
      <w:r w:rsidRPr="00631676">
        <w:rPr>
          <w:rFonts w:cstheme="minorHAnsi"/>
        </w:rPr>
        <w:t xml:space="preserve">old when she married defendant’s father, James Hoyt, and </w:t>
      </w:r>
      <w:r w:rsidR="007F190F" w:rsidRPr="00631676">
        <w:rPr>
          <w:rFonts w:cstheme="minorHAnsi"/>
        </w:rPr>
        <w:t>21</w:t>
      </w:r>
      <w:r w:rsidRPr="00631676">
        <w:rPr>
          <w:rFonts w:cstheme="minorHAnsi"/>
        </w:rPr>
        <w:t xml:space="preserve"> when she gave birth to defendant.  Victoria testified that her husband was “extremely abusive” to her, and not nice or attentive to the children.  </w:t>
      </w:r>
      <w:r w:rsidR="00DA6BE6" w:rsidRPr="00631676">
        <w:rPr>
          <w:rFonts w:cstheme="minorHAnsi"/>
        </w:rPr>
        <w:t>James grabbed her by the hair and threw her against a car and to the ground when she was eight months pregnant with defendant</w:t>
      </w:r>
      <w:r w:rsidR="00515D25" w:rsidRPr="00631676">
        <w:rPr>
          <w:rFonts w:cstheme="minorHAnsi"/>
        </w:rPr>
        <w:t>, nearly resulting in miscarriage</w:t>
      </w:r>
      <w:r w:rsidR="00DA6BE6" w:rsidRPr="00631676">
        <w:rPr>
          <w:rFonts w:cstheme="minorHAnsi"/>
        </w:rPr>
        <w:t xml:space="preserve">.  When defendant was four years old, James threw Victoria to the ground in front of her children and beat her with a pipe wrench.  James had to be physically restrained by Victoria’s brother.  </w:t>
      </w:r>
      <w:r w:rsidRPr="00631676">
        <w:rPr>
          <w:rFonts w:cstheme="minorHAnsi"/>
        </w:rPr>
        <w:t>The couple divorced when defendant</w:t>
      </w:r>
      <w:r w:rsidR="004619DA" w:rsidRPr="00631676">
        <w:rPr>
          <w:rFonts w:cstheme="minorHAnsi"/>
        </w:rPr>
        <w:t xml:space="preserve"> was </w:t>
      </w:r>
      <w:r w:rsidRPr="00631676">
        <w:rPr>
          <w:rFonts w:cstheme="minorHAnsi"/>
        </w:rPr>
        <w:t xml:space="preserve">five </w:t>
      </w:r>
      <w:r w:rsidR="004619DA" w:rsidRPr="00631676">
        <w:rPr>
          <w:rFonts w:cstheme="minorHAnsi"/>
        </w:rPr>
        <w:t xml:space="preserve">years old </w:t>
      </w:r>
      <w:r w:rsidRPr="00631676">
        <w:rPr>
          <w:rFonts w:cstheme="minorHAnsi"/>
        </w:rPr>
        <w:t>and</w:t>
      </w:r>
      <w:r w:rsidR="00DA6BE6" w:rsidRPr="00631676">
        <w:rPr>
          <w:rFonts w:cstheme="minorHAnsi"/>
        </w:rPr>
        <w:t>, despite the physical abuse,</w:t>
      </w:r>
      <w:r w:rsidRPr="00631676">
        <w:rPr>
          <w:rFonts w:cstheme="minorHAnsi"/>
        </w:rPr>
        <w:t xml:space="preserve"> </w:t>
      </w:r>
      <w:r w:rsidR="000C3C88" w:rsidRPr="00631676">
        <w:rPr>
          <w:rFonts w:cstheme="minorHAnsi"/>
        </w:rPr>
        <w:t>James</w:t>
      </w:r>
      <w:r w:rsidR="003648A4" w:rsidRPr="00631676">
        <w:rPr>
          <w:rFonts w:cstheme="minorHAnsi"/>
        </w:rPr>
        <w:t xml:space="preserve"> was awarded custody.  </w:t>
      </w:r>
      <w:r w:rsidR="00DA6BE6" w:rsidRPr="00631676">
        <w:rPr>
          <w:rFonts w:cstheme="minorHAnsi"/>
        </w:rPr>
        <w:t xml:space="preserve">Following their divorce, Victoria began using cocaine and drinking heavily.  </w:t>
      </w:r>
      <w:r w:rsidR="00502C9E" w:rsidRPr="00631676">
        <w:rPr>
          <w:rFonts w:cstheme="minorHAnsi"/>
        </w:rPr>
        <w:t xml:space="preserve">  </w:t>
      </w:r>
    </w:p>
    <w:p w14:paraId="548ED26A" w14:textId="3090D84F" w:rsidR="004619DA" w:rsidRPr="00631676" w:rsidRDefault="00502C9E" w:rsidP="00D410E9">
      <w:pPr>
        <w:rPr>
          <w:rFonts w:cstheme="minorHAnsi"/>
        </w:rPr>
      </w:pPr>
      <w:r w:rsidRPr="00631676">
        <w:rPr>
          <w:rFonts w:cstheme="minorHAnsi"/>
        </w:rPr>
        <w:tab/>
        <w:t>Victoria’s sister, Anne Stendel Thomas, testified that</w:t>
      </w:r>
      <w:r w:rsidR="00515D25" w:rsidRPr="00631676">
        <w:rPr>
          <w:rFonts w:cstheme="minorHAnsi"/>
        </w:rPr>
        <w:t xml:space="preserve"> defendant’s father and mother verbally abused and threatened defendant throughout his childhood.  </w:t>
      </w:r>
      <w:r w:rsidRPr="00631676">
        <w:rPr>
          <w:rFonts w:cstheme="minorHAnsi"/>
        </w:rPr>
        <w:t xml:space="preserve">Thomas testified that Victoria abused drugs and alcohol from an early age, and her alcohol abuse continued and worsened throughout defendant’s childhood.  </w:t>
      </w:r>
      <w:r w:rsidR="000C3C88" w:rsidRPr="00631676">
        <w:rPr>
          <w:rFonts w:cstheme="minorHAnsi"/>
        </w:rPr>
        <w:t>H</w:t>
      </w:r>
      <w:r w:rsidRPr="00631676">
        <w:rPr>
          <w:rFonts w:cstheme="minorHAnsi"/>
        </w:rPr>
        <w:t xml:space="preserve">er family </w:t>
      </w:r>
      <w:r w:rsidR="000C3C88" w:rsidRPr="00631676">
        <w:rPr>
          <w:rFonts w:cstheme="minorHAnsi"/>
        </w:rPr>
        <w:t>w</w:t>
      </w:r>
      <w:r w:rsidRPr="00631676">
        <w:rPr>
          <w:rFonts w:cstheme="minorHAnsi"/>
        </w:rPr>
        <w:t xml:space="preserve">as dysfunctional, and Victoria </w:t>
      </w:r>
      <w:r w:rsidR="000C3C88" w:rsidRPr="00631676">
        <w:rPr>
          <w:rFonts w:cstheme="minorHAnsi"/>
        </w:rPr>
        <w:t xml:space="preserve">had been </w:t>
      </w:r>
      <w:r w:rsidRPr="00631676">
        <w:rPr>
          <w:rFonts w:cstheme="minorHAnsi"/>
        </w:rPr>
        <w:t xml:space="preserve">a depressed child </w:t>
      </w:r>
      <w:r w:rsidR="007F190F" w:rsidRPr="00631676">
        <w:rPr>
          <w:rFonts w:cstheme="minorHAnsi"/>
        </w:rPr>
        <w:t>who</w:t>
      </w:r>
      <w:r w:rsidRPr="00631676">
        <w:rPr>
          <w:rFonts w:cstheme="minorHAnsi"/>
        </w:rPr>
        <w:t xml:space="preserve"> would spend hours or days alone in her room without moving or talking</w:t>
      </w:r>
      <w:r w:rsidR="00882783" w:rsidRPr="00631676">
        <w:rPr>
          <w:rFonts w:cstheme="minorHAnsi"/>
        </w:rPr>
        <w:t xml:space="preserve">.  Thomas testified that </w:t>
      </w:r>
      <w:r w:rsidR="004619DA" w:rsidRPr="00631676">
        <w:rPr>
          <w:rFonts w:cstheme="minorHAnsi"/>
        </w:rPr>
        <w:t xml:space="preserve">defendant </w:t>
      </w:r>
      <w:r w:rsidR="00490CC9" w:rsidRPr="00631676">
        <w:rPr>
          <w:rFonts w:cstheme="minorHAnsi"/>
        </w:rPr>
        <w:t>wa</w:t>
      </w:r>
      <w:r w:rsidR="004619DA" w:rsidRPr="00631676">
        <w:rPr>
          <w:rFonts w:cstheme="minorHAnsi"/>
        </w:rPr>
        <w:t>s a “sweet kid</w:t>
      </w:r>
      <w:r w:rsidR="007F190F" w:rsidRPr="00631676">
        <w:rPr>
          <w:rFonts w:cstheme="minorHAnsi"/>
        </w:rPr>
        <w:t>,</w:t>
      </w:r>
      <w:r w:rsidR="004619DA" w:rsidRPr="00631676">
        <w:rPr>
          <w:rFonts w:cstheme="minorHAnsi"/>
        </w:rPr>
        <w:t>”</w:t>
      </w:r>
      <w:r w:rsidR="00882783" w:rsidRPr="00631676">
        <w:rPr>
          <w:rFonts w:cstheme="minorHAnsi"/>
        </w:rPr>
        <w:t xml:space="preserve"> and</w:t>
      </w:r>
      <w:r w:rsidR="004619DA" w:rsidRPr="00631676">
        <w:rPr>
          <w:rFonts w:cstheme="minorHAnsi"/>
        </w:rPr>
        <w:t xml:space="preserve"> she</w:t>
      </w:r>
      <w:r w:rsidR="00882783" w:rsidRPr="00631676">
        <w:rPr>
          <w:rFonts w:cstheme="minorHAnsi"/>
        </w:rPr>
        <w:t xml:space="preserve"> viewed him—the middle child—as a mediator.  </w:t>
      </w:r>
    </w:p>
    <w:p w14:paraId="062B1184" w14:textId="4BF19D01" w:rsidR="00823A8D" w:rsidRPr="00631676" w:rsidRDefault="004619DA" w:rsidP="00D410E9">
      <w:pPr>
        <w:rPr>
          <w:rFonts w:cstheme="minorHAnsi"/>
        </w:rPr>
      </w:pPr>
      <w:r w:rsidRPr="00631676">
        <w:rPr>
          <w:rFonts w:cstheme="minorHAnsi"/>
        </w:rPr>
        <w:tab/>
      </w:r>
      <w:r w:rsidR="00882783" w:rsidRPr="00631676">
        <w:rPr>
          <w:rFonts w:cstheme="minorHAnsi"/>
        </w:rPr>
        <w:t xml:space="preserve">Victoria’s mother, Carol Stendel, </w:t>
      </w:r>
      <w:r w:rsidRPr="00631676">
        <w:rPr>
          <w:rFonts w:cstheme="minorHAnsi"/>
        </w:rPr>
        <w:t xml:space="preserve">testified </w:t>
      </w:r>
      <w:r w:rsidR="00AB3265" w:rsidRPr="00631676">
        <w:rPr>
          <w:rFonts w:cstheme="minorHAnsi"/>
        </w:rPr>
        <w:t xml:space="preserve">about Victoria’s </w:t>
      </w:r>
      <w:r w:rsidRPr="00631676">
        <w:rPr>
          <w:rFonts w:cstheme="minorHAnsi"/>
        </w:rPr>
        <w:t xml:space="preserve">early childhood.  When Victoria was in fourth grade, she would stand in class and walk around without being aware of her behavior, despite performing at or above grade level in her coursework.  </w:t>
      </w:r>
      <w:r w:rsidR="000C3C88" w:rsidRPr="00631676">
        <w:rPr>
          <w:rFonts w:cstheme="minorHAnsi"/>
        </w:rPr>
        <w:t xml:space="preserve">At age 14, </w:t>
      </w:r>
      <w:r w:rsidRPr="00631676">
        <w:rPr>
          <w:rFonts w:cstheme="minorHAnsi"/>
        </w:rPr>
        <w:t>Victoria began seeing a psychiatrist, who recommended she be hospitalized</w:t>
      </w:r>
      <w:r w:rsidR="00823A8D" w:rsidRPr="00631676">
        <w:rPr>
          <w:rFonts w:cstheme="minorHAnsi"/>
        </w:rPr>
        <w:t xml:space="preserve"> due to depression</w:t>
      </w:r>
      <w:r w:rsidRPr="00631676">
        <w:rPr>
          <w:rFonts w:cstheme="minorHAnsi"/>
        </w:rPr>
        <w:t xml:space="preserve">.  The family </w:t>
      </w:r>
      <w:r w:rsidRPr="00631676">
        <w:rPr>
          <w:rFonts w:cstheme="minorHAnsi"/>
        </w:rPr>
        <w:lastRenderedPageBreak/>
        <w:t xml:space="preserve">decided against treatment.  </w:t>
      </w:r>
      <w:r w:rsidR="00823A8D" w:rsidRPr="00631676">
        <w:rPr>
          <w:rFonts w:cstheme="minorHAnsi"/>
        </w:rPr>
        <w:t>Defe</w:t>
      </w:r>
      <w:r w:rsidR="00490CC9" w:rsidRPr="00631676">
        <w:rPr>
          <w:rFonts w:cstheme="minorHAnsi"/>
        </w:rPr>
        <w:t>ndant’s grandfather also suffered</w:t>
      </w:r>
      <w:r w:rsidR="00823A8D" w:rsidRPr="00631676">
        <w:rPr>
          <w:rFonts w:cstheme="minorHAnsi"/>
        </w:rPr>
        <w:t xml:space="preserve"> from depression.  </w:t>
      </w:r>
    </w:p>
    <w:p w14:paraId="3D4BA2BC" w14:textId="3A0C8C5D" w:rsidR="00E856CE" w:rsidRPr="00631676" w:rsidRDefault="00823A8D" w:rsidP="00D410E9">
      <w:pPr>
        <w:rPr>
          <w:rFonts w:cstheme="minorHAnsi"/>
        </w:rPr>
      </w:pPr>
      <w:r w:rsidRPr="00631676">
        <w:rPr>
          <w:rFonts w:cstheme="minorHAnsi"/>
        </w:rPr>
        <w:tab/>
        <w:t xml:space="preserve">Stendel made efforts to make her grandchildren feel welcome in her home.  She worried the children would feel abandoned or abused by their parents.  </w:t>
      </w:r>
      <w:r w:rsidR="00C346B6" w:rsidRPr="00631676">
        <w:rPr>
          <w:rFonts w:cstheme="minorHAnsi"/>
        </w:rPr>
        <w:t xml:space="preserve">She testified that “in their young lifetime, nobody, I mean nobody really helped them to have safety and comfort.”  </w:t>
      </w:r>
      <w:r w:rsidRPr="00631676">
        <w:rPr>
          <w:rFonts w:cstheme="minorHAnsi"/>
        </w:rPr>
        <w:t>Her eldest grandchild</w:t>
      </w:r>
      <w:r w:rsidR="00AB3265" w:rsidRPr="00631676">
        <w:rPr>
          <w:rFonts w:cstheme="minorHAnsi"/>
        </w:rPr>
        <w:t>—</w:t>
      </w:r>
      <w:r w:rsidRPr="00631676">
        <w:rPr>
          <w:rFonts w:cstheme="minorHAnsi"/>
        </w:rPr>
        <w:t>defendant’s sister, Christina</w:t>
      </w:r>
      <w:r w:rsidR="00AB3265" w:rsidRPr="00631676">
        <w:rPr>
          <w:rFonts w:cstheme="minorHAnsi"/>
        </w:rPr>
        <w:t>—</w:t>
      </w:r>
      <w:r w:rsidR="007E62B3" w:rsidRPr="00631676">
        <w:rPr>
          <w:rFonts w:cstheme="minorHAnsi"/>
        </w:rPr>
        <w:t xml:space="preserve">was </w:t>
      </w:r>
      <w:r w:rsidRPr="00631676">
        <w:rPr>
          <w:rFonts w:cstheme="minorHAnsi"/>
        </w:rPr>
        <w:t xml:space="preserve">a heroin addict.  </w:t>
      </w:r>
      <w:r w:rsidR="0018669B" w:rsidRPr="00631676">
        <w:rPr>
          <w:rFonts w:cstheme="minorHAnsi"/>
        </w:rPr>
        <w:t xml:space="preserve">Stendel testified </w:t>
      </w:r>
      <w:r w:rsidR="004619DA" w:rsidRPr="00631676">
        <w:rPr>
          <w:rFonts w:cstheme="minorHAnsi"/>
        </w:rPr>
        <w:t>that she loved defendant</w:t>
      </w:r>
      <w:r w:rsidR="0018669B" w:rsidRPr="00631676">
        <w:rPr>
          <w:rFonts w:cstheme="minorHAnsi"/>
        </w:rPr>
        <w:t xml:space="preserve"> very much.  </w:t>
      </w:r>
    </w:p>
    <w:p w14:paraId="19AEDF77" w14:textId="061C83CE" w:rsidR="007D522C" w:rsidRPr="00631676" w:rsidRDefault="00E856CE" w:rsidP="00D410E9">
      <w:pPr>
        <w:rPr>
          <w:rFonts w:cstheme="minorHAnsi"/>
        </w:rPr>
      </w:pPr>
      <w:r w:rsidRPr="00631676">
        <w:rPr>
          <w:rFonts w:cstheme="minorHAnsi"/>
        </w:rPr>
        <w:tab/>
      </w:r>
      <w:r w:rsidR="00AB3265" w:rsidRPr="00631676">
        <w:rPr>
          <w:rFonts w:cstheme="minorHAnsi"/>
        </w:rPr>
        <w:t>At th</w:t>
      </w:r>
      <w:r w:rsidR="0060305D" w:rsidRPr="00631676">
        <w:rPr>
          <w:rFonts w:cstheme="minorHAnsi"/>
        </w:rPr>
        <w:t>e</w:t>
      </w:r>
      <w:r w:rsidR="00AB3265" w:rsidRPr="00631676">
        <w:rPr>
          <w:rFonts w:cstheme="minorHAnsi"/>
        </w:rPr>
        <w:t xml:space="preserve"> time of defendant’s trial, his </w:t>
      </w:r>
      <w:r w:rsidRPr="00631676">
        <w:rPr>
          <w:rFonts w:cstheme="minorHAnsi"/>
        </w:rPr>
        <w:t>younger brother, Jonathan, was serving a 12-year prison sentence for armed robbery and conspiracy to commit home invasion</w:t>
      </w:r>
      <w:r w:rsidR="00AB3265" w:rsidRPr="00631676">
        <w:rPr>
          <w:rFonts w:cstheme="minorHAnsi"/>
        </w:rPr>
        <w:t xml:space="preserve">.  Jonathan committed the crimes as </w:t>
      </w:r>
      <w:r w:rsidRPr="00631676">
        <w:rPr>
          <w:rFonts w:cstheme="minorHAnsi"/>
        </w:rPr>
        <w:t>a 16</w:t>
      </w:r>
      <w:r w:rsidR="00FF3626">
        <w:rPr>
          <w:rFonts w:cstheme="minorHAnsi"/>
        </w:rPr>
        <w:t xml:space="preserve"> </w:t>
      </w:r>
      <w:r w:rsidRPr="00631676">
        <w:rPr>
          <w:rFonts w:cstheme="minorHAnsi"/>
        </w:rPr>
        <w:t>year</w:t>
      </w:r>
      <w:r w:rsidR="00FF3626">
        <w:rPr>
          <w:rFonts w:cstheme="minorHAnsi"/>
        </w:rPr>
        <w:t xml:space="preserve"> </w:t>
      </w:r>
      <w:r w:rsidRPr="00631676">
        <w:rPr>
          <w:rFonts w:cstheme="minorHAnsi"/>
        </w:rPr>
        <w:t>old</w:t>
      </w:r>
      <w:r w:rsidR="00AB3265" w:rsidRPr="00631676">
        <w:rPr>
          <w:rFonts w:cstheme="minorHAnsi"/>
        </w:rPr>
        <w:t xml:space="preserve"> but </w:t>
      </w:r>
      <w:r w:rsidRPr="00631676">
        <w:rPr>
          <w:rFonts w:cstheme="minorHAnsi"/>
        </w:rPr>
        <w:t xml:space="preserve">was tried as an adult.  Jonathan testified about their abusive family, particularly their abusive stepmother, and the physical abuse defendant suffered </w:t>
      </w:r>
      <w:r w:rsidR="00490CC9" w:rsidRPr="00631676">
        <w:rPr>
          <w:rFonts w:cstheme="minorHAnsi"/>
        </w:rPr>
        <w:t>at</w:t>
      </w:r>
      <w:r w:rsidRPr="00631676">
        <w:rPr>
          <w:rFonts w:cstheme="minorHAnsi"/>
        </w:rPr>
        <w:t xml:space="preserve"> their father’s hands.  </w:t>
      </w:r>
      <w:r w:rsidR="007D522C" w:rsidRPr="00631676">
        <w:rPr>
          <w:rFonts w:cstheme="minorHAnsi"/>
        </w:rPr>
        <w:t xml:space="preserve">When asked how </w:t>
      </w:r>
      <w:r w:rsidR="006B7E76" w:rsidRPr="00631676">
        <w:rPr>
          <w:rFonts w:cstheme="minorHAnsi"/>
        </w:rPr>
        <w:t xml:space="preserve">he </w:t>
      </w:r>
      <w:r w:rsidR="007D522C" w:rsidRPr="00631676">
        <w:rPr>
          <w:rFonts w:cstheme="minorHAnsi"/>
        </w:rPr>
        <w:t>would feel if defendant were to receive the death penalty, Jonathan responded that he could “hardly take him being in jail period.”  He continued, “As far as putting him .</w:t>
      </w:r>
      <w:r w:rsidR="003E6E9A">
        <w:rPr>
          <w:rFonts w:cstheme="minorHAnsi"/>
        </w:rPr>
        <w:t> </w:t>
      </w:r>
      <w:r w:rsidR="007D522C" w:rsidRPr="00631676">
        <w:rPr>
          <w:rFonts w:cstheme="minorHAnsi"/>
        </w:rPr>
        <w:t>.</w:t>
      </w:r>
      <w:r w:rsidR="000E2CCD" w:rsidRPr="00631676">
        <w:rPr>
          <w:rFonts w:cstheme="minorHAnsi"/>
        </w:rPr>
        <w:t> </w:t>
      </w:r>
      <w:r w:rsidR="007D522C" w:rsidRPr="00631676">
        <w:rPr>
          <w:rFonts w:cstheme="minorHAnsi"/>
        </w:rPr>
        <w:t>. on death row .</w:t>
      </w:r>
      <w:r w:rsidR="000E2CCD" w:rsidRPr="00631676">
        <w:rPr>
          <w:rFonts w:cstheme="minorHAnsi"/>
        </w:rPr>
        <w:t> </w:t>
      </w:r>
      <w:r w:rsidR="007D522C" w:rsidRPr="00631676">
        <w:rPr>
          <w:rFonts w:cstheme="minorHAnsi"/>
        </w:rPr>
        <w:t>.</w:t>
      </w:r>
      <w:r w:rsidR="000E2CCD" w:rsidRPr="00631676">
        <w:rPr>
          <w:rFonts w:cstheme="minorHAnsi"/>
        </w:rPr>
        <w:t> </w:t>
      </w:r>
      <w:r w:rsidR="007D522C" w:rsidRPr="00631676">
        <w:rPr>
          <w:rFonts w:cstheme="minorHAnsi"/>
        </w:rPr>
        <w:t>.</w:t>
      </w:r>
      <w:r w:rsidR="005B7F8B" w:rsidRPr="00631676">
        <w:rPr>
          <w:rFonts w:cstheme="minorHAnsi"/>
        </w:rPr>
        <w:t> </w:t>
      </w:r>
      <w:r w:rsidR="007D522C" w:rsidRPr="00631676">
        <w:rPr>
          <w:rFonts w:cstheme="minorHAnsi"/>
        </w:rPr>
        <w:t xml:space="preserve">, that’s pretty awful.”  James, defendant’s father, was asked about the effect on him if his son was sentenced to death.  He responded that “[i]t would be a living nightmare you can’t wake up from.”  </w:t>
      </w:r>
    </w:p>
    <w:p w14:paraId="64BF918C" w14:textId="77777777" w:rsidR="0057430E" w:rsidRPr="00D410E9" w:rsidRDefault="007346EC" w:rsidP="00D410E9">
      <w:pPr>
        <w:pStyle w:val="Heading1"/>
        <w:rPr>
          <w:rFonts w:cstheme="minorHAnsi"/>
        </w:rPr>
      </w:pPr>
      <w:bookmarkStart w:id="20" w:name="_Toc12993759"/>
      <w:r w:rsidRPr="00D410E9">
        <w:rPr>
          <w:rFonts w:cstheme="minorHAnsi"/>
          <w:caps/>
          <w:szCs w:val="26"/>
        </w:rPr>
        <w:t>II.</w:t>
      </w:r>
      <w:r w:rsidRPr="00D410E9">
        <w:rPr>
          <w:rFonts w:cstheme="minorHAnsi"/>
          <w:caps/>
          <w:szCs w:val="26"/>
        </w:rPr>
        <w:tab/>
      </w:r>
      <w:r w:rsidR="00625CFB" w:rsidRPr="00D410E9">
        <w:rPr>
          <w:rFonts w:cstheme="minorHAnsi"/>
          <w:caps/>
          <w:szCs w:val="26"/>
        </w:rPr>
        <w:t>Discussion</w:t>
      </w:r>
      <w:bookmarkEnd w:id="20"/>
    </w:p>
    <w:p w14:paraId="243FA657" w14:textId="16A703F1" w:rsidR="00625CFB" w:rsidRPr="00D410E9" w:rsidRDefault="00092BC3" w:rsidP="00D410E9">
      <w:pPr>
        <w:pStyle w:val="Heading2"/>
        <w:rPr>
          <w:rFonts w:cstheme="minorHAnsi"/>
          <w:i/>
          <w:szCs w:val="26"/>
        </w:rPr>
      </w:pPr>
      <w:r w:rsidRPr="00D410E9">
        <w:rPr>
          <w:rFonts w:cstheme="minorHAnsi"/>
          <w:szCs w:val="26"/>
        </w:rPr>
        <w:tab/>
      </w:r>
      <w:bookmarkStart w:id="21" w:name="_Toc12993760"/>
      <w:r w:rsidR="00625CFB" w:rsidRPr="00D410E9">
        <w:rPr>
          <w:rFonts w:cstheme="minorHAnsi"/>
          <w:szCs w:val="26"/>
        </w:rPr>
        <w:t xml:space="preserve">A. </w:t>
      </w:r>
      <w:r w:rsidR="00625CFB" w:rsidRPr="00D410E9">
        <w:rPr>
          <w:rFonts w:cstheme="minorHAnsi"/>
          <w:szCs w:val="26"/>
        </w:rPr>
        <w:tab/>
        <w:t xml:space="preserve">Jurisdictional Claim </w:t>
      </w:r>
      <w:bookmarkEnd w:id="21"/>
    </w:p>
    <w:p w14:paraId="38DD2276" w14:textId="69D4389D" w:rsidR="00E8024F" w:rsidRPr="00631676" w:rsidRDefault="001534DB" w:rsidP="00521E1E">
      <w:pPr>
        <w:rPr>
          <w:rFonts w:cstheme="minorHAnsi"/>
        </w:rPr>
      </w:pPr>
      <w:r w:rsidRPr="00631676">
        <w:rPr>
          <w:rFonts w:cstheme="minorHAnsi"/>
        </w:rPr>
        <w:tab/>
      </w:r>
      <w:r w:rsidR="00E93008" w:rsidRPr="00631676">
        <w:rPr>
          <w:rFonts w:cstheme="minorHAnsi"/>
        </w:rPr>
        <w:t>D</w:t>
      </w:r>
      <w:r w:rsidRPr="00631676">
        <w:rPr>
          <w:rFonts w:cstheme="minorHAnsi"/>
        </w:rPr>
        <w:t>efendant</w:t>
      </w:r>
      <w:r w:rsidR="001B41E5" w:rsidRPr="00631676">
        <w:rPr>
          <w:rFonts w:cstheme="minorHAnsi"/>
        </w:rPr>
        <w:t>’s</w:t>
      </w:r>
      <w:r w:rsidR="00E93008" w:rsidRPr="00631676">
        <w:rPr>
          <w:rFonts w:cstheme="minorHAnsi"/>
        </w:rPr>
        <w:t xml:space="preserve"> first claim on appeal concerns </w:t>
      </w:r>
      <w:r w:rsidR="008866EB" w:rsidRPr="00631676">
        <w:rPr>
          <w:rFonts w:cstheme="minorHAnsi"/>
        </w:rPr>
        <w:t xml:space="preserve">the superior court’s jurisdiction to hear the case.  </w:t>
      </w:r>
      <w:r w:rsidR="00146ECA" w:rsidRPr="00631676">
        <w:rPr>
          <w:rFonts w:cstheme="minorHAnsi"/>
        </w:rPr>
        <w:t>The evidence indicates that the murder took place at or near the location where Nick’s body was found</w:t>
      </w:r>
      <w:r w:rsidR="005C59F0" w:rsidRPr="00631676">
        <w:rPr>
          <w:rFonts w:cstheme="minorHAnsi"/>
        </w:rPr>
        <w:t xml:space="preserve"> </w:t>
      </w:r>
      <w:r w:rsidR="00146ECA" w:rsidRPr="00631676">
        <w:rPr>
          <w:rFonts w:cstheme="minorHAnsi"/>
        </w:rPr>
        <w:t xml:space="preserve">in </w:t>
      </w:r>
      <w:r w:rsidR="007E62B3" w:rsidRPr="00631676">
        <w:rPr>
          <w:rFonts w:cstheme="minorHAnsi"/>
        </w:rPr>
        <w:t xml:space="preserve">the </w:t>
      </w:r>
      <w:r w:rsidR="00146ECA" w:rsidRPr="00631676">
        <w:rPr>
          <w:rFonts w:cstheme="minorHAnsi"/>
        </w:rPr>
        <w:t>area known as Lizard’s Mouth</w:t>
      </w:r>
      <w:r w:rsidR="005C59F0" w:rsidRPr="00631676">
        <w:rPr>
          <w:rFonts w:cstheme="minorHAnsi"/>
        </w:rPr>
        <w:t xml:space="preserve">, </w:t>
      </w:r>
      <w:r w:rsidR="00FE588F" w:rsidRPr="00631676">
        <w:rPr>
          <w:rFonts w:cstheme="minorHAnsi"/>
        </w:rPr>
        <w:t xml:space="preserve">which </w:t>
      </w:r>
      <w:r w:rsidR="005C59F0" w:rsidRPr="00631676">
        <w:rPr>
          <w:rFonts w:cstheme="minorHAnsi"/>
        </w:rPr>
        <w:t xml:space="preserve">is </w:t>
      </w:r>
      <w:r w:rsidR="00146ECA" w:rsidRPr="00631676">
        <w:rPr>
          <w:rFonts w:cstheme="minorHAnsi"/>
        </w:rPr>
        <w:t xml:space="preserve">situated </w:t>
      </w:r>
      <w:r w:rsidR="000053F9" w:rsidRPr="00631676">
        <w:rPr>
          <w:rFonts w:cstheme="minorHAnsi"/>
        </w:rPr>
        <w:t xml:space="preserve">within the boundaries of the </w:t>
      </w:r>
      <w:r w:rsidR="00146ECA" w:rsidRPr="00631676">
        <w:rPr>
          <w:rFonts w:cstheme="minorHAnsi"/>
        </w:rPr>
        <w:t xml:space="preserve">Los Padres National Forest.  </w:t>
      </w:r>
      <w:r w:rsidR="008866EB" w:rsidRPr="00631676">
        <w:rPr>
          <w:rFonts w:cstheme="minorHAnsi"/>
        </w:rPr>
        <w:t>Defendant</w:t>
      </w:r>
      <w:r w:rsidRPr="00631676">
        <w:rPr>
          <w:rFonts w:cstheme="minorHAnsi"/>
        </w:rPr>
        <w:t xml:space="preserve"> </w:t>
      </w:r>
      <w:r w:rsidR="005F5C9A" w:rsidRPr="00631676">
        <w:rPr>
          <w:rFonts w:cstheme="minorHAnsi"/>
        </w:rPr>
        <w:t xml:space="preserve">contends </w:t>
      </w:r>
      <w:r w:rsidRPr="00631676">
        <w:rPr>
          <w:rFonts w:cstheme="minorHAnsi"/>
        </w:rPr>
        <w:t xml:space="preserve">that </w:t>
      </w:r>
      <w:r w:rsidR="005F5C9A" w:rsidRPr="00631676">
        <w:rPr>
          <w:rFonts w:cstheme="minorHAnsi"/>
        </w:rPr>
        <w:t xml:space="preserve">because </w:t>
      </w:r>
      <w:r w:rsidRPr="00631676">
        <w:rPr>
          <w:rFonts w:cstheme="minorHAnsi"/>
        </w:rPr>
        <w:t xml:space="preserve">the murder </w:t>
      </w:r>
      <w:r w:rsidR="00146ECA" w:rsidRPr="00631676">
        <w:rPr>
          <w:rFonts w:cstheme="minorHAnsi"/>
        </w:rPr>
        <w:t xml:space="preserve">took place </w:t>
      </w:r>
      <w:r w:rsidR="00146ECA" w:rsidRPr="00631676">
        <w:rPr>
          <w:rFonts w:cstheme="minorHAnsi"/>
        </w:rPr>
        <w:lastRenderedPageBreak/>
        <w:t xml:space="preserve">in </w:t>
      </w:r>
      <w:r w:rsidR="00946315" w:rsidRPr="00631676">
        <w:rPr>
          <w:rFonts w:cstheme="minorHAnsi"/>
        </w:rPr>
        <w:t xml:space="preserve">a national </w:t>
      </w:r>
      <w:r w:rsidR="00377366" w:rsidRPr="00631676">
        <w:rPr>
          <w:rFonts w:cstheme="minorHAnsi"/>
        </w:rPr>
        <w:t>forest</w:t>
      </w:r>
      <w:r w:rsidR="00946315" w:rsidRPr="00631676">
        <w:rPr>
          <w:rFonts w:cstheme="minorHAnsi"/>
        </w:rPr>
        <w:t>,</w:t>
      </w:r>
      <w:r w:rsidR="0027336B" w:rsidRPr="00631676">
        <w:rPr>
          <w:rFonts w:cstheme="minorHAnsi"/>
        </w:rPr>
        <w:t xml:space="preserve"> </w:t>
      </w:r>
      <w:r w:rsidR="005E40FD" w:rsidRPr="00631676">
        <w:rPr>
          <w:rFonts w:cstheme="minorHAnsi"/>
        </w:rPr>
        <w:t>the case</w:t>
      </w:r>
      <w:r w:rsidR="005F5C9A" w:rsidRPr="00631676">
        <w:rPr>
          <w:rFonts w:cstheme="minorHAnsi"/>
        </w:rPr>
        <w:t xml:space="preserve"> f</w:t>
      </w:r>
      <w:r w:rsidR="005E40FD" w:rsidRPr="00631676">
        <w:rPr>
          <w:rFonts w:cstheme="minorHAnsi"/>
        </w:rPr>
        <w:t>a</w:t>
      </w:r>
      <w:r w:rsidR="005F5C9A" w:rsidRPr="00631676">
        <w:rPr>
          <w:rFonts w:cstheme="minorHAnsi"/>
        </w:rPr>
        <w:t>ll</w:t>
      </w:r>
      <w:r w:rsidR="005E40FD" w:rsidRPr="00631676">
        <w:rPr>
          <w:rFonts w:cstheme="minorHAnsi"/>
        </w:rPr>
        <w:t>s</w:t>
      </w:r>
      <w:r w:rsidR="005F5C9A" w:rsidRPr="00631676">
        <w:rPr>
          <w:rFonts w:cstheme="minorHAnsi"/>
        </w:rPr>
        <w:t xml:space="preserve"> </w:t>
      </w:r>
      <w:r w:rsidR="007538DB" w:rsidRPr="00631676">
        <w:rPr>
          <w:rFonts w:cstheme="minorHAnsi"/>
        </w:rPr>
        <w:t xml:space="preserve">within </w:t>
      </w:r>
      <w:r w:rsidR="005F5C9A" w:rsidRPr="00631676">
        <w:rPr>
          <w:rFonts w:cstheme="minorHAnsi"/>
        </w:rPr>
        <w:t xml:space="preserve">the exclusive </w:t>
      </w:r>
      <w:r w:rsidR="007538DB" w:rsidRPr="00631676">
        <w:rPr>
          <w:rFonts w:cstheme="minorHAnsi"/>
        </w:rPr>
        <w:t xml:space="preserve">territorial </w:t>
      </w:r>
      <w:r w:rsidR="005F5C9A" w:rsidRPr="00631676">
        <w:rPr>
          <w:rFonts w:cstheme="minorHAnsi"/>
        </w:rPr>
        <w:t>jurisdiction of the courts of the United States</w:t>
      </w:r>
      <w:r w:rsidR="000053F9" w:rsidRPr="00631676">
        <w:rPr>
          <w:rFonts w:cstheme="minorHAnsi"/>
        </w:rPr>
        <w:t xml:space="preserve">, and </w:t>
      </w:r>
      <w:r w:rsidR="007538DB" w:rsidRPr="00631676">
        <w:rPr>
          <w:rFonts w:cstheme="minorHAnsi"/>
        </w:rPr>
        <w:t xml:space="preserve">thus </w:t>
      </w:r>
      <w:r w:rsidR="000053F9" w:rsidRPr="00631676">
        <w:rPr>
          <w:rFonts w:cstheme="minorHAnsi"/>
        </w:rPr>
        <w:t xml:space="preserve">outside the </w:t>
      </w:r>
      <w:r w:rsidR="007538DB" w:rsidRPr="00631676">
        <w:rPr>
          <w:rFonts w:cstheme="minorHAnsi"/>
        </w:rPr>
        <w:t>jurisdiction of the superior court</w:t>
      </w:r>
      <w:r w:rsidRPr="00631676">
        <w:rPr>
          <w:rFonts w:cstheme="minorHAnsi"/>
        </w:rPr>
        <w:t>.</w:t>
      </w:r>
      <w:r w:rsidR="00887302" w:rsidRPr="00631676">
        <w:rPr>
          <w:rFonts w:cstheme="minorHAnsi"/>
        </w:rPr>
        <w:t xml:space="preserve">  </w:t>
      </w:r>
    </w:p>
    <w:p w14:paraId="167FCDF4" w14:textId="77777777" w:rsidR="007C1917" w:rsidRPr="00631676" w:rsidRDefault="00E8024F" w:rsidP="00D410E9">
      <w:pPr>
        <w:rPr>
          <w:rFonts w:cstheme="minorHAnsi"/>
        </w:rPr>
      </w:pPr>
      <w:r w:rsidRPr="00631676">
        <w:rPr>
          <w:rFonts w:cstheme="minorHAnsi"/>
        </w:rPr>
        <w:tab/>
        <w:t>Defendant did not raise this argument in the trial court</w:t>
      </w:r>
      <w:r w:rsidR="00FC14EF" w:rsidRPr="00631676">
        <w:rPr>
          <w:rFonts w:cstheme="minorHAnsi"/>
        </w:rPr>
        <w:t xml:space="preserve">, which would ordinarily </w:t>
      </w:r>
      <w:r w:rsidR="007E62B3" w:rsidRPr="00631676">
        <w:rPr>
          <w:rFonts w:cstheme="minorHAnsi"/>
        </w:rPr>
        <w:t>bar him from raising it</w:t>
      </w:r>
      <w:r w:rsidR="00FC14EF" w:rsidRPr="00631676">
        <w:rPr>
          <w:rFonts w:cstheme="minorHAnsi"/>
        </w:rPr>
        <w:t xml:space="preserve"> on appeal.  (</w:t>
      </w:r>
      <w:r w:rsidR="005569BD" w:rsidRPr="00631676">
        <w:rPr>
          <w:rFonts w:cstheme="minorHAnsi"/>
        </w:rPr>
        <w:t>See</w:t>
      </w:r>
      <w:r w:rsidR="00D332EC" w:rsidRPr="00631676">
        <w:rPr>
          <w:rFonts w:cstheme="minorHAnsi"/>
        </w:rPr>
        <w:t xml:space="preserve"> </w:t>
      </w:r>
      <w:r w:rsidR="0046404B" w:rsidRPr="00631676">
        <w:rPr>
          <w:rFonts w:cstheme="minorHAnsi"/>
          <w:i/>
        </w:rPr>
        <w:t>In re Sheena K.</w:t>
      </w:r>
      <w:r w:rsidR="0046404B" w:rsidRPr="00631676">
        <w:rPr>
          <w:rFonts w:cstheme="minorHAnsi"/>
        </w:rPr>
        <w:t xml:space="preserve"> (2007) 40 Cal.4th 875, </w:t>
      </w:r>
      <w:r w:rsidR="009D1326" w:rsidRPr="00631676">
        <w:rPr>
          <w:rFonts w:cstheme="minorHAnsi"/>
        </w:rPr>
        <w:t>880</w:t>
      </w:r>
      <w:bookmarkStart w:id="22" w:name="_Hlk29900543"/>
      <w:r w:rsidR="009D1326" w:rsidRPr="00631676">
        <w:rPr>
          <w:rFonts w:cstheme="minorHAnsi"/>
        </w:rPr>
        <w:t>–</w:t>
      </w:r>
      <w:bookmarkEnd w:id="22"/>
      <w:r w:rsidR="009D1326" w:rsidRPr="00631676">
        <w:rPr>
          <w:rFonts w:cstheme="minorHAnsi"/>
        </w:rPr>
        <w:t>881.</w:t>
      </w:r>
      <w:r w:rsidR="00FC14EF" w:rsidRPr="00631676">
        <w:rPr>
          <w:rFonts w:cstheme="minorHAnsi"/>
        </w:rPr>
        <w:t xml:space="preserve">)  </w:t>
      </w:r>
      <w:r w:rsidRPr="00631676">
        <w:rPr>
          <w:rFonts w:cstheme="minorHAnsi"/>
        </w:rPr>
        <w:t xml:space="preserve">But if, as defendant contends, the superior court lacked territorial jurisdiction, then it was without authority to act in the matter and should not have entered judgment in the case.  </w:t>
      </w:r>
      <w:r w:rsidR="00496E2B" w:rsidRPr="00631676">
        <w:rPr>
          <w:rFonts w:cstheme="minorHAnsi"/>
        </w:rPr>
        <w:t>(</w:t>
      </w:r>
      <w:r w:rsidR="00496E2B" w:rsidRPr="00631676">
        <w:rPr>
          <w:rFonts w:cstheme="minorHAnsi"/>
          <w:i/>
        </w:rPr>
        <w:t>People v. Betts</w:t>
      </w:r>
      <w:r w:rsidR="00496E2B" w:rsidRPr="00631676">
        <w:rPr>
          <w:rFonts w:cstheme="minorHAnsi"/>
        </w:rPr>
        <w:t xml:space="preserve"> (2005) 34 Cal.4th 1039, 1050.)  </w:t>
      </w:r>
      <w:r w:rsidR="00C163DB" w:rsidRPr="00631676">
        <w:rPr>
          <w:rFonts w:cstheme="minorHAnsi"/>
        </w:rPr>
        <w:t xml:space="preserve">A </w:t>
      </w:r>
      <w:r w:rsidR="0057736D" w:rsidRPr="00631676">
        <w:rPr>
          <w:rFonts w:cstheme="minorHAnsi"/>
        </w:rPr>
        <w:t xml:space="preserve">claim of fundamental jurisdictional defect </w:t>
      </w:r>
      <w:r w:rsidR="00371529" w:rsidRPr="00631676">
        <w:rPr>
          <w:rFonts w:cstheme="minorHAnsi"/>
        </w:rPr>
        <w:t>is not subject to forfeiture or waiver.  (</w:t>
      </w:r>
      <w:r w:rsidR="003B209E" w:rsidRPr="00631676">
        <w:rPr>
          <w:rFonts w:cstheme="minorHAnsi"/>
          <w:i/>
        </w:rPr>
        <w:t>People v. Lara</w:t>
      </w:r>
      <w:r w:rsidR="003B209E" w:rsidRPr="00631676">
        <w:rPr>
          <w:rFonts w:cstheme="minorHAnsi"/>
        </w:rPr>
        <w:t xml:space="preserve"> (2010) 48 Cal.4th 216, 225</w:t>
      </w:r>
      <w:r w:rsidR="00FC14EF" w:rsidRPr="00631676">
        <w:rPr>
          <w:rFonts w:cstheme="minorHAnsi"/>
        </w:rPr>
        <w:t>.)</w:t>
      </w:r>
      <w:r w:rsidR="00654525" w:rsidRPr="00631676">
        <w:rPr>
          <w:rFonts w:cstheme="minorHAnsi"/>
        </w:rPr>
        <w:t xml:space="preserve">  We are therefore obligated to address the </w:t>
      </w:r>
      <w:r w:rsidR="006032E7" w:rsidRPr="00631676">
        <w:rPr>
          <w:rFonts w:cstheme="minorHAnsi"/>
        </w:rPr>
        <w:t>claim</w:t>
      </w:r>
      <w:r w:rsidR="00654525" w:rsidRPr="00631676">
        <w:rPr>
          <w:rFonts w:cstheme="minorHAnsi"/>
        </w:rPr>
        <w:t>.</w:t>
      </w:r>
      <w:r w:rsidR="00B4211D" w:rsidRPr="00631676">
        <w:rPr>
          <w:rFonts w:cstheme="minorHAnsi"/>
        </w:rPr>
        <w:t xml:space="preserve">  </w:t>
      </w:r>
      <w:r w:rsidR="00C163DB" w:rsidRPr="00631676">
        <w:rPr>
          <w:rFonts w:cstheme="minorHAnsi"/>
        </w:rPr>
        <w:t xml:space="preserve">It </w:t>
      </w:r>
      <w:r w:rsidR="007538DB" w:rsidRPr="00631676">
        <w:rPr>
          <w:rFonts w:cstheme="minorHAnsi"/>
        </w:rPr>
        <w:t>is, however, without merit</w:t>
      </w:r>
      <w:r w:rsidR="007C1917" w:rsidRPr="00631676">
        <w:rPr>
          <w:rFonts w:cstheme="minorHAnsi"/>
        </w:rPr>
        <w:t>.</w:t>
      </w:r>
    </w:p>
    <w:p w14:paraId="400CCF40" w14:textId="1C88E791" w:rsidR="00C74BC9" w:rsidRPr="00631676" w:rsidRDefault="00654525" w:rsidP="00D410E9">
      <w:pPr>
        <w:rPr>
          <w:rFonts w:cstheme="minorHAnsi"/>
        </w:rPr>
      </w:pPr>
      <w:r w:rsidRPr="00631676">
        <w:rPr>
          <w:rFonts w:cstheme="minorHAnsi"/>
        </w:rPr>
        <w:tab/>
      </w:r>
      <w:r w:rsidR="007538DB" w:rsidRPr="00631676">
        <w:rPr>
          <w:rFonts w:cstheme="minorHAnsi"/>
        </w:rPr>
        <w:t>The fact the murder was committed within the boundaries of a national forest does not necessarily mean that the federal government, and the federal government alone, was empowered to prosecute the crime.</w:t>
      </w:r>
      <w:r w:rsidR="00D241BB">
        <w:rPr>
          <w:rFonts w:cstheme="minorHAnsi"/>
        </w:rPr>
        <w:t xml:space="preserve">  </w:t>
      </w:r>
      <w:r w:rsidR="00C24CF6">
        <w:rPr>
          <w:rFonts w:cstheme="minorHAnsi"/>
          <w:sz w:val="26"/>
          <w:szCs w:val="26"/>
        </w:rPr>
        <w:t>A</w:t>
      </w:r>
      <w:r w:rsidR="00496E2B" w:rsidRPr="00631676">
        <w:rPr>
          <w:rFonts w:cstheme="minorHAnsi"/>
        </w:rPr>
        <w:t xml:space="preserve">s </w:t>
      </w:r>
      <w:r w:rsidR="00C170AA">
        <w:rPr>
          <w:rFonts w:cstheme="minorHAnsi"/>
        </w:rPr>
        <w:t xml:space="preserve">this court </w:t>
      </w:r>
      <w:r w:rsidR="00496E2B" w:rsidRPr="00631676">
        <w:rPr>
          <w:rFonts w:cstheme="minorHAnsi"/>
        </w:rPr>
        <w:t xml:space="preserve">explained </w:t>
      </w:r>
      <w:r w:rsidR="00C170AA">
        <w:rPr>
          <w:rFonts w:cstheme="minorHAnsi"/>
        </w:rPr>
        <w:t xml:space="preserve">more than </w:t>
      </w:r>
      <w:r w:rsidR="00496E2B" w:rsidRPr="00631676">
        <w:rPr>
          <w:rFonts w:cstheme="minorHAnsi"/>
        </w:rPr>
        <w:t>a century ago,</w:t>
      </w:r>
      <w:r w:rsidR="00204444" w:rsidRPr="00631676">
        <w:rPr>
          <w:rFonts w:cstheme="minorHAnsi"/>
        </w:rPr>
        <w:t xml:space="preserve"> </w:t>
      </w:r>
      <w:r w:rsidR="00496E2B" w:rsidRPr="00631676">
        <w:rPr>
          <w:rFonts w:cstheme="minorHAnsi"/>
        </w:rPr>
        <w:t xml:space="preserve">federal ownership of land does not </w:t>
      </w:r>
      <w:r w:rsidR="0065046F">
        <w:rPr>
          <w:rFonts w:cstheme="minorHAnsi"/>
        </w:rPr>
        <w:t xml:space="preserve">necessarily </w:t>
      </w:r>
      <w:r w:rsidR="00C170AA">
        <w:rPr>
          <w:rFonts w:cstheme="minorHAnsi"/>
        </w:rPr>
        <w:t xml:space="preserve">establish </w:t>
      </w:r>
      <w:r w:rsidR="0070519C">
        <w:rPr>
          <w:rFonts w:cstheme="minorHAnsi"/>
        </w:rPr>
        <w:t>“</w:t>
      </w:r>
      <w:r w:rsidR="00496E2B" w:rsidRPr="00631676">
        <w:rPr>
          <w:rFonts w:cstheme="minorHAnsi"/>
        </w:rPr>
        <w:t>federal jurisdiction over crimes committed upon it, as that fact does not oust the jurisdiction of the state</w:t>
      </w:r>
      <w:r w:rsidR="00FF3626">
        <w:rPr>
          <w:rFonts w:cstheme="minorHAnsi"/>
        </w:rPr>
        <w:t xml:space="preserve"> </w:t>
      </w:r>
      <w:r w:rsidR="00496E2B" w:rsidRPr="00631676">
        <w:rPr>
          <w:rFonts w:cstheme="minorHAnsi"/>
        </w:rPr>
        <w:t>.</w:t>
      </w:r>
      <w:r w:rsidR="00FF3626">
        <w:rPr>
          <w:rFonts w:cstheme="minorHAnsi"/>
        </w:rPr>
        <w:t> . . .</w:t>
      </w:r>
      <w:r w:rsidR="00496E2B" w:rsidRPr="00631676">
        <w:rPr>
          <w:rFonts w:cstheme="minorHAnsi"/>
        </w:rPr>
        <w:t>”  (</w:t>
      </w:r>
      <w:r w:rsidR="00496E2B" w:rsidRPr="00631676">
        <w:rPr>
          <w:rFonts w:cstheme="minorHAnsi"/>
          <w:i/>
        </w:rPr>
        <w:t>People v.</w:t>
      </w:r>
      <w:r w:rsidR="00482060" w:rsidRPr="00631676">
        <w:rPr>
          <w:rFonts w:cstheme="minorHAnsi"/>
          <w:i/>
        </w:rPr>
        <w:t xml:space="preserve"> </w:t>
      </w:r>
      <w:r w:rsidR="00496E2B" w:rsidRPr="00631676">
        <w:rPr>
          <w:rFonts w:cstheme="minorHAnsi"/>
          <w:i/>
        </w:rPr>
        <w:t>Collins</w:t>
      </w:r>
      <w:r w:rsidR="00496E2B" w:rsidRPr="00631676">
        <w:rPr>
          <w:rFonts w:cstheme="minorHAnsi"/>
        </w:rPr>
        <w:t xml:space="preserve"> (1895) 105 Cal. 504, 509.)</w:t>
      </w:r>
      <w:r w:rsidR="00CB073F" w:rsidRPr="00631676">
        <w:rPr>
          <w:rFonts w:cstheme="minorHAnsi"/>
        </w:rPr>
        <w:t xml:space="preserve">  </w:t>
      </w:r>
      <w:r w:rsidR="00F163EC" w:rsidRPr="00631676">
        <w:rPr>
          <w:rFonts w:cstheme="minorHAnsi"/>
        </w:rPr>
        <w:t>“</w:t>
      </w:r>
      <w:r w:rsidR="0022475B" w:rsidRPr="00631676">
        <w:rPr>
          <w:rFonts w:cstheme="minorHAnsi"/>
        </w:rPr>
        <w:t>[</w:t>
      </w:r>
      <w:r w:rsidR="00F163EC" w:rsidRPr="00631676">
        <w:rPr>
          <w:rFonts w:cstheme="minorHAnsi"/>
        </w:rPr>
        <w:t>F</w:t>
      </w:r>
      <w:r w:rsidR="0022475B" w:rsidRPr="00631676">
        <w:rPr>
          <w:rFonts w:cstheme="minorHAnsi"/>
        </w:rPr>
        <w:t>]</w:t>
      </w:r>
      <w:r w:rsidR="00CB073F" w:rsidRPr="00631676">
        <w:rPr>
          <w:rFonts w:cstheme="minorHAnsi"/>
        </w:rPr>
        <w:t>or many purposes a State has civil and criminal jurisdiction over lands within its limits</w:t>
      </w:r>
      <w:r w:rsidR="00950C60" w:rsidRPr="00631676">
        <w:rPr>
          <w:rFonts w:cstheme="minorHAnsi"/>
        </w:rPr>
        <w:t xml:space="preserve"> belonging to the United States,</w:t>
      </w:r>
      <w:r w:rsidR="00CB073F" w:rsidRPr="00631676">
        <w:rPr>
          <w:rFonts w:cstheme="minorHAnsi"/>
        </w:rPr>
        <w:t>”</w:t>
      </w:r>
      <w:r w:rsidR="00950C60" w:rsidRPr="00631676">
        <w:rPr>
          <w:rFonts w:cstheme="minorHAnsi"/>
        </w:rPr>
        <w:t xml:space="preserve"> including the </w:t>
      </w:r>
      <w:r w:rsidR="00F726F1" w:rsidRPr="00631676">
        <w:rPr>
          <w:rFonts w:cstheme="minorHAnsi"/>
        </w:rPr>
        <w:t xml:space="preserve">punishment of </w:t>
      </w:r>
      <w:r w:rsidR="00950C60" w:rsidRPr="00631676">
        <w:rPr>
          <w:rFonts w:cstheme="minorHAnsi"/>
        </w:rPr>
        <w:t xml:space="preserve">“public offenses, such as murder or larceny, committed on such lands.”  </w:t>
      </w:r>
      <w:r w:rsidR="00CB073F" w:rsidRPr="00631676">
        <w:rPr>
          <w:rFonts w:cstheme="minorHAnsi"/>
        </w:rPr>
        <w:t>(</w:t>
      </w:r>
      <w:r w:rsidR="00CB073F" w:rsidRPr="00631676">
        <w:rPr>
          <w:rFonts w:cstheme="minorHAnsi"/>
          <w:i/>
        </w:rPr>
        <w:t>Utah Power &amp; Light Co. v. United States</w:t>
      </w:r>
      <w:r w:rsidR="00CB073F" w:rsidRPr="00631676">
        <w:rPr>
          <w:rFonts w:cstheme="minorHAnsi"/>
        </w:rPr>
        <w:t xml:space="preserve"> (1917) 243 U.S. 389, </w:t>
      </w:r>
      <w:r w:rsidR="002D3819" w:rsidRPr="00631676">
        <w:rPr>
          <w:rFonts w:cstheme="minorHAnsi"/>
        </w:rPr>
        <w:t>404</w:t>
      </w:r>
      <w:r w:rsidR="00482060" w:rsidRPr="00631676">
        <w:rPr>
          <w:rFonts w:cstheme="minorHAnsi"/>
        </w:rPr>
        <w:t xml:space="preserve">; see </w:t>
      </w:r>
      <w:r w:rsidR="00482060" w:rsidRPr="00631676">
        <w:rPr>
          <w:rFonts w:cstheme="minorHAnsi"/>
          <w:i/>
        </w:rPr>
        <w:t>People v.</w:t>
      </w:r>
      <w:r w:rsidR="006D2F02" w:rsidRPr="00631676">
        <w:rPr>
          <w:rFonts w:cstheme="minorHAnsi"/>
          <w:i/>
        </w:rPr>
        <w:t> </w:t>
      </w:r>
      <w:r w:rsidR="00482060" w:rsidRPr="00631676">
        <w:rPr>
          <w:rFonts w:cstheme="minorHAnsi"/>
          <w:i/>
        </w:rPr>
        <w:t>Rinehart</w:t>
      </w:r>
      <w:r w:rsidR="00482060" w:rsidRPr="00631676">
        <w:rPr>
          <w:rFonts w:cstheme="minorHAnsi"/>
        </w:rPr>
        <w:t xml:space="preserve"> (2016) 1 Cal.5th 652, 660</w:t>
      </w:r>
      <w:r w:rsidR="00622943" w:rsidRPr="00631676">
        <w:rPr>
          <w:rFonts w:cstheme="minorHAnsi"/>
        </w:rPr>
        <w:t>.</w:t>
      </w:r>
      <w:r w:rsidR="00CB073F" w:rsidRPr="00631676">
        <w:rPr>
          <w:rFonts w:cstheme="minorHAnsi"/>
        </w:rPr>
        <w:t>)</w:t>
      </w:r>
      <w:r w:rsidR="00C74BC9" w:rsidRPr="00631676">
        <w:rPr>
          <w:rFonts w:cstheme="minorHAnsi"/>
        </w:rPr>
        <w:t xml:space="preserve">  </w:t>
      </w:r>
      <w:r w:rsidR="007466E7">
        <w:rPr>
          <w:rFonts w:cstheme="minorHAnsi"/>
        </w:rPr>
        <w:t>W</w:t>
      </w:r>
      <w:r w:rsidR="0065046F" w:rsidRPr="00631676">
        <w:rPr>
          <w:rFonts w:cstheme="minorHAnsi"/>
        </w:rPr>
        <w:t xml:space="preserve">hether the federal government has exclusive jurisdiction over </w:t>
      </w:r>
      <w:r w:rsidR="00C46666">
        <w:rPr>
          <w:rFonts w:cstheme="minorHAnsi"/>
        </w:rPr>
        <w:t xml:space="preserve">crimes committed on </w:t>
      </w:r>
      <w:r w:rsidR="0065046F" w:rsidRPr="00631676">
        <w:rPr>
          <w:rFonts w:cstheme="minorHAnsi"/>
        </w:rPr>
        <w:t xml:space="preserve">federal lands depends on the </w:t>
      </w:r>
      <w:r w:rsidR="00D135E3">
        <w:rPr>
          <w:rFonts w:cstheme="minorHAnsi"/>
        </w:rPr>
        <w:t xml:space="preserve">terms on </w:t>
      </w:r>
      <w:r w:rsidR="00B42C23">
        <w:rPr>
          <w:rFonts w:cstheme="minorHAnsi"/>
        </w:rPr>
        <w:t xml:space="preserve">which the lands were acquired </w:t>
      </w:r>
      <w:r w:rsidR="0065046F" w:rsidRPr="00631676">
        <w:rPr>
          <w:rFonts w:cstheme="minorHAnsi"/>
        </w:rPr>
        <w:t xml:space="preserve">from the states.  (See </w:t>
      </w:r>
      <w:r w:rsidR="0065046F" w:rsidRPr="00631676">
        <w:rPr>
          <w:rFonts w:cstheme="minorHAnsi"/>
          <w:i/>
        </w:rPr>
        <w:t>Kleppe v. New Mexico</w:t>
      </w:r>
      <w:r w:rsidR="0065046F" w:rsidRPr="00631676">
        <w:rPr>
          <w:rFonts w:cstheme="minorHAnsi"/>
        </w:rPr>
        <w:t xml:space="preserve"> (1976) 426 U.S. 529, 542</w:t>
      </w:r>
      <w:r w:rsidR="0065046F" w:rsidRPr="00631676">
        <w:t>–</w:t>
      </w:r>
      <w:r w:rsidR="0065046F" w:rsidRPr="00631676">
        <w:rPr>
          <w:rFonts w:cstheme="minorHAnsi"/>
        </w:rPr>
        <w:t>543</w:t>
      </w:r>
      <w:r w:rsidR="0065046F">
        <w:rPr>
          <w:rFonts w:cstheme="minorHAnsi"/>
        </w:rPr>
        <w:t xml:space="preserve"> [</w:t>
      </w:r>
      <w:r w:rsidR="007E682F">
        <w:rPr>
          <w:rFonts w:cstheme="minorHAnsi"/>
        </w:rPr>
        <w:t xml:space="preserve">under </w:t>
      </w:r>
      <w:r w:rsidR="00FF3626">
        <w:rPr>
          <w:rFonts w:cstheme="minorHAnsi"/>
        </w:rPr>
        <w:t>e</w:t>
      </w:r>
      <w:r w:rsidR="007E682F">
        <w:rPr>
          <w:rFonts w:cstheme="minorHAnsi"/>
        </w:rPr>
        <w:t xml:space="preserve">nclave </w:t>
      </w:r>
      <w:r w:rsidR="00FF3626">
        <w:rPr>
          <w:rFonts w:cstheme="minorHAnsi"/>
        </w:rPr>
        <w:t>c</w:t>
      </w:r>
      <w:r w:rsidR="007E682F">
        <w:rPr>
          <w:rFonts w:cstheme="minorHAnsi"/>
        </w:rPr>
        <w:t>lause</w:t>
      </w:r>
      <w:r w:rsidR="007466E7">
        <w:rPr>
          <w:rFonts w:cstheme="minorHAnsi"/>
        </w:rPr>
        <w:t xml:space="preserve"> of the federal </w:t>
      </w:r>
      <w:r w:rsidR="00BA24FC">
        <w:rPr>
          <w:rFonts w:cstheme="minorHAnsi"/>
        </w:rPr>
        <w:t>C</w:t>
      </w:r>
      <w:r w:rsidR="007466E7">
        <w:rPr>
          <w:rFonts w:cstheme="minorHAnsi"/>
        </w:rPr>
        <w:t xml:space="preserve">onstitution (U.S. Const., </w:t>
      </w:r>
      <w:r w:rsidR="007466E7">
        <w:rPr>
          <w:rFonts w:cstheme="minorHAnsi"/>
        </w:rPr>
        <w:lastRenderedPageBreak/>
        <w:t>art. I, §</w:t>
      </w:r>
      <w:r w:rsidR="00D649EB">
        <w:rPr>
          <w:rFonts w:cstheme="minorHAnsi"/>
        </w:rPr>
        <w:t> </w:t>
      </w:r>
      <w:r w:rsidR="007466E7">
        <w:rPr>
          <w:rFonts w:cstheme="minorHAnsi"/>
        </w:rPr>
        <w:t xml:space="preserve">8, cl. 17), </w:t>
      </w:r>
      <w:r w:rsidR="0065046F">
        <w:rPr>
          <w:rFonts w:cstheme="minorHAnsi"/>
        </w:rPr>
        <w:t>state may cede either exclusive or limited jurisdiction to federal government].</w:t>
      </w:r>
      <w:r w:rsidR="0065046F" w:rsidRPr="00631676">
        <w:rPr>
          <w:rFonts w:cstheme="minorHAnsi"/>
        </w:rPr>
        <w:t>)</w:t>
      </w:r>
      <w:r w:rsidR="0065046F">
        <w:rPr>
          <w:rFonts w:cstheme="minorHAnsi"/>
        </w:rPr>
        <w:t xml:space="preserve">  </w:t>
      </w:r>
      <w:r w:rsidR="00AE69D4" w:rsidRPr="00631676">
        <w:rPr>
          <w:rFonts w:cstheme="minorHAnsi"/>
        </w:rPr>
        <w:t>Defendant po</w:t>
      </w:r>
      <w:r w:rsidR="009472D6" w:rsidRPr="00631676">
        <w:rPr>
          <w:rFonts w:cstheme="minorHAnsi"/>
        </w:rPr>
        <w:t xml:space="preserve">ints to no authority indicating that the federal government acquired the Los Padres National Forest on terms establishing exclusive </w:t>
      </w:r>
      <w:r w:rsidR="00EB22D2">
        <w:rPr>
          <w:rFonts w:cstheme="minorHAnsi"/>
        </w:rPr>
        <w:t xml:space="preserve">federal </w:t>
      </w:r>
      <w:r w:rsidR="009472D6" w:rsidRPr="00631676">
        <w:rPr>
          <w:rFonts w:cstheme="minorHAnsi"/>
        </w:rPr>
        <w:t>jurisdiction to prosecute crimes committed therein.</w:t>
      </w:r>
    </w:p>
    <w:p w14:paraId="46779A46" w14:textId="48B97769" w:rsidR="0000060E" w:rsidRPr="00631676" w:rsidRDefault="00C74BC9" w:rsidP="00D410E9">
      <w:pPr>
        <w:rPr>
          <w:rFonts w:cstheme="minorHAnsi"/>
        </w:rPr>
      </w:pPr>
      <w:r w:rsidRPr="00631676">
        <w:rPr>
          <w:rFonts w:cstheme="minorHAnsi"/>
        </w:rPr>
        <w:tab/>
        <w:t xml:space="preserve">Defendant’s </w:t>
      </w:r>
      <w:r w:rsidR="004F3009" w:rsidRPr="00631676">
        <w:rPr>
          <w:rFonts w:cstheme="minorHAnsi"/>
        </w:rPr>
        <w:t xml:space="preserve">argument </w:t>
      </w:r>
      <w:r w:rsidR="0078275D" w:rsidRPr="00631676">
        <w:rPr>
          <w:rFonts w:cstheme="minorHAnsi"/>
        </w:rPr>
        <w:t xml:space="preserve">against state </w:t>
      </w:r>
      <w:r w:rsidR="00734027">
        <w:rPr>
          <w:rFonts w:cstheme="minorHAnsi"/>
        </w:rPr>
        <w:t xml:space="preserve">criminal </w:t>
      </w:r>
      <w:r w:rsidR="0078275D" w:rsidRPr="00631676">
        <w:rPr>
          <w:rFonts w:cstheme="minorHAnsi"/>
        </w:rPr>
        <w:t xml:space="preserve">jurisdiction </w:t>
      </w:r>
      <w:r w:rsidR="008173BD" w:rsidRPr="00631676">
        <w:rPr>
          <w:rFonts w:cstheme="minorHAnsi"/>
        </w:rPr>
        <w:t xml:space="preserve">is rooted in an apparent </w:t>
      </w:r>
      <w:r w:rsidR="008173BD" w:rsidRPr="00E57EC2">
        <w:rPr>
          <w:rFonts w:cstheme="minorHAnsi"/>
          <w:szCs w:val="27"/>
        </w:rPr>
        <w:t xml:space="preserve">misreading of </w:t>
      </w:r>
      <w:r w:rsidR="004F3009" w:rsidRPr="00E57EC2">
        <w:rPr>
          <w:rFonts w:cstheme="minorHAnsi"/>
          <w:szCs w:val="27"/>
        </w:rPr>
        <w:t xml:space="preserve">California history.  </w:t>
      </w:r>
      <w:r w:rsidR="004363AA" w:rsidRPr="00893C30">
        <w:rPr>
          <w:szCs w:val="27"/>
        </w:rPr>
        <w:t>The Los Padres National Forest was first created by presidential proclamation in 1903</w:t>
      </w:r>
      <w:r w:rsidR="00C170AA" w:rsidRPr="00893C30">
        <w:rPr>
          <w:szCs w:val="27"/>
        </w:rPr>
        <w:t>, when it was known as the Santa Barbara Forest Reserve</w:t>
      </w:r>
      <w:r w:rsidR="004363AA" w:rsidRPr="00893C30">
        <w:rPr>
          <w:szCs w:val="27"/>
        </w:rPr>
        <w:t>.  (Pres. Proc. No. 14, 33 Stat. 2327, Dec. 22, 1903.)</w:t>
      </w:r>
      <w:r w:rsidR="00C170AA" w:rsidRPr="00E57EC2">
        <w:rPr>
          <w:rStyle w:val="FootnoteReference"/>
          <w:szCs w:val="27"/>
        </w:rPr>
        <w:footnoteReference w:id="6"/>
      </w:r>
      <w:r w:rsidR="004363AA" w:rsidRPr="00893C30">
        <w:rPr>
          <w:szCs w:val="27"/>
        </w:rPr>
        <w:t xml:space="preserve">  </w:t>
      </w:r>
      <w:r w:rsidR="006011D1" w:rsidRPr="00E57EC2">
        <w:rPr>
          <w:rFonts w:cstheme="minorHAnsi"/>
          <w:szCs w:val="27"/>
        </w:rPr>
        <w:t xml:space="preserve">As defendant notes, </w:t>
      </w:r>
      <w:r w:rsidR="00377366" w:rsidRPr="00E57EC2">
        <w:rPr>
          <w:rFonts w:cstheme="minorHAnsi"/>
          <w:szCs w:val="27"/>
        </w:rPr>
        <w:t>the</w:t>
      </w:r>
      <w:r w:rsidR="009F5BEF" w:rsidRPr="00E57EC2">
        <w:rPr>
          <w:rFonts w:cstheme="minorHAnsi"/>
          <w:szCs w:val="27"/>
        </w:rPr>
        <w:t xml:space="preserve"> national forest is made up of lands that </w:t>
      </w:r>
      <w:r w:rsidR="00C170AA" w:rsidRPr="00E57EC2">
        <w:rPr>
          <w:rFonts w:cstheme="minorHAnsi"/>
          <w:szCs w:val="27"/>
        </w:rPr>
        <w:t xml:space="preserve">had been </w:t>
      </w:r>
      <w:r w:rsidR="00377366" w:rsidRPr="00E57EC2">
        <w:rPr>
          <w:rFonts w:cstheme="minorHAnsi"/>
          <w:szCs w:val="27"/>
        </w:rPr>
        <w:t xml:space="preserve">ceded </w:t>
      </w:r>
      <w:r w:rsidR="006011D1" w:rsidRPr="00E57EC2">
        <w:rPr>
          <w:rFonts w:cstheme="minorHAnsi"/>
          <w:szCs w:val="27"/>
        </w:rPr>
        <w:t xml:space="preserve">by Mexico </w:t>
      </w:r>
      <w:r w:rsidR="00377366" w:rsidRPr="00E57EC2">
        <w:rPr>
          <w:rFonts w:cstheme="minorHAnsi"/>
          <w:szCs w:val="27"/>
        </w:rPr>
        <w:t>in the Treaty of Guadalupe Hidalgo, under which title to land</w:t>
      </w:r>
      <w:r w:rsidR="00DF0584" w:rsidRPr="00E57EC2">
        <w:rPr>
          <w:rFonts w:cstheme="minorHAnsi"/>
          <w:szCs w:val="27"/>
        </w:rPr>
        <w:t>s</w:t>
      </w:r>
      <w:r w:rsidR="00377366" w:rsidRPr="00E57EC2">
        <w:rPr>
          <w:rFonts w:cstheme="minorHAnsi"/>
          <w:szCs w:val="27"/>
        </w:rPr>
        <w:t xml:space="preserve"> not privately held passed to the United States.  (Feb. 2, 1848, 9 Stat. 922; see </w:t>
      </w:r>
      <w:r w:rsidR="00377366" w:rsidRPr="00E57EC2">
        <w:rPr>
          <w:rFonts w:cstheme="minorHAnsi"/>
          <w:i/>
          <w:szCs w:val="27"/>
        </w:rPr>
        <w:t>Thompson v. Doaksum</w:t>
      </w:r>
      <w:r w:rsidR="00DF0584" w:rsidRPr="00E57EC2">
        <w:rPr>
          <w:rFonts w:cstheme="minorHAnsi"/>
          <w:i/>
          <w:szCs w:val="27"/>
        </w:rPr>
        <w:t xml:space="preserve"> </w:t>
      </w:r>
      <w:r w:rsidR="00377366" w:rsidRPr="00E57EC2">
        <w:rPr>
          <w:rFonts w:cstheme="minorHAnsi"/>
          <w:szCs w:val="27"/>
        </w:rPr>
        <w:t xml:space="preserve">(1886) 68 Cal. 593, 596.)  Defendant claims that </w:t>
      </w:r>
      <w:r w:rsidR="006011D1" w:rsidRPr="00E57EC2">
        <w:rPr>
          <w:rFonts w:cstheme="minorHAnsi"/>
          <w:szCs w:val="27"/>
        </w:rPr>
        <w:t xml:space="preserve">Congress </w:t>
      </w:r>
      <w:r w:rsidR="0073321A" w:rsidRPr="00E57EC2">
        <w:rPr>
          <w:rFonts w:cstheme="minorHAnsi"/>
          <w:szCs w:val="27"/>
        </w:rPr>
        <w:t xml:space="preserve">asserted </w:t>
      </w:r>
      <w:r w:rsidR="006011D1" w:rsidRPr="00E57EC2">
        <w:rPr>
          <w:rFonts w:cstheme="minorHAnsi"/>
          <w:szCs w:val="27"/>
        </w:rPr>
        <w:t xml:space="preserve">exclusive jurisdiction over </w:t>
      </w:r>
      <w:r w:rsidR="00D123AD" w:rsidRPr="00E57EC2">
        <w:rPr>
          <w:rFonts w:cstheme="minorHAnsi"/>
          <w:szCs w:val="27"/>
        </w:rPr>
        <w:t xml:space="preserve">these </w:t>
      </w:r>
      <w:r w:rsidR="006011D1" w:rsidRPr="00E57EC2">
        <w:rPr>
          <w:rFonts w:cstheme="minorHAnsi"/>
          <w:szCs w:val="27"/>
        </w:rPr>
        <w:t xml:space="preserve">lands </w:t>
      </w:r>
      <w:r w:rsidR="004F3009" w:rsidRPr="00E57EC2">
        <w:rPr>
          <w:rFonts w:cstheme="minorHAnsi"/>
          <w:szCs w:val="27"/>
        </w:rPr>
        <w:t>whe</w:t>
      </w:r>
      <w:r w:rsidR="004F3009" w:rsidRPr="00631676">
        <w:rPr>
          <w:rFonts w:cstheme="minorHAnsi"/>
        </w:rPr>
        <w:t xml:space="preserve">n California was admitted to the Union </w:t>
      </w:r>
      <w:r w:rsidR="006011D1" w:rsidRPr="00631676">
        <w:rPr>
          <w:rFonts w:cstheme="minorHAnsi"/>
        </w:rPr>
        <w:t xml:space="preserve">two years later.  </w:t>
      </w:r>
      <w:r w:rsidR="00DF0584" w:rsidRPr="00631676">
        <w:rPr>
          <w:rFonts w:cstheme="minorHAnsi"/>
        </w:rPr>
        <w:t>(</w:t>
      </w:r>
      <w:r w:rsidR="00E7220C" w:rsidRPr="00631676">
        <w:rPr>
          <w:rFonts w:cstheme="minorHAnsi"/>
        </w:rPr>
        <w:t xml:space="preserve">Act for </w:t>
      </w:r>
      <w:r w:rsidR="00402260">
        <w:rPr>
          <w:rFonts w:cstheme="minorHAnsi"/>
        </w:rPr>
        <w:t xml:space="preserve">the </w:t>
      </w:r>
      <w:r w:rsidR="00E7220C" w:rsidRPr="00631676">
        <w:rPr>
          <w:rFonts w:cstheme="minorHAnsi"/>
        </w:rPr>
        <w:t xml:space="preserve">Admission of </w:t>
      </w:r>
      <w:r w:rsidR="00402260">
        <w:rPr>
          <w:rFonts w:cstheme="minorHAnsi"/>
        </w:rPr>
        <w:t xml:space="preserve">the </w:t>
      </w:r>
      <w:r w:rsidR="00E7220C" w:rsidRPr="00631676">
        <w:rPr>
          <w:rFonts w:cstheme="minorHAnsi"/>
        </w:rPr>
        <w:t xml:space="preserve">State of Cal. into </w:t>
      </w:r>
      <w:r w:rsidR="00402260">
        <w:rPr>
          <w:rFonts w:cstheme="minorHAnsi"/>
        </w:rPr>
        <w:t xml:space="preserve">the </w:t>
      </w:r>
      <w:r w:rsidR="00E7220C" w:rsidRPr="00631676">
        <w:rPr>
          <w:rFonts w:cstheme="minorHAnsi"/>
        </w:rPr>
        <w:t xml:space="preserve">Union, </w:t>
      </w:r>
      <w:r w:rsidR="008858AF" w:rsidRPr="00631676">
        <w:rPr>
          <w:rFonts w:cstheme="minorHAnsi"/>
        </w:rPr>
        <w:t xml:space="preserve">Sept. 9, 1850, </w:t>
      </w:r>
      <w:r w:rsidR="00FF3626" w:rsidRPr="00631676">
        <w:rPr>
          <w:rFonts w:cstheme="minorHAnsi"/>
        </w:rPr>
        <w:t>ch.</w:t>
      </w:r>
      <w:r w:rsidR="00FF3626">
        <w:rPr>
          <w:rFonts w:cstheme="minorHAnsi"/>
        </w:rPr>
        <w:t> </w:t>
      </w:r>
      <w:r w:rsidR="00FF3626" w:rsidRPr="00631676">
        <w:rPr>
          <w:rFonts w:cstheme="minorHAnsi"/>
        </w:rPr>
        <w:t>50, § 3</w:t>
      </w:r>
      <w:r w:rsidR="00FF3626">
        <w:rPr>
          <w:rFonts w:cstheme="minorHAnsi"/>
        </w:rPr>
        <w:t xml:space="preserve"> (Act </w:t>
      </w:r>
      <w:r w:rsidR="00F34D76">
        <w:rPr>
          <w:rFonts w:cstheme="minorHAnsi"/>
        </w:rPr>
        <w:t>for</w:t>
      </w:r>
      <w:r w:rsidR="00FF3626">
        <w:rPr>
          <w:rFonts w:cstheme="minorHAnsi"/>
        </w:rPr>
        <w:t xml:space="preserve"> Admission) </w:t>
      </w:r>
      <w:r w:rsidR="00E7220C" w:rsidRPr="00631676">
        <w:rPr>
          <w:rFonts w:cstheme="minorHAnsi"/>
        </w:rPr>
        <w:t>9 Stat. 452</w:t>
      </w:r>
      <w:r w:rsidR="00DF0584" w:rsidRPr="00631676">
        <w:rPr>
          <w:rFonts w:cstheme="minorHAnsi"/>
        </w:rPr>
        <w:t>.)</w:t>
      </w:r>
    </w:p>
    <w:p w14:paraId="756648F7" w14:textId="6321E57D" w:rsidR="00377366" w:rsidRPr="00631676" w:rsidRDefault="0000060E" w:rsidP="00D410E9">
      <w:pPr>
        <w:rPr>
          <w:rFonts w:cstheme="minorHAnsi"/>
        </w:rPr>
      </w:pPr>
      <w:r w:rsidRPr="00631676">
        <w:rPr>
          <w:rFonts w:cstheme="minorHAnsi"/>
        </w:rPr>
        <w:tab/>
      </w:r>
      <w:r w:rsidR="00EE5C1A" w:rsidRPr="00631676">
        <w:rPr>
          <w:rFonts w:cstheme="minorHAnsi"/>
        </w:rPr>
        <w:t>Defendant</w:t>
      </w:r>
      <w:r w:rsidR="00197BA9" w:rsidRPr="00631676">
        <w:rPr>
          <w:rFonts w:cstheme="minorHAnsi"/>
        </w:rPr>
        <w:t xml:space="preserve"> is incorrect.</w:t>
      </w:r>
      <w:r w:rsidR="002244B2" w:rsidRPr="00631676">
        <w:rPr>
          <w:rFonts w:cstheme="minorHAnsi"/>
        </w:rPr>
        <w:t xml:space="preserve">  T</w:t>
      </w:r>
      <w:r w:rsidR="007538DB" w:rsidRPr="00631676">
        <w:rPr>
          <w:rFonts w:cstheme="minorHAnsi"/>
        </w:rPr>
        <w:t xml:space="preserve">he Act </w:t>
      </w:r>
      <w:r w:rsidR="00FF3626">
        <w:rPr>
          <w:rFonts w:cstheme="minorHAnsi"/>
        </w:rPr>
        <w:t>for</w:t>
      </w:r>
      <w:r w:rsidR="007538DB" w:rsidRPr="00631676">
        <w:rPr>
          <w:rFonts w:cstheme="minorHAnsi"/>
        </w:rPr>
        <w:t xml:space="preserve"> Admission contains no provision reserving </w:t>
      </w:r>
      <w:r w:rsidR="00F44558" w:rsidRPr="00631676">
        <w:rPr>
          <w:rFonts w:cstheme="minorHAnsi"/>
        </w:rPr>
        <w:t xml:space="preserve">to </w:t>
      </w:r>
      <w:r w:rsidR="007538DB" w:rsidRPr="00631676">
        <w:rPr>
          <w:rFonts w:cstheme="minorHAnsi"/>
        </w:rPr>
        <w:t xml:space="preserve">the </w:t>
      </w:r>
      <w:r w:rsidRPr="00631676">
        <w:rPr>
          <w:rFonts w:cstheme="minorHAnsi"/>
        </w:rPr>
        <w:t xml:space="preserve">federal government </w:t>
      </w:r>
      <w:r w:rsidR="00F44558" w:rsidRPr="00631676">
        <w:rPr>
          <w:rFonts w:cstheme="minorHAnsi"/>
        </w:rPr>
        <w:t xml:space="preserve">exclusive jurisdiction </w:t>
      </w:r>
      <w:r w:rsidRPr="00631676">
        <w:rPr>
          <w:rFonts w:cstheme="minorHAnsi"/>
        </w:rPr>
        <w:t>over all public lands ceded by Mexico in the Treaty of Guadalupe Hidalgo.  (</w:t>
      </w:r>
      <w:r w:rsidR="001C0594" w:rsidRPr="00631676">
        <w:rPr>
          <w:rFonts w:cstheme="minorHAnsi"/>
        </w:rPr>
        <w:t xml:space="preserve">See </w:t>
      </w:r>
      <w:r w:rsidR="00F44558" w:rsidRPr="00631676">
        <w:rPr>
          <w:rFonts w:cstheme="minorHAnsi"/>
          <w:i/>
        </w:rPr>
        <w:t>Coso Energy Developers v. County of Inyo</w:t>
      </w:r>
      <w:r w:rsidR="00F44558" w:rsidRPr="00631676">
        <w:rPr>
          <w:rFonts w:cstheme="minorHAnsi"/>
        </w:rPr>
        <w:t xml:space="preserve"> (2004) 122 Cal.App.4th 1512, 1522–1523; </w:t>
      </w:r>
      <w:r w:rsidR="001C0594" w:rsidRPr="00631676">
        <w:rPr>
          <w:rFonts w:cstheme="minorHAnsi"/>
        </w:rPr>
        <w:t xml:space="preserve">accord, </w:t>
      </w:r>
      <w:r w:rsidRPr="00631676">
        <w:rPr>
          <w:rFonts w:cstheme="minorHAnsi"/>
          <w:i/>
        </w:rPr>
        <w:t>Martin v. Clinton Constr</w:t>
      </w:r>
      <w:r w:rsidR="00E7220C" w:rsidRPr="00631676">
        <w:rPr>
          <w:rFonts w:cstheme="minorHAnsi"/>
          <w:i/>
        </w:rPr>
        <w:t>uction</w:t>
      </w:r>
      <w:r w:rsidRPr="00631676">
        <w:rPr>
          <w:rFonts w:cstheme="minorHAnsi"/>
          <w:i/>
        </w:rPr>
        <w:t xml:space="preserve"> Co.</w:t>
      </w:r>
      <w:r w:rsidRPr="00631676">
        <w:rPr>
          <w:rFonts w:cstheme="minorHAnsi"/>
        </w:rPr>
        <w:t xml:space="preserve"> (1940) 41 Cal.App.2d 35, 46</w:t>
      </w:r>
      <w:r w:rsidR="00000370" w:rsidRPr="00631676">
        <w:rPr>
          <w:rFonts w:cstheme="minorHAnsi"/>
        </w:rPr>
        <w:t xml:space="preserve">; see generally </w:t>
      </w:r>
      <w:r w:rsidR="00000370" w:rsidRPr="00631676">
        <w:rPr>
          <w:rFonts w:cstheme="minorHAnsi"/>
          <w:i/>
        </w:rPr>
        <w:t>F</w:t>
      </w:r>
      <w:r w:rsidR="00E7220C" w:rsidRPr="00631676">
        <w:rPr>
          <w:rFonts w:cstheme="minorHAnsi"/>
          <w:i/>
        </w:rPr>
        <w:t>or</w:t>
      </w:r>
      <w:r w:rsidR="00000370" w:rsidRPr="00631676">
        <w:rPr>
          <w:rFonts w:cstheme="minorHAnsi"/>
          <w:i/>
        </w:rPr>
        <w:t>t Leavenworth R</w:t>
      </w:r>
      <w:r w:rsidR="00E7220C" w:rsidRPr="00631676">
        <w:rPr>
          <w:rFonts w:cstheme="minorHAnsi"/>
          <w:i/>
        </w:rPr>
        <w:t>. R.</w:t>
      </w:r>
      <w:r w:rsidR="00000370" w:rsidRPr="00631676">
        <w:rPr>
          <w:rFonts w:cstheme="minorHAnsi"/>
          <w:i/>
        </w:rPr>
        <w:t xml:space="preserve"> Co. v. Lowe</w:t>
      </w:r>
      <w:r w:rsidR="00000370" w:rsidRPr="00631676">
        <w:rPr>
          <w:rFonts w:cstheme="minorHAnsi"/>
        </w:rPr>
        <w:t xml:space="preserve"> (1885) 114 U.S. 525, 539.)  </w:t>
      </w:r>
      <w:r w:rsidR="009F5BEF" w:rsidRPr="00631676">
        <w:rPr>
          <w:rFonts w:cstheme="minorHAnsi"/>
        </w:rPr>
        <w:t xml:space="preserve">Defendant relies on the noninterference clause of the Act </w:t>
      </w:r>
      <w:r w:rsidR="00FF3626">
        <w:rPr>
          <w:rFonts w:cstheme="minorHAnsi"/>
        </w:rPr>
        <w:t>for</w:t>
      </w:r>
      <w:r w:rsidR="009F5BEF" w:rsidRPr="00631676">
        <w:rPr>
          <w:rFonts w:cstheme="minorHAnsi"/>
        </w:rPr>
        <w:t xml:space="preserve"> Admission:  “That the said State of California is admitted </w:t>
      </w:r>
      <w:r w:rsidR="009F5BEF" w:rsidRPr="00631676">
        <w:rPr>
          <w:rFonts w:cstheme="minorHAnsi"/>
        </w:rPr>
        <w:lastRenderedPageBreak/>
        <w:t xml:space="preserve">into the Union upon the express condition that the people of said State, through their legislature or otherwise, shall never interfere with the primary disposal of the public lands within its limits, and shall pass no law and do no act whereby the title of the United States to, and right to dispose of, the same shall be impaired or questioned.”  </w:t>
      </w:r>
      <w:r w:rsidR="009F5BEF">
        <w:rPr>
          <w:rFonts w:cstheme="minorHAnsi"/>
        </w:rPr>
        <w:t xml:space="preserve">But this </w:t>
      </w:r>
      <w:r w:rsidRPr="00631676">
        <w:rPr>
          <w:rFonts w:cstheme="minorHAnsi"/>
        </w:rPr>
        <w:t>noninterference clause</w:t>
      </w:r>
      <w:r w:rsidR="009235BE" w:rsidRPr="00631676">
        <w:rPr>
          <w:rFonts w:cstheme="minorHAnsi"/>
        </w:rPr>
        <w:t xml:space="preserve"> </w:t>
      </w:r>
      <w:r w:rsidRPr="00631676">
        <w:rPr>
          <w:rFonts w:cstheme="minorHAnsi"/>
        </w:rPr>
        <w:t xml:space="preserve">is not </w:t>
      </w:r>
      <w:r w:rsidR="00E86FD0" w:rsidRPr="00631676">
        <w:rPr>
          <w:rFonts w:cstheme="minorHAnsi"/>
        </w:rPr>
        <w:t>unique to California</w:t>
      </w:r>
      <w:r w:rsidR="00ED2CE9" w:rsidRPr="00631676">
        <w:rPr>
          <w:rFonts w:cstheme="minorHAnsi"/>
        </w:rPr>
        <w:t xml:space="preserve"> </w:t>
      </w:r>
      <w:r w:rsidR="00E86FD0" w:rsidRPr="00631676">
        <w:rPr>
          <w:rFonts w:cstheme="minorHAnsi"/>
        </w:rPr>
        <w:t>(</w:t>
      </w:r>
      <w:r w:rsidR="00ED2CE9" w:rsidRPr="00631676">
        <w:rPr>
          <w:rFonts w:cstheme="minorHAnsi"/>
        </w:rPr>
        <w:t>s</w:t>
      </w:r>
      <w:r w:rsidR="00E86FD0" w:rsidRPr="00631676">
        <w:rPr>
          <w:rFonts w:cstheme="minorHAnsi"/>
        </w:rPr>
        <w:t xml:space="preserve">ee </w:t>
      </w:r>
      <w:r w:rsidR="00E86FD0" w:rsidRPr="00631676">
        <w:rPr>
          <w:rFonts w:cstheme="minorHAnsi"/>
          <w:i/>
        </w:rPr>
        <w:t xml:space="preserve">Van Brocklin v. </w:t>
      </w:r>
      <w:r w:rsidR="00FA16D8" w:rsidRPr="00631676">
        <w:rPr>
          <w:rFonts w:cstheme="minorHAnsi"/>
          <w:i/>
        </w:rPr>
        <w:t>State of Tennessee</w:t>
      </w:r>
      <w:r w:rsidR="00E86FD0" w:rsidRPr="00631676">
        <w:rPr>
          <w:rFonts w:cstheme="minorHAnsi"/>
        </w:rPr>
        <w:t xml:space="preserve"> (1886) 117 U.S. 151, 164</w:t>
      </w:r>
      <w:r w:rsidR="00D123AD" w:rsidRPr="00631676">
        <w:rPr>
          <w:rFonts w:cstheme="minorHAnsi"/>
        </w:rPr>
        <w:t>)</w:t>
      </w:r>
      <w:r w:rsidR="00ED2CE9" w:rsidRPr="00631676">
        <w:rPr>
          <w:rFonts w:cstheme="minorHAnsi"/>
        </w:rPr>
        <w:t xml:space="preserve">, and </w:t>
      </w:r>
      <w:r w:rsidR="00513506" w:rsidRPr="00631676">
        <w:rPr>
          <w:rFonts w:cstheme="minorHAnsi"/>
        </w:rPr>
        <w:t xml:space="preserve">it </w:t>
      </w:r>
      <w:r w:rsidR="00ED2CE9" w:rsidRPr="00631676">
        <w:rPr>
          <w:rFonts w:cstheme="minorHAnsi"/>
        </w:rPr>
        <w:t>offers no support for defendant’s argument</w:t>
      </w:r>
      <w:r w:rsidR="00EB22D2">
        <w:rPr>
          <w:rFonts w:cstheme="minorHAnsi"/>
        </w:rPr>
        <w:t>.</w:t>
      </w:r>
      <w:r w:rsidR="00C546D7" w:rsidRPr="00631676">
        <w:rPr>
          <w:rFonts w:cstheme="minorHAnsi"/>
        </w:rPr>
        <w:t xml:space="preserve"> </w:t>
      </w:r>
      <w:r w:rsidR="00F35BA5">
        <w:rPr>
          <w:rFonts w:cstheme="minorHAnsi"/>
        </w:rPr>
        <w:t xml:space="preserve"> </w:t>
      </w:r>
      <w:r w:rsidR="00EB22D2">
        <w:rPr>
          <w:rFonts w:cstheme="minorHAnsi"/>
        </w:rPr>
        <w:t>S</w:t>
      </w:r>
      <w:r w:rsidR="00E86FD0" w:rsidRPr="00631676">
        <w:rPr>
          <w:rFonts w:cstheme="minorHAnsi"/>
        </w:rPr>
        <w:t xml:space="preserve">uffice it to say, </w:t>
      </w:r>
      <w:r w:rsidR="00F52077" w:rsidRPr="00631676">
        <w:rPr>
          <w:rFonts w:cstheme="minorHAnsi"/>
        </w:rPr>
        <w:t xml:space="preserve">a </w:t>
      </w:r>
      <w:r w:rsidR="00E86FD0" w:rsidRPr="00631676">
        <w:rPr>
          <w:rFonts w:cstheme="minorHAnsi"/>
        </w:rPr>
        <w:t xml:space="preserve">prohibition on </w:t>
      </w:r>
      <w:r w:rsidR="00C8390F" w:rsidRPr="00631676">
        <w:rPr>
          <w:rFonts w:cstheme="minorHAnsi"/>
        </w:rPr>
        <w:t xml:space="preserve">interfering with federal title </w:t>
      </w:r>
      <w:r w:rsidR="00E86FD0" w:rsidRPr="00631676">
        <w:rPr>
          <w:rFonts w:cstheme="minorHAnsi"/>
        </w:rPr>
        <w:t xml:space="preserve">is </w:t>
      </w:r>
      <w:proofErr w:type="gramStart"/>
      <w:r w:rsidR="00E86FD0" w:rsidRPr="00631676">
        <w:rPr>
          <w:rFonts w:cstheme="minorHAnsi"/>
        </w:rPr>
        <w:t>not the same</w:t>
      </w:r>
      <w:r w:rsidR="00D123AD" w:rsidRPr="00631676">
        <w:rPr>
          <w:rFonts w:cstheme="minorHAnsi"/>
        </w:rPr>
        <w:t xml:space="preserve"> as</w:t>
      </w:r>
      <w:proofErr w:type="gramEnd"/>
      <w:r w:rsidR="00D123AD" w:rsidRPr="00631676">
        <w:rPr>
          <w:rFonts w:cstheme="minorHAnsi"/>
        </w:rPr>
        <w:t xml:space="preserve"> </w:t>
      </w:r>
      <w:r w:rsidR="00F52077" w:rsidRPr="00631676">
        <w:rPr>
          <w:rFonts w:cstheme="minorHAnsi"/>
        </w:rPr>
        <w:t xml:space="preserve">a prohibition on prosecuting </w:t>
      </w:r>
      <w:r w:rsidR="00C8390F" w:rsidRPr="00631676">
        <w:rPr>
          <w:rFonts w:cstheme="minorHAnsi"/>
        </w:rPr>
        <w:t>c</w:t>
      </w:r>
      <w:r w:rsidR="007538DB" w:rsidRPr="00631676">
        <w:rPr>
          <w:rFonts w:cstheme="minorHAnsi"/>
        </w:rPr>
        <w:t>rime</w:t>
      </w:r>
      <w:r w:rsidR="00D123AD" w:rsidRPr="00631676">
        <w:rPr>
          <w:rFonts w:cstheme="minorHAnsi"/>
        </w:rPr>
        <w:t xml:space="preserve">.  (See </w:t>
      </w:r>
      <w:r w:rsidR="00D123AD" w:rsidRPr="00631676">
        <w:rPr>
          <w:rFonts w:cstheme="minorHAnsi"/>
          <w:i/>
        </w:rPr>
        <w:t>Coso Energy</w:t>
      </w:r>
      <w:r w:rsidR="00D123AD" w:rsidRPr="00631676">
        <w:rPr>
          <w:rFonts w:cstheme="minorHAnsi"/>
        </w:rPr>
        <w:t xml:space="preserve">, </w:t>
      </w:r>
      <w:r w:rsidR="0073321A" w:rsidRPr="00631676">
        <w:rPr>
          <w:rFonts w:cstheme="minorHAnsi"/>
        </w:rPr>
        <w:t>at pp. </w:t>
      </w:r>
      <w:r w:rsidR="00D123AD" w:rsidRPr="00631676">
        <w:rPr>
          <w:rFonts w:cstheme="minorHAnsi"/>
        </w:rPr>
        <w:t>1522</w:t>
      </w:r>
      <w:r w:rsidR="000E2CCD" w:rsidRPr="00631676">
        <w:t>–</w:t>
      </w:r>
      <w:r w:rsidR="00D123AD" w:rsidRPr="00631676">
        <w:rPr>
          <w:rFonts w:cstheme="minorHAnsi"/>
        </w:rPr>
        <w:t xml:space="preserve">1523, citing </w:t>
      </w:r>
      <w:r w:rsidR="00D123AD" w:rsidRPr="00631676">
        <w:rPr>
          <w:rFonts w:cstheme="minorHAnsi"/>
          <w:i/>
        </w:rPr>
        <w:t>U.S. v. Bateman</w:t>
      </w:r>
      <w:r w:rsidR="00D123AD" w:rsidRPr="00631676">
        <w:rPr>
          <w:rFonts w:cstheme="minorHAnsi"/>
        </w:rPr>
        <w:t xml:space="preserve"> (N.D.Cal. 1888) 34 F. 86, 8</w:t>
      </w:r>
      <w:r w:rsidR="00FA16D8" w:rsidRPr="00631676">
        <w:rPr>
          <w:rFonts w:cstheme="minorHAnsi"/>
        </w:rPr>
        <w:t>8</w:t>
      </w:r>
      <w:r w:rsidR="00F44558" w:rsidRPr="00631676">
        <w:rPr>
          <w:rFonts w:cstheme="minorHAnsi"/>
        </w:rPr>
        <w:t>–</w:t>
      </w:r>
      <w:r w:rsidR="00D123AD" w:rsidRPr="00631676">
        <w:rPr>
          <w:rFonts w:cstheme="minorHAnsi"/>
        </w:rPr>
        <w:t>90.)</w:t>
      </w:r>
    </w:p>
    <w:p w14:paraId="700A2E41" w14:textId="55A56341" w:rsidR="0057736D" w:rsidRPr="00631676" w:rsidRDefault="00F52077" w:rsidP="00D410E9">
      <w:pPr>
        <w:rPr>
          <w:rFonts w:cstheme="minorHAnsi"/>
        </w:rPr>
      </w:pPr>
      <w:r w:rsidRPr="00631676">
        <w:rPr>
          <w:rFonts w:cstheme="minorHAnsi"/>
        </w:rPr>
        <w:tab/>
        <w:t xml:space="preserve">In the alternative, defendant argues that California relinquished its prosecutorial power to the federal government in an 1891 </w:t>
      </w:r>
      <w:r w:rsidR="0073321A" w:rsidRPr="00631676">
        <w:rPr>
          <w:rFonts w:cstheme="minorHAnsi"/>
        </w:rPr>
        <w:t xml:space="preserve">act </w:t>
      </w:r>
      <w:r w:rsidRPr="00631676">
        <w:rPr>
          <w:rFonts w:cstheme="minorHAnsi"/>
        </w:rPr>
        <w:t xml:space="preserve">ceding “exclusive jurisdiction over such piece or parcel of land as may have been or may be hereafter ceded </w:t>
      </w:r>
      <w:r w:rsidR="00FA16D8" w:rsidRPr="00631676">
        <w:rPr>
          <w:rFonts w:cstheme="minorHAnsi"/>
        </w:rPr>
        <w:t xml:space="preserve">or conveyed </w:t>
      </w:r>
      <w:r w:rsidRPr="00631676">
        <w:rPr>
          <w:rFonts w:cstheme="minorHAnsi"/>
        </w:rPr>
        <w:t xml:space="preserve">to the United States, during the time the United States </w:t>
      </w:r>
      <w:r w:rsidR="004B5ED1" w:rsidRPr="00631676">
        <w:rPr>
          <w:rFonts w:cstheme="minorHAnsi"/>
        </w:rPr>
        <w:t>s</w:t>
      </w:r>
      <w:r w:rsidRPr="00631676">
        <w:rPr>
          <w:rFonts w:cstheme="minorHAnsi"/>
        </w:rPr>
        <w:t>hall be or remain the owner thereof, for all purposes except the administration of the criminal laws of this State and the service of civil process therein.”  (Stats. 1891, ch. 181, §</w:t>
      </w:r>
      <w:r w:rsidR="004A0EBF" w:rsidRPr="00631676">
        <w:rPr>
          <w:rFonts w:cstheme="minorHAnsi"/>
        </w:rPr>
        <w:t> </w:t>
      </w:r>
      <w:r w:rsidRPr="00631676">
        <w:rPr>
          <w:rFonts w:cstheme="minorHAnsi"/>
        </w:rPr>
        <w:t>1, p.</w:t>
      </w:r>
      <w:r w:rsidR="005457C0" w:rsidRPr="00631676">
        <w:rPr>
          <w:rFonts w:cstheme="minorHAnsi"/>
        </w:rPr>
        <w:t> </w:t>
      </w:r>
      <w:r w:rsidRPr="00631676">
        <w:rPr>
          <w:rFonts w:cstheme="minorHAnsi"/>
        </w:rPr>
        <w:t xml:space="preserve">262.)  That statute was reenacted in 1943 as Government Code section 113, subsequently repealed, and eventually reenacted in its current form to provide for the </w:t>
      </w:r>
      <w:r w:rsidR="00FA16D8" w:rsidRPr="00631676">
        <w:rPr>
          <w:rFonts w:cstheme="minorHAnsi"/>
        </w:rPr>
        <w:t>s</w:t>
      </w:r>
      <w:r w:rsidRPr="00631676">
        <w:rPr>
          <w:rFonts w:cstheme="minorHAnsi"/>
        </w:rPr>
        <w:t>tate’s acceptance of the retrocession of jurisdiction from the federal government of “land within this state.”  (Gov. Code, §</w:t>
      </w:r>
      <w:r w:rsidR="000E2CCD" w:rsidRPr="00631676">
        <w:rPr>
          <w:rFonts w:cstheme="minorHAnsi"/>
        </w:rPr>
        <w:t> </w:t>
      </w:r>
      <w:r w:rsidRPr="00631676">
        <w:rPr>
          <w:rFonts w:cstheme="minorHAnsi"/>
        </w:rPr>
        <w:t>113; see Stats. 1943, ch. 134, p. 898 [1943 version].)</w:t>
      </w:r>
      <w:r w:rsidR="00C8390F" w:rsidRPr="00631676">
        <w:rPr>
          <w:rFonts w:cstheme="minorHAnsi"/>
        </w:rPr>
        <w:t xml:space="preserve">  </w:t>
      </w:r>
    </w:p>
    <w:p w14:paraId="519D5DA3" w14:textId="519EC5E3" w:rsidR="0057736D" w:rsidRPr="00631676" w:rsidRDefault="0057736D" w:rsidP="00D410E9">
      <w:pPr>
        <w:rPr>
          <w:rFonts w:cstheme="minorHAnsi"/>
        </w:rPr>
      </w:pPr>
      <w:r w:rsidRPr="00631676">
        <w:rPr>
          <w:rFonts w:cstheme="minorHAnsi"/>
        </w:rPr>
        <w:tab/>
      </w:r>
      <w:r w:rsidR="00057FC9" w:rsidRPr="00631676">
        <w:rPr>
          <w:rFonts w:cstheme="minorHAnsi"/>
        </w:rPr>
        <w:t xml:space="preserve">The difficulty with this argument is that the cession provision on which defendant relies </w:t>
      </w:r>
      <w:r w:rsidR="00972D3E" w:rsidRPr="00631676">
        <w:rPr>
          <w:rFonts w:cstheme="minorHAnsi"/>
        </w:rPr>
        <w:t>contains an explicit exception for “the administration of the criminal laws of this State.”</w:t>
      </w:r>
      <w:r w:rsidR="00C8390F" w:rsidRPr="00631676">
        <w:rPr>
          <w:rFonts w:cstheme="minorHAnsi"/>
        </w:rPr>
        <w:t xml:space="preserve">  </w:t>
      </w:r>
      <w:r w:rsidR="00FF3626">
        <w:rPr>
          <w:rFonts w:cstheme="minorHAnsi"/>
        </w:rPr>
        <w:t xml:space="preserve">(Stats. 1891, ch. 181, § 1, p. 262.)  </w:t>
      </w:r>
      <w:r w:rsidR="00713C09" w:rsidRPr="00631676">
        <w:rPr>
          <w:rFonts w:cstheme="minorHAnsi"/>
        </w:rPr>
        <w:t>D</w:t>
      </w:r>
      <w:r w:rsidR="00972D3E" w:rsidRPr="00631676">
        <w:rPr>
          <w:rFonts w:cstheme="minorHAnsi"/>
        </w:rPr>
        <w:t>efendant asserts</w:t>
      </w:r>
      <w:r w:rsidR="00C8390F" w:rsidRPr="00631676">
        <w:rPr>
          <w:rFonts w:cstheme="minorHAnsi"/>
        </w:rPr>
        <w:t xml:space="preserve"> </w:t>
      </w:r>
      <w:r w:rsidR="00972D3E" w:rsidRPr="00631676">
        <w:rPr>
          <w:rFonts w:cstheme="minorHAnsi"/>
        </w:rPr>
        <w:t xml:space="preserve">that this </w:t>
      </w:r>
      <w:r w:rsidR="00A731B7" w:rsidRPr="00631676">
        <w:rPr>
          <w:rFonts w:cstheme="minorHAnsi"/>
        </w:rPr>
        <w:t xml:space="preserve">exception </w:t>
      </w:r>
      <w:r w:rsidR="00972D3E" w:rsidRPr="00631676">
        <w:rPr>
          <w:rFonts w:cstheme="minorHAnsi"/>
        </w:rPr>
        <w:t xml:space="preserve">“has been uniformly interpreted as limited </w:t>
      </w:r>
      <w:r w:rsidR="00972D3E" w:rsidRPr="00631676">
        <w:rPr>
          <w:rFonts w:cstheme="minorHAnsi"/>
        </w:rPr>
        <w:lastRenderedPageBreak/>
        <w:t>to the right to serve process</w:t>
      </w:r>
      <w:r w:rsidR="006D2F02" w:rsidRPr="00631676">
        <w:rPr>
          <w:rFonts w:cstheme="minorHAnsi"/>
        </w:rPr>
        <w:t>,</w:t>
      </w:r>
      <w:r w:rsidR="00972D3E" w:rsidRPr="00631676">
        <w:rPr>
          <w:rFonts w:cstheme="minorHAnsi"/>
        </w:rPr>
        <w:t>”</w:t>
      </w:r>
      <w:r w:rsidR="006D2F02" w:rsidRPr="00631676">
        <w:rPr>
          <w:rFonts w:cstheme="minorHAnsi"/>
        </w:rPr>
        <w:t xml:space="preserve"> </w:t>
      </w:r>
      <w:r w:rsidR="00713C09" w:rsidRPr="00631676">
        <w:rPr>
          <w:rFonts w:cstheme="minorHAnsi"/>
        </w:rPr>
        <w:t xml:space="preserve">but </w:t>
      </w:r>
      <w:r w:rsidR="00C8390F" w:rsidRPr="00631676">
        <w:rPr>
          <w:rFonts w:cstheme="minorHAnsi"/>
        </w:rPr>
        <w:t>th</w:t>
      </w:r>
      <w:r w:rsidRPr="00631676">
        <w:rPr>
          <w:rFonts w:cstheme="minorHAnsi"/>
        </w:rPr>
        <w:t xml:space="preserve">at is not what the statute says, </w:t>
      </w:r>
      <w:r w:rsidR="00C8390F" w:rsidRPr="00631676">
        <w:rPr>
          <w:rFonts w:cstheme="minorHAnsi"/>
        </w:rPr>
        <w:t xml:space="preserve">and </w:t>
      </w:r>
      <w:r w:rsidR="00EB22D2">
        <w:rPr>
          <w:rFonts w:cstheme="minorHAnsi"/>
        </w:rPr>
        <w:t xml:space="preserve">defendant </w:t>
      </w:r>
      <w:r w:rsidR="00297CF1">
        <w:rPr>
          <w:rFonts w:cstheme="minorHAnsi"/>
        </w:rPr>
        <w:t xml:space="preserve">offers no support for his </w:t>
      </w:r>
      <w:r w:rsidRPr="00631676">
        <w:rPr>
          <w:rFonts w:cstheme="minorHAnsi"/>
        </w:rPr>
        <w:t xml:space="preserve">unlikely interpretation.  Nor is there any evidence that Congress declined the terms of California’s partial cession of jurisdiction.  (See </w:t>
      </w:r>
      <w:r w:rsidRPr="00631676">
        <w:rPr>
          <w:rFonts w:cstheme="minorHAnsi"/>
          <w:i/>
        </w:rPr>
        <w:t>S.</w:t>
      </w:r>
      <w:r w:rsidR="00FA16D8" w:rsidRPr="00631676">
        <w:rPr>
          <w:rFonts w:cstheme="minorHAnsi"/>
          <w:i/>
        </w:rPr>
        <w:t> </w:t>
      </w:r>
      <w:r w:rsidRPr="00631676">
        <w:rPr>
          <w:rFonts w:cstheme="minorHAnsi"/>
          <w:i/>
        </w:rPr>
        <w:t>R.</w:t>
      </w:r>
      <w:r w:rsidR="00FF3626">
        <w:rPr>
          <w:rFonts w:cstheme="minorHAnsi"/>
          <w:i/>
        </w:rPr>
        <w:t> </w:t>
      </w:r>
      <w:r w:rsidRPr="00631676">
        <w:rPr>
          <w:rFonts w:cstheme="minorHAnsi"/>
          <w:i/>
        </w:rPr>
        <w:t>A.</w:t>
      </w:r>
      <w:r w:rsidR="00F40A4F" w:rsidRPr="00631676">
        <w:rPr>
          <w:rFonts w:cstheme="minorHAnsi"/>
          <w:i/>
        </w:rPr>
        <w:t>,</w:t>
      </w:r>
      <w:r w:rsidRPr="00631676">
        <w:rPr>
          <w:rFonts w:cstheme="minorHAnsi"/>
          <w:i/>
        </w:rPr>
        <w:t xml:space="preserve"> Inc. v. Minnesota</w:t>
      </w:r>
      <w:r w:rsidRPr="00631676">
        <w:rPr>
          <w:rFonts w:cstheme="minorHAnsi"/>
        </w:rPr>
        <w:t xml:space="preserve"> (</w:t>
      </w:r>
      <w:r w:rsidR="00FC5602" w:rsidRPr="00631676">
        <w:rPr>
          <w:rFonts w:cstheme="minorHAnsi"/>
        </w:rPr>
        <w:t>1946) 327 U.S. 558, 563.)  A</w:t>
      </w:r>
      <w:r w:rsidRPr="00631676">
        <w:rPr>
          <w:rFonts w:cstheme="minorHAnsi"/>
        </w:rPr>
        <w:t>s particularly relevant here, only a few years later Congress explicitly recognize</w:t>
      </w:r>
      <w:r w:rsidR="00ED2CE9" w:rsidRPr="00631676">
        <w:rPr>
          <w:rFonts w:cstheme="minorHAnsi"/>
        </w:rPr>
        <w:t>d</w:t>
      </w:r>
      <w:r w:rsidRPr="00631676">
        <w:rPr>
          <w:rFonts w:cstheme="minorHAnsi"/>
        </w:rPr>
        <w:t xml:space="preserve"> the states’ authority to reserve jurisdiction over national forest lands:  In </w:t>
      </w:r>
      <w:r w:rsidR="00F40A4F" w:rsidRPr="00631676">
        <w:rPr>
          <w:rFonts w:cstheme="minorHAnsi"/>
        </w:rPr>
        <w:t xml:space="preserve">Title </w:t>
      </w:r>
      <w:r w:rsidRPr="00631676">
        <w:rPr>
          <w:rFonts w:cstheme="minorHAnsi"/>
        </w:rPr>
        <w:t xml:space="preserve">16 </w:t>
      </w:r>
      <w:r w:rsidR="00F40A4F" w:rsidRPr="00631676">
        <w:rPr>
          <w:rFonts w:cstheme="minorHAnsi"/>
        </w:rPr>
        <w:t>United States Code</w:t>
      </w:r>
      <w:r w:rsidRPr="00631676">
        <w:rPr>
          <w:rFonts w:cstheme="minorHAnsi"/>
        </w:rPr>
        <w:t xml:space="preserve"> section 480, enacted in 1897, Congress provided that the states’ jurisdiction “over persons within national forests shall not be affected or changed by reason” of the creation of national forests.  </w:t>
      </w:r>
      <w:r w:rsidR="00ED2CE9" w:rsidRPr="00631676">
        <w:rPr>
          <w:rFonts w:cstheme="minorHAnsi"/>
        </w:rPr>
        <w:t>“By this enactment Congress in effect .</w:t>
      </w:r>
      <w:r w:rsidR="000E2CCD" w:rsidRPr="00631676">
        <w:rPr>
          <w:rFonts w:cstheme="minorHAnsi"/>
        </w:rPr>
        <w:t> </w:t>
      </w:r>
      <w:r w:rsidR="00ED2CE9" w:rsidRPr="00631676">
        <w:rPr>
          <w:rFonts w:cstheme="minorHAnsi"/>
        </w:rPr>
        <w:t>.</w:t>
      </w:r>
      <w:r w:rsidR="000E2CCD" w:rsidRPr="00631676">
        <w:rPr>
          <w:rFonts w:cstheme="minorHAnsi"/>
        </w:rPr>
        <w:t> </w:t>
      </w:r>
      <w:r w:rsidR="00ED2CE9" w:rsidRPr="00631676">
        <w:rPr>
          <w:rFonts w:cstheme="minorHAnsi"/>
        </w:rPr>
        <w:t xml:space="preserve">. </w:t>
      </w:r>
      <w:r w:rsidR="00ED2CE9" w:rsidRPr="00631676">
        <w:rPr>
          <w:rFonts w:cstheme="minorHAnsi"/>
          <w:i/>
        </w:rPr>
        <w:t>declined</w:t>
      </w:r>
      <w:r w:rsidR="00ED2CE9" w:rsidRPr="00631676">
        <w:rPr>
          <w:rFonts w:cstheme="minorHAnsi"/>
        </w:rPr>
        <w:t xml:space="preserve"> to accept exclusive legislative jurisdiction over forest reserve lands</w:t>
      </w:r>
      <w:r w:rsidR="00FF3626">
        <w:rPr>
          <w:rFonts w:cstheme="minorHAnsi"/>
        </w:rPr>
        <w:t xml:space="preserve"> </w:t>
      </w:r>
      <w:r w:rsidR="00ED2CE9" w:rsidRPr="00631676">
        <w:rPr>
          <w:rFonts w:cstheme="minorHAnsi"/>
        </w:rPr>
        <w:t>.</w:t>
      </w:r>
      <w:r w:rsidR="00FF3626">
        <w:rPr>
          <w:rFonts w:cstheme="minorHAnsi"/>
        </w:rPr>
        <w:t> . . .</w:t>
      </w:r>
      <w:r w:rsidR="00ED2CE9" w:rsidRPr="00631676">
        <w:rPr>
          <w:rFonts w:cstheme="minorHAnsi"/>
        </w:rPr>
        <w:t xml:space="preserve">”  </w:t>
      </w:r>
      <w:r w:rsidRPr="00631676">
        <w:rPr>
          <w:rFonts w:cstheme="minorHAnsi"/>
        </w:rPr>
        <w:t>(</w:t>
      </w:r>
      <w:r w:rsidRPr="00631676">
        <w:rPr>
          <w:rFonts w:cstheme="minorHAnsi"/>
          <w:i/>
        </w:rPr>
        <w:t>Wilson v. Cook</w:t>
      </w:r>
      <w:r w:rsidR="00BC7155" w:rsidRPr="00631676">
        <w:rPr>
          <w:rFonts w:cstheme="minorHAnsi"/>
        </w:rPr>
        <w:t xml:space="preserve"> (1946) 327 U.S. 474, 487</w:t>
      </w:r>
      <w:r w:rsidR="00FA16D8" w:rsidRPr="00631676">
        <w:rPr>
          <w:rFonts w:cstheme="minorHAnsi"/>
        </w:rPr>
        <w:t>, italics added</w:t>
      </w:r>
      <w:r w:rsidRPr="00631676">
        <w:rPr>
          <w:rFonts w:cstheme="minorHAnsi"/>
        </w:rPr>
        <w:t>.)</w:t>
      </w:r>
    </w:p>
    <w:p w14:paraId="1D1E10F5" w14:textId="266DD696" w:rsidR="00486628" w:rsidRPr="00631676" w:rsidRDefault="00D43BCD" w:rsidP="00D410E9">
      <w:pPr>
        <w:rPr>
          <w:rFonts w:cstheme="minorHAnsi"/>
        </w:rPr>
      </w:pPr>
      <w:r w:rsidRPr="00631676">
        <w:rPr>
          <w:rFonts w:cstheme="minorHAnsi"/>
        </w:rPr>
        <w:tab/>
      </w:r>
      <w:r w:rsidR="0057736D" w:rsidRPr="00631676">
        <w:rPr>
          <w:rFonts w:cstheme="minorHAnsi"/>
        </w:rPr>
        <w:t>In sum</w:t>
      </w:r>
      <w:r w:rsidR="00EB22D2">
        <w:rPr>
          <w:rFonts w:cstheme="minorHAnsi"/>
        </w:rPr>
        <w:t>, although</w:t>
      </w:r>
      <w:r w:rsidR="00E10E2F" w:rsidRPr="00631676">
        <w:rPr>
          <w:rFonts w:cstheme="minorHAnsi"/>
        </w:rPr>
        <w:t xml:space="preserve"> </w:t>
      </w:r>
      <w:r w:rsidRPr="00631676">
        <w:rPr>
          <w:rFonts w:cstheme="minorHAnsi"/>
        </w:rPr>
        <w:t xml:space="preserve">California ceded </w:t>
      </w:r>
      <w:r w:rsidR="00EB22D2">
        <w:rPr>
          <w:rFonts w:cstheme="minorHAnsi"/>
        </w:rPr>
        <w:t xml:space="preserve">the </w:t>
      </w:r>
      <w:r w:rsidR="00227E2B" w:rsidRPr="00631676">
        <w:rPr>
          <w:rFonts w:cstheme="minorHAnsi"/>
        </w:rPr>
        <w:t>land</w:t>
      </w:r>
      <w:r w:rsidR="00EB22D2">
        <w:rPr>
          <w:rFonts w:cstheme="minorHAnsi"/>
        </w:rPr>
        <w:t>s</w:t>
      </w:r>
      <w:r w:rsidR="00227E2B" w:rsidRPr="00631676">
        <w:rPr>
          <w:rFonts w:cstheme="minorHAnsi"/>
        </w:rPr>
        <w:t xml:space="preserve"> </w:t>
      </w:r>
      <w:r w:rsidR="00EB22D2">
        <w:rPr>
          <w:rFonts w:cstheme="minorHAnsi"/>
        </w:rPr>
        <w:t xml:space="preserve">comprising the </w:t>
      </w:r>
      <w:r w:rsidR="00227E2B" w:rsidRPr="00631676">
        <w:rPr>
          <w:rFonts w:cstheme="minorHAnsi"/>
        </w:rPr>
        <w:t xml:space="preserve">Los Padres National Forest </w:t>
      </w:r>
      <w:r w:rsidRPr="00631676">
        <w:rPr>
          <w:rFonts w:cstheme="minorHAnsi"/>
        </w:rPr>
        <w:t>to the United States</w:t>
      </w:r>
      <w:r w:rsidR="00C37EF3" w:rsidRPr="00631676">
        <w:rPr>
          <w:rFonts w:cstheme="minorHAnsi"/>
        </w:rPr>
        <w:t>,</w:t>
      </w:r>
      <w:r w:rsidRPr="00631676">
        <w:rPr>
          <w:rFonts w:cstheme="minorHAnsi"/>
        </w:rPr>
        <w:t xml:space="preserve"> </w:t>
      </w:r>
      <w:r w:rsidR="00EB22D2">
        <w:rPr>
          <w:rFonts w:cstheme="minorHAnsi"/>
        </w:rPr>
        <w:t xml:space="preserve">California also retained </w:t>
      </w:r>
      <w:r w:rsidRPr="00631676">
        <w:rPr>
          <w:rFonts w:cstheme="minorHAnsi"/>
        </w:rPr>
        <w:t>jurisdiction to administer</w:t>
      </w:r>
      <w:r w:rsidR="00376418" w:rsidRPr="00631676">
        <w:rPr>
          <w:rFonts w:cstheme="minorHAnsi"/>
        </w:rPr>
        <w:t xml:space="preserve"> its</w:t>
      </w:r>
      <w:r w:rsidRPr="00631676">
        <w:rPr>
          <w:rFonts w:cstheme="minorHAnsi"/>
        </w:rPr>
        <w:t xml:space="preserve"> criminal laws</w:t>
      </w:r>
      <w:r w:rsidR="00376418" w:rsidRPr="00631676">
        <w:rPr>
          <w:rFonts w:cstheme="minorHAnsi"/>
        </w:rPr>
        <w:t xml:space="preserve"> on</w:t>
      </w:r>
      <w:r w:rsidR="00BC7155" w:rsidRPr="00631676">
        <w:rPr>
          <w:rFonts w:cstheme="minorHAnsi"/>
        </w:rPr>
        <w:t xml:space="preserve"> </w:t>
      </w:r>
      <w:r w:rsidR="00EB22D2">
        <w:rPr>
          <w:rFonts w:cstheme="minorHAnsi"/>
        </w:rPr>
        <w:t xml:space="preserve">the </w:t>
      </w:r>
      <w:r w:rsidR="00EC68B1" w:rsidRPr="00631676">
        <w:rPr>
          <w:rFonts w:cstheme="minorHAnsi"/>
        </w:rPr>
        <w:t xml:space="preserve">ceded </w:t>
      </w:r>
      <w:r w:rsidR="002B50F7" w:rsidRPr="00631676">
        <w:rPr>
          <w:rFonts w:cstheme="minorHAnsi"/>
        </w:rPr>
        <w:t>land</w:t>
      </w:r>
      <w:r w:rsidR="00EC68B1" w:rsidRPr="00631676">
        <w:rPr>
          <w:rFonts w:cstheme="minorHAnsi"/>
        </w:rPr>
        <w:t>s</w:t>
      </w:r>
      <w:r w:rsidRPr="00631676">
        <w:rPr>
          <w:rFonts w:cstheme="minorHAnsi"/>
        </w:rPr>
        <w:t xml:space="preserve">.  </w:t>
      </w:r>
      <w:r w:rsidR="002B50F7" w:rsidRPr="00631676">
        <w:rPr>
          <w:rFonts w:cstheme="minorHAnsi"/>
        </w:rPr>
        <w:t xml:space="preserve">Defendant points to nothing in the history of the Los Padres National Forest to suggest it was an exception to this reservation of criminal </w:t>
      </w:r>
      <w:r w:rsidR="00734027">
        <w:rPr>
          <w:rFonts w:cstheme="minorHAnsi"/>
        </w:rPr>
        <w:t>jurisdiction</w:t>
      </w:r>
      <w:r w:rsidR="002B50F7" w:rsidRPr="00631676">
        <w:rPr>
          <w:rFonts w:cstheme="minorHAnsi"/>
        </w:rPr>
        <w:t xml:space="preserve">. </w:t>
      </w:r>
      <w:r w:rsidR="00D106F3" w:rsidRPr="00631676">
        <w:rPr>
          <w:rFonts w:cstheme="minorHAnsi"/>
        </w:rPr>
        <w:t xml:space="preserve"> </w:t>
      </w:r>
      <w:r w:rsidR="006E0530" w:rsidRPr="00631676">
        <w:rPr>
          <w:rFonts w:cstheme="minorHAnsi"/>
        </w:rPr>
        <w:t xml:space="preserve">The </w:t>
      </w:r>
      <w:r w:rsidR="001C0594" w:rsidRPr="00631676">
        <w:rPr>
          <w:rFonts w:cstheme="minorHAnsi"/>
        </w:rPr>
        <w:t xml:space="preserve">superior </w:t>
      </w:r>
      <w:r w:rsidR="006E0530" w:rsidRPr="00631676">
        <w:rPr>
          <w:rFonts w:cstheme="minorHAnsi"/>
        </w:rPr>
        <w:t xml:space="preserve">court did not err in exercising </w:t>
      </w:r>
      <w:r w:rsidR="00D0138F" w:rsidRPr="00631676">
        <w:rPr>
          <w:rFonts w:cstheme="minorHAnsi"/>
        </w:rPr>
        <w:t xml:space="preserve">jurisdiction </w:t>
      </w:r>
      <w:r w:rsidR="006E0530" w:rsidRPr="00631676">
        <w:rPr>
          <w:rFonts w:cstheme="minorHAnsi"/>
        </w:rPr>
        <w:t xml:space="preserve">in </w:t>
      </w:r>
      <w:r w:rsidR="00D0138F" w:rsidRPr="00631676">
        <w:rPr>
          <w:rFonts w:cstheme="minorHAnsi"/>
        </w:rPr>
        <w:t>this matter.</w:t>
      </w:r>
    </w:p>
    <w:p w14:paraId="257D3935" w14:textId="36B8B490" w:rsidR="0057430E" w:rsidRPr="00F23C4F" w:rsidRDefault="00E937A4" w:rsidP="00F23C4F">
      <w:pPr>
        <w:pStyle w:val="Heading2"/>
        <w:rPr>
          <w:rFonts w:cstheme="minorHAnsi"/>
        </w:rPr>
      </w:pPr>
      <w:r w:rsidRPr="00F23C4F">
        <w:rPr>
          <w:rFonts w:cstheme="minorHAnsi"/>
          <w:szCs w:val="26"/>
        </w:rPr>
        <w:tab/>
      </w:r>
      <w:bookmarkStart w:id="23" w:name="_Toc12993761"/>
      <w:r w:rsidR="00F92B9A" w:rsidRPr="00F23C4F">
        <w:rPr>
          <w:rFonts w:cstheme="minorHAnsi"/>
          <w:szCs w:val="26"/>
        </w:rPr>
        <w:t>B.</w:t>
      </w:r>
      <w:r w:rsidR="00F92B9A" w:rsidRPr="00F23C4F">
        <w:rPr>
          <w:rFonts w:cstheme="minorHAnsi"/>
          <w:szCs w:val="26"/>
        </w:rPr>
        <w:tab/>
      </w:r>
      <w:r w:rsidR="00BE4CE5">
        <w:rPr>
          <w:rFonts w:cstheme="minorHAnsi"/>
          <w:szCs w:val="26"/>
        </w:rPr>
        <w:tab/>
      </w:r>
      <w:r w:rsidR="00F92B9A" w:rsidRPr="00F23C4F">
        <w:rPr>
          <w:rFonts w:cstheme="minorHAnsi"/>
          <w:szCs w:val="26"/>
        </w:rPr>
        <w:t>Jury Selection Claims</w:t>
      </w:r>
      <w:bookmarkEnd w:id="23"/>
    </w:p>
    <w:p w14:paraId="5008748E" w14:textId="451C40B3" w:rsidR="00EB1B40" w:rsidRPr="00F23C4F" w:rsidRDefault="001A597F" w:rsidP="008D7D43">
      <w:pPr>
        <w:pStyle w:val="Heading3"/>
        <w:numPr>
          <w:ilvl w:val="0"/>
          <w:numId w:val="1"/>
        </w:numPr>
        <w:tabs>
          <w:tab w:val="clear" w:pos="1584"/>
        </w:tabs>
        <w:ind w:left="1584" w:firstLine="576"/>
        <w:rPr>
          <w:rFonts w:cstheme="minorHAnsi"/>
          <w:b/>
        </w:rPr>
      </w:pPr>
      <w:bookmarkStart w:id="24" w:name="_Toc12993762"/>
      <w:r w:rsidRPr="00F23C4F">
        <w:rPr>
          <w:rFonts w:cstheme="minorHAnsi"/>
        </w:rPr>
        <w:t xml:space="preserve">Adequacy of </w:t>
      </w:r>
      <w:r w:rsidR="00F92B9A" w:rsidRPr="00F23C4F">
        <w:rPr>
          <w:rFonts w:cstheme="minorHAnsi"/>
        </w:rPr>
        <w:t xml:space="preserve">Voir Dire </w:t>
      </w:r>
      <w:bookmarkEnd w:id="24"/>
    </w:p>
    <w:p w14:paraId="6F6C3E4E" w14:textId="77777777" w:rsidR="00410FF7" w:rsidRPr="00631676" w:rsidRDefault="00410FF7" w:rsidP="00F23C4F">
      <w:pPr>
        <w:ind w:firstLine="720"/>
        <w:rPr>
          <w:rFonts w:cstheme="minorHAnsi"/>
        </w:rPr>
      </w:pPr>
      <w:r w:rsidRPr="00631676">
        <w:rPr>
          <w:rFonts w:cstheme="minorHAnsi"/>
        </w:rPr>
        <w:t xml:space="preserve">Defendant argues the trial court committed several errors that resulted in inadequate voir dire of prospective jurors.  </w:t>
      </w:r>
      <w:r w:rsidR="00603E2B" w:rsidRPr="00631676">
        <w:rPr>
          <w:rFonts w:cstheme="minorHAnsi"/>
        </w:rPr>
        <w:t>Defendant’s claims lack merit</w:t>
      </w:r>
      <w:r w:rsidRPr="00631676">
        <w:rPr>
          <w:rFonts w:cstheme="minorHAnsi"/>
        </w:rPr>
        <w:t>.</w:t>
      </w:r>
    </w:p>
    <w:p w14:paraId="269F248F" w14:textId="39B1BEFD" w:rsidR="0083789C" w:rsidRPr="00F23C4F" w:rsidRDefault="00282181" w:rsidP="00F23C4F">
      <w:pPr>
        <w:pStyle w:val="Heading4"/>
        <w:rPr>
          <w:rFonts w:cstheme="minorHAnsi"/>
          <w:b/>
        </w:rPr>
      </w:pPr>
      <w:r w:rsidRPr="00F23C4F">
        <w:rPr>
          <w:rFonts w:cstheme="minorHAnsi"/>
        </w:rPr>
        <w:tab/>
      </w:r>
      <w:r w:rsidR="00EB1B40" w:rsidRPr="00F23C4F">
        <w:rPr>
          <w:rFonts w:cstheme="minorHAnsi"/>
          <w:i w:val="0"/>
        </w:rPr>
        <w:tab/>
      </w:r>
      <w:r w:rsidR="00EB1B40" w:rsidRPr="00F23C4F">
        <w:rPr>
          <w:rFonts w:cstheme="minorHAnsi"/>
          <w:i w:val="0"/>
        </w:rPr>
        <w:tab/>
      </w:r>
      <w:r w:rsidR="00EB1B40" w:rsidRPr="00F23C4F">
        <w:rPr>
          <w:rFonts w:cstheme="minorHAnsi"/>
        </w:rPr>
        <w:t>a.</w:t>
      </w:r>
      <w:r w:rsidR="00EB1B40" w:rsidRPr="00F23C4F">
        <w:rPr>
          <w:rFonts w:cstheme="minorHAnsi"/>
        </w:rPr>
        <w:tab/>
      </w:r>
      <w:r w:rsidR="0083789C" w:rsidRPr="00F23C4F">
        <w:rPr>
          <w:rFonts w:cstheme="minorHAnsi"/>
        </w:rPr>
        <w:t xml:space="preserve">Denial of </w:t>
      </w:r>
      <w:r w:rsidR="008858AF" w:rsidRPr="00F23C4F">
        <w:rPr>
          <w:rFonts w:cstheme="minorHAnsi"/>
        </w:rPr>
        <w:t>R</w:t>
      </w:r>
      <w:r w:rsidR="0083789C" w:rsidRPr="00F23C4F">
        <w:rPr>
          <w:rFonts w:cstheme="minorHAnsi"/>
        </w:rPr>
        <w:t>e</w:t>
      </w:r>
      <w:r w:rsidR="00EB1B40" w:rsidRPr="00F23C4F">
        <w:rPr>
          <w:rFonts w:cstheme="minorHAnsi"/>
        </w:rPr>
        <w:t xml:space="preserve">quest for </w:t>
      </w:r>
      <w:r w:rsidR="008858AF" w:rsidRPr="00F23C4F">
        <w:rPr>
          <w:rFonts w:cstheme="minorHAnsi"/>
        </w:rPr>
        <w:t>S</w:t>
      </w:r>
      <w:r w:rsidR="00EB1B40" w:rsidRPr="00F23C4F">
        <w:rPr>
          <w:rFonts w:cstheme="minorHAnsi"/>
        </w:rPr>
        <w:t xml:space="preserve">equestered </w:t>
      </w:r>
      <w:r w:rsidR="005D23E0">
        <w:rPr>
          <w:rFonts w:cstheme="minorHAnsi"/>
        </w:rPr>
        <w:br/>
        <w:t xml:space="preserve">                    </w:t>
      </w:r>
      <w:r w:rsidR="008858AF" w:rsidRPr="00F23C4F">
        <w:rPr>
          <w:rFonts w:cstheme="minorHAnsi"/>
        </w:rPr>
        <w:t>V</w:t>
      </w:r>
      <w:r w:rsidR="00EB1B40" w:rsidRPr="00F23C4F">
        <w:rPr>
          <w:rFonts w:cstheme="minorHAnsi"/>
        </w:rPr>
        <w:t xml:space="preserve">oir </w:t>
      </w:r>
      <w:r w:rsidR="008858AF" w:rsidRPr="00F23C4F">
        <w:rPr>
          <w:rFonts w:cstheme="minorHAnsi"/>
        </w:rPr>
        <w:t>D</w:t>
      </w:r>
      <w:r w:rsidR="00EB1B40" w:rsidRPr="00F23C4F">
        <w:rPr>
          <w:rFonts w:cstheme="minorHAnsi"/>
        </w:rPr>
        <w:t>ire</w:t>
      </w:r>
    </w:p>
    <w:p w14:paraId="424A3CEB" w14:textId="69370253" w:rsidR="00285B53" w:rsidRPr="00631676" w:rsidRDefault="0083789C" w:rsidP="00F23C4F">
      <w:pPr>
        <w:rPr>
          <w:rFonts w:cstheme="minorHAnsi"/>
        </w:rPr>
      </w:pPr>
      <w:r w:rsidRPr="00631676">
        <w:rPr>
          <w:rFonts w:cstheme="minorHAnsi"/>
        </w:rPr>
        <w:tab/>
      </w:r>
      <w:r w:rsidR="004D1871" w:rsidRPr="00631676">
        <w:rPr>
          <w:rFonts w:cstheme="minorHAnsi"/>
        </w:rPr>
        <w:t xml:space="preserve">Defendant first </w:t>
      </w:r>
      <w:r w:rsidR="0017173B" w:rsidRPr="00631676">
        <w:rPr>
          <w:rFonts w:cstheme="minorHAnsi"/>
        </w:rPr>
        <w:t xml:space="preserve">points to </w:t>
      </w:r>
      <w:r w:rsidR="004D1871" w:rsidRPr="00631676">
        <w:rPr>
          <w:rFonts w:cstheme="minorHAnsi"/>
        </w:rPr>
        <w:t xml:space="preserve">the trial court’s </w:t>
      </w:r>
      <w:r w:rsidR="00285B53" w:rsidRPr="00631676">
        <w:rPr>
          <w:rFonts w:cstheme="minorHAnsi"/>
        </w:rPr>
        <w:t>decision to deny defendant’s request for sequestered voir dire.  B</w:t>
      </w:r>
      <w:r w:rsidR="00045564" w:rsidRPr="00631676">
        <w:rPr>
          <w:rFonts w:cstheme="minorHAnsi"/>
        </w:rPr>
        <w:t xml:space="preserve">efore jury </w:t>
      </w:r>
      <w:r w:rsidR="00045564" w:rsidRPr="00631676">
        <w:rPr>
          <w:rFonts w:cstheme="minorHAnsi"/>
        </w:rPr>
        <w:lastRenderedPageBreak/>
        <w:t xml:space="preserve">selection began, defendant </w:t>
      </w:r>
      <w:r w:rsidR="00285B53" w:rsidRPr="00631676">
        <w:rPr>
          <w:rFonts w:cstheme="minorHAnsi"/>
        </w:rPr>
        <w:t xml:space="preserve">had </w:t>
      </w:r>
      <w:r w:rsidR="00045564" w:rsidRPr="00631676">
        <w:rPr>
          <w:rFonts w:cstheme="minorHAnsi"/>
        </w:rPr>
        <w:t xml:space="preserve">filed a motion seeking sequestered voir dire </w:t>
      </w:r>
      <w:r w:rsidR="006D52A1" w:rsidRPr="00631676">
        <w:rPr>
          <w:rFonts w:cstheme="minorHAnsi"/>
        </w:rPr>
        <w:t xml:space="preserve">concerning prospective jurors’ attitudes toward the death penalty and regarding the extent of pretrial publicity.  </w:t>
      </w:r>
      <w:r w:rsidR="00936BEF" w:rsidRPr="00631676">
        <w:rPr>
          <w:rFonts w:cstheme="minorHAnsi"/>
        </w:rPr>
        <w:t xml:space="preserve">Defense counsel argued that sequestration would avoid the potential contamination of prospective jurors </w:t>
      </w:r>
      <w:r w:rsidR="00EF6E56" w:rsidRPr="00631676">
        <w:rPr>
          <w:rFonts w:cstheme="minorHAnsi"/>
        </w:rPr>
        <w:t>who might learn</w:t>
      </w:r>
      <w:r w:rsidR="00936BEF" w:rsidRPr="00631676">
        <w:rPr>
          <w:rFonts w:cstheme="minorHAnsi"/>
        </w:rPr>
        <w:t xml:space="preserve"> what others had seen or heard in the media.  Defense counsel </w:t>
      </w:r>
      <w:r w:rsidR="00311FB1" w:rsidRPr="00631676">
        <w:rPr>
          <w:rFonts w:cstheme="minorHAnsi"/>
        </w:rPr>
        <w:t xml:space="preserve">also </w:t>
      </w:r>
      <w:r w:rsidR="00936BEF" w:rsidRPr="00631676">
        <w:rPr>
          <w:rFonts w:cstheme="minorHAnsi"/>
        </w:rPr>
        <w:t>argued sequestered voir dire was necessary to determine prospective jurors’ attitudes toward the death penalty “alone, separately,” and “face-to-face”</w:t>
      </w:r>
      <w:r w:rsidR="0034002A" w:rsidRPr="00631676">
        <w:rPr>
          <w:rFonts w:cstheme="minorHAnsi"/>
        </w:rPr>
        <w:t xml:space="preserve"> with counsel</w:t>
      </w:r>
      <w:r w:rsidR="005D52DF" w:rsidRPr="00631676">
        <w:rPr>
          <w:rFonts w:cstheme="minorHAnsi"/>
        </w:rPr>
        <w:t xml:space="preserve">.  </w:t>
      </w:r>
      <w:r w:rsidR="00936BEF" w:rsidRPr="00631676">
        <w:rPr>
          <w:rFonts w:cstheme="minorHAnsi"/>
        </w:rPr>
        <w:t xml:space="preserve">The prosecution </w:t>
      </w:r>
      <w:r w:rsidR="00A0698E" w:rsidRPr="00631676">
        <w:rPr>
          <w:rFonts w:cstheme="minorHAnsi"/>
        </w:rPr>
        <w:t>opposed the motion</w:t>
      </w:r>
      <w:r w:rsidR="00045564" w:rsidRPr="00631676">
        <w:rPr>
          <w:rFonts w:cstheme="minorHAnsi"/>
        </w:rPr>
        <w:t xml:space="preserve"> on the ground that </w:t>
      </w:r>
      <w:r w:rsidR="00936BEF" w:rsidRPr="00631676">
        <w:rPr>
          <w:rFonts w:cstheme="minorHAnsi"/>
        </w:rPr>
        <w:t xml:space="preserve">sequestration was </w:t>
      </w:r>
      <w:r w:rsidR="00A0698E" w:rsidRPr="00631676">
        <w:rPr>
          <w:rFonts w:cstheme="minorHAnsi"/>
        </w:rPr>
        <w:t>un</w:t>
      </w:r>
      <w:r w:rsidR="00936BEF" w:rsidRPr="00631676">
        <w:rPr>
          <w:rFonts w:cstheme="minorHAnsi"/>
        </w:rPr>
        <w:t>necessary</w:t>
      </w:r>
      <w:r w:rsidR="0081322B" w:rsidRPr="00631676">
        <w:rPr>
          <w:rFonts w:cstheme="minorHAnsi"/>
        </w:rPr>
        <w:t>; jurors’ attitudes and exposure to pretrial publicity could be explored through juror questionnaires.</w:t>
      </w:r>
      <w:r w:rsidR="00215A54" w:rsidRPr="00631676">
        <w:rPr>
          <w:rFonts w:cstheme="minorHAnsi"/>
        </w:rPr>
        <w:t xml:space="preserve">  </w:t>
      </w:r>
      <w:r w:rsidR="00CE5F71" w:rsidRPr="00631676">
        <w:rPr>
          <w:rFonts w:cstheme="minorHAnsi"/>
        </w:rPr>
        <w:t xml:space="preserve">The trial court </w:t>
      </w:r>
      <w:r w:rsidR="00D935B7" w:rsidRPr="00631676">
        <w:rPr>
          <w:rFonts w:cstheme="minorHAnsi"/>
        </w:rPr>
        <w:t xml:space="preserve">denied the motion, </w:t>
      </w:r>
      <w:r w:rsidR="0081322B" w:rsidRPr="00631676">
        <w:rPr>
          <w:rFonts w:cstheme="minorHAnsi"/>
        </w:rPr>
        <w:t xml:space="preserve">agreeing with the prosecution that juror questionnaires </w:t>
      </w:r>
      <w:r w:rsidR="00215A54" w:rsidRPr="00631676">
        <w:rPr>
          <w:rFonts w:cstheme="minorHAnsi"/>
        </w:rPr>
        <w:t xml:space="preserve">would </w:t>
      </w:r>
      <w:r w:rsidR="0081322B" w:rsidRPr="00631676">
        <w:rPr>
          <w:rFonts w:cstheme="minorHAnsi"/>
        </w:rPr>
        <w:t xml:space="preserve">adequately respond to </w:t>
      </w:r>
      <w:r w:rsidR="00285B53" w:rsidRPr="00631676">
        <w:rPr>
          <w:rFonts w:cstheme="minorHAnsi"/>
        </w:rPr>
        <w:t xml:space="preserve">defendant’s </w:t>
      </w:r>
      <w:r w:rsidR="00215A54" w:rsidRPr="00631676">
        <w:rPr>
          <w:rFonts w:cstheme="minorHAnsi"/>
        </w:rPr>
        <w:t xml:space="preserve">concerns.  </w:t>
      </w:r>
    </w:p>
    <w:p w14:paraId="350FDB57" w14:textId="0EF0670E" w:rsidR="00A218B0" w:rsidRPr="00631676" w:rsidRDefault="00674509" w:rsidP="00F23C4F">
      <w:pPr>
        <w:rPr>
          <w:rFonts w:cstheme="minorHAnsi"/>
        </w:rPr>
      </w:pPr>
      <w:r w:rsidRPr="00631676">
        <w:rPr>
          <w:rFonts w:cstheme="minorHAnsi"/>
        </w:rPr>
        <w:tab/>
      </w:r>
      <w:r w:rsidR="004D1871" w:rsidRPr="00631676">
        <w:rPr>
          <w:rFonts w:cstheme="minorHAnsi"/>
        </w:rPr>
        <w:t xml:space="preserve">Although defendant </w:t>
      </w:r>
      <w:r w:rsidR="0081322B" w:rsidRPr="00631676">
        <w:rPr>
          <w:rFonts w:cstheme="minorHAnsi"/>
        </w:rPr>
        <w:t xml:space="preserve">now </w:t>
      </w:r>
      <w:r w:rsidR="00FE588F" w:rsidRPr="00631676">
        <w:rPr>
          <w:rFonts w:cstheme="minorHAnsi"/>
        </w:rPr>
        <w:t xml:space="preserve">asserts </w:t>
      </w:r>
      <w:r w:rsidR="008154A8" w:rsidRPr="00631676">
        <w:rPr>
          <w:rFonts w:cstheme="minorHAnsi"/>
        </w:rPr>
        <w:t xml:space="preserve">that </w:t>
      </w:r>
      <w:r w:rsidR="004D1871" w:rsidRPr="00631676">
        <w:rPr>
          <w:rFonts w:cstheme="minorHAnsi"/>
        </w:rPr>
        <w:t xml:space="preserve">the trial court erred in denying the motion, </w:t>
      </w:r>
      <w:r w:rsidR="0081322B" w:rsidRPr="00631676">
        <w:rPr>
          <w:rFonts w:cstheme="minorHAnsi"/>
        </w:rPr>
        <w:t xml:space="preserve">he offers no substantive argument to support the </w:t>
      </w:r>
      <w:r w:rsidR="008154A8" w:rsidRPr="00631676">
        <w:rPr>
          <w:rFonts w:cstheme="minorHAnsi"/>
        </w:rPr>
        <w:t>clai</w:t>
      </w:r>
      <w:r w:rsidR="00A97BC8" w:rsidRPr="00631676">
        <w:rPr>
          <w:rFonts w:cstheme="minorHAnsi"/>
        </w:rPr>
        <w:t>m</w:t>
      </w:r>
      <w:r w:rsidR="00FF3626">
        <w:rPr>
          <w:rFonts w:cstheme="minorHAnsi"/>
        </w:rPr>
        <w:t xml:space="preserve"> </w:t>
      </w:r>
      <w:r w:rsidR="0057251C" w:rsidRPr="00631676">
        <w:rPr>
          <w:rFonts w:cstheme="minorHAnsi"/>
        </w:rPr>
        <w:t xml:space="preserve">and has therefore </w:t>
      </w:r>
      <w:r w:rsidR="00200CC5" w:rsidRPr="00631676">
        <w:rPr>
          <w:rFonts w:cstheme="minorHAnsi"/>
        </w:rPr>
        <w:t>forfeited</w:t>
      </w:r>
      <w:r w:rsidR="0057251C" w:rsidRPr="00631676">
        <w:rPr>
          <w:rFonts w:cstheme="minorHAnsi"/>
        </w:rPr>
        <w:t xml:space="preserve"> it.  But even if the claim were properly presented </w:t>
      </w:r>
      <w:r w:rsidR="0081322B" w:rsidRPr="00631676">
        <w:rPr>
          <w:rFonts w:cstheme="minorHAnsi"/>
        </w:rPr>
        <w:t xml:space="preserve">for review, </w:t>
      </w:r>
      <w:r w:rsidR="00E849C4" w:rsidRPr="00631676">
        <w:rPr>
          <w:rFonts w:cstheme="minorHAnsi"/>
        </w:rPr>
        <w:t>we</w:t>
      </w:r>
      <w:r w:rsidR="0081322B" w:rsidRPr="00631676">
        <w:rPr>
          <w:rFonts w:cstheme="minorHAnsi"/>
        </w:rPr>
        <w:t xml:space="preserve"> would find no error.  </w:t>
      </w:r>
      <w:r w:rsidR="00A218B0" w:rsidRPr="00631676">
        <w:rPr>
          <w:rFonts w:cstheme="minorHAnsi"/>
        </w:rPr>
        <w:t>“ ‘[I]n reviewing a trial court’s denial of a defendant’s motion for individual sequestered jury selection, we apply the “abuse of discretion standard,” under which the pertinent inquiry is whether the court’s ruling “falls outside the bounds of reason.” ’ ”  (</w:t>
      </w:r>
      <w:r w:rsidR="00A218B0" w:rsidRPr="00631676">
        <w:rPr>
          <w:rFonts w:cstheme="minorHAnsi"/>
          <w:i/>
        </w:rPr>
        <w:t>People v. Perez</w:t>
      </w:r>
      <w:r w:rsidR="00A218B0" w:rsidRPr="00631676">
        <w:rPr>
          <w:rFonts w:cstheme="minorHAnsi"/>
        </w:rPr>
        <w:t xml:space="preserve"> (2018) 4 Cal.5th 421, 443, quoting </w:t>
      </w:r>
      <w:r w:rsidR="00A218B0" w:rsidRPr="00631676">
        <w:rPr>
          <w:rFonts w:cstheme="minorHAnsi"/>
          <w:i/>
        </w:rPr>
        <w:t>People v. Famalaro</w:t>
      </w:r>
      <w:r w:rsidR="00A218B0" w:rsidRPr="00631676">
        <w:rPr>
          <w:rFonts w:cstheme="minorHAnsi"/>
        </w:rPr>
        <w:t xml:space="preserve"> (2011) 52 Cal.4th 1, 34.)  </w:t>
      </w:r>
      <w:r w:rsidR="00C80BBB" w:rsidRPr="00631676">
        <w:rPr>
          <w:rFonts w:cstheme="minorHAnsi"/>
        </w:rPr>
        <w:t xml:space="preserve">We remain mindful that </w:t>
      </w:r>
      <w:r w:rsidR="00A218B0" w:rsidRPr="00631676">
        <w:rPr>
          <w:rFonts w:cstheme="minorHAnsi"/>
        </w:rPr>
        <w:t>“</w:t>
      </w:r>
      <w:r w:rsidR="00F91B91">
        <w:rPr>
          <w:rFonts w:cstheme="minorHAnsi"/>
        </w:rPr>
        <w:t> </w:t>
      </w:r>
      <w:r w:rsidR="00A218B0" w:rsidRPr="00631676">
        <w:rPr>
          <w:rFonts w:cstheme="minorHAnsi"/>
        </w:rPr>
        <w:t>‘</w:t>
      </w:r>
      <w:r w:rsidR="00C80BBB" w:rsidRPr="00631676">
        <w:rPr>
          <w:rFonts w:cstheme="minorHAnsi"/>
        </w:rPr>
        <w:t>[i]</w:t>
      </w:r>
      <w:r w:rsidR="00A218B0" w:rsidRPr="00631676">
        <w:rPr>
          <w:rFonts w:cstheme="minorHAnsi"/>
        </w:rPr>
        <w:t xml:space="preserve">ndividual sequestered jury selection is not </w:t>
      </w:r>
      <w:r w:rsidR="0040328F" w:rsidRPr="00631676">
        <w:rPr>
          <w:rFonts w:cstheme="minorHAnsi"/>
        </w:rPr>
        <w:t xml:space="preserve">constitutionally </w:t>
      </w:r>
      <w:r w:rsidR="00A218B0" w:rsidRPr="00631676">
        <w:rPr>
          <w:rFonts w:cstheme="minorHAnsi"/>
        </w:rPr>
        <w:t>required, and jury selection is to take place “where practicable . . . in the presence of the other jurors in all criminal cases, including death penalty cases.” ’ ”  (</w:t>
      </w:r>
      <w:r w:rsidR="0040328F" w:rsidRPr="00631676">
        <w:rPr>
          <w:rFonts w:cstheme="minorHAnsi"/>
          <w:i/>
        </w:rPr>
        <w:t>Perez</w:t>
      </w:r>
      <w:r w:rsidR="00C80BBB" w:rsidRPr="00631676">
        <w:rPr>
          <w:rFonts w:cstheme="minorHAnsi"/>
        </w:rPr>
        <w:t>,</w:t>
      </w:r>
      <w:r w:rsidR="0040328F" w:rsidRPr="00631676">
        <w:rPr>
          <w:rFonts w:cstheme="minorHAnsi"/>
        </w:rPr>
        <w:t xml:space="preserve"> at p. 443,</w:t>
      </w:r>
      <w:r w:rsidR="00C80BBB" w:rsidRPr="00631676">
        <w:rPr>
          <w:rFonts w:cstheme="minorHAnsi"/>
        </w:rPr>
        <w:t xml:space="preserve"> quoting</w:t>
      </w:r>
      <w:r w:rsidR="00A218B0" w:rsidRPr="00631676">
        <w:rPr>
          <w:rFonts w:cstheme="minorHAnsi"/>
        </w:rPr>
        <w:t xml:space="preserve"> Code Civ. Proc., §</w:t>
      </w:r>
      <w:r w:rsidR="0040328F" w:rsidRPr="00631676">
        <w:rPr>
          <w:rFonts w:cstheme="minorHAnsi"/>
        </w:rPr>
        <w:t> </w:t>
      </w:r>
      <w:r w:rsidR="00A218B0" w:rsidRPr="00631676">
        <w:rPr>
          <w:rFonts w:cstheme="minorHAnsi"/>
        </w:rPr>
        <w:t xml:space="preserve">223.)  </w:t>
      </w:r>
      <w:r w:rsidR="00C80BBB" w:rsidRPr="00631676">
        <w:rPr>
          <w:rFonts w:cstheme="minorHAnsi"/>
        </w:rPr>
        <w:t>Here</w:t>
      </w:r>
      <w:r w:rsidR="0040328F" w:rsidRPr="00631676">
        <w:rPr>
          <w:rFonts w:cstheme="minorHAnsi"/>
        </w:rPr>
        <w:t>,</w:t>
      </w:r>
      <w:r w:rsidR="00C80BBB" w:rsidRPr="00631676">
        <w:rPr>
          <w:rFonts w:cstheme="minorHAnsi"/>
        </w:rPr>
        <w:t xml:space="preserve"> d</w:t>
      </w:r>
      <w:r w:rsidR="00A218B0" w:rsidRPr="00631676">
        <w:rPr>
          <w:rFonts w:cstheme="minorHAnsi"/>
        </w:rPr>
        <w:t xml:space="preserve">efendant has not shown that group voir dire </w:t>
      </w:r>
      <w:r w:rsidR="00D52314" w:rsidRPr="00631676">
        <w:rPr>
          <w:rFonts w:cstheme="minorHAnsi"/>
        </w:rPr>
        <w:t>was impracticable</w:t>
      </w:r>
      <w:r w:rsidR="0057467A">
        <w:rPr>
          <w:rFonts w:cstheme="minorHAnsi"/>
        </w:rPr>
        <w:t>.</w:t>
      </w:r>
      <w:r w:rsidR="00D52314" w:rsidRPr="00631676">
        <w:rPr>
          <w:rFonts w:cstheme="minorHAnsi"/>
        </w:rPr>
        <w:t xml:space="preserve"> </w:t>
      </w:r>
      <w:r w:rsidR="0057467A">
        <w:rPr>
          <w:rFonts w:cstheme="minorHAnsi"/>
        </w:rPr>
        <w:t xml:space="preserve"> H</w:t>
      </w:r>
      <w:r w:rsidR="00D52314" w:rsidRPr="00631676">
        <w:rPr>
          <w:rFonts w:cstheme="minorHAnsi"/>
        </w:rPr>
        <w:t xml:space="preserve">e sought </w:t>
      </w:r>
      <w:r w:rsidR="00D52314" w:rsidRPr="00631676">
        <w:rPr>
          <w:rFonts w:cstheme="minorHAnsi"/>
        </w:rPr>
        <w:lastRenderedPageBreak/>
        <w:t xml:space="preserve">sequestered voir dire because of concerns </w:t>
      </w:r>
      <w:r w:rsidR="00072643">
        <w:rPr>
          <w:rFonts w:cstheme="minorHAnsi"/>
        </w:rPr>
        <w:t>about</w:t>
      </w:r>
      <w:r w:rsidR="00072643" w:rsidRPr="00631676">
        <w:rPr>
          <w:rFonts w:cstheme="minorHAnsi"/>
        </w:rPr>
        <w:t xml:space="preserve"> </w:t>
      </w:r>
      <w:r w:rsidR="00D52314" w:rsidRPr="00631676">
        <w:rPr>
          <w:rFonts w:cstheme="minorHAnsi"/>
        </w:rPr>
        <w:t>potential juror bias</w:t>
      </w:r>
      <w:r w:rsidR="0057467A">
        <w:rPr>
          <w:rFonts w:cstheme="minorHAnsi"/>
        </w:rPr>
        <w:t>,</w:t>
      </w:r>
      <w:r w:rsidR="00D52314" w:rsidRPr="00631676">
        <w:rPr>
          <w:rFonts w:cstheme="minorHAnsi"/>
        </w:rPr>
        <w:t xml:space="preserve"> but </w:t>
      </w:r>
      <w:r w:rsidR="0057467A">
        <w:rPr>
          <w:rFonts w:cstheme="minorHAnsi"/>
        </w:rPr>
        <w:t xml:space="preserve">he </w:t>
      </w:r>
      <w:r w:rsidR="00D52314" w:rsidRPr="00631676">
        <w:rPr>
          <w:rFonts w:cstheme="minorHAnsi"/>
        </w:rPr>
        <w:t xml:space="preserve">has not shown that group voir dire resulted in </w:t>
      </w:r>
      <w:r w:rsidR="00410FF7" w:rsidRPr="00631676">
        <w:rPr>
          <w:rFonts w:cstheme="minorHAnsi"/>
        </w:rPr>
        <w:t xml:space="preserve">any </w:t>
      </w:r>
      <w:r w:rsidR="00D52314" w:rsidRPr="00631676">
        <w:rPr>
          <w:rFonts w:cstheme="minorHAnsi"/>
        </w:rPr>
        <w:t xml:space="preserve">actual juror bias.  </w:t>
      </w:r>
      <w:r w:rsidR="00A218B0" w:rsidRPr="00631676">
        <w:rPr>
          <w:rFonts w:cstheme="minorHAnsi"/>
        </w:rPr>
        <w:t xml:space="preserve">(Cf. </w:t>
      </w:r>
      <w:r w:rsidR="00A218B0" w:rsidRPr="00631676">
        <w:rPr>
          <w:rFonts w:cstheme="minorHAnsi"/>
          <w:i/>
        </w:rPr>
        <w:t>People v. Vieira</w:t>
      </w:r>
      <w:r w:rsidR="00A218B0" w:rsidRPr="00631676">
        <w:rPr>
          <w:rFonts w:cstheme="minorHAnsi"/>
        </w:rPr>
        <w:t xml:space="preserve"> (2005) 35 Cal.4th 264, 288 [“group voir dire may be determined to be impracticable when, in a given case, it is shown to result in actual, rather than merely potential, bias”].)  The trial court acted within its discretion in concluding defendant’s concerns could be adequately addressed by means other than </w:t>
      </w:r>
      <w:r w:rsidR="00D52314" w:rsidRPr="00631676">
        <w:rPr>
          <w:rFonts w:cstheme="minorHAnsi"/>
        </w:rPr>
        <w:t xml:space="preserve">individual </w:t>
      </w:r>
      <w:r w:rsidR="00A218B0" w:rsidRPr="00631676">
        <w:rPr>
          <w:rFonts w:cstheme="minorHAnsi"/>
        </w:rPr>
        <w:t>sequestered voir dire.</w:t>
      </w:r>
    </w:p>
    <w:p w14:paraId="3C5E5586" w14:textId="790F292E" w:rsidR="0083789C" w:rsidRPr="00F23C4F" w:rsidRDefault="0083789C" w:rsidP="00F23C4F">
      <w:pPr>
        <w:pStyle w:val="Heading4"/>
        <w:rPr>
          <w:rFonts w:cstheme="minorHAnsi"/>
          <w:b/>
        </w:rPr>
      </w:pPr>
      <w:r w:rsidRPr="00F23C4F">
        <w:rPr>
          <w:rFonts w:cstheme="minorHAnsi"/>
        </w:rPr>
        <w:tab/>
      </w:r>
      <w:r w:rsidR="009C77FA" w:rsidRPr="00F23C4F">
        <w:rPr>
          <w:rFonts w:cstheme="minorHAnsi"/>
        </w:rPr>
        <w:tab/>
      </w:r>
      <w:r w:rsidR="009C77FA" w:rsidRPr="00F23C4F">
        <w:rPr>
          <w:rFonts w:cstheme="minorHAnsi"/>
        </w:rPr>
        <w:tab/>
        <w:t>b.</w:t>
      </w:r>
      <w:r w:rsidR="009C77FA" w:rsidRPr="00F23C4F">
        <w:rPr>
          <w:rFonts w:cstheme="minorHAnsi"/>
        </w:rPr>
        <w:tab/>
      </w:r>
      <w:r w:rsidRPr="00F23C4F">
        <w:rPr>
          <w:rFonts w:cstheme="minorHAnsi"/>
        </w:rPr>
        <w:t xml:space="preserve">Exclusion of </w:t>
      </w:r>
      <w:r w:rsidR="008858AF" w:rsidRPr="00F23C4F">
        <w:rPr>
          <w:rFonts w:cstheme="minorHAnsi"/>
        </w:rPr>
        <w:t>Q</w:t>
      </w:r>
      <w:r w:rsidRPr="00F23C4F">
        <w:rPr>
          <w:rFonts w:cstheme="minorHAnsi"/>
        </w:rPr>
        <w:t xml:space="preserve">uestions </w:t>
      </w:r>
      <w:r w:rsidR="00FF3626">
        <w:rPr>
          <w:rFonts w:cstheme="minorHAnsi"/>
        </w:rPr>
        <w:t>f</w:t>
      </w:r>
      <w:r w:rsidRPr="00F23C4F">
        <w:rPr>
          <w:rFonts w:cstheme="minorHAnsi"/>
        </w:rPr>
        <w:t xml:space="preserve">rom </w:t>
      </w:r>
      <w:r w:rsidR="005D23E0">
        <w:rPr>
          <w:rFonts w:cstheme="minorHAnsi"/>
        </w:rPr>
        <w:br/>
        <w:t xml:space="preserve">                    </w:t>
      </w:r>
      <w:r w:rsidR="008858AF" w:rsidRPr="00F23C4F">
        <w:rPr>
          <w:rFonts w:cstheme="minorHAnsi"/>
        </w:rPr>
        <w:t>J</w:t>
      </w:r>
      <w:r w:rsidRPr="00F23C4F">
        <w:rPr>
          <w:rFonts w:cstheme="minorHAnsi"/>
        </w:rPr>
        <w:t xml:space="preserve">uror </w:t>
      </w:r>
      <w:r w:rsidR="00BE4CE5">
        <w:rPr>
          <w:rFonts w:cstheme="minorHAnsi"/>
        </w:rPr>
        <w:tab/>
      </w:r>
      <w:r w:rsidR="008858AF" w:rsidRPr="00F23C4F">
        <w:rPr>
          <w:rFonts w:cstheme="minorHAnsi"/>
        </w:rPr>
        <w:t>Q</w:t>
      </w:r>
      <w:r w:rsidRPr="00F23C4F">
        <w:rPr>
          <w:rFonts w:cstheme="minorHAnsi"/>
        </w:rPr>
        <w:t>uestionnaire</w:t>
      </w:r>
    </w:p>
    <w:p w14:paraId="0A03C302" w14:textId="37AE4F64" w:rsidR="00EB55A0" w:rsidRPr="00631676" w:rsidRDefault="008154A8" w:rsidP="00170E09">
      <w:pPr>
        <w:ind w:firstLine="720"/>
        <w:rPr>
          <w:rFonts w:cstheme="minorHAnsi"/>
        </w:rPr>
      </w:pPr>
      <w:r w:rsidRPr="00631676">
        <w:rPr>
          <w:rFonts w:cstheme="minorHAnsi"/>
        </w:rPr>
        <w:t xml:space="preserve">Defendant next complains </w:t>
      </w:r>
      <w:r w:rsidR="00C87876" w:rsidRPr="00631676">
        <w:rPr>
          <w:rFonts w:cstheme="minorHAnsi"/>
        </w:rPr>
        <w:t>that the</w:t>
      </w:r>
      <w:r w:rsidR="00602FCE" w:rsidRPr="00631676">
        <w:rPr>
          <w:rFonts w:cstheme="minorHAnsi"/>
        </w:rPr>
        <w:t xml:space="preserve"> trial court erred in </w:t>
      </w:r>
      <w:r w:rsidR="00474AFD" w:rsidRPr="00631676">
        <w:rPr>
          <w:rFonts w:cstheme="minorHAnsi"/>
        </w:rPr>
        <w:t xml:space="preserve">excluding certain questions from the </w:t>
      </w:r>
      <w:r w:rsidR="00114ACA" w:rsidRPr="00631676">
        <w:rPr>
          <w:rFonts w:cstheme="minorHAnsi"/>
        </w:rPr>
        <w:t xml:space="preserve">juror questionnaire.  </w:t>
      </w:r>
      <w:r w:rsidR="0069560F" w:rsidRPr="00631676">
        <w:rPr>
          <w:rFonts w:cstheme="minorHAnsi"/>
        </w:rPr>
        <w:t xml:space="preserve">The parties </w:t>
      </w:r>
      <w:r w:rsidR="00891F0F" w:rsidRPr="00631676">
        <w:rPr>
          <w:rFonts w:cstheme="minorHAnsi"/>
        </w:rPr>
        <w:t>exchanged</w:t>
      </w:r>
      <w:r w:rsidR="0069560F" w:rsidRPr="00631676">
        <w:rPr>
          <w:rFonts w:cstheme="minorHAnsi"/>
        </w:rPr>
        <w:t xml:space="preserve"> proposed juror questionnaires</w:t>
      </w:r>
      <w:r w:rsidR="00736296" w:rsidRPr="00631676">
        <w:rPr>
          <w:rFonts w:cstheme="minorHAnsi"/>
        </w:rPr>
        <w:t xml:space="preserve"> in early October 2001</w:t>
      </w:r>
      <w:r w:rsidR="0069560F" w:rsidRPr="00631676">
        <w:rPr>
          <w:rFonts w:cstheme="minorHAnsi"/>
        </w:rPr>
        <w:t xml:space="preserve">.  </w:t>
      </w:r>
      <w:r w:rsidR="00856D07" w:rsidRPr="00631676">
        <w:rPr>
          <w:rFonts w:cstheme="minorHAnsi"/>
        </w:rPr>
        <w:t xml:space="preserve">The trial court warned the defense that </w:t>
      </w:r>
      <w:r w:rsidR="00980305" w:rsidRPr="00631676">
        <w:rPr>
          <w:rFonts w:cstheme="minorHAnsi"/>
        </w:rPr>
        <w:t xml:space="preserve">its </w:t>
      </w:r>
      <w:r w:rsidR="00856D07" w:rsidRPr="00631676">
        <w:rPr>
          <w:rFonts w:cstheme="minorHAnsi"/>
        </w:rPr>
        <w:t>proposed questionnaire, which was twice as long as the prosecution’s, ran the risk of alienating prospective jurors</w:t>
      </w:r>
      <w:r w:rsidR="0057467A">
        <w:rPr>
          <w:rFonts w:cstheme="minorHAnsi"/>
        </w:rPr>
        <w:t xml:space="preserve">.  The court explained </w:t>
      </w:r>
      <w:r w:rsidR="00072643">
        <w:rPr>
          <w:rFonts w:cstheme="minorHAnsi"/>
        </w:rPr>
        <w:t xml:space="preserve">that </w:t>
      </w:r>
      <w:r w:rsidR="0057467A">
        <w:rPr>
          <w:rFonts w:cstheme="minorHAnsi"/>
        </w:rPr>
        <w:t xml:space="preserve">the questionnaire </w:t>
      </w:r>
      <w:r w:rsidR="00856D07" w:rsidRPr="00631676">
        <w:rPr>
          <w:rFonts w:cstheme="minorHAnsi"/>
        </w:rPr>
        <w:t>“looks pretty formidable .</w:t>
      </w:r>
      <w:r w:rsidR="003B7C7F" w:rsidRPr="00631676">
        <w:rPr>
          <w:rFonts w:cstheme="minorHAnsi"/>
        </w:rPr>
        <w:t> </w:t>
      </w:r>
      <w:r w:rsidR="00856D07" w:rsidRPr="00631676">
        <w:rPr>
          <w:rFonts w:cstheme="minorHAnsi"/>
        </w:rPr>
        <w:t>.</w:t>
      </w:r>
      <w:r w:rsidR="003B7C7F" w:rsidRPr="00631676">
        <w:rPr>
          <w:rFonts w:cstheme="minorHAnsi"/>
        </w:rPr>
        <w:t> </w:t>
      </w:r>
      <w:r w:rsidR="00856D07" w:rsidRPr="00631676">
        <w:rPr>
          <w:rFonts w:cstheme="minorHAnsi"/>
        </w:rPr>
        <w:t>. and the</w:t>
      </w:r>
      <w:r w:rsidR="0040328F" w:rsidRPr="00631676">
        <w:rPr>
          <w:rFonts w:cstheme="minorHAnsi"/>
        </w:rPr>
        <w:t xml:space="preserve"> </w:t>
      </w:r>
      <w:r w:rsidR="00C6172C" w:rsidRPr="00631676">
        <w:rPr>
          <w:rFonts w:cstheme="minorHAnsi"/>
        </w:rPr>
        <w:t>[jurors]</w:t>
      </w:r>
      <w:r w:rsidR="00856D07" w:rsidRPr="00631676">
        <w:rPr>
          <w:rFonts w:cstheme="minorHAnsi"/>
        </w:rPr>
        <w:t xml:space="preserve"> may get in a hurry to finish, and you </w:t>
      </w:r>
      <w:proofErr w:type="gramStart"/>
      <w:r w:rsidR="00856D07" w:rsidRPr="00631676">
        <w:rPr>
          <w:rFonts w:cstheme="minorHAnsi"/>
        </w:rPr>
        <w:t>don’t</w:t>
      </w:r>
      <w:proofErr w:type="gramEnd"/>
      <w:r w:rsidR="00856D07" w:rsidRPr="00631676">
        <w:rPr>
          <w:rFonts w:cstheme="minorHAnsi"/>
        </w:rPr>
        <w:t xml:space="preserve"> really get the kind of answers you want; whereas, if they see they’ve got a more limited question[naire] then they’ve got some time.”  </w:t>
      </w:r>
      <w:r w:rsidR="00B41391" w:rsidRPr="00631676">
        <w:rPr>
          <w:rFonts w:cstheme="minorHAnsi"/>
        </w:rPr>
        <w:t xml:space="preserve">The parties </w:t>
      </w:r>
      <w:r w:rsidR="00340C59" w:rsidRPr="00631676">
        <w:rPr>
          <w:rFonts w:cstheme="minorHAnsi"/>
        </w:rPr>
        <w:t>eventually</w:t>
      </w:r>
      <w:r w:rsidR="00B41391" w:rsidRPr="00631676">
        <w:rPr>
          <w:rFonts w:cstheme="minorHAnsi"/>
        </w:rPr>
        <w:t xml:space="preserve"> </w:t>
      </w:r>
      <w:r w:rsidR="00654FF8" w:rsidRPr="00631676">
        <w:rPr>
          <w:rFonts w:cstheme="minorHAnsi"/>
        </w:rPr>
        <w:t xml:space="preserve">settled on a questionnaire, which was </w:t>
      </w:r>
      <w:r w:rsidR="00B41391" w:rsidRPr="00631676">
        <w:rPr>
          <w:rFonts w:cstheme="minorHAnsi"/>
        </w:rPr>
        <w:t xml:space="preserve">provided to four panels of prospective jurors.  </w:t>
      </w:r>
      <w:r w:rsidR="00D935B7" w:rsidRPr="00631676">
        <w:rPr>
          <w:rFonts w:cstheme="minorHAnsi"/>
        </w:rPr>
        <w:t>B</w:t>
      </w:r>
      <w:r w:rsidR="001D3875" w:rsidRPr="00631676">
        <w:rPr>
          <w:rFonts w:cstheme="minorHAnsi"/>
        </w:rPr>
        <w:t xml:space="preserve">efore </w:t>
      </w:r>
      <w:r w:rsidR="00740071" w:rsidRPr="00631676">
        <w:rPr>
          <w:rFonts w:cstheme="minorHAnsi"/>
        </w:rPr>
        <w:t>distribution</w:t>
      </w:r>
      <w:r w:rsidR="001D3875" w:rsidRPr="00631676">
        <w:rPr>
          <w:rFonts w:cstheme="minorHAnsi"/>
        </w:rPr>
        <w:t xml:space="preserve">, </w:t>
      </w:r>
      <w:r w:rsidR="00E82944" w:rsidRPr="00631676">
        <w:rPr>
          <w:rFonts w:cstheme="minorHAnsi"/>
        </w:rPr>
        <w:t>a number of</w:t>
      </w:r>
      <w:r w:rsidR="00D935B7" w:rsidRPr="00631676">
        <w:rPr>
          <w:rFonts w:cstheme="minorHAnsi"/>
        </w:rPr>
        <w:t xml:space="preserve"> questions</w:t>
      </w:r>
      <w:r w:rsidR="00E82944" w:rsidRPr="00631676">
        <w:rPr>
          <w:rFonts w:cstheme="minorHAnsi"/>
        </w:rPr>
        <w:t>, including four</w:t>
      </w:r>
      <w:r w:rsidR="00011F3D" w:rsidRPr="00631676">
        <w:rPr>
          <w:rFonts w:cstheme="minorHAnsi"/>
        </w:rPr>
        <w:t xml:space="preserve"> </w:t>
      </w:r>
      <w:r w:rsidR="00D935B7" w:rsidRPr="00631676">
        <w:rPr>
          <w:rFonts w:cstheme="minorHAnsi"/>
        </w:rPr>
        <w:t>that had been proposed by the defense</w:t>
      </w:r>
      <w:r w:rsidR="00A90944" w:rsidRPr="00631676">
        <w:rPr>
          <w:rFonts w:cstheme="minorHAnsi"/>
        </w:rPr>
        <w:t xml:space="preserve"> to examine jurors’ attitudes toward an intentional kidnap</w:t>
      </w:r>
      <w:r w:rsidR="00FF3626">
        <w:rPr>
          <w:rFonts w:cstheme="minorHAnsi"/>
        </w:rPr>
        <w:t xml:space="preserve"> </w:t>
      </w:r>
      <w:r w:rsidR="00A90944" w:rsidRPr="00631676">
        <w:rPr>
          <w:rFonts w:cstheme="minorHAnsi"/>
        </w:rPr>
        <w:t>murder of a minor</w:t>
      </w:r>
      <w:r w:rsidR="00E82944" w:rsidRPr="00631676">
        <w:rPr>
          <w:rFonts w:cstheme="minorHAnsi"/>
        </w:rPr>
        <w:t xml:space="preserve"> (</w:t>
      </w:r>
      <w:r w:rsidR="00410FF7" w:rsidRPr="00631676">
        <w:rPr>
          <w:rFonts w:cstheme="minorHAnsi"/>
        </w:rPr>
        <w:t xml:space="preserve">proposed </w:t>
      </w:r>
      <w:r w:rsidR="00E82944" w:rsidRPr="00631676">
        <w:rPr>
          <w:rFonts w:cstheme="minorHAnsi"/>
        </w:rPr>
        <w:t>questions 78, 79, 98, and 120)</w:t>
      </w:r>
      <w:r w:rsidR="00740071" w:rsidRPr="00631676">
        <w:rPr>
          <w:rFonts w:cstheme="minorHAnsi"/>
        </w:rPr>
        <w:t>,</w:t>
      </w:r>
      <w:r w:rsidR="00E82944" w:rsidRPr="00631676">
        <w:rPr>
          <w:rFonts w:cstheme="minorHAnsi"/>
        </w:rPr>
        <w:t xml:space="preserve"> were excluded from the questionnaire</w:t>
      </w:r>
      <w:r w:rsidR="008556BD" w:rsidRPr="00631676">
        <w:rPr>
          <w:rFonts w:cstheme="minorHAnsi"/>
        </w:rPr>
        <w:t>.</w:t>
      </w:r>
      <w:r w:rsidR="003C05E9" w:rsidRPr="00631676">
        <w:rPr>
          <w:rFonts w:cstheme="minorHAnsi"/>
        </w:rPr>
        <w:t xml:space="preserve">  </w:t>
      </w:r>
    </w:p>
    <w:p w14:paraId="4D5CE896" w14:textId="43FD6253" w:rsidR="00474AFD" w:rsidRPr="00631676" w:rsidRDefault="00EB55A0" w:rsidP="00F23C4F">
      <w:pPr>
        <w:rPr>
          <w:rFonts w:cstheme="minorHAnsi"/>
        </w:rPr>
      </w:pPr>
      <w:r w:rsidRPr="00631676">
        <w:rPr>
          <w:rFonts w:cstheme="minorHAnsi"/>
        </w:rPr>
        <w:tab/>
      </w:r>
      <w:r w:rsidR="003B3387" w:rsidRPr="00631676">
        <w:rPr>
          <w:rFonts w:cstheme="minorHAnsi"/>
        </w:rPr>
        <w:t>Excluded question number 78 inquired, “What was your first reaction when you heard this was a ‘kidnapping murder’ case</w:t>
      </w:r>
      <w:r w:rsidR="008858AF" w:rsidRPr="00631676">
        <w:rPr>
          <w:rFonts w:cstheme="minorHAnsi"/>
        </w:rPr>
        <w:t>?</w:t>
      </w:r>
      <w:r w:rsidR="003B3387" w:rsidRPr="00631676">
        <w:rPr>
          <w:rFonts w:cstheme="minorHAnsi"/>
        </w:rPr>
        <w:t xml:space="preserve">”  </w:t>
      </w:r>
      <w:r w:rsidR="00011F3D" w:rsidRPr="00631676">
        <w:rPr>
          <w:rFonts w:cstheme="minorHAnsi"/>
        </w:rPr>
        <w:t>Q</w:t>
      </w:r>
      <w:r w:rsidR="003B3387" w:rsidRPr="00631676">
        <w:rPr>
          <w:rFonts w:cstheme="minorHAnsi"/>
        </w:rPr>
        <w:t>uestion number 79</w:t>
      </w:r>
      <w:r w:rsidR="00270B7F" w:rsidRPr="00631676">
        <w:rPr>
          <w:rFonts w:cstheme="minorHAnsi"/>
        </w:rPr>
        <w:t xml:space="preserve"> inquired whether a prospective </w:t>
      </w:r>
      <w:r w:rsidR="00270B7F" w:rsidRPr="00631676">
        <w:rPr>
          <w:rFonts w:cstheme="minorHAnsi"/>
        </w:rPr>
        <w:lastRenderedPageBreak/>
        <w:t>juror’s “</w:t>
      </w:r>
      <w:r w:rsidR="003B3387" w:rsidRPr="00631676">
        <w:rPr>
          <w:rFonts w:cstheme="minorHAnsi"/>
        </w:rPr>
        <w:t>feelings about the issue</w:t>
      </w:r>
      <w:r w:rsidR="00270B7F" w:rsidRPr="00631676">
        <w:rPr>
          <w:rFonts w:cstheme="minorHAnsi"/>
        </w:rPr>
        <w:t xml:space="preserve"> of kidnapping and murder </w:t>
      </w:r>
      <w:r w:rsidR="00AD183C" w:rsidRPr="00631676">
        <w:rPr>
          <w:rFonts w:cstheme="minorHAnsi"/>
        </w:rPr>
        <w:t>[</w:t>
      </w:r>
      <w:r w:rsidR="00E2397B" w:rsidRPr="00631676">
        <w:rPr>
          <w:rFonts w:cstheme="minorHAnsi"/>
        </w:rPr>
        <w:t>wer</w:t>
      </w:r>
      <w:r w:rsidR="00270B7F" w:rsidRPr="00631676">
        <w:rPr>
          <w:rFonts w:cstheme="minorHAnsi"/>
        </w:rPr>
        <w:t>e</w:t>
      </w:r>
      <w:r w:rsidR="00AD183C" w:rsidRPr="00631676">
        <w:rPr>
          <w:rFonts w:cstheme="minorHAnsi"/>
        </w:rPr>
        <w:t>]</w:t>
      </w:r>
      <w:r w:rsidR="00270B7F" w:rsidRPr="00631676">
        <w:rPr>
          <w:rFonts w:cstheme="minorHAnsi"/>
        </w:rPr>
        <w:t xml:space="preserve"> such that” the juror “could not be fair and impartial in relation to the defendant” or “to [a] complaining witness,” or </w:t>
      </w:r>
      <w:r w:rsidR="00AD183C" w:rsidRPr="00631676">
        <w:rPr>
          <w:rFonts w:cstheme="minorHAnsi"/>
        </w:rPr>
        <w:t xml:space="preserve">alternatively </w:t>
      </w:r>
      <w:r w:rsidR="00270B7F" w:rsidRPr="00631676">
        <w:rPr>
          <w:rFonts w:cstheme="minorHAnsi"/>
        </w:rPr>
        <w:t>if “[n]e</w:t>
      </w:r>
      <w:r w:rsidR="000350C8" w:rsidRPr="00631676">
        <w:rPr>
          <w:rFonts w:cstheme="minorHAnsi"/>
        </w:rPr>
        <w:t xml:space="preserve">ither statement applie[d].”  </w:t>
      </w:r>
      <w:r w:rsidR="00011F3D" w:rsidRPr="00631676">
        <w:rPr>
          <w:rFonts w:cstheme="minorHAnsi"/>
        </w:rPr>
        <w:t>Q</w:t>
      </w:r>
      <w:r w:rsidR="00270B7F" w:rsidRPr="00631676">
        <w:rPr>
          <w:rFonts w:cstheme="minorHAnsi"/>
        </w:rPr>
        <w:t>uestion number 98 inquired, “During the course of the trial, the prosecution may present evidence that includes pictures of Mr.</w:t>
      </w:r>
      <w:r w:rsidR="006D6781" w:rsidRPr="00631676">
        <w:rPr>
          <w:rFonts w:cstheme="minorHAnsi"/>
        </w:rPr>
        <w:t> </w:t>
      </w:r>
      <w:r w:rsidR="00270B7F" w:rsidRPr="00631676">
        <w:rPr>
          <w:rFonts w:cstheme="minorHAnsi"/>
        </w:rPr>
        <w:t>Markowitz after he died, and a gun that was used in the killing.  The prosecution may even display the gun itself.  How do you think this type of evidence would affect your judgment of the case as a whole</w:t>
      </w:r>
      <w:r w:rsidR="00A90944" w:rsidRPr="00631676">
        <w:rPr>
          <w:rFonts w:cstheme="minorHAnsi"/>
        </w:rPr>
        <w:t>?</w:t>
      </w:r>
      <w:r w:rsidR="00270B7F" w:rsidRPr="00631676">
        <w:rPr>
          <w:rFonts w:cstheme="minorHAnsi"/>
        </w:rPr>
        <w:t xml:space="preserve">”  </w:t>
      </w:r>
      <w:r w:rsidR="00011F3D" w:rsidRPr="00631676">
        <w:rPr>
          <w:rFonts w:cstheme="minorHAnsi"/>
        </w:rPr>
        <w:t>Q</w:t>
      </w:r>
      <w:r w:rsidR="00270B7F" w:rsidRPr="00631676">
        <w:rPr>
          <w:rFonts w:cstheme="minorHAnsi"/>
        </w:rPr>
        <w:t xml:space="preserve">uestion number </w:t>
      </w:r>
      <w:r w:rsidR="006040DF" w:rsidRPr="00631676">
        <w:rPr>
          <w:rFonts w:cstheme="minorHAnsi"/>
        </w:rPr>
        <w:t>120 inquired, “During this trial you may hear detailed descriptions of kidnap</w:t>
      </w:r>
      <w:r w:rsidR="00F35BA5">
        <w:rPr>
          <w:rFonts w:cstheme="minorHAnsi"/>
        </w:rPr>
        <w:t>p</w:t>
      </w:r>
      <w:r w:rsidR="006040DF" w:rsidRPr="00631676">
        <w:rPr>
          <w:rFonts w:cstheme="minorHAnsi"/>
        </w:rPr>
        <w:t xml:space="preserve">ing and murder.  Would that effect </w:t>
      </w:r>
      <w:r w:rsidR="00A90944" w:rsidRPr="00631676">
        <w:rPr>
          <w:rFonts w:cstheme="minorHAnsi"/>
        </w:rPr>
        <w:t>[</w:t>
      </w:r>
      <w:r w:rsidR="00A90944" w:rsidRPr="00631676">
        <w:rPr>
          <w:rFonts w:cstheme="minorHAnsi"/>
          <w:i/>
        </w:rPr>
        <w:t>sic</w:t>
      </w:r>
      <w:r w:rsidR="00A90944" w:rsidRPr="00631676">
        <w:rPr>
          <w:rFonts w:cstheme="minorHAnsi"/>
        </w:rPr>
        <w:t xml:space="preserve">] </w:t>
      </w:r>
      <w:r w:rsidR="006040DF" w:rsidRPr="00631676">
        <w:rPr>
          <w:rFonts w:cstheme="minorHAnsi"/>
        </w:rPr>
        <w:t>your ability to be fair and impartial</w:t>
      </w:r>
      <w:r w:rsidR="00A90944" w:rsidRPr="00631676">
        <w:rPr>
          <w:rFonts w:cstheme="minorHAnsi"/>
        </w:rPr>
        <w:t>?</w:t>
      </w:r>
      <w:r w:rsidR="006040DF" w:rsidRPr="00631676">
        <w:rPr>
          <w:rFonts w:cstheme="minorHAnsi"/>
        </w:rPr>
        <w:t xml:space="preserve">” followed by a short blank line.  The question continued, “If so, please explain.”  </w:t>
      </w:r>
    </w:p>
    <w:p w14:paraId="00539990" w14:textId="64C3D242" w:rsidR="00474AFD" w:rsidRPr="00631676" w:rsidRDefault="00474AFD" w:rsidP="00F23C4F">
      <w:pPr>
        <w:rPr>
          <w:rFonts w:cstheme="minorHAnsi"/>
        </w:rPr>
      </w:pPr>
      <w:r w:rsidRPr="00631676">
        <w:rPr>
          <w:rFonts w:cstheme="minorHAnsi"/>
        </w:rPr>
        <w:tab/>
      </w:r>
      <w:r w:rsidR="0047516A" w:rsidRPr="00631676">
        <w:rPr>
          <w:rFonts w:cstheme="minorHAnsi"/>
        </w:rPr>
        <w:t xml:space="preserve">Defendant </w:t>
      </w:r>
      <w:r w:rsidRPr="00631676">
        <w:rPr>
          <w:rFonts w:cstheme="minorHAnsi"/>
        </w:rPr>
        <w:t xml:space="preserve">argues it was error to exclude these questions.  </w:t>
      </w:r>
      <w:r w:rsidR="0047516A" w:rsidRPr="00631676">
        <w:rPr>
          <w:rFonts w:cstheme="minorHAnsi"/>
        </w:rPr>
        <w:t>Without the ability to question jurors about their attitudes toward the death penalty in a case involving the intentional kidnap</w:t>
      </w:r>
      <w:r w:rsidR="00FF3626">
        <w:rPr>
          <w:rFonts w:cstheme="minorHAnsi"/>
        </w:rPr>
        <w:t xml:space="preserve"> </w:t>
      </w:r>
      <w:r w:rsidR="0047516A" w:rsidRPr="00631676">
        <w:rPr>
          <w:rFonts w:cstheme="minorHAnsi"/>
        </w:rPr>
        <w:t>murder of a minor, he argues, the defense had no adequate means of determining whether the jurors h</w:t>
      </w:r>
      <w:r w:rsidRPr="00631676">
        <w:rPr>
          <w:rFonts w:cstheme="minorHAnsi"/>
        </w:rPr>
        <w:t>arbored disqualifying biases</w:t>
      </w:r>
      <w:r w:rsidR="00840404" w:rsidRPr="00631676">
        <w:rPr>
          <w:rFonts w:cstheme="minorHAnsi"/>
        </w:rPr>
        <w:t xml:space="preserve"> concerning the commission of such a crime</w:t>
      </w:r>
      <w:r w:rsidRPr="00631676">
        <w:rPr>
          <w:rFonts w:cstheme="minorHAnsi"/>
        </w:rPr>
        <w:t>.</w:t>
      </w:r>
      <w:r w:rsidR="00721B28">
        <w:rPr>
          <w:rFonts w:cstheme="minorHAnsi"/>
        </w:rPr>
        <w:t xml:space="preserve">  We disagree.</w:t>
      </w:r>
    </w:p>
    <w:p w14:paraId="2236DF57" w14:textId="2C7871E5" w:rsidR="00740071" w:rsidRPr="00631676" w:rsidRDefault="00474AFD" w:rsidP="00F23C4F">
      <w:pPr>
        <w:ind w:firstLine="720"/>
        <w:rPr>
          <w:rFonts w:cstheme="minorHAnsi"/>
        </w:rPr>
      </w:pPr>
      <w:r w:rsidRPr="00631676">
        <w:rPr>
          <w:rFonts w:cstheme="minorHAnsi"/>
        </w:rPr>
        <w:t>A</w:t>
      </w:r>
      <w:r w:rsidR="0047516A" w:rsidRPr="00631676">
        <w:rPr>
          <w:rFonts w:cstheme="minorHAnsi"/>
        </w:rPr>
        <w:t xml:space="preserve"> t</w:t>
      </w:r>
      <w:r w:rsidRPr="00631676">
        <w:rPr>
          <w:rFonts w:cstheme="minorHAnsi"/>
        </w:rPr>
        <w:t xml:space="preserve">rial court </w:t>
      </w:r>
      <w:r w:rsidR="0047516A" w:rsidRPr="00631676">
        <w:rPr>
          <w:rFonts w:cstheme="minorHAnsi"/>
        </w:rPr>
        <w:t xml:space="preserve">has </w:t>
      </w:r>
      <w:r w:rsidR="00FA16D8" w:rsidRPr="00631676">
        <w:rPr>
          <w:rFonts w:cstheme="minorHAnsi"/>
        </w:rPr>
        <w:t>“ ‘</w:t>
      </w:r>
      <w:r w:rsidR="0047516A" w:rsidRPr="00631676">
        <w:rPr>
          <w:rFonts w:cstheme="minorHAnsi"/>
        </w:rPr>
        <w:t>wide latitude</w:t>
      </w:r>
      <w:r w:rsidR="00FA16D8" w:rsidRPr="00631676">
        <w:rPr>
          <w:rFonts w:cstheme="minorHAnsi"/>
        </w:rPr>
        <w:t>’ </w:t>
      </w:r>
      <w:r w:rsidRPr="00631676">
        <w:rPr>
          <w:rFonts w:cstheme="minorHAnsi"/>
        </w:rPr>
        <w:t>”</w:t>
      </w:r>
      <w:r w:rsidR="0047516A" w:rsidRPr="00631676">
        <w:rPr>
          <w:rFonts w:cstheme="minorHAnsi"/>
        </w:rPr>
        <w:t xml:space="preserve"> in the conduct of voir dire, including with respect to the questions to be asked and their format.  (</w:t>
      </w:r>
      <w:r w:rsidR="0047516A" w:rsidRPr="00631676">
        <w:rPr>
          <w:rFonts w:cstheme="minorHAnsi"/>
          <w:i/>
        </w:rPr>
        <w:t>People v. Landry</w:t>
      </w:r>
      <w:r w:rsidR="0047516A" w:rsidRPr="00631676">
        <w:rPr>
          <w:rFonts w:cstheme="minorHAnsi"/>
        </w:rPr>
        <w:t xml:space="preserve"> (2016) 2 Cal.5th 52, 83; </w:t>
      </w:r>
      <w:r w:rsidR="00740071" w:rsidRPr="00631676">
        <w:rPr>
          <w:rFonts w:cstheme="minorHAnsi"/>
        </w:rPr>
        <w:t xml:space="preserve">see </w:t>
      </w:r>
      <w:r w:rsidR="0047516A" w:rsidRPr="00631676">
        <w:rPr>
          <w:rFonts w:cstheme="minorHAnsi"/>
        </w:rPr>
        <w:t>Code Civ. Proc., §</w:t>
      </w:r>
      <w:r w:rsidR="00EA2490" w:rsidRPr="00631676">
        <w:rPr>
          <w:rFonts w:cstheme="minorHAnsi"/>
        </w:rPr>
        <w:t> </w:t>
      </w:r>
      <w:r w:rsidR="0047516A" w:rsidRPr="00631676">
        <w:rPr>
          <w:rFonts w:cstheme="minorHAnsi"/>
        </w:rPr>
        <w:t>223.)  Voir dire must be “</w:t>
      </w:r>
      <w:r w:rsidR="00EA2490" w:rsidRPr="00631676">
        <w:rPr>
          <w:rFonts w:cstheme="minorHAnsi"/>
        </w:rPr>
        <w:t> </w:t>
      </w:r>
      <w:r w:rsidR="0047516A" w:rsidRPr="00631676">
        <w:rPr>
          <w:rFonts w:cstheme="minorHAnsi"/>
        </w:rPr>
        <w:t>‘</w:t>
      </w:r>
      <w:r w:rsidR="00EA2490" w:rsidRPr="00631676">
        <w:rPr>
          <w:rFonts w:cstheme="minorHAnsi"/>
        </w:rPr>
        <w:t> </w:t>
      </w:r>
      <w:r w:rsidR="0047516A" w:rsidRPr="00631676">
        <w:rPr>
          <w:rFonts w:cstheme="minorHAnsi"/>
        </w:rPr>
        <w:t>“</w:t>
      </w:r>
      <w:r w:rsidR="00085F65" w:rsidRPr="00631676">
        <w:rPr>
          <w:rFonts w:cstheme="minorHAnsi"/>
        </w:rPr>
        <w:t> ‘</w:t>
      </w:r>
      <w:r w:rsidR="0047516A" w:rsidRPr="00631676">
        <w:rPr>
          <w:rFonts w:cstheme="minorHAnsi"/>
        </w:rPr>
        <w:t>reasonably sufficient to test the jury for bias or partiality.</w:t>
      </w:r>
      <w:r w:rsidR="00085F65" w:rsidRPr="00631676">
        <w:rPr>
          <w:rFonts w:cstheme="minorHAnsi"/>
        </w:rPr>
        <w:t>’ </w:t>
      </w:r>
      <w:r w:rsidR="0047516A" w:rsidRPr="00631676">
        <w:rPr>
          <w:rFonts w:cstheme="minorHAnsi"/>
        </w:rPr>
        <w:t>”</w:t>
      </w:r>
      <w:r w:rsidR="00EA2490" w:rsidRPr="00631676">
        <w:rPr>
          <w:rFonts w:cstheme="minorHAnsi"/>
        </w:rPr>
        <w:t> </w:t>
      </w:r>
      <w:r w:rsidR="0047516A" w:rsidRPr="00631676">
        <w:rPr>
          <w:rFonts w:cstheme="minorHAnsi"/>
        </w:rPr>
        <w:t>’</w:t>
      </w:r>
      <w:r w:rsidR="00EA2490" w:rsidRPr="00631676">
        <w:rPr>
          <w:rFonts w:cstheme="minorHAnsi"/>
        </w:rPr>
        <w:t> </w:t>
      </w:r>
      <w:r w:rsidR="0047516A" w:rsidRPr="00631676">
        <w:rPr>
          <w:rFonts w:cstheme="minorHAnsi"/>
        </w:rPr>
        <w:t>”  (</w:t>
      </w:r>
      <w:r w:rsidR="0047516A" w:rsidRPr="00631676">
        <w:rPr>
          <w:rFonts w:cstheme="minorHAnsi"/>
          <w:i/>
        </w:rPr>
        <w:t>Landry</w:t>
      </w:r>
      <w:r w:rsidR="0047516A" w:rsidRPr="00631676">
        <w:rPr>
          <w:rFonts w:cstheme="minorHAnsi"/>
        </w:rPr>
        <w:t>, at p.</w:t>
      </w:r>
      <w:r w:rsidR="00EA2490" w:rsidRPr="00631676">
        <w:rPr>
          <w:rFonts w:cstheme="minorHAnsi"/>
        </w:rPr>
        <w:t> </w:t>
      </w:r>
      <w:r w:rsidR="0047516A" w:rsidRPr="00631676">
        <w:rPr>
          <w:rFonts w:cstheme="minorHAnsi"/>
        </w:rPr>
        <w:t>83.)  But “[i]t is not the purpose of voir dire to ‘ “educate the jury panel to the particular facts of the case, to compel the jurors to commit themselves to vote a particular way, to prejudice the jury for or against a particular party, to argue the case, to indoctrinate the jury, or to instruct the jury in matters of law.” ’ ”  (</w:t>
      </w:r>
      <w:r w:rsidR="0047516A" w:rsidRPr="00631676">
        <w:rPr>
          <w:rFonts w:cstheme="minorHAnsi"/>
          <w:i/>
        </w:rPr>
        <w:t>Ibid.</w:t>
      </w:r>
      <w:r w:rsidR="0047516A" w:rsidRPr="00631676">
        <w:rPr>
          <w:rFonts w:cstheme="minorHAnsi"/>
        </w:rPr>
        <w:t>)</w:t>
      </w:r>
    </w:p>
    <w:p w14:paraId="2E22BEA9" w14:textId="07D3273B" w:rsidR="00DD7EB6" w:rsidRPr="00631676" w:rsidRDefault="00D14493" w:rsidP="00F23C4F">
      <w:pPr>
        <w:ind w:firstLine="720"/>
        <w:rPr>
          <w:rFonts w:cstheme="minorHAnsi"/>
        </w:rPr>
      </w:pPr>
      <w:r w:rsidRPr="00631676">
        <w:rPr>
          <w:rFonts w:cstheme="minorHAnsi"/>
        </w:rPr>
        <w:lastRenderedPageBreak/>
        <w:t xml:space="preserve">Here, although defendant suggests otherwise, the </w:t>
      </w:r>
      <w:r w:rsidR="00013BCC" w:rsidRPr="00631676">
        <w:rPr>
          <w:rFonts w:cstheme="minorHAnsi"/>
        </w:rPr>
        <w:t xml:space="preserve">prospective jurors were informed of the nature of </w:t>
      </w:r>
      <w:r w:rsidR="001F4954" w:rsidRPr="00631676">
        <w:rPr>
          <w:rFonts w:cstheme="minorHAnsi"/>
        </w:rPr>
        <w:t>defendant’</w:t>
      </w:r>
      <w:r w:rsidR="00840404" w:rsidRPr="00631676">
        <w:rPr>
          <w:rFonts w:cstheme="minorHAnsi"/>
        </w:rPr>
        <w:t>s</w:t>
      </w:r>
      <w:r w:rsidR="001F4954" w:rsidRPr="00631676">
        <w:rPr>
          <w:rFonts w:cstheme="minorHAnsi"/>
        </w:rPr>
        <w:t xml:space="preserve"> alleged crime.  </w:t>
      </w:r>
      <w:r w:rsidR="006C17CF" w:rsidRPr="00631676">
        <w:rPr>
          <w:rFonts w:cstheme="minorHAnsi"/>
        </w:rPr>
        <w:t>Before adjourning for one week</w:t>
      </w:r>
      <w:r w:rsidR="00736296" w:rsidRPr="00631676">
        <w:rPr>
          <w:rFonts w:cstheme="minorHAnsi"/>
        </w:rPr>
        <w:t xml:space="preserve"> on October 17, 2001</w:t>
      </w:r>
      <w:r w:rsidR="006C17CF" w:rsidRPr="00631676">
        <w:rPr>
          <w:rFonts w:cstheme="minorHAnsi"/>
        </w:rPr>
        <w:t>, the court briefly described the case to the prospective jurors.  The court explained that the crime involved “the alleged kidnapping of the 15 year old Nicholas Markowitz, and resulted, allegedly, i</w:t>
      </w:r>
      <w:r w:rsidR="001062BB" w:rsidRPr="00631676">
        <w:rPr>
          <w:rFonts w:cstheme="minorHAnsi"/>
        </w:rPr>
        <w:t>n the killing of Mr.</w:t>
      </w:r>
      <w:r w:rsidR="00EA2490" w:rsidRPr="00631676">
        <w:rPr>
          <w:rFonts w:cstheme="minorHAnsi"/>
        </w:rPr>
        <w:t> </w:t>
      </w:r>
      <w:r w:rsidR="001062BB" w:rsidRPr="00631676">
        <w:rPr>
          <w:rFonts w:cstheme="minorHAnsi"/>
        </w:rPr>
        <w:t xml:space="preserve">Markowitz.”  </w:t>
      </w:r>
      <w:r w:rsidR="006C17CF" w:rsidRPr="00631676">
        <w:rPr>
          <w:rFonts w:cstheme="minorHAnsi"/>
        </w:rPr>
        <w:t>The court explained that the series of events at issue occurred over a period of four days and that defendant was charged with kidnapping, first</w:t>
      </w:r>
      <w:r w:rsidR="00740071" w:rsidRPr="00631676">
        <w:rPr>
          <w:rFonts w:cstheme="minorHAnsi"/>
        </w:rPr>
        <w:t xml:space="preserve"> </w:t>
      </w:r>
      <w:r w:rsidR="006C17CF" w:rsidRPr="00631676">
        <w:rPr>
          <w:rFonts w:cstheme="minorHAnsi"/>
        </w:rPr>
        <w:t xml:space="preserve">degree murder, and a special circumstance allegation that the murder occurred during the commission of a kidnapping.  </w:t>
      </w:r>
      <w:r w:rsidR="008B759B" w:rsidRPr="00631676">
        <w:rPr>
          <w:rFonts w:cstheme="minorHAnsi"/>
        </w:rPr>
        <w:t xml:space="preserve">The </w:t>
      </w:r>
      <w:r w:rsidR="00840404" w:rsidRPr="00631676">
        <w:rPr>
          <w:rFonts w:cstheme="minorHAnsi"/>
        </w:rPr>
        <w:t xml:space="preserve">juror </w:t>
      </w:r>
      <w:r w:rsidR="008B759B" w:rsidRPr="00631676">
        <w:rPr>
          <w:rFonts w:cstheme="minorHAnsi"/>
        </w:rPr>
        <w:t xml:space="preserve">questionnaire then sought to evaluate prospective jurors’ attitudes toward the death penalty </w:t>
      </w:r>
      <w:r w:rsidR="009408C2" w:rsidRPr="00631676">
        <w:rPr>
          <w:rFonts w:cstheme="minorHAnsi"/>
        </w:rPr>
        <w:t xml:space="preserve">in such a case, by asking jurors whether </w:t>
      </w:r>
      <w:r w:rsidR="00EB55A0" w:rsidRPr="00631676">
        <w:rPr>
          <w:rFonts w:cstheme="minorHAnsi"/>
        </w:rPr>
        <w:t>they would always vote guilty as to first degree murder and true as to the special circumstance, so as to guarantee a penalty phase, and whether jurors would automatically</w:t>
      </w:r>
      <w:r w:rsidR="00DD7EB6" w:rsidRPr="00631676">
        <w:rPr>
          <w:rFonts w:cstheme="minorHAnsi"/>
        </w:rPr>
        <w:t xml:space="preserve"> vote for death.  </w:t>
      </w:r>
    </w:p>
    <w:p w14:paraId="05F92826" w14:textId="5418BBB7" w:rsidR="0067246B" w:rsidRPr="00631676" w:rsidRDefault="00EB55A0" w:rsidP="00F23C4F">
      <w:pPr>
        <w:ind w:firstLine="720"/>
        <w:rPr>
          <w:rFonts w:cstheme="minorHAnsi"/>
        </w:rPr>
      </w:pPr>
      <w:r w:rsidRPr="00631676">
        <w:rPr>
          <w:rFonts w:cstheme="minorHAnsi"/>
        </w:rPr>
        <w:t xml:space="preserve">The additional questions </w:t>
      </w:r>
      <w:r w:rsidR="006B47CB" w:rsidRPr="00631676">
        <w:rPr>
          <w:rFonts w:cstheme="minorHAnsi"/>
        </w:rPr>
        <w:t xml:space="preserve">on the subject </w:t>
      </w:r>
      <w:r w:rsidRPr="00631676">
        <w:rPr>
          <w:rFonts w:cstheme="minorHAnsi"/>
        </w:rPr>
        <w:t>proposed by defendant—</w:t>
      </w:r>
      <w:r w:rsidR="007A6E48" w:rsidRPr="00631676">
        <w:rPr>
          <w:rFonts w:cstheme="minorHAnsi"/>
        </w:rPr>
        <w:t xml:space="preserve">which asked, </w:t>
      </w:r>
      <w:r w:rsidR="00840404" w:rsidRPr="00631676">
        <w:rPr>
          <w:rFonts w:cstheme="minorHAnsi"/>
        </w:rPr>
        <w:t>for example</w:t>
      </w:r>
      <w:r w:rsidR="007A6E48" w:rsidRPr="00631676">
        <w:rPr>
          <w:rFonts w:cstheme="minorHAnsi"/>
        </w:rPr>
        <w:t>, for the jurors’ “first reaction” to hearing “this is a ‘kidnapping murder case’</w:t>
      </w:r>
      <w:r w:rsidR="00EA2490" w:rsidRPr="00631676">
        <w:rPr>
          <w:rFonts w:cstheme="minorHAnsi"/>
        </w:rPr>
        <w:t> </w:t>
      </w:r>
      <w:r w:rsidR="007A6E48" w:rsidRPr="00631676">
        <w:rPr>
          <w:rFonts w:cstheme="minorHAnsi"/>
        </w:rPr>
        <w:t>”</w:t>
      </w:r>
      <w:r w:rsidR="007759B5" w:rsidRPr="00631676">
        <w:rPr>
          <w:rFonts w:cstheme="minorHAnsi"/>
        </w:rPr>
        <w:t>—</w:t>
      </w:r>
      <w:r w:rsidRPr="00631676">
        <w:rPr>
          <w:rFonts w:cstheme="minorHAnsi"/>
        </w:rPr>
        <w:t xml:space="preserve">were not well-tailored to </w:t>
      </w:r>
      <w:r w:rsidR="00961A8E" w:rsidRPr="00631676">
        <w:rPr>
          <w:rFonts w:cstheme="minorHAnsi"/>
        </w:rPr>
        <w:t xml:space="preserve">meaningful </w:t>
      </w:r>
      <w:r w:rsidR="009359C1" w:rsidRPr="00631676">
        <w:rPr>
          <w:rFonts w:cstheme="minorHAnsi"/>
        </w:rPr>
        <w:t xml:space="preserve">further </w:t>
      </w:r>
      <w:r w:rsidRPr="00631676">
        <w:rPr>
          <w:rFonts w:cstheme="minorHAnsi"/>
        </w:rPr>
        <w:t xml:space="preserve">exploration of </w:t>
      </w:r>
      <w:r w:rsidR="00DD7EB6" w:rsidRPr="00631676">
        <w:rPr>
          <w:rFonts w:cstheme="minorHAnsi"/>
        </w:rPr>
        <w:t>the jurors’ views on the death penalty in this context</w:t>
      </w:r>
      <w:r w:rsidR="00707471" w:rsidRPr="00631676">
        <w:rPr>
          <w:rFonts w:cstheme="minorHAnsi"/>
        </w:rPr>
        <w:t xml:space="preserve">.  </w:t>
      </w:r>
      <w:r w:rsidR="00840404" w:rsidRPr="00631676">
        <w:rPr>
          <w:rFonts w:cstheme="minorHAnsi"/>
        </w:rPr>
        <w:t xml:space="preserve">And </w:t>
      </w:r>
      <w:r w:rsidR="000E5484" w:rsidRPr="00631676">
        <w:rPr>
          <w:rFonts w:cstheme="minorHAnsi"/>
        </w:rPr>
        <w:t xml:space="preserve">to the extent </w:t>
      </w:r>
      <w:r w:rsidR="00840404" w:rsidRPr="00631676">
        <w:rPr>
          <w:rFonts w:cstheme="minorHAnsi"/>
        </w:rPr>
        <w:t xml:space="preserve">defendant sought the jurors’ predictions about how their judgment would be affected by “detailed </w:t>
      </w:r>
      <w:r w:rsidR="00EE728B">
        <w:rPr>
          <w:rFonts w:cstheme="minorHAnsi"/>
        </w:rPr>
        <w:t>account[s]</w:t>
      </w:r>
      <w:r w:rsidR="00840404" w:rsidRPr="00631676">
        <w:rPr>
          <w:rFonts w:cstheme="minorHAnsi"/>
        </w:rPr>
        <w:t xml:space="preserve">” of the crime or other prosecution evidence, </w:t>
      </w:r>
      <w:r w:rsidR="00C971AE" w:rsidRPr="00631676">
        <w:rPr>
          <w:rFonts w:cstheme="minorHAnsi"/>
        </w:rPr>
        <w:t xml:space="preserve">it is </w:t>
      </w:r>
      <w:r w:rsidR="002A16D9" w:rsidRPr="00631676">
        <w:rPr>
          <w:rFonts w:cstheme="minorHAnsi"/>
        </w:rPr>
        <w:t>well established that a defendant has “no right to ask specific questions that invite[] prospective jurors to prejud</w:t>
      </w:r>
      <w:r w:rsidR="00B540AD" w:rsidRPr="00631676">
        <w:rPr>
          <w:rFonts w:cstheme="minorHAnsi"/>
        </w:rPr>
        <w:t xml:space="preserve">ge the penalty issue </w:t>
      </w:r>
      <w:r w:rsidR="00F0780A" w:rsidRPr="00631676">
        <w:rPr>
          <w:rFonts w:cstheme="minorHAnsi"/>
        </w:rPr>
        <w:t xml:space="preserve">. . . </w:t>
      </w:r>
      <w:r w:rsidR="00B540AD" w:rsidRPr="00631676">
        <w:rPr>
          <w:rFonts w:cstheme="minorHAnsi"/>
        </w:rPr>
        <w:t>[or]</w:t>
      </w:r>
      <w:r w:rsidR="002A16D9" w:rsidRPr="00631676">
        <w:rPr>
          <w:rFonts w:cstheme="minorHAnsi"/>
        </w:rPr>
        <w:t xml:space="preserve"> to educate the jury as to the facts of the case</w:t>
      </w:r>
      <w:r w:rsidR="00B540AD" w:rsidRPr="00631676">
        <w:rPr>
          <w:rFonts w:cstheme="minorHAnsi"/>
        </w:rPr>
        <w:t>.</w:t>
      </w:r>
      <w:r w:rsidR="002A16D9" w:rsidRPr="00631676">
        <w:rPr>
          <w:rFonts w:cstheme="minorHAnsi"/>
        </w:rPr>
        <w:t>”  (</w:t>
      </w:r>
      <w:r w:rsidR="002A16D9" w:rsidRPr="00631676">
        <w:rPr>
          <w:rFonts w:cstheme="minorHAnsi"/>
          <w:i/>
        </w:rPr>
        <w:t>People v. Burgener</w:t>
      </w:r>
      <w:r w:rsidR="002A16D9" w:rsidRPr="00631676">
        <w:rPr>
          <w:rFonts w:cstheme="minorHAnsi"/>
        </w:rPr>
        <w:t xml:space="preserve"> (2003) 29 Cal.4th 833, </w:t>
      </w:r>
      <w:r w:rsidR="006B47CB" w:rsidRPr="00631676">
        <w:rPr>
          <w:rFonts w:cstheme="minorHAnsi"/>
        </w:rPr>
        <w:t>865</w:t>
      </w:r>
      <w:r w:rsidR="00F0780A" w:rsidRPr="00631676">
        <w:rPr>
          <w:rFonts w:cstheme="minorHAnsi"/>
        </w:rPr>
        <w:t>, citations omit</w:t>
      </w:r>
      <w:r w:rsidR="00402260">
        <w:rPr>
          <w:rFonts w:cstheme="minorHAnsi"/>
        </w:rPr>
        <w:t>ted</w:t>
      </w:r>
      <w:r w:rsidR="006B47CB" w:rsidRPr="00631676">
        <w:rPr>
          <w:rFonts w:cstheme="minorHAnsi"/>
        </w:rPr>
        <w:t>.)</w:t>
      </w:r>
    </w:p>
    <w:p w14:paraId="4285E99C" w14:textId="77777777" w:rsidR="0083789C" w:rsidRPr="00F23C4F" w:rsidRDefault="002E62D6" w:rsidP="00F23C4F">
      <w:pPr>
        <w:pStyle w:val="Heading4"/>
        <w:rPr>
          <w:rFonts w:cstheme="minorHAnsi"/>
          <w:b/>
        </w:rPr>
      </w:pPr>
      <w:r w:rsidRPr="00F23C4F">
        <w:rPr>
          <w:rFonts w:cstheme="minorHAnsi"/>
        </w:rPr>
        <w:lastRenderedPageBreak/>
        <w:tab/>
      </w:r>
      <w:r w:rsidRPr="00F23C4F">
        <w:rPr>
          <w:rFonts w:cstheme="minorHAnsi"/>
        </w:rPr>
        <w:tab/>
      </w:r>
      <w:r w:rsidRPr="00F23C4F">
        <w:rPr>
          <w:rFonts w:cstheme="minorHAnsi"/>
        </w:rPr>
        <w:tab/>
        <w:t>c.</w:t>
      </w:r>
      <w:r w:rsidRPr="00F23C4F">
        <w:rPr>
          <w:rFonts w:cstheme="minorHAnsi"/>
        </w:rPr>
        <w:tab/>
        <w:t xml:space="preserve">Conduct of </w:t>
      </w:r>
      <w:r w:rsidR="008858AF" w:rsidRPr="00F23C4F">
        <w:rPr>
          <w:rFonts w:cstheme="minorHAnsi"/>
        </w:rPr>
        <w:t>V</w:t>
      </w:r>
      <w:r w:rsidRPr="00F23C4F">
        <w:rPr>
          <w:rFonts w:cstheme="minorHAnsi"/>
        </w:rPr>
        <w:t>oir</w:t>
      </w:r>
      <w:r w:rsidR="008858AF" w:rsidRPr="00F23C4F">
        <w:rPr>
          <w:rFonts w:cstheme="minorHAnsi"/>
        </w:rPr>
        <w:t xml:space="preserve"> D</w:t>
      </w:r>
      <w:r w:rsidRPr="00F23C4F">
        <w:rPr>
          <w:rFonts w:cstheme="minorHAnsi"/>
        </w:rPr>
        <w:t>ire</w:t>
      </w:r>
    </w:p>
    <w:p w14:paraId="265FDB2B" w14:textId="4FB62696" w:rsidR="00567322" w:rsidRPr="00631676" w:rsidRDefault="00201487" w:rsidP="00F23C4F">
      <w:pPr>
        <w:ind w:firstLine="720"/>
        <w:rPr>
          <w:rFonts w:cstheme="minorHAnsi"/>
        </w:rPr>
      </w:pPr>
      <w:r w:rsidRPr="00631676">
        <w:rPr>
          <w:rFonts w:cstheme="minorHAnsi"/>
        </w:rPr>
        <w:t>D</w:t>
      </w:r>
      <w:r w:rsidR="00F10BEB" w:rsidRPr="00631676">
        <w:rPr>
          <w:rFonts w:cstheme="minorHAnsi"/>
        </w:rPr>
        <w:t xml:space="preserve">efendant </w:t>
      </w:r>
      <w:r w:rsidRPr="00631676">
        <w:rPr>
          <w:rFonts w:cstheme="minorHAnsi"/>
        </w:rPr>
        <w:t>next argues that v</w:t>
      </w:r>
      <w:r w:rsidR="000B2595" w:rsidRPr="00631676">
        <w:rPr>
          <w:rFonts w:cstheme="minorHAnsi"/>
        </w:rPr>
        <w:t xml:space="preserve">oir dire was inadequate because the questioning was insufficient to determine whether </w:t>
      </w:r>
      <w:r w:rsidR="00E5020A" w:rsidRPr="00631676">
        <w:rPr>
          <w:rFonts w:cstheme="minorHAnsi"/>
        </w:rPr>
        <w:t>any of the jurors held disqualifying views concerning the automatic application of the death penalty for the intentional kidnap</w:t>
      </w:r>
      <w:r w:rsidR="000E1F78" w:rsidRPr="00631676">
        <w:rPr>
          <w:rFonts w:cstheme="minorHAnsi"/>
        </w:rPr>
        <w:t xml:space="preserve"> </w:t>
      </w:r>
      <w:r w:rsidR="00E5020A" w:rsidRPr="00631676">
        <w:rPr>
          <w:rFonts w:cstheme="minorHAnsi"/>
        </w:rPr>
        <w:t>murder of a minor.  Defendant argues</w:t>
      </w:r>
      <w:r w:rsidR="00154569" w:rsidRPr="00631676">
        <w:rPr>
          <w:rFonts w:cstheme="minorHAnsi"/>
        </w:rPr>
        <w:t>:</w:t>
      </w:r>
      <w:r w:rsidR="0006439A" w:rsidRPr="00631676">
        <w:rPr>
          <w:rFonts w:cstheme="minorHAnsi"/>
        </w:rPr>
        <w:t xml:space="preserve"> </w:t>
      </w:r>
      <w:r w:rsidR="00154569" w:rsidRPr="00631676">
        <w:rPr>
          <w:rFonts w:cstheme="minorHAnsi"/>
        </w:rPr>
        <w:t xml:space="preserve"> </w:t>
      </w:r>
      <w:r w:rsidR="00E5020A" w:rsidRPr="00631676">
        <w:rPr>
          <w:rFonts w:cstheme="minorHAnsi"/>
        </w:rPr>
        <w:t xml:space="preserve">“Six jurors, fully half the panel, were not questioned at all except </w:t>
      </w:r>
      <w:r w:rsidR="000E1F78" w:rsidRPr="00631676">
        <w:rPr>
          <w:rFonts w:cstheme="minorHAnsi"/>
        </w:rPr>
        <w:t xml:space="preserve">[as to] </w:t>
      </w:r>
      <w:r w:rsidR="00E5020A" w:rsidRPr="00631676">
        <w:rPr>
          <w:rFonts w:cstheme="minorHAnsi"/>
        </w:rPr>
        <w:t>whether they could volunteer a basis for their own disqualification.</w:t>
      </w:r>
      <w:r w:rsidR="00B15429" w:rsidRPr="00631676">
        <w:rPr>
          <w:rFonts w:cstheme="minorHAnsi"/>
        </w:rPr>
        <w:t>”  Defendant contends</w:t>
      </w:r>
      <w:r w:rsidR="00EE728B">
        <w:rPr>
          <w:rFonts w:cstheme="minorHAnsi"/>
        </w:rPr>
        <w:t>,</w:t>
      </w:r>
      <w:r w:rsidR="00B15429" w:rsidRPr="00631676">
        <w:rPr>
          <w:rFonts w:cstheme="minorHAnsi"/>
        </w:rPr>
        <w:t xml:space="preserve"> “</w:t>
      </w:r>
      <w:r w:rsidR="00EE728B">
        <w:rPr>
          <w:rFonts w:cstheme="minorHAnsi"/>
        </w:rPr>
        <w:t>S</w:t>
      </w:r>
      <w:r w:rsidR="00E5020A" w:rsidRPr="00631676">
        <w:rPr>
          <w:rFonts w:cstheme="minorHAnsi"/>
        </w:rPr>
        <w:t>uch general inquiries are insufficient under long-standing United States Supreme Court case law</w:t>
      </w:r>
      <w:r w:rsidR="000E1F78" w:rsidRPr="00631676">
        <w:rPr>
          <w:rFonts w:cstheme="minorHAnsi"/>
        </w:rPr>
        <w:t>.</w:t>
      </w:r>
      <w:r w:rsidR="00B15429" w:rsidRPr="00631676">
        <w:rPr>
          <w:rFonts w:cstheme="minorHAnsi"/>
        </w:rPr>
        <w:t xml:space="preserve">” </w:t>
      </w:r>
      <w:r w:rsidR="000E1F78" w:rsidRPr="00631676">
        <w:rPr>
          <w:rFonts w:cstheme="minorHAnsi"/>
        </w:rPr>
        <w:t xml:space="preserve"> </w:t>
      </w:r>
      <w:r w:rsidR="00E92D73" w:rsidRPr="00631676">
        <w:rPr>
          <w:rFonts w:cstheme="minorHAnsi"/>
        </w:rPr>
        <w:t>(</w:t>
      </w:r>
      <w:r w:rsidR="00EE728B">
        <w:rPr>
          <w:rFonts w:cstheme="minorHAnsi"/>
        </w:rPr>
        <w:t xml:space="preserve">See </w:t>
      </w:r>
      <w:r w:rsidR="00E5020A" w:rsidRPr="00631676">
        <w:rPr>
          <w:rFonts w:cstheme="minorHAnsi"/>
          <w:i/>
        </w:rPr>
        <w:t>Morgan v. Illinois</w:t>
      </w:r>
      <w:r w:rsidR="00B15429" w:rsidRPr="00631676">
        <w:rPr>
          <w:rFonts w:cstheme="minorHAnsi"/>
        </w:rPr>
        <w:t xml:space="preserve"> (1992) 504 U.S. 719, 73</w:t>
      </w:r>
      <w:r w:rsidR="004A595D" w:rsidRPr="00631676">
        <w:rPr>
          <w:rFonts w:cstheme="minorHAnsi"/>
        </w:rPr>
        <w:t>4</w:t>
      </w:r>
      <w:r w:rsidR="00B15429" w:rsidRPr="00631676">
        <w:rPr>
          <w:rFonts w:cstheme="minorHAnsi"/>
        </w:rPr>
        <w:t>–73</w:t>
      </w:r>
      <w:r w:rsidR="004A595D" w:rsidRPr="00631676">
        <w:rPr>
          <w:rFonts w:cstheme="minorHAnsi"/>
        </w:rPr>
        <w:t>5</w:t>
      </w:r>
      <w:r w:rsidR="00B15429" w:rsidRPr="00631676">
        <w:rPr>
          <w:rFonts w:cstheme="minorHAnsi"/>
        </w:rPr>
        <w:t>.</w:t>
      </w:r>
      <w:r w:rsidR="000E1F78" w:rsidRPr="00631676">
        <w:rPr>
          <w:rFonts w:cstheme="minorHAnsi"/>
        </w:rPr>
        <w:t>)</w:t>
      </w:r>
      <w:r w:rsidR="00B15429" w:rsidRPr="00631676">
        <w:rPr>
          <w:rFonts w:cstheme="minorHAnsi"/>
        </w:rPr>
        <w:t xml:space="preserve">  </w:t>
      </w:r>
      <w:r w:rsidR="00EE728B">
        <w:rPr>
          <w:rFonts w:cstheme="minorHAnsi"/>
        </w:rPr>
        <w:t xml:space="preserve">In </w:t>
      </w:r>
      <w:r w:rsidR="00EE728B" w:rsidRPr="00EE728B">
        <w:rPr>
          <w:rFonts w:cstheme="minorHAnsi"/>
          <w:i/>
        </w:rPr>
        <w:t>Morgan</w:t>
      </w:r>
      <w:r w:rsidR="00EE728B">
        <w:rPr>
          <w:rFonts w:cstheme="minorHAnsi"/>
        </w:rPr>
        <w:t xml:space="preserve">, </w:t>
      </w:r>
      <w:r w:rsidR="00B15429" w:rsidRPr="00631676">
        <w:rPr>
          <w:rFonts w:cstheme="minorHAnsi"/>
        </w:rPr>
        <w:t xml:space="preserve">the high court held that the petitioner “was entitled, upon his request, to inquiry discerning those jurors who </w:t>
      </w:r>
      <w:r w:rsidR="00F02BB6" w:rsidRPr="00631676">
        <w:rPr>
          <w:rFonts w:cstheme="minorHAnsi"/>
        </w:rPr>
        <w:t>. . .</w:t>
      </w:r>
      <w:r w:rsidR="00B15429" w:rsidRPr="00631676">
        <w:rPr>
          <w:rFonts w:cstheme="minorHAnsi"/>
        </w:rPr>
        <w:t xml:space="preserve"> had predetermined </w:t>
      </w:r>
      <w:r w:rsidR="00F02BB6" w:rsidRPr="00631676">
        <w:rPr>
          <w:rFonts w:cstheme="minorHAnsi"/>
        </w:rPr>
        <w:t>. . .</w:t>
      </w:r>
      <w:r w:rsidR="00B15429" w:rsidRPr="00631676">
        <w:rPr>
          <w:rFonts w:cstheme="minorHAnsi"/>
        </w:rPr>
        <w:t xml:space="preserve"> whether to impose the death penalty.”  (</w:t>
      </w:r>
      <w:r w:rsidR="00761D86" w:rsidRPr="00631676">
        <w:rPr>
          <w:rFonts w:cstheme="minorHAnsi"/>
          <w:i/>
        </w:rPr>
        <w:t>Id</w:t>
      </w:r>
      <w:r w:rsidR="00761D86" w:rsidRPr="00631676">
        <w:rPr>
          <w:rFonts w:cstheme="minorHAnsi"/>
        </w:rPr>
        <w:t>.</w:t>
      </w:r>
      <w:r w:rsidR="00B15429" w:rsidRPr="00631676">
        <w:rPr>
          <w:rFonts w:cstheme="minorHAnsi"/>
        </w:rPr>
        <w:t xml:space="preserve"> at p.</w:t>
      </w:r>
      <w:r w:rsidR="00EA2490" w:rsidRPr="00631676">
        <w:rPr>
          <w:rFonts w:cstheme="minorHAnsi"/>
        </w:rPr>
        <w:t> </w:t>
      </w:r>
      <w:r w:rsidR="00B15429" w:rsidRPr="00631676">
        <w:rPr>
          <w:rFonts w:cstheme="minorHAnsi"/>
        </w:rPr>
        <w:t xml:space="preserve">736.) </w:t>
      </w:r>
      <w:r w:rsidR="009F1907" w:rsidRPr="00631676">
        <w:rPr>
          <w:rFonts w:cstheme="minorHAnsi"/>
        </w:rPr>
        <w:t xml:space="preserve"> </w:t>
      </w:r>
    </w:p>
    <w:p w14:paraId="4667BDC3" w14:textId="19F315E5" w:rsidR="00201487" w:rsidRPr="00631676" w:rsidRDefault="00567322" w:rsidP="00F23C4F">
      <w:pPr>
        <w:ind w:firstLine="720"/>
        <w:rPr>
          <w:rFonts w:cstheme="minorHAnsi"/>
        </w:rPr>
      </w:pPr>
      <w:r w:rsidRPr="00631676">
        <w:rPr>
          <w:rFonts w:cstheme="minorHAnsi"/>
        </w:rPr>
        <w:t xml:space="preserve">As an initial matter, defendant’s claim that these six jurors were not questioned “at all” is inaccurate.  The court questioned these </w:t>
      </w:r>
      <w:r w:rsidR="001A1654" w:rsidRPr="00631676">
        <w:rPr>
          <w:rFonts w:cstheme="minorHAnsi"/>
        </w:rPr>
        <w:t xml:space="preserve">jurors with some care and permitted the parties </w:t>
      </w:r>
      <w:r w:rsidRPr="00631676">
        <w:rPr>
          <w:rFonts w:cstheme="minorHAnsi"/>
        </w:rPr>
        <w:t xml:space="preserve">to do the same.  </w:t>
      </w:r>
      <w:r w:rsidR="001A1654" w:rsidRPr="00631676">
        <w:rPr>
          <w:rFonts w:cstheme="minorHAnsi"/>
        </w:rPr>
        <w:t>To the extent defendant took issue with the nature of the trial court’s questioning, he made no mention of it before the court.</w:t>
      </w:r>
      <w:r w:rsidR="00F45ABE" w:rsidRPr="00631676">
        <w:rPr>
          <w:rFonts w:cstheme="minorHAnsi"/>
        </w:rPr>
        <w:t xml:space="preserve">  It is now too late to complain that the court’s questioning was inadequate.  (</w:t>
      </w:r>
      <w:r w:rsidR="00F45ABE" w:rsidRPr="00631676">
        <w:rPr>
          <w:rFonts w:cstheme="minorHAnsi"/>
          <w:i/>
        </w:rPr>
        <w:t>People v. Salazar</w:t>
      </w:r>
      <w:r w:rsidR="00F45ABE" w:rsidRPr="00631676">
        <w:rPr>
          <w:rFonts w:cstheme="minorHAnsi"/>
        </w:rPr>
        <w:t xml:space="preserve"> (2016) 63 Cal.4th 214, 236 [</w:t>
      </w:r>
      <w:r w:rsidR="00D23ACF" w:rsidRPr="00631676">
        <w:rPr>
          <w:rFonts w:cstheme="minorHAnsi"/>
        </w:rPr>
        <w:t>“</w:t>
      </w:r>
      <w:r w:rsidR="009F1907" w:rsidRPr="00631676">
        <w:rPr>
          <w:rFonts w:cstheme="minorHAnsi"/>
        </w:rPr>
        <w:t xml:space="preserve">We have </w:t>
      </w:r>
      <w:r w:rsidR="00D23ACF" w:rsidRPr="00631676">
        <w:rPr>
          <w:rFonts w:cstheme="minorHAnsi"/>
        </w:rPr>
        <w:t>held that ‘</w:t>
      </w:r>
      <w:r w:rsidR="009F1907" w:rsidRPr="00631676">
        <w:rPr>
          <w:rFonts w:cstheme="minorHAnsi"/>
        </w:rPr>
        <w:t xml:space="preserve">a defendant may not challenge on appeal alleged </w:t>
      </w:r>
      <w:r w:rsidR="00D23ACF" w:rsidRPr="00631676">
        <w:rPr>
          <w:rFonts w:cstheme="minorHAnsi"/>
        </w:rPr>
        <w:t>shortcomings in the trial court’</w:t>
      </w:r>
      <w:r w:rsidR="009F1907" w:rsidRPr="00631676">
        <w:rPr>
          <w:rFonts w:cstheme="minorHAnsi"/>
        </w:rPr>
        <w:t>s voir dire of the prospective jurors when the defendant, having had the opportunity to alert the trial court to the supposed problem, failed to do so.</w:t>
      </w:r>
      <w:r w:rsidR="00D23ACF" w:rsidRPr="00631676">
        <w:rPr>
          <w:rFonts w:cstheme="minorHAnsi"/>
        </w:rPr>
        <w:t>’</w:t>
      </w:r>
      <w:r w:rsidR="00EA2490" w:rsidRPr="00631676">
        <w:rPr>
          <w:rFonts w:cstheme="minorHAnsi"/>
        </w:rPr>
        <w:t> </w:t>
      </w:r>
      <w:r w:rsidR="00D23ACF" w:rsidRPr="00631676">
        <w:rPr>
          <w:rFonts w:cstheme="minorHAnsi"/>
        </w:rPr>
        <w:t>”</w:t>
      </w:r>
      <w:r w:rsidR="00F45ABE" w:rsidRPr="00631676">
        <w:rPr>
          <w:rFonts w:cstheme="minorHAnsi"/>
        </w:rPr>
        <w:t>].)</w:t>
      </w:r>
      <w:r w:rsidR="001A1654" w:rsidRPr="00631676">
        <w:rPr>
          <w:rFonts w:cstheme="minorHAnsi"/>
        </w:rPr>
        <w:t xml:space="preserve"> </w:t>
      </w:r>
    </w:p>
    <w:p w14:paraId="14E7C413" w14:textId="1D9BBE05" w:rsidR="00B037F5" w:rsidRPr="00631676" w:rsidRDefault="00E5020A" w:rsidP="00F23C4F">
      <w:pPr>
        <w:ind w:firstLine="720"/>
        <w:rPr>
          <w:rFonts w:cstheme="minorHAnsi"/>
        </w:rPr>
      </w:pPr>
      <w:r w:rsidRPr="00631676">
        <w:rPr>
          <w:rFonts w:cstheme="minorHAnsi"/>
        </w:rPr>
        <w:t xml:space="preserve">Defendant contends </w:t>
      </w:r>
      <w:r w:rsidR="00F10BEB" w:rsidRPr="00631676">
        <w:rPr>
          <w:rFonts w:cstheme="minorHAnsi"/>
        </w:rPr>
        <w:t xml:space="preserve">that the </w:t>
      </w:r>
      <w:r w:rsidR="00F8076E" w:rsidRPr="00631676">
        <w:rPr>
          <w:rFonts w:cstheme="minorHAnsi"/>
        </w:rPr>
        <w:t xml:space="preserve">questioning of four individual jurors </w:t>
      </w:r>
      <w:r w:rsidR="00330337" w:rsidRPr="00631676">
        <w:rPr>
          <w:rFonts w:cstheme="minorHAnsi"/>
        </w:rPr>
        <w:t>raised “particular concerns about impartiality” that were not adequately explored</w:t>
      </w:r>
      <w:r w:rsidR="005D7060" w:rsidRPr="00631676">
        <w:rPr>
          <w:rFonts w:cstheme="minorHAnsi"/>
        </w:rPr>
        <w:t xml:space="preserve"> in voir dire</w:t>
      </w:r>
      <w:r w:rsidR="00BE5040" w:rsidRPr="00631676">
        <w:rPr>
          <w:rFonts w:cstheme="minorHAnsi"/>
        </w:rPr>
        <w:t xml:space="preserve"> because the trial court imper</w:t>
      </w:r>
      <w:r w:rsidR="002E62D6" w:rsidRPr="00631676">
        <w:rPr>
          <w:rFonts w:cstheme="minorHAnsi"/>
        </w:rPr>
        <w:t>missibly restricted questioning</w:t>
      </w:r>
      <w:r w:rsidR="00D538F0" w:rsidRPr="00631676">
        <w:rPr>
          <w:rFonts w:cstheme="minorHAnsi"/>
        </w:rPr>
        <w:t>.  But c</w:t>
      </w:r>
      <w:r w:rsidR="00F27E98" w:rsidRPr="00631676">
        <w:rPr>
          <w:rFonts w:cstheme="minorHAnsi"/>
        </w:rPr>
        <w:t xml:space="preserve">ontrary to </w:t>
      </w:r>
      <w:r w:rsidR="00F27E98" w:rsidRPr="00631676">
        <w:rPr>
          <w:rFonts w:cstheme="minorHAnsi"/>
        </w:rPr>
        <w:lastRenderedPageBreak/>
        <w:t>defendant’s contention, the trial court’s decision to remove the four defense-proposed questio</w:t>
      </w:r>
      <w:r w:rsidR="00134A2F" w:rsidRPr="00631676">
        <w:rPr>
          <w:rFonts w:cstheme="minorHAnsi"/>
        </w:rPr>
        <w:t xml:space="preserve">ns from the juror questionnaire </w:t>
      </w:r>
      <w:r w:rsidR="00F27E98" w:rsidRPr="00631676">
        <w:rPr>
          <w:rFonts w:cstheme="minorHAnsi"/>
        </w:rPr>
        <w:t xml:space="preserve">is </w:t>
      </w:r>
      <w:r w:rsidR="009B578A" w:rsidRPr="00631676">
        <w:rPr>
          <w:rFonts w:cstheme="minorHAnsi"/>
        </w:rPr>
        <w:t xml:space="preserve">not reasonably interpreted as </w:t>
      </w:r>
      <w:r w:rsidR="00134A2F" w:rsidRPr="00631676">
        <w:rPr>
          <w:rFonts w:cstheme="minorHAnsi"/>
        </w:rPr>
        <w:t>precluding counsel from asking follow-up questions regarding prospective jurors’ attitudes toward the death penalty in a kidnap-murder case.</w:t>
      </w:r>
      <w:r w:rsidR="00CE6EE1" w:rsidRPr="00631676">
        <w:rPr>
          <w:rFonts w:cstheme="minorHAnsi"/>
        </w:rPr>
        <w:t xml:space="preserve">  It appears from the record that the defense could have asked additional questions of the prospective</w:t>
      </w:r>
      <w:r w:rsidR="00483E9F" w:rsidRPr="00631676">
        <w:rPr>
          <w:rFonts w:cstheme="minorHAnsi"/>
        </w:rPr>
        <w:t xml:space="preserve"> jurors but did not</w:t>
      </w:r>
      <w:r w:rsidR="00AC64F9" w:rsidRPr="00631676">
        <w:rPr>
          <w:rFonts w:cstheme="minorHAnsi"/>
        </w:rPr>
        <w:t xml:space="preserve"> do so</w:t>
      </w:r>
      <w:r w:rsidR="00CE6EE1" w:rsidRPr="00631676">
        <w:rPr>
          <w:rFonts w:cstheme="minorHAnsi"/>
        </w:rPr>
        <w:t xml:space="preserve">.  </w:t>
      </w:r>
    </w:p>
    <w:p w14:paraId="1A59C567" w14:textId="49676161" w:rsidR="006D41AA" w:rsidRPr="00631676" w:rsidRDefault="00BE5040" w:rsidP="00F23C4F">
      <w:pPr>
        <w:ind w:firstLine="720"/>
        <w:rPr>
          <w:rFonts w:cstheme="minorHAnsi"/>
        </w:rPr>
      </w:pPr>
      <w:r w:rsidRPr="00631676">
        <w:rPr>
          <w:rFonts w:cstheme="minorHAnsi"/>
        </w:rPr>
        <w:t xml:space="preserve">Nor, in any event, </w:t>
      </w:r>
      <w:r w:rsidR="00CD6249" w:rsidRPr="00631676">
        <w:rPr>
          <w:rFonts w:cstheme="minorHAnsi"/>
        </w:rPr>
        <w:t>does the record support defendant’s assertion that the prospective jurors</w:t>
      </w:r>
      <w:r w:rsidR="00F02BB6" w:rsidRPr="00631676">
        <w:rPr>
          <w:rFonts w:cstheme="minorHAnsi"/>
        </w:rPr>
        <w:t>’ answers</w:t>
      </w:r>
      <w:r w:rsidR="00CD6249" w:rsidRPr="00631676">
        <w:rPr>
          <w:rFonts w:cstheme="minorHAnsi"/>
        </w:rPr>
        <w:t xml:space="preserve"> </w:t>
      </w:r>
      <w:r w:rsidR="00DB1646" w:rsidRPr="00631676">
        <w:rPr>
          <w:rFonts w:cstheme="minorHAnsi"/>
        </w:rPr>
        <w:t xml:space="preserve">raised particular concerns about impartiality that were not adequately explored in voir dire.  </w:t>
      </w:r>
      <w:r w:rsidR="005342E3" w:rsidRPr="00631676">
        <w:rPr>
          <w:rFonts w:cstheme="minorHAnsi"/>
        </w:rPr>
        <w:t xml:space="preserve">Defendant asserts that </w:t>
      </w:r>
      <w:r w:rsidR="00546D32" w:rsidRPr="00631676">
        <w:rPr>
          <w:rFonts w:cstheme="minorHAnsi"/>
        </w:rPr>
        <w:t>Juror No.</w:t>
      </w:r>
      <w:r w:rsidR="00EA2490" w:rsidRPr="00631676">
        <w:rPr>
          <w:rFonts w:cstheme="minorHAnsi"/>
        </w:rPr>
        <w:t> </w:t>
      </w:r>
      <w:r w:rsidR="00546D32" w:rsidRPr="00631676">
        <w:rPr>
          <w:rFonts w:cstheme="minorHAnsi"/>
        </w:rPr>
        <w:t>9184</w:t>
      </w:r>
      <w:r w:rsidR="005D5272" w:rsidRPr="00631676">
        <w:rPr>
          <w:rFonts w:cstheme="minorHAnsi"/>
        </w:rPr>
        <w:t>’s questionnaire suggests s</w:t>
      </w:r>
      <w:r w:rsidR="00F463C0" w:rsidRPr="00631676">
        <w:rPr>
          <w:rFonts w:cstheme="minorHAnsi"/>
        </w:rPr>
        <w:t xml:space="preserve">he was biased against defendant </w:t>
      </w:r>
      <w:r w:rsidR="006C4B5C" w:rsidRPr="00631676">
        <w:rPr>
          <w:rFonts w:cstheme="minorHAnsi"/>
        </w:rPr>
        <w:t xml:space="preserve">because she </w:t>
      </w:r>
      <w:r w:rsidR="005D5272" w:rsidRPr="00631676">
        <w:rPr>
          <w:rFonts w:cstheme="minorHAnsi"/>
        </w:rPr>
        <w:t>responded</w:t>
      </w:r>
      <w:r w:rsidR="00F0655E" w:rsidRPr="00631676">
        <w:rPr>
          <w:rFonts w:cstheme="minorHAnsi"/>
        </w:rPr>
        <w:t xml:space="preserve"> </w:t>
      </w:r>
      <w:r w:rsidR="00C96CE3" w:rsidRPr="00631676">
        <w:rPr>
          <w:rFonts w:cstheme="minorHAnsi"/>
        </w:rPr>
        <w:t>affirmatively</w:t>
      </w:r>
      <w:r w:rsidR="008B714E" w:rsidRPr="00631676">
        <w:rPr>
          <w:rFonts w:cstheme="minorHAnsi"/>
        </w:rPr>
        <w:t xml:space="preserve"> to the question</w:t>
      </w:r>
      <w:r w:rsidR="00F02BB6" w:rsidRPr="00631676">
        <w:rPr>
          <w:rFonts w:cstheme="minorHAnsi"/>
        </w:rPr>
        <w:t xml:space="preserve">, </w:t>
      </w:r>
      <w:r w:rsidR="005D5272" w:rsidRPr="00631676">
        <w:rPr>
          <w:rFonts w:cstheme="minorHAnsi"/>
        </w:rPr>
        <w:t>“Do you have any feelings against the defendant solely because the defendant is charged with this particular offense</w:t>
      </w:r>
      <w:r w:rsidR="006C4B5C" w:rsidRPr="00631676">
        <w:rPr>
          <w:rFonts w:cstheme="minorHAnsi"/>
        </w:rPr>
        <w:t>?</w:t>
      </w:r>
      <w:r w:rsidR="005D5272" w:rsidRPr="00631676">
        <w:rPr>
          <w:rFonts w:cstheme="minorHAnsi"/>
        </w:rPr>
        <w:t xml:space="preserve">” </w:t>
      </w:r>
      <w:r w:rsidR="000E1F78" w:rsidRPr="00631676">
        <w:rPr>
          <w:rFonts w:cstheme="minorHAnsi"/>
        </w:rPr>
        <w:t xml:space="preserve"> </w:t>
      </w:r>
      <w:r w:rsidR="005D5272" w:rsidRPr="00631676">
        <w:rPr>
          <w:rFonts w:cstheme="minorHAnsi"/>
        </w:rPr>
        <w:t xml:space="preserve">She also responded affirmatively to </w:t>
      </w:r>
      <w:r w:rsidR="00962ED2" w:rsidRPr="00631676">
        <w:rPr>
          <w:rFonts w:cstheme="minorHAnsi"/>
        </w:rPr>
        <w:t xml:space="preserve">the </w:t>
      </w:r>
      <w:r w:rsidR="005D5272" w:rsidRPr="00631676">
        <w:rPr>
          <w:rFonts w:cstheme="minorHAnsi"/>
        </w:rPr>
        <w:t xml:space="preserve">question </w:t>
      </w:r>
      <w:r w:rsidR="008B714E" w:rsidRPr="00631676">
        <w:rPr>
          <w:rFonts w:cstheme="minorHAnsi"/>
        </w:rPr>
        <w:t xml:space="preserve">inquiring </w:t>
      </w:r>
      <w:r w:rsidR="005D5272" w:rsidRPr="00631676">
        <w:rPr>
          <w:rFonts w:cstheme="minorHAnsi"/>
        </w:rPr>
        <w:t xml:space="preserve">whether “the mere fact that </w:t>
      </w:r>
      <w:r w:rsidR="00962ED2" w:rsidRPr="00631676">
        <w:rPr>
          <w:rFonts w:cstheme="minorHAnsi"/>
        </w:rPr>
        <w:t xml:space="preserve">an </w:t>
      </w:r>
      <w:r w:rsidR="005D5272" w:rsidRPr="00631676">
        <w:rPr>
          <w:rFonts w:cstheme="minorHAnsi"/>
        </w:rPr>
        <w:t>information was filed against the defendant cause[d her] to conclude tha</w:t>
      </w:r>
      <w:r w:rsidR="00F0655E" w:rsidRPr="00631676">
        <w:rPr>
          <w:rFonts w:cstheme="minorHAnsi"/>
        </w:rPr>
        <w:t>t</w:t>
      </w:r>
      <w:r w:rsidR="005D5272" w:rsidRPr="00631676">
        <w:rPr>
          <w:rFonts w:cstheme="minorHAnsi"/>
        </w:rPr>
        <w:t xml:space="preserve"> the defendant is more likely to be guilty than not guilty.”  </w:t>
      </w:r>
      <w:r w:rsidR="00DB1646" w:rsidRPr="00631676">
        <w:rPr>
          <w:rFonts w:cstheme="minorHAnsi"/>
        </w:rPr>
        <w:t>But d</w:t>
      </w:r>
      <w:r w:rsidR="00CE1018" w:rsidRPr="00631676">
        <w:rPr>
          <w:rFonts w:cstheme="minorHAnsi"/>
        </w:rPr>
        <w:t>uring voir dire, d</w:t>
      </w:r>
      <w:r w:rsidR="00DC4A94" w:rsidRPr="00631676">
        <w:rPr>
          <w:rFonts w:cstheme="minorHAnsi"/>
        </w:rPr>
        <w:t xml:space="preserve">efense counsel asked her to explain these responses.  She indicated that she </w:t>
      </w:r>
      <w:r w:rsidR="001617ED" w:rsidRPr="00631676">
        <w:rPr>
          <w:rFonts w:cstheme="minorHAnsi"/>
        </w:rPr>
        <w:t xml:space="preserve">initially </w:t>
      </w:r>
      <w:r w:rsidR="00DC4A94" w:rsidRPr="00631676">
        <w:rPr>
          <w:rFonts w:cstheme="minorHAnsi"/>
        </w:rPr>
        <w:t xml:space="preserve">made a “natural” or “snap judgment” but after “sitting here for a while, [she] believe[d] that there’s a due process that people should go through now, and [she] underst[ood] a little bit more about the situation.” </w:t>
      </w:r>
      <w:r w:rsidR="00594563" w:rsidRPr="00631676">
        <w:rPr>
          <w:rFonts w:cstheme="minorHAnsi"/>
        </w:rPr>
        <w:t xml:space="preserve"> </w:t>
      </w:r>
      <w:r w:rsidR="005D5272" w:rsidRPr="00631676">
        <w:rPr>
          <w:rFonts w:cstheme="minorHAnsi"/>
        </w:rPr>
        <w:t xml:space="preserve">Defense counsel probed </w:t>
      </w:r>
      <w:r w:rsidR="00DC4A94" w:rsidRPr="00631676">
        <w:rPr>
          <w:rFonts w:cstheme="minorHAnsi"/>
        </w:rPr>
        <w:t xml:space="preserve">further </w:t>
      </w:r>
      <w:r w:rsidR="005D5272" w:rsidRPr="00631676">
        <w:rPr>
          <w:rFonts w:cstheme="minorHAnsi"/>
        </w:rPr>
        <w:t>whether</w:t>
      </w:r>
      <w:r w:rsidR="00DC4A94" w:rsidRPr="00631676">
        <w:rPr>
          <w:rFonts w:cstheme="minorHAnsi"/>
        </w:rPr>
        <w:t xml:space="preserve"> she meant that</w:t>
      </w:r>
      <w:r w:rsidR="005D5272" w:rsidRPr="00631676">
        <w:rPr>
          <w:rFonts w:cstheme="minorHAnsi"/>
        </w:rPr>
        <w:t xml:space="preserve"> </w:t>
      </w:r>
      <w:r w:rsidR="00F0655E" w:rsidRPr="00631676">
        <w:rPr>
          <w:rFonts w:cstheme="minorHAnsi"/>
        </w:rPr>
        <w:t>her position on these</w:t>
      </w:r>
      <w:r w:rsidR="00DC4A94" w:rsidRPr="00631676">
        <w:rPr>
          <w:rFonts w:cstheme="minorHAnsi"/>
        </w:rPr>
        <w:t xml:space="preserve"> two</w:t>
      </w:r>
      <w:r w:rsidR="00F0655E" w:rsidRPr="00631676">
        <w:rPr>
          <w:rFonts w:cstheme="minorHAnsi"/>
        </w:rPr>
        <w:t xml:space="preserve"> questions had “changed somewhat” in that she “now .</w:t>
      </w:r>
      <w:r w:rsidR="00EA2490" w:rsidRPr="00631676">
        <w:rPr>
          <w:rFonts w:cstheme="minorHAnsi"/>
        </w:rPr>
        <w:t> </w:t>
      </w:r>
      <w:r w:rsidR="00F0655E" w:rsidRPr="00631676">
        <w:rPr>
          <w:rFonts w:cstheme="minorHAnsi"/>
        </w:rPr>
        <w:t>.</w:t>
      </w:r>
      <w:r w:rsidR="00EA2490" w:rsidRPr="00631676">
        <w:rPr>
          <w:rFonts w:cstheme="minorHAnsi"/>
        </w:rPr>
        <w:t> </w:t>
      </w:r>
      <w:r w:rsidR="00F0655E" w:rsidRPr="00631676">
        <w:rPr>
          <w:rFonts w:cstheme="minorHAnsi"/>
        </w:rPr>
        <w:t>. realize[d] that just because someone is charged with an offense, or [had] been arrested for an offense that isn’t evidence of anything.”</w:t>
      </w:r>
      <w:r w:rsidR="00E71CE9">
        <w:rPr>
          <w:rFonts w:cstheme="minorHAnsi"/>
        </w:rPr>
        <w:t xml:space="preserve"> </w:t>
      </w:r>
      <w:r w:rsidR="00F0655E" w:rsidRPr="00631676">
        <w:rPr>
          <w:rFonts w:cstheme="minorHAnsi"/>
        </w:rPr>
        <w:t xml:space="preserve"> Juror No.</w:t>
      </w:r>
      <w:r w:rsidR="00EA2490" w:rsidRPr="00631676">
        <w:rPr>
          <w:rFonts w:cstheme="minorHAnsi"/>
        </w:rPr>
        <w:t> </w:t>
      </w:r>
      <w:r w:rsidR="00F0655E" w:rsidRPr="00631676">
        <w:rPr>
          <w:rFonts w:cstheme="minorHAnsi"/>
        </w:rPr>
        <w:t>9184 agreed with defense counsel that she had “changed [her] feelings somewhat on that.”</w:t>
      </w:r>
      <w:r w:rsidR="00DC4A94" w:rsidRPr="00631676">
        <w:rPr>
          <w:rFonts w:cstheme="minorHAnsi"/>
        </w:rPr>
        <w:t xml:space="preserve">  </w:t>
      </w:r>
      <w:r w:rsidR="00DB1646" w:rsidRPr="00631676">
        <w:rPr>
          <w:rFonts w:cstheme="minorHAnsi"/>
        </w:rPr>
        <w:t>Juror No.</w:t>
      </w:r>
      <w:r w:rsidR="00F91B91">
        <w:rPr>
          <w:rFonts w:cstheme="minorHAnsi"/>
        </w:rPr>
        <w:t> </w:t>
      </w:r>
      <w:r w:rsidR="00DB1646" w:rsidRPr="00631676">
        <w:rPr>
          <w:rFonts w:cstheme="minorHAnsi"/>
        </w:rPr>
        <w:t xml:space="preserve">9184 also confirmed to the trial court that she had “no reason to think” she could not </w:t>
      </w:r>
      <w:r w:rsidR="00DB1646" w:rsidRPr="00631676">
        <w:rPr>
          <w:rFonts w:cstheme="minorHAnsi"/>
        </w:rPr>
        <w:lastRenderedPageBreak/>
        <w:t xml:space="preserve">give both sides a fair trial, that she was prepared to follow the law, and that she would accord defendant the presumption of innocence.  </w:t>
      </w:r>
    </w:p>
    <w:p w14:paraId="00F6B240" w14:textId="39EF50D1" w:rsidR="00546D32" w:rsidRPr="00631676" w:rsidRDefault="000A01B7" w:rsidP="00F23C4F">
      <w:pPr>
        <w:ind w:firstLine="720"/>
        <w:rPr>
          <w:rFonts w:cstheme="minorHAnsi"/>
        </w:rPr>
      </w:pPr>
      <w:r w:rsidRPr="00631676">
        <w:rPr>
          <w:rFonts w:cstheme="minorHAnsi"/>
        </w:rPr>
        <w:t>Defendant argues that Juror No.</w:t>
      </w:r>
      <w:r w:rsidR="00EA2490" w:rsidRPr="00631676">
        <w:rPr>
          <w:rFonts w:cstheme="minorHAnsi"/>
        </w:rPr>
        <w:t> </w:t>
      </w:r>
      <w:r w:rsidRPr="00631676">
        <w:rPr>
          <w:rFonts w:cstheme="minorHAnsi"/>
        </w:rPr>
        <w:t>8919’s questionnaire responses raised particular concerns</w:t>
      </w:r>
      <w:r w:rsidR="00CF22B9" w:rsidRPr="00631676">
        <w:rPr>
          <w:rFonts w:cstheme="minorHAnsi"/>
        </w:rPr>
        <w:t xml:space="preserve"> because </w:t>
      </w:r>
      <w:r w:rsidRPr="00631676">
        <w:rPr>
          <w:rFonts w:cstheme="minorHAnsi"/>
        </w:rPr>
        <w:t xml:space="preserve">Juror </w:t>
      </w:r>
      <w:r w:rsidR="00EA2490" w:rsidRPr="00631676">
        <w:rPr>
          <w:rFonts w:cstheme="minorHAnsi"/>
        </w:rPr>
        <w:t>No. </w:t>
      </w:r>
      <w:r w:rsidRPr="00631676">
        <w:rPr>
          <w:rFonts w:cstheme="minorHAnsi"/>
        </w:rPr>
        <w:t xml:space="preserve">8919 </w:t>
      </w:r>
      <w:r w:rsidR="00E325A2" w:rsidRPr="00631676">
        <w:rPr>
          <w:rFonts w:cstheme="minorHAnsi"/>
        </w:rPr>
        <w:t>“[d]isagree[d] somewhat” with the statement</w:t>
      </w:r>
      <w:r w:rsidR="003A08A7">
        <w:rPr>
          <w:rFonts w:cstheme="minorHAnsi"/>
        </w:rPr>
        <w:t>,</w:t>
      </w:r>
      <w:r w:rsidR="00E325A2" w:rsidRPr="00631676">
        <w:rPr>
          <w:rFonts w:cstheme="minorHAnsi"/>
        </w:rPr>
        <w:t xml:space="preserve"> “ ‘</w:t>
      </w:r>
      <w:r w:rsidR="00E14980" w:rsidRPr="00631676">
        <w:rPr>
          <w:rFonts w:cstheme="minorHAnsi"/>
        </w:rPr>
        <w:t>A</w:t>
      </w:r>
      <w:r w:rsidR="00E325A2" w:rsidRPr="00631676">
        <w:rPr>
          <w:rFonts w:cstheme="minorHAnsi"/>
        </w:rPr>
        <w:t>nyone who intentionally kills another person should always get the death penalty.’ ”  Juror No.</w:t>
      </w:r>
      <w:r w:rsidR="00EA2490" w:rsidRPr="00631676">
        <w:rPr>
          <w:rFonts w:cstheme="minorHAnsi"/>
        </w:rPr>
        <w:t> </w:t>
      </w:r>
      <w:r w:rsidR="00E325A2" w:rsidRPr="00631676">
        <w:rPr>
          <w:rFonts w:cstheme="minorHAnsi"/>
        </w:rPr>
        <w:t>8919 added that “self defense can be seen as ‘intentional.’ ”  Juror No.</w:t>
      </w:r>
      <w:r w:rsidR="00EA2490" w:rsidRPr="00631676">
        <w:rPr>
          <w:rFonts w:cstheme="minorHAnsi"/>
        </w:rPr>
        <w:t> </w:t>
      </w:r>
      <w:r w:rsidR="00E325A2" w:rsidRPr="00631676">
        <w:rPr>
          <w:rFonts w:cstheme="minorHAnsi"/>
        </w:rPr>
        <w:t>8919 also “[d]isagree[d] somewhat”</w:t>
      </w:r>
      <w:r w:rsidR="00546D32" w:rsidRPr="00631676">
        <w:rPr>
          <w:rFonts w:cstheme="minorHAnsi"/>
        </w:rPr>
        <w:t xml:space="preserve"> </w:t>
      </w:r>
      <w:r w:rsidR="00E325A2" w:rsidRPr="00631676">
        <w:rPr>
          <w:rFonts w:cstheme="minorHAnsi"/>
        </w:rPr>
        <w:t>with the statement</w:t>
      </w:r>
      <w:r w:rsidR="00EE728B">
        <w:rPr>
          <w:rFonts w:cstheme="minorHAnsi"/>
        </w:rPr>
        <w:t>,</w:t>
      </w:r>
      <w:r w:rsidR="00E325A2" w:rsidRPr="00631676">
        <w:rPr>
          <w:rFonts w:cstheme="minorHAnsi"/>
        </w:rPr>
        <w:t xml:space="preserve"> “ ‘</w:t>
      </w:r>
      <w:r w:rsidR="00E14980" w:rsidRPr="00631676">
        <w:rPr>
          <w:rFonts w:cstheme="minorHAnsi"/>
        </w:rPr>
        <w:t>A</w:t>
      </w:r>
      <w:r w:rsidR="00E325A2" w:rsidRPr="00631676">
        <w:rPr>
          <w:rFonts w:cstheme="minorHAnsi"/>
        </w:rPr>
        <w:t xml:space="preserve">nyone who intentionally kills another person should never get the death penalty,’ ” adding, “should vs. shall.” </w:t>
      </w:r>
      <w:r w:rsidR="00CF22B9" w:rsidRPr="00631676">
        <w:rPr>
          <w:rFonts w:cstheme="minorHAnsi"/>
        </w:rPr>
        <w:t xml:space="preserve"> Taken together, these responses do not indicate, as defendant argues, that Juror No. 8919 would vote for the death penalty for all intentional murders other than self-defense.  </w:t>
      </w:r>
      <w:r w:rsidR="00F1037A" w:rsidRPr="00631676">
        <w:rPr>
          <w:rFonts w:cstheme="minorHAnsi"/>
        </w:rPr>
        <w:t xml:space="preserve">Nor did voir dire raise such </w:t>
      </w:r>
      <w:r w:rsidR="00F02BB6" w:rsidRPr="00631676">
        <w:rPr>
          <w:rFonts w:cstheme="minorHAnsi"/>
        </w:rPr>
        <w:t>concerns</w:t>
      </w:r>
      <w:r w:rsidR="00F1037A" w:rsidRPr="00631676">
        <w:rPr>
          <w:rFonts w:cstheme="minorHAnsi"/>
        </w:rPr>
        <w:t xml:space="preserve">; on the contrary, the juror responded affirmatively to questions as to whether he </w:t>
      </w:r>
      <w:r w:rsidR="005B72CD" w:rsidRPr="00631676">
        <w:rPr>
          <w:rFonts w:cstheme="minorHAnsi"/>
        </w:rPr>
        <w:t>could</w:t>
      </w:r>
      <w:r w:rsidR="00F1037A" w:rsidRPr="00631676">
        <w:rPr>
          <w:rFonts w:cstheme="minorHAnsi"/>
        </w:rPr>
        <w:t xml:space="preserve"> deal “fairly and impartially” with </w:t>
      </w:r>
      <w:r w:rsidR="00056567" w:rsidRPr="00631676">
        <w:rPr>
          <w:rFonts w:cstheme="minorHAnsi"/>
        </w:rPr>
        <w:t>the question of penalty.</w:t>
      </w:r>
      <w:r w:rsidR="002E62D6" w:rsidRPr="00631676">
        <w:rPr>
          <w:rFonts w:cstheme="minorHAnsi"/>
        </w:rPr>
        <w:t xml:space="preserve"> </w:t>
      </w:r>
      <w:r w:rsidR="00F1037A" w:rsidRPr="00631676">
        <w:rPr>
          <w:rFonts w:cstheme="minorHAnsi"/>
        </w:rPr>
        <w:t xml:space="preserve">  </w:t>
      </w:r>
    </w:p>
    <w:p w14:paraId="1320ECB6" w14:textId="091D0902" w:rsidR="00546D32" w:rsidRPr="00631676" w:rsidRDefault="003C2D3A" w:rsidP="00F23C4F">
      <w:pPr>
        <w:ind w:firstLine="720"/>
        <w:rPr>
          <w:rFonts w:cstheme="minorHAnsi"/>
        </w:rPr>
      </w:pPr>
      <w:r w:rsidRPr="00631676">
        <w:rPr>
          <w:rFonts w:cstheme="minorHAnsi"/>
        </w:rPr>
        <w:t xml:space="preserve">Defendant </w:t>
      </w:r>
      <w:r w:rsidR="00E14980" w:rsidRPr="00631676">
        <w:rPr>
          <w:rFonts w:cstheme="minorHAnsi"/>
        </w:rPr>
        <w:t xml:space="preserve">similarly argues that </w:t>
      </w:r>
      <w:r w:rsidRPr="00631676">
        <w:rPr>
          <w:rFonts w:cstheme="minorHAnsi"/>
        </w:rPr>
        <w:t>Juror No.</w:t>
      </w:r>
      <w:r w:rsidR="00EA2490" w:rsidRPr="00631676">
        <w:rPr>
          <w:rFonts w:cstheme="minorHAnsi"/>
        </w:rPr>
        <w:t> </w:t>
      </w:r>
      <w:r w:rsidRPr="00631676">
        <w:rPr>
          <w:rFonts w:cstheme="minorHAnsi"/>
        </w:rPr>
        <w:t>0555</w:t>
      </w:r>
      <w:r w:rsidR="00E14980" w:rsidRPr="00631676">
        <w:rPr>
          <w:rFonts w:cstheme="minorHAnsi"/>
        </w:rPr>
        <w:t xml:space="preserve">’s questionnaire responses raised concerns because she indicated </w:t>
      </w:r>
      <w:r w:rsidRPr="00631676">
        <w:rPr>
          <w:rFonts w:cstheme="minorHAnsi"/>
        </w:rPr>
        <w:t>she “[a]gree[d] somewhat” with the statement</w:t>
      </w:r>
      <w:r w:rsidR="003A08A7">
        <w:rPr>
          <w:rFonts w:cstheme="minorHAnsi"/>
        </w:rPr>
        <w:t>,</w:t>
      </w:r>
      <w:r w:rsidRPr="00631676">
        <w:rPr>
          <w:rFonts w:cstheme="minorHAnsi"/>
        </w:rPr>
        <w:t xml:space="preserve"> “Anyone who intentionally kills another person should always get the death penalty</w:t>
      </w:r>
      <w:r w:rsidR="00ED45AB" w:rsidRPr="00631676">
        <w:rPr>
          <w:rFonts w:cstheme="minorHAnsi"/>
        </w:rPr>
        <w:t>” and “[s]trongly disagree[d]” with the statement</w:t>
      </w:r>
      <w:r w:rsidR="003A08A7">
        <w:rPr>
          <w:rFonts w:cstheme="minorHAnsi"/>
        </w:rPr>
        <w:t>,</w:t>
      </w:r>
      <w:r w:rsidR="00ED45AB" w:rsidRPr="00631676">
        <w:rPr>
          <w:rFonts w:cstheme="minorHAnsi"/>
        </w:rPr>
        <w:t xml:space="preserve"> “Anyone who intentionally kills another person should never get the death penalty.”  </w:t>
      </w:r>
      <w:r w:rsidR="006B1A58" w:rsidRPr="00631676">
        <w:rPr>
          <w:rFonts w:cstheme="minorHAnsi"/>
        </w:rPr>
        <w:t>But Juror No.</w:t>
      </w:r>
      <w:r w:rsidR="00FC5B99" w:rsidRPr="00631676">
        <w:rPr>
          <w:rFonts w:cstheme="minorHAnsi"/>
        </w:rPr>
        <w:t> </w:t>
      </w:r>
      <w:r w:rsidR="006B1A58" w:rsidRPr="00631676">
        <w:rPr>
          <w:rFonts w:cstheme="minorHAnsi"/>
        </w:rPr>
        <w:t>0555 also stated she would consider both possible penalties if the case reached the penalty phase and that she would vote for life imprisonment in an appropriate case.  Defendant elected not to question Juror No.</w:t>
      </w:r>
      <w:r w:rsidR="00FC5B99" w:rsidRPr="00631676">
        <w:rPr>
          <w:rFonts w:cstheme="minorHAnsi"/>
        </w:rPr>
        <w:t> </w:t>
      </w:r>
      <w:r w:rsidR="006B1A58" w:rsidRPr="00631676">
        <w:rPr>
          <w:rFonts w:cstheme="minorHAnsi"/>
        </w:rPr>
        <w:t xml:space="preserve">0555 on these subjects, and he points to nothing in her voir dire responses to indicate that </w:t>
      </w:r>
      <w:r w:rsidR="00F02BB6" w:rsidRPr="00631676">
        <w:rPr>
          <w:rFonts w:cstheme="minorHAnsi"/>
        </w:rPr>
        <w:t>the j</w:t>
      </w:r>
      <w:r w:rsidR="006B1A58" w:rsidRPr="00631676">
        <w:rPr>
          <w:rFonts w:cstheme="minorHAnsi"/>
        </w:rPr>
        <w:t xml:space="preserve">uror would not be impartial. </w:t>
      </w:r>
      <w:r w:rsidR="00ED45AB" w:rsidRPr="00631676">
        <w:rPr>
          <w:rFonts w:cstheme="minorHAnsi"/>
        </w:rPr>
        <w:t xml:space="preserve"> </w:t>
      </w:r>
    </w:p>
    <w:p w14:paraId="60743B7C" w14:textId="445A378C" w:rsidR="00FE7B22" w:rsidRPr="00631676" w:rsidRDefault="000B5F13" w:rsidP="00F23C4F">
      <w:pPr>
        <w:ind w:firstLine="720"/>
        <w:rPr>
          <w:rFonts w:cstheme="minorHAnsi"/>
        </w:rPr>
      </w:pPr>
      <w:r w:rsidRPr="00631676">
        <w:rPr>
          <w:rFonts w:cstheme="minorHAnsi"/>
        </w:rPr>
        <w:lastRenderedPageBreak/>
        <w:t>Finally, defendant asserts that</w:t>
      </w:r>
      <w:r w:rsidR="006C31C9" w:rsidRPr="00631676">
        <w:rPr>
          <w:rFonts w:cstheme="minorHAnsi"/>
        </w:rPr>
        <w:t xml:space="preserve"> </w:t>
      </w:r>
      <w:r w:rsidR="005A36B5" w:rsidRPr="00631676">
        <w:rPr>
          <w:rFonts w:cstheme="minorHAnsi"/>
        </w:rPr>
        <w:t>Juror No.</w:t>
      </w:r>
      <w:r w:rsidR="00FC5B99" w:rsidRPr="00631676">
        <w:rPr>
          <w:rFonts w:cstheme="minorHAnsi"/>
        </w:rPr>
        <w:t> </w:t>
      </w:r>
      <w:r w:rsidR="005A36B5" w:rsidRPr="00631676">
        <w:rPr>
          <w:rFonts w:cstheme="minorHAnsi"/>
        </w:rPr>
        <w:t xml:space="preserve">6619 raised particular concerns because, among other things, she wrote in her juror questionnaire that, philosophically, she was strongly in favor of the death penalty and “agreed somewhat” that anyone who kills intentionally should always receive the death penalty.  </w:t>
      </w:r>
      <w:r w:rsidR="00B0551C" w:rsidRPr="00631676">
        <w:rPr>
          <w:rFonts w:cstheme="minorHAnsi"/>
        </w:rPr>
        <w:t>But Juror No. </w:t>
      </w:r>
      <w:r w:rsidR="005A36B5" w:rsidRPr="00631676">
        <w:rPr>
          <w:rFonts w:cstheme="minorHAnsi"/>
        </w:rPr>
        <w:t xml:space="preserve">6619 also said she was amenable to either punishment, depending on the evidence, and affirmed that she would vote for life imprisonment in an appropriate case.  </w:t>
      </w:r>
      <w:r w:rsidR="00D217F4" w:rsidRPr="00631676">
        <w:rPr>
          <w:rFonts w:cstheme="minorHAnsi"/>
        </w:rPr>
        <w:t>During voir dire</w:t>
      </w:r>
      <w:r w:rsidR="00F45CAE" w:rsidRPr="00631676">
        <w:rPr>
          <w:rFonts w:cstheme="minorHAnsi"/>
        </w:rPr>
        <w:t xml:space="preserve">, defense counsel probed some of Juror No. 6619’s responses concerning </w:t>
      </w:r>
      <w:r w:rsidR="005B72CD" w:rsidRPr="00631676">
        <w:rPr>
          <w:rFonts w:cstheme="minorHAnsi"/>
        </w:rPr>
        <w:t xml:space="preserve">her </w:t>
      </w:r>
      <w:r w:rsidR="00F45CAE" w:rsidRPr="00631676">
        <w:rPr>
          <w:rFonts w:cstheme="minorHAnsi"/>
        </w:rPr>
        <w:t xml:space="preserve">views on the death penalty.  </w:t>
      </w:r>
      <w:r w:rsidR="003F43E7" w:rsidRPr="00631676">
        <w:rPr>
          <w:rFonts w:cstheme="minorHAnsi"/>
        </w:rPr>
        <w:t>Although Juror No. </w:t>
      </w:r>
      <w:r w:rsidR="00D217F4" w:rsidRPr="00631676">
        <w:rPr>
          <w:rFonts w:cstheme="minorHAnsi"/>
        </w:rPr>
        <w:t>6619 had initially offered “self-defense” and “automobile accidents” as examples of intentional killings where the death penalty would not be warranted, c</w:t>
      </w:r>
      <w:r w:rsidR="001B2D19" w:rsidRPr="00631676">
        <w:rPr>
          <w:rFonts w:cstheme="minorHAnsi"/>
        </w:rPr>
        <w:t xml:space="preserve">ounsel </w:t>
      </w:r>
      <w:r w:rsidR="00D217F4" w:rsidRPr="00631676">
        <w:rPr>
          <w:rFonts w:cstheme="minorHAnsi"/>
        </w:rPr>
        <w:t xml:space="preserve">then clarified that the question was </w:t>
      </w:r>
      <w:r w:rsidR="001B2D19" w:rsidRPr="00631676">
        <w:rPr>
          <w:rFonts w:cstheme="minorHAnsi"/>
        </w:rPr>
        <w:t>whether there would be a situation in which the juror could envision reaching the penalty phase of a trial</w:t>
      </w:r>
      <w:r w:rsidR="00D217F4" w:rsidRPr="00631676">
        <w:rPr>
          <w:rFonts w:cstheme="minorHAnsi"/>
        </w:rPr>
        <w:t xml:space="preserve">, </w:t>
      </w:r>
      <w:r w:rsidR="001B2D19" w:rsidRPr="00631676">
        <w:rPr>
          <w:rFonts w:cstheme="minorHAnsi"/>
        </w:rPr>
        <w:t>after finding defendant “guilty of first-degree murder</w:t>
      </w:r>
      <w:r w:rsidR="00D217F4" w:rsidRPr="00631676">
        <w:rPr>
          <w:rFonts w:cstheme="minorHAnsi"/>
        </w:rPr>
        <w:t>,</w:t>
      </w:r>
      <w:r w:rsidR="001B2D19" w:rsidRPr="00631676">
        <w:rPr>
          <w:rFonts w:cstheme="minorHAnsi"/>
        </w:rPr>
        <w:t xml:space="preserve">” and </w:t>
      </w:r>
      <w:r w:rsidR="003F5DDA" w:rsidRPr="00631676">
        <w:rPr>
          <w:rFonts w:cstheme="minorHAnsi"/>
        </w:rPr>
        <w:t>determin</w:t>
      </w:r>
      <w:r w:rsidR="00D217F4" w:rsidRPr="00631676">
        <w:rPr>
          <w:rFonts w:cstheme="minorHAnsi"/>
        </w:rPr>
        <w:t>ing</w:t>
      </w:r>
      <w:r w:rsidR="001B2D19" w:rsidRPr="00631676">
        <w:rPr>
          <w:rFonts w:cstheme="minorHAnsi"/>
        </w:rPr>
        <w:t xml:space="preserve"> “life imprisonment without parole to be the most appropriate sentence.”  Juror No.</w:t>
      </w:r>
      <w:r w:rsidR="00FC5B99" w:rsidRPr="00631676">
        <w:rPr>
          <w:rFonts w:cstheme="minorHAnsi"/>
        </w:rPr>
        <w:t> </w:t>
      </w:r>
      <w:r w:rsidR="001B2D19" w:rsidRPr="00631676">
        <w:rPr>
          <w:rFonts w:cstheme="minorHAnsi"/>
        </w:rPr>
        <w:t xml:space="preserve">6619 responded affirmatively, </w:t>
      </w:r>
      <w:r w:rsidR="00D217F4" w:rsidRPr="00631676">
        <w:rPr>
          <w:rFonts w:cstheme="minorHAnsi"/>
        </w:rPr>
        <w:t xml:space="preserve">at which point </w:t>
      </w:r>
      <w:r w:rsidR="001B2D19" w:rsidRPr="00631676">
        <w:rPr>
          <w:rFonts w:cstheme="minorHAnsi"/>
        </w:rPr>
        <w:t>defense counsel passed for cause</w:t>
      </w:r>
      <w:r w:rsidR="00B010DC" w:rsidRPr="00631676">
        <w:rPr>
          <w:rFonts w:cstheme="minorHAnsi"/>
        </w:rPr>
        <w:t>, thereby waiving any claim of juror bias</w:t>
      </w:r>
      <w:r w:rsidR="001B2D19" w:rsidRPr="00631676">
        <w:rPr>
          <w:rFonts w:cstheme="minorHAnsi"/>
        </w:rPr>
        <w:t xml:space="preserve">.  </w:t>
      </w:r>
      <w:r w:rsidR="00B010DC" w:rsidRPr="00631676">
        <w:rPr>
          <w:rFonts w:cstheme="minorHAnsi"/>
        </w:rPr>
        <w:t>(</w:t>
      </w:r>
      <w:r w:rsidR="00B010DC" w:rsidRPr="00631676">
        <w:rPr>
          <w:rFonts w:cstheme="minorHAnsi"/>
          <w:i/>
        </w:rPr>
        <w:t>People v. Zaragoza</w:t>
      </w:r>
      <w:r w:rsidR="00B010DC" w:rsidRPr="00631676">
        <w:rPr>
          <w:rFonts w:cstheme="minorHAnsi"/>
        </w:rPr>
        <w:t xml:space="preserve"> (2016) 1 Cal.5th 21, 59.)  </w:t>
      </w:r>
      <w:r w:rsidR="00D04F78" w:rsidRPr="00631676">
        <w:rPr>
          <w:rFonts w:cstheme="minorHAnsi"/>
        </w:rPr>
        <w:t xml:space="preserve">To the extent defendant now argues voir dire was inadequate to determine whether Juror No. 6619 was capable of serving as an impartial juror, </w:t>
      </w:r>
      <w:r w:rsidR="0062137C" w:rsidRPr="00631676">
        <w:rPr>
          <w:rFonts w:cstheme="minorHAnsi"/>
        </w:rPr>
        <w:t>we</w:t>
      </w:r>
      <w:r w:rsidR="00D04F78" w:rsidRPr="00631676">
        <w:rPr>
          <w:rFonts w:cstheme="minorHAnsi"/>
        </w:rPr>
        <w:t xml:space="preserve"> see no merit to the claim.</w:t>
      </w:r>
    </w:p>
    <w:p w14:paraId="50B9CE1D" w14:textId="3A1B8542" w:rsidR="00F92B9A" w:rsidRPr="00F23C4F" w:rsidRDefault="00F92B9A" w:rsidP="00F23C4F">
      <w:pPr>
        <w:pStyle w:val="Heading3"/>
        <w:rPr>
          <w:rFonts w:cstheme="minorHAnsi"/>
          <w:b/>
        </w:rPr>
      </w:pPr>
      <w:r w:rsidRPr="00F23C4F">
        <w:rPr>
          <w:rFonts w:cstheme="minorHAnsi"/>
        </w:rPr>
        <w:tab/>
      </w:r>
      <w:r w:rsidR="00E937A4" w:rsidRPr="00F23C4F">
        <w:rPr>
          <w:rFonts w:cstheme="minorHAnsi"/>
        </w:rPr>
        <w:tab/>
      </w:r>
      <w:bookmarkStart w:id="25" w:name="_Toc12993763"/>
      <w:r w:rsidRPr="00F23C4F">
        <w:rPr>
          <w:rFonts w:cstheme="minorHAnsi"/>
        </w:rPr>
        <w:t>2.</w:t>
      </w:r>
      <w:r w:rsidRPr="00F23C4F">
        <w:rPr>
          <w:rFonts w:cstheme="minorHAnsi"/>
        </w:rPr>
        <w:tab/>
        <w:t xml:space="preserve">Excluding Prospective Juror </w:t>
      </w:r>
      <w:r w:rsidR="00A7796F" w:rsidRPr="00F23C4F">
        <w:rPr>
          <w:rFonts w:cstheme="minorHAnsi"/>
        </w:rPr>
        <w:t xml:space="preserve">F.G. </w:t>
      </w:r>
      <w:r w:rsidRPr="00F23C4F">
        <w:rPr>
          <w:rFonts w:cstheme="minorHAnsi"/>
        </w:rPr>
        <w:t xml:space="preserve">for </w:t>
      </w:r>
      <w:r w:rsidR="005D23E0">
        <w:rPr>
          <w:rFonts w:cstheme="minorHAnsi"/>
        </w:rPr>
        <w:br/>
        <w:t xml:space="preserve">                </w:t>
      </w:r>
      <w:r w:rsidRPr="00F23C4F">
        <w:rPr>
          <w:rFonts w:cstheme="minorHAnsi"/>
        </w:rPr>
        <w:t xml:space="preserve">Cause </w:t>
      </w:r>
      <w:bookmarkEnd w:id="25"/>
    </w:p>
    <w:p w14:paraId="032509BA" w14:textId="6925B451" w:rsidR="0028071A" w:rsidRPr="00631676" w:rsidRDefault="00211070" w:rsidP="00F23C4F">
      <w:pPr>
        <w:rPr>
          <w:rFonts w:cstheme="minorHAnsi"/>
        </w:rPr>
      </w:pPr>
      <w:r w:rsidRPr="00631676">
        <w:rPr>
          <w:rFonts w:cstheme="minorHAnsi"/>
        </w:rPr>
        <w:tab/>
        <w:t xml:space="preserve">Defendant contends the trial court erred by excluding </w:t>
      </w:r>
      <w:r w:rsidR="006D5D2A" w:rsidRPr="00631676">
        <w:rPr>
          <w:rFonts w:cstheme="minorHAnsi"/>
        </w:rPr>
        <w:t>P</w:t>
      </w:r>
      <w:r w:rsidRPr="00631676">
        <w:rPr>
          <w:rFonts w:cstheme="minorHAnsi"/>
        </w:rPr>
        <w:t xml:space="preserve">rospective </w:t>
      </w:r>
      <w:r w:rsidR="006D5D2A" w:rsidRPr="00631676">
        <w:rPr>
          <w:rFonts w:cstheme="minorHAnsi"/>
        </w:rPr>
        <w:t>J</w:t>
      </w:r>
      <w:r w:rsidRPr="00631676">
        <w:rPr>
          <w:rFonts w:cstheme="minorHAnsi"/>
        </w:rPr>
        <w:t xml:space="preserve">uror </w:t>
      </w:r>
      <w:r w:rsidR="00A7796F" w:rsidRPr="00631676">
        <w:rPr>
          <w:rFonts w:cstheme="minorHAnsi"/>
        </w:rPr>
        <w:t xml:space="preserve">F.G. </w:t>
      </w:r>
      <w:r w:rsidRPr="00631676">
        <w:rPr>
          <w:rFonts w:cstheme="minorHAnsi"/>
        </w:rPr>
        <w:t xml:space="preserve">for cause.  </w:t>
      </w:r>
      <w:r w:rsidR="00FE7B22" w:rsidRPr="00631676">
        <w:rPr>
          <w:rFonts w:cstheme="minorHAnsi"/>
        </w:rPr>
        <w:t>We</w:t>
      </w:r>
      <w:r w:rsidRPr="00631676">
        <w:rPr>
          <w:rFonts w:cstheme="minorHAnsi"/>
        </w:rPr>
        <w:t xml:space="preserve"> </w:t>
      </w:r>
      <w:r w:rsidR="00FE7B22" w:rsidRPr="00631676">
        <w:rPr>
          <w:rFonts w:cstheme="minorHAnsi"/>
        </w:rPr>
        <w:t xml:space="preserve">hold </w:t>
      </w:r>
      <w:r w:rsidRPr="00631676">
        <w:rPr>
          <w:rFonts w:cstheme="minorHAnsi"/>
        </w:rPr>
        <w:t>the court acted within its discretion.</w:t>
      </w:r>
    </w:p>
    <w:p w14:paraId="3EF2DA38" w14:textId="19063957" w:rsidR="00DA359D" w:rsidRPr="00631676" w:rsidRDefault="003A7D84" w:rsidP="00F23C4F">
      <w:pPr>
        <w:rPr>
          <w:rFonts w:cstheme="minorHAnsi"/>
        </w:rPr>
      </w:pPr>
      <w:r w:rsidRPr="00631676">
        <w:rPr>
          <w:rFonts w:cstheme="minorHAnsi"/>
        </w:rPr>
        <w:tab/>
      </w:r>
      <w:r w:rsidR="00171FF1" w:rsidRPr="00631676">
        <w:rPr>
          <w:rFonts w:cstheme="minorHAnsi"/>
        </w:rPr>
        <w:t xml:space="preserve">F.G. was a musician who had performed at many prisons and who had also worked on antidrug programs with the health </w:t>
      </w:r>
      <w:r w:rsidR="00171FF1" w:rsidRPr="00631676">
        <w:rPr>
          <w:rFonts w:cstheme="minorHAnsi"/>
        </w:rPr>
        <w:lastRenderedPageBreak/>
        <w:t xml:space="preserve">department and the </w:t>
      </w:r>
      <w:r w:rsidR="00F0780A" w:rsidRPr="00631676">
        <w:rPr>
          <w:rFonts w:cstheme="minorHAnsi"/>
        </w:rPr>
        <w:t>c</w:t>
      </w:r>
      <w:r w:rsidR="00171FF1" w:rsidRPr="00631676">
        <w:rPr>
          <w:rFonts w:cstheme="minorHAnsi"/>
        </w:rPr>
        <w:t xml:space="preserve">ounty </w:t>
      </w:r>
      <w:r w:rsidR="00F0780A" w:rsidRPr="00631676">
        <w:rPr>
          <w:rFonts w:cstheme="minorHAnsi"/>
        </w:rPr>
        <w:t>s</w:t>
      </w:r>
      <w:r w:rsidR="00171FF1" w:rsidRPr="00631676">
        <w:rPr>
          <w:rFonts w:cstheme="minorHAnsi"/>
        </w:rPr>
        <w:t xml:space="preserve">heriff’s department.  </w:t>
      </w:r>
      <w:r w:rsidR="00DA359D" w:rsidRPr="00631676">
        <w:rPr>
          <w:rFonts w:cstheme="minorHAnsi"/>
        </w:rPr>
        <w:t>During voir dir</w:t>
      </w:r>
      <w:r w:rsidRPr="00631676">
        <w:rPr>
          <w:rFonts w:cstheme="minorHAnsi"/>
        </w:rPr>
        <w:t>e</w:t>
      </w:r>
      <w:r w:rsidR="00DA359D" w:rsidRPr="00631676">
        <w:rPr>
          <w:rFonts w:cstheme="minorHAnsi"/>
        </w:rPr>
        <w:t xml:space="preserve">, the trial court asked </w:t>
      </w:r>
      <w:r w:rsidR="00171FF1" w:rsidRPr="00631676">
        <w:rPr>
          <w:rFonts w:cstheme="minorHAnsi"/>
        </w:rPr>
        <w:t xml:space="preserve">F.G. </w:t>
      </w:r>
      <w:r w:rsidR="00DA359D" w:rsidRPr="00631676">
        <w:rPr>
          <w:rFonts w:cstheme="minorHAnsi"/>
        </w:rPr>
        <w:t>whether any o</w:t>
      </w:r>
      <w:r w:rsidR="00315EC7" w:rsidRPr="00631676">
        <w:rPr>
          <w:rFonts w:cstheme="minorHAnsi"/>
        </w:rPr>
        <w:t xml:space="preserve">f </w:t>
      </w:r>
      <w:r w:rsidR="00171FF1" w:rsidRPr="00631676">
        <w:rPr>
          <w:rFonts w:cstheme="minorHAnsi"/>
        </w:rPr>
        <w:t xml:space="preserve">these </w:t>
      </w:r>
      <w:r w:rsidR="00315EC7" w:rsidRPr="00631676">
        <w:rPr>
          <w:rFonts w:cstheme="minorHAnsi"/>
        </w:rPr>
        <w:t>experiences would preclude</w:t>
      </w:r>
      <w:r w:rsidR="00DA359D" w:rsidRPr="00631676">
        <w:rPr>
          <w:rFonts w:cstheme="minorHAnsi"/>
        </w:rPr>
        <w:t xml:space="preserve"> him from being a fair juror, “knowing what the juror’s job is.”  </w:t>
      </w:r>
      <w:r w:rsidR="00524B61" w:rsidRPr="00631676">
        <w:rPr>
          <w:rFonts w:cstheme="minorHAnsi"/>
        </w:rPr>
        <w:t xml:space="preserve">F.G. </w:t>
      </w:r>
      <w:r w:rsidR="00DA359D" w:rsidRPr="00631676">
        <w:rPr>
          <w:rFonts w:cstheme="minorHAnsi"/>
        </w:rPr>
        <w:t>replied, “No, I don’t think so.  The only caveat I would put on that is that I have .</w:t>
      </w:r>
      <w:r w:rsidR="00FC5B99" w:rsidRPr="00631676">
        <w:rPr>
          <w:rFonts w:cstheme="minorHAnsi"/>
        </w:rPr>
        <w:t> </w:t>
      </w:r>
      <w:r w:rsidR="00DA359D" w:rsidRPr="00631676">
        <w:rPr>
          <w:rFonts w:cstheme="minorHAnsi"/>
        </w:rPr>
        <w:t>.</w:t>
      </w:r>
      <w:r w:rsidR="00FC5B99" w:rsidRPr="00631676">
        <w:rPr>
          <w:rFonts w:cstheme="minorHAnsi"/>
        </w:rPr>
        <w:t> </w:t>
      </w:r>
      <w:r w:rsidR="00DA359D" w:rsidRPr="00631676">
        <w:rPr>
          <w:rFonts w:cstheme="minorHAnsi"/>
        </w:rPr>
        <w:t>. witnessed firsthand the results of the sentencing.  And I have spoken with people who have been, for instance, sentenced for life, with no chance of parole and stuff like that.  And that—</w:t>
      </w:r>
      <w:proofErr w:type="gramStart"/>
      <w:r w:rsidR="00DA359D" w:rsidRPr="00631676">
        <w:rPr>
          <w:rFonts w:cstheme="minorHAnsi"/>
        </w:rPr>
        <w:t>it’s</w:t>
      </w:r>
      <w:proofErr w:type="gramEnd"/>
      <w:r w:rsidR="00DA359D" w:rsidRPr="00631676">
        <w:rPr>
          <w:rFonts w:cstheme="minorHAnsi"/>
        </w:rPr>
        <w:t xml:space="preserve"> a very heavy burden to judge someone.  So that’s all I can say.”  The trial court explained to </w:t>
      </w:r>
      <w:r w:rsidR="00524B61" w:rsidRPr="00631676">
        <w:rPr>
          <w:rFonts w:cstheme="minorHAnsi"/>
        </w:rPr>
        <w:t xml:space="preserve">F.G. </w:t>
      </w:r>
      <w:r w:rsidR="00DA359D" w:rsidRPr="00631676">
        <w:rPr>
          <w:rFonts w:cstheme="minorHAnsi"/>
        </w:rPr>
        <w:t xml:space="preserve">that the concept of punishment and penalty had no place in the determination of a defendant’s guilt and asked whether </w:t>
      </w:r>
      <w:r w:rsidR="00524B61" w:rsidRPr="00631676">
        <w:rPr>
          <w:rFonts w:cstheme="minorHAnsi"/>
        </w:rPr>
        <w:t xml:space="preserve">F.G. </w:t>
      </w:r>
      <w:r w:rsidR="00DA359D" w:rsidRPr="00631676">
        <w:rPr>
          <w:rFonts w:cstheme="minorHAnsi"/>
        </w:rPr>
        <w:t xml:space="preserve">understood those distinctions.  </w:t>
      </w:r>
      <w:r w:rsidR="00524B61" w:rsidRPr="00631676">
        <w:rPr>
          <w:rFonts w:cstheme="minorHAnsi"/>
        </w:rPr>
        <w:t xml:space="preserve">F.G. </w:t>
      </w:r>
      <w:r w:rsidR="00DA359D" w:rsidRPr="00631676">
        <w:rPr>
          <w:rFonts w:cstheme="minorHAnsi"/>
        </w:rPr>
        <w:t xml:space="preserve">indicated his assent.  </w:t>
      </w:r>
    </w:p>
    <w:p w14:paraId="05AA7249" w14:textId="660DAD11" w:rsidR="001A4689" w:rsidRPr="00631676" w:rsidRDefault="00DA359D" w:rsidP="00F23C4F">
      <w:pPr>
        <w:rPr>
          <w:rFonts w:cstheme="minorHAnsi"/>
        </w:rPr>
      </w:pPr>
      <w:r w:rsidRPr="00631676">
        <w:rPr>
          <w:rFonts w:cstheme="minorHAnsi"/>
        </w:rPr>
        <w:tab/>
        <w:t xml:space="preserve">The court inquired whether, in light of </w:t>
      </w:r>
      <w:r w:rsidR="00524B61" w:rsidRPr="00631676">
        <w:rPr>
          <w:rFonts w:cstheme="minorHAnsi"/>
        </w:rPr>
        <w:t xml:space="preserve">F.G.’s </w:t>
      </w:r>
      <w:r w:rsidRPr="00631676">
        <w:rPr>
          <w:rFonts w:cstheme="minorHAnsi"/>
        </w:rPr>
        <w:t>experience working with people who ha</w:t>
      </w:r>
      <w:r w:rsidR="002A6D51" w:rsidRPr="00631676">
        <w:rPr>
          <w:rFonts w:cstheme="minorHAnsi"/>
        </w:rPr>
        <w:t>d</w:t>
      </w:r>
      <w:r w:rsidRPr="00631676">
        <w:rPr>
          <w:rFonts w:cstheme="minorHAnsi"/>
        </w:rPr>
        <w:t xml:space="preserve"> received life sentences, he “would be inclined to consider the potential sentence in determining the issue of guilt or innocence” and whether those experiences “would influence [his] view of the facts.”  </w:t>
      </w:r>
      <w:r w:rsidR="00524B61" w:rsidRPr="00631676">
        <w:rPr>
          <w:rFonts w:cstheme="minorHAnsi"/>
        </w:rPr>
        <w:t xml:space="preserve">F.G. </w:t>
      </w:r>
      <w:r w:rsidRPr="00631676">
        <w:rPr>
          <w:rFonts w:cstheme="minorHAnsi"/>
        </w:rPr>
        <w:t xml:space="preserve">replied that </w:t>
      </w:r>
      <w:r w:rsidR="001A4689" w:rsidRPr="00631676">
        <w:rPr>
          <w:rFonts w:cstheme="minorHAnsi"/>
        </w:rPr>
        <w:t xml:space="preserve">he </w:t>
      </w:r>
      <w:r w:rsidRPr="00631676">
        <w:rPr>
          <w:rFonts w:cstheme="minorHAnsi"/>
        </w:rPr>
        <w:t xml:space="preserve">“would like to think it wouldn’t, but it hangs on me very heavily, morally.”  The court clarified that “the question is, if you wind up on this jury, are you going to deliberate with the other jurors, consider the facts, decide the facts based on the evidence, without consideration of any potential sentence that may be imposed, if you get to that phase of the case.  That’s the question.”  </w:t>
      </w:r>
      <w:r w:rsidR="00524B61" w:rsidRPr="00631676">
        <w:rPr>
          <w:rFonts w:cstheme="minorHAnsi"/>
        </w:rPr>
        <w:t xml:space="preserve">F.G. </w:t>
      </w:r>
      <w:r w:rsidRPr="00631676">
        <w:rPr>
          <w:rFonts w:cstheme="minorHAnsi"/>
        </w:rPr>
        <w:t>responded, “I would have to say that no matter what I did, that would be a factor.”</w:t>
      </w:r>
      <w:r w:rsidR="009E18E5" w:rsidRPr="00631676">
        <w:rPr>
          <w:rFonts w:cstheme="minorHAnsi"/>
        </w:rPr>
        <w:t xml:space="preserve">  </w:t>
      </w:r>
      <w:r w:rsidR="00F9518D" w:rsidRPr="00631676">
        <w:rPr>
          <w:rFonts w:cstheme="minorHAnsi"/>
        </w:rPr>
        <w:t>T</w:t>
      </w:r>
      <w:r w:rsidR="009E18E5" w:rsidRPr="00631676">
        <w:rPr>
          <w:rFonts w:cstheme="minorHAnsi"/>
        </w:rPr>
        <w:t xml:space="preserve">he court excused the prospective juror.  </w:t>
      </w:r>
    </w:p>
    <w:p w14:paraId="37F4E428" w14:textId="69A39427" w:rsidR="00A40FA6" w:rsidRPr="00631676" w:rsidRDefault="001D3152" w:rsidP="00F23C4F">
      <w:pPr>
        <w:rPr>
          <w:rFonts w:cstheme="minorHAnsi"/>
        </w:rPr>
      </w:pPr>
      <w:r w:rsidRPr="00631676">
        <w:rPr>
          <w:rFonts w:cstheme="minorHAnsi"/>
        </w:rPr>
        <w:tab/>
      </w:r>
      <w:r w:rsidR="00315EC7" w:rsidRPr="00631676">
        <w:rPr>
          <w:rFonts w:cstheme="minorHAnsi"/>
        </w:rPr>
        <w:t xml:space="preserve">Criminal defendants are </w:t>
      </w:r>
      <w:r w:rsidR="00513781" w:rsidRPr="00631676">
        <w:rPr>
          <w:rFonts w:cstheme="minorHAnsi"/>
        </w:rPr>
        <w:t xml:space="preserve">constitutionally </w:t>
      </w:r>
      <w:r w:rsidR="00315EC7" w:rsidRPr="00631676">
        <w:rPr>
          <w:rFonts w:cstheme="minorHAnsi"/>
        </w:rPr>
        <w:t>entitled to a trial before an impartial jury</w:t>
      </w:r>
      <w:r w:rsidR="00D122D1" w:rsidRPr="00631676">
        <w:rPr>
          <w:rFonts w:cstheme="minorHAnsi"/>
        </w:rPr>
        <w:t>.  (</w:t>
      </w:r>
      <w:r w:rsidR="00886F10" w:rsidRPr="00631676">
        <w:rPr>
          <w:rFonts w:cstheme="minorHAnsi"/>
        </w:rPr>
        <w:t xml:space="preserve">U.S. Const., 6th &amp; 14th Amends.; Cal. Const., art. I, § 16; </w:t>
      </w:r>
      <w:r w:rsidR="00442115" w:rsidRPr="00631676">
        <w:rPr>
          <w:rFonts w:cstheme="minorHAnsi"/>
        </w:rPr>
        <w:t xml:space="preserve">see </w:t>
      </w:r>
      <w:r w:rsidR="00D122D1" w:rsidRPr="00631676">
        <w:rPr>
          <w:rFonts w:cstheme="minorHAnsi"/>
          <w:i/>
        </w:rPr>
        <w:t xml:space="preserve">Duncan v. Louisiana </w:t>
      </w:r>
      <w:r w:rsidR="00D122D1" w:rsidRPr="00631676">
        <w:rPr>
          <w:rFonts w:cstheme="minorHAnsi"/>
        </w:rPr>
        <w:t xml:space="preserve">(1968) 391 U.S. 145, 149–150; </w:t>
      </w:r>
      <w:r w:rsidR="00442115" w:rsidRPr="00631676">
        <w:rPr>
          <w:rFonts w:cstheme="minorHAnsi"/>
        </w:rPr>
        <w:t xml:space="preserve">see also </w:t>
      </w:r>
      <w:r w:rsidR="00D122D1" w:rsidRPr="00631676">
        <w:rPr>
          <w:rFonts w:cstheme="minorHAnsi"/>
          <w:i/>
        </w:rPr>
        <w:t xml:space="preserve">Turner v. Louisiana </w:t>
      </w:r>
      <w:r w:rsidR="00D122D1" w:rsidRPr="00631676">
        <w:rPr>
          <w:rFonts w:cstheme="minorHAnsi"/>
        </w:rPr>
        <w:t>(1965) 379 U.S. 466, 471;</w:t>
      </w:r>
      <w:r w:rsidR="007A093A" w:rsidRPr="00631676">
        <w:rPr>
          <w:rFonts w:cstheme="minorHAnsi"/>
        </w:rPr>
        <w:t xml:space="preserve"> </w:t>
      </w:r>
      <w:r w:rsidR="007A093A" w:rsidRPr="00631676">
        <w:rPr>
          <w:rFonts w:cstheme="minorHAnsi"/>
          <w:i/>
        </w:rPr>
        <w:lastRenderedPageBreak/>
        <w:t>People v. Black</w:t>
      </w:r>
      <w:r w:rsidR="007A093A" w:rsidRPr="00631676">
        <w:rPr>
          <w:rFonts w:cstheme="minorHAnsi"/>
        </w:rPr>
        <w:t xml:space="preserve"> (2014) 58 Cal.4th 912, 916</w:t>
      </w:r>
      <w:r w:rsidR="00D122D1" w:rsidRPr="00631676">
        <w:rPr>
          <w:rFonts w:cstheme="minorHAnsi"/>
        </w:rPr>
        <w:t xml:space="preserve">.)  </w:t>
      </w:r>
      <w:r w:rsidR="00186D64" w:rsidRPr="00631676">
        <w:rPr>
          <w:rFonts w:cstheme="minorHAnsi"/>
        </w:rPr>
        <w:t xml:space="preserve">But the state also has a vital interest in ensuring </w:t>
      </w:r>
      <w:r w:rsidR="00931967" w:rsidRPr="00631676">
        <w:rPr>
          <w:szCs w:val="26"/>
        </w:rPr>
        <w:t>cases are tried before juries able</w:t>
      </w:r>
      <w:r w:rsidR="007A093A" w:rsidRPr="00631676">
        <w:rPr>
          <w:szCs w:val="26"/>
        </w:rPr>
        <w:t xml:space="preserve"> </w:t>
      </w:r>
      <w:r w:rsidR="00931967" w:rsidRPr="00631676">
        <w:rPr>
          <w:szCs w:val="26"/>
        </w:rPr>
        <w:t>to make decisions concerning punishment “within the framework state law prescribes.”  (</w:t>
      </w:r>
      <w:r w:rsidR="00931967" w:rsidRPr="00631676">
        <w:rPr>
          <w:i/>
          <w:szCs w:val="26"/>
        </w:rPr>
        <w:t>Uttecht v. Brown</w:t>
      </w:r>
      <w:r w:rsidR="00333229" w:rsidRPr="00631676">
        <w:rPr>
          <w:szCs w:val="26"/>
        </w:rPr>
        <w:t xml:space="preserve"> (2007) 551 </w:t>
      </w:r>
      <w:r w:rsidR="00931967" w:rsidRPr="00631676">
        <w:rPr>
          <w:szCs w:val="26"/>
        </w:rPr>
        <w:t>U.S. 1, 9.)</w:t>
      </w:r>
      <w:r w:rsidR="00931967" w:rsidRPr="00631676">
        <w:rPr>
          <w:rFonts w:cstheme="minorHAnsi"/>
        </w:rPr>
        <w:t xml:space="preserve">  </w:t>
      </w:r>
      <w:r w:rsidR="00D122D1" w:rsidRPr="00631676">
        <w:rPr>
          <w:rFonts w:cstheme="minorHAnsi"/>
        </w:rPr>
        <w:t>“[I]n determining whether the removal of a potential juror would vindicate the State’s interest without violating the defendant’s right, the trial court makes a judgment based in part on the demeanor of the juror, a judgment owed deference by reviewing courts.”  (</w:t>
      </w:r>
      <w:r w:rsidR="00931967" w:rsidRPr="00631676">
        <w:rPr>
          <w:rFonts w:cstheme="minorHAnsi"/>
          <w:i/>
        </w:rPr>
        <w:t>Ibid</w:t>
      </w:r>
      <w:r w:rsidR="00D122D1" w:rsidRPr="00631676">
        <w:rPr>
          <w:rFonts w:cstheme="minorHAnsi"/>
        </w:rPr>
        <w:t xml:space="preserve">.)  </w:t>
      </w:r>
      <w:r w:rsidR="00810894" w:rsidRPr="00631676">
        <w:rPr>
          <w:rFonts w:cstheme="minorHAnsi"/>
        </w:rPr>
        <w:t>“When the prospective juror’s answers on voir dire are conflicting or equivocal, the trial court’s findings as to the prospective juror’s state of mind are binding on appellate courts if supported by substantial evidence.”  (</w:t>
      </w:r>
      <w:r w:rsidR="00A16D90" w:rsidRPr="00631676">
        <w:rPr>
          <w:rFonts w:cstheme="minorHAnsi"/>
          <w:i/>
        </w:rPr>
        <w:t>People v. </w:t>
      </w:r>
      <w:r w:rsidR="00810894" w:rsidRPr="00631676">
        <w:rPr>
          <w:rFonts w:cstheme="minorHAnsi"/>
          <w:i/>
        </w:rPr>
        <w:t>Duenas</w:t>
      </w:r>
      <w:r w:rsidR="00810894" w:rsidRPr="00631676">
        <w:rPr>
          <w:rFonts w:cstheme="minorHAnsi"/>
        </w:rPr>
        <w:t xml:space="preserve"> (2012) 55 Cal.4th 1, 10</w:t>
      </w:r>
      <w:r w:rsidR="00D122D1" w:rsidRPr="00631676">
        <w:rPr>
          <w:rFonts w:cstheme="minorHAnsi"/>
        </w:rPr>
        <w:t>.)</w:t>
      </w:r>
      <w:r w:rsidR="001D0F5A">
        <w:rPr>
          <w:rFonts w:cstheme="minorHAnsi"/>
        </w:rPr>
        <w:t xml:space="preserve">  A trial court has the power, though not the obligation, to </w:t>
      </w:r>
      <w:r w:rsidR="008F3AC5">
        <w:rPr>
          <w:rFonts w:cstheme="minorHAnsi"/>
        </w:rPr>
        <w:t xml:space="preserve">excuse </w:t>
      </w:r>
      <w:r w:rsidR="00264B54">
        <w:rPr>
          <w:rFonts w:cstheme="minorHAnsi"/>
        </w:rPr>
        <w:t xml:space="preserve">biased </w:t>
      </w:r>
      <w:r w:rsidR="008F3AC5">
        <w:rPr>
          <w:rFonts w:cstheme="minorHAnsi"/>
        </w:rPr>
        <w:t>prospective juror</w:t>
      </w:r>
      <w:r w:rsidR="00264B54">
        <w:rPr>
          <w:rFonts w:cstheme="minorHAnsi"/>
        </w:rPr>
        <w:t>s on its own motion</w:t>
      </w:r>
      <w:r w:rsidR="008F3AC5">
        <w:rPr>
          <w:rFonts w:cstheme="minorHAnsi"/>
        </w:rPr>
        <w:t>.  (</w:t>
      </w:r>
      <w:r w:rsidR="00264B54" w:rsidRPr="008A66A1">
        <w:rPr>
          <w:rFonts w:cstheme="minorHAnsi"/>
          <w:i/>
        </w:rPr>
        <w:t>People v. Cunningham</w:t>
      </w:r>
      <w:r w:rsidR="00264B54" w:rsidRPr="001D0F5A">
        <w:rPr>
          <w:rFonts w:cstheme="minorHAnsi"/>
        </w:rPr>
        <w:t xml:space="preserve"> (2001) 25 Cal.4th 926, 981</w:t>
      </w:r>
      <w:r w:rsidR="00264B54">
        <w:rPr>
          <w:rFonts w:cstheme="minorHAnsi"/>
        </w:rPr>
        <w:t xml:space="preserve"> [upholding </w:t>
      </w:r>
      <w:r w:rsidR="00264B54" w:rsidRPr="00BA24FC">
        <w:rPr>
          <w:rFonts w:cstheme="minorHAnsi"/>
        </w:rPr>
        <w:t xml:space="preserve">sua sponte </w:t>
      </w:r>
      <w:r w:rsidR="00264B54">
        <w:rPr>
          <w:rFonts w:cstheme="minorHAnsi"/>
        </w:rPr>
        <w:t xml:space="preserve">excusal of a prospective juror for cause]; </w:t>
      </w:r>
      <w:r w:rsidR="001D0F5A" w:rsidRPr="00F23C4F">
        <w:rPr>
          <w:rFonts w:cstheme="minorHAnsi"/>
          <w:i/>
        </w:rPr>
        <w:t>People v. Bolin</w:t>
      </w:r>
      <w:r w:rsidR="001D0F5A" w:rsidRPr="001D0F5A">
        <w:rPr>
          <w:rFonts w:cstheme="minorHAnsi"/>
        </w:rPr>
        <w:t xml:space="preserve"> (1998) 18 Cal.4th 297, 315–316</w:t>
      </w:r>
      <w:r w:rsidR="00264B54">
        <w:rPr>
          <w:rFonts w:cstheme="minorHAnsi"/>
        </w:rPr>
        <w:t xml:space="preserve"> [no duty to excuse on court’s own motion].)  </w:t>
      </w:r>
    </w:p>
    <w:p w14:paraId="4EB06203" w14:textId="6F524D99" w:rsidR="00E40CCE" w:rsidRPr="00631676" w:rsidRDefault="000C2404" w:rsidP="00F23C4F">
      <w:pPr>
        <w:ind w:firstLine="720"/>
        <w:rPr>
          <w:rFonts w:cstheme="minorHAnsi"/>
        </w:rPr>
      </w:pPr>
      <w:r>
        <w:rPr>
          <w:rFonts w:cstheme="minorHAnsi"/>
        </w:rPr>
        <w:t xml:space="preserve">Although this was a capital trial, here it was </w:t>
      </w:r>
      <w:r w:rsidR="00F37B46" w:rsidRPr="00631676">
        <w:rPr>
          <w:rFonts w:cstheme="minorHAnsi"/>
        </w:rPr>
        <w:t xml:space="preserve">F.G.’s views toward a life sentence, </w:t>
      </w:r>
      <w:r w:rsidR="000B30FD" w:rsidRPr="00631676">
        <w:rPr>
          <w:rFonts w:cstheme="minorHAnsi"/>
        </w:rPr>
        <w:t xml:space="preserve">not the death penalty, </w:t>
      </w:r>
      <w:r w:rsidR="00F37B46" w:rsidRPr="00631676">
        <w:rPr>
          <w:rFonts w:cstheme="minorHAnsi"/>
        </w:rPr>
        <w:t xml:space="preserve">that </w:t>
      </w:r>
      <w:r>
        <w:rPr>
          <w:rFonts w:cstheme="minorHAnsi"/>
        </w:rPr>
        <w:t>raised concerns about his ability to serve as a juror</w:t>
      </w:r>
      <w:r w:rsidR="00F37B46" w:rsidRPr="00631676">
        <w:rPr>
          <w:rFonts w:cstheme="minorHAnsi"/>
        </w:rPr>
        <w:t xml:space="preserve">.  </w:t>
      </w:r>
      <w:r w:rsidR="000B30FD" w:rsidRPr="00631676">
        <w:rPr>
          <w:rFonts w:cstheme="minorHAnsi"/>
        </w:rPr>
        <w:t>T</w:t>
      </w:r>
      <w:r w:rsidR="00E27C49" w:rsidRPr="00631676">
        <w:rPr>
          <w:rFonts w:cstheme="minorHAnsi"/>
        </w:rPr>
        <w:t xml:space="preserve">he court engaged in a colloquy with </w:t>
      </w:r>
      <w:r>
        <w:rPr>
          <w:rFonts w:cstheme="minorHAnsi"/>
        </w:rPr>
        <w:t>F.G.</w:t>
      </w:r>
      <w:r w:rsidR="00E27C49" w:rsidRPr="00631676">
        <w:rPr>
          <w:rFonts w:cstheme="minorHAnsi"/>
        </w:rPr>
        <w:t xml:space="preserve">, probing </w:t>
      </w:r>
      <w:r w:rsidR="00642271" w:rsidRPr="00631676">
        <w:rPr>
          <w:rFonts w:cstheme="minorHAnsi"/>
        </w:rPr>
        <w:t>hi</w:t>
      </w:r>
      <w:r w:rsidR="00E27C49" w:rsidRPr="00631676">
        <w:rPr>
          <w:rFonts w:cstheme="minorHAnsi"/>
        </w:rPr>
        <w:t>s response</w:t>
      </w:r>
      <w:r w:rsidR="00642271" w:rsidRPr="00631676">
        <w:rPr>
          <w:rFonts w:cstheme="minorHAnsi"/>
        </w:rPr>
        <w:t>s</w:t>
      </w:r>
      <w:r w:rsidR="00E27C49" w:rsidRPr="00631676">
        <w:rPr>
          <w:rFonts w:cstheme="minorHAnsi"/>
        </w:rPr>
        <w:t xml:space="preserve"> to questions suggesting an inability to put aside considerations of punishment in determining guilt.  </w:t>
      </w:r>
      <w:r>
        <w:rPr>
          <w:rFonts w:cstheme="minorHAnsi"/>
        </w:rPr>
        <w:t xml:space="preserve">F.G. </w:t>
      </w:r>
      <w:r w:rsidR="00E27C49" w:rsidRPr="00631676">
        <w:rPr>
          <w:rFonts w:cstheme="minorHAnsi"/>
        </w:rPr>
        <w:t xml:space="preserve">unequivocally explained that the potential penalty </w:t>
      </w:r>
      <w:r w:rsidR="00895B30">
        <w:rPr>
          <w:rFonts w:cstheme="minorHAnsi"/>
        </w:rPr>
        <w:t xml:space="preserve">of life imprisonment </w:t>
      </w:r>
      <w:r w:rsidR="00E27C49" w:rsidRPr="00631676">
        <w:rPr>
          <w:rFonts w:cstheme="minorHAnsi"/>
        </w:rPr>
        <w:t xml:space="preserve">“would be a factor” in determining guilt.  The trial court </w:t>
      </w:r>
      <w:r w:rsidR="003265AA" w:rsidRPr="00631676">
        <w:rPr>
          <w:rFonts w:cstheme="minorHAnsi"/>
        </w:rPr>
        <w:t>concluded</w:t>
      </w:r>
      <w:r w:rsidR="00E27C49" w:rsidRPr="00631676">
        <w:rPr>
          <w:rFonts w:cstheme="minorHAnsi"/>
        </w:rPr>
        <w:t xml:space="preserve"> </w:t>
      </w:r>
      <w:r>
        <w:rPr>
          <w:rFonts w:cstheme="minorHAnsi"/>
        </w:rPr>
        <w:t xml:space="preserve">F.G. </w:t>
      </w:r>
      <w:r w:rsidR="00E27C49" w:rsidRPr="00631676">
        <w:rPr>
          <w:rFonts w:cstheme="minorHAnsi"/>
        </w:rPr>
        <w:t xml:space="preserve">would be unable to follow </w:t>
      </w:r>
      <w:r w:rsidR="00631962" w:rsidRPr="00631676">
        <w:rPr>
          <w:rFonts w:cstheme="minorHAnsi"/>
        </w:rPr>
        <w:t xml:space="preserve">the trial court’s instructions </w:t>
      </w:r>
      <w:r w:rsidR="00E27C49" w:rsidRPr="00631676">
        <w:rPr>
          <w:rFonts w:cstheme="minorHAnsi"/>
        </w:rPr>
        <w:t xml:space="preserve">and </w:t>
      </w:r>
      <w:r w:rsidR="00C30934">
        <w:rPr>
          <w:rFonts w:cstheme="minorHAnsi"/>
        </w:rPr>
        <w:t xml:space="preserve">evaluate the evidence of defendant’s </w:t>
      </w:r>
      <w:r w:rsidR="00E27C49" w:rsidRPr="00631676">
        <w:rPr>
          <w:rFonts w:cstheme="minorHAnsi"/>
        </w:rPr>
        <w:t>guilt without co</w:t>
      </w:r>
      <w:r w:rsidR="003265AA" w:rsidRPr="00631676">
        <w:rPr>
          <w:rFonts w:cstheme="minorHAnsi"/>
        </w:rPr>
        <w:t xml:space="preserve">nsidering the potential penalty, </w:t>
      </w:r>
      <w:r w:rsidR="00E27C49" w:rsidRPr="00631676">
        <w:rPr>
          <w:rFonts w:cstheme="minorHAnsi"/>
        </w:rPr>
        <w:t>and for that reason determined dismissal was warranted.  Substantial evidence supports the trial court’s determination.  (</w:t>
      </w:r>
      <w:r w:rsidR="001D6F6D" w:rsidRPr="00631676">
        <w:rPr>
          <w:rFonts w:cstheme="minorHAnsi"/>
          <w:i/>
        </w:rPr>
        <w:t>People v. </w:t>
      </w:r>
      <w:r w:rsidR="00AE10C1" w:rsidRPr="00631676">
        <w:rPr>
          <w:rFonts w:cstheme="minorHAnsi"/>
          <w:i/>
        </w:rPr>
        <w:t>Duenas</w:t>
      </w:r>
      <w:r w:rsidR="00AE10C1" w:rsidRPr="00631676">
        <w:rPr>
          <w:rFonts w:cstheme="minorHAnsi"/>
        </w:rPr>
        <w:t xml:space="preserve">, </w:t>
      </w:r>
      <w:r w:rsidR="00AE10C1" w:rsidRPr="00631676">
        <w:rPr>
          <w:rFonts w:cstheme="minorHAnsi"/>
          <w:i/>
        </w:rPr>
        <w:t>supra</w:t>
      </w:r>
      <w:r w:rsidR="00AE10C1" w:rsidRPr="00631676">
        <w:rPr>
          <w:rFonts w:cstheme="minorHAnsi"/>
        </w:rPr>
        <w:t>, 55 Cal.4th at p.</w:t>
      </w:r>
      <w:r w:rsidR="00FC5B99" w:rsidRPr="00631676">
        <w:rPr>
          <w:rFonts w:cstheme="minorHAnsi"/>
        </w:rPr>
        <w:t> </w:t>
      </w:r>
      <w:r w:rsidR="00AE10C1" w:rsidRPr="00631676">
        <w:rPr>
          <w:rFonts w:cstheme="minorHAnsi"/>
        </w:rPr>
        <w:t>10.</w:t>
      </w:r>
      <w:r w:rsidR="00E27C49" w:rsidRPr="00631676">
        <w:rPr>
          <w:rFonts w:cstheme="minorHAnsi"/>
        </w:rPr>
        <w:t>)</w:t>
      </w:r>
      <w:r w:rsidR="00E40CCE" w:rsidRPr="00631676">
        <w:rPr>
          <w:rFonts w:cstheme="minorHAnsi"/>
        </w:rPr>
        <w:t xml:space="preserve">  </w:t>
      </w:r>
    </w:p>
    <w:p w14:paraId="5FACE6A1" w14:textId="34DE7E2E" w:rsidR="00C229D8" w:rsidRPr="00631676" w:rsidRDefault="00E40CCE" w:rsidP="00F23C4F">
      <w:pPr>
        <w:rPr>
          <w:rFonts w:cstheme="minorHAnsi"/>
        </w:rPr>
      </w:pPr>
      <w:r w:rsidRPr="00631676">
        <w:rPr>
          <w:rFonts w:cstheme="minorHAnsi"/>
        </w:rPr>
        <w:lastRenderedPageBreak/>
        <w:tab/>
      </w:r>
      <w:r w:rsidR="00C229D8" w:rsidRPr="00631676">
        <w:rPr>
          <w:rFonts w:cstheme="minorHAnsi"/>
        </w:rPr>
        <w:t xml:space="preserve">Defendant raises several challenges to this conclusion, but none is persuasive.  First, </w:t>
      </w:r>
      <w:r w:rsidR="005D4B36" w:rsidRPr="00631676">
        <w:rPr>
          <w:rFonts w:cstheme="minorHAnsi"/>
        </w:rPr>
        <w:t>d</w:t>
      </w:r>
      <w:r w:rsidRPr="00631676">
        <w:rPr>
          <w:rFonts w:cstheme="minorHAnsi"/>
        </w:rPr>
        <w:t xml:space="preserve">efendant argues </w:t>
      </w:r>
      <w:r w:rsidR="0048121D" w:rsidRPr="00631676">
        <w:rPr>
          <w:rFonts w:cstheme="minorHAnsi"/>
        </w:rPr>
        <w:t>it was improper for the trial court to excuse F.G. absent a request from one of the parties.  Our cases, however, do not forbid a trial court from excusing a juror for cause on its own motion</w:t>
      </w:r>
      <w:r w:rsidR="00F73F59" w:rsidRPr="00631676">
        <w:rPr>
          <w:rFonts w:cstheme="minorHAnsi"/>
        </w:rPr>
        <w:t xml:space="preserve"> (see </w:t>
      </w:r>
      <w:r w:rsidR="00F73F59" w:rsidRPr="00631676">
        <w:rPr>
          <w:rFonts w:cstheme="minorHAnsi"/>
          <w:i/>
        </w:rPr>
        <w:t>People v. Cunningham</w:t>
      </w:r>
      <w:r w:rsidR="00F73F59" w:rsidRPr="00631676">
        <w:rPr>
          <w:rFonts w:cstheme="minorHAnsi"/>
        </w:rPr>
        <w:t xml:space="preserve">, </w:t>
      </w:r>
      <w:r w:rsidR="00F73F59" w:rsidRPr="00631676">
        <w:rPr>
          <w:rFonts w:cstheme="minorHAnsi"/>
          <w:i/>
        </w:rPr>
        <w:t>supra</w:t>
      </w:r>
      <w:r w:rsidR="00F73F59" w:rsidRPr="00631676">
        <w:rPr>
          <w:rFonts w:cstheme="minorHAnsi"/>
        </w:rPr>
        <w:t xml:space="preserve">, </w:t>
      </w:r>
      <w:r w:rsidR="0027424E" w:rsidRPr="00631676">
        <w:rPr>
          <w:rFonts w:cstheme="minorHAnsi"/>
        </w:rPr>
        <w:t>25 Cal.4th at p.</w:t>
      </w:r>
      <w:r w:rsidR="00FF20CA" w:rsidRPr="00631676">
        <w:rPr>
          <w:rFonts w:cstheme="minorHAnsi"/>
        </w:rPr>
        <w:t> </w:t>
      </w:r>
      <w:r w:rsidR="0027424E" w:rsidRPr="00631676">
        <w:rPr>
          <w:rFonts w:cstheme="minorHAnsi"/>
        </w:rPr>
        <w:t>981)</w:t>
      </w:r>
      <w:r w:rsidR="0048121D" w:rsidRPr="00631676">
        <w:rPr>
          <w:rFonts w:cstheme="minorHAnsi"/>
        </w:rPr>
        <w:t xml:space="preserve">, and defendant offers no persuasive reason </w:t>
      </w:r>
      <w:r w:rsidR="009B3273" w:rsidRPr="00631676">
        <w:rPr>
          <w:rFonts w:cstheme="minorHAnsi"/>
        </w:rPr>
        <w:t xml:space="preserve">for us to </w:t>
      </w:r>
      <w:r w:rsidR="000A3049" w:rsidRPr="00631676">
        <w:rPr>
          <w:rFonts w:cstheme="minorHAnsi"/>
        </w:rPr>
        <w:t>create such a bar.</w:t>
      </w:r>
    </w:p>
    <w:p w14:paraId="7046C2F5" w14:textId="527A0E03" w:rsidR="007A5827" w:rsidRPr="00631676" w:rsidRDefault="00C229D8" w:rsidP="00F23C4F">
      <w:pPr>
        <w:rPr>
          <w:rFonts w:cstheme="minorHAnsi"/>
        </w:rPr>
      </w:pPr>
      <w:r w:rsidRPr="00631676">
        <w:rPr>
          <w:rFonts w:cstheme="minorHAnsi"/>
        </w:rPr>
        <w:tab/>
      </w:r>
      <w:r w:rsidR="000A3049" w:rsidRPr="00631676">
        <w:rPr>
          <w:rFonts w:cstheme="minorHAnsi"/>
        </w:rPr>
        <w:t>Defendant</w:t>
      </w:r>
      <w:r w:rsidRPr="00631676">
        <w:rPr>
          <w:rFonts w:cstheme="minorHAnsi"/>
        </w:rPr>
        <w:t xml:space="preserve"> next argues the </w:t>
      </w:r>
      <w:r w:rsidR="00797549" w:rsidRPr="00631676">
        <w:rPr>
          <w:rFonts w:cstheme="minorHAnsi"/>
        </w:rPr>
        <w:t xml:space="preserve">excusal was improper under </w:t>
      </w:r>
      <w:r w:rsidR="00E40CCE" w:rsidRPr="00631676">
        <w:rPr>
          <w:rFonts w:cstheme="minorHAnsi"/>
          <w:i/>
        </w:rPr>
        <w:t>Adams v. Texas</w:t>
      </w:r>
      <w:r w:rsidR="00A65EF8" w:rsidRPr="00631676">
        <w:rPr>
          <w:rFonts w:cstheme="minorHAnsi"/>
        </w:rPr>
        <w:t xml:space="preserve"> (1980) 448 </w:t>
      </w:r>
      <w:r w:rsidR="0016621E" w:rsidRPr="00631676">
        <w:rPr>
          <w:rFonts w:cstheme="minorHAnsi"/>
        </w:rPr>
        <w:t>U.S. 38</w:t>
      </w:r>
      <w:r w:rsidR="00761781" w:rsidRPr="00631676">
        <w:rPr>
          <w:rFonts w:cstheme="minorHAnsi"/>
        </w:rPr>
        <w:t xml:space="preserve">, </w:t>
      </w:r>
      <w:r w:rsidR="003E02BA" w:rsidRPr="00631676">
        <w:rPr>
          <w:rFonts w:cstheme="minorHAnsi"/>
        </w:rPr>
        <w:t xml:space="preserve">which held that </w:t>
      </w:r>
      <w:r w:rsidR="00761781" w:rsidRPr="00631676">
        <w:rPr>
          <w:rFonts w:cstheme="minorHAnsi"/>
        </w:rPr>
        <w:t xml:space="preserve">the </w:t>
      </w:r>
      <w:r w:rsidR="00316117" w:rsidRPr="00631676">
        <w:rPr>
          <w:rFonts w:cstheme="minorHAnsi"/>
        </w:rPr>
        <w:t xml:space="preserve">federal </w:t>
      </w:r>
      <w:r w:rsidR="00761781" w:rsidRPr="00631676">
        <w:rPr>
          <w:rFonts w:cstheme="minorHAnsi"/>
        </w:rPr>
        <w:t>Constitution prohibits the exclusion for cause of a potential juror because he or she is unable to state under oath that the mandatory sentence of death or life imprisonment “</w:t>
      </w:r>
      <w:r w:rsidR="00F0780A" w:rsidRPr="00631676">
        <w:rPr>
          <w:rFonts w:cstheme="minorHAnsi"/>
        </w:rPr>
        <w:t> ‘</w:t>
      </w:r>
      <w:r w:rsidR="00761781" w:rsidRPr="00631676">
        <w:rPr>
          <w:rFonts w:cstheme="minorHAnsi"/>
        </w:rPr>
        <w:t xml:space="preserve">will not affect his </w:t>
      </w:r>
      <w:r w:rsidR="00EE728B">
        <w:rPr>
          <w:rFonts w:cstheme="minorHAnsi"/>
        </w:rPr>
        <w:t xml:space="preserve">[or her] </w:t>
      </w:r>
      <w:r w:rsidR="00761781" w:rsidRPr="00631676">
        <w:rPr>
          <w:rFonts w:cstheme="minorHAnsi"/>
        </w:rPr>
        <w:t>deliberations on any issue of fact.</w:t>
      </w:r>
      <w:r w:rsidR="00EB4B1C" w:rsidRPr="00631676">
        <w:rPr>
          <w:rFonts w:cstheme="minorHAnsi"/>
        </w:rPr>
        <w:t>’ </w:t>
      </w:r>
      <w:r w:rsidR="00761781" w:rsidRPr="00631676">
        <w:rPr>
          <w:rFonts w:cstheme="minorHAnsi"/>
        </w:rPr>
        <w:t>”</w:t>
      </w:r>
      <w:r w:rsidR="00EB5CE8" w:rsidRPr="00631676">
        <w:rPr>
          <w:rFonts w:cstheme="minorHAnsi"/>
        </w:rPr>
        <w:t xml:space="preserve"> </w:t>
      </w:r>
      <w:r w:rsidR="00F91B91">
        <w:rPr>
          <w:rFonts w:cstheme="minorHAnsi"/>
        </w:rPr>
        <w:t xml:space="preserve"> </w:t>
      </w:r>
      <w:r w:rsidR="00F0780A" w:rsidRPr="00631676">
        <w:rPr>
          <w:rFonts w:cstheme="minorHAnsi"/>
        </w:rPr>
        <w:t>(</w:t>
      </w:r>
      <w:r w:rsidR="00F0780A" w:rsidRPr="00631676">
        <w:rPr>
          <w:rFonts w:cstheme="minorHAnsi"/>
          <w:i/>
        </w:rPr>
        <w:t>Id.</w:t>
      </w:r>
      <w:r w:rsidR="00F0780A" w:rsidRPr="00631676">
        <w:rPr>
          <w:rFonts w:cstheme="minorHAnsi"/>
        </w:rPr>
        <w:t xml:space="preserve"> at p. 42, quoting Tex. Pen. Code Ann. § 12.31.)  </w:t>
      </w:r>
      <w:r w:rsidR="00761781" w:rsidRPr="00631676">
        <w:rPr>
          <w:rFonts w:cstheme="minorHAnsi"/>
        </w:rPr>
        <w:t xml:space="preserve">The court explained the effect of the requirement was to exclude from the jury pool those </w:t>
      </w:r>
      <w:r w:rsidR="00EB5CE8" w:rsidRPr="00631676">
        <w:rPr>
          <w:rFonts w:cstheme="minorHAnsi"/>
        </w:rPr>
        <w:t>who stated “they would be ‘affected’ by the possibility of the death penalty, but who apparently meant only that the potentially lethal consequences of their decision would invest their deliberations with greater seriousness and gravity or would involve them emotionally.”  (</w:t>
      </w:r>
      <w:r w:rsidR="00567CD4" w:rsidRPr="00567CD4">
        <w:rPr>
          <w:rFonts w:cstheme="minorHAnsi"/>
          <w:i/>
        </w:rPr>
        <w:t>Adams</w:t>
      </w:r>
      <w:r w:rsidR="00567CD4">
        <w:rPr>
          <w:rFonts w:cstheme="minorHAnsi"/>
        </w:rPr>
        <w:t>,</w:t>
      </w:r>
      <w:r w:rsidR="00EB5CE8" w:rsidRPr="00631676">
        <w:rPr>
          <w:rFonts w:cstheme="minorHAnsi"/>
        </w:rPr>
        <w:t xml:space="preserve"> at </w:t>
      </w:r>
      <w:r w:rsidR="00EE728B">
        <w:rPr>
          <w:rFonts w:cstheme="minorHAnsi"/>
        </w:rPr>
        <w:t>p</w:t>
      </w:r>
      <w:r w:rsidR="00EB5CE8" w:rsidRPr="00631676">
        <w:rPr>
          <w:rFonts w:cstheme="minorHAnsi"/>
        </w:rPr>
        <w:t>p.</w:t>
      </w:r>
      <w:r w:rsidR="00FC5B99" w:rsidRPr="00631676">
        <w:rPr>
          <w:rFonts w:cstheme="minorHAnsi"/>
        </w:rPr>
        <w:t> </w:t>
      </w:r>
      <w:r w:rsidR="00EB5CE8" w:rsidRPr="00631676">
        <w:rPr>
          <w:rFonts w:cstheme="minorHAnsi"/>
        </w:rPr>
        <w:t>49</w:t>
      </w:r>
      <w:r w:rsidR="00EE728B" w:rsidRPr="001D0F5A">
        <w:rPr>
          <w:rFonts w:cstheme="minorHAnsi"/>
        </w:rPr>
        <w:t>–</w:t>
      </w:r>
      <w:r w:rsidR="00EE728B">
        <w:rPr>
          <w:rFonts w:cstheme="minorHAnsi"/>
        </w:rPr>
        <w:t>50</w:t>
      </w:r>
      <w:r w:rsidR="00EB5CE8" w:rsidRPr="00631676">
        <w:rPr>
          <w:rFonts w:cstheme="minorHAnsi"/>
        </w:rPr>
        <w:t xml:space="preserve">.)  </w:t>
      </w:r>
    </w:p>
    <w:p w14:paraId="07188AA7" w14:textId="0D8CD4C0" w:rsidR="000A3049" w:rsidRPr="00631676" w:rsidRDefault="00C229D8" w:rsidP="00F23C4F">
      <w:pPr>
        <w:ind w:firstLine="720"/>
        <w:rPr>
          <w:rFonts w:cstheme="minorHAnsi"/>
        </w:rPr>
      </w:pPr>
      <w:r w:rsidRPr="00631676">
        <w:rPr>
          <w:rFonts w:cstheme="minorHAnsi"/>
        </w:rPr>
        <w:t xml:space="preserve">This case presents no comparable circumstances.  </w:t>
      </w:r>
      <w:r w:rsidR="005B2FC4" w:rsidRPr="00631676">
        <w:rPr>
          <w:rFonts w:cstheme="minorHAnsi"/>
        </w:rPr>
        <w:t xml:space="preserve">Although defendant argues otherwise, in this case the trial court </w:t>
      </w:r>
      <w:r w:rsidR="007729F1" w:rsidRPr="00631676">
        <w:rPr>
          <w:rFonts w:cstheme="minorHAnsi"/>
        </w:rPr>
        <w:t xml:space="preserve">reasonably </w:t>
      </w:r>
      <w:r w:rsidR="005B2FC4" w:rsidRPr="00631676">
        <w:rPr>
          <w:rFonts w:cstheme="minorHAnsi"/>
        </w:rPr>
        <w:t xml:space="preserve">understood F.G. to say </w:t>
      </w:r>
      <w:r w:rsidRPr="00631676">
        <w:rPr>
          <w:rFonts w:cstheme="minorHAnsi"/>
        </w:rPr>
        <w:t xml:space="preserve">not merely </w:t>
      </w:r>
      <w:r w:rsidR="005B2FC4" w:rsidRPr="00631676">
        <w:rPr>
          <w:rFonts w:cstheme="minorHAnsi"/>
        </w:rPr>
        <w:t xml:space="preserve">that his prior experiences </w:t>
      </w:r>
      <w:r w:rsidR="007729F1" w:rsidRPr="00631676">
        <w:rPr>
          <w:rFonts w:cstheme="minorHAnsi"/>
        </w:rPr>
        <w:t xml:space="preserve">and views </w:t>
      </w:r>
      <w:r w:rsidR="005B2FC4" w:rsidRPr="00631676">
        <w:rPr>
          <w:rFonts w:cstheme="minorHAnsi"/>
        </w:rPr>
        <w:t xml:space="preserve">would cause him to perform his duties as a juror with a particular sense of seriousness and gravity, but that they would </w:t>
      </w:r>
      <w:r w:rsidR="00C30934">
        <w:rPr>
          <w:rFonts w:cstheme="minorHAnsi"/>
        </w:rPr>
        <w:t>undermine his ability to impartially evaluate the evidence of defendant’s guilt</w:t>
      </w:r>
      <w:r w:rsidR="005B2FC4" w:rsidRPr="00631676">
        <w:rPr>
          <w:rFonts w:cstheme="minorHAnsi"/>
        </w:rPr>
        <w:t>.</w:t>
      </w:r>
      <w:r w:rsidR="00931967" w:rsidRPr="00631676">
        <w:rPr>
          <w:rFonts w:cstheme="minorHAnsi"/>
        </w:rPr>
        <w:t xml:space="preserve"> </w:t>
      </w:r>
      <w:r w:rsidR="009D5BE0" w:rsidRPr="00631676">
        <w:rPr>
          <w:rFonts w:cstheme="minorHAnsi"/>
        </w:rPr>
        <w:t xml:space="preserve"> </w:t>
      </w:r>
      <w:r w:rsidR="0048121D" w:rsidRPr="00631676">
        <w:rPr>
          <w:rFonts w:cstheme="minorHAnsi"/>
          <w:i/>
        </w:rPr>
        <w:t>Adams</w:t>
      </w:r>
      <w:r w:rsidR="0048121D" w:rsidRPr="00631676">
        <w:rPr>
          <w:rFonts w:cstheme="minorHAnsi"/>
        </w:rPr>
        <w:t xml:space="preserve"> does not bar the excusal of such a juror.</w:t>
      </w:r>
      <w:r w:rsidR="00C30934">
        <w:rPr>
          <w:rFonts w:cstheme="minorHAnsi"/>
        </w:rPr>
        <w:t xml:space="preserve">  </w:t>
      </w:r>
      <w:r w:rsidR="0048121D" w:rsidRPr="00631676">
        <w:rPr>
          <w:rFonts w:cstheme="minorHAnsi"/>
        </w:rPr>
        <w:t xml:space="preserve">(See </w:t>
      </w:r>
      <w:r w:rsidR="0016621E" w:rsidRPr="00631676">
        <w:rPr>
          <w:rFonts w:cstheme="minorHAnsi"/>
          <w:i/>
        </w:rPr>
        <w:t>People v. Ashmus</w:t>
      </w:r>
      <w:r w:rsidR="0016621E" w:rsidRPr="00631676">
        <w:rPr>
          <w:rFonts w:cstheme="minorHAnsi"/>
        </w:rPr>
        <w:t xml:space="preserve"> (1991) 54 Cal.3d 932, 963</w:t>
      </w:r>
      <w:r w:rsidR="000A3049" w:rsidRPr="00631676">
        <w:rPr>
          <w:rFonts w:cstheme="minorHAnsi"/>
        </w:rPr>
        <w:t xml:space="preserve"> [</w:t>
      </w:r>
      <w:r w:rsidR="000A3049" w:rsidRPr="00631676">
        <w:rPr>
          <w:rFonts w:cstheme="minorHAnsi"/>
          <w:i/>
        </w:rPr>
        <w:t>Adams</w:t>
      </w:r>
      <w:r w:rsidR="000A3049" w:rsidRPr="00631676">
        <w:rPr>
          <w:rFonts w:cstheme="minorHAnsi"/>
        </w:rPr>
        <w:t xml:space="preserve"> does not forbid excusal of juror who admitted that his views on the death penalty would cause him to </w:t>
      </w:r>
      <w:r w:rsidR="00B203D6" w:rsidRPr="00631676">
        <w:rPr>
          <w:rFonts w:cstheme="minorHAnsi"/>
        </w:rPr>
        <w:t>apply a standard of proof higher than proof beyond a reasonable doubt].)</w:t>
      </w:r>
      <w:r w:rsidR="007C304C" w:rsidRPr="00631676">
        <w:rPr>
          <w:rFonts w:cstheme="minorHAnsi"/>
        </w:rPr>
        <w:t xml:space="preserve">  </w:t>
      </w:r>
    </w:p>
    <w:p w14:paraId="538BEC2D" w14:textId="484670C7" w:rsidR="005C4827" w:rsidRPr="00631676" w:rsidRDefault="005C4827" w:rsidP="00F23C4F">
      <w:pPr>
        <w:rPr>
          <w:rFonts w:cstheme="minorHAnsi"/>
        </w:rPr>
      </w:pPr>
      <w:r w:rsidRPr="00631676">
        <w:rPr>
          <w:rFonts w:cstheme="minorHAnsi"/>
        </w:rPr>
        <w:lastRenderedPageBreak/>
        <w:tab/>
      </w:r>
      <w:r w:rsidR="009D5BE0" w:rsidRPr="00631676">
        <w:rPr>
          <w:rFonts w:cstheme="minorHAnsi"/>
        </w:rPr>
        <w:t>D</w:t>
      </w:r>
      <w:r w:rsidRPr="00631676">
        <w:rPr>
          <w:rFonts w:cstheme="minorHAnsi"/>
        </w:rPr>
        <w:t xml:space="preserve">efendant </w:t>
      </w:r>
      <w:r w:rsidR="009D5BE0" w:rsidRPr="00631676">
        <w:rPr>
          <w:rFonts w:cstheme="minorHAnsi"/>
        </w:rPr>
        <w:t xml:space="preserve">also </w:t>
      </w:r>
      <w:r w:rsidR="00541AB6" w:rsidRPr="00631676">
        <w:rPr>
          <w:rFonts w:cstheme="minorHAnsi"/>
        </w:rPr>
        <w:t xml:space="preserve">attempts to analogize this case to </w:t>
      </w:r>
      <w:r w:rsidRPr="00631676">
        <w:rPr>
          <w:rFonts w:cstheme="minorHAnsi"/>
          <w:i/>
        </w:rPr>
        <w:t>People v. Heard</w:t>
      </w:r>
      <w:r w:rsidR="004800E1" w:rsidRPr="00631676">
        <w:rPr>
          <w:rFonts w:cstheme="minorHAnsi"/>
        </w:rPr>
        <w:t xml:space="preserve"> (2003) 31 </w:t>
      </w:r>
      <w:r w:rsidRPr="00631676">
        <w:rPr>
          <w:rFonts w:cstheme="minorHAnsi"/>
        </w:rPr>
        <w:t>Cal.4th 946</w:t>
      </w:r>
      <w:r w:rsidR="00541AB6" w:rsidRPr="00631676">
        <w:rPr>
          <w:rFonts w:cstheme="minorHAnsi"/>
        </w:rPr>
        <w:t xml:space="preserve">, in which we held that a </w:t>
      </w:r>
      <w:r w:rsidRPr="00631676">
        <w:rPr>
          <w:rFonts w:cstheme="minorHAnsi"/>
        </w:rPr>
        <w:t xml:space="preserve">prospective juror was dismissed </w:t>
      </w:r>
      <w:r w:rsidR="00FB68A4" w:rsidRPr="00631676">
        <w:rPr>
          <w:rFonts w:cstheme="minorHAnsi"/>
        </w:rPr>
        <w:t xml:space="preserve">without adequate basis </w:t>
      </w:r>
      <w:r w:rsidRPr="00631676">
        <w:rPr>
          <w:rFonts w:cstheme="minorHAnsi"/>
        </w:rPr>
        <w:t>after</w:t>
      </w:r>
      <w:r w:rsidR="00FB68A4" w:rsidRPr="00631676">
        <w:rPr>
          <w:rFonts w:cstheme="minorHAnsi"/>
        </w:rPr>
        <w:t xml:space="preserve"> assuring the court he would be able to follow the law.  (</w:t>
      </w:r>
      <w:r w:rsidR="00FB68A4" w:rsidRPr="00631676">
        <w:rPr>
          <w:rFonts w:cstheme="minorHAnsi"/>
          <w:i/>
        </w:rPr>
        <w:t>Id.</w:t>
      </w:r>
      <w:r w:rsidR="00FB68A4" w:rsidRPr="00631676">
        <w:rPr>
          <w:rFonts w:cstheme="minorHAnsi"/>
        </w:rPr>
        <w:t xml:space="preserve"> at p.</w:t>
      </w:r>
      <w:r w:rsidR="00FC5B99" w:rsidRPr="00631676">
        <w:rPr>
          <w:rFonts w:cstheme="minorHAnsi"/>
        </w:rPr>
        <w:t> </w:t>
      </w:r>
      <w:r w:rsidR="00FB68A4" w:rsidRPr="00631676">
        <w:rPr>
          <w:rFonts w:cstheme="minorHAnsi"/>
        </w:rPr>
        <w:t xml:space="preserve">964.) </w:t>
      </w:r>
      <w:r w:rsidR="008858AF" w:rsidRPr="00631676">
        <w:rPr>
          <w:rFonts w:cstheme="minorHAnsi"/>
        </w:rPr>
        <w:t xml:space="preserve"> </w:t>
      </w:r>
      <w:r w:rsidR="00E96045" w:rsidRPr="00631676">
        <w:rPr>
          <w:rFonts w:cstheme="minorHAnsi"/>
        </w:rPr>
        <w:t xml:space="preserve">The analogy is inapt; </w:t>
      </w:r>
      <w:r w:rsidR="009A435E" w:rsidRPr="00631676">
        <w:rPr>
          <w:rFonts w:cstheme="minorHAnsi"/>
        </w:rPr>
        <w:t xml:space="preserve">here, F.G.’s </w:t>
      </w:r>
      <w:r w:rsidR="00613F18" w:rsidRPr="00631676">
        <w:rPr>
          <w:rFonts w:cstheme="minorHAnsi"/>
        </w:rPr>
        <w:t>responses to voir dire</w:t>
      </w:r>
      <w:r w:rsidR="009A435E" w:rsidRPr="00631676">
        <w:rPr>
          <w:rFonts w:cstheme="minorHAnsi"/>
        </w:rPr>
        <w:t xml:space="preserve"> indicated he would be</w:t>
      </w:r>
      <w:r w:rsidR="00613F18" w:rsidRPr="00631676">
        <w:rPr>
          <w:rFonts w:cstheme="minorHAnsi"/>
        </w:rPr>
        <w:t xml:space="preserve"> unable to perform the duties of a juror </w:t>
      </w:r>
      <w:r w:rsidR="00AD6334" w:rsidRPr="00631676">
        <w:rPr>
          <w:rFonts w:cstheme="minorHAnsi"/>
        </w:rPr>
        <w:t>insofar as he</w:t>
      </w:r>
      <w:r w:rsidR="00EC6AF9" w:rsidRPr="00631676">
        <w:rPr>
          <w:rFonts w:cstheme="minorHAnsi"/>
        </w:rPr>
        <w:t xml:space="preserve"> informed the </w:t>
      </w:r>
      <w:proofErr w:type="gramStart"/>
      <w:r w:rsidR="00EC6AF9" w:rsidRPr="00631676">
        <w:rPr>
          <w:rFonts w:cstheme="minorHAnsi"/>
        </w:rPr>
        <w:t>court</w:t>
      </w:r>
      <w:proofErr w:type="gramEnd"/>
      <w:r w:rsidR="00EC6AF9" w:rsidRPr="00631676">
        <w:rPr>
          <w:rFonts w:cstheme="minorHAnsi"/>
        </w:rPr>
        <w:t xml:space="preserve"> he </w:t>
      </w:r>
      <w:r w:rsidR="00294511" w:rsidRPr="00631676">
        <w:rPr>
          <w:rFonts w:cstheme="minorHAnsi"/>
        </w:rPr>
        <w:t>could not</w:t>
      </w:r>
      <w:r w:rsidR="00613F18" w:rsidRPr="00631676">
        <w:rPr>
          <w:rFonts w:cstheme="minorHAnsi"/>
        </w:rPr>
        <w:t xml:space="preserve"> </w:t>
      </w:r>
      <w:r w:rsidR="009A435E" w:rsidRPr="00631676">
        <w:rPr>
          <w:rFonts w:cstheme="minorHAnsi"/>
        </w:rPr>
        <w:t xml:space="preserve">follow the court’s instructions to </w:t>
      </w:r>
      <w:r w:rsidR="00613F18" w:rsidRPr="00631676">
        <w:rPr>
          <w:rFonts w:cstheme="minorHAnsi"/>
        </w:rPr>
        <w:t>determine guilt without taking into account the possible penalty.</w:t>
      </w:r>
      <w:r w:rsidR="00EC6AF9" w:rsidRPr="00631676">
        <w:rPr>
          <w:rFonts w:cstheme="minorHAnsi"/>
        </w:rPr>
        <w:t xml:space="preserve">  Substantial evidence supports the trial court’s dismissal, and</w:t>
      </w:r>
      <w:r w:rsidR="00D86D43" w:rsidRPr="00631676">
        <w:rPr>
          <w:rFonts w:cstheme="minorHAnsi"/>
        </w:rPr>
        <w:t xml:space="preserve"> </w:t>
      </w:r>
      <w:r w:rsidR="00EC6AF9" w:rsidRPr="00631676">
        <w:rPr>
          <w:rFonts w:cstheme="minorHAnsi"/>
        </w:rPr>
        <w:t>we are presented with no reason to upset that decision on appeal.  (</w:t>
      </w:r>
      <w:r w:rsidR="00EC6AF9" w:rsidRPr="00631676">
        <w:rPr>
          <w:rFonts w:cstheme="minorHAnsi"/>
          <w:i/>
        </w:rPr>
        <w:t xml:space="preserve">People v. </w:t>
      </w:r>
      <w:r w:rsidR="00AE10C1" w:rsidRPr="00631676">
        <w:rPr>
          <w:rFonts w:cstheme="minorHAnsi"/>
          <w:i/>
        </w:rPr>
        <w:t>Duenas</w:t>
      </w:r>
      <w:r w:rsidR="00AE10C1" w:rsidRPr="00631676">
        <w:rPr>
          <w:rFonts w:cstheme="minorHAnsi"/>
        </w:rPr>
        <w:t xml:space="preserve">, </w:t>
      </w:r>
      <w:r w:rsidR="00AE10C1" w:rsidRPr="00631676">
        <w:rPr>
          <w:rFonts w:cstheme="minorHAnsi"/>
          <w:i/>
        </w:rPr>
        <w:t>supra</w:t>
      </w:r>
      <w:r w:rsidR="00AE10C1" w:rsidRPr="00631676">
        <w:rPr>
          <w:rFonts w:cstheme="minorHAnsi"/>
        </w:rPr>
        <w:t>, 55 Cal.4th at p.</w:t>
      </w:r>
      <w:r w:rsidR="00FC5B99" w:rsidRPr="00631676">
        <w:rPr>
          <w:rFonts w:cstheme="minorHAnsi"/>
        </w:rPr>
        <w:t> </w:t>
      </w:r>
      <w:r w:rsidR="00AE10C1" w:rsidRPr="00631676">
        <w:rPr>
          <w:rFonts w:cstheme="minorHAnsi"/>
        </w:rPr>
        <w:t>10</w:t>
      </w:r>
      <w:r w:rsidR="00EC6AF9" w:rsidRPr="00631676">
        <w:rPr>
          <w:rFonts w:cstheme="minorHAnsi"/>
        </w:rPr>
        <w:t>.)</w:t>
      </w:r>
      <w:r w:rsidR="00895B30" w:rsidRPr="00895B30">
        <w:rPr>
          <w:rStyle w:val="FootnoteReference"/>
          <w:rFonts w:cstheme="minorHAnsi"/>
        </w:rPr>
        <w:t xml:space="preserve"> </w:t>
      </w:r>
      <w:r w:rsidR="00895B30" w:rsidRPr="00631676">
        <w:rPr>
          <w:rStyle w:val="FootnoteReference"/>
          <w:rFonts w:cstheme="minorHAnsi"/>
        </w:rPr>
        <w:footnoteReference w:id="7"/>
      </w:r>
    </w:p>
    <w:p w14:paraId="39F06D70" w14:textId="7DAC557F" w:rsidR="0057430E" w:rsidRPr="001340F8" w:rsidRDefault="003B3670" w:rsidP="001340F8">
      <w:pPr>
        <w:pStyle w:val="Heading2"/>
        <w:rPr>
          <w:rFonts w:cstheme="minorHAnsi"/>
        </w:rPr>
      </w:pPr>
      <w:r w:rsidRPr="001340F8">
        <w:rPr>
          <w:rFonts w:cstheme="minorHAnsi"/>
          <w:szCs w:val="26"/>
        </w:rPr>
        <w:tab/>
      </w:r>
      <w:bookmarkStart w:id="26" w:name="_Toc12993764"/>
      <w:r w:rsidR="00F92B9A" w:rsidRPr="001340F8">
        <w:rPr>
          <w:rFonts w:cstheme="minorHAnsi"/>
          <w:szCs w:val="26"/>
        </w:rPr>
        <w:t>C.</w:t>
      </w:r>
      <w:r w:rsidR="00F92B9A" w:rsidRPr="001340F8">
        <w:rPr>
          <w:rFonts w:cstheme="minorHAnsi"/>
          <w:szCs w:val="26"/>
        </w:rPr>
        <w:tab/>
      </w:r>
      <w:r w:rsidR="001475C3">
        <w:rPr>
          <w:rFonts w:cstheme="minorHAnsi"/>
          <w:szCs w:val="26"/>
        </w:rPr>
        <w:tab/>
      </w:r>
      <w:r w:rsidR="00F92B9A" w:rsidRPr="001340F8">
        <w:rPr>
          <w:rFonts w:cstheme="minorHAnsi"/>
          <w:szCs w:val="26"/>
        </w:rPr>
        <w:t>Guilt Phase Claims</w:t>
      </w:r>
      <w:bookmarkEnd w:id="26"/>
    </w:p>
    <w:p w14:paraId="57A33B87" w14:textId="464B2A3C" w:rsidR="00F92B9A" w:rsidRPr="001340F8" w:rsidRDefault="00F92B9A" w:rsidP="001340F8">
      <w:pPr>
        <w:pStyle w:val="Heading3"/>
        <w:rPr>
          <w:rFonts w:cstheme="minorHAnsi"/>
          <w:b/>
        </w:rPr>
      </w:pPr>
      <w:r w:rsidRPr="001340F8">
        <w:rPr>
          <w:rFonts w:cstheme="minorHAnsi"/>
        </w:rPr>
        <w:tab/>
      </w:r>
      <w:r w:rsidR="003B3670" w:rsidRPr="001340F8">
        <w:rPr>
          <w:rFonts w:cstheme="minorHAnsi"/>
        </w:rPr>
        <w:tab/>
      </w:r>
      <w:bookmarkStart w:id="27" w:name="_Toc12993765"/>
      <w:r w:rsidRPr="001340F8">
        <w:rPr>
          <w:rFonts w:cstheme="minorHAnsi"/>
        </w:rPr>
        <w:t>1.</w:t>
      </w:r>
      <w:r w:rsidRPr="001340F8">
        <w:rPr>
          <w:rFonts w:cstheme="minorHAnsi"/>
        </w:rPr>
        <w:tab/>
        <w:t xml:space="preserve">“Second Kidnap” Theory </w:t>
      </w:r>
      <w:bookmarkEnd w:id="27"/>
    </w:p>
    <w:p w14:paraId="2C2F7BB7" w14:textId="071EFA36" w:rsidR="00325627" w:rsidRPr="00631676" w:rsidRDefault="001B4E04" w:rsidP="001340F8">
      <w:pPr>
        <w:rPr>
          <w:rFonts w:cstheme="minorHAnsi"/>
        </w:rPr>
      </w:pPr>
      <w:r w:rsidRPr="00631676">
        <w:rPr>
          <w:rFonts w:cstheme="minorHAnsi"/>
        </w:rPr>
        <w:tab/>
      </w:r>
      <w:r w:rsidR="00325627" w:rsidRPr="00631676">
        <w:rPr>
          <w:rFonts w:cstheme="minorHAnsi"/>
        </w:rPr>
        <w:t xml:space="preserve">Defendant </w:t>
      </w:r>
      <w:r w:rsidR="004316BD" w:rsidRPr="00631676">
        <w:rPr>
          <w:rFonts w:cstheme="minorHAnsi"/>
        </w:rPr>
        <w:t>contends there was a material variance between the kidnap alleged in the indictment and the prosecutor’s argument regarding his actual offense</w:t>
      </w:r>
      <w:r w:rsidR="00125274" w:rsidRPr="00631676">
        <w:rPr>
          <w:rFonts w:cstheme="minorHAnsi"/>
        </w:rPr>
        <w:t>, rendering him unable to defend against the charge in violation of</w:t>
      </w:r>
      <w:r w:rsidR="004316BD" w:rsidRPr="00631676">
        <w:rPr>
          <w:rFonts w:cstheme="minorHAnsi"/>
        </w:rPr>
        <w:t xml:space="preserve"> </w:t>
      </w:r>
      <w:r w:rsidR="00325627" w:rsidRPr="00631676">
        <w:rPr>
          <w:rFonts w:cstheme="minorHAnsi"/>
        </w:rPr>
        <w:t xml:space="preserve">his </w:t>
      </w:r>
      <w:r w:rsidRPr="00631676">
        <w:rPr>
          <w:rFonts w:cstheme="minorHAnsi"/>
        </w:rPr>
        <w:t xml:space="preserve">rights </w:t>
      </w:r>
      <w:r w:rsidRPr="00631676">
        <w:rPr>
          <w:rFonts w:cstheme="minorHAnsi"/>
        </w:rPr>
        <w:lastRenderedPageBreak/>
        <w:t xml:space="preserve">under the </w:t>
      </w:r>
      <w:r w:rsidR="00325627" w:rsidRPr="00631676">
        <w:rPr>
          <w:rFonts w:cstheme="minorHAnsi"/>
        </w:rPr>
        <w:t xml:space="preserve">Fifth </w:t>
      </w:r>
      <w:r w:rsidRPr="00631676">
        <w:rPr>
          <w:rFonts w:cstheme="minorHAnsi"/>
        </w:rPr>
        <w:t>and Sixth Amendments to the United States Constitution</w:t>
      </w:r>
      <w:r w:rsidR="00325627" w:rsidRPr="00631676">
        <w:rPr>
          <w:rFonts w:cstheme="minorHAnsi"/>
        </w:rPr>
        <w:t xml:space="preserve">.  </w:t>
      </w:r>
      <w:r w:rsidR="00721B28">
        <w:rPr>
          <w:rFonts w:cstheme="minorHAnsi"/>
        </w:rPr>
        <w:t>We reject the argument.</w:t>
      </w:r>
    </w:p>
    <w:p w14:paraId="34A9F4DF" w14:textId="3937D657" w:rsidR="009E027A" w:rsidRPr="00631676" w:rsidRDefault="009E027A" w:rsidP="001340F8">
      <w:pPr>
        <w:rPr>
          <w:rFonts w:cstheme="minorHAnsi"/>
        </w:rPr>
      </w:pPr>
      <w:r w:rsidRPr="00631676">
        <w:rPr>
          <w:rFonts w:cstheme="minorHAnsi"/>
        </w:rPr>
        <w:tab/>
      </w:r>
      <w:r w:rsidRPr="00631676">
        <w:rPr>
          <w:rFonts w:cstheme="minorHAnsi"/>
        </w:rPr>
        <w:tab/>
      </w:r>
      <w:r w:rsidR="003B3670" w:rsidRPr="00631676">
        <w:rPr>
          <w:rFonts w:cstheme="minorHAnsi"/>
        </w:rPr>
        <w:tab/>
      </w:r>
      <w:r w:rsidR="001475C3">
        <w:rPr>
          <w:rFonts w:cstheme="minorHAnsi"/>
        </w:rPr>
        <w:tab/>
      </w:r>
      <w:r w:rsidRPr="00631676">
        <w:rPr>
          <w:rFonts w:cstheme="minorHAnsi"/>
          <w:i/>
        </w:rPr>
        <w:t>a.</w:t>
      </w:r>
      <w:r w:rsidRPr="00631676">
        <w:rPr>
          <w:rFonts w:cstheme="minorHAnsi"/>
        </w:rPr>
        <w:tab/>
      </w:r>
      <w:r w:rsidRPr="00631676">
        <w:rPr>
          <w:rFonts w:cstheme="minorHAnsi"/>
          <w:i/>
        </w:rPr>
        <w:t>Background</w:t>
      </w:r>
    </w:p>
    <w:p w14:paraId="7723DD3C" w14:textId="7A95EFEE" w:rsidR="00D1191C" w:rsidRPr="00631676" w:rsidRDefault="00D1191C" w:rsidP="001340F8">
      <w:pPr>
        <w:rPr>
          <w:rFonts w:cstheme="minorHAnsi"/>
        </w:rPr>
      </w:pPr>
      <w:r w:rsidRPr="00631676">
        <w:rPr>
          <w:rFonts w:cstheme="minorHAnsi"/>
        </w:rPr>
        <w:tab/>
        <w:t>Defendant, along with Skidmore, Rugge, Pressley, and Hollywood, was charged by indictment with kidnapping for purposes of ransom or extortion.  Specifically, the charging document stated that “[o]n or about August 6, 2000 through August 9, 2000, in the county of Santa Barbara, the said defendants .</w:t>
      </w:r>
      <w:r w:rsidR="00FC5B99" w:rsidRPr="00631676">
        <w:rPr>
          <w:rFonts w:cstheme="minorHAnsi"/>
        </w:rPr>
        <w:t> </w:t>
      </w:r>
      <w:r w:rsidRPr="00631676">
        <w:rPr>
          <w:rFonts w:cstheme="minorHAnsi"/>
        </w:rPr>
        <w:t>.</w:t>
      </w:r>
      <w:r w:rsidR="00FC5B99" w:rsidRPr="00631676">
        <w:rPr>
          <w:rFonts w:cstheme="minorHAnsi"/>
        </w:rPr>
        <w:t> </w:t>
      </w:r>
      <w:r w:rsidRPr="00631676">
        <w:rPr>
          <w:rFonts w:cstheme="minorHAnsi"/>
        </w:rPr>
        <w:t xml:space="preserve">. did willfully, unlawfully, and forcibly detain, take, carry away, and kidnap NICHOLAS SAMUEL MARKOWITZ, age 15, for purposes of ransom or to commit extortion, or to extract money from another person, in violation of Penal Code section 209(a).”  Five special allegations were charged along with the kidnapping count, including that the victim suffered death </w:t>
      </w:r>
      <w:r w:rsidR="00C146AB" w:rsidRPr="00631676">
        <w:rPr>
          <w:rFonts w:cstheme="minorHAnsi"/>
        </w:rPr>
        <w:t>in the course of the kidnapping and</w:t>
      </w:r>
      <w:r w:rsidRPr="00631676">
        <w:rPr>
          <w:rFonts w:cstheme="minorHAnsi"/>
        </w:rPr>
        <w:t xml:space="preserve"> that </w:t>
      </w:r>
      <w:r w:rsidR="00F521CC" w:rsidRPr="00631676">
        <w:rPr>
          <w:rFonts w:cstheme="minorHAnsi"/>
        </w:rPr>
        <w:t>defendant</w:t>
      </w:r>
      <w:r w:rsidRPr="00631676">
        <w:rPr>
          <w:rFonts w:cstheme="minorHAnsi"/>
        </w:rPr>
        <w:t xml:space="preserve"> intentionally discharged a firearm resulting in Nick’s death</w:t>
      </w:r>
      <w:r w:rsidR="00C146AB" w:rsidRPr="00631676">
        <w:rPr>
          <w:rFonts w:cstheme="minorHAnsi"/>
        </w:rPr>
        <w:t>.</w:t>
      </w:r>
      <w:r w:rsidR="00C146AB" w:rsidRPr="00631676">
        <w:rPr>
          <w:rStyle w:val="FootnoteReference"/>
          <w:rFonts w:cstheme="minorHAnsi"/>
        </w:rPr>
        <w:footnoteReference w:id="8"/>
      </w:r>
      <w:r w:rsidR="00C146AB" w:rsidRPr="00631676">
        <w:rPr>
          <w:rFonts w:cstheme="minorHAnsi"/>
        </w:rPr>
        <w:t xml:space="preserve">  </w:t>
      </w:r>
    </w:p>
    <w:p w14:paraId="35EB38EA" w14:textId="41B8DA79" w:rsidR="00D5601D" w:rsidRPr="00631676" w:rsidRDefault="00E76473" w:rsidP="001340F8">
      <w:pPr>
        <w:rPr>
          <w:rFonts w:cstheme="minorHAnsi"/>
        </w:rPr>
      </w:pPr>
      <w:r w:rsidRPr="00631676">
        <w:rPr>
          <w:rFonts w:cstheme="minorHAnsi"/>
        </w:rPr>
        <w:tab/>
        <w:t xml:space="preserve">During </w:t>
      </w:r>
      <w:r w:rsidR="00125274" w:rsidRPr="00631676">
        <w:rPr>
          <w:rFonts w:cstheme="minorHAnsi"/>
        </w:rPr>
        <w:t xml:space="preserve">his </w:t>
      </w:r>
      <w:r w:rsidRPr="00631676">
        <w:rPr>
          <w:rFonts w:cstheme="minorHAnsi"/>
        </w:rPr>
        <w:t xml:space="preserve">closing argument, </w:t>
      </w:r>
      <w:r w:rsidR="004C7ABE" w:rsidRPr="00631676">
        <w:rPr>
          <w:rFonts w:cstheme="minorHAnsi"/>
        </w:rPr>
        <w:t xml:space="preserve">defense </w:t>
      </w:r>
      <w:r w:rsidRPr="00631676">
        <w:rPr>
          <w:rFonts w:cstheme="minorHAnsi"/>
        </w:rPr>
        <w:t xml:space="preserve">counsel </w:t>
      </w:r>
      <w:r w:rsidR="00125274" w:rsidRPr="00631676">
        <w:rPr>
          <w:rFonts w:cstheme="minorHAnsi"/>
        </w:rPr>
        <w:t>maintain</w:t>
      </w:r>
      <w:r w:rsidRPr="00631676">
        <w:rPr>
          <w:rFonts w:cstheme="minorHAnsi"/>
        </w:rPr>
        <w:t xml:space="preserve">ed that </w:t>
      </w:r>
      <w:r w:rsidR="009919FE" w:rsidRPr="00631676">
        <w:rPr>
          <w:rFonts w:cstheme="minorHAnsi"/>
        </w:rPr>
        <w:t>defendant had taken no part in the charged kid</w:t>
      </w:r>
      <w:r w:rsidR="001B7A51" w:rsidRPr="00631676">
        <w:rPr>
          <w:rFonts w:cstheme="minorHAnsi"/>
        </w:rPr>
        <w:t xml:space="preserve">napping, because that kidnap, which began on August 6, </w:t>
      </w:r>
      <w:r w:rsidR="009919FE" w:rsidRPr="00631676">
        <w:rPr>
          <w:rFonts w:cstheme="minorHAnsi"/>
        </w:rPr>
        <w:t xml:space="preserve">had </w:t>
      </w:r>
      <w:r w:rsidR="001B7A51" w:rsidRPr="00631676">
        <w:rPr>
          <w:rFonts w:cstheme="minorHAnsi"/>
        </w:rPr>
        <w:t xml:space="preserve">ended </w:t>
      </w:r>
      <w:r w:rsidR="00125274" w:rsidRPr="00631676">
        <w:rPr>
          <w:rFonts w:cstheme="minorHAnsi"/>
        </w:rPr>
        <w:t>before defendant drove</w:t>
      </w:r>
      <w:r w:rsidR="00C52298" w:rsidRPr="00631676">
        <w:rPr>
          <w:rFonts w:cstheme="minorHAnsi"/>
        </w:rPr>
        <w:t xml:space="preserve"> to Santa Barbara.  </w:t>
      </w:r>
      <w:r w:rsidR="009919FE" w:rsidRPr="00631676">
        <w:rPr>
          <w:rFonts w:cstheme="minorHAnsi"/>
        </w:rPr>
        <w:t xml:space="preserve">Specifically, </w:t>
      </w:r>
      <w:r w:rsidR="00C52298" w:rsidRPr="00631676">
        <w:rPr>
          <w:rFonts w:cstheme="minorHAnsi"/>
        </w:rPr>
        <w:t xml:space="preserve">counsel argued that the kidnap </w:t>
      </w:r>
      <w:r w:rsidR="00125274" w:rsidRPr="00631676">
        <w:rPr>
          <w:rFonts w:cstheme="minorHAnsi"/>
        </w:rPr>
        <w:t>en</w:t>
      </w:r>
      <w:r w:rsidR="00C52298" w:rsidRPr="00631676">
        <w:rPr>
          <w:rFonts w:cstheme="minorHAnsi"/>
        </w:rPr>
        <w:t>ded when the victim could have fled his captors</w:t>
      </w:r>
      <w:r w:rsidR="00F617F3" w:rsidRPr="00631676">
        <w:rPr>
          <w:rFonts w:cstheme="minorHAnsi"/>
        </w:rPr>
        <w:t>—</w:t>
      </w:r>
      <w:r w:rsidR="00C52298" w:rsidRPr="00631676">
        <w:rPr>
          <w:rFonts w:cstheme="minorHAnsi"/>
        </w:rPr>
        <w:t>but did not</w:t>
      </w:r>
      <w:r w:rsidR="00F617F3" w:rsidRPr="00631676">
        <w:rPr>
          <w:rFonts w:cstheme="minorHAnsi"/>
        </w:rPr>
        <w:t>—</w:t>
      </w:r>
      <w:r w:rsidR="00C52298" w:rsidRPr="00631676">
        <w:rPr>
          <w:rFonts w:cstheme="minorHAnsi"/>
        </w:rPr>
        <w:t>at several points during his captivity.  “[T]his kidnapping .</w:t>
      </w:r>
      <w:r w:rsidR="00FC5B99" w:rsidRPr="00631676">
        <w:rPr>
          <w:rFonts w:cstheme="minorHAnsi"/>
        </w:rPr>
        <w:t> </w:t>
      </w:r>
      <w:r w:rsidR="00C52298" w:rsidRPr="00631676">
        <w:rPr>
          <w:rFonts w:cstheme="minorHAnsi"/>
        </w:rPr>
        <w:t>.</w:t>
      </w:r>
      <w:r w:rsidR="00FC5B99" w:rsidRPr="00631676">
        <w:rPr>
          <w:rFonts w:cstheme="minorHAnsi"/>
        </w:rPr>
        <w:t> </w:t>
      </w:r>
      <w:r w:rsidR="00C52298" w:rsidRPr="00631676">
        <w:rPr>
          <w:rFonts w:cstheme="minorHAnsi"/>
        </w:rPr>
        <w:t>. ended before Mr.</w:t>
      </w:r>
      <w:r w:rsidR="00FC5B99" w:rsidRPr="00631676">
        <w:rPr>
          <w:rFonts w:cstheme="minorHAnsi"/>
        </w:rPr>
        <w:t> </w:t>
      </w:r>
      <w:r w:rsidR="00C52298" w:rsidRPr="00631676">
        <w:rPr>
          <w:rFonts w:cstheme="minorHAnsi"/>
        </w:rPr>
        <w:t>Hoyt ever spoke with Jess</w:t>
      </w:r>
      <w:r w:rsidR="003409AA" w:rsidRPr="00631676">
        <w:rPr>
          <w:rFonts w:cstheme="minorHAnsi"/>
        </w:rPr>
        <w:t>e</w:t>
      </w:r>
      <w:r w:rsidR="00C52298" w:rsidRPr="00631676">
        <w:rPr>
          <w:rFonts w:cstheme="minorHAnsi"/>
        </w:rPr>
        <w:t xml:space="preserve"> Hollywood on the 8th [of </w:t>
      </w:r>
      <w:proofErr w:type="gramStart"/>
      <w:r w:rsidR="00C52298" w:rsidRPr="00631676">
        <w:rPr>
          <w:rFonts w:cstheme="minorHAnsi"/>
        </w:rPr>
        <w:t>August,</w:t>
      </w:r>
      <w:proofErr w:type="gramEnd"/>
      <w:r w:rsidR="00C52298" w:rsidRPr="00631676">
        <w:rPr>
          <w:rFonts w:cstheme="minorHAnsi"/>
        </w:rPr>
        <w:t xml:space="preserve"> 2000] to take a bag up to Santa Barbara.  The kidnapping was done.”  In response, the </w:t>
      </w:r>
      <w:r w:rsidR="00C52298" w:rsidRPr="00631676">
        <w:rPr>
          <w:rFonts w:cstheme="minorHAnsi"/>
        </w:rPr>
        <w:lastRenderedPageBreak/>
        <w:t xml:space="preserve">prosecutor argued that even </w:t>
      </w:r>
      <w:r w:rsidR="00F617F3" w:rsidRPr="00631676">
        <w:rPr>
          <w:rFonts w:cstheme="minorHAnsi"/>
        </w:rPr>
        <w:t>if</w:t>
      </w:r>
      <w:r w:rsidR="00C52298" w:rsidRPr="00631676">
        <w:rPr>
          <w:rFonts w:cstheme="minorHAnsi"/>
        </w:rPr>
        <w:t xml:space="preserve"> the defense was correct</w:t>
      </w:r>
      <w:r w:rsidR="00F617F3" w:rsidRPr="00631676">
        <w:rPr>
          <w:rFonts w:cstheme="minorHAnsi"/>
        </w:rPr>
        <w:t xml:space="preserve"> that</w:t>
      </w:r>
      <w:r w:rsidR="00C52298" w:rsidRPr="00631676">
        <w:rPr>
          <w:rFonts w:cstheme="minorHAnsi"/>
        </w:rPr>
        <w:t xml:space="preserve"> </w:t>
      </w:r>
      <w:r w:rsidR="00F617F3" w:rsidRPr="00631676">
        <w:rPr>
          <w:rFonts w:cstheme="minorHAnsi"/>
        </w:rPr>
        <w:t>the kidnap concluded when Nick could have</w:t>
      </w:r>
      <w:r w:rsidR="00C52298" w:rsidRPr="00631676">
        <w:rPr>
          <w:rFonts w:cstheme="minorHAnsi"/>
        </w:rPr>
        <w:t xml:space="preserve"> fle</w:t>
      </w:r>
      <w:r w:rsidR="00F617F3" w:rsidRPr="00631676">
        <w:rPr>
          <w:rFonts w:cstheme="minorHAnsi"/>
        </w:rPr>
        <w:t>d</w:t>
      </w:r>
      <w:r w:rsidR="00BE0969" w:rsidRPr="00631676">
        <w:rPr>
          <w:rFonts w:cstheme="minorHAnsi"/>
        </w:rPr>
        <w:t xml:space="preserve">, defendant </w:t>
      </w:r>
      <w:r w:rsidR="00F617F3" w:rsidRPr="00631676">
        <w:rPr>
          <w:rFonts w:cstheme="minorHAnsi"/>
        </w:rPr>
        <w:t xml:space="preserve">was guilty of kidnap because </w:t>
      </w:r>
      <w:r w:rsidR="00BE0969" w:rsidRPr="00631676">
        <w:rPr>
          <w:rFonts w:cstheme="minorHAnsi"/>
        </w:rPr>
        <w:t xml:space="preserve">“independent of the kidnapping that took place on the 6th where [the victim] was brought from Los Angeles County to Santa Barbara, there is as well the kidnapping that took place in the late evening hours of the 8th, into the early morning hours of the 9th of August, where he’s taken from the </w:t>
      </w:r>
      <w:r w:rsidR="00895E19" w:rsidRPr="00631676">
        <w:rPr>
          <w:rFonts w:cstheme="minorHAnsi"/>
        </w:rPr>
        <w:t>m</w:t>
      </w:r>
      <w:r w:rsidR="00BE0969" w:rsidRPr="00631676">
        <w:rPr>
          <w:rFonts w:cstheme="minorHAnsi"/>
        </w:rPr>
        <w:t xml:space="preserve">otel, perhaps taken as well to Rugge’s house at some point, we’ll never know, and then taken up to the location on West Camino Cielo and there he was killed.  That we know is an </w:t>
      </w:r>
      <w:r w:rsidR="00D5601D" w:rsidRPr="00631676">
        <w:rPr>
          <w:rFonts w:cstheme="minorHAnsi"/>
        </w:rPr>
        <w:t>independent</w:t>
      </w:r>
      <w:r w:rsidR="00BE0969" w:rsidRPr="00631676">
        <w:rPr>
          <w:rFonts w:cstheme="minorHAnsi"/>
        </w:rPr>
        <w:t xml:space="preserve"> kidnapping.  And certainly</w:t>
      </w:r>
      <w:r w:rsidR="00EE728B">
        <w:rPr>
          <w:rFonts w:cstheme="minorHAnsi"/>
        </w:rPr>
        <w:t>,</w:t>
      </w:r>
      <w:r w:rsidR="00BE0969" w:rsidRPr="00631676">
        <w:rPr>
          <w:rFonts w:cstheme="minorHAnsi"/>
        </w:rPr>
        <w:t xml:space="preserve"> he would be guilty of that offense.”  </w:t>
      </w:r>
    </w:p>
    <w:p w14:paraId="1BF33510" w14:textId="05F2861A" w:rsidR="00D5601D" w:rsidRPr="00631676" w:rsidRDefault="00D5601D" w:rsidP="001340F8">
      <w:pPr>
        <w:rPr>
          <w:rFonts w:cstheme="minorHAnsi"/>
        </w:rPr>
      </w:pPr>
      <w:r w:rsidRPr="00631676">
        <w:rPr>
          <w:rFonts w:cstheme="minorHAnsi"/>
        </w:rPr>
        <w:tab/>
        <w:t xml:space="preserve">The prosecutor pointed out </w:t>
      </w:r>
      <w:r w:rsidR="0004641E" w:rsidRPr="00631676">
        <w:rPr>
          <w:rFonts w:cstheme="minorHAnsi"/>
        </w:rPr>
        <w:t xml:space="preserve">before the jury </w:t>
      </w:r>
      <w:r w:rsidRPr="00631676">
        <w:rPr>
          <w:rFonts w:cstheme="minorHAnsi"/>
        </w:rPr>
        <w:t>that defense counsel</w:t>
      </w:r>
      <w:r w:rsidR="0004641E" w:rsidRPr="00631676">
        <w:rPr>
          <w:rFonts w:cstheme="minorHAnsi"/>
        </w:rPr>
        <w:t xml:space="preserve">’s argument never addressed </w:t>
      </w:r>
      <w:r w:rsidRPr="00631676">
        <w:rPr>
          <w:rFonts w:cstheme="minorHAnsi"/>
        </w:rPr>
        <w:t xml:space="preserve">whether defendant would be guilty of the kidnap based on movement of the victim from the </w:t>
      </w:r>
      <w:r w:rsidR="00895E19" w:rsidRPr="00631676">
        <w:rPr>
          <w:rFonts w:cstheme="minorHAnsi"/>
        </w:rPr>
        <w:t>m</w:t>
      </w:r>
      <w:r w:rsidRPr="00631676">
        <w:rPr>
          <w:rFonts w:cstheme="minorHAnsi"/>
        </w:rPr>
        <w:t>otel to the murder site</w:t>
      </w:r>
      <w:r w:rsidR="0057319A" w:rsidRPr="00631676">
        <w:rPr>
          <w:rFonts w:cstheme="minorHAnsi"/>
        </w:rPr>
        <w:t>.</w:t>
      </w:r>
      <w:r w:rsidRPr="00631676">
        <w:rPr>
          <w:rFonts w:cstheme="minorHAnsi"/>
        </w:rPr>
        <w:t xml:space="preserve">  Defense counsel objected at this point, noting that only one count </w:t>
      </w:r>
      <w:r w:rsidR="00F617F3" w:rsidRPr="00631676">
        <w:rPr>
          <w:rFonts w:cstheme="minorHAnsi"/>
        </w:rPr>
        <w:t xml:space="preserve">of kidnapping </w:t>
      </w:r>
      <w:r w:rsidR="0020744D" w:rsidRPr="00631676">
        <w:rPr>
          <w:rFonts w:cstheme="minorHAnsi"/>
        </w:rPr>
        <w:t xml:space="preserve">was charged.  </w:t>
      </w:r>
      <w:r w:rsidRPr="00631676">
        <w:rPr>
          <w:rFonts w:cstheme="minorHAnsi"/>
        </w:rPr>
        <w:t>The following colloquy occurred:</w:t>
      </w:r>
    </w:p>
    <w:p w14:paraId="5C47684C" w14:textId="3D533C53" w:rsidR="00D5601D" w:rsidRPr="00631676" w:rsidRDefault="00D5601D" w:rsidP="001340F8">
      <w:pPr>
        <w:rPr>
          <w:rFonts w:cstheme="minorHAnsi"/>
        </w:rPr>
      </w:pPr>
      <w:r w:rsidRPr="00631676">
        <w:rPr>
          <w:rFonts w:cstheme="minorHAnsi"/>
        </w:rPr>
        <w:tab/>
      </w:r>
      <w:r w:rsidR="00EE728B">
        <w:rPr>
          <w:rFonts w:cstheme="minorHAnsi"/>
        </w:rPr>
        <w:t>“</w:t>
      </w:r>
      <w:r w:rsidRPr="00631676">
        <w:rPr>
          <w:rFonts w:cstheme="minorHAnsi"/>
        </w:rPr>
        <w:t>THE COURT:  He said the count, the kidnapping for—count, relates only to the incident of the—I’ll have to look.  Isn’t that your point?</w:t>
      </w:r>
    </w:p>
    <w:p w14:paraId="3A79225F" w14:textId="733D99A8" w:rsidR="00D5601D" w:rsidRPr="00631676" w:rsidRDefault="00D5601D" w:rsidP="001340F8">
      <w:pPr>
        <w:rPr>
          <w:rFonts w:cstheme="minorHAnsi"/>
        </w:rPr>
      </w:pPr>
      <w:r w:rsidRPr="00631676">
        <w:rPr>
          <w:rFonts w:cstheme="minorHAnsi"/>
        </w:rPr>
        <w:tab/>
      </w:r>
      <w:r w:rsidR="00EE728B">
        <w:rPr>
          <w:rFonts w:cstheme="minorHAnsi"/>
        </w:rPr>
        <w:t>“</w:t>
      </w:r>
      <w:r w:rsidRPr="00631676">
        <w:rPr>
          <w:rFonts w:cstheme="minorHAnsi"/>
        </w:rPr>
        <w:t>M</w:t>
      </w:r>
      <w:r w:rsidR="00B63853" w:rsidRPr="00631676">
        <w:rPr>
          <w:rFonts w:cstheme="minorHAnsi"/>
        </w:rPr>
        <w:t>R</w:t>
      </w:r>
      <w:r w:rsidRPr="00631676">
        <w:rPr>
          <w:rFonts w:cstheme="minorHAnsi"/>
        </w:rPr>
        <w:t>. CROUTER [Defense]:  That there is only one count charged.</w:t>
      </w:r>
    </w:p>
    <w:p w14:paraId="54286C87" w14:textId="23803099" w:rsidR="00D5601D" w:rsidRPr="00631676" w:rsidRDefault="00D5601D" w:rsidP="001340F8">
      <w:pPr>
        <w:rPr>
          <w:rFonts w:cstheme="minorHAnsi"/>
        </w:rPr>
      </w:pPr>
      <w:r w:rsidRPr="00631676">
        <w:rPr>
          <w:rFonts w:cstheme="minorHAnsi"/>
        </w:rPr>
        <w:tab/>
      </w:r>
      <w:r w:rsidR="00EE728B">
        <w:rPr>
          <w:rFonts w:cstheme="minorHAnsi"/>
        </w:rPr>
        <w:t>“</w:t>
      </w:r>
      <w:r w:rsidRPr="00631676">
        <w:rPr>
          <w:rFonts w:cstheme="minorHAnsi"/>
        </w:rPr>
        <w:t>MR. ZONEN</w:t>
      </w:r>
      <w:r w:rsidR="007A0D72" w:rsidRPr="00631676">
        <w:rPr>
          <w:rFonts w:cstheme="minorHAnsi"/>
        </w:rPr>
        <w:t xml:space="preserve"> [Prosecution]</w:t>
      </w:r>
      <w:r w:rsidRPr="00631676">
        <w:rPr>
          <w:rFonts w:cstheme="minorHAnsi"/>
        </w:rPr>
        <w:t xml:space="preserve">:  Well, you have to look at the date on the pleading there, and the time, and whether or not it governs an entire period of time.  And I believe in an Indictment </w:t>
      </w:r>
      <w:proofErr w:type="gramStart"/>
      <w:r w:rsidRPr="00631676">
        <w:rPr>
          <w:rFonts w:cstheme="minorHAnsi"/>
        </w:rPr>
        <w:t>you’ll</w:t>
      </w:r>
      <w:proofErr w:type="gramEnd"/>
      <w:r w:rsidRPr="00631676">
        <w:rPr>
          <w:rFonts w:cstheme="minorHAnsi"/>
        </w:rPr>
        <w:t xml:space="preserve"> find that it covers the period of time from the 6th through the 9th.</w:t>
      </w:r>
    </w:p>
    <w:p w14:paraId="2DD864F7" w14:textId="01925163" w:rsidR="00D5601D" w:rsidRPr="00631676" w:rsidRDefault="00D5601D" w:rsidP="001340F8">
      <w:pPr>
        <w:rPr>
          <w:rFonts w:cstheme="minorHAnsi"/>
        </w:rPr>
      </w:pPr>
      <w:r w:rsidRPr="00631676">
        <w:rPr>
          <w:rFonts w:cstheme="minorHAnsi"/>
        </w:rPr>
        <w:tab/>
      </w:r>
      <w:r w:rsidR="00EE728B">
        <w:rPr>
          <w:rFonts w:cstheme="minorHAnsi"/>
        </w:rPr>
        <w:t>“</w:t>
      </w:r>
      <w:r w:rsidRPr="00631676">
        <w:rPr>
          <w:rFonts w:cstheme="minorHAnsi"/>
        </w:rPr>
        <w:t xml:space="preserve">THE COURT:  </w:t>
      </w:r>
      <w:proofErr w:type="gramStart"/>
      <w:r w:rsidRPr="00631676">
        <w:rPr>
          <w:rFonts w:cstheme="minorHAnsi"/>
        </w:rPr>
        <w:t>Let’s</w:t>
      </w:r>
      <w:proofErr w:type="gramEnd"/>
      <w:r w:rsidRPr="00631676">
        <w:rPr>
          <w:rFonts w:cstheme="minorHAnsi"/>
        </w:rPr>
        <w:t xml:space="preserve"> see.  </w:t>
      </w:r>
      <w:proofErr w:type="gramStart"/>
      <w:r w:rsidRPr="00631676">
        <w:rPr>
          <w:rFonts w:cstheme="minorHAnsi"/>
        </w:rPr>
        <w:t>That’s</w:t>
      </w:r>
      <w:proofErr w:type="gramEnd"/>
      <w:r w:rsidRPr="00631676">
        <w:rPr>
          <w:rFonts w:cstheme="minorHAnsi"/>
        </w:rPr>
        <w:t xml:space="preserve"> the way the count is drawn.  August 6th through August 9th.</w:t>
      </w:r>
    </w:p>
    <w:p w14:paraId="61A61D1D" w14:textId="110AD010" w:rsidR="00D5601D" w:rsidRPr="00631676" w:rsidRDefault="00D5601D" w:rsidP="001340F8">
      <w:pPr>
        <w:rPr>
          <w:rFonts w:cstheme="minorHAnsi"/>
        </w:rPr>
      </w:pPr>
      <w:r w:rsidRPr="00631676">
        <w:rPr>
          <w:rFonts w:cstheme="minorHAnsi"/>
        </w:rPr>
        <w:lastRenderedPageBreak/>
        <w:tab/>
      </w:r>
      <w:r w:rsidR="00EE728B">
        <w:rPr>
          <w:rFonts w:cstheme="minorHAnsi"/>
        </w:rPr>
        <w:t>“</w:t>
      </w:r>
      <w:r w:rsidRPr="00631676">
        <w:rPr>
          <w:rFonts w:cstheme="minorHAnsi"/>
        </w:rPr>
        <w:t>MR. ZONEN:  See, a kidnapping can go over a period of time, and in this case it did.  That kidnapping took place from the 6th through the 9th.  It is one count, but it’s one count that covers the entirety of his mo</w:t>
      </w:r>
      <w:r w:rsidR="00A37A4C" w:rsidRPr="00631676">
        <w:rPr>
          <w:rFonts w:cstheme="minorHAnsi"/>
        </w:rPr>
        <w:t>vement from the time he left at</w:t>
      </w:r>
      <w:r w:rsidRPr="00631676">
        <w:rPr>
          <w:rFonts w:cstheme="minorHAnsi"/>
        </w:rPr>
        <w:t xml:space="preserve"> the location near his residence in that area, I think near Ingomar and Platt in San Fernando Valley, to the point where he was killed up in Santa Barbara County.  That’s all covered in the pleading in that one count as a kidnapping.</w:t>
      </w:r>
      <w:r w:rsidR="00EE728B">
        <w:rPr>
          <w:rFonts w:cstheme="minorHAnsi"/>
        </w:rPr>
        <w:t>”</w:t>
      </w:r>
      <w:r w:rsidRPr="00631676">
        <w:rPr>
          <w:rFonts w:cstheme="minorHAnsi"/>
        </w:rPr>
        <w:t xml:space="preserve">  </w:t>
      </w:r>
    </w:p>
    <w:p w14:paraId="3CB7C304" w14:textId="112031D8" w:rsidR="00D5601D" w:rsidRPr="00631676" w:rsidRDefault="00D5601D" w:rsidP="001340F8">
      <w:pPr>
        <w:rPr>
          <w:rFonts w:cstheme="minorHAnsi"/>
        </w:rPr>
      </w:pPr>
      <w:r w:rsidRPr="00631676">
        <w:rPr>
          <w:rFonts w:cstheme="minorHAnsi"/>
        </w:rPr>
        <w:tab/>
        <w:t>Defense counsel raised no further argument or objection, and the prosecutor continued his rebuttal.</w:t>
      </w:r>
      <w:r w:rsidR="00066C8D" w:rsidRPr="00631676">
        <w:rPr>
          <w:rFonts w:cstheme="minorHAnsi"/>
        </w:rPr>
        <w:t xml:space="preserve">  </w:t>
      </w:r>
    </w:p>
    <w:p w14:paraId="70C1565A" w14:textId="58E4C071" w:rsidR="00AE2A5D" w:rsidRPr="00631676" w:rsidRDefault="00696F44" w:rsidP="001340F8">
      <w:pPr>
        <w:keepNext/>
        <w:rPr>
          <w:rFonts w:cstheme="minorHAnsi"/>
          <w:i/>
        </w:rPr>
      </w:pPr>
      <w:r w:rsidRPr="00631676">
        <w:rPr>
          <w:rFonts w:cstheme="minorHAnsi"/>
        </w:rPr>
        <w:tab/>
      </w:r>
      <w:r w:rsidR="00AE2A5D" w:rsidRPr="00631676">
        <w:rPr>
          <w:rFonts w:cstheme="minorHAnsi"/>
        </w:rPr>
        <w:tab/>
      </w:r>
      <w:r w:rsidR="004E5343">
        <w:rPr>
          <w:rFonts w:cstheme="minorHAnsi"/>
        </w:rPr>
        <w:tab/>
      </w:r>
      <w:r w:rsidR="003B3670" w:rsidRPr="00631676">
        <w:rPr>
          <w:rFonts w:cstheme="minorHAnsi"/>
        </w:rPr>
        <w:tab/>
      </w:r>
      <w:r w:rsidR="00AE2A5D" w:rsidRPr="00631676">
        <w:rPr>
          <w:rFonts w:cstheme="minorHAnsi"/>
          <w:i/>
        </w:rPr>
        <w:t>b.</w:t>
      </w:r>
      <w:r w:rsidR="00AE2A5D" w:rsidRPr="00631676">
        <w:rPr>
          <w:rFonts w:cstheme="minorHAnsi"/>
        </w:rPr>
        <w:tab/>
      </w:r>
      <w:r w:rsidR="00AE2A5D" w:rsidRPr="00631676">
        <w:rPr>
          <w:rFonts w:cstheme="minorHAnsi"/>
          <w:i/>
        </w:rPr>
        <w:t>Discussion</w:t>
      </w:r>
    </w:p>
    <w:p w14:paraId="441ABC19" w14:textId="5AB7A2F7" w:rsidR="00022BE2" w:rsidRPr="00631676" w:rsidRDefault="00022BE2" w:rsidP="001340F8">
      <w:pPr>
        <w:keepNext/>
        <w:rPr>
          <w:rFonts w:cstheme="minorHAnsi"/>
        </w:rPr>
      </w:pPr>
      <w:r w:rsidRPr="00631676">
        <w:rPr>
          <w:rFonts w:cstheme="minorHAnsi"/>
        </w:rPr>
        <w:tab/>
      </w:r>
      <w:r w:rsidRPr="00631676">
        <w:rPr>
          <w:rFonts w:cstheme="minorHAnsi"/>
        </w:rPr>
        <w:tab/>
      </w:r>
      <w:r w:rsidRPr="00631676">
        <w:rPr>
          <w:rFonts w:cstheme="minorHAnsi"/>
        </w:rPr>
        <w:tab/>
      </w:r>
      <w:r w:rsidR="004E5343">
        <w:rPr>
          <w:rFonts w:cstheme="minorHAnsi"/>
        </w:rPr>
        <w:tab/>
      </w:r>
      <w:r w:rsidRPr="00631676">
        <w:rPr>
          <w:rFonts w:cstheme="minorHAnsi"/>
        </w:rPr>
        <w:tab/>
      </w:r>
      <w:r w:rsidR="00F0780A" w:rsidRPr="00631676">
        <w:rPr>
          <w:rFonts w:cstheme="minorHAnsi"/>
          <w:i/>
        </w:rPr>
        <w:t>i.</w:t>
      </w:r>
      <w:r w:rsidRPr="00631676">
        <w:rPr>
          <w:rFonts w:cstheme="minorHAnsi"/>
        </w:rPr>
        <w:tab/>
      </w:r>
      <w:r w:rsidRPr="00631676">
        <w:rPr>
          <w:rFonts w:cstheme="minorHAnsi"/>
          <w:i/>
        </w:rPr>
        <w:t>Material Variance</w:t>
      </w:r>
    </w:p>
    <w:p w14:paraId="50AED93B" w14:textId="3073ACFE" w:rsidR="00696F44" w:rsidRPr="00631676" w:rsidRDefault="00AE2A5D" w:rsidP="001340F8">
      <w:pPr>
        <w:rPr>
          <w:rFonts w:cstheme="minorHAnsi"/>
        </w:rPr>
      </w:pPr>
      <w:r w:rsidRPr="00631676">
        <w:rPr>
          <w:rFonts w:cstheme="minorHAnsi"/>
        </w:rPr>
        <w:tab/>
      </w:r>
      <w:r w:rsidR="00696F44" w:rsidRPr="00631676">
        <w:rPr>
          <w:rFonts w:cstheme="minorHAnsi"/>
        </w:rPr>
        <w:t>“</w:t>
      </w:r>
      <w:r w:rsidR="00FC5B99" w:rsidRPr="00631676">
        <w:rPr>
          <w:rFonts w:cstheme="minorHAnsi"/>
        </w:rPr>
        <w:t> </w:t>
      </w:r>
      <w:r w:rsidR="00696F44" w:rsidRPr="00631676">
        <w:rPr>
          <w:rFonts w:cstheme="minorHAnsi"/>
        </w:rPr>
        <w:t>‘Both the Sixth Amendment of the federal Constitution and the due process guarantees of the state and federal Constitutions require that a criminal defendant receive notice of the charges adequate to give a meaningful opportunity to defend against them.’</w:t>
      </w:r>
      <w:r w:rsidR="004F5C35" w:rsidRPr="00631676">
        <w:rPr>
          <w:rFonts w:cstheme="minorHAnsi"/>
        </w:rPr>
        <w:t> </w:t>
      </w:r>
      <w:r w:rsidR="00703D45" w:rsidRPr="00631676">
        <w:rPr>
          <w:rFonts w:cstheme="minorHAnsi"/>
        </w:rPr>
        <w:t>”</w:t>
      </w:r>
      <w:r w:rsidR="00FC5B99" w:rsidRPr="00631676">
        <w:rPr>
          <w:rFonts w:cstheme="minorHAnsi"/>
        </w:rPr>
        <w:t xml:space="preserve"> </w:t>
      </w:r>
      <w:r w:rsidR="00696F44" w:rsidRPr="00631676">
        <w:rPr>
          <w:rFonts w:cstheme="minorHAnsi"/>
        </w:rPr>
        <w:t xml:space="preserve"> </w:t>
      </w:r>
      <w:r w:rsidR="00F55E60" w:rsidRPr="00631676">
        <w:rPr>
          <w:rFonts w:cstheme="minorHAnsi"/>
        </w:rPr>
        <w:t>(</w:t>
      </w:r>
      <w:r w:rsidR="00696F44" w:rsidRPr="00631676">
        <w:rPr>
          <w:rFonts w:cstheme="minorHAnsi"/>
          <w:i/>
        </w:rPr>
        <w:t>People v. Williams</w:t>
      </w:r>
      <w:r w:rsidR="00F55E60" w:rsidRPr="00631676">
        <w:rPr>
          <w:rFonts w:cstheme="minorHAnsi"/>
        </w:rPr>
        <w:t xml:space="preserve"> (2013) 56 Cal.4th 630, 681.)</w:t>
      </w:r>
      <w:r w:rsidR="00667AC0" w:rsidRPr="00631676">
        <w:rPr>
          <w:rFonts w:cstheme="minorHAnsi"/>
        </w:rPr>
        <w:t xml:space="preserve">  Notice is supplied in the first instance by the accusatory pleading.  (</w:t>
      </w:r>
      <w:r w:rsidR="00DB5F76" w:rsidRPr="00631676">
        <w:rPr>
          <w:rFonts w:cstheme="minorHAnsi"/>
        </w:rPr>
        <w:t xml:space="preserve">E.g., </w:t>
      </w:r>
      <w:r w:rsidR="00667AC0" w:rsidRPr="00631676">
        <w:rPr>
          <w:rFonts w:cstheme="minorHAnsi"/>
          <w:i/>
        </w:rPr>
        <w:t>People v. Jones</w:t>
      </w:r>
      <w:r w:rsidR="00667AC0" w:rsidRPr="00631676">
        <w:rPr>
          <w:rFonts w:cstheme="minorHAnsi"/>
        </w:rPr>
        <w:t xml:space="preserve"> (1990) 51 Cal.3d 294, 317.)  But a variance between the pleading and proof at trial will be disregarded if it is not material.  (</w:t>
      </w:r>
      <w:r w:rsidR="00667AC0" w:rsidRPr="00631676">
        <w:rPr>
          <w:rFonts w:cstheme="minorHAnsi"/>
          <w:i/>
        </w:rPr>
        <w:t>People v. LaMarr</w:t>
      </w:r>
      <w:r w:rsidR="00667AC0" w:rsidRPr="00631676">
        <w:t xml:space="preserve"> (1942) 20 Cal.2d 705, 711.)  </w:t>
      </w:r>
      <w:r w:rsidR="00667AC0" w:rsidRPr="00631676">
        <w:rPr>
          <w:rFonts w:cstheme="minorHAnsi"/>
        </w:rPr>
        <w:t>“The test of the materiality of a variance is whether the indictment or information so fully</w:t>
      </w:r>
      <w:r w:rsidR="00DB5F76" w:rsidRPr="00631676">
        <w:rPr>
          <w:rFonts w:cstheme="minorHAnsi"/>
        </w:rPr>
        <w:t xml:space="preserve"> and correctly informs the defendant of the criminal act with which he is charged that, taking into consideration the proof which is introduced against him, he is not misled in making his defense, or placed in danger of being twice put in jeopardy for the same offense.”  (</w:t>
      </w:r>
      <w:r w:rsidR="00DB5F76" w:rsidRPr="00631676">
        <w:rPr>
          <w:rFonts w:cstheme="minorHAnsi"/>
          <w:i/>
        </w:rPr>
        <w:t>Ibid.</w:t>
      </w:r>
      <w:r w:rsidR="00DB5F76" w:rsidRPr="00631676">
        <w:rPr>
          <w:rFonts w:cstheme="minorHAnsi"/>
        </w:rPr>
        <w:t xml:space="preserve">; accord, </w:t>
      </w:r>
      <w:r w:rsidR="00DB5F76" w:rsidRPr="00631676">
        <w:rPr>
          <w:rFonts w:cstheme="minorHAnsi"/>
          <w:i/>
        </w:rPr>
        <w:t>People v. Maury</w:t>
      </w:r>
      <w:r w:rsidR="00DB5F76" w:rsidRPr="00631676">
        <w:rPr>
          <w:rFonts w:cstheme="minorHAnsi"/>
        </w:rPr>
        <w:t xml:space="preserve"> (2003) 30 Cal.4th 342, 427</w:t>
      </w:r>
      <w:r w:rsidR="00FC690E" w:rsidRPr="00631676">
        <w:rPr>
          <w:rFonts w:cstheme="minorHAnsi"/>
        </w:rPr>
        <w:t>–</w:t>
      </w:r>
      <w:r w:rsidR="00DB5F76" w:rsidRPr="00631676">
        <w:rPr>
          <w:rFonts w:cstheme="minorHAnsi"/>
        </w:rPr>
        <w:t xml:space="preserve">428; </w:t>
      </w:r>
      <w:r w:rsidR="00BC22D6" w:rsidRPr="00631676">
        <w:rPr>
          <w:rFonts w:cstheme="minorHAnsi"/>
          <w:i/>
        </w:rPr>
        <w:t>People v. Arras</w:t>
      </w:r>
      <w:r w:rsidR="00BC22D6" w:rsidRPr="00631676">
        <w:rPr>
          <w:rFonts w:cstheme="minorHAnsi"/>
        </w:rPr>
        <w:t xml:space="preserve"> (1891) 89 Cal. 223, 226.)</w:t>
      </w:r>
      <w:r w:rsidR="004212A8" w:rsidRPr="00631676">
        <w:rPr>
          <w:rFonts w:cstheme="minorHAnsi"/>
        </w:rPr>
        <w:t xml:space="preserve"> </w:t>
      </w:r>
    </w:p>
    <w:p w14:paraId="5ED09794" w14:textId="69C5E4A0" w:rsidR="003A34B1" w:rsidRPr="00631676" w:rsidRDefault="0083297A" w:rsidP="001340F8">
      <w:pPr>
        <w:rPr>
          <w:rFonts w:cstheme="minorHAnsi"/>
        </w:rPr>
      </w:pPr>
      <w:r w:rsidRPr="00631676">
        <w:rPr>
          <w:rFonts w:cstheme="minorHAnsi"/>
        </w:rPr>
        <w:lastRenderedPageBreak/>
        <w:tab/>
      </w:r>
      <w:r w:rsidR="00BF626F" w:rsidRPr="00631676">
        <w:rPr>
          <w:rFonts w:cstheme="minorHAnsi"/>
        </w:rPr>
        <w:t>Here, the indictment alleged defendant</w:t>
      </w:r>
      <w:r w:rsidR="00B06D79" w:rsidRPr="00631676">
        <w:rPr>
          <w:rFonts w:cstheme="minorHAnsi"/>
        </w:rPr>
        <w:t xml:space="preserve"> and his codefendants </w:t>
      </w:r>
      <w:r w:rsidR="00A14A21" w:rsidRPr="00631676">
        <w:rPr>
          <w:rFonts w:cstheme="minorHAnsi"/>
        </w:rPr>
        <w:t xml:space="preserve">committed an aggravated kidnap (Pen. </w:t>
      </w:r>
      <w:r w:rsidR="009A10C1" w:rsidRPr="00631676">
        <w:rPr>
          <w:rFonts w:cstheme="minorHAnsi"/>
        </w:rPr>
        <w:t>Code</w:t>
      </w:r>
      <w:r w:rsidR="00A14A21" w:rsidRPr="00631676">
        <w:rPr>
          <w:rFonts w:cstheme="minorHAnsi"/>
        </w:rPr>
        <w:t>, § </w:t>
      </w:r>
      <w:r w:rsidR="00BF626F" w:rsidRPr="00631676">
        <w:rPr>
          <w:rFonts w:cstheme="minorHAnsi"/>
        </w:rPr>
        <w:t xml:space="preserve">209, </w:t>
      </w:r>
      <w:r w:rsidR="00A14A21" w:rsidRPr="00631676">
        <w:rPr>
          <w:rFonts w:cstheme="minorHAnsi"/>
        </w:rPr>
        <w:t xml:space="preserve">subd. </w:t>
      </w:r>
      <w:r w:rsidR="00BF626F" w:rsidRPr="00631676">
        <w:rPr>
          <w:rFonts w:cstheme="minorHAnsi"/>
        </w:rPr>
        <w:t>(a)</w:t>
      </w:r>
      <w:r w:rsidR="00A14A21" w:rsidRPr="00631676">
        <w:rPr>
          <w:rFonts w:cstheme="minorHAnsi"/>
        </w:rPr>
        <w:t>)</w:t>
      </w:r>
      <w:r w:rsidR="00BF626F" w:rsidRPr="00631676">
        <w:rPr>
          <w:rFonts w:cstheme="minorHAnsi"/>
        </w:rPr>
        <w:t xml:space="preserve"> by forcibly abducting Nick on </w:t>
      </w:r>
      <w:proofErr w:type="gramStart"/>
      <w:r w:rsidR="00BF626F" w:rsidRPr="00631676">
        <w:rPr>
          <w:rFonts w:cstheme="minorHAnsi"/>
        </w:rPr>
        <w:t>August 6, 2000</w:t>
      </w:r>
      <w:r w:rsidR="00004F09" w:rsidRPr="00631676">
        <w:rPr>
          <w:rFonts w:cstheme="minorHAnsi"/>
        </w:rPr>
        <w:t>,</w:t>
      </w:r>
      <w:r w:rsidR="00BF626F" w:rsidRPr="00631676">
        <w:rPr>
          <w:rFonts w:cstheme="minorHAnsi"/>
        </w:rPr>
        <w:t xml:space="preserve"> and</w:t>
      </w:r>
      <w:proofErr w:type="gramEnd"/>
      <w:r w:rsidR="00BF626F" w:rsidRPr="00631676">
        <w:rPr>
          <w:rFonts w:cstheme="minorHAnsi"/>
        </w:rPr>
        <w:t xml:space="preserve"> detaining him until he was murdered on August 9, 2000.  The jury was instructed on the elements of </w:t>
      </w:r>
      <w:r w:rsidR="00A14A21" w:rsidRPr="00631676">
        <w:rPr>
          <w:rFonts w:cstheme="minorHAnsi"/>
        </w:rPr>
        <w:t>aggravated kidnap</w:t>
      </w:r>
      <w:r w:rsidR="00BF626F" w:rsidRPr="00631676">
        <w:rPr>
          <w:rFonts w:cstheme="minorHAnsi"/>
        </w:rPr>
        <w:t xml:space="preserve"> and on the lesser included offense</w:t>
      </w:r>
      <w:r w:rsidR="00A14A21" w:rsidRPr="00631676">
        <w:rPr>
          <w:rFonts w:cstheme="minorHAnsi"/>
        </w:rPr>
        <w:t xml:space="preserve"> of simple kidnap</w:t>
      </w:r>
      <w:r w:rsidR="00BF626F" w:rsidRPr="00631676">
        <w:rPr>
          <w:rFonts w:cstheme="minorHAnsi"/>
        </w:rPr>
        <w:t xml:space="preserve">.  </w:t>
      </w:r>
      <w:r w:rsidR="00D42B30" w:rsidRPr="00631676">
        <w:rPr>
          <w:rFonts w:cstheme="minorHAnsi"/>
        </w:rPr>
        <w:t>The aggravated kidnap statute</w:t>
      </w:r>
      <w:r w:rsidR="003A34B1" w:rsidRPr="00631676">
        <w:rPr>
          <w:rFonts w:cstheme="minorHAnsi"/>
        </w:rPr>
        <w:t xml:space="preserve"> provides</w:t>
      </w:r>
      <w:r w:rsidR="00BF626F" w:rsidRPr="00631676">
        <w:rPr>
          <w:rFonts w:cstheme="minorHAnsi"/>
        </w:rPr>
        <w:t xml:space="preserve"> in pertinent part,</w:t>
      </w:r>
      <w:r w:rsidR="003A34B1" w:rsidRPr="00631676">
        <w:rPr>
          <w:rFonts w:cstheme="minorHAnsi"/>
        </w:rPr>
        <w:t xml:space="preserve"> “Any person who </w:t>
      </w:r>
      <w:r w:rsidR="00BF626F" w:rsidRPr="00631676">
        <w:rPr>
          <w:rFonts w:cstheme="minorHAnsi"/>
        </w:rPr>
        <w:t>.</w:t>
      </w:r>
      <w:r w:rsidR="00FC5B99" w:rsidRPr="00631676">
        <w:rPr>
          <w:rFonts w:cstheme="minorHAnsi"/>
        </w:rPr>
        <w:t> </w:t>
      </w:r>
      <w:r w:rsidR="00BF626F" w:rsidRPr="00631676">
        <w:rPr>
          <w:rFonts w:cstheme="minorHAnsi"/>
        </w:rPr>
        <w:t>.</w:t>
      </w:r>
      <w:r w:rsidR="00FC5B99" w:rsidRPr="00631676">
        <w:rPr>
          <w:rFonts w:cstheme="minorHAnsi"/>
        </w:rPr>
        <w:t> </w:t>
      </w:r>
      <w:r w:rsidR="00BF626F" w:rsidRPr="00631676">
        <w:rPr>
          <w:rFonts w:cstheme="minorHAnsi"/>
        </w:rPr>
        <w:t xml:space="preserve">. </w:t>
      </w:r>
      <w:r w:rsidR="003A34B1" w:rsidRPr="00631676">
        <w:rPr>
          <w:rFonts w:cstheme="minorHAnsi"/>
        </w:rPr>
        <w:t>kidnaps or carries away another person by any means whatsoever with intent to hold or detain</w:t>
      </w:r>
      <w:r w:rsidR="00BF626F" w:rsidRPr="00631676">
        <w:rPr>
          <w:rFonts w:cstheme="minorHAnsi"/>
        </w:rPr>
        <w:t xml:space="preserve"> .</w:t>
      </w:r>
      <w:r w:rsidR="00FC5B99" w:rsidRPr="00631676">
        <w:rPr>
          <w:rFonts w:cstheme="minorHAnsi"/>
        </w:rPr>
        <w:t> </w:t>
      </w:r>
      <w:r w:rsidR="00BF626F" w:rsidRPr="00631676">
        <w:rPr>
          <w:rFonts w:cstheme="minorHAnsi"/>
        </w:rPr>
        <w:t>.</w:t>
      </w:r>
      <w:r w:rsidR="00FC5B99" w:rsidRPr="00631676">
        <w:rPr>
          <w:rFonts w:cstheme="minorHAnsi"/>
        </w:rPr>
        <w:t> </w:t>
      </w:r>
      <w:r w:rsidR="00BF626F" w:rsidRPr="00631676">
        <w:rPr>
          <w:rFonts w:cstheme="minorHAnsi"/>
        </w:rPr>
        <w:t xml:space="preserve">. </w:t>
      </w:r>
      <w:r w:rsidR="003A34B1" w:rsidRPr="00631676">
        <w:rPr>
          <w:rFonts w:cstheme="minorHAnsi"/>
        </w:rPr>
        <w:t>that person for ransom, reward or to commit extortion or to exact from another person any money or valuable thing, or any person who aids or abets any such act, is guilty of a felony</w:t>
      </w:r>
      <w:r w:rsidR="00EE728B">
        <w:rPr>
          <w:rFonts w:cstheme="minorHAnsi"/>
        </w:rPr>
        <w:t xml:space="preserve"> </w:t>
      </w:r>
      <w:r w:rsidR="003A34B1" w:rsidRPr="00631676">
        <w:rPr>
          <w:rFonts w:cstheme="minorHAnsi"/>
        </w:rPr>
        <w:t>.</w:t>
      </w:r>
      <w:r w:rsidR="00EE728B">
        <w:rPr>
          <w:rFonts w:cstheme="minorHAnsi"/>
        </w:rPr>
        <w:t> . . .</w:t>
      </w:r>
      <w:r w:rsidR="003A34B1" w:rsidRPr="00631676">
        <w:rPr>
          <w:rFonts w:cstheme="minorHAnsi"/>
        </w:rPr>
        <w:t>”</w:t>
      </w:r>
      <w:r w:rsidR="00004F09" w:rsidRPr="00631676">
        <w:rPr>
          <w:rFonts w:cstheme="minorHAnsi"/>
        </w:rPr>
        <w:t xml:space="preserve"> </w:t>
      </w:r>
      <w:r w:rsidR="00A14A21" w:rsidRPr="00631676">
        <w:rPr>
          <w:rFonts w:cstheme="minorHAnsi"/>
        </w:rPr>
        <w:t xml:space="preserve"> (Pen. Code, § 209, subd. (a).)  </w:t>
      </w:r>
      <w:r w:rsidR="00004F09" w:rsidRPr="00631676">
        <w:rPr>
          <w:rFonts w:cstheme="minorHAnsi"/>
        </w:rPr>
        <w:t>Simple kidnap, in turn, requires proof of three things:  “that (1) the defendant took, held, or detained another person by using force or by instilling reasonable fear; (2) using that force or fear, the defendant moved the other person, or made the other person move a substantial distance; and (3) the other person did not consent to the movement.  (</w:t>
      </w:r>
      <w:r w:rsidR="00B06D79" w:rsidRPr="00631676">
        <w:rPr>
          <w:rFonts w:cstheme="minorHAnsi"/>
        </w:rPr>
        <w:t>[</w:t>
      </w:r>
      <w:r w:rsidR="00004F09" w:rsidRPr="00631676">
        <w:rPr>
          <w:rFonts w:cstheme="minorHAnsi"/>
        </w:rPr>
        <w:t>Pen. Code,</w:t>
      </w:r>
      <w:r w:rsidR="00B06D79" w:rsidRPr="00631676">
        <w:rPr>
          <w:rFonts w:cstheme="minorHAnsi"/>
        </w:rPr>
        <w:t>]</w:t>
      </w:r>
      <w:r w:rsidR="00004F09" w:rsidRPr="00631676">
        <w:rPr>
          <w:rFonts w:cstheme="minorHAnsi"/>
        </w:rPr>
        <w:t xml:space="preserve"> §</w:t>
      </w:r>
      <w:r w:rsidR="008854B1" w:rsidRPr="00631676">
        <w:rPr>
          <w:rFonts w:cstheme="minorHAnsi"/>
        </w:rPr>
        <w:t> </w:t>
      </w:r>
      <w:r w:rsidR="00004F09" w:rsidRPr="00631676">
        <w:rPr>
          <w:rFonts w:cstheme="minorHAnsi"/>
        </w:rPr>
        <w:t>207, subd. (a).)”  (</w:t>
      </w:r>
      <w:r w:rsidR="00B32318" w:rsidRPr="00631676">
        <w:rPr>
          <w:rFonts w:cstheme="minorHAnsi"/>
          <w:i/>
        </w:rPr>
        <w:t>People v. </w:t>
      </w:r>
      <w:r w:rsidR="00004F09" w:rsidRPr="00631676">
        <w:rPr>
          <w:rFonts w:cstheme="minorHAnsi"/>
          <w:i/>
        </w:rPr>
        <w:t>Burney</w:t>
      </w:r>
      <w:r w:rsidR="00004F09" w:rsidRPr="00631676">
        <w:rPr>
          <w:rFonts w:cstheme="minorHAnsi"/>
        </w:rPr>
        <w:t xml:space="preserve"> (2009) 47 Cal.4th 203, 232.)</w:t>
      </w:r>
    </w:p>
    <w:p w14:paraId="0353FF3B" w14:textId="47C6CB61" w:rsidR="000615F5" w:rsidRPr="00631676" w:rsidRDefault="00C01F4C" w:rsidP="001340F8">
      <w:pPr>
        <w:rPr>
          <w:rFonts w:cstheme="minorHAnsi"/>
        </w:rPr>
      </w:pPr>
      <w:r w:rsidRPr="00631676">
        <w:rPr>
          <w:rFonts w:cstheme="minorHAnsi"/>
        </w:rPr>
        <w:tab/>
      </w:r>
      <w:r w:rsidR="00BF626F" w:rsidRPr="00631676">
        <w:rPr>
          <w:rFonts w:cstheme="minorHAnsi"/>
        </w:rPr>
        <w:t xml:space="preserve">Defendant argues the prosecution crafted a new theory of kidnap during the rebuttal phase of closing argument for the dual purposes of surprise and to have the last word.  This new theory was that there were two distinct kidnap offenses in this case, the first one commencing on August 6, 2000, and the second on August 8, 2000.  Defendant argues that because he was charged with a single kidnap offense in the indictment, the “second” kidnap constitutes a material variance from the charged offense in violation of his Fifth and Sixth Amendment rights.  </w:t>
      </w:r>
    </w:p>
    <w:p w14:paraId="7BAE5E9E" w14:textId="13FF4DEE" w:rsidR="0095184D" w:rsidRPr="00631676" w:rsidRDefault="00B75336" w:rsidP="001340F8">
      <w:pPr>
        <w:rPr>
          <w:rFonts w:cstheme="minorHAnsi"/>
        </w:rPr>
      </w:pPr>
      <w:r w:rsidRPr="00631676">
        <w:rPr>
          <w:rFonts w:cstheme="minorHAnsi"/>
        </w:rPr>
        <w:tab/>
      </w:r>
      <w:r w:rsidR="00C30934">
        <w:rPr>
          <w:rFonts w:cstheme="minorHAnsi"/>
        </w:rPr>
        <w:t xml:space="preserve">The argument </w:t>
      </w:r>
      <w:r w:rsidRPr="00631676">
        <w:rPr>
          <w:rFonts w:cstheme="minorHAnsi"/>
        </w:rPr>
        <w:t xml:space="preserve">lacks merit. </w:t>
      </w:r>
      <w:r w:rsidR="00891603" w:rsidRPr="00631676">
        <w:rPr>
          <w:rFonts w:cstheme="minorHAnsi"/>
        </w:rPr>
        <w:t xml:space="preserve"> </w:t>
      </w:r>
      <w:r w:rsidR="00BF626F" w:rsidRPr="00631676">
        <w:rPr>
          <w:rFonts w:cstheme="minorHAnsi"/>
        </w:rPr>
        <w:t xml:space="preserve">As the prosecution </w:t>
      </w:r>
      <w:r w:rsidRPr="00631676">
        <w:rPr>
          <w:rFonts w:cstheme="minorHAnsi"/>
        </w:rPr>
        <w:t xml:space="preserve">correctly </w:t>
      </w:r>
      <w:r w:rsidR="00BF626F" w:rsidRPr="00631676">
        <w:rPr>
          <w:rFonts w:cstheme="minorHAnsi"/>
        </w:rPr>
        <w:t>explained</w:t>
      </w:r>
      <w:r w:rsidRPr="00631676">
        <w:rPr>
          <w:rFonts w:cstheme="minorHAnsi"/>
        </w:rPr>
        <w:t xml:space="preserve"> in the trial court</w:t>
      </w:r>
      <w:r w:rsidR="00BF626F" w:rsidRPr="00631676">
        <w:rPr>
          <w:rFonts w:cstheme="minorHAnsi"/>
        </w:rPr>
        <w:t>, the indictment charged defendant</w:t>
      </w:r>
      <w:r w:rsidR="00314FEC" w:rsidRPr="00631676">
        <w:rPr>
          <w:rFonts w:cstheme="minorHAnsi"/>
        </w:rPr>
        <w:t xml:space="preserve"> </w:t>
      </w:r>
      <w:r w:rsidR="00314FEC" w:rsidRPr="00631676">
        <w:rPr>
          <w:rFonts w:cstheme="minorHAnsi"/>
        </w:rPr>
        <w:lastRenderedPageBreak/>
        <w:t>and his codefendants</w:t>
      </w:r>
      <w:r w:rsidR="00BF626F" w:rsidRPr="00631676">
        <w:rPr>
          <w:rFonts w:cstheme="minorHAnsi"/>
        </w:rPr>
        <w:t xml:space="preserve"> with a </w:t>
      </w:r>
      <w:r w:rsidR="005E0AD3" w:rsidRPr="00631676">
        <w:rPr>
          <w:rFonts w:cstheme="minorHAnsi"/>
        </w:rPr>
        <w:t xml:space="preserve">continuing </w:t>
      </w:r>
      <w:r w:rsidR="00BF626F" w:rsidRPr="00631676">
        <w:rPr>
          <w:rFonts w:cstheme="minorHAnsi"/>
        </w:rPr>
        <w:t>kidnapping offense that extended over a period of time</w:t>
      </w:r>
      <w:r w:rsidR="00CD3128" w:rsidRPr="00631676">
        <w:rPr>
          <w:rFonts w:cstheme="minorHAnsi"/>
        </w:rPr>
        <w:t xml:space="preserve">.  That period </w:t>
      </w:r>
      <w:r w:rsidR="00BF626F" w:rsidRPr="00631676">
        <w:rPr>
          <w:rFonts w:cstheme="minorHAnsi"/>
        </w:rPr>
        <w:t xml:space="preserve">included the time the victim left his home and was taken to Santa Barbara, the time he spent in Santa Barbara, and the time </w:t>
      </w:r>
      <w:r w:rsidR="00F70D35" w:rsidRPr="00631676">
        <w:rPr>
          <w:rFonts w:cstheme="minorHAnsi"/>
        </w:rPr>
        <w:t xml:space="preserve">he </w:t>
      </w:r>
      <w:r w:rsidR="00BF626F" w:rsidRPr="00631676">
        <w:rPr>
          <w:rFonts w:cstheme="minorHAnsi"/>
        </w:rPr>
        <w:t xml:space="preserve">was taken from locations within Santa Barbara to the site of his murder.  </w:t>
      </w:r>
      <w:r w:rsidR="005E0AD3" w:rsidRPr="00631676">
        <w:rPr>
          <w:rFonts w:cstheme="minorHAnsi"/>
        </w:rPr>
        <w:t>True, defense counsel theorized that the kidnapping was interrupted by a period during which Nick could have eluded his captors at some point before defendant became involved on August 8, 2000.  But the indictment put defendant on notice that the prosecution intended to prove kidnapping based on the events of August 8 and 9, 2000, as w</w:t>
      </w:r>
      <w:r w:rsidR="004014B9" w:rsidRPr="00631676">
        <w:rPr>
          <w:rFonts w:cstheme="minorHAnsi"/>
        </w:rPr>
        <w:t xml:space="preserve">ell. </w:t>
      </w:r>
      <w:r w:rsidR="00535805" w:rsidRPr="00631676">
        <w:rPr>
          <w:rFonts w:cstheme="minorHAnsi"/>
        </w:rPr>
        <w:t xml:space="preserve"> </w:t>
      </w:r>
      <w:r w:rsidR="004014B9" w:rsidRPr="00631676">
        <w:rPr>
          <w:rFonts w:cstheme="minorHAnsi"/>
        </w:rPr>
        <w:t xml:space="preserve">Defendant could not have been misled by his own “interruption” theory into believing otherwise. </w:t>
      </w:r>
      <w:r w:rsidR="00535805" w:rsidRPr="00631676">
        <w:rPr>
          <w:rFonts w:cstheme="minorHAnsi"/>
        </w:rPr>
        <w:t xml:space="preserve"> </w:t>
      </w:r>
      <w:r w:rsidR="004014B9" w:rsidRPr="00631676">
        <w:rPr>
          <w:rFonts w:cstheme="minorHAnsi"/>
        </w:rPr>
        <w:t>There was no fatal variance between indictment and proof, and cases finding fatal variances under dissimilar circumstances do not help defendant’s case.</w:t>
      </w:r>
      <w:r w:rsidR="00DE1C42" w:rsidRPr="00631676">
        <w:rPr>
          <w:rFonts w:cstheme="minorHAnsi"/>
        </w:rPr>
        <w:t xml:space="preserve">  </w:t>
      </w:r>
      <w:r w:rsidR="009944B3" w:rsidRPr="00631676">
        <w:rPr>
          <w:rFonts w:cstheme="minorHAnsi"/>
        </w:rPr>
        <w:t>(</w:t>
      </w:r>
      <w:r w:rsidR="008D540F" w:rsidRPr="00631676">
        <w:rPr>
          <w:rFonts w:cstheme="minorHAnsi"/>
        </w:rPr>
        <w:t xml:space="preserve">Cf. </w:t>
      </w:r>
      <w:r w:rsidR="00DE1C42" w:rsidRPr="00631676">
        <w:rPr>
          <w:rFonts w:cstheme="minorHAnsi"/>
          <w:i/>
        </w:rPr>
        <w:t>U</w:t>
      </w:r>
      <w:r w:rsidR="00B06D79" w:rsidRPr="00631676">
        <w:rPr>
          <w:rFonts w:cstheme="minorHAnsi"/>
          <w:i/>
        </w:rPr>
        <w:t>.S.</w:t>
      </w:r>
      <w:r w:rsidR="00DE1C42" w:rsidRPr="00631676">
        <w:rPr>
          <w:rFonts w:cstheme="minorHAnsi"/>
          <w:i/>
        </w:rPr>
        <w:t xml:space="preserve"> v. Adamson</w:t>
      </w:r>
      <w:r w:rsidR="00DE1C42" w:rsidRPr="00631676">
        <w:rPr>
          <w:rFonts w:cstheme="minorHAnsi"/>
        </w:rPr>
        <w:t xml:space="preserve"> (9th Cir. </w:t>
      </w:r>
      <w:r w:rsidR="002B7DC7" w:rsidRPr="00631676">
        <w:rPr>
          <w:rFonts w:cstheme="minorHAnsi"/>
        </w:rPr>
        <w:t>2002) 291 F.3d 606, 615</w:t>
      </w:r>
      <w:r w:rsidR="00956631" w:rsidRPr="00631676">
        <w:rPr>
          <w:rFonts w:cstheme="minorHAnsi"/>
        </w:rPr>
        <w:t>–</w:t>
      </w:r>
      <w:r w:rsidR="002B7DC7" w:rsidRPr="00631676">
        <w:rPr>
          <w:rFonts w:cstheme="minorHAnsi"/>
        </w:rPr>
        <w:t>616</w:t>
      </w:r>
      <w:r w:rsidR="009944B3" w:rsidRPr="00631676">
        <w:rPr>
          <w:rFonts w:cstheme="minorHAnsi"/>
        </w:rPr>
        <w:t xml:space="preserve">; </w:t>
      </w:r>
      <w:r w:rsidR="00DE1C42" w:rsidRPr="00631676">
        <w:rPr>
          <w:rFonts w:cstheme="minorHAnsi"/>
          <w:i/>
        </w:rPr>
        <w:t>U</w:t>
      </w:r>
      <w:r w:rsidR="00B06D79" w:rsidRPr="00631676">
        <w:rPr>
          <w:rFonts w:cstheme="minorHAnsi"/>
          <w:i/>
        </w:rPr>
        <w:t>.</w:t>
      </w:r>
      <w:r w:rsidR="00DE1C42" w:rsidRPr="00631676">
        <w:rPr>
          <w:rFonts w:cstheme="minorHAnsi"/>
          <w:i/>
        </w:rPr>
        <w:t>S</w:t>
      </w:r>
      <w:r w:rsidR="00B06D79" w:rsidRPr="00631676">
        <w:rPr>
          <w:rFonts w:cstheme="minorHAnsi"/>
          <w:i/>
        </w:rPr>
        <w:t>.</w:t>
      </w:r>
      <w:r w:rsidR="00DE1C42" w:rsidRPr="00631676">
        <w:rPr>
          <w:rFonts w:cstheme="minorHAnsi"/>
          <w:i/>
        </w:rPr>
        <w:t xml:space="preserve"> v. Tsinhnahijinnie</w:t>
      </w:r>
      <w:r w:rsidR="00DE1C42" w:rsidRPr="00631676">
        <w:rPr>
          <w:rFonts w:cstheme="minorHAnsi"/>
        </w:rPr>
        <w:t xml:space="preserve"> (9th Cir. 199</w:t>
      </w:r>
      <w:r w:rsidR="00567CEF" w:rsidRPr="00631676">
        <w:rPr>
          <w:rFonts w:cstheme="minorHAnsi"/>
        </w:rPr>
        <w:t>7) 112 F.3d 988, 990</w:t>
      </w:r>
      <w:r w:rsidR="009944B3" w:rsidRPr="00631676">
        <w:rPr>
          <w:rFonts w:cstheme="minorHAnsi"/>
        </w:rPr>
        <w:t xml:space="preserve">.)  </w:t>
      </w:r>
    </w:p>
    <w:p w14:paraId="06B4E9D0" w14:textId="51F3B77E" w:rsidR="00792F41" w:rsidRPr="00631676" w:rsidRDefault="00022BE2" w:rsidP="001340F8">
      <w:pPr>
        <w:rPr>
          <w:rFonts w:cstheme="minorHAnsi"/>
          <w:i/>
        </w:rPr>
      </w:pPr>
      <w:r w:rsidRPr="00631676">
        <w:rPr>
          <w:rFonts w:cstheme="minorHAnsi"/>
        </w:rPr>
        <w:tab/>
      </w:r>
      <w:r w:rsidRPr="00631676">
        <w:rPr>
          <w:rFonts w:cstheme="minorHAnsi"/>
        </w:rPr>
        <w:tab/>
      </w:r>
      <w:r w:rsidRPr="00631676">
        <w:rPr>
          <w:rFonts w:cstheme="minorHAnsi"/>
        </w:rPr>
        <w:tab/>
      </w:r>
      <w:r w:rsidR="004E5343">
        <w:rPr>
          <w:rFonts w:cstheme="minorHAnsi"/>
        </w:rPr>
        <w:tab/>
      </w:r>
      <w:r w:rsidRPr="00631676">
        <w:rPr>
          <w:rFonts w:cstheme="minorHAnsi"/>
        </w:rPr>
        <w:tab/>
      </w:r>
      <w:r w:rsidR="002E1B66" w:rsidRPr="00631676">
        <w:rPr>
          <w:rFonts w:cstheme="minorHAnsi"/>
          <w:i/>
        </w:rPr>
        <w:t>ii</w:t>
      </w:r>
      <w:r w:rsidRPr="00631676">
        <w:rPr>
          <w:rFonts w:cstheme="minorHAnsi"/>
          <w:i/>
        </w:rPr>
        <w:t>.</w:t>
      </w:r>
      <w:r w:rsidRPr="00631676">
        <w:rPr>
          <w:rFonts w:cstheme="minorHAnsi"/>
          <w:i/>
        </w:rPr>
        <w:tab/>
        <w:t>Alleged Hearsay</w:t>
      </w:r>
    </w:p>
    <w:p w14:paraId="657A8516" w14:textId="1F0E4BF2" w:rsidR="001A5B68" w:rsidRPr="00631676" w:rsidRDefault="00792F41" w:rsidP="001340F8">
      <w:pPr>
        <w:rPr>
          <w:rFonts w:cstheme="minorHAnsi"/>
        </w:rPr>
      </w:pPr>
      <w:r w:rsidRPr="00631676">
        <w:rPr>
          <w:rFonts w:cstheme="minorHAnsi"/>
        </w:rPr>
        <w:tab/>
      </w:r>
      <w:r w:rsidR="00132B59" w:rsidRPr="00631676">
        <w:rPr>
          <w:rFonts w:cstheme="minorHAnsi"/>
        </w:rPr>
        <w:t xml:space="preserve">A corollary of defendant’s “two </w:t>
      </w:r>
      <w:proofErr w:type="gramStart"/>
      <w:r w:rsidR="00132B59" w:rsidRPr="00631676">
        <w:rPr>
          <w:rFonts w:cstheme="minorHAnsi"/>
        </w:rPr>
        <w:t>kidnap</w:t>
      </w:r>
      <w:proofErr w:type="gramEnd"/>
      <w:r w:rsidR="00132B59" w:rsidRPr="00631676">
        <w:rPr>
          <w:rFonts w:cstheme="minorHAnsi"/>
        </w:rPr>
        <w:t>” theory is that there were also two distinct conspiracies, the first involving the August 6</w:t>
      </w:r>
      <w:r w:rsidR="00B06D79" w:rsidRPr="00631676">
        <w:rPr>
          <w:rFonts w:cstheme="minorHAnsi"/>
        </w:rPr>
        <w:t xml:space="preserve"> to </w:t>
      </w:r>
      <w:r w:rsidR="00132B59" w:rsidRPr="00631676">
        <w:rPr>
          <w:rFonts w:cstheme="minorHAnsi"/>
        </w:rPr>
        <w:t>8 kidnapping of Nick and the second involving a separate and unrelated agreement to kidnap and murder Nick.  Under this theory, d</w:t>
      </w:r>
      <w:r w:rsidR="002B7DC7" w:rsidRPr="00631676">
        <w:rPr>
          <w:rFonts w:cstheme="minorHAnsi"/>
        </w:rPr>
        <w:t>efendant</w:t>
      </w:r>
      <w:r w:rsidR="00567CEF" w:rsidRPr="00631676">
        <w:rPr>
          <w:rFonts w:cstheme="minorHAnsi"/>
        </w:rPr>
        <w:t xml:space="preserve"> </w:t>
      </w:r>
      <w:r w:rsidR="002B7DC7" w:rsidRPr="00631676">
        <w:rPr>
          <w:rFonts w:cstheme="minorHAnsi"/>
        </w:rPr>
        <w:t xml:space="preserve">argues </w:t>
      </w:r>
      <w:r w:rsidR="000E7360" w:rsidRPr="00631676">
        <w:rPr>
          <w:rFonts w:cstheme="minorHAnsi"/>
        </w:rPr>
        <w:t xml:space="preserve">that </w:t>
      </w:r>
      <w:r w:rsidR="002B7DC7" w:rsidRPr="00631676">
        <w:rPr>
          <w:rFonts w:cstheme="minorHAnsi"/>
        </w:rPr>
        <w:t xml:space="preserve">the trial court </w:t>
      </w:r>
      <w:r w:rsidR="00AA29F0" w:rsidRPr="00631676">
        <w:rPr>
          <w:rFonts w:cstheme="minorHAnsi"/>
        </w:rPr>
        <w:t>erred by admitting</w:t>
      </w:r>
      <w:r w:rsidR="00ED6D10" w:rsidRPr="00631676">
        <w:rPr>
          <w:rFonts w:cstheme="minorHAnsi"/>
        </w:rPr>
        <w:t xml:space="preserve"> </w:t>
      </w:r>
      <w:r w:rsidR="000E7360" w:rsidRPr="00631676">
        <w:rPr>
          <w:rFonts w:cstheme="minorHAnsi"/>
        </w:rPr>
        <w:t xml:space="preserve">various </w:t>
      </w:r>
      <w:r w:rsidR="00F35BA5">
        <w:rPr>
          <w:rFonts w:cstheme="minorHAnsi"/>
        </w:rPr>
        <w:t>out</w:t>
      </w:r>
      <w:r w:rsidR="00323370">
        <w:rPr>
          <w:rFonts w:cstheme="minorHAnsi"/>
        </w:rPr>
        <w:t>-</w:t>
      </w:r>
      <w:r w:rsidR="00F35BA5">
        <w:rPr>
          <w:rFonts w:cstheme="minorHAnsi"/>
        </w:rPr>
        <w:t>of</w:t>
      </w:r>
      <w:r w:rsidR="00323370">
        <w:rPr>
          <w:rFonts w:cstheme="minorHAnsi"/>
        </w:rPr>
        <w:t>-</w:t>
      </w:r>
      <w:r w:rsidR="00F35BA5">
        <w:rPr>
          <w:rFonts w:cstheme="minorHAnsi"/>
        </w:rPr>
        <w:t xml:space="preserve">court </w:t>
      </w:r>
      <w:r w:rsidR="00ED6D10" w:rsidRPr="00631676">
        <w:rPr>
          <w:rFonts w:cstheme="minorHAnsi"/>
        </w:rPr>
        <w:t xml:space="preserve">statements </w:t>
      </w:r>
      <w:r w:rsidR="00F35BA5">
        <w:rPr>
          <w:rFonts w:cstheme="minorHAnsi"/>
        </w:rPr>
        <w:t xml:space="preserve">by Hollywood, Rugge, Skidmore, and Pressley, as testified to by various witnesses at trial, </w:t>
      </w:r>
      <w:r w:rsidR="000E7360" w:rsidRPr="00631676">
        <w:rPr>
          <w:rFonts w:cstheme="minorHAnsi"/>
        </w:rPr>
        <w:t xml:space="preserve">because the statements were not admissible as statements of </w:t>
      </w:r>
      <w:r w:rsidR="00AA29F0" w:rsidRPr="00631676">
        <w:rPr>
          <w:rFonts w:cstheme="minorHAnsi"/>
        </w:rPr>
        <w:t xml:space="preserve">coconspirators </w:t>
      </w:r>
      <w:r w:rsidR="00132B59" w:rsidRPr="00631676">
        <w:rPr>
          <w:rFonts w:cstheme="minorHAnsi"/>
        </w:rPr>
        <w:t>in the only conspiracy and kidnapping defendant participated in</w:t>
      </w:r>
      <w:r w:rsidR="00965C27">
        <w:rPr>
          <w:rFonts w:cstheme="minorHAnsi"/>
        </w:rPr>
        <w:t>,</w:t>
      </w:r>
      <w:r w:rsidR="00132B59" w:rsidRPr="00631676">
        <w:rPr>
          <w:rFonts w:cstheme="minorHAnsi"/>
        </w:rPr>
        <w:t xml:space="preserve"> </w:t>
      </w:r>
      <w:r w:rsidR="000E7360" w:rsidRPr="00631676">
        <w:rPr>
          <w:rFonts w:cstheme="minorHAnsi"/>
        </w:rPr>
        <w:t xml:space="preserve">and therefore </w:t>
      </w:r>
      <w:r w:rsidR="00ED6D10" w:rsidRPr="00631676">
        <w:rPr>
          <w:rFonts w:cstheme="minorHAnsi"/>
        </w:rPr>
        <w:t>constituted inadmissible hearsay.</w:t>
      </w:r>
      <w:r w:rsidR="00AA29F0" w:rsidRPr="00631676">
        <w:rPr>
          <w:rFonts w:cstheme="minorHAnsi"/>
        </w:rPr>
        <w:t xml:space="preserve"> </w:t>
      </w:r>
      <w:r w:rsidR="00AA30AC" w:rsidRPr="00631676">
        <w:rPr>
          <w:rFonts w:cstheme="minorHAnsi"/>
        </w:rPr>
        <w:t xml:space="preserve"> </w:t>
      </w:r>
    </w:p>
    <w:p w14:paraId="2850837F" w14:textId="3BCDF479" w:rsidR="002B7DC7" w:rsidRPr="00631676" w:rsidRDefault="001A5B68" w:rsidP="001340F8">
      <w:pPr>
        <w:rPr>
          <w:rFonts w:cstheme="minorHAnsi"/>
        </w:rPr>
      </w:pPr>
      <w:r w:rsidRPr="00631676">
        <w:rPr>
          <w:rFonts w:cstheme="minorHAnsi"/>
        </w:rPr>
        <w:lastRenderedPageBreak/>
        <w:tab/>
        <w:t>C</w:t>
      </w:r>
      <w:r w:rsidR="000F1262" w:rsidRPr="00631676">
        <w:rPr>
          <w:rFonts w:cstheme="minorHAnsi"/>
        </w:rPr>
        <w:t xml:space="preserve">oconspirators’ hearsay statements may be admitted if there is independent evidence of a conspiracy and the party seeking to admit the hearsay shows the speaker was involved in the conspiracy when the hearsay statement was made, the statement was made in furtherance of the conspiracy, and the person against whom the statement </w:t>
      </w:r>
      <w:r w:rsidR="007D2AAC" w:rsidRPr="00631676">
        <w:rPr>
          <w:rFonts w:cstheme="minorHAnsi"/>
        </w:rPr>
        <w:t>is being offered</w:t>
      </w:r>
      <w:r w:rsidR="000F1262" w:rsidRPr="00631676">
        <w:rPr>
          <w:rFonts w:cstheme="minorHAnsi"/>
        </w:rPr>
        <w:t xml:space="preserve"> either was participating in, or later would participate in, the conspiracy.  </w:t>
      </w:r>
      <w:r w:rsidR="006407B4" w:rsidRPr="00631676">
        <w:rPr>
          <w:rFonts w:cstheme="minorHAnsi"/>
        </w:rPr>
        <w:t>(</w:t>
      </w:r>
      <w:r w:rsidR="007D2AAC" w:rsidRPr="00631676">
        <w:rPr>
          <w:rFonts w:cstheme="minorHAnsi"/>
        </w:rPr>
        <w:t>Evid. Code, §</w:t>
      </w:r>
      <w:r w:rsidR="008854B1" w:rsidRPr="00631676">
        <w:rPr>
          <w:rFonts w:cstheme="minorHAnsi"/>
        </w:rPr>
        <w:t> </w:t>
      </w:r>
      <w:r w:rsidR="007D2AAC" w:rsidRPr="00631676">
        <w:rPr>
          <w:rFonts w:cstheme="minorHAnsi"/>
        </w:rPr>
        <w:t xml:space="preserve">1223; </w:t>
      </w:r>
      <w:r w:rsidR="000F1262" w:rsidRPr="00631676">
        <w:rPr>
          <w:rFonts w:cstheme="minorHAnsi"/>
          <w:i/>
        </w:rPr>
        <w:t>In re Hardy</w:t>
      </w:r>
      <w:r w:rsidR="000F1262" w:rsidRPr="00631676">
        <w:rPr>
          <w:rFonts w:cstheme="minorHAnsi"/>
        </w:rPr>
        <w:t xml:space="preserve"> (2007) 41 Cal.4th 977, 995</w:t>
      </w:r>
      <w:r w:rsidR="009B279C" w:rsidRPr="00631676">
        <w:rPr>
          <w:rFonts w:cstheme="minorHAnsi"/>
        </w:rPr>
        <w:t>–</w:t>
      </w:r>
      <w:r w:rsidR="000F1262" w:rsidRPr="00631676">
        <w:rPr>
          <w:rFonts w:cstheme="minorHAnsi"/>
        </w:rPr>
        <w:t>996.</w:t>
      </w:r>
      <w:r w:rsidR="006407B4" w:rsidRPr="00631676">
        <w:rPr>
          <w:rFonts w:cstheme="minorHAnsi"/>
        </w:rPr>
        <w:t>)</w:t>
      </w:r>
      <w:r w:rsidR="00DD54AD" w:rsidRPr="00631676">
        <w:rPr>
          <w:rFonts w:cstheme="minorHAnsi"/>
        </w:rPr>
        <w:t xml:space="preserve">  </w:t>
      </w:r>
      <w:r w:rsidRPr="00631676">
        <w:rPr>
          <w:rFonts w:cstheme="minorHAnsi"/>
        </w:rPr>
        <w:t>Here, t</w:t>
      </w:r>
      <w:r w:rsidR="00DD54AD" w:rsidRPr="00631676">
        <w:rPr>
          <w:rFonts w:cstheme="minorHAnsi"/>
        </w:rPr>
        <w:t xml:space="preserve">he trial court permitted </w:t>
      </w:r>
      <w:r w:rsidR="00B65A5F" w:rsidRPr="00631676">
        <w:rPr>
          <w:rFonts w:cstheme="minorHAnsi"/>
        </w:rPr>
        <w:t>introduction of</w:t>
      </w:r>
      <w:r w:rsidR="00DD54AD" w:rsidRPr="00631676">
        <w:rPr>
          <w:rFonts w:cstheme="minorHAnsi"/>
        </w:rPr>
        <w:t xml:space="preserve"> </w:t>
      </w:r>
      <w:r w:rsidR="00167802" w:rsidRPr="00631676">
        <w:rPr>
          <w:rFonts w:cstheme="minorHAnsi"/>
        </w:rPr>
        <w:t xml:space="preserve">hearsay </w:t>
      </w:r>
      <w:r w:rsidR="00DD54AD" w:rsidRPr="00631676">
        <w:rPr>
          <w:rFonts w:cstheme="minorHAnsi"/>
        </w:rPr>
        <w:t xml:space="preserve">statements </w:t>
      </w:r>
      <w:r w:rsidR="00F35BA5">
        <w:rPr>
          <w:rFonts w:cstheme="minorHAnsi"/>
        </w:rPr>
        <w:t xml:space="preserve">testified to </w:t>
      </w:r>
      <w:r w:rsidR="00DD54AD" w:rsidRPr="00631676">
        <w:rPr>
          <w:rFonts w:cstheme="minorHAnsi"/>
        </w:rPr>
        <w:t xml:space="preserve">by Affronti, Hoeflinger, </w:t>
      </w:r>
      <w:r w:rsidR="001B4FA3" w:rsidRPr="00631676">
        <w:rPr>
          <w:rFonts w:cstheme="minorHAnsi"/>
        </w:rPr>
        <w:t>Carpenter, Adams</w:t>
      </w:r>
      <w:r w:rsidR="00222CAC" w:rsidRPr="00631676">
        <w:rPr>
          <w:rFonts w:cstheme="minorHAnsi"/>
        </w:rPr>
        <w:t>-Young</w:t>
      </w:r>
      <w:r w:rsidR="001B4FA3" w:rsidRPr="00631676">
        <w:rPr>
          <w:rFonts w:cstheme="minorHAnsi"/>
        </w:rPr>
        <w:t xml:space="preserve">, Sheehan, and </w:t>
      </w:r>
      <w:r w:rsidR="00B65A5F" w:rsidRPr="00631676">
        <w:rPr>
          <w:rFonts w:cstheme="minorHAnsi"/>
        </w:rPr>
        <w:t xml:space="preserve">Hogg regarding Nick’s time in Santa Barbara.  </w:t>
      </w:r>
      <w:r w:rsidR="00043A68" w:rsidRPr="00631676">
        <w:rPr>
          <w:rFonts w:cstheme="minorHAnsi"/>
        </w:rPr>
        <w:t>As generally set forth above, these witnesses</w:t>
      </w:r>
      <w:r w:rsidR="00E86DEE" w:rsidRPr="00631676">
        <w:rPr>
          <w:rFonts w:cstheme="minorHAnsi"/>
        </w:rPr>
        <w:t xml:space="preserve"> </w:t>
      </w:r>
      <w:r w:rsidR="00043A68" w:rsidRPr="00631676">
        <w:rPr>
          <w:rFonts w:cstheme="minorHAnsi"/>
        </w:rPr>
        <w:t>testified about Nick’s kidnap and captivity.  Although defendant alleges these statements were not in furtherance of the conspiracy to kidnap Nick, the trial court reasonably concluded otherwise</w:t>
      </w:r>
      <w:r w:rsidR="003B4863" w:rsidRPr="00631676">
        <w:rPr>
          <w:rFonts w:cstheme="minorHAnsi"/>
        </w:rPr>
        <w:t xml:space="preserve">.  </w:t>
      </w:r>
      <w:r w:rsidR="0095184D" w:rsidRPr="00631676">
        <w:rPr>
          <w:rFonts w:cstheme="minorHAnsi"/>
        </w:rPr>
        <w:t>We</w:t>
      </w:r>
      <w:r w:rsidR="003B4863" w:rsidRPr="00631676">
        <w:rPr>
          <w:rFonts w:cstheme="minorHAnsi"/>
        </w:rPr>
        <w:t xml:space="preserve"> find no error.</w:t>
      </w:r>
    </w:p>
    <w:p w14:paraId="33D16532" w14:textId="2D69AABB" w:rsidR="003B4863" w:rsidRPr="00631676" w:rsidRDefault="00141B96" w:rsidP="001340F8">
      <w:pPr>
        <w:rPr>
          <w:rFonts w:cstheme="minorHAnsi"/>
        </w:rPr>
      </w:pPr>
      <w:r w:rsidRPr="00631676">
        <w:rPr>
          <w:rFonts w:cstheme="minorHAnsi"/>
        </w:rPr>
        <w:tab/>
        <w:t xml:space="preserve">As an initial </w:t>
      </w:r>
      <w:r w:rsidR="003B4863" w:rsidRPr="00631676">
        <w:rPr>
          <w:rFonts w:cstheme="minorHAnsi"/>
        </w:rPr>
        <w:t xml:space="preserve">matter, </w:t>
      </w:r>
      <w:r w:rsidR="005E399A" w:rsidRPr="00631676">
        <w:rPr>
          <w:rFonts w:cstheme="minorHAnsi"/>
        </w:rPr>
        <w:t xml:space="preserve">it is unclear that defendant has preserved his objections to the introduction of the statements:  When the statements in question were introduced, defendant </w:t>
      </w:r>
      <w:r w:rsidR="00671E1F" w:rsidRPr="00631676">
        <w:rPr>
          <w:rFonts w:cstheme="minorHAnsi"/>
        </w:rPr>
        <w:t>generally</w:t>
      </w:r>
      <w:r w:rsidR="003B4863" w:rsidRPr="00631676">
        <w:rPr>
          <w:rFonts w:cstheme="minorHAnsi"/>
        </w:rPr>
        <w:t xml:space="preserve"> fail</w:t>
      </w:r>
      <w:r w:rsidR="005E399A" w:rsidRPr="00631676">
        <w:rPr>
          <w:rFonts w:cstheme="minorHAnsi"/>
        </w:rPr>
        <w:t>ed</w:t>
      </w:r>
      <w:r w:rsidR="003B4863" w:rsidRPr="00631676">
        <w:rPr>
          <w:rFonts w:cstheme="minorHAnsi"/>
        </w:rPr>
        <w:t xml:space="preserve"> to object </w:t>
      </w:r>
      <w:r w:rsidR="005405F2" w:rsidRPr="00631676">
        <w:rPr>
          <w:rFonts w:cstheme="minorHAnsi"/>
        </w:rPr>
        <w:t>on the base</w:t>
      </w:r>
      <w:r w:rsidR="003B4863" w:rsidRPr="00631676">
        <w:rPr>
          <w:rFonts w:cstheme="minorHAnsi"/>
        </w:rPr>
        <w:t>s he now raises on appeal.  For example, although he raised a “hearsay upon hearsay” objection at trial to Adams</w:t>
      </w:r>
      <w:r w:rsidR="00222CAC" w:rsidRPr="00631676">
        <w:rPr>
          <w:rFonts w:cstheme="minorHAnsi"/>
        </w:rPr>
        <w:t>-Young</w:t>
      </w:r>
      <w:r w:rsidR="003B4863" w:rsidRPr="00631676">
        <w:rPr>
          <w:rFonts w:cstheme="minorHAnsi"/>
        </w:rPr>
        <w:t xml:space="preserve">’s testimony </w:t>
      </w:r>
      <w:r w:rsidR="00F35BA5">
        <w:rPr>
          <w:rFonts w:cstheme="minorHAnsi"/>
        </w:rPr>
        <w:t xml:space="preserve">regarding a statement made by Pressley after she had expressed concern to him about Nick’s continued presence in Santa Barbara, </w:t>
      </w:r>
      <w:r w:rsidR="003B4863" w:rsidRPr="00631676">
        <w:rPr>
          <w:rFonts w:cstheme="minorHAnsi"/>
        </w:rPr>
        <w:t>defense counsel stated, “And I don’t disagree with the .</w:t>
      </w:r>
      <w:r w:rsidR="008854B1" w:rsidRPr="00631676">
        <w:rPr>
          <w:rFonts w:cstheme="minorHAnsi"/>
        </w:rPr>
        <w:t> </w:t>
      </w:r>
      <w:r w:rsidR="003B4863" w:rsidRPr="00631676">
        <w:rPr>
          <w:rFonts w:cstheme="minorHAnsi"/>
        </w:rPr>
        <w:t>.</w:t>
      </w:r>
      <w:r w:rsidR="008854B1" w:rsidRPr="00631676">
        <w:rPr>
          <w:rFonts w:cstheme="minorHAnsi"/>
        </w:rPr>
        <w:t> </w:t>
      </w:r>
      <w:r w:rsidR="003B4863" w:rsidRPr="00631676">
        <w:rPr>
          <w:rFonts w:cstheme="minorHAnsi"/>
        </w:rPr>
        <w:t>. in furtherance of the conspiracy</w:t>
      </w:r>
      <w:r w:rsidR="00671E1F" w:rsidRPr="00631676">
        <w:rPr>
          <w:rFonts w:cstheme="minorHAnsi"/>
        </w:rPr>
        <w:t>” theory of admission, “but I still have the problem that there appears to be a second level of hearsay.”  The court overruled defendant’s objection.</w:t>
      </w:r>
    </w:p>
    <w:p w14:paraId="032402A3" w14:textId="1ABCEE59" w:rsidR="009A1B5B" w:rsidRPr="00631676" w:rsidRDefault="00671E1F" w:rsidP="001340F8">
      <w:pPr>
        <w:rPr>
          <w:rFonts w:cstheme="minorHAnsi"/>
        </w:rPr>
      </w:pPr>
      <w:r w:rsidRPr="00631676">
        <w:rPr>
          <w:rFonts w:cstheme="minorHAnsi"/>
        </w:rPr>
        <w:tab/>
      </w:r>
      <w:r w:rsidR="00912C5A" w:rsidRPr="00631676">
        <w:rPr>
          <w:rFonts w:cstheme="minorHAnsi"/>
        </w:rPr>
        <w:t>“Because the question whether defendant[] .</w:t>
      </w:r>
      <w:r w:rsidR="00F91B91">
        <w:rPr>
          <w:rFonts w:cstheme="minorHAnsi"/>
        </w:rPr>
        <w:t> </w:t>
      </w:r>
      <w:r w:rsidR="00912C5A" w:rsidRPr="00631676">
        <w:rPr>
          <w:rFonts w:cstheme="minorHAnsi"/>
        </w:rPr>
        <w:t>.</w:t>
      </w:r>
      <w:r w:rsidR="00F91B91">
        <w:rPr>
          <w:rFonts w:cstheme="minorHAnsi"/>
        </w:rPr>
        <w:t> </w:t>
      </w:r>
      <w:r w:rsidR="00912C5A" w:rsidRPr="00631676">
        <w:rPr>
          <w:rFonts w:cstheme="minorHAnsi"/>
        </w:rPr>
        <w:t>. preserved the[] right to raise th</w:t>
      </w:r>
      <w:r w:rsidR="00BA24FC">
        <w:rPr>
          <w:rFonts w:cstheme="minorHAnsi"/>
        </w:rPr>
        <w:t>is</w:t>
      </w:r>
      <w:r w:rsidR="00912C5A" w:rsidRPr="00631676">
        <w:rPr>
          <w:rFonts w:cstheme="minorHAnsi"/>
        </w:rPr>
        <w:t xml:space="preserve"> issue on appeal is close and difficult, we assume that defendant[] .</w:t>
      </w:r>
      <w:r w:rsidR="00F91B91">
        <w:rPr>
          <w:rFonts w:cstheme="minorHAnsi"/>
        </w:rPr>
        <w:t> </w:t>
      </w:r>
      <w:r w:rsidR="00912C5A" w:rsidRPr="00631676">
        <w:rPr>
          <w:rFonts w:cstheme="minorHAnsi"/>
        </w:rPr>
        <w:t>.</w:t>
      </w:r>
      <w:r w:rsidR="00F91B91">
        <w:rPr>
          <w:rFonts w:cstheme="minorHAnsi"/>
        </w:rPr>
        <w:t> </w:t>
      </w:r>
      <w:r w:rsidR="00912C5A" w:rsidRPr="00631676">
        <w:rPr>
          <w:rFonts w:cstheme="minorHAnsi"/>
        </w:rPr>
        <w:t xml:space="preserve">. preserved the[] </w:t>
      </w:r>
      <w:proofErr w:type="gramStart"/>
      <w:r w:rsidR="00912C5A" w:rsidRPr="00631676">
        <w:rPr>
          <w:rFonts w:cstheme="minorHAnsi"/>
        </w:rPr>
        <w:t>right, and</w:t>
      </w:r>
      <w:proofErr w:type="gramEnd"/>
      <w:r w:rsidR="00912C5A" w:rsidRPr="00631676">
        <w:rPr>
          <w:rFonts w:cstheme="minorHAnsi"/>
        </w:rPr>
        <w:t xml:space="preserve"> proceed </w:t>
      </w:r>
      <w:r w:rsidR="00912C5A" w:rsidRPr="00631676">
        <w:rPr>
          <w:rFonts w:cstheme="minorHAnsi"/>
        </w:rPr>
        <w:lastRenderedPageBreak/>
        <w:t>to the merits.</w:t>
      </w:r>
      <w:r w:rsidR="00AE77B3">
        <w:rPr>
          <w:rFonts w:cstheme="minorHAnsi"/>
        </w:rPr>
        <w:t xml:space="preserve">”  </w:t>
      </w:r>
      <w:r w:rsidR="00912C5A" w:rsidRPr="00631676">
        <w:rPr>
          <w:rFonts w:cstheme="minorHAnsi"/>
        </w:rPr>
        <w:t>(</w:t>
      </w:r>
      <w:r w:rsidR="00912C5A" w:rsidRPr="00631676">
        <w:rPr>
          <w:rFonts w:cstheme="minorHAnsi"/>
          <w:i/>
        </w:rPr>
        <w:t>People v. Champion</w:t>
      </w:r>
      <w:r w:rsidR="00912C5A" w:rsidRPr="00631676">
        <w:rPr>
          <w:rFonts w:cstheme="minorHAnsi"/>
        </w:rPr>
        <w:t xml:space="preserve"> (</w:t>
      </w:r>
      <w:r w:rsidR="00BA24FC">
        <w:rPr>
          <w:rFonts w:cstheme="minorHAnsi"/>
        </w:rPr>
        <w:t>1995</w:t>
      </w:r>
      <w:r w:rsidR="00912C5A" w:rsidRPr="00631676">
        <w:rPr>
          <w:rFonts w:cstheme="minorHAnsi"/>
        </w:rPr>
        <w:t>) 9 Cal.4th 879, 908, fn.</w:t>
      </w:r>
      <w:r w:rsidR="00F91B91">
        <w:rPr>
          <w:rFonts w:cstheme="minorHAnsi"/>
        </w:rPr>
        <w:t xml:space="preserve"> </w:t>
      </w:r>
      <w:r w:rsidR="00912C5A" w:rsidRPr="00631676">
        <w:rPr>
          <w:rFonts w:cstheme="minorHAnsi"/>
        </w:rPr>
        <w:t>6.)  Hav</w:t>
      </w:r>
      <w:r w:rsidR="00F04B85" w:rsidRPr="00631676">
        <w:rPr>
          <w:rFonts w:cstheme="minorHAnsi"/>
        </w:rPr>
        <w:t>ing</w:t>
      </w:r>
      <w:r w:rsidR="00912C5A" w:rsidRPr="00631676">
        <w:rPr>
          <w:rFonts w:cstheme="minorHAnsi"/>
        </w:rPr>
        <w:t xml:space="preserve"> done so, we</w:t>
      </w:r>
      <w:r w:rsidRPr="00631676">
        <w:rPr>
          <w:rFonts w:cstheme="minorHAnsi"/>
        </w:rPr>
        <w:t xml:space="preserve"> conclude the trial court committed no error in admitting the hearsay statements </w:t>
      </w:r>
      <w:r w:rsidR="00F35BA5">
        <w:rPr>
          <w:rFonts w:cstheme="minorHAnsi"/>
        </w:rPr>
        <w:t xml:space="preserve">recounted by </w:t>
      </w:r>
      <w:r w:rsidR="00FB34F1" w:rsidRPr="00631676">
        <w:rPr>
          <w:rFonts w:cstheme="minorHAnsi"/>
        </w:rPr>
        <w:t>these witnesses</w:t>
      </w:r>
      <w:r w:rsidRPr="00631676">
        <w:rPr>
          <w:rFonts w:cstheme="minorHAnsi"/>
        </w:rPr>
        <w:t xml:space="preserve">.  Defendant argues that the conspiracy </w:t>
      </w:r>
      <w:r w:rsidR="00E36FFB" w:rsidRPr="00631676">
        <w:rPr>
          <w:rFonts w:cstheme="minorHAnsi"/>
        </w:rPr>
        <w:t>he</w:t>
      </w:r>
      <w:r w:rsidRPr="00631676">
        <w:rPr>
          <w:rFonts w:cstheme="minorHAnsi"/>
        </w:rPr>
        <w:t xml:space="preserve"> entered into with Hollywood to murder Nick was a wholly separate enterprise </w:t>
      </w:r>
      <w:r w:rsidR="00D71C1F" w:rsidRPr="00631676">
        <w:rPr>
          <w:rFonts w:cstheme="minorHAnsi"/>
        </w:rPr>
        <w:t xml:space="preserve">from </w:t>
      </w:r>
      <w:r w:rsidRPr="00631676">
        <w:rPr>
          <w:rFonts w:cstheme="minorHAnsi"/>
        </w:rPr>
        <w:t xml:space="preserve">the one Rugge and others entered into to kidnap Nick, and the statements admitted regarding Nick’s capture were therefore inadmissible with regard to Nick’s murder and defendant’s involvement therewith.  </w:t>
      </w:r>
      <w:r w:rsidR="00D71C1F" w:rsidRPr="00631676">
        <w:rPr>
          <w:rFonts w:cstheme="minorHAnsi"/>
        </w:rPr>
        <w:t xml:space="preserve">The trial court was not compelled to </w:t>
      </w:r>
      <w:r w:rsidR="007A2ECD" w:rsidRPr="00631676">
        <w:rPr>
          <w:rFonts w:cstheme="minorHAnsi"/>
        </w:rPr>
        <w:t xml:space="preserve">so finely parse this case.  </w:t>
      </w:r>
      <w:r w:rsidR="00D71C1F" w:rsidRPr="00631676">
        <w:rPr>
          <w:rFonts w:cstheme="minorHAnsi"/>
        </w:rPr>
        <w:t xml:space="preserve">The evidence showed that </w:t>
      </w:r>
      <w:r w:rsidR="007A2ECD" w:rsidRPr="00631676">
        <w:rPr>
          <w:rFonts w:cstheme="minorHAnsi"/>
        </w:rPr>
        <w:t xml:space="preserve">Hollywood, the mastermind, had his friends kidnap Nick to exact a ransom from Nick’s brother.  When Hollywood learned that the potential penalty for Nick’s kidnap was too high a price for him to pay, he asked defendant to kill </w:t>
      </w:r>
      <w:r w:rsidR="00EE728B">
        <w:rPr>
          <w:rFonts w:cstheme="minorHAnsi"/>
        </w:rPr>
        <w:t>Nick</w:t>
      </w:r>
      <w:r w:rsidR="007A2ECD" w:rsidRPr="00631676">
        <w:rPr>
          <w:rFonts w:cstheme="minorHAnsi"/>
        </w:rPr>
        <w:t xml:space="preserve">.  The hearsay </w:t>
      </w:r>
      <w:r w:rsidR="00F35BA5">
        <w:rPr>
          <w:rFonts w:cstheme="minorHAnsi"/>
        </w:rPr>
        <w:t xml:space="preserve">statements </w:t>
      </w:r>
      <w:r w:rsidR="00FB34F1" w:rsidRPr="00631676">
        <w:rPr>
          <w:rFonts w:cstheme="minorHAnsi"/>
        </w:rPr>
        <w:t xml:space="preserve">that </w:t>
      </w:r>
      <w:r w:rsidR="00F35BA5">
        <w:rPr>
          <w:rFonts w:cstheme="minorHAnsi"/>
        </w:rPr>
        <w:t>were</w:t>
      </w:r>
      <w:r w:rsidR="00FB34F1" w:rsidRPr="00631676">
        <w:rPr>
          <w:rFonts w:cstheme="minorHAnsi"/>
        </w:rPr>
        <w:t xml:space="preserve"> admitted</w:t>
      </w:r>
      <w:r w:rsidR="00041259" w:rsidRPr="00631676">
        <w:rPr>
          <w:rFonts w:cstheme="minorHAnsi"/>
        </w:rPr>
        <w:t xml:space="preserve">, which tell the story of Nick’s initial capture and subsequent captivity, </w:t>
      </w:r>
      <w:r w:rsidR="009A1B5B" w:rsidRPr="00631676">
        <w:rPr>
          <w:rFonts w:cstheme="minorHAnsi"/>
        </w:rPr>
        <w:t>w</w:t>
      </w:r>
      <w:r w:rsidR="00F35BA5">
        <w:rPr>
          <w:rFonts w:cstheme="minorHAnsi"/>
        </w:rPr>
        <w:t>ere</w:t>
      </w:r>
      <w:r w:rsidR="009A1B5B" w:rsidRPr="00631676">
        <w:rPr>
          <w:rFonts w:cstheme="minorHAnsi"/>
        </w:rPr>
        <w:t xml:space="preserve"> relevant to </w:t>
      </w:r>
      <w:r w:rsidR="00FB34F1" w:rsidRPr="00631676">
        <w:rPr>
          <w:rFonts w:cstheme="minorHAnsi"/>
        </w:rPr>
        <w:t xml:space="preserve">demonstrating </w:t>
      </w:r>
      <w:r w:rsidR="009A1B5B" w:rsidRPr="00631676">
        <w:rPr>
          <w:rFonts w:cstheme="minorHAnsi"/>
        </w:rPr>
        <w:t>this overarching conspiracy</w:t>
      </w:r>
      <w:r w:rsidR="0053119E">
        <w:rPr>
          <w:rFonts w:cstheme="minorHAnsi"/>
        </w:rPr>
        <w:t>,</w:t>
      </w:r>
      <w:r w:rsidR="009A1B5B" w:rsidRPr="00631676">
        <w:rPr>
          <w:rFonts w:cstheme="minorHAnsi"/>
        </w:rPr>
        <w:t xml:space="preserve"> and </w:t>
      </w:r>
      <w:r w:rsidR="00FB34F1" w:rsidRPr="00631676">
        <w:rPr>
          <w:rFonts w:cstheme="minorHAnsi"/>
        </w:rPr>
        <w:t xml:space="preserve">were </w:t>
      </w:r>
      <w:r w:rsidR="009A1B5B" w:rsidRPr="00631676">
        <w:rPr>
          <w:rFonts w:cstheme="minorHAnsi"/>
        </w:rPr>
        <w:t>made in furtherance of the conspiracy.</w:t>
      </w:r>
      <w:r w:rsidR="007A2ECD" w:rsidRPr="00631676">
        <w:rPr>
          <w:rFonts w:cstheme="minorHAnsi"/>
        </w:rPr>
        <w:t xml:space="preserve"> </w:t>
      </w:r>
    </w:p>
    <w:p w14:paraId="1785E808" w14:textId="0DD34DD8" w:rsidR="00022BE2" w:rsidRPr="00631676" w:rsidRDefault="00022BE2" w:rsidP="001340F8">
      <w:pPr>
        <w:rPr>
          <w:rFonts w:cstheme="minorHAnsi"/>
          <w:u w:val="single"/>
        </w:rPr>
      </w:pPr>
      <w:r w:rsidRPr="00631676">
        <w:rPr>
          <w:rFonts w:cstheme="minorHAnsi"/>
        </w:rPr>
        <w:tab/>
      </w:r>
      <w:r w:rsidRPr="00631676">
        <w:rPr>
          <w:rFonts w:cstheme="minorHAnsi"/>
        </w:rPr>
        <w:tab/>
      </w:r>
      <w:r w:rsidR="004E5343">
        <w:rPr>
          <w:rFonts w:cstheme="minorHAnsi"/>
        </w:rPr>
        <w:tab/>
      </w:r>
      <w:r w:rsidRPr="00631676">
        <w:rPr>
          <w:rFonts w:cstheme="minorHAnsi"/>
        </w:rPr>
        <w:tab/>
      </w:r>
      <w:r w:rsidRPr="00631676">
        <w:rPr>
          <w:rFonts w:cstheme="minorHAnsi"/>
        </w:rPr>
        <w:tab/>
      </w:r>
      <w:r w:rsidR="002E1B66" w:rsidRPr="00631676">
        <w:rPr>
          <w:rFonts w:cstheme="minorHAnsi"/>
          <w:i/>
        </w:rPr>
        <w:t>iii.</w:t>
      </w:r>
      <w:r w:rsidRPr="00631676">
        <w:rPr>
          <w:rFonts w:cstheme="minorHAnsi"/>
        </w:rPr>
        <w:tab/>
      </w:r>
      <w:r w:rsidRPr="00631676">
        <w:rPr>
          <w:rFonts w:cstheme="minorHAnsi"/>
          <w:i/>
        </w:rPr>
        <w:t>Jury Question</w:t>
      </w:r>
      <w:r w:rsidR="00C3550C">
        <w:rPr>
          <w:rFonts w:cstheme="minorHAnsi"/>
          <w:i/>
        </w:rPr>
        <w:t>s</w:t>
      </w:r>
    </w:p>
    <w:p w14:paraId="072332F5" w14:textId="77777777" w:rsidR="004E4BC9" w:rsidRPr="00631676" w:rsidRDefault="004E7DC2" w:rsidP="001340F8">
      <w:pPr>
        <w:rPr>
          <w:rFonts w:cstheme="minorHAnsi"/>
        </w:rPr>
      </w:pPr>
      <w:r w:rsidRPr="00631676">
        <w:rPr>
          <w:rFonts w:cstheme="minorHAnsi"/>
        </w:rPr>
        <w:tab/>
      </w:r>
      <w:r w:rsidR="002C29CB" w:rsidRPr="00631676">
        <w:rPr>
          <w:rFonts w:cstheme="minorHAnsi"/>
        </w:rPr>
        <w:t>D</w:t>
      </w:r>
      <w:r w:rsidRPr="00631676">
        <w:rPr>
          <w:rFonts w:cstheme="minorHAnsi"/>
        </w:rPr>
        <w:t xml:space="preserve">efendant </w:t>
      </w:r>
      <w:r w:rsidR="002C29CB" w:rsidRPr="00631676">
        <w:rPr>
          <w:rFonts w:cstheme="minorHAnsi"/>
        </w:rPr>
        <w:t xml:space="preserve">also </w:t>
      </w:r>
      <w:r w:rsidRPr="00631676">
        <w:rPr>
          <w:rFonts w:cstheme="minorHAnsi"/>
        </w:rPr>
        <w:t>argues the court’s responses to juror inquiries regarding whether one or two kidnaps were alleged, and the relevance of conspiracy, ultimately worked to direct a verdict on the kidnap count and kidnap-murder special</w:t>
      </w:r>
      <w:r w:rsidR="00F954BF" w:rsidRPr="00631676">
        <w:rPr>
          <w:rFonts w:cstheme="minorHAnsi"/>
        </w:rPr>
        <w:t>-</w:t>
      </w:r>
      <w:r w:rsidRPr="00631676">
        <w:rPr>
          <w:rFonts w:cstheme="minorHAnsi"/>
        </w:rPr>
        <w:t>circumstance</w:t>
      </w:r>
      <w:r w:rsidR="002110C6" w:rsidRPr="00631676">
        <w:rPr>
          <w:rFonts w:cstheme="minorHAnsi"/>
        </w:rPr>
        <w:t xml:space="preserve"> charges.</w:t>
      </w:r>
      <w:r w:rsidR="00C45574" w:rsidRPr="00631676">
        <w:rPr>
          <w:rFonts w:cstheme="minorHAnsi"/>
        </w:rPr>
        <w:t xml:space="preserve">  </w:t>
      </w:r>
    </w:p>
    <w:p w14:paraId="6C66A663" w14:textId="29083171" w:rsidR="004E7DC2" w:rsidRPr="00631676" w:rsidRDefault="00C45574" w:rsidP="001340F8">
      <w:pPr>
        <w:ind w:firstLine="720"/>
        <w:rPr>
          <w:rFonts w:cstheme="minorHAnsi"/>
        </w:rPr>
      </w:pPr>
      <w:r w:rsidRPr="00631676">
        <w:rPr>
          <w:rFonts w:cstheme="minorHAnsi"/>
        </w:rPr>
        <w:t>During the second day of deliberations, the jury posed a question about whether one or two kidnapping events occurred and asked about the relevance of the conspiracy instruction.  The jury asked whether “the kidnapping [is] a continuous, single event” and “what are the correct dates” of the kidnapping.  The court explained</w:t>
      </w:r>
      <w:r w:rsidR="0053119E">
        <w:rPr>
          <w:rFonts w:cstheme="minorHAnsi"/>
        </w:rPr>
        <w:t>,</w:t>
      </w:r>
      <w:r w:rsidRPr="00631676">
        <w:rPr>
          <w:rFonts w:cstheme="minorHAnsi"/>
        </w:rPr>
        <w:t xml:space="preserve"> “</w:t>
      </w:r>
      <w:r w:rsidR="0053119E">
        <w:rPr>
          <w:rFonts w:cstheme="minorHAnsi"/>
        </w:rPr>
        <w:t>[T]</w:t>
      </w:r>
      <w:r w:rsidRPr="00631676">
        <w:rPr>
          <w:rFonts w:cstheme="minorHAnsi"/>
        </w:rPr>
        <w:t xml:space="preserve">hat was one of the issues in the case that I </w:t>
      </w:r>
      <w:r w:rsidRPr="00631676">
        <w:rPr>
          <w:rFonts w:cstheme="minorHAnsi"/>
        </w:rPr>
        <w:lastRenderedPageBreak/>
        <w:t xml:space="preserve">gave </w:t>
      </w:r>
      <w:r w:rsidR="00525686" w:rsidRPr="00631676">
        <w:rPr>
          <w:rFonts w:cstheme="minorHAnsi"/>
        </w:rPr>
        <w:t>y</w:t>
      </w:r>
      <w:r w:rsidRPr="00631676">
        <w:rPr>
          <w:rFonts w:cstheme="minorHAnsi"/>
        </w:rPr>
        <w:t>ou an instruction when a kidnapping terminates, and there was some, the defense—there was some argument that the initial kidnap</w:t>
      </w:r>
      <w:r w:rsidR="006C6501" w:rsidRPr="00631676">
        <w:rPr>
          <w:rFonts w:cstheme="minorHAnsi"/>
        </w:rPr>
        <w:t>p</w:t>
      </w:r>
      <w:r w:rsidRPr="00631676">
        <w:rPr>
          <w:rFonts w:cstheme="minorHAnsi"/>
        </w:rPr>
        <w:t xml:space="preserve">ing had already terminated and he was free to go, remember that, and then there was some subsequent argument that the facts supported a second kidnapping based upon what you found there, and so that’s really one of the issues that you have to decide.  I </w:t>
      </w:r>
      <w:proofErr w:type="gramStart"/>
      <w:r w:rsidRPr="00631676">
        <w:rPr>
          <w:rFonts w:cstheme="minorHAnsi"/>
        </w:rPr>
        <w:t>can’t</w:t>
      </w:r>
      <w:proofErr w:type="gramEnd"/>
      <w:r w:rsidRPr="00631676">
        <w:rPr>
          <w:rFonts w:cstheme="minorHAnsi"/>
        </w:rPr>
        <w:t xml:space="preserve"> answer that question for you.</w:t>
      </w:r>
      <w:r w:rsidR="005B4928" w:rsidRPr="00631676">
        <w:rPr>
          <w:rFonts w:cstheme="minorHAnsi"/>
        </w:rPr>
        <w:t xml:space="preserve">  I can just </w:t>
      </w:r>
      <w:r w:rsidRPr="00631676">
        <w:rPr>
          <w:rFonts w:cstheme="minorHAnsi"/>
        </w:rPr>
        <w:t>point out to you that that was one of the disputed issues in the case.  One, was the kidnapping that happened in the San Fernando Valley still on</w:t>
      </w:r>
      <w:r w:rsidR="007D4672" w:rsidRPr="00631676">
        <w:rPr>
          <w:rFonts w:cstheme="minorHAnsi"/>
        </w:rPr>
        <w:t>g</w:t>
      </w:r>
      <w:r w:rsidRPr="00631676">
        <w:rPr>
          <w:rFonts w:cstheme="minorHAnsi"/>
        </w:rPr>
        <w:t xml:space="preserve">oing when this happened.  And there was argument about that.  And then, even if it </w:t>
      </w:r>
      <w:proofErr w:type="gramStart"/>
      <w:r w:rsidRPr="00631676">
        <w:rPr>
          <w:rFonts w:cstheme="minorHAnsi"/>
        </w:rPr>
        <w:t>wasn’t</w:t>
      </w:r>
      <w:proofErr w:type="gramEnd"/>
      <w:r w:rsidRPr="00631676">
        <w:rPr>
          <w:rFonts w:cstheme="minorHAnsi"/>
        </w:rPr>
        <w:t xml:space="preserve">, was there another kidnapping.  Those were the issues that were presented to the jury.  And I can only remind you of what those issues were.  I can’t answer </w:t>
      </w:r>
      <w:r w:rsidR="005B4928" w:rsidRPr="00631676">
        <w:rPr>
          <w:rFonts w:cstheme="minorHAnsi"/>
        </w:rPr>
        <w:t>that question for you, because I’d be stepping in and I’d have to send all of you home because I’d be taking over your responsibility.”  The foreperson responded, “</w:t>
      </w:r>
      <w:r w:rsidR="0053119E">
        <w:rPr>
          <w:rFonts w:cstheme="minorHAnsi"/>
        </w:rPr>
        <w:t>[T]</w:t>
      </w:r>
      <w:r w:rsidR="005B4928" w:rsidRPr="00631676">
        <w:rPr>
          <w:rFonts w:cstheme="minorHAnsi"/>
        </w:rPr>
        <w:t xml:space="preserve">hat’s helpful in itself.”  </w:t>
      </w:r>
      <w:r w:rsidR="00E36FFB" w:rsidRPr="00631676">
        <w:rPr>
          <w:rFonts w:cstheme="minorHAnsi"/>
        </w:rPr>
        <w:t xml:space="preserve">Defense counsel was present and raised no objection.  </w:t>
      </w:r>
    </w:p>
    <w:p w14:paraId="390A0573" w14:textId="4E82016E" w:rsidR="003A491B" w:rsidRPr="00631676" w:rsidRDefault="00525686" w:rsidP="001340F8">
      <w:pPr>
        <w:rPr>
          <w:rFonts w:cstheme="minorHAnsi"/>
        </w:rPr>
      </w:pPr>
      <w:r w:rsidRPr="00631676">
        <w:rPr>
          <w:rFonts w:cstheme="minorHAnsi"/>
        </w:rPr>
        <w:tab/>
        <w:t xml:space="preserve">The court also responded to the jury’s question regarding the dates of the kidnapping offense, noting that the dates the jury had to keep in mind were </w:t>
      </w:r>
      <w:r w:rsidR="00600982" w:rsidRPr="00631676">
        <w:rPr>
          <w:rFonts w:cstheme="minorHAnsi"/>
        </w:rPr>
        <w:t>August 6 and 9, 2000</w:t>
      </w:r>
      <w:r w:rsidRPr="00631676">
        <w:rPr>
          <w:rFonts w:cstheme="minorHAnsi"/>
        </w:rPr>
        <w:t xml:space="preserve">.  </w:t>
      </w:r>
      <w:r w:rsidR="00B01475" w:rsidRPr="00631676">
        <w:rPr>
          <w:rFonts w:cstheme="minorHAnsi"/>
        </w:rPr>
        <w:t>T</w:t>
      </w:r>
      <w:r w:rsidRPr="00631676">
        <w:rPr>
          <w:rFonts w:cstheme="minorHAnsi"/>
        </w:rPr>
        <w:t>he court noted, “</w:t>
      </w:r>
      <w:r w:rsidR="0053119E">
        <w:rPr>
          <w:rFonts w:cstheme="minorHAnsi"/>
        </w:rPr>
        <w:t>[A]</w:t>
      </w:r>
      <w:r w:rsidRPr="00631676">
        <w:rPr>
          <w:rFonts w:cstheme="minorHAnsi"/>
        </w:rPr>
        <w:t xml:space="preserve">gain, whether or not the kidnapping was ongoing through that period or there were two kidnappings or there was only one that had terminated, those are the dates that you have to keep in mind, the 6th through the 9th.”  </w:t>
      </w:r>
    </w:p>
    <w:p w14:paraId="507FCC64" w14:textId="17D662BE" w:rsidR="00525686" w:rsidRPr="00631676" w:rsidRDefault="003A491B" w:rsidP="001340F8">
      <w:pPr>
        <w:rPr>
          <w:rFonts w:cstheme="minorHAnsi"/>
        </w:rPr>
      </w:pPr>
      <w:r w:rsidRPr="00631676">
        <w:rPr>
          <w:rFonts w:cstheme="minorHAnsi"/>
        </w:rPr>
        <w:tab/>
      </w:r>
      <w:r w:rsidR="00E62908" w:rsidRPr="00631676">
        <w:rPr>
          <w:rFonts w:cstheme="minorHAnsi"/>
        </w:rPr>
        <w:t>T</w:t>
      </w:r>
      <w:r w:rsidRPr="00631676">
        <w:rPr>
          <w:rFonts w:cstheme="minorHAnsi"/>
        </w:rPr>
        <w:t>he jury a</w:t>
      </w:r>
      <w:r w:rsidR="00E62908" w:rsidRPr="00631676">
        <w:rPr>
          <w:rFonts w:cstheme="minorHAnsi"/>
        </w:rPr>
        <w:t>lso a</w:t>
      </w:r>
      <w:r w:rsidRPr="00631676">
        <w:rPr>
          <w:rFonts w:cstheme="minorHAnsi"/>
        </w:rPr>
        <w:t xml:space="preserve">sked about the lesser included offense of simple kidnap under </w:t>
      </w:r>
      <w:r w:rsidR="009A10C1" w:rsidRPr="00631676">
        <w:rPr>
          <w:rFonts w:cstheme="minorHAnsi"/>
        </w:rPr>
        <w:t xml:space="preserve">Penal Code </w:t>
      </w:r>
      <w:r w:rsidRPr="00631676">
        <w:rPr>
          <w:rFonts w:cstheme="minorHAnsi"/>
        </w:rPr>
        <w:t>section 207.  The court reminded the jury to consider defendant’s involvement only when considering the elements of the offense.  The jury then asked, “</w:t>
      </w:r>
      <w:r w:rsidR="0053119E">
        <w:rPr>
          <w:rFonts w:cstheme="minorHAnsi"/>
        </w:rPr>
        <w:t>S</w:t>
      </w:r>
      <w:r w:rsidRPr="00631676">
        <w:rPr>
          <w:rFonts w:cstheme="minorHAnsi"/>
        </w:rPr>
        <w:t>o being a coconspirator has nothing to do with it</w:t>
      </w:r>
      <w:r w:rsidR="0053119E">
        <w:rPr>
          <w:rFonts w:cstheme="minorHAnsi"/>
        </w:rPr>
        <w:t>?</w:t>
      </w:r>
      <w:r w:rsidRPr="00631676">
        <w:rPr>
          <w:rFonts w:cstheme="minorHAnsi"/>
        </w:rPr>
        <w:t xml:space="preserve">”  The court reminded the jury that defendant was not charged with </w:t>
      </w:r>
      <w:r w:rsidRPr="00631676">
        <w:rPr>
          <w:rFonts w:cstheme="minorHAnsi"/>
        </w:rPr>
        <w:lastRenderedPageBreak/>
        <w:t xml:space="preserve">conspiracy, and </w:t>
      </w:r>
      <w:r w:rsidR="00E62908" w:rsidRPr="00631676">
        <w:rPr>
          <w:rFonts w:cstheme="minorHAnsi"/>
        </w:rPr>
        <w:t xml:space="preserve">the jury </w:t>
      </w:r>
      <w:r w:rsidRPr="00631676">
        <w:rPr>
          <w:rFonts w:cstheme="minorHAnsi"/>
        </w:rPr>
        <w:t xml:space="preserve">was instructed regarding coconspirators to give context to certain statements made.  The jury thanked the court and indicated its question had been resolved.  </w:t>
      </w:r>
    </w:p>
    <w:p w14:paraId="51D0FA55" w14:textId="62DCA194" w:rsidR="005B5360" w:rsidRPr="00631676" w:rsidRDefault="00525686" w:rsidP="001340F8">
      <w:pPr>
        <w:rPr>
          <w:rFonts w:cstheme="minorHAnsi"/>
        </w:rPr>
      </w:pPr>
      <w:r w:rsidRPr="00631676">
        <w:rPr>
          <w:rFonts w:cstheme="minorHAnsi"/>
        </w:rPr>
        <w:tab/>
      </w:r>
      <w:r w:rsidR="007D4672" w:rsidRPr="00631676">
        <w:rPr>
          <w:rFonts w:cstheme="minorHAnsi"/>
        </w:rPr>
        <w:t xml:space="preserve">Defendant argues the </w:t>
      </w:r>
      <w:r w:rsidR="005E4C23" w:rsidRPr="00631676">
        <w:rPr>
          <w:rFonts w:cstheme="minorHAnsi"/>
        </w:rPr>
        <w:t>trial court’s responses were faulty</w:t>
      </w:r>
      <w:r w:rsidR="00DF4FB2" w:rsidRPr="00631676">
        <w:rPr>
          <w:rFonts w:cstheme="minorHAnsi"/>
        </w:rPr>
        <w:t xml:space="preserve"> insofar as they instructed the jury they could convict on the basis of the prosecution’s “second kidnap”</w:t>
      </w:r>
      <w:r w:rsidR="0033203B" w:rsidRPr="00631676">
        <w:rPr>
          <w:rFonts w:cstheme="minorHAnsi"/>
        </w:rPr>
        <w:t xml:space="preserve"> theory; failed to clarify that the jury could not convict defendant of the kidnap if the movement of the victim during this kidnapping was incidental to the murder (</w:t>
      </w:r>
      <w:r w:rsidR="005507EB" w:rsidRPr="00631676">
        <w:rPr>
          <w:rFonts w:cstheme="minorHAnsi"/>
          <w:i/>
        </w:rPr>
        <w:t xml:space="preserve">People v. </w:t>
      </w:r>
      <w:r w:rsidR="00981BF6" w:rsidRPr="00631676">
        <w:rPr>
          <w:rFonts w:cstheme="minorHAnsi"/>
          <w:i/>
        </w:rPr>
        <w:t>Brents</w:t>
      </w:r>
      <w:r w:rsidR="00981BF6" w:rsidRPr="00631676">
        <w:rPr>
          <w:rFonts w:cstheme="minorHAnsi"/>
        </w:rPr>
        <w:t xml:space="preserve"> (2012) 53 Cal.4th 599, 612</w:t>
      </w:r>
      <w:r w:rsidR="0033203B" w:rsidRPr="00631676">
        <w:rPr>
          <w:rFonts w:cstheme="minorHAnsi"/>
        </w:rPr>
        <w:t xml:space="preserve">); and </w:t>
      </w:r>
      <w:r w:rsidR="000C275E" w:rsidRPr="00631676">
        <w:rPr>
          <w:rFonts w:cstheme="minorHAnsi"/>
        </w:rPr>
        <w:t xml:space="preserve">failed to clarify that defendant could not be held “strictly liable” for an earlier kidnap by other participants.  </w:t>
      </w:r>
      <w:r w:rsidR="005B5360" w:rsidRPr="00631676">
        <w:rPr>
          <w:rFonts w:cstheme="minorHAnsi"/>
        </w:rPr>
        <w:t>To the extent</w:t>
      </w:r>
      <w:r w:rsidR="00100C52" w:rsidRPr="00631676">
        <w:rPr>
          <w:rFonts w:cstheme="minorHAnsi"/>
        </w:rPr>
        <w:t>, if any,</w:t>
      </w:r>
      <w:r w:rsidR="005B5360" w:rsidRPr="00631676">
        <w:rPr>
          <w:rFonts w:cstheme="minorHAnsi"/>
        </w:rPr>
        <w:t xml:space="preserve"> </w:t>
      </w:r>
      <w:r w:rsidR="004E4BC9" w:rsidRPr="00631676">
        <w:rPr>
          <w:rFonts w:cstheme="minorHAnsi"/>
        </w:rPr>
        <w:t xml:space="preserve">the </w:t>
      </w:r>
      <w:r w:rsidR="005B5360" w:rsidRPr="00631676">
        <w:rPr>
          <w:rFonts w:cstheme="minorHAnsi"/>
        </w:rPr>
        <w:t xml:space="preserve">court’s response caused confusion, defendant’s failure to object forfeits any claim of error on appeal.  (See </w:t>
      </w:r>
      <w:r w:rsidR="005B5360" w:rsidRPr="00631676">
        <w:rPr>
          <w:rFonts w:cstheme="minorHAnsi"/>
          <w:i/>
        </w:rPr>
        <w:t>People v. Tully</w:t>
      </w:r>
      <w:r w:rsidR="006B301F" w:rsidRPr="00631676">
        <w:rPr>
          <w:rFonts w:cstheme="minorHAnsi"/>
          <w:i/>
        </w:rPr>
        <w:t xml:space="preserve"> </w:t>
      </w:r>
      <w:r w:rsidR="006B301F" w:rsidRPr="00631676">
        <w:rPr>
          <w:rFonts w:cstheme="minorHAnsi"/>
        </w:rPr>
        <w:t xml:space="preserve">(2012) </w:t>
      </w:r>
      <w:r w:rsidR="005B5360" w:rsidRPr="00631676">
        <w:rPr>
          <w:rFonts w:cstheme="minorHAnsi"/>
        </w:rPr>
        <w:t xml:space="preserve">54 Cal.4th </w:t>
      </w:r>
      <w:r w:rsidR="006B301F" w:rsidRPr="00631676">
        <w:rPr>
          <w:rFonts w:cstheme="minorHAnsi"/>
        </w:rPr>
        <w:t xml:space="preserve">952, </w:t>
      </w:r>
      <w:r w:rsidR="005B5360" w:rsidRPr="00631676">
        <w:rPr>
          <w:rFonts w:cstheme="minorHAnsi"/>
        </w:rPr>
        <w:t xml:space="preserve">1061.)  In any event, there was no significant risk of confusion. </w:t>
      </w:r>
      <w:r w:rsidR="004E4BC9" w:rsidRPr="00631676">
        <w:rPr>
          <w:rFonts w:cstheme="minorHAnsi"/>
        </w:rPr>
        <w:t xml:space="preserve"> </w:t>
      </w:r>
      <w:r w:rsidR="005B5360" w:rsidRPr="00631676">
        <w:rPr>
          <w:rFonts w:cstheme="minorHAnsi"/>
        </w:rPr>
        <w:t xml:space="preserve">The trial court correctly advised the jury it could convict defendant of kidnapping based on his own involvement in the transportation of the victim to the site where he was murdered.  Under the circumstances of the case, there was no danger the jury would misunderstand the trial court as advising that it could hold defendant “strictly liable” for the earlier abduction of Nick on August 6; </w:t>
      </w:r>
      <w:r w:rsidR="007F33EC" w:rsidRPr="00631676">
        <w:rPr>
          <w:rFonts w:cstheme="minorHAnsi"/>
        </w:rPr>
        <w:t>no such argument was raised at trial.  Defendant’s argument that the trial court’s responses worked to direct a verdict on the kidnap count and kidnap-murder special</w:t>
      </w:r>
      <w:r w:rsidR="00B06D79" w:rsidRPr="00631676">
        <w:rPr>
          <w:rFonts w:cstheme="minorHAnsi"/>
        </w:rPr>
        <w:t>-</w:t>
      </w:r>
      <w:r w:rsidR="007F33EC" w:rsidRPr="00631676">
        <w:rPr>
          <w:rFonts w:cstheme="minorHAnsi"/>
        </w:rPr>
        <w:t>circumstance charges</w:t>
      </w:r>
      <w:r w:rsidR="007F63AA" w:rsidRPr="00631676">
        <w:rPr>
          <w:rFonts w:cstheme="minorHAnsi"/>
        </w:rPr>
        <w:t xml:space="preserve"> is without merit.</w:t>
      </w:r>
    </w:p>
    <w:p w14:paraId="59207F32" w14:textId="7E5E0E9D" w:rsidR="002C29CB" w:rsidRPr="00631676" w:rsidRDefault="002C29CB" w:rsidP="001340F8">
      <w:pPr>
        <w:rPr>
          <w:rFonts w:cstheme="minorHAnsi"/>
          <w:i/>
        </w:rPr>
      </w:pPr>
      <w:r w:rsidRPr="00631676">
        <w:rPr>
          <w:rFonts w:cstheme="minorHAnsi"/>
        </w:rPr>
        <w:tab/>
      </w:r>
      <w:r w:rsidRPr="00631676">
        <w:rPr>
          <w:rFonts w:cstheme="minorHAnsi"/>
        </w:rPr>
        <w:tab/>
      </w:r>
      <w:r w:rsidRPr="00631676">
        <w:rPr>
          <w:rFonts w:cstheme="minorHAnsi"/>
        </w:rPr>
        <w:tab/>
      </w:r>
      <w:r w:rsidR="004E5343">
        <w:rPr>
          <w:rFonts w:cstheme="minorHAnsi"/>
        </w:rPr>
        <w:tab/>
      </w:r>
      <w:bookmarkStart w:id="28" w:name="_GoBack"/>
      <w:bookmarkEnd w:id="28"/>
      <w:r w:rsidRPr="00631676">
        <w:rPr>
          <w:rFonts w:cstheme="minorHAnsi"/>
        </w:rPr>
        <w:tab/>
      </w:r>
      <w:r w:rsidR="002E1B66" w:rsidRPr="00631676">
        <w:rPr>
          <w:rFonts w:cstheme="minorHAnsi"/>
          <w:i/>
        </w:rPr>
        <w:t>iv</w:t>
      </w:r>
      <w:r w:rsidRPr="00631676">
        <w:rPr>
          <w:rFonts w:cstheme="minorHAnsi"/>
          <w:i/>
        </w:rPr>
        <w:t>.</w:t>
      </w:r>
      <w:r w:rsidRPr="00631676">
        <w:rPr>
          <w:rFonts w:cstheme="minorHAnsi"/>
        </w:rPr>
        <w:tab/>
      </w:r>
      <w:r w:rsidRPr="00631676">
        <w:rPr>
          <w:rFonts w:cstheme="minorHAnsi"/>
          <w:i/>
        </w:rPr>
        <w:t>Instruction</w:t>
      </w:r>
      <w:r w:rsidR="00272199" w:rsidRPr="00631676">
        <w:rPr>
          <w:rFonts w:cstheme="minorHAnsi"/>
          <w:i/>
        </w:rPr>
        <w:t>al Issues</w:t>
      </w:r>
    </w:p>
    <w:p w14:paraId="1A2906C6" w14:textId="71542030" w:rsidR="00A16664" w:rsidRPr="00631676" w:rsidRDefault="00535805" w:rsidP="001340F8">
      <w:pPr>
        <w:rPr>
          <w:rFonts w:cstheme="minorHAnsi"/>
        </w:rPr>
      </w:pPr>
      <w:r w:rsidRPr="00631676">
        <w:rPr>
          <w:rFonts w:cstheme="minorHAnsi"/>
        </w:rPr>
        <w:tab/>
      </w:r>
      <w:r w:rsidR="00272199" w:rsidRPr="00631676">
        <w:rPr>
          <w:rFonts w:cstheme="minorHAnsi"/>
        </w:rPr>
        <w:t>D</w:t>
      </w:r>
      <w:r w:rsidRPr="00631676">
        <w:rPr>
          <w:rFonts w:cstheme="minorHAnsi"/>
        </w:rPr>
        <w:t xml:space="preserve">efendant argues that </w:t>
      </w:r>
      <w:proofErr w:type="gramStart"/>
      <w:r w:rsidRPr="00631676">
        <w:rPr>
          <w:rFonts w:cstheme="minorHAnsi"/>
        </w:rPr>
        <w:t>a</w:t>
      </w:r>
      <w:proofErr w:type="gramEnd"/>
      <w:r w:rsidRPr="00631676">
        <w:rPr>
          <w:rFonts w:cstheme="minorHAnsi"/>
        </w:rPr>
        <w:t xml:space="preserve"> unanimity instruction was warranted or could have cured whatever error the court created through its responses to juror questions.  Such instructions </w:t>
      </w:r>
      <w:r w:rsidRPr="00631676">
        <w:rPr>
          <w:rFonts w:cstheme="minorHAnsi"/>
        </w:rPr>
        <w:lastRenderedPageBreak/>
        <w:t>“generally appl[y] to acts that could have been charged as separate offenses, and .</w:t>
      </w:r>
      <w:r w:rsidR="008854B1" w:rsidRPr="00631676">
        <w:rPr>
          <w:rFonts w:cstheme="minorHAnsi"/>
        </w:rPr>
        <w:t> </w:t>
      </w:r>
      <w:r w:rsidRPr="00631676">
        <w:rPr>
          <w:rFonts w:cstheme="minorHAnsi"/>
        </w:rPr>
        <w:t>.</w:t>
      </w:r>
      <w:r w:rsidR="008854B1" w:rsidRPr="00631676">
        <w:rPr>
          <w:rFonts w:cstheme="minorHAnsi"/>
        </w:rPr>
        <w:t> </w:t>
      </w:r>
      <w:r w:rsidRPr="00631676">
        <w:rPr>
          <w:rFonts w:cstheme="minorHAnsi"/>
        </w:rPr>
        <w:t>. must be given ‘</w:t>
      </w:r>
      <w:r w:rsidR="008854B1" w:rsidRPr="00631676">
        <w:rPr>
          <w:rFonts w:cstheme="minorHAnsi"/>
        </w:rPr>
        <w:t> </w:t>
      </w:r>
      <w:r w:rsidRPr="00631676">
        <w:rPr>
          <w:rFonts w:cstheme="minorHAnsi"/>
        </w:rPr>
        <w:t>“only if the jurors could otherwise disagree which act a defendant committed and yet convict him of the crime charged.”</w:t>
      </w:r>
      <w:r w:rsidR="008854B1" w:rsidRPr="00631676">
        <w:rPr>
          <w:rFonts w:cstheme="minorHAnsi"/>
        </w:rPr>
        <w:t> </w:t>
      </w:r>
      <w:r w:rsidRPr="00631676">
        <w:rPr>
          <w:rFonts w:cstheme="minorHAnsi"/>
        </w:rPr>
        <w:t>’</w:t>
      </w:r>
      <w:r w:rsidR="008854B1" w:rsidRPr="00631676">
        <w:rPr>
          <w:rFonts w:cstheme="minorHAnsi"/>
        </w:rPr>
        <w:t> </w:t>
      </w:r>
      <w:r w:rsidRPr="00631676">
        <w:rPr>
          <w:rFonts w:cstheme="minorHAnsi"/>
        </w:rPr>
        <w:t>”  (</w:t>
      </w:r>
      <w:r w:rsidRPr="00631676">
        <w:rPr>
          <w:rFonts w:cstheme="minorHAnsi"/>
          <w:i/>
        </w:rPr>
        <w:t>People v. Seaton</w:t>
      </w:r>
      <w:r w:rsidR="00EC7E8B" w:rsidRPr="00631676">
        <w:rPr>
          <w:rFonts w:cstheme="minorHAnsi"/>
        </w:rPr>
        <w:t xml:space="preserve"> (2001) 26 </w:t>
      </w:r>
      <w:r w:rsidRPr="00631676">
        <w:rPr>
          <w:rFonts w:cstheme="minorHAnsi"/>
        </w:rPr>
        <w:t xml:space="preserve">Cal.4th 598, 671.)  Here, for reasons already explained, there was no realistic possibility of disagreement.  The indictment charged a continuous course of conduct—albeit one involving </w:t>
      </w:r>
      <w:r w:rsidR="001C6447" w:rsidRPr="00631676">
        <w:rPr>
          <w:rFonts w:cstheme="minorHAnsi"/>
        </w:rPr>
        <w:t xml:space="preserve">various </w:t>
      </w:r>
      <w:r w:rsidRPr="00631676">
        <w:rPr>
          <w:rFonts w:cstheme="minorHAnsi"/>
        </w:rPr>
        <w:t xml:space="preserve">actors </w:t>
      </w:r>
      <w:r w:rsidR="001C6447" w:rsidRPr="00631676">
        <w:rPr>
          <w:rFonts w:cstheme="minorHAnsi"/>
        </w:rPr>
        <w:t>at different times</w:t>
      </w:r>
      <w:r w:rsidRPr="00631676">
        <w:rPr>
          <w:rFonts w:cstheme="minorHAnsi"/>
        </w:rPr>
        <w:t xml:space="preserve">—that began </w:t>
      </w:r>
      <w:r w:rsidR="001C6447" w:rsidRPr="00631676">
        <w:rPr>
          <w:rFonts w:cstheme="minorHAnsi"/>
        </w:rPr>
        <w:t xml:space="preserve">with Nick’s abduction </w:t>
      </w:r>
      <w:r w:rsidRPr="00631676">
        <w:rPr>
          <w:rFonts w:cstheme="minorHAnsi"/>
        </w:rPr>
        <w:t xml:space="preserve">on </w:t>
      </w:r>
      <w:proofErr w:type="gramStart"/>
      <w:r w:rsidRPr="00631676">
        <w:rPr>
          <w:rFonts w:cstheme="minorHAnsi"/>
        </w:rPr>
        <w:t>August 6, 2000, and</w:t>
      </w:r>
      <w:proofErr w:type="gramEnd"/>
      <w:r w:rsidRPr="00631676">
        <w:rPr>
          <w:rFonts w:cstheme="minorHAnsi"/>
        </w:rPr>
        <w:t xml:space="preserve"> culminated with his murder on August 9, 2000.  The evidence at trial showed that defendant’s involvement began on August 8 when he</w:t>
      </w:r>
      <w:r w:rsidR="00620413" w:rsidRPr="00631676">
        <w:rPr>
          <w:rFonts w:cstheme="minorHAnsi"/>
        </w:rPr>
        <w:t xml:space="preserve"> took and</w:t>
      </w:r>
      <w:r w:rsidRPr="00631676">
        <w:rPr>
          <w:rFonts w:cstheme="minorHAnsi"/>
        </w:rPr>
        <w:t xml:space="preserve"> transported </w:t>
      </w:r>
      <w:r w:rsidR="00620413" w:rsidRPr="00631676">
        <w:rPr>
          <w:rFonts w:cstheme="minorHAnsi"/>
        </w:rPr>
        <w:t xml:space="preserve">Nick </w:t>
      </w:r>
      <w:r w:rsidRPr="00631676">
        <w:rPr>
          <w:rFonts w:cstheme="minorHAnsi"/>
        </w:rPr>
        <w:t xml:space="preserve">to the location where he </w:t>
      </w:r>
      <w:r w:rsidR="00620413" w:rsidRPr="00631676">
        <w:rPr>
          <w:rFonts w:cstheme="minorHAnsi"/>
        </w:rPr>
        <w:t>was killed</w:t>
      </w:r>
      <w:r w:rsidRPr="00631676">
        <w:rPr>
          <w:rFonts w:cstheme="minorHAnsi"/>
        </w:rPr>
        <w:t xml:space="preserve">.  The trial court advised the jury that it was to evaluate </w:t>
      </w:r>
      <w:r w:rsidR="00733946" w:rsidRPr="00631676">
        <w:rPr>
          <w:rFonts w:cstheme="minorHAnsi"/>
        </w:rPr>
        <w:t xml:space="preserve">only </w:t>
      </w:r>
      <w:r w:rsidRPr="00631676">
        <w:rPr>
          <w:rFonts w:cstheme="minorHAnsi"/>
        </w:rPr>
        <w:t xml:space="preserve">defendant’s involvement when determining defendant’s guilt.  The trial court was not obligated to give </w:t>
      </w:r>
      <w:proofErr w:type="gramStart"/>
      <w:r w:rsidRPr="00631676">
        <w:rPr>
          <w:rFonts w:cstheme="minorHAnsi"/>
        </w:rPr>
        <w:t>a</w:t>
      </w:r>
      <w:proofErr w:type="gramEnd"/>
      <w:r w:rsidRPr="00631676">
        <w:rPr>
          <w:rFonts w:cstheme="minorHAnsi"/>
        </w:rPr>
        <w:t xml:space="preserve"> unanimity instruction.</w:t>
      </w:r>
      <w:r w:rsidR="00A16664" w:rsidRPr="00631676">
        <w:rPr>
          <w:rFonts w:cstheme="minorHAnsi"/>
        </w:rPr>
        <w:t xml:space="preserve">  </w:t>
      </w:r>
    </w:p>
    <w:p w14:paraId="3162B48B" w14:textId="2CE109AC" w:rsidR="00617778" w:rsidRPr="00631676" w:rsidRDefault="00A16664" w:rsidP="001340F8">
      <w:pPr>
        <w:ind w:firstLine="720"/>
        <w:rPr>
          <w:rFonts w:cstheme="minorHAnsi"/>
        </w:rPr>
      </w:pPr>
      <w:r w:rsidRPr="00631676">
        <w:rPr>
          <w:rFonts w:cstheme="minorHAnsi"/>
        </w:rPr>
        <w:t xml:space="preserve">Finally, we note that </w:t>
      </w:r>
      <w:r w:rsidR="0076063A">
        <w:rPr>
          <w:rFonts w:cstheme="minorHAnsi"/>
        </w:rPr>
        <w:t xml:space="preserve">while </w:t>
      </w:r>
      <w:r w:rsidRPr="00631676">
        <w:rPr>
          <w:rFonts w:cstheme="minorHAnsi"/>
        </w:rPr>
        <w:t xml:space="preserve">defendant </w:t>
      </w:r>
      <w:r w:rsidR="00EF6084">
        <w:rPr>
          <w:rFonts w:cstheme="minorHAnsi"/>
        </w:rPr>
        <w:t xml:space="preserve">argues the jury should have been </w:t>
      </w:r>
      <w:r w:rsidRPr="00631676">
        <w:rPr>
          <w:rFonts w:cstheme="minorHAnsi"/>
        </w:rPr>
        <w:t>instructed with CALJIC No. 9.56,</w:t>
      </w:r>
      <w:r w:rsidRPr="00631676">
        <w:rPr>
          <w:rStyle w:val="FootnoteReference"/>
          <w:rFonts w:cstheme="minorHAnsi"/>
        </w:rPr>
        <w:footnoteReference w:id="9"/>
      </w:r>
      <w:r w:rsidRPr="00631676">
        <w:rPr>
          <w:rFonts w:cstheme="minorHAnsi"/>
        </w:rPr>
        <w:t xml:space="preserve"> setting forth the asportation-by-fraud defense, </w:t>
      </w:r>
      <w:r w:rsidR="0076063A">
        <w:rPr>
          <w:rFonts w:cstheme="minorHAnsi"/>
        </w:rPr>
        <w:t xml:space="preserve">he neither requested the instruction nor objected </w:t>
      </w:r>
      <w:r w:rsidRPr="00631676">
        <w:rPr>
          <w:rFonts w:cstheme="minorHAnsi"/>
        </w:rPr>
        <w:t xml:space="preserve">to the trial court’s failure to </w:t>
      </w:r>
      <w:r w:rsidR="0076063A">
        <w:rPr>
          <w:rFonts w:cstheme="minorHAnsi"/>
        </w:rPr>
        <w:t>give the instruction</w:t>
      </w:r>
      <w:r w:rsidRPr="00631676">
        <w:rPr>
          <w:rFonts w:cstheme="minorHAnsi"/>
        </w:rPr>
        <w:t xml:space="preserve">.  The trial court had no sua sponte duty to </w:t>
      </w:r>
      <w:r w:rsidR="0076063A">
        <w:rPr>
          <w:rFonts w:cstheme="minorHAnsi"/>
        </w:rPr>
        <w:t xml:space="preserve">give the instruction </w:t>
      </w:r>
      <w:r w:rsidRPr="00631676">
        <w:rPr>
          <w:rFonts w:cstheme="minorHAnsi"/>
        </w:rPr>
        <w:t xml:space="preserve">because the instruction was inconsistent with the </w:t>
      </w:r>
      <w:r w:rsidRPr="00631676">
        <w:rPr>
          <w:rFonts w:cstheme="minorHAnsi"/>
        </w:rPr>
        <w:lastRenderedPageBreak/>
        <w:t>theory of the defense.  There was thus no error in connection with this instruction.</w:t>
      </w:r>
    </w:p>
    <w:p w14:paraId="32B50406" w14:textId="6B24AA65" w:rsidR="00F92B9A" w:rsidRPr="001340F8" w:rsidRDefault="00F92B9A" w:rsidP="001340F8">
      <w:pPr>
        <w:pStyle w:val="Heading3"/>
        <w:rPr>
          <w:rFonts w:cstheme="minorHAnsi"/>
          <w:b/>
        </w:rPr>
      </w:pPr>
      <w:r w:rsidRPr="001340F8">
        <w:rPr>
          <w:rFonts w:cstheme="minorHAnsi"/>
        </w:rPr>
        <w:tab/>
      </w:r>
      <w:r w:rsidR="003B3670" w:rsidRPr="001340F8">
        <w:rPr>
          <w:rFonts w:cstheme="minorHAnsi"/>
        </w:rPr>
        <w:tab/>
      </w:r>
      <w:bookmarkStart w:id="29" w:name="_Toc12993766"/>
      <w:r w:rsidRPr="001340F8">
        <w:rPr>
          <w:rFonts w:cstheme="minorHAnsi"/>
        </w:rPr>
        <w:t>2.</w:t>
      </w:r>
      <w:r w:rsidRPr="001340F8">
        <w:rPr>
          <w:rFonts w:cstheme="minorHAnsi"/>
        </w:rPr>
        <w:tab/>
        <w:t xml:space="preserve">Admission of Custodial </w:t>
      </w:r>
      <w:r w:rsidR="00DE715F" w:rsidRPr="001340F8">
        <w:rPr>
          <w:rFonts w:cstheme="minorHAnsi"/>
        </w:rPr>
        <w:t xml:space="preserve">Confession at </w:t>
      </w:r>
      <w:r w:rsidR="005D23E0">
        <w:rPr>
          <w:rFonts w:cstheme="minorHAnsi"/>
        </w:rPr>
        <w:br/>
        <w:t xml:space="preserve">                </w:t>
      </w:r>
      <w:r w:rsidR="00DE715F" w:rsidRPr="001340F8">
        <w:rPr>
          <w:rFonts w:cstheme="minorHAnsi"/>
        </w:rPr>
        <w:t xml:space="preserve">Trial </w:t>
      </w:r>
      <w:bookmarkEnd w:id="29"/>
    </w:p>
    <w:p w14:paraId="6568379D" w14:textId="0A7C6B60" w:rsidR="005E4114" w:rsidRPr="00631676" w:rsidRDefault="005E4114" w:rsidP="001340F8">
      <w:pPr>
        <w:rPr>
          <w:rFonts w:cstheme="minorHAnsi"/>
        </w:rPr>
      </w:pPr>
      <w:r w:rsidRPr="00631676">
        <w:rPr>
          <w:rFonts w:cstheme="minorHAnsi"/>
        </w:rPr>
        <w:tab/>
        <w:t xml:space="preserve">Defendant contends the trial court erred by </w:t>
      </w:r>
      <w:r w:rsidR="00C01F59" w:rsidRPr="00631676">
        <w:rPr>
          <w:rFonts w:cstheme="minorHAnsi"/>
        </w:rPr>
        <w:t>admitting the audio and videotapes of his custodial confession</w:t>
      </w:r>
      <w:r w:rsidR="00875D28" w:rsidRPr="00631676">
        <w:rPr>
          <w:rFonts w:cstheme="minorHAnsi"/>
        </w:rPr>
        <w:t xml:space="preserve"> to killing Nic</w:t>
      </w:r>
      <w:r w:rsidR="00B06D79" w:rsidRPr="00631676">
        <w:rPr>
          <w:rFonts w:cstheme="minorHAnsi"/>
        </w:rPr>
        <w:t>k</w:t>
      </w:r>
      <w:r w:rsidR="00C01F59" w:rsidRPr="00631676">
        <w:rPr>
          <w:rFonts w:cstheme="minorHAnsi"/>
        </w:rPr>
        <w:t xml:space="preserve">, which </w:t>
      </w:r>
      <w:r w:rsidR="00BF0A1A" w:rsidRPr="00631676">
        <w:rPr>
          <w:rFonts w:cstheme="minorHAnsi"/>
        </w:rPr>
        <w:t>he</w:t>
      </w:r>
      <w:r w:rsidR="00C01F59" w:rsidRPr="00631676">
        <w:rPr>
          <w:rFonts w:cstheme="minorHAnsi"/>
        </w:rPr>
        <w:t xml:space="preserve"> claims </w:t>
      </w:r>
      <w:r w:rsidR="00BF0A1A" w:rsidRPr="00631676">
        <w:rPr>
          <w:rFonts w:cstheme="minorHAnsi"/>
        </w:rPr>
        <w:t>were</w:t>
      </w:r>
      <w:r w:rsidR="00C01F59" w:rsidRPr="00631676">
        <w:rPr>
          <w:rFonts w:cstheme="minorHAnsi"/>
        </w:rPr>
        <w:t xml:space="preserve"> </w:t>
      </w:r>
      <w:r w:rsidR="00883C13" w:rsidRPr="00631676">
        <w:rPr>
          <w:rFonts w:cstheme="minorHAnsi"/>
        </w:rPr>
        <w:t xml:space="preserve">involuntary and were </w:t>
      </w:r>
      <w:r w:rsidR="00C01F59" w:rsidRPr="00631676">
        <w:rPr>
          <w:rFonts w:cstheme="minorHAnsi"/>
        </w:rPr>
        <w:t>obtained in violation of his</w:t>
      </w:r>
      <w:r w:rsidR="00C01F59" w:rsidRPr="00631676">
        <w:rPr>
          <w:rFonts w:cstheme="minorHAnsi"/>
          <w:i/>
        </w:rPr>
        <w:t xml:space="preserve"> Miranda</w:t>
      </w:r>
      <w:r w:rsidR="00C01F59" w:rsidRPr="00631676">
        <w:rPr>
          <w:rFonts w:cstheme="minorHAnsi"/>
        </w:rPr>
        <w:t xml:space="preserve"> rights.  </w:t>
      </w:r>
      <w:r w:rsidR="0095184D" w:rsidRPr="00631676">
        <w:rPr>
          <w:rFonts w:cstheme="minorHAnsi"/>
        </w:rPr>
        <w:t>T</w:t>
      </w:r>
      <w:r w:rsidR="00C01F59" w:rsidRPr="00631676">
        <w:rPr>
          <w:rFonts w:cstheme="minorHAnsi"/>
        </w:rPr>
        <w:t xml:space="preserve">he trial court </w:t>
      </w:r>
      <w:r w:rsidR="00AD3F55" w:rsidRPr="00631676">
        <w:rPr>
          <w:rFonts w:cstheme="minorHAnsi"/>
        </w:rPr>
        <w:t xml:space="preserve">did not err </w:t>
      </w:r>
      <w:r w:rsidR="00BF0A1A" w:rsidRPr="00631676">
        <w:rPr>
          <w:rFonts w:cstheme="minorHAnsi"/>
        </w:rPr>
        <w:t>in admitting defendant’s confession</w:t>
      </w:r>
      <w:r w:rsidR="00C01F59" w:rsidRPr="00631676">
        <w:rPr>
          <w:rFonts w:cstheme="minorHAnsi"/>
        </w:rPr>
        <w:t>.</w:t>
      </w:r>
    </w:p>
    <w:p w14:paraId="6A2A6F47" w14:textId="77777777" w:rsidR="00F46264" w:rsidRPr="001340F8" w:rsidRDefault="00E6123A" w:rsidP="001340F8">
      <w:pPr>
        <w:pStyle w:val="Heading4"/>
        <w:rPr>
          <w:rFonts w:cstheme="minorHAnsi"/>
          <w:b/>
        </w:rPr>
      </w:pPr>
      <w:r w:rsidRPr="00631676">
        <w:tab/>
      </w:r>
      <w:r w:rsidRPr="00631676">
        <w:tab/>
      </w:r>
      <w:r w:rsidRPr="00631676">
        <w:tab/>
      </w:r>
      <w:r w:rsidR="00F46264" w:rsidRPr="001340F8">
        <w:rPr>
          <w:rFonts w:cstheme="minorHAnsi"/>
        </w:rPr>
        <w:t>a.</w:t>
      </w:r>
      <w:r w:rsidR="00F46264" w:rsidRPr="001340F8">
        <w:rPr>
          <w:rFonts w:cstheme="minorHAnsi"/>
          <w:i w:val="0"/>
        </w:rPr>
        <w:tab/>
      </w:r>
      <w:r w:rsidR="00F46264" w:rsidRPr="001340F8">
        <w:rPr>
          <w:rFonts w:cstheme="minorHAnsi"/>
        </w:rPr>
        <w:t>Background</w:t>
      </w:r>
    </w:p>
    <w:p w14:paraId="78FBF08C" w14:textId="2A9583F7" w:rsidR="00BF1281" w:rsidRPr="00631676" w:rsidRDefault="001B12C4" w:rsidP="001340F8">
      <w:pPr>
        <w:rPr>
          <w:rFonts w:cstheme="minorHAnsi"/>
        </w:rPr>
      </w:pPr>
      <w:r w:rsidRPr="00631676">
        <w:rPr>
          <w:rFonts w:cstheme="minorHAnsi"/>
        </w:rPr>
        <w:tab/>
      </w:r>
      <w:r w:rsidR="00B00F8B" w:rsidRPr="00631676">
        <w:rPr>
          <w:rFonts w:cstheme="minorHAnsi"/>
        </w:rPr>
        <w:t>W</w:t>
      </w:r>
      <w:r w:rsidR="000B4543" w:rsidRPr="00631676">
        <w:rPr>
          <w:rFonts w:cstheme="minorHAnsi"/>
        </w:rPr>
        <w:t>hile housed at the Santa Barbara jail, defendant s</w:t>
      </w:r>
      <w:r w:rsidR="00AD0A68" w:rsidRPr="00631676">
        <w:rPr>
          <w:rFonts w:cstheme="minorHAnsi"/>
        </w:rPr>
        <w:t xml:space="preserve">poke twice with his mother.  </w:t>
      </w:r>
      <w:r w:rsidR="000B4543" w:rsidRPr="00631676">
        <w:rPr>
          <w:rFonts w:cstheme="minorHAnsi"/>
        </w:rPr>
        <w:t xml:space="preserve">Evidently believing her son to be innocent and taking the blame for someone else’s crime, she suggested he talk to the detectives to “spill [his] guts and get out.”  Defendant </w:t>
      </w:r>
      <w:r w:rsidR="000E0BBA" w:rsidRPr="00631676">
        <w:rPr>
          <w:rFonts w:cstheme="minorHAnsi"/>
        </w:rPr>
        <w:t xml:space="preserve">apparently </w:t>
      </w:r>
      <w:r w:rsidR="000B4543" w:rsidRPr="00631676">
        <w:rPr>
          <w:rFonts w:cstheme="minorHAnsi"/>
        </w:rPr>
        <w:t xml:space="preserve">heeded her advice and </w:t>
      </w:r>
      <w:r w:rsidR="000976F6" w:rsidRPr="00631676">
        <w:rPr>
          <w:rFonts w:cstheme="minorHAnsi"/>
        </w:rPr>
        <w:t xml:space="preserve">asked to speak with </w:t>
      </w:r>
      <w:r w:rsidR="004E2D20" w:rsidRPr="00631676">
        <w:rPr>
          <w:rFonts w:cstheme="minorHAnsi"/>
        </w:rPr>
        <w:t xml:space="preserve">a </w:t>
      </w:r>
      <w:r w:rsidR="000B4543" w:rsidRPr="00631676">
        <w:rPr>
          <w:rFonts w:cstheme="minorHAnsi"/>
        </w:rPr>
        <w:t>detective.</w:t>
      </w:r>
      <w:r w:rsidR="004E2D20" w:rsidRPr="00631676">
        <w:rPr>
          <w:rFonts w:cstheme="minorHAnsi"/>
        </w:rPr>
        <w:t xml:space="preserve">  </w:t>
      </w:r>
    </w:p>
    <w:p w14:paraId="49C04A24" w14:textId="4B6FF03D" w:rsidR="005156A3" w:rsidRPr="00631676" w:rsidRDefault="009C6EDC" w:rsidP="00880755">
      <w:pPr>
        <w:rPr>
          <w:rFonts w:cstheme="minorHAnsi"/>
        </w:rPr>
      </w:pPr>
      <w:r w:rsidRPr="00631676">
        <w:rPr>
          <w:rFonts w:cstheme="minorHAnsi"/>
        </w:rPr>
        <w:tab/>
        <w:t xml:space="preserve">Defendant </w:t>
      </w:r>
      <w:r w:rsidR="007E4833" w:rsidRPr="00631676">
        <w:rPr>
          <w:rFonts w:cstheme="minorHAnsi"/>
        </w:rPr>
        <w:t xml:space="preserve">then </w:t>
      </w:r>
      <w:r w:rsidRPr="00631676">
        <w:rPr>
          <w:rFonts w:cstheme="minorHAnsi"/>
        </w:rPr>
        <w:t xml:space="preserve">spoke with Detective West and </w:t>
      </w:r>
      <w:r w:rsidR="00164CC7">
        <w:rPr>
          <w:rFonts w:cstheme="minorHAnsi"/>
        </w:rPr>
        <w:t xml:space="preserve">Sergeant </w:t>
      </w:r>
      <w:r w:rsidRPr="00631676">
        <w:rPr>
          <w:rFonts w:cstheme="minorHAnsi"/>
        </w:rPr>
        <w:t xml:space="preserve">Reinstadler, who began by confirming that defendant had initiated the conversation and reminding him of his </w:t>
      </w:r>
      <w:r w:rsidRPr="00631676">
        <w:rPr>
          <w:rFonts w:cstheme="minorHAnsi"/>
          <w:i/>
        </w:rPr>
        <w:t>Miranda</w:t>
      </w:r>
      <w:r w:rsidRPr="00631676">
        <w:rPr>
          <w:rFonts w:cstheme="minorHAnsi"/>
        </w:rPr>
        <w:t xml:space="preserve"> rights.  Defendant waived his </w:t>
      </w:r>
      <w:r w:rsidRPr="00631676">
        <w:rPr>
          <w:rFonts w:cstheme="minorHAnsi"/>
          <w:i/>
        </w:rPr>
        <w:t>Miranda</w:t>
      </w:r>
      <w:r w:rsidRPr="00631676">
        <w:rPr>
          <w:rFonts w:cstheme="minorHAnsi"/>
        </w:rPr>
        <w:t xml:space="preserve"> rights orally and in writing.</w:t>
      </w:r>
      <w:r w:rsidR="007E4833" w:rsidRPr="00631676">
        <w:rPr>
          <w:rFonts w:cstheme="minorHAnsi"/>
        </w:rPr>
        <w:t xml:space="preserve">  </w:t>
      </w:r>
      <w:r w:rsidR="00B83663" w:rsidRPr="00631676">
        <w:rPr>
          <w:rFonts w:cstheme="minorHAnsi"/>
        </w:rPr>
        <w:t xml:space="preserve">After </w:t>
      </w:r>
      <w:r w:rsidR="00356572" w:rsidRPr="00631676">
        <w:rPr>
          <w:rFonts w:cstheme="minorHAnsi"/>
        </w:rPr>
        <w:t xml:space="preserve">conversing </w:t>
      </w:r>
      <w:r w:rsidR="00B83663" w:rsidRPr="00631676">
        <w:rPr>
          <w:rFonts w:cstheme="minorHAnsi"/>
        </w:rPr>
        <w:t>back and forth</w:t>
      </w:r>
      <w:r w:rsidR="00356572" w:rsidRPr="00631676">
        <w:rPr>
          <w:rFonts w:cstheme="minorHAnsi"/>
        </w:rPr>
        <w:t xml:space="preserve"> about the crime, Hoyt told </w:t>
      </w:r>
      <w:r w:rsidR="00074A78" w:rsidRPr="00631676">
        <w:rPr>
          <w:rFonts w:cstheme="minorHAnsi"/>
        </w:rPr>
        <w:t>the detectives that he had</w:t>
      </w:r>
      <w:r w:rsidR="00356572" w:rsidRPr="00631676">
        <w:rPr>
          <w:rFonts w:cstheme="minorHAnsi"/>
        </w:rPr>
        <w:t xml:space="preserve"> asked to speak with them to “say that this picture that everybody’s painting of me is not me.”  </w:t>
      </w:r>
      <w:r w:rsidR="00074A78" w:rsidRPr="00631676">
        <w:rPr>
          <w:rFonts w:cstheme="minorHAnsi"/>
        </w:rPr>
        <w:t xml:space="preserve">Detective </w:t>
      </w:r>
      <w:r w:rsidR="00356572" w:rsidRPr="00631676">
        <w:rPr>
          <w:rFonts w:cstheme="minorHAnsi"/>
        </w:rPr>
        <w:t xml:space="preserve">West responded, “Well, tell us who you are.  Tell us how this went down.”  Hoyt told </w:t>
      </w:r>
      <w:r w:rsidR="00074A78" w:rsidRPr="00631676">
        <w:rPr>
          <w:rFonts w:cstheme="minorHAnsi"/>
        </w:rPr>
        <w:t>them</w:t>
      </w:r>
      <w:r w:rsidR="00356572" w:rsidRPr="00631676">
        <w:rPr>
          <w:rFonts w:cstheme="minorHAnsi"/>
        </w:rPr>
        <w:t xml:space="preserve"> he could not do that and instead asked,</w:t>
      </w:r>
      <w:r w:rsidR="00233757" w:rsidRPr="00631676">
        <w:rPr>
          <w:rFonts w:cstheme="minorHAnsi"/>
        </w:rPr>
        <w:t xml:space="preserve"> “Do you mind if I go back to my cell and think about tonight and talk to you guys tomorrow because I know my arraignment is Monday</w:t>
      </w:r>
      <w:r w:rsidR="008858AF" w:rsidRPr="00631676">
        <w:rPr>
          <w:rFonts w:cstheme="minorHAnsi"/>
        </w:rPr>
        <w:t>?</w:t>
      </w:r>
      <w:r w:rsidR="00233757" w:rsidRPr="00631676">
        <w:rPr>
          <w:rFonts w:cstheme="minorHAnsi"/>
        </w:rPr>
        <w:t>”  The detectives responded by telling defendant, “</w:t>
      </w:r>
      <w:r w:rsidR="00074A78" w:rsidRPr="00631676">
        <w:rPr>
          <w:rFonts w:cstheme="minorHAnsi"/>
        </w:rPr>
        <w:t xml:space="preserve">Once you’re arraigned, we can’t talk to you.  </w:t>
      </w:r>
      <w:proofErr w:type="gramStart"/>
      <w:r w:rsidR="00074A78" w:rsidRPr="00631676">
        <w:rPr>
          <w:rFonts w:cstheme="minorHAnsi"/>
        </w:rPr>
        <w:t>That’s</w:t>
      </w:r>
      <w:proofErr w:type="gramEnd"/>
      <w:r w:rsidR="00074A78" w:rsidRPr="00631676">
        <w:rPr>
          <w:rFonts w:cstheme="minorHAnsi"/>
        </w:rPr>
        <w:t xml:space="preserve"> the bottom line.  I mean, </w:t>
      </w:r>
      <w:r w:rsidR="00233757" w:rsidRPr="00631676">
        <w:rPr>
          <w:rFonts w:cstheme="minorHAnsi"/>
        </w:rPr>
        <w:t xml:space="preserve">if you want to tell us something, </w:t>
      </w:r>
      <w:proofErr w:type="gramStart"/>
      <w:r w:rsidR="00233757" w:rsidRPr="00631676">
        <w:rPr>
          <w:rFonts w:cstheme="minorHAnsi"/>
        </w:rPr>
        <w:t>I’m</w:t>
      </w:r>
      <w:proofErr w:type="gramEnd"/>
      <w:r w:rsidR="00233757" w:rsidRPr="00631676">
        <w:rPr>
          <w:rFonts w:cstheme="minorHAnsi"/>
        </w:rPr>
        <w:t xml:space="preserve"> </w:t>
      </w:r>
      <w:r w:rsidR="00233757" w:rsidRPr="00631676">
        <w:rPr>
          <w:rFonts w:cstheme="minorHAnsi"/>
        </w:rPr>
        <w:lastRenderedPageBreak/>
        <w:t>being honest with you, this is your opportunity to do it</w:t>
      </w:r>
      <w:r w:rsidR="00074A78" w:rsidRPr="00631676">
        <w:rPr>
          <w:rFonts w:cstheme="minorHAnsi"/>
        </w:rPr>
        <w:t>.  This is it.</w:t>
      </w:r>
      <w:r w:rsidR="00233757" w:rsidRPr="00631676">
        <w:rPr>
          <w:rFonts w:cstheme="minorHAnsi"/>
        </w:rPr>
        <w:t xml:space="preserve">” </w:t>
      </w:r>
      <w:r w:rsidR="00074A78" w:rsidRPr="00631676">
        <w:rPr>
          <w:rFonts w:cstheme="minorHAnsi"/>
        </w:rPr>
        <w:t xml:space="preserve"> Defendant replied, “There’s no way I can talk to you tomorrow?”  </w:t>
      </w:r>
      <w:r w:rsidR="00164CC7">
        <w:rPr>
          <w:rFonts w:cstheme="minorHAnsi"/>
        </w:rPr>
        <w:t>Sergeant</w:t>
      </w:r>
      <w:r w:rsidR="00164CC7" w:rsidRPr="00631676">
        <w:rPr>
          <w:rFonts w:cstheme="minorHAnsi"/>
        </w:rPr>
        <w:t xml:space="preserve"> </w:t>
      </w:r>
      <w:r w:rsidR="00074A78" w:rsidRPr="00631676">
        <w:rPr>
          <w:rFonts w:cstheme="minorHAnsi"/>
        </w:rPr>
        <w:t xml:space="preserve">Reinstadler explained, “No.  I know why,” continuing, </w:t>
      </w:r>
      <w:r w:rsidR="00233757" w:rsidRPr="00631676">
        <w:rPr>
          <w:rFonts w:cstheme="minorHAnsi"/>
        </w:rPr>
        <w:t xml:space="preserve">“you won’t want to talk to us tomorrow because somebody’s gonna get to you, telling you not to talk to us.”  </w:t>
      </w:r>
    </w:p>
    <w:p w14:paraId="109D2B7F" w14:textId="206027DB" w:rsidR="00233757" w:rsidRPr="00631676" w:rsidRDefault="00FD3BA8" w:rsidP="00880755">
      <w:pPr>
        <w:rPr>
          <w:rFonts w:cstheme="minorHAnsi"/>
        </w:rPr>
      </w:pPr>
      <w:r>
        <w:rPr>
          <w:rFonts w:cstheme="minorHAnsi"/>
        </w:rPr>
        <w:tab/>
      </w:r>
      <w:r w:rsidR="00932D09" w:rsidRPr="00631676">
        <w:rPr>
          <w:rFonts w:cstheme="minorHAnsi"/>
        </w:rPr>
        <w:t xml:space="preserve">When </w:t>
      </w:r>
      <w:r w:rsidR="00FB5626">
        <w:rPr>
          <w:rFonts w:cstheme="minorHAnsi"/>
        </w:rPr>
        <w:t xml:space="preserve">the </w:t>
      </w:r>
      <w:r w:rsidR="00932D09" w:rsidRPr="00631676">
        <w:rPr>
          <w:rFonts w:cstheme="minorHAnsi"/>
        </w:rPr>
        <w:t xml:space="preserve">detectives asked if he was okay, defendant responded:  “I mean, I’m going down for life.”  </w:t>
      </w:r>
      <w:r w:rsidR="00164CC7">
        <w:rPr>
          <w:rFonts w:cstheme="minorHAnsi"/>
        </w:rPr>
        <w:t>Sergeant</w:t>
      </w:r>
      <w:r w:rsidR="00164CC7" w:rsidRPr="00631676">
        <w:rPr>
          <w:rFonts w:cstheme="minorHAnsi"/>
        </w:rPr>
        <w:t xml:space="preserve"> </w:t>
      </w:r>
      <w:r w:rsidR="00932D09" w:rsidRPr="00631676">
        <w:rPr>
          <w:rFonts w:cstheme="minorHAnsi"/>
        </w:rPr>
        <w:t xml:space="preserve">Reinstadler replied:  “There’s a difference between life and the death penalty.  And everything else in between.  All we want is the truth.”  </w:t>
      </w:r>
      <w:r w:rsidR="00233757" w:rsidRPr="00631676">
        <w:rPr>
          <w:rFonts w:cstheme="minorHAnsi"/>
        </w:rPr>
        <w:t xml:space="preserve">The interview continued, and </w:t>
      </w:r>
      <w:r w:rsidR="009E4C00" w:rsidRPr="00631676">
        <w:rPr>
          <w:rFonts w:cstheme="minorHAnsi"/>
        </w:rPr>
        <w:t xml:space="preserve">after </w:t>
      </w:r>
      <w:r w:rsidR="00985CF0" w:rsidRPr="00631676">
        <w:rPr>
          <w:rFonts w:cstheme="minorHAnsi"/>
        </w:rPr>
        <w:t xml:space="preserve">additional </w:t>
      </w:r>
      <w:r w:rsidR="009E4C00" w:rsidRPr="00631676">
        <w:rPr>
          <w:rFonts w:cstheme="minorHAnsi"/>
        </w:rPr>
        <w:t>discussion</w:t>
      </w:r>
      <w:r w:rsidR="0053119E">
        <w:rPr>
          <w:rFonts w:cstheme="minorHAnsi"/>
        </w:rPr>
        <w:t>,</w:t>
      </w:r>
      <w:r w:rsidR="009E4C00" w:rsidRPr="00631676">
        <w:rPr>
          <w:rFonts w:cstheme="minorHAnsi"/>
        </w:rPr>
        <w:t xml:space="preserve"> </w:t>
      </w:r>
      <w:r w:rsidR="00233757" w:rsidRPr="00631676">
        <w:rPr>
          <w:rFonts w:cstheme="minorHAnsi"/>
        </w:rPr>
        <w:t xml:space="preserve">defendant explained how he had become involved in </w:t>
      </w:r>
      <w:r w:rsidR="00EB2035" w:rsidRPr="00631676">
        <w:rPr>
          <w:rFonts w:cstheme="minorHAnsi"/>
        </w:rPr>
        <w:t xml:space="preserve">the </w:t>
      </w:r>
      <w:r w:rsidR="005B5E3F" w:rsidRPr="00631676">
        <w:rPr>
          <w:rFonts w:cstheme="minorHAnsi"/>
        </w:rPr>
        <w:t>crimes</w:t>
      </w:r>
      <w:r w:rsidR="00233757" w:rsidRPr="00631676">
        <w:rPr>
          <w:rFonts w:cstheme="minorHAnsi"/>
        </w:rPr>
        <w:t>.</w:t>
      </w:r>
      <w:r w:rsidR="005B5E3F" w:rsidRPr="00631676">
        <w:rPr>
          <w:rFonts w:cstheme="minorHAnsi"/>
        </w:rPr>
        <w:t xml:space="preserve">  </w:t>
      </w:r>
      <w:r w:rsidR="000E0BBA" w:rsidRPr="00631676">
        <w:rPr>
          <w:rFonts w:cstheme="minorHAnsi"/>
        </w:rPr>
        <w:t xml:space="preserve">Defendant explained to </w:t>
      </w:r>
      <w:r w:rsidR="00C3550C">
        <w:rPr>
          <w:rFonts w:cstheme="minorHAnsi"/>
        </w:rPr>
        <w:t xml:space="preserve">the </w:t>
      </w:r>
      <w:r w:rsidR="000E0BBA" w:rsidRPr="00631676">
        <w:rPr>
          <w:rFonts w:cstheme="minorHAnsi"/>
        </w:rPr>
        <w:t xml:space="preserve">detectives he was indebted to Hollywood and </w:t>
      </w:r>
      <w:r w:rsidR="00A30024" w:rsidRPr="00631676">
        <w:rPr>
          <w:rFonts w:cstheme="minorHAnsi"/>
        </w:rPr>
        <w:t xml:space="preserve">was told by an intermediary </w:t>
      </w:r>
      <w:r w:rsidR="00BE7B00" w:rsidRPr="00631676">
        <w:rPr>
          <w:rFonts w:cstheme="minorHAnsi"/>
        </w:rPr>
        <w:t xml:space="preserve">(whom defendant did not name) </w:t>
      </w:r>
      <w:r w:rsidR="00A30024" w:rsidRPr="00631676">
        <w:rPr>
          <w:rFonts w:cstheme="minorHAnsi"/>
        </w:rPr>
        <w:t xml:space="preserve">that </w:t>
      </w:r>
      <w:r w:rsidR="000E0BBA" w:rsidRPr="00631676">
        <w:rPr>
          <w:rFonts w:cstheme="minorHAnsi"/>
        </w:rPr>
        <w:t xml:space="preserve">he could erase his debt if </w:t>
      </w:r>
      <w:r w:rsidR="007B501D" w:rsidRPr="00631676">
        <w:rPr>
          <w:rFonts w:cstheme="minorHAnsi"/>
        </w:rPr>
        <w:t>he went to “take care of somebody</w:t>
      </w:r>
      <w:r w:rsidR="00BE7B00" w:rsidRPr="00631676">
        <w:rPr>
          <w:rFonts w:cstheme="minorHAnsi"/>
        </w:rPr>
        <w:t>,” which defendant u</w:t>
      </w:r>
      <w:r w:rsidR="00985CF0" w:rsidRPr="00631676">
        <w:rPr>
          <w:rFonts w:cstheme="minorHAnsi"/>
        </w:rPr>
        <w:t xml:space="preserve">nderstood to mean killing him.  </w:t>
      </w:r>
      <w:r w:rsidR="00BE7B00" w:rsidRPr="00631676">
        <w:rPr>
          <w:rFonts w:cstheme="minorHAnsi"/>
        </w:rPr>
        <w:t xml:space="preserve">The intermediary did not tell defendant the name of his intended victim but relayed a location—Santa Barbara.  </w:t>
      </w:r>
      <w:r w:rsidR="00AF0ED9" w:rsidRPr="00631676">
        <w:rPr>
          <w:rFonts w:cstheme="minorHAnsi"/>
        </w:rPr>
        <w:t xml:space="preserve">Defendant drove Sheehan’s car to </w:t>
      </w:r>
      <w:r w:rsidR="00607AF8" w:rsidRPr="00631676">
        <w:rPr>
          <w:rFonts w:cstheme="minorHAnsi"/>
        </w:rPr>
        <w:t>the Lemon Tree Inn</w:t>
      </w:r>
      <w:r w:rsidR="00985CF0" w:rsidRPr="00631676">
        <w:rPr>
          <w:rFonts w:cstheme="minorHAnsi"/>
        </w:rPr>
        <w:t xml:space="preserve"> in Santa Barbara</w:t>
      </w:r>
      <w:r w:rsidR="00607AF8" w:rsidRPr="00631676">
        <w:rPr>
          <w:rFonts w:cstheme="minorHAnsi"/>
        </w:rPr>
        <w:t xml:space="preserve">, </w:t>
      </w:r>
      <w:r w:rsidR="00AF0ED9" w:rsidRPr="00631676">
        <w:rPr>
          <w:rFonts w:cstheme="minorHAnsi"/>
        </w:rPr>
        <w:t xml:space="preserve">where he found a gun waiting.  </w:t>
      </w:r>
    </w:p>
    <w:p w14:paraId="789A5537" w14:textId="23E5D247" w:rsidR="001859C4" w:rsidRPr="00631676" w:rsidRDefault="00233757" w:rsidP="00880755">
      <w:pPr>
        <w:rPr>
          <w:rFonts w:cstheme="minorHAnsi"/>
        </w:rPr>
      </w:pPr>
      <w:r w:rsidRPr="00631676">
        <w:rPr>
          <w:rFonts w:cstheme="minorHAnsi"/>
        </w:rPr>
        <w:tab/>
      </w:r>
      <w:r w:rsidR="00607AF8" w:rsidRPr="00631676">
        <w:rPr>
          <w:rFonts w:cstheme="minorHAnsi"/>
        </w:rPr>
        <w:t xml:space="preserve">When </w:t>
      </w:r>
      <w:r w:rsidR="00C3550C">
        <w:rPr>
          <w:rFonts w:cstheme="minorHAnsi"/>
        </w:rPr>
        <w:t xml:space="preserve">the </w:t>
      </w:r>
      <w:r w:rsidR="00607AF8" w:rsidRPr="00631676">
        <w:rPr>
          <w:rFonts w:cstheme="minorHAnsi"/>
        </w:rPr>
        <w:t xml:space="preserve">detectives asked what happened next, </w:t>
      </w:r>
      <w:r w:rsidR="00AF0ED9" w:rsidRPr="00631676">
        <w:rPr>
          <w:rFonts w:cstheme="minorHAnsi"/>
        </w:rPr>
        <w:t xml:space="preserve">defendant said, “I think I’m going to stop there for now,” and asked for a glass of water.  </w:t>
      </w:r>
      <w:r w:rsidR="00607AF8" w:rsidRPr="00631676">
        <w:rPr>
          <w:rFonts w:cstheme="minorHAnsi"/>
        </w:rPr>
        <w:t>The detectives complied with the reques</w:t>
      </w:r>
      <w:r w:rsidR="0067073C" w:rsidRPr="00631676">
        <w:rPr>
          <w:rFonts w:cstheme="minorHAnsi"/>
        </w:rPr>
        <w:t xml:space="preserve">t for water and asked defendant whether he was asking to take a break or “telling us you don’t want to talk anymore, period.”  Defendant replied that he </w:t>
      </w:r>
      <w:r w:rsidR="001859C4" w:rsidRPr="00631676">
        <w:rPr>
          <w:rFonts w:cstheme="minorHAnsi"/>
        </w:rPr>
        <w:t xml:space="preserve">would like </w:t>
      </w:r>
      <w:r w:rsidR="0067073C" w:rsidRPr="00631676">
        <w:rPr>
          <w:rFonts w:cstheme="minorHAnsi"/>
        </w:rPr>
        <w:t>a</w:t>
      </w:r>
      <w:r w:rsidR="001859C4" w:rsidRPr="00631676">
        <w:rPr>
          <w:rFonts w:cstheme="minorHAnsi"/>
        </w:rPr>
        <w:t>n overnight break</w:t>
      </w:r>
      <w:r w:rsidR="0067073C" w:rsidRPr="00631676">
        <w:rPr>
          <w:rFonts w:cstheme="minorHAnsi"/>
        </w:rPr>
        <w:t xml:space="preserve">.  </w:t>
      </w:r>
      <w:r w:rsidR="00C3550C">
        <w:rPr>
          <w:rFonts w:cstheme="minorHAnsi"/>
        </w:rPr>
        <w:t>The d</w:t>
      </w:r>
      <w:r w:rsidR="001859C4" w:rsidRPr="00631676">
        <w:rPr>
          <w:rFonts w:cstheme="minorHAnsi"/>
        </w:rPr>
        <w:t xml:space="preserve">etectives responded that </w:t>
      </w:r>
      <w:r w:rsidR="00C3550C">
        <w:rPr>
          <w:rFonts w:cstheme="minorHAnsi"/>
        </w:rPr>
        <w:t xml:space="preserve">that </w:t>
      </w:r>
      <w:r w:rsidR="001859C4" w:rsidRPr="00631676">
        <w:rPr>
          <w:rFonts w:cstheme="minorHAnsi"/>
        </w:rPr>
        <w:t xml:space="preserve">would be “[t]oo late,” </w:t>
      </w:r>
      <w:r w:rsidR="005156A3" w:rsidRPr="00631676">
        <w:rPr>
          <w:rFonts w:cstheme="minorHAnsi"/>
        </w:rPr>
        <w:t xml:space="preserve">and told defendant that “[o]nce a lawyer contacts you, we are precluded from speaking with you anymore, period.”  Defendant asked whether a lawyer would be contacting him the next day, and the detectives replied, “Oh, I’m sure.  </w:t>
      </w:r>
      <w:proofErr w:type="gramStart"/>
      <w:r w:rsidR="005156A3" w:rsidRPr="00631676">
        <w:rPr>
          <w:rFonts w:cstheme="minorHAnsi"/>
        </w:rPr>
        <w:t>It’s</w:t>
      </w:r>
      <w:proofErr w:type="gramEnd"/>
      <w:r w:rsidR="005156A3" w:rsidRPr="00631676">
        <w:rPr>
          <w:rFonts w:cstheme="minorHAnsi"/>
        </w:rPr>
        <w:t xml:space="preserve"> normal.  It’s their job.”  Defendant told the detectives his mom was unable to afford </w:t>
      </w:r>
      <w:r w:rsidR="005156A3" w:rsidRPr="00631676">
        <w:rPr>
          <w:rFonts w:cstheme="minorHAnsi"/>
        </w:rPr>
        <w:lastRenderedPageBreak/>
        <w:t xml:space="preserve">an attorney for him, so he would </w:t>
      </w:r>
      <w:r w:rsidR="007973D8" w:rsidRPr="00631676">
        <w:rPr>
          <w:rFonts w:cstheme="minorHAnsi"/>
        </w:rPr>
        <w:t>have to work with a public defender.  While the detectives assured him “[t]</w:t>
      </w:r>
      <w:proofErr w:type="gramStart"/>
      <w:r w:rsidR="007973D8" w:rsidRPr="00631676">
        <w:rPr>
          <w:rFonts w:cstheme="minorHAnsi"/>
        </w:rPr>
        <w:t>hat’s</w:t>
      </w:r>
      <w:proofErr w:type="gramEnd"/>
      <w:r w:rsidR="007973D8" w:rsidRPr="00631676">
        <w:rPr>
          <w:rFonts w:cstheme="minorHAnsi"/>
        </w:rPr>
        <w:t xml:space="preserve"> fine,” defendant worried aloud, “</w:t>
      </w:r>
      <w:r w:rsidR="0053119E">
        <w:rPr>
          <w:rFonts w:cstheme="minorHAnsi"/>
        </w:rPr>
        <w:t>[A]</w:t>
      </w:r>
      <w:r w:rsidR="007973D8" w:rsidRPr="00631676">
        <w:rPr>
          <w:rFonts w:cstheme="minorHAnsi"/>
        </w:rPr>
        <w:t xml:space="preserve"> public defender, I’m going nowhere with that one.”  The detectives then</w:t>
      </w:r>
      <w:r w:rsidR="001859C4" w:rsidRPr="00631676">
        <w:rPr>
          <w:rFonts w:cstheme="minorHAnsi"/>
        </w:rPr>
        <w:t xml:space="preserve"> reminded defendant, “You wanted to talk to us, man.”  Defendant responded, “And have I helped you out at all?”  The detectives </w:t>
      </w:r>
      <w:r w:rsidR="0095184D" w:rsidRPr="00631676">
        <w:rPr>
          <w:rFonts w:cstheme="minorHAnsi"/>
        </w:rPr>
        <w:t xml:space="preserve">told him </w:t>
      </w:r>
      <w:r w:rsidR="001859C4" w:rsidRPr="00631676">
        <w:rPr>
          <w:rFonts w:cstheme="minorHAnsi"/>
        </w:rPr>
        <w:t xml:space="preserve">that there were still pieces of the puzzle to fill in, and the conversation continued.  </w:t>
      </w:r>
    </w:p>
    <w:p w14:paraId="53C41405" w14:textId="3563FFC1" w:rsidR="00AD3F55" w:rsidRPr="00631676" w:rsidRDefault="001859C4" w:rsidP="00880755">
      <w:pPr>
        <w:rPr>
          <w:rFonts w:cstheme="minorHAnsi"/>
        </w:rPr>
      </w:pPr>
      <w:r w:rsidRPr="00631676">
        <w:rPr>
          <w:rFonts w:cstheme="minorHAnsi"/>
        </w:rPr>
        <w:tab/>
      </w:r>
      <w:r w:rsidR="00E50E40" w:rsidRPr="00631676">
        <w:rPr>
          <w:rFonts w:cstheme="minorHAnsi"/>
        </w:rPr>
        <w:t xml:space="preserve">Defendant admitted to feeling sorry for “[t]hat kid that I buried.”  </w:t>
      </w:r>
      <w:r w:rsidR="0095184D" w:rsidRPr="00631676">
        <w:rPr>
          <w:rFonts w:cstheme="minorHAnsi"/>
        </w:rPr>
        <w:t>He</w:t>
      </w:r>
      <w:r w:rsidR="00E50E40" w:rsidRPr="00631676">
        <w:rPr>
          <w:rFonts w:cstheme="minorHAnsi"/>
        </w:rPr>
        <w:t xml:space="preserve"> </w:t>
      </w:r>
      <w:r w:rsidR="0095184D" w:rsidRPr="00631676">
        <w:rPr>
          <w:rFonts w:cstheme="minorHAnsi"/>
        </w:rPr>
        <w:t xml:space="preserve">told the detectives </w:t>
      </w:r>
      <w:r w:rsidR="00015DD6" w:rsidRPr="00631676">
        <w:rPr>
          <w:rFonts w:cstheme="minorHAnsi"/>
        </w:rPr>
        <w:t xml:space="preserve">he had not put </w:t>
      </w:r>
      <w:r w:rsidR="00E50E40" w:rsidRPr="00631676">
        <w:rPr>
          <w:rFonts w:cstheme="minorHAnsi"/>
        </w:rPr>
        <w:t>the duct tape on Nick’s mouth.  When</w:t>
      </w:r>
      <w:r w:rsidR="00015DD6" w:rsidRPr="00631676">
        <w:rPr>
          <w:rFonts w:cstheme="minorHAnsi"/>
        </w:rPr>
        <w:t xml:space="preserve"> the detectives said Rugge had told them otherwise, defendant responded:  “I love this one.  The only thing I did was kill him.”  </w:t>
      </w:r>
    </w:p>
    <w:p w14:paraId="2440D32B" w14:textId="7F92A788" w:rsidR="0063340A" w:rsidRPr="00631676" w:rsidRDefault="00DF240E" w:rsidP="00880755">
      <w:pPr>
        <w:rPr>
          <w:rFonts w:cstheme="minorHAnsi"/>
        </w:rPr>
      </w:pPr>
      <w:r w:rsidRPr="00631676">
        <w:rPr>
          <w:rFonts w:cstheme="minorHAnsi"/>
        </w:rPr>
        <w:tab/>
        <w:t xml:space="preserve">After </w:t>
      </w:r>
      <w:r w:rsidR="00CC45F4" w:rsidRPr="00631676">
        <w:rPr>
          <w:rFonts w:cstheme="minorHAnsi"/>
        </w:rPr>
        <w:t xml:space="preserve">answering additional questions about Pressley’s involvement, defendant said:  “All right.  You guys I think I want to stop there.  I think you guys got </w:t>
      </w:r>
      <w:proofErr w:type="gramStart"/>
      <w:r w:rsidR="00CC45F4" w:rsidRPr="00631676">
        <w:rPr>
          <w:rFonts w:cstheme="minorHAnsi"/>
        </w:rPr>
        <w:t>a pretty good</w:t>
      </w:r>
      <w:proofErr w:type="gramEnd"/>
      <w:r w:rsidR="00CC45F4" w:rsidRPr="00631676">
        <w:rPr>
          <w:rFonts w:cstheme="minorHAnsi"/>
        </w:rPr>
        <w:t xml:space="preserve"> picture.”  Detective West agreed:  “Yeah, I’ve got a good picture, and it’s pretty grim for you</w:t>
      </w:r>
      <w:r w:rsidR="0053119E">
        <w:rPr>
          <w:rFonts w:cstheme="minorHAnsi"/>
        </w:rPr>
        <w:t xml:space="preserve"> </w:t>
      </w:r>
      <w:r w:rsidR="00CC45F4" w:rsidRPr="00631676">
        <w:rPr>
          <w:rFonts w:cstheme="minorHAnsi"/>
        </w:rPr>
        <w:t>.</w:t>
      </w:r>
      <w:r w:rsidR="005B3510" w:rsidRPr="00631676">
        <w:rPr>
          <w:rFonts w:cstheme="minorHAnsi"/>
        </w:rPr>
        <w:t> </w:t>
      </w:r>
      <w:r w:rsidR="00CC45F4" w:rsidRPr="00631676">
        <w:rPr>
          <w:rFonts w:cstheme="minorHAnsi"/>
        </w:rPr>
        <w:t>.</w:t>
      </w:r>
      <w:r w:rsidR="005B3510" w:rsidRPr="00631676">
        <w:rPr>
          <w:rFonts w:cstheme="minorHAnsi"/>
        </w:rPr>
        <w:t> </w:t>
      </w:r>
      <w:r w:rsidR="00CC45F4" w:rsidRPr="00631676">
        <w:rPr>
          <w:rFonts w:cstheme="minorHAnsi"/>
        </w:rPr>
        <w:t>.</w:t>
      </w:r>
      <w:r w:rsidR="0053119E">
        <w:rPr>
          <w:rFonts w:cstheme="minorHAnsi"/>
        </w:rPr>
        <w:t> .</w:t>
      </w:r>
      <w:r w:rsidR="00CC45F4" w:rsidRPr="00631676">
        <w:rPr>
          <w:rFonts w:cstheme="minorHAnsi"/>
        </w:rPr>
        <w:t xml:space="preserve"> </w:t>
      </w:r>
      <w:r w:rsidR="0053119E">
        <w:rPr>
          <w:rFonts w:cstheme="minorHAnsi"/>
        </w:rPr>
        <w:t xml:space="preserve"> </w:t>
      </w:r>
      <w:r w:rsidR="00CC45F4" w:rsidRPr="00631676">
        <w:rPr>
          <w:rFonts w:cstheme="minorHAnsi"/>
        </w:rPr>
        <w:t xml:space="preserve">I’m sorry, uh, that that’s what you painted for me.” </w:t>
      </w:r>
      <w:r w:rsidR="00CE005E">
        <w:rPr>
          <w:rFonts w:cstheme="minorHAnsi"/>
        </w:rPr>
        <w:t xml:space="preserve"> </w:t>
      </w:r>
      <w:r w:rsidR="00164CC7">
        <w:rPr>
          <w:rFonts w:cstheme="minorHAnsi"/>
        </w:rPr>
        <w:t>Sergeant</w:t>
      </w:r>
      <w:r w:rsidR="00164CC7" w:rsidRPr="00631676">
        <w:rPr>
          <w:rFonts w:cstheme="minorHAnsi"/>
        </w:rPr>
        <w:t xml:space="preserve"> </w:t>
      </w:r>
      <w:r w:rsidR="00452A60" w:rsidRPr="00631676">
        <w:rPr>
          <w:rFonts w:cstheme="minorHAnsi"/>
        </w:rPr>
        <w:t>Reinstadler asked defendant whether there was “ever a time when right before you pulled the trigger that you just thought, you know, I shouldn’t do this</w:t>
      </w:r>
      <w:r w:rsidR="00716A23" w:rsidRPr="00631676">
        <w:rPr>
          <w:rFonts w:cstheme="minorHAnsi"/>
        </w:rPr>
        <w:t xml:space="preserve">?  This is wrong.”  Defendant replied:  “Hell, yes.  Right before.”  </w:t>
      </w:r>
      <w:r w:rsidR="00F72810" w:rsidRPr="00631676">
        <w:rPr>
          <w:rFonts w:cstheme="minorHAnsi"/>
        </w:rPr>
        <w:t>The conversation ended not long thereafter.</w:t>
      </w:r>
    </w:p>
    <w:p w14:paraId="65F1D9CF" w14:textId="778C70F8" w:rsidR="007027DB" w:rsidRPr="00631676" w:rsidRDefault="00F74790" w:rsidP="00880755">
      <w:pPr>
        <w:rPr>
          <w:rFonts w:cstheme="minorHAnsi"/>
        </w:rPr>
      </w:pPr>
      <w:r w:rsidRPr="00631676">
        <w:rPr>
          <w:rFonts w:cstheme="minorHAnsi"/>
        </w:rPr>
        <w:tab/>
      </w:r>
      <w:r w:rsidR="00E12897" w:rsidRPr="00631676">
        <w:rPr>
          <w:rFonts w:cstheme="minorHAnsi"/>
        </w:rPr>
        <w:t xml:space="preserve">Before </w:t>
      </w:r>
      <w:r w:rsidR="00604218" w:rsidRPr="00631676">
        <w:rPr>
          <w:rFonts w:cstheme="minorHAnsi"/>
        </w:rPr>
        <w:t>trial, d</w:t>
      </w:r>
      <w:r w:rsidR="00C06C81" w:rsidRPr="00631676">
        <w:rPr>
          <w:rFonts w:cstheme="minorHAnsi"/>
        </w:rPr>
        <w:t xml:space="preserve">efendant </w:t>
      </w:r>
      <w:r w:rsidR="00FA0967" w:rsidRPr="00631676">
        <w:rPr>
          <w:rFonts w:cstheme="minorHAnsi"/>
        </w:rPr>
        <w:t>sought</w:t>
      </w:r>
      <w:r w:rsidR="00C06C81" w:rsidRPr="00631676">
        <w:rPr>
          <w:rFonts w:cstheme="minorHAnsi"/>
        </w:rPr>
        <w:t xml:space="preserve"> to suppress the confession, arguing that it was </w:t>
      </w:r>
      <w:r w:rsidR="00373369" w:rsidRPr="00631676">
        <w:rPr>
          <w:rFonts w:cstheme="minorHAnsi"/>
        </w:rPr>
        <w:t xml:space="preserve">coerced </w:t>
      </w:r>
      <w:r w:rsidR="00C06C81" w:rsidRPr="00631676">
        <w:rPr>
          <w:rFonts w:cstheme="minorHAnsi"/>
        </w:rPr>
        <w:t xml:space="preserve">and obtained in violation of </w:t>
      </w:r>
      <w:r w:rsidR="00C06C81" w:rsidRPr="00631676">
        <w:rPr>
          <w:rFonts w:cstheme="minorHAnsi"/>
          <w:i/>
        </w:rPr>
        <w:t>Miranda</w:t>
      </w:r>
      <w:r w:rsidR="00C06C81" w:rsidRPr="00631676">
        <w:rPr>
          <w:rFonts w:cstheme="minorHAnsi"/>
        </w:rPr>
        <w:t xml:space="preserve">.  </w:t>
      </w:r>
      <w:r w:rsidR="009C0AB1" w:rsidRPr="00631676">
        <w:rPr>
          <w:rFonts w:cstheme="minorHAnsi"/>
        </w:rPr>
        <w:t xml:space="preserve">Defense counsel argued that </w:t>
      </w:r>
      <w:r w:rsidR="00164CC7">
        <w:rPr>
          <w:rFonts w:cstheme="minorHAnsi"/>
        </w:rPr>
        <w:t>Sergeant</w:t>
      </w:r>
      <w:r w:rsidR="000B4543" w:rsidRPr="00631676">
        <w:rPr>
          <w:rFonts w:cstheme="minorHAnsi"/>
        </w:rPr>
        <w:t xml:space="preserve"> </w:t>
      </w:r>
      <w:r w:rsidR="009C0AB1" w:rsidRPr="00631676">
        <w:rPr>
          <w:rFonts w:cstheme="minorHAnsi"/>
        </w:rPr>
        <w:t xml:space="preserve">Reinstadler and </w:t>
      </w:r>
      <w:r w:rsidR="00164CC7">
        <w:rPr>
          <w:rFonts w:cstheme="minorHAnsi"/>
        </w:rPr>
        <w:t xml:space="preserve">Detective </w:t>
      </w:r>
      <w:r w:rsidR="009C0AB1" w:rsidRPr="00631676">
        <w:rPr>
          <w:rFonts w:cstheme="minorHAnsi"/>
        </w:rPr>
        <w:t xml:space="preserve">West threatened </w:t>
      </w:r>
      <w:r w:rsidR="00E12897" w:rsidRPr="00631676">
        <w:rPr>
          <w:rFonts w:cstheme="minorHAnsi"/>
        </w:rPr>
        <w:t xml:space="preserve">defendant </w:t>
      </w:r>
      <w:r w:rsidR="009C0AB1" w:rsidRPr="00631676">
        <w:rPr>
          <w:rFonts w:cstheme="minorHAnsi"/>
        </w:rPr>
        <w:t>with the death penalty</w:t>
      </w:r>
      <w:r w:rsidR="00E12897" w:rsidRPr="00631676">
        <w:rPr>
          <w:rFonts w:cstheme="minorHAnsi"/>
        </w:rPr>
        <w:t xml:space="preserve"> and</w:t>
      </w:r>
      <w:r w:rsidR="009C0AB1" w:rsidRPr="00631676">
        <w:rPr>
          <w:rFonts w:cstheme="minorHAnsi"/>
        </w:rPr>
        <w:t xml:space="preserve"> </w:t>
      </w:r>
      <w:r w:rsidR="00E12897" w:rsidRPr="00631676">
        <w:rPr>
          <w:rFonts w:cstheme="minorHAnsi"/>
        </w:rPr>
        <w:t xml:space="preserve">urged </w:t>
      </w:r>
      <w:r w:rsidR="009C0AB1" w:rsidRPr="00631676">
        <w:rPr>
          <w:rFonts w:cstheme="minorHAnsi"/>
        </w:rPr>
        <w:t xml:space="preserve">him to correct the impression that he was a “stone-cold killer.”  The trial court </w:t>
      </w:r>
      <w:r w:rsidR="006C5FD2" w:rsidRPr="00631676">
        <w:rPr>
          <w:rFonts w:cstheme="minorHAnsi"/>
        </w:rPr>
        <w:t>conclud</w:t>
      </w:r>
      <w:r w:rsidR="00C51717" w:rsidRPr="00631676">
        <w:rPr>
          <w:rFonts w:cstheme="minorHAnsi"/>
        </w:rPr>
        <w:t>ed</w:t>
      </w:r>
      <w:r w:rsidR="009C0AB1" w:rsidRPr="00631676">
        <w:rPr>
          <w:rFonts w:cstheme="minorHAnsi"/>
        </w:rPr>
        <w:t xml:space="preserve"> </w:t>
      </w:r>
      <w:r w:rsidR="008A44A3" w:rsidRPr="00631676">
        <w:rPr>
          <w:rFonts w:cstheme="minorHAnsi"/>
        </w:rPr>
        <w:t>the</w:t>
      </w:r>
      <w:r w:rsidR="009C0AB1" w:rsidRPr="00631676">
        <w:rPr>
          <w:rFonts w:cstheme="minorHAnsi"/>
        </w:rPr>
        <w:t xml:space="preserve"> confession was not coerced</w:t>
      </w:r>
      <w:r w:rsidR="00C51717" w:rsidRPr="00631676">
        <w:rPr>
          <w:rFonts w:cstheme="minorHAnsi"/>
        </w:rPr>
        <w:t xml:space="preserve">, explaining </w:t>
      </w:r>
      <w:r w:rsidR="007E1A97" w:rsidRPr="00631676">
        <w:rPr>
          <w:rFonts w:cstheme="minorHAnsi"/>
        </w:rPr>
        <w:t>the</w:t>
      </w:r>
      <w:r w:rsidR="0002194F" w:rsidRPr="00631676">
        <w:rPr>
          <w:rFonts w:cstheme="minorHAnsi"/>
        </w:rPr>
        <w:t xml:space="preserve"> </w:t>
      </w:r>
      <w:r w:rsidR="00B06D79" w:rsidRPr="00631676">
        <w:rPr>
          <w:rFonts w:cstheme="minorHAnsi"/>
        </w:rPr>
        <w:t>detectives</w:t>
      </w:r>
      <w:r w:rsidR="0002194F" w:rsidRPr="00631676">
        <w:rPr>
          <w:rFonts w:cstheme="minorHAnsi"/>
        </w:rPr>
        <w:t>’</w:t>
      </w:r>
      <w:r w:rsidR="007E1A97" w:rsidRPr="00631676">
        <w:rPr>
          <w:rFonts w:cstheme="minorHAnsi"/>
        </w:rPr>
        <w:t xml:space="preserve"> reference to the death </w:t>
      </w:r>
      <w:r w:rsidR="007E1A97" w:rsidRPr="00631676">
        <w:rPr>
          <w:rFonts w:cstheme="minorHAnsi"/>
        </w:rPr>
        <w:lastRenderedPageBreak/>
        <w:t>penalty “was actually in res</w:t>
      </w:r>
      <w:r w:rsidR="007D1437" w:rsidRPr="00631676">
        <w:rPr>
          <w:rFonts w:cstheme="minorHAnsi"/>
        </w:rPr>
        <w:t>p</w:t>
      </w:r>
      <w:r w:rsidR="007E1A97" w:rsidRPr="00631676">
        <w:rPr>
          <w:rFonts w:cstheme="minorHAnsi"/>
        </w:rPr>
        <w:t xml:space="preserve">onse to the defendant’s initiation of the subject of penalty.  He said something about the fact that he was looking at life and then the </w:t>
      </w:r>
      <w:r w:rsidR="0023775A" w:rsidRPr="00631676">
        <w:rPr>
          <w:rFonts w:cstheme="minorHAnsi"/>
        </w:rPr>
        <w:t>detective</w:t>
      </w:r>
      <w:r w:rsidR="007E1A97" w:rsidRPr="00631676">
        <w:rPr>
          <w:rFonts w:cstheme="minorHAnsi"/>
        </w:rPr>
        <w:t xml:space="preserve"> said, ‘Well, that’s better than death or what’s in-between,’ or something like that, this was not a subject that was pursued after that.  And it doesn’t appear to me that that reference was anything that resulted or led to Mr.</w:t>
      </w:r>
      <w:r w:rsidR="002C28E0">
        <w:t> </w:t>
      </w:r>
      <w:r w:rsidR="007E1A97" w:rsidRPr="00631676">
        <w:rPr>
          <w:rFonts w:cstheme="minorHAnsi"/>
        </w:rPr>
        <w:t xml:space="preserve">Hoyt’s confession.”    </w:t>
      </w:r>
    </w:p>
    <w:p w14:paraId="0A3DB517" w14:textId="1DB5605B" w:rsidR="007027DB" w:rsidRPr="00631676" w:rsidRDefault="007027DB" w:rsidP="00B37A04">
      <w:pPr>
        <w:rPr>
          <w:rFonts w:cstheme="minorHAnsi"/>
        </w:rPr>
      </w:pPr>
      <w:r w:rsidRPr="00631676">
        <w:rPr>
          <w:rFonts w:cstheme="minorHAnsi"/>
        </w:rPr>
        <w:tab/>
      </w:r>
      <w:r w:rsidR="007E1A97" w:rsidRPr="00631676">
        <w:rPr>
          <w:rFonts w:cstheme="minorHAnsi"/>
        </w:rPr>
        <w:t>The</w:t>
      </w:r>
      <w:r w:rsidR="006D7997" w:rsidRPr="00631676">
        <w:rPr>
          <w:rFonts w:cstheme="minorHAnsi"/>
        </w:rPr>
        <w:t xml:space="preserve"> trial</w:t>
      </w:r>
      <w:r w:rsidR="007E1A97" w:rsidRPr="00631676">
        <w:rPr>
          <w:rFonts w:cstheme="minorHAnsi"/>
        </w:rPr>
        <w:t xml:space="preserve"> court</w:t>
      </w:r>
      <w:r w:rsidRPr="00631676">
        <w:rPr>
          <w:rFonts w:cstheme="minorHAnsi"/>
        </w:rPr>
        <w:t xml:space="preserve"> also examined whether defendant’s admission was coerced because he was called “a stone-cold killer” during the interrogation.  The court reasoned that use of that phrase, “in and of itself” </w:t>
      </w:r>
      <w:r w:rsidR="00D90DFD" w:rsidRPr="00631676">
        <w:rPr>
          <w:rFonts w:cstheme="minorHAnsi"/>
        </w:rPr>
        <w:t>was not sufficient to conclude his admission was coercively obtained</w:t>
      </w:r>
      <w:r w:rsidRPr="00631676">
        <w:rPr>
          <w:rFonts w:cstheme="minorHAnsi"/>
        </w:rPr>
        <w:t xml:space="preserve">.  </w:t>
      </w:r>
      <w:r w:rsidR="00D90DFD" w:rsidRPr="00631676">
        <w:rPr>
          <w:rFonts w:cstheme="minorHAnsi"/>
        </w:rPr>
        <w:t>The court</w:t>
      </w:r>
      <w:r w:rsidRPr="00631676">
        <w:rPr>
          <w:rFonts w:cstheme="minorHAnsi"/>
        </w:rPr>
        <w:t xml:space="preserve"> acknowledged the argument’s logic:  that if a person is truly a killer, that person would receive the death penalty and would be required to demonstrate facts in mitigation in order to avoid that consequence.  The court did not find the </w:t>
      </w:r>
      <w:r w:rsidR="00F94EA5" w:rsidRPr="00631676">
        <w:rPr>
          <w:rFonts w:cstheme="minorHAnsi"/>
        </w:rPr>
        <w:t>detectives’ use of the phrase “stone-cold killer” to have been used as</w:t>
      </w:r>
      <w:r w:rsidRPr="00631676">
        <w:rPr>
          <w:rFonts w:cstheme="minorHAnsi"/>
        </w:rPr>
        <w:t xml:space="preserve"> a threat</w:t>
      </w:r>
      <w:r w:rsidR="008A19BF" w:rsidRPr="00631676">
        <w:rPr>
          <w:rFonts w:cstheme="minorHAnsi"/>
        </w:rPr>
        <w:t>.  R</w:t>
      </w:r>
      <w:r w:rsidR="00F94EA5" w:rsidRPr="00631676">
        <w:rPr>
          <w:rFonts w:cstheme="minorHAnsi"/>
        </w:rPr>
        <w:t>ather, the court</w:t>
      </w:r>
      <w:r w:rsidRPr="00631676">
        <w:rPr>
          <w:rFonts w:cstheme="minorHAnsi"/>
        </w:rPr>
        <w:t xml:space="preserve"> concluded</w:t>
      </w:r>
      <w:r w:rsidR="00F94EA5" w:rsidRPr="00631676">
        <w:rPr>
          <w:rFonts w:cstheme="minorHAnsi"/>
        </w:rPr>
        <w:t>,</w:t>
      </w:r>
      <w:r w:rsidRPr="00631676">
        <w:rPr>
          <w:rFonts w:cstheme="minorHAnsi"/>
        </w:rPr>
        <w:t xml:space="preserve"> it was</w:t>
      </w:r>
      <w:r w:rsidR="00F94EA5" w:rsidRPr="00631676">
        <w:rPr>
          <w:rFonts w:cstheme="minorHAnsi"/>
        </w:rPr>
        <w:t xml:space="preserve"> somewhat</w:t>
      </w:r>
      <w:r w:rsidRPr="00631676">
        <w:rPr>
          <w:rFonts w:cstheme="minorHAnsi"/>
        </w:rPr>
        <w:t xml:space="preserve"> factual</w:t>
      </w:r>
      <w:r w:rsidR="00B37A04">
        <w:rPr>
          <w:rFonts w:cstheme="minorHAnsi"/>
        </w:rPr>
        <w:t xml:space="preserve"> and therefore</w:t>
      </w:r>
      <w:r w:rsidR="008A19BF" w:rsidRPr="00631676">
        <w:rPr>
          <w:rFonts w:cstheme="minorHAnsi"/>
        </w:rPr>
        <w:t xml:space="preserve"> was</w:t>
      </w:r>
      <w:r w:rsidR="00100010" w:rsidRPr="00631676">
        <w:rPr>
          <w:rFonts w:cstheme="minorHAnsi"/>
        </w:rPr>
        <w:t xml:space="preserve"> not </w:t>
      </w:r>
      <w:r w:rsidR="008A19BF" w:rsidRPr="00631676">
        <w:rPr>
          <w:rFonts w:cstheme="minorHAnsi"/>
        </w:rPr>
        <w:t>c</w:t>
      </w:r>
      <w:r w:rsidR="006753CF" w:rsidRPr="00631676">
        <w:rPr>
          <w:rFonts w:cstheme="minorHAnsi"/>
        </w:rPr>
        <w:t>oercive</w:t>
      </w:r>
      <w:r w:rsidRPr="00631676">
        <w:rPr>
          <w:rFonts w:cstheme="minorHAnsi"/>
        </w:rPr>
        <w:t xml:space="preserve">.  </w:t>
      </w:r>
    </w:p>
    <w:p w14:paraId="7C58F37E" w14:textId="43DF3137" w:rsidR="00A770DD" w:rsidRPr="00631676" w:rsidRDefault="007027DB" w:rsidP="00880755">
      <w:pPr>
        <w:rPr>
          <w:rFonts w:cstheme="minorHAnsi"/>
        </w:rPr>
      </w:pPr>
      <w:r w:rsidRPr="00631676">
        <w:rPr>
          <w:rFonts w:cstheme="minorHAnsi"/>
        </w:rPr>
        <w:tab/>
      </w:r>
      <w:r w:rsidR="00E57A9A" w:rsidRPr="00631676">
        <w:rPr>
          <w:rFonts w:cstheme="minorHAnsi"/>
        </w:rPr>
        <w:t>The superior court next examined defendant’s invocation of his right to remain silent, concluding that the transcript as a whole reflected defendant’s desire to continue talking.  The court explained that defendant “was not expressing a wish to terminate the interview, to terminate his colloquy with the police, he was temporizing it.  He didn’t quite know what he wanted to do</w:t>
      </w:r>
      <w:r w:rsidR="0053119E">
        <w:rPr>
          <w:rFonts w:cstheme="minorHAnsi"/>
        </w:rPr>
        <w:t>,</w:t>
      </w:r>
      <w:r w:rsidR="00E57A9A" w:rsidRPr="00631676">
        <w:rPr>
          <w:rFonts w:cstheme="minorHAnsi"/>
        </w:rPr>
        <w:t xml:space="preserve"> and he was sort of postponing the inevitable, but he didn’t really want to stop talking </w:t>
      </w:r>
      <w:r w:rsidR="00E57A9A" w:rsidRPr="00631676">
        <w:rPr>
          <w:rFonts w:cstheme="minorHAnsi"/>
          <w:i/>
        </w:rPr>
        <w:t>because he didn’t quit talking</w:t>
      </w:r>
      <w:r w:rsidR="00E57A9A" w:rsidRPr="00631676">
        <w:rPr>
          <w:rFonts w:cstheme="minorHAnsi"/>
        </w:rPr>
        <w:t xml:space="preserve">.”  </w:t>
      </w:r>
      <w:r w:rsidR="00FD3BA8">
        <w:rPr>
          <w:rFonts w:cstheme="minorHAnsi"/>
        </w:rPr>
        <w:t xml:space="preserve">(Italics added.)  </w:t>
      </w:r>
      <w:r w:rsidR="00E57A9A" w:rsidRPr="00631676">
        <w:rPr>
          <w:rFonts w:cstheme="minorHAnsi"/>
        </w:rPr>
        <w:t>The court continued, “I don’t think the officers ever tried to coerce [defendant] int</w:t>
      </w:r>
      <w:r w:rsidR="00A770DD" w:rsidRPr="00631676">
        <w:rPr>
          <w:rFonts w:cstheme="minorHAnsi"/>
        </w:rPr>
        <w:t>o</w:t>
      </w:r>
      <w:r w:rsidR="00E57A9A" w:rsidRPr="00631676">
        <w:rPr>
          <w:rFonts w:cstheme="minorHAnsi"/>
        </w:rPr>
        <w:t xml:space="preserve"> further discussions.  I </w:t>
      </w:r>
      <w:proofErr w:type="gramStart"/>
      <w:r w:rsidR="00E57A9A" w:rsidRPr="00631676">
        <w:rPr>
          <w:rFonts w:cstheme="minorHAnsi"/>
        </w:rPr>
        <w:t>don’t</w:t>
      </w:r>
      <w:proofErr w:type="gramEnd"/>
      <w:r w:rsidR="00E57A9A" w:rsidRPr="00631676">
        <w:rPr>
          <w:rFonts w:cstheme="minorHAnsi"/>
        </w:rPr>
        <w:t xml:space="preserve"> think they attempted to question him until after it was obvious that he wanted to resume the discussion.  So, I don’t find </w:t>
      </w:r>
      <w:r w:rsidR="00E57A9A" w:rsidRPr="00631676">
        <w:rPr>
          <w:rFonts w:cstheme="minorHAnsi"/>
        </w:rPr>
        <w:lastRenderedPageBreak/>
        <w:t xml:space="preserve">that there’s been any violation of </w:t>
      </w:r>
      <w:r w:rsidR="00E57A9A" w:rsidRPr="00631676">
        <w:rPr>
          <w:rFonts w:cstheme="minorHAnsi"/>
          <w:i/>
        </w:rPr>
        <w:t>Miranda</w:t>
      </w:r>
      <w:r w:rsidR="00E57A9A" w:rsidRPr="00631676">
        <w:rPr>
          <w:rFonts w:cstheme="minorHAnsi"/>
        </w:rPr>
        <w:t xml:space="preserve"> as far as [defendant] is concerned.”  </w:t>
      </w:r>
    </w:p>
    <w:p w14:paraId="7B821531" w14:textId="5353E3CE" w:rsidR="00AE7E42" w:rsidRPr="00631676" w:rsidRDefault="00A770DD" w:rsidP="00880755">
      <w:pPr>
        <w:rPr>
          <w:rFonts w:cstheme="minorHAnsi"/>
        </w:rPr>
      </w:pPr>
      <w:r w:rsidRPr="00631676">
        <w:rPr>
          <w:rFonts w:cstheme="minorHAnsi"/>
        </w:rPr>
        <w:tab/>
        <w:t xml:space="preserve">The court concluded that defendant’s statement to the detectives was admissible because he did not “ever vent[] any real interest in terminating [his] interview.”  The court noted that when defendant sought an overnight break, </w:t>
      </w:r>
      <w:r w:rsidR="008858AF" w:rsidRPr="00631676">
        <w:rPr>
          <w:rFonts w:cstheme="minorHAnsi"/>
        </w:rPr>
        <w:t xml:space="preserve">the </w:t>
      </w:r>
      <w:r w:rsidRPr="00631676">
        <w:rPr>
          <w:rFonts w:cstheme="minorHAnsi"/>
        </w:rPr>
        <w:t>detectives correctly informed him that he would be</w:t>
      </w:r>
      <w:r w:rsidR="0053119E">
        <w:rPr>
          <w:rFonts w:cstheme="minorHAnsi"/>
        </w:rPr>
        <w:t xml:space="preserve"> </w:t>
      </w:r>
      <w:r w:rsidRPr="00631676">
        <w:rPr>
          <w:rFonts w:cstheme="minorHAnsi"/>
        </w:rPr>
        <w:t xml:space="preserve">provided with an attorney, and that attorney might advise him not to continue speaking to the detectives.  Because defendant continued talking despite having a basis to cease doing so and because nothing the detectives told defendant was misleading, the court concluded defendant’s </w:t>
      </w:r>
      <w:r w:rsidRPr="00631676">
        <w:rPr>
          <w:rFonts w:cstheme="minorHAnsi"/>
          <w:i/>
        </w:rPr>
        <w:t>Miranda</w:t>
      </w:r>
      <w:r w:rsidRPr="00631676">
        <w:rPr>
          <w:rFonts w:cstheme="minorHAnsi"/>
        </w:rPr>
        <w:t xml:space="preserve"> rights were not violated.  Later in the colloquy, the parties acknowledge that defendant says, “Yeah, I think I want to stop there, I think you guys got a pretty good picture.”  The court did not explicitly rule on whether any statement made following defendant’s invocation was admissible because the prosecution agreed to terminate the tape at that point, and the court acknowledged </w:t>
      </w:r>
      <w:r w:rsidR="0095184D" w:rsidRPr="00631676">
        <w:rPr>
          <w:rFonts w:cstheme="minorHAnsi"/>
        </w:rPr>
        <w:t xml:space="preserve">this evidence, </w:t>
      </w:r>
      <w:r w:rsidRPr="00631676">
        <w:rPr>
          <w:rFonts w:cstheme="minorHAnsi"/>
        </w:rPr>
        <w:t>the so-called “Side-B” evidence</w:t>
      </w:r>
      <w:r w:rsidR="0095184D" w:rsidRPr="00631676">
        <w:rPr>
          <w:rFonts w:cstheme="minorHAnsi"/>
        </w:rPr>
        <w:t>,</w:t>
      </w:r>
      <w:r w:rsidRPr="00631676">
        <w:rPr>
          <w:rFonts w:cstheme="minorHAnsi"/>
        </w:rPr>
        <w:t xml:space="preserve"> was not going to be admitted unless defendant elected to testify, which had not yet been determined at the time the court evaluated this statement.  Accordingly, the trial court did not expressly rule on whether the statement that followed this third invocation </w:t>
      </w:r>
      <w:r w:rsidR="002149B0" w:rsidRPr="00631676">
        <w:rPr>
          <w:rFonts w:cstheme="minorHAnsi"/>
        </w:rPr>
        <w:t>was</w:t>
      </w:r>
      <w:r w:rsidRPr="00631676">
        <w:rPr>
          <w:rFonts w:cstheme="minorHAnsi"/>
        </w:rPr>
        <w:t xml:space="preserve"> admissible under </w:t>
      </w:r>
      <w:r w:rsidRPr="00631676">
        <w:rPr>
          <w:rFonts w:cstheme="minorHAnsi"/>
          <w:i/>
        </w:rPr>
        <w:t>Miranda</w:t>
      </w:r>
      <w:r w:rsidRPr="00631676">
        <w:rPr>
          <w:rFonts w:cstheme="minorHAnsi"/>
        </w:rPr>
        <w:t xml:space="preserve">. </w:t>
      </w:r>
      <w:r w:rsidR="007E1A97" w:rsidRPr="00631676">
        <w:rPr>
          <w:rFonts w:cstheme="minorHAnsi"/>
        </w:rPr>
        <w:t xml:space="preserve"> </w:t>
      </w:r>
    </w:p>
    <w:p w14:paraId="4873F2B5" w14:textId="77777777" w:rsidR="00F46264" w:rsidRPr="00880755" w:rsidRDefault="00A34132" w:rsidP="00880755">
      <w:pPr>
        <w:pStyle w:val="Heading4"/>
        <w:rPr>
          <w:rFonts w:cstheme="minorHAnsi"/>
          <w:b/>
        </w:rPr>
      </w:pPr>
      <w:r w:rsidRPr="00631676">
        <w:tab/>
      </w:r>
      <w:r w:rsidRPr="00631676">
        <w:tab/>
      </w:r>
      <w:r w:rsidRPr="00631676">
        <w:tab/>
      </w:r>
      <w:r w:rsidR="00F46264" w:rsidRPr="00880755">
        <w:rPr>
          <w:rFonts w:cstheme="minorHAnsi"/>
        </w:rPr>
        <w:t>b.</w:t>
      </w:r>
      <w:r w:rsidR="00F46264" w:rsidRPr="00880755">
        <w:rPr>
          <w:rFonts w:cstheme="minorHAnsi"/>
          <w:i w:val="0"/>
        </w:rPr>
        <w:tab/>
      </w:r>
      <w:r w:rsidR="00F46264" w:rsidRPr="00880755">
        <w:rPr>
          <w:rFonts w:cstheme="minorHAnsi"/>
        </w:rPr>
        <w:t>Discussion</w:t>
      </w:r>
    </w:p>
    <w:p w14:paraId="2332F7FA" w14:textId="06E782E6" w:rsidR="00F74790" w:rsidRPr="00631676" w:rsidRDefault="009E2129" w:rsidP="00880755">
      <w:pPr>
        <w:rPr>
          <w:rFonts w:cstheme="minorHAnsi"/>
        </w:rPr>
      </w:pPr>
      <w:r w:rsidRPr="00631676">
        <w:rPr>
          <w:rFonts w:cstheme="minorHAnsi"/>
        </w:rPr>
        <w:tab/>
      </w:r>
      <w:r w:rsidR="00F74790" w:rsidRPr="00631676">
        <w:rPr>
          <w:rFonts w:cstheme="minorHAnsi"/>
        </w:rPr>
        <w:t xml:space="preserve">The Fifth Amendment </w:t>
      </w:r>
      <w:r w:rsidR="00EE4EE8" w:rsidRPr="00631676">
        <w:rPr>
          <w:rFonts w:cstheme="minorHAnsi"/>
        </w:rPr>
        <w:t>provides</w:t>
      </w:r>
      <w:r w:rsidR="0053119E">
        <w:rPr>
          <w:rFonts w:cstheme="minorHAnsi"/>
        </w:rPr>
        <w:t>,</w:t>
      </w:r>
      <w:r w:rsidR="00F74790" w:rsidRPr="00631676">
        <w:rPr>
          <w:rFonts w:cstheme="minorHAnsi"/>
        </w:rPr>
        <w:t xml:space="preserve"> “</w:t>
      </w:r>
      <w:r w:rsidR="0053119E">
        <w:rPr>
          <w:rFonts w:cstheme="minorHAnsi"/>
        </w:rPr>
        <w:t>N</w:t>
      </w:r>
      <w:r w:rsidR="00F74790" w:rsidRPr="00631676">
        <w:rPr>
          <w:rFonts w:cstheme="minorHAnsi"/>
        </w:rPr>
        <w:t>o person .</w:t>
      </w:r>
      <w:r w:rsidR="005B3510" w:rsidRPr="00631676">
        <w:rPr>
          <w:rFonts w:cstheme="minorHAnsi"/>
        </w:rPr>
        <w:t> </w:t>
      </w:r>
      <w:r w:rsidR="00F74790" w:rsidRPr="00631676">
        <w:rPr>
          <w:rFonts w:cstheme="minorHAnsi"/>
        </w:rPr>
        <w:t>.</w:t>
      </w:r>
      <w:r w:rsidR="00153371" w:rsidRPr="00631676">
        <w:rPr>
          <w:rFonts w:cstheme="minorHAnsi"/>
        </w:rPr>
        <w:t> </w:t>
      </w:r>
      <w:r w:rsidR="00F74790" w:rsidRPr="00631676">
        <w:rPr>
          <w:rFonts w:cstheme="minorHAnsi"/>
        </w:rPr>
        <w:t>. shall be compelled in any criminal case to be a witness against himself</w:t>
      </w:r>
      <w:r w:rsidR="0053119E">
        <w:rPr>
          <w:rFonts w:cstheme="minorHAnsi"/>
        </w:rPr>
        <w:t xml:space="preserve"> </w:t>
      </w:r>
      <w:r w:rsidR="00F74790" w:rsidRPr="00631676">
        <w:rPr>
          <w:rFonts w:cstheme="minorHAnsi"/>
        </w:rPr>
        <w:t>.</w:t>
      </w:r>
      <w:r w:rsidR="0053119E">
        <w:rPr>
          <w:rFonts w:cstheme="minorHAnsi"/>
        </w:rPr>
        <w:t> . . .</w:t>
      </w:r>
      <w:r w:rsidR="00F74790" w:rsidRPr="00631676">
        <w:rPr>
          <w:rFonts w:cstheme="minorHAnsi"/>
        </w:rPr>
        <w:t>”  (U.S. Const.</w:t>
      </w:r>
      <w:r w:rsidR="00AD5909" w:rsidRPr="00631676">
        <w:rPr>
          <w:rFonts w:cstheme="minorHAnsi"/>
        </w:rPr>
        <w:t>,</w:t>
      </w:r>
      <w:r w:rsidR="00F74790" w:rsidRPr="00631676">
        <w:rPr>
          <w:rFonts w:cstheme="minorHAnsi"/>
        </w:rPr>
        <w:t xml:space="preserve"> 5th Amend.)  “To safeguard a suspect’s Fifth Amendment privilege against self-incrimination from the ‘inherently compelling pressures’ of custodial interrogation (</w:t>
      </w:r>
      <w:r w:rsidR="00F74790" w:rsidRPr="00631676">
        <w:rPr>
          <w:rFonts w:cstheme="minorHAnsi"/>
          <w:i/>
        </w:rPr>
        <w:t>Miranda</w:t>
      </w:r>
      <w:r w:rsidR="00F74790" w:rsidRPr="00631676">
        <w:rPr>
          <w:rFonts w:cstheme="minorHAnsi"/>
        </w:rPr>
        <w:t xml:space="preserve">, </w:t>
      </w:r>
      <w:r w:rsidR="00F74790" w:rsidRPr="00631676">
        <w:rPr>
          <w:rFonts w:cstheme="minorHAnsi"/>
          <w:i/>
        </w:rPr>
        <w:t>supra</w:t>
      </w:r>
      <w:r w:rsidR="00F74790" w:rsidRPr="00631676">
        <w:rPr>
          <w:rFonts w:cstheme="minorHAnsi"/>
        </w:rPr>
        <w:t>, 384 U.S. at p.</w:t>
      </w:r>
      <w:r w:rsidR="005B3510" w:rsidRPr="00631676">
        <w:rPr>
          <w:rFonts w:cstheme="minorHAnsi"/>
        </w:rPr>
        <w:t> </w:t>
      </w:r>
      <w:r w:rsidR="00F74790" w:rsidRPr="00631676">
        <w:rPr>
          <w:rFonts w:cstheme="minorHAnsi"/>
        </w:rPr>
        <w:t xml:space="preserve">467), the high court adopted a </w:t>
      </w:r>
      <w:r w:rsidR="00F74790" w:rsidRPr="00631676">
        <w:rPr>
          <w:rFonts w:cstheme="minorHAnsi"/>
        </w:rPr>
        <w:lastRenderedPageBreak/>
        <w:t>set of prophylactic measures requiring law enforcement officers to advise an accused of his right to remain silent and to have counsel present prior to any custodial interrogation</w:t>
      </w:r>
      <w:r w:rsidR="00B06D79" w:rsidRPr="00631676">
        <w:rPr>
          <w:rFonts w:cstheme="minorHAnsi"/>
        </w:rPr>
        <w:t xml:space="preserve"> </w:t>
      </w:r>
      <w:r w:rsidR="00F74790" w:rsidRPr="00631676">
        <w:rPr>
          <w:rFonts w:cstheme="minorHAnsi"/>
        </w:rPr>
        <w:t>(</w:t>
      </w:r>
      <w:r w:rsidR="00B06D79" w:rsidRPr="00631676">
        <w:rPr>
          <w:rFonts w:cstheme="minorHAnsi"/>
          <w:i/>
        </w:rPr>
        <w:t>i</w:t>
      </w:r>
      <w:r w:rsidR="00F74790" w:rsidRPr="00631676">
        <w:rPr>
          <w:rFonts w:cstheme="minorHAnsi"/>
          <w:i/>
        </w:rPr>
        <w:t>d.</w:t>
      </w:r>
      <w:r w:rsidR="00F74790" w:rsidRPr="00631676">
        <w:rPr>
          <w:rFonts w:cstheme="minorHAnsi"/>
        </w:rPr>
        <w:t xml:space="preserve"> at pp.</w:t>
      </w:r>
      <w:r w:rsidR="005B3510" w:rsidRPr="00631676">
        <w:rPr>
          <w:rFonts w:cstheme="minorHAnsi"/>
        </w:rPr>
        <w:t> </w:t>
      </w:r>
      <w:r w:rsidR="00F74790" w:rsidRPr="00631676">
        <w:rPr>
          <w:rFonts w:cstheme="minorHAnsi"/>
        </w:rPr>
        <w:t>444</w:t>
      </w:r>
      <w:r w:rsidR="00AD5909" w:rsidRPr="00631676">
        <w:rPr>
          <w:rFonts w:cstheme="minorHAnsi"/>
        </w:rPr>
        <w:t>–</w:t>
      </w:r>
      <w:r w:rsidR="00F74790" w:rsidRPr="00631676">
        <w:rPr>
          <w:rFonts w:cstheme="minorHAnsi"/>
        </w:rPr>
        <w:t>445)</w:t>
      </w:r>
      <w:r w:rsidR="00B06D79" w:rsidRPr="00631676">
        <w:rPr>
          <w:rFonts w:cstheme="minorHAnsi"/>
        </w:rPr>
        <w:t>.</w:t>
      </w:r>
      <w:r w:rsidR="00F74790" w:rsidRPr="00631676">
        <w:rPr>
          <w:rFonts w:cstheme="minorHAnsi"/>
        </w:rPr>
        <w:t>”  (</w:t>
      </w:r>
      <w:r w:rsidR="00F74790" w:rsidRPr="00631676">
        <w:rPr>
          <w:rFonts w:cstheme="minorHAnsi"/>
          <w:i/>
        </w:rPr>
        <w:t>People v. Jackson</w:t>
      </w:r>
      <w:r w:rsidR="00706E5F" w:rsidRPr="00631676">
        <w:rPr>
          <w:rFonts w:cstheme="minorHAnsi"/>
        </w:rPr>
        <w:t xml:space="preserve"> (2016) 1 Cal.5</w:t>
      </w:r>
      <w:r w:rsidR="00F74790" w:rsidRPr="00631676">
        <w:rPr>
          <w:rFonts w:cstheme="minorHAnsi"/>
        </w:rPr>
        <w:t>th 269, 338</w:t>
      </w:r>
      <w:r w:rsidR="00AD5909" w:rsidRPr="00631676">
        <w:rPr>
          <w:rFonts w:cstheme="minorHAnsi"/>
        </w:rPr>
        <w:t>–</w:t>
      </w:r>
      <w:r w:rsidR="00F74790" w:rsidRPr="00631676">
        <w:rPr>
          <w:rFonts w:cstheme="minorHAnsi"/>
        </w:rPr>
        <w:t>339.)</w:t>
      </w:r>
      <w:r w:rsidR="00706E5F" w:rsidRPr="00631676">
        <w:rPr>
          <w:rFonts w:cstheme="minorHAnsi"/>
        </w:rPr>
        <w:t xml:space="preserve">  During such an interrogation, if a defendant invokes either the right to remain silent or the right to counsel, “</w:t>
      </w:r>
      <w:r w:rsidR="005B3510" w:rsidRPr="00631676">
        <w:rPr>
          <w:rFonts w:cstheme="minorHAnsi"/>
        </w:rPr>
        <w:t> </w:t>
      </w:r>
      <w:r w:rsidR="00706E5F" w:rsidRPr="00631676">
        <w:rPr>
          <w:rFonts w:cstheme="minorHAnsi"/>
        </w:rPr>
        <w:t>‘</w:t>
      </w:r>
      <w:r w:rsidR="005B3510" w:rsidRPr="00631676">
        <w:rPr>
          <w:rFonts w:cstheme="minorHAnsi"/>
        </w:rPr>
        <w:t> </w:t>
      </w:r>
      <w:r w:rsidR="00706E5F" w:rsidRPr="00631676">
        <w:rPr>
          <w:rFonts w:cstheme="minorHAnsi"/>
        </w:rPr>
        <w:t>“the interrogation must cease.”</w:t>
      </w:r>
      <w:r w:rsidR="005B3510" w:rsidRPr="00631676">
        <w:rPr>
          <w:rFonts w:cstheme="minorHAnsi"/>
        </w:rPr>
        <w:t> </w:t>
      </w:r>
      <w:r w:rsidR="00706E5F" w:rsidRPr="00631676">
        <w:rPr>
          <w:rFonts w:cstheme="minorHAnsi"/>
        </w:rPr>
        <w:t>’</w:t>
      </w:r>
      <w:r w:rsidR="005B3510" w:rsidRPr="00631676">
        <w:rPr>
          <w:rFonts w:cstheme="minorHAnsi"/>
        </w:rPr>
        <w:t> </w:t>
      </w:r>
      <w:r w:rsidR="00706E5F" w:rsidRPr="00631676">
        <w:rPr>
          <w:rFonts w:cstheme="minorHAnsi"/>
        </w:rPr>
        <w:t>”  (</w:t>
      </w:r>
      <w:r w:rsidR="001B718E" w:rsidRPr="00631676">
        <w:rPr>
          <w:rFonts w:cstheme="minorHAnsi"/>
          <w:i/>
        </w:rPr>
        <w:t>Id.</w:t>
      </w:r>
      <w:r w:rsidR="001B718E" w:rsidRPr="00631676">
        <w:rPr>
          <w:rFonts w:cstheme="minorHAnsi"/>
        </w:rPr>
        <w:t xml:space="preserve"> at p. 339.</w:t>
      </w:r>
      <w:r w:rsidR="00706E5F" w:rsidRPr="00631676">
        <w:rPr>
          <w:rFonts w:cstheme="minorHAnsi"/>
        </w:rPr>
        <w:t>)</w:t>
      </w:r>
      <w:r w:rsidR="00630B62" w:rsidRPr="00631676">
        <w:rPr>
          <w:rFonts w:cstheme="minorHAnsi"/>
        </w:rPr>
        <w:t xml:space="preserve">  </w:t>
      </w:r>
      <w:r w:rsidR="00706E5F" w:rsidRPr="00631676">
        <w:rPr>
          <w:rFonts w:cstheme="minorHAnsi"/>
        </w:rPr>
        <w:t>“</w:t>
      </w:r>
      <w:r w:rsidR="001B718E" w:rsidRPr="00631676">
        <w:rPr>
          <w:rFonts w:cstheme="minorHAnsi"/>
        </w:rPr>
        <w:t> </w:t>
      </w:r>
      <w:r w:rsidR="00706E5F" w:rsidRPr="00631676">
        <w:rPr>
          <w:rFonts w:cstheme="minorHAnsi"/>
        </w:rPr>
        <w:t>‘[A]n accused .</w:t>
      </w:r>
      <w:r w:rsidR="005B3510" w:rsidRPr="00631676">
        <w:rPr>
          <w:rFonts w:cstheme="minorHAnsi"/>
        </w:rPr>
        <w:t> </w:t>
      </w:r>
      <w:r w:rsidR="00706E5F" w:rsidRPr="00631676">
        <w:rPr>
          <w:rFonts w:cstheme="minorHAnsi"/>
        </w:rPr>
        <w:t>.</w:t>
      </w:r>
      <w:r w:rsidR="005B3510" w:rsidRPr="00631676">
        <w:rPr>
          <w:rFonts w:cstheme="minorHAnsi"/>
        </w:rPr>
        <w:t> </w:t>
      </w:r>
      <w:r w:rsidR="00706E5F" w:rsidRPr="00631676">
        <w:rPr>
          <w:rFonts w:cstheme="minorHAnsi"/>
        </w:rPr>
        <w:t>. having expressed his desire to deal with the police only through counsel, is not subject to further interrogation by the authorities until counsel has been made available to him, unless the accused himself initiates further communication, exchanges, or conversations with the police.’  (</w:t>
      </w:r>
      <w:r w:rsidR="00706E5F" w:rsidRPr="00631676">
        <w:rPr>
          <w:rFonts w:cstheme="minorHAnsi"/>
          <w:i/>
        </w:rPr>
        <w:t>Edwards v. Arizona</w:t>
      </w:r>
      <w:r w:rsidR="00706E5F" w:rsidRPr="00631676">
        <w:rPr>
          <w:rFonts w:cstheme="minorHAnsi"/>
        </w:rPr>
        <w:t xml:space="preserve"> (1981) 451 U.S. 477, 484</w:t>
      </w:r>
      <w:r w:rsidR="00AD5909" w:rsidRPr="00631676">
        <w:rPr>
          <w:rFonts w:cstheme="minorHAnsi"/>
        </w:rPr>
        <w:t>–</w:t>
      </w:r>
      <w:r w:rsidR="00706E5F" w:rsidRPr="00631676">
        <w:rPr>
          <w:rFonts w:cstheme="minorHAnsi"/>
        </w:rPr>
        <w:t>485.”  (</w:t>
      </w:r>
      <w:r w:rsidR="00E12897" w:rsidRPr="00631676">
        <w:rPr>
          <w:rFonts w:cstheme="minorHAnsi"/>
          <w:i/>
        </w:rPr>
        <w:t>Jackson</w:t>
      </w:r>
      <w:r w:rsidR="00E12897" w:rsidRPr="00631676">
        <w:rPr>
          <w:rFonts w:cstheme="minorHAnsi"/>
        </w:rPr>
        <w:t>,</w:t>
      </w:r>
      <w:r w:rsidR="005C2256" w:rsidRPr="00631676">
        <w:rPr>
          <w:rFonts w:cstheme="minorHAnsi"/>
        </w:rPr>
        <w:t xml:space="preserve"> </w:t>
      </w:r>
      <w:r w:rsidR="00706E5F" w:rsidRPr="00631676">
        <w:rPr>
          <w:rFonts w:cstheme="minorHAnsi"/>
        </w:rPr>
        <w:t>at p.</w:t>
      </w:r>
      <w:r w:rsidR="005B3510" w:rsidRPr="00631676">
        <w:rPr>
          <w:rFonts w:cstheme="minorHAnsi"/>
        </w:rPr>
        <w:t> </w:t>
      </w:r>
      <w:r w:rsidR="00706E5F" w:rsidRPr="00631676">
        <w:rPr>
          <w:rFonts w:cstheme="minorHAnsi"/>
        </w:rPr>
        <w:t>339.)</w:t>
      </w:r>
      <w:r w:rsidR="002E6828" w:rsidRPr="00631676">
        <w:rPr>
          <w:rFonts w:cstheme="minorHAnsi"/>
        </w:rPr>
        <w:t xml:space="preserve">  </w:t>
      </w:r>
      <w:r w:rsidR="004C3221" w:rsidRPr="00631676">
        <w:rPr>
          <w:rFonts w:cstheme="minorHAnsi"/>
        </w:rPr>
        <w:t xml:space="preserve">“[W]hen, as in this case, a defendant has waived his </w:t>
      </w:r>
      <w:r w:rsidR="004C3221" w:rsidRPr="00631676">
        <w:rPr>
          <w:rFonts w:cstheme="minorHAnsi"/>
          <w:i/>
        </w:rPr>
        <w:t>Miranda</w:t>
      </w:r>
      <w:r w:rsidR="004C3221" w:rsidRPr="00631676">
        <w:rPr>
          <w:rFonts w:cstheme="minorHAnsi"/>
        </w:rPr>
        <w:t xml:space="preserve"> rights and agreed to talk with police, any </w:t>
      </w:r>
      <w:r w:rsidR="004C3221" w:rsidRPr="00631676">
        <w:rPr>
          <w:rFonts w:cstheme="minorHAnsi"/>
          <w:i/>
        </w:rPr>
        <w:t>subsequent</w:t>
      </w:r>
      <w:r w:rsidR="004C3221" w:rsidRPr="00631676">
        <w:rPr>
          <w:rFonts w:cstheme="minorHAnsi"/>
        </w:rPr>
        <w:t xml:space="preserve"> invocation of the right to counsel or the right to remain silent must be unequivocal and unambiguous.”</w:t>
      </w:r>
      <w:r w:rsidR="004C3221" w:rsidRPr="00631676">
        <w:t xml:space="preserve">  (</w:t>
      </w:r>
      <w:r w:rsidR="004C3221" w:rsidRPr="00631676">
        <w:rPr>
          <w:i/>
        </w:rPr>
        <w:t>People v. Sanchez</w:t>
      </w:r>
      <w:r w:rsidR="004C3221" w:rsidRPr="00631676">
        <w:t xml:space="preserve"> (2019) 7 Cal.5th 14, 49</w:t>
      </w:r>
      <w:r w:rsidR="00BE0E97" w:rsidRPr="00631676">
        <w:t xml:space="preserve"> (</w:t>
      </w:r>
      <w:r w:rsidR="00BE0E97" w:rsidRPr="00631676">
        <w:rPr>
          <w:i/>
        </w:rPr>
        <w:t>Sanchez</w:t>
      </w:r>
      <w:r w:rsidR="00BE0E97" w:rsidRPr="00631676">
        <w:t>)</w:t>
      </w:r>
      <w:r w:rsidR="004C3221" w:rsidRPr="00631676">
        <w:t xml:space="preserve">.)  </w:t>
      </w:r>
      <w:r w:rsidR="004C3221" w:rsidRPr="00631676">
        <w:rPr>
          <w:rFonts w:cstheme="minorHAnsi"/>
        </w:rPr>
        <w:t xml:space="preserve">  </w:t>
      </w:r>
    </w:p>
    <w:p w14:paraId="755FECB6" w14:textId="2257727D" w:rsidR="00DE715F" w:rsidRPr="00631676" w:rsidRDefault="00F74790" w:rsidP="00880755">
      <w:pPr>
        <w:rPr>
          <w:rFonts w:cstheme="minorHAnsi"/>
        </w:rPr>
      </w:pPr>
      <w:r w:rsidRPr="00631676">
        <w:rPr>
          <w:rFonts w:cstheme="minorHAnsi"/>
        </w:rPr>
        <w:tab/>
      </w:r>
      <w:r w:rsidR="00782980" w:rsidRPr="00631676">
        <w:rPr>
          <w:rFonts w:cstheme="minorHAnsi"/>
        </w:rPr>
        <w:t>“An involuntary confession may not be introduced into evidence at trial.”  (</w:t>
      </w:r>
      <w:r w:rsidR="00782980" w:rsidRPr="00631676">
        <w:rPr>
          <w:rFonts w:cstheme="minorHAnsi"/>
          <w:i/>
        </w:rPr>
        <w:t>People v. Carrington</w:t>
      </w:r>
      <w:r w:rsidR="00782980" w:rsidRPr="00631676">
        <w:rPr>
          <w:rFonts w:cstheme="minorHAnsi"/>
        </w:rPr>
        <w:t xml:space="preserve"> (2009) 47 Cal.4th 145, 169</w:t>
      </w:r>
      <w:r w:rsidR="00890A1E">
        <w:rPr>
          <w:rFonts w:cstheme="minorHAnsi"/>
        </w:rPr>
        <w:t xml:space="preserve"> (</w:t>
      </w:r>
      <w:r w:rsidR="00890A1E" w:rsidRPr="00890A1E">
        <w:rPr>
          <w:rFonts w:cstheme="minorHAnsi"/>
          <w:i/>
        </w:rPr>
        <w:t>Carrington</w:t>
      </w:r>
      <w:r w:rsidR="00890A1E">
        <w:rPr>
          <w:rFonts w:cstheme="minorHAnsi"/>
        </w:rPr>
        <w:t>)</w:t>
      </w:r>
      <w:r w:rsidR="00782980" w:rsidRPr="00631676">
        <w:rPr>
          <w:rFonts w:cstheme="minorHAnsi"/>
        </w:rPr>
        <w:t xml:space="preserve">.) </w:t>
      </w:r>
      <w:r w:rsidR="00A826E5" w:rsidRPr="00631676">
        <w:rPr>
          <w:rFonts w:cstheme="minorHAnsi"/>
        </w:rPr>
        <w:t xml:space="preserve"> It is the prosecution’s burden to establish by a preponderance of the evidence that the defendant’s </w:t>
      </w:r>
      <w:r w:rsidR="00883C13" w:rsidRPr="00631676">
        <w:rPr>
          <w:rFonts w:cstheme="minorHAnsi"/>
        </w:rPr>
        <w:t>confession</w:t>
      </w:r>
      <w:r w:rsidR="00A826E5" w:rsidRPr="00631676">
        <w:rPr>
          <w:rFonts w:cstheme="minorHAnsi"/>
        </w:rPr>
        <w:t xml:space="preserve"> was voluntary.  (</w:t>
      </w:r>
      <w:r w:rsidR="00883C13" w:rsidRPr="00631676">
        <w:rPr>
          <w:rFonts w:cstheme="minorHAnsi"/>
          <w:i/>
        </w:rPr>
        <w:t>Ibid</w:t>
      </w:r>
      <w:r w:rsidR="00A826E5" w:rsidRPr="00631676">
        <w:rPr>
          <w:rFonts w:cstheme="minorHAnsi"/>
        </w:rPr>
        <w:t xml:space="preserve">.)  </w:t>
      </w:r>
      <w:r w:rsidR="00782980" w:rsidRPr="00631676">
        <w:rPr>
          <w:rFonts w:cstheme="minorHAnsi"/>
        </w:rPr>
        <w:t>“In determining whether a confession is involuntary, we consider the totality of the circumstances to see if a defendant’s choice to confess was not ‘</w:t>
      </w:r>
      <w:r w:rsidR="005B3510" w:rsidRPr="00631676">
        <w:rPr>
          <w:rFonts w:cstheme="minorHAnsi"/>
        </w:rPr>
        <w:t> </w:t>
      </w:r>
      <w:r w:rsidR="00782980" w:rsidRPr="00631676">
        <w:rPr>
          <w:rFonts w:cstheme="minorHAnsi"/>
        </w:rPr>
        <w:t>“</w:t>
      </w:r>
      <w:r w:rsidR="00B06D79" w:rsidRPr="00631676">
        <w:rPr>
          <w:rFonts w:cstheme="minorHAnsi"/>
        </w:rPr>
        <w:t> ‘ “</w:t>
      </w:r>
      <w:r w:rsidR="00782980" w:rsidRPr="00631676">
        <w:rPr>
          <w:rFonts w:cstheme="minorHAnsi"/>
        </w:rPr>
        <w:t>essentially free</w:t>
      </w:r>
      <w:r w:rsidR="00B06D79" w:rsidRPr="00631676">
        <w:rPr>
          <w:rFonts w:cstheme="minorHAnsi"/>
        </w:rPr>
        <w:t>” ’</w:t>
      </w:r>
      <w:r w:rsidR="00A45CE2" w:rsidRPr="00631676">
        <w:rPr>
          <w:rFonts w:cstheme="minorHAnsi"/>
        </w:rPr>
        <w:t> </w:t>
      </w:r>
      <w:r w:rsidR="00782980" w:rsidRPr="00631676">
        <w:rPr>
          <w:rFonts w:cstheme="minorHAnsi"/>
        </w:rPr>
        <w:t>”</w:t>
      </w:r>
      <w:r w:rsidR="005B3510" w:rsidRPr="00631676">
        <w:rPr>
          <w:rFonts w:cstheme="minorHAnsi"/>
        </w:rPr>
        <w:t> </w:t>
      </w:r>
      <w:r w:rsidR="00782980" w:rsidRPr="00631676">
        <w:rPr>
          <w:rFonts w:cstheme="minorHAnsi"/>
        </w:rPr>
        <w:t>’ because his will was overborne by the coercive practices of his interrogator.”  (</w:t>
      </w:r>
      <w:r w:rsidR="00782980" w:rsidRPr="00631676">
        <w:rPr>
          <w:rFonts w:cstheme="minorHAnsi"/>
          <w:i/>
        </w:rPr>
        <w:t xml:space="preserve">People </w:t>
      </w:r>
      <w:r w:rsidR="00486E35" w:rsidRPr="00631676">
        <w:rPr>
          <w:rFonts w:cstheme="minorHAnsi"/>
          <w:i/>
        </w:rPr>
        <w:t>v. </w:t>
      </w:r>
      <w:r w:rsidR="00782980" w:rsidRPr="00631676">
        <w:rPr>
          <w:rFonts w:cstheme="minorHAnsi"/>
          <w:i/>
        </w:rPr>
        <w:t>Spencer</w:t>
      </w:r>
      <w:r w:rsidR="00782980" w:rsidRPr="00631676">
        <w:rPr>
          <w:rFonts w:cstheme="minorHAnsi"/>
        </w:rPr>
        <w:t xml:space="preserve"> (2018) 5 Cal.5th 642, 672.)  A “confession [is] not ‘essentially free’ when a suspect’s confinement was physically oppressive, invocations of his or her </w:t>
      </w:r>
      <w:r w:rsidR="00782980" w:rsidRPr="00631676">
        <w:rPr>
          <w:rFonts w:cstheme="minorHAnsi"/>
          <w:i/>
        </w:rPr>
        <w:t>Miranda</w:t>
      </w:r>
      <w:r w:rsidR="00782980" w:rsidRPr="00631676">
        <w:rPr>
          <w:rFonts w:cstheme="minorHAnsi"/>
        </w:rPr>
        <w:t xml:space="preserve"> rights were flagrantly ignored, or the suspect’s mental state was visibly compromised.”  (</w:t>
      </w:r>
      <w:r w:rsidR="0053119E" w:rsidRPr="0053119E">
        <w:rPr>
          <w:rFonts w:cstheme="minorHAnsi"/>
          <w:i/>
        </w:rPr>
        <w:t>Ibid.</w:t>
      </w:r>
      <w:r w:rsidR="00782980" w:rsidRPr="00631676">
        <w:rPr>
          <w:rFonts w:cstheme="minorHAnsi"/>
        </w:rPr>
        <w:t>)</w:t>
      </w:r>
    </w:p>
    <w:p w14:paraId="7C08F97A" w14:textId="77777777" w:rsidR="00883C13" w:rsidRPr="00631676" w:rsidRDefault="00883C13" w:rsidP="00880755">
      <w:pPr>
        <w:rPr>
          <w:rFonts w:cstheme="minorHAnsi"/>
        </w:rPr>
      </w:pPr>
      <w:r w:rsidRPr="00631676">
        <w:rPr>
          <w:rFonts w:cstheme="minorHAnsi"/>
        </w:rPr>
        <w:lastRenderedPageBreak/>
        <w:tab/>
        <w:t>A confession obtained in violation of</w:t>
      </w:r>
      <w:r w:rsidR="004F4805" w:rsidRPr="00631676">
        <w:rPr>
          <w:rFonts w:cstheme="minorHAnsi"/>
        </w:rPr>
        <w:t xml:space="preserve"> </w:t>
      </w:r>
      <w:r w:rsidR="004F4805" w:rsidRPr="00631676">
        <w:rPr>
          <w:rFonts w:cstheme="minorHAnsi"/>
          <w:i/>
        </w:rPr>
        <w:t>Edwards</w:t>
      </w:r>
      <w:r w:rsidR="004F4805" w:rsidRPr="00631676">
        <w:rPr>
          <w:rFonts w:cstheme="minorHAnsi"/>
        </w:rPr>
        <w:t xml:space="preserve"> and </w:t>
      </w:r>
      <w:r w:rsidRPr="00631676">
        <w:rPr>
          <w:rFonts w:cstheme="minorHAnsi"/>
          <w:i/>
        </w:rPr>
        <w:t>Miranda</w:t>
      </w:r>
      <w:r w:rsidRPr="00631676">
        <w:rPr>
          <w:rFonts w:cstheme="minorHAnsi"/>
        </w:rPr>
        <w:t xml:space="preserve"> is likewise inadmissible</w:t>
      </w:r>
      <w:r w:rsidR="004F4805" w:rsidRPr="00631676">
        <w:rPr>
          <w:rFonts w:cstheme="minorHAnsi"/>
        </w:rPr>
        <w:t xml:space="preserve"> during the prosecution’s case-in-chief</w:t>
      </w:r>
      <w:r w:rsidRPr="00631676">
        <w:rPr>
          <w:rFonts w:cstheme="minorHAnsi"/>
        </w:rPr>
        <w:t>.  (</w:t>
      </w:r>
      <w:r w:rsidRPr="00631676">
        <w:rPr>
          <w:rFonts w:cstheme="minorHAnsi"/>
          <w:i/>
        </w:rPr>
        <w:t xml:space="preserve">People v. </w:t>
      </w:r>
      <w:r w:rsidR="004F4805" w:rsidRPr="00631676">
        <w:rPr>
          <w:rFonts w:cstheme="minorHAnsi"/>
          <w:i/>
        </w:rPr>
        <w:t>Peevy</w:t>
      </w:r>
      <w:r w:rsidRPr="00631676">
        <w:rPr>
          <w:rFonts w:cstheme="minorHAnsi"/>
        </w:rPr>
        <w:t xml:space="preserve"> (</w:t>
      </w:r>
      <w:r w:rsidR="004F4805" w:rsidRPr="00631676">
        <w:rPr>
          <w:rFonts w:cstheme="minorHAnsi"/>
        </w:rPr>
        <w:t>1998</w:t>
      </w:r>
      <w:r w:rsidRPr="00631676">
        <w:rPr>
          <w:rFonts w:cstheme="minorHAnsi"/>
        </w:rPr>
        <w:t xml:space="preserve">) </w:t>
      </w:r>
      <w:r w:rsidR="004F4805" w:rsidRPr="00631676">
        <w:rPr>
          <w:rFonts w:cstheme="minorHAnsi"/>
        </w:rPr>
        <w:t>17</w:t>
      </w:r>
      <w:r w:rsidRPr="00631676">
        <w:rPr>
          <w:rFonts w:cstheme="minorHAnsi"/>
        </w:rPr>
        <w:t xml:space="preserve"> Cal.4th </w:t>
      </w:r>
      <w:r w:rsidR="004F4805" w:rsidRPr="00631676">
        <w:rPr>
          <w:rFonts w:cstheme="minorHAnsi"/>
        </w:rPr>
        <w:t>1184</w:t>
      </w:r>
      <w:r w:rsidRPr="00631676">
        <w:rPr>
          <w:rFonts w:cstheme="minorHAnsi"/>
        </w:rPr>
        <w:t xml:space="preserve">, </w:t>
      </w:r>
      <w:r w:rsidR="004F4805" w:rsidRPr="00631676">
        <w:rPr>
          <w:rFonts w:cstheme="minorHAnsi"/>
        </w:rPr>
        <w:t>1204–1205</w:t>
      </w:r>
      <w:r w:rsidRPr="00631676">
        <w:rPr>
          <w:rFonts w:cstheme="minorHAnsi"/>
        </w:rPr>
        <w:t>.)</w:t>
      </w:r>
      <w:r w:rsidR="009E574C" w:rsidRPr="00631676">
        <w:rPr>
          <w:rFonts w:cstheme="minorHAnsi"/>
        </w:rPr>
        <w:t xml:space="preserve">  </w:t>
      </w:r>
      <w:r w:rsidRPr="00631676">
        <w:rPr>
          <w:rFonts w:cstheme="minorHAnsi"/>
        </w:rPr>
        <w:t xml:space="preserve">It is the prosecution’s burden to establish by a preponderance of the evidence that the defendant’s waiver of his </w:t>
      </w:r>
      <w:r w:rsidRPr="00631676">
        <w:rPr>
          <w:rFonts w:cstheme="minorHAnsi"/>
          <w:i/>
        </w:rPr>
        <w:t>Miranda</w:t>
      </w:r>
      <w:r w:rsidRPr="00631676">
        <w:rPr>
          <w:rFonts w:cstheme="minorHAnsi"/>
        </w:rPr>
        <w:t xml:space="preserve"> rights was knowing, voluntary, and intelligent.  (</w:t>
      </w:r>
      <w:r w:rsidRPr="00631676">
        <w:rPr>
          <w:rFonts w:cstheme="minorHAnsi"/>
          <w:i/>
        </w:rPr>
        <w:t>People v. Jackson</w:t>
      </w:r>
      <w:r w:rsidRPr="00631676">
        <w:rPr>
          <w:rFonts w:cstheme="minorHAnsi"/>
        </w:rPr>
        <w:t xml:space="preserve">, </w:t>
      </w:r>
      <w:r w:rsidRPr="00631676">
        <w:rPr>
          <w:rFonts w:cstheme="minorHAnsi"/>
          <w:i/>
        </w:rPr>
        <w:t>supra</w:t>
      </w:r>
      <w:r w:rsidRPr="00631676">
        <w:rPr>
          <w:rFonts w:cstheme="minorHAnsi"/>
        </w:rPr>
        <w:t>, 1 Cal.5th at p.</w:t>
      </w:r>
      <w:r w:rsidR="005B3510" w:rsidRPr="00631676">
        <w:rPr>
          <w:rFonts w:cstheme="minorHAnsi"/>
        </w:rPr>
        <w:t> </w:t>
      </w:r>
      <w:r w:rsidRPr="00631676">
        <w:rPr>
          <w:rFonts w:cstheme="minorHAnsi"/>
        </w:rPr>
        <w:t xml:space="preserve">339.)  </w:t>
      </w:r>
      <w:r w:rsidR="009E574C" w:rsidRPr="00631676">
        <w:rPr>
          <w:rFonts w:cstheme="minorHAnsi"/>
        </w:rPr>
        <w:t>In reviewing a trial court’s denial of a suppression motion, we accept its resolution of factual disputes when supported by substantial evidence and determine independently whether, on those facts, a challenged statement was obtained illegally.  (</w:t>
      </w:r>
      <w:r w:rsidR="009E574C" w:rsidRPr="00631676">
        <w:rPr>
          <w:rFonts w:cstheme="minorHAnsi"/>
          <w:i/>
        </w:rPr>
        <w:t>Ibid.</w:t>
      </w:r>
      <w:r w:rsidR="009E574C" w:rsidRPr="00631676">
        <w:rPr>
          <w:rFonts w:cstheme="minorHAnsi"/>
        </w:rPr>
        <w:t>)</w:t>
      </w:r>
    </w:p>
    <w:p w14:paraId="7F57A4CB" w14:textId="5FBCEF1E" w:rsidR="004F4805" w:rsidRPr="00631676" w:rsidRDefault="004427C5" w:rsidP="00880755">
      <w:pPr>
        <w:rPr>
          <w:rFonts w:cstheme="minorHAnsi"/>
        </w:rPr>
      </w:pPr>
      <w:r w:rsidRPr="00631676">
        <w:rPr>
          <w:rFonts w:cstheme="minorHAnsi"/>
        </w:rPr>
        <w:tab/>
      </w:r>
      <w:r w:rsidR="005C2256" w:rsidRPr="00631676">
        <w:rPr>
          <w:rFonts w:cstheme="minorHAnsi"/>
        </w:rPr>
        <w:t xml:space="preserve">Defendant raises several challenges to the admission of his confession to </w:t>
      </w:r>
      <w:r w:rsidR="008858AF" w:rsidRPr="00631676">
        <w:rPr>
          <w:rFonts w:cstheme="minorHAnsi"/>
        </w:rPr>
        <w:t xml:space="preserve">the </w:t>
      </w:r>
      <w:r w:rsidR="005C2256" w:rsidRPr="00631676">
        <w:rPr>
          <w:rFonts w:cstheme="minorHAnsi"/>
        </w:rPr>
        <w:t xml:space="preserve">detectives.  </w:t>
      </w:r>
      <w:r w:rsidR="004F4805" w:rsidRPr="00631676">
        <w:rPr>
          <w:rFonts w:cstheme="minorHAnsi"/>
        </w:rPr>
        <w:t>Preliminarily</w:t>
      </w:r>
      <w:r w:rsidR="005C2256" w:rsidRPr="00631676">
        <w:rPr>
          <w:rFonts w:cstheme="minorHAnsi"/>
        </w:rPr>
        <w:t xml:space="preserve">, he argues that </w:t>
      </w:r>
      <w:r w:rsidR="00795B23" w:rsidRPr="00631676">
        <w:rPr>
          <w:rFonts w:cstheme="minorHAnsi"/>
        </w:rPr>
        <w:t>the trial court erred by failing to hold an evidentiary he</w:t>
      </w:r>
      <w:r w:rsidR="00C13911" w:rsidRPr="00631676">
        <w:rPr>
          <w:rFonts w:cstheme="minorHAnsi"/>
        </w:rPr>
        <w:t>aring before denying his motion</w:t>
      </w:r>
      <w:r w:rsidR="00795B23" w:rsidRPr="00631676">
        <w:rPr>
          <w:rFonts w:cstheme="minorHAnsi"/>
        </w:rPr>
        <w:t xml:space="preserve"> to suppress</w:t>
      </w:r>
      <w:r w:rsidR="00C13911" w:rsidRPr="00631676">
        <w:rPr>
          <w:rFonts w:cstheme="minorHAnsi"/>
        </w:rPr>
        <w:t xml:space="preserve"> </w:t>
      </w:r>
      <w:r w:rsidR="005C2256" w:rsidRPr="00631676">
        <w:rPr>
          <w:rFonts w:cstheme="minorHAnsi"/>
        </w:rPr>
        <w:t>his confession</w:t>
      </w:r>
      <w:r w:rsidR="0049286A" w:rsidRPr="00631676">
        <w:rPr>
          <w:rFonts w:cstheme="minorHAnsi"/>
        </w:rPr>
        <w:t>.  Defendant</w:t>
      </w:r>
      <w:r w:rsidR="00C13911" w:rsidRPr="00631676">
        <w:rPr>
          <w:rFonts w:cstheme="minorHAnsi"/>
        </w:rPr>
        <w:t xml:space="preserve"> concedes the trial court asked if he wanted such a hearing and he declined</w:t>
      </w:r>
      <w:r w:rsidR="00795B23" w:rsidRPr="00631676">
        <w:rPr>
          <w:rFonts w:cstheme="minorHAnsi"/>
        </w:rPr>
        <w:t>.</w:t>
      </w:r>
      <w:r w:rsidR="00C13911" w:rsidRPr="00631676">
        <w:rPr>
          <w:rFonts w:cstheme="minorHAnsi"/>
        </w:rPr>
        <w:t xml:space="preserve">  </w:t>
      </w:r>
      <w:r w:rsidR="005C2256" w:rsidRPr="00631676">
        <w:rPr>
          <w:rFonts w:cstheme="minorHAnsi"/>
        </w:rPr>
        <w:t xml:space="preserve">The trial court </w:t>
      </w:r>
      <w:r w:rsidR="002E1771" w:rsidRPr="00631676">
        <w:rPr>
          <w:rFonts w:cstheme="minorHAnsi"/>
        </w:rPr>
        <w:t xml:space="preserve">accordingly </w:t>
      </w:r>
      <w:r w:rsidR="005C2256" w:rsidRPr="00631676">
        <w:rPr>
          <w:rFonts w:cstheme="minorHAnsi"/>
        </w:rPr>
        <w:t xml:space="preserve">decided the suppression issue based on the transcripts and tapes the parties had submitted to the court.  </w:t>
      </w:r>
      <w:r w:rsidR="0062137C" w:rsidRPr="00631676">
        <w:rPr>
          <w:rFonts w:cstheme="minorHAnsi"/>
        </w:rPr>
        <w:t>We</w:t>
      </w:r>
      <w:r w:rsidR="00C13911" w:rsidRPr="00631676">
        <w:rPr>
          <w:rFonts w:cstheme="minorHAnsi"/>
        </w:rPr>
        <w:t xml:space="preserve"> find no </w:t>
      </w:r>
      <w:r w:rsidR="004F4805" w:rsidRPr="00631676">
        <w:rPr>
          <w:rFonts w:cstheme="minorHAnsi"/>
        </w:rPr>
        <w:t xml:space="preserve">abuse of discretion </w:t>
      </w:r>
      <w:r w:rsidR="009C2EBC" w:rsidRPr="00631676">
        <w:rPr>
          <w:rFonts w:cstheme="minorHAnsi"/>
        </w:rPr>
        <w:t>on this score</w:t>
      </w:r>
      <w:r w:rsidR="00C13911" w:rsidRPr="00631676">
        <w:rPr>
          <w:rFonts w:cstheme="minorHAnsi"/>
        </w:rPr>
        <w:t>.</w:t>
      </w:r>
    </w:p>
    <w:p w14:paraId="6059FA1A" w14:textId="61D6E070" w:rsidR="00102787" w:rsidRPr="00631676" w:rsidRDefault="00555445" w:rsidP="00880755">
      <w:pPr>
        <w:ind w:firstLine="720"/>
        <w:rPr>
          <w:rFonts w:cstheme="minorHAnsi"/>
        </w:rPr>
      </w:pPr>
      <w:r w:rsidRPr="00631676">
        <w:rPr>
          <w:rFonts w:cstheme="minorHAnsi"/>
        </w:rPr>
        <w:t>Defendant</w:t>
      </w:r>
      <w:r w:rsidR="00774505">
        <w:rPr>
          <w:rFonts w:cstheme="minorHAnsi"/>
        </w:rPr>
        <w:t xml:space="preserve"> argues</w:t>
      </w:r>
      <w:r w:rsidRPr="00631676">
        <w:rPr>
          <w:rFonts w:cstheme="minorHAnsi"/>
        </w:rPr>
        <w:t xml:space="preserve"> </w:t>
      </w:r>
      <w:r w:rsidR="00FD3BA8">
        <w:rPr>
          <w:rFonts w:cstheme="minorHAnsi"/>
        </w:rPr>
        <w:t xml:space="preserve">that </w:t>
      </w:r>
      <w:r w:rsidR="00E34A10" w:rsidRPr="00631676">
        <w:rPr>
          <w:rFonts w:cstheme="minorHAnsi"/>
        </w:rPr>
        <w:t xml:space="preserve">his confession is inadmissible under </w:t>
      </w:r>
      <w:r w:rsidR="00E34A10" w:rsidRPr="00631676">
        <w:rPr>
          <w:rFonts w:cstheme="minorHAnsi"/>
          <w:i/>
        </w:rPr>
        <w:t>Edwards</w:t>
      </w:r>
      <w:r w:rsidR="0053119E">
        <w:rPr>
          <w:rFonts w:cstheme="minorHAnsi"/>
          <w:i/>
        </w:rPr>
        <w:t xml:space="preserve"> v. Arizona</w:t>
      </w:r>
      <w:r w:rsidR="00E34A10" w:rsidRPr="00631676">
        <w:rPr>
          <w:rFonts w:cstheme="minorHAnsi"/>
        </w:rPr>
        <w:t xml:space="preserve">, </w:t>
      </w:r>
      <w:r w:rsidR="00E34A10" w:rsidRPr="00631676">
        <w:rPr>
          <w:rFonts w:cstheme="minorHAnsi"/>
          <w:i/>
        </w:rPr>
        <w:t>supra</w:t>
      </w:r>
      <w:r w:rsidR="00E34A10" w:rsidRPr="00631676">
        <w:rPr>
          <w:rFonts w:cstheme="minorHAnsi"/>
        </w:rPr>
        <w:t xml:space="preserve">, 451 U.S. 477, because he </w:t>
      </w:r>
      <w:r w:rsidR="00F2196B" w:rsidRPr="00631676">
        <w:rPr>
          <w:rFonts w:cstheme="minorHAnsi"/>
        </w:rPr>
        <w:t xml:space="preserve">requested counsel </w:t>
      </w:r>
      <w:r w:rsidR="00E34A10" w:rsidRPr="00631676">
        <w:rPr>
          <w:rFonts w:cstheme="minorHAnsi"/>
        </w:rPr>
        <w:t xml:space="preserve">on </w:t>
      </w:r>
      <w:r w:rsidR="00F2196B" w:rsidRPr="00631676">
        <w:rPr>
          <w:rFonts w:cstheme="minorHAnsi"/>
        </w:rPr>
        <w:t>arrest</w:t>
      </w:r>
      <w:r w:rsidR="00E34A10" w:rsidRPr="00631676">
        <w:rPr>
          <w:rFonts w:cstheme="minorHAnsi"/>
        </w:rPr>
        <w:t xml:space="preserve"> and did not </w:t>
      </w:r>
      <w:r w:rsidR="00F2196B" w:rsidRPr="00631676">
        <w:rPr>
          <w:rFonts w:cstheme="minorHAnsi"/>
        </w:rPr>
        <w:t xml:space="preserve">voluntarily initiate further contact with </w:t>
      </w:r>
      <w:r w:rsidR="008858AF" w:rsidRPr="00631676">
        <w:rPr>
          <w:rFonts w:cstheme="minorHAnsi"/>
        </w:rPr>
        <w:t xml:space="preserve">the </w:t>
      </w:r>
      <w:r w:rsidR="00D9397C" w:rsidRPr="00631676">
        <w:rPr>
          <w:rFonts w:cstheme="minorHAnsi"/>
        </w:rPr>
        <w:t>detectives</w:t>
      </w:r>
      <w:r w:rsidR="00F2196B" w:rsidRPr="00631676">
        <w:rPr>
          <w:rFonts w:cstheme="minorHAnsi"/>
        </w:rPr>
        <w:t xml:space="preserve">.  </w:t>
      </w:r>
      <w:r w:rsidR="00E34A10" w:rsidRPr="00631676">
        <w:rPr>
          <w:rFonts w:cstheme="minorHAnsi"/>
        </w:rPr>
        <w:t xml:space="preserve">The record is to the contrary:  It shows </w:t>
      </w:r>
      <w:r w:rsidR="00CA1877" w:rsidRPr="00631676">
        <w:rPr>
          <w:rFonts w:cstheme="minorHAnsi"/>
        </w:rPr>
        <w:t>d</w:t>
      </w:r>
      <w:r w:rsidR="00F2196B" w:rsidRPr="00631676">
        <w:rPr>
          <w:rFonts w:cstheme="minorHAnsi"/>
        </w:rPr>
        <w:t xml:space="preserve">efendant did initiate further </w:t>
      </w:r>
      <w:r w:rsidR="00CA1877" w:rsidRPr="00631676">
        <w:rPr>
          <w:rFonts w:cstheme="minorHAnsi"/>
        </w:rPr>
        <w:t>contact</w:t>
      </w:r>
      <w:r w:rsidR="00102787" w:rsidRPr="00631676">
        <w:rPr>
          <w:rFonts w:cstheme="minorHAnsi"/>
        </w:rPr>
        <w:t xml:space="preserve"> by</w:t>
      </w:r>
      <w:r w:rsidR="00F2196B" w:rsidRPr="00631676">
        <w:rPr>
          <w:rFonts w:cstheme="minorHAnsi"/>
        </w:rPr>
        <w:t xml:space="preserve"> requesting an audience with Detective West and </w:t>
      </w:r>
      <w:r w:rsidR="00164CC7">
        <w:rPr>
          <w:rFonts w:cstheme="minorHAnsi"/>
        </w:rPr>
        <w:t xml:space="preserve">Sergeant </w:t>
      </w:r>
      <w:r w:rsidR="00F2196B" w:rsidRPr="00631676">
        <w:rPr>
          <w:rFonts w:cstheme="minorHAnsi"/>
        </w:rPr>
        <w:t>Reinstadler</w:t>
      </w:r>
      <w:r w:rsidR="00DD6C7A" w:rsidRPr="00631676">
        <w:rPr>
          <w:rFonts w:cstheme="minorHAnsi"/>
        </w:rPr>
        <w:t>, who then</w:t>
      </w:r>
      <w:r w:rsidR="00F2196B" w:rsidRPr="00631676">
        <w:rPr>
          <w:rFonts w:cstheme="minorHAnsi"/>
        </w:rPr>
        <w:t xml:space="preserve"> renewed </w:t>
      </w:r>
      <w:r w:rsidR="00F2196B" w:rsidRPr="00631676">
        <w:rPr>
          <w:rFonts w:cstheme="minorHAnsi"/>
          <w:i/>
        </w:rPr>
        <w:t>Miranda</w:t>
      </w:r>
      <w:r w:rsidR="00F2196B" w:rsidRPr="00631676">
        <w:rPr>
          <w:rFonts w:cstheme="minorHAnsi"/>
        </w:rPr>
        <w:t xml:space="preserve"> warnings before proceeding with </w:t>
      </w:r>
      <w:r w:rsidR="00DD6C7A" w:rsidRPr="00631676">
        <w:rPr>
          <w:rFonts w:cstheme="minorHAnsi"/>
        </w:rPr>
        <w:t xml:space="preserve">the </w:t>
      </w:r>
      <w:r w:rsidR="00F2196B" w:rsidRPr="00631676">
        <w:rPr>
          <w:rFonts w:cstheme="minorHAnsi"/>
        </w:rPr>
        <w:t xml:space="preserve">interview.  Indeed, West reminded defendant before the interview began in earnest that defendant had initially asked to speak with an attorney and confirmed that </w:t>
      </w:r>
      <w:r w:rsidR="00F2196B" w:rsidRPr="00631676">
        <w:rPr>
          <w:rFonts w:cstheme="minorHAnsi"/>
        </w:rPr>
        <w:lastRenderedPageBreak/>
        <w:t>he now wanted to make a statement t</w:t>
      </w:r>
      <w:r w:rsidR="00AA4B7A" w:rsidRPr="00631676">
        <w:rPr>
          <w:rFonts w:cstheme="minorHAnsi"/>
        </w:rPr>
        <w:t xml:space="preserve">o law enforcement.  </w:t>
      </w:r>
      <w:r w:rsidR="00633509" w:rsidRPr="00631676">
        <w:rPr>
          <w:rFonts w:cstheme="minorHAnsi"/>
        </w:rPr>
        <w:t xml:space="preserve">Defendant said he did.  </w:t>
      </w:r>
    </w:p>
    <w:p w14:paraId="76DCA91C" w14:textId="4320D41C" w:rsidR="00DE715F" w:rsidRPr="00631676" w:rsidRDefault="00F2196B" w:rsidP="00880755">
      <w:pPr>
        <w:ind w:firstLine="720"/>
        <w:rPr>
          <w:rFonts w:cstheme="minorHAnsi"/>
        </w:rPr>
      </w:pPr>
      <w:r w:rsidRPr="00631676">
        <w:rPr>
          <w:rFonts w:cstheme="minorHAnsi"/>
        </w:rPr>
        <w:t>D</w:t>
      </w:r>
      <w:r w:rsidR="005C2256" w:rsidRPr="00631676">
        <w:rPr>
          <w:rFonts w:cstheme="minorHAnsi"/>
        </w:rPr>
        <w:t>efendant</w:t>
      </w:r>
      <w:r w:rsidR="008732E5" w:rsidRPr="00631676">
        <w:rPr>
          <w:rFonts w:cstheme="minorHAnsi"/>
        </w:rPr>
        <w:t xml:space="preserve"> </w:t>
      </w:r>
      <w:r w:rsidR="005C2256" w:rsidRPr="00631676">
        <w:rPr>
          <w:rFonts w:cstheme="minorHAnsi"/>
        </w:rPr>
        <w:t>claims</w:t>
      </w:r>
      <w:r w:rsidR="000133A3" w:rsidRPr="00631676">
        <w:rPr>
          <w:rFonts w:cstheme="minorHAnsi"/>
        </w:rPr>
        <w:t xml:space="preserve">, however, </w:t>
      </w:r>
      <w:r w:rsidR="005C2256" w:rsidRPr="00631676">
        <w:rPr>
          <w:rFonts w:cstheme="minorHAnsi"/>
        </w:rPr>
        <w:t xml:space="preserve">that </w:t>
      </w:r>
      <w:r w:rsidR="009C2EBC" w:rsidRPr="00631676">
        <w:rPr>
          <w:rFonts w:cstheme="minorHAnsi"/>
        </w:rPr>
        <w:t xml:space="preserve">police coerced him into </w:t>
      </w:r>
      <w:r w:rsidR="00555445" w:rsidRPr="00631676">
        <w:rPr>
          <w:rFonts w:cstheme="minorHAnsi"/>
        </w:rPr>
        <w:t xml:space="preserve">reinitiating contact </w:t>
      </w:r>
      <w:r w:rsidR="009C2EBC" w:rsidRPr="00631676">
        <w:rPr>
          <w:rFonts w:cstheme="minorHAnsi"/>
        </w:rPr>
        <w:t xml:space="preserve">through the medium of his mother, who had cajoled him over the phone to talk to detectives to secure his release. </w:t>
      </w:r>
      <w:r w:rsidR="000D6181" w:rsidRPr="00631676">
        <w:rPr>
          <w:rFonts w:cstheme="minorHAnsi"/>
        </w:rPr>
        <w:t xml:space="preserve"> </w:t>
      </w:r>
      <w:r w:rsidR="009C2EBC" w:rsidRPr="00631676">
        <w:rPr>
          <w:rFonts w:cstheme="minorHAnsi"/>
        </w:rPr>
        <w:t>Th</w:t>
      </w:r>
      <w:r w:rsidR="000D6181" w:rsidRPr="00631676">
        <w:rPr>
          <w:rFonts w:cstheme="minorHAnsi"/>
        </w:rPr>
        <w:t>is</w:t>
      </w:r>
      <w:r w:rsidR="009C2EBC" w:rsidRPr="00631676">
        <w:rPr>
          <w:rFonts w:cstheme="minorHAnsi"/>
        </w:rPr>
        <w:t xml:space="preserve"> claim</w:t>
      </w:r>
      <w:r w:rsidR="008732E5" w:rsidRPr="00631676">
        <w:rPr>
          <w:rFonts w:cstheme="minorHAnsi"/>
        </w:rPr>
        <w:t xml:space="preserve"> </w:t>
      </w:r>
      <w:r w:rsidR="00FD3BA8">
        <w:rPr>
          <w:rFonts w:cstheme="minorHAnsi"/>
        </w:rPr>
        <w:t xml:space="preserve">is utterly devoid of </w:t>
      </w:r>
      <w:r w:rsidR="00B476AE" w:rsidRPr="00631676">
        <w:rPr>
          <w:rFonts w:cstheme="minorHAnsi"/>
        </w:rPr>
        <w:t>merit</w:t>
      </w:r>
      <w:r w:rsidR="009C2EBC" w:rsidRPr="00631676">
        <w:rPr>
          <w:rFonts w:cstheme="minorHAnsi"/>
        </w:rPr>
        <w:t xml:space="preserve">. </w:t>
      </w:r>
      <w:r w:rsidR="000D6181" w:rsidRPr="00631676">
        <w:rPr>
          <w:rFonts w:cstheme="minorHAnsi"/>
        </w:rPr>
        <w:t xml:space="preserve"> </w:t>
      </w:r>
      <w:r w:rsidR="00555445" w:rsidRPr="00631676">
        <w:rPr>
          <w:rFonts w:cstheme="minorHAnsi"/>
        </w:rPr>
        <w:t xml:space="preserve">Defendant points to </w:t>
      </w:r>
      <w:r w:rsidR="004427C5" w:rsidRPr="00631676">
        <w:rPr>
          <w:rFonts w:cstheme="minorHAnsi"/>
        </w:rPr>
        <w:t>no evidence suggest</w:t>
      </w:r>
      <w:r w:rsidR="00555445" w:rsidRPr="00631676">
        <w:rPr>
          <w:rFonts w:cstheme="minorHAnsi"/>
        </w:rPr>
        <w:t>ing</w:t>
      </w:r>
      <w:r w:rsidR="004427C5" w:rsidRPr="00631676">
        <w:rPr>
          <w:rFonts w:cstheme="minorHAnsi"/>
        </w:rPr>
        <w:t xml:space="preserve"> that </w:t>
      </w:r>
      <w:r w:rsidR="00555445" w:rsidRPr="00631676">
        <w:rPr>
          <w:rFonts w:cstheme="minorHAnsi"/>
        </w:rPr>
        <w:t xml:space="preserve">the police had anything to do with the </w:t>
      </w:r>
      <w:r w:rsidR="00DB491C" w:rsidRPr="00631676">
        <w:rPr>
          <w:rFonts w:cstheme="minorHAnsi"/>
        </w:rPr>
        <w:t>conversation with defendant’s mother</w:t>
      </w:r>
      <w:r w:rsidR="00555445" w:rsidRPr="00631676">
        <w:rPr>
          <w:rFonts w:cstheme="minorHAnsi"/>
        </w:rPr>
        <w:t xml:space="preserve">, except insofar as they facilitated the conversation by allowing defendant to make a collect call.  </w:t>
      </w:r>
      <w:r w:rsidR="00FD3BA8">
        <w:rPr>
          <w:rFonts w:cstheme="minorHAnsi"/>
        </w:rPr>
        <w:t>There is nothing coercive about a</w:t>
      </w:r>
      <w:r w:rsidRPr="00631676">
        <w:rPr>
          <w:rFonts w:cstheme="minorHAnsi"/>
        </w:rPr>
        <w:t>llow</w:t>
      </w:r>
      <w:r w:rsidR="00DB491C" w:rsidRPr="00631676">
        <w:rPr>
          <w:rFonts w:cstheme="minorHAnsi"/>
        </w:rPr>
        <w:t>ing</w:t>
      </w:r>
      <w:r w:rsidRPr="00631676">
        <w:rPr>
          <w:rFonts w:cstheme="minorHAnsi"/>
        </w:rPr>
        <w:t xml:space="preserve"> a </w:t>
      </w:r>
      <w:r w:rsidR="00555445" w:rsidRPr="00631676">
        <w:rPr>
          <w:rFonts w:cstheme="minorHAnsi"/>
        </w:rPr>
        <w:t xml:space="preserve">detained </w:t>
      </w:r>
      <w:r w:rsidRPr="00631676">
        <w:rPr>
          <w:rFonts w:cstheme="minorHAnsi"/>
        </w:rPr>
        <w:t xml:space="preserve">suspect to </w:t>
      </w:r>
      <w:r w:rsidR="00DB491C" w:rsidRPr="00631676">
        <w:rPr>
          <w:rFonts w:cstheme="minorHAnsi"/>
        </w:rPr>
        <w:t>call</w:t>
      </w:r>
      <w:r w:rsidRPr="00631676">
        <w:rPr>
          <w:rFonts w:cstheme="minorHAnsi"/>
        </w:rPr>
        <w:t xml:space="preserve"> his mother.</w:t>
      </w:r>
      <w:r w:rsidR="007321D4" w:rsidRPr="00631676">
        <w:rPr>
          <w:rFonts w:cstheme="minorHAnsi"/>
        </w:rPr>
        <w:t xml:space="preserve"> </w:t>
      </w:r>
      <w:r w:rsidR="00EA248D" w:rsidRPr="00631676">
        <w:rPr>
          <w:rFonts w:cstheme="minorHAnsi"/>
        </w:rPr>
        <w:t xml:space="preserve"> </w:t>
      </w:r>
    </w:p>
    <w:p w14:paraId="0A508612" w14:textId="579CAEB7" w:rsidR="00DE715F" w:rsidRPr="00631676" w:rsidRDefault="00DE715F" w:rsidP="00880755">
      <w:pPr>
        <w:rPr>
          <w:rFonts w:cstheme="minorHAnsi"/>
        </w:rPr>
      </w:pPr>
      <w:r w:rsidRPr="00631676">
        <w:rPr>
          <w:rFonts w:cstheme="minorHAnsi"/>
        </w:rPr>
        <w:tab/>
      </w:r>
      <w:r w:rsidR="00774505">
        <w:rPr>
          <w:rFonts w:cstheme="minorHAnsi"/>
        </w:rPr>
        <w:t>D</w:t>
      </w:r>
      <w:r w:rsidRPr="00631676">
        <w:rPr>
          <w:rFonts w:cstheme="minorHAnsi"/>
        </w:rPr>
        <w:t xml:space="preserve">efendant </w:t>
      </w:r>
      <w:r w:rsidR="00774505">
        <w:rPr>
          <w:rFonts w:cstheme="minorHAnsi"/>
        </w:rPr>
        <w:t xml:space="preserve">also </w:t>
      </w:r>
      <w:r w:rsidR="00E104CF" w:rsidRPr="00631676">
        <w:rPr>
          <w:rFonts w:cstheme="minorHAnsi"/>
        </w:rPr>
        <w:t xml:space="preserve">contends he did not act knowingly, intelligently, and voluntarily when he waived his </w:t>
      </w:r>
      <w:r w:rsidR="00E104CF" w:rsidRPr="00631676">
        <w:rPr>
          <w:rFonts w:cstheme="minorHAnsi"/>
          <w:i/>
        </w:rPr>
        <w:t>Miranda</w:t>
      </w:r>
      <w:r w:rsidR="00E104CF" w:rsidRPr="00631676">
        <w:rPr>
          <w:rFonts w:cstheme="minorHAnsi"/>
        </w:rPr>
        <w:t xml:space="preserve"> and </w:t>
      </w:r>
      <w:r w:rsidR="00E104CF" w:rsidRPr="00631676">
        <w:rPr>
          <w:rFonts w:cstheme="minorHAnsi"/>
          <w:i/>
        </w:rPr>
        <w:t>Edwards</w:t>
      </w:r>
      <w:r w:rsidR="00E104CF" w:rsidRPr="00631676">
        <w:rPr>
          <w:rFonts w:cstheme="minorHAnsi"/>
        </w:rPr>
        <w:t xml:space="preserve"> rights, due to </w:t>
      </w:r>
      <w:r w:rsidR="00BF4EDA" w:rsidRPr="00631676">
        <w:rPr>
          <w:rFonts w:cstheme="minorHAnsi"/>
        </w:rPr>
        <w:t>substantial memory deficits</w:t>
      </w:r>
      <w:r w:rsidR="00E104CF" w:rsidRPr="00631676">
        <w:rPr>
          <w:rFonts w:cstheme="minorHAnsi"/>
        </w:rPr>
        <w:t xml:space="preserve"> </w:t>
      </w:r>
      <w:r w:rsidR="00F2196B" w:rsidRPr="00631676">
        <w:rPr>
          <w:rFonts w:cstheme="minorHAnsi"/>
        </w:rPr>
        <w:t xml:space="preserve">as well as his </w:t>
      </w:r>
      <w:r w:rsidR="00E104CF" w:rsidRPr="00631676">
        <w:rPr>
          <w:rFonts w:cstheme="minorHAnsi"/>
        </w:rPr>
        <w:t xml:space="preserve">limited </w:t>
      </w:r>
      <w:r w:rsidR="000E183D" w:rsidRPr="00631676">
        <w:rPr>
          <w:rFonts w:cstheme="minorHAnsi"/>
        </w:rPr>
        <w:t xml:space="preserve">experience, education, </w:t>
      </w:r>
      <w:r w:rsidR="00E104CF" w:rsidRPr="00631676">
        <w:rPr>
          <w:rFonts w:cstheme="minorHAnsi"/>
        </w:rPr>
        <w:t xml:space="preserve">young </w:t>
      </w:r>
      <w:r w:rsidR="000E183D" w:rsidRPr="00631676">
        <w:rPr>
          <w:rFonts w:cstheme="minorHAnsi"/>
        </w:rPr>
        <w:t xml:space="preserve">age, and </w:t>
      </w:r>
      <w:r w:rsidR="000F3C80" w:rsidRPr="00631676">
        <w:rPr>
          <w:rFonts w:cstheme="minorHAnsi"/>
        </w:rPr>
        <w:t>below</w:t>
      </w:r>
      <w:r w:rsidR="0053119E">
        <w:rPr>
          <w:rFonts w:cstheme="minorHAnsi"/>
        </w:rPr>
        <w:t xml:space="preserve"> </w:t>
      </w:r>
      <w:r w:rsidR="000F3C80" w:rsidRPr="00631676">
        <w:rPr>
          <w:rFonts w:cstheme="minorHAnsi"/>
        </w:rPr>
        <w:t xml:space="preserve">average intelligence. </w:t>
      </w:r>
      <w:r w:rsidR="007321D4" w:rsidRPr="00631676">
        <w:rPr>
          <w:rFonts w:cstheme="minorHAnsi"/>
        </w:rPr>
        <w:t xml:space="preserve"> </w:t>
      </w:r>
      <w:r w:rsidR="00F2196B" w:rsidRPr="00631676">
        <w:rPr>
          <w:rFonts w:cstheme="minorHAnsi"/>
        </w:rPr>
        <w:t xml:space="preserve">Defendant did not present any evidence of mental or other impairments at the suppression hearing, so he cannot now claim the trial court erred in failing to consider them. </w:t>
      </w:r>
      <w:r w:rsidR="000D6181" w:rsidRPr="00631676">
        <w:rPr>
          <w:rFonts w:cstheme="minorHAnsi"/>
        </w:rPr>
        <w:t xml:space="preserve"> </w:t>
      </w:r>
      <w:r w:rsidR="003F1A58" w:rsidRPr="00631676">
        <w:rPr>
          <w:rFonts w:cstheme="minorHAnsi"/>
        </w:rPr>
        <w:t>And d</w:t>
      </w:r>
      <w:r w:rsidR="0064351A" w:rsidRPr="00631676">
        <w:rPr>
          <w:rFonts w:cstheme="minorHAnsi"/>
        </w:rPr>
        <w:t xml:space="preserve">efendant points to nothing </w:t>
      </w:r>
      <w:r w:rsidR="003F1A58" w:rsidRPr="00631676">
        <w:rPr>
          <w:rFonts w:cstheme="minorHAnsi"/>
        </w:rPr>
        <w:t xml:space="preserve">else </w:t>
      </w:r>
      <w:r w:rsidR="0064351A" w:rsidRPr="00631676">
        <w:rPr>
          <w:rFonts w:cstheme="minorHAnsi"/>
        </w:rPr>
        <w:t>in the record</w:t>
      </w:r>
      <w:r w:rsidR="00BC2F8D" w:rsidRPr="00631676">
        <w:rPr>
          <w:rFonts w:cstheme="minorHAnsi"/>
        </w:rPr>
        <w:t xml:space="preserve">, including his age (21 at the time of the interview), </w:t>
      </w:r>
      <w:r w:rsidR="0064351A" w:rsidRPr="00631676">
        <w:rPr>
          <w:rFonts w:cstheme="minorHAnsi"/>
        </w:rPr>
        <w:t xml:space="preserve">that </w:t>
      </w:r>
      <w:r w:rsidR="00D65B0B" w:rsidRPr="00631676">
        <w:rPr>
          <w:rFonts w:cstheme="minorHAnsi"/>
        </w:rPr>
        <w:t>w</w:t>
      </w:r>
      <w:r w:rsidR="0064351A" w:rsidRPr="00631676">
        <w:rPr>
          <w:rFonts w:cstheme="minorHAnsi"/>
        </w:rPr>
        <w:t xml:space="preserve">ould have raised questions about his ability to understand his rights as they had been explained to him. </w:t>
      </w:r>
      <w:r w:rsidR="000D6181" w:rsidRPr="00631676">
        <w:rPr>
          <w:rFonts w:cstheme="minorHAnsi"/>
        </w:rPr>
        <w:t xml:space="preserve"> </w:t>
      </w:r>
      <w:r w:rsidR="0064351A" w:rsidRPr="00631676">
        <w:rPr>
          <w:rFonts w:cstheme="minorHAnsi"/>
        </w:rPr>
        <w:t>T</w:t>
      </w:r>
      <w:r w:rsidR="00FF40E8" w:rsidRPr="00631676">
        <w:rPr>
          <w:rFonts w:cstheme="minorHAnsi"/>
        </w:rPr>
        <w:t>he state satisfied its burden of demonstrating by a preponderance of the evidence that defendant’s waiver was knowing, intelligent, and voluntary.  (</w:t>
      </w:r>
      <w:r w:rsidR="000D6181" w:rsidRPr="00631676">
        <w:rPr>
          <w:rFonts w:cstheme="minorHAnsi"/>
        </w:rPr>
        <w:t xml:space="preserve">See </w:t>
      </w:r>
      <w:r w:rsidR="00D3583C" w:rsidRPr="00631676">
        <w:rPr>
          <w:rFonts w:cstheme="minorHAnsi"/>
          <w:i/>
        </w:rPr>
        <w:t>People v. </w:t>
      </w:r>
      <w:r w:rsidR="00FF40E8" w:rsidRPr="00631676">
        <w:rPr>
          <w:rFonts w:cstheme="minorHAnsi"/>
          <w:i/>
        </w:rPr>
        <w:t>Nelson</w:t>
      </w:r>
      <w:r w:rsidR="00FF40E8" w:rsidRPr="00631676">
        <w:rPr>
          <w:rFonts w:cstheme="minorHAnsi"/>
        </w:rPr>
        <w:t xml:space="preserve"> (2012) 53 Cal.4th 367, 375; </w:t>
      </w:r>
      <w:r w:rsidR="00FF40E8" w:rsidRPr="00631676">
        <w:rPr>
          <w:rFonts w:cstheme="minorHAnsi"/>
          <w:i/>
        </w:rPr>
        <w:t>People v. Williams</w:t>
      </w:r>
      <w:r w:rsidR="00D82228" w:rsidRPr="00631676">
        <w:rPr>
          <w:rFonts w:cstheme="minorHAnsi"/>
        </w:rPr>
        <w:t xml:space="preserve"> (2010) 49 </w:t>
      </w:r>
      <w:r w:rsidR="00FF40E8" w:rsidRPr="00631676">
        <w:rPr>
          <w:rFonts w:cstheme="minorHAnsi"/>
        </w:rPr>
        <w:t>Cal.</w:t>
      </w:r>
      <w:r w:rsidR="00C6581B" w:rsidRPr="00631676">
        <w:rPr>
          <w:rFonts w:cstheme="minorHAnsi"/>
        </w:rPr>
        <w:t>4th 405, 425, 428.)</w:t>
      </w:r>
    </w:p>
    <w:p w14:paraId="2EC7E976" w14:textId="0B6D1CC1" w:rsidR="00F0144B" w:rsidRDefault="00BF4EDA" w:rsidP="00FD3BA8">
      <w:pPr>
        <w:rPr>
          <w:rFonts w:cstheme="minorHAnsi"/>
        </w:rPr>
      </w:pPr>
      <w:r w:rsidRPr="00631676">
        <w:rPr>
          <w:rFonts w:cstheme="minorHAnsi"/>
        </w:rPr>
        <w:tab/>
      </w:r>
      <w:r w:rsidR="00F017A5">
        <w:rPr>
          <w:rFonts w:cstheme="minorHAnsi"/>
        </w:rPr>
        <w:t>Defendant</w:t>
      </w:r>
      <w:r w:rsidR="00774505">
        <w:rPr>
          <w:rFonts w:cstheme="minorHAnsi"/>
        </w:rPr>
        <w:t xml:space="preserve"> contends </w:t>
      </w:r>
      <w:r w:rsidR="00F017A5">
        <w:rPr>
          <w:rFonts w:cstheme="minorHAnsi"/>
        </w:rPr>
        <w:t xml:space="preserve">that </w:t>
      </w:r>
      <w:r w:rsidR="00345EC1" w:rsidRPr="00631676">
        <w:rPr>
          <w:rFonts w:cstheme="minorHAnsi"/>
        </w:rPr>
        <w:t>even if he voluntarily reinitiated contact with the detectives</w:t>
      </w:r>
      <w:r w:rsidR="00B476AE" w:rsidRPr="00631676">
        <w:rPr>
          <w:rFonts w:cstheme="minorHAnsi"/>
        </w:rPr>
        <w:t xml:space="preserve"> and waived his </w:t>
      </w:r>
      <w:r w:rsidR="00B476AE" w:rsidRPr="00631676">
        <w:rPr>
          <w:rFonts w:cstheme="minorHAnsi"/>
          <w:i/>
        </w:rPr>
        <w:t xml:space="preserve">Miranda </w:t>
      </w:r>
      <w:r w:rsidR="00B476AE" w:rsidRPr="00631676">
        <w:rPr>
          <w:rFonts w:cstheme="minorHAnsi"/>
        </w:rPr>
        <w:t>rights</w:t>
      </w:r>
      <w:r w:rsidR="00345EC1" w:rsidRPr="00631676">
        <w:rPr>
          <w:rFonts w:cstheme="minorHAnsi"/>
        </w:rPr>
        <w:t xml:space="preserve">, </w:t>
      </w:r>
      <w:r w:rsidR="003D2401" w:rsidRPr="00631676">
        <w:rPr>
          <w:rFonts w:cstheme="minorHAnsi"/>
        </w:rPr>
        <w:t xml:space="preserve">the detectives </w:t>
      </w:r>
      <w:r w:rsidR="00774505">
        <w:rPr>
          <w:rFonts w:cstheme="minorHAnsi"/>
        </w:rPr>
        <w:t xml:space="preserve">later </w:t>
      </w:r>
      <w:r w:rsidR="003D2401" w:rsidRPr="00631676">
        <w:rPr>
          <w:rFonts w:cstheme="minorHAnsi"/>
        </w:rPr>
        <w:t xml:space="preserve">improperly failed to honor </w:t>
      </w:r>
      <w:r w:rsidR="00F017A5">
        <w:rPr>
          <w:rFonts w:cstheme="minorHAnsi"/>
        </w:rPr>
        <w:t xml:space="preserve">his </w:t>
      </w:r>
      <w:r w:rsidR="003D2401" w:rsidRPr="00631676">
        <w:rPr>
          <w:rFonts w:cstheme="minorHAnsi"/>
        </w:rPr>
        <w:t>requests to cut off questioning</w:t>
      </w:r>
      <w:r w:rsidR="00377C3E" w:rsidRPr="00631676">
        <w:rPr>
          <w:rFonts w:cstheme="minorHAnsi"/>
        </w:rPr>
        <w:t xml:space="preserve">.  </w:t>
      </w:r>
      <w:r w:rsidR="00F017A5">
        <w:rPr>
          <w:rFonts w:cstheme="minorHAnsi"/>
        </w:rPr>
        <w:t xml:space="preserve">Defendant points to two episodes in particular.  </w:t>
      </w:r>
      <w:r w:rsidR="00F017A5">
        <w:rPr>
          <w:rFonts w:cstheme="minorHAnsi"/>
        </w:rPr>
        <w:lastRenderedPageBreak/>
        <w:t xml:space="preserve">The first episode occurred </w:t>
      </w:r>
      <w:r w:rsidR="00FD3BA8">
        <w:rPr>
          <w:rFonts w:cstheme="minorHAnsi"/>
        </w:rPr>
        <w:t xml:space="preserve">when </w:t>
      </w:r>
      <w:r w:rsidR="00BA0957">
        <w:rPr>
          <w:rFonts w:cstheme="minorHAnsi"/>
        </w:rPr>
        <w:t xml:space="preserve">defendant </w:t>
      </w:r>
      <w:r w:rsidR="00FD3BA8">
        <w:rPr>
          <w:rFonts w:cstheme="minorHAnsi"/>
        </w:rPr>
        <w:t xml:space="preserve">asked </w:t>
      </w:r>
      <w:r w:rsidR="00BA0957">
        <w:rPr>
          <w:rFonts w:cstheme="minorHAnsi"/>
        </w:rPr>
        <w:t>detectives</w:t>
      </w:r>
      <w:r w:rsidR="00FD3BA8">
        <w:rPr>
          <w:rFonts w:cstheme="minorHAnsi"/>
        </w:rPr>
        <w:t xml:space="preserve">:  </w:t>
      </w:r>
      <w:r w:rsidR="0088336A" w:rsidRPr="00631676">
        <w:rPr>
          <w:rFonts w:cstheme="minorHAnsi"/>
        </w:rPr>
        <w:t>“Do you mind if I go back to my cell and think about tonight and talk to you guys tomorrow .</w:t>
      </w:r>
      <w:r w:rsidR="007E1371">
        <w:rPr>
          <w:rFonts w:cstheme="minorHAnsi"/>
        </w:rPr>
        <w:t> </w:t>
      </w:r>
      <w:r w:rsidR="0088336A" w:rsidRPr="00631676">
        <w:rPr>
          <w:rFonts w:cstheme="minorHAnsi"/>
        </w:rPr>
        <w:t>.</w:t>
      </w:r>
      <w:r w:rsidR="007E1371">
        <w:rPr>
          <w:rFonts w:cstheme="minorHAnsi"/>
        </w:rPr>
        <w:t> </w:t>
      </w:r>
      <w:r w:rsidR="0088336A" w:rsidRPr="00631676">
        <w:rPr>
          <w:rFonts w:cstheme="minorHAnsi"/>
        </w:rPr>
        <w:t>.</w:t>
      </w:r>
      <w:r w:rsidR="007E1371">
        <w:rPr>
          <w:rFonts w:cstheme="minorHAnsi"/>
        </w:rPr>
        <w:t> </w:t>
      </w:r>
      <w:r w:rsidR="0088336A" w:rsidRPr="00631676">
        <w:rPr>
          <w:rFonts w:cstheme="minorHAnsi"/>
        </w:rPr>
        <w:t xml:space="preserve">.”  </w:t>
      </w:r>
      <w:r w:rsidR="00CA3953">
        <w:rPr>
          <w:rFonts w:cstheme="minorHAnsi"/>
        </w:rPr>
        <w:t xml:space="preserve">Defendant contends that at this point, detectives should have stopped questioning him.  </w:t>
      </w:r>
      <w:r w:rsidR="00FD3BA8">
        <w:rPr>
          <w:rFonts w:cstheme="minorHAnsi"/>
        </w:rPr>
        <w:t xml:space="preserve">But </w:t>
      </w:r>
      <w:r w:rsidR="008E3372">
        <w:rPr>
          <w:rFonts w:cstheme="minorHAnsi"/>
        </w:rPr>
        <w:t xml:space="preserve">after </w:t>
      </w:r>
      <w:r w:rsidR="00F0144B">
        <w:rPr>
          <w:rFonts w:cstheme="minorHAnsi"/>
        </w:rPr>
        <w:t xml:space="preserve">a suspect has waived his </w:t>
      </w:r>
      <w:r w:rsidR="00F0144B">
        <w:rPr>
          <w:rFonts w:cstheme="minorHAnsi"/>
          <w:i/>
        </w:rPr>
        <w:t>Miranda</w:t>
      </w:r>
      <w:r w:rsidR="00F0144B">
        <w:t xml:space="preserve"> rights, officers are not required to cease questioning unless the suspect invokes his rights unambiguously and unequivocally.  </w:t>
      </w:r>
      <w:r w:rsidR="00F0144B" w:rsidRPr="00631676">
        <w:rPr>
          <w:rFonts w:cstheme="minorHAnsi"/>
        </w:rPr>
        <w:t>(</w:t>
      </w:r>
      <w:r w:rsidR="00F0144B" w:rsidRPr="00631676">
        <w:rPr>
          <w:rFonts w:cstheme="minorHAnsi"/>
          <w:i/>
        </w:rPr>
        <w:t>Sanchez</w:t>
      </w:r>
      <w:r w:rsidR="00F0144B" w:rsidRPr="00631676">
        <w:rPr>
          <w:rFonts w:cstheme="minorHAnsi"/>
        </w:rPr>
        <w:t xml:space="preserve">, </w:t>
      </w:r>
      <w:r w:rsidR="00564865">
        <w:rPr>
          <w:rFonts w:cstheme="minorHAnsi"/>
          <w:i/>
        </w:rPr>
        <w:t>supra</w:t>
      </w:r>
      <w:r w:rsidR="00564865">
        <w:rPr>
          <w:rFonts w:cstheme="minorHAnsi"/>
        </w:rPr>
        <w:t xml:space="preserve">, </w:t>
      </w:r>
      <w:r w:rsidR="00F0144B" w:rsidRPr="00631676">
        <w:rPr>
          <w:rFonts w:cstheme="minorHAnsi"/>
        </w:rPr>
        <w:t>7 Cal.5th at p.</w:t>
      </w:r>
      <w:r w:rsidR="007E1371">
        <w:rPr>
          <w:rFonts w:cstheme="minorHAnsi"/>
        </w:rPr>
        <w:t> </w:t>
      </w:r>
      <w:r w:rsidR="00F0144B" w:rsidRPr="00631676">
        <w:rPr>
          <w:rFonts w:cstheme="minorHAnsi"/>
        </w:rPr>
        <w:t xml:space="preserve">49.)  </w:t>
      </w:r>
      <w:r w:rsidR="00564865">
        <w:rPr>
          <w:rFonts w:cstheme="minorHAnsi"/>
        </w:rPr>
        <w:t xml:space="preserve">Defendant’s question did not </w:t>
      </w:r>
      <w:r w:rsidR="00FD3BA8">
        <w:rPr>
          <w:rFonts w:cstheme="minorHAnsi"/>
        </w:rPr>
        <w:t xml:space="preserve">amount to an unambiguous and unequivocal invocation of the right to cut off questioning.  </w:t>
      </w:r>
      <w:r w:rsidR="00564865">
        <w:rPr>
          <w:rFonts w:cstheme="minorHAnsi"/>
        </w:rPr>
        <w:t>Nor did the colloquy that followed.</w:t>
      </w:r>
      <w:r w:rsidR="00556FE4">
        <w:rPr>
          <w:rFonts w:cstheme="minorHAnsi"/>
        </w:rPr>
        <w:t xml:space="preserve">  </w:t>
      </w:r>
      <w:r w:rsidR="00164CC7">
        <w:rPr>
          <w:rFonts w:cstheme="minorHAnsi"/>
        </w:rPr>
        <w:t>Sergeant</w:t>
      </w:r>
      <w:r w:rsidR="00164CC7" w:rsidRPr="00631676">
        <w:rPr>
          <w:rFonts w:cstheme="minorHAnsi"/>
        </w:rPr>
        <w:t xml:space="preserve"> </w:t>
      </w:r>
      <w:r w:rsidR="0088336A" w:rsidRPr="00631676">
        <w:rPr>
          <w:rFonts w:cstheme="minorHAnsi"/>
        </w:rPr>
        <w:t xml:space="preserve">Reinstadler told </w:t>
      </w:r>
      <w:r w:rsidR="00FD3BA8">
        <w:rPr>
          <w:rFonts w:cstheme="minorHAnsi"/>
        </w:rPr>
        <w:t xml:space="preserve">defendant </w:t>
      </w:r>
      <w:r w:rsidR="0088336A" w:rsidRPr="00631676">
        <w:rPr>
          <w:rFonts w:cstheme="minorHAnsi"/>
        </w:rPr>
        <w:t xml:space="preserve">that once he was “arraigned, we can’t talk to you.  </w:t>
      </w:r>
      <w:proofErr w:type="gramStart"/>
      <w:r w:rsidR="0088336A" w:rsidRPr="00631676">
        <w:rPr>
          <w:rFonts w:cstheme="minorHAnsi"/>
        </w:rPr>
        <w:t>That’s</w:t>
      </w:r>
      <w:proofErr w:type="gramEnd"/>
      <w:r w:rsidR="0088336A" w:rsidRPr="00631676">
        <w:rPr>
          <w:rFonts w:cstheme="minorHAnsi"/>
        </w:rPr>
        <w:t xml:space="preserve"> the bottom line.  I mean, if you want to tell us something, </w:t>
      </w:r>
      <w:proofErr w:type="gramStart"/>
      <w:r w:rsidR="0088336A" w:rsidRPr="00631676">
        <w:rPr>
          <w:rFonts w:cstheme="minorHAnsi"/>
        </w:rPr>
        <w:t>I’m</w:t>
      </w:r>
      <w:proofErr w:type="gramEnd"/>
      <w:r w:rsidR="0088336A" w:rsidRPr="00631676">
        <w:rPr>
          <w:rFonts w:cstheme="minorHAnsi"/>
        </w:rPr>
        <w:t xml:space="preserve"> being honest with you, this is your opportunity to do it.  This is it.”  Defendant reiterated his request to speak with the detectives the next day</w:t>
      </w:r>
      <w:r w:rsidR="00EF3752" w:rsidRPr="00631676">
        <w:rPr>
          <w:rFonts w:cstheme="minorHAnsi"/>
        </w:rPr>
        <w:t xml:space="preserve"> and was told “No.  I know why.  [¶]  [Y]ou </w:t>
      </w:r>
      <w:proofErr w:type="gramStart"/>
      <w:r w:rsidR="00EF3752" w:rsidRPr="00631676">
        <w:rPr>
          <w:rFonts w:cstheme="minorHAnsi"/>
        </w:rPr>
        <w:t>won’t</w:t>
      </w:r>
      <w:proofErr w:type="gramEnd"/>
      <w:r w:rsidR="00EF3752" w:rsidRPr="00631676">
        <w:rPr>
          <w:rFonts w:cstheme="minorHAnsi"/>
        </w:rPr>
        <w:t xml:space="preserve"> want to talk to us tomorrow because somebody’s going to get to you, telling you not to talk to us.  Play the games that we know people play.  And then, the next thing you know, you’re looking at you </w:t>
      </w:r>
      <w:proofErr w:type="gramStart"/>
      <w:r w:rsidR="00EF3752" w:rsidRPr="00631676">
        <w:rPr>
          <w:rFonts w:cstheme="minorHAnsi"/>
        </w:rPr>
        <w:t>being</w:t>
      </w:r>
      <w:proofErr w:type="gramEnd"/>
      <w:r w:rsidR="00EF3752" w:rsidRPr="00631676">
        <w:rPr>
          <w:rFonts w:cstheme="minorHAnsi"/>
        </w:rPr>
        <w:t xml:space="preserve"> triggerman.”  Defendant asked clarifying questions of the detectives </w:t>
      </w:r>
      <w:r w:rsidR="00E62757">
        <w:rPr>
          <w:rFonts w:cstheme="minorHAnsi"/>
        </w:rPr>
        <w:t xml:space="preserve">about </w:t>
      </w:r>
      <w:r w:rsidR="00EF3752" w:rsidRPr="00631676">
        <w:rPr>
          <w:rFonts w:cstheme="minorHAnsi"/>
        </w:rPr>
        <w:t>whether he could speak to them with anonymity, and they answered his questions.  The conversation continued from there.</w:t>
      </w:r>
      <w:r w:rsidR="00680549" w:rsidRPr="00631676">
        <w:rPr>
          <w:rFonts w:cstheme="minorHAnsi"/>
        </w:rPr>
        <w:t xml:space="preserve">  </w:t>
      </w:r>
      <w:r w:rsidR="000D40B9">
        <w:rPr>
          <w:rFonts w:cstheme="minorHAnsi"/>
        </w:rPr>
        <w:t xml:space="preserve">Because defendant </w:t>
      </w:r>
      <w:proofErr w:type="gramStart"/>
      <w:r w:rsidR="000D40B9">
        <w:rPr>
          <w:rFonts w:cstheme="minorHAnsi"/>
        </w:rPr>
        <w:t>never unambiguously</w:t>
      </w:r>
      <w:proofErr w:type="gramEnd"/>
      <w:r w:rsidR="000D40B9">
        <w:rPr>
          <w:rFonts w:cstheme="minorHAnsi"/>
        </w:rPr>
        <w:t xml:space="preserve"> invoked his right to stop the interview, the detectives were under no obligation to do so.</w:t>
      </w:r>
    </w:p>
    <w:p w14:paraId="31FE1B14" w14:textId="1216C03A" w:rsidR="00C64523" w:rsidRPr="00631676" w:rsidRDefault="00C64523">
      <w:pPr>
        <w:ind w:firstLine="720"/>
        <w:rPr>
          <w:rFonts w:cstheme="minorHAnsi"/>
        </w:rPr>
      </w:pPr>
      <w:r>
        <w:rPr>
          <w:rFonts w:cstheme="minorHAnsi"/>
        </w:rPr>
        <w:t xml:space="preserve">Defendant invokes </w:t>
      </w:r>
      <w:r w:rsidRPr="00631676">
        <w:rPr>
          <w:rFonts w:cstheme="minorHAnsi"/>
          <w:i/>
        </w:rPr>
        <w:t>People v. Neal</w:t>
      </w:r>
      <w:r w:rsidRPr="00631676">
        <w:rPr>
          <w:rFonts w:cstheme="minorHAnsi"/>
        </w:rPr>
        <w:t xml:space="preserve"> (2003) 31 Cal.4th 63</w:t>
      </w:r>
      <w:r w:rsidR="00FF58D3">
        <w:rPr>
          <w:rFonts w:cstheme="minorHAnsi"/>
        </w:rPr>
        <w:t xml:space="preserve"> in support of his argument</w:t>
      </w:r>
      <w:r w:rsidRPr="00631676">
        <w:rPr>
          <w:rFonts w:cstheme="minorHAnsi"/>
        </w:rPr>
        <w:t>,</w:t>
      </w:r>
      <w:r>
        <w:rPr>
          <w:rFonts w:cstheme="minorHAnsi"/>
        </w:rPr>
        <w:t xml:space="preserve"> but that case is easily distinguished</w:t>
      </w:r>
      <w:r w:rsidRPr="00631676">
        <w:rPr>
          <w:rFonts w:cstheme="minorHAnsi"/>
        </w:rPr>
        <w:t xml:space="preserve">.  There, the defendant repeatedly and clearly invoked his rights to silence and counsel without waiving his rights under </w:t>
      </w:r>
      <w:r w:rsidRPr="00631676">
        <w:rPr>
          <w:rFonts w:cstheme="minorHAnsi"/>
          <w:i/>
        </w:rPr>
        <w:t>Miranda</w:t>
      </w:r>
      <w:r w:rsidRPr="00631676">
        <w:rPr>
          <w:rFonts w:cstheme="minorHAnsi"/>
        </w:rPr>
        <w:t>, only to be ignored by the questioning officer, who hoped to obtain evidence for impeachment purposes.  (</w:t>
      </w:r>
      <w:r w:rsidRPr="00631676">
        <w:rPr>
          <w:rFonts w:cstheme="minorHAnsi"/>
          <w:i/>
        </w:rPr>
        <w:t>Id</w:t>
      </w:r>
      <w:r w:rsidRPr="00631676">
        <w:rPr>
          <w:rFonts w:cstheme="minorHAnsi"/>
        </w:rPr>
        <w:t>.</w:t>
      </w:r>
      <w:r w:rsidR="00FF58D3">
        <w:rPr>
          <w:rFonts w:cstheme="minorHAnsi"/>
        </w:rPr>
        <w:t xml:space="preserve"> at </w:t>
      </w:r>
      <w:r w:rsidR="00FF58D3">
        <w:rPr>
          <w:rFonts w:cstheme="minorHAnsi"/>
        </w:rPr>
        <w:lastRenderedPageBreak/>
        <w:t>p.</w:t>
      </w:r>
      <w:r w:rsidR="007E1371">
        <w:rPr>
          <w:rFonts w:cstheme="minorHAnsi"/>
        </w:rPr>
        <w:t> </w:t>
      </w:r>
      <w:r w:rsidR="00FF58D3">
        <w:rPr>
          <w:rFonts w:cstheme="minorHAnsi"/>
        </w:rPr>
        <w:t>74.</w:t>
      </w:r>
      <w:r w:rsidRPr="00631676">
        <w:rPr>
          <w:rFonts w:cstheme="minorHAnsi"/>
        </w:rPr>
        <w:t xml:space="preserve">)  </w:t>
      </w:r>
      <w:r w:rsidR="0048170D">
        <w:rPr>
          <w:rFonts w:cstheme="minorHAnsi"/>
        </w:rPr>
        <w:t xml:space="preserve">Here, by contrast, defendant voluntarily waived his </w:t>
      </w:r>
      <w:r w:rsidR="0048170D">
        <w:rPr>
          <w:rFonts w:cstheme="minorHAnsi"/>
          <w:i/>
        </w:rPr>
        <w:t>Miranda</w:t>
      </w:r>
      <w:r w:rsidR="0048170D">
        <w:rPr>
          <w:rFonts w:cstheme="minorHAnsi"/>
        </w:rPr>
        <w:t xml:space="preserve"> rights at the outset of the conversation and did not unambiguously invoke his right to stop the interview.</w:t>
      </w:r>
    </w:p>
    <w:p w14:paraId="15268431" w14:textId="73F4D973" w:rsidR="000E7275" w:rsidRDefault="00EF3752" w:rsidP="00301381">
      <w:pPr>
        <w:rPr>
          <w:rFonts w:cstheme="minorHAnsi"/>
        </w:rPr>
      </w:pPr>
      <w:r w:rsidRPr="00631676">
        <w:rPr>
          <w:rFonts w:cstheme="minorHAnsi"/>
        </w:rPr>
        <w:tab/>
      </w:r>
      <w:r w:rsidR="00BA0957">
        <w:rPr>
          <w:rFonts w:cstheme="minorHAnsi"/>
        </w:rPr>
        <w:t xml:space="preserve">The second episode </w:t>
      </w:r>
      <w:r w:rsidR="00774505">
        <w:rPr>
          <w:rFonts w:cstheme="minorHAnsi"/>
        </w:rPr>
        <w:t xml:space="preserve">occurred after defendant had spoken </w:t>
      </w:r>
      <w:r w:rsidR="00273F7E">
        <w:rPr>
          <w:rFonts w:cstheme="minorHAnsi"/>
        </w:rPr>
        <w:t xml:space="preserve">to the detectives for some </w:t>
      </w:r>
      <w:r w:rsidR="00FF3EA6" w:rsidRPr="00631676">
        <w:rPr>
          <w:rFonts w:cstheme="minorHAnsi"/>
        </w:rPr>
        <w:t xml:space="preserve">time </w:t>
      </w:r>
      <w:r w:rsidR="00301381">
        <w:rPr>
          <w:rFonts w:cstheme="minorHAnsi"/>
        </w:rPr>
        <w:t xml:space="preserve">about </w:t>
      </w:r>
      <w:r w:rsidR="004F746F" w:rsidRPr="00631676">
        <w:rPr>
          <w:rFonts w:cstheme="minorHAnsi"/>
        </w:rPr>
        <w:t xml:space="preserve">how </w:t>
      </w:r>
      <w:r w:rsidR="00186502" w:rsidRPr="00631676">
        <w:rPr>
          <w:rFonts w:cstheme="minorHAnsi"/>
        </w:rPr>
        <w:t xml:space="preserve">he </w:t>
      </w:r>
      <w:r w:rsidR="000E7275" w:rsidRPr="00631676">
        <w:rPr>
          <w:rFonts w:cstheme="minorHAnsi"/>
        </w:rPr>
        <w:t>had</w:t>
      </w:r>
      <w:r w:rsidR="00821AD0" w:rsidRPr="00631676">
        <w:rPr>
          <w:rFonts w:cstheme="minorHAnsi"/>
        </w:rPr>
        <w:t xml:space="preserve"> learn</w:t>
      </w:r>
      <w:r w:rsidR="004F746F" w:rsidRPr="00631676">
        <w:rPr>
          <w:rFonts w:cstheme="minorHAnsi"/>
        </w:rPr>
        <w:t>ed</w:t>
      </w:r>
      <w:r w:rsidR="00821AD0" w:rsidRPr="00631676">
        <w:rPr>
          <w:rFonts w:cstheme="minorHAnsi"/>
        </w:rPr>
        <w:t xml:space="preserve"> he could erase </w:t>
      </w:r>
      <w:r w:rsidR="000D6181" w:rsidRPr="00631676">
        <w:rPr>
          <w:rFonts w:cstheme="minorHAnsi"/>
        </w:rPr>
        <w:t xml:space="preserve">his </w:t>
      </w:r>
      <w:r w:rsidR="00821AD0" w:rsidRPr="00631676">
        <w:rPr>
          <w:rFonts w:cstheme="minorHAnsi"/>
        </w:rPr>
        <w:t xml:space="preserve">debt </w:t>
      </w:r>
      <w:r w:rsidR="000D6181" w:rsidRPr="00631676">
        <w:rPr>
          <w:rFonts w:cstheme="minorHAnsi"/>
        </w:rPr>
        <w:t xml:space="preserve">to Hollywood </w:t>
      </w:r>
      <w:r w:rsidR="00821AD0" w:rsidRPr="00631676">
        <w:rPr>
          <w:rFonts w:cstheme="minorHAnsi"/>
        </w:rPr>
        <w:t>in exchange for traveling to Santa Barbara to kill a person unknown to him.</w:t>
      </w:r>
      <w:r w:rsidR="00273F7E">
        <w:rPr>
          <w:rFonts w:cstheme="minorHAnsi"/>
        </w:rPr>
        <w:t xml:space="preserve">  W</w:t>
      </w:r>
      <w:r w:rsidR="00821AD0" w:rsidRPr="00631676">
        <w:rPr>
          <w:rFonts w:cstheme="minorHAnsi"/>
        </w:rPr>
        <w:t xml:space="preserve">hen </w:t>
      </w:r>
      <w:r w:rsidR="000E7275" w:rsidRPr="00631676">
        <w:rPr>
          <w:rFonts w:cstheme="minorHAnsi"/>
        </w:rPr>
        <w:t xml:space="preserve">the detectives </w:t>
      </w:r>
      <w:r w:rsidR="00821AD0" w:rsidRPr="00631676">
        <w:rPr>
          <w:rFonts w:cstheme="minorHAnsi"/>
        </w:rPr>
        <w:t xml:space="preserve">asked </w:t>
      </w:r>
      <w:r w:rsidR="000E7275" w:rsidRPr="00631676">
        <w:rPr>
          <w:rFonts w:cstheme="minorHAnsi"/>
        </w:rPr>
        <w:t xml:space="preserve">defendant </w:t>
      </w:r>
      <w:r w:rsidR="00821AD0" w:rsidRPr="00631676">
        <w:rPr>
          <w:rFonts w:cstheme="minorHAnsi"/>
        </w:rPr>
        <w:t>what happened next, defendant</w:t>
      </w:r>
      <w:r w:rsidR="00CB763A" w:rsidRPr="00631676">
        <w:rPr>
          <w:rFonts w:cstheme="minorHAnsi"/>
        </w:rPr>
        <w:t xml:space="preserve"> </w:t>
      </w:r>
      <w:r w:rsidR="00453738" w:rsidRPr="00631676">
        <w:rPr>
          <w:rFonts w:cstheme="minorHAnsi"/>
        </w:rPr>
        <w:t>said, “</w:t>
      </w:r>
      <w:r w:rsidR="00AA11A1">
        <w:rPr>
          <w:rFonts w:cstheme="minorHAnsi"/>
        </w:rPr>
        <w:t>Y</w:t>
      </w:r>
      <w:r w:rsidR="00453738" w:rsidRPr="00631676">
        <w:rPr>
          <w:rFonts w:cstheme="minorHAnsi"/>
        </w:rPr>
        <w:t>ou guys know what happened</w:t>
      </w:r>
      <w:r w:rsidR="00273F7E">
        <w:rPr>
          <w:rFonts w:cstheme="minorHAnsi"/>
        </w:rPr>
        <w:t xml:space="preserve">.  </w:t>
      </w:r>
      <w:r w:rsidR="000E7275" w:rsidRPr="00631676">
        <w:rPr>
          <w:rFonts w:cstheme="minorHAnsi"/>
        </w:rPr>
        <w:t xml:space="preserve">I think </w:t>
      </w:r>
      <w:proofErr w:type="gramStart"/>
      <w:r w:rsidR="000E7275" w:rsidRPr="00631676">
        <w:rPr>
          <w:rFonts w:cstheme="minorHAnsi"/>
        </w:rPr>
        <w:t>I’m</w:t>
      </w:r>
      <w:proofErr w:type="gramEnd"/>
      <w:r w:rsidR="000E7275" w:rsidRPr="00631676">
        <w:rPr>
          <w:rFonts w:cstheme="minorHAnsi"/>
        </w:rPr>
        <w:t xml:space="preserve"> going to stop there for now.  Can I get some more water, please?”</w:t>
      </w:r>
      <w:r w:rsidR="00453738" w:rsidRPr="00631676">
        <w:rPr>
          <w:rFonts w:cstheme="minorHAnsi"/>
        </w:rPr>
        <w:t xml:space="preserve">  </w:t>
      </w:r>
      <w:r w:rsidR="00273F7E">
        <w:rPr>
          <w:rFonts w:cstheme="minorHAnsi"/>
        </w:rPr>
        <w:t xml:space="preserve">Defendant </w:t>
      </w:r>
      <w:r w:rsidR="00F017A5">
        <w:rPr>
          <w:rFonts w:cstheme="minorHAnsi"/>
        </w:rPr>
        <w:t xml:space="preserve">argues </w:t>
      </w:r>
      <w:r w:rsidR="00273F7E">
        <w:rPr>
          <w:rFonts w:cstheme="minorHAnsi"/>
        </w:rPr>
        <w:t xml:space="preserve">that even if the detectives were not obligated to stop before, they were obligated to stop questioning him at this point.  But once again, defendant </w:t>
      </w:r>
      <w:proofErr w:type="gramStart"/>
      <w:r w:rsidR="00273F7E">
        <w:rPr>
          <w:rFonts w:cstheme="minorHAnsi"/>
        </w:rPr>
        <w:t>never unambiguously</w:t>
      </w:r>
      <w:proofErr w:type="gramEnd"/>
      <w:r w:rsidR="00273F7E">
        <w:rPr>
          <w:rFonts w:cstheme="minorHAnsi"/>
        </w:rPr>
        <w:t xml:space="preserve"> invoked his right to silence.  </w:t>
      </w:r>
      <w:r w:rsidR="004D2BAE" w:rsidRPr="00631676">
        <w:rPr>
          <w:rFonts w:cstheme="minorHAnsi"/>
        </w:rPr>
        <w:t>T</w:t>
      </w:r>
      <w:r w:rsidR="000E7275" w:rsidRPr="00631676">
        <w:rPr>
          <w:rFonts w:cstheme="minorHAnsi"/>
        </w:rPr>
        <w:t>he detectives accommodated his request</w:t>
      </w:r>
      <w:r w:rsidR="00273F7E">
        <w:rPr>
          <w:rFonts w:cstheme="minorHAnsi"/>
        </w:rPr>
        <w:t xml:space="preserve"> for water</w:t>
      </w:r>
      <w:r w:rsidR="000E7275" w:rsidRPr="00631676">
        <w:rPr>
          <w:rFonts w:cstheme="minorHAnsi"/>
        </w:rPr>
        <w:t xml:space="preserve">, </w:t>
      </w:r>
      <w:r w:rsidR="004D2BAE" w:rsidRPr="00631676">
        <w:rPr>
          <w:rFonts w:cstheme="minorHAnsi"/>
        </w:rPr>
        <w:t>and defendant</w:t>
      </w:r>
      <w:r w:rsidR="00453738" w:rsidRPr="00631676">
        <w:rPr>
          <w:rFonts w:cstheme="minorHAnsi"/>
        </w:rPr>
        <w:t xml:space="preserve"> told </w:t>
      </w:r>
      <w:r w:rsidR="00D9397C" w:rsidRPr="00631676">
        <w:rPr>
          <w:rFonts w:cstheme="minorHAnsi"/>
        </w:rPr>
        <w:t>the</w:t>
      </w:r>
      <w:r w:rsidR="000E7275" w:rsidRPr="00631676">
        <w:rPr>
          <w:rFonts w:cstheme="minorHAnsi"/>
        </w:rPr>
        <w:t xml:space="preserve">m </w:t>
      </w:r>
      <w:r w:rsidR="004D2BAE" w:rsidRPr="00631676">
        <w:rPr>
          <w:rFonts w:cstheme="minorHAnsi"/>
        </w:rPr>
        <w:t xml:space="preserve">a number of things:  </w:t>
      </w:r>
      <w:r w:rsidR="00AA11A1">
        <w:rPr>
          <w:rFonts w:cstheme="minorHAnsi"/>
        </w:rPr>
        <w:t>H</w:t>
      </w:r>
      <w:r w:rsidR="00453738" w:rsidRPr="00631676">
        <w:rPr>
          <w:rFonts w:cstheme="minorHAnsi"/>
        </w:rPr>
        <w:t>e thought the quality of water he had been given was poor</w:t>
      </w:r>
      <w:r w:rsidR="004D2BAE" w:rsidRPr="00631676">
        <w:rPr>
          <w:rFonts w:cstheme="minorHAnsi"/>
        </w:rPr>
        <w:t>;</w:t>
      </w:r>
      <w:r w:rsidR="00453738" w:rsidRPr="00631676">
        <w:rPr>
          <w:rFonts w:cstheme="minorHAnsi"/>
        </w:rPr>
        <w:t xml:space="preserve"> </w:t>
      </w:r>
      <w:r w:rsidR="004D2BAE" w:rsidRPr="00631676">
        <w:rPr>
          <w:rFonts w:cstheme="minorHAnsi"/>
        </w:rPr>
        <w:t xml:space="preserve">he </w:t>
      </w:r>
      <w:r w:rsidR="00453738" w:rsidRPr="00631676">
        <w:rPr>
          <w:rFonts w:cstheme="minorHAnsi"/>
        </w:rPr>
        <w:t>described the love he had for his eight-year-old brother</w:t>
      </w:r>
      <w:r w:rsidR="004D2BAE" w:rsidRPr="00631676">
        <w:rPr>
          <w:rFonts w:cstheme="minorHAnsi"/>
        </w:rPr>
        <w:t>; he</w:t>
      </w:r>
      <w:r w:rsidR="00453738" w:rsidRPr="00631676">
        <w:rPr>
          <w:rFonts w:cstheme="minorHAnsi"/>
        </w:rPr>
        <w:t xml:space="preserve"> discussed his mother and her dependency upon him, his incarcerated brother, and his drug-addicted sister, all to justify his hesitancy to add to the story he had thus far provided to </w:t>
      </w:r>
      <w:r w:rsidR="008858AF" w:rsidRPr="00631676">
        <w:rPr>
          <w:rFonts w:cstheme="minorHAnsi"/>
        </w:rPr>
        <w:t xml:space="preserve">the </w:t>
      </w:r>
      <w:r w:rsidR="00200CC5" w:rsidRPr="00631676">
        <w:rPr>
          <w:rFonts w:cstheme="minorHAnsi"/>
        </w:rPr>
        <w:t>detectives</w:t>
      </w:r>
      <w:r w:rsidR="00453738" w:rsidRPr="00631676">
        <w:rPr>
          <w:rFonts w:cstheme="minorHAnsi"/>
        </w:rPr>
        <w:t xml:space="preserve"> regarding the crime.  </w:t>
      </w:r>
      <w:r w:rsidR="00164CC7">
        <w:rPr>
          <w:rFonts w:cstheme="minorHAnsi"/>
        </w:rPr>
        <w:t>Sergeant</w:t>
      </w:r>
      <w:r w:rsidR="00164CC7" w:rsidRPr="00631676">
        <w:rPr>
          <w:rFonts w:cstheme="minorHAnsi"/>
        </w:rPr>
        <w:t xml:space="preserve"> </w:t>
      </w:r>
      <w:r w:rsidR="00821AD0" w:rsidRPr="00631676">
        <w:rPr>
          <w:rFonts w:cstheme="minorHAnsi"/>
        </w:rPr>
        <w:t xml:space="preserve">Reinstadler reminded defendant about his right to </w:t>
      </w:r>
      <w:r w:rsidR="000D6181" w:rsidRPr="00631676">
        <w:rPr>
          <w:rFonts w:cstheme="minorHAnsi"/>
        </w:rPr>
        <w:t>remain silent</w:t>
      </w:r>
      <w:r w:rsidR="00821AD0" w:rsidRPr="00631676">
        <w:rPr>
          <w:rFonts w:cstheme="minorHAnsi"/>
        </w:rPr>
        <w:t xml:space="preserve">.  </w:t>
      </w:r>
      <w:r w:rsidR="004D2BAE" w:rsidRPr="00631676">
        <w:rPr>
          <w:rFonts w:cstheme="minorHAnsi"/>
        </w:rPr>
        <w:t xml:space="preserve">Detective </w:t>
      </w:r>
      <w:r w:rsidR="00821AD0" w:rsidRPr="00631676">
        <w:rPr>
          <w:rFonts w:cstheme="minorHAnsi"/>
        </w:rPr>
        <w:t>West offered to let defendant “collect [his] thoughts</w:t>
      </w:r>
      <w:r w:rsidR="00CB763A" w:rsidRPr="00631676">
        <w:rPr>
          <w:rFonts w:cstheme="minorHAnsi"/>
        </w:rPr>
        <w:t>,</w:t>
      </w:r>
      <w:r w:rsidR="00821AD0" w:rsidRPr="00631676">
        <w:rPr>
          <w:rFonts w:cstheme="minorHAnsi"/>
        </w:rPr>
        <w:t>”</w:t>
      </w:r>
      <w:r w:rsidR="00CB763A" w:rsidRPr="00631676">
        <w:rPr>
          <w:rFonts w:cstheme="minorHAnsi"/>
        </w:rPr>
        <w:t xml:space="preserve"> and </w:t>
      </w:r>
      <w:r w:rsidR="0048170D">
        <w:rPr>
          <w:rFonts w:cstheme="minorHAnsi"/>
        </w:rPr>
        <w:t xml:space="preserve">then, to clarify defendant’s meaning, </w:t>
      </w:r>
      <w:r w:rsidR="00CB763A" w:rsidRPr="00631676">
        <w:rPr>
          <w:rFonts w:cstheme="minorHAnsi"/>
        </w:rPr>
        <w:t xml:space="preserve">asked whether </w:t>
      </w:r>
      <w:r w:rsidR="00452B98" w:rsidRPr="00631676">
        <w:rPr>
          <w:rFonts w:cstheme="minorHAnsi"/>
        </w:rPr>
        <w:t>defendant wanted only a short break or to cut off the conversation altogether.</w:t>
      </w:r>
      <w:r w:rsidR="00821AD0" w:rsidRPr="00631676">
        <w:rPr>
          <w:rFonts w:cstheme="minorHAnsi"/>
        </w:rPr>
        <w:t xml:space="preserve">  </w:t>
      </w:r>
      <w:r w:rsidR="00452B98" w:rsidRPr="00631676">
        <w:rPr>
          <w:rFonts w:cstheme="minorHAnsi"/>
        </w:rPr>
        <w:t xml:space="preserve">Defendant </w:t>
      </w:r>
      <w:r w:rsidR="008129B8" w:rsidRPr="00631676">
        <w:rPr>
          <w:rFonts w:cstheme="minorHAnsi"/>
        </w:rPr>
        <w:t>asked for a cigarette, saying, “I’d love just to take a break.  Do some more thinking.”</w:t>
      </w:r>
      <w:r w:rsidR="00D9397C" w:rsidRPr="00631676">
        <w:rPr>
          <w:rFonts w:cstheme="minorHAnsi"/>
        </w:rPr>
        <w:t xml:space="preserve">  </w:t>
      </w:r>
      <w:r w:rsidR="008129B8" w:rsidRPr="00631676">
        <w:rPr>
          <w:rFonts w:cstheme="minorHAnsi"/>
        </w:rPr>
        <w:t>T</w:t>
      </w:r>
      <w:r w:rsidR="000D6181" w:rsidRPr="00631676">
        <w:rPr>
          <w:rFonts w:cstheme="minorHAnsi"/>
        </w:rPr>
        <w:t xml:space="preserve">he </w:t>
      </w:r>
      <w:r w:rsidR="00D9397C" w:rsidRPr="00631676">
        <w:rPr>
          <w:rFonts w:cstheme="minorHAnsi"/>
        </w:rPr>
        <w:t xml:space="preserve">detectives </w:t>
      </w:r>
      <w:r w:rsidR="000D6181" w:rsidRPr="00631676">
        <w:rPr>
          <w:rFonts w:cstheme="minorHAnsi"/>
        </w:rPr>
        <w:t>and defendant discussed</w:t>
      </w:r>
      <w:r w:rsidR="00821AD0" w:rsidRPr="00631676">
        <w:rPr>
          <w:rFonts w:cstheme="minorHAnsi"/>
        </w:rPr>
        <w:t xml:space="preserve"> whether defendant wanted a break overnight or just for a few moments, </w:t>
      </w:r>
      <w:r w:rsidR="008129B8" w:rsidRPr="00631676">
        <w:rPr>
          <w:rFonts w:cstheme="minorHAnsi"/>
        </w:rPr>
        <w:t xml:space="preserve">and defendant indicated the break he had in mind would be overnight.  </w:t>
      </w:r>
    </w:p>
    <w:p w14:paraId="4E340D6C" w14:textId="1346F99B" w:rsidR="00A13B0C" w:rsidRDefault="00164CC7">
      <w:pPr>
        <w:ind w:firstLine="720"/>
        <w:rPr>
          <w:rFonts w:cstheme="minorHAnsi"/>
        </w:rPr>
      </w:pPr>
      <w:r>
        <w:rPr>
          <w:rFonts w:cstheme="minorHAnsi"/>
        </w:rPr>
        <w:lastRenderedPageBreak/>
        <w:t>Sergeant</w:t>
      </w:r>
      <w:r w:rsidRPr="00631676">
        <w:rPr>
          <w:rFonts w:cstheme="minorHAnsi"/>
        </w:rPr>
        <w:t xml:space="preserve"> </w:t>
      </w:r>
      <w:r w:rsidR="005519A3" w:rsidRPr="00631676">
        <w:rPr>
          <w:rFonts w:cstheme="minorHAnsi"/>
        </w:rPr>
        <w:t xml:space="preserve">Reinstadler </w:t>
      </w:r>
      <w:r w:rsidR="00CA40AA" w:rsidRPr="00631676">
        <w:rPr>
          <w:rFonts w:cstheme="minorHAnsi"/>
        </w:rPr>
        <w:t>told defendant</w:t>
      </w:r>
      <w:r w:rsidR="005519A3" w:rsidRPr="00631676">
        <w:rPr>
          <w:rFonts w:cstheme="minorHAnsi"/>
        </w:rPr>
        <w:t xml:space="preserve"> </w:t>
      </w:r>
      <w:r w:rsidR="000E7275" w:rsidRPr="00631676">
        <w:rPr>
          <w:rFonts w:cstheme="minorHAnsi"/>
        </w:rPr>
        <w:t>a break between “now and tomorrow” would</w:t>
      </w:r>
      <w:r w:rsidR="005519A3" w:rsidRPr="00631676">
        <w:rPr>
          <w:rFonts w:cstheme="minorHAnsi"/>
        </w:rPr>
        <w:t xml:space="preserve"> be </w:t>
      </w:r>
      <w:r w:rsidR="00CA40AA" w:rsidRPr="00631676">
        <w:rPr>
          <w:rFonts w:cstheme="minorHAnsi"/>
        </w:rPr>
        <w:t>“</w:t>
      </w:r>
      <w:r w:rsidR="005519A3" w:rsidRPr="00631676">
        <w:rPr>
          <w:rFonts w:cstheme="minorHAnsi"/>
        </w:rPr>
        <w:t>too late</w:t>
      </w:r>
      <w:r w:rsidR="00CA40AA" w:rsidRPr="00631676">
        <w:rPr>
          <w:rFonts w:cstheme="minorHAnsi"/>
        </w:rPr>
        <w:t>”</w:t>
      </w:r>
      <w:r w:rsidR="005519A3" w:rsidRPr="00631676">
        <w:rPr>
          <w:rFonts w:cstheme="minorHAnsi"/>
        </w:rPr>
        <w:t xml:space="preserve"> </w:t>
      </w:r>
      <w:r w:rsidR="000E7275" w:rsidRPr="00631676">
        <w:rPr>
          <w:rFonts w:cstheme="minorHAnsi"/>
        </w:rPr>
        <w:t xml:space="preserve">because “[o]nce the lawyer contacts you, we are precluded from speaking with you anymore, period.”  Defendant asked whether a lawyer would contact him the next day, and the detective explained it was “normal” and “their job” to do so.  </w:t>
      </w:r>
      <w:r w:rsidR="00D30AFE" w:rsidRPr="00631676">
        <w:rPr>
          <w:rFonts w:cstheme="minorHAnsi"/>
        </w:rPr>
        <w:t xml:space="preserve">Defendant then asked </w:t>
      </w:r>
      <w:r w:rsidR="00CA4563" w:rsidRPr="00631676">
        <w:rPr>
          <w:rFonts w:cstheme="minorHAnsi"/>
        </w:rPr>
        <w:t>the detectives</w:t>
      </w:r>
      <w:r w:rsidR="000D6181" w:rsidRPr="00631676">
        <w:rPr>
          <w:rFonts w:cstheme="minorHAnsi"/>
        </w:rPr>
        <w:t xml:space="preserve"> </w:t>
      </w:r>
      <w:r w:rsidR="00D30AFE" w:rsidRPr="00631676">
        <w:rPr>
          <w:rFonts w:cstheme="minorHAnsi"/>
        </w:rPr>
        <w:t>whether he had been helpful to them, and Reinstadler explained that defendant had an opportunity to be of more help, to fill in more “pieces of the puzzle.”  The conversation continued.</w:t>
      </w:r>
      <w:r w:rsidR="00273F7E">
        <w:rPr>
          <w:rFonts w:cstheme="minorHAnsi"/>
        </w:rPr>
        <w:t xml:space="preserve">  At no time did defendant unambiguously signal a desire to end </w:t>
      </w:r>
      <w:r w:rsidR="00577D6D">
        <w:rPr>
          <w:rFonts w:cstheme="minorHAnsi"/>
        </w:rPr>
        <w:t xml:space="preserve">the interview, even though </w:t>
      </w:r>
      <w:r w:rsidR="00B06B01">
        <w:rPr>
          <w:rFonts w:cstheme="minorHAnsi"/>
        </w:rPr>
        <w:t xml:space="preserve">the </w:t>
      </w:r>
      <w:r w:rsidR="00577D6D">
        <w:rPr>
          <w:rFonts w:cstheme="minorHAnsi"/>
        </w:rPr>
        <w:t>detectives gave him ample opportunity to do so.</w:t>
      </w:r>
    </w:p>
    <w:p w14:paraId="066E4184" w14:textId="0BEAAD37" w:rsidR="00577D6D" w:rsidRPr="00631676" w:rsidRDefault="00577D6D" w:rsidP="006F4A26">
      <w:pPr>
        <w:ind w:firstLine="720"/>
        <w:rPr>
          <w:rFonts w:cstheme="minorHAnsi"/>
        </w:rPr>
      </w:pPr>
      <w:r>
        <w:rPr>
          <w:rFonts w:cstheme="minorHAnsi"/>
        </w:rPr>
        <w:t xml:space="preserve">Defendant contends that the detectives improperly coerced him into continuing the conversation </w:t>
      </w:r>
      <w:r w:rsidR="003C6447">
        <w:rPr>
          <w:rFonts w:cstheme="minorHAnsi"/>
        </w:rPr>
        <w:t xml:space="preserve">when they told him they would be “precluded” from talking to him again if he chose to take </w:t>
      </w:r>
      <w:r>
        <w:rPr>
          <w:rFonts w:cstheme="minorHAnsi"/>
        </w:rPr>
        <w:t xml:space="preserve">a break until the next day.  Defendant contends that the detectives’ statements were deceptive and that their deception undermined the voluntariness of his statements.  </w:t>
      </w:r>
      <w:r w:rsidRPr="00631676">
        <w:t>“While the use of deception or communication of false information to a suspect does not alone render a resulting statement involuntary</w:t>
      </w:r>
      <w:r w:rsidR="00EE7CD6">
        <w:t xml:space="preserve"> [citation]</w:t>
      </w:r>
      <w:r w:rsidRPr="00631676">
        <w:t>, such deception is a factor which weighs against a finding of voluntariness.”  (</w:t>
      </w:r>
      <w:r w:rsidRPr="00631676">
        <w:rPr>
          <w:i/>
        </w:rPr>
        <w:t>People v. Hogan</w:t>
      </w:r>
      <w:r w:rsidRPr="00631676">
        <w:t xml:space="preserve"> (1982) 31 Cal.3d 815, 840–841.)  Here, </w:t>
      </w:r>
      <w:r w:rsidR="00E93ADB">
        <w:t xml:space="preserve">it was certainly an exaggeration for </w:t>
      </w:r>
      <w:r>
        <w:t xml:space="preserve">the detectives </w:t>
      </w:r>
      <w:r w:rsidR="00E93ADB">
        <w:t>to tell</w:t>
      </w:r>
      <w:r>
        <w:t xml:space="preserve"> defendant </w:t>
      </w:r>
      <w:r w:rsidR="003C6447">
        <w:t xml:space="preserve">they would not </w:t>
      </w:r>
      <w:r>
        <w:t xml:space="preserve">be able to speak with </w:t>
      </w:r>
      <w:r w:rsidR="003C6447">
        <w:t>him</w:t>
      </w:r>
      <w:r>
        <w:t xml:space="preserve"> again</w:t>
      </w:r>
      <w:r w:rsidR="002D2DB8">
        <w:t>,</w:t>
      </w:r>
      <w:r w:rsidR="003C6447">
        <w:t xml:space="preserve"> </w:t>
      </w:r>
      <w:r w:rsidR="00786EC3">
        <w:t>“period</w:t>
      </w:r>
      <w:r w:rsidR="002D2DB8">
        <w:t>,</w:t>
      </w:r>
      <w:r w:rsidR="00786EC3">
        <w:t xml:space="preserve">” </w:t>
      </w:r>
      <w:r w:rsidR="003C6447">
        <w:t xml:space="preserve">if he took a break and spoke with a lawyer; </w:t>
      </w:r>
      <w:r w:rsidRPr="00631676">
        <w:t xml:space="preserve">represented suspects </w:t>
      </w:r>
      <w:r w:rsidR="003C6447">
        <w:t xml:space="preserve">can, of course, </w:t>
      </w:r>
      <w:r w:rsidRPr="00631676">
        <w:t>speak with law enforcement offi</w:t>
      </w:r>
      <w:r w:rsidR="003C6447">
        <w:t xml:space="preserve">cials if they choose.  </w:t>
      </w:r>
      <w:r w:rsidR="001C346F">
        <w:t>It is unclear</w:t>
      </w:r>
      <w:r w:rsidR="00C31259">
        <w:t xml:space="preserve"> </w:t>
      </w:r>
      <w:r w:rsidR="001C346F">
        <w:t>whether the detectives intended to deceive defendant on this point; what the detectives may have meant to convey is that a lawyer would likely advise against speaking with detectives</w:t>
      </w:r>
      <w:r w:rsidR="006F4A26">
        <w:t>—</w:t>
      </w:r>
      <w:r w:rsidR="001C346F">
        <w:t xml:space="preserve">meaning that, from their perspective, they almost certainly </w:t>
      </w:r>
      <w:r w:rsidR="001C346F">
        <w:lastRenderedPageBreak/>
        <w:t>would not have another opportunity to speak with defendant.  But in any event, insofar as they spoke in absolutes, the detectives</w:t>
      </w:r>
      <w:r w:rsidR="00E93ADB">
        <w:t xml:space="preserve"> overstated the case</w:t>
      </w:r>
      <w:r w:rsidR="001C346F">
        <w:t xml:space="preserve">.  Regardless, </w:t>
      </w:r>
      <w:r w:rsidR="00C31259">
        <w:t xml:space="preserve">we are not persuaded the statements rendered </w:t>
      </w:r>
      <w:r w:rsidRPr="00631676">
        <w:t xml:space="preserve">defendant’s statement involuntary.  </w:t>
      </w:r>
      <w:r w:rsidR="00907438">
        <w:t xml:space="preserve">Just before the challenged </w:t>
      </w:r>
      <w:r w:rsidR="006D21B3">
        <w:t xml:space="preserve">exchange, </w:t>
      </w:r>
      <w:r w:rsidR="007D604F">
        <w:t xml:space="preserve">the detectives </w:t>
      </w:r>
      <w:r w:rsidR="00907438">
        <w:t xml:space="preserve">had </w:t>
      </w:r>
      <w:r w:rsidR="007D604F">
        <w:t xml:space="preserve">reminded defendant that he had the right to remain silent and the right to speak with a lawyer.  </w:t>
      </w:r>
      <w:r w:rsidR="001C346F">
        <w:t xml:space="preserve">Defendant responded to the </w:t>
      </w:r>
      <w:r w:rsidR="00907438">
        <w:t xml:space="preserve">exchange by asking </w:t>
      </w:r>
      <w:r w:rsidRPr="00631676">
        <w:t xml:space="preserve">for clarification about </w:t>
      </w:r>
      <w:r w:rsidR="00335938">
        <w:t xml:space="preserve">when a lawyer would contact him, then went on to ask whether he had been helpful to the detectives, and the </w:t>
      </w:r>
      <w:r w:rsidRPr="00631676">
        <w:t>conversation continued</w:t>
      </w:r>
      <w:r w:rsidR="00120759">
        <w:t xml:space="preserve"> from there</w:t>
      </w:r>
      <w:r w:rsidRPr="00631676">
        <w:t>.</w:t>
      </w:r>
      <w:r w:rsidR="001C346F">
        <w:t xml:space="preserve">  The record does not support defendant’s claim that he was coerced into continuing to speak with detectives after he had asked for a break.</w:t>
      </w:r>
    </w:p>
    <w:p w14:paraId="4A46D1A3" w14:textId="24E26748" w:rsidR="00F62D35" w:rsidRPr="00631676" w:rsidRDefault="00D30AFE" w:rsidP="00786EC3">
      <w:pPr>
        <w:rPr>
          <w:rFonts w:cstheme="minorHAnsi"/>
        </w:rPr>
      </w:pPr>
      <w:r w:rsidRPr="00631676">
        <w:rPr>
          <w:rFonts w:cstheme="minorHAnsi"/>
        </w:rPr>
        <w:tab/>
      </w:r>
      <w:r w:rsidR="00660B80">
        <w:rPr>
          <w:rFonts w:cstheme="minorHAnsi"/>
        </w:rPr>
        <w:t xml:space="preserve">Defendant next contends </w:t>
      </w:r>
      <w:r w:rsidR="00213F00" w:rsidRPr="00631676">
        <w:rPr>
          <w:rFonts w:cstheme="minorHAnsi"/>
        </w:rPr>
        <w:t>the detectives</w:t>
      </w:r>
      <w:r w:rsidR="00D86E27" w:rsidRPr="00631676">
        <w:rPr>
          <w:rFonts w:cstheme="minorHAnsi"/>
        </w:rPr>
        <w:t xml:space="preserve"> </w:t>
      </w:r>
      <w:r w:rsidR="00F0144B">
        <w:rPr>
          <w:rFonts w:cstheme="minorHAnsi"/>
        </w:rPr>
        <w:t>employed</w:t>
      </w:r>
      <w:r w:rsidR="00213F00" w:rsidRPr="00631676">
        <w:rPr>
          <w:rFonts w:cstheme="minorHAnsi"/>
        </w:rPr>
        <w:t xml:space="preserve"> </w:t>
      </w:r>
      <w:r w:rsidR="001C346F">
        <w:rPr>
          <w:rFonts w:cstheme="minorHAnsi"/>
        </w:rPr>
        <w:t xml:space="preserve">other </w:t>
      </w:r>
      <w:r w:rsidR="00555445" w:rsidRPr="00631676">
        <w:rPr>
          <w:rFonts w:cstheme="minorHAnsi"/>
        </w:rPr>
        <w:t>coercive interrogation tactics</w:t>
      </w:r>
      <w:r w:rsidR="00D86E27" w:rsidRPr="00631676">
        <w:rPr>
          <w:rFonts w:cstheme="minorHAnsi"/>
        </w:rPr>
        <w:t xml:space="preserve"> that</w:t>
      </w:r>
      <w:r w:rsidR="00EE0BB2" w:rsidRPr="00631676">
        <w:rPr>
          <w:rFonts w:cstheme="minorHAnsi"/>
        </w:rPr>
        <w:t xml:space="preserve"> rendered his confession involuntary</w:t>
      </w:r>
      <w:r w:rsidR="001C346F">
        <w:rPr>
          <w:rFonts w:cstheme="minorHAnsi"/>
        </w:rPr>
        <w:t xml:space="preserve">.  </w:t>
      </w:r>
      <w:r w:rsidRPr="00631676">
        <w:rPr>
          <w:rFonts w:cstheme="minorHAnsi"/>
        </w:rPr>
        <w:t>(</w:t>
      </w:r>
      <w:r w:rsidR="00B74B15" w:rsidRPr="00631676">
        <w:rPr>
          <w:rFonts w:cstheme="minorHAnsi"/>
        </w:rPr>
        <w:t xml:space="preserve">See </w:t>
      </w:r>
      <w:r w:rsidRPr="00631676">
        <w:rPr>
          <w:rFonts w:cstheme="minorHAnsi"/>
          <w:i/>
        </w:rPr>
        <w:t>People v. Jackson</w:t>
      </w:r>
      <w:r w:rsidRPr="00631676">
        <w:rPr>
          <w:rFonts w:cstheme="minorHAnsi"/>
        </w:rPr>
        <w:t xml:space="preserve">, </w:t>
      </w:r>
      <w:r w:rsidRPr="00631676">
        <w:rPr>
          <w:rFonts w:cstheme="minorHAnsi"/>
          <w:i/>
        </w:rPr>
        <w:t>supra</w:t>
      </w:r>
      <w:r w:rsidRPr="00631676">
        <w:rPr>
          <w:rFonts w:cstheme="minorHAnsi"/>
        </w:rPr>
        <w:t>, 1 Cal.</w:t>
      </w:r>
      <w:r w:rsidR="00A91D12" w:rsidRPr="00631676">
        <w:rPr>
          <w:rFonts w:cstheme="minorHAnsi"/>
        </w:rPr>
        <w:t>5</w:t>
      </w:r>
      <w:r w:rsidRPr="00631676">
        <w:rPr>
          <w:rFonts w:cstheme="minorHAnsi"/>
        </w:rPr>
        <w:t>th at p.</w:t>
      </w:r>
      <w:r w:rsidR="00153371" w:rsidRPr="00631676">
        <w:rPr>
          <w:rFonts w:cstheme="minorHAnsi"/>
        </w:rPr>
        <w:t> </w:t>
      </w:r>
      <w:r w:rsidRPr="00631676">
        <w:rPr>
          <w:rFonts w:cstheme="minorHAnsi"/>
        </w:rPr>
        <w:t>340</w:t>
      </w:r>
      <w:r w:rsidR="00DF0D6A" w:rsidRPr="00631676">
        <w:rPr>
          <w:rFonts w:cstheme="minorHAnsi"/>
        </w:rPr>
        <w:t xml:space="preserve"> [“</w:t>
      </w:r>
      <w:r w:rsidR="005B3510" w:rsidRPr="00631676">
        <w:rPr>
          <w:rFonts w:cstheme="minorHAnsi"/>
        </w:rPr>
        <w:t> </w:t>
      </w:r>
      <w:r w:rsidR="00DF0D6A" w:rsidRPr="00631676">
        <w:rPr>
          <w:rFonts w:cstheme="minorHAnsi"/>
        </w:rPr>
        <w:t>‘</w:t>
      </w:r>
      <w:r w:rsidR="005B3510" w:rsidRPr="00631676">
        <w:rPr>
          <w:rFonts w:cstheme="minorHAnsi"/>
        </w:rPr>
        <w:t> </w:t>
      </w:r>
      <w:r w:rsidR="00DF0D6A" w:rsidRPr="00631676">
        <w:rPr>
          <w:rFonts w:cstheme="minorHAnsi"/>
        </w:rPr>
        <w:t>“A confession may be found involuntary if extracted by threats or violence, obtained by direct or implied promises, or secured by the exertion of improper influence.”</w:t>
      </w:r>
      <w:r w:rsidR="005B3510" w:rsidRPr="00631676">
        <w:rPr>
          <w:rFonts w:cstheme="minorHAnsi"/>
        </w:rPr>
        <w:t> </w:t>
      </w:r>
      <w:r w:rsidR="00DF0D6A" w:rsidRPr="00631676">
        <w:rPr>
          <w:rFonts w:cstheme="minorHAnsi"/>
        </w:rPr>
        <w:t>’ ”]</w:t>
      </w:r>
      <w:r w:rsidRPr="00631676">
        <w:rPr>
          <w:rFonts w:cstheme="minorHAnsi"/>
        </w:rPr>
        <w:t>.)</w:t>
      </w:r>
      <w:r w:rsidR="00B74B15" w:rsidRPr="00631676">
        <w:rPr>
          <w:rFonts w:cstheme="minorHAnsi"/>
        </w:rPr>
        <w:t xml:space="preserve">  In particular, he argues that Detective West and </w:t>
      </w:r>
      <w:r w:rsidR="00164CC7">
        <w:rPr>
          <w:rFonts w:cstheme="minorHAnsi"/>
        </w:rPr>
        <w:t xml:space="preserve">Sergeant </w:t>
      </w:r>
      <w:r w:rsidR="00B74B15" w:rsidRPr="00631676">
        <w:rPr>
          <w:rFonts w:cstheme="minorHAnsi"/>
        </w:rPr>
        <w:t xml:space="preserve">Reinstadler </w:t>
      </w:r>
      <w:r w:rsidR="00EA0269" w:rsidRPr="00631676">
        <w:rPr>
          <w:rFonts w:cstheme="minorHAnsi"/>
        </w:rPr>
        <w:t>impliedly threatened him by</w:t>
      </w:r>
      <w:r w:rsidR="00AF3637" w:rsidRPr="00631676">
        <w:rPr>
          <w:rFonts w:cstheme="minorHAnsi"/>
        </w:rPr>
        <w:t xml:space="preserve"> </w:t>
      </w:r>
      <w:r w:rsidR="00BC0B3F" w:rsidRPr="00631676">
        <w:rPr>
          <w:rFonts w:cstheme="minorHAnsi"/>
        </w:rPr>
        <w:t xml:space="preserve">mentioning </w:t>
      </w:r>
      <w:r w:rsidR="00AF3637" w:rsidRPr="00631676">
        <w:rPr>
          <w:rFonts w:cstheme="minorHAnsi"/>
        </w:rPr>
        <w:t xml:space="preserve">the death penalty and </w:t>
      </w:r>
      <w:r w:rsidR="001C346F">
        <w:rPr>
          <w:rFonts w:cstheme="minorHAnsi"/>
        </w:rPr>
        <w:t xml:space="preserve">that </w:t>
      </w:r>
      <w:r w:rsidR="00F62D35" w:rsidRPr="00631676">
        <w:rPr>
          <w:rFonts w:cstheme="minorHAnsi"/>
        </w:rPr>
        <w:t xml:space="preserve">they improperly induced his confession by </w:t>
      </w:r>
      <w:r w:rsidR="00A415DD" w:rsidRPr="00631676">
        <w:rPr>
          <w:rFonts w:cstheme="minorHAnsi"/>
        </w:rPr>
        <w:t xml:space="preserve">exaggerating the evidence against </w:t>
      </w:r>
      <w:r w:rsidR="00F62D35" w:rsidRPr="00631676">
        <w:rPr>
          <w:rFonts w:cstheme="minorHAnsi"/>
        </w:rPr>
        <w:t>him</w:t>
      </w:r>
      <w:r w:rsidR="00A415DD" w:rsidRPr="00631676">
        <w:rPr>
          <w:rFonts w:cstheme="minorHAnsi"/>
        </w:rPr>
        <w:t>.</w:t>
      </w:r>
      <w:r w:rsidR="00F62D35" w:rsidRPr="00631676">
        <w:rPr>
          <w:rFonts w:cstheme="minorHAnsi"/>
        </w:rPr>
        <w:t xml:space="preserve">  </w:t>
      </w:r>
    </w:p>
    <w:p w14:paraId="72877872" w14:textId="408ED8B2" w:rsidR="00EE0BB2" w:rsidRPr="00631676" w:rsidRDefault="00F62D35" w:rsidP="00786EC3">
      <w:r w:rsidRPr="00631676">
        <w:rPr>
          <w:rFonts w:cstheme="minorHAnsi"/>
        </w:rPr>
        <w:tab/>
      </w:r>
      <w:r w:rsidR="00EE0BB2" w:rsidRPr="00631676">
        <w:rPr>
          <w:rFonts w:cstheme="minorHAnsi"/>
        </w:rPr>
        <w:t>“ ‘In assessing allegedly coercive police tactics, “[t]he courts have prohibited only those psychological ploys which, under all the circumstances, are so coercive that they tend to produce a statement that is both involuntary and unreliable.” ’ ”  (</w:t>
      </w:r>
      <w:r w:rsidR="00EE0BB2" w:rsidRPr="00631676">
        <w:rPr>
          <w:rFonts w:cstheme="minorHAnsi"/>
          <w:i/>
        </w:rPr>
        <w:t>People v. Williams</w:t>
      </w:r>
      <w:r w:rsidR="00EE0BB2" w:rsidRPr="00631676">
        <w:rPr>
          <w:rFonts w:cstheme="minorHAnsi"/>
        </w:rPr>
        <w:t xml:space="preserve">, </w:t>
      </w:r>
      <w:r w:rsidR="00EE0BB2" w:rsidRPr="00631676">
        <w:rPr>
          <w:rFonts w:cstheme="minorHAnsi"/>
          <w:i/>
        </w:rPr>
        <w:t>supra</w:t>
      </w:r>
      <w:r w:rsidR="00EE0BB2" w:rsidRPr="00631676">
        <w:rPr>
          <w:rFonts w:cstheme="minorHAnsi"/>
        </w:rPr>
        <w:t xml:space="preserve">, 49 Cal.4th at p. 436.)  </w:t>
      </w:r>
      <w:r w:rsidR="000C4DC3" w:rsidRPr="00631676">
        <w:rPr>
          <w:rFonts w:cstheme="minorHAnsi"/>
        </w:rPr>
        <w:t>As the trial court found, there was nothing coercive about the detectives’</w:t>
      </w:r>
      <w:r w:rsidR="00B95907" w:rsidRPr="00631676">
        <w:rPr>
          <w:rFonts w:cstheme="minorHAnsi"/>
        </w:rPr>
        <w:t xml:space="preserve"> brief—and accurate—</w:t>
      </w:r>
      <w:r w:rsidR="00CA7514" w:rsidRPr="00631676">
        <w:rPr>
          <w:rFonts w:cstheme="minorHAnsi"/>
        </w:rPr>
        <w:t xml:space="preserve">acknowledgment </w:t>
      </w:r>
      <w:r w:rsidR="00B95907" w:rsidRPr="00631676">
        <w:rPr>
          <w:rFonts w:cstheme="minorHAnsi"/>
        </w:rPr>
        <w:t xml:space="preserve">that the death penalty was a potential </w:t>
      </w:r>
      <w:r w:rsidR="00194632" w:rsidRPr="00631676">
        <w:rPr>
          <w:rFonts w:cstheme="minorHAnsi"/>
        </w:rPr>
        <w:t xml:space="preserve">punishment for the crimes with which defendant </w:t>
      </w:r>
      <w:r w:rsidR="00194632" w:rsidRPr="00631676">
        <w:rPr>
          <w:rFonts w:cstheme="minorHAnsi"/>
        </w:rPr>
        <w:lastRenderedPageBreak/>
        <w:t xml:space="preserve">was charged, </w:t>
      </w:r>
      <w:r w:rsidR="00CA40AA" w:rsidRPr="00631676">
        <w:rPr>
          <w:rFonts w:cstheme="minorHAnsi"/>
        </w:rPr>
        <w:t xml:space="preserve">and it </w:t>
      </w:r>
      <w:r w:rsidR="00BA217B" w:rsidRPr="00631676">
        <w:rPr>
          <w:rFonts w:cstheme="minorHAnsi"/>
        </w:rPr>
        <w:t xml:space="preserve">does </w:t>
      </w:r>
      <w:r w:rsidR="00CA40AA" w:rsidRPr="00631676">
        <w:rPr>
          <w:rFonts w:cstheme="minorHAnsi"/>
        </w:rPr>
        <w:t xml:space="preserve">not appear that </w:t>
      </w:r>
      <w:r w:rsidR="00BA217B" w:rsidRPr="00631676">
        <w:rPr>
          <w:rFonts w:cstheme="minorHAnsi"/>
        </w:rPr>
        <w:t xml:space="preserve">the mention of the death penalty prompted defendant’s </w:t>
      </w:r>
      <w:r w:rsidR="004E3A51" w:rsidRPr="00631676">
        <w:rPr>
          <w:rFonts w:cstheme="minorHAnsi"/>
        </w:rPr>
        <w:t>confession.</w:t>
      </w:r>
      <w:r w:rsidR="00CA7514" w:rsidRPr="00631676">
        <w:rPr>
          <w:rFonts w:cstheme="minorHAnsi"/>
        </w:rPr>
        <w:t xml:space="preserve">  </w:t>
      </w:r>
      <w:r w:rsidR="00E51745" w:rsidRPr="00631676">
        <w:rPr>
          <w:rFonts w:cstheme="minorHAnsi"/>
        </w:rPr>
        <w:t>Nor is u</w:t>
      </w:r>
      <w:r w:rsidR="00CA7514" w:rsidRPr="00631676">
        <w:rPr>
          <w:rFonts w:cstheme="minorHAnsi"/>
        </w:rPr>
        <w:t>rging a defendant to tell his story before matters go any further an impermissible law enforcement tactic.  (</w:t>
      </w:r>
      <w:r w:rsidR="00CA7514" w:rsidRPr="00631676">
        <w:rPr>
          <w:i/>
        </w:rPr>
        <w:t>Id.</w:t>
      </w:r>
      <w:r w:rsidR="00CA7514" w:rsidRPr="00631676">
        <w:t xml:space="preserve"> at pp.</w:t>
      </w:r>
      <w:r w:rsidR="005B3510" w:rsidRPr="00631676">
        <w:t> </w:t>
      </w:r>
      <w:r w:rsidR="00CA7514" w:rsidRPr="00631676">
        <w:t>438–439, 443</w:t>
      </w:r>
      <w:r w:rsidR="00343894">
        <w:t xml:space="preserve">; </w:t>
      </w:r>
      <w:r w:rsidR="00343894">
        <w:rPr>
          <w:i/>
        </w:rPr>
        <w:t>Carrington</w:t>
      </w:r>
      <w:r w:rsidR="00AA7967">
        <w:t>,</w:t>
      </w:r>
      <w:r w:rsidR="00343894">
        <w:t xml:space="preserve"> </w:t>
      </w:r>
      <w:r w:rsidR="00B06B01" w:rsidRPr="00B06B01">
        <w:rPr>
          <w:i/>
        </w:rPr>
        <w:t>supra</w:t>
      </w:r>
      <w:r w:rsidR="00B06B01">
        <w:t xml:space="preserve">, </w:t>
      </w:r>
      <w:r w:rsidR="00343894" w:rsidRPr="00B06B01">
        <w:t>47</w:t>
      </w:r>
      <w:r w:rsidR="00343894">
        <w:t xml:space="preserve"> Cal.4th </w:t>
      </w:r>
      <w:r w:rsidR="00AA7967">
        <w:t>at p.</w:t>
      </w:r>
      <w:r w:rsidR="008A5804">
        <w:t> </w:t>
      </w:r>
      <w:r w:rsidR="00343894">
        <w:t>171</w:t>
      </w:r>
      <w:r w:rsidR="00CA7514" w:rsidRPr="00631676">
        <w:t>.)</w:t>
      </w:r>
      <w:r w:rsidR="00592062" w:rsidRPr="00631676">
        <w:t xml:space="preserve">  </w:t>
      </w:r>
    </w:p>
    <w:p w14:paraId="081C397F" w14:textId="04402B95" w:rsidR="00F62D35" w:rsidRPr="00631676" w:rsidRDefault="00EE0BB2" w:rsidP="00786EC3">
      <w:pPr>
        <w:rPr>
          <w:rFonts w:cstheme="minorHAnsi"/>
        </w:rPr>
      </w:pPr>
      <w:r w:rsidRPr="00631676">
        <w:tab/>
      </w:r>
      <w:r w:rsidR="00CA51E1" w:rsidRPr="00631676">
        <w:rPr>
          <w:rFonts w:cstheme="minorHAnsi"/>
        </w:rPr>
        <w:t xml:space="preserve">As for defendant’s claim that </w:t>
      </w:r>
      <w:r w:rsidR="008858AF" w:rsidRPr="00631676">
        <w:rPr>
          <w:rFonts w:cstheme="minorHAnsi"/>
        </w:rPr>
        <w:t xml:space="preserve">the </w:t>
      </w:r>
      <w:r w:rsidR="00CA51E1" w:rsidRPr="00631676">
        <w:rPr>
          <w:rFonts w:cstheme="minorHAnsi"/>
        </w:rPr>
        <w:t xml:space="preserve">detectives improperly exaggerated the strength of the evidence against him, </w:t>
      </w:r>
      <w:r w:rsidR="0028225F">
        <w:rPr>
          <w:rFonts w:cstheme="minorHAnsi"/>
        </w:rPr>
        <w:t xml:space="preserve">defendant points to an exchange in which detectives </w:t>
      </w:r>
      <w:r w:rsidR="00EE5E55">
        <w:rPr>
          <w:rFonts w:cstheme="minorHAnsi"/>
        </w:rPr>
        <w:t xml:space="preserve">said others had told them </w:t>
      </w:r>
      <w:r w:rsidR="0028225F" w:rsidRPr="00631676">
        <w:rPr>
          <w:rFonts w:cstheme="minorHAnsi"/>
        </w:rPr>
        <w:t xml:space="preserve">that defendant gagged and shot the victim and dug the grave, which caused defendant to blurt out, “[T]he only thing I did was kill him.”  </w:t>
      </w:r>
      <w:r w:rsidR="00F15A1E">
        <w:rPr>
          <w:rFonts w:cstheme="minorHAnsi"/>
        </w:rPr>
        <w:t>As d</w:t>
      </w:r>
      <w:r w:rsidR="00CA51E1" w:rsidRPr="00631676">
        <w:rPr>
          <w:rFonts w:cstheme="minorHAnsi"/>
        </w:rPr>
        <w:t>efendant acknowledges</w:t>
      </w:r>
      <w:r w:rsidR="00F15A1E">
        <w:rPr>
          <w:rFonts w:cstheme="minorHAnsi"/>
        </w:rPr>
        <w:t xml:space="preserve">, however, </w:t>
      </w:r>
      <w:r w:rsidR="00EA0269" w:rsidRPr="00631676">
        <w:rPr>
          <w:rFonts w:cstheme="minorHAnsi"/>
        </w:rPr>
        <w:t>“the use of deceptive comments does not necessarily render a statement involuntary.  Deception does not undermine the voluntariness of a defendant’s statements to the authorities unless the deception is ‘</w:t>
      </w:r>
      <w:r w:rsidR="005B3510" w:rsidRPr="00631676">
        <w:rPr>
          <w:rFonts w:cstheme="minorHAnsi"/>
        </w:rPr>
        <w:t> </w:t>
      </w:r>
      <w:r w:rsidR="00EA0269" w:rsidRPr="00631676">
        <w:rPr>
          <w:rFonts w:cstheme="minorHAnsi"/>
        </w:rPr>
        <w:t>“</w:t>
      </w:r>
      <w:r w:rsidR="005B3510" w:rsidRPr="00631676">
        <w:rPr>
          <w:rFonts w:cstheme="minorHAnsi"/>
        </w:rPr>
        <w:t> </w:t>
      </w:r>
      <w:r w:rsidR="00EA0269" w:rsidRPr="00631676">
        <w:rPr>
          <w:rFonts w:cstheme="minorHAnsi"/>
        </w:rPr>
        <w:t>‘of a type reasonably likely to procure an untrue statement.’</w:t>
      </w:r>
      <w:r w:rsidR="005B3510" w:rsidRPr="00631676">
        <w:rPr>
          <w:rFonts w:cstheme="minorHAnsi"/>
        </w:rPr>
        <w:t> </w:t>
      </w:r>
      <w:r w:rsidR="00EA0269" w:rsidRPr="00631676">
        <w:rPr>
          <w:rFonts w:cstheme="minorHAnsi"/>
        </w:rPr>
        <w:t>”</w:t>
      </w:r>
      <w:r w:rsidR="005B3510" w:rsidRPr="00631676">
        <w:rPr>
          <w:rFonts w:cstheme="minorHAnsi"/>
        </w:rPr>
        <w:t> </w:t>
      </w:r>
      <w:r w:rsidR="00EA0269" w:rsidRPr="00631676">
        <w:rPr>
          <w:rFonts w:cstheme="minorHAnsi"/>
        </w:rPr>
        <w:t xml:space="preserve">’ ” </w:t>
      </w:r>
      <w:r w:rsidR="003A08A7">
        <w:rPr>
          <w:rFonts w:cstheme="minorHAnsi"/>
        </w:rPr>
        <w:t xml:space="preserve"> </w:t>
      </w:r>
      <w:r w:rsidR="00EA0269" w:rsidRPr="00631676">
        <w:rPr>
          <w:rFonts w:cstheme="minorHAnsi"/>
        </w:rPr>
        <w:t>(</w:t>
      </w:r>
      <w:r w:rsidR="00415EE9" w:rsidRPr="00631676">
        <w:rPr>
          <w:rFonts w:cstheme="minorHAnsi"/>
          <w:i/>
        </w:rPr>
        <w:t>People v. Williams</w:t>
      </w:r>
      <w:r w:rsidR="00415EE9" w:rsidRPr="00631676">
        <w:rPr>
          <w:rFonts w:cstheme="minorHAnsi"/>
        </w:rPr>
        <w:t xml:space="preserve">, </w:t>
      </w:r>
      <w:r w:rsidR="00415EE9" w:rsidRPr="00631676">
        <w:rPr>
          <w:rFonts w:cstheme="minorHAnsi"/>
          <w:i/>
        </w:rPr>
        <w:t>supra</w:t>
      </w:r>
      <w:r w:rsidR="00415EE9" w:rsidRPr="00631676">
        <w:rPr>
          <w:rFonts w:cstheme="minorHAnsi"/>
        </w:rPr>
        <w:t xml:space="preserve">, 49 Cal.4th at </w:t>
      </w:r>
      <w:r w:rsidR="00EA0269" w:rsidRPr="00631676">
        <w:rPr>
          <w:rFonts w:cstheme="minorHAnsi"/>
        </w:rPr>
        <w:t>p. 443.)</w:t>
      </w:r>
      <w:r w:rsidR="008C4059" w:rsidRPr="00631676">
        <w:rPr>
          <w:rFonts w:cstheme="minorHAnsi"/>
        </w:rPr>
        <w:t xml:space="preserve">  </w:t>
      </w:r>
      <w:r w:rsidR="00A14EC4" w:rsidRPr="00631676">
        <w:rPr>
          <w:rFonts w:cstheme="minorHAnsi"/>
        </w:rPr>
        <w:t>D</w:t>
      </w:r>
      <w:r w:rsidR="006F5B9B" w:rsidRPr="00631676">
        <w:rPr>
          <w:rFonts w:cstheme="minorHAnsi"/>
        </w:rPr>
        <w:t>efendant fails to explain</w:t>
      </w:r>
      <w:r w:rsidR="0059656B" w:rsidRPr="00631676">
        <w:rPr>
          <w:rFonts w:cstheme="minorHAnsi"/>
        </w:rPr>
        <w:t xml:space="preserve"> why, in his view, the detectives’ questioning fits </w:t>
      </w:r>
      <w:r w:rsidR="00A14EC4" w:rsidRPr="00631676">
        <w:rPr>
          <w:rFonts w:cstheme="minorHAnsi"/>
        </w:rPr>
        <w:t>that description.</w:t>
      </w:r>
      <w:r w:rsidR="00EE5E55">
        <w:rPr>
          <w:rFonts w:cstheme="minorHAnsi"/>
        </w:rPr>
        <w:t xml:space="preserve">  </w:t>
      </w:r>
      <w:r w:rsidR="00470E47" w:rsidRPr="00631676">
        <w:rPr>
          <w:rFonts w:cstheme="minorHAnsi"/>
        </w:rPr>
        <w:t xml:space="preserve">The </w:t>
      </w:r>
      <w:r w:rsidR="00210A68">
        <w:rPr>
          <w:rFonts w:cstheme="minorHAnsi"/>
        </w:rPr>
        <w:t xml:space="preserve">only element of deception </w:t>
      </w:r>
      <w:r w:rsidR="00EC6C39">
        <w:rPr>
          <w:rFonts w:cstheme="minorHAnsi"/>
        </w:rPr>
        <w:t xml:space="preserve">in the relevant exchange </w:t>
      </w:r>
      <w:r w:rsidR="00210A68">
        <w:rPr>
          <w:rFonts w:cstheme="minorHAnsi"/>
        </w:rPr>
        <w:t xml:space="preserve">was </w:t>
      </w:r>
      <w:r w:rsidR="00EC6C39">
        <w:rPr>
          <w:rFonts w:cstheme="minorHAnsi"/>
        </w:rPr>
        <w:t xml:space="preserve">the detectives’ assertion that others had told them </w:t>
      </w:r>
      <w:r w:rsidR="00470E47" w:rsidRPr="00631676">
        <w:rPr>
          <w:rFonts w:cstheme="minorHAnsi"/>
        </w:rPr>
        <w:t>defendant had dug Nick’s grave</w:t>
      </w:r>
      <w:r w:rsidR="002E3FC3">
        <w:rPr>
          <w:rFonts w:cstheme="minorHAnsi"/>
        </w:rPr>
        <w:t>,</w:t>
      </w:r>
      <w:r w:rsidR="00470E47" w:rsidRPr="00631676">
        <w:rPr>
          <w:rFonts w:cstheme="minorHAnsi"/>
        </w:rPr>
        <w:t xml:space="preserve"> but </w:t>
      </w:r>
      <w:r w:rsidR="006F5B9B" w:rsidRPr="00631676">
        <w:rPr>
          <w:rFonts w:cstheme="minorHAnsi"/>
        </w:rPr>
        <w:t xml:space="preserve">defendant fails to explain </w:t>
      </w:r>
      <w:r w:rsidR="00B8032D" w:rsidRPr="00631676">
        <w:rPr>
          <w:rFonts w:cstheme="minorHAnsi"/>
        </w:rPr>
        <w:t xml:space="preserve">how </w:t>
      </w:r>
      <w:r w:rsidR="001A3783" w:rsidRPr="00631676">
        <w:rPr>
          <w:rFonts w:cstheme="minorHAnsi"/>
        </w:rPr>
        <w:t xml:space="preserve">the </w:t>
      </w:r>
      <w:r w:rsidR="00B8032D" w:rsidRPr="00631676">
        <w:rPr>
          <w:rFonts w:cstheme="minorHAnsi"/>
        </w:rPr>
        <w:t xml:space="preserve">assertion </w:t>
      </w:r>
      <w:r w:rsidR="001A3783" w:rsidRPr="00631676">
        <w:rPr>
          <w:rFonts w:cstheme="minorHAnsi"/>
        </w:rPr>
        <w:t xml:space="preserve">undermined the voluntariness of defendant’s claim to have “only” </w:t>
      </w:r>
      <w:r w:rsidR="00355ACF" w:rsidRPr="00631676">
        <w:rPr>
          <w:rFonts w:cstheme="minorHAnsi"/>
        </w:rPr>
        <w:t>killed Nick.</w:t>
      </w:r>
      <w:r w:rsidR="0021546E">
        <w:rPr>
          <w:rFonts w:cstheme="minorHAnsi"/>
        </w:rPr>
        <w:t xml:space="preserve">  </w:t>
      </w:r>
    </w:p>
    <w:p w14:paraId="3DD66CF1" w14:textId="2B84AF0B" w:rsidR="00F028FD" w:rsidRPr="00631676" w:rsidRDefault="00F028FD" w:rsidP="00786EC3">
      <w:pPr>
        <w:rPr>
          <w:rFonts w:cstheme="minorHAnsi"/>
        </w:rPr>
      </w:pPr>
      <w:r w:rsidRPr="00631676">
        <w:rPr>
          <w:rFonts w:cstheme="minorHAnsi"/>
        </w:rPr>
        <w:tab/>
      </w:r>
      <w:r w:rsidR="00B30D5A">
        <w:rPr>
          <w:rFonts w:cstheme="minorHAnsi"/>
        </w:rPr>
        <w:t xml:space="preserve">Defendant’s final challenge to the admission of his confession </w:t>
      </w:r>
      <w:r w:rsidR="008B5900">
        <w:rPr>
          <w:rFonts w:cstheme="minorHAnsi"/>
        </w:rPr>
        <w:t xml:space="preserve">concerns the introduction of </w:t>
      </w:r>
      <w:r w:rsidRPr="00631676">
        <w:rPr>
          <w:rFonts w:cstheme="minorHAnsi"/>
        </w:rPr>
        <w:t>the</w:t>
      </w:r>
      <w:r w:rsidR="00D941B4" w:rsidRPr="00631676">
        <w:rPr>
          <w:rFonts w:cstheme="minorHAnsi"/>
        </w:rPr>
        <w:t xml:space="preserve"> last exchange that took place between the </w:t>
      </w:r>
      <w:r w:rsidR="003F505A" w:rsidRPr="00631676">
        <w:rPr>
          <w:rFonts w:cstheme="minorHAnsi"/>
        </w:rPr>
        <w:t xml:space="preserve">detectives </w:t>
      </w:r>
      <w:r w:rsidR="00D941B4" w:rsidRPr="00631676">
        <w:rPr>
          <w:rFonts w:cstheme="minorHAnsi"/>
        </w:rPr>
        <w:t xml:space="preserve">and defendant </w:t>
      </w:r>
      <w:r w:rsidR="00320A20" w:rsidRPr="00631676">
        <w:rPr>
          <w:rFonts w:cstheme="minorHAnsi"/>
        </w:rPr>
        <w:t xml:space="preserve">after defendant </w:t>
      </w:r>
      <w:r w:rsidR="0059656B" w:rsidRPr="00631676">
        <w:rPr>
          <w:rFonts w:cstheme="minorHAnsi"/>
        </w:rPr>
        <w:t>told the detectives</w:t>
      </w:r>
      <w:r w:rsidR="00320A20" w:rsidRPr="00631676">
        <w:rPr>
          <w:rFonts w:cstheme="minorHAnsi"/>
        </w:rPr>
        <w:t>, “I think I want to stop there</w:t>
      </w:r>
      <w:r w:rsidRPr="00631676">
        <w:rPr>
          <w:rFonts w:cstheme="minorHAnsi"/>
        </w:rPr>
        <w:t>.</w:t>
      </w:r>
      <w:r w:rsidR="00320A20" w:rsidRPr="00631676">
        <w:rPr>
          <w:rFonts w:cstheme="minorHAnsi"/>
        </w:rPr>
        <w:t xml:space="preserve">  I think you guys got </w:t>
      </w:r>
      <w:proofErr w:type="gramStart"/>
      <w:r w:rsidR="00320A20" w:rsidRPr="00631676">
        <w:rPr>
          <w:rFonts w:cstheme="minorHAnsi"/>
        </w:rPr>
        <w:t>a pretty good</w:t>
      </w:r>
      <w:proofErr w:type="gramEnd"/>
      <w:r w:rsidR="00320A20" w:rsidRPr="00631676">
        <w:rPr>
          <w:rFonts w:cstheme="minorHAnsi"/>
        </w:rPr>
        <w:t xml:space="preserve"> picture.”</w:t>
      </w:r>
      <w:r w:rsidR="00976E01" w:rsidRPr="00631676">
        <w:rPr>
          <w:rFonts w:cstheme="minorHAnsi"/>
        </w:rPr>
        <w:t xml:space="preserve">  In the </w:t>
      </w:r>
      <w:r w:rsidR="00C26CE6">
        <w:rPr>
          <w:rFonts w:cstheme="minorHAnsi"/>
        </w:rPr>
        <w:t xml:space="preserve">colloquy </w:t>
      </w:r>
      <w:r w:rsidR="00976E01" w:rsidRPr="00631676">
        <w:rPr>
          <w:rFonts w:cstheme="minorHAnsi"/>
        </w:rPr>
        <w:t xml:space="preserve">that followed, </w:t>
      </w:r>
      <w:r w:rsidR="00D941B4" w:rsidRPr="00631676">
        <w:rPr>
          <w:rFonts w:cstheme="minorHAnsi"/>
        </w:rPr>
        <w:t xml:space="preserve">Reinstadler asked defendant if “there ever [was] a time when right before you pulled the trigger that you just thought, you know I shouldn’t do this?  This is wrong.  Because I haven’t </w:t>
      </w:r>
      <w:r w:rsidR="00D941B4" w:rsidRPr="00631676">
        <w:rPr>
          <w:rFonts w:cstheme="minorHAnsi"/>
        </w:rPr>
        <w:lastRenderedPageBreak/>
        <w:t xml:space="preserve">heard that from you.”  Defendant asked if </w:t>
      </w:r>
      <w:r w:rsidR="00583FBC" w:rsidRPr="00631676">
        <w:rPr>
          <w:rFonts w:cstheme="minorHAnsi"/>
        </w:rPr>
        <w:t xml:space="preserve">the </w:t>
      </w:r>
      <w:r w:rsidR="003F505A" w:rsidRPr="00631676">
        <w:rPr>
          <w:rFonts w:cstheme="minorHAnsi"/>
        </w:rPr>
        <w:t>detectives</w:t>
      </w:r>
      <w:r w:rsidR="00D941B4" w:rsidRPr="00631676">
        <w:rPr>
          <w:rFonts w:cstheme="minorHAnsi"/>
        </w:rPr>
        <w:t xml:space="preserve"> wanted his “honest[]” response and when they answered in the affirmative, he told them, </w:t>
      </w:r>
      <w:r w:rsidR="00141600" w:rsidRPr="00631676">
        <w:rPr>
          <w:rFonts w:cstheme="minorHAnsi"/>
        </w:rPr>
        <w:t xml:space="preserve">“Hell, yes.  Right before.”  </w:t>
      </w:r>
      <w:r w:rsidR="002C0F0D" w:rsidRPr="00631676">
        <w:rPr>
          <w:rFonts w:cstheme="minorHAnsi"/>
        </w:rPr>
        <w:t xml:space="preserve">Defendant now </w:t>
      </w:r>
      <w:r w:rsidRPr="00631676">
        <w:rPr>
          <w:rFonts w:cstheme="minorHAnsi"/>
        </w:rPr>
        <w:t xml:space="preserve">argues that </w:t>
      </w:r>
      <w:r w:rsidR="00C362C5" w:rsidRPr="00631676">
        <w:rPr>
          <w:rFonts w:cstheme="minorHAnsi"/>
        </w:rPr>
        <w:t xml:space="preserve">this exchange—what he refers to as “side </w:t>
      </w:r>
      <w:r w:rsidRPr="00631676">
        <w:rPr>
          <w:rFonts w:cstheme="minorHAnsi"/>
        </w:rPr>
        <w:t>B</w:t>
      </w:r>
      <w:r w:rsidR="00C362C5" w:rsidRPr="00631676">
        <w:rPr>
          <w:rFonts w:cstheme="minorHAnsi"/>
        </w:rPr>
        <w:t>”</w:t>
      </w:r>
      <w:r w:rsidR="00786EC3">
        <w:rPr>
          <w:rStyle w:val="FootnoteReference"/>
          <w:rFonts w:cstheme="minorHAnsi"/>
        </w:rPr>
        <w:footnoteReference w:id="10"/>
      </w:r>
      <w:r w:rsidRPr="00631676">
        <w:rPr>
          <w:rFonts w:cstheme="minorHAnsi"/>
        </w:rPr>
        <w:t xml:space="preserve"> evidence</w:t>
      </w:r>
      <w:r w:rsidR="00C362C5" w:rsidRPr="00631676">
        <w:rPr>
          <w:rFonts w:cstheme="minorHAnsi"/>
        </w:rPr>
        <w:t>—</w:t>
      </w:r>
      <w:r w:rsidRPr="00631676">
        <w:rPr>
          <w:rFonts w:cstheme="minorHAnsi"/>
        </w:rPr>
        <w:t>should have been excluded</w:t>
      </w:r>
      <w:r w:rsidR="00F7468C" w:rsidRPr="00631676">
        <w:rPr>
          <w:rFonts w:cstheme="minorHAnsi"/>
        </w:rPr>
        <w:t>, or a</w:t>
      </w:r>
      <w:r w:rsidR="00953050" w:rsidRPr="00631676">
        <w:rPr>
          <w:rFonts w:cstheme="minorHAnsi"/>
        </w:rPr>
        <w:t>n effective</w:t>
      </w:r>
      <w:r w:rsidR="00F7468C" w:rsidRPr="00631676">
        <w:rPr>
          <w:rFonts w:cstheme="minorHAnsi"/>
        </w:rPr>
        <w:t xml:space="preserve"> limiting instruction should have been given.  </w:t>
      </w:r>
    </w:p>
    <w:p w14:paraId="2874152B" w14:textId="1CA102EF" w:rsidR="00231DA2" w:rsidRPr="00631676" w:rsidRDefault="00336131" w:rsidP="00B467B9">
      <w:pPr>
        <w:rPr>
          <w:rFonts w:cstheme="minorHAnsi"/>
        </w:rPr>
      </w:pPr>
      <w:r w:rsidRPr="00631676">
        <w:rPr>
          <w:rFonts w:cstheme="minorHAnsi"/>
        </w:rPr>
        <w:tab/>
      </w:r>
      <w:r w:rsidR="00301381">
        <w:rPr>
          <w:rFonts w:cstheme="minorHAnsi"/>
        </w:rPr>
        <w:t xml:space="preserve">The Attorney General does not dispute that defendant had unequivocally invoked his right to remain silent before this exchange.  Nonetheless, we conclude </w:t>
      </w:r>
      <w:r w:rsidR="0059656B" w:rsidRPr="00631676">
        <w:rPr>
          <w:rFonts w:cstheme="minorHAnsi"/>
        </w:rPr>
        <w:t xml:space="preserve">defendant’s claim lacks merit.  </w:t>
      </w:r>
      <w:r w:rsidR="00D563B9" w:rsidRPr="00631676">
        <w:rPr>
          <w:rFonts w:cstheme="minorHAnsi"/>
        </w:rPr>
        <w:t xml:space="preserve">As the high court made clear in </w:t>
      </w:r>
      <w:r w:rsidR="00D563B9" w:rsidRPr="00631676">
        <w:rPr>
          <w:rFonts w:cstheme="minorHAnsi"/>
          <w:i/>
        </w:rPr>
        <w:t>Harris v. New York</w:t>
      </w:r>
      <w:r w:rsidR="00D563B9" w:rsidRPr="00631676">
        <w:rPr>
          <w:rFonts w:cstheme="minorHAnsi"/>
        </w:rPr>
        <w:t xml:space="preserve"> (1971) 401 U.S. 222, 225–226, “although statements elicited in violation of </w:t>
      </w:r>
      <w:r w:rsidR="00D563B9" w:rsidRPr="00631676">
        <w:rPr>
          <w:rFonts w:cstheme="minorHAnsi"/>
          <w:i/>
        </w:rPr>
        <w:t>Miranda</w:t>
      </w:r>
      <w:r w:rsidR="00D563B9" w:rsidRPr="00631676">
        <w:rPr>
          <w:rFonts w:cstheme="minorHAnsi"/>
        </w:rPr>
        <w:t xml:space="preserve"> are generally not admissible, statements that are otherwise voluntarily made may be used to impeach the defendant’s trial testimony.”  (</w:t>
      </w:r>
      <w:r w:rsidR="00D563B9" w:rsidRPr="00631676">
        <w:rPr>
          <w:rFonts w:cstheme="minorHAnsi"/>
          <w:i/>
        </w:rPr>
        <w:t>People v. Case</w:t>
      </w:r>
      <w:r w:rsidR="00D563B9" w:rsidRPr="00631676">
        <w:rPr>
          <w:rFonts w:cstheme="minorHAnsi"/>
        </w:rPr>
        <w:t xml:space="preserve"> (2018) 5 Cal.5th 1, 18.)  </w:t>
      </w:r>
      <w:r w:rsidR="00ED45E1" w:rsidRPr="00631676">
        <w:rPr>
          <w:rFonts w:cstheme="minorHAnsi"/>
        </w:rPr>
        <w:t>Defendant argues that the trial court should have excluded the evidence altogether as a sanction for the detectives’ deliberate violation of defendant’s right to remain silent</w:t>
      </w:r>
      <w:r w:rsidR="00117FE3" w:rsidRPr="00631676">
        <w:rPr>
          <w:rFonts w:cstheme="minorHAnsi"/>
        </w:rPr>
        <w:t xml:space="preserve">.  </w:t>
      </w:r>
      <w:r w:rsidR="00CB789C">
        <w:rPr>
          <w:rFonts w:cstheme="minorHAnsi"/>
        </w:rPr>
        <w:t xml:space="preserve">But even if defendant’s characterization were correct, the “side B” evidence </w:t>
      </w:r>
      <w:r w:rsidR="00B06B01">
        <w:rPr>
          <w:rFonts w:cstheme="minorHAnsi"/>
        </w:rPr>
        <w:t xml:space="preserve">would </w:t>
      </w:r>
      <w:r w:rsidR="00CB789C">
        <w:rPr>
          <w:rFonts w:cstheme="minorHAnsi"/>
        </w:rPr>
        <w:t xml:space="preserve">nevertheless </w:t>
      </w:r>
      <w:r w:rsidR="00B06B01">
        <w:rPr>
          <w:rFonts w:cstheme="minorHAnsi"/>
        </w:rPr>
        <w:t xml:space="preserve">be </w:t>
      </w:r>
      <w:r w:rsidR="00CB789C">
        <w:rPr>
          <w:rFonts w:cstheme="minorHAnsi"/>
        </w:rPr>
        <w:t xml:space="preserve">admissible as impeachment evidence.  </w:t>
      </w:r>
      <w:r w:rsidR="00231DA2" w:rsidRPr="00631676">
        <w:t>(</w:t>
      </w:r>
      <w:r w:rsidR="00231DA2" w:rsidRPr="00631676">
        <w:rPr>
          <w:i/>
        </w:rPr>
        <w:t>People v. Peevy</w:t>
      </w:r>
      <w:r w:rsidR="003F38E5" w:rsidRPr="00631676">
        <w:t xml:space="preserve">, </w:t>
      </w:r>
      <w:r w:rsidR="003F38E5" w:rsidRPr="00631676">
        <w:rPr>
          <w:i/>
        </w:rPr>
        <w:t>supra</w:t>
      </w:r>
      <w:r w:rsidR="003F38E5" w:rsidRPr="00631676">
        <w:t>,</w:t>
      </w:r>
      <w:r w:rsidR="006E771F" w:rsidRPr="00631676">
        <w:t xml:space="preserve"> </w:t>
      </w:r>
      <w:r w:rsidR="00231DA2" w:rsidRPr="00631676">
        <w:t xml:space="preserve">17 Cal.4th </w:t>
      </w:r>
      <w:r w:rsidR="00333B3A" w:rsidRPr="00631676">
        <w:t>at p.</w:t>
      </w:r>
      <w:r w:rsidR="00907916">
        <w:t> </w:t>
      </w:r>
      <w:r w:rsidR="00231DA2" w:rsidRPr="00631676">
        <w:t xml:space="preserve">1188; </w:t>
      </w:r>
      <w:r w:rsidR="00231DA2" w:rsidRPr="00631676">
        <w:rPr>
          <w:i/>
        </w:rPr>
        <w:t>People v. Nguyen</w:t>
      </w:r>
      <w:r w:rsidR="00231DA2" w:rsidRPr="00631676">
        <w:t xml:space="preserve"> (2015) 61 Cal.4th 1015, 1076.)  </w:t>
      </w:r>
    </w:p>
    <w:p w14:paraId="2EFF9C81" w14:textId="3F52FAB0" w:rsidR="00617778" w:rsidRPr="00631676" w:rsidRDefault="00B72104" w:rsidP="00EC3DB2">
      <w:pPr>
        <w:ind w:firstLine="720"/>
        <w:rPr>
          <w:rFonts w:cstheme="minorHAnsi"/>
        </w:rPr>
      </w:pPr>
      <w:r>
        <w:rPr>
          <w:rFonts w:cstheme="minorHAnsi"/>
        </w:rPr>
        <w:t xml:space="preserve">As for defendant’s argument about jury instructions, the jury was, in fact, instructed that it was </w:t>
      </w:r>
      <w:r w:rsidR="00BF1B88" w:rsidRPr="00631676">
        <w:rPr>
          <w:rFonts w:cstheme="minorHAnsi"/>
        </w:rPr>
        <w:t xml:space="preserve">to consider the </w:t>
      </w:r>
      <w:r w:rsidR="00ED45E1" w:rsidRPr="00631676">
        <w:rPr>
          <w:rFonts w:cstheme="minorHAnsi"/>
        </w:rPr>
        <w:t>“</w:t>
      </w:r>
      <w:r w:rsidR="00BF1B88" w:rsidRPr="00631676">
        <w:rPr>
          <w:rFonts w:cstheme="minorHAnsi"/>
        </w:rPr>
        <w:t>side B</w:t>
      </w:r>
      <w:r w:rsidR="00ED45E1" w:rsidRPr="00631676">
        <w:rPr>
          <w:rFonts w:cstheme="minorHAnsi"/>
        </w:rPr>
        <w:t>”</w:t>
      </w:r>
      <w:r w:rsidR="00BF1B88" w:rsidRPr="00631676">
        <w:rPr>
          <w:rFonts w:cstheme="minorHAnsi"/>
        </w:rPr>
        <w:t xml:space="preserve"> evidence only for purposes of impeachment</w:t>
      </w:r>
      <w:r w:rsidR="00081A67">
        <w:rPr>
          <w:rFonts w:cstheme="minorHAnsi"/>
        </w:rPr>
        <w:t xml:space="preserve">, and not as evidence of guilt.  </w:t>
      </w:r>
      <w:r w:rsidR="00A94E12" w:rsidRPr="00631676">
        <w:rPr>
          <w:rFonts w:cstheme="minorHAnsi"/>
        </w:rPr>
        <w:t xml:space="preserve">To the extent defendant would have preferred </w:t>
      </w:r>
      <w:r w:rsidR="008B1AFE">
        <w:rPr>
          <w:rFonts w:cstheme="minorHAnsi"/>
        </w:rPr>
        <w:t xml:space="preserve">for </w:t>
      </w:r>
      <w:r w:rsidR="00A94E12" w:rsidRPr="00631676">
        <w:rPr>
          <w:rFonts w:cstheme="minorHAnsi"/>
        </w:rPr>
        <w:t xml:space="preserve">the instruction be </w:t>
      </w:r>
      <w:r w:rsidR="0059656B" w:rsidRPr="00631676">
        <w:rPr>
          <w:rFonts w:cstheme="minorHAnsi"/>
        </w:rPr>
        <w:t>phrased differently to make it more effective</w:t>
      </w:r>
      <w:r w:rsidR="00A94E12" w:rsidRPr="00631676">
        <w:rPr>
          <w:rFonts w:cstheme="minorHAnsi"/>
        </w:rPr>
        <w:t xml:space="preserve">, it was his obligation to request a correction of the instruction given </w:t>
      </w:r>
      <w:r w:rsidR="00A94E12" w:rsidRPr="00631676">
        <w:rPr>
          <w:rFonts w:cstheme="minorHAnsi"/>
        </w:rPr>
        <w:lastRenderedPageBreak/>
        <w:t>or seek a new, more specific instruction.  (</w:t>
      </w:r>
      <w:r w:rsidR="00A94E12" w:rsidRPr="00631676">
        <w:rPr>
          <w:rFonts w:cstheme="minorHAnsi"/>
          <w:i/>
        </w:rPr>
        <w:t>People v. Chism</w:t>
      </w:r>
      <w:r w:rsidR="00A94E12" w:rsidRPr="00631676">
        <w:rPr>
          <w:rFonts w:cstheme="minorHAnsi"/>
        </w:rPr>
        <w:t xml:space="preserve"> (2014) 58 Cal.4th 1266, 1308.)  Having done neither, defendant has forfeited the claim on appeal.  </w:t>
      </w:r>
      <w:r w:rsidR="00D563B9" w:rsidRPr="00631676">
        <w:rPr>
          <w:rFonts w:cstheme="minorHAnsi"/>
        </w:rPr>
        <w:t xml:space="preserve">Accordingly, </w:t>
      </w:r>
      <w:r w:rsidR="005D2549" w:rsidRPr="00631676">
        <w:rPr>
          <w:rFonts w:cstheme="minorHAnsi"/>
        </w:rPr>
        <w:t>we</w:t>
      </w:r>
      <w:r w:rsidR="00D563B9" w:rsidRPr="00631676">
        <w:rPr>
          <w:rFonts w:cstheme="minorHAnsi"/>
        </w:rPr>
        <w:t xml:space="preserve"> conclude no error arose from </w:t>
      </w:r>
      <w:r w:rsidR="00EC3DB2">
        <w:rPr>
          <w:rFonts w:cstheme="minorHAnsi"/>
        </w:rPr>
        <w:t xml:space="preserve">the </w:t>
      </w:r>
      <w:r w:rsidR="00D563B9" w:rsidRPr="00631676">
        <w:rPr>
          <w:rFonts w:cstheme="minorHAnsi"/>
        </w:rPr>
        <w:t>introduction of the “side B” evidence for impeachment purposes.</w:t>
      </w:r>
    </w:p>
    <w:p w14:paraId="1F23BCBC" w14:textId="7FAF1D0B" w:rsidR="00F92B9A" w:rsidRPr="00EC3DB2" w:rsidRDefault="00F92B9A" w:rsidP="00EC3DB2">
      <w:pPr>
        <w:pStyle w:val="Heading3"/>
        <w:rPr>
          <w:rFonts w:cstheme="minorHAnsi"/>
          <w:b/>
        </w:rPr>
      </w:pPr>
      <w:r w:rsidRPr="00EC3DB2">
        <w:rPr>
          <w:rFonts w:cstheme="minorHAnsi"/>
        </w:rPr>
        <w:tab/>
      </w:r>
      <w:r w:rsidR="003B3670" w:rsidRPr="00EC3DB2">
        <w:rPr>
          <w:rFonts w:cstheme="minorHAnsi"/>
        </w:rPr>
        <w:tab/>
      </w:r>
      <w:bookmarkStart w:id="30" w:name="_Toc12993767"/>
      <w:r w:rsidRPr="00EC3DB2">
        <w:rPr>
          <w:rFonts w:cstheme="minorHAnsi"/>
        </w:rPr>
        <w:t>3.</w:t>
      </w:r>
      <w:r w:rsidRPr="00EC3DB2">
        <w:rPr>
          <w:rFonts w:cstheme="minorHAnsi"/>
        </w:rPr>
        <w:tab/>
      </w:r>
      <w:r w:rsidR="00A56890" w:rsidRPr="00EC3DB2">
        <w:rPr>
          <w:rFonts w:cstheme="minorHAnsi"/>
        </w:rPr>
        <w:t>Defendant’s Testimony</w:t>
      </w:r>
      <w:r w:rsidRPr="00EC3DB2">
        <w:rPr>
          <w:rFonts w:cstheme="minorHAnsi"/>
        </w:rPr>
        <w:t xml:space="preserve"> </w:t>
      </w:r>
      <w:bookmarkEnd w:id="30"/>
    </w:p>
    <w:p w14:paraId="390C30CB" w14:textId="553CF411" w:rsidR="0091016D" w:rsidRPr="00631676" w:rsidRDefault="00D5796B" w:rsidP="00EC3DB2">
      <w:pPr>
        <w:rPr>
          <w:rFonts w:cstheme="minorHAnsi"/>
        </w:rPr>
      </w:pPr>
      <w:r w:rsidRPr="00631676">
        <w:rPr>
          <w:rFonts w:cstheme="minorHAnsi"/>
        </w:rPr>
        <w:tab/>
        <w:t xml:space="preserve">Defendant </w:t>
      </w:r>
      <w:r w:rsidR="0091016D" w:rsidRPr="00631676">
        <w:rPr>
          <w:rFonts w:cstheme="minorHAnsi"/>
        </w:rPr>
        <w:t xml:space="preserve">argues the court violated his rights under the Fifth </w:t>
      </w:r>
      <w:r w:rsidR="008A32DB" w:rsidRPr="00631676">
        <w:rPr>
          <w:rFonts w:cstheme="minorHAnsi"/>
        </w:rPr>
        <w:t xml:space="preserve">and Sixth </w:t>
      </w:r>
      <w:r w:rsidR="0091016D" w:rsidRPr="00631676">
        <w:rPr>
          <w:rFonts w:cstheme="minorHAnsi"/>
        </w:rPr>
        <w:t>Amendment</w:t>
      </w:r>
      <w:r w:rsidR="008A32DB" w:rsidRPr="00631676">
        <w:rPr>
          <w:rFonts w:cstheme="minorHAnsi"/>
        </w:rPr>
        <w:t>s</w:t>
      </w:r>
      <w:r w:rsidR="0091016D" w:rsidRPr="00631676">
        <w:rPr>
          <w:rFonts w:cstheme="minorHAnsi"/>
        </w:rPr>
        <w:t xml:space="preserve"> to the United States Constitution by </w:t>
      </w:r>
      <w:r w:rsidR="00EB578A" w:rsidRPr="00631676">
        <w:rPr>
          <w:rFonts w:cstheme="minorHAnsi"/>
        </w:rPr>
        <w:t xml:space="preserve">compelling </w:t>
      </w:r>
      <w:r w:rsidR="0091016D" w:rsidRPr="00631676">
        <w:rPr>
          <w:rFonts w:cstheme="minorHAnsi"/>
        </w:rPr>
        <w:t xml:space="preserve">him to testify as a foundation for </w:t>
      </w:r>
      <w:r w:rsidR="00F84181" w:rsidRPr="00631676">
        <w:rPr>
          <w:rFonts w:cstheme="minorHAnsi"/>
        </w:rPr>
        <w:t xml:space="preserve">testimony by </w:t>
      </w:r>
      <w:r w:rsidR="0091016D" w:rsidRPr="00631676">
        <w:rPr>
          <w:rFonts w:cstheme="minorHAnsi"/>
        </w:rPr>
        <w:t>his expert</w:t>
      </w:r>
      <w:r w:rsidR="007F7C08" w:rsidRPr="00631676">
        <w:rPr>
          <w:rFonts w:cstheme="minorHAnsi"/>
        </w:rPr>
        <w:t>, Dr.</w:t>
      </w:r>
      <w:r w:rsidR="00C779EA" w:rsidRPr="00631676">
        <w:rPr>
          <w:rFonts w:cstheme="minorHAnsi"/>
        </w:rPr>
        <w:t> </w:t>
      </w:r>
      <w:r w:rsidR="00DD006B" w:rsidRPr="00631676">
        <w:rPr>
          <w:rFonts w:cstheme="minorHAnsi"/>
        </w:rPr>
        <w:t xml:space="preserve">Michael </w:t>
      </w:r>
      <w:r w:rsidR="007F7C08" w:rsidRPr="00631676">
        <w:rPr>
          <w:rFonts w:cstheme="minorHAnsi"/>
        </w:rPr>
        <w:t xml:space="preserve">Kania, that </w:t>
      </w:r>
      <w:r w:rsidR="00B55BCB" w:rsidRPr="00631676">
        <w:rPr>
          <w:rFonts w:cstheme="minorHAnsi"/>
        </w:rPr>
        <w:t xml:space="preserve">his </w:t>
      </w:r>
      <w:r w:rsidR="007F7C08" w:rsidRPr="00631676">
        <w:rPr>
          <w:rFonts w:cstheme="minorHAnsi"/>
        </w:rPr>
        <w:t>confession was false</w:t>
      </w:r>
      <w:r w:rsidR="0091016D" w:rsidRPr="00631676">
        <w:rPr>
          <w:rFonts w:cstheme="minorHAnsi"/>
        </w:rPr>
        <w:t xml:space="preserve">.  </w:t>
      </w:r>
      <w:r w:rsidR="006E771F" w:rsidRPr="00631676">
        <w:rPr>
          <w:rFonts w:cstheme="minorHAnsi"/>
        </w:rPr>
        <w:t>We</w:t>
      </w:r>
      <w:r w:rsidR="0091016D" w:rsidRPr="00631676">
        <w:rPr>
          <w:rFonts w:cstheme="minorHAnsi"/>
        </w:rPr>
        <w:t xml:space="preserve"> conclude his claim </w:t>
      </w:r>
      <w:r w:rsidR="00DE71D2" w:rsidRPr="00631676">
        <w:rPr>
          <w:rFonts w:cstheme="minorHAnsi"/>
        </w:rPr>
        <w:t xml:space="preserve">is forfeited and </w:t>
      </w:r>
      <w:r w:rsidR="0091016D" w:rsidRPr="00631676">
        <w:rPr>
          <w:rFonts w:cstheme="minorHAnsi"/>
        </w:rPr>
        <w:t>lacks merit</w:t>
      </w:r>
      <w:r w:rsidR="00EB578A" w:rsidRPr="00631676">
        <w:rPr>
          <w:rFonts w:cstheme="minorHAnsi"/>
        </w:rPr>
        <w:t xml:space="preserve"> in any event</w:t>
      </w:r>
      <w:r w:rsidR="0091016D" w:rsidRPr="00631676">
        <w:rPr>
          <w:rFonts w:cstheme="minorHAnsi"/>
        </w:rPr>
        <w:t>.</w:t>
      </w:r>
    </w:p>
    <w:p w14:paraId="23B8B3F0" w14:textId="4EA8325A" w:rsidR="00AF2634" w:rsidRPr="00631676" w:rsidRDefault="007F7C08" w:rsidP="00EC3DB2">
      <w:pPr>
        <w:rPr>
          <w:rFonts w:cstheme="minorHAnsi"/>
        </w:rPr>
      </w:pPr>
      <w:r w:rsidRPr="00631676">
        <w:rPr>
          <w:rFonts w:cstheme="minorHAnsi"/>
        </w:rPr>
        <w:tab/>
        <w:t>The defense proposed calling Dr.</w:t>
      </w:r>
      <w:r w:rsidR="00C779EA" w:rsidRPr="00631676">
        <w:rPr>
          <w:rFonts w:cstheme="minorHAnsi"/>
        </w:rPr>
        <w:t> </w:t>
      </w:r>
      <w:r w:rsidRPr="00631676">
        <w:rPr>
          <w:rFonts w:cstheme="minorHAnsi"/>
        </w:rPr>
        <w:t xml:space="preserve">Kania to testify that defendant’s confession was false.  The trial court held a hearing </w:t>
      </w:r>
      <w:r w:rsidR="00EB578A" w:rsidRPr="00631676">
        <w:rPr>
          <w:rFonts w:cstheme="minorHAnsi"/>
        </w:rPr>
        <w:t xml:space="preserve">under </w:t>
      </w:r>
      <w:r w:rsidRPr="00631676">
        <w:rPr>
          <w:rFonts w:cstheme="minorHAnsi"/>
        </w:rPr>
        <w:t>Evidence Code section 402</w:t>
      </w:r>
      <w:r w:rsidR="0011140A" w:rsidRPr="00631676">
        <w:rPr>
          <w:rFonts w:cstheme="minorHAnsi"/>
        </w:rPr>
        <w:t xml:space="preserve"> to determine the admissibility of that testimony</w:t>
      </w:r>
      <w:r w:rsidRPr="00631676">
        <w:rPr>
          <w:rFonts w:cstheme="minorHAnsi"/>
        </w:rPr>
        <w:t>.</w:t>
      </w:r>
      <w:r w:rsidR="002E6238" w:rsidRPr="00631676">
        <w:rPr>
          <w:rStyle w:val="FootnoteReference"/>
          <w:rFonts w:cstheme="minorHAnsi"/>
        </w:rPr>
        <w:footnoteReference w:id="11"/>
      </w:r>
      <w:r w:rsidRPr="00631676">
        <w:rPr>
          <w:rFonts w:cstheme="minorHAnsi"/>
        </w:rPr>
        <w:t xml:space="preserve">  </w:t>
      </w:r>
      <w:r w:rsidR="001E08F9" w:rsidRPr="00631676">
        <w:rPr>
          <w:rFonts w:cstheme="minorHAnsi"/>
        </w:rPr>
        <w:t>During the hearing, the court and parties discussed the possibility of defendant testifying before Dr.</w:t>
      </w:r>
      <w:r w:rsidR="00C779EA" w:rsidRPr="00631676">
        <w:rPr>
          <w:rFonts w:cstheme="minorHAnsi"/>
        </w:rPr>
        <w:t> </w:t>
      </w:r>
      <w:r w:rsidR="001E08F9" w:rsidRPr="00631676">
        <w:rPr>
          <w:rFonts w:cstheme="minorHAnsi"/>
        </w:rPr>
        <w:t>Kania to provide a foundation for Dr.</w:t>
      </w:r>
      <w:r w:rsidR="00C779EA" w:rsidRPr="00631676">
        <w:rPr>
          <w:rFonts w:cstheme="minorHAnsi"/>
        </w:rPr>
        <w:t> </w:t>
      </w:r>
      <w:r w:rsidR="001E08F9" w:rsidRPr="00631676">
        <w:rPr>
          <w:rFonts w:cstheme="minorHAnsi"/>
        </w:rPr>
        <w:t>Kania’s testimony.  Specifically, the court indicated its assumption that “defendant is going to testify that he doesn’t remember giving that interview”</w:t>
      </w:r>
      <w:r w:rsidR="00AF2634" w:rsidRPr="00631676">
        <w:rPr>
          <w:rFonts w:cstheme="minorHAnsi"/>
        </w:rPr>
        <w:t xml:space="preserve"> to police to contextualize Dr.</w:t>
      </w:r>
      <w:r w:rsidR="00C779EA" w:rsidRPr="00631676">
        <w:rPr>
          <w:rFonts w:cstheme="minorHAnsi"/>
        </w:rPr>
        <w:t> </w:t>
      </w:r>
      <w:r w:rsidR="00AF2634" w:rsidRPr="00631676">
        <w:rPr>
          <w:rFonts w:cstheme="minorHAnsi"/>
        </w:rPr>
        <w:t xml:space="preserve">Kania’s opinion about anxiety causing amnesia of the sort defendant </w:t>
      </w:r>
      <w:r w:rsidR="00455949" w:rsidRPr="00631676">
        <w:rPr>
          <w:rFonts w:cstheme="minorHAnsi"/>
        </w:rPr>
        <w:t>alleges</w:t>
      </w:r>
      <w:r w:rsidR="00AF2634" w:rsidRPr="00631676">
        <w:rPr>
          <w:rFonts w:cstheme="minorHAnsi"/>
        </w:rPr>
        <w:t xml:space="preserve"> he suffered.  </w:t>
      </w:r>
      <w:r w:rsidR="00266B59" w:rsidRPr="00631676">
        <w:rPr>
          <w:rFonts w:cstheme="minorHAnsi"/>
        </w:rPr>
        <w:t xml:space="preserve">The defense </w:t>
      </w:r>
      <w:r w:rsidR="00C446CE" w:rsidRPr="00631676">
        <w:rPr>
          <w:rFonts w:cstheme="minorHAnsi"/>
        </w:rPr>
        <w:t xml:space="preserve">did not object at this juncture or indicate </w:t>
      </w:r>
      <w:r w:rsidR="00C446CE" w:rsidRPr="00631676">
        <w:rPr>
          <w:rFonts w:cstheme="minorHAnsi"/>
        </w:rPr>
        <w:lastRenderedPageBreak/>
        <w:t xml:space="preserve">there was uncertainty about whether or when </w:t>
      </w:r>
      <w:r w:rsidR="00266B59" w:rsidRPr="00631676">
        <w:rPr>
          <w:rFonts w:cstheme="minorHAnsi"/>
        </w:rPr>
        <w:t xml:space="preserve">defendant </w:t>
      </w:r>
      <w:r w:rsidR="00C446CE" w:rsidRPr="00631676">
        <w:rPr>
          <w:rFonts w:cstheme="minorHAnsi"/>
        </w:rPr>
        <w:t xml:space="preserve">planned to testify.  </w:t>
      </w:r>
      <w:r w:rsidR="00AF2634" w:rsidRPr="00631676">
        <w:rPr>
          <w:rFonts w:cstheme="minorHAnsi"/>
        </w:rPr>
        <w:t>The court “made it clear that I don’t believe that [Dr.</w:t>
      </w:r>
      <w:r w:rsidR="00C779EA" w:rsidRPr="00631676">
        <w:rPr>
          <w:rFonts w:cstheme="minorHAnsi"/>
        </w:rPr>
        <w:t> </w:t>
      </w:r>
      <w:r w:rsidR="00AF2634" w:rsidRPr="00631676">
        <w:rPr>
          <w:rFonts w:cstheme="minorHAnsi"/>
        </w:rPr>
        <w:t xml:space="preserve">Kania] can get on the stand and testify to </w:t>
      </w:r>
      <w:r w:rsidR="00C253DD" w:rsidRPr="00631676">
        <w:rPr>
          <w:rFonts w:cstheme="minorHAnsi"/>
        </w:rPr>
        <w:t xml:space="preserve">things that he was told </w:t>
      </w:r>
      <w:r w:rsidR="00AF2634" w:rsidRPr="00631676">
        <w:rPr>
          <w:rFonts w:cstheme="minorHAnsi"/>
        </w:rPr>
        <w:t xml:space="preserve">[while interviewing defendant] and, in effect, present the defendant’s defense, the defendant’s own testimony through the interview, I’ve said he can’t do that.”  </w:t>
      </w:r>
      <w:r w:rsidR="00C446CE" w:rsidRPr="00631676">
        <w:rPr>
          <w:rFonts w:cstheme="minorHAnsi"/>
        </w:rPr>
        <w:t>Defendant raised no objection to the court’s characterization.</w:t>
      </w:r>
      <w:r w:rsidR="00105DEC" w:rsidRPr="00631676">
        <w:rPr>
          <w:rFonts w:cstheme="minorHAnsi"/>
        </w:rPr>
        <w:t xml:space="preserve">  </w:t>
      </w:r>
      <w:r w:rsidR="00AF2634" w:rsidRPr="00631676">
        <w:rPr>
          <w:rFonts w:cstheme="minorHAnsi"/>
        </w:rPr>
        <w:t xml:space="preserve">The court </w:t>
      </w:r>
      <w:r w:rsidR="00EC0647" w:rsidRPr="00631676">
        <w:rPr>
          <w:rFonts w:cstheme="minorHAnsi"/>
        </w:rPr>
        <w:t>informed counsel that</w:t>
      </w:r>
      <w:r w:rsidR="00AF2634" w:rsidRPr="00631676">
        <w:rPr>
          <w:rFonts w:cstheme="minorHAnsi"/>
        </w:rPr>
        <w:t xml:space="preserve"> Dr.</w:t>
      </w:r>
      <w:r w:rsidR="00C779EA" w:rsidRPr="00631676">
        <w:rPr>
          <w:rFonts w:cstheme="minorHAnsi"/>
        </w:rPr>
        <w:t> </w:t>
      </w:r>
      <w:r w:rsidR="00AF2634" w:rsidRPr="00631676">
        <w:rPr>
          <w:rFonts w:cstheme="minorHAnsi"/>
        </w:rPr>
        <w:t>Kania’s testimony would be limited to his opinion about defendant’s anxiety and amnesia, not the content of Dr.</w:t>
      </w:r>
      <w:r w:rsidR="00C779EA" w:rsidRPr="00631676">
        <w:rPr>
          <w:rFonts w:cstheme="minorHAnsi"/>
        </w:rPr>
        <w:t> </w:t>
      </w:r>
      <w:r w:rsidR="00AF2634" w:rsidRPr="00631676">
        <w:rPr>
          <w:rFonts w:cstheme="minorHAnsi"/>
        </w:rPr>
        <w:t>Kania’s interview with defendant.  The court explained, “I’m not going to let him [Dr.</w:t>
      </w:r>
      <w:r w:rsidR="00C779EA" w:rsidRPr="00631676">
        <w:rPr>
          <w:rFonts w:cstheme="minorHAnsi"/>
        </w:rPr>
        <w:t> </w:t>
      </w:r>
      <w:r w:rsidR="00AF2634" w:rsidRPr="00631676">
        <w:rPr>
          <w:rFonts w:cstheme="minorHAnsi"/>
        </w:rPr>
        <w:t xml:space="preserve">Kania] testify as to circumstances, the things that he was told by the defendant.  The defendant can testify to those things and he [defendant] can be asked questions about it.”  The court </w:t>
      </w:r>
      <w:r w:rsidR="007B5EEE" w:rsidRPr="00631676">
        <w:rPr>
          <w:rFonts w:cstheme="minorHAnsi"/>
        </w:rPr>
        <w:t xml:space="preserve">further </w:t>
      </w:r>
      <w:r w:rsidR="00AF2634" w:rsidRPr="00631676">
        <w:rPr>
          <w:rFonts w:cstheme="minorHAnsi"/>
        </w:rPr>
        <w:t>r</w:t>
      </w:r>
      <w:r w:rsidR="008A32DB" w:rsidRPr="00631676">
        <w:rPr>
          <w:rFonts w:cstheme="minorHAnsi"/>
        </w:rPr>
        <w:t xml:space="preserve">ejected defense counsel’s argument that </w:t>
      </w:r>
      <w:r w:rsidR="00AF2634" w:rsidRPr="00631676">
        <w:rPr>
          <w:rFonts w:cstheme="minorHAnsi"/>
        </w:rPr>
        <w:t>Dr.</w:t>
      </w:r>
      <w:r w:rsidR="00C779EA" w:rsidRPr="00631676">
        <w:rPr>
          <w:rFonts w:cstheme="minorHAnsi"/>
        </w:rPr>
        <w:t> </w:t>
      </w:r>
      <w:r w:rsidR="00AF2634" w:rsidRPr="00631676">
        <w:rPr>
          <w:rFonts w:cstheme="minorHAnsi"/>
        </w:rPr>
        <w:t xml:space="preserve">Kania </w:t>
      </w:r>
      <w:r w:rsidR="008A32DB" w:rsidRPr="00631676">
        <w:rPr>
          <w:rFonts w:cstheme="minorHAnsi"/>
        </w:rPr>
        <w:t xml:space="preserve">should be </w:t>
      </w:r>
      <w:r w:rsidR="00AF2634" w:rsidRPr="00631676">
        <w:rPr>
          <w:rFonts w:cstheme="minorHAnsi"/>
        </w:rPr>
        <w:t>permitted to testify as to whether or not defendant gave a false confession</w:t>
      </w:r>
      <w:r w:rsidR="008A32DB" w:rsidRPr="00631676">
        <w:rPr>
          <w:rFonts w:cstheme="minorHAnsi"/>
        </w:rPr>
        <w:t>, concluding the issue was one for the jury to decide</w:t>
      </w:r>
      <w:r w:rsidR="00AF2634" w:rsidRPr="00631676">
        <w:rPr>
          <w:rFonts w:cstheme="minorHAnsi"/>
        </w:rPr>
        <w:t xml:space="preserve">.  </w:t>
      </w:r>
      <w:r w:rsidR="008A32DB" w:rsidRPr="00631676">
        <w:rPr>
          <w:rFonts w:cstheme="minorHAnsi"/>
        </w:rPr>
        <w:t>D</w:t>
      </w:r>
      <w:r w:rsidR="00852AB6" w:rsidRPr="00631676">
        <w:rPr>
          <w:rFonts w:cstheme="minorHAnsi"/>
        </w:rPr>
        <w:t>efense counsel</w:t>
      </w:r>
      <w:r w:rsidR="00EC0647" w:rsidRPr="00631676">
        <w:rPr>
          <w:rFonts w:cstheme="minorHAnsi"/>
        </w:rPr>
        <w:t xml:space="preserve"> responded</w:t>
      </w:r>
      <w:r w:rsidR="00C446CE" w:rsidRPr="00631676">
        <w:rPr>
          <w:rFonts w:cstheme="minorHAnsi"/>
        </w:rPr>
        <w:t xml:space="preserve">:  “We understand your ruling.  We object to it </w:t>
      </w:r>
      <w:r w:rsidR="00852AB6" w:rsidRPr="00631676">
        <w:rPr>
          <w:rFonts w:cstheme="minorHAnsi"/>
        </w:rPr>
        <w:t>on state and federal due process grounds</w:t>
      </w:r>
      <w:r w:rsidR="00C446CE" w:rsidRPr="00631676">
        <w:rPr>
          <w:rFonts w:cstheme="minorHAnsi"/>
        </w:rPr>
        <w:t>,</w:t>
      </w:r>
      <w:r w:rsidR="00852AB6" w:rsidRPr="00631676">
        <w:rPr>
          <w:rFonts w:cstheme="minorHAnsi"/>
        </w:rPr>
        <w:t xml:space="preserve"> but</w:t>
      </w:r>
      <w:r w:rsidR="00C446CE" w:rsidRPr="00631676">
        <w:rPr>
          <w:rFonts w:cstheme="minorHAnsi"/>
        </w:rPr>
        <w:t xml:space="preserve"> we a</w:t>
      </w:r>
      <w:r w:rsidR="00852AB6" w:rsidRPr="00631676">
        <w:rPr>
          <w:rFonts w:cstheme="minorHAnsi"/>
        </w:rPr>
        <w:t xml:space="preserve">ccept it.”  </w:t>
      </w:r>
    </w:p>
    <w:p w14:paraId="7FDBD001" w14:textId="77777777" w:rsidR="007B085D" w:rsidRPr="00631676" w:rsidRDefault="0091016D" w:rsidP="00EC3DB2">
      <w:pPr>
        <w:rPr>
          <w:rFonts w:cstheme="minorHAnsi"/>
        </w:rPr>
      </w:pPr>
      <w:r w:rsidRPr="00631676">
        <w:rPr>
          <w:rFonts w:cstheme="minorHAnsi"/>
        </w:rPr>
        <w:tab/>
        <w:t xml:space="preserve">Defendant </w:t>
      </w:r>
      <w:r w:rsidR="00204E5A" w:rsidRPr="00631676">
        <w:rPr>
          <w:rFonts w:cstheme="minorHAnsi"/>
        </w:rPr>
        <w:t xml:space="preserve">now </w:t>
      </w:r>
      <w:r w:rsidRPr="00631676">
        <w:rPr>
          <w:rFonts w:cstheme="minorHAnsi"/>
        </w:rPr>
        <w:t>claims</w:t>
      </w:r>
      <w:r w:rsidR="00EC0647" w:rsidRPr="00631676">
        <w:rPr>
          <w:rFonts w:cstheme="minorHAnsi"/>
        </w:rPr>
        <w:t xml:space="preserve"> that he testified at trial </w:t>
      </w:r>
      <w:r w:rsidR="00D5796B" w:rsidRPr="00631676">
        <w:rPr>
          <w:rFonts w:cstheme="minorHAnsi"/>
        </w:rPr>
        <w:t xml:space="preserve">only because the court </w:t>
      </w:r>
      <w:r w:rsidR="006F34D4" w:rsidRPr="00631676">
        <w:rPr>
          <w:rFonts w:cstheme="minorHAnsi"/>
        </w:rPr>
        <w:t>compelled him to do so</w:t>
      </w:r>
      <w:r w:rsidR="007B5EEE" w:rsidRPr="00631676">
        <w:rPr>
          <w:rFonts w:cstheme="minorHAnsi"/>
        </w:rPr>
        <w:t xml:space="preserve"> </w:t>
      </w:r>
      <w:r w:rsidR="00031A4C" w:rsidRPr="00631676">
        <w:rPr>
          <w:rFonts w:cstheme="minorHAnsi"/>
        </w:rPr>
        <w:t>on pain of</w:t>
      </w:r>
      <w:r w:rsidR="008A32DB" w:rsidRPr="00631676">
        <w:rPr>
          <w:rFonts w:cstheme="minorHAnsi"/>
        </w:rPr>
        <w:t xml:space="preserve"> forfeit</w:t>
      </w:r>
      <w:r w:rsidR="00031A4C" w:rsidRPr="00631676">
        <w:rPr>
          <w:rFonts w:cstheme="minorHAnsi"/>
        </w:rPr>
        <w:t>ing</w:t>
      </w:r>
      <w:r w:rsidR="008A32DB" w:rsidRPr="00631676">
        <w:rPr>
          <w:rFonts w:cstheme="minorHAnsi"/>
        </w:rPr>
        <w:t xml:space="preserve"> the</w:t>
      </w:r>
      <w:r w:rsidR="00D03F94" w:rsidRPr="00631676">
        <w:rPr>
          <w:rFonts w:cstheme="minorHAnsi"/>
        </w:rPr>
        <w:t xml:space="preserve"> ability to present Dr.</w:t>
      </w:r>
      <w:r w:rsidR="00C779EA" w:rsidRPr="00631676">
        <w:rPr>
          <w:rFonts w:cstheme="minorHAnsi"/>
        </w:rPr>
        <w:t> </w:t>
      </w:r>
      <w:r w:rsidR="00D03F94" w:rsidRPr="00631676">
        <w:rPr>
          <w:rFonts w:cstheme="minorHAnsi"/>
        </w:rPr>
        <w:t>Kania’</w:t>
      </w:r>
      <w:r w:rsidR="00C45A89" w:rsidRPr="00631676">
        <w:rPr>
          <w:rFonts w:cstheme="minorHAnsi"/>
        </w:rPr>
        <w:t>s expert testimony</w:t>
      </w:r>
      <w:r w:rsidR="008A32DB" w:rsidRPr="00631676">
        <w:rPr>
          <w:rFonts w:cstheme="minorHAnsi"/>
        </w:rPr>
        <w:t xml:space="preserve">.  This compulsion, he argues, violated </w:t>
      </w:r>
      <w:r w:rsidR="007B5EEE" w:rsidRPr="00631676">
        <w:rPr>
          <w:rFonts w:cstheme="minorHAnsi"/>
        </w:rPr>
        <w:t>his Fifth and Sixth Amendment rights</w:t>
      </w:r>
      <w:r w:rsidR="00C45A89" w:rsidRPr="00631676">
        <w:rPr>
          <w:rFonts w:cstheme="minorHAnsi"/>
        </w:rPr>
        <w:t>.</w:t>
      </w:r>
      <w:r w:rsidR="008A32DB" w:rsidRPr="00631676">
        <w:rPr>
          <w:rFonts w:cstheme="minorHAnsi"/>
        </w:rPr>
        <w:t xml:space="preserve">  </w:t>
      </w:r>
      <w:r w:rsidR="00105DEC" w:rsidRPr="00631676">
        <w:rPr>
          <w:rFonts w:cstheme="minorHAnsi"/>
        </w:rPr>
        <w:t xml:space="preserve">The record does not </w:t>
      </w:r>
      <w:r w:rsidR="00C41913" w:rsidRPr="00631676">
        <w:rPr>
          <w:rFonts w:cstheme="minorHAnsi"/>
        </w:rPr>
        <w:t xml:space="preserve">support </w:t>
      </w:r>
      <w:r w:rsidR="00105DEC" w:rsidRPr="00631676">
        <w:rPr>
          <w:rFonts w:cstheme="minorHAnsi"/>
        </w:rPr>
        <w:t xml:space="preserve">the claim. </w:t>
      </w:r>
      <w:r w:rsidR="008A32DB" w:rsidRPr="00631676">
        <w:rPr>
          <w:rFonts w:cstheme="minorHAnsi"/>
        </w:rPr>
        <w:t xml:space="preserve"> </w:t>
      </w:r>
      <w:r w:rsidR="00105DEC" w:rsidRPr="00631676">
        <w:rPr>
          <w:rFonts w:cstheme="minorHAnsi"/>
        </w:rPr>
        <w:t xml:space="preserve">It is true that the trial court observed that an adequate foundation would need to be laid for the expert’s testimony. </w:t>
      </w:r>
      <w:r w:rsidR="00031A4C" w:rsidRPr="00631676">
        <w:rPr>
          <w:rFonts w:cstheme="minorHAnsi"/>
        </w:rPr>
        <w:t xml:space="preserve"> </w:t>
      </w:r>
      <w:r w:rsidR="00105DEC" w:rsidRPr="00631676">
        <w:rPr>
          <w:rFonts w:cstheme="minorHAnsi"/>
        </w:rPr>
        <w:t xml:space="preserve">It is also true that the trial court at various times appeared to assume—without contradiction from defense counsel—that defendant would supply the necessary foundation through his testimony. </w:t>
      </w:r>
      <w:r w:rsidR="00CA727B" w:rsidRPr="00631676">
        <w:rPr>
          <w:rFonts w:cstheme="minorHAnsi"/>
        </w:rPr>
        <w:t xml:space="preserve"> </w:t>
      </w:r>
      <w:r w:rsidR="00105DEC" w:rsidRPr="00631676">
        <w:rPr>
          <w:rFonts w:cstheme="minorHAnsi"/>
        </w:rPr>
        <w:t>But the trial court did not rule that Dr.</w:t>
      </w:r>
      <w:r w:rsidR="00C779EA" w:rsidRPr="00631676">
        <w:rPr>
          <w:rFonts w:cstheme="minorHAnsi"/>
        </w:rPr>
        <w:t> </w:t>
      </w:r>
      <w:r w:rsidR="00105DEC" w:rsidRPr="00631676">
        <w:rPr>
          <w:rFonts w:cstheme="minorHAnsi"/>
        </w:rPr>
        <w:t xml:space="preserve">Kania’s testimony would be permitted if and only if defendant took the stand, nor did </w:t>
      </w:r>
      <w:r w:rsidR="00105DEC" w:rsidRPr="00631676">
        <w:rPr>
          <w:rFonts w:cstheme="minorHAnsi"/>
        </w:rPr>
        <w:lastRenderedPageBreak/>
        <w:t xml:space="preserve">defendant object on the ground that the trial court had, in effect, issued such a ruling.  </w:t>
      </w:r>
      <w:r w:rsidR="000F7E3E" w:rsidRPr="00631676">
        <w:rPr>
          <w:rFonts w:cstheme="minorHAnsi"/>
        </w:rPr>
        <w:t>Nor</w:t>
      </w:r>
      <w:r w:rsidR="00C41913" w:rsidRPr="00631676">
        <w:rPr>
          <w:rFonts w:cstheme="minorHAnsi"/>
        </w:rPr>
        <w:t xml:space="preserve"> has </w:t>
      </w:r>
      <w:r w:rsidR="007B085D" w:rsidRPr="00631676">
        <w:rPr>
          <w:rFonts w:cstheme="minorHAnsi"/>
        </w:rPr>
        <w:t xml:space="preserve">defendant established it would have been futile to raise such an objection; had he objected, the court could have considered whether, as he now claims, defendant’s testimony was </w:t>
      </w:r>
      <w:r w:rsidR="00CC44C0" w:rsidRPr="00631676">
        <w:rPr>
          <w:rFonts w:cstheme="minorHAnsi"/>
        </w:rPr>
        <w:t xml:space="preserve">in fact </w:t>
      </w:r>
      <w:r w:rsidR="00F36F4A" w:rsidRPr="00631676">
        <w:rPr>
          <w:rFonts w:cstheme="minorHAnsi"/>
        </w:rPr>
        <w:t xml:space="preserve">unnecessary to lay the foundation for </w:t>
      </w:r>
      <w:r w:rsidR="007B085D" w:rsidRPr="00631676">
        <w:rPr>
          <w:rFonts w:cstheme="minorHAnsi"/>
        </w:rPr>
        <w:t xml:space="preserve">Dr. Kania’s opinion.  By failing to object in the trial court, defendant has forfeited the claim on appeal.  </w:t>
      </w:r>
    </w:p>
    <w:p w14:paraId="2EC7C40E" w14:textId="1DC61FB4" w:rsidR="008A32DB" w:rsidRPr="00631676" w:rsidRDefault="007B085D" w:rsidP="00EC3DB2">
      <w:pPr>
        <w:rPr>
          <w:rFonts w:cstheme="minorHAnsi"/>
        </w:rPr>
      </w:pPr>
      <w:r w:rsidRPr="00631676">
        <w:rPr>
          <w:rFonts w:cstheme="minorHAnsi"/>
          <w:i/>
        </w:rPr>
        <w:tab/>
      </w:r>
      <w:r w:rsidR="00C41913" w:rsidRPr="00631676">
        <w:rPr>
          <w:rFonts w:cstheme="minorHAnsi"/>
        </w:rPr>
        <w:t>To the extent defendant argues it was error for the court to make admission of Dr.</w:t>
      </w:r>
      <w:r w:rsidR="00C779EA" w:rsidRPr="00631676">
        <w:rPr>
          <w:rFonts w:cstheme="minorHAnsi"/>
        </w:rPr>
        <w:t> </w:t>
      </w:r>
      <w:r w:rsidR="00C41913" w:rsidRPr="00631676">
        <w:rPr>
          <w:rFonts w:cstheme="minorHAnsi"/>
        </w:rPr>
        <w:t xml:space="preserve">Kania’s testimony contingent on the introduction of foundational evidence, the claim lacks merit.  </w:t>
      </w:r>
      <w:r w:rsidR="00622716" w:rsidRPr="00631676">
        <w:rPr>
          <w:rFonts w:cstheme="minorHAnsi"/>
        </w:rPr>
        <w:t xml:space="preserve">Defendant </w:t>
      </w:r>
      <w:r w:rsidR="002165C7" w:rsidRPr="00631676">
        <w:rPr>
          <w:rFonts w:cstheme="minorHAnsi"/>
        </w:rPr>
        <w:t>sought</w:t>
      </w:r>
      <w:r w:rsidR="00622716" w:rsidRPr="00631676">
        <w:rPr>
          <w:rFonts w:cstheme="minorHAnsi"/>
        </w:rPr>
        <w:t xml:space="preserve"> to present </w:t>
      </w:r>
      <w:r w:rsidR="002165C7" w:rsidRPr="00631676">
        <w:rPr>
          <w:rFonts w:cstheme="minorHAnsi"/>
        </w:rPr>
        <w:t>expert</w:t>
      </w:r>
      <w:r w:rsidR="00622716" w:rsidRPr="00631676">
        <w:rPr>
          <w:rFonts w:cstheme="minorHAnsi"/>
        </w:rPr>
        <w:t xml:space="preserve"> testimony that </w:t>
      </w:r>
      <w:r w:rsidR="00FD52D3" w:rsidRPr="00631676">
        <w:rPr>
          <w:rFonts w:cstheme="minorHAnsi"/>
        </w:rPr>
        <w:t>he</w:t>
      </w:r>
      <w:r w:rsidR="00622716" w:rsidRPr="00631676">
        <w:rPr>
          <w:rFonts w:cstheme="minorHAnsi"/>
        </w:rPr>
        <w:t xml:space="preserve"> suffered </w:t>
      </w:r>
      <w:r w:rsidR="002165C7" w:rsidRPr="00631676">
        <w:rPr>
          <w:rFonts w:cstheme="minorHAnsi"/>
        </w:rPr>
        <w:t xml:space="preserve">anxiety-induced </w:t>
      </w:r>
      <w:r w:rsidR="00622716" w:rsidRPr="00631676">
        <w:rPr>
          <w:rFonts w:cstheme="minorHAnsi"/>
        </w:rPr>
        <w:t xml:space="preserve">amnesia </w:t>
      </w:r>
      <w:r w:rsidR="002165C7" w:rsidRPr="00631676">
        <w:rPr>
          <w:rFonts w:cstheme="minorHAnsi"/>
        </w:rPr>
        <w:t>and did not recall confessing</w:t>
      </w:r>
      <w:r w:rsidR="00622716" w:rsidRPr="00631676">
        <w:rPr>
          <w:rFonts w:cstheme="minorHAnsi"/>
        </w:rPr>
        <w:t xml:space="preserve">.  </w:t>
      </w:r>
      <w:r w:rsidR="002165C7" w:rsidRPr="00631676">
        <w:rPr>
          <w:rFonts w:cstheme="minorHAnsi"/>
        </w:rPr>
        <w:t xml:space="preserve">But without some </w:t>
      </w:r>
      <w:r w:rsidR="00B241EF" w:rsidRPr="00631676">
        <w:rPr>
          <w:rFonts w:cstheme="minorHAnsi"/>
        </w:rPr>
        <w:t xml:space="preserve">foundational </w:t>
      </w:r>
      <w:r w:rsidR="002165C7" w:rsidRPr="00631676">
        <w:rPr>
          <w:rFonts w:cstheme="minorHAnsi"/>
        </w:rPr>
        <w:t>evidence that defendant did not remember the confession, Dr.</w:t>
      </w:r>
      <w:r w:rsidR="00C779EA" w:rsidRPr="00631676">
        <w:rPr>
          <w:rFonts w:cstheme="minorHAnsi"/>
        </w:rPr>
        <w:t> </w:t>
      </w:r>
      <w:r w:rsidR="002165C7" w:rsidRPr="00631676">
        <w:rPr>
          <w:rFonts w:cstheme="minorHAnsi"/>
        </w:rPr>
        <w:t xml:space="preserve">Kania’s opinion would </w:t>
      </w:r>
      <w:r w:rsidR="008A6964" w:rsidRPr="00631676">
        <w:rPr>
          <w:rFonts w:cstheme="minorHAnsi"/>
        </w:rPr>
        <w:t>lack relevance</w:t>
      </w:r>
      <w:r w:rsidR="002165C7" w:rsidRPr="00631676">
        <w:rPr>
          <w:rFonts w:cstheme="minorHAnsi"/>
        </w:rPr>
        <w:t>.  Dr.</w:t>
      </w:r>
      <w:r w:rsidR="00C779EA" w:rsidRPr="00631676">
        <w:rPr>
          <w:rFonts w:cstheme="minorHAnsi"/>
        </w:rPr>
        <w:t> </w:t>
      </w:r>
      <w:r w:rsidR="002165C7" w:rsidRPr="00631676">
        <w:rPr>
          <w:rFonts w:cstheme="minorHAnsi"/>
        </w:rPr>
        <w:t>Kania could not be the source of the evidence that defendant did not remember his confession because that information would be the product of inadmissible hearsay, having originated from Dr.</w:t>
      </w:r>
      <w:r w:rsidR="00153371" w:rsidRPr="00631676">
        <w:rPr>
          <w:rFonts w:cstheme="minorHAnsi"/>
        </w:rPr>
        <w:t> </w:t>
      </w:r>
      <w:r w:rsidR="002165C7" w:rsidRPr="00631676">
        <w:rPr>
          <w:rFonts w:cstheme="minorHAnsi"/>
        </w:rPr>
        <w:t>Kania’s interviews with defendant.</w:t>
      </w:r>
      <w:r w:rsidR="00011793" w:rsidRPr="00631676">
        <w:rPr>
          <w:rFonts w:cstheme="minorHAnsi"/>
        </w:rPr>
        <w:t xml:space="preserve">  (Evid. Code, §</w:t>
      </w:r>
      <w:r w:rsidR="00C779EA" w:rsidRPr="00631676">
        <w:rPr>
          <w:rFonts w:cstheme="minorHAnsi"/>
        </w:rPr>
        <w:t> </w:t>
      </w:r>
      <w:r w:rsidR="00011793" w:rsidRPr="00631676">
        <w:rPr>
          <w:rFonts w:cstheme="minorHAnsi"/>
        </w:rPr>
        <w:t xml:space="preserve">1200.)  </w:t>
      </w:r>
      <w:r w:rsidR="00F22B8A" w:rsidRPr="00631676">
        <w:rPr>
          <w:rFonts w:cstheme="minorHAnsi"/>
        </w:rPr>
        <w:t>An adequate foundation was, in fact, required</w:t>
      </w:r>
      <w:r w:rsidR="002165C7" w:rsidRPr="00631676">
        <w:rPr>
          <w:rFonts w:cstheme="minorHAnsi"/>
        </w:rPr>
        <w:t>.</w:t>
      </w:r>
    </w:p>
    <w:p w14:paraId="40B91325" w14:textId="54BAFD6D" w:rsidR="007A0103" w:rsidRPr="00631676" w:rsidRDefault="008A32DB" w:rsidP="00EC3DB2">
      <w:pPr>
        <w:rPr>
          <w:rFonts w:cstheme="minorHAnsi"/>
        </w:rPr>
      </w:pPr>
      <w:r w:rsidRPr="00631676">
        <w:rPr>
          <w:rFonts w:cstheme="minorHAnsi"/>
        </w:rPr>
        <w:tab/>
        <w:t>Despite defendant’s arguments to the contrary, n</w:t>
      </w:r>
      <w:r w:rsidR="00F22B8A" w:rsidRPr="00631676">
        <w:rPr>
          <w:rFonts w:cstheme="minorHAnsi"/>
        </w:rPr>
        <w:t xml:space="preserve">othing in that conclusion contradicts the high court’s teachings in </w:t>
      </w:r>
      <w:r w:rsidR="0089328F" w:rsidRPr="00631676">
        <w:rPr>
          <w:rFonts w:cstheme="minorHAnsi"/>
          <w:i/>
        </w:rPr>
        <w:t>Crane v. Kentucky</w:t>
      </w:r>
      <w:r w:rsidR="0089328F" w:rsidRPr="00631676">
        <w:rPr>
          <w:rFonts w:cstheme="minorHAnsi"/>
        </w:rPr>
        <w:t xml:space="preserve"> (1986) 476 U.S. 683, 689</w:t>
      </w:r>
      <w:r w:rsidR="00F22B8A" w:rsidRPr="00631676">
        <w:rPr>
          <w:rFonts w:cstheme="minorHAnsi"/>
        </w:rPr>
        <w:t xml:space="preserve">. </w:t>
      </w:r>
      <w:r w:rsidRPr="00631676">
        <w:rPr>
          <w:rFonts w:cstheme="minorHAnsi"/>
        </w:rPr>
        <w:t xml:space="preserve"> </w:t>
      </w:r>
      <w:r w:rsidR="00F22B8A" w:rsidRPr="00631676">
        <w:rPr>
          <w:rFonts w:cstheme="minorHAnsi"/>
        </w:rPr>
        <w:t>In that case</w:t>
      </w:r>
      <w:r w:rsidR="000F7E3E" w:rsidRPr="00631676">
        <w:rPr>
          <w:rFonts w:cstheme="minorHAnsi"/>
        </w:rPr>
        <w:t>,</w:t>
      </w:r>
      <w:r w:rsidR="00F22B8A" w:rsidRPr="00631676">
        <w:rPr>
          <w:rFonts w:cstheme="minorHAnsi"/>
        </w:rPr>
        <w:t xml:space="preserve"> the high court held that when the prosecution’s case was based on the defendant’s confession, it was error </w:t>
      </w:r>
      <w:r w:rsidR="00BA596F" w:rsidRPr="00631676">
        <w:rPr>
          <w:rFonts w:cstheme="minorHAnsi"/>
        </w:rPr>
        <w:t>to preclude the defendant from introducing evidence about the manner in which his confession was obtained</w:t>
      </w:r>
      <w:r w:rsidR="003B0617" w:rsidRPr="00631676">
        <w:rPr>
          <w:rFonts w:cstheme="minorHAnsi"/>
        </w:rPr>
        <w:t xml:space="preserve"> as part of his defense</w:t>
      </w:r>
      <w:r w:rsidR="00BA596F" w:rsidRPr="00631676">
        <w:rPr>
          <w:rFonts w:cstheme="minorHAnsi"/>
        </w:rPr>
        <w:t>.  (</w:t>
      </w:r>
      <w:r w:rsidR="00BA596F" w:rsidRPr="00631676">
        <w:rPr>
          <w:rFonts w:cstheme="minorHAnsi"/>
          <w:i/>
        </w:rPr>
        <w:t>Id</w:t>
      </w:r>
      <w:r w:rsidR="00BA596F" w:rsidRPr="00631676">
        <w:rPr>
          <w:rFonts w:cstheme="minorHAnsi"/>
        </w:rPr>
        <w:t>. at p.</w:t>
      </w:r>
      <w:r w:rsidR="000747F6" w:rsidRPr="00631676">
        <w:rPr>
          <w:rFonts w:cstheme="minorHAnsi"/>
        </w:rPr>
        <w:t> </w:t>
      </w:r>
      <w:r w:rsidR="00BA596F" w:rsidRPr="00631676">
        <w:rPr>
          <w:rFonts w:cstheme="minorHAnsi"/>
        </w:rPr>
        <w:t xml:space="preserve">691.)  </w:t>
      </w:r>
      <w:r w:rsidR="003B0617" w:rsidRPr="00631676">
        <w:rPr>
          <w:rFonts w:cstheme="minorHAnsi"/>
        </w:rPr>
        <w:t xml:space="preserve">But </w:t>
      </w:r>
      <w:r w:rsidR="003B0617" w:rsidRPr="00631676">
        <w:rPr>
          <w:rFonts w:cstheme="minorHAnsi"/>
          <w:i/>
        </w:rPr>
        <w:t>Crane</w:t>
      </w:r>
      <w:r w:rsidR="003B0617" w:rsidRPr="00631676">
        <w:rPr>
          <w:rFonts w:cstheme="minorHAnsi"/>
        </w:rPr>
        <w:t xml:space="preserve"> does not require the admission of any and all defense-</w:t>
      </w:r>
      <w:r w:rsidR="00264E9E" w:rsidRPr="00631676">
        <w:rPr>
          <w:rFonts w:cstheme="minorHAnsi"/>
        </w:rPr>
        <w:t>proffered</w:t>
      </w:r>
      <w:r w:rsidR="003B0617" w:rsidRPr="00631676">
        <w:rPr>
          <w:rFonts w:cstheme="minorHAnsi"/>
        </w:rPr>
        <w:t xml:space="preserve"> evidence about the circumstances of a confession, without regard to the ordinary rules of </w:t>
      </w:r>
      <w:r w:rsidR="00100C52" w:rsidRPr="00631676">
        <w:rPr>
          <w:rFonts w:cstheme="minorHAnsi"/>
        </w:rPr>
        <w:t>evidence</w:t>
      </w:r>
      <w:r w:rsidR="003B0617" w:rsidRPr="00631676">
        <w:rPr>
          <w:rFonts w:cstheme="minorHAnsi"/>
        </w:rPr>
        <w:t>.</w:t>
      </w:r>
    </w:p>
    <w:p w14:paraId="172045EA" w14:textId="3A01D280" w:rsidR="00356119" w:rsidRPr="00631676" w:rsidRDefault="007A0103" w:rsidP="00EC3DB2">
      <w:pPr>
        <w:rPr>
          <w:rFonts w:cstheme="minorHAnsi"/>
        </w:rPr>
      </w:pPr>
      <w:r w:rsidRPr="00631676">
        <w:rPr>
          <w:rFonts w:cstheme="minorHAnsi"/>
        </w:rPr>
        <w:lastRenderedPageBreak/>
        <w:tab/>
      </w:r>
      <w:r w:rsidR="00F36FD6" w:rsidRPr="00631676">
        <w:rPr>
          <w:rFonts w:cstheme="minorHAnsi"/>
        </w:rPr>
        <w:t xml:space="preserve">Defendant </w:t>
      </w:r>
      <w:r w:rsidR="003B0617" w:rsidRPr="00631676">
        <w:rPr>
          <w:rFonts w:cstheme="minorHAnsi"/>
        </w:rPr>
        <w:t xml:space="preserve">also argues that the trial court </w:t>
      </w:r>
      <w:r w:rsidR="000F7E3E" w:rsidRPr="00631676">
        <w:rPr>
          <w:rFonts w:cstheme="minorHAnsi"/>
        </w:rPr>
        <w:t xml:space="preserve">violated his constitutional rights by </w:t>
      </w:r>
      <w:r w:rsidR="003B0617" w:rsidRPr="00631676">
        <w:rPr>
          <w:rFonts w:cstheme="minorHAnsi"/>
        </w:rPr>
        <w:t>effectively requir</w:t>
      </w:r>
      <w:r w:rsidR="00597566" w:rsidRPr="00631676">
        <w:rPr>
          <w:rFonts w:cstheme="minorHAnsi"/>
        </w:rPr>
        <w:t>ing</w:t>
      </w:r>
      <w:r w:rsidR="003B0617" w:rsidRPr="00631676">
        <w:rPr>
          <w:rFonts w:cstheme="minorHAnsi"/>
        </w:rPr>
        <w:t xml:space="preserve"> him to testify before Dr.</w:t>
      </w:r>
      <w:r w:rsidR="00C779EA" w:rsidRPr="00631676">
        <w:rPr>
          <w:rFonts w:cstheme="minorHAnsi"/>
        </w:rPr>
        <w:t> </w:t>
      </w:r>
      <w:r w:rsidR="003B0617" w:rsidRPr="00631676">
        <w:rPr>
          <w:rFonts w:cstheme="minorHAnsi"/>
        </w:rPr>
        <w:t>Kania</w:t>
      </w:r>
      <w:r w:rsidR="00FA56D3" w:rsidRPr="00631676">
        <w:rPr>
          <w:rFonts w:cstheme="minorHAnsi"/>
        </w:rPr>
        <w:t xml:space="preserve">.  Defendant relies on </w:t>
      </w:r>
      <w:r w:rsidR="00FA56D3" w:rsidRPr="00631676">
        <w:rPr>
          <w:rFonts w:cstheme="minorHAnsi"/>
          <w:i/>
        </w:rPr>
        <w:t>Brooks v. Tennessee</w:t>
      </w:r>
      <w:r w:rsidR="00FA56D3" w:rsidRPr="00631676">
        <w:rPr>
          <w:rFonts w:cstheme="minorHAnsi"/>
        </w:rPr>
        <w:t xml:space="preserve"> (1972) 406 U.S. 605, in which the United States Supreme Court struck down a Tennessee statute requiring a defendant to testify first or not at all because it deprived “the accused and his lawyer” of the “opportunity to evaluate the actual worth of their evidence” and make tactical decisions after observing the testimony of other defense witnesses.  (</w:t>
      </w:r>
      <w:r w:rsidR="00FA56D3" w:rsidRPr="00631676">
        <w:rPr>
          <w:rFonts w:cstheme="minorHAnsi"/>
          <w:i/>
        </w:rPr>
        <w:t>Id.</w:t>
      </w:r>
      <w:r w:rsidR="00FA56D3" w:rsidRPr="00631676">
        <w:rPr>
          <w:rFonts w:cstheme="minorHAnsi"/>
        </w:rPr>
        <w:t xml:space="preserve"> at p.</w:t>
      </w:r>
      <w:r w:rsidR="00C779EA" w:rsidRPr="00631676">
        <w:rPr>
          <w:rFonts w:cstheme="minorHAnsi"/>
        </w:rPr>
        <w:t> </w:t>
      </w:r>
      <w:r w:rsidR="00FA56D3" w:rsidRPr="00631676">
        <w:rPr>
          <w:rFonts w:cstheme="minorHAnsi"/>
        </w:rPr>
        <w:t>612.)  Here, the trial court placed no comparable restrictions on defendant.</w:t>
      </w:r>
      <w:r w:rsidR="00C779EA" w:rsidRPr="00631676">
        <w:rPr>
          <w:rFonts w:cstheme="minorHAnsi"/>
        </w:rPr>
        <w:t xml:space="preserve">  </w:t>
      </w:r>
      <w:r w:rsidR="00FA56D3" w:rsidRPr="00631676">
        <w:rPr>
          <w:rFonts w:cstheme="minorHAnsi"/>
        </w:rPr>
        <w:t xml:space="preserve">The court and parties both appear to have simply </w:t>
      </w:r>
      <w:r w:rsidR="008A32DB" w:rsidRPr="00631676">
        <w:rPr>
          <w:rFonts w:cstheme="minorHAnsi"/>
        </w:rPr>
        <w:t>as</w:t>
      </w:r>
      <w:r w:rsidR="00FA56D3" w:rsidRPr="00631676">
        <w:rPr>
          <w:rFonts w:cstheme="minorHAnsi"/>
        </w:rPr>
        <w:t>sumed that defendant would testify before Dr.</w:t>
      </w:r>
      <w:r w:rsidR="00C779EA" w:rsidRPr="00631676">
        <w:rPr>
          <w:rFonts w:cstheme="minorHAnsi"/>
        </w:rPr>
        <w:t> </w:t>
      </w:r>
      <w:r w:rsidR="00FA56D3" w:rsidRPr="00631676">
        <w:rPr>
          <w:rFonts w:cstheme="minorHAnsi"/>
        </w:rPr>
        <w:t>Kania, so that Dr.</w:t>
      </w:r>
      <w:r w:rsidR="00C779EA" w:rsidRPr="00631676">
        <w:rPr>
          <w:rFonts w:cstheme="minorHAnsi"/>
        </w:rPr>
        <w:t> </w:t>
      </w:r>
      <w:r w:rsidR="00FA56D3" w:rsidRPr="00631676">
        <w:rPr>
          <w:rFonts w:cstheme="minorHAnsi"/>
        </w:rPr>
        <w:t>Kania’s testimony could be properly contextualized.  But defendant never gave any indication that he planned or hoped to testify after Dr.</w:t>
      </w:r>
      <w:r w:rsidR="00E538AD">
        <w:rPr>
          <w:rFonts w:cstheme="minorHAnsi"/>
        </w:rPr>
        <w:t> </w:t>
      </w:r>
      <w:r w:rsidR="00FA56D3" w:rsidRPr="00631676">
        <w:rPr>
          <w:rFonts w:cstheme="minorHAnsi"/>
        </w:rPr>
        <w:t xml:space="preserve">Kania.  Because defendant raised no concerns, </w:t>
      </w:r>
      <w:r w:rsidR="0062137C" w:rsidRPr="00631676">
        <w:rPr>
          <w:rFonts w:cstheme="minorHAnsi"/>
        </w:rPr>
        <w:t>we</w:t>
      </w:r>
      <w:r w:rsidR="00FA56D3" w:rsidRPr="00631676">
        <w:rPr>
          <w:rFonts w:cstheme="minorHAnsi"/>
        </w:rPr>
        <w:t xml:space="preserve"> conclude this objection is forfeited on appeal.  (See, e.g., </w:t>
      </w:r>
      <w:r w:rsidR="00FA56D3" w:rsidRPr="00631676">
        <w:rPr>
          <w:rFonts w:cstheme="minorHAnsi"/>
          <w:i/>
        </w:rPr>
        <w:t xml:space="preserve">People v. Bryant, </w:t>
      </w:r>
      <w:proofErr w:type="gramStart"/>
      <w:r w:rsidR="00FA56D3" w:rsidRPr="00631676">
        <w:rPr>
          <w:rFonts w:cstheme="minorHAnsi"/>
          <w:i/>
        </w:rPr>
        <w:t>Smith</w:t>
      </w:r>
      <w:proofErr w:type="gramEnd"/>
      <w:r w:rsidR="00FA56D3" w:rsidRPr="00631676">
        <w:rPr>
          <w:rFonts w:cstheme="minorHAnsi"/>
          <w:i/>
        </w:rPr>
        <w:t xml:space="preserve"> </w:t>
      </w:r>
      <w:r w:rsidR="003F505A" w:rsidRPr="00631676">
        <w:rPr>
          <w:rFonts w:cstheme="minorHAnsi"/>
          <w:i/>
        </w:rPr>
        <w:t xml:space="preserve">and </w:t>
      </w:r>
      <w:r w:rsidR="00FA56D3" w:rsidRPr="00631676">
        <w:rPr>
          <w:rFonts w:cstheme="minorHAnsi"/>
          <w:i/>
        </w:rPr>
        <w:t>Wheeler</w:t>
      </w:r>
      <w:r w:rsidR="00FA56D3" w:rsidRPr="00631676">
        <w:rPr>
          <w:rFonts w:cstheme="minorHAnsi"/>
        </w:rPr>
        <w:t xml:space="preserve"> (2014) 60 Cal.4th 335, 371</w:t>
      </w:r>
      <w:r w:rsidR="00847483" w:rsidRPr="00631676">
        <w:rPr>
          <w:rFonts w:cstheme="minorHAnsi"/>
        </w:rPr>
        <w:t xml:space="preserve"> (</w:t>
      </w:r>
      <w:r w:rsidR="00847483" w:rsidRPr="00631676">
        <w:rPr>
          <w:rFonts w:cstheme="minorHAnsi"/>
          <w:i/>
        </w:rPr>
        <w:t>Bryant</w:t>
      </w:r>
      <w:r w:rsidR="00847483" w:rsidRPr="00631676">
        <w:rPr>
          <w:rFonts w:cstheme="minorHAnsi"/>
        </w:rPr>
        <w:t>)</w:t>
      </w:r>
      <w:r w:rsidR="00FA56D3" w:rsidRPr="00631676">
        <w:rPr>
          <w:rFonts w:cstheme="minorHAnsi"/>
        </w:rPr>
        <w:t>.)</w:t>
      </w:r>
      <w:r w:rsidR="006B3F1F" w:rsidRPr="00631676">
        <w:rPr>
          <w:rFonts w:cstheme="minorHAnsi"/>
        </w:rPr>
        <w:t xml:space="preserve"> </w:t>
      </w:r>
    </w:p>
    <w:p w14:paraId="0AD870B4" w14:textId="30E3EA10" w:rsidR="00617778" w:rsidRPr="00631676" w:rsidRDefault="008A32DB" w:rsidP="00631676">
      <w:pPr>
        <w:rPr>
          <w:rFonts w:cstheme="minorHAnsi"/>
        </w:rPr>
      </w:pPr>
      <w:r w:rsidRPr="00631676">
        <w:rPr>
          <w:rFonts w:cstheme="minorHAnsi"/>
        </w:rPr>
        <w:tab/>
      </w:r>
      <w:r w:rsidR="00BC587B" w:rsidRPr="00631676">
        <w:rPr>
          <w:rFonts w:cstheme="minorHAnsi"/>
        </w:rPr>
        <w:t xml:space="preserve">Defendant </w:t>
      </w:r>
      <w:r w:rsidR="0026724A" w:rsidRPr="00631676">
        <w:rPr>
          <w:rFonts w:cstheme="minorHAnsi"/>
        </w:rPr>
        <w:t>also claims</w:t>
      </w:r>
      <w:r w:rsidR="00BC587B" w:rsidRPr="00631676">
        <w:rPr>
          <w:rFonts w:cstheme="minorHAnsi"/>
        </w:rPr>
        <w:t xml:space="preserve"> that</w:t>
      </w:r>
      <w:r w:rsidR="0026724A" w:rsidRPr="00631676">
        <w:rPr>
          <w:rFonts w:cstheme="minorHAnsi"/>
        </w:rPr>
        <w:t xml:space="preserve"> the court improperly limited his </w:t>
      </w:r>
      <w:r w:rsidR="005A1DF6" w:rsidRPr="00631676">
        <w:rPr>
          <w:rFonts w:cstheme="minorHAnsi"/>
        </w:rPr>
        <w:t xml:space="preserve">own </w:t>
      </w:r>
      <w:r w:rsidR="0026724A" w:rsidRPr="00631676">
        <w:rPr>
          <w:rFonts w:cstheme="minorHAnsi"/>
        </w:rPr>
        <w:t>direct testimony in a few instances</w:t>
      </w:r>
      <w:r w:rsidR="005A1DF6" w:rsidRPr="00631676">
        <w:rPr>
          <w:rFonts w:cstheme="minorHAnsi"/>
        </w:rPr>
        <w:t xml:space="preserve">.  </w:t>
      </w:r>
      <w:r w:rsidR="004F02A8" w:rsidRPr="00631676">
        <w:rPr>
          <w:rFonts w:cstheme="minorHAnsi"/>
        </w:rPr>
        <w:t xml:space="preserve">In some of these instances, review of the record reveals defendant is simply incorrect.  </w:t>
      </w:r>
      <w:r w:rsidR="0026724A" w:rsidRPr="00631676">
        <w:rPr>
          <w:rFonts w:cstheme="minorHAnsi"/>
        </w:rPr>
        <w:t>For example</w:t>
      </w:r>
      <w:r w:rsidR="00396573" w:rsidRPr="00631676">
        <w:rPr>
          <w:rFonts w:cstheme="minorHAnsi"/>
        </w:rPr>
        <w:t>,</w:t>
      </w:r>
      <w:r w:rsidR="0026724A" w:rsidRPr="00631676">
        <w:rPr>
          <w:rFonts w:cstheme="minorHAnsi"/>
        </w:rPr>
        <w:t xml:space="preserve"> he claims he was not permitted to answer whether he would have been willing to go to prison for</w:t>
      </w:r>
      <w:r w:rsidR="00242566" w:rsidRPr="00631676">
        <w:rPr>
          <w:rFonts w:cstheme="minorHAnsi"/>
        </w:rPr>
        <w:t xml:space="preserve"> life in</w:t>
      </w:r>
      <w:r w:rsidR="0026724A" w:rsidRPr="00631676">
        <w:rPr>
          <w:rFonts w:cstheme="minorHAnsi"/>
        </w:rPr>
        <w:t xml:space="preserve"> Hollywood</w:t>
      </w:r>
      <w:r w:rsidR="00242566" w:rsidRPr="00631676">
        <w:rPr>
          <w:rFonts w:cstheme="minorHAnsi"/>
        </w:rPr>
        <w:t>’s place at the time he</w:t>
      </w:r>
      <w:r w:rsidR="0026724A" w:rsidRPr="00631676">
        <w:rPr>
          <w:rFonts w:cstheme="minorHAnsi"/>
        </w:rPr>
        <w:t xml:space="preserve"> was arrested</w:t>
      </w:r>
      <w:r w:rsidR="00242566" w:rsidRPr="00631676">
        <w:rPr>
          <w:rFonts w:cstheme="minorHAnsi"/>
        </w:rPr>
        <w:t xml:space="preserve">.  Although there was an objection, the question was rephrased, and defendant was given an opportunity to, and did, respond.  </w:t>
      </w:r>
      <w:r w:rsidR="004A5758" w:rsidRPr="00631676">
        <w:rPr>
          <w:rFonts w:cstheme="minorHAnsi"/>
        </w:rPr>
        <w:t xml:space="preserve">As for the </w:t>
      </w:r>
      <w:r w:rsidR="000F4F6F" w:rsidRPr="00631676">
        <w:rPr>
          <w:rFonts w:cstheme="minorHAnsi"/>
        </w:rPr>
        <w:t xml:space="preserve">claim that </w:t>
      </w:r>
      <w:r w:rsidR="004A5758" w:rsidRPr="00631676">
        <w:rPr>
          <w:rFonts w:cstheme="minorHAnsi"/>
        </w:rPr>
        <w:t xml:space="preserve">defendant </w:t>
      </w:r>
      <w:r w:rsidR="000F4F6F" w:rsidRPr="00631676">
        <w:rPr>
          <w:rFonts w:cstheme="minorHAnsi"/>
        </w:rPr>
        <w:t xml:space="preserve">was improperly precluded from explaining what he meant by </w:t>
      </w:r>
      <w:r w:rsidR="005A1DF6" w:rsidRPr="00631676">
        <w:rPr>
          <w:rFonts w:cstheme="minorHAnsi"/>
        </w:rPr>
        <w:t xml:space="preserve">certain </w:t>
      </w:r>
      <w:r w:rsidR="000F76C9" w:rsidRPr="00631676">
        <w:rPr>
          <w:rFonts w:cstheme="minorHAnsi"/>
        </w:rPr>
        <w:t xml:space="preserve">words he </w:t>
      </w:r>
      <w:r w:rsidR="005A1DF6" w:rsidRPr="00631676">
        <w:rPr>
          <w:rFonts w:cstheme="minorHAnsi"/>
        </w:rPr>
        <w:t xml:space="preserve">used in </w:t>
      </w:r>
      <w:r w:rsidR="000F76C9" w:rsidRPr="00631676">
        <w:rPr>
          <w:rFonts w:cstheme="minorHAnsi"/>
        </w:rPr>
        <w:t>his confession</w:t>
      </w:r>
      <w:r w:rsidR="004A5758" w:rsidRPr="00631676">
        <w:rPr>
          <w:rFonts w:cstheme="minorHAnsi"/>
        </w:rPr>
        <w:t>,</w:t>
      </w:r>
      <w:r w:rsidR="005A1DF6" w:rsidRPr="00631676">
        <w:rPr>
          <w:rFonts w:cstheme="minorHAnsi"/>
        </w:rPr>
        <w:t xml:space="preserve"> there was nothing improper in this ruling.  The trial court permitted defendant to testify as to </w:t>
      </w:r>
      <w:r w:rsidR="00637DEF" w:rsidRPr="00631676">
        <w:rPr>
          <w:rFonts w:cstheme="minorHAnsi"/>
        </w:rPr>
        <w:t xml:space="preserve">the truthfulness of his incriminating statements, but not </w:t>
      </w:r>
      <w:r w:rsidR="00923966" w:rsidRPr="00631676">
        <w:rPr>
          <w:rFonts w:cstheme="minorHAnsi"/>
        </w:rPr>
        <w:t xml:space="preserve">what he meant at the time he </w:t>
      </w:r>
      <w:r w:rsidR="00923966" w:rsidRPr="00631676">
        <w:rPr>
          <w:rFonts w:cstheme="minorHAnsi"/>
        </w:rPr>
        <w:lastRenderedPageBreak/>
        <w:t xml:space="preserve">said </w:t>
      </w:r>
      <w:r w:rsidR="005A1DF6" w:rsidRPr="00631676">
        <w:rPr>
          <w:rFonts w:cstheme="minorHAnsi"/>
        </w:rPr>
        <w:t>them, since he claimed not to recall having uttered the words in the first place</w:t>
      </w:r>
      <w:r w:rsidR="00637DEF" w:rsidRPr="00631676">
        <w:rPr>
          <w:rFonts w:cstheme="minorHAnsi"/>
        </w:rPr>
        <w:t xml:space="preserve">.  </w:t>
      </w:r>
      <w:r w:rsidR="00161691" w:rsidRPr="00631676">
        <w:rPr>
          <w:rFonts w:cstheme="minorHAnsi"/>
        </w:rPr>
        <w:t xml:space="preserve">The trial court did not abuse its discretion by ruling that defendant </w:t>
      </w:r>
      <w:r w:rsidR="009B4D39" w:rsidRPr="00631676">
        <w:rPr>
          <w:rFonts w:cstheme="minorHAnsi"/>
        </w:rPr>
        <w:t xml:space="preserve">could not </w:t>
      </w:r>
      <w:r w:rsidR="004F02A8" w:rsidRPr="00631676">
        <w:rPr>
          <w:rFonts w:cstheme="minorHAnsi"/>
        </w:rPr>
        <w:t xml:space="preserve">speculate about what he </w:t>
      </w:r>
      <w:r w:rsidR="00161691" w:rsidRPr="00631676">
        <w:rPr>
          <w:rFonts w:cstheme="minorHAnsi"/>
        </w:rPr>
        <w:t xml:space="preserve">might have </w:t>
      </w:r>
      <w:r w:rsidR="004F02A8" w:rsidRPr="00631676">
        <w:rPr>
          <w:rFonts w:cstheme="minorHAnsi"/>
        </w:rPr>
        <w:t xml:space="preserve">meant by words he </w:t>
      </w:r>
      <w:r w:rsidR="004A5758" w:rsidRPr="00631676">
        <w:rPr>
          <w:rFonts w:cstheme="minorHAnsi"/>
        </w:rPr>
        <w:t xml:space="preserve">claimed </w:t>
      </w:r>
      <w:r w:rsidR="004F02A8" w:rsidRPr="00631676">
        <w:rPr>
          <w:rFonts w:cstheme="minorHAnsi"/>
        </w:rPr>
        <w:t>not to remember saying</w:t>
      </w:r>
      <w:r w:rsidR="009B4D39" w:rsidRPr="00631676">
        <w:rPr>
          <w:rFonts w:cstheme="minorHAnsi"/>
        </w:rPr>
        <w:t xml:space="preserve">.  (See </w:t>
      </w:r>
      <w:r w:rsidR="009B4D39" w:rsidRPr="00631676">
        <w:rPr>
          <w:rFonts w:cstheme="minorHAnsi"/>
          <w:i/>
        </w:rPr>
        <w:t>People v. Riggs</w:t>
      </w:r>
      <w:r w:rsidR="009B4D39" w:rsidRPr="00631676">
        <w:rPr>
          <w:rFonts w:cstheme="minorHAnsi"/>
        </w:rPr>
        <w:t xml:space="preserve"> (2008) 44 Cal.4th 248, 289</w:t>
      </w:r>
      <w:r w:rsidR="004F02A8" w:rsidRPr="00631676">
        <w:rPr>
          <w:rFonts w:cstheme="minorHAnsi"/>
        </w:rPr>
        <w:t xml:space="preserve"> [trial court has discretion to determine the relevance of evidence]</w:t>
      </w:r>
      <w:r w:rsidR="009B4D39" w:rsidRPr="00631676">
        <w:rPr>
          <w:rFonts w:cstheme="minorHAnsi"/>
        </w:rPr>
        <w:t xml:space="preserve">.)  </w:t>
      </w:r>
      <w:r w:rsidR="00637DEF" w:rsidRPr="00631676">
        <w:rPr>
          <w:rFonts w:cstheme="minorHAnsi"/>
        </w:rPr>
        <w:t xml:space="preserve">Defendant </w:t>
      </w:r>
      <w:r w:rsidR="009B4D39" w:rsidRPr="00631676">
        <w:rPr>
          <w:rFonts w:cstheme="minorHAnsi"/>
        </w:rPr>
        <w:t xml:space="preserve">claims the ruling </w:t>
      </w:r>
      <w:r w:rsidR="004A5758" w:rsidRPr="00631676">
        <w:rPr>
          <w:rFonts w:cstheme="minorHAnsi"/>
        </w:rPr>
        <w:t xml:space="preserve">violates </w:t>
      </w:r>
      <w:r w:rsidR="00637DEF" w:rsidRPr="00631676">
        <w:rPr>
          <w:rFonts w:cstheme="minorHAnsi"/>
          <w:i/>
        </w:rPr>
        <w:t>People v. Webb</w:t>
      </w:r>
      <w:r w:rsidR="00637DEF" w:rsidRPr="00631676">
        <w:rPr>
          <w:rFonts w:cstheme="minorHAnsi"/>
        </w:rPr>
        <w:t xml:space="preserve"> (1993) 6 Cal.4th 494, 535</w:t>
      </w:r>
      <w:r w:rsidR="00396573" w:rsidRPr="00631676">
        <w:rPr>
          <w:rFonts w:cstheme="minorHAnsi"/>
        </w:rPr>
        <w:t>,</w:t>
      </w:r>
      <w:r w:rsidR="00637DEF" w:rsidRPr="00631676">
        <w:rPr>
          <w:rFonts w:cstheme="minorHAnsi"/>
        </w:rPr>
        <w:t xml:space="preserve"> </w:t>
      </w:r>
      <w:r w:rsidR="009B4D39" w:rsidRPr="00631676">
        <w:rPr>
          <w:rFonts w:cstheme="minorHAnsi"/>
        </w:rPr>
        <w:t xml:space="preserve">in which we said </w:t>
      </w:r>
      <w:r w:rsidR="00637DEF" w:rsidRPr="00631676">
        <w:rPr>
          <w:rFonts w:cstheme="minorHAnsi"/>
        </w:rPr>
        <w:t>that “a defendant’s absolute right to testify cannot be foreclosed or censored based on content</w:t>
      </w:r>
      <w:r w:rsidR="009B4D39" w:rsidRPr="00631676">
        <w:rPr>
          <w:rFonts w:cstheme="minorHAnsi"/>
        </w:rPr>
        <w:t>.</w:t>
      </w:r>
      <w:r w:rsidR="00637DEF" w:rsidRPr="00631676">
        <w:rPr>
          <w:rFonts w:cstheme="minorHAnsi"/>
        </w:rPr>
        <w:t xml:space="preserve">” </w:t>
      </w:r>
      <w:r w:rsidR="009B4D39" w:rsidRPr="00631676">
        <w:rPr>
          <w:rFonts w:cstheme="minorHAnsi"/>
        </w:rPr>
        <w:t xml:space="preserve"> B</w:t>
      </w:r>
      <w:r w:rsidR="00637DEF" w:rsidRPr="00631676">
        <w:rPr>
          <w:rFonts w:cstheme="minorHAnsi"/>
        </w:rPr>
        <w:t xml:space="preserve">ut </w:t>
      </w:r>
      <w:r w:rsidR="009B4D39" w:rsidRPr="00631676">
        <w:rPr>
          <w:rFonts w:cstheme="minorHAnsi"/>
          <w:i/>
        </w:rPr>
        <w:t>Webb</w:t>
      </w:r>
      <w:r w:rsidR="009B4D39" w:rsidRPr="00631676">
        <w:rPr>
          <w:rFonts w:cstheme="minorHAnsi"/>
        </w:rPr>
        <w:t xml:space="preserve"> </w:t>
      </w:r>
      <w:r w:rsidR="00F6116A" w:rsidRPr="00631676">
        <w:rPr>
          <w:rFonts w:cstheme="minorHAnsi"/>
        </w:rPr>
        <w:t xml:space="preserve">concerns </w:t>
      </w:r>
      <w:r w:rsidR="00637DEF" w:rsidRPr="00631676">
        <w:rPr>
          <w:rFonts w:cstheme="minorHAnsi"/>
        </w:rPr>
        <w:t>a defendant’s right to testify against the advice of counsel</w:t>
      </w:r>
      <w:r w:rsidR="009B4D39" w:rsidRPr="00631676">
        <w:rPr>
          <w:rFonts w:cstheme="minorHAnsi"/>
        </w:rPr>
        <w:t>,</w:t>
      </w:r>
      <w:r w:rsidR="00637DEF" w:rsidRPr="00631676">
        <w:rPr>
          <w:rFonts w:cstheme="minorHAnsi"/>
        </w:rPr>
        <w:t xml:space="preserve"> where such testimony will have a deleterious effect necessitating special jury instructions.  </w:t>
      </w:r>
      <w:r w:rsidR="00F6116A" w:rsidRPr="00631676">
        <w:rPr>
          <w:rFonts w:cstheme="minorHAnsi"/>
          <w:i/>
        </w:rPr>
        <w:t>Webb</w:t>
      </w:r>
      <w:r w:rsidR="00F6116A" w:rsidRPr="00631676">
        <w:rPr>
          <w:rFonts w:cstheme="minorHAnsi"/>
        </w:rPr>
        <w:t xml:space="preserve"> neither holds nor suggests that a </w:t>
      </w:r>
      <w:r w:rsidR="00A124D2" w:rsidRPr="00631676">
        <w:rPr>
          <w:rFonts w:cstheme="minorHAnsi"/>
        </w:rPr>
        <w:t>testifying defendant is entitled to speculate about matters of which he or she claims no direct knowledge.</w:t>
      </w:r>
      <w:r w:rsidR="00E9749F" w:rsidRPr="00631676">
        <w:rPr>
          <w:rFonts w:cstheme="minorHAnsi"/>
        </w:rPr>
        <w:t xml:space="preserve">  </w:t>
      </w:r>
    </w:p>
    <w:p w14:paraId="2C6857C6" w14:textId="1773BF47" w:rsidR="004A5758" w:rsidRPr="00EC3DB2" w:rsidRDefault="00F9226E" w:rsidP="00EC3DB2">
      <w:pPr>
        <w:pStyle w:val="Heading3"/>
        <w:rPr>
          <w:rFonts w:cstheme="minorHAnsi"/>
          <w:b/>
        </w:rPr>
      </w:pPr>
      <w:r w:rsidRPr="00EC3DB2">
        <w:rPr>
          <w:rFonts w:cstheme="minorHAnsi"/>
        </w:rPr>
        <w:tab/>
      </w:r>
      <w:r w:rsidRPr="00EC3DB2">
        <w:rPr>
          <w:rFonts w:cstheme="minorHAnsi"/>
        </w:rPr>
        <w:tab/>
      </w:r>
      <w:bookmarkStart w:id="31" w:name="_Toc12993768"/>
      <w:r w:rsidR="004A5758" w:rsidRPr="00EC3DB2">
        <w:rPr>
          <w:rFonts w:cstheme="minorHAnsi"/>
        </w:rPr>
        <w:t>4.</w:t>
      </w:r>
      <w:r w:rsidR="004A5758" w:rsidRPr="00EC3DB2">
        <w:rPr>
          <w:rFonts w:cstheme="minorHAnsi"/>
        </w:rPr>
        <w:tab/>
        <w:t>Expert Witness Testimony</w:t>
      </w:r>
      <w:r w:rsidR="00AA4B7A" w:rsidRPr="00EC3DB2">
        <w:rPr>
          <w:rFonts w:cstheme="minorHAnsi"/>
        </w:rPr>
        <w:t xml:space="preserve"> </w:t>
      </w:r>
      <w:bookmarkEnd w:id="31"/>
    </w:p>
    <w:p w14:paraId="39FC0B1D" w14:textId="13385235" w:rsidR="00BF03E6" w:rsidRPr="00631676" w:rsidRDefault="00637DEF" w:rsidP="00EC3DB2">
      <w:pPr>
        <w:rPr>
          <w:rFonts w:cstheme="minorHAnsi"/>
        </w:rPr>
      </w:pPr>
      <w:r w:rsidRPr="00631676">
        <w:rPr>
          <w:rFonts w:cstheme="minorHAnsi"/>
        </w:rPr>
        <w:tab/>
      </w:r>
      <w:r w:rsidR="001B356F" w:rsidRPr="00631676">
        <w:rPr>
          <w:rFonts w:cstheme="minorHAnsi"/>
        </w:rPr>
        <w:t>D</w:t>
      </w:r>
      <w:r w:rsidRPr="00631676">
        <w:rPr>
          <w:rFonts w:cstheme="minorHAnsi"/>
        </w:rPr>
        <w:t xml:space="preserve">efendant </w:t>
      </w:r>
      <w:r w:rsidR="00455949" w:rsidRPr="00631676">
        <w:rPr>
          <w:rFonts w:cstheme="minorHAnsi"/>
        </w:rPr>
        <w:t>argues that</w:t>
      </w:r>
      <w:r w:rsidRPr="00631676">
        <w:rPr>
          <w:rFonts w:cstheme="minorHAnsi"/>
        </w:rPr>
        <w:t xml:space="preserve"> the trial court erred by limiting Dr.</w:t>
      </w:r>
      <w:r w:rsidR="00C779EA" w:rsidRPr="00631676">
        <w:rPr>
          <w:rFonts w:cstheme="minorHAnsi"/>
        </w:rPr>
        <w:t> </w:t>
      </w:r>
      <w:r w:rsidRPr="00631676">
        <w:rPr>
          <w:rFonts w:cstheme="minorHAnsi"/>
        </w:rPr>
        <w:t xml:space="preserve">Kania’s </w:t>
      </w:r>
      <w:r w:rsidR="004308F1" w:rsidRPr="00631676">
        <w:rPr>
          <w:rFonts w:cstheme="minorHAnsi"/>
        </w:rPr>
        <w:t>and Dr.</w:t>
      </w:r>
      <w:r w:rsidR="00C779EA" w:rsidRPr="00631676">
        <w:rPr>
          <w:rFonts w:cstheme="minorHAnsi"/>
        </w:rPr>
        <w:t> </w:t>
      </w:r>
      <w:r w:rsidR="004308F1" w:rsidRPr="00631676">
        <w:rPr>
          <w:rFonts w:cstheme="minorHAnsi"/>
        </w:rPr>
        <w:t xml:space="preserve">Glaser’s </w:t>
      </w:r>
      <w:r w:rsidRPr="00631676">
        <w:rPr>
          <w:rFonts w:cstheme="minorHAnsi"/>
        </w:rPr>
        <w:t>testimony</w:t>
      </w:r>
      <w:r w:rsidR="005A0D74" w:rsidRPr="00631676">
        <w:rPr>
          <w:rFonts w:cstheme="minorHAnsi"/>
        </w:rPr>
        <w:t>.  With regard to Dr.</w:t>
      </w:r>
      <w:r w:rsidR="00C779EA" w:rsidRPr="00631676">
        <w:rPr>
          <w:rFonts w:cstheme="minorHAnsi"/>
        </w:rPr>
        <w:t> </w:t>
      </w:r>
      <w:r w:rsidR="005A0D74" w:rsidRPr="00631676">
        <w:rPr>
          <w:rFonts w:cstheme="minorHAnsi"/>
        </w:rPr>
        <w:t xml:space="preserve">Kania, defendant </w:t>
      </w:r>
      <w:r w:rsidR="004A5758" w:rsidRPr="00631676">
        <w:rPr>
          <w:rFonts w:cstheme="minorHAnsi"/>
        </w:rPr>
        <w:t xml:space="preserve">contends </w:t>
      </w:r>
      <w:r w:rsidR="005A0D74" w:rsidRPr="00631676">
        <w:rPr>
          <w:rFonts w:cstheme="minorHAnsi"/>
        </w:rPr>
        <w:t xml:space="preserve">the trial court categorically excluded testimony regarding defendant’s statements during certain interviews, which defendant </w:t>
      </w:r>
      <w:r w:rsidR="00455949" w:rsidRPr="00631676">
        <w:rPr>
          <w:rFonts w:cstheme="minorHAnsi"/>
        </w:rPr>
        <w:t>claims</w:t>
      </w:r>
      <w:r w:rsidR="005A0D74" w:rsidRPr="00631676">
        <w:rPr>
          <w:rFonts w:cstheme="minorHAnsi"/>
        </w:rPr>
        <w:t xml:space="preserve"> w</w:t>
      </w:r>
      <w:r w:rsidR="00AA11A1">
        <w:rPr>
          <w:rFonts w:cstheme="minorHAnsi"/>
        </w:rPr>
        <w:t>as</w:t>
      </w:r>
      <w:r w:rsidR="005A0D74" w:rsidRPr="00631676">
        <w:rPr>
          <w:rFonts w:cstheme="minorHAnsi"/>
        </w:rPr>
        <w:t xml:space="preserve"> admissible for nonhearsay purposes.  He alleges the court erred by prohibiting Dr.</w:t>
      </w:r>
      <w:r w:rsidR="00C779EA" w:rsidRPr="00631676">
        <w:rPr>
          <w:rFonts w:cstheme="minorHAnsi"/>
        </w:rPr>
        <w:t> </w:t>
      </w:r>
      <w:r w:rsidR="005A0D74" w:rsidRPr="00631676">
        <w:rPr>
          <w:rFonts w:cstheme="minorHAnsi"/>
        </w:rPr>
        <w:t>Kania from explaining that accept</w:t>
      </w:r>
      <w:r w:rsidR="00266B59" w:rsidRPr="00631676">
        <w:rPr>
          <w:rFonts w:cstheme="minorHAnsi"/>
        </w:rPr>
        <w:t>ing</w:t>
      </w:r>
      <w:r w:rsidR="005A0D74" w:rsidRPr="00631676">
        <w:rPr>
          <w:rFonts w:cstheme="minorHAnsi"/>
        </w:rPr>
        <w:t xml:space="preserve"> telephone calls from his mother</w:t>
      </w:r>
      <w:r w:rsidR="00266B59" w:rsidRPr="00631676">
        <w:rPr>
          <w:rFonts w:cstheme="minorHAnsi"/>
        </w:rPr>
        <w:t xml:space="preserve"> provoked anxiety in defendant</w:t>
      </w:r>
      <w:r w:rsidR="004A3C9A" w:rsidRPr="00631676">
        <w:rPr>
          <w:rFonts w:cstheme="minorHAnsi"/>
        </w:rPr>
        <w:t>.  He also alleges Dr.</w:t>
      </w:r>
      <w:r w:rsidR="00C779EA" w:rsidRPr="00631676">
        <w:rPr>
          <w:rFonts w:cstheme="minorHAnsi"/>
        </w:rPr>
        <w:t> </w:t>
      </w:r>
      <w:r w:rsidR="004A3C9A" w:rsidRPr="00631676">
        <w:rPr>
          <w:rFonts w:cstheme="minorHAnsi"/>
        </w:rPr>
        <w:t xml:space="preserve">Kania </w:t>
      </w:r>
      <w:r w:rsidR="005A0D74" w:rsidRPr="00631676">
        <w:rPr>
          <w:rFonts w:cstheme="minorHAnsi"/>
        </w:rPr>
        <w:t xml:space="preserve">was </w:t>
      </w:r>
      <w:r w:rsidR="004A3C9A" w:rsidRPr="00631676">
        <w:rPr>
          <w:rFonts w:cstheme="minorHAnsi"/>
        </w:rPr>
        <w:t>prohibited from</w:t>
      </w:r>
      <w:r w:rsidR="005A0D74" w:rsidRPr="00631676">
        <w:rPr>
          <w:rFonts w:cstheme="minorHAnsi"/>
        </w:rPr>
        <w:t xml:space="preserve"> describ</w:t>
      </w:r>
      <w:r w:rsidR="004A3C9A" w:rsidRPr="00631676">
        <w:rPr>
          <w:rFonts w:cstheme="minorHAnsi"/>
        </w:rPr>
        <w:t>ing</w:t>
      </w:r>
      <w:r w:rsidR="005A0D74" w:rsidRPr="00631676">
        <w:rPr>
          <w:rFonts w:cstheme="minorHAnsi"/>
        </w:rPr>
        <w:t xml:space="preserve"> the effects of defendant’s personality disorders, his relationship with Hollywood, his sleep deprivation, and drug intoxication on his alleged false confession.  Defendant fails to provide any citation to the record for these alleged prohibitions and makes no assertion that he made contemporaneous objections</w:t>
      </w:r>
      <w:r w:rsidR="004A5758" w:rsidRPr="00631676">
        <w:rPr>
          <w:rFonts w:cstheme="minorHAnsi"/>
        </w:rPr>
        <w:t>,</w:t>
      </w:r>
      <w:r w:rsidR="006E771F" w:rsidRPr="00631676">
        <w:rPr>
          <w:rFonts w:cstheme="minorHAnsi"/>
        </w:rPr>
        <w:t xml:space="preserve"> and</w:t>
      </w:r>
      <w:r w:rsidR="005A0D74" w:rsidRPr="00631676">
        <w:rPr>
          <w:rFonts w:cstheme="minorHAnsi"/>
        </w:rPr>
        <w:t xml:space="preserve"> </w:t>
      </w:r>
      <w:r w:rsidR="006E771F" w:rsidRPr="00631676">
        <w:rPr>
          <w:rFonts w:cstheme="minorHAnsi"/>
        </w:rPr>
        <w:t xml:space="preserve">we </w:t>
      </w:r>
      <w:r w:rsidR="003A7169" w:rsidRPr="00631676">
        <w:rPr>
          <w:rFonts w:cstheme="minorHAnsi"/>
        </w:rPr>
        <w:t>have</w:t>
      </w:r>
      <w:r w:rsidR="005A0D74" w:rsidRPr="00631676">
        <w:rPr>
          <w:rFonts w:cstheme="minorHAnsi"/>
        </w:rPr>
        <w:t xml:space="preserve"> not </w:t>
      </w:r>
      <w:r w:rsidR="003A7169" w:rsidRPr="00631676">
        <w:rPr>
          <w:rFonts w:cstheme="minorHAnsi"/>
        </w:rPr>
        <w:t xml:space="preserve">located any passage showing that </w:t>
      </w:r>
      <w:r w:rsidR="005A0D74" w:rsidRPr="00631676">
        <w:rPr>
          <w:rFonts w:cstheme="minorHAnsi"/>
        </w:rPr>
        <w:t xml:space="preserve">defendant attempted </w:t>
      </w:r>
      <w:r w:rsidR="005A0D74" w:rsidRPr="00631676">
        <w:rPr>
          <w:rFonts w:cstheme="minorHAnsi"/>
        </w:rPr>
        <w:lastRenderedPageBreak/>
        <w:t xml:space="preserve">to offer this testimony but was precluded from so doing. </w:t>
      </w:r>
      <w:r w:rsidR="006E771F" w:rsidRPr="00631676">
        <w:rPr>
          <w:rFonts w:cstheme="minorHAnsi"/>
        </w:rPr>
        <w:t xml:space="preserve"> </w:t>
      </w:r>
      <w:r w:rsidR="004A3C9A" w:rsidRPr="00631676">
        <w:rPr>
          <w:rFonts w:cstheme="minorHAnsi"/>
        </w:rPr>
        <w:t xml:space="preserve">Both by failing to interject contemporaneous objections and by failing to support his appellate arguments with record citations, defendant has forfeited </w:t>
      </w:r>
      <w:r w:rsidR="005A0D74" w:rsidRPr="00631676">
        <w:rPr>
          <w:rFonts w:cstheme="minorHAnsi"/>
        </w:rPr>
        <w:t>any claim of error</w:t>
      </w:r>
      <w:r w:rsidR="004A3C9A" w:rsidRPr="00631676">
        <w:rPr>
          <w:rFonts w:cstheme="minorHAnsi"/>
        </w:rPr>
        <w:t xml:space="preserve"> on appeal</w:t>
      </w:r>
      <w:r w:rsidR="005A0D74" w:rsidRPr="00631676">
        <w:rPr>
          <w:rFonts w:cstheme="minorHAnsi"/>
        </w:rPr>
        <w:t xml:space="preserve">.  </w:t>
      </w:r>
      <w:r w:rsidR="00457C29" w:rsidRPr="00631676">
        <w:rPr>
          <w:rFonts w:cstheme="minorHAnsi"/>
        </w:rPr>
        <w:t xml:space="preserve">(See </w:t>
      </w:r>
      <w:r w:rsidR="00E61F69" w:rsidRPr="00631676">
        <w:rPr>
          <w:rFonts w:cstheme="minorHAnsi"/>
          <w:i/>
        </w:rPr>
        <w:t>People v. </w:t>
      </w:r>
      <w:r w:rsidR="00457C29" w:rsidRPr="00631676">
        <w:rPr>
          <w:rFonts w:cstheme="minorHAnsi"/>
          <w:i/>
        </w:rPr>
        <w:t>Tully</w:t>
      </w:r>
      <w:r w:rsidR="00457C29" w:rsidRPr="00631676">
        <w:rPr>
          <w:rFonts w:cstheme="minorHAnsi"/>
        </w:rPr>
        <w:t xml:space="preserve">, </w:t>
      </w:r>
      <w:r w:rsidR="00457C29" w:rsidRPr="00631676">
        <w:rPr>
          <w:rFonts w:cstheme="minorHAnsi"/>
          <w:i/>
        </w:rPr>
        <w:t>supra</w:t>
      </w:r>
      <w:r w:rsidR="00457C29" w:rsidRPr="00631676">
        <w:rPr>
          <w:rFonts w:cstheme="minorHAnsi"/>
        </w:rPr>
        <w:t>, 54 Cal.4th at p.</w:t>
      </w:r>
      <w:r w:rsidR="00C779EA" w:rsidRPr="00631676">
        <w:rPr>
          <w:rFonts w:cstheme="minorHAnsi"/>
        </w:rPr>
        <w:t> </w:t>
      </w:r>
      <w:r w:rsidR="00457C29" w:rsidRPr="00631676">
        <w:rPr>
          <w:rFonts w:cstheme="minorHAnsi"/>
        </w:rPr>
        <w:t>1061</w:t>
      </w:r>
      <w:r w:rsidR="004A3C9A" w:rsidRPr="00631676">
        <w:rPr>
          <w:rFonts w:cstheme="minorHAnsi"/>
        </w:rPr>
        <w:t xml:space="preserve">; </w:t>
      </w:r>
      <w:r w:rsidR="004A3C9A" w:rsidRPr="00631676">
        <w:rPr>
          <w:rFonts w:cstheme="minorHAnsi"/>
          <w:i/>
        </w:rPr>
        <w:t>People v. Stanley</w:t>
      </w:r>
      <w:r w:rsidR="004A3C9A" w:rsidRPr="00631676">
        <w:rPr>
          <w:rFonts w:cstheme="minorHAnsi"/>
        </w:rPr>
        <w:t xml:space="preserve"> (1995) 10 Cal.4th 764, 793</w:t>
      </w:r>
      <w:r w:rsidR="00457C29" w:rsidRPr="00631676">
        <w:rPr>
          <w:rFonts w:cstheme="minorHAnsi"/>
        </w:rPr>
        <w:t xml:space="preserve">.)  </w:t>
      </w:r>
      <w:r w:rsidR="00BF03E6" w:rsidRPr="00631676">
        <w:rPr>
          <w:rFonts w:cstheme="minorHAnsi"/>
        </w:rPr>
        <w:t xml:space="preserve">In any event, </w:t>
      </w:r>
      <w:r w:rsidR="004A3C9A" w:rsidRPr="00631676">
        <w:rPr>
          <w:rFonts w:cstheme="minorHAnsi"/>
        </w:rPr>
        <w:t>whatever errors defendant now claims occurred could not have affected the outcome of the case; Dr.</w:t>
      </w:r>
      <w:r w:rsidR="00C779EA" w:rsidRPr="00631676">
        <w:rPr>
          <w:rFonts w:cstheme="minorHAnsi"/>
        </w:rPr>
        <w:t> </w:t>
      </w:r>
      <w:r w:rsidR="004A3C9A" w:rsidRPr="00631676">
        <w:rPr>
          <w:rFonts w:cstheme="minorHAnsi"/>
        </w:rPr>
        <w:t>Kania testified at length about defendant’s alleged anxiety-inducted amnesia</w:t>
      </w:r>
      <w:r w:rsidR="001C7C8B" w:rsidRPr="00631676">
        <w:rPr>
          <w:rFonts w:cstheme="minorHAnsi"/>
        </w:rPr>
        <w:t xml:space="preserve"> based on his evaluation of defendant.  </w:t>
      </w:r>
    </w:p>
    <w:p w14:paraId="15433C9E" w14:textId="1A06FC89" w:rsidR="00A81BFA" w:rsidRPr="00631676" w:rsidRDefault="00BF03E6" w:rsidP="00EC3DB2">
      <w:pPr>
        <w:rPr>
          <w:rFonts w:cstheme="minorHAnsi"/>
        </w:rPr>
      </w:pPr>
      <w:r w:rsidRPr="00631676">
        <w:rPr>
          <w:rFonts w:cstheme="minorHAnsi"/>
        </w:rPr>
        <w:tab/>
        <w:t>Defendant also claims the trial court erred by permitting Dr.</w:t>
      </w:r>
      <w:r w:rsidR="00C779EA" w:rsidRPr="00631676">
        <w:rPr>
          <w:rFonts w:cstheme="minorHAnsi"/>
        </w:rPr>
        <w:t> </w:t>
      </w:r>
      <w:r w:rsidRPr="00631676">
        <w:rPr>
          <w:rFonts w:cstheme="minorHAnsi"/>
        </w:rPr>
        <w:t xml:space="preserve">Glaser to </w:t>
      </w:r>
      <w:r w:rsidR="00BD7EA4" w:rsidRPr="00631676">
        <w:rPr>
          <w:rFonts w:cstheme="minorHAnsi"/>
        </w:rPr>
        <w:t xml:space="preserve">testify for the prosecution whether, in his opinion, </w:t>
      </w:r>
      <w:r w:rsidRPr="00631676">
        <w:rPr>
          <w:rFonts w:cstheme="minorHAnsi"/>
        </w:rPr>
        <w:t>defen</w:t>
      </w:r>
      <w:r w:rsidR="003E482C" w:rsidRPr="00631676">
        <w:rPr>
          <w:rFonts w:cstheme="minorHAnsi"/>
        </w:rPr>
        <w:t>dant’s claimed amnesia was</w:t>
      </w:r>
      <w:r w:rsidR="00F178AB" w:rsidRPr="00631676">
        <w:rPr>
          <w:rFonts w:cstheme="minorHAnsi"/>
        </w:rPr>
        <w:t xml:space="preserve"> a fabrication, while “Dr.</w:t>
      </w:r>
      <w:r w:rsidR="00C779EA" w:rsidRPr="00631676">
        <w:rPr>
          <w:rFonts w:cstheme="minorHAnsi"/>
        </w:rPr>
        <w:t> </w:t>
      </w:r>
      <w:r w:rsidR="00F178AB" w:rsidRPr="00631676">
        <w:rPr>
          <w:rFonts w:cstheme="minorHAnsi"/>
        </w:rPr>
        <w:t xml:space="preserve">Kania was not permitted to share his opinion that [defendant’s] confession was false in most respects.”  </w:t>
      </w:r>
      <w:r w:rsidR="00BD7EA4" w:rsidRPr="00631676">
        <w:rPr>
          <w:rFonts w:cstheme="minorHAnsi"/>
        </w:rPr>
        <w:t>T</w:t>
      </w:r>
      <w:r w:rsidR="00A81BFA" w:rsidRPr="00631676">
        <w:rPr>
          <w:rFonts w:cstheme="minorHAnsi"/>
        </w:rPr>
        <w:t xml:space="preserve">here is, however, no </w:t>
      </w:r>
      <w:r w:rsidR="00F77DF2" w:rsidRPr="00631676">
        <w:rPr>
          <w:rFonts w:cstheme="minorHAnsi"/>
        </w:rPr>
        <w:t>inconsistency in the court’s treatment of the two experts</w:t>
      </w:r>
      <w:r w:rsidR="00A81BFA" w:rsidRPr="00631676">
        <w:rPr>
          <w:rFonts w:cstheme="minorHAnsi"/>
        </w:rPr>
        <w:t>.  Dr.</w:t>
      </w:r>
      <w:r w:rsidR="00C779EA" w:rsidRPr="00631676">
        <w:rPr>
          <w:rFonts w:cstheme="minorHAnsi"/>
        </w:rPr>
        <w:t> </w:t>
      </w:r>
      <w:r w:rsidR="00A81BFA" w:rsidRPr="00631676">
        <w:rPr>
          <w:rFonts w:cstheme="minorHAnsi"/>
        </w:rPr>
        <w:t>Kania was permitted to offer his opinion on precisely the same subject as Dr.</w:t>
      </w:r>
      <w:r w:rsidR="00C779EA" w:rsidRPr="00631676">
        <w:rPr>
          <w:rFonts w:cstheme="minorHAnsi"/>
        </w:rPr>
        <w:t> </w:t>
      </w:r>
      <w:r w:rsidR="00A81BFA" w:rsidRPr="00631676">
        <w:rPr>
          <w:rFonts w:cstheme="minorHAnsi"/>
        </w:rPr>
        <w:t xml:space="preserve">Glaser, testifying that he believed defendant’s claim of amnesia was credible.  </w:t>
      </w:r>
    </w:p>
    <w:p w14:paraId="4F792E26" w14:textId="0771B583" w:rsidR="001E4C1E" w:rsidRPr="00631676" w:rsidRDefault="00632A09" w:rsidP="00A37C32">
      <w:pPr>
        <w:rPr>
          <w:rFonts w:cstheme="minorHAnsi"/>
        </w:rPr>
      </w:pPr>
      <w:r w:rsidRPr="00631676">
        <w:rPr>
          <w:rFonts w:cstheme="minorHAnsi"/>
        </w:rPr>
        <w:tab/>
      </w:r>
      <w:r w:rsidR="0084298B" w:rsidRPr="00631676">
        <w:rPr>
          <w:rFonts w:cstheme="minorHAnsi"/>
        </w:rPr>
        <w:t xml:space="preserve">Finally, defendant </w:t>
      </w:r>
      <w:r w:rsidR="00C247C1" w:rsidRPr="00631676">
        <w:rPr>
          <w:rFonts w:cstheme="minorHAnsi"/>
        </w:rPr>
        <w:t>contend</w:t>
      </w:r>
      <w:r w:rsidR="00B5249D" w:rsidRPr="00631676">
        <w:rPr>
          <w:rFonts w:cstheme="minorHAnsi"/>
        </w:rPr>
        <w:t>s</w:t>
      </w:r>
      <w:r w:rsidR="0084298B" w:rsidRPr="00631676">
        <w:rPr>
          <w:rFonts w:cstheme="minorHAnsi"/>
        </w:rPr>
        <w:t xml:space="preserve"> the court erred by </w:t>
      </w:r>
      <w:r w:rsidR="00DB3D3F" w:rsidRPr="00631676">
        <w:rPr>
          <w:rFonts w:cstheme="minorHAnsi"/>
        </w:rPr>
        <w:t>denying his request to recall Dr.</w:t>
      </w:r>
      <w:r w:rsidR="00C779EA" w:rsidRPr="00631676">
        <w:rPr>
          <w:rFonts w:cstheme="minorHAnsi"/>
        </w:rPr>
        <w:t> </w:t>
      </w:r>
      <w:r w:rsidR="00DB3D3F" w:rsidRPr="00631676">
        <w:rPr>
          <w:rFonts w:cstheme="minorHAnsi"/>
        </w:rPr>
        <w:t xml:space="preserve">Kania for purposes of responding to the </w:t>
      </w:r>
      <w:r w:rsidR="0084298B" w:rsidRPr="00631676">
        <w:rPr>
          <w:rFonts w:cstheme="minorHAnsi"/>
        </w:rPr>
        <w:t>prosecutor’s experts</w:t>
      </w:r>
      <w:r w:rsidR="005656D7" w:rsidRPr="00631676">
        <w:rPr>
          <w:rFonts w:cstheme="minorHAnsi"/>
        </w:rPr>
        <w:t>’</w:t>
      </w:r>
      <w:r w:rsidR="0084298B" w:rsidRPr="00631676">
        <w:rPr>
          <w:rFonts w:cstheme="minorHAnsi"/>
        </w:rPr>
        <w:t xml:space="preserve"> reports</w:t>
      </w:r>
      <w:r w:rsidR="005656D7" w:rsidRPr="00631676">
        <w:rPr>
          <w:rFonts w:cstheme="minorHAnsi"/>
        </w:rPr>
        <w:t xml:space="preserve"> and their testimony</w:t>
      </w:r>
      <w:r w:rsidR="00DB3D3F" w:rsidRPr="00631676">
        <w:rPr>
          <w:rFonts w:cstheme="minorHAnsi"/>
        </w:rPr>
        <w:t>.  We review for abuse of discretion a trial court’s decision to exclude surrebuttal evidence</w:t>
      </w:r>
      <w:r w:rsidR="0031054D" w:rsidRPr="00631676">
        <w:rPr>
          <w:rFonts w:cstheme="minorHAnsi"/>
        </w:rPr>
        <w:t>, and we see none here</w:t>
      </w:r>
      <w:r w:rsidR="00DB3D3F" w:rsidRPr="00631676">
        <w:rPr>
          <w:rFonts w:cstheme="minorHAnsi"/>
        </w:rPr>
        <w:t>.  (</w:t>
      </w:r>
      <w:r w:rsidR="00DB3D3F" w:rsidRPr="00631676">
        <w:rPr>
          <w:rFonts w:cstheme="minorHAnsi"/>
          <w:i/>
        </w:rPr>
        <w:t>People v. Marshall</w:t>
      </w:r>
      <w:r w:rsidR="00DB3D3F" w:rsidRPr="00631676">
        <w:rPr>
          <w:rFonts w:cstheme="minorHAnsi"/>
        </w:rPr>
        <w:t xml:space="preserve"> (1996) 13 Cal.4th 799, 836.)  </w:t>
      </w:r>
      <w:r w:rsidR="0084298B" w:rsidRPr="00631676">
        <w:rPr>
          <w:rFonts w:cstheme="minorHAnsi"/>
        </w:rPr>
        <w:t xml:space="preserve">Defendant does not </w:t>
      </w:r>
      <w:r w:rsidR="005656D7" w:rsidRPr="00631676">
        <w:rPr>
          <w:rFonts w:cstheme="minorHAnsi"/>
        </w:rPr>
        <w:t>explain what it was, precisely, about the experts’ reports or testimony that required a further response via additional testimony from Dr.</w:t>
      </w:r>
      <w:r w:rsidR="00C779EA" w:rsidRPr="00631676">
        <w:rPr>
          <w:rFonts w:cstheme="minorHAnsi"/>
        </w:rPr>
        <w:t> </w:t>
      </w:r>
      <w:r w:rsidR="005656D7" w:rsidRPr="00631676">
        <w:rPr>
          <w:rFonts w:cstheme="minorHAnsi"/>
        </w:rPr>
        <w:t>Kania, nor did defendant offer such an explanation to the trial court</w:t>
      </w:r>
      <w:r w:rsidR="00A148A9" w:rsidRPr="00631676">
        <w:rPr>
          <w:rFonts w:cstheme="minorHAnsi"/>
        </w:rPr>
        <w:t>.</w:t>
      </w:r>
      <w:r w:rsidR="005656D7" w:rsidRPr="00631676">
        <w:rPr>
          <w:rFonts w:cstheme="minorHAnsi"/>
        </w:rPr>
        <w:t xml:space="preserve">  The claim is therefore forfeited on appeal.</w:t>
      </w:r>
      <w:r w:rsidR="000B24CA" w:rsidRPr="00631676">
        <w:rPr>
          <w:rFonts w:cstheme="minorHAnsi"/>
        </w:rPr>
        <w:t xml:space="preserve"> </w:t>
      </w:r>
      <w:r w:rsidR="00A90681" w:rsidRPr="00631676">
        <w:rPr>
          <w:rFonts w:cstheme="minorHAnsi"/>
        </w:rPr>
        <w:t xml:space="preserve"> </w:t>
      </w:r>
      <w:r w:rsidR="000B24CA" w:rsidRPr="00631676">
        <w:rPr>
          <w:rFonts w:cstheme="minorHAnsi"/>
        </w:rPr>
        <w:t xml:space="preserve">Defendant also argues that </w:t>
      </w:r>
      <w:r w:rsidR="0084298B" w:rsidRPr="00631676">
        <w:rPr>
          <w:rFonts w:cstheme="minorHAnsi"/>
        </w:rPr>
        <w:t>Dr.</w:t>
      </w:r>
      <w:r w:rsidR="00854809" w:rsidRPr="00631676">
        <w:rPr>
          <w:rFonts w:cstheme="minorHAnsi"/>
        </w:rPr>
        <w:t> </w:t>
      </w:r>
      <w:r w:rsidR="0084298B" w:rsidRPr="00631676">
        <w:rPr>
          <w:rFonts w:cstheme="minorHAnsi"/>
        </w:rPr>
        <w:t>Kania should have been permitted to testify in surrebuttal as to the content of defendant’s interviews with him</w:t>
      </w:r>
      <w:r w:rsidR="00ED22AE" w:rsidRPr="00631676">
        <w:rPr>
          <w:rFonts w:cstheme="minorHAnsi"/>
        </w:rPr>
        <w:t xml:space="preserve"> in order to respond to the prosecution’s evidence that </w:t>
      </w:r>
      <w:r w:rsidR="00ED22AE" w:rsidRPr="00631676">
        <w:rPr>
          <w:rFonts w:cstheme="minorHAnsi"/>
        </w:rPr>
        <w:lastRenderedPageBreak/>
        <w:t>de</w:t>
      </w:r>
      <w:r w:rsidR="007A512D" w:rsidRPr="00631676">
        <w:rPr>
          <w:rFonts w:cstheme="minorHAnsi"/>
        </w:rPr>
        <w:t>fendant’s claimed amnesia was a fabrication.  The trial court did not abuse its discretion in ruling that this was largely territory that had already been covered and did not require additional surrebuttal evidence.</w:t>
      </w:r>
      <w:r w:rsidR="001E4C1E" w:rsidRPr="00631676">
        <w:rPr>
          <w:rFonts w:cstheme="minorHAnsi"/>
        </w:rPr>
        <w:t xml:space="preserve">  If any error occurred, it was not prejudicial.  (See </w:t>
      </w:r>
      <w:r w:rsidR="001E4C1E" w:rsidRPr="00631676">
        <w:rPr>
          <w:rFonts w:cstheme="minorHAnsi"/>
          <w:i/>
        </w:rPr>
        <w:t>Chapman v. California</w:t>
      </w:r>
      <w:r w:rsidR="003F505A" w:rsidRPr="00631676">
        <w:rPr>
          <w:rFonts w:cstheme="minorHAnsi"/>
        </w:rPr>
        <w:t xml:space="preserve"> (1967) </w:t>
      </w:r>
      <w:r w:rsidR="001E4C1E" w:rsidRPr="00631676">
        <w:rPr>
          <w:rFonts w:cstheme="minorHAnsi"/>
        </w:rPr>
        <w:t xml:space="preserve">386 U.S. </w:t>
      </w:r>
      <w:r w:rsidR="003F505A" w:rsidRPr="00631676">
        <w:rPr>
          <w:rFonts w:cstheme="minorHAnsi"/>
        </w:rPr>
        <w:t xml:space="preserve">18, </w:t>
      </w:r>
      <w:r w:rsidR="001E4C1E" w:rsidRPr="00631676">
        <w:rPr>
          <w:rFonts w:cstheme="minorHAnsi"/>
        </w:rPr>
        <w:t xml:space="preserve">24; </w:t>
      </w:r>
      <w:r w:rsidR="003F505A" w:rsidRPr="00631676">
        <w:rPr>
          <w:rFonts w:cstheme="minorHAnsi"/>
          <w:i/>
        </w:rPr>
        <w:t xml:space="preserve">People v. </w:t>
      </w:r>
      <w:r w:rsidR="001E4C1E" w:rsidRPr="00631676">
        <w:rPr>
          <w:rFonts w:cstheme="minorHAnsi"/>
          <w:i/>
        </w:rPr>
        <w:t>Watson</w:t>
      </w:r>
      <w:r w:rsidR="003F505A" w:rsidRPr="00631676">
        <w:rPr>
          <w:rFonts w:cstheme="minorHAnsi"/>
          <w:i/>
        </w:rPr>
        <w:t xml:space="preserve"> </w:t>
      </w:r>
      <w:r w:rsidR="003F505A" w:rsidRPr="00631676">
        <w:rPr>
          <w:rFonts w:cstheme="minorHAnsi"/>
        </w:rPr>
        <w:t xml:space="preserve">(1956) </w:t>
      </w:r>
      <w:r w:rsidR="001E4C1E" w:rsidRPr="00631676">
        <w:rPr>
          <w:rFonts w:cstheme="minorHAnsi"/>
        </w:rPr>
        <w:t xml:space="preserve">46 Cal.2d </w:t>
      </w:r>
      <w:r w:rsidR="003F505A" w:rsidRPr="00631676">
        <w:rPr>
          <w:rFonts w:cstheme="minorHAnsi"/>
        </w:rPr>
        <w:t xml:space="preserve">818, </w:t>
      </w:r>
      <w:r w:rsidR="001E4C1E" w:rsidRPr="00631676">
        <w:rPr>
          <w:rFonts w:cstheme="minorHAnsi"/>
        </w:rPr>
        <w:t>836–837</w:t>
      </w:r>
      <w:r w:rsidR="003F505A" w:rsidRPr="00631676">
        <w:rPr>
          <w:rFonts w:cstheme="minorHAnsi"/>
        </w:rPr>
        <w:t xml:space="preserve"> (</w:t>
      </w:r>
      <w:r w:rsidR="003F505A" w:rsidRPr="00631676">
        <w:rPr>
          <w:rFonts w:cstheme="minorHAnsi"/>
          <w:i/>
        </w:rPr>
        <w:t>Watson</w:t>
      </w:r>
      <w:r w:rsidR="003F505A" w:rsidRPr="00631676">
        <w:rPr>
          <w:rFonts w:cstheme="minorHAnsi"/>
        </w:rPr>
        <w:t>)</w:t>
      </w:r>
      <w:r w:rsidR="001E4C1E" w:rsidRPr="00631676">
        <w:rPr>
          <w:rFonts w:cstheme="minorHAnsi"/>
        </w:rPr>
        <w:t>.)</w:t>
      </w:r>
    </w:p>
    <w:p w14:paraId="76EC3CD8" w14:textId="4C1F190E" w:rsidR="00F92B9A" w:rsidRPr="00EC3DB2" w:rsidRDefault="00F92B9A" w:rsidP="00EC3DB2">
      <w:pPr>
        <w:pStyle w:val="Heading3"/>
        <w:rPr>
          <w:rFonts w:cstheme="minorHAnsi"/>
          <w:b/>
        </w:rPr>
      </w:pPr>
      <w:r w:rsidRPr="00EC3DB2">
        <w:rPr>
          <w:rFonts w:cstheme="minorHAnsi"/>
        </w:rPr>
        <w:tab/>
      </w:r>
      <w:r w:rsidR="003B3670" w:rsidRPr="00EC3DB2">
        <w:rPr>
          <w:rFonts w:cstheme="minorHAnsi"/>
        </w:rPr>
        <w:tab/>
      </w:r>
      <w:bookmarkStart w:id="32" w:name="_Toc12993769"/>
      <w:r w:rsidR="004A5758" w:rsidRPr="00EC3DB2">
        <w:rPr>
          <w:rFonts w:cstheme="minorHAnsi"/>
        </w:rPr>
        <w:t>5</w:t>
      </w:r>
      <w:r w:rsidRPr="00EC3DB2">
        <w:rPr>
          <w:rFonts w:cstheme="minorHAnsi"/>
        </w:rPr>
        <w:t>.</w:t>
      </w:r>
      <w:r w:rsidRPr="00EC3DB2">
        <w:rPr>
          <w:rFonts w:cstheme="minorHAnsi"/>
        </w:rPr>
        <w:tab/>
        <w:t xml:space="preserve">Psychiatric Examination </w:t>
      </w:r>
      <w:bookmarkEnd w:id="32"/>
    </w:p>
    <w:p w14:paraId="5FE730E3" w14:textId="521F2558" w:rsidR="004B18E1" w:rsidRPr="00631676" w:rsidRDefault="004B18E1" w:rsidP="004716EA">
      <w:pPr>
        <w:rPr>
          <w:rFonts w:cstheme="minorHAnsi"/>
        </w:rPr>
      </w:pPr>
      <w:r w:rsidRPr="00631676">
        <w:rPr>
          <w:rFonts w:cstheme="minorHAnsi"/>
        </w:rPr>
        <w:tab/>
        <w:t xml:space="preserve">Defendant argues </w:t>
      </w:r>
      <w:r w:rsidR="00C8343B" w:rsidRPr="00631676">
        <w:rPr>
          <w:rFonts w:cstheme="minorHAnsi"/>
        </w:rPr>
        <w:t xml:space="preserve">the trial court erred by </w:t>
      </w:r>
      <w:r w:rsidR="00DC2E99" w:rsidRPr="00631676">
        <w:rPr>
          <w:rFonts w:cstheme="minorHAnsi"/>
        </w:rPr>
        <w:t>compelling him to undergo a prosecution-conducted</w:t>
      </w:r>
      <w:r w:rsidRPr="00631676">
        <w:rPr>
          <w:rFonts w:cstheme="minorHAnsi"/>
        </w:rPr>
        <w:t xml:space="preserve"> psychiatric examination.  </w:t>
      </w:r>
      <w:r w:rsidR="0066107F" w:rsidRPr="00631676">
        <w:rPr>
          <w:rFonts w:cstheme="minorHAnsi"/>
        </w:rPr>
        <w:t>The Attorney General</w:t>
      </w:r>
      <w:r w:rsidRPr="00631676">
        <w:rPr>
          <w:rFonts w:cstheme="minorHAnsi"/>
        </w:rPr>
        <w:t xml:space="preserve"> concedes the compelled examination was error but argues it </w:t>
      </w:r>
      <w:r w:rsidR="003E45E8" w:rsidRPr="00631676">
        <w:rPr>
          <w:rFonts w:cstheme="minorHAnsi"/>
        </w:rPr>
        <w:t>did not prejudice defendant</w:t>
      </w:r>
      <w:r w:rsidRPr="00631676">
        <w:rPr>
          <w:rFonts w:cstheme="minorHAnsi"/>
        </w:rPr>
        <w:t xml:space="preserve">.  </w:t>
      </w:r>
      <w:r w:rsidR="0062137C" w:rsidRPr="00631676">
        <w:rPr>
          <w:rFonts w:cstheme="minorHAnsi"/>
        </w:rPr>
        <w:t>We</w:t>
      </w:r>
      <w:r w:rsidR="00C8343B" w:rsidRPr="00631676">
        <w:rPr>
          <w:rFonts w:cstheme="minorHAnsi"/>
        </w:rPr>
        <w:t xml:space="preserve"> agree</w:t>
      </w:r>
      <w:r w:rsidR="003E45E8" w:rsidRPr="00631676">
        <w:rPr>
          <w:rFonts w:cstheme="minorHAnsi"/>
        </w:rPr>
        <w:t>.</w:t>
      </w:r>
      <w:r w:rsidR="003E45E8" w:rsidRPr="00631676" w:rsidDel="00C8343B">
        <w:rPr>
          <w:rFonts w:cstheme="minorHAnsi"/>
        </w:rPr>
        <w:t xml:space="preserve"> </w:t>
      </w:r>
    </w:p>
    <w:p w14:paraId="434B6F92" w14:textId="0E80B110" w:rsidR="004B18E1" w:rsidRPr="00631676" w:rsidRDefault="004B18E1" w:rsidP="00EC3DB2">
      <w:pPr>
        <w:rPr>
          <w:rFonts w:cstheme="minorHAnsi"/>
        </w:rPr>
      </w:pPr>
      <w:r w:rsidRPr="00631676">
        <w:rPr>
          <w:rFonts w:cstheme="minorHAnsi"/>
        </w:rPr>
        <w:tab/>
      </w:r>
      <w:r w:rsidR="003E45E8" w:rsidRPr="00631676">
        <w:rPr>
          <w:rFonts w:cstheme="minorHAnsi"/>
        </w:rPr>
        <w:t>Before trial, t</w:t>
      </w:r>
      <w:r w:rsidR="00DC2E99" w:rsidRPr="00631676">
        <w:rPr>
          <w:rFonts w:cstheme="minorHAnsi"/>
        </w:rPr>
        <w:t>he prosecution moved to compel defendant to undergo a psychiatric examination by prosecution experts</w:t>
      </w:r>
      <w:r w:rsidR="003E45E8" w:rsidRPr="00631676">
        <w:rPr>
          <w:rFonts w:cstheme="minorHAnsi"/>
        </w:rPr>
        <w:t xml:space="preserve">.  In support of the motion, the prosecution argued defendant </w:t>
      </w:r>
      <w:r w:rsidR="00DA32B4" w:rsidRPr="00631676">
        <w:rPr>
          <w:rFonts w:cstheme="minorHAnsi"/>
        </w:rPr>
        <w:t xml:space="preserve">had </w:t>
      </w:r>
      <w:r w:rsidR="00DC2E99" w:rsidRPr="00631676">
        <w:rPr>
          <w:rFonts w:cstheme="minorHAnsi"/>
        </w:rPr>
        <w:t xml:space="preserve">placed his mental state </w:t>
      </w:r>
      <w:r w:rsidR="003E45E8" w:rsidRPr="00631676">
        <w:rPr>
          <w:rFonts w:cstheme="minorHAnsi"/>
        </w:rPr>
        <w:t>at</w:t>
      </w:r>
      <w:r w:rsidR="00DC2E99" w:rsidRPr="00631676">
        <w:rPr>
          <w:rFonts w:cstheme="minorHAnsi"/>
        </w:rPr>
        <w:t xml:space="preserve"> issue</w:t>
      </w:r>
      <w:r w:rsidR="003E45E8" w:rsidRPr="00631676">
        <w:rPr>
          <w:rFonts w:cstheme="minorHAnsi"/>
        </w:rPr>
        <w:t xml:space="preserve"> by claiming he gave a false confession induced by various psychological factors</w:t>
      </w:r>
      <w:r w:rsidR="00DC2E99" w:rsidRPr="00631676">
        <w:rPr>
          <w:rFonts w:cstheme="minorHAnsi"/>
        </w:rPr>
        <w:t xml:space="preserve">.  </w:t>
      </w:r>
      <w:r w:rsidR="00A50B57" w:rsidRPr="00631676">
        <w:rPr>
          <w:rFonts w:cstheme="minorHAnsi"/>
        </w:rPr>
        <w:t>The defense objected</w:t>
      </w:r>
      <w:r w:rsidR="00DA32B4" w:rsidRPr="00631676">
        <w:rPr>
          <w:rFonts w:cstheme="minorHAnsi"/>
        </w:rPr>
        <w:t>.</w:t>
      </w:r>
      <w:r w:rsidR="00A50B57" w:rsidRPr="00631676">
        <w:rPr>
          <w:rFonts w:cstheme="minorHAnsi"/>
        </w:rPr>
        <w:t xml:space="preserve"> </w:t>
      </w:r>
      <w:r w:rsidR="00DA32B4" w:rsidRPr="00631676">
        <w:rPr>
          <w:rFonts w:cstheme="minorHAnsi"/>
        </w:rPr>
        <w:t xml:space="preserve"> A</w:t>
      </w:r>
      <w:r w:rsidR="00A50B57" w:rsidRPr="00631676">
        <w:rPr>
          <w:rFonts w:cstheme="minorHAnsi"/>
        </w:rPr>
        <w:t xml:space="preserve">fter hearing argument, the court granted the motion.  </w:t>
      </w:r>
      <w:r w:rsidR="00954BAF" w:rsidRPr="00631676">
        <w:rPr>
          <w:rFonts w:cstheme="minorHAnsi"/>
        </w:rPr>
        <w:t xml:space="preserve">The court </w:t>
      </w:r>
      <w:r w:rsidR="00B5249D" w:rsidRPr="00631676">
        <w:rPr>
          <w:rFonts w:cstheme="minorHAnsi"/>
        </w:rPr>
        <w:t>opined</w:t>
      </w:r>
      <w:r w:rsidR="00954BAF" w:rsidRPr="00631676">
        <w:rPr>
          <w:rFonts w:cstheme="minorHAnsi"/>
        </w:rPr>
        <w:t xml:space="preserve"> that when “a defendant presents expert psychological or </w:t>
      </w:r>
      <w:r w:rsidR="007211EA" w:rsidRPr="00631676">
        <w:rPr>
          <w:rFonts w:cstheme="minorHAnsi"/>
        </w:rPr>
        <w:t>psychiatric</w:t>
      </w:r>
      <w:r w:rsidR="00954BAF" w:rsidRPr="00631676">
        <w:rPr>
          <w:rFonts w:cstheme="minorHAnsi"/>
        </w:rPr>
        <w:t xml:space="preserve"> evidence” explaining his conduct, “the prosecution is entitled to rebut that evidence, and the only realistic manner in w</w:t>
      </w:r>
      <w:r w:rsidR="007211EA" w:rsidRPr="00631676">
        <w:rPr>
          <w:rFonts w:cstheme="minorHAnsi"/>
        </w:rPr>
        <w:t>h</w:t>
      </w:r>
      <w:r w:rsidR="00954BAF" w:rsidRPr="00631676">
        <w:rPr>
          <w:rFonts w:cstheme="minorHAnsi"/>
        </w:rPr>
        <w:t xml:space="preserve">ich the prosecution can do that is to be entitled to have a psychiatric evaluation of its own in order to prepare an expert to testify.”  </w:t>
      </w:r>
    </w:p>
    <w:p w14:paraId="40041E96" w14:textId="35CDDDE0" w:rsidR="004F2CEF" w:rsidRPr="00631676" w:rsidRDefault="004F2CEF" w:rsidP="00EC3DB2">
      <w:pPr>
        <w:rPr>
          <w:rFonts w:cstheme="minorHAnsi"/>
        </w:rPr>
      </w:pPr>
      <w:r w:rsidRPr="00631676">
        <w:rPr>
          <w:rFonts w:cstheme="minorHAnsi"/>
        </w:rPr>
        <w:tab/>
        <w:t xml:space="preserve">The prosecution </w:t>
      </w:r>
      <w:r w:rsidR="00144A40" w:rsidRPr="00631676">
        <w:rPr>
          <w:rFonts w:cstheme="minorHAnsi"/>
        </w:rPr>
        <w:t>retained Drs.</w:t>
      </w:r>
      <w:r w:rsidR="00854809" w:rsidRPr="00631676">
        <w:rPr>
          <w:rFonts w:cstheme="minorHAnsi"/>
        </w:rPr>
        <w:t> </w:t>
      </w:r>
      <w:r w:rsidR="00144A40" w:rsidRPr="00631676">
        <w:rPr>
          <w:rFonts w:cstheme="minorHAnsi"/>
        </w:rPr>
        <w:t>Glaser and Chidekel, both of whom testified for the prosecution in rebuttal.  Dr.</w:t>
      </w:r>
      <w:r w:rsidR="00854809" w:rsidRPr="00631676">
        <w:rPr>
          <w:rFonts w:cstheme="minorHAnsi"/>
        </w:rPr>
        <w:t> </w:t>
      </w:r>
      <w:r w:rsidR="00144A40" w:rsidRPr="00631676">
        <w:rPr>
          <w:rFonts w:cstheme="minorHAnsi"/>
        </w:rPr>
        <w:t>Glaser testified that after examining defendant and reviewing a great deal of case information, he concluded defendant suffered from “no current major mental illness</w:t>
      </w:r>
      <w:r w:rsidR="00B5249D" w:rsidRPr="00631676">
        <w:rPr>
          <w:rFonts w:cstheme="minorHAnsi"/>
        </w:rPr>
        <w:t>,” but</w:t>
      </w:r>
      <w:r w:rsidR="00F765F0" w:rsidRPr="00631676">
        <w:rPr>
          <w:rFonts w:cstheme="minorHAnsi"/>
        </w:rPr>
        <w:t xml:space="preserve"> </w:t>
      </w:r>
      <w:r w:rsidR="00B5249D" w:rsidRPr="00631676">
        <w:rPr>
          <w:rFonts w:cstheme="minorHAnsi"/>
        </w:rPr>
        <w:t>had low self-esteem, was uncomfortable acknowledging his feelings, and wa</w:t>
      </w:r>
      <w:r w:rsidR="00F765F0" w:rsidRPr="00631676">
        <w:rPr>
          <w:rFonts w:cstheme="minorHAnsi"/>
        </w:rPr>
        <w:t xml:space="preserve">s willing to suffer “unpleasant conditions” to remain near the person on </w:t>
      </w:r>
      <w:r w:rsidR="00F765F0" w:rsidRPr="00631676">
        <w:rPr>
          <w:rFonts w:cstheme="minorHAnsi"/>
        </w:rPr>
        <w:lastRenderedPageBreak/>
        <w:t xml:space="preserve">whom he </w:t>
      </w:r>
      <w:r w:rsidR="00B5249D" w:rsidRPr="00631676">
        <w:rPr>
          <w:rFonts w:cstheme="minorHAnsi"/>
        </w:rPr>
        <w:t>wa</w:t>
      </w:r>
      <w:r w:rsidR="00F765F0" w:rsidRPr="00631676">
        <w:rPr>
          <w:rFonts w:cstheme="minorHAnsi"/>
        </w:rPr>
        <w:t xml:space="preserve">s dependent.  </w:t>
      </w:r>
      <w:r w:rsidR="00B5249D" w:rsidRPr="00631676">
        <w:rPr>
          <w:rFonts w:cstheme="minorHAnsi"/>
        </w:rPr>
        <w:t xml:space="preserve">Defendant had no disorders rendering it more likely that he would falsely confess.  </w:t>
      </w:r>
      <w:r w:rsidR="00293A93" w:rsidRPr="00631676">
        <w:rPr>
          <w:rFonts w:cstheme="minorHAnsi"/>
        </w:rPr>
        <w:t>Dr.</w:t>
      </w:r>
      <w:r w:rsidR="00854809" w:rsidRPr="00631676">
        <w:rPr>
          <w:rFonts w:cstheme="minorHAnsi"/>
        </w:rPr>
        <w:t> </w:t>
      </w:r>
      <w:r w:rsidR="00293A93" w:rsidRPr="00631676">
        <w:rPr>
          <w:rFonts w:cstheme="minorHAnsi"/>
        </w:rPr>
        <w:t>Glaser also evaluated defendant for amnesia</w:t>
      </w:r>
      <w:r w:rsidR="0045594B" w:rsidRPr="00631676">
        <w:rPr>
          <w:rFonts w:cstheme="minorHAnsi"/>
        </w:rPr>
        <w:t xml:space="preserve"> and concluded defendant was malingering because he recalled nothing even after being given cues from the transcripts.   </w:t>
      </w:r>
    </w:p>
    <w:p w14:paraId="79164591" w14:textId="39CF2C52" w:rsidR="00855CEC" w:rsidRPr="00631676" w:rsidRDefault="009A7085" w:rsidP="00EC3DB2">
      <w:pPr>
        <w:rPr>
          <w:rFonts w:cstheme="minorHAnsi"/>
        </w:rPr>
      </w:pPr>
      <w:r w:rsidRPr="00631676">
        <w:rPr>
          <w:rFonts w:cstheme="minorHAnsi"/>
        </w:rPr>
        <w:tab/>
        <w:t>Dr.</w:t>
      </w:r>
      <w:r w:rsidR="00854809" w:rsidRPr="00631676">
        <w:rPr>
          <w:rFonts w:cstheme="minorHAnsi"/>
        </w:rPr>
        <w:t> </w:t>
      </w:r>
      <w:r w:rsidRPr="00631676">
        <w:rPr>
          <w:rFonts w:cstheme="minorHAnsi"/>
        </w:rPr>
        <w:t xml:space="preserve">Chidekel </w:t>
      </w:r>
      <w:r w:rsidR="00855CEC" w:rsidRPr="00631676">
        <w:rPr>
          <w:rFonts w:cstheme="minorHAnsi"/>
        </w:rPr>
        <w:t>evaluated defendant</w:t>
      </w:r>
      <w:r w:rsidR="0045594B" w:rsidRPr="00631676">
        <w:rPr>
          <w:rFonts w:cstheme="minorHAnsi"/>
        </w:rPr>
        <w:t>,</w:t>
      </w:r>
      <w:r w:rsidR="00855CEC" w:rsidRPr="00631676">
        <w:rPr>
          <w:rFonts w:cstheme="minorHAnsi"/>
        </w:rPr>
        <w:t xml:space="preserve"> administer</w:t>
      </w:r>
      <w:r w:rsidR="0045594B" w:rsidRPr="00631676">
        <w:rPr>
          <w:rFonts w:cstheme="minorHAnsi"/>
        </w:rPr>
        <w:t>ing</w:t>
      </w:r>
      <w:r w:rsidRPr="00631676">
        <w:rPr>
          <w:rFonts w:cstheme="minorHAnsi"/>
        </w:rPr>
        <w:t xml:space="preserve"> numerous psychological tests, </w:t>
      </w:r>
      <w:r w:rsidR="0045594B" w:rsidRPr="00631676">
        <w:rPr>
          <w:rFonts w:cstheme="minorHAnsi"/>
        </w:rPr>
        <w:t>and</w:t>
      </w:r>
      <w:r w:rsidR="00855CEC" w:rsidRPr="00631676">
        <w:rPr>
          <w:rFonts w:cstheme="minorHAnsi"/>
        </w:rPr>
        <w:t xml:space="preserve"> determined defendant suffer</w:t>
      </w:r>
      <w:r w:rsidR="0045594B" w:rsidRPr="00631676">
        <w:rPr>
          <w:rFonts w:cstheme="minorHAnsi"/>
        </w:rPr>
        <w:t>ed</w:t>
      </w:r>
      <w:r w:rsidR="00855CEC" w:rsidRPr="00631676">
        <w:rPr>
          <w:rFonts w:cstheme="minorHAnsi"/>
        </w:rPr>
        <w:t xml:space="preserve"> from “avoidance </w:t>
      </w:r>
      <w:r w:rsidR="00995CC0" w:rsidRPr="00631676">
        <w:rPr>
          <w:rFonts w:cstheme="minorHAnsi"/>
        </w:rPr>
        <w:t>[</w:t>
      </w:r>
      <w:r w:rsidR="00995CC0" w:rsidRPr="00631676">
        <w:rPr>
          <w:rFonts w:cstheme="minorHAnsi"/>
          <w:i/>
        </w:rPr>
        <w:t>sic</w:t>
      </w:r>
      <w:r w:rsidR="00995CC0" w:rsidRPr="00631676">
        <w:rPr>
          <w:rFonts w:cstheme="minorHAnsi"/>
        </w:rPr>
        <w:t xml:space="preserve">] </w:t>
      </w:r>
      <w:r w:rsidR="00855CEC" w:rsidRPr="00631676">
        <w:rPr>
          <w:rFonts w:cstheme="minorHAnsi"/>
        </w:rPr>
        <w:t xml:space="preserve">personality disorder, with self-defeating and dependent features.”  </w:t>
      </w:r>
      <w:r w:rsidR="00E127CB" w:rsidRPr="00631676">
        <w:rPr>
          <w:rFonts w:cstheme="minorHAnsi"/>
        </w:rPr>
        <w:t xml:space="preserve">Based on the tests administered, </w:t>
      </w:r>
      <w:r w:rsidR="00A5764B" w:rsidRPr="00631676">
        <w:rPr>
          <w:rFonts w:cstheme="minorHAnsi"/>
        </w:rPr>
        <w:t>Dr.</w:t>
      </w:r>
      <w:r w:rsidR="00854809" w:rsidRPr="00631676">
        <w:rPr>
          <w:rFonts w:cstheme="minorHAnsi"/>
        </w:rPr>
        <w:t> </w:t>
      </w:r>
      <w:r w:rsidR="00A5764B" w:rsidRPr="00631676">
        <w:rPr>
          <w:rFonts w:cstheme="minorHAnsi"/>
        </w:rPr>
        <w:t xml:space="preserve">Chidekel </w:t>
      </w:r>
      <w:r w:rsidR="00E127CB" w:rsidRPr="00631676">
        <w:rPr>
          <w:rFonts w:cstheme="minorHAnsi"/>
        </w:rPr>
        <w:t xml:space="preserve">was </w:t>
      </w:r>
      <w:r w:rsidR="00A5764B" w:rsidRPr="00631676">
        <w:rPr>
          <w:rFonts w:cstheme="minorHAnsi"/>
        </w:rPr>
        <w:t xml:space="preserve">otherwise unable to diagnose defendant with any neuropsychological condition that interfered with his “ability to see, to understand, or to be able to communicate effectively.”  </w:t>
      </w:r>
    </w:p>
    <w:p w14:paraId="6677CD26" w14:textId="6B593106" w:rsidR="0057430E" w:rsidRPr="00631676" w:rsidRDefault="004B18E1" w:rsidP="00EC3DB2">
      <w:pPr>
        <w:rPr>
          <w:rFonts w:cstheme="minorHAnsi"/>
        </w:rPr>
      </w:pPr>
      <w:r w:rsidRPr="00631676">
        <w:rPr>
          <w:rFonts w:cstheme="minorHAnsi"/>
        </w:rPr>
        <w:tab/>
      </w:r>
      <w:r w:rsidR="003E45E8" w:rsidRPr="00631676">
        <w:rPr>
          <w:rFonts w:cstheme="minorHAnsi"/>
        </w:rPr>
        <w:t xml:space="preserve">We have previously described the </w:t>
      </w:r>
      <w:r w:rsidR="00A26D79" w:rsidRPr="00631676">
        <w:rPr>
          <w:rFonts w:cstheme="minorHAnsi"/>
        </w:rPr>
        <w:t xml:space="preserve">shifts </w:t>
      </w:r>
      <w:r w:rsidR="003E45E8" w:rsidRPr="00631676">
        <w:rPr>
          <w:rFonts w:cstheme="minorHAnsi"/>
        </w:rPr>
        <w:t xml:space="preserve">in the law governing court-ordered psychological examinations like the one ordered in this case.  </w:t>
      </w:r>
      <w:r w:rsidRPr="00631676">
        <w:rPr>
          <w:rFonts w:cstheme="minorHAnsi"/>
        </w:rPr>
        <w:t xml:space="preserve">“At the time of defendant’s trial in </w:t>
      </w:r>
      <w:r w:rsidR="00215D0E" w:rsidRPr="00631676">
        <w:rPr>
          <w:rFonts w:cstheme="minorHAnsi"/>
        </w:rPr>
        <w:t>[2001]</w:t>
      </w:r>
      <w:r w:rsidRPr="00631676">
        <w:rPr>
          <w:rFonts w:cstheme="minorHAnsi"/>
        </w:rPr>
        <w:t>, decisional law authorized trial courts to order a defendant who placed his or her mental state in issue to submit to mental examination by prosecution experts.  [Citation.]  This court later held that after the 1990 passage of Proposition 115 (the Crime Victims Justice Reform Act), which resulted in the enactment of the criminal discovery statutes, the courts ‘are no longer free to create such a rule of criminal procedure, untethered to a statutory or constitutional base.’  (</w:t>
      </w:r>
      <w:r w:rsidRPr="00631676">
        <w:rPr>
          <w:rFonts w:cstheme="minorHAnsi"/>
          <w:i/>
        </w:rPr>
        <w:t>Verdin v.</w:t>
      </w:r>
      <w:r w:rsidR="005710AA" w:rsidRPr="00631676">
        <w:rPr>
          <w:rFonts w:cstheme="minorHAnsi"/>
          <w:i/>
        </w:rPr>
        <w:t> </w:t>
      </w:r>
      <w:r w:rsidRPr="00631676">
        <w:rPr>
          <w:rFonts w:cstheme="minorHAnsi"/>
          <w:i/>
        </w:rPr>
        <w:t xml:space="preserve">Superior Court </w:t>
      </w:r>
      <w:r w:rsidRPr="00631676">
        <w:rPr>
          <w:rFonts w:cstheme="minorHAnsi"/>
        </w:rPr>
        <w:t>(2008) 43</w:t>
      </w:r>
      <w:r w:rsidR="00BA589C" w:rsidRPr="00631676">
        <w:rPr>
          <w:rFonts w:cstheme="minorHAnsi"/>
        </w:rPr>
        <w:t> </w:t>
      </w:r>
      <w:r w:rsidRPr="00631676">
        <w:rPr>
          <w:rFonts w:cstheme="minorHAnsi"/>
        </w:rPr>
        <w:t>Cal.4th 1096, 1116 (</w:t>
      </w:r>
      <w:r w:rsidRPr="00631676">
        <w:rPr>
          <w:rFonts w:cstheme="minorHAnsi"/>
          <w:i/>
        </w:rPr>
        <w:t>Verdin</w:t>
      </w:r>
      <w:r w:rsidRPr="00631676">
        <w:rPr>
          <w:rFonts w:cstheme="minorHAnsi"/>
        </w:rPr>
        <w:t xml:space="preserve">).)  We have applied </w:t>
      </w:r>
      <w:r w:rsidRPr="00631676">
        <w:rPr>
          <w:rFonts w:cstheme="minorHAnsi"/>
          <w:i/>
        </w:rPr>
        <w:t>Verdin</w:t>
      </w:r>
      <w:r w:rsidR="00A54949" w:rsidRPr="00631676">
        <w:rPr>
          <w:rFonts w:cstheme="minorHAnsi"/>
        </w:rPr>
        <w:t xml:space="preserve"> retroactively.”  (</w:t>
      </w:r>
      <w:r w:rsidR="003E45E8" w:rsidRPr="00631676">
        <w:rPr>
          <w:rFonts w:cstheme="minorHAnsi"/>
          <w:i/>
        </w:rPr>
        <w:t>People v.</w:t>
      </w:r>
      <w:r w:rsidR="00410DFE" w:rsidRPr="00631676">
        <w:rPr>
          <w:rFonts w:cstheme="minorHAnsi"/>
          <w:i/>
        </w:rPr>
        <w:t> </w:t>
      </w:r>
      <w:r w:rsidR="003E45E8" w:rsidRPr="00631676">
        <w:rPr>
          <w:rFonts w:cstheme="minorHAnsi"/>
          <w:i/>
        </w:rPr>
        <w:t>Clark</w:t>
      </w:r>
      <w:r w:rsidR="003E45E8" w:rsidRPr="00631676">
        <w:rPr>
          <w:rFonts w:cstheme="minorHAnsi"/>
        </w:rPr>
        <w:t xml:space="preserve"> (2011) 52 Cal.4th 85</w:t>
      </w:r>
      <w:r w:rsidR="003F505A" w:rsidRPr="00631676">
        <w:rPr>
          <w:rFonts w:cstheme="minorHAnsi"/>
        </w:rPr>
        <w:t>6</w:t>
      </w:r>
      <w:r w:rsidR="003E45E8" w:rsidRPr="00631676">
        <w:rPr>
          <w:rFonts w:cstheme="minorHAnsi"/>
        </w:rPr>
        <w:t>, 939</w:t>
      </w:r>
      <w:r w:rsidR="003F505A" w:rsidRPr="00631676">
        <w:rPr>
          <w:rFonts w:cstheme="minorHAnsi"/>
        </w:rPr>
        <w:t xml:space="preserve">, fn. </w:t>
      </w:r>
      <w:r w:rsidR="00915B10">
        <w:rPr>
          <w:rFonts w:cstheme="minorHAnsi"/>
        </w:rPr>
        <w:t>o</w:t>
      </w:r>
      <w:r w:rsidR="003F505A" w:rsidRPr="00631676">
        <w:rPr>
          <w:rFonts w:cstheme="minorHAnsi"/>
        </w:rPr>
        <w:t>mitted</w:t>
      </w:r>
      <w:r w:rsidR="00915B10">
        <w:rPr>
          <w:rFonts w:cstheme="minorHAnsi"/>
        </w:rPr>
        <w:t xml:space="preserve"> </w:t>
      </w:r>
      <w:r w:rsidR="00915B10" w:rsidRPr="00631676">
        <w:rPr>
          <w:rFonts w:cstheme="minorHAnsi"/>
        </w:rPr>
        <w:t>(</w:t>
      </w:r>
      <w:r w:rsidR="00915B10" w:rsidRPr="00631676">
        <w:rPr>
          <w:rFonts w:cstheme="minorHAnsi"/>
          <w:i/>
        </w:rPr>
        <w:t>Clark</w:t>
      </w:r>
      <w:r w:rsidR="00915B10" w:rsidRPr="00631676">
        <w:rPr>
          <w:rFonts w:cstheme="minorHAnsi"/>
        </w:rPr>
        <w:t>)</w:t>
      </w:r>
      <w:r w:rsidR="003E45E8" w:rsidRPr="00631676">
        <w:rPr>
          <w:rFonts w:cstheme="minorHAnsi"/>
        </w:rPr>
        <w:t>.</w:t>
      </w:r>
      <w:r w:rsidR="00A54949" w:rsidRPr="00631676">
        <w:rPr>
          <w:rFonts w:cstheme="minorHAnsi"/>
        </w:rPr>
        <w:t>)</w:t>
      </w:r>
    </w:p>
    <w:p w14:paraId="1D062637" w14:textId="335802F3" w:rsidR="00350D12" w:rsidRPr="00631676" w:rsidRDefault="00E70CD2" w:rsidP="00EC3DB2">
      <w:pPr>
        <w:rPr>
          <w:rFonts w:cstheme="minorHAnsi"/>
        </w:rPr>
      </w:pPr>
      <w:r w:rsidRPr="00631676">
        <w:rPr>
          <w:rFonts w:cstheme="minorHAnsi"/>
        </w:rPr>
        <w:tab/>
        <w:t xml:space="preserve">“Shortly after </w:t>
      </w:r>
      <w:r w:rsidRPr="00631676">
        <w:rPr>
          <w:rFonts w:cstheme="minorHAnsi"/>
          <w:i/>
        </w:rPr>
        <w:t>Verdin</w:t>
      </w:r>
      <w:r w:rsidRPr="00631676">
        <w:rPr>
          <w:rFonts w:cstheme="minorHAnsi"/>
        </w:rPr>
        <w:t xml:space="preserve">, the Legislature amended </w:t>
      </w:r>
      <w:r w:rsidR="003F505A" w:rsidRPr="00631676">
        <w:rPr>
          <w:rFonts w:cstheme="minorHAnsi"/>
        </w:rPr>
        <w:t>[</w:t>
      </w:r>
      <w:r w:rsidRPr="00631676">
        <w:rPr>
          <w:rFonts w:cstheme="minorHAnsi"/>
        </w:rPr>
        <w:t>Penal Code</w:t>
      </w:r>
      <w:r w:rsidR="003F505A" w:rsidRPr="00631676">
        <w:rPr>
          <w:rFonts w:cstheme="minorHAnsi"/>
        </w:rPr>
        <w:t>]</w:t>
      </w:r>
      <w:r w:rsidRPr="00631676">
        <w:rPr>
          <w:rFonts w:cstheme="minorHAnsi"/>
        </w:rPr>
        <w:t xml:space="preserve"> section 1054.3 to expressly authorize courts to compel a mental examination by a prosecution-retained expert.  (See</w:t>
      </w:r>
      <w:r w:rsidR="003A14AA" w:rsidRPr="00631676">
        <w:rPr>
          <w:rFonts w:cstheme="minorHAnsi"/>
        </w:rPr>
        <w:t xml:space="preserve"> </w:t>
      </w:r>
      <w:r w:rsidR="003F505A" w:rsidRPr="00631676">
        <w:rPr>
          <w:rFonts w:cstheme="minorHAnsi"/>
        </w:rPr>
        <w:lastRenderedPageBreak/>
        <w:t>[</w:t>
      </w:r>
      <w:r w:rsidR="003A14AA" w:rsidRPr="00631676">
        <w:rPr>
          <w:rFonts w:cstheme="minorHAnsi"/>
        </w:rPr>
        <w:t>Pen. Code,</w:t>
      </w:r>
      <w:r w:rsidR="003F505A" w:rsidRPr="00631676">
        <w:rPr>
          <w:rFonts w:cstheme="minorHAnsi"/>
        </w:rPr>
        <w:t>]</w:t>
      </w:r>
      <w:r w:rsidRPr="00631676">
        <w:rPr>
          <w:rFonts w:cstheme="minorHAnsi"/>
        </w:rPr>
        <w:t xml:space="preserve"> §</w:t>
      </w:r>
      <w:r w:rsidR="00854809" w:rsidRPr="00631676">
        <w:rPr>
          <w:rFonts w:cstheme="minorHAnsi"/>
        </w:rPr>
        <w:t> </w:t>
      </w:r>
      <w:r w:rsidRPr="00631676">
        <w:rPr>
          <w:rFonts w:cstheme="minorHAnsi"/>
        </w:rPr>
        <w:t>1054.3, subd. (b), as amended by Stats.</w:t>
      </w:r>
      <w:r w:rsidR="009A7085" w:rsidRPr="00631676">
        <w:rPr>
          <w:rFonts w:cstheme="minorHAnsi"/>
        </w:rPr>
        <w:t xml:space="preserve"> </w:t>
      </w:r>
      <w:r w:rsidRPr="00631676">
        <w:rPr>
          <w:rFonts w:cstheme="minorHAnsi"/>
        </w:rPr>
        <w:t>2009, ch. 297, §</w:t>
      </w:r>
      <w:r w:rsidR="00854809" w:rsidRPr="00631676">
        <w:rPr>
          <w:rFonts w:cstheme="minorHAnsi"/>
        </w:rPr>
        <w:t> </w:t>
      </w:r>
      <w:r w:rsidRPr="00631676">
        <w:rPr>
          <w:rFonts w:cstheme="minorHAnsi"/>
        </w:rPr>
        <w:t>1.)”  (</w:t>
      </w:r>
      <w:r w:rsidR="009A7085" w:rsidRPr="00631676">
        <w:rPr>
          <w:rFonts w:cstheme="minorHAnsi"/>
          <w:i/>
        </w:rPr>
        <w:t>People v. </w:t>
      </w:r>
      <w:r w:rsidRPr="00631676">
        <w:rPr>
          <w:rFonts w:cstheme="minorHAnsi"/>
          <w:i/>
        </w:rPr>
        <w:t xml:space="preserve">Banks </w:t>
      </w:r>
      <w:r w:rsidRPr="00631676">
        <w:rPr>
          <w:rFonts w:cstheme="minorHAnsi"/>
        </w:rPr>
        <w:t>(2014) 59 Cal.4th 1113, 1193.)</w:t>
      </w:r>
      <w:r w:rsidR="007C4750" w:rsidRPr="00631676">
        <w:rPr>
          <w:rFonts w:cstheme="minorHAnsi"/>
        </w:rPr>
        <w:t xml:space="preserve">  </w:t>
      </w:r>
      <w:r w:rsidR="003E45E8" w:rsidRPr="00631676">
        <w:rPr>
          <w:rFonts w:cstheme="minorHAnsi"/>
        </w:rPr>
        <w:t>But i</w:t>
      </w:r>
      <w:r w:rsidR="007C4750" w:rsidRPr="00631676">
        <w:rPr>
          <w:rFonts w:cstheme="minorHAnsi"/>
        </w:rPr>
        <w:t xml:space="preserve">n </w:t>
      </w:r>
      <w:r w:rsidR="007C4750" w:rsidRPr="00631676">
        <w:rPr>
          <w:rFonts w:cstheme="minorHAnsi"/>
          <w:i/>
        </w:rPr>
        <w:t>Banks</w:t>
      </w:r>
      <w:r w:rsidR="007C4750" w:rsidRPr="00631676">
        <w:rPr>
          <w:rFonts w:cstheme="minorHAnsi"/>
        </w:rPr>
        <w:t>, we concluded</w:t>
      </w:r>
      <w:r w:rsidR="003E45E8" w:rsidRPr="00631676">
        <w:rPr>
          <w:rFonts w:cstheme="minorHAnsi"/>
        </w:rPr>
        <w:t xml:space="preserve"> that </w:t>
      </w:r>
      <w:r w:rsidR="003E45E8" w:rsidRPr="00631676">
        <w:rPr>
          <w:rFonts w:cstheme="minorHAnsi"/>
          <w:i/>
        </w:rPr>
        <w:t>Verdin</w:t>
      </w:r>
      <w:r w:rsidR="003E45E8" w:rsidRPr="00631676">
        <w:rPr>
          <w:rFonts w:cstheme="minorHAnsi"/>
        </w:rPr>
        <w:t xml:space="preserve"> continues to apply to cases predating that amendment.  </w:t>
      </w:r>
      <w:r w:rsidR="0064077C" w:rsidRPr="00631676">
        <w:rPr>
          <w:rFonts w:cstheme="minorHAnsi"/>
        </w:rPr>
        <w:t>(</w:t>
      </w:r>
      <w:r w:rsidR="0064077C" w:rsidRPr="00631676">
        <w:rPr>
          <w:rFonts w:cstheme="minorHAnsi"/>
          <w:i/>
        </w:rPr>
        <w:t>Banks</w:t>
      </w:r>
      <w:r w:rsidR="0064077C" w:rsidRPr="00631676">
        <w:rPr>
          <w:rFonts w:cstheme="minorHAnsi"/>
        </w:rPr>
        <w:t>, at p.</w:t>
      </w:r>
      <w:r w:rsidR="00854809" w:rsidRPr="00631676">
        <w:rPr>
          <w:rFonts w:cstheme="minorHAnsi"/>
        </w:rPr>
        <w:t> </w:t>
      </w:r>
      <w:r w:rsidR="0064077C" w:rsidRPr="00631676">
        <w:rPr>
          <w:rFonts w:cstheme="minorHAnsi"/>
        </w:rPr>
        <w:t>1193.)</w:t>
      </w:r>
      <w:r w:rsidR="00041464" w:rsidRPr="00631676">
        <w:rPr>
          <w:rFonts w:cstheme="minorHAnsi"/>
        </w:rPr>
        <w:t xml:space="preserve">  This is such a case.  For that reason, the </w:t>
      </w:r>
      <w:r w:rsidR="0066107F" w:rsidRPr="00631676">
        <w:rPr>
          <w:rFonts w:cstheme="minorHAnsi"/>
        </w:rPr>
        <w:t>Attorney General</w:t>
      </w:r>
      <w:r w:rsidR="007C4750" w:rsidRPr="00631676">
        <w:rPr>
          <w:rFonts w:cstheme="minorHAnsi"/>
        </w:rPr>
        <w:t xml:space="preserve"> </w:t>
      </w:r>
      <w:r w:rsidR="00041464" w:rsidRPr="00631676">
        <w:rPr>
          <w:rFonts w:cstheme="minorHAnsi"/>
        </w:rPr>
        <w:t>concedes that</w:t>
      </w:r>
      <w:r w:rsidR="007C4750" w:rsidRPr="00631676">
        <w:rPr>
          <w:rFonts w:cstheme="minorHAnsi"/>
        </w:rPr>
        <w:t xml:space="preserve"> “</w:t>
      </w:r>
      <w:r w:rsidR="007C4750" w:rsidRPr="00631676">
        <w:rPr>
          <w:rFonts w:cstheme="minorHAnsi"/>
          <w:i/>
        </w:rPr>
        <w:t>Verdin</w:t>
      </w:r>
      <w:r w:rsidR="007C4750" w:rsidRPr="00631676">
        <w:rPr>
          <w:rFonts w:cstheme="minorHAnsi"/>
        </w:rPr>
        <w:t xml:space="preserve"> compels the conclusion that it was error under state law to require [defendant] to submit to mental examinations by prosecution experts.”  </w:t>
      </w:r>
      <w:r w:rsidR="00041464" w:rsidRPr="00631676">
        <w:rPr>
          <w:rFonts w:cstheme="minorHAnsi"/>
        </w:rPr>
        <w:t xml:space="preserve">It follows that it was also error for the trial court to admit </w:t>
      </w:r>
      <w:r w:rsidR="00DB6B48" w:rsidRPr="00631676">
        <w:rPr>
          <w:rFonts w:cstheme="minorHAnsi"/>
        </w:rPr>
        <w:t>testimony by the prosecution’s experts based on their interviews with defendants.  (</w:t>
      </w:r>
      <w:r w:rsidR="00DB6B48" w:rsidRPr="00631676">
        <w:rPr>
          <w:rFonts w:cstheme="minorHAnsi"/>
          <w:i/>
        </w:rPr>
        <w:t>Clark</w:t>
      </w:r>
      <w:r w:rsidR="00DB6B48" w:rsidRPr="00631676">
        <w:rPr>
          <w:rFonts w:cstheme="minorHAnsi"/>
        </w:rPr>
        <w:t xml:space="preserve">, </w:t>
      </w:r>
      <w:r w:rsidR="00DB6B48" w:rsidRPr="00631676">
        <w:rPr>
          <w:rFonts w:cstheme="minorHAnsi"/>
          <w:i/>
        </w:rPr>
        <w:t>supra</w:t>
      </w:r>
      <w:r w:rsidR="00DB6B48" w:rsidRPr="00631676">
        <w:rPr>
          <w:rFonts w:cstheme="minorHAnsi"/>
        </w:rPr>
        <w:t>, 52 Cal.4th at p.</w:t>
      </w:r>
      <w:r w:rsidR="00854809" w:rsidRPr="00631676">
        <w:rPr>
          <w:rFonts w:cstheme="minorHAnsi"/>
        </w:rPr>
        <w:t> </w:t>
      </w:r>
      <w:r w:rsidR="00DB6B48" w:rsidRPr="00631676">
        <w:rPr>
          <w:rFonts w:cstheme="minorHAnsi"/>
        </w:rPr>
        <w:t xml:space="preserve">940.)  </w:t>
      </w:r>
      <w:r w:rsidR="0066107F" w:rsidRPr="00631676">
        <w:rPr>
          <w:rFonts w:cstheme="minorHAnsi"/>
        </w:rPr>
        <w:t>The Attorney General</w:t>
      </w:r>
      <w:r w:rsidR="007C4750" w:rsidRPr="00631676">
        <w:rPr>
          <w:rFonts w:cstheme="minorHAnsi"/>
        </w:rPr>
        <w:t xml:space="preserve"> urges, however, that the</w:t>
      </w:r>
      <w:r w:rsidR="00123037" w:rsidRPr="00631676">
        <w:rPr>
          <w:rFonts w:cstheme="minorHAnsi"/>
        </w:rPr>
        <w:t>se</w:t>
      </w:r>
      <w:r w:rsidR="007C4750" w:rsidRPr="00631676">
        <w:rPr>
          <w:rFonts w:cstheme="minorHAnsi"/>
        </w:rPr>
        <w:t xml:space="preserve"> error</w:t>
      </w:r>
      <w:r w:rsidR="004A7096" w:rsidRPr="00631676">
        <w:rPr>
          <w:rFonts w:cstheme="minorHAnsi"/>
        </w:rPr>
        <w:t>s</w:t>
      </w:r>
      <w:r w:rsidR="007C4750" w:rsidRPr="00631676">
        <w:rPr>
          <w:rFonts w:cstheme="minorHAnsi"/>
        </w:rPr>
        <w:t xml:space="preserve"> w</w:t>
      </w:r>
      <w:r w:rsidR="00123037" w:rsidRPr="00631676">
        <w:rPr>
          <w:rFonts w:cstheme="minorHAnsi"/>
        </w:rPr>
        <w:t>ere</w:t>
      </w:r>
      <w:r w:rsidR="007C4750" w:rsidRPr="00631676">
        <w:rPr>
          <w:rFonts w:cstheme="minorHAnsi"/>
        </w:rPr>
        <w:t xml:space="preserve"> harmless under the </w:t>
      </w:r>
      <w:r w:rsidR="0093462B" w:rsidRPr="00631676">
        <w:rPr>
          <w:rFonts w:cstheme="minorHAnsi"/>
        </w:rPr>
        <w:t xml:space="preserve">relevant standard </w:t>
      </w:r>
      <w:r w:rsidR="007C4750" w:rsidRPr="00631676">
        <w:rPr>
          <w:rFonts w:cstheme="minorHAnsi"/>
        </w:rPr>
        <w:t>articulated in</w:t>
      </w:r>
      <w:r w:rsidR="007C4750" w:rsidRPr="00631676">
        <w:rPr>
          <w:rFonts w:cstheme="minorHAnsi"/>
          <w:i/>
        </w:rPr>
        <w:t xml:space="preserve"> Watson</w:t>
      </w:r>
      <w:r w:rsidR="007C4750" w:rsidRPr="00631676">
        <w:rPr>
          <w:rFonts w:cstheme="minorHAnsi"/>
        </w:rPr>
        <w:t xml:space="preserve">, </w:t>
      </w:r>
      <w:r w:rsidR="007C4750" w:rsidRPr="00631676">
        <w:rPr>
          <w:rFonts w:cstheme="minorHAnsi"/>
          <w:i/>
        </w:rPr>
        <w:t>supra</w:t>
      </w:r>
      <w:r w:rsidR="00C02994" w:rsidRPr="00631676">
        <w:rPr>
          <w:rFonts w:cstheme="minorHAnsi"/>
        </w:rPr>
        <w:t>, 46 Cal.2d at p</w:t>
      </w:r>
      <w:r w:rsidR="00854809" w:rsidRPr="00631676">
        <w:rPr>
          <w:rFonts w:cstheme="minorHAnsi"/>
        </w:rPr>
        <w:t xml:space="preserve">age </w:t>
      </w:r>
      <w:r w:rsidR="007C4750" w:rsidRPr="00631676">
        <w:rPr>
          <w:rFonts w:cstheme="minorHAnsi"/>
        </w:rPr>
        <w:t>836.</w:t>
      </w:r>
      <w:r w:rsidR="009F6EAD" w:rsidRPr="00631676">
        <w:rPr>
          <w:rFonts w:cstheme="minorHAnsi"/>
        </w:rPr>
        <w:t xml:space="preserve">  </w:t>
      </w:r>
      <w:r w:rsidR="0062137C" w:rsidRPr="00631676">
        <w:rPr>
          <w:rFonts w:cstheme="minorHAnsi"/>
        </w:rPr>
        <w:t>We</w:t>
      </w:r>
      <w:r w:rsidR="009F6EAD" w:rsidRPr="00631676">
        <w:rPr>
          <w:rFonts w:cstheme="minorHAnsi"/>
        </w:rPr>
        <w:t xml:space="preserve"> </w:t>
      </w:r>
      <w:r w:rsidR="00995CC0" w:rsidRPr="00631676">
        <w:rPr>
          <w:rFonts w:cstheme="minorHAnsi"/>
        </w:rPr>
        <w:t>agree</w:t>
      </w:r>
      <w:r w:rsidR="009F6EAD" w:rsidRPr="00631676">
        <w:rPr>
          <w:rFonts w:cstheme="minorHAnsi"/>
        </w:rPr>
        <w:t>.</w:t>
      </w:r>
    </w:p>
    <w:p w14:paraId="0FF4C5AE" w14:textId="175AFDE6" w:rsidR="00350D12" w:rsidRPr="00631676" w:rsidRDefault="009F6EAD" w:rsidP="00EC3DB2">
      <w:pPr>
        <w:rPr>
          <w:rFonts w:cstheme="minorHAnsi"/>
        </w:rPr>
      </w:pPr>
      <w:r w:rsidRPr="00631676">
        <w:rPr>
          <w:rFonts w:cstheme="minorHAnsi"/>
        </w:rPr>
        <w:tab/>
      </w:r>
      <w:r w:rsidR="0030015B" w:rsidRPr="00631676">
        <w:rPr>
          <w:rFonts w:cstheme="minorHAnsi"/>
        </w:rPr>
        <w:t>I</w:t>
      </w:r>
      <w:r w:rsidR="00350D12" w:rsidRPr="00631676">
        <w:rPr>
          <w:rFonts w:cstheme="minorHAnsi"/>
        </w:rPr>
        <w:t xml:space="preserve">n </w:t>
      </w:r>
      <w:r w:rsidR="00350D12" w:rsidRPr="00631676">
        <w:rPr>
          <w:rFonts w:cstheme="minorHAnsi"/>
          <w:i/>
        </w:rPr>
        <w:t>Clark</w:t>
      </w:r>
      <w:r w:rsidR="00350D12" w:rsidRPr="00631676">
        <w:rPr>
          <w:rFonts w:cstheme="minorHAnsi"/>
        </w:rPr>
        <w:t xml:space="preserve">, </w:t>
      </w:r>
      <w:r w:rsidR="00350D12" w:rsidRPr="00631676">
        <w:rPr>
          <w:rFonts w:cstheme="minorHAnsi"/>
          <w:i/>
        </w:rPr>
        <w:t>supra</w:t>
      </w:r>
      <w:r w:rsidR="00350D12" w:rsidRPr="00631676">
        <w:rPr>
          <w:rFonts w:cstheme="minorHAnsi"/>
        </w:rPr>
        <w:t>, 52 Cal.4th at p</w:t>
      </w:r>
      <w:r w:rsidR="00854809" w:rsidRPr="00631676">
        <w:rPr>
          <w:rFonts w:cstheme="minorHAnsi"/>
        </w:rPr>
        <w:t>age</w:t>
      </w:r>
      <w:r w:rsidR="00350D12" w:rsidRPr="00631676">
        <w:rPr>
          <w:rFonts w:cstheme="minorHAnsi"/>
        </w:rPr>
        <w:t xml:space="preserve"> 940, </w:t>
      </w:r>
      <w:r w:rsidR="0030015B" w:rsidRPr="00631676">
        <w:rPr>
          <w:rFonts w:cstheme="minorHAnsi"/>
        </w:rPr>
        <w:t xml:space="preserve">we rejected </w:t>
      </w:r>
      <w:r w:rsidR="003268A9" w:rsidRPr="00631676">
        <w:rPr>
          <w:rFonts w:cstheme="minorHAnsi"/>
        </w:rPr>
        <w:t>the</w:t>
      </w:r>
      <w:r w:rsidR="00350D12" w:rsidRPr="00631676">
        <w:rPr>
          <w:rFonts w:cstheme="minorHAnsi"/>
        </w:rPr>
        <w:t xml:space="preserve"> argument that errors </w:t>
      </w:r>
      <w:r w:rsidR="003268A9" w:rsidRPr="00631676">
        <w:rPr>
          <w:rFonts w:cstheme="minorHAnsi"/>
        </w:rPr>
        <w:t xml:space="preserve">in mandating examination by prosecution experts </w:t>
      </w:r>
      <w:r w:rsidR="00EA4AE4">
        <w:rPr>
          <w:rFonts w:cstheme="minorHAnsi"/>
        </w:rPr>
        <w:t xml:space="preserve">are subject to </w:t>
      </w:r>
      <w:r w:rsidR="003640BD">
        <w:rPr>
          <w:rFonts w:cstheme="minorHAnsi"/>
        </w:rPr>
        <w:t xml:space="preserve">review under </w:t>
      </w:r>
      <w:r w:rsidR="0030015B" w:rsidRPr="00631676">
        <w:rPr>
          <w:rFonts w:cstheme="minorHAnsi"/>
        </w:rPr>
        <w:t xml:space="preserve">the more demanding standard </w:t>
      </w:r>
      <w:r w:rsidR="00EA4AE4">
        <w:rPr>
          <w:rFonts w:cstheme="minorHAnsi"/>
        </w:rPr>
        <w:t xml:space="preserve">for federal constitutional error </w:t>
      </w:r>
      <w:r w:rsidR="0030015B" w:rsidRPr="00631676">
        <w:rPr>
          <w:rFonts w:cstheme="minorHAnsi"/>
        </w:rPr>
        <w:t xml:space="preserve">set forth in </w:t>
      </w:r>
      <w:r w:rsidR="001A23C6" w:rsidRPr="00631676">
        <w:rPr>
          <w:rFonts w:cstheme="minorHAnsi"/>
          <w:i/>
        </w:rPr>
        <w:t>Chapman v. </w:t>
      </w:r>
      <w:r w:rsidR="00350D12" w:rsidRPr="00631676">
        <w:rPr>
          <w:rFonts w:cstheme="minorHAnsi"/>
          <w:i/>
        </w:rPr>
        <w:t>California</w:t>
      </w:r>
      <w:r w:rsidR="00D462FA" w:rsidRPr="00631676">
        <w:rPr>
          <w:rFonts w:cstheme="minorHAnsi"/>
          <w:i/>
        </w:rPr>
        <w:t>, supra</w:t>
      </w:r>
      <w:r w:rsidR="00D462FA" w:rsidRPr="00631676">
        <w:rPr>
          <w:rFonts w:cstheme="minorHAnsi"/>
        </w:rPr>
        <w:t>, 386 U.S. 18</w:t>
      </w:r>
      <w:r w:rsidR="008E315E" w:rsidRPr="00631676">
        <w:rPr>
          <w:rFonts w:cstheme="minorHAnsi"/>
        </w:rPr>
        <w:t>.</w:t>
      </w:r>
      <w:r w:rsidR="00350D12" w:rsidRPr="00631676">
        <w:rPr>
          <w:rFonts w:cstheme="minorHAnsi"/>
        </w:rPr>
        <w:t xml:space="preserve">  </w:t>
      </w:r>
      <w:r w:rsidR="0030015B" w:rsidRPr="00631676">
        <w:rPr>
          <w:rFonts w:cstheme="minorHAnsi"/>
        </w:rPr>
        <w:t xml:space="preserve">We </w:t>
      </w:r>
      <w:r w:rsidR="00350D12" w:rsidRPr="00631676">
        <w:rPr>
          <w:rFonts w:cstheme="minorHAnsi"/>
        </w:rPr>
        <w:t xml:space="preserve">explained </w:t>
      </w:r>
      <w:r w:rsidR="0030015B" w:rsidRPr="00631676">
        <w:rPr>
          <w:rFonts w:cstheme="minorHAnsi"/>
        </w:rPr>
        <w:t xml:space="preserve">that we were aware of </w:t>
      </w:r>
      <w:r w:rsidR="00350D12" w:rsidRPr="00631676">
        <w:rPr>
          <w:rFonts w:cstheme="minorHAnsi"/>
        </w:rPr>
        <w:t xml:space="preserve">no decision “holding that the Fifth Amendment or any other </w:t>
      </w:r>
      <w:r w:rsidR="00350D12" w:rsidRPr="00631676">
        <w:rPr>
          <w:rFonts w:cstheme="minorHAnsi"/>
          <w:i/>
        </w:rPr>
        <w:t>federal constitutional</w:t>
      </w:r>
      <w:r w:rsidR="00350D12" w:rsidRPr="00631676">
        <w:rPr>
          <w:rFonts w:cstheme="minorHAnsi"/>
        </w:rPr>
        <w:t xml:space="preserve"> provision prohibits a court from ordering a defendant who has placed his or her mental state in issue to submit to a mental examination by a prosecution expert.”  (</w:t>
      </w:r>
      <w:r w:rsidR="00E14DB4" w:rsidRPr="00631676">
        <w:rPr>
          <w:rFonts w:cstheme="minorHAnsi"/>
          <w:i/>
        </w:rPr>
        <w:t>Clark</w:t>
      </w:r>
      <w:r w:rsidR="00E14DB4" w:rsidRPr="00631676">
        <w:rPr>
          <w:rFonts w:cstheme="minorHAnsi"/>
        </w:rPr>
        <w:t xml:space="preserve">, </w:t>
      </w:r>
      <w:r w:rsidR="00AA3EA5" w:rsidRPr="00631676">
        <w:rPr>
          <w:rFonts w:cstheme="minorHAnsi"/>
        </w:rPr>
        <w:t>at p. </w:t>
      </w:r>
      <w:r w:rsidR="00E14DB4" w:rsidRPr="00631676">
        <w:rPr>
          <w:rFonts w:cstheme="minorHAnsi"/>
        </w:rPr>
        <w:t>940</w:t>
      </w:r>
      <w:r w:rsidR="00350D12" w:rsidRPr="00631676">
        <w:rPr>
          <w:rFonts w:cstheme="minorHAnsi"/>
        </w:rPr>
        <w:t>.)  “We thus assess the errors for prejudice under the standard for state law error, inquiring whether there is a reasonable probability that the outcome of trial would have been more favorable to defendant had the court not ordered him to submit to examinations by” prosecution-retained experts.  (</w:t>
      </w:r>
      <w:r w:rsidR="00350D12" w:rsidRPr="00631676">
        <w:rPr>
          <w:rFonts w:cstheme="minorHAnsi"/>
          <w:i/>
        </w:rPr>
        <w:t>Id</w:t>
      </w:r>
      <w:r w:rsidR="00350D12" w:rsidRPr="00631676">
        <w:rPr>
          <w:rFonts w:cstheme="minorHAnsi"/>
        </w:rPr>
        <w:t>. at pp.</w:t>
      </w:r>
      <w:r w:rsidR="00854809" w:rsidRPr="00631676">
        <w:rPr>
          <w:rFonts w:cstheme="minorHAnsi"/>
        </w:rPr>
        <w:t> </w:t>
      </w:r>
      <w:r w:rsidR="00350D12" w:rsidRPr="00631676">
        <w:rPr>
          <w:rFonts w:cstheme="minorHAnsi"/>
        </w:rPr>
        <w:t>940</w:t>
      </w:r>
      <w:r w:rsidR="00307A91" w:rsidRPr="00631676">
        <w:rPr>
          <w:rFonts w:cstheme="minorHAnsi"/>
        </w:rPr>
        <w:t>–</w:t>
      </w:r>
      <w:r w:rsidR="00350D12" w:rsidRPr="00631676">
        <w:rPr>
          <w:rFonts w:cstheme="minorHAnsi"/>
        </w:rPr>
        <w:t>941.)</w:t>
      </w:r>
    </w:p>
    <w:p w14:paraId="707795A9" w14:textId="0FE875DE" w:rsidR="00617778" w:rsidRPr="00631676" w:rsidRDefault="00C70A4D" w:rsidP="009C3E39">
      <w:pPr>
        <w:rPr>
          <w:rFonts w:cstheme="minorHAnsi"/>
        </w:rPr>
      </w:pPr>
      <w:r w:rsidRPr="00631676">
        <w:rPr>
          <w:rFonts w:cstheme="minorHAnsi"/>
        </w:rPr>
        <w:tab/>
      </w:r>
      <w:r w:rsidR="0062137C" w:rsidRPr="00631676">
        <w:rPr>
          <w:rFonts w:cstheme="minorHAnsi"/>
        </w:rPr>
        <w:t>We</w:t>
      </w:r>
      <w:r w:rsidRPr="00631676">
        <w:rPr>
          <w:rFonts w:cstheme="minorHAnsi"/>
        </w:rPr>
        <w:t xml:space="preserve"> conclude it is not reasonably probable </w:t>
      </w:r>
      <w:r w:rsidR="00915B10">
        <w:rPr>
          <w:rFonts w:cstheme="minorHAnsi"/>
        </w:rPr>
        <w:t xml:space="preserve">that </w:t>
      </w:r>
      <w:r w:rsidRPr="00631676">
        <w:rPr>
          <w:rFonts w:cstheme="minorHAnsi"/>
        </w:rPr>
        <w:t xml:space="preserve">the outcome of the trial would have been more favorable had defendant not undergone examinations conducted by prosecution-retained </w:t>
      </w:r>
      <w:r w:rsidRPr="00631676">
        <w:rPr>
          <w:rFonts w:cstheme="minorHAnsi"/>
        </w:rPr>
        <w:lastRenderedPageBreak/>
        <w:t>experts.</w:t>
      </w:r>
      <w:r w:rsidR="0095629D" w:rsidRPr="00631676">
        <w:rPr>
          <w:rFonts w:cstheme="minorHAnsi"/>
        </w:rPr>
        <w:t xml:space="preserve">  Defendant gave his friend Casey Sheehan a detailed confession to Nick’s murder and confessed to </w:t>
      </w:r>
      <w:r w:rsidR="008858AF" w:rsidRPr="00631676">
        <w:rPr>
          <w:rFonts w:cstheme="minorHAnsi"/>
        </w:rPr>
        <w:t xml:space="preserve">the </w:t>
      </w:r>
      <w:r w:rsidR="0023775A" w:rsidRPr="00631676">
        <w:rPr>
          <w:rFonts w:cstheme="minorHAnsi"/>
        </w:rPr>
        <w:t>detectives</w:t>
      </w:r>
      <w:r w:rsidR="0095629D" w:rsidRPr="00631676">
        <w:rPr>
          <w:rFonts w:cstheme="minorHAnsi"/>
        </w:rPr>
        <w:t xml:space="preserve"> that “the only thing he did was kill” Nick.  </w:t>
      </w:r>
      <w:r w:rsidR="003268A9" w:rsidRPr="00631676">
        <w:rPr>
          <w:rFonts w:cstheme="minorHAnsi"/>
        </w:rPr>
        <w:t xml:space="preserve">The details of defendant’s </w:t>
      </w:r>
      <w:r w:rsidR="0069208D" w:rsidRPr="00631676">
        <w:rPr>
          <w:rFonts w:cstheme="minorHAnsi"/>
        </w:rPr>
        <w:t xml:space="preserve">confession to Sheehan were </w:t>
      </w:r>
      <w:r w:rsidR="00472072" w:rsidRPr="00631676">
        <w:rPr>
          <w:rFonts w:cstheme="minorHAnsi"/>
        </w:rPr>
        <w:t xml:space="preserve">corroborated by witnesses who spent time with Nick at the Lemon Tree Inn before he was killed and those who found his body in a shallow grave covered by a bush.  </w:t>
      </w:r>
      <w:r w:rsidR="0069208D" w:rsidRPr="00631676">
        <w:rPr>
          <w:rFonts w:cstheme="minorHAnsi"/>
        </w:rPr>
        <w:t xml:space="preserve">On the other hand, defendant’s claim of amnesia was a </w:t>
      </w:r>
      <w:r w:rsidR="00083A32" w:rsidRPr="00631676">
        <w:rPr>
          <w:rFonts w:cstheme="minorHAnsi"/>
        </w:rPr>
        <w:t xml:space="preserve">highly </w:t>
      </w:r>
      <w:r w:rsidR="0069208D" w:rsidRPr="00631676">
        <w:rPr>
          <w:rFonts w:cstheme="minorHAnsi"/>
        </w:rPr>
        <w:t>selective one:  He claimed that although he remembered enough of the events surrounding the crimes to exonerate himself</w:t>
      </w:r>
      <w:r w:rsidR="00B431B2" w:rsidRPr="00631676">
        <w:rPr>
          <w:rFonts w:cstheme="minorHAnsi"/>
        </w:rPr>
        <w:t xml:space="preserve"> and shift blame to his codefendants</w:t>
      </w:r>
      <w:r w:rsidR="0069208D" w:rsidRPr="00631676">
        <w:rPr>
          <w:rFonts w:cstheme="minorHAnsi"/>
        </w:rPr>
        <w:t xml:space="preserve">, he experienced a brief lapse in memory that happened to coincide with the period during which he </w:t>
      </w:r>
      <w:r w:rsidR="00B431B2" w:rsidRPr="00631676">
        <w:rPr>
          <w:rFonts w:cstheme="minorHAnsi"/>
        </w:rPr>
        <w:t xml:space="preserve">confessed </w:t>
      </w:r>
      <w:r w:rsidR="0069208D" w:rsidRPr="00631676">
        <w:rPr>
          <w:rFonts w:cstheme="minorHAnsi"/>
        </w:rPr>
        <w:t xml:space="preserve">to police detectives.  </w:t>
      </w:r>
      <w:r w:rsidR="003268A9" w:rsidRPr="00631676">
        <w:rPr>
          <w:rFonts w:cstheme="minorHAnsi"/>
        </w:rPr>
        <w:t xml:space="preserve">It is not reasonably probable that, had the prosecution’s experts not testified to their findings based on their examination of defendant, the jury would have discredited defendant’s confessions and instead credited his claim of amnesia.  </w:t>
      </w:r>
      <w:r w:rsidR="003E6079" w:rsidRPr="00631676">
        <w:rPr>
          <w:rFonts w:cstheme="minorHAnsi"/>
        </w:rPr>
        <w:t xml:space="preserve">Under the circumstances, </w:t>
      </w:r>
      <w:r w:rsidR="0062137C" w:rsidRPr="00631676">
        <w:rPr>
          <w:rFonts w:cstheme="minorHAnsi"/>
        </w:rPr>
        <w:t>we</w:t>
      </w:r>
      <w:r w:rsidR="004801A2" w:rsidRPr="00631676">
        <w:rPr>
          <w:rFonts w:cstheme="minorHAnsi"/>
        </w:rPr>
        <w:t xml:space="preserve"> conclude there is no reasonable probability that the jury would have reached a result more favorable to defendant had the court not issued an order requiring him to submit to mental examination by Drs.</w:t>
      </w:r>
      <w:r w:rsidR="00E538AD">
        <w:rPr>
          <w:rFonts w:cstheme="minorHAnsi"/>
        </w:rPr>
        <w:t> </w:t>
      </w:r>
      <w:r w:rsidR="004801A2" w:rsidRPr="00631676">
        <w:rPr>
          <w:rFonts w:cstheme="minorHAnsi"/>
        </w:rPr>
        <w:t xml:space="preserve">Glaser and Chidekel and had these experts not testified </w:t>
      </w:r>
      <w:r w:rsidR="00AB385B" w:rsidRPr="00631676">
        <w:rPr>
          <w:rFonts w:cstheme="minorHAnsi"/>
        </w:rPr>
        <w:t>against defendant based on those examinations</w:t>
      </w:r>
      <w:r w:rsidR="004801A2" w:rsidRPr="00631676">
        <w:rPr>
          <w:rFonts w:cstheme="minorHAnsi"/>
        </w:rPr>
        <w:t>.</w:t>
      </w:r>
    </w:p>
    <w:p w14:paraId="36B561B7" w14:textId="34148134" w:rsidR="00F92B9A" w:rsidRPr="00CA4449" w:rsidRDefault="00F9226E" w:rsidP="00CA4449">
      <w:pPr>
        <w:pStyle w:val="Heading3"/>
        <w:rPr>
          <w:rFonts w:cstheme="minorHAnsi"/>
          <w:b/>
        </w:rPr>
      </w:pPr>
      <w:r w:rsidRPr="00CA4449">
        <w:rPr>
          <w:rFonts w:cstheme="minorHAnsi"/>
        </w:rPr>
        <w:tab/>
      </w:r>
      <w:r w:rsidRPr="00CA4449">
        <w:rPr>
          <w:rFonts w:cstheme="minorHAnsi"/>
        </w:rPr>
        <w:tab/>
      </w:r>
      <w:bookmarkStart w:id="33" w:name="_Toc12993770"/>
      <w:r w:rsidR="004A5758" w:rsidRPr="00CA4449">
        <w:rPr>
          <w:rFonts w:cstheme="minorHAnsi"/>
        </w:rPr>
        <w:t>6</w:t>
      </w:r>
      <w:r w:rsidR="00F92B9A" w:rsidRPr="00CA4449">
        <w:rPr>
          <w:rFonts w:cstheme="minorHAnsi"/>
        </w:rPr>
        <w:t>.</w:t>
      </w:r>
      <w:r w:rsidR="00F92B9A" w:rsidRPr="00CA4449">
        <w:rPr>
          <w:rFonts w:cstheme="minorHAnsi"/>
        </w:rPr>
        <w:tab/>
      </w:r>
      <w:r w:rsidR="00D8762D" w:rsidRPr="00CA4449">
        <w:rPr>
          <w:rFonts w:cstheme="minorHAnsi"/>
        </w:rPr>
        <w:t xml:space="preserve">Prosecutorial Misconduct During the </w:t>
      </w:r>
      <w:r w:rsidR="005D23E0">
        <w:rPr>
          <w:rFonts w:cstheme="minorHAnsi"/>
        </w:rPr>
        <w:br/>
        <w:t xml:space="preserve">                </w:t>
      </w:r>
      <w:r w:rsidR="00F92B9A" w:rsidRPr="00CA4449">
        <w:rPr>
          <w:rFonts w:cstheme="minorHAnsi"/>
        </w:rPr>
        <w:t xml:space="preserve">Guilt Phase Closing Argument </w:t>
      </w:r>
      <w:bookmarkEnd w:id="33"/>
    </w:p>
    <w:p w14:paraId="677283EB" w14:textId="63D51FCD" w:rsidR="001D725B" w:rsidRPr="00631676" w:rsidRDefault="00991807" w:rsidP="00CA4449">
      <w:pPr>
        <w:rPr>
          <w:rFonts w:cstheme="minorHAnsi"/>
        </w:rPr>
      </w:pPr>
      <w:r w:rsidRPr="00631676">
        <w:rPr>
          <w:rFonts w:cstheme="minorHAnsi"/>
        </w:rPr>
        <w:tab/>
        <w:t xml:space="preserve">Defendant alleges the prosecutor engaged in </w:t>
      </w:r>
      <w:r w:rsidR="001D725B" w:rsidRPr="00631676">
        <w:rPr>
          <w:rFonts w:cstheme="minorHAnsi"/>
        </w:rPr>
        <w:t xml:space="preserve">numerous instances of </w:t>
      </w:r>
      <w:r w:rsidRPr="00631676">
        <w:rPr>
          <w:rFonts w:cstheme="minorHAnsi"/>
        </w:rPr>
        <w:t xml:space="preserve">misconduct during </w:t>
      </w:r>
      <w:r w:rsidR="001D725B" w:rsidRPr="00631676">
        <w:rPr>
          <w:rFonts w:cstheme="minorHAnsi"/>
        </w:rPr>
        <w:t xml:space="preserve">his </w:t>
      </w:r>
      <w:r w:rsidRPr="00631676">
        <w:rPr>
          <w:rFonts w:cstheme="minorHAnsi"/>
        </w:rPr>
        <w:t xml:space="preserve">closing argument.  He failed to object to </w:t>
      </w:r>
      <w:r w:rsidR="001D725B" w:rsidRPr="00631676">
        <w:rPr>
          <w:rFonts w:cstheme="minorHAnsi"/>
        </w:rPr>
        <w:t>nearly a</w:t>
      </w:r>
      <w:r w:rsidRPr="00631676">
        <w:rPr>
          <w:rFonts w:cstheme="minorHAnsi"/>
        </w:rPr>
        <w:t xml:space="preserve">ll </w:t>
      </w:r>
      <w:r w:rsidR="001D725B" w:rsidRPr="00631676">
        <w:rPr>
          <w:rFonts w:cstheme="minorHAnsi"/>
        </w:rPr>
        <w:t xml:space="preserve">such </w:t>
      </w:r>
      <w:r w:rsidRPr="00631676">
        <w:rPr>
          <w:rFonts w:cstheme="minorHAnsi"/>
        </w:rPr>
        <w:t>instances and has therefore forfeited t</w:t>
      </w:r>
      <w:r w:rsidR="001D725B" w:rsidRPr="00631676">
        <w:rPr>
          <w:rFonts w:cstheme="minorHAnsi"/>
        </w:rPr>
        <w:t>he</w:t>
      </w:r>
      <w:r w:rsidRPr="00631676">
        <w:rPr>
          <w:rFonts w:cstheme="minorHAnsi"/>
        </w:rPr>
        <w:t xml:space="preserve">se claims on appeal.  </w:t>
      </w:r>
      <w:r w:rsidR="001D725B" w:rsidRPr="00631676">
        <w:rPr>
          <w:rFonts w:cstheme="minorHAnsi"/>
        </w:rPr>
        <w:t>In any event, no misconduct occurred.</w:t>
      </w:r>
    </w:p>
    <w:p w14:paraId="2F3BB16D" w14:textId="0231F144" w:rsidR="00FB749B" w:rsidRPr="00631676" w:rsidRDefault="001D725B" w:rsidP="00CA4449">
      <w:pPr>
        <w:rPr>
          <w:rFonts w:cstheme="minorHAnsi"/>
        </w:rPr>
      </w:pPr>
      <w:r w:rsidRPr="00631676">
        <w:rPr>
          <w:rFonts w:cstheme="minorHAnsi"/>
        </w:rPr>
        <w:tab/>
        <w:t>As we</w:t>
      </w:r>
      <w:r w:rsidR="00991807" w:rsidRPr="00631676">
        <w:rPr>
          <w:rFonts w:cstheme="minorHAnsi"/>
        </w:rPr>
        <w:t xml:space="preserve"> have explained, </w:t>
      </w:r>
      <w:r w:rsidRPr="00631676">
        <w:rPr>
          <w:rFonts w:cstheme="minorHAnsi"/>
        </w:rPr>
        <w:t xml:space="preserve">to preserve a claim of prosecutorial misconduct </w:t>
      </w:r>
      <w:r w:rsidR="00991807" w:rsidRPr="00631676">
        <w:rPr>
          <w:rFonts w:cstheme="minorHAnsi"/>
        </w:rPr>
        <w:t>for appeal, “</w:t>
      </w:r>
      <w:r w:rsidR="003D165C" w:rsidRPr="00631676">
        <w:rPr>
          <w:rFonts w:cstheme="minorHAnsi"/>
        </w:rPr>
        <w:t> </w:t>
      </w:r>
      <w:r w:rsidRPr="00631676">
        <w:rPr>
          <w:rFonts w:cstheme="minorHAnsi"/>
        </w:rPr>
        <w:t>‘</w:t>
      </w:r>
      <w:r w:rsidR="003D165C" w:rsidRPr="00631676">
        <w:rPr>
          <w:rFonts w:cstheme="minorHAnsi"/>
        </w:rPr>
        <w:t> </w:t>
      </w:r>
      <w:r w:rsidRPr="00631676">
        <w:rPr>
          <w:rFonts w:cstheme="minorHAnsi"/>
        </w:rPr>
        <w:t>“</w:t>
      </w:r>
      <w:r w:rsidR="00991807" w:rsidRPr="00631676">
        <w:rPr>
          <w:rFonts w:cstheme="minorHAnsi"/>
        </w:rPr>
        <w:t xml:space="preserve">a criminal defendant must make a timely and specific objection and ask the trial court to admonish </w:t>
      </w:r>
      <w:r w:rsidR="00991807" w:rsidRPr="00631676">
        <w:rPr>
          <w:rFonts w:cstheme="minorHAnsi"/>
        </w:rPr>
        <w:lastRenderedPageBreak/>
        <w:t>the jury to disregard the impropriety.”</w:t>
      </w:r>
      <w:r w:rsidR="003D165C" w:rsidRPr="00631676">
        <w:rPr>
          <w:rFonts w:cstheme="minorHAnsi"/>
        </w:rPr>
        <w:t> </w:t>
      </w:r>
      <w:r w:rsidR="00991807" w:rsidRPr="00631676">
        <w:rPr>
          <w:rFonts w:cstheme="minorHAnsi"/>
        </w:rPr>
        <w:t xml:space="preserve">’  </w:t>
      </w:r>
      <w:r w:rsidR="008A50C8" w:rsidRPr="00631676">
        <w:rPr>
          <w:rFonts w:cstheme="minorHAnsi"/>
        </w:rPr>
        <w:t xml:space="preserve">[Citation.]  </w:t>
      </w:r>
      <w:r w:rsidR="00991807" w:rsidRPr="00631676">
        <w:rPr>
          <w:rFonts w:cstheme="minorHAnsi"/>
        </w:rPr>
        <w:t xml:space="preserve">The lack of a timely objection and request for admonition will be </w:t>
      </w:r>
      <w:r w:rsidR="00B1100F" w:rsidRPr="00631676">
        <w:rPr>
          <w:rFonts w:cstheme="minorHAnsi"/>
        </w:rPr>
        <w:t>excused</w:t>
      </w:r>
      <w:r w:rsidR="00991807" w:rsidRPr="00631676">
        <w:rPr>
          <w:rFonts w:cstheme="minorHAnsi"/>
        </w:rPr>
        <w:t xml:space="preserve"> only if either would have been futile or if an admonition would not have cured the harm.”  (</w:t>
      </w:r>
      <w:r w:rsidR="00991807" w:rsidRPr="00631676">
        <w:rPr>
          <w:rFonts w:cstheme="minorHAnsi"/>
          <w:i/>
        </w:rPr>
        <w:t>People v. Powell</w:t>
      </w:r>
      <w:r w:rsidR="002D34A5" w:rsidRPr="00631676">
        <w:rPr>
          <w:rFonts w:cstheme="minorHAnsi"/>
        </w:rPr>
        <w:t xml:space="preserve"> (2018) 6 </w:t>
      </w:r>
      <w:r w:rsidR="00991807" w:rsidRPr="00631676">
        <w:rPr>
          <w:rFonts w:cstheme="minorHAnsi"/>
        </w:rPr>
        <w:t>Cal.5th 136</w:t>
      </w:r>
      <w:r w:rsidR="00457F5F" w:rsidRPr="00631676">
        <w:rPr>
          <w:rFonts w:cstheme="minorHAnsi"/>
        </w:rPr>
        <w:t>, 171</w:t>
      </w:r>
      <w:r w:rsidR="00991807" w:rsidRPr="00631676">
        <w:rPr>
          <w:rFonts w:cstheme="minorHAnsi"/>
        </w:rPr>
        <w:t>.</w:t>
      </w:r>
      <w:r w:rsidR="008A7BF0" w:rsidRPr="00631676">
        <w:rPr>
          <w:rFonts w:cstheme="minorHAnsi"/>
        </w:rPr>
        <w:t>)</w:t>
      </w:r>
      <w:r w:rsidRPr="00631676">
        <w:rPr>
          <w:rFonts w:cstheme="minorHAnsi"/>
        </w:rPr>
        <w:t xml:space="preserve">  </w:t>
      </w:r>
      <w:r w:rsidR="00724773" w:rsidRPr="00631676">
        <w:rPr>
          <w:rFonts w:cstheme="minorHAnsi"/>
        </w:rPr>
        <w:t>“</w:t>
      </w:r>
      <w:r w:rsidR="003D165C" w:rsidRPr="00631676">
        <w:rPr>
          <w:rFonts w:cstheme="minorHAnsi"/>
        </w:rPr>
        <w:t> </w:t>
      </w:r>
      <w:r w:rsidR="00724773" w:rsidRPr="00631676">
        <w:rPr>
          <w:rFonts w:cstheme="minorHAnsi"/>
        </w:rPr>
        <w:t>‘</w:t>
      </w:r>
      <w:r w:rsidR="003D165C" w:rsidRPr="00631676">
        <w:rPr>
          <w:rFonts w:cstheme="minorHAnsi"/>
        </w:rPr>
        <w:t> </w:t>
      </w:r>
      <w:r w:rsidR="00724773" w:rsidRPr="00631676">
        <w:rPr>
          <w:rFonts w:cstheme="minorHAnsi"/>
        </w:rPr>
        <w:t>“A prosecutor’s misconduct violates the Fourteenth Amendment to the United States Constitution when it ‘infects the trial with such unfairness as to make the conviction</w:t>
      </w:r>
      <w:r w:rsidRPr="00631676">
        <w:rPr>
          <w:rFonts w:cstheme="minorHAnsi"/>
        </w:rPr>
        <w:t xml:space="preserve"> </w:t>
      </w:r>
      <w:r w:rsidR="00724773" w:rsidRPr="00631676">
        <w:rPr>
          <w:rFonts w:cstheme="minorHAnsi"/>
        </w:rPr>
        <w:t xml:space="preserve">a denial of due process.’  [Citations.]  In other words, the misconduct must be ‘of sufficient significance to result in the denial of the defendant’s right to a fair trial.’  [Citation.]  A prosecutor’s misconduct that does not render a trial fundamentally unfair nevertheless violates California law if it involves ‘the use of deceptive or </w:t>
      </w:r>
      <w:r w:rsidRPr="00631676">
        <w:rPr>
          <w:rFonts w:cstheme="minorHAnsi"/>
        </w:rPr>
        <w:t>reprehensible</w:t>
      </w:r>
      <w:r w:rsidR="00724773" w:rsidRPr="00631676">
        <w:rPr>
          <w:rFonts w:cstheme="minorHAnsi"/>
        </w:rPr>
        <w:t xml:space="preserve"> methods to attempt to persuade either the court or the jury.’</w:t>
      </w:r>
      <w:r w:rsidR="003D165C" w:rsidRPr="00631676">
        <w:rPr>
          <w:rFonts w:cstheme="minorHAnsi"/>
        </w:rPr>
        <w:t> </w:t>
      </w:r>
      <w:r w:rsidR="00724773" w:rsidRPr="00631676">
        <w:rPr>
          <w:rFonts w:cstheme="minorHAnsi"/>
        </w:rPr>
        <w:t>”</w:t>
      </w:r>
      <w:r w:rsidR="003D165C" w:rsidRPr="00631676">
        <w:rPr>
          <w:rFonts w:cstheme="minorHAnsi"/>
        </w:rPr>
        <w:t> </w:t>
      </w:r>
      <w:r w:rsidR="00724773" w:rsidRPr="00631676">
        <w:rPr>
          <w:rFonts w:cstheme="minorHAnsi"/>
        </w:rPr>
        <w:t>’</w:t>
      </w:r>
      <w:r w:rsidR="003D165C" w:rsidRPr="00631676">
        <w:rPr>
          <w:rFonts w:cstheme="minorHAnsi"/>
        </w:rPr>
        <w:t> </w:t>
      </w:r>
      <w:r w:rsidR="00724773" w:rsidRPr="00631676">
        <w:rPr>
          <w:rFonts w:cstheme="minorHAnsi"/>
        </w:rPr>
        <w:t>”  (</w:t>
      </w:r>
      <w:r w:rsidR="004E7A58" w:rsidRPr="00631676">
        <w:rPr>
          <w:rFonts w:cstheme="minorHAnsi"/>
          <w:i/>
        </w:rPr>
        <w:t>Id.</w:t>
      </w:r>
      <w:r w:rsidR="004E7A58" w:rsidRPr="00631676">
        <w:rPr>
          <w:rFonts w:cstheme="minorHAnsi"/>
        </w:rPr>
        <w:t xml:space="preserve"> at p. 172</w:t>
      </w:r>
      <w:r w:rsidR="00724773" w:rsidRPr="00631676">
        <w:rPr>
          <w:rFonts w:cstheme="minorHAnsi"/>
          <w:i/>
        </w:rPr>
        <w:t>.</w:t>
      </w:r>
      <w:r w:rsidR="00724773" w:rsidRPr="00631676">
        <w:rPr>
          <w:rFonts w:cstheme="minorHAnsi"/>
        </w:rPr>
        <w:t>)</w:t>
      </w:r>
      <w:r w:rsidR="00FB749B" w:rsidRPr="00631676">
        <w:rPr>
          <w:rFonts w:cstheme="minorHAnsi"/>
        </w:rPr>
        <w:t xml:space="preserve">  </w:t>
      </w:r>
      <w:r w:rsidRPr="00631676">
        <w:rPr>
          <w:rFonts w:cstheme="minorHAnsi"/>
        </w:rPr>
        <w:t>To the extent the alleged instances of misconduct were not forfeited</w:t>
      </w:r>
      <w:r w:rsidR="00FB749B" w:rsidRPr="00631676">
        <w:rPr>
          <w:rFonts w:cstheme="minorHAnsi"/>
        </w:rPr>
        <w:t xml:space="preserve"> by defendant’s failure to object</w:t>
      </w:r>
      <w:r w:rsidRPr="00631676">
        <w:rPr>
          <w:rFonts w:cstheme="minorHAnsi"/>
        </w:rPr>
        <w:t xml:space="preserve">, </w:t>
      </w:r>
      <w:r w:rsidR="0062137C" w:rsidRPr="00631676">
        <w:rPr>
          <w:rFonts w:cstheme="minorHAnsi"/>
        </w:rPr>
        <w:t>we</w:t>
      </w:r>
      <w:r w:rsidRPr="00631676">
        <w:rPr>
          <w:rFonts w:cstheme="minorHAnsi"/>
        </w:rPr>
        <w:t xml:space="preserve"> conclude none infected the trial with unfairness or deceived the court or jury.</w:t>
      </w:r>
    </w:p>
    <w:p w14:paraId="20128162" w14:textId="1F1C39C1" w:rsidR="00B3195F" w:rsidRPr="00631676" w:rsidRDefault="00FB749B" w:rsidP="00CA4449">
      <w:pPr>
        <w:rPr>
          <w:rFonts w:cstheme="minorHAnsi"/>
        </w:rPr>
      </w:pPr>
      <w:r w:rsidRPr="00631676">
        <w:rPr>
          <w:rFonts w:cstheme="minorHAnsi"/>
        </w:rPr>
        <w:tab/>
      </w:r>
      <w:r w:rsidR="001D725B" w:rsidRPr="00631676">
        <w:rPr>
          <w:rFonts w:cstheme="minorHAnsi"/>
        </w:rPr>
        <w:t xml:space="preserve">Defendant </w:t>
      </w:r>
      <w:r w:rsidRPr="00631676">
        <w:rPr>
          <w:rFonts w:cstheme="minorHAnsi"/>
        </w:rPr>
        <w:t xml:space="preserve">first </w:t>
      </w:r>
      <w:r w:rsidR="00455949" w:rsidRPr="00631676">
        <w:rPr>
          <w:rFonts w:cstheme="minorHAnsi"/>
        </w:rPr>
        <w:t>contends that</w:t>
      </w:r>
      <w:r w:rsidR="00ED03B8" w:rsidRPr="00631676">
        <w:rPr>
          <w:rFonts w:cstheme="minorHAnsi"/>
        </w:rPr>
        <w:t xml:space="preserve"> </w:t>
      </w:r>
      <w:r w:rsidR="001D725B" w:rsidRPr="00631676">
        <w:rPr>
          <w:rFonts w:cstheme="minorHAnsi"/>
        </w:rPr>
        <w:t xml:space="preserve">the prosecutor </w:t>
      </w:r>
      <w:r w:rsidR="005C1EF8" w:rsidRPr="00631676">
        <w:rPr>
          <w:rFonts w:cstheme="minorHAnsi"/>
        </w:rPr>
        <w:t>argued “</w:t>
      </w:r>
      <w:r w:rsidR="00915B10">
        <w:rPr>
          <w:rFonts w:cstheme="minorHAnsi"/>
        </w:rPr>
        <w:t>facts not in evidence</w:t>
      </w:r>
      <w:r w:rsidR="005C1EF8" w:rsidRPr="00631676">
        <w:rPr>
          <w:rFonts w:cstheme="minorHAnsi"/>
        </w:rPr>
        <w:t xml:space="preserve">” when he stated </w:t>
      </w:r>
      <w:r w:rsidR="001D725B" w:rsidRPr="00631676">
        <w:rPr>
          <w:rFonts w:cstheme="minorHAnsi"/>
        </w:rPr>
        <w:t xml:space="preserve">in closing </w:t>
      </w:r>
      <w:r w:rsidR="00915B10">
        <w:rPr>
          <w:rFonts w:cstheme="minorHAnsi"/>
        </w:rPr>
        <w:t xml:space="preserve">argument </w:t>
      </w:r>
      <w:r w:rsidR="001D725B" w:rsidRPr="00631676">
        <w:rPr>
          <w:rFonts w:cstheme="minorHAnsi"/>
        </w:rPr>
        <w:t xml:space="preserve">that defendant did </w:t>
      </w:r>
      <w:r w:rsidRPr="00631676">
        <w:rPr>
          <w:rFonts w:cstheme="minorHAnsi"/>
        </w:rPr>
        <w:t>“</w:t>
      </w:r>
      <w:r w:rsidR="004E7A58" w:rsidRPr="00631676">
        <w:rPr>
          <w:rFonts w:cstheme="minorHAnsi"/>
        </w:rPr>
        <w:t> ‘</w:t>
      </w:r>
      <w:r w:rsidR="00B1100F" w:rsidRPr="00631676">
        <w:rPr>
          <w:rFonts w:cstheme="minorHAnsi"/>
        </w:rPr>
        <w:t>considera</w:t>
      </w:r>
      <w:r w:rsidR="001D725B" w:rsidRPr="00631676">
        <w:rPr>
          <w:rFonts w:cstheme="minorHAnsi"/>
        </w:rPr>
        <w:t>bly more</w:t>
      </w:r>
      <w:r w:rsidR="004E7A58" w:rsidRPr="00631676">
        <w:rPr>
          <w:rFonts w:cstheme="minorHAnsi"/>
        </w:rPr>
        <w:t>’ </w:t>
      </w:r>
      <w:r w:rsidRPr="00631676">
        <w:rPr>
          <w:rFonts w:cstheme="minorHAnsi"/>
        </w:rPr>
        <w:t>”</w:t>
      </w:r>
      <w:r w:rsidR="001D725B" w:rsidRPr="00631676">
        <w:rPr>
          <w:rFonts w:cstheme="minorHAnsi"/>
        </w:rPr>
        <w:t xml:space="preserve"> than shoot the victim</w:t>
      </w:r>
      <w:r w:rsidRPr="00631676">
        <w:rPr>
          <w:rFonts w:cstheme="minorHAnsi"/>
        </w:rPr>
        <w:t xml:space="preserve"> and was “</w:t>
      </w:r>
      <w:r w:rsidR="004E7A58" w:rsidRPr="00631676">
        <w:rPr>
          <w:rFonts w:cstheme="minorHAnsi"/>
        </w:rPr>
        <w:t> ‘</w:t>
      </w:r>
      <w:r w:rsidRPr="00631676">
        <w:rPr>
          <w:rFonts w:cstheme="minorHAnsi"/>
        </w:rPr>
        <w:t>probably involved in the taping and the burial process, if not digging the grave</w:t>
      </w:r>
      <w:r w:rsidR="001D725B" w:rsidRPr="00631676">
        <w:rPr>
          <w:rFonts w:cstheme="minorHAnsi"/>
        </w:rPr>
        <w:t>.</w:t>
      </w:r>
      <w:r w:rsidR="004E7A58" w:rsidRPr="00631676">
        <w:rPr>
          <w:rFonts w:cstheme="minorHAnsi"/>
        </w:rPr>
        <w:t>’ </w:t>
      </w:r>
      <w:r w:rsidRPr="00631676">
        <w:rPr>
          <w:rFonts w:cstheme="minorHAnsi"/>
        </w:rPr>
        <w:t>”</w:t>
      </w:r>
      <w:r w:rsidR="00463EDF" w:rsidRPr="00631676">
        <w:rPr>
          <w:rFonts w:cstheme="minorHAnsi"/>
        </w:rPr>
        <w:t xml:space="preserve">  Defendant did not object </w:t>
      </w:r>
      <w:r w:rsidR="00D82223" w:rsidRPr="00631676">
        <w:rPr>
          <w:rFonts w:cstheme="minorHAnsi"/>
        </w:rPr>
        <w:t>to this argument</w:t>
      </w:r>
      <w:r w:rsidR="00B3195F" w:rsidRPr="00631676">
        <w:rPr>
          <w:rFonts w:cstheme="minorHAnsi"/>
        </w:rPr>
        <w:t xml:space="preserve"> at trial</w:t>
      </w:r>
      <w:r w:rsidR="000079E9" w:rsidRPr="00631676">
        <w:rPr>
          <w:rFonts w:cstheme="minorHAnsi"/>
        </w:rPr>
        <w:t xml:space="preserve"> and does not argue that objection would have been futile</w:t>
      </w:r>
      <w:r w:rsidR="00D82223" w:rsidRPr="00631676">
        <w:rPr>
          <w:rFonts w:cstheme="minorHAnsi"/>
        </w:rPr>
        <w:t xml:space="preserve">.  </w:t>
      </w:r>
      <w:r w:rsidR="005D7167" w:rsidRPr="00631676">
        <w:rPr>
          <w:rFonts w:cstheme="minorHAnsi"/>
        </w:rPr>
        <w:t xml:space="preserve">The </w:t>
      </w:r>
      <w:r w:rsidR="00B3195F" w:rsidRPr="00631676">
        <w:rPr>
          <w:rFonts w:cstheme="minorHAnsi"/>
        </w:rPr>
        <w:t>claim is therefore forfeited.</w:t>
      </w:r>
      <w:r w:rsidR="005D7167" w:rsidRPr="00631676">
        <w:rPr>
          <w:rFonts w:cstheme="minorHAnsi"/>
        </w:rPr>
        <w:t xml:space="preserve">  (See </w:t>
      </w:r>
      <w:r w:rsidR="005D7167" w:rsidRPr="00631676">
        <w:rPr>
          <w:rFonts w:cstheme="minorHAnsi"/>
          <w:i/>
        </w:rPr>
        <w:t>People v.</w:t>
      </w:r>
      <w:r w:rsidR="0031054D" w:rsidRPr="00631676">
        <w:rPr>
          <w:rFonts w:cstheme="minorHAnsi"/>
          <w:i/>
        </w:rPr>
        <w:t> </w:t>
      </w:r>
      <w:r w:rsidR="005D7167" w:rsidRPr="00631676">
        <w:rPr>
          <w:rFonts w:cstheme="minorHAnsi"/>
          <w:i/>
        </w:rPr>
        <w:t>Powell</w:t>
      </w:r>
      <w:r w:rsidR="005D7167" w:rsidRPr="00631676">
        <w:rPr>
          <w:rFonts w:cstheme="minorHAnsi"/>
        </w:rPr>
        <w:t xml:space="preserve">, </w:t>
      </w:r>
      <w:r w:rsidR="005D7167" w:rsidRPr="00631676">
        <w:rPr>
          <w:rFonts w:cstheme="minorHAnsi"/>
          <w:i/>
        </w:rPr>
        <w:t>supra</w:t>
      </w:r>
      <w:r w:rsidR="005D7167" w:rsidRPr="00631676">
        <w:rPr>
          <w:rFonts w:cstheme="minorHAnsi"/>
        </w:rPr>
        <w:t>, 6 Cal.5th at p. 171.)</w:t>
      </w:r>
    </w:p>
    <w:p w14:paraId="00FA5DD4" w14:textId="63FE7168" w:rsidR="00B3195F" w:rsidRPr="00631676" w:rsidRDefault="00B3195F" w:rsidP="008B5445">
      <w:pPr>
        <w:rPr>
          <w:rFonts w:cstheme="minorHAnsi"/>
        </w:rPr>
      </w:pPr>
      <w:r w:rsidRPr="00631676">
        <w:rPr>
          <w:rFonts w:cstheme="minorHAnsi"/>
        </w:rPr>
        <w:tab/>
      </w:r>
      <w:r w:rsidR="00463EDF" w:rsidRPr="00631676">
        <w:rPr>
          <w:rFonts w:cstheme="minorHAnsi"/>
        </w:rPr>
        <w:t xml:space="preserve">But </w:t>
      </w:r>
      <w:r w:rsidR="005C1EF8" w:rsidRPr="00631676">
        <w:rPr>
          <w:rFonts w:cstheme="minorHAnsi"/>
        </w:rPr>
        <w:t xml:space="preserve">the claim </w:t>
      </w:r>
      <w:r w:rsidR="00463EDF" w:rsidRPr="00631676">
        <w:rPr>
          <w:rFonts w:cstheme="minorHAnsi"/>
        </w:rPr>
        <w:t>lacks merit in any event.</w:t>
      </w:r>
      <w:r w:rsidR="00D82223" w:rsidRPr="00631676">
        <w:rPr>
          <w:rFonts w:cstheme="minorHAnsi"/>
        </w:rPr>
        <w:t xml:space="preserve">  </w:t>
      </w:r>
      <w:r w:rsidR="00E75942" w:rsidRPr="00631676">
        <w:rPr>
          <w:rFonts w:cstheme="minorHAnsi"/>
        </w:rPr>
        <w:t xml:space="preserve">Defendant’s argument presumes that the only basis for the prosecutor’s argument </w:t>
      </w:r>
      <w:r w:rsidR="008B5445">
        <w:rPr>
          <w:rFonts w:cstheme="minorHAnsi"/>
        </w:rPr>
        <w:t>was</w:t>
      </w:r>
      <w:r w:rsidR="008B5445" w:rsidRPr="00631676">
        <w:rPr>
          <w:rFonts w:cstheme="minorHAnsi"/>
        </w:rPr>
        <w:t xml:space="preserve"> </w:t>
      </w:r>
      <w:r w:rsidR="00E75942" w:rsidRPr="00631676">
        <w:rPr>
          <w:rFonts w:cstheme="minorHAnsi"/>
        </w:rPr>
        <w:t xml:space="preserve">certain statements conveyed by Pressley to Detective </w:t>
      </w:r>
      <w:r w:rsidR="004E7A58" w:rsidRPr="00631676">
        <w:rPr>
          <w:rFonts w:cstheme="minorHAnsi"/>
        </w:rPr>
        <w:t xml:space="preserve">Jerry </w:t>
      </w:r>
      <w:r w:rsidR="00E75942" w:rsidRPr="00631676">
        <w:rPr>
          <w:rFonts w:cstheme="minorHAnsi"/>
        </w:rPr>
        <w:t xml:space="preserve">Cornell.  Detective Cornell testified to some of </w:t>
      </w:r>
      <w:r w:rsidR="00492CC8" w:rsidRPr="00631676">
        <w:rPr>
          <w:rFonts w:cstheme="minorHAnsi"/>
        </w:rPr>
        <w:t xml:space="preserve">Pressley’s out-of-court </w:t>
      </w:r>
      <w:r w:rsidR="00E75942" w:rsidRPr="00631676">
        <w:rPr>
          <w:rFonts w:cstheme="minorHAnsi"/>
        </w:rPr>
        <w:t xml:space="preserve">statements at trial, but because Pressley himself did not testify, Detective Cornell was not permitted to </w:t>
      </w:r>
      <w:r w:rsidR="00E75942" w:rsidRPr="00631676">
        <w:rPr>
          <w:rFonts w:cstheme="minorHAnsi"/>
        </w:rPr>
        <w:lastRenderedPageBreak/>
        <w:t>relay certain statements implicating defendant in the grave-digging and burial.  When Detective Cornell</w:t>
      </w:r>
      <w:r w:rsidR="00492CC8" w:rsidRPr="00631676">
        <w:rPr>
          <w:rFonts w:cstheme="minorHAnsi"/>
        </w:rPr>
        <w:t xml:space="preserve"> nevertheless testified that Pressley had said “they”—</w:t>
      </w:r>
      <w:r w:rsidR="000F49B2" w:rsidRPr="00631676">
        <w:rPr>
          <w:rFonts w:cstheme="minorHAnsi"/>
        </w:rPr>
        <w:t xml:space="preserve">presumably </w:t>
      </w:r>
      <w:r w:rsidR="00492CC8" w:rsidRPr="00631676">
        <w:rPr>
          <w:rFonts w:cstheme="minorHAnsi"/>
        </w:rPr>
        <w:t>meaning both Pressley and defendant</w:t>
      </w:r>
      <w:r w:rsidR="000F49B2" w:rsidRPr="00631676">
        <w:rPr>
          <w:rFonts w:cstheme="minorHAnsi"/>
        </w:rPr>
        <w:t xml:space="preserve">—had buried the victim, the trial court admonished the jury to ignore the use of the pronoun “they” and to </w:t>
      </w:r>
      <w:r w:rsidR="000B134A" w:rsidRPr="00631676">
        <w:rPr>
          <w:rFonts w:cstheme="minorHAnsi"/>
        </w:rPr>
        <w:t>consider only that portion of Detective Cornell’s statement relaying that Pressley went to Lizard’</w:t>
      </w:r>
      <w:r w:rsidR="00BE36BC" w:rsidRPr="00631676">
        <w:rPr>
          <w:rFonts w:cstheme="minorHAnsi"/>
        </w:rPr>
        <w:t>s M</w:t>
      </w:r>
      <w:r w:rsidR="000B134A" w:rsidRPr="00631676">
        <w:rPr>
          <w:rFonts w:cstheme="minorHAnsi"/>
        </w:rPr>
        <w:t xml:space="preserve">outh and dug the grave.  </w:t>
      </w:r>
      <w:r w:rsidRPr="00631676">
        <w:rPr>
          <w:rFonts w:cstheme="minorHAnsi"/>
        </w:rPr>
        <w:t xml:space="preserve">Defendant argues that the prosecution violated the court’s ruling by referring to </w:t>
      </w:r>
      <w:r w:rsidR="00472420" w:rsidRPr="00631676">
        <w:rPr>
          <w:rFonts w:cstheme="minorHAnsi"/>
        </w:rPr>
        <w:t>Pressley’s statements in closing argument.</w:t>
      </w:r>
    </w:p>
    <w:p w14:paraId="1FEE3D99" w14:textId="5BA62BF8" w:rsidR="00B1100F" w:rsidRPr="00631676" w:rsidRDefault="00472420" w:rsidP="00CA4449">
      <w:pPr>
        <w:rPr>
          <w:rFonts w:cstheme="minorHAnsi"/>
        </w:rPr>
      </w:pPr>
      <w:r w:rsidRPr="00631676">
        <w:rPr>
          <w:rFonts w:cstheme="minorHAnsi"/>
        </w:rPr>
        <w:tab/>
        <w:t>Pressley’s statements were not</w:t>
      </w:r>
      <w:r w:rsidR="005D7167" w:rsidRPr="00631676">
        <w:rPr>
          <w:rFonts w:cstheme="minorHAnsi"/>
        </w:rPr>
        <w:t>, however,</w:t>
      </w:r>
      <w:r w:rsidRPr="00631676">
        <w:rPr>
          <w:rFonts w:cstheme="minorHAnsi"/>
        </w:rPr>
        <w:t xml:space="preserve"> the only basis for the argument.  </w:t>
      </w:r>
      <w:r w:rsidR="0065104D" w:rsidRPr="00631676">
        <w:rPr>
          <w:rFonts w:cstheme="minorHAnsi"/>
        </w:rPr>
        <w:t xml:space="preserve">Sheehan told the jury that defendant came to him asking for advice and told him Nick </w:t>
      </w:r>
      <w:r w:rsidR="00696B13" w:rsidRPr="00631676">
        <w:rPr>
          <w:rFonts w:cstheme="minorHAnsi"/>
        </w:rPr>
        <w:t>had been shot</w:t>
      </w:r>
      <w:r w:rsidR="0065104D" w:rsidRPr="00631676">
        <w:rPr>
          <w:rFonts w:cstheme="minorHAnsi"/>
        </w:rPr>
        <w:t xml:space="preserve"> “somewhere in the middle of nowhere.”  </w:t>
      </w:r>
      <w:r w:rsidR="00696B13" w:rsidRPr="00631676">
        <w:rPr>
          <w:rFonts w:cstheme="minorHAnsi"/>
        </w:rPr>
        <w:t xml:space="preserve">Defendant also told Sheehan that after shooting the victim, he put a bush over him.  This testimony was consistent with </w:t>
      </w:r>
      <w:r w:rsidR="003D36A9" w:rsidRPr="00631676">
        <w:rPr>
          <w:rFonts w:cstheme="minorHAnsi"/>
        </w:rPr>
        <w:t xml:space="preserve">the evidence of </w:t>
      </w:r>
      <w:r w:rsidR="00696B13" w:rsidRPr="00631676">
        <w:rPr>
          <w:rFonts w:cstheme="minorHAnsi"/>
        </w:rPr>
        <w:t xml:space="preserve">where and how hikers found Nick’s body.  </w:t>
      </w:r>
      <w:r w:rsidR="00467F87" w:rsidRPr="00631676">
        <w:rPr>
          <w:rFonts w:cstheme="minorHAnsi"/>
        </w:rPr>
        <w:t xml:space="preserve">The prosecutor’s reference to defendant </w:t>
      </w:r>
      <w:r w:rsidR="00F67855" w:rsidRPr="00631676">
        <w:rPr>
          <w:rFonts w:cstheme="minorHAnsi"/>
        </w:rPr>
        <w:t xml:space="preserve">“probably” </w:t>
      </w:r>
      <w:r w:rsidR="00467F87" w:rsidRPr="00631676">
        <w:rPr>
          <w:rFonts w:cstheme="minorHAnsi"/>
        </w:rPr>
        <w:t xml:space="preserve">doing more than shooting the victim </w:t>
      </w:r>
      <w:r w:rsidR="003D36A9" w:rsidRPr="00631676">
        <w:rPr>
          <w:rFonts w:cstheme="minorHAnsi"/>
        </w:rPr>
        <w:t>wa</w:t>
      </w:r>
      <w:r w:rsidR="00467F87" w:rsidRPr="00631676">
        <w:rPr>
          <w:rFonts w:cstheme="minorHAnsi"/>
        </w:rPr>
        <w:t>s a reasonable commentary on the evidence and does not constitute misconduct.  (</w:t>
      </w:r>
      <w:r w:rsidR="003D36A9" w:rsidRPr="00631676">
        <w:rPr>
          <w:rFonts w:cstheme="minorHAnsi"/>
        </w:rPr>
        <w:t xml:space="preserve">See </w:t>
      </w:r>
      <w:r w:rsidR="00BD0D81" w:rsidRPr="00631676">
        <w:rPr>
          <w:rFonts w:cstheme="minorHAnsi"/>
          <w:i/>
        </w:rPr>
        <w:t>People v. Farnam</w:t>
      </w:r>
      <w:r w:rsidR="00BD0D81" w:rsidRPr="00631676">
        <w:rPr>
          <w:rFonts w:cstheme="minorHAnsi"/>
        </w:rPr>
        <w:t xml:space="preserve"> </w:t>
      </w:r>
      <w:r w:rsidR="00BE36BC" w:rsidRPr="00631676">
        <w:rPr>
          <w:rFonts w:cstheme="minorHAnsi"/>
        </w:rPr>
        <w:t xml:space="preserve">(2002) </w:t>
      </w:r>
      <w:r w:rsidR="00BD0D81" w:rsidRPr="00631676">
        <w:rPr>
          <w:rFonts w:cstheme="minorHAnsi"/>
        </w:rPr>
        <w:t>28 Cal.4th 107, 168.)</w:t>
      </w:r>
    </w:p>
    <w:p w14:paraId="11BDD72D" w14:textId="3C0B8127" w:rsidR="006F100D" w:rsidRPr="00631676" w:rsidRDefault="00B1100F" w:rsidP="00CA4449">
      <w:pPr>
        <w:rPr>
          <w:rFonts w:cstheme="minorHAnsi"/>
        </w:rPr>
      </w:pPr>
      <w:r w:rsidRPr="00631676">
        <w:rPr>
          <w:rFonts w:cstheme="minorHAnsi"/>
        </w:rPr>
        <w:tab/>
      </w:r>
      <w:r w:rsidR="00BD0D81" w:rsidRPr="00631676">
        <w:rPr>
          <w:rFonts w:cstheme="minorHAnsi"/>
        </w:rPr>
        <w:t xml:space="preserve">Defendant next argues that the prosecutor committed misconduct by </w:t>
      </w:r>
      <w:r w:rsidR="00E62B82" w:rsidRPr="00631676">
        <w:rPr>
          <w:rFonts w:cstheme="minorHAnsi"/>
        </w:rPr>
        <w:t xml:space="preserve">telling the jury that </w:t>
      </w:r>
      <w:r w:rsidR="008633C2" w:rsidRPr="00631676">
        <w:rPr>
          <w:rFonts w:cstheme="minorHAnsi"/>
        </w:rPr>
        <w:t>none of the experts</w:t>
      </w:r>
      <w:r w:rsidR="004B67D4" w:rsidRPr="00631676">
        <w:rPr>
          <w:rFonts w:cstheme="minorHAnsi"/>
        </w:rPr>
        <w:t>, including Dr.</w:t>
      </w:r>
      <w:r w:rsidR="003D165C" w:rsidRPr="00631676">
        <w:rPr>
          <w:rFonts w:cstheme="minorHAnsi"/>
        </w:rPr>
        <w:t> </w:t>
      </w:r>
      <w:r w:rsidR="004B67D4" w:rsidRPr="00631676">
        <w:rPr>
          <w:rFonts w:cstheme="minorHAnsi"/>
        </w:rPr>
        <w:t xml:space="preserve">Kania, </w:t>
      </w:r>
      <w:r w:rsidR="00BD0D81" w:rsidRPr="00631676">
        <w:rPr>
          <w:rFonts w:cstheme="minorHAnsi"/>
        </w:rPr>
        <w:t>testified that defendant gave a false confession.  Defendant objected</w:t>
      </w:r>
      <w:r w:rsidR="008633C2" w:rsidRPr="00631676">
        <w:rPr>
          <w:rFonts w:cstheme="minorHAnsi"/>
        </w:rPr>
        <w:t xml:space="preserve"> to the argument on the ground that </w:t>
      </w:r>
      <w:r w:rsidR="00666444" w:rsidRPr="00631676">
        <w:rPr>
          <w:rFonts w:cstheme="minorHAnsi"/>
        </w:rPr>
        <w:t>the prosecution was “arguing the Court’s restriction on the evidence.”</w:t>
      </w:r>
      <w:r w:rsidR="006E3147" w:rsidRPr="00631676">
        <w:rPr>
          <w:rFonts w:cstheme="minorHAnsi"/>
        </w:rPr>
        <w:t xml:space="preserve">  In response, the trial court clarified for the jury that </w:t>
      </w:r>
      <w:r w:rsidR="00E62B82" w:rsidRPr="00631676">
        <w:rPr>
          <w:rFonts w:cstheme="minorHAnsi"/>
        </w:rPr>
        <w:t xml:space="preserve">none of the experts had so testified because </w:t>
      </w:r>
      <w:r w:rsidR="006E3147" w:rsidRPr="00631676">
        <w:rPr>
          <w:rFonts w:cstheme="minorHAnsi"/>
        </w:rPr>
        <w:t xml:space="preserve">the court had previously ruled that </w:t>
      </w:r>
      <w:r w:rsidR="00BD0D81" w:rsidRPr="00631676">
        <w:rPr>
          <w:rFonts w:cstheme="minorHAnsi"/>
        </w:rPr>
        <w:t xml:space="preserve">no expert </w:t>
      </w:r>
      <w:r w:rsidR="006E3147" w:rsidRPr="00631676">
        <w:rPr>
          <w:rFonts w:cstheme="minorHAnsi"/>
        </w:rPr>
        <w:t xml:space="preserve">would be </w:t>
      </w:r>
      <w:r w:rsidR="00BD0D81" w:rsidRPr="00631676">
        <w:rPr>
          <w:rFonts w:cstheme="minorHAnsi"/>
        </w:rPr>
        <w:t xml:space="preserve">permitted </w:t>
      </w:r>
      <w:r w:rsidRPr="00631676">
        <w:rPr>
          <w:rFonts w:cstheme="minorHAnsi"/>
        </w:rPr>
        <w:t xml:space="preserve">to give an opinion as to whether or not a false </w:t>
      </w:r>
      <w:r w:rsidR="00BD0D81" w:rsidRPr="00631676">
        <w:rPr>
          <w:rFonts w:cstheme="minorHAnsi"/>
        </w:rPr>
        <w:t>confession</w:t>
      </w:r>
      <w:r w:rsidRPr="00631676">
        <w:rPr>
          <w:rFonts w:cstheme="minorHAnsi"/>
        </w:rPr>
        <w:t xml:space="preserve"> was given in this case</w:t>
      </w:r>
      <w:r w:rsidR="006E3147" w:rsidRPr="00631676">
        <w:rPr>
          <w:rFonts w:cstheme="minorHAnsi"/>
        </w:rPr>
        <w:t>; the question was instead one for the jury to decide</w:t>
      </w:r>
      <w:r w:rsidR="00BD0D81" w:rsidRPr="00631676">
        <w:rPr>
          <w:rFonts w:cstheme="minorHAnsi"/>
        </w:rPr>
        <w:t>.</w:t>
      </w:r>
      <w:r w:rsidRPr="00631676">
        <w:rPr>
          <w:rFonts w:cstheme="minorHAnsi"/>
        </w:rPr>
        <w:t xml:space="preserve"> </w:t>
      </w:r>
      <w:r w:rsidR="00E94825" w:rsidRPr="00631676">
        <w:rPr>
          <w:rFonts w:cstheme="minorHAnsi"/>
        </w:rPr>
        <w:t xml:space="preserve"> </w:t>
      </w:r>
      <w:r w:rsidR="00BD0D81" w:rsidRPr="00631676">
        <w:rPr>
          <w:rFonts w:cstheme="minorHAnsi"/>
        </w:rPr>
        <w:t xml:space="preserve">Both </w:t>
      </w:r>
      <w:r w:rsidR="00BD0D81" w:rsidRPr="00631676">
        <w:rPr>
          <w:rFonts w:cstheme="minorHAnsi"/>
        </w:rPr>
        <w:lastRenderedPageBreak/>
        <w:t xml:space="preserve">the prosecutor and defense counsel thanked the court for the clarification, and the prosecutor resumed the closing argument. </w:t>
      </w:r>
      <w:r w:rsidRPr="00631676">
        <w:rPr>
          <w:rFonts w:cstheme="minorHAnsi"/>
        </w:rPr>
        <w:t xml:space="preserve"> </w:t>
      </w:r>
    </w:p>
    <w:p w14:paraId="3AF487FE" w14:textId="206682DF" w:rsidR="004B67D4" w:rsidRPr="00631676" w:rsidRDefault="0001436B" w:rsidP="00CA4449">
      <w:pPr>
        <w:ind w:firstLine="720"/>
        <w:rPr>
          <w:rFonts w:cstheme="minorHAnsi"/>
        </w:rPr>
      </w:pPr>
      <w:r w:rsidRPr="00631676">
        <w:rPr>
          <w:rFonts w:cstheme="minorHAnsi"/>
        </w:rPr>
        <w:t xml:space="preserve">To the extent defendant </w:t>
      </w:r>
      <w:r w:rsidR="00636298" w:rsidRPr="00631676">
        <w:rPr>
          <w:rFonts w:cstheme="minorHAnsi"/>
        </w:rPr>
        <w:t xml:space="preserve">now </w:t>
      </w:r>
      <w:r w:rsidRPr="00631676">
        <w:rPr>
          <w:rFonts w:cstheme="minorHAnsi"/>
        </w:rPr>
        <w:t xml:space="preserve">believes the trial court’s clarification was insufficient, he has forfeited the objection.  </w:t>
      </w:r>
      <w:r w:rsidR="00D13DBC" w:rsidRPr="00631676">
        <w:rPr>
          <w:rFonts w:cstheme="minorHAnsi"/>
        </w:rPr>
        <w:t>(</w:t>
      </w:r>
      <w:r w:rsidR="00D13DBC" w:rsidRPr="00631676">
        <w:rPr>
          <w:rFonts w:cstheme="minorHAnsi"/>
          <w:i/>
        </w:rPr>
        <w:t>People v. Powell</w:t>
      </w:r>
      <w:r w:rsidR="00D13DBC" w:rsidRPr="00631676">
        <w:rPr>
          <w:rFonts w:cstheme="minorHAnsi"/>
        </w:rPr>
        <w:t xml:space="preserve">, </w:t>
      </w:r>
      <w:r w:rsidR="00D13DBC" w:rsidRPr="00631676">
        <w:rPr>
          <w:rFonts w:cstheme="minorHAnsi"/>
          <w:i/>
        </w:rPr>
        <w:t>supra</w:t>
      </w:r>
      <w:r w:rsidR="007001DD" w:rsidRPr="00631676">
        <w:rPr>
          <w:rFonts w:cstheme="minorHAnsi"/>
        </w:rPr>
        <w:t>, 6 Cal.5th at p.</w:t>
      </w:r>
      <w:r w:rsidR="003D165C" w:rsidRPr="00631676">
        <w:rPr>
          <w:rFonts w:cstheme="minorHAnsi"/>
        </w:rPr>
        <w:t> </w:t>
      </w:r>
      <w:r w:rsidR="007001DD" w:rsidRPr="00631676">
        <w:rPr>
          <w:rFonts w:cstheme="minorHAnsi"/>
        </w:rPr>
        <w:t>171</w:t>
      </w:r>
      <w:r w:rsidR="00D13DBC" w:rsidRPr="00631676">
        <w:rPr>
          <w:rFonts w:cstheme="minorHAnsi"/>
        </w:rPr>
        <w:t xml:space="preserve">.)  </w:t>
      </w:r>
      <w:r w:rsidRPr="00631676">
        <w:rPr>
          <w:rFonts w:cstheme="minorHAnsi"/>
        </w:rPr>
        <w:t xml:space="preserve">But even were </w:t>
      </w:r>
      <w:r w:rsidR="00BD0D81" w:rsidRPr="00631676">
        <w:rPr>
          <w:rFonts w:cstheme="minorHAnsi"/>
        </w:rPr>
        <w:t xml:space="preserve">his claim preserved, </w:t>
      </w:r>
      <w:r w:rsidR="005B127A" w:rsidRPr="00631676">
        <w:rPr>
          <w:rFonts w:cstheme="minorHAnsi"/>
        </w:rPr>
        <w:t>we</w:t>
      </w:r>
      <w:r w:rsidR="00BD0D81" w:rsidRPr="00631676">
        <w:rPr>
          <w:rFonts w:cstheme="minorHAnsi"/>
        </w:rPr>
        <w:t xml:space="preserve"> would find no error.  </w:t>
      </w:r>
      <w:r w:rsidR="006A0AFF" w:rsidRPr="00631676">
        <w:rPr>
          <w:rFonts w:cstheme="minorHAnsi"/>
        </w:rPr>
        <w:t xml:space="preserve">The prosecutor’s remarks were accurate, </w:t>
      </w:r>
      <w:r w:rsidR="00B21AD3" w:rsidRPr="00631676">
        <w:rPr>
          <w:rFonts w:cstheme="minorHAnsi"/>
        </w:rPr>
        <w:t xml:space="preserve">if </w:t>
      </w:r>
      <w:r w:rsidR="006A0AFF" w:rsidRPr="00631676">
        <w:rPr>
          <w:rFonts w:cstheme="minorHAnsi"/>
        </w:rPr>
        <w:t xml:space="preserve">susceptible to misunderstanding.  </w:t>
      </w:r>
      <w:r w:rsidR="005E25C3" w:rsidRPr="00631676">
        <w:rPr>
          <w:rFonts w:cstheme="minorHAnsi"/>
        </w:rPr>
        <w:t>The court</w:t>
      </w:r>
      <w:r w:rsidR="00E76BDE" w:rsidRPr="00631676">
        <w:rPr>
          <w:rFonts w:cstheme="minorHAnsi"/>
        </w:rPr>
        <w:t xml:space="preserve"> cleared up any possible misunderstanding with its clarification.  </w:t>
      </w:r>
      <w:r w:rsidR="00636298" w:rsidRPr="00631676">
        <w:rPr>
          <w:rFonts w:cstheme="minorHAnsi"/>
        </w:rPr>
        <w:t xml:space="preserve">(See </w:t>
      </w:r>
      <w:r w:rsidR="00636298" w:rsidRPr="00631676">
        <w:rPr>
          <w:rFonts w:cstheme="minorHAnsi"/>
          <w:i/>
        </w:rPr>
        <w:t>ibid.</w:t>
      </w:r>
      <w:r w:rsidR="00636298" w:rsidRPr="00631676">
        <w:rPr>
          <w:rFonts w:cstheme="minorHAnsi"/>
        </w:rPr>
        <w:t>)</w:t>
      </w:r>
    </w:p>
    <w:p w14:paraId="5211E4AA" w14:textId="09192C02" w:rsidR="00B1100F" w:rsidRPr="00631676" w:rsidRDefault="00B1100F" w:rsidP="00CA4449">
      <w:pPr>
        <w:rPr>
          <w:rFonts w:cstheme="minorHAnsi"/>
        </w:rPr>
      </w:pPr>
      <w:r w:rsidRPr="00631676">
        <w:rPr>
          <w:rFonts w:cstheme="minorHAnsi"/>
        </w:rPr>
        <w:tab/>
      </w:r>
      <w:r w:rsidR="00B643AC" w:rsidRPr="00631676">
        <w:rPr>
          <w:rFonts w:cstheme="minorHAnsi"/>
        </w:rPr>
        <w:t>D</w:t>
      </w:r>
      <w:r w:rsidRPr="00631676">
        <w:rPr>
          <w:rFonts w:cstheme="minorHAnsi"/>
        </w:rPr>
        <w:t xml:space="preserve">efendant </w:t>
      </w:r>
      <w:r w:rsidR="006A6387" w:rsidRPr="00631676">
        <w:rPr>
          <w:rFonts w:cstheme="minorHAnsi"/>
        </w:rPr>
        <w:t xml:space="preserve">also </w:t>
      </w:r>
      <w:r w:rsidRPr="00631676">
        <w:rPr>
          <w:rFonts w:cstheme="minorHAnsi"/>
        </w:rPr>
        <w:t>argues</w:t>
      </w:r>
      <w:r w:rsidR="00B643AC" w:rsidRPr="00631676">
        <w:rPr>
          <w:rFonts w:cstheme="minorHAnsi"/>
        </w:rPr>
        <w:t xml:space="preserve"> that</w:t>
      </w:r>
      <w:r w:rsidRPr="00631676">
        <w:rPr>
          <w:rFonts w:cstheme="minorHAnsi"/>
        </w:rPr>
        <w:t xml:space="preserve"> </w:t>
      </w:r>
      <w:r w:rsidR="00A3518A" w:rsidRPr="00631676">
        <w:rPr>
          <w:rFonts w:cstheme="minorHAnsi"/>
        </w:rPr>
        <w:t>the prosecutor referred in clo</w:t>
      </w:r>
      <w:r w:rsidR="00B643AC" w:rsidRPr="00631676">
        <w:rPr>
          <w:rFonts w:cstheme="minorHAnsi"/>
        </w:rPr>
        <w:t xml:space="preserve">sing </w:t>
      </w:r>
      <w:r w:rsidR="00915B10">
        <w:rPr>
          <w:rFonts w:cstheme="minorHAnsi"/>
        </w:rPr>
        <w:t xml:space="preserve">argument </w:t>
      </w:r>
      <w:r w:rsidR="00B643AC" w:rsidRPr="00631676">
        <w:rPr>
          <w:rFonts w:cstheme="minorHAnsi"/>
        </w:rPr>
        <w:t xml:space="preserve">to “side B” of defendant’s confession, during which defendant </w:t>
      </w:r>
      <w:r w:rsidR="00A3518A" w:rsidRPr="00631676">
        <w:rPr>
          <w:rFonts w:cstheme="minorHAnsi"/>
        </w:rPr>
        <w:t>was asked whether it occurred</w:t>
      </w:r>
      <w:r w:rsidRPr="00631676">
        <w:rPr>
          <w:rFonts w:cstheme="minorHAnsi"/>
        </w:rPr>
        <w:t xml:space="preserve"> </w:t>
      </w:r>
      <w:r w:rsidR="00A3518A" w:rsidRPr="00631676">
        <w:rPr>
          <w:rFonts w:cstheme="minorHAnsi"/>
        </w:rPr>
        <w:t>to him that what he was doing was “wrong” and defendant replied, “Honestly?</w:t>
      </w:r>
      <w:r w:rsidR="00B643AC" w:rsidRPr="00631676">
        <w:rPr>
          <w:rFonts w:cstheme="minorHAnsi"/>
        </w:rPr>
        <w:t xml:space="preserve">  [¶]  </w:t>
      </w:r>
      <w:r w:rsidR="00A3518A" w:rsidRPr="00631676">
        <w:rPr>
          <w:rFonts w:cstheme="minorHAnsi"/>
        </w:rPr>
        <w:t>Hell yes.</w:t>
      </w:r>
      <w:r w:rsidR="00B643AC" w:rsidRPr="00631676">
        <w:rPr>
          <w:rFonts w:cstheme="minorHAnsi"/>
        </w:rPr>
        <w:t xml:space="preserve"> </w:t>
      </w:r>
      <w:r w:rsidR="000F234C">
        <w:rPr>
          <w:rFonts w:cstheme="minorHAnsi"/>
        </w:rPr>
        <w:t xml:space="preserve"> </w:t>
      </w:r>
      <w:r w:rsidR="00B643AC" w:rsidRPr="00631676">
        <w:rPr>
          <w:rFonts w:cstheme="minorHAnsi"/>
        </w:rPr>
        <w:t>Right before.</w:t>
      </w:r>
      <w:r w:rsidR="00A3518A" w:rsidRPr="00631676">
        <w:rPr>
          <w:rFonts w:cstheme="minorHAnsi"/>
        </w:rPr>
        <w:t xml:space="preserve">” </w:t>
      </w:r>
      <w:r w:rsidR="00B643AC" w:rsidRPr="00631676">
        <w:rPr>
          <w:rFonts w:cstheme="minorHAnsi"/>
        </w:rPr>
        <w:t xml:space="preserve"> </w:t>
      </w:r>
      <w:r w:rsidR="00D00043" w:rsidRPr="00631676">
        <w:rPr>
          <w:rFonts w:cstheme="minorHAnsi"/>
        </w:rPr>
        <w:t xml:space="preserve">Defendant has forfeited any challenge </w:t>
      </w:r>
      <w:r w:rsidR="00D71FA9" w:rsidRPr="00631676">
        <w:rPr>
          <w:rFonts w:cstheme="minorHAnsi"/>
        </w:rPr>
        <w:t>to the prosecutor’s argument regarding “side B” of defendant’s confession by failing to object.  (</w:t>
      </w:r>
      <w:r w:rsidR="00B76626" w:rsidRPr="00631676">
        <w:rPr>
          <w:rFonts w:cstheme="minorHAnsi"/>
          <w:i/>
        </w:rPr>
        <w:t>People v. </w:t>
      </w:r>
      <w:r w:rsidR="00D71FA9" w:rsidRPr="00631676">
        <w:rPr>
          <w:rFonts w:cstheme="minorHAnsi"/>
          <w:i/>
        </w:rPr>
        <w:t>Powell</w:t>
      </w:r>
      <w:r w:rsidR="00D71FA9" w:rsidRPr="00631676">
        <w:rPr>
          <w:rFonts w:cstheme="minorHAnsi"/>
        </w:rPr>
        <w:t xml:space="preserve">, </w:t>
      </w:r>
      <w:r w:rsidR="00D71FA9" w:rsidRPr="00631676">
        <w:rPr>
          <w:rFonts w:cstheme="minorHAnsi"/>
          <w:i/>
        </w:rPr>
        <w:t>supra</w:t>
      </w:r>
      <w:r w:rsidR="00B4433A" w:rsidRPr="00631676">
        <w:rPr>
          <w:rFonts w:cstheme="minorHAnsi"/>
        </w:rPr>
        <w:t>, 6 Cal.5th at p.</w:t>
      </w:r>
      <w:r w:rsidR="008F30E5" w:rsidRPr="00631676">
        <w:rPr>
          <w:rFonts w:cstheme="minorHAnsi"/>
        </w:rPr>
        <w:t> </w:t>
      </w:r>
      <w:r w:rsidR="00B4433A" w:rsidRPr="00631676">
        <w:rPr>
          <w:rFonts w:cstheme="minorHAnsi"/>
        </w:rPr>
        <w:t>171</w:t>
      </w:r>
      <w:r w:rsidR="00D71FA9" w:rsidRPr="00631676">
        <w:rPr>
          <w:rFonts w:cstheme="minorHAnsi"/>
        </w:rPr>
        <w:t xml:space="preserve">.)  </w:t>
      </w:r>
    </w:p>
    <w:p w14:paraId="137E378F" w14:textId="3BF2CB1F" w:rsidR="00D538AD" w:rsidRPr="00631676" w:rsidRDefault="00A3518A" w:rsidP="00CA4449">
      <w:pPr>
        <w:rPr>
          <w:rFonts w:cstheme="minorHAnsi"/>
        </w:rPr>
      </w:pPr>
      <w:r w:rsidRPr="00631676">
        <w:rPr>
          <w:rFonts w:cstheme="minorHAnsi"/>
        </w:rPr>
        <w:tab/>
      </w:r>
      <w:r w:rsidR="001E4C1E" w:rsidRPr="00631676">
        <w:rPr>
          <w:rFonts w:cstheme="minorHAnsi"/>
        </w:rPr>
        <w:t>D</w:t>
      </w:r>
      <w:r w:rsidR="004D0128" w:rsidRPr="00631676">
        <w:rPr>
          <w:rFonts w:cstheme="minorHAnsi"/>
        </w:rPr>
        <w:t xml:space="preserve">efendant argues that the prosecutor committed misconduct during </w:t>
      </w:r>
      <w:r w:rsidR="00243600">
        <w:rPr>
          <w:rFonts w:cstheme="minorHAnsi"/>
        </w:rPr>
        <w:t xml:space="preserve">the </w:t>
      </w:r>
      <w:r w:rsidR="004D0128" w:rsidRPr="00631676">
        <w:rPr>
          <w:rFonts w:cstheme="minorHAnsi"/>
        </w:rPr>
        <w:t xml:space="preserve">guilt phase closing argument </w:t>
      </w:r>
      <w:r w:rsidR="00DF1A85" w:rsidRPr="00631676">
        <w:rPr>
          <w:rFonts w:cstheme="minorHAnsi"/>
        </w:rPr>
        <w:t xml:space="preserve">by </w:t>
      </w:r>
      <w:r w:rsidR="00A80F94" w:rsidRPr="00631676">
        <w:rPr>
          <w:rFonts w:cstheme="minorHAnsi"/>
        </w:rPr>
        <w:t xml:space="preserve">making </w:t>
      </w:r>
      <w:r w:rsidR="00DF1A85" w:rsidRPr="00631676">
        <w:rPr>
          <w:rFonts w:cstheme="minorHAnsi"/>
        </w:rPr>
        <w:t>improper remarks about witness Sheehan</w:t>
      </w:r>
      <w:r w:rsidR="00A80F94" w:rsidRPr="00631676">
        <w:rPr>
          <w:rFonts w:cstheme="minorHAnsi"/>
        </w:rPr>
        <w:t>, who had testified under a grant of immunity</w:t>
      </w:r>
      <w:r w:rsidR="00DF1A85" w:rsidRPr="00631676">
        <w:rPr>
          <w:rFonts w:cstheme="minorHAnsi"/>
        </w:rPr>
        <w:t xml:space="preserve">.  First, </w:t>
      </w:r>
      <w:r w:rsidR="00AB56A9" w:rsidRPr="00631676">
        <w:rPr>
          <w:rFonts w:cstheme="minorHAnsi"/>
        </w:rPr>
        <w:t xml:space="preserve">the </w:t>
      </w:r>
      <w:r w:rsidR="00DF1A85" w:rsidRPr="00631676">
        <w:rPr>
          <w:rFonts w:cstheme="minorHAnsi"/>
        </w:rPr>
        <w:t xml:space="preserve">prosecutor argued the </w:t>
      </w:r>
      <w:r w:rsidR="00AB56A9" w:rsidRPr="00631676">
        <w:rPr>
          <w:rFonts w:cstheme="minorHAnsi"/>
        </w:rPr>
        <w:t xml:space="preserve">jury </w:t>
      </w:r>
      <w:r w:rsidRPr="00631676">
        <w:rPr>
          <w:rFonts w:cstheme="minorHAnsi"/>
        </w:rPr>
        <w:t xml:space="preserve">could be assured that Sheehan would be even more truthful than other witnesses because he </w:t>
      </w:r>
      <w:r w:rsidR="00175867" w:rsidRPr="00631676">
        <w:rPr>
          <w:rFonts w:cstheme="minorHAnsi"/>
        </w:rPr>
        <w:t>was subject to</w:t>
      </w:r>
      <w:r w:rsidRPr="00631676">
        <w:rPr>
          <w:rFonts w:cstheme="minorHAnsi"/>
        </w:rPr>
        <w:t xml:space="preserve"> greater consequences for lying.  </w:t>
      </w:r>
      <w:r w:rsidR="00DF1A85" w:rsidRPr="00631676">
        <w:rPr>
          <w:rFonts w:cstheme="minorHAnsi"/>
        </w:rPr>
        <w:t xml:space="preserve">Second, the prosecutor </w:t>
      </w:r>
      <w:r w:rsidRPr="00631676">
        <w:rPr>
          <w:rFonts w:cstheme="minorHAnsi"/>
        </w:rPr>
        <w:t xml:space="preserve">argued the jury could infer that Sheehan would </w:t>
      </w:r>
      <w:r w:rsidR="00DF1A85" w:rsidRPr="00631676">
        <w:rPr>
          <w:rFonts w:cstheme="minorHAnsi"/>
        </w:rPr>
        <w:t xml:space="preserve">not have needed immunity if defendant were innocent </w:t>
      </w:r>
      <w:r w:rsidRPr="00631676">
        <w:rPr>
          <w:rFonts w:cstheme="minorHAnsi"/>
        </w:rPr>
        <w:t xml:space="preserve">because otherwise </w:t>
      </w:r>
      <w:r w:rsidR="00F03352" w:rsidRPr="00631676">
        <w:rPr>
          <w:rFonts w:cstheme="minorHAnsi"/>
        </w:rPr>
        <w:t>Sheehan</w:t>
      </w:r>
      <w:r w:rsidRPr="00631676">
        <w:rPr>
          <w:rFonts w:cstheme="minorHAnsi"/>
        </w:rPr>
        <w:t xml:space="preserve"> would have been harboring a friend</w:t>
      </w:r>
      <w:r w:rsidR="00175867" w:rsidRPr="00631676">
        <w:rPr>
          <w:rFonts w:cstheme="minorHAnsi"/>
        </w:rPr>
        <w:t>,</w:t>
      </w:r>
      <w:r w:rsidRPr="00631676">
        <w:rPr>
          <w:rFonts w:cstheme="minorHAnsi"/>
        </w:rPr>
        <w:t xml:space="preserve"> not a fugitive.  Defendant objected, claiming the prosecution’s argument was speculative</w:t>
      </w:r>
      <w:r w:rsidR="00DF1A85" w:rsidRPr="00631676">
        <w:rPr>
          <w:rFonts w:cstheme="minorHAnsi"/>
        </w:rPr>
        <w:t>.  T</w:t>
      </w:r>
      <w:r w:rsidRPr="00631676">
        <w:rPr>
          <w:rFonts w:cstheme="minorHAnsi"/>
        </w:rPr>
        <w:t>he court sustained the objection</w:t>
      </w:r>
      <w:r w:rsidR="00DF1A85" w:rsidRPr="00631676">
        <w:rPr>
          <w:rFonts w:cstheme="minorHAnsi"/>
        </w:rPr>
        <w:t xml:space="preserve"> and admonished the jury to disregard the prosecutor’s remarks</w:t>
      </w:r>
      <w:r w:rsidRPr="00631676">
        <w:rPr>
          <w:rFonts w:cstheme="minorHAnsi"/>
        </w:rPr>
        <w:t xml:space="preserve">.  </w:t>
      </w:r>
      <w:r w:rsidR="00DE6AE2" w:rsidRPr="00631676">
        <w:rPr>
          <w:rFonts w:cstheme="minorHAnsi"/>
        </w:rPr>
        <w:t xml:space="preserve">Defendant now renews his </w:t>
      </w:r>
      <w:r w:rsidR="00DE6AE2" w:rsidRPr="00631676">
        <w:rPr>
          <w:rFonts w:cstheme="minorHAnsi"/>
        </w:rPr>
        <w:lastRenderedPageBreak/>
        <w:t xml:space="preserve">objection to the prosecutor’s remarks, arguing the prosecutor impermissibly vouched for Sheehan based on </w:t>
      </w:r>
      <w:r w:rsidR="00915B10">
        <w:rPr>
          <w:rFonts w:cstheme="minorHAnsi"/>
        </w:rPr>
        <w:t xml:space="preserve">the prosecutor’s </w:t>
      </w:r>
      <w:r w:rsidR="00DE6AE2" w:rsidRPr="00631676">
        <w:rPr>
          <w:rFonts w:cstheme="minorHAnsi"/>
        </w:rPr>
        <w:t xml:space="preserve">own personal beliefs (and decisions about how and why to grant witness immunity), rather than evidence in the record.  (See </w:t>
      </w:r>
      <w:r w:rsidR="00DE6AE2" w:rsidRPr="00631676">
        <w:rPr>
          <w:rFonts w:cstheme="minorHAnsi"/>
          <w:i/>
        </w:rPr>
        <w:t>People v.</w:t>
      </w:r>
      <w:r w:rsidR="0017039C" w:rsidRPr="00631676">
        <w:rPr>
          <w:rFonts w:cstheme="minorHAnsi"/>
          <w:i/>
        </w:rPr>
        <w:t> </w:t>
      </w:r>
      <w:r w:rsidR="00DE6AE2" w:rsidRPr="00631676">
        <w:rPr>
          <w:rFonts w:cstheme="minorHAnsi"/>
          <w:i/>
        </w:rPr>
        <w:t>Martinez</w:t>
      </w:r>
      <w:r w:rsidR="00E538AD">
        <w:rPr>
          <w:rFonts w:cstheme="minorHAnsi"/>
          <w:i/>
        </w:rPr>
        <w:t xml:space="preserve"> </w:t>
      </w:r>
      <w:r w:rsidR="00E538AD">
        <w:rPr>
          <w:rFonts w:cstheme="minorHAnsi"/>
        </w:rPr>
        <w:t>(2010)</w:t>
      </w:r>
      <w:r w:rsidR="00DE6AE2" w:rsidRPr="00631676">
        <w:rPr>
          <w:rFonts w:cstheme="minorHAnsi"/>
        </w:rPr>
        <w:t xml:space="preserve"> 47 Cal.4th </w:t>
      </w:r>
      <w:r w:rsidR="00E538AD">
        <w:rPr>
          <w:rFonts w:cstheme="minorHAnsi"/>
        </w:rPr>
        <w:t xml:space="preserve">911, </w:t>
      </w:r>
      <w:r w:rsidR="00DE6AE2" w:rsidRPr="00631676">
        <w:rPr>
          <w:rFonts w:cstheme="minorHAnsi"/>
        </w:rPr>
        <w:t>958.)  But d</w:t>
      </w:r>
      <w:r w:rsidR="00DF1A85" w:rsidRPr="00631676">
        <w:rPr>
          <w:rFonts w:cstheme="minorHAnsi"/>
        </w:rPr>
        <w:t xml:space="preserve">efendant offers no </w:t>
      </w:r>
      <w:r w:rsidR="00DE6AE2" w:rsidRPr="00631676">
        <w:rPr>
          <w:rFonts w:cstheme="minorHAnsi"/>
        </w:rPr>
        <w:t xml:space="preserve">persuasive </w:t>
      </w:r>
      <w:r w:rsidR="00DF1A85" w:rsidRPr="00631676">
        <w:rPr>
          <w:rFonts w:cstheme="minorHAnsi"/>
        </w:rPr>
        <w:t xml:space="preserve">reason to believe </w:t>
      </w:r>
      <w:r w:rsidR="00AB56A9" w:rsidRPr="00631676">
        <w:rPr>
          <w:rFonts w:cstheme="minorHAnsi"/>
        </w:rPr>
        <w:t xml:space="preserve">the trial court’s </w:t>
      </w:r>
      <w:r w:rsidR="00DF1A85" w:rsidRPr="00631676">
        <w:rPr>
          <w:rFonts w:cstheme="minorHAnsi"/>
        </w:rPr>
        <w:t xml:space="preserve">admonition </w:t>
      </w:r>
      <w:r w:rsidR="003B5B65" w:rsidRPr="00631676">
        <w:rPr>
          <w:rFonts w:cstheme="minorHAnsi"/>
        </w:rPr>
        <w:t xml:space="preserve">to </w:t>
      </w:r>
      <w:r w:rsidR="008D4358" w:rsidRPr="00631676">
        <w:rPr>
          <w:rFonts w:cstheme="minorHAnsi"/>
        </w:rPr>
        <w:t xml:space="preserve">disregard the </w:t>
      </w:r>
      <w:r w:rsidR="00214984" w:rsidRPr="00631676">
        <w:rPr>
          <w:rFonts w:cstheme="minorHAnsi"/>
        </w:rPr>
        <w:t xml:space="preserve">prosecutor’s </w:t>
      </w:r>
      <w:r w:rsidR="00EB772D" w:rsidRPr="00631676">
        <w:rPr>
          <w:rFonts w:cstheme="minorHAnsi"/>
        </w:rPr>
        <w:t xml:space="preserve">brief, passing </w:t>
      </w:r>
      <w:r w:rsidR="008D4358" w:rsidRPr="00631676">
        <w:rPr>
          <w:rFonts w:cstheme="minorHAnsi"/>
        </w:rPr>
        <w:t xml:space="preserve">remarks was insufficient to cure any unfairness.  </w:t>
      </w:r>
      <w:r w:rsidR="005B127A" w:rsidRPr="00631676">
        <w:rPr>
          <w:rFonts w:cstheme="minorHAnsi"/>
        </w:rPr>
        <w:t>We</w:t>
      </w:r>
      <w:r w:rsidR="00EB772D" w:rsidRPr="00631676">
        <w:rPr>
          <w:rFonts w:cstheme="minorHAnsi"/>
        </w:rPr>
        <w:t xml:space="preserve"> see no basis for reversal. </w:t>
      </w:r>
    </w:p>
    <w:p w14:paraId="0FDAB3B8" w14:textId="74D89446" w:rsidR="00617778" w:rsidRPr="00631676" w:rsidRDefault="00334C2E" w:rsidP="00631676">
      <w:r w:rsidRPr="00631676">
        <w:rPr>
          <w:rFonts w:cstheme="minorHAnsi"/>
        </w:rPr>
        <w:tab/>
      </w:r>
      <w:r w:rsidR="001E4C1E" w:rsidRPr="00631676">
        <w:rPr>
          <w:rFonts w:cstheme="minorHAnsi"/>
        </w:rPr>
        <w:t>Finally, d</w:t>
      </w:r>
      <w:r w:rsidR="00D538AD" w:rsidRPr="00631676">
        <w:rPr>
          <w:rFonts w:cstheme="minorHAnsi"/>
        </w:rPr>
        <w:t xml:space="preserve">efendant argues that the prosecutor committed misconduct by spending </w:t>
      </w:r>
      <w:r w:rsidRPr="00631676">
        <w:rPr>
          <w:rFonts w:cstheme="minorHAnsi"/>
        </w:rPr>
        <w:t>six</w:t>
      </w:r>
      <w:r w:rsidR="00D538AD" w:rsidRPr="00631676">
        <w:rPr>
          <w:rFonts w:cstheme="minorHAnsi"/>
        </w:rPr>
        <w:t xml:space="preserve"> transcript pages describing the “original” kidnap, in which defendant was not involved.</w:t>
      </w:r>
      <w:r w:rsidR="00175867" w:rsidRPr="00631676">
        <w:rPr>
          <w:rFonts w:cstheme="minorHAnsi"/>
        </w:rPr>
        <w:t xml:space="preserve"> </w:t>
      </w:r>
      <w:r w:rsidR="00D538AD" w:rsidRPr="00631676">
        <w:rPr>
          <w:rFonts w:cstheme="minorHAnsi"/>
        </w:rPr>
        <w:t xml:space="preserve"> </w:t>
      </w:r>
      <w:r w:rsidR="00E75432" w:rsidRPr="00631676">
        <w:rPr>
          <w:rFonts w:cstheme="minorHAnsi"/>
        </w:rPr>
        <w:t>In fact, th</w:t>
      </w:r>
      <w:r w:rsidR="001E4C1E" w:rsidRPr="00631676">
        <w:rPr>
          <w:rFonts w:cstheme="minorHAnsi"/>
        </w:rPr>
        <w:t>e</w:t>
      </w:r>
      <w:r w:rsidR="00E75432" w:rsidRPr="00631676">
        <w:rPr>
          <w:rFonts w:cstheme="minorHAnsi"/>
        </w:rPr>
        <w:t xml:space="preserve"> prosecutor </w:t>
      </w:r>
      <w:r w:rsidR="001E4C1E" w:rsidRPr="00631676">
        <w:rPr>
          <w:rFonts w:cstheme="minorHAnsi"/>
        </w:rPr>
        <w:t xml:space="preserve">spent less than two transcript pages describing the kidnapping, </w:t>
      </w:r>
      <w:r w:rsidR="002E3FC3">
        <w:rPr>
          <w:rFonts w:cstheme="minorHAnsi"/>
        </w:rPr>
        <w:t>and some of t</w:t>
      </w:r>
      <w:r w:rsidR="0069577E">
        <w:rPr>
          <w:rFonts w:cstheme="minorHAnsi"/>
        </w:rPr>
        <w:t>he events</w:t>
      </w:r>
      <w:r w:rsidR="00451182">
        <w:rPr>
          <w:rFonts w:cstheme="minorHAnsi"/>
        </w:rPr>
        <w:t xml:space="preserve"> described</w:t>
      </w:r>
      <w:r w:rsidR="0069577E">
        <w:rPr>
          <w:rFonts w:cstheme="minorHAnsi"/>
        </w:rPr>
        <w:t xml:space="preserve"> </w:t>
      </w:r>
      <w:r w:rsidR="00830891">
        <w:rPr>
          <w:rFonts w:cstheme="minorHAnsi"/>
        </w:rPr>
        <w:t>involved defendant.</w:t>
      </w:r>
      <w:r w:rsidR="00E75432" w:rsidRPr="00631676">
        <w:rPr>
          <w:rFonts w:cstheme="minorHAnsi"/>
        </w:rPr>
        <w:t xml:space="preserve"> </w:t>
      </w:r>
      <w:r w:rsidR="001E4C1E" w:rsidRPr="00631676">
        <w:rPr>
          <w:rFonts w:cstheme="minorHAnsi"/>
        </w:rPr>
        <w:t xml:space="preserve"> </w:t>
      </w:r>
      <w:r w:rsidR="00451182">
        <w:rPr>
          <w:rFonts w:cstheme="minorHAnsi"/>
        </w:rPr>
        <w:t xml:space="preserve">The prosecutor referred to the victim’s abduction from West Hills, his time in Santa Barbara, and his murder, arguing “there is a kidnapping at the very beginning, there’s a kidnapping at the very end.  Is there a kidnapping in between?  Okay.”  </w:t>
      </w:r>
      <w:r w:rsidR="001E4C1E" w:rsidRPr="00631676">
        <w:rPr>
          <w:rFonts w:cstheme="minorHAnsi"/>
        </w:rPr>
        <w:t xml:space="preserve">The defense did not object to this discussion.  </w:t>
      </w:r>
      <w:r w:rsidR="00E75432" w:rsidRPr="00631676">
        <w:rPr>
          <w:rFonts w:cstheme="minorHAnsi"/>
        </w:rPr>
        <w:t xml:space="preserve">Assuming for the sake of argument that this claim is not forfeited despite the lack of specific, contemporaneous objection (see </w:t>
      </w:r>
      <w:r w:rsidR="00E75432" w:rsidRPr="00631676">
        <w:rPr>
          <w:rFonts w:cstheme="minorHAnsi"/>
          <w:i/>
        </w:rPr>
        <w:t>People v. Seumanu</w:t>
      </w:r>
      <w:r w:rsidR="00E75432" w:rsidRPr="00631676">
        <w:rPr>
          <w:rFonts w:cstheme="minorHAnsi"/>
        </w:rPr>
        <w:t xml:space="preserve"> (2015</w:t>
      </w:r>
      <w:r w:rsidR="00F656E9" w:rsidRPr="00631676">
        <w:rPr>
          <w:rFonts w:cstheme="minorHAnsi"/>
        </w:rPr>
        <w:t>)</w:t>
      </w:r>
      <w:r w:rsidR="00E75432" w:rsidRPr="00631676">
        <w:rPr>
          <w:rFonts w:cstheme="minorHAnsi"/>
        </w:rPr>
        <w:t xml:space="preserve"> 61 Cal.4th 1293, 1339),</w:t>
      </w:r>
      <w:r w:rsidR="00097653" w:rsidRPr="00631676">
        <w:rPr>
          <w:rFonts w:cstheme="minorHAnsi"/>
        </w:rPr>
        <w:t xml:space="preserve"> </w:t>
      </w:r>
      <w:r w:rsidR="00E75432" w:rsidRPr="00631676">
        <w:rPr>
          <w:rFonts w:cstheme="minorHAnsi"/>
        </w:rPr>
        <w:t>we find no misconduct because the prosecutor has “wide latitude to comment on the evidence during closing argument</w:t>
      </w:r>
      <w:r w:rsidR="00097653" w:rsidRPr="00631676">
        <w:rPr>
          <w:rFonts w:cstheme="minorHAnsi"/>
        </w:rPr>
        <w:t>.”</w:t>
      </w:r>
      <w:r w:rsidR="00907916">
        <w:rPr>
          <w:rFonts w:cstheme="minorHAnsi"/>
        </w:rPr>
        <w:t xml:space="preserve"> </w:t>
      </w:r>
      <w:r w:rsidR="00097653" w:rsidRPr="00631676">
        <w:rPr>
          <w:rFonts w:cstheme="minorHAnsi"/>
        </w:rPr>
        <w:t xml:space="preserve"> (</w:t>
      </w:r>
      <w:r w:rsidR="00097653" w:rsidRPr="00631676">
        <w:rPr>
          <w:rFonts w:cstheme="minorHAnsi"/>
          <w:i/>
        </w:rPr>
        <w:t>People v. Peoples</w:t>
      </w:r>
      <w:r w:rsidR="00097653" w:rsidRPr="00631676">
        <w:rPr>
          <w:rFonts w:cstheme="minorHAnsi"/>
        </w:rPr>
        <w:t xml:space="preserve"> (2016) 62 Cal.4th 718, 797.)  Discussion of a significant aspect of the criminal endeavor that culminated in the victim’s death during closing argument constitutes a reasonable comment.</w:t>
      </w:r>
      <w:r w:rsidR="0004773A" w:rsidRPr="00631676">
        <w:rPr>
          <w:rFonts w:cstheme="minorHAnsi"/>
        </w:rPr>
        <w:t xml:space="preserve"> </w:t>
      </w:r>
      <w:r w:rsidR="00E75432" w:rsidRPr="00631676">
        <w:rPr>
          <w:rFonts w:cstheme="minorHAnsi"/>
        </w:rPr>
        <w:t xml:space="preserve"> </w:t>
      </w:r>
      <w:r w:rsidR="00097653" w:rsidRPr="00631676">
        <w:rPr>
          <w:rFonts w:cstheme="minorHAnsi"/>
        </w:rPr>
        <w:t>(</w:t>
      </w:r>
      <w:r w:rsidR="00097653" w:rsidRPr="00631676">
        <w:rPr>
          <w:rFonts w:cstheme="minorHAnsi"/>
          <w:i/>
        </w:rPr>
        <w:t>Ibid</w:t>
      </w:r>
      <w:r w:rsidR="00097653" w:rsidRPr="00631676">
        <w:rPr>
          <w:rFonts w:cstheme="minorHAnsi"/>
        </w:rPr>
        <w:t>.)</w:t>
      </w:r>
    </w:p>
    <w:p w14:paraId="542D44ED" w14:textId="4E7C46E4" w:rsidR="00F92B9A" w:rsidRPr="00CA4449" w:rsidRDefault="00F92B9A" w:rsidP="00CA4449">
      <w:pPr>
        <w:pStyle w:val="Heading3"/>
        <w:rPr>
          <w:rFonts w:cstheme="minorHAnsi"/>
          <w:b/>
        </w:rPr>
      </w:pPr>
      <w:r w:rsidRPr="00CA4449">
        <w:rPr>
          <w:rFonts w:cstheme="minorHAnsi"/>
        </w:rPr>
        <w:tab/>
      </w:r>
      <w:r w:rsidR="003B3670" w:rsidRPr="00CA4449">
        <w:rPr>
          <w:rFonts w:cstheme="minorHAnsi"/>
        </w:rPr>
        <w:tab/>
      </w:r>
      <w:bookmarkStart w:id="34" w:name="_Toc12993771"/>
      <w:r w:rsidR="004A5758" w:rsidRPr="00CA4449">
        <w:rPr>
          <w:rFonts w:cstheme="minorHAnsi"/>
        </w:rPr>
        <w:t>7</w:t>
      </w:r>
      <w:r w:rsidRPr="00CA4449">
        <w:rPr>
          <w:rFonts w:cstheme="minorHAnsi"/>
        </w:rPr>
        <w:t>.</w:t>
      </w:r>
      <w:r w:rsidRPr="00CA4449">
        <w:rPr>
          <w:rFonts w:cstheme="minorHAnsi"/>
        </w:rPr>
        <w:tab/>
        <w:t xml:space="preserve">Instructional Error </w:t>
      </w:r>
      <w:r w:rsidR="000C60D8" w:rsidRPr="00CA4449">
        <w:rPr>
          <w:rFonts w:cstheme="minorHAnsi"/>
        </w:rPr>
        <w:t>Concerning</w:t>
      </w:r>
      <w:r w:rsidRPr="00CA4449">
        <w:rPr>
          <w:rFonts w:cstheme="minorHAnsi"/>
        </w:rPr>
        <w:t xml:space="preserve"> </w:t>
      </w:r>
      <w:r w:rsidR="005D23E0">
        <w:rPr>
          <w:rFonts w:cstheme="minorHAnsi"/>
        </w:rPr>
        <w:br/>
        <w:t xml:space="preserve">                </w:t>
      </w:r>
      <w:r w:rsidRPr="00CA4449">
        <w:rPr>
          <w:rFonts w:cstheme="minorHAnsi"/>
        </w:rPr>
        <w:t xml:space="preserve">Accomplices and Immunity </w:t>
      </w:r>
      <w:bookmarkEnd w:id="34"/>
    </w:p>
    <w:p w14:paraId="67BA22F1" w14:textId="7C4255B4" w:rsidR="00E339A0" w:rsidRPr="00631676" w:rsidRDefault="00611AC2" w:rsidP="00CA4449">
      <w:pPr>
        <w:rPr>
          <w:rFonts w:cstheme="minorHAnsi"/>
        </w:rPr>
      </w:pPr>
      <w:r w:rsidRPr="00631676">
        <w:rPr>
          <w:rFonts w:cstheme="minorHAnsi"/>
        </w:rPr>
        <w:tab/>
      </w:r>
      <w:r w:rsidR="00667622" w:rsidRPr="00631676">
        <w:rPr>
          <w:rFonts w:cstheme="minorHAnsi"/>
        </w:rPr>
        <w:t>Defendant argues the trial court erred by failing to modify CALJIC No.</w:t>
      </w:r>
      <w:r w:rsidR="003D165C" w:rsidRPr="00631676">
        <w:rPr>
          <w:rFonts w:cstheme="minorHAnsi"/>
        </w:rPr>
        <w:t> </w:t>
      </w:r>
      <w:r w:rsidR="00667622" w:rsidRPr="00631676">
        <w:rPr>
          <w:rFonts w:cstheme="minorHAnsi"/>
        </w:rPr>
        <w:t>3.1</w:t>
      </w:r>
      <w:r w:rsidR="002E5FEB" w:rsidRPr="00631676">
        <w:rPr>
          <w:rFonts w:cstheme="minorHAnsi"/>
        </w:rPr>
        <w:t>6</w:t>
      </w:r>
      <w:r w:rsidR="00F53839" w:rsidRPr="00631676">
        <w:rPr>
          <w:rFonts w:cstheme="minorHAnsi"/>
        </w:rPr>
        <w:t>, concerning accomplice testimony,</w:t>
      </w:r>
      <w:r w:rsidR="00667622" w:rsidRPr="00631676">
        <w:rPr>
          <w:rFonts w:cstheme="minorHAnsi"/>
        </w:rPr>
        <w:t xml:space="preserve"> and </w:t>
      </w:r>
      <w:r w:rsidR="004E7A58" w:rsidRPr="00631676">
        <w:rPr>
          <w:rFonts w:cstheme="minorHAnsi"/>
        </w:rPr>
        <w:lastRenderedPageBreak/>
        <w:t xml:space="preserve">CALJIC </w:t>
      </w:r>
      <w:r w:rsidR="00F53839" w:rsidRPr="00631676">
        <w:rPr>
          <w:rFonts w:cstheme="minorHAnsi"/>
        </w:rPr>
        <w:t>No.</w:t>
      </w:r>
      <w:r w:rsidR="003D165C" w:rsidRPr="00631676">
        <w:rPr>
          <w:rFonts w:cstheme="minorHAnsi"/>
        </w:rPr>
        <w:t> </w:t>
      </w:r>
      <w:r w:rsidR="00667622" w:rsidRPr="00631676">
        <w:rPr>
          <w:rFonts w:cstheme="minorHAnsi"/>
        </w:rPr>
        <w:t>2.20</w:t>
      </w:r>
      <w:r w:rsidR="00F53839" w:rsidRPr="00631676">
        <w:rPr>
          <w:rFonts w:cstheme="minorHAnsi"/>
        </w:rPr>
        <w:t xml:space="preserve">, concerning witness credibility.  Defendant also argues the court erred </w:t>
      </w:r>
      <w:r w:rsidR="00667622" w:rsidRPr="00631676">
        <w:rPr>
          <w:rFonts w:cstheme="minorHAnsi"/>
        </w:rPr>
        <w:t>by failing to give</w:t>
      </w:r>
      <w:r w:rsidR="002E5FEB" w:rsidRPr="00631676">
        <w:rPr>
          <w:rFonts w:cstheme="minorHAnsi"/>
        </w:rPr>
        <w:t xml:space="preserve"> CALJIC No.</w:t>
      </w:r>
      <w:r w:rsidR="003D165C" w:rsidRPr="00631676">
        <w:rPr>
          <w:rFonts w:cstheme="minorHAnsi"/>
        </w:rPr>
        <w:t> </w:t>
      </w:r>
      <w:r w:rsidR="002E5FEB" w:rsidRPr="00631676">
        <w:rPr>
          <w:rFonts w:cstheme="minorHAnsi"/>
        </w:rPr>
        <w:t>3.19</w:t>
      </w:r>
      <w:r w:rsidR="00F53839" w:rsidRPr="00631676">
        <w:rPr>
          <w:rFonts w:cstheme="minorHAnsi"/>
        </w:rPr>
        <w:t>,</w:t>
      </w:r>
      <w:r w:rsidR="00F4114A" w:rsidRPr="00631676">
        <w:rPr>
          <w:rFonts w:cstheme="minorHAnsi"/>
        </w:rPr>
        <w:t xml:space="preserve"> </w:t>
      </w:r>
      <w:r w:rsidR="000851E4" w:rsidRPr="00631676">
        <w:rPr>
          <w:rFonts w:cstheme="minorHAnsi"/>
        </w:rPr>
        <w:t xml:space="preserve">concerning the determination whether a corroborating witness is an accomplice.  </w:t>
      </w:r>
      <w:r w:rsidR="00E41E24" w:rsidRPr="00631676">
        <w:rPr>
          <w:rFonts w:cstheme="minorHAnsi"/>
        </w:rPr>
        <w:t>We</w:t>
      </w:r>
      <w:r w:rsidR="00667622" w:rsidRPr="00631676">
        <w:rPr>
          <w:rFonts w:cstheme="minorHAnsi"/>
        </w:rPr>
        <w:t xml:space="preserve"> find no </w:t>
      </w:r>
      <w:r w:rsidR="00A20085">
        <w:rPr>
          <w:rFonts w:cstheme="minorHAnsi"/>
        </w:rPr>
        <w:t>grounds for reversal.</w:t>
      </w:r>
    </w:p>
    <w:p w14:paraId="6ADB7880" w14:textId="77777777" w:rsidR="00C736B1" w:rsidRPr="00631676" w:rsidRDefault="00F84449" w:rsidP="00CA4449">
      <w:pPr>
        <w:ind w:left="1260"/>
        <w:rPr>
          <w:rFonts w:cstheme="minorHAnsi"/>
        </w:rPr>
      </w:pPr>
      <w:r w:rsidRPr="00631676">
        <w:rPr>
          <w:rFonts w:cstheme="minorHAnsi"/>
          <w:b/>
        </w:rPr>
        <w:tab/>
      </w:r>
      <w:r w:rsidRPr="00631676">
        <w:rPr>
          <w:rFonts w:cstheme="minorHAnsi"/>
          <w:b/>
        </w:rPr>
        <w:tab/>
      </w:r>
      <w:r w:rsidR="003B3670" w:rsidRPr="00631676">
        <w:rPr>
          <w:rFonts w:cstheme="minorHAnsi"/>
          <w:b/>
        </w:rPr>
        <w:tab/>
      </w:r>
      <w:r w:rsidRPr="00631676">
        <w:rPr>
          <w:rFonts w:cstheme="minorHAnsi"/>
          <w:i/>
        </w:rPr>
        <w:t>a.</w:t>
      </w:r>
      <w:r w:rsidRPr="00631676">
        <w:rPr>
          <w:rFonts w:cstheme="minorHAnsi"/>
        </w:rPr>
        <w:tab/>
      </w:r>
      <w:r w:rsidR="00C736B1" w:rsidRPr="00631676">
        <w:rPr>
          <w:rFonts w:cstheme="minorHAnsi"/>
          <w:i/>
        </w:rPr>
        <w:t xml:space="preserve">CALJIC </w:t>
      </w:r>
      <w:r w:rsidR="003D165C" w:rsidRPr="00631676">
        <w:rPr>
          <w:rFonts w:cstheme="minorHAnsi"/>
          <w:i/>
        </w:rPr>
        <w:t>No. </w:t>
      </w:r>
      <w:r w:rsidR="00C736B1" w:rsidRPr="00631676">
        <w:rPr>
          <w:rFonts w:cstheme="minorHAnsi"/>
          <w:i/>
        </w:rPr>
        <w:t>3.16</w:t>
      </w:r>
    </w:p>
    <w:p w14:paraId="00AAB77F" w14:textId="5A5557E6" w:rsidR="00726FD8" w:rsidRPr="00631676" w:rsidRDefault="002E5FEB" w:rsidP="00CA4449">
      <w:pPr>
        <w:rPr>
          <w:rFonts w:cstheme="minorHAnsi"/>
        </w:rPr>
      </w:pPr>
      <w:r w:rsidRPr="00631676">
        <w:rPr>
          <w:rFonts w:cstheme="minorHAnsi"/>
        </w:rPr>
        <w:tab/>
      </w:r>
      <w:r w:rsidR="005F3447" w:rsidRPr="00631676">
        <w:rPr>
          <w:rFonts w:cstheme="minorHAnsi"/>
        </w:rPr>
        <w:t xml:space="preserve">Penal Code section 1111 provides that an accomplice’s testimony cannot support a conviction without corroboration by other evidence “as shall tend to connect the defendant with the commission of the offense; and the corroboration is not sufficient if it merely shows the commission of the offense or the circumstances thereof.”  </w:t>
      </w:r>
      <w:r w:rsidR="00A20085">
        <w:rPr>
          <w:rFonts w:cstheme="minorHAnsi"/>
        </w:rPr>
        <w:t xml:space="preserve">The statute defines an </w:t>
      </w:r>
      <w:r w:rsidR="00264E9E" w:rsidRPr="00631676">
        <w:rPr>
          <w:rFonts w:cstheme="minorHAnsi"/>
        </w:rPr>
        <w:t>accomplice</w:t>
      </w:r>
      <w:r w:rsidR="00A20085">
        <w:rPr>
          <w:rFonts w:cstheme="minorHAnsi"/>
        </w:rPr>
        <w:t xml:space="preserve"> as </w:t>
      </w:r>
      <w:r w:rsidR="00264E9E" w:rsidRPr="00631676">
        <w:rPr>
          <w:rFonts w:cstheme="minorHAnsi"/>
        </w:rPr>
        <w:t xml:space="preserve">“one who is liable to prosecution for the identical offense charged against the defendant on trial in the cause in which the testimony of the accomplice is given.”  </w:t>
      </w:r>
      <w:r w:rsidR="005F3447" w:rsidRPr="00631676">
        <w:rPr>
          <w:rFonts w:cstheme="minorHAnsi"/>
        </w:rPr>
        <w:t>(</w:t>
      </w:r>
      <w:r w:rsidR="00F656E9" w:rsidRPr="00631676">
        <w:rPr>
          <w:rFonts w:cstheme="minorHAnsi"/>
          <w:i/>
        </w:rPr>
        <w:t>Ibid.</w:t>
      </w:r>
      <w:r w:rsidR="007B1010" w:rsidRPr="00631676">
        <w:rPr>
          <w:rFonts w:cstheme="minorHAnsi"/>
        </w:rPr>
        <w:t xml:space="preserve">; </w:t>
      </w:r>
      <w:r w:rsidR="007B1010" w:rsidRPr="00631676">
        <w:rPr>
          <w:rFonts w:cstheme="minorHAnsi"/>
          <w:i/>
        </w:rPr>
        <w:t>People v. Gomez</w:t>
      </w:r>
      <w:r w:rsidR="007B1010" w:rsidRPr="00631676">
        <w:rPr>
          <w:rFonts w:cstheme="minorHAnsi"/>
        </w:rPr>
        <w:t xml:space="preserve"> (2018) 6 Cal.5th 243, 307</w:t>
      </w:r>
      <w:r w:rsidR="004E7A58" w:rsidRPr="00631676">
        <w:rPr>
          <w:rFonts w:cstheme="minorHAnsi"/>
        </w:rPr>
        <w:t xml:space="preserve">; see </w:t>
      </w:r>
      <w:r w:rsidR="004E7A58" w:rsidRPr="00631676">
        <w:rPr>
          <w:rFonts w:cstheme="minorHAnsi"/>
          <w:i/>
        </w:rPr>
        <w:t>id.</w:t>
      </w:r>
      <w:r w:rsidR="004E7A58" w:rsidRPr="00631676">
        <w:rPr>
          <w:rFonts w:cstheme="minorHAnsi"/>
        </w:rPr>
        <w:t xml:space="preserve"> at p. 3</w:t>
      </w:r>
      <w:r w:rsidR="007B1010" w:rsidRPr="00631676">
        <w:rPr>
          <w:rFonts w:cstheme="minorHAnsi"/>
        </w:rPr>
        <w:t>08.)</w:t>
      </w:r>
    </w:p>
    <w:p w14:paraId="304E3351" w14:textId="7C2AE881" w:rsidR="0080006A" w:rsidRPr="00631676" w:rsidRDefault="00726FD8" w:rsidP="00CA4449">
      <w:pPr>
        <w:rPr>
          <w:rFonts w:cstheme="minorHAnsi"/>
        </w:rPr>
      </w:pPr>
      <w:r w:rsidRPr="00631676">
        <w:rPr>
          <w:rFonts w:cstheme="minorHAnsi"/>
        </w:rPr>
        <w:tab/>
      </w:r>
      <w:r w:rsidR="00404C28" w:rsidRPr="00631676">
        <w:rPr>
          <w:rFonts w:cstheme="minorHAnsi"/>
        </w:rPr>
        <w:t>On November 2, 2001, defendant submitted his list of proposed jury instructions, which included CALJIC No.</w:t>
      </w:r>
      <w:r w:rsidR="003D165C" w:rsidRPr="00631676">
        <w:rPr>
          <w:rFonts w:cstheme="minorHAnsi"/>
        </w:rPr>
        <w:t> </w:t>
      </w:r>
      <w:r w:rsidR="00404C28" w:rsidRPr="00631676">
        <w:rPr>
          <w:rFonts w:cstheme="minorHAnsi"/>
        </w:rPr>
        <w:t xml:space="preserve">3.16, </w:t>
      </w:r>
      <w:r w:rsidR="00D00336" w:rsidRPr="00631676">
        <w:rPr>
          <w:rFonts w:cstheme="minorHAnsi"/>
        </w:rPr>
        <w:t xml:space="preserve">Witness Accomplice as Matter of Law.  </w:t>
      </w:r>
      <w:r w:rsidR="006E3F98" w:rsidRPr="00631676">
        <w:rPr>
          <w:rFonts w:cstheme="minorHAnsi"/>
        </w:rPr>
        <w:t>D</w:t>
      </w:r>
      <w:r w:rsidR="00D00336" w:rsidRPr="00631676">
        <w:rPr>
          <w:rFonts w:cstheme="minorHAnsi"/>
        </w:rPr>
        <w:t xml:space="preserve">efendant listed </w:t>
      </w:r>
      <w:r w:rsidR="00404C28" w:rsidRPr="00631676">
        <w:rPr>
          <w:rFonts w:cstheme="minorHAnsi"/>
        </w:rPr>
        <w:t xml:space="preserve">Rugge, Pressley, Hollywood, Sheehan, and Affronti among </w:t>
      </w:r>
      <w:r w:rsidR="007F1BEB" w:rsidRPr="00631676">
        <w:rPr>
          <w:rFonts w:cstheme="minorHAnsi"/>
        </w:rPr>
        <w:t xml:space="preserve">the witnesses </w:t>
      </w:r>
      <w:r w:rsidR="00404C28" w:rsidRPr="00631676">
        <w:rPr>
          <w:rFonts w:cstheme="minorHAnsi"/>
        </w:rPr>
        <w:t xml:space="preserve">to be included </w:t>
      </w:r>
      <w:r w:rsidR="00D00336" w:rsidRPr="00631676">
        <w:rPr>
          <w:rFonts w:cstheme="minorHAnsi"/>
        </w:rPr>
        <w:t xml:space="preserve">in the instruction.  </w:t>
      </w:r>
      <w:r w:rsidR="002202AA" w:rsidRPr="00631676">
        <w:rPr>
          <w:rFonts w:cstheme="minorHAnsi"/>
        </w:rPr>
        <w:t xml:space="preserve">But </w:t>
      </w:r>
      <w:r w:rsidR="007F1BEB" w:rsidRPr="00631676">
        <w:rPr>
          <w:rFonts w:cstheme="minorHAnsi"/>
        </w:rPr>
        <w:t>when the jury was ultimately instructed with CALJIC No.</w:t>
      </w:r>
      <w:r w:rsidR="003D165C" w:rsidRPr="00631676">
        <w:rPr>
          <w:rFonts w:cstheme="minorHAnsi"/>
        </w:rPr>
        <w:t> </w:t>
      </w:r>
      <w:r w:rsidR="007F1BEB" w:rsidRPr="00631676">
        <w:rPr>
          <w:rFonts w:cstheme="minorHAnsi"/>
        </w:rPr>
        <w:t xml:space="preserve">3.16, the instruction named only two of these individuals:  </w:t>
      </w:r>
      <w:r w:rsidR="006E3F98" w:rsidRPr="00631676">
        <w:rPr>
          <w:rFonts w:cstheme="minorHAnsi"/>
        </w:rPr>
        <w:t xml:space="preserve">“If the crimes charged were committed by anyone, </w:t>
      </w:r>
      <w:r w:rsidR="002E5FEB" w:rsidRPr="00631676">
        <w:rPr>
          <w:rFonts w:cstheme="minorHAnsi"/>
        </w:rPr>
        <w:t>Jesse Rugge and Graham Pressley</w:t>
      </w:r>
      <w:r w:rsidR="006E3F98" w:rsidRPr="00631676">
        <w:rPr>
          <w:rFonts w:cstheme="minorHAnsi"/>
        </w:rPr>
        <w:t xml:space="preserve"> were</w:t>
      </w:r>
      <w:r w:rsidR="002E5FEB" w:rsidRPr="00631676">
        <w:rPr>
          <w:rFonts w:cstheme="minorHAnsi"/>
        </w:rPr>
        <w:t xml:space="preserve"> accomplices as a matter of law</w:t>
      </w:r>
      <w:r w:rsidR="006E3F98" w:rsidRPr="00631676">
        <w:rPr>
          <w:rFonts w:cstheme="minorHAnsi"/>
        </w:rPr>
        <w:t xml:space="preserve"> and</w:t>
      </w:r>
      <w:r w:rsidR="002E5FEB" w:rsidRPr="00631676">
        <w:rPr>
          <w:rFonts w:cstheme="minorHAnsi"/>
        </w:rPr>
        <w:t xml:space="preserve"> their testimony is subject to the rule requiring corroboration.</w:t>
      </w:r>
      <w:r w:rsidR="006E3F98" w:rsidRPr="00631676">
        <w:rPr>
          <w:rFonts w:cstheme="minorHAnsi"/>
        </w:rPr>
        <w:t xml:space="preserve">”  </w:t>
      </w:r>
      <w:r w:rsidR="00E95247" w:rsidRPr="00631676">
        <w:rPr>
          <w:rFonts w:cstheme="minorHAnsi"/>
        </w:rPr>
        <w:t xml:space="preserve">  </w:t>
      </w:r>
    </w:p>
    <w:p w14:paraId="43137C66" w14:textId="6F44CCF9" w:rsidR="00C8748C" w:rsidRPr="00631676" w:rsidRDefault="0080006A" w:rsidP="00CA4449">
      <w:pPr>
        <w:rPr>
          <w:rFonts w:cstheme="minorHAnsi"/>
          <w:szCs w:val="26"/>
        </w:rPr>
      </w:pPr>
      <w:r w:rsidRPr="00631676">
        <w:rPr>
          <w:rFonts w:cstheme="minorHAnsi"/>
        </w:rPr>
        <w:tab/>
      </w:r>
      <w:r w:rsidR="006B7C9D" w:rsidRPr="00631676">
        <w:rPr>
          <w:rFonts w:cstheme="minorHAnsi"/>
        </w:rPr>
        <w:t>The record does not reveal why</w:t>
      </w:r>
      <w:r w:rsidR="00AF3BBB" w:rsidRPr="00631676">
        <w:rPr>
          <w:rFonts w:cstheme="minorHAnsi"/>
        </w:rPr>
        <w:t xml:space="preserve"> </w:t>
      </w:r>
      <w:r w:rsidR="006B7C9D" w:rsidRPr="00631676">
        <w:rPr>
          <w:rFonts w:cstheme="minorHAnsi"/>
        </w:rPr>
        <w:t xml:space="preserve">the instruction named only Rugge and Pressley.  </w:t>
      </w:r>
      <w:r w:rsidR="00C736B1" w:rsidRPr="00631676">
        <w:rPr>
          <w:rFonts w:cstheme="minorHAnsi"/>
          <w:szCs w:val="26"/>
        </w:rPr>
        <w:t xml:space="preserve">Defendant </w:t>
      </w:r>
      <w:r w:rsidR="003B66D3" w:rsidRPr="00631676">
        <w:rPr>
          <w:rFonts w:cstheme="minorHAnsi"/>
          <w:szCs w:val="26"/>
        </w:rPr>
        <w:t>explains</w:t>
      </w:r>
      <w:r w:rsidR="00C736B1" w:rsidRPr="00631676">
        <w:rPr>
          <w:rFonts w:cstheme="minorHAnsi"/>
          <w:szCs w:val="26"/>
        </w:rPr>
        <w:t xml:space="preserve"> that the trial court conducted an “</w:t>
      </w:r>
      <w:r w:rsidR="00EC17DD" w:rsidRPr="00631676">
        <w:rPr>
          <w:rFonts w:cstheme="minorHAnsi"/>
          <w:szCs w:val="26"/>
        </w:rPr>
        <w:t> ‘</w:t>
      </w:r>
      <w:r w:rsidR="00C736B1" w:rsidRPr="00631676">
        <w:rPr>
          <w:rFonts w:cstheme="minorHAnsi"/>
          <w:szCs w:val="26"/>
        </w:rPr>
        <w:t>informal</w:t>
      </w:r>
      <w:r w:rsidR="00EC17DD" w:rsidRPr="00631676">
        <w:rPr>
          <w:rFonts w:cstheme="minorHAnsi"/>
          <w:szCs w:val="26"/>
        </w:rPr>
        <w:t>’ </w:t>
      </w:r>
      <w:r w:rsidR="00C736B1" w:rsidRPr="00631676">
        <w:rPr>
          <w:rFonts w:cstheme="minorHAnsi"/>
          <w:szCs w:val="26"/>
        </w:rPr>
        <w:t>” conference with the attorneys to address jury instructions, and the content of that confer</w:t>
      </w:r>
      <w:r w:rsidR="003B66D3" w:rsidRPr="00631676">
        <w:rPr>
          <w:rFonts w:cstheme="minorHAnsi"/>
          <w:szCs w:val="26"/>
        </w:rPr>
        <w:t>ence was not settled or recorded</w:t>
      </w:r>
      <w:r w:rsidR="00C736B1" w:rsidRPr="00631676">
        <w:rPr>
          <w:rFonts w:cstheme="minorHAnsi"/>
          <w:szCs w:val="26"/>
        </w:rPr>
        <w:t xml:space="preserve">.  Defendant argues he should not be </w:t>
      </w:r>
      <w:r w:rsidR="00C736B1" w:rsidRPr="00631676">
        <w:rPr>
          <w:rFonts w:cstheme="minorHAnsi"/>
          <w:szCs w:val="26"/>
        </w:rPr>
        <w:lastRenderedPageBreak/>
        <w:t>faulted for the lack of recorded proceedings</w:t>
      </w:r>
      <w:r w:rsidR="00915B10">
        <w:rPr>
          <w:rFonts w:cstheme="minorHAnsi"/>
          <w:szCs w:val="26"/>
        </w:rPr>
        <w:t xml:space="preserve"> </w:t>
      </w:r>
      <w:r w:rsidR="00C736B1" w:rsidRPr="00631676">
        <w:rPr>
          <w:rFonts w:cstheme="minorHAnsi"/>
          <w:szCs w:val="26"/>
        </w:rPr>
        <w:t xml:space="preserve">and contends the </w:t>
      </w:r>
      <w:r w:rsidR="003B66D3" w:rsidRPr="00631676">
        <w:rPr>
          <w:rFonts w:cstheme="minorHAnsi"/>
          <w:szCs w:val="26"/>
        </w:rPr>
        <w:t>denial of his request to name Skidmore, Hollywood, and Sheehan in CALJIC No.</w:t>
      </w:r>
      <w:r w:rsidR="003D165C" w:rsidRPr="00631676">
        <w:rPr>
          <w:rFonts w:cstheme="minorHAnsi"/>
          <w:szCs w:val="26"/>
        </w:rPr>
        <w:t> </w:t>
      </w:r>
      <w:r w:rsidR="003B66D3" w:rsidRPr="00631676">
        <w:rPr>
          <w:rFonts w:cstheme="minorHAnsi"/>
          <w:szCs w:val="26"/>
        </w:rPr>
        <w:t>3.16</w:t>
      </w:r>
      <w:r w:rsidR="00C736B1" w:rsidRPr="00631676">
        <w:rPr>
          <w:rFonts w:cstheme="minorHAnsi"/>
          <w:szCs w:val="26"/>
        </w:rPr>
        <w:t xml:space="preserve"> should be deemed preserved for appeal.</w:t>
      </w:r>
      <w:r w:rsidR="003B66D3" w:rsidRPr="00631676">
        <w:rPr>
          <w:rFonts w:cstheme="minorHAnsi"/>
          <w:szCs w:val="26"/>
        </w:rPr>
        <w:t xml:space="preserve">  </w:t>
      </w:r>
    </w:p>
    <w:p w14:paraId="5D982F74" w14:textId="3D78653E" w:rsidR="00D611CB" w:rsidRPr="00631676" w:rsidRDefault="00C8748C" w:rsidP="00CA4449">
      <w:pPr>
        <w:rPr>
          <w:rFonts w:cstheme="minorHAnsi"/>
          <w:szCs w:val="26"/>
        </w:rPr>
      </w:pPr>
      <w:r w:rsidRPr="00631676">
        <w:rPr>
          <w:rFonts w:cstheme="minorHAnsi"/>
          <w:szCs w:val="26"/>
        </w:rPr>
        <w:tab/>
      </w:r>
      <w:r w:rsidR="006B7C9D" w:rsidRPr="00631676">
        <w:rPr>
          <w:rFonts w:cstheme="minorHAnsi"/>
          <w:szCs w:val="26"/>
        </w:rPr>
        <w:t xml:space="preserve">Even assuming the claim has been adequately preserved, </w:t>
      </w:r>
      <w:r w:rsidR="00CA71E1" w:rsidRPr="00631676">
        <w:rPr>
          <w:rFonts w:cstheme="minorHAnsi"/>
          <w:szCs w:val="26"/>
        </w:rPr>
        <w:t xml:space="preserve">the claim </w:t>
      </w:r>
      <w:r w:rsidR="00CB7B7E" w:rsidRPr="00631676">
        <w:rPr>
          <w:rFonts w:cstheme="minorHAnsi"/>
          <w:szCs w:val="26"/>
        </w:rPr>
        <w:t>lacks</w:t>
      </w:r>
      <w:r w:rsidR="0076748F" w:rsidRPr="00631676">
        <w:rPr>
          <w:rFonts w:cstheme="minorHAnsi"/>
          <w:szCs w:val="26"/>
        </w:rPr>
        <w:t xml:space="preserve"> merit. </w:t>
      </w:r>
      <w:r w:rsidR="00CB7B7E" w:rsidRPr="00631676">
        <w:rPr>
          <w:rFonts w:cstheme="minorHAnsi"/>
          <w:szCs w:val="26"/>
        </w:rPr>
        <w:t xml:space="preserve"> </w:t>
      </w:r>
      <w:r w:rsidR="006B7C9D" w:rsidRPr="00631676">
        <w:rPr>
          <w:rFonts w:cstheme="minorHAnsi"/>
          <w:szCs w:val="26"/>
        </w:rPr>
        <w:t xml:space="preserve">Although the informal conference may not have been recorded, </w:t>
      </w:r>
      <w:r w:rsidR="00D611CB" w:rsidRPr="00631676">
        <w:rPr>
          <w:rFonts w:cstheme="minorHAnsi"/>
          <w:szCs w:val="26"/>
        </w:rPr>
        <w:t xml:space="preserve">defense counsel </w:t>
      </w:r>
      <w:r w:rsidR="006B7C9D" w:rsidRPr="00631676">
        <w:rPr>
          <w:rFonts w:cstheme="minorHAnsi"/>
          <w:szCs w:val="26"/>
        </w:rPr>
        <w:t>conceded on the record that Sheehan was not an accomplice and was therefore not an appropriate person to include among those listed in CALJIC No.</w:t>
      </w:r>
      <w:r w:rsidR="003D165C" w:rsidRPr="00631676">
        <w:rPr>
          <w:rFonts w:cstheme="minorHAnsi"/>
          <w:szCs w:val="26"/>
        </w:rPr>
        <w:t> </w:t>
      </w:r>
      <w:r w:rsidR="006B7C9D" w:rsidRPr="00631676">
        <w:rPr>
          <w:rFonts w:cstheme="minorHAnsi"/>
          <w:szCs w:val="26"/>
        </w:rPr>
        <w:t xml:space="preserve">3.16.  </w:t>
      </w:r>
      <w:r w:rsidR="00361511" w:rsidRPr="00631676">
        <w:rPr>
          <w:rFonts w:cstheme="minorHAnsi"/>
          <w:szCs w:val="26"/>
        </w:rPr>
        <w:t xml:space="preserve">And </w:t>
      </w:r>
      <w:r w:rsidR="00CA71E1" w:rsidRPr="00631676">
        <w:rPr>
          <w:rFonts w:cstheme="minorHAnsi"/>
          <w:szCs w:val="26"/>
        </w:rPr>
        <w:t>a</w:t>
      </w:r>
      <w:r w:rsidR="0076748F" w:rsidRPr="00631676">
        <w:rPr>
          <w:rFonts w:cstheme="minorHAnsi"/>
          <w:szCs w:val="26"/>
        </w:rPr>
        <w:t>lthough Skidmore and Hollywood “meet</w:t>
      </w:r>
      <w:r w:rsidR="009A10C1" w:rsidRPr="00631676">
        <w:rPr>
          <w:rFonts w:cstheme="minorHAnsi"/>
          <w:szCs w:val="26"/>
        </w:rPr>
        <w:t xml:space="preserve"> [Penal Code]</w:t>
      </w:r>
      <w:r w:rsidR="0076748F" w:rsidRPr="00631676">
        <w:rPr>
          <w:rFonts w:cstheme="minorHAnsi"/>
          <w:szCs w:val="26"/>
        </w:rPr>
        <w:t xml:space="preserve"> section 1111’s definition of an accomplice” in that “[e]ach was liable to prosecution </w:t>
      </w:r>
      <w:r w:rsidR="009E7B20" w:rsidRPr="00631676">
        <w:rPr>
          <w:rFonts w:cstheme="minorHAnsi"/>
          <w:szCs w:val="26"/>
        </w:rPr>
        <w:t>.</w:t>
      </w:r>
      <w:r w:rsidR="003D165C" w:rsidRPr="00631676">
        <w:rPr>
          <w:rFonts w:cstheme="minorHAnsi"/>
          <w:szCs w:val="26"/>
        </w:rPr>
        <w:t> </w:t>
      </w:r>
      <w:r w:rsidR="009E7B20" w:rsidRPr="00631676">
        <w:rPr>
          <w:rFonts w:cstheme="minorHAnsi"/>
          <w:szCs w:val="26"/>
        </w:rPr>
        <w:t>.</w:t>
      </w:r>
      <w:r w:rsidR="003D165C" w:rsidRPr="00631676">
        <w:rPr>
          <w:rFonts w:cstheme="minorHAnsi"/>
          <w:szCs w:val="26"/>
        </w:rPr>
        <w:t> </w:t>
      </w:r>
      <w:r w:rsidR="009E7B20" w:rsidRPr="00631676">
        <w:rPr>
          <w:rFonts w:cstheme="minorHAnsi"/>
          <w:szCs w:val="26"/>
        </w:rPr>
        <w:t xml:space="preserve">. </w:t>
      </w:r>
      <w:r w:rsidR="0076748F" w:rsidRPr="00631676">
        <w:rPr>
          <w:rFonts w:cstheme="minorHAnsi"/>
          <w:szCs w:val="26"/>
        </w:rPr>
        <w:t xml:space="preserve">for the identical offenses charged against defendant” </w:t>
      </w:r>
      <w:r w:rsidR="00CA71E1" w:rsidRPr="00631676">
        <w:rPr>
          <w:rFonts w:cstheme="minorHAnsi"/>
          <w:szCs w:val="26"/>
        </w:rPr>
        <w:t>(</w:t>
      </w:r>
      <w:r w:rsidR="00CA71E1" w:rsidRPr="00631676">
        <w:rPr>
          <w:rFonts w:cstheme="minorHAnsi"/>
          <w:i/>
          <w:szCs w:val="26"/>
        </w:rPr>
        <w:t>People v. Williams</w:t>
      </w:r>
      <w:r w:rsidR="00CA71E1" w:rsidRPr="00631676">
        <w:rPr>
          <w:rFonts w:cstheme="minorHAnsi"/>
          <w:szCs w:val="26"/>
        </w:rPr>
        <w:t xml:space="preserve"> (1997) 16 Cal.4th 635, 682), neither Skidmore nor Hollywood provided statements requiring corroboration, which is the</w:t>
      </w:r>
      <w:r w:rsidR="00D611CB" w:rsidRPr="00631676">
        <w:rPr>
          <w:rFonts w:cstheme="minorHAnsi"/>
          <w:szCs w:val="26"/>
        </w:rPr>
        <w:t xml:space="preserve"> concern </w:t>
      </w:r>
      <w:r w:rsidR="00CA71E1" w:rsidRPr="00631676">
        <w:rPr>
          <w:rFonts w:cstheme="minorHAnsi"/>
          <w:szCs w:val="26"/>
        </w:rPr>
        <w:t>of CALJIC No.</w:t>
      </w:r>
      <w:r w:rsidR="00603144" w:rsidRPr="00631676">
        <w:rPr>
          <w:rFonts w:cstheme="minorHAnsi"/>
          <w:szCs w:val="26"/>
        </w:rPr>
        <w:t> </w:t>
      </w:r>
      <w:r w:rsidR="00CA71E1" w:rsidRPr="00631676">
        <w:rPr>
          <w:rFonts w:cstheme="minorHAnsi"/>
          <w:szCs w:val="26"/>
        </w:rPr>
        <w:t>3.16.</w:t>
      </w:r>
    </w:p>
    <w:p w14:paraId="326167EF" w14:textId="69838B03" w:rsidR="005767C2" w:rsidRPr="00631676" w:rsidRDefault="00D611CB" w:rsidP="00CA4449">
      <w:pPr>
        <w:rPr>
          <w:rFonts w:cstheme="minorHAnsi"/>
          <w:szCs w:val="26"/>
        </w:rPr>
      </w:pPr>
      <w:r w:rsidRPr="00631676">
        <w:rPr>
          <w:rFonts w:cstheme="minorHAnsi"/>
          <w:szCs w:val="26"/>
        </w:rPr>
        <w:tab/>
      </w:r>
      <w:r w:rsidR="00CA71E1" w:rsidRPr="00631676">
        <w:rPr>
          <w:rFonts w:cstheme="minorHAnsi"/>
          <w:szCs w:val="26"/>
        </w:rPr>
        <w:t>“</w:t>
      </w:r>
      <w:r w:rsidR="00011572" w:rsidRPr="00631676">
        <w:rPr>
          <w:rFonts w:cstheme="minorHAnsi"/>
          <w:szCs w:val="26"/>
        </w:rPr>
        <w:t xml:space="preserve">A court must instruct on the need for corroboration only for accomplice </w:t>
      </w:r>
      <w:r w:rsidR="00011572" w:rsidRPr="00631676">
        <w:rPr>
          <w:rFonts w:cstheme="minorHAnsi"/>
          <w:i/>
          <w:szCs w:val="26"/>
        </w:rPr>
        <w:t>testimony</w:t>
      </w:r>
      <w:r w:rsidR="00011572" w:rsidRPr="00631676">
        <w:rPr>
          <w:rFonts w:cstheme="minorHAnsi"/>
          <w:szCs w:val="26"/>
        </w:rPr>
        <w:t xml:space="preserve"> (</w:t>
      </w:r>
      <w:r w:rsidR="00EC17DD" w:rsidRPr="00631676">
        <w:rPr>
          <w:rFonts w:cstheme="minorHAnsi"/>
          <w:szCs w:val="26"/>
        </w:rPr>
        <w:t>[</w:t>
      </w:r>
      <w:r w:rsidR="009A10C1" w:rsidRPr="00631676">
        <w:rPr>
          <w:rFonts w:cstheme="minorHAnsi"/>
          <w:szCs w:val="26"/>
        </w:rPr>
        <w:t>Pen. Code,</w:t>
      </w:r>
      <w:r w:rsidR="00EC17DD" w:rsidRPr="00631676">
        <w:rPr>
          <w:rFonts w:cstheme="minorHAnsi"/>
          <w:szCs w:val="26"/>
        </w:rPr>
        <w:t>]</w:t>
      </w:r>
      <w:r w:rsidR="009A10C1" w:rsidRPr="00631676">
        <w:rPr>
          <w:rFonts w:cstheme="minorHAnsi"/>
          <w:szCs w:val="26"/>
        </w:rPr>
        <w:t xml:space="preserve"> </w:t>
      </w:r>
      <w:r w:rsidR="00011572" w:rsidRPr="00631676">
        <w:rPr>
          <w:rFonts w:cstheme="minorHAnsi"/>
          <w:szCs w:val="26"/>
        </w:rPr>
        <w:t>§</w:t>
      </w:r>
      <w:r w:rsidR="00603144" w:rsidRPr="00631676">
        <w:rPr>
          <w:rFonts w:cstheme="minorHAnsi"/>
          <w:szCs w:val="26"/>
        </w:rPr>
        <w:t> </w:t>
      </w:r>
      <w:r w:rsidR="00011572" w:rsidRPr="00631676">
        <w:rPr>
          <w:rFonts w:cstheme="minorHAnsi"/>
          <w:szCs w:val="26"/>
        </w:rPr>
        <w:t>1111); ‘</w:t>
      </w:r>
      <w:r w:rsidR="00603144" w:rsidRPr="00631676">
        <w:rPr>
          <w:rFonts w:cstheme="minorHAnsi"/>
          <w:szCs w:val="26"/>
        </w:rPr>
        <w:t> </w:t>
      </w:r>
      <w:r w:rsidR="00011572" w:rsidRPr="00631676">
        <w:rPr>
          <w:rFonts w:cstheme="minorHAnsi"/>
          <w:szCs w:val="26"/>
        </w:rPr>
        <w:t>“</w:t>
      </w:r>
      <w:r w:rsidR="00603144" w:rsidRPr="00631676">
        <w:rPr>
          <w:rFonts w:cstheme="minorHAnsi"/>
          <w:szCs w:val="26"/>
        </w:rPr>
        <w:t> </w:t>
      </w:r>
      <w:r w:rsidR="00011572" w:rsidRPr="00631676">
        <w:rPr>
          <w:rFonts w:cstheme="minorHAnsi"/>
          <w:szCs w:val="26"/>
        </w:rPr>
        <w:t>‘testimony’ within the meaning of .</w:t>
      </w:r>
      <w:r w:rsidR="00603144" w:rsidRPr="00631676">
        <w:rPr>
          <w:rFonts w:cstheme="minorHAnsi"/>
          <w:szCs w:val="26"/>
        </w:rPr>
        <w:t> </w:t>
      </w:r>
      <w:r w:rsidR="00011572" w:rsidRPr="00631676">
        <w:rPr>
          <w:rFonts w:cstheme="minorHAnsi"/>
          <w:szCs w:val="26"/>
        </w:rPr>
        <w:t>.</w:t>
      </w:r>
      <w:r w:rsidR="00603144" w:rsidRPr="00631676">
        <w:rPr>
          <w:rFonts w:cstheme="minorHAnsi"/>
          <w:szCs w:val="26"/>
        </w:rPr>
        <w:t> </w:t>
      </w:r>
      <w:r w:rsidR="00011572" w:rsidRPr="00631676">
        <w:rPr>
          <w:rFonts w:cstheme="minorHAnsi"/>
          <w:szCs w:val="26"/>
        </w:rPr>
        <w:t xml:space="preserve">. </w:t>
      </w:r>
      <w:r w:rsidR="009A10C1" w:rsidRPr="00631676">
        <w:rPr>
          <w:rFonts w:cstheme="minorHAnsi"/>
          <w:szCs w:val="26"/>
        </w:rPr>
        <w:t xml:space="preserve">[Penal Code] </w:t>
      </w:r>
      <w:r w:rsidR="00011572" w:rsidRPr="00631676">
        <w:rPr>
          <w:rFonts w:cstheme="minorHAnsi"/>
          <w:szCs w:val="26"/>
        </w:rPr>
        <w:t xml:space="preserve">section 1111 includes all oral statements made by an accomplice or coconspirator under oath in a court proceeding </w:t>
      </w:r>
      <w:r w:rsidR="00011572" w:rsidRPr="00631676">
        <w:rPr>
          <w:rFonts w:cstheme="minorHAnsi"/>
          <w:i/>
          <w:szCs w:val="26"/>
        </w:rPr>
        <w:t>and</w:t>
      </w:r>
      <w:r w:rsidR="00011572" w:rsidRPr="00631676">
        <w:rPr>
          <w:rFonts w:cstheme="minorHAnsi"/>
          <w:szCs w:val="26"/>
        </w:rPr>
        <w:t xml:space="preserve"> all out-of-court statements of accomplices and coconspirators used as substantive evidence of guilt which are made under suspect circumstances</w:t>
      </w:r>
      <w:r w:rsidR="00B62B59" w:rsidRPr="00631676">
        <w:rPr>
          <w:rFonts w:cstheme="minorHAnsi"/>
          <w:szCs w:val="26"/>
        </w:rPr>
        <w:t>.</w:t>
      </w:r>
      <w:r w:rsidR="00EC17DD" w:rsidRPr="00631676">
        <w:rPr>
          <w:rFonts w:cstheme="minorHAnsi"/>
          <w:szCs w:val="26"/>
        </w:rPr>
        <w:t>” ’ ”</w:t>
      </w:r>
      <w:r w:rsidR="00361511" w:rsidRPr="00631676">
        <w:rPr>
          <w:rFonts w:cstheme="minorHAnsi"/>
          <w:szCs w:val="26"/>
        </w:rPr>
        <w:t xml:space="preserve">  </w:t>
      </w:r>
      <w:r w:rsidR="00B62B59" w:rsidRPr="00631676">
        <w:rPr>
          <w:rFonts w:cstheme="minorHAnsi"/>
          <w:szCs w:val="26"/>
        </w:rPr>
        <w:t>(</w:t>
      </w:r>
      <w:r w:rsidR="00B62B59" w:rsidRPr="00631676">
        <w:rPr>
          <w:rFonts w:cstheme="minorHAnsi"/>
          <w:i/>
          <w:szCs w:val="26"/>
        </w:rPr>
        <w:t>People v. Williams</w:t>
      </w:r>
      <w:r w:rsidR="00B62B59" w:rsidRPr="00631676">
        <w:rPr>
          <w:rFonts w:cstheme="minorHAnsi"/>
          <w:szCs w:val="26"/>
        </w:rPr>
        <w:t xml:space="preserve">, </w:t>
      </w:r>
      <w:r w:rsidR="00B62B59" w:rsidRPr="00631676">
        <w:rPr>
          <w:rFonts w:cstheme="minorHAnsi"/>
          <w:i/>
          <w:szCs w:val="26"/>
        </w:rPr>
        <w:t>supra</w:t>
      </w:r>
      <w:r w:rsidR="00B62B59" w:rsidRPr="00631676">
        <w:rPr>
          <w:rFonts w:cstheme="minorHAnsi"/>
          <w:szCs w:val="26"/>
        </w:rPr>
        <w:t>, 16 Ca</w:t>
      </w:r>
      <w:r w:rsidR="00A15D0E" w:rsidRPr="00631676">
        <w:rPr>
          <w:rFonts w:cstheme="minorHAnsi"/>
          <w:szCs w:val="26"/>
        </w:rPr>
        <w:t>l</w:t>
      </w:r>
      <w:r w:rsidR="00B62B59" w:rsidRPr="00631676">
        <w:rPr>
          <w:rFonts w:cstheme="minorHAnsi"/>
          <w:szCs w:val="26"/>
        </w:rPr>
        <w:t>.4th</w:t>
      </w:r>
      <w:r w:rsidR="00A15D0E" w:rsidRPr="00631676">
        <w:rPr>
          <w:rFonts w:cstheme="minorHAnsi"/>
          <w:szCs w:val="26"/>
        </w:rPr>
        <w:t xml:space="preserve"> at p. </w:t>
      </w:r>
      <w:r w:rsidR="00B62B59" w:rsidRPr="00631676">
        <w:rPr>
          <w:rFonts w:cstheme="minorHAnsi"/>
          <w:szCs w:val="26"/>
        </w:rPr>
        <w:t xml:space="preserve">682.)  </w:t>
      </w:r>
      <w:r w:rsidR="00EC17DD" w:rsidRPr="00631676">
        <w:rPr>
          <w:rFonts w:cstheme="minorHAnsi"/>
          <w:szCs w:val="26"/>
        </w:rPr>
        <w:t>“ ‘</w:t>
      </w:r>
      <w:r w:rsidR="00361511" w:rsidRPr="00631676">
        <w:rPr>
          <w:rFonts w:cstheme="minorHAnsi"/>
          <w:szCs w:val="26"/>
        </w:rPr>
        <w:t>The most obvious suspect circumstances occur when the accomplice has been arrested or is questioned by the police.</w:t>
      </w:r>
      <w:r w:rsidR="00EC17DD" w:rsidRPr="00631676">
        <w:rPr>
          <w:rFonts w:cstheme="minorHAnsi"/>
          <w:szCs w:val="26"/>
        </w:rPr>
        <w:t>’</w:t>
      </w:r>
      <w:r w:rsidR="00603144" w:rsidRPr="00631676">
        <w:rPr>
          <w:rFonts w:cstheme="minorHAnsi"/>
          <w:szCs w:val="26"/>
        </w:rPr>
        <w:t xml:space="preserve"> </w:t>
      </w:r>
      <w:r w:rsidR="00011572" w:rsidRPr="00631676">
        <w:rPr>
          <w:rFonts w:cstheme="minorHAnsi"/>
          <w:szCs w:val="26"/>
        </w:rPr>
        <w:t xml:space="preserve"> </w:t>
      </w:r>
      <w:r w:rsidR="00361511" w:rsidRPr="00631676">
        <w:rPr>
          <w:rFonts w:cstheme="minorHAnsi"/>
          <w:szCs w:val="26"/>
        </w:rPr>
        <w:t xml:space="preserve">[Citation.]  ‘On the other hand, when the out-of-court statements are not given under suspect circumstances, those statements do not qualify as </w:t>
      </w:r>
      <w:r w:rsidR="00EC17DD" w:rsidRPr="00631676">
        <w:rPr>
          <w:rFonts w:cstheme="minorHAnsi"/>
          <w:szCs w:val="26"/>
        </w:rPr>
        <w:t>“</w:t>
      </w:r>
      <w:r w:rsidR="00361511" w:rsidRPr="00631676">
        <w:rPr>
          <w:rFonts w:cstheme="minorHAnsi"/>
          <w:szCs w:val="26"/>
        </w:rPr>
        <w:t>testimony</w:t>
      </w:r>
      <w:r w:rsidR="00EC17DD" w:rsidRPr="00631676">
        <w:rPr>
          <w:rFonts w:cstheme="minorHAnsi"/>
          <w:szCs w:val="26"/>
        </w:rPr>
        <w:t>”</w:t>
      </w:r>
      <w:r w:rsidR="00361511" w:rsidRPr="00631676">
        <w:rPr>
          <w:rFonts w:cstheme="minorHAnsi"/>
          <w:szCs w:val="26"/>
        </w:rPr>
        <w:t xml:space="preserve"> and hence need not be corroborated under .</w:t>
      </w:r>
      <w:r w:rsidR="00603144" w:rsidRPr="00631676">
        <w:rPr>
          <w:rFonts w:cstheme="minorHAnsi"/>
          <w:szCs w:val="26"/>
        </w:rPr>
        <w:t> </w:t>
      </w:r>
      <w:r w:rsidR="00361511" w:rsidRPr="00631676">
        <w:rPr>
          <w:rFonts w:cstheme="minorHAnsi"/>
          <w:szCs w:val="26"/>
        </w:rPr>
        <w:t>.</w:t>
      </w:r>
      <w:r w:rsidR="00603144" w:rsidRPr="00631676">
        <w:rPr>
          <w:rFonts w:cstheme="minorHAnsi"/>
          <w:szCs w:val="26"/>
        </w:rPr>
        <w:t> </w:t>
      </w:r>
      <w:r w:rsidR="00361511" w:rsidRPr="00631676">
        <w:rPr>
          <w:rFonts w:cstheme="minorHAnsi"/>
          <w:szCs w:val="26"/>
        </w:rPr>
        <w:t>. section 1111.</w:t>
      </w:r>
      <w:r w:rsidR="00011572" w:rsidRPr="00631676">
        <w:rPr>
          <w:rFonts w:cstheme="minorHAnsi"/>
          <w:szCs w:val="26"/>
        </w:rPr>
        <w:t>’</w:t>
      </w:r>
      <w:r w:rsidR="00915B10">
        <w:rPr>
          <w:rFonts w:cstheme="minorHAnsi"/>
          <w:szCs w:val="26"/>
        </w:rPr>
        <w:t> </w:t>
      </w:r>
      <w:r w:rsidR="00011572" w:rsidRPr="00631676">
        <w:rPr>
          <w:rFonts w:cstheme="minorHAnsi"/>
          <w:szCs w:val="26"/>
        </w:rPr>
        <w:t xml:space="preserve">”  </w:t>
      </w:r>
      <w:r w:rsidR="00631230" w:rsidRPr="00631676">
        <w:rPr>
          <w:rFonts w:cstheme="minorHAnsi"/>
          <w:szCs w:val="26"/>
        </w:rPr>
        <w:t>(</w:t>
      </w:r>
      <w:r w:rsidR="00631230" w:rsidRPr="00631676">
        <w:rPr>
          <w:rFonts w:cstheme="minorHAnsi"/>
          <w:i/>
          <w:szCs w:val="26"/>
        </w:rPr>
        <w:t>People v. Williams</w:t>
      </w:r>
      <w:r w:rsidR="00193D4F" w:rsidRPr="00631676">
        <w:rPr>
          <w:rFonts w:cstheme="minorHAnsi"/>
          <w:szCs w:val="26"/>
        </w:rPr>
        <w:t xml:space="preserve"> (1997)</w:t>
      </w:r>
      <w:r w:rsidR="00631230" w:rsidRPr="00631676">
        <w:rPr>
          <w:rFonts w:cstheme="minorHAnsi"/>
          <w:szCs w:val="26"/>
        </w:rPr>
        <w:t xml:space="preserve"> 16 Cal.4th </w:t>
      </w:r>
      <w:r w:rsidR="00193D4F" w:rsidRPr="00631676">
        <w:rPr>
          <w:rFonts w:cstheme="minorHAnsi"/>
          <w:szCs w:val="26"/>
        </w:rPr>
        <w:t>153, 245.</w:t>
      </w:r>
      <w:r w:rsidR="005767C2" w:rsidRPr="00631676">
        <w:rPr>
          <w:rFonts w:cstheme="minorHAnsi"/>
          <w:szCs w:val="26"/>
        </w:rPr>
        <w:t>)</w:t>
      </w:r>
    </w:p>
    <w:p w14:paraId="01679C8B" w14:textId="1A24DE28" w:rsidR="00894E99" w:rsidRPr="00631676" w:rsidRDefault="004038C1" w:rsidP="004038C1">
      <w:pPr>
        <w:rPr>
          <w:rFonts w:cstheme="minorHAnsi"/>
          <w:szCs w:val="26"/>
        </w:rPr>
      </w:pPr>
      <w:r>
        <w:rPr>
          <w:rFonts w:cstheme="minorHAnsi"/>
          <w:szCs w:val="26"/>
        </w:rPr>
        <w:lastRenderedPageBreak/>
        <w:tab/>
        <w:t>Here, neither Skidmore nor Hollywood testified at trial, but defendant identifies various out-of-court statements they made that were admitted through other witnesses.  For example, defendant himself testified Skidmore had told him “Ben’s brother had been killed” several days before Nick’s body was found.  Other witnesses testified to statements Hollywood made to his fellow codefendants and others about Nick’s kidnap.  And witnesses reported statements Hollywood made to his father and Hogg in which Hollywood described the crime without owning up to his role in it.  But none of these statements were made under “suspect circumstances” undermining their reliability.  (</w:t>
      </w:r>
      <w:r>
        <w:rPr>
          <w:rFonts w:cstheme="minorHAnsi"/>
          <w:i/>
          <w:szCs w:val="26"/>
        </w:rPr>
        <w:t>People v. Williams</w:t>
      </w:r>
      <w:r>
        <w:rPr>
          <w:rFonts w:cstheme="minorHAnsi"/>
          <w:szCs w:val="26"/>
        </w:rPr>
        <w:t xml:space="preserve">, </w:t>
      </w:r>
      <w:r>
        <w:rPr>
          <w:rFonts w:cstheme="minorHAnsi"/>
          <w:i/>
          <w:szCs w:val="26"/>
        </w:rPr>
        <w:t>supra</w:t>
      </w:r>
      <w:r>
        <w:rPr>
          <w:rFonts w:cstheme="minorHAnsi"/>
          <w:szCs w:val="26"/>
        </w:rPr>
        <w:t xml:space="preserve">, 16 Cal.4th at p. 682 [“[S]tatements made in the course of and in furtherance of the conspiracy were not made under suspect circumstances and therefore were sufficiently </w:t>
      </w:r>
      <w:proofErr w:type="gramStart"/>
      <w:r>
        <w:rPr>
          <w:rFonts w:cstheme="minorHAnsi"/>
          <w:szCs w:val="26"/>
        </w:rPr>
        <w:t>reliable</w:t>
      </w:r>
      <w:proofErr w:type="gramEnd"/>
      <w:r>
        <w:rPr>
          <w:rFonts w:cstheme="minorHAnsi"/>
          <w:szCs w:val="26"/>
        </w:rPr>
        <w:t xml:space="preserve"> to require no corroboration.”].)  Accordingly, we find no error in the trial court’s decision not to name Skidmore and Hollywood in the jury instruction concerning corroboration of accomplice testimony.</w:t>
      </w:r>
      <w:r w:rsidR="00590675" w:rsidRPr="00631676">
        <w:rPr>
          <w:rFonts w:cstheme="minorHAnsi"/>
          <w:szCs w:val="26"/>
        </w:rPr>
        <w:t xml:space="preserve"> </w:t>
      </w:r>
    </w:p>
    <w:p w14:paraId="7EED3205" w14:textId="77777777" w:rsidR="003C1597" w:rsidRPr="00631676" w:rsidRDefault="00F84449" w:rsidP="00915B10">
      <w:pPr>
        <w:ind w:left="1260"/>
        <w:rPr>
          <w:rFonts w:cstheme="minorHAnsi"/>
          <w:szCs w:val="26"/>
        </w:rPr>
      </w:pPr>
      <w:r w:rsidRPr="00631676">
        <w:rPr>
          <w:rFonts w:cstheme="minorHAnsi"/>
          <w:b/>
          <w:szCs w:val="26"/>
        </w:rPr>
        <w:tab/>
      </w:r>
      <w:r w:rsidRPr="00631676">
        <w:rPr>
          <w:rFonts w:cstheme="minorHAnsi"/>
          <w:b/>
          <w:szCs w:val="26"/>
        </w:rPr>
        <w:tab/>
      </w:r>
      <w:r w:rsidR="003B3670" w:rsidRPr="00631676">
        <w:rPr>
          <w:rFonts w:cstheme="minorHAnsi"/>
          <w:b/>
          <w:szCs w:val="26"/>
        </w:rPr>
        <w:tab/>
      </w:r>
      <w:r w:rsidRPr="00631676">
        <w:rPr>
          <w:rFonts w:cstheme="minorHAnsi"/>
          <w:i/>
          <w:szCs w:val="26"/>
        </w:rPr>
        <w:t>b.</w:t>
      </w:r>
      <w:r w:rsidRPr="00631676">
        <w:rPr>
          <w:rFonts w:cstheme="minorHAnsi"/>
          <w:szCs w:val="26"/>
        </w:rPr>
        <w:tab/>
      </w:r>
      <w:r w:rsidR="003C1597" w:rsidRPr="00631676">
        <w:rPr>
          <w:rFonts w:cstheme="minorHAnsi"/>
          <w:i/>
          <w:szCs w:val="26"/>
        </w:rPr>
        <w:t>CALJIC No.</w:t>
      </w:r>
      <w:r w:rsidR="00603144" w:rsidRPr="00631676">
        <w:rPr>
          <w:rFonts w:cstheme="minorHAnsi"/>
          <w:i/>
          <w:szCs w:val="26"/>
        </w:rPr>
        <w:t> </w:t>
      </w:r>
      <w:r w:rsidR="003C1597" w:rsidRPr="00631676">
        <w:rPr>
          <w:rFonts w:cstheme="minorHAnsi"/>
          <w:i/>
          <w:szCs w:val="26"/>
        </w:rPr>
        <w:t>3.19</w:t>
      </w:r>
    </w:p>
    <w:p w14:paraId="6CA4EC7D" w14:textId="664A2223" w:rsidR="00D87136" w:rsidRPr="00631676" w:rsidRDefault="00D87136" w:rsidP="00CA4449">
      <w:pPr>
        <w:rPr>
          <w:rFonts w:cstheme="minorHAnsi"/>
          <w:szCs w:val="26"/>
        </w:rPr>
      </w:pPr>
      <w:r w:rsidRPr="00631676">
        <w:rPr>
          <w:rFonts w:cstheme="minorHAnsi"/>
          <w:szCs w:val="26"/>
        </w:rPr>
        <w:tab/>
        <w:t>Defendant also requested that the jury be instructed with CALJIC No.</w:t>
      </w:r>
      <w:r w:rsidR="00603144" w:rsidRPr="00631676">
        <w:rPr>
          <w:rFonts w:cstheme="minorHAnsi"/>
          <w:szCs w:val="26"/>
        </w:rPr>
        <w:t> </w:t>
      </w:r>
      <w:r w:rsidRPr="00631676">
        <w:rPr>
          <w:rFonts w:cstheme="minorHAnsi"/>
          <w:szCs w:val="26"/>
        </w:rPr>
        <w:t xml:space="preserve">3.19, entitled “Burden to Prove Corroborating Witness Is an Accomplice.”  The instruction states:  “You must determine whether the witness [blank] was an accomplice as I have defined that term.  </w:t>
      </w:r>
      <w:r w:rsidR="00193D4F" w:rsidRPr="00631676">
        <w:rPr>
          <w:rFonts w:cstheme="minorHAnsi"/>
          <w:szCs w:val="26"/>
        </w:rPr>
        <w:t xml:space="preserve">[¶]  </w:t>
      </w:r>
      <w:r w:rsidRPr="00631676">
        <w:rPr>
          <w:rFonts w:cstheme="minorHAnsi"/>
          <w:szCs w:val="26"/>
        </w:rPr>
        <w:t>The defendant has the burden of proving by a preponderance of the evidence that [blank] was an accomplice in the crime[s] charged against the defendant.”  (CALJIC No.</w:t>
      </w:r>
      <w:r w:rsidR="00603144" w:rsidRPr="00631676">
        <w:rPr>
          <w:rFonts w:cstheme="minorHAnsi"/>
          <w:szCs w:val="26"/>
        </w:rPr>
        <w:t> </w:t>
      </w:r>
      <w:r w:rsidRPr="00631676">
        <w:rPr>
          <w:rFonts w:cstheme="minorHAnsi"/>
          <w:szCs w:val="26"/>
        </w:rPr>
        <w:t xml:space="preserve">3.19.)  Defendant </w:t>
      </w:r>
      <w:r w:rsidR="001C47BB" w:rsidRPr="00631676">
        <w:rPr>
          <w:rFonts w:cstheme="minorHAnsi"/>
          <w:szCs w:val="26"/>
        </w:rPr>
        <w:t>now says he</w:t>
      </w:r>
      <w:r w:rsidRPr="00631676">
        <w:rPr>
          <w:rFonts w:cstheme="minorHAnsi"/>
          <w:szCs w:val="26"/>
        </w:rPr>
        <w:t xml:space="preserve"> proposed filling the blank with witness Casey Sheehan</w:t>
      </w:r>
      <w:r w:rsidR="001C47BB" w:rsidRPr="00631676">
        <w:rPr>
          <w:rFonts w:cstheme="minorHAnsi"/>
          <w:szCs w:val="26"/>
        </w:rPr>
        <w:t xml:space="preserve"> and argues that </w:t>
      </w:r>
      <w:r w:rsidRPr="00631676">
        <w:rPr>
          <w:rFonts w:cstheme="minorHAnsi"/>
          <w:szCs w:val="26"/>
        </w:rPr>
        <w:t>whether Sheehan was an accomplice constituted a question of fact the jury should have been permitted to determine.</w:t>
      </w:r>
    </w:p>
    <w:p w14:paraId="0E117AC3" w14:textId="0A59DA57" w:rsidR="00876A37" w:rsidRPr="00631676" w:rsidRDefault="00D87136" w:rsidP="00CA4449">
      <w:pPr>
        <w:rPr>
          <w:rFonts w:cstheme="minorHAnsi"/>
          <w:szCs w:val="26"/>
        </w:rPr>
      </w:pPr>
      <w:r w:rsidRPr="00631676">
        <w:rPr>
          <w:rFonts w:cstheme="minorHAnsi"/>
          <w:szCs w:val="26"/>
        </w:rPr>
        <w:lastRenderedPageBreak/>
        <w:tab/>
      </w:r>
      <w:r w:rsidR="00E41E24" w:rsidRPr="00631676">
        <w:rPr>
          <w:rFonts w:cstheme="minorHAnsi"/>
          <w:szCs w:val="26"/>
        </w:rPr>
        <w:t>We</w:t>
      </w:r>
      <w:r w:rsidRPr="00631676">
        <w:rPr>
          <w:rFonts w:cstheme="minorHAnsi"/>
          <w:szCs w:val="26"/>
        </w:rPr>
        <w:t xml:space="preserve"> conclude the </w:t>
      </w:r>
      <w:r w:rsidR="009726E4" w:rsidRPr="00631676">
        <w:rPr>
          <w:rFonts w:cstheme="minorHAnsi"/>
          <w:szCs w:val="26"/>
        </w:rPr>
        <w:t xml:space="preserve">claim of error </w:t>
      </w:r>
      <w:r w:rsidRPr="00631676">
        <w:rPr>
          <w:rFonts w:cstheme="minorHAnsi"/>
          <w:szCs w:val="26"/>
        </w:rPr>
        <w:t xml:space="preserve">fails because, as noted above, </w:t>
      </w:r>
      <w:r w:rsidR="001C47BB" w:rsidRPr="00631676">
        <w:rPr>
          <w:rFonts w:cstheme="minorHAnsi"/>
          <w:szCs w:val="26"/>
        </w:rPr>
        <w:t xml:space="preserve">defense counsel </w:t>
      </w:r>
      <w:r w:rsidR="00694E75" w:rsidRPr="00631676">
        <w:rPr>
          <w:rFonts w:cstheme="minorHAnsi"/>
          <w:szCs w:val="26"/>
        </w:rPr>
        <w:t xml:space="preserve">agreed </w:t>
      </w:r>
      <w:r w:rsidRPr="00631676">
        <w:rPr>
          <w:rFonts w:cstheme="minorHAnsi"/>
          <w:szCs w:val="26"/>
        </w:rPr>
        <w:t>on the record that Sheehan</w:t>
      </w:r>
      <w:r w:rsidR="008F14F5" w:rsidRPr="00631676">
        <w:rPr>
          <w:rFonts w:cstheme="minorHAnsi"/>
          <w:szCs w:val="26"/>
        </w:rPr>
        <w:t>—who was not charged with any of the same offenses as defendant or his codefendants—</w:t>
      </w:r>
      <w:r w:rsidRPr="00631676">
        <w:rPr>
          <w:rFonts w:cstheme="minorHAnsi"/>
          <w:szCs w:val="26"/>
        </w:rPr>
        <w:t xml:space="preserve">was not an accomplice.  </w:t>
      </w:r>
      <w:r w:rsidR="00FA5D7A" w:rsidRPr="00631676">
        <w:rPr>
          <w:rFonts w:cstheme="minorHAnsi"/>
          <w:szCs w:val="26"/>
        </w:rPr>
        <w:t>I</w:t>
      </w:r>
      <w:r w:rsidR="00FF5CE0" w:rsidRPr="00631676">
        <w:rPr>
          <w:rFonts w:cstheme="minorHAnsi"/>
          <w:szCs w:val="26"/>
        </w:rPr>
        <w:t xml:space="preserve">n any event, </w:t>
      </w:r>
      <w:r w:rsidR="00346D27" w:rsidRPr="00631676">
        <w:rPr>
          <w:rFonts w:cstheme="minorHAnsi"/>
          <w:szCs w:val="26"/>
        </w:rPr>
        <w:t>any</w:t>
      </w:r>
      <w:r w:rsidR="00A1256F" w:rsidRPr="00631676">
        <w:rPr>
          <w:rFonts w:cstheme="minorHAnsi"/>
          <w:szCs w:val="26"/>
        </w:rPr>
        <w:t xml:space="preserve"> error</w:t>
      </w:r>
      <w:r w:rsidR="00346D27" w:rsidRPr="00631676">
        <w:rPr>
          <w:rFonts w:cstheme="minorHAnsi"/>
          <w:szCs w:val="26"/>
        </w:rPr>
        <w:t xml:space="preserve"> would have been</w:t>
      </w:r>
      <w:r w:rsidR="001D4C6B" w:rsidRPr="00631676">
        <w:rPr>
          <w:rFonts w:cstheme="minorHAnsi"/>
          <w:szCs w:val="26"/>
        </w:rPr>
        <w:t xml:space="preserve"> harmless because the jury was adequately instructed concerning the definition of accomplices</w:t>
      </w:r>
      <w:r w:rsidR="00A1256F" w:rsidRPr="00631676">
        <w:rPr>
          <w:rFonts w:cstheme="minorHAnsi"/>
          <w:szCs w:val="26"/>
        </w:rPr>
        <w:t xml:space="preserve"> pursuant to</w:t>
      </w:r>
      <w:r w:rsidR="003C1597" w:rsidRPr="00631676">
        <w:rPr>
          <w:rFonts w:cstheme="minorHAnsi"/>
          <w:szCs w:val="26"/>
        </w:rPr>
        <w:t xml:space="preserve"> CALJIC No.</w:t>
      </w:r>
      <w:r w:rsidR="00603144" w:rsidRPr="00631676">
        <w:rPr>
          <w:rFonts w:cstheme="minorHAnsi"/>
          <w:szCs w:val="26"/>
        </w:rPr>
        <w:t> </w:t>
      </w:r>
      <w:r w:rsidR="003C1597" w:rsidRPr="00631676">
        <w:rPr>
          <w:rFonts w:cstheme="minorHAnsi"/>
          <w:szCs w:val="26"/>
        </w:rPr>
        <w:t xml:space="preserve">3.10, which states that </w:t>
      </w:r>
      <w:r w:rsidR="001D4C6B" w:rsidRPr="00631676">
        <w:rPr>
          <w:rFonts w:cstheme="minorHAnsi"/>
          <w:szCs w:val="26"/>
        </w:rPr>
        <w:t>“[a]n accomplice is a person who [is] .</w:t>
      </w:r>
      <w:r w:rsidR="00603144" w:rsidRPr="00631676">
        <w:rPr>
          <w:rFonts w:cstheme="minorHAnsi"/>
          <w:szCs w:val="26"/>
        </w:rPr>
        <w:t> </w:t>
      </w:r>
      <w:r w:rsidR="001D4C6B" w:rsidRPr="00631676">
        <w:rPr>
          <w:rFonts w:cstheme="minorHAnsi"/>
          <w:szCs w:val="26"/>
        </w:rPr>
        <w:t>.</w:t>
      </w:r>
      <w:r w:rsidR="00603144" w:rsidRPr="00631676">
        <w:rPr>
          <w:rFonts w:cstheme="minorHAnsi"/>
          <w:szCs w:val="26"/>
        </w:rPr>
        <w:t> </w:t>
      </w:r>
      <w:r w:rsidR="001D4C6B" w:rsidRPr="00631676">
        <w:rPr>
          <w:rFonts w:cstheme="minorHAnsi"/>
          <w:szCs w:val="26"/>
        </w:rPr>
        <w:t xml:space="preserve">. subject to prosecution for the identical offense charged </w:t>
      </w:r>
      <w:r w:rsidR="00C61969" w:rsidRPr="00631676">
        <w:rPr>
          <w:rFonts w:cstheme="minorHAnsi"/>
          <w:szCs w:val="26"/>
        </w:rPr>
        <w:t xml:space="preserve">. . . </w:t>
      </w:r>
      <w:r w:rsidR="001D4C6B" w:rsidRPr="00631676">
        <w:rPr>
          <w:rFonts w:cstheme="minorHAnsi"/>
          <w:szCs w:val="26"/>
        </w:rPr>
        <w:t xml:space="preserve">against the defendant on trial by reason </w:t>
      </w:r>
      <w:r w:rsidR="00C61969" w:rsidRPr="00631676">
        <w:rPr>
          <w:rFonts w:cstheme="minorHAnsi"/>
          <w:szCs w:val="26"/>
        </w:rPr>
        <w:t>of . . . [</w:t>
      </w:r>
      <w:r w:rsidR="001D4C6B" w:rsidRPr="00631676">
        <w:rPr>
          <w:rFonts w:cstheme="minorHAnsi"/>
          <w:szCs w:val="26"/>
        </w:rPr>
        <w:t>being a member of a criminal conspiracy</w:t>
      </w:r>
      <w:r w:rsidR="00C61969" w:rsidRPr="00631676">
        <w:rPr>
          <w:rFonts w:cstheme="minorHAnsi"/>
          <w:szCs w:val="26"/>
        </w:rPr>
        <w:t>]</w:t>
      </w:r>
      <w:r w:rsidR="0059269F" w:rsidRPr="00631676">
        <w:rPr>
          <w:rFonts w:cstheme="minorHAnsi"/>
          <w:szCs w:val="26"/>
        </w:rPr>
        <w:t>,</w:t>
      </w:r>
      <w:r w:rsidR="001D4C6B" w:rsidRPr="00631676">
        <w:rPr>
          <w:rFonts w:cstheme="minorHAnsi"/>
          <w:szCs w:val="26"/>
        </w:rPr>
        <w:t xml:space="preserve">” </w:t>
      </w:r>
      <w:r w:rsidR="0059269F" w:rsidRPr="00631676">
        <w:rPr>
          <w:rFonts w:cstheme="minorHAnsi"/>
          <w:szCs w:val="26"/>
        </w:rPr>
        <w:t xml:space="preserve">and the need for corroboration </w:t>
      </w:r>
      <w:r w:rsidR="00623DD4" w:rsidRPr="00631676">
        <w:rPr>
          <w:rFonts w:cstheme="minorHAnsi"/>
          <w:szCs w:val="26"/>
        </w:rPr>
        <w:t xml:space="preserve">of </w:t>
      </w:r>
      <w:r w:rsidR="0059269F" w:rsidRPr="00631676">
        <w:rPr>
          <w:rFonts w:cstheme="minorHAnsi"/>
          <w:szCs w:val="26"/>
        </w:rPr>
        <w:t xml:space="preserve">accomplice testimony.  </w:t>
      </w:r>
      <w:r w:rsidR="00527450" w:rsidRPr="00631676">
        <w:rPr>
          <w:rFonts w:cstheme="minorHAnsi"/>
          <w:szCs w:val="26"/>
        </w:rPr>
        <w:t xml:space="preserve">It is not reasonably probable </w:t>
      </w:r>
      <w:r w:rsidR="000B025D" w:rsidRPr="00631676">
        <w:rPr>
          <w:rFonts w:cstheme="minorHAnsi"/>
          <w:szCs w:val="26"/>
        </w:rPr>
        <w:t xml:space="preserve">the jury would have returned </w:t>
      </w:r>
      <w:r w:rsidR="00623DD4" w:rsidRPr="00631676">
        <w:rPr>
          <w:rFonts w:cstheme="minorHAnsi"/>
          <w:szCs w:val="26"/>
        </w:rPr>
        <w:t xml:space="preserve">a </w:t>
      </w:r>
      <w:r w:rsidR="00A35C10" w:rsidRPr="00631676">
        <w:rPr>
          <w:rFonts w:cstheme="minorHAnsi"/>
          <w:szCs w:val="26"/>
        </w:rPr>
        <w:t xml:space="preserve">more favorable result </w:t>
      </w:r>
      <w:r w:rsidR="00527450" w:rsidRPr="00631676">
        <w:rPr>
          <w:rFonts w:cstheme="minorHAnsi"/>
          <w:szCs w:val="26"/>
        </w:rPr>
        <w:t xml:space="preserve">had </w:t>
      </w:r>
      <w:r w:rsidR="000B025D" w:rsidRPr="00631676">
        <w:rPr>
          <w:rFonts w:cstheme="minorHAnsi"/>
          <w:szCs w:val="26"/>
        </w:rPr>
        <w:t xml:space="preserve">it </w:t>
      </w:r>
      <w:r w:rsidR="00527450" w:rsidRPr="00631676">
        <w:rPr>
          <w:rFonts w:cstheme="minorHAnsi"/>
          <w:szCs w:val="26"/>
        </w:rPr>
        <w:t>also been instructed with CALJIC No.</w:t>
      </w:r>
      <w:r w:rsidR="00603144" w:rsidRPr="00631676">
        <w:rPr>
          <w:rFonts w:cstheme="minorHAnsi"/>
          <w:szCs w:val="26"/>
        </w:rPr>
        <w:t> </w:t>
      </w:r>
      <w:r w:rsidR="00527450" w:rsidRPr="00631676">
        <w:rPr>
          <w:rFonts w:cstheme="minorHAnsi"/>
          <w:szCs w:val="26"/>
        </w:rPr>
        <w:t>3.19</w:t>
      </w:r>
      <w:r w:rsidR="00A35C10" w:rsidRPr="00631676">
        <w:rPr>
          <w:rFonts w:cstheme="minorHAnsi"/>
          <w:szCs w:val="26"/>
        </w:rPr>
        <w:t>.  (</w:t>
      </w:r>
      <w:r w:rsidR="00A35C10" w:rsidRPr="00631676">
        <w:rPr>
          <w:rFonts w:cstheme="minorHAnsi"/>
          <w:i/>
          <w:szCs w:val="26"/>
        </w:rPr>
        <w:t>Watson</w:t>
      </w:r>
      <w:r w:rsidR="00EE7B6A" w:rsidRPr="00631676">
        <w:rPr>
          <w:rFonts w:cstheme="minorHAnsi"/>
          <w:szCs w:val="26"/>
        </w:rPr>
        <w:t xml:space="preserve">, </w:t>
      </w:r>
      <w:r w:rsidR="00EE7B6A" w:rsidRPr="00631676">
        <w:rPr>
          <w:rFonts w:cstheme="minorHAnsi"/>
          <w:i/>
          <w:szCs w:val="26"/>
        </w:rPr>
        <w:t>supra</w:t>
      </w:r>
      <w:r w:rsidR="00EE7B6A" w:rsidRPr="00631676">
        <w:rPr>
          <w:rFonts w:cstheme="minorHAnsi"/>
          <w:szCs w:val="26"/>
        </w:rPr>
        <w:t xml:space="preserve">, </w:t>
      </w:r>
      <w:r w:rsidR="00A35C10" w:rsidRPr="00631676">
        <w:rPr>
          <w:rFonts w:cstheme="minorHAnsi"/>
          <w:szCs w:val="26"/>
        </w:rPr>
        <w:t xml:space="preserve">46 Cal.2d </w:t>
      </w:r>
      <w:r w:rsidR="00EE7B6A" w:rsidRPr="00631676">
        <w:rPr>
          <w:rFonts w:cstheme="minorHAnsi"/>
          <w:szCs w:val="26"/>
        </w:rPr>
        <w:t>at p.</w:t>
      </w:r>
      <w:r w:rsidR="003A0D1B" w:rsidRPr="00631676">
        <w:rPr>
          <w:rFonts w:cstheme="minorHAnsi"/>
          <w:szCs w:val="26"/>
        </w:rPr>
        <w:t> </w:t>
      </w:r>
      <w:r w:rsidR="00A35C10" w:rsidRPr="00631676">
        <w:rPr>
          <w:rFonts w:cstheme="minorHAnsi"/>
          <w:szCs w:val="26"/>
        </w:rPr>
        <w:t>837</w:t>
      </w:r>
      <w:r w:rsidR="00EE29E1">
        <w:rPr>
          <w:rFonts w:cstheme="minorHAnsi"/>
          <w:szCs w:val="26"/>
        </w:rPr>
        <w:t xml:space="preserve"> [setting forth standard for evaluating harmlessness of state</w:t>
      </w:r>
      <w:r w:rsidR="00915B10">
        <w:rPr>
          <w:rFonts w:cstheme="minorHAnsi"/>
          <w:szCs w:val="26"/>
        </w:rPr>
        <w:t xml:space="preserve"> </w:t>
      </w:r>
      <w:r w:rsidR="00EE29E1">
        <w:rPr>
          <w:rFonts w:cstheme="minorHAnsi"/>
          <w:szCs w:val="26"/>
        </w:rPr>
        <w:t>law error]</w:t>
      </w:r>
      <w:r w:rsidR="004E0572" w:rsidRPr="00631676">
        <w:rPr>
          <w:rFonts w:cstheme="minorHAnsi"/>
          <w:szCs w:val="26"/>
        </w:rPr>
        <w:t xml:space="preserve">; </w:t>
      </w:r>
      <w:r w:rsidR="00A20085">
        <w:rPr>
          <w:rFonts w:cstheme="minorHAnsi"/>
          <w:szCs w:val="26"/>
        </w:rPr>
        <w:t xml:space="preserve">see </w:t>
      </w:r>
      <w:r w:rsidR="004E0572" w:rsidRPr="00631676">
        <w:rPr>
          <w:rFonts w:cstheme="minorHAnsi"/>
          <w:i/>
          <w:szCs w:val="26"/>
        </w:rPr>
        <w:t>People v.</w:t>
      </w:r>
      <w:r w:rsidR="009321CD" w:rsidRPr="00631676">
        <w:rPr>
          <w:rFonts w:cstheme="minorHAnsi"/>
          <w:i/>
          <w:szCs w:val="26"/>
        </w:rPr>
        <w:t> </w:t>
      </w:r>
      <w:r w:rsidR="004E0572" w:rsidRPr="00631676">
        <w:rPr>
          <w:rFonts w:cstheme="minorHAnsi"/>
          <w:i/>
          <w:szCs w:val="26"/>
        </w:rPr>
        <w:t>Carpenter</w:t>
      </w:r>
      <w:r w:rsidR="00BB4BDB" w:rsidRPr="00631676">
        <w:rPr>
          <w:rFonts w:cstheme="minorHAnsi"/>
          <w:szCs w:val="26"/>
        </w:rPr>
        <w:t xml:space="preserve"> (1997) 15 </w:t>
      </w:r>
      <w:r w:rsidR="004E0572" w:rsidRPr="00631676">
        <w:rPr>
          <w:rFonts w:cstheme="minorHAnsi"/>
          <w:szCs w:val="26"/>
        </w:rPr>
        <w:t xml:space="preserve">Cal.4th 312, 393 </w:t>
      </w:r>
      <w:r w:rsidR="00623DD4" w:rsidRPr="00631676">
        <w:rPr>
          <w:rFonts w:cstheme="minorHAnsi"/>
          <w:szCs w:val="26"/>
        </w:rPr>
        <w:t>[</w:t>
      </w:r>
      <w:r w:rsidR="004E0572" w:rsidRPr="00631676">
        <w:rPr>
          <w:rFonts w:cstheme="minorHAnsi"/>
          <w:szCs w:val="26"/>
        </w:rPr>
        <w:t>“Mere instructional error under state law regarding how the jury should consider evidence does not violate the United States Constitution”]</w:t>
      </w:r>
      <w:r w:rsidR="00A35C10" w:rsidRPr="00631676">
        <w:rPr>
          <w:rFonts w:cstheme="minorHAnsi"/>
          <w:szCs w:val="26"/>
        </w:rPr>
        <w:t xml:space="preserve">.)  </w:t>
      </w:r>
    </w:p>
    <w:p w14:paraId="4F9F4E5A" w14:textId="77777777" w:rsidR="00697353" w:rsidRPr="00631676" w:rsidRDefault="00F84449" w:rsidP="00915B10">
      <w:pPr>
        <w:ind w:left="1260"/>
        <w:rPr>
          <w:rFonts w:cstheme="minorHAnsi"/>
          <w:i/>
          <w:szCs w:val="26"/>
        </w:rPr>
      </w:pPr>
      <w:r w:rsidRPr="00631676">
        <w:rPr>
          <w:rFonts w:cstheme="minorHAnsi"/>
          <w:b/>
          <w:szCs w:val="26"/>
        </w:rPr>
        <w:tab/>
      </w:r>
      <w:r w:rsidRPr="00631676">
        <w:rPr>
          <w:rFonts w:cstheme="minorHAnsi"/>
          <w:b/>
          <w:szCs w:val="26"/>
        </w:rPr>
        <w:tab/>
      </w:r>
      <w:r w:rsidR="003B3670" w:rsidRPr="00631676">
        <w:rPr>
          <w:rFonts w:cstheme="minorHAnsi"/>
          <w:b/>
          <w:szCs w:val="26"/>
        </w:rPr>
        <w:tab/>
      </w:r>
      <w:r w:rsidRPr="00631676">
        <w:rPr>
          <w:rFonts w:cstheme="minorHAnsi"/>
          <w:szCs w:val="26"/>
        </w:rPr>
        <w:t>c.</w:t>
      </w:r>
      <w:r w:rsidRPr="00631676">
        <w:rPr>
          <w:rFonts w:cstheme="minorHAnsi"/>
          <w:szCs w:val="26"/>
        </w:rPr>
        <w:tab/>
      </w:r>
      <w:r w:rsidR="00263E10" w:rsidRPr="00631676">
        <w:rPr>
          <w:rFonts w:cstheme="minorHAnsi"/>
          <w:i/>
          <w:szCs w:val="26"/>
        </w:rPr>
        <w:t>CALJIC No.</w:t>
      </w:r>
      <w:r w:rsidR="00603144" w:rsidRPr="00631676">
        <w:rPr>
          <w:rFonts w:cstheme="minorHAnsi"/>
          <w:i/>
          <w:szCs w:val="26"/>
        </w:rPr>
        <w:t> </w:t>
      </w:r>
      <w:r w:rsidR="00263E10" w:rsidRPr="00631676">
        <w:rPr>
          <w:rFonts w:cstheme="minorHAnsi"/>
          <w:i/>
          <w:szCs w:val="26"/>
        </w:rPr>
        <w:t>2.20</w:t>
      </w:r>
    </w:p>
    <w:p w14:paraId="2D8D9F6C" w14:textId="680EB0D0" w:rsidR="007E0F4D" w:rsidRPr="00631676" w:rsidRDefault="00697353" w:rsidP="00CA4449">
      <w:pPr>
        <w:rPr>
          <w:rFonts w:cstheme="minorHAnsi"/>
          <w:szCs w:val="26"/>
        </w:rPr>
      </w:pPr>
      <w:r w:rsidRPr="00631676">
        <w:rPr>
          <w:rFonts w:cstheme="minorHAnsi"/>
          <w:b/>
          <w:szCs w:val="26"/>
        </w:rPr>
        <w:tab/>
      </w:r>
      <w:r w:rsidR="00880875" w:rsidRPr="00631676">
        <w:rPr>
          <w:rFonts w:cstheme="minorHAnsi"/>
          <w:szCs w:val="26"/>
        </w:rPr>
        <w:t>At trial, t</w:t>
      </w:r>
      <w:r w:rsidR="004E0572" w:rsidRPr="00631676">
        <w:rPr>
          <w:rFonts w:cstheme="minorHAnsi"/>
          <w:szCs w:val="26"/>
        </w:rPr>
        <w:t>he jury was instructed with CALJIC No.</w:t>
      </w:r>
      <w:r w:rsidR="00603144" w:rsidRPr="00631676">
        <w:rPr>
          <w:rFonts w:cstheme="minorHAnsi"/>
          <w:szCs w:val="26"/>
        </w:rPr>
        <w:t> </w:t>
      </w:r>
      <w:r w:rsidR="004E0572" w:rsidRPr="00631676">
        <w:rPr>
          <w:rFonts w:cstheme="minorHAnsi"/>
          <w:szCs w:val="26"/>
        </w:rPr>
        <w:t xml:space="preserve">2.20 concerning the “believability of </w:t>
      </w:r>
      <w:r w:rsidR="00915B10">
        <w:rPr>
          <w:rFonts w:cstheme="minorHAnsi"/>
          <w:szCs w:val="26"/>
        </w:rPr>
        <w:t xml:space="preserve">a </w:t>
      </w:r>
      <w:r w:rsidR="004E0572" w:rsidRPr="00631676">
        <w:rPr>
          <w:rFonts w:cstheme="minorHAnsi"/>
          <w:szCs w:val="26"/>
        </w:rPr>
        <w:t xml:space="preserve">witness.”  The instruction </w:t>
      </w:r>
      <w:r w:rsidR="00880875" w:rsidRPr="00631676">
        <w:rPr>
          <w:rFonts w:cstheme="minorHAnsi"/>
          <w:szCs w:val="26"/>
        </w:rPr>
        <w:t xml:space="preserve">told </w:t>
      </w:r>
      <w:r w:rsidR="004E0572" w:rsidRPr="00631676">
        <w:rPr>
          <w:rFonts w:cstheme="minorHAnsi"/>
          <w:szCs w:val="26"/>
        </w:rPr>
        <w:t xml:space="preserve">jurors to “consider anything that has a tendency </w:t>
      </w:r>
      <w:r w:rsidR="005B5FA0" w:rsidRPr="00631676">
        <w:rPr>
          <w:rFonts w:cstheme="minorHAnsi"/>
          <w:szCs w:val="26"/>
        </w:rPr>
        <w:t xml:space="preserve">reasonably </w:t>
      </w:r>
      <w:r w:rsidR="004E0572" w:rsidRPr="00631676">
        <w:rPr>
          <w:rFonts w:cstheme="minorHAnsi"/>
          <w:szCs w:val="26"/>
        </w:rPr>
        <w:t>to prove or disprove the truthfulness” of witness testimony and listed numerous factors</w:t>
      </w:r>
      <w:r w:rsidR="00623DD4" w:rsidRPr="00631676">
        <w:rPr>
          <w:rFonts w:cstheme="minorHAnsi"/>
          <w:szCs w:val="26"/>
        </w:rPr>
        <w:t>,</w:t>
      </w:r>
      <w:r w:rsidR="004E0572" w:rsidRPr="00631676">
        <w:rPr>
          <w:rFonts w:cstheme="minorHAnsi"/>
          <w:szCs w:val="26"/>
        </w:rPr>
        <w:t xml:space="preserve"> including “demeanor,” whether the witness had “bias, interest</w:t>
      </w:r>
      <w:r w:rsidR="00915B10">
        <w:rPr>
          <w:rFonts w:cstheme="minorHAnsi"/>
          <w:szCs w:val="26"/>
        </w:rPr>
        <w:t>,</w:t>
      </w:r>
      <w:r w:rsidR="004E0572" w:rsidRPr="00631676">
        <w:rPr>
          <w:rFonts w:cstheme="minorHAnsi"/>
          <w:szCs w:val="26"/>
        </w:rPr>
        <w:t xml:space="preserve"> or other motive” to testify, and “[w]hether the witness is testifying under a grant of immunity.”  Defendant argues </w:t>
      </w:r>
      <w:r w:rsidR="002E470A" w:rsidRPr="00631676">
        <w:rPr>
          <w:rFonts w:cstheme="minorHAnsi"/>
          <w:szCs w:val="26"/>
        </w:rPr>
        <w:t xml:space="preserve">that, unbeknownst to the jury, </w:t>
      </w:r>
      <w:r w:rsidR="004E0572" w:rsidRPr="00631676">
        <w:rPr>
          <w:rFonts w:cstheme="minorHAnsi"/>
          <w:szCs w:val="26"/>
        </w:rPr>
        <w:t xml:space="preserve">a number of witnesses </w:t>
      </w:r>
      <w:r w:rsidR="002E470A" w:rsidRPr="00631676">
        <w:rPr>
          <w:rFonts w:cstheme="minorHAnsi"/>
          <w:szCs w:val="26"/>
        </w:rPr>
        <w:t>in addition to Sheehan</w:t>
      </w:r>
      <w:r w:rsidR="002B3BB4">
        <w:rPr>
          <w:rFonts w:cstheme="minorHAnsi"/>
          <w:szCs w:val="26"/>
        </w:rPr>
        <w:t xml:space="preserve">—namely, </w:t>
      </w:r>
      <w:r w:rsidR="002B3BB4" w:rsidRPr="00631676">
        <w:rPr>
          <w:rFonts w:cstheme="minorHAnsi"/>
          <w:szCs w:val="26"/>
        </w:rPr>
        <w:t>Adams-Young, Affronti, Carpenter, Hogg, John Hollywood, and Lasher</w:t>
      </w:r>
      <w:r w:rsidR="002B3BB4">
        <w:rPr>
          <w:rFonts w:cstheme="minorHAnsi"/>
          <w:szCs w:val="26"/>
        </w:rPr>
        <w:t>—</w:t>
      </w:r>
      <w:r w:rsidR="004E0572" w:rsidRPr="00631676">
        <w:rPr>
          <w:rFonts w:cstheme="minorHAnsi"/>
          <w:szCs w:val="26"/>
        </w:rPr>
        <w:t>received immunity in exchange for their testimony.</w:t>
      </w:r>
      <w:r w:rsidR="004118F9" w:rsidRPr="00631676">
        <w:rPr>
          <w:rFonts w:cstheme="minorHAnsi"/>
          <w:szCs w:val="26"/>
        </w:rPr>
        <w:t xml:space="preserve">  He contends </w:t>
      </w:r>
      <w:r w:rsidR="004118F9" w:rsidRPr="00631676">
        <w:rPr>
          <w:rFonts w:cstheme="minorHAnsi"/>
          <w:szCs w:val="26"/>
        </w:rPr>
        <w:lastRenderedPageBreak/>
        <w:t xml:space="preserve">the court should have </w:t>
      </w:r>
      <w:r w:rsidR="00880875" w:rsidRPr="00631676">
        <w:rPr>
          <w:rFonts w:cstheme="minorHAnsi"/>
          <w:szCs w:val="26"/>
        </w:rPr>
        <w:t xml:space="preserve">modified CALJIC </w:t>
      </w:r>
      <w:r w:rsidR="00AE095D" w:rsidRPr="00631676">
        <w:rPr>
          <w:rFonts w:cstheme="minorHAnsi"/>
          <w:szCs w:val="26"/>
        </w:rPr>
        <w:t>No.</w:t>
      </w:r>
      <w:r w:rsidR="00603144" w:rsidRPr="00631676">
        <w:rPr>
          <w:rFonts w:cstheme="minorHAnsi"/>
          <w:szCs w:val="26"/>
        </w:rPr>
        <w:t> </w:t>
      </w:r>
      <w:r w:rsidR="00880875" w:rsidRPr="00631676">
        <w:rPr>
          <w:rFonts w:cstheme="minorHAnsi"/>
          <w:szCs w:val="26"/>
        </w:rPr>
        <w:t xml:space="preserve">2.20 to specifically identify all of the witnesses </w:t>
      </w:r>
      <w:r w:rsidR="00856055">
        <w:rPr>
          <w:rFonts w:cstheme="minorHAnsi"/>
          <w:szCs w:val="26"/>
        </w:rPr>
        <w:t xml:space="preserve">testifying under a grant of immunity </w:t>
      </w:r>
      <w:r w:rsidR="00880875" w:rsidRPr="00631676">
        <w:rPr>
          <w:rFonts w:cstheme="minorHAnsi"/>
          <w:szCs w:val="26"/>
        </w:rPr>
        <w:t xml:space="preserve">and to advise the jury to view </w:t>
      </w:r>
      <w:r w:rsidR="002B3BB4">
        <w:rPr>
          <w:rFonts w:cstheme="minorHAnsi"/>
          <w:szCs w:val="26"/>
        </w:rPr>
        <w:t xml:space="preserve">their </w:t>
      </w:r>
      <w:r w:rsidR="00880875" w:rsidRPr="00631676">
        <w:rPr>
          <w:rFonts w:cstheme="minorHAnsi"/>
          <w:szCs w:val="26"/>
        </w:rPr>
        <w:t>testimony with “</w:t>
      </w:r>
      <w:r w:rsidR="00C61969" w:rsidRPr="00631676">
        <w:rPr>
          <w:rFonts w:cstheme="minorHAnsi"/>
          <w:szCs w:val="26"/>
        </w:rPr>
        <w:t> ‘</w:t>
      </w:r>
      <w:r w:rsidR="00880875" w:rsidRPr="00631676">
        <w:rPr>
          <w:rFonts w:cstheme="minorHAnsi"/>
          <w:szCs w:val="26"/>
        </w:rPr>
        <w:t>care and caution.</w:t>
      </w:r>
      <w:r w:rsidR="00C61969" w:rsidRPr="00631676">
        <w:rPr>
          <w:rFonts w:cstheme="minorHAnsi"/>
          <w:szCs w:val="26"/>
        </w:rPr>
        <w:t>’ </w:t>
      </w:r>
      <w:r w:rsidR="00880875" w:rsidRPr="00631676">
        <w:rPr>
          <w:rFonts w:cstheme="minorHAnsi"/>
          <w:szCs w:val="26"/>
        </w:rPr>
        <w:t xml:space="preserve">”  </w:t>
      </w:r>
    </w:p>
    <w:p w14:paraId="46DAFBFF" w14:textId="3ABD99ED" w:rsidR="006049BD" w:rsidRPr="00631676" w:rsidRDefault="004118F9" w:rsidP="00CA4449">
      <w:pPr>
        <w:rPr>
          <w:rFonts w:cstheme="minorHAnsi"/>
          <w:szCs w:val="26"/>
        </w:rPr>
      </w:pPr>
      <w:r w:rsidRPr="00631676">
        <w:rPr>
          <w:rFonts w:cstheme="minorHAnsi"/>
          <w:szCs w:val="26"/>
        </w:rPr>
        <w:tab/>
      </w:r>
      <w:r w:rsidR="002B3BB4">
        <w:rPr>
          <w:rFonts w:cstheme="minorHAnsi"/>
          <w:szCs w:val="26"/>
        </w:rPr>
        <w:t>At trial, d</w:t>
      </w:r>
      <w:r w:rsidR="00E443BC" w:rsidRPr="00631676">
        <w:rPr>
          <w:rFonts w:cstheme="minorHAnsi"/>
          <w:szCs w:val="26"/>
        </w:rPr>
        <w:t xml:space="preserve">efendant made no request </w:t>
      </w:r>
      <w:r w:rsidR="00847483" w:rsidRPr="00631676">
        <w:rPr>
          <w:rFonts w:cstheme="minorHAnsi"/>
          <w:szCs w:val="26"/>
        </w:rPr>
        <w:t>to identify any declarant</w:t>
      </w:r>
      <w:r w:rsidR="00E443BC" w:rsidRPr="00631676">
        <w:rPr>
          <w:rFonts w:cstheme="minorHAnsi"/>
          <w:szCs w:val="26"/>
        </w:rPr>
        <w:t xml:space="preserve"> other than Sheehan who testified under a grant of immunity</w:t>
      </w:r>
      <w:r w:rsidR="002D66F2">
        <w:rPr>
          <w:rFonts w:cstheme="minorHAnsi"/>
          <w:szCs w:val="26"/>
        </w:rPr>
        <w:t xml:space="preserve"> and thus forfeited th</w:t>
      </w:r>
      <w:r w:rsidR="00843EAD">
        <w:rPr>
          <w:rFonts w:cstheme="minorHAnsi"/>
          <w:szCs w:val="26"/>
        </w:rPr>
        <w:t>at</w:t>
      </w:r>
      <w:r w:rsidR="002D66F2">
        <w:rPr>
          <w:rFonts w:cstheme="minorHAnsi"/>
          <w:szCs w:val="26"/>
        </w:rPr>
        <w:t xml:space="preserve"> claim</w:t>
      </w:r>
      <w:r w:rsidR="00E443BC" w:rsidRPr="00631676">
        <w:rPr>
          <w:rFonts w:cstheme="minorHAnsi"/>
          <w:szCs w:val="26"/>
        </w:rPr>
        <w:t>.</w:t>
      </w:r>
      <w:r w:rsidR="00847483" w:rsidRPr="00631676">
        <w:rPr>
          <w:rFonts w:cstheme="minorHAnsi"/>
          <w:szCs w:val="26"/>
        </w:rPr>
        <w:t xml:space="preserve">  </w:t>
      </w:r>
      <w:r w:rsidR="00203C20">
        <w:rPr>
          <w:rFonts w:cstheme="minorHAnsi"/>
          <w:szCs w:val="26"/>
        </w:rPr>
        <w:t>But the claim fails regardless</w:t>
      </w:r>
      <w:r w:rsidR="00843EAD">
        <w:rPr>
          <w:rFonts w:cstheme="minorHAnsi"/>
          <w:szCs w:val="26"/>
        </w:rPr>
        <w:t xml:space="preserve">.  </w:t>
      </w:r>
      <w:r w:rsidR="006049BD" w:rsidRPr="00631676">
        <w:rPr>
          <w:rFonts w:cstheme="minorHAnsi"/>
          <w:szCs w:val="26"/>
        </w:rPr>
        <w:t>T</w:t>
      </w:r>
      <w:r w:rsidR="006049BD" w:rsidRPr="00631676">
        <w:t>here is no duty to instruct a jury that the testimony of immunized witnesses must be viewed with care and caution.  (</w:t>
      </w:r>
      <w:r w:rsidR="00234216" w:rsidRPr="00631676">
        <w:rPr>
          <w:i/>
        </w:rPr>
        <w:t>People v.</w:t>
      </w:r>
      <w:r w:rsidR="007218A0" w:rsidRPr="00631676">
        <w:rPr>
          <w:i/>
        </w:rPr>
        <w:t> </w:t>
      </w:r>
      <w:r w:rsidR="00234216" w:rsidRPr="00631676">
        <w:rPr>
          <w:i/>
        </w:rPr>
        <w:t xml:space="preserve">Daniels </w:t>
      </w:r>
      <w:r w:rsidR="00234216" w:rsidRPr="00631676">
        <w:t>(1991) 52 Cal.3d 815, 867, fn. 20 [“Defendant points to</w:t>
      </w:r>
      <w:r w:rsidR="003D687E" w:rsidRPr="00631676">
        <w:t xml:space="preserve"> </w:t>
      </w:r>
      <w:r w:rsidR="00234216" w:rsidRPr="00631676">
        <w:t xml:space="preserve">no authority requiring the court to instruct the jury that immunized-witness testimony is to be viewed with distrust.  We have held that the court has no such duty to instruct sua sponte.”]; </w:t>
      </w:r>
      <w:r w:rsidR="00692FA0" w:rsidRPr="00631676">
        <w:t xml:space="preserve">see also </w:t>
      </w:r>
      <w:r w:rsidR="00830925" w:rsidRPr="00631676">
        <w:rPr>
          <w:i/>
        </w:rPr>
        <w:t>People v. Leach</w:t>
      </w:r>
      <w:r w:rsidR="00830925" w:rsidRPr="00631676">
        <w:t xml:space="preserve"> (1985) 41 Cal.3d 92, 106.)  </w:t>
      </w:r>
      <w:r w:rsidR="00097DC4">
        <w:t xml:space="preserve">It follows </w:t>
      </w:r>
      <w:r w:rsidR="00915B10">
        <w:t xml:space="preserve">that </w:t>
      </w:r>
      <w:r w:rsidR="00097DC4">
        <w:t>t</w:t>
      </w:r>
      <w:r w:rsidR="00830925" w:rsidRPr="00631676">
        <w:t>he trial court did not err by failing to convey to the jury, via modification of CALJIC No. 2.20, which witnesses were testifying under a grant of immunity.</w:t>
      </w:r>
    </w:p>
    <w:p w14:paraId="3786C693" w14:textId="03AA501E" w:rsidR="00617778" w:rsidRPr="00631676" w:rsidRDefault="00097DC4" w:rsidP="002E3FC3">
      <w:pPr>
        <w:ind w:firstLine="720"/>
        <w:rPr>
          <w:rFonts w:cstheme="minorHAnsi"/>
          <w:szCs w:val="26"/>
        </w:rPr>
      </w:pPr>
      <w:r>
        <w:rPr>
          <w:rFonts w:cstheme="minorHAnsi"/>
          <w:szCs w:val="26"/>
        </w:rPr>
        <w:t xml:space="preserve">Finally, and in any event, the trial court’s failure to modify CALJIC No. 2.20 could not have </w:t>
      </w:r>
      <w:r w:rsidR="00847483" w:rsidRPr="00631676">
        <w:rPr>
          <w:rFonts w:cstheme="minorHAnsi"/>
          <w:szCs w:val="26"/>
        </w:rPr>
        <w:t>prejudiced defendant.</w:t>
      </w:r>
      <w:r w:rsidR="00402A46">
        <w:rPr>
          <w:rFonts w:cstheme="minorHAnsi"/>
          <w:szCs w:val="26"/>
        </w:rPr>
        <w:t xml:space="preserve">  The </w:t>
      </w:r>
      <w:r w:rsidR="00830925" w:rsidRPr="00631676">
        <w:rPr>
          <w:rFonts w:cstheme="minorHAnsi"/>
          <w:szCs w:val="26"/>
        </w:rPr>
        <w:t xml:space="preserve">role these six witnesses played in the prosecution’s case was minimal when compared with the substantial evidence of guilt presented at trial unrelated to their testimony, including defendant’s </w:t>
      </w:r>
      <w:r w:rsidR="005D3B5C">
        <w:rPr>
          <w:rFonts w:cstheme="minorHAnsi"/>
          <w:szCs w:val="26"/>
        </w:rPr>
        <w:t xml:space="preserve">own </w:t>
      </w:r>
      <w:r w:rsidR="00830925" w:rsidRPr="00631676">
        <w:rPr>
          <w:rFonts w:cstheme="minorHAnsi"/>
          <w:szCs w:val="26"/>
        </w:rPr>
        <w:t xml:space="preserve">detailed confession and Sheehan’s testimony that defendant killed the victim.  </w:t>
      </w:r>
      <w:r w:rsidR="00693E48">
        <w:rPr>
          <w:rFonts w:cstheme="minorHAnsi"/>
          <w:szCs w:val="26"/>
        </w:rPr>
        <w:t xml:space="preserve">Moreover, the jury was instructed to consider the witnesses’ </w:t>
      </w:r>
      <w:r w:rsidR="00693E48" w:rsidRPr="00631676">
        <w:rPr>
          <w:rFonts w:cstheme="minorHAnsi"/>
          <w:szCs w:val="26"/>
        </w:rPr>
        <w:t>“bias, interest, or other motive” for testifying.  (CALJIC No. 2.20.)</w:t>
      </w:r>
      <w:r w:rsidR="00693E48">
        <w:rPr>
          <w:rFonts w:cstheme="minorHAnsi"/>
          <w:szCs w:val="26"/>
        </w:rPr>
        <w:t xml:space="preserve">  I</w:t>
      </w:r>
      <w:r w:rsidR="00684392" w:rsidRPr="00631676">
        <w:rPr>
          <w:rFonts w:cstheme="minorHAnsi"/>
          <w:szCs w:val="26"/>
        </w:rPr>
        <w:t xml:space="preserve">t is not reasonably probable defendant would </w:t>
      </w:r>
      <w:r w:rsidR="00361ADE" w:rsidRPr="00631676">
        <w:rPr>
          <w:rFonts w:cstheme="minorHAnsi"/>
          <w:szCs w:val="26"/>
        </w:rPr>
        <w:t xml:space="preserve">have </w:t>
      </w:r>
      <w:r w:rsidR="00684392" w:rsidRPr="00631676">
        <w:rPr>
          <w:rFonts w:cstheme="minorHAnsi"/>
          <w:szCs w:val="26"/>
        </w:rPr>
        <w:t>achieve</w:t>
      </w:r>
      <w:r w:rsidR="00361ADE" w:rsidRPr="00631676">
        <w:rPr>
          <w:rFonts w:cstheme="minorHAnsi"/>
          <w:szCs w:val="26"/>
        </w:rPr>
        <w:t>d</w:t>
      </w:r>
      <w:r w:rsidR="00684392" w:rsidRPr="00631676">
        <w:rPr>
          <w:rFonts w:cstheme="minorHAnsi"/>
          <w:szCs w:val="26"/>
        </w:rPr>
        <w:t xml:space="preserve"> a more favorable result if jurors viewed the testimony of these six</w:t>
      </w:r>
      <w:r w:rsidR="008E0D66">
        <w:rPr>
          <w:rFonts w:cstheme="minorHAnsi"/>
          <w:szCs w:val="26"/>
        </w:rPr>
        <w:t xml:space="preserve"> </w:t>
      </w:r>
      <w:r w:rsidR="00A73CCD">
        <w:rPr>
          <w:rFonts w:cstheme="minorHAnsi"/>
          <w:szCs w:val="26"/>
        </w:rPr>
        <w:t xml:space="preserve">peripheral </w:t>
      </w:r>
      <w:r w:rsidR="00684392" w:rsidRPr="00631676">
        <w:rPr>
          <w:rFonts w:cstheme="minorHAnsi"/>
          <w:szCs w:val="26"/>
        </w:rPr>
        <w:t xml:space="preserve">witnesses with </w:t>
      </w:r>
      <w:r w:rsidR="007159C2">
        <w:rPr>
          <w:rFonts w:cstheme="minorHAnsi"/>
          <w:szCs w:val="26"/>
        </w:rPr>
        <w:t xml:space="preserve">somewhat </w:t>
      </w:r>
      <w:r w:rsidR="00684392" w:rsidRPr="00631676">
        <w:rPr>
          <w:rFonts w:cstheme="minorHAnsi"/>
          <w:szCs w:val="26"/>
        </w:rPr>
        <w:t xml:space="preserve">greater </w:t>
      </w:r>
      <w:r w:rsidR="007159C2">
        <w:rPr>
          <w:rFonts w:cstheme="minorHAnsi"/>
          <w:szCs w:val="26"/>
        </w:rPr>
        <w:t>caution</w:t>
      </w:r>
      <w:r w:rsidR="00684392" w:rsidRPr="00631676">
        <w:rPr>
          <w:rFonts w:cstheme="minorHAnsi"/>
          <w:szCs w:val="26"/>
        </w:rPr>
        <w:t>.</w:t>
      </w:r>
      <w:r w:rsidR="00C20A42" w:rsidRPr="00631676">
        <w:rPr>
          <w:rFonts w:cstheme="minorHAnsi"/>
          <w:szCs w:val="26"/>
        </w:rPr>
        <w:t xml:space="preserve">  (</w:t>
      </w:r>
      <w:r w:rsidR="00684392" w:rsidRPr="00631676">
        <w:rPr>
          <w:rFonts w:cstheme="minorHAnsi"/>
          <w:szCs w:val="26"/>
        </w:rPr>
        <w:t>See</w:t>
      </w:r>
      <w:r w:rsidR="00684392" w:rsidRPr="00631676">
        <w:rPr>
          <w:rFonts w:cstheme="minorHAnsi"/>
          <w:i/>
          <w:szCs w:val="26"/>
        </w:rPr>
        <w:t xml:space="preserve"> People v.</w:t>
      </w:r>
      <w:r w:rsidR="00361ADE" w:rsidRPr="00631676">
        <w:rPr>
          <w:rFonts w:cstheme="minorHAnsi"/>
          <w:i/>
          <w:szCs w:val="26"/>
        </w:rPr>
        <w:t> </w:t>
      </w:r>
      <w:r w:rsidR="00684392" w:rsidRPr="00631676">
        <w:rPr>
          <w:rFonts w:cstheme="minorHAnsi"/>
          <w:i/>
          <w:szCs w:val="26"/>
        </w:rPr>
        <w:t>Lewis</w:t>
      </w:r>
      <w:r w:rsidR="00684392" w:rsidRPr="00631676">
        <w:rPr>
          <w:rFonts w:cstheme="minorHAnsi"/>
          <w:szCs w:val="26"/>
        </w:rPr>
        <w:t xml:space="preserve"> (2001) 26 Cal.4th 334, 371; </w:t>
      </w:r>
      <w:r w:rsidR="00684392" w:rsidRPr="00631676">
        <w:rPr>
          <w:rFonts w:cstheme="minorHAnsi"/>
          <w:i/>
          <w:szCs w:val="26"/>
        </w:rPr>
        <w:t>Watson</w:t>
      </w:r>
      <w:r w:rsidR="00684392" w:rsidRPr="00631676">
        <w:rPr>
          <w:rFonts w:cstheme="minorHAnsi"/>
          <w:szCs w:val="26"/>
        </w:rPr>
        <w:t>,</w:t>
      </w:r>
      <w:r w:rsidR="00C20A42" w:rsidRPr="00631676">
        <w:rPr>
          <w:rFonts w:cstheme="minorHAnsi"/>
          <w:i/>
          <w:szCs w:val="26"/>
        </w:rPr>
        <w:t xml:space="preserve"> supra</w:t>
      </w:r>
      <w:r w:rsidR="00C20A42" w:rsidRPr="00631676">
        <w:rPr>
          <w:rFonts w:cstheme="minorHAnsi"/>
          <w:szCs w:val="26"/>
        </w:rPr>
        <w:t>, 46 Cal.2d at p.</w:t>
      </w:r>
      <w:r w:rsidR="00603144" w:rsidRPr="00631676">
        <w:rPr>
          <w:rFonts w:cstheme="minorHAnsi"/>
          <w:szCs w:val="26"/>
        </w:rPr>
        <w:t> </w:t>
      </w:r>
      <w:r w:rsidR="00C20A42" w:rsidRPr="00631676">
        <w:rPr>
          <w:rFonts w:cstheme="minorHAnsi"/>
          <w:szCs w:val="26"/>
        </w:rPr>
        <w:t>836.)</w:t>
      </w:r>
      <w:r w:rsidR="005771E0" w:rsidRPr="00631676">
        <w:rPr>
          <w:rFonts w:cstheme="minorHAnsi"/>
          <w:szCs w:val="26"/>
        </w:rPr>
        <w:t xml:space="preserve">  </w:t>
      </w:r>
    </w:p>
    <w:p w14:paraId="487CCECB" w14:textId="5AC8933C" w:rsidR="00F92B9A" w:rsidRPr="002E3FC3" w:rsidRDefault="003B3670" w:rsidP="002E3FC3">
      <w:pPr>
        <w:pStyle w:val="Heading2"/>
        <w:rPr>
          <w:rFonts w:cstheme="minorHAnsi"/>
          <w:i/>
          <w:szCs w:val="26"/>
        </w:rPr>
      </w:pPr>
      <w:r w:rsidRPr="002E3FC3">
        <w:rPr>
          <w:rFonts w:cstheme="minorHAnsi"/>
          <w:szCs w:val="26"/>
        </w:rPr>
        <w:lastRenderedPageBreak/>
        <w:tab/>
      </w:r>
      <w:bookmarkStart w:id="35" w:name="_Toc12993772"/>
      <w:r w:rsidR="00F92B9A" w:rsidRPr="002E3FC3">
        <w:rPr>
          <w:rFonts w:cstheme="minorHAnsi"/>
          <w:szCs w:val="26"/>
        </w:rPr>
        <w:t>D.</w:t>
      </w:r>
      <w:r w:rsidR="00F92B9A" w:rsidRPr="002E3FC3">
        <w:rPr>
          <w:rFonts w:cstheme="minorHAnsi"/>
          <w:szCs w:val="26"/>
        </w:rPr>
        <w:tab/>
        <w:t xml:space="preserve">Special Circumstances Claim </w:t>
      </w:r>
      <w:bookmarkEnd w:id="35"/>
    </w:p>
    <w:p w14:paraId="66D5D6AB" w14:textId="78082165" w:rsidR="00C66494" w:rsidRPr="00631676" w:rsidRDefault="002F6FC9" w:rsidP="00180872">
      <w:pPr>
        <w:ind w:firstLine="720"/>
        <w:rPr>
          <w:szCs w:val="26"/>
        </w:rPr>
      </w:pPr>
      <w:r w:rsidRPr="00631676">
        <w:rPr>
          <w:rFonts w:cstheme="minorHAnsi"/>
        </w:rPr>
        <w:t xml:space="preserve">At one time, </w:t>
      </w:r>
      <w:r w:rsidR="002022C5" w:rsidRPr="00631676">
        <w:rPr>
          <w:rFonts w:cstheme="minorHAnsi"/>
        </w:rPr>
        <w:t xml:space="preserve">proof of the kidnap-murder special circumstance required that the prosecution show a defendant had an independent felonious purpose, “ ‘that is, the commission of the </w:t>
      </w:r>
      <w:r w:rsidR="00C27520">
        <w:rPr>
          <w:rFonts w:cstheme="minorHAnsi"/>
        </w:rPr>
        <w:t xml:space="preserve">[kidnapping] </w:t>
      </w:r>
      <w:r w:rsidR="002022C5" w:rsidRPr="00631676">
        <w:rPr>
          <w:rFonts w:cstheme="minorHAnsi"/>
        </w:rPr>
        <w:t>felony was not merely incidental to an intended murder.’ ”  (</w:t>
      </w:r>
      <w:r w:rsidR="002022C5" w:rsidRPr="00631676">
        <w:rPr>
          <w:rFonts w:cstheme="minorHAnsi"/>
          <w:i/>
        </w:rPr>
        <w:t>People v.</w:t>
      </w:r>
      <w:r w:rsidR="00367712" w:rsidRPr="00631676">
        <w:rPr>
          <w:rFonts w:cstheme="minorHAnsi"/>
          <w:i/>
        </w:rPr>
        <w:t> </w:t>
      </w:r>
      <w:r w:rsidR="002022C5" w:rsidRPr="00631676">
        <w:rPr>
          <w:rFonts w:cstheme="minorHAnsi"/>
          <w:i/>
        </w:rPr>
        <w:t>Brooks</w:t>
      </w:r>
      <w:r w:rsidR="002022C5" w:rsidRPr="00631676">
        <w:rPr>
          <w:rFonts w:cstheme="minorHAnsi"/>
        </w:rPr>
        <w:t xml:space="preserve"> (2017) 3 Cal.5th 1, 62–63</w:t>
      </w:r>
      <w:r w:rsidR="00581599" w:rsidRPr="00631676">
        <w:rPr>
          <w:rFonts w:cstheme="minorHAnsi"/>
        </w:rPr>
        <w:t xml:space="preserve">; </w:t>
      </w:r>
      <w:r w:rsidR="00581599" w:rsidRPr="00631676">
        <w:rPr>
          <w:rFonts w:cstheme="minorHAnsi"/>
          <w:i/>
        </w:rPr>
        <w:t>id.</w:t>
      </w:r>
      <w:r w:rsidR="00581599" w:rsidRPr="00631676">
        <w:rPr>
          <w:rFonts w:cstheme="minorHAnsi"/>
        </w:rPr>
        <w:t xml:space="preserve"> at p. 117</w:t>
      </w:r>
      <w:r w:rsidR="002022C5" w:rsidRPr="00631676">
        <w:rPr>
          <w:rFonts w:cstheme="minorHAnsi"/>
        </w:rPr>
        <w:t xml:space="preserve">; </w:t>
      </w:r>
      <w:r w:rsidR="00C61969" w:rsidRPr="00631676">
        <w:rPr>
          <w:rFonts w:cstheme="minorHAnsi"/>
        </w:rPr>
        <w:t xml:space="preserve">see </w:t>
      </w:r>
      <w:r w:rsidR="002022C5" w:rsidRPr="00631676">
        <w:rPr>
          <w:rFonts w:cstheme="minorHAnsi"/>
          <w:i/>
        </w:rPr>
        <w:t>People v. Brents</w:t>
      </w:r>
      <w:r w:rsidR="00F16AEB" w:rsidRPr="00631676">
        <w:rPr>
          <w:rFonts w:cstheme="minorHAnsi"/>
        </w:rPr>
        <w:t xml:space="preserve">, </w:t>
      </w:r>
      <w:r w:rsidR="00F16AEB" w:rsidRPr="00631676">
        <w:rPr>
          <w:rFonts w:cstheme="minorHAnsi"/>
          <w:i/>
        </w:rPr>
        <w:t>supra</w:t>
      </w:r>
      <w:r w:rsidR="00F16AEB" w:rsidRPr="00631676">
        <w:rPr>
          <w:rFonts w:cstheme="minorHAnsi"/>
        </w:rPr>
        <w:t>,</w:t>
      </w:r>
      <w:r w:rsidR="002022C5" w:rsidRPr="00631676">
        <w:rPr>
          <w:rFonts w:cstheme="minorHAnsi"/>
        </w:rPr>
        <w:t xml:space="preserve"> 53 Cal.4th </w:t>
      </w:r>
      <w:r w:rsidR="00F16AEB" w:rsidRPr="00631676">
        <w:rPr>
          <w:rFonts w:cstheme="minorHAnsi"/>
        </w:rPr>
        <w:t>at pp. </w:t>
      </w:r>
      <w:r w:rsidR="002022C5" w:rsidRPr="00631676">
        <w:rPr>
          <w:rFonts w:cstheme="minorHAnsi"/>
        </w:rPr>
        <w:t>608–609.)</w:t>
      </w:r>
      <w:r w:rsidR="00E4364C">
        <w:rPr>
          <w:rFonts w:cstheme="minorHAnsi"/>
        </w:rPr>
        <w:t xml:space="preserve">  </w:t>
      </w:r>
      <w:r w:rsidR="00E4364C" w:rsidRPr="00631676">
        <w:rPr>
          <w:rFonts w:cstheme="minorHAnsi"/>
        </w:rPr>
        <w:t>Th</w:t>
      </w:r>
      <w:r w:rsidR="00E4364C">
        <w:rPr>
          <w:rFonts w:cstheme="minorHAnsi"/>
        </w:rPr>
        <w:t xml:space="preserve">e statute was amended to eliminate this independent felonious purpose requirement in 1998, </w:t>
      </w:r>
      <w:r w:rsidR="00E4364C" w:rsidRPr="00631676">
        <w:rPr>
          <w:rFonts w:cstheme="minorHAnsi"/>
        </w:rPr>
        <w:t xml:space="preserve">five months before the crimes </w:t>
      </w:r>
      <w:r w:rsidR="00E4364C">
        <w:rPr>
          <w:rFonts w:cstheme="minorHAnsi"/>
        </w:rPr>
        <w:t xml:space="preserve">at issue </w:t>
      </w:r>
      <w:r w:rsidR="00E4364C" w:rsidRPr="00631676">
        <w:rPr>
          <w:rFonts w:cstheme="minorHAnsi"/>
        </w:rPr>
        <w:t xml:space="preserve">here.  (See Pen. Code, § 190.2, subd. (a)(17)(M), added by </w:t>
      </w:r>
      <w:r w:rsidR="00E4364C" w:rsidRPr="00631676">
        <w:rPr>
          <w:szCs w:val="26"/>
        </w:rPr>
        <w:t xml:space="preserve">Stats. 1998, ch. 629, § 2, p. 4165, and approved by </w:t>
      </w:r>
      <w:r w:rsidR="00211B85">
        <w:rPr>
          <w:szCs w:val="26"/>
        </w:rPr>
        <w:t>voters</w:t>
      </w:r>
      <w:r w:rsidR="00E4364C" w:rsidRPr="00631676">
        <w:rPr>
          <w:rFonts w:cstheme="minorHAnsi"/>
        </w:rPr>
        <w:t xml:space="preserve">, Primary Elec. (Mar. 7, 2000); </w:t>
      </w:r>
      <w:r w:rsidR="00E4364C" w:rsidRPr="00631676">
        <w:rPr>
          <w:rFonts w:cstheme="minorHAnsi"/>
          <w:i/>
        </w:rPr>
        <w:t>Brooks</w:t>
      </w:r>
      <w:r w:rsidR="00E4364C" w:rsidRPr="00631676">
        <w:rPr>
          <w:rFonts w:cstheme="minorHAnsi"/>
        </w:rPr>
        <w:t xml:space="preserve">, </w:t>
      </w:r>
      <w:r w:rsidR="00CE3EF3">
        <w:rPr>
          <w:rFonts w:cstheme="minorHAnsi"/>
        </w:rPr>
        <w:t xml:space="preserve">at </w:t>
      </w:r>
      <w:r w:rsidR="00E538AD">
        <w:rPr>
          <w:rFonts w:cstheme="minorHAnsi"/>
        </w:rPr>
        <w:t>p</w:t>
      </w:r>
      <w:r w:rsidR="00E4364C" w:rsidRPr="00631676">
        <w:rPr>
          <w:rFonts w:cstheme="minorHAnsi"/>
        </w:rPr>
        <w:t xml:space="preserve">. 63, fn. 8; </w:t>
      </w:r>
      <w:r w:rsidR="00E4364C" w:rsidRPr="00631676">
        <w:rPr>
          <w:rFonts w:cstheme="minorHAnsi"/>
          <w:i/>
        </w:rPr>
        <w:t>Brents</w:t>
      </w:r>
      <w:r w:rsidR="00E4364C" w:rsidRPr="00631676">
        <w:rPr>
          <w:rFonts w:cstheme="minorHAnsi"/>
        </w:rPr>
        <w:t>, at pp. 608–609, fn. 4.)</w:t>
      </w:r>
      <w:r w:rsidR="00E4364C" w:rsidRPr="00631676">
        <w:rPr>
          <w:rStyle w:val="FootnoteReference"/>
          <w:rFonts w:cstheme="minorHAnsi"/>
        </w:rPr>
        <w:footnoteReference w:id="12"/>
      </w:r>
      <w:r w:rsidR="00E4364C">
        <w:rPr>
          <w:rFonts w:cstheme="minorHAnsi"/>
        </w:rPr>
        <w:t xml:space="preserve">  Nonetheless, the jury in this case was instructed to find an independent felonious purpose</w:t>
      </w:r>
      <w:r w:rsidR="00617F62">
        <w:rPr>
          <w:rFonts w:cstheme="minorHAnsi"/>
        </w:rPr>
        <w:t xml:space="preserve"> to kidnap</w:t>
      </w:r>
      <w:r w:rsidR="00E4364C">
        <w:rPr>
          <w:rFonts w:cstheme="minorHAnsi"/>
        </w:rPr>
        <w:t xml:space="preserve">.  Defendant </w:t>
      </w:r>
      <w:r w:rsidR="00C065D3">
        <w:rPr>
          <w:rFonts w:cstheme="minorHAnsi"/>
        </w:rPr>
        <w:t xml:space="preserve">now argues </w:t>
      </w:r>
      <w:r w:rsidR="00E4364C">
        <w:rPr>
          <w:rFonts w:cstheme="minorHAnsi"/>
        </w:rPr>
        <w:t>the evidence was insufficient to support</w:t>
      </w:r>
      <w:r w:rsidR="00AD33BD">
        <w:rPr>
          <w:rFonts w:cstheme="minorHAnsi"/>
        </w:rPr>
        <w:t xml:space="preserve"> </w:t>
      </w:r>
      <w:r w:rsidR="00E82118">
        <w:rPr>
          <w:rFonts w:cstheme="minorHAnsi"/>
        </w:rPr>
        <w:t xml:space="preserve">the jury’s </w:t>
      </w:r>
      <w:r w:rsidR="00AD33BD">
        <w:rPr>
          <w:rFonts w:cstheme="minorHAnsi"/>
        </w:rPr>
        <w:t>finding</w:t>
      </w:r>
      <w:r w:rsidR="00E4364C">
        <w:rPr>
          <w:rFonts w:cstheme="minorHAnsi"/>
        </w:rPr>
        <w:t xml:space="preserve">.  And although he acknowledges that </w:t>
      </w:r>
      <w:r w:rsidR="00D33BF6">
        <w:rPr>
          <w:rFonts w:cstheme="minorHAnsi"/>
        </w:rPr>
        <w:t>the</w:t>
      </w:r>
      <w:r w:rsidR="00AD33BD">
        <w:rPr>
          <w:rFonts w:cstheme="minorHAnsi"/>
        </w:rPr>
        <w:t xml:space="preserve"> statute then in force did not</w:t>
      </w:r>
      <w:r w:rsidR="00C065D3">
        <w:rPr>
          <w:rFonts w:cstheme="minorHAnsi"/>
        </w:rPr>
        <w:t xml:space="preserve">, in fact, </w:t>
      </w:r>
      <w:r w:rsidR="00AD33BD">
        <w:rPr>
          <w:rFonts w:cstheme="minorHAnsi"/>
        </w:rPr>
        <w:t xml:space="preserve">require the jury to make such a finding, </w:t>
      </w:r>
      <w:r w:rsidR="00B47FB1">
        <w:rPr>
          <w:rFonts w:cstheme="minorHAnsi"/>
        </w:rPr>
        <w:t>defendant</w:t>
      </w:r>
      <w:r w:rsidR="00AD33BD">
        <w:rPr>
          <w:rFonts w:cstheme="minorHAnsi"/>
        </w:rPr>
        <w:t xml:space="preserve"> contends that without the independent felonious purpose requirement, the </w:t>
      </w:r>
      <w:r w:rsidR="00B707A0">
        <w:rPr>
          <w:rFonts w:cstheme="minorHAnsi"/>
        </w:rPr>
        <w:t xml:space="preserve">kidnap-murder special circumstance </w:t>
      </w:r>
      <w:r w:rsidR="00AD33BD">
        <w:rPr>
          <w:rFonts w:cstheme="minorHAnsi"/>
        </w:rPr>
        <w:t>is unconstitutional.</w:t>
      </w:r>
      <w:r w:rsidR="00953F7F">
        <w:rPr>
          <w:rFonts w:cstheme="minorHAnsi"/>
        </w:rPr>
        <w:t xml:space="preserve"> </w:t>
      </w:r>
      <w:r w:rsidR="002022C5" w:rsidRPr="00631676">
        <w:rPr>
          <w:rFonts w:cstheme="minorHAnsi"/>
        </w:rPr>
        <w:t xml:space="preserve"> </w:t>
      </w:r>
      <w:r w:rsidR="00B848C8">
        <w:rPr>
          <w:rFonts w:cstheme="minorHAnsi"/>
        </w:rPr>
        <w:t>We reject the first part of this argument, which makes it unnecessary to address the second</w:t>
      </w:r>
      <w:r w:rsidR="00FB2FAF">
        <w:rPr>
          <w:rFonts w:cstheme="minorHAnsi"/>
        </w:rPr>
        <w:t xml:space="preserve">:  </w:t>
      </w:r>
      <w:r w:rsidR="00B24C5D">
        <w:rPr>
          <w:rFonts w:cstheme="minorHAnsi"/>
        </w:rPr>
        <w:t xml:space="preserve">Because the jury was instructed on the independent felonious purpose requirement </w:t>
      </w:r>
      <w:r w:rsidR="00FB2FAF">
        <w:rPr>
          <w:rFonts w:cstheme="minorHAnsi"/>
        </w:rPr>
        <w:t xml:space="preserve">and because the evidence was sufficient to support the jury’s finding that the requirement was </w:t>
      </w:r>
      <w:r w:rsidR="00FB2FAF">
        <w:rPr>
          <w:rFonts w:cstheme="minorHAnsi"/>
        </w:rPr>
        <w:lastRenderedPageBreak/>
        <w:t xml:space="preserve">satisfied, </w:t>
      </w:r>
      <w:r w:rsidR="00D561B9">
        <w:rPr>
          <w:rFonts w:cstheme="minorHAnsi"/>
        </w:rPr>
        <w:t xml:space="preserve">we need not </w:t>
      </w:r>
      <w:r w:rsidR="00DF771F">
        <w:rPr>
          <w:rFonts w:cstheme="minorHAnsi"/>
        </w:rPr>
        <w:t xml:space="preserve">decide </w:t>
      </w:r>
      <w:r w:rsidR="00D561B9">
        <w:rPr>
          <w:rFonts w:cstheme="minorHAnsi"/>
        </w:rPr>
        <w:t xml:space="preserve">here </w:t>
      </w:r>
      <w:r w:rsidR="00DF771F">
        <w:rPr>
          <w:rFonts w:cstheme="minorHAnsi"/>
        </w:rPr>
        <w:t xml:space="preserve">whether the kidnap-murder special circumstance </w:t>
      </w:r>
      <w:r w:rsidR="00CB3A4E">
        <w:rPr>
          <w:rFonts w:cstheme="minorHAnsi"/>
        </w:rPr>
        <w:t xml:space="preserve">is </w:t>
      </w:r>
      <w:r w:rsidR="00DF771F">
        <w:rPr>
          <w:rFonts w:cstheme="minorHAnsi"/>
        </w:rPr>
        <w:t>constitutional in the absence of an independent felonious purpose requirement.</w:t>
      </w:r>
      <w:r w:rsidR="00655A1A">
        <w:rPr>
          <w:rFonts w:cstheme="minorHAnsi"/>
        </w:rPr>
        <w:t xml:space="preserve">  (</w:t>
      </w:r>
      <w:r w:rsidR="00C66494" w:rsidRPr="00631676">
        <w:rPr>
          <w:szCs w:val="26"/>
        </w:rPr>
        <w:t xml:space="preserve">See, e.g., </w:t>
      </w:r>
      <w:r w:rsidR="00C66494" w:rsidRPr="00631676">
        <w:rPr>
          <w:i/>
          <w:szCs w:val="26"/>
        </w:rPr>
        <w:t>Loeffler v. Target Corp.</w:t>
      </w:r>
      <w:r w:rsidR="00C66494" w:rsidRPr="00631676">
        <w:rPr>
          <w:szCs w:val="26"/>
        </w:rPr>
        <w:t xml:space="preserve"> (2014) 58 Cal.4th 1081, 1102</w:t>
      </w:r>
      <w:r w:rsidR="00D561B9">
        <w:t xml:space="preserve"> [</w:t>
      </w:r>
      <w:r w:rsidR="00B47FB1">
        <w:t>“Our jurisprudence directs that we avoid resolving constitutional questions if the issue may be resolved on narrower grounds.”</w:t>
      </w:r>
      <w:r w:rsidR="00D561B9">
        <w:t>]</w:t>
      </w:r>
      <w:r w:rsidR="00C27244">
        <w:rPr>
          <w:szCs w:val="26"/>
        </w:rPr>
        <w:t xml:space="preserve">; see </w:t>
      </w:r>
      <w:r w:rsidR="00C27244" w:rsidRPr="00EE7CD6">
        <w:rPr>
          <w:i/>
          <w:szCs w:val="26"/>
        </w:rPr>
        <w:t>id.</w:t>
      </w:r>
      <w:r w:rsidR="00C27244">
        <w:rPr>
          <w:szCs w:val="26"/>
        </w:rPr>
        <w:t xml:space="preserve"> at p. 1103</w:t>
      </w:r>
      <w:r w:rsidR="00C66494" w:rsidRPr="00631676">
        <w:rPr>
          <w:szCs w:val="26"/>
        </w:rPr>
        <w:t>.)</w:t>
      </w:r>
    </w:p>
    <w:p w14:paraId="5D67557D" w14:textId="7CB47AD2" w:rsidR="00993D21" w:rsidRPr="00631676" w:rsidRDefault="00C9440F" w:rsidP="00180872">
      <w:pPr>
        <w:rPr>
          <w:rFonts w:cstheme="minorHAnsi"/>
        </w:rPr>
      </w:pPr>
      <w:r w:rsidRPr="00631676">
        <w:rPr>
          <w:rFonts w:cstheme="minorHAnsi"/>
        </w:rPr>
        <w:tab/>
      </w:r>
      <w:r w:rsidR="00B47FB1">
        <w:rPr>
          <w:rFonts w:cstheme="minorHAnsi"/>
        </w:rPr>
        <w:t>T</w:t>
      </w:r>
      <w:r w:rsidR="00EA7CA4" w:rsidRPr="00631676">
        <w:rPr>
          <w:rFonts w:cstheme="minorHAnsi"/>
        </w:rPr>
        <w:t xml:space="preserve">he jury </w:t>
      </w:r>
      <w:r w:rsidR="00B47FB1">
        <w:rPr>
          <w:rFonts w:cstheme="minorHAnsi"/>
        </w:rPr>
        <w:t xml:space="preserve">here </w:t>
      </w:r>
      <w:r w:rsidR="00EA7CA4" w:rsidRPr="00631676">
        <w:rPr>
          <w:rFonts w:cstheme="minorHAnsi"/>
        </w:rPr>
        <w:t>was instructed that</w:t>
      </w:r>
      <w:r w:rsidR="00563C8D" w:rsidRPr="00631676">
        <w:rPr>
          <w:rFonts w:cstheme="minorHAnsi"/>
        </w:rPr>
        <w:t>,</w:t>
      </w:r>
      <w:r w:rsidR="00EA7CA4" w:rsidRPr="00631676">
        <w:rPr>
          <w:rFonts w:cstheme="minorHAnsi"/>
        </w:rPr>
        <w:t xml:space="preserve"> to find the special circumstance of kidnap felony</w:t>
      </w:r>
      <w:r w:rsidR="00211B85">
        <w:rPr>
          <w:rFonts w:cstheme="minorHAnsi"/>
        </w:rPr>
        <w:t xml:space="preserve"> </w:t>
      </w:r>
      <w:r w:rsidR="00EA7CA4" w:rsidRPr="00631676">
        <w:rPr>
          <w:rFonts w:cstheme="minorHAnsi"/>
        </w:rPr>
        <w:t xml:space="preserve">murder true, “it must be proved, one, the murder was committed while the Defendant was engaged in the commission of a kidnapping; or, two, the murder was committed in order to carry out or advance the commission of the crime of kidnap, or to facilitate the escape therefrom, or to avoid detection.  In other words, </w:t>
      </w:r>
      <w:r w:rsidR="00EA7CA4" w:rsidRPr="00B47FB1">
        <w:rPr>
          <w:rFonts w:cstheme="minorHAnsi"/>
        </w:rPr>
        <w:t>the special circumstance referred to in these instructions is not established if the kidnap was merely incidental to the commission of the murder</w:t>
      </w:r>
      <w:r w:rsidR="00EA7CA4" w:rsidRPr="00631676">
        <w:rPr>
          <w:rFonts w:cstheme="minorHAnsi"/>
        </w:rPr>
        <w:t>.”</w:t>
      </w:r>
      <w:r w:rsidR="00BB566B" w:rsidRPr="00631676">
        <w:rPr>
          <w:rStyle w:val="FootnoteReference"/>
          <w:rFonts w:cstheme="minorHAnsi"/>
        </w:rPr>
        <w:footnoteReference w:id="13"/>
      </w:r>
      <w:r w:rsidR="00B47FB1">
        <w:rPr>
          <w:rFonts w:cstheme="minorHAnsi"/>
        </w:rPr>
        <w:t xml:space="preserve">  </w:t>
      </w:r>
    </w:p>
    <w:p w14:paraId="349945F9" w14:textId="135FCDD0" w:rsidR="00DC5CDE" w:rsidRPr="00631676" w:rsidRDefault="00DC5CDE" w:rsidP="00180872">
      <w:pPr>
        <w:ind w:firstLine="720"/>
        <w:rPr>
          <w:rFonts w:cstheme="minorHAnsi"/>
        </w:rPr>
      </w:pPr>
      <w:r w:rsidRPr="00631676">
        <w:rPr>
          <w:rFonts w:cstheme="minorHAnsi"/>
        </w:rPr>
        <w:t>“</w:t>
      </w:r>
      <w:r w:rsidR="009D3686" w:rsidRPr="00631676">
        <w:rPr>
          <w:rFonts w:cstheme="minorHAnsi"/>
        </w:rPr>
        <w:t> </w:t>
      </w:r>
      <w:r w:rsidRPr="00631676">
        <w:rPr>
          <w:rFonts w:cstheme="minorHAnsi"/>
        </w:rPr>
        <w:t xml:space="preserve">‘In reviewing the sufficiency of the evidence, we must determine “whether, after viewing the evidence in the light most favorable to the prosecution, </w:t>
      </w:r>
      <w:r w:rsidRPr="00631676">
        <w:rPr>
          <w:rFonts w:cstheme="minorHAnsi"/>
          <w:i/>
        </w:rPr>
        <w:t>any</w:t>
      </w:r>
      <w:r w:rsidRPr="00631676">
        <w:rPr>
          <w:rFonts w:cstheme="minorHAnsi"/>
        </w:rPr>
        <w:t xml:space="preserve"> rational trier of fact could have found [this] element[] of the crime beyond a reasonable doubt.”</w:t>
      </w:r>
      <w:r w:rsidR="009D3686" w:rsidRPr="00631676">
        <w:rPr>
          <w:rFonts w:cstheme="minorHAnsi"/>
        </w:rPr>
        <w:t> </w:t>
      </w:r>
      <w:r w:rsidRPr="00631676">
        <w:rPr>
          <w:rFonts w:cstheme="minorHAnsi"/>
        </w:rPr>
        <w:t xml:space="preserve">’ </w:t>
      </w:r>
      <w:r w:rsidR="00F16AEB" w:rsidRPr="00631676">
        <w:rPr>
          <w:rFonts w:cstheme="minorHAnsi"/>
        </w:rPr>
        <w:t xml:space="preserve"> </w:t>
      </w:r>
      <w:r w:rsidRPr="00631676">
        <w:rPr>
          <w:rFonts w:cstheme="minorHAnsi"/>
        </w:rPr>
        <w:t>[Citation.]  ‘Substantial evidence’ is evidence which is ‘</w:t>
      </w:r>
      <w:r w:rsidR="009D3686" w:rsidRPr="00631676">
        <w:rPr>
          <w:rFonts w:cstheme="minorHAnsi"/>
        </w:rPr>
        <w:t> </w:t>
      </w:r>
      <w:r w:rsidRPr="00631676">
        <w:rPr>
          <w:rFonts w:cstheme="minorHAnsi"/>
        </w:rPr>
        <w:t>“reasonable in nature, credible, and of solid value.”</w:t>
      </w:r>
      <w:r w:rsidR="009D3686" w:rsidRPr="00631676">
        <w:rPr>
          <w:rFonts w:cstheme="minorHAnsi"/>
        </w:rPr>
        <w:t> </w:t>
      </w:r>
      <w:r w:rsidRPr="00631676">
        <w:rPr>
          <w:rFonts w:cstheme="minorHAnsi"/>
        </w:rPr>
        <w:t>’</w:t>
      </w:r>
      <w:r w:rsidR="009D3686" w:rsidRPr="00631676">
        <w:rPr>
          <w:rFonts w:cstheme="minorHAnsi"/>
        </w:rPr>
        <w:t> </w:t>
      </w:r>
      <w:r w:rsidRPr="00631676">
        <w:rPr>
          <w:rFonts w:cstheme="minorHAnsi"/>
        </w:rPr>
        <w:t>”  (</w:t>
      </w:r>
      <w:r w:rsidRPr="00631676">
        <w:rPr>
          <w:rFonts w:cstheme="minorHAnsi"/>
          <w:i/>
        </w:rPr>
        <w:t>People v. Morgan</w:t>
      </w:r>
      <w:r w:rsidRPr="00631676">
        <w:rPr>
          <w:rFonts w:cstheme="minorHAnsi"/>
        </w:rPr>
        <w:t xml:space="preserve"> (2007) 42 Cal.4th 593, 613–614.)</w:t>
      </w:r>
    </w:p>
    <w:p w14:paraId="771E31DA" w14:textId="742CE9C4" w:rsidR="00BE0248" w:rsidRPr="00631676" w:rsidRDefault="00EA7CA4" w:rsidP="00180872">
      <w:pPr>
        <w:ind w:firstLine="720"/>
        <w:rPr>
          <w:rFonts w:cstheme="minorHAnsi"/>
        </w:rPr>
      </w:pPr>
      <w:r w:rsidRPr="00631676">
        <w:rPr>
          <w:rFonts w:cstheme="minorHAnsi"/>
        </w:rPr>
        <w:t>Defendant</w:t>
      </w:r>
      <w:r w:rsidR="00D974FF">
        <w:rPr>
          <w:rFonts w:cstheme="minorHAnsi"/>
        </w:rPr>
        <w:t xml:space="preserve">’s sufficiency of the evidence argument depends on the premise that the evidence established two separate kidnappings, only the second of which involved defendant.  Defendant </w:t>
      </w:r>
      <w:r w:rsidRPr="00631676">
        <w:rPr>
          <w:rFonts w:cstheme="minorHAnsi"/>
        </w:rPr>
        <w:t>argues that “the jury may have applied an incorrect theory if it believed [defendant] committed the murder in order to assist Hollywood in avoiding detection for the August 6th completed kidnap.”</w:t>
      </w:r>
      <w:r w:rsidR="00563C8D" w:rsidRPr="00631676">
        <w:rPr>
          <w:rFonts w:cstheme="minorHAnsi"/>
        </w:rPr>
        <w:t xml:space="preserve">  </w:t>
      </w:r>
      <w:r w:rsidR="00D974FF">
        <w:rPr>
          <w:rFonts w:cstheme="minorHAnsi"/>
        </w:rPr>
        <w:t xml:space="preserve">And to the extent the jury instead focused on defendant’s </w:t>
      </w:r>
      <w:r w:rsidR="00340426">
        <w:rPr>
          <w:rFonts w:cstheme="minorHAnsi"/>
        </w:rPr>
        <w:t xml:space="preserve">later </w:t>
      </w:r>
      <w:r w:rsidR="00D53114">
        <w:rPr>
          <w:rFonts w:cstheme="minorHAnsi"/>
        </w:rPr>
        <w:t xml:space="preserve">act of moving Nick to the gravesite at Lizard’s Mouth, defendant argues there was insufficient evidence </w:t>
      </w:r>
      <w:r w:rsidR="00304797">
        <w:rPr>
          <w:rFonts w:cstheme="minorHAnsi"/>
        </w:rPr>
        <w:t xml:space="preserve">to support </w:t>
      </w:r>
      <w:r w:rsidR="00340426">
        <w:rPr>
          <w:rFonts w:cstheme="minorHAnsi"/>
        </w:rPr>
        <w:t xml:space="preserve">a finding that defendant had an independent purpose to kidnap Nick:  </w:t>
      </w:r>
      <w:r w:rsidR="00BE0248" w:rsidRPr="00631676">
        <w:rPr>
          <w:rFonts w:cstheme="minorHAnsi"/>
        </w:rPr>
        <w:t>“[</w:t>
      </w:r>
      <w:r w:rsidR="00340426">
        <w:rPr>
          <w:rFonts w:cstheme="minorHAnsi"/>
        </w:rPr>
        <w:t>N</w:t>
      </w:r>
      <w:r w:rsidR="00BE0248" w:rsidRPr="00631676">
        <w:rPr>
          <w:rFonts w:cstheme="minorHAnsi"/>
        </w:rPr>
        <w:t>]o properly</w:t>
      </w:r>
      <w:r w:rsidR="00101AF1" w:rsidRPr="00631676">
        <w:rPr>
          <w:rFonts w:cstheme="minorHAnsi"/>
        </w:rPr>
        <w:t>-</w:t>
      </w:r>
      <w:r w:rsidR="00BE0248" w:rsidRPr="00631676">
        <w:rPr>
          <w:rFonts w:cstheme="minorHAnsi"/>
        </w:rPr>
        <w:t xml:space="preserve">instructed rational trier of fact could have found </w:t>
      </w:r>
      <w:r w:rsidR="00101AF1" w:rsidRPr="00631676">
        <w:rPr>
          <w:rFonts w:cstheme="minorHAnsi"/>
        </w:rPr>
        <w:t xml:space="preserve">that </w:t>
      </w:r>
      <w:r w:rsidR="00BE0248" w:rsidRPr="00631676">
        <w:rPr>
          <w:rFonts w:cstheme="minorHAnsi"/>
        </w:rPr>
        <w:t xml:space="preserve">this ‘second kidnap’ (if it were a ‘kidnap’) was not merely incidental to the murder, with the murder being </w:t>
      </w:r>
      <w:r w:rsidR="00101AF1" w:rsidRPr="00631676">
        <w:rPr>
          <w:rFonts w:cstheme="minorHAnsi"/>
        </w:rPr>
        <w:t xml:space="preserve">the </w:t>
      </w:r>
      <w:r w:rsidR="00BE0248" w:rsidRPr="00631676">
        <w:rPr>
          <w:rFonts w:cstheme="minorHAnsi"/>
        </w:rPr>
        <w:t xml:space="preserve">defendant’s primary purpose.”  </w:t>
      </w:r>
    </w:p>
    <w:p w14:paraId="5C6B7493" w14:textId="6D6B4430" w:rsidR="008D7F4F" w:rsidRPr="00631676" w:rsidRDefault="00BE0248" w:rsidP="00180872">
      <w:pPr>
        <w:rPr>
          <w:rFonts w:cstheme="minorHAnsi"/>
        </w:rPr>
      </w:pPr>
      <w:r w:rsidRPr="00631676">
        <w:rPr>
          <w:rFonts w:cstheme="minorHAnsi"/>
        </w:rPr>
        <w:tab/>
        <w:t xml:space="preserve">Defendant’s argument suffers from an </w:t>
      </w:r>
      <w:r w:rsidR="00D974FF">
        <w:rPr>
          <w:rFonts w:cstheme="minorHAnsi"/>
        </w:rPr>
        <w:t>overly</w:t>
      </w:r>
      <w:r w:rsidR="00D974FF" w:rsidRPr="00631676">
        <w:rPr>
          <w:rFonts w:cstheme="minorHAnsi"/>
        </w:rPr>
        <w:t xml:space="preserve"> </w:t>
      </w:r>
      <w:r w:rsidRPr="00631676">
        <w:rPr>
          <w:rFonts w:cstheme="minorHAnsi"/>
        </w:rPr>
        <w:t>narrow view of the kidnap</w:t>
      </w:r>
      <w:r w:rsidR="00F16AEB" w:rsidRPr="00631676">
        <w:rPr>
          <w:rFonts w:cstheme="minorHAnsi"/>
        </w:rPr>
        <w:t>, one</w:t>
      </w:r>
      <w:r w:rsidR="00F513E2" w:rsidRPr="00631676">
        <w:rPr>
          <w:rFonts w:cstheme="minorHAnsi"/>
        </w:rPr>
        <w:t xml:space="preserve"> inconsistent with our duty to view the evidence in the light most favorable to the prosecution</w:t>
      </w:r>
      <w:r w:rsidR="00997413" w:rsidRPr="00631676">
        <w:rPr>
          <w:rFonts w:cstheme="minorHAnsi"/>
        </w:rPr>
        <w:t xml:space="preserve">.  </w:t>
      </w:r>
      <w:r w:rsidR="00900133">
        <w:rPr>
          <w:rFonts w:cstheme="minorHAnsi"/>
        </w:rPr>
        <w:t>As already noted, t</w:t>
      </w:r>
      <w:r w:rsidR="00997413" w:rsidRPr="00631676">
        <w:rPr>
          <w:rFonts w:cstheme="minorHAnsi"/>
        </w:rPr>
        <w:t xml:space="preserve">he indictment charged defendant and his codefendants with a continuing kidnapping offense that extended over the period of time </w:t>
      </w:r>
      <w:r w:rsidR="00F16AEB" w:rsidRPr="00631676">
        <w:rPr>
          <w:rFonts w:cstheme="minorHAnsi"/>
        </w:rPr>
        <w:t>from</w:t>
      </w:r>
      <w:r w:rsidR="00997413" w:rsidRPr="00631676">
        <w:rPr>
          <w:rFonts w:cstheme="minorHAnsi"/>
        </w:rPr>
        <w:t xml:space="preserve"> when the victim left his home and was taken to Santa Barbara, </w:t>
      </w:r>
      <w:r w:rsidR="0037150B" w:rsidRPr="00631676">
        <w:rPr>
          <w:rFonts w:cstheme="minorHAnsi"/>
        </w:rPr>
        <w:t xml:space="preserve">to </w:t>
      </w:r>
      <w:r w:rsidR="00997413" w:rsidRPr="00631676">
        <w:rPr>
          <w:rFonts w:cstheme="minorHAnsi"/>
        </w:rPr>
        <w:t>the time he spent in Santa Barbara, and the time he was taken from locations within Santa Barbara to the site of his murder.  A</w:t>
      </w:r>
      <w:r w:rsidR="00021FB1" w:rsidRPr="00631676">
        <w:rPr>
          <w:rFonts w:cstheme="minorHAnsi"/>
        </w:rPr>
        <w:t>s previously discussed, there w</w:t>
      </w:r>
      <w:r w:rsidR="00997413" w:rsidRPr="00631676">
        <w:rPr>
          <w:rFonts w:cstheme="minorHAnsi"/>
        </w:rPr>
        <w:t xml:space="preserve">as evidence from which a jury could conclude defendant </w:t>
      </w:r>
      <w:r w:rsidR="00F513E2" w:rsidRPr="00631676">
        <w:rPr>
          <w:rFonts w:cstheme="minorHAnsi"/>
        </w:rPr>
        <w:t xml:space="preserve">moved Nick against his will as part of that single, continuous kidnapping.  In addition, there was evidence from which the jury could conclude the murder was committed to “advance the commission of the crime of kidnap, or to facilitate the escape therefrom, or to avoid detection.”  The jury could conclude that Nick was murdered to silence him and eliminate the risk the kidnappers—including defendant, who belatedly </w:t>
      </w:r>
      <w:r w:rsidR="00F16AEB" w:rsidRPr="00631676">
        <w:rPr>
          <w:rFonts w:cstheme="minorHAnsi"/>
        </w:rPr>
        <w:t>joined in the kidnapping—would be caught</w:t>
      </w:r>
      <w:r w:rsidR="0037150B" w:rsidRPr="00631676">
        <w:rPr>
          <w:rFonts w:cstheme="minorHAnsi"/>
        </w:rPr>
        <w:t xml:space="preserve"> and that defendant shared that purpose</w:t>
      </w:r>
      <w:r w:rsidR="00F16AEB" w:rsidRPr="00631676">
        <w:rPr>
          <w:rFonts w:cstheme="minorHAnsi"/>
        </w:rPr>
        <w:t>.  In short, there was substantial evidence from which t</w:t>
      </w:r>
      <w:r w:rsidR="00026943" w:rsidRPr="00631676">
        <w:rPr>
          <w:rFonts w:cstheme="minorHAnsi"/>
        </w:rPr>
        <w:t xml:space="preserve">he jury </w:t>
      </w:r>
      <w:r w:rsidR="00F16AEB" w:rsidRPr="00631676">
        <w:rPr>
          <w:rFonts w:cstheme="minorHAnsi"/>
        </w:rPr>
        <w:t>could conclude</w:t>
      </w:r>
      <w:r w:rsidR="00026943" w:rsidRPr="00631676">
        <w:rPr>
          <w:rFonts w:cstheme="minorHAnsi"/>
        </w:rPr>
        <w:t xml:space="preserve"> the kidnap </w:t>
      </w:r>
      <w:r w:rsidR="00F16AEB" w:rsidRPr="00631676">
        <w:rPr>
          <w:rFonts w:cstheme="minorHAnsi"/>
        </w:rPr>
        <w:t>was</w:t>
      </w:r>
      <w:r w:rsidR="00026943" w:rsidRPr="00631676">
        <w:rPr>
          <w:rFonts w:cstheme="minorHAnsi"/>
        </w:rPr>
        <w:t xml:space="preserve"> more than incidental to the murder</w:t>
      </w:r>
      <w:r w:rsidR="00F16AEB" w:rsidRPr="00631676">
        <w:rPr>
          <w:rFonts w:cstheme="minorHAnsi"/>
        </w:rPr>
        <w:t>—indeed, that the kidnap was the reason for the murder and not the other way around.</w:t>
      </w:r>
      <w:r w:rsidR="00D93048" w:rsidRPr="00631676">
        <w:rPr>
          <w:rFonts w:cstheme="minorHAnsi"/>
        </w:rPr>
        <w:t xml:space="preserve">  </w:t>
      </w:r>
    </w:p>
    <w:p w14:paraId="182C4A8A" w14:textId="7E46DB88" w:rsidR="00617778" w:rsidRPr="00631676" w:rsidRDefault="003B3670" w:rsidP="00637839">
      <w:pPr>
        <w:pStyle w:val="Heading2"/>
      </w:pPr>
      <w:r w:rsidRPr="00180872">
        <w:rPr>
          <w:rFonts w:cstheme="minorHAnsi"/>
          <w:szCs w:val="26"/>
        </w:rPr>
        <w:tab/>
      </w:r>
      <w:bookmarkStart w:id="36" w:name="_Toc12993773"/>
      <w:r w:rsidR="00F92B9A" w:rsidRPr="00180872">
        <w:rPr>
          <w:rFonts w:cstheme="minorHAnsi"/>
          <w:szCs w:val="26"/>
        </w:rPr>
        <w:t>E.</w:t>
      </w:r>
      <w:r w:rsidR="00F92B9A" w:rsidRPr="00180872">
        <w:rPr>
          <w:rFonts w:cstheme="minorHAnsi"/>
          <w:szCs w:val="26"/>
        </w:rPr>
        <w:tab/>
      </w:r>
      <w:r w:rsidR="001475C3" w:rsidRPr="00083C74">
        <w:rPr>
          <w:rFonts w:cstheme="minorHAnsi"/>
          <w:szCs w:val="26"/>
        </w:rPr>
        <w:tab/>
      </w:r>
      <w:r w:rsidR="00F92B9A" w:rsidRPr="00180872">
        <w:rPr>
          <w:rFonts w:cstheme="minorHAnsi"/>
          <w:szCs w:val="26"/>
        </w:rPr>
        <w:t>Penalty Phase Claims</w:t>
      </w:r>
      <w:bookmarkEnd w:id="36"/>
    </w:p>
    <w:p w14:paraId="76344B40" w14:textId="3D400592" w:rsidR="00F92B9A" w:rsidRPr="00180872" w:rsidRDefault="001475C3" w:rsidP="00180872">
      <w:pPr>
        <w:pStyle w:val="Heading3"/>
        <w:rPr>
          <w:rFonts w:cstheme="minorHAnsi"/>
          <w:b/>
        </w:rPr>
      </w:pPr>
      <w:bookmarkStart w:id="37" w:name="_Toc12993774"/>
      <w:r>
        <w:rPr>
          <w:rFonts w:cstheme="minorHAnsi"/>
        </w:rPr>
        <w:tab/>
      </w:r>
      <w:r>
        <w:rPr>
          <w:rFonts w:cstheme="minorHAnsi"/>
        </w:rPr>
        <w:tab/>
      </w:r>
      <w:r w:rsidR="00F92B9A" w:rsidRPr="00180872">
        <w:rPr>
          <w:rFonts w:cstheme="minorHAnsi"/>
        </w:rPr>
        <w:t>1.</w:t>
      </w:r>
      <w:r w:rsidR="00F92B9A" w:rsidRPr="00180872">
        <w:rPr>
          <w:rFonts w:cstheme="minorHAnsi"/>
        </w:rPr>
        <w:tab/>
      </w:r>
      <w:r w:rsidR="0045340D" w:rsidRPr="00180872">
        <w:rPr>
          <w:rFonts w:cstheme="minorHAnsi"/>
        </w:rPr>
        <w:t xml:space="preserve">Prosecutorial Misconduct During the </w:t>
      </w:r>
      <w:r w:rsidR="005D23E0">
        <w:rPr>
          <w:rFonts w:cstheme="minorHAnsi"/>
        </w:rPr>
        <w:br/>
        <w:t xml:space="preserve">                 </w:t>
      </w:r>
      <w:r w:rsidR="00F92B9A" w:rsidRPr="00180872">
        <w:rPr>
          <w:rFonts w:cstheme="minorHAnsi"/>
        </w:rPr>
        <w:t>Penalty Phase Closing Argument</w:t>
      </w:r>
      <w:bookmarkEnd w:id="37"/>
    </w:p>
    <w:p w14:paraId="4F37BC27" w14:textId="39C68A43" w:rsidR="00406406" w:rsidRPr="00631676" w:rsidRDefault="00406406" w:rsidP="00180872">
      <w:pPr>
        <w:rPr>
          <w:rFonts w:cstheme="minorHAnsi"/>
        </w:rPr>
      </w:pPr>
      <w:r w:rsidRPr="00631676">
        <w:rPr>
          <w:rFonts w:cstheme="minorHAnsi"/>
        </w:rPr>
        <w:tab/>
        <w:t xml:space="preserve">Defendant </w:t>
      </w:r>
      <w:r w:rsidR="008F0411" w:rsidRPr="00631676">
        <w:rPr>
          <w:rFonts w:cstheme="minorHAnsi"/>
        </w:rPr>
        <w:t xml:space="preserve">argues his rights to due process, a fair trial, and a reliable penalty determination under the Fifth, Sixth, and Eighth Amendments to the United States Constitution were violated by the prosecutor’s prejudicial misconduct during penalty phase closing argument.  </w:t>
      </w:r>
      <w:r w:rsidR="00993D21" w:rsidRPr="00631676">
        <w:rPr>
          <w:rFonts w:cstheme="minorHAnsi"/>
        </w:rPr>
        <w:t>We hold d</w:t>
      </w:r>
      <w:r w:rsidR="008F0411" w:rsidRPr="00631676">
        <w:rPr>
          <w:rFonts w:cstheme="minorHAnsi"/>
        </w:rPr>
        <w:t xml:space="preserve">efendant’s </w:t>
      </w:r>
      <w:r w:rsidR="00F33E24" w:rsidRPr="00631676">
        <w:rPr>
          <w:rFonts w:cstheme="minorHAnsi"/>
        </w:rPr>
        <w:t xml:space="preserve">claims of prosecutorial misconduct </w:t>
      </w:r>
      <w:r w:rsidR="008F0411" w:rsidRPr="00631676">
        <w:rPr>
          <w:rFonts w:cstheme="minorHAnsi"/>
        </w:rPr>
        <w:t>are forfeited and lack merit in any event.</w:t>
      </w:r>
    </w:p>
    <w:p w14:paraId="2839FF35" w14:textId="77777777" w:rsidR="008F0411" w:rsidRPr="00631676" w:rsidRDefault="008F0411" w:rsidP="00A671A3">
      <w:pPr>
        <w:keepNext/>
        <w:ind w:left="1260"/>
        <w:rPr>
          <w:rFonts w:cstheme="minorHAnsi"/>
        </w:rPr>
      </w:pPr>
      <w:r w:rsidRPr="00631676">
        <w:rPr>
          <w:rFonts w:cstheme="minorHAnsi"/>
        </w:rPr>
        <w:tab/>
      </w:r>
      <w:r w:rsidRPr="00631676">
        <w:rPr>
          <w:rFonts w:cstheme="minorHAnsi"/>
        </w:rPr>
        <w:tab/>
      </w:r>
      <w:r w:rsidR="003B3670" w:rsidRPr="00631676">
        <w:rPr>
          <w:rFonts w:cstheme="minorHAnsi"/>
        </w:rPr>
        <w:tab/>
      </w:r>
      <w:r w:rsidRPr="00631676">
        <w:rPr>
          <w:rFonts w:cstheme="minorHAnsi"/>
          <w:i/>
        </w:rPr>
        <w:t>a.</w:t>
      </w:r>
      <w:r w:rsidRPr="00631676">
        <w:rPr>
          <w:rFonts w:cstheme="minorHAnsi"/>
        </w:rPr>
        <w:tab/>
      </w:r>
      <w:r w:rsidRPr="00631676">
        <w:rPr>
          <w:rFonts w:cstheme="minorHAnsi"/>
          <w:i/>
        </w:rPr>
        <w:t>Background</w:t>
      </w:r>
    </w:p>
    <w:p w14:paraId="54006254" w14:textId="3A40043B" w:rsidR="002B2916" w:rsidRPr="00631676" w:rsidRDefault="008F0411" w:rsidP="00180872">
      <w:pPr>
        <w:rPr>
          <w:rFonts w:cstheme="minorHAnsi"/>
        </w:rPr>
      </w:pPr>
      <w:r w:rsidRPr="00631676">
        <w:rPr>
          <w:rFonts w:cstheme="minorHAnsi"/>
        </w:rPr>
        <w:tab/>
        <w:t>During penalty phase closing argument, the prosecutor described the various factors in aggravation and mitigation</w:t>
      </w:r>
      <w:r w:rsidR="006D4051" w:rsidRPr="00631676">
        <w:rPr>
          <w:rFonts w:cstheme="minorHAnsi"/>
        </w:rPr>
        <w:t xml:space="preserve"> under</w:t>
      </w:r>
      <w:r w:rsidR="009A10C1" w:rsidRPr="00631676">
        <w:rPr>
          <w:rFonts w:cstheme="minorHAnsi"/>
        </w:rPr>
        <w:t xml:space="preserve"> Penal Code</w:t>
      </w:r>
      <w:r w:rsidR="006D4051" w:rsidRPr="00631676">
        <w:rPr>
          <w:rFonts w:cstheme="minorHAnsi"/>
        </w:rPr>
        <w:t xml:space="preserve"> section 190.3,</w:t>
      </w:r>
      <w:r w:rsidRPr="00631676">
        <w:rPr>
          <w:rFonts w:cstheme="minorHAnsi"/>
        </w:rPr>
        <w:t xml:space="preserve"> including factor (k).  Specifically, the prosecutor explained that factor (k) evidence includ</w:t>
      </w:r>
      <w:r w:rsidR="00B84622" w:rsidRPr="00631676">
        <w:rPr>
          <w:rFonts w:cstheme="minorHAnsi"/>
        </w:rPr>
        <w:t>ed</w:t>
      </w:r>
      <w:r w:rsidRPr="00631676">
        <w:rPr>
          <w:rFonts w:cstheme="minorHAnsi"/>
        </w:rPr>
        <w:t xml:space="preserve"> “</w:t>
      </w:r>
      <w:r w:rsidR="009D3686" w:rsidRPr="00631676">
        <w:rPr>
          <w:rFonts w:cstheme="minorHAnsi"/>
        </w:rPr>
        <w:t> </w:t>
      </w:r>
      <w:r w:rsidRPr="00631676">
        <w:rPr>
          <w:rFonts w:cstheme="minorHAnsi"/>
        </w:rPr>
        <w:t>‘[a]ny other circumstances which extenuate</w:t>
      </w:r>
      <w:r w:rsidR="00B84622" w:rsidRPr="00631676">
        <w:rPr>
          <w:rFonts w:cstheme="minorHAnsi"/>
        </w:rPr>
        <w:t>[]</w:t>
      </w:r>
      <w:r w:rsidRPr="00631676">
        <w:rPr>
          <w:rFonts w:cstheme="minorHAnsi"/>
        </w:rPr>
        <w:t xml:space="preserve"> the gravity of the crime.’</w:t>
      </w:r>
      <w:r w:rsidR="009D3686" w:rsidRPr="00631676">
        <w:rPr>
          <w:rFonts w:cstheme="minorHAnsi"/>
        </w:rPr>
        <w:t> </w:t>
      </w:r>
      <w:r w:rsidRPr="00631676">
        <w:rPr>
          <w:rFonts w:cstheme="minorHAnsi"/>
        </w:rPr>
        <w:t xml:space="preserve">”  </w:t>
      </w:r>
      <w:r w:rsidR="00B84622" w:rsidRPr="00631676">
        <w:rPr>
          <w:rFonts w:cstheme="minorHAnsi"/>
        </w:rPr>
        <w:t xml:space="preserve">The prosecutor continued, </w:t>
      </w:r>
      <w:r w:rsidRPr="00631676">
        <w:rPr>
          <w:rFonts w:cstheme="minorHAnsi"/>
        </w:rPr>
        <w:t xml:space="preserve">“This is the part where you can really consider just about anything you want, and this is the part where the defense will ask you to consider the fact that he had a childhood that was less than stellar, that that would be considered a matter in mitigation for your consideration.”  </w:t>
      </w:r>
      <w:r w:rsidR="00B84622" w:rsidRPr="00631676">
        <w:rPr>
          <w:rFonts w:cstheme="minorHAnsi"/>
        </w:rPr>
        <w:t xml:space="preserve">The prosecutor described </w:t>
      </w:r>
      <w:r w:rsidR="00F33E24" w:rsidRPr="00631676">
        <w:rPr>
          <w:rFonts w:cstheme="minorHAnsi"/>
        </w:rPr>
        <w:t xml:space="preserve">defendant’s “dysfunctional family,” including </w:t>
      </w:r>
      <w:r w:rsidR="00B84622" w:rsidRPr="00631676">
        <w:rPr>
          <w:rFonts w:cstheme="minorHAnsi"/>
        </w:rPr>
        <w:t>defendant’s sister, a 23- or 24-year-old “life-long heroin addict”</w:t>
      </w:r>
      <w:r w:rsidR="00F33E24" w:rsidRPr="00631676">
        <w:rPr>
          <w:rFonts w:cstheme="minorHAnsi"/>
        </w:rPr>
        <w:t>;</w:t>
      </w:r>
      <w:r w:rsidR="00B84622" w:rsidRPr="00631676">
        <w:rPr>
          <w:rFonts w:cstheme="minorHAnsi"/>
        </w:rPr>
        <w:t xml:space="preserve"> defendant, the second child, who “manages to commit a horrific murder before the age of 21”</w:t>
      </w:r>
      <w:r w:rsidR="00F33E24" w:rsidRPr="00631676">
        <w:rPr>
          <w:rFonts w:cstheme="minorHAnsi"/>
        </w:rPr>
        <w:t>;</w:t>
      </w:r>
      <w:r w:rsidR="00B84622" w:rsidRPr="00631676">
        <w:rPr>
          <w:rFonts w:cstheme="minorHAnsi"/>
        </w:rPr>
        <w:t xml:space="preserve"> and </w:t>
      </w:r>
      <w:r w:rsidR="00185839" w:rsidRPr="00631676">
        <w:rPr>
          <w:rFonts w:cstheme="minorHAnsi"/>
        </w:rPr>
        <w:t>defendant’s younger brother</w:t>
      </w:r>
      <w:r w:rsidR="00B84622" w:rsidRPr="00631676">
        <w:rPr>
          <w:rFonts w:cstheme="minorHAnsi"/>
        </w:rPr>
        <w:t xml:space="preserve"> who, at age 16 “commits a crime so scary and so horrible that he’s not only tried as an adult in this home invasion armed robbery at age 16, but he’s given a sentence of </w:t>
      </w:r>
      <w:r w:rsidR="00057557">
        <w:rPr>
          <w:rFonts w:cstheme="minorHAnsi"/>
        </w:rPr>
        <w:t>12</w:t>
      </w:r>
      <w:r w:rsidR="00B84622" w:rsidRPr="00631676">
        <w:rPr>
          <w:rFonts w:cstheme="minorHAnsi"/>
        </w:rPr>
        <w:t xml:space="preserve"> years in state prison.  I mean, that’s a remarkable sentence for a teenager to receive, that is to believe that there’s nothing redeemable about this person at all.”  </w:t>
      </w:r>
      <w:r w:rsidR="006F2AC5" w:rsidRPr="00631676">
        <w:rPr>
          <w:rFonts w:cstheme="minorHAnsi"/>
        </w:rPr>
        <w:t xml:space="preserve">The prosecutor </w:t>
      </w:r>
      <w:r w:rsidR="00F33E24" w:rsidRPr="00631676">
        <w:rPr>
          <w:rFonts w:cstheme="minorHAnsi"/>
        </w:rPr>
        <w:t xml:space="preserve">also </w:t>
      </w:r>
      <w:r w:rsidR="006F2AC5" w:rsidRPr="00631676">
        <w:rPr>
          <w:rFonts w:cstheme="minorHAnsi"/>
        </w:rPr>
        <w:t xml:space="preserve">described defendant’s home as “dysfunctional,” his mother as neurotic, his father as heavy-handed, and argued “they batted zero with the accomplishments of all three of the children in this family.”  </w:t>
      </w:r>
    </w:p>
    <w:p w14:paraId="2DC914B2" w14:textId="3256045E" w:rsidR="008F0411" w:rsidRPr="00631676" w:rsidRDefault="002B2916" w:rsidP="00180872">
      <w:pPr>
        <w:rPr>
          <w:rFonts w:cstheme="minorHAnsi"/>
        </w:rPr>
      </w:pPr>
      <w:r w:rsidRPr="00631676">
        <w:rPr>
          <w:rFonts w:cstheme="minorHAnsi"/>
        </w:rPr>
        <w:tab/>
        <w:t xml:space="preserve">The prosecutor </w:t>
      </w:r>
      <w:r w:rsidR="00BF21B7" w:rsidRPr="00631676">
        <w:rPr>
          <w:rFonts w:cstheme="minorHAnsi"/>
        </w:rPr>
        <w:t xml:space="preserve">suggested to the jury that the defense was “effectively saying,” with the </w:t>
      </w:r>
      <w:r w:rsidR="00211B85">
        <w:rPr>
          <w:rFonts w:cstheme="minorHAnsi"/>
        </w:rPr>
        <w:t xml:space="preserve">Penal Code section 190.3, </w:t>
      </w:r>
      <w:r w:rsidR="00BF21B7" w:rsidRPr="00631676">
        <w:rPr>
          <w:rFonts w:cstheme="minorHAnsi"/>
        </w:rPr>
        <w:t xml:space="preserve">factor (k) evidence, “that the consequence of this childhood has created somebody who really lacks any notion of empathy at all for other people.  And aren’t they really saying that that is in effect a violent person?”  The prosecution described defendant as “a person whose childhood was so completely lacking in morality that he’s missed that part of his education and his development,” which “speak[s] to his dangerousness.”  The prosecutor asked how that could be considered “a matter in mitigation as against any matter in aggravation,” leaving it for the jury to “consider during your deliberation.”  </w:t>
      </w:r>
      <w:r w:rsidR="006F2AC5" w:rsidRPr="00631676">
        <w:rPr>
          <w:rFonts w:cstheme="minorHAnsi"/>
        </w:rPr>
        <w:t xml:space="preserve">Defendant raised no objection to </w:t>
      </w:r>
      <w:r w:rsidR="004B0604" w:rsidRPr="00631676">
        <w:rPr>
          <w:rFonts w:cstheme="minorHAnsi"/>
        </w:rPr>
        <w:t xml:space="preserve">these </w:t>
      </w:r>
      <w:r w:rsidR="006F2AC5" w:rsidRPr="00631676">
        <w:rPr>
          <w:rFonts w:cstheme="minorHAnsi"/>
        </w:rPr>
        <w:t>characterization</w:t>
      </w:r>
      <w:r w:rsidR="004B0604" w:rsidRPr="00631676">
        <w:rPr>
          <w:rFonts w:cstheme="minorHAnsi"/>
        </w:rPr>
        <w:t>s</w:t>
      </w:r>
      <w:r w:rsidR="006F2AC5" w:rsidRPr="00631676">
        <w:rPr>
          <w:rFonts w:cstheme="minorHAnsi"/>
        </w:rPr>
        <w:t xml:space="preserve">.  </w:t>
      </w:r>
      <w:r w:rsidR="006D4051" w:rsidRPr="00631676">
        <w:rPr>
          <w:rFonts w:cstheme="minorHAnsi"/>
        </w:rPr>
        <w:t xml:space="preserve">The prosecutor also </w:t>
      </w:r>
      <w:r w:rsidR="00185839" w:rsidRPr="00631676">
        <w:rPr>
          <w:rFonts w:cstheme="minorHAnsi"/>
        </w:rPr>
        <w:t xml:space="preserve">addressed </w:t>
      </w:r>
      <w:r w:rsidR="009A10C1" w:rsidRPr="00631676">
        <w:rPr>
          <w:rFonts w:cstheme="minorHAnsi"/>
        </w:rPr>
        <w:t xml:space="preserve">Penal Code </w:t>
      </w:r>
      <w:r w:rsidR="006D4051" w:rsidRPr="00631676">
        <w:rPr>
          <w:rFonts w:cstheme="minorHAnsi"/>
        </w:rPr>
        <w:t>section 190.3, factor (i), “</w:t>
      </w:r>
      <w:r w:rsidR="00211B85">
        <w:rPr>
          <w:rFonts w:cstheme="minorHAnsi"/>
        </w:rPr>
        <w:t>[</w:t>
      </w:r>
      <w:r w:rsidR="006D4051" w:rsidRPr="00631676">
        <w:rPr>
          <w:rFonts w:cstheme="minorHAnsi"/>
        </w:rPr>
        <w:t>t</w:t>
      </w:r>
      <w:r w:rsidR="00211B85">
        <w:rPr>
          <w:rFonts w:cstheme="minorHAnsi"/>
        </w:rPr>
        <w:t>]</w:t>
      </w:r>
      <w:r w:rsidR="006D4051" w:rsidRPr="00631676">
        <w:rPr>
          <w:rFonts w:cstheme="minorHAnsi"/>
        </w:rPr>
        <w:t>he age of the defendant at the time of the crime,” explaining that if defendant had been 17 as had been “one of the co-defendants, Mr.</w:t>
      </w:r>
      <w:r w:rsidR="00907916">
        <w:rPr>
          <w:rFonts w:cstheme="minorHAnsi"/>
        </w:rPr>
        <w:t> </w:t>
      </w:r>
      <w:r w:rsidR="006D4051" w:rsidRPr="00631676">
        <w:rPr>
          <w:rFonts w:cstheme="minorHAnsi"/>
        </w:rPr>
        <w:t>Pressley, then maybe that would be a factor to give a lot of consideration</w:t>
      </w:r>
      <w:r w:rsidR="00012445" w:rsidRPr="00631676">
        <w:rPr>
          <w:rFonts w:cstheme="minorHAnsi"/>
        </w:rPr>
        <w:t xml:space="preserve"> to.”  </w:t>
      </w:r>
      <w:r w:rsidR="006D4051" w:rsidRPr="00631676">
        <w:rPr>
          <w:rFonts w:cstheme="minorHAnsi"/>
        </w:rPr>
        <w:t xml:space="preserve">Because defendant was </w:t>
      </w:r>
      <w:r w:rsidR="00185839" w:rsidRPr="00631676">
        <w:rPr>
          <w:rFonts w:cstheme="minorHAnsi"/>
        </w:rPr>
        <w:t xml:space="preserve">20 </w:t>
      </w:r>
      <w:r w:rsidR="006D4051" w:rsidRPr="00631676">
        <w:rPr>
          <w:rFonts w:cstheme="minorHAnsi"/>
        </w:rPr>
        <w:t xml:space="preserve">years old, </w:t>
      </w:r>
      <w:r w:rsidR="00185839" w:rsidRPr="00631676">
        <w:rPr>
          <w:rFonts w:cstheme="minorHAnsi"/>
        </w:rPr>
        <w:t>within days of turning 21</w:t>
      </w:r>
      <w:r w:rsidR="006D4051" w:rsidRPr="00631676">
        <w:rPr>
          <w:rFonts w:cstheme="minorHAnsi"/>
        </w:rPr>
        <w:t xml:space="preserve">, at the time he committed the offense, the prosecutor argued, the amount of consideration owed his age </w:t>
      </w:r>
      <w:r w:rsidR="00F00528" w:rsidRPr="00631676">
        <w:rPr>
          <w:rFonts w:cstheme="minorHAnsi"/>
        </w:rPr>
        <w:t xml:space="preserve">was </w:t>
      </w:r>
      <w:r w:rsidR="006D4051" w:rsidRPr="00631676">
        <w:rPr>
          <w:rFonts w:cstheme="minorHAnsi"/>
        </w:rPr>
        <w:t>“minimal.”</w:t>
      </w:r>
      <w:r w:rsidR="00FB3A0A" w:rsidRPr="00631676">
        <w:rPr>
          <w:rFonts w:cstheme="minorHAnsi"/>
        </w:rPr>
        <w:t xml:space="preserve">  </w:t>
      </w:r>
      <w:r w:rsidR="009359B9" w:rsidRPr="00631676">
        <w:rPr>
          <w:rFonts w:cstheme="minorHAnsi"/>
        </w:rPr>
        <w:t>The prosecutor noted that defendant’s age was the same as most college seniors and</w:t>
      </w:r>
      <w:r w:rsidR="00862CA9" w:rsidRPr="00631676">
        <w:rPr>
          <w:rFonts w:cstheme="minorHAnsi"/>
        </w:rPr>
        <w:t xml:space="preserve"> “among the older ones” of “our fighting force current</w:t>
      </w:r>
      <w:r w:rsidR="00F00528" w:rsidRPr="00631676">
        <w:rPr>
          <w:rFonts w:cstheme="minorHAnsi"/>
        </w:rPr>
        <w:t>ly</w:t>
      </w:r>
      <w:r w:rsidR="00862CA9" w:rsidRPr="00631676">
        <w:rPr>
          <w:rFonts w:cstheme="minorHAnsi"/>
        </w:rPr>
        <w:t xml:space="preserve"> in Afghanistan.”  Defendant raised no objection.  </w:t>
      </w:r>
    </w:p>
    <w:p w14:paraId="162BC4E3" w14:textId="28F2644A" w:rsidR="00FB3A0A" w:rsidRPr="00631676" w:rsidRDefault="00FB3A0A" w:rsidP="00180872">
      <w:pPr>
        <w:rPr>
          <w:rFonts w:cstheme="minorHAnsi"/>
        </w:rPr>
      </w:pPr>
      <w:r w:rsidRPr="00631676">
        <w:rPr>
          <w:rFonts w:cstheme="minorHAnsi"/>
        </w:rPr>
        <w:tab/>
      </w:r>
      <w:r w:rsidR="003D280C" w:rsidRPr="00631676">
        <w:rPr>
          <w:rFonts w:cstheme="minorHAnsi"/>
        </w:rPr>
        <w:t>Finally, the</w:t>
      </w:r>
      <w:r w:rsidRPr="00631676">
        <w:rPr>
          <w:rFonts w:cstheme="minorHAnsi"/>
        </w:rPr>
        <w:t xml:space="preserve"> prosecutor focused heavily on the alternative to a death sentence, urging the jury to conclude that “three meals every single day” was better than the life </w:t>
      </w:r>
      <w:r w:rsidR="00F00528" w:rsidRPr="00631676">
        <w:rPr>
          <w:rFonts w:cstheme="minorHAnsi"/>
        </w:rPr>
        <w:t>defendant</w:t>
      </w:r>
      <w:r w:rsidRPr="00631676">
        <w:rPr>
          <w:rFonts w:cstheme="minorHAnsi"/>
        </w:rPr>
        <w:t xml:space="preserve"> had prior to imprisonment, other than the “</w:t>
      </w:r>
      <w:r w:rsidR="00677B97" w:rsidRPr="00631676">
        <w:rPr>
          <w:rFonts w:cstheme="minorHAnsi"/>
        </w:rPr>
        <w:t>freedom of movement lik</w:t>
      </w:r>
      <w:r w:rsidRPr="00631676">
        <w:rPr>
          <w:rFonts w:cstheme="minorHAnsi"/>
        </w:rPr>
        <w:t xml:space="preserve">e he had before.”  If </w:t>
      </w:r>
      <w:r w:rsidR="00F00528" w:rsidRPr="00631676">
        <w:rPr>
          <w:rFonts w:cstheme="minorHAnsi"/>
        </w:rPr>
        <w:t>defendant</w:t>
      </w:r>
      <w:r w:rsidRPr="00631676">
        <w:rPr>
          <w:rFonts w:cstheme="minorHAnsi"/>
        </w:rPr>
        <w:t xml:space="preserve"> faced a life sentence</w:t>
      </w:r>
      <w:r w:rsidR="00211B85">
        <w:rPr>
          <w:rFonts w:cstheme="minorHAnsi"/>
        </w:rPr>
        <w:t>,</w:t>
      </w:r>
      <w:r w:rsidRPr="00631676">
        <w:rPr>
          <w:rFonts w:cstheme="minorHAnsi"/>
        </w:rPr>
        <w:t xml:space="preserve"> he would be given a warm bed, friends, possibly a girlfriend, hot meals every day, and the ability to play basketball, “to feel the rush of running to a basket and being able to score.”  The prosecutor urged the jury to conclude this was insuff</w:t>
      </w:r>
      <w:r w:rsidR="00E463B2" w:rsidRPr="00631676">
        <w:rPr>
          <w:rFonts w:cstheme="minorHAnsi"/>
        </w:rPr>
        <w:t>icient punishment for “the worst” type of crime, an</w:t>
      </w:r>
      <w:r w:rsidR="00DE6A00" w:rsidRPr="00631676">
        <w:rPr>
          <w:rFonts w:cstheme="minorHAnsi"/>
        </w:rPr>
        <w:t xml:space="preserve"> “</w:t>
      </w:r>
      <w:r w:rsidRPr="00631676">
        <w:rPr>
          <w:rFonts w:cstheme="minorHAnsi"/>
        </w:rPr>
        <w:t xml:space="preserve">intentional killing of a child for no more reason than because it improved his temporary status, his moment of comfort at that </w:t>
      </w:r>
      <w:r w:rsidR="006D64DB" w:rsidRPr="00631676">
        <w:rPr>
          <w:rFonts w:cstheme="minorHAnsi"/>
        </w:rPr>
        <w:t>moment in time,</w:t>
      </w:r>
      <w:r w:rsidRPr="00631676">
        <w:rPr>
          <w:rFonts w:cstheme="minorHAnsi"/>
        </w:rPr>
        <w:t>”</w:t>
      </w:r>
      <w:r w:rsidR="006D64DB" w:rsidRPr="00631676">
        <w:rPr>
          <w:rFonts w:cstheme="minorHAnsi"/>
        </w:rPr>
        <w:t xml:space="preserve"> committed with “planning and preparation and premeditation and thought and deliberation.”</w:t>
      </w:r>
      <w:r w:rsidRPr="00631676">
        <w:rPr>
          <w:rFonts w:cstheme="minorHAnsi"/>
        </w:rPr>
        <w:t xml:space="preserve">  </w:t>
      </w:r>
      <w:r w:rsidR="009359B9" w:rsidRPr="00631676">
        <w:rPr>
          <w:rFonts w:cstheme="minorHAnsi"/>
        </w:rPr>
        <w:t xml:space="preserve">Defendant did not object.    </w:t>
      </w:r>
    </w:p>
    <w:p w14:paraId="282CF23D" w14:textId="77777777" w:rsidR="008F0411" w:rsidRPr="00631676" w:rsidRDefault="008F0411" w:rsidP="00A671A3">
      <w:pPr>
        <w:keepNext/>
        <w:ind w:left="1260"/>
        <w:rPr>
          <w:rFonts w:cstheme="minorHAnsi"/>
        </w:rPr>
      </w:pPr>
      <w:r w:rsidRPr="00631676">
        <w:rPr>
          <w:rFonts w:cstheme="minorHAnsi"/>
        </w:rPr>
        <w:tab/>
      </w:r>
      <w:r w:rsidRPr="00631676">
        <w:rPr>
          <w:rFonts w:cstheme="minorHAnsi"/>
        </w:rPr>
        <w:tab/>
      </w:r>
      <w:r w:rsidR="003B3670" w:rsidRPr="00631676">
        <w:rPr>
          <w:rFonts w:cstheme="minorHAnsi"/>
        </w:rPr>
        <w:tab/>
      </w:r>
      <w:r w:rsidRPr="00631676">
        <w:rPr>
          <w:rFonts w:cstheme="minorHAnsi"/>
          <w:i/>
        </w:rPr>
        <w:t>b.</w:t>
      </w:r>
      <w:r w:rsidRPr="00631676">
        <w:rPr>
          <w:rFonts w:cstheme="minorHAnsi"/>
        </w:rPr>
        <w:tab/>
      </w:r>
      <w:r w:rsidRPr="00631676">
        <w:rPr>
          <w:rFonts w:cstheme="minorHAnsi"/>
          <w:i/>
        </w:rPr>
        <w:t>Discussion</w:t>
      </w:r>
    </w:p>
    <w:p w14:paraId="5F55C35C" w14:textId="5C66C115" w:rsidR="00185839" w:rsidRPr="00631676" w:rsidRDefault="005D43FA" w:rsidP="00180872">
      <w:pPr>
        <w:rPr>
          <w:rFonts w:cstheme="minorHAnsi"/>
        </w:rPr>
      </w:pPr>
      <w:r w:rsidRPr="00631676">
        <w:rPr>
          <w:rFonts w:cstheme="minorHAnsi"/>
        </w:rPr>
        <w:tab/>
        <w:t xml:space="preserve">Defendant argues that the prosecutor committed prejudicial misconduct by suggesting that defendant’s family history and age were factors in aggravation.  As an initial matter, the claim is forfeited because defendant failed to object.  </w:t>
      </w:r>
      <w:r w:rsidR="00EC73AF" w:rsidRPr="00631676">
        <w:rPr>
          <w:rFonts w:cstheme="minorHAnsi"/>
        </w:rPr>
        <w:t>“</w:t>
      </w:r>
      <w:r w:rsidRPr="00631676">
        <w:rPr>
          <w:rFonts w:cstheme="minorHAnsi"/>
        </w:rPr>
        <w:t xml:space="preserve">In order to preserve any claim of prosecutorial misconduct, there must be a timely objection and request for admonition. </w:t>
      </w:r>
      <w:r w:rsidR="00EC73AF" w:rsidRPr="00631676">
        <w:rPr>
          <w:rFonts w:cstheme="minorHAnsi"/>
        </w:rPr>
        <w:t>[Citation.]  ‘</w:t>
      </w:r>
      <w:r w:rsidR="00910953" w:rsidRPr="00631676">
        <w:rPr>
          <w:rFonts w:cstheme="minorHAnsi"/>
        </w:rPr>
        <w:t> </w:t>
      </w:r>
      <w:r w:rsidR="00EC73AF" w:rsidRPr="00631676">
        <w:rPr>
          <w:rFonts w:cstheme="minorHAnsi"/>
        </w:rPr>
        <w:t>“</w:t>
      </w:r>
      <w:r w:rsidRPr="00631676">
        <w:rPr>
          <w:rFonts w:cstheme="minorHAnsi"/>
        </w:rPr>
        <w:t>[O]therwise, the point is reviewable only if an admonition would not have cured the harm caused by the misconduct.”</w:t>
      </w:r>
      <w:r w:rsidR="00910953" w:rsidRPr="00631676">
        <w:rPr>
          <w:rFonts w:cstheme="minorHAnsi"/>
        </w:rPr>
        <w:t> </w:t>
      </w:r>
      <w:r w:rsidR="00EC73AF" w:rsidRPr="00631676">
        <w:rPr>
          <w:rFonts w:cstheme="minorHAnsi"/>
        </w:rPr>
        <w:t>’</w:t>
      </w:r>
      <w:r w:rsidR="00910953" w:rsidRPr="00631676">
        <w:rPr>
          <w:rFonts w:cstheme="minorHAnsi"/>
        </w:rPr>
        <w:t> </w:t>
      </w:r>
      <w:r w:rsidR="00EC73AF" w:rsidRPr="00631676">
        <w:rPr>
          <w:rFonts w:cstheme="minorHAnsi"/>
        </w:rPr>
        <w:t>”  (</w:t>
      </w:r>
      <w:r w:rsidRPr="00631676">
        <w:rPr>
          <w:rFonts w:cstheme="minorHAnsi"/>
          <w:i/>
        </w:rPr>
        <w:t>People v.</w:t>
      </w:r>
      <w:r w:rsidR="00993D21" w:rsidRPr="00631676">
        <w:rPr>
          <w:rFonts w:cstheme="minorHAnsi"/>
          <w:i/>
        </w:rPr>
        <w:t> </w:t>
      </w:r>
      <w:r w:rsidRPr="00631676">
        <w:rPr>
          <w:rFonts w:cstheme="minorHAnsi"/>
          <w:i/>
        </w:rPr>
        <w:t>Dykes</w:t>
      </w:r>
      <w:r w:rsidR="00EC73AF" w:rsidRPr="00631676">
        <w:rPr>
          <w:rFonts w:cstheme="minorHAnsi"/>
        </w:rPr>
        <w:t xml:space="preserve"> (2009) 46 Cal.4th 731, 786.)  </w:t>
      </w:r>
      <w:r w:rsidR="00677B97" w:rsidRPr="00631676">
        <w:rPr>
          <w:rFonts w:cstheme="minorHAnsi"/>
        </w:rPr>
        <w:t>Although defendant alleges that an objection would have been futile, he fails to demonstrate there were prior efforts to object that were overruled.</w:t>
      </w:r>
    </w:p>
    <w:p w14:paraId="783478E9" w14:textId="4C33F813" w:rsidR="00AF3514" w:rsidRPr="00631676" w:rsidRDefault="00A63C5F" w:rsidP="00180872">
      <w:pPr>
        <w:ind w:firstLine="720"/>
        <w:rPr>
          <w:rFonts w:cstheme="minorHAnsi"/>
        </w:rPr>
      </w:pPr>
      <w:r w:rsidRPr="00631676">
        <w:rPr>
          <w:rFonts w:cstheme="minorHAnsi"/>
        </w:rPr>
        <w:t>T</w:t>
      </w:r>
      <w:r w:rsidR="00677B97" w:rsidRPr="00631676">
        <w:rPr>
          <w:rFonts w:cstheme="minorHAnsi"/>
        </w:rPr>
        <w:t xml:space="preserve">he claim lacks </w:t>
      </w:r>
      <w:r w:rsidR="00B9274F" w:rsidRPr="00631676">
        <w:rPr>
          <w:rFonts w:cstheme="minorHAnsi"/>
        </w:rPr>
        <w:t xml:space="preserve">merit </w:t>
      </w:r>
      <w:r w:rsidR="00677B97" w:rsidRPr="00631676">
        <w:rPr>
          <w:rFonts w:cstheme="minorHAnsi"/>
        </w:rPr>
        <w:t xml:space="preserve">in any event.  </w:t>
      </w:r>
      <w:r w:rsidR="0087725D" w:rsidRPr="00631676">
        <w:rPr>
          <w:rFonts w:cstheme="minorHAnsi"/>
        </w:rPr>
        <w:t xml:space="preserve">The prosecutor </w:t>
      </w:r>
      <w:r w:rsidR="00575246" w:rsidRPr="00631676">
        <w:rPr>
          <w:rFonts w:cstheme="minorHAnsi"/>
        </w:rPr>
        <w:t>argued</w:t>
      </w:r>
      <w:r w:rsidR="0087725D" w:rsidRPr="00631676">
        <w:rPr>
          <w:rFonts w:cstheme="minorHAnsi"/>
        </w:rPr>
        <w:t xml:space="preserve"> that defendant’s age and family background must be considered under Penal Code section 190.3, factors (i) and (k), read the language of those factors, and described the relevant facts.  </w:t>
      </w:r>
      <w:r w:rsidR="00B9274F" w:rsidRPr="00631676">
        <w:rPr>
          <w:rFonts w:cstheme="minorHAnsi"/>
        </w:rPr>
        <w:t xml:space="preserve">The prosecutor </w:t>
      </w:r>
      <w:r w:rsidR="0087725D" w:rsidRPr="00631676">
        <w:rPr>
          <w:rFonts w:cstheme="minorHAnsi"/>
        </w:rPr>
        <w:t xml:space="preserve">referenced </w:t>
      </w:r>
      <w:r w:rsidR="00B9274F" w:rsidRPr="00631676">
        <w:rPr>
          <w:rFonts w:cstheme="minorHAnsi"/>
        </w:rPr>
        <w:t>defendant’s family history</w:t>
      </w:r>
      <w:r w:rsidR="0087725D" w:rsidRPr="00631676">
        <w:rPr>
          <w:rFonts w:cstheme="minorHAnsi"/>
        </w:rPr>
        <w:t>, questioning how “a childhood .</w:t>
      </w:r>
      <w:r w:rsidR="00910953" w:rsidRPr="00631676">
        <w:rPr>
          <w:rFonts w:cstheme="minorHAnsi"/>
        </w:rPr>
        <w:t> </w:t>
      </w:r>
      <w:r w:rsidR="0087725D" w:rsidRPr="00631676">
        <w:rPr>
          <w:rFonts w:cstheme="minorHAnsi"/>
        </w:rPr>
        <w:t>.</w:t>
      </w:r>
      <w:r w:rsidR="00910953" w:rsidRPr="00631676">
        <w:rPr>
          <w:rFonts w:cstheme="minorHAnsi"/>
        </w:rPr>
        <w:t> </w:t>
      </w:r>
      <w:r w:rsidR="0087725D" w:rsidRPr="00631676">
        <w:rPr>
          <w:rFonts w:cstheme="minorHAnsi"/>
        </w:rPr>
        <w:t xml:space="preserve">. completely lacking in morality” was </w:t>
      </w:r>
      <w:r w:rsidR="00B016EB" w:rsidRPr="00631676">
        <w:rPr>
          <w:rFonts w:cstheme="minorHAnsi"/>
        </w:rPr>
        <w:t xml:space="preserve">“a matter in mitigation against any matter in aggravation,” </w:t>
      </w:r>
      <w:r w:rsidR="00B35FB6" w:rsidRPr="00631676">
        <w:rPr>
          <w:rFonts w:cstheme="minorHAnsi"/>
        </w:rPr>
        <w:t xml:space="preserve">and </w:t>
      </w:r>
      <w:r w:rsidR="003D7C9C" w:rsidRPr="00631676">
        <w:rPr>
          <w:rFonts w:cstheme="minorHAnsi"/>
        </w:rPr>
        <w:t>urg</w:t>
      </w:r>
      <w:r w:rsidR="003D7C9C">
        <w:rPr>
          <w:rFonts w:cstheme="minorHAnsi"/>
        </w:rPr>
        <w:t>ed</w:t>
      </w:r>
      <w:r w:rsidR="003D7C9C" w:rsidRPr="00631676">
        <w:rPr>
          <w:rFonts w:cstheme="minorHAnsi"/>
        </w:rPr>
        <w:t xml:space="preserve"> </w:t>
      </w:r>
      <w:r w:rsidR="00B016EB" w:rsidRPr="00631676">
        <w:rPr>
          <w:rFonts w:cstheme="minorHAnsi"/>
        </w:rPr>
        <w:t xml:space="preserve">the jury to consider that question while deliberating. </w:t>
      </w:r>
      <w:r w:rsidR="00B016EB" w:rsidRPr="00631676" w:rsidDel="0087725D">
        <w:rPr>
          <w:rFonts w:cstheme="minorHAnsi"/>
        </w:rPr>
        <w:t xml:space="preserve"> </w:t>
      </w:r>
      <w:r w:rsidR="00E81826" w:rsidRPr="00631676">
        <w:rPr>
          <w:rFonts w:cstheme="minorHAnsi"/>
        </w:rPr>
        <w:t>How the jury ultimately weighed the</w:t>
      </w:r>
      <w:r w:rsidR="00F00528" w:rsidRPr="00631676">
        <w:rPr>
          <w:rFonts w:cstheme="minorHAnsi"/>
        </w:rPr>
        <w:t>se</w:t>
      </w:r>
      <w:r w:rsidR="00E81826" w:rsidRPr="00631676">
        <w:rPr>
          <w:rFonts w:cstheme="minorHAnsi"/>
        </w:rPr>
        <w:t xml:space="preserve"> fact</w:t>
      </w:r>
      <w:r w:rsidR="00F00528" w:rsidRPr="00631676">
        <w:rPr>
          <w:rFonts w:cstheme="minorHAnsi"/>
        </w:rPr>
        <w:t>s</w:t>
      </w:r>
      <w:r w:rsidR="00E81826" w:rsidRPr="00631676">
        <w:rPr>
          <w:rFonts w:cstheme="minorHAnsi"/>
        </w:rPr>
        <w:t xml:space="preserve"> is of no moment provided the jury was properly instructed, and here they were.  (</w:t>
      </w:r>
      <w:r w:rsidR="006D41F7" w:rsidRPr="00631676">
        <w:rPr>
          <w:rFonts w:cstheme="minorHAnsi"/>
        </w:rPr>
        <w:t>Cf.</w:t>
      </w:r>
      <w:r w:rsidR="009513DE" w:rsidRPr="00631676">
        <w:rPr>
          <w:rFonts w:cstheme="minorHAnsi"/>
        </w:rPr>
        <w:t> </w:t>
      </w:r>
      <w:r w:rsidR="00E81826" w:rsidRPr="00631676">
        <w:rPr>
          <w:rFonts w:cstheme="minorHAnsi"/>
          <w:i/>
        </w:rPr>
        <w:t>People v. Sims</w:t>
      </w:r>
      <w:r w:rsidR="00E81826" w:rsidRPr="00631676">
        <w:rPr>
          <w:rFonts w:cstheme="minorHAnsi"/>
        </w:rPr>
        <w:t xml:space="preserve"> (1993) 5 Cal.4th 405, 464 [</w:t>
      </w:r>
      <w:r w:rsidR="00CB63B7" w:rsidRPr="00631676">
        <w:rPr>
          <w:rFonts w:cstheme="minorHAnsi"/>
        </w:rPr>
        <w:t xml:space="preserve">where </w:t>
      </w:r>
      <w:r w:rsidR="00E81826" w:rsidRPr="00631676">
        <w:rPr>
          <w:rFonts w:cstheme="minorHAnsi"/>
        </w:rPr>
        <w:t>prosecutor “did not imply that the jury should disregard the evidence of [the] defendant’s background, but rather that, in relation to the nature of the crimes committed, it had no mitigating effect</w:t>
      </w:r>
      <w:r w:rsidR="00CB63B7" w:rsidRPr="00631676">
        <w:rPr>
          <w:rFonts w:cstheme="minorHAnsi"/>
        </w:rPr>
        <w:t>,</w:t>
      </w:r>
      <w:r w:rsidR="00E81826" w:rsidRPr="00631676">
        <w:rPr>
          <w:rFonts w:cstheme="minorHAnsi"/>
        </w:rPr>
        <w:t>”</w:t>
      </w:r>
      <w:r w:rsidR="00CB63B7" w:rsidRPr="00631676">
        <w:rPr>
          <w:rFonts w:cstheme="minorHAnsi"/>
        </w:rPr>
        <w:t xml:space="preserve"> prosecutor’s remarks “fall within the bounds of proper argument”</w:t>
      </w:r>
      <w:r w:rsidR="00E81826" w:rsidRPr="00631676">
        <w:rPr>
          <w:rFonts w:cstheme="minorHAnsi"/>
        </w:rPr>
        <w:t>].)</w:t>
      </w:r>
      <w:r w:rsidR="00CA6C72" w:rsidRPr="00631676">
        <w:rPr>
          <w:rFonts w:cstheme="minorHAnsi"/>
        </w:rPr>
        <w:t xml:space="preserve">  </w:t>
      </w:r>
      <w:r w:rsidR="00A218F8" w:rsidRPr="00631676">
        <w:rPr>
          <w:rFonts w:cstheme="minorHAnsi"/>
        </w:rPr>
        <w:t>T</w:t>
      </w:r>
      <w:r w:rsidR="00CA6C72" w:rsidRPr="00631676">
        <w:rPr>
          <w:rFonts w:cstheme="minorHAnsi"/>
        </w:rPr>
        <w:t>he prosecutor</w:t>
      </w:r>
      <w:r w:rsidR="00A218F8" w:rsidRPr="00631676">
        <w:rPr>
          <w:rFonts w:cstheme="minorHAnsi"/>
        </w:rPr>
        <w:t xml:space="preserve"> urged the jury not to consider defendant’s age</w:t>
      </w:r>
      <w:r w:rsidR="00CA6C72" w:rsidRPr="00631676">
        <w:rPr>
          <w:rFonts w:cstheme="minorHAnsi"/>
        </w:rPr>
        <w:t xml:space="preserve"> </w:t>
      </w:r>
      <w:r w:rsidR="00A218F8" w:rsidRPr="00631676">
        <w:rPr>
          <w:rFonts w:cstheme="minorHAnsi"/>
        </w:rPr>
        <w:t>as a factor in mitigation, explaining that were defendant</w:t>
      </w:r>
      <w:r w:rsidR="007B4AEC" w:rsidRPr="00631676">
        <w:rPr>
          <w:rFonts w:cstheme="minorHAnsi"/>
        </w:rPr>
        <w:t xml:space="preserve"> 17 </w:t>
      </w:r>
      <w:r w:rsidR="00A218F8" w:rsidRPr="00631676">
        <w:rPr>
          <w:rFonts w:cstheme="minorHAnsi"/>
        </w:rPr>
        <w:t>years</w:t>
      </w:r>
      <w:r w:rsidR="007B4AEC" w:rsidRPr="00631676">
        <w:rPr>
          <w:rFonts w:cstheme="minorHAnsi"/>
        </w:rPr>
        <w:t xml:space="preserve"> </w:t>
      </w:r>
      <w:r w:rsidR="00A218F8" w:rsidRPr="00631676">
        <w:rPr>
          <w:rFonts w:cstheme="minorHAnsi"/>
        </w:rPr>
        <w:t xml:space="preserve">old like codefendant Pressley, the jury might give greater weight to his age.  </w:t>
      </w:r>
      <w:r w:rsidR="00295591" w:rsidRPr="00631676">
        <w:rPr>
          <w:rFonts w:cstheme="minorHAnsi"/>
        </w:rPr>
        <w:t>At the time of trial, defendants as young as 16 could receive the death penalty.  (</w:t>
      </w:r>
      <w:r w:rsidR="008E0A01" w:rsidRPr="00631676">
        <w:rPr>
          <w:rFonts w:cstheme="minorHAnsi"/>
          <w:i/>
        </w:rPr>
        <w:t>Stanford v. </w:t>
      </w:r>
      <w:r w:rsidR="00295591" w:rsidRPr="00631676">
        <w:rPr>
          <w:rFonts w:cstheme="minorHAnsi"/>
          <w:i/>
        </w:rPr>
        <w:t>Kentucky</w:t>
      </w:r>
      <w:r w:rsidR="00295591" w:rsidRPr="00631676">
        <w:rPr>
          <w:rFonts w:cstheme="minorHAnsi"/>
        </w:rPr>
        <w:t xml:space="preserve"> (1989) 492 U.S. 361; c</w:t>
      </w:r>
      <w:r w:rsidR="00211B85">
        <w:rPr>
          <w:rFonts w:cstheme="minorHAnsi"/>
        </w:rPr>
        <w:t>ontra</w:t>
      </w:r>
      <w:r w:rsidR="00796D82">
        <w:rPr>
          <w:rFonts w:cstheme="minorHAnsi"/>
        </w:rPr>
        <w:t>,</w:t>
      </w:r>
      <w:r w:rsidR="00295591" w:rsidRPr="00631676">
        <w:rPr>
          <w:rFonts w:cstheme="minorHAnsi"/>
        </w:rPr>
        <w:t xml:space="preserve"> </w:t>
      </w:r>
      <w:r w:rsidR="007B4AEC" w:rsidRPr="00631676">
        <w:rPr>
          <w:rFonts w:cstheme="minorHAnsi"/>
          <w:i/>
        </w:rPr>
        <w:t>Roper v. Simmons</w:t>
      </w:r>
      <w:r w:rsidR="007B4AEC" w:rsidRPr="00631676">
        <w:rPr>
          <w:rFonts w:cstheme="minorHAnsi"/>
        </w:rPr>
        <w:t xml:space="preserve"> (2005) 543 U.S. 551</w:t>
      </w:r>
      <w:r w:rsidR="00A1398C" w:rsidRPr="00631676">
        <w:rPr>
          <w:rFonts w:cstheme="minorHAnsi"/>
        </w:rPr>
        <w:t xml:space="preserve"> [declaring the death penalty for 16</w:t>
      </w:r>
      <w:r w:rsidR="00910953" w:rsidRPr="00631676">
        <w:rPr>
          <w:rFonts w:cstheme="minorHAnsi"/>
        </w:rPr>
        <w:t>-</w:t>
      </w:r>
      <w:r w:rsidR="00A1398C" w:rsidRPr="00631676">
        <w:rPr>
          <w:rFonts w:cstheme="minorHAnsi"/>
        </w:rPr>
        <w:t xml:space="preserve"> and 17</w:t>
      </w:r>
      <w:r w:rsidR="00910953" w:rsidRPr="00631676">
        <w:rPr>
          <w:rFonts w:cstheme="minorHAnsi"/>
        </w:rPr>
        <w:t>-</w:t>
      </w:r>
      <w:r w:rsidR="00A1398C" w:rsidRPr="00631676">
        <w:rPr>
          <w:rFonts w:cstheme="minorHAnsi"/>
        </w:rPr>
        <w:t>year</w:t>
      </w:r>
      <w:r w:rsidR="00910953" w:rsidRPr="00631676">
        <w:rPr>
          <w:rFonts w:cstheme="minorHAnsi"/>
        </w:rPr>
        <w:t>-</w:t>
      </w:r>
      <w:r w:rsidR="00A1398C" w:rsidRPr="00631676">
        <w:rPr>
          <w:rFonts w:cstheme="minorHAnsi"/>
        </w:rPr>
        <w:t>olds unconstitutional].</w:t>
      </w:r>
      <w:r w:rsidR="007B4AEC" w:rsidRPr="00631676">
        <w:rPr>
          <w:rFonts w:cstheme="minorHAnsi"/>
        </w:rPr>
        <w:t xml:space="preserve">) </w:t>
      </w:r>
      <w:r w:rsidR="00295591" w:rsidRPr="00631676">
        <w:rPr>
          <w:rFonts w:cstheme="minorHAnsi"/>
        </w:rPr>
        <w:t xml:space="preserve"> A jury could rationally differentiate between the culpability of a 17</w:t>
      </w:r>
      <w:r w:rsidR="00211B85">
        <w:rPr>
          <w:rFonts w:cstheme="minorHAnsi"/>
        </w:rPr>
        <w:t xml:space="preserve"> </w:t>
      </w:r>
      <w:r w:rsidR="00295591" w:rsidRPr="00631676">
        <w:rPr>
          <w:rFonts w:cstheme="minorHAnsi"/>
        </w:rPr>
        <w:t>year</w:t>
      </w:r>
      <w:r w:rsidR="00211B85">
        <w:rPr>
          <w:rFonts w:cstheme="minorHAnsi"/>
        </w:rPr>
        <w:t xml:space="preserve"> </w:t>
      </w:r>
      <w:r w:rsidR="00295591" w:rsidRPr="00631676">
        <w:rPr>
          <w:rFonts w:cstheme="minorHAnsi"/>
        </w:rPr>
        <w:t xml:space="preserve">old and someone nearly 21.  </w:t>
      </w:r>
      <w:r w:rsidR="007B4AEC" w:rsidRPr="00631676">
        <w:rPr>
          <w:rFonts w:cstheme="minorHAnsi"/>
        </w:rPr>
        <w:t xml:space="preserve">It was not misconduct for the prosecutor to urge the jury to </w:t>
      </w:r>
      <w:r w:rsidR="00A1398C" w:rsidRPr="00631676">
        <w:rPr>
          <w:rFonts w:cstheme="minorHAnsi"/>
        </w:rPr>
        <w:t>give</w:t>
      </w:r>
      <w:r w:rsidR="007B4AEC" w:rsidRPr="00631676">
        <w:rPr>
          <w:rFonts w:cstheme="minorHAnsi"/>
        </w:rPr>
        <w:t xml:space="preserve"> defendant’s age </w:t>
      </w:r>
      <w:r w:rsidR="00A1398C" w:rsidRPr="00631676">
        <w:rPr>
          <w:rFonts w:cstheme="minorHAnsi"/>
        </w:rPr>
        <w:t>little weight as</w:t>
      </w:r>
      <w:r w:rsidR="007B4AEC" w:rsidRPr="00631676">
        <w:rPr>
          <w:rFonts w:cstheme="minorHAnsi"/>
        </w:rPr>
        <w:t xml:space="preserve"> a factor in mitigation.  (See </w:t>
      </w:r>
      <w:r w:rsidR="007B4AEC" w:rsidRPr="00631676">
        <w:rPr>
          <w:rFonts w:cstheme="minorHAnsi"/>
          <w:i/>
        </w:rPr>
        <w:t>People v. Dykes</w:t>
      </w:r>
      <w:r w:rsidR="007B4AEC" w:rsidRPr="00631676">
        <w:rPr>
          <w:rFonts w:cstheme="minorHAnsi"/>
        </w:rPr>
        <w:t xml:space="preserve">, </w:t>
      </w:r>
      <w:r w:rsidR="007B4AEC" w:rsidRPr="00631676">
        <w:rPr>
          <w:rFonts w:cstheme="minorHAnsi"/>
          <w:i/>
        </w:rPr>
        <w:t>supra</w:t>
      </w:r>
      <w:r w:rsidR="0042160D" w:rsidRPr="00631676">
        <w:rPr>
          <w:rFonts w:cstheme="minorHAnsi"/>
        </w:rPr>
        <w:t>, 46</w:t>
      </w:r>
      <w:r w:rsidR="0042160D" w:rsidRPr="00180872">
        <w:rPr>
          <w:rFonts w:cstheme="minorHAnsi"/>
        </w:rPr>
        <w:t> </w:t>
      </w:r>
      <w:r w:rsidR="007B4AEC" w:rsidRPr="00631676">
        <w:rPr>
          <w:rFonts w:cstheme="minorHAnsi"/>
        </w:rPr>
        <w:t>Cal.4th at p.</w:t>
      </w:r>
      <w:r w:rsidR="00910953" w:rsidRPr="00631676">
        <w:t> </w:t>
      </w:r>
      <w:r w:rsidR="007B4AEC" w:rsidRPr="00631676">
        <w:rPr>
          <w:rFonts w:cstheme="minorHAnsi"/>
        </w:rPr>
        <w:t>787.)</w:t>
      </w:r>
    </w:p>
    <w:p w14:paraId="00CC90B9" w14:textId="46B16120" w:rsidR="00A63C5F" w:rsidRPr="00631676" w:rsidRDefault="005D43FA" w:rsidP="00180872">
      <w:pPr>
        <w:rPr>
          <w:rFonts w:cstheme="minorHAnsi"/>
        </w:rPr>
      </w:pPr>
      <w:r w:rsidRPr="00631676">
        <w:rPr>
          <w:rFonts w:cstheme="minorHAnsi"/>
        </w:rPr>
        <w:tab/>
        <w:t xml:space="preserve">Defendant also argues that the prosecutor committed misconduct by presenting evidence concerning conditions of confinement </w:t>
      </w:r>
      <w:r w:rsidR="00AF3514" w:rsidRPr="00631676">
        <w:rPr>
          <w:rFonts w:cstheme="minorHAnsi"/>
        </w:rPr>
        <w:t xml:space="preserve">under </w:t>
      </w:r>
      <w:r w:rsidRPr="00631676">
        <w:rPr>
          <w:rFonts w:cstheme="minorHAnsi"/>
        </w:rPr>
        <w:t>a life sentence</w:t>
      </w:r>
      <w:r w:rsidR="00B16A63" w:rsidRPr="00631676">
        <w:rPr>
          <w:rFonts w:cstheme="minorHAnsi"/>
        </w:rPr>
        <w:t xml:space="preserve">.  Defendant contends such evidence is not relevant under </w:t>
      </w:r>
      <w:r w:rsidR="00211B85">
        <w:rPr>
          <w:rFonts w:cstheme="minorHAnsi"/>
        </w:rPr>
        <w:t xml:space="preserve">Penal Code section 190.3, </w:t>
      </w:r>
      <w:r w:rsidR="00B16A63" w:rsidRPr="00631676">
        <w:rPr>
          <w:rFonts w:cstheme="minorHAnsi"/>
        </w:rPr>
        <w:t xml:space="preserve">factor (k).  </w:t>
      </w:r>
      <w:r w:rsidR="006B19F0" w:rsidRPr="00631676">
        <w:rPr>
          <w:rFonts w:cstheme="minorHAnsi"/>
        </w:rPr>
        <w:t>“[E]</w:t>
      </w:r>
      <w:r w:rsidR="003B4F7C" w:rsidRPr="00631676">
        <w:rPr>
          <w:rFonts w:cstheme="minorHAnsi"/>
        </w:rPr>
        <w:t xml:space="preserve">vidence concerning conditions of confinement </w:t>
      </w:r>
      <w:r w:rsidR="000D6E17" w:rsidRPr="00631676">
        <w:rPr>
          <w:rFonts w:cstheme="minorHAnsi"/>
        </w:rPr>
        <w:t xml:space="preserve">for a person </w:t>
      </w:r>
      <w:r w:rsidR="003B4F7C" w:rsidRPr="00631676">
        <w:rPr>
          <w:rFonts w:cstheme="minorHAnsi"/>
        </w:rPr>
        <w:t>serving a sentence of life without possibility of parole is not relevant to the penalty determination because it has no bearing on the defendant’s character, culpability, or the circumstances of the offense under either the federal Constituti</w:t>
      </w:r>
      <w:r w:rsidR="006B19F0" w:rsidRPr="00631676">
        <w:rPr>
          <w:rFonts w:cstheme="minorHAnsi"/>
        </w:rPr>
        <w:t xml:space="preserve">on or </w:t>
      </w:r>
      <w:r w:rsidR="000D6E17" w:rsidRPr="00631676">
        <w:rPr>
          <w:rFonts w:cstheme="minorHAnsi"/>
        </w:rPr>
        <w:t>[</w:t>
      </w:r>
      <w:r w:rsidR="009A10C1" w:rsidRPr="00631676">
        <w:rPr>
          <w:rFonts w:cstheme="minorHAnsi"/>
        </w:rPr>
        <w:t>Penal Code</w:t>
      </w:r>
      <w:r w:rsidR="000D6E17" w:rsidRPr="00631676">
        <w:rPr>
          <w:rFonts w:cstheme="minorHAnsi"/>
        </w:rPr>
        <w:t>]</w:t>
      </w:r>
      <w:r w:rsidR="009A10C1" w:rsidRPr="00631676">
        <w:rPr>
          <w:rFonts w:cstheme="minorHAnsi"/>
        </w:rPr>
        <w:t xml:space="preserve"> </w:t>
      </w:r>
      <w:r w:rsidR="006B19F0" w:rsidRPr="00631676">
        <w:rPr>
          <w:rFonts w:cstheme="minorHAnsi"/>
        </w:rPr>
        <w:t>section 190.3, factor (k).</w:t>
      </w:r>
      <w:r w:rsidR="003B4F7C" w:rsidRPr="00631676">
        <w:rPr>
          <w:rFonts w:cstheme="minorHAnsi"/>
        </w:rPr>
        <w:t xml:space="preserve">” </w:t>
      </w:r>
      <w:r w:rsidR="006B19F0" w:rsidRPr="00631676">
        <w:rPr>
          <w:rFonts w:cstheme="minorHAnsi"/>
        </w:rPr>
        <w:t xml:space="preserve"> (</w:t>
      </w:r>
      <w:r w:rsidR="002452FD" w:rsidRPr="00631676">
        <w:rPr>
          <w:rFonts w:cstheme="minorHAnsi"/>
          <w:i/>
        </w:rPr>
        <w:t>People v. Martinez</w:t>
      </w:r>
      <w:r w:rsidR="00946FF9" w:rsidRPr="00631676">
        <w:rPr>
          <w:rFonts w:cstheme="minorHAnsi"/>
        </w:rPr>
        <w:t>,</w:t>
      </w:r>
      <w:r w:rsidR="00946FF9" w:rsidRPr="00631676">
        <w:rPr>
          <w:rFonts w:cstheme="minorHAnsi"/>
          <w:i/>
        </w:rPr>
        <w:t xml:space="preserve"> supra</w:t>
      </w:r>
      <w:r w:rsidR="00946FF9" w:rsidRPr="00631676">
        <w:rPr>
          <w:rFonts w:cstheme="minorHAnsi"/>
        </w:rPr>
        <w:t>,</w:t>
      </w:r>
      <w:r w:rsidR="00946FF9" w:rsidRPr="00631676">
        <w:rPr>
          <w:rFonts w:cstheme="minorHAnsi"/>
          <w:i/>
        </w:rPr>
        <w:t xml:space="preserve"> </w:t>
      </w:r>
      <w:r w:rsidR="002452FD" w:rsidRPr="00631676">
        <w:rPr>
          <w:rFonts w:cstheme="minorHAnsi"/>
        </w:rPr>
        <w:t xml:space="preserve">47 Cal.4th </w:t>
      </w:r>
      <w:r w:rsidR="000D6E17" w:rsidRPr="00631676">
        <w:rPr>
          <w:rFonts w:cstheme="minorHAnsi"/>
        </w:rPr>
        <w:t>at p. </w:t>
      </w:r>
      <w:r w:rsidR="002452FD" w:rsidRPr="00631676">
        <w:rPr>
          <w:rFonts w:cstheme="minorHAnsi"/>
        </w:rPr>
        <w:t>963.</w:t>
      </w:r>
      <w:r w:rsidR="006B19F0" w:rsidRPr="00631676">
        <w:rPr>
          <w:rFonts w:cstheme="minorHAnsi"/>
        </w:rPr>
        <w:t xml:space="preserve">)  </w:t>
      </w:r>
      <w:r w:rsidR="00AF3514" w:rsidRPr="00631676">
        <w:rPr>
          <w:rFonts w:cstheme="minorHAnsi"/>
        </w:rPr>
        <w:t>But d</w:t>
      </w:r>
      <w:r w:rsidR="002452FD" w:rsidRPr="00631676">
        <w:rPr>
          <w:rFonts w:cstheme="minorHAnsi"/>
        </w:rPr>
        <w:t>efendant failed to object to the prosecutor’s argument concerning conditions of confinement; accordingly, any claim of error is forfeited.  (</w:t>
      </w:r>
      <w:r w:rsidR="005B1979" w:rsidRPr="00631676">
        <w:rPr>
          <w:rFonts w:cstheme="minorHAnsi"/>
          <w:i/>
        </w:rPr>
        <w:t>Ibid</w:t>
      </w:r>
      <w:r w:rsidR="002452FD" w:rsidRPr="00631676">
        <w:rPr>
          <w:rFonts w:cstheme="minorHAnsi"/>
        </w:rPr>
        <w:t>.)</w:t>
      </w:r>
      <w:r w:rsidR="001968F3" w:rsidRPr="00631676">
        <w:rPr>
          <w:rFonts w:cstheme="minorHAnsi"/>
        </w:rPr>
        <w:t xml:space="preserve">  Even if preserved, any error in admitting the statement was harmless</w:t>
      </w:r>
      <w:r w:rsidR="00AF3514" w:rsidRPr="00631676">
        <w:rPr>
          <w:rFonts w:cstheme="minorHAnsi"/>
        </w:rPr>
        <w:t>,</w:t>
      </w:r>
      <w:r w:rsidR="001968F3" w:rsidRPr="00631676">
        <w:rPr>
          <w:rFonts w:cstheme="minorHAnsi"/>
        </w:rPr>
        <w:t xml:space="preserve"> as </w:t>
      </w:r>
      <w:r w:rsidR="00A34312" w:rsidRPr="00631676">
        <w:rPr>
          <w:rFonts w:cstheme="minorHAnsi"/>
        </w:rPr>
        <w:t>the prosecutor’s comment did not so “infect[] the trial with .</w:t>
      </w:r>
      <w:r w:rsidR="00910953" w:rsidRPr="00631676">
        <w:rPr>
          <w:rFonts w:cstheme="minorHAnsi"/>
        </w:rPr>
        <w:t> </w:t>
      </w:r>
      <w:r w:rsidR="00A34312" w:rsidRPr="00631676">
        <w:rPr>
          <w:rFonts w:cstheme="minorHAnsi"/>
        </w:rPr>
        <w:t>.</w:t>
      </w:r>
      <w:r w:rsidR="00910953" w:rsidRPr="00631676">
        <w:rPr>
          <w:rFonts w:cstheme="minorHAnsi"/>
        </w:rPr>
        <w:t> </w:t>
      </w:r>
      <w:r w:rsidR="00A34312" w:rsidRPr="00631676">
        <w:rPr>
          <w:rFonts w:cstheme="minorHAnsi"/>
        </w:rPr>
        <w:t>. unfairness as to make the conviction a denial of due process.”</w:t>
      </w:r>
      <w:r w:rsidR="003B4F7C" w:rsidRPr="00631676">
        <w:rPr>
          <w:rFonts w:cstheme="minorHAnsi"/>
        </w:rPr>
        <w:t xml:space="preserve">  </w:t>
      </w:r>
      <w:r w:rsidR="001968F3" w:rsidRPr="00631676">
        <w:rPr>
          <w:rFonts w:cstheme="minorHAnsi"/>
        </w:rPr>
        <w:t>(</w:t>
      </w:r>
      <w:r w:rsidR="00A34312" w:rsidRPr="00631676">
        <w:rPr>
          <w:rFonts w:cstheme="minorHAnsi"/>
          <w:i/>
        </w:rPr>
        <w:t>People v. Morales</w:t>
      </w:r>
      <w:r w:rsidR="00A34312" w:rsidRPr="00631676">
        <w:rPr>
          <w:rFonts w:cstheme="minorHAnsi"/>
        </w:rPr>
        <w:t xml:space="preserve"> (2001) 25 Cal.4th 34, 44.</w:t>
      </w:r>
      <w:r w:rsidR="005B1979" w:rsidRPr="00631676">
        <w:rPr>
          <w:rFonts w:cstheme="minorHAnsi"/>
        </w:rPr>
        <w:t>)</w:t>
      </w:r>
    </w:p>
    <w:p w14:paraId="3B559073" w14:textId="16C50EA9" w:rsidR="00F92B9A" w:rsidRPr="00180872" w:rsidRDefault="001B2866" w:rsidP="00180872">
      <w:pPr>
        <w:pStyle w:val="Heading3"/>
        <w:rPr>
          <w:rFonts w:cstheme="minorHAnsi"/>
          <w:b/>
        </w:rPr>
      </w:pPr>
      <w:bookmarkStart w:id="38" w:name="_Toc12993775"/>
      <w:r>
        <w:rPr>
          <w:rFonts w:cstheme="minorHAnsi"/>
        </w:rPr>
        <w:tab/>
      </w:r>
      <w:r w:rsidR="00211B85">
        <w:rPr>
          <w:rFonts w:cstheme="minorHAnsi"/>
        </w:rPr>
        <w:tab/>
      </w:r>
      <w:r w:rsidR="00F92B9A" w:rsidRPr="00180872">
        <w:rPr>
          <w:rFonts w:cstheme="minorHAnsi"/>
        </w:rPr>
        <w:t>2.</w:t>
      </w:r>
      <w:r w:rsidR="00F92B9A" w:rsidRPr="00180872">
        <w:rPr>
          <w:rFonts w:cstheme="minorHAnsi"/>
        </w:rPr>
        <w:tab/>
        <w:t>Challenges to California</w:t>
      </w:r>
      <w:r w:rsidR="00EB6DEB" w:rsidRPr="00180872">
        <w:rPr>
          <w:rFonts w:cstheme="minorHAnsi"/>
        </w:rPr>
        <w:t>’s</w:t>
      </w:r>
      <w:r w:rsidR="00F92B9A" w:rsidRPr="00180872">
        <w:rPr>
          <w:rFonts w:cstheme="minorHAnsi"/>
        </w:rPr>
        <w:t xml:space="preserve"> Death Penalty </w:t>
      </w:r>
      <w:r w:rsidR="005D23E0">
        <w:rPr>
          <w:rFonts w:cstheme="minorHAnsi"/>
        </w:rPr>
        <w:br/>
        <w:t xml:space="preserve"> </w:t>
      </w:r>
      <w:r w:rsidR="00211B85">
        <w:rPr>
          <w:rFonts w:cstheme="minorHAnsi"/>
        </w:rPr>
        <w:t xml:space="preserve">          </w:t>
      </w:r>
      <w:r w:rsidR="005D23E0">
        <w:rPr>
          <w:rFonts w:cstheme="minorHAnsi"/>
        </w:rPr>
        <w:t xml:space="preserve">      </w:t>
      </w:r>
      <w:r w:rsidR="00F92B9A" w:rsidRPr="00180872">
        <w:rPr>
          <w:rFonts w:cstheme="minorHAnsi"/>
        </w:rPr>
        <w:t xml:space="preserve">Statute </w:t>
      </w:r>
      <w:bookmarkEnd w:id="38"/>
    </w:p>
    <w:p w14:paraId="5C935342" w14:textId="77777777" w:rsidR="00383230" w:rsidRPr="00631676" w:rsidRDefault="00EB34C6" w:rsidP="00180872">
      <w:pPr>
        <w:rPr>
          <w:rFonts w:cstheme="minorHAnsi"/>
        </w:rPr>
      </w:pPr>
      <w:r w:rsidRPr="00631676">
        <w:rPr>
          <w:rFonts w:cstheme="minorHAnsi"/>
        </w:rPr>
        <w:tab/>
        <w:t>Defendant raises</w:t>
      </w:r>
      <w:r w:rsidR="00383230" w:rsidRPr="00631676">
        <w:rPr>
          <w:rFonts w:cstheme="minorHAnsi"/>
        </w:rPr>
        <w:t xml:space="preserve"> a number of challenges to California’s death penalty law, each of which we have previously rejected.  </w:t>
      </w:r>
    </w:p>
    <w:p w14:paraId="1AEDEFC2" w14:textId="77777777" w:rsidR="0022627D" w:rsidRPr="00631676" w:rsidRDefault="0022627D" w:rsidP="00180872">
      <w:pPr>
        <w:rPr>
          <w:rFonts w:cstheme="minorHAnsi"/>
        </w:rPr>
      </w:pPr>
      <w:r w:rsidRPr="00631676">
        <w:rPr>
          <w:rFonts w:cstheme="minorHAnsi"/>
        </w:rPr>
        <w:tab/>
      </w:r>
      <w:r w:rsidR="0042013B" w:rsidRPr="00631676">
        <w:rPr>
          <w:rFonts w:cstheme="minorHAnsi"/>
        </w:rPr>
        <w:t>“</w:t>
      </w:r>
      <w:r w:rsidR="00910953" w:rsidRPr="00631676">
        <w:rPr>
          <w:rFonts w:cstheme="minorHAnsi"/>
        </w:rPr>
        <w:t> </w:t>
      </w:r>
      <w:r w:rsidR="0042013B" w:rsidRPr="00631676">
        <w:rPr>
          <w:rFonts w:cstheme="minorHAnsi"/>
        </w:rPr>
        <w:t>‘[T]he California death penalty statute is not impermissibly broad, whether considered on its face or as interpreted by this court.’</w:t>
      </w:r>
      <w:r w:rsidR="00910953" w:rsidRPr="00631676">
        <w:rPr>
          <w:rFonts w:cstheme="minorHAnsi"/>
        </w:rPr>
        <w:t> </w:t>
      </w:r>
      <w:r w:rsidR="0042013B" w:rsidRPr="00631676">
        <w:rPr>
          <w:rFonts w:cstheme="minorHAnsi"/>
        </w:rPr>
        <w:t>”  (</w:t>
      </w:r>
      <w:r w:rsidR="0042013B" w:rsidRPr="00631676">
        <w:rPr>
          <w:rFonts w:cstheme="minorHAnsi"/>
          <w:i/>
        </w:rPr>
        <w:t>People v. Edwards</w:t>
      </w:r>
      <w:r w:rsidR="00306481" w:rsidRPr="00631676">
        <w:rPr>
          <w:rFonts w:cstheme="minorHAnsi"/>
        </w:rPr>
        <w:t xml:space="preserve"> (2013) 57 </w:t>
      </w:r>
      <w:r w:rsidR="0042013B" w:rsidRPr="00631676">
        <w:rPr>
          <w:rFonts w:cstheme="minorHAnsi"/>
        </w:rPr>
        <w:t>Cal.4th</w:t>
      </w:r>
      <w:r w:rsidR="008D7950" w:rsidRPr="00631676">
        <w:rPr>
          <w:rFonts w:cstheme="minorHAnsi"/>
        </w:rPr>
        <w:t xml:space="preserve"> </w:t>
      </w:r>
      <w:r w:rsidR="0042013B" w:rsidRPr="00631676">
        <w:rPr>
          <w:rFonts w:cstheme="minorHAnsi"/>
        </w:rPr>
        <w:t xml:space="preserve">658, 767, quoting </w:t>
      </w:r>
      <w:r w:rsidR="0042013B" w:rsidRPr="00631676">
        <w:rPr>
          <w:rFonts w:cstheme="minorHAnsi"/>
          <w:i/>
        </w:rPr>
        <w:t>People v. Dykes</w:t>
      </w:r>
      <w:r w:rsidR="0042013B" w:rsidRPr="00631676">
        <w:rPr>
          <w:rFonts w:cstheme="minorHAnsi"/>
        </w:rPr>
        <w:t xml:space="preserve">, </w:t>
      </w:r>
      <w:r w:rsidR="0042013B" w:rsidRPr="00631676">
        <w:rPr>
          <w:rFonts w:cstheme="minorHAnsi"/>
          <w:i/>
        </w:rPr>
        <w:t>supra</w:t>
      </w:r>
      <w:r w:rsidR="0042013B" w:rsidRPr="00631676">
        <w:rPr>
          <w:rFonts w:cstheme="minorHAnsi"/>
        </w:rPr>
        <w:t>, 46 Cal.4th at p.</w:t>
      </w:r>
      <w:r w:rsidR="00910953" w:rsidRPr="00631676">
        <w:rPr>
          <w:rFonts w:cstheme="minorHAnsi"/>
        </w:rPr>
        <w:t> </w:t>
      </w:r>
      <w:r w:rsidR="0042013B" w:rsidRPr="00631676">
        <w:rPr>
          <w:rFonts w:cstheme="minorHAnsi"/>
        </w:rPr>
        <w:t>813.)</w:t>
      </w:r>
    </w:p>
    <w:p w14:paraId="3513A4B8" w14:textId="77777777" w:rsidR="0022627D" w:rsidRPr="00631676" w:rsidRDefault="0022627D" w:rsidP="00180872">
      <w:pPr>
        <w:rPr>
          <w:rFonts w:cstheme="minorHAnsi"/>
        </w:rPr>
      </w:pPr>
      <w:r w:rsidRPr="00631676">
        <w:rPr>
          <w:rFonts w:cstheme="minorHAnsi"/>
        </w:rPr>
        <w:tab/>
      </w:r>
      <w:r w:rsidR="009A10C1" w:rsidRPr="00631676">
        <w:rPr>
          <w:rFonts w:cstheme="minorHAnsi"/>
        </w:rPr>
        <w:t>Penal Code s</w:t>
      </w:r>
      <w:r w:rsidR="009D72B5" w:rsidRPr="00631676">
        <w:rPr>
          <w:rFonts w:cstheme="minorHAnsi"/>
        </w:rPr>
        <w:t>ection 190.3, factor (a), which permits a jury to consider the circumstances of the offense in sentencing, does not result in arbitrary or capricious imposition of the death penalty in violation of the Fifth, Sixth, Eighth, or Fourteenth Amendments to the United States Constitution.  (</w:t>
      </w:r>
      <w:r w:rsidR="009D72B5" w:rsidRPr="00631676">
        <w:rPr>
          <w:rFonts w:cstheme="minorHAnsi"/>
          <w:i/>
        </w:rPr>
        <w:t>People v. Simon</w:t>
      </w:r>
      <w:r w:rsidR="00490B3D" w:rsidRPr="00631676">
        <w:rPr>
          <w:rFonts w:cstheme="minorHAnsi"/>
        </w:rPr>
        <w:t xml:space="preserve"> (2016) </w:t>
      </w:r>
      <w:r w:rsidR="009D72B5" w:rsidRPr="00631676">
        <w:rPr>
          <w:rFonts w:cstheme="minorHAnsi"/>
        </w:rPr>
        <w:t xml:space="preserve">1 Cal.5th </w:t>
      </w:r>
      <w:r w:rsidR="00490B3D" w:rsidRPr="00631676">
        <w:rPr>
          <w:rFonts w:cstheme="minorHAnsi"/>
        </w:rPr>
        <w:t>98, 1</w:t>
      </w:r>
      <w:r w:rsidR="009D72B5" w:rsidRPr="00631676">
        <w:rPr>
          <w:rFonts w:cstheme="minorHAnsi"/>
        </w:rPr>
        <w:t>49.)</w:t>
      </w:r>
    </w:p>
    <w:p w14:paraId="4DA2E602" w14:textId="326ECEC8" w:rsidR="009D72B5" w:rsidRPr="00631676" w:rsidRDefault="0022627D" w:rsidP="00180872">
      <w:pPr>
        <w:rPr>
          <w:rFonts w:cstheme="minorHAnsi"/>
        </w:rPr>
      </w:pPr>
      <w:r w:rsidRPr="00631676">
        <w:rPr>
          <w:rFonts w:cstheme="minorHAnsi"/>
        </w:rPr>
        <w:tab/>
      </w:r>
      <w:r w:rsidR="009D72B5" w:rsidRPr="00631676">
        <w:rPr>
          <w:rFonts w:cstheme="minorHAnsi"/>
        </w:rPr>
        <w:t>The “death penalty statute ‘is not invalid for failing to require .</w:t>
      </w:r>
      <w:r w:rsidR="00910953" w:rsidRPr="00631676">
        <w:rPr>
          <w:rFonts w:cstheme="minorHAnsi"/>
        </w:rPr>
        <w:t> </w:t>
      </w:r>
      <w:r w:rsidR="009D72B5" w:rsidRPr="00631676">
        <w:rPr>
          <w:rFonts w:cstheme="minorHAnsi"/>
        </w:rPr>
        <w:t>.</w:t>
      </w:r>
      <w:r w:rsidR="00910953" w:rsidRPr="00631676">
        <w:rPr>
          <w:rFonts w:cstheme="minorHAnsi"/>
        </w:rPr>
        <w:t> </w:t>
      </w:r>
      <w:r w:rsidR="009D72B5" w:rsidRPr="00631676">
        <w:rPr>
          <w:rFonts w:cstheme="minorHAnsi"/>
        </w:rPr>
        <w:t>. unanimity as to aggravating factors [and] proof of all aggravating factors beyond a reasonable doubt’</w:t>
      </w:r>
      <w:r w:rsidR="00A87A88" w:rsidRPr="00631676">
        <w:rPr>
          <w:rFonts w:cstheme="minorHAnsi"/>
        </w:rPr>
        <w:t> </w:t>
      </w:r>
      <w:r w:rsidR="009D72B5" w:rsidRPr="00631676">
        <w:rPr>
          <w:rFonts w:cstheme="minorHAnsi"/>
        </w:rPr>
        <w:t>”</w:t>
      </w:r>
      <w:r w:rsidR="00AF3514" w:rsidRPr="00631676">
        <w:rPr>
          <w:rFonts w:cstheme="minorHAnsi"/>
        </w:rPr>
        <w:t>;</w:t>
      </w:r>
      <w:r w:rsidR="009D72B5" w:rsidRPr="00631676">
        <w:rPr>
          <w:rFonts w:cstheme="minorHAnsi"/>
        </w:rPr>
        <w:t xml:space="preserve"> </w:t>
      </w:r>
      <w:r w:rsidR="009D72B5" w:rsidRPr="00631676">
        <w:rPr>
          <w:rFonts w:cstheme="minorHAnsi"/>
          <w:i/>
        </w:rPr>
        <w:t>Apprendi</w:t>
      </w:r>
      <w:r w:rsidR="009D72B5" w:rsidRPr="00631676">
        <w:rPr>
          <w:rFonts w:cstheme="minorHAnsi"/>
        </w:rPr>
        <w:t xml:space="preserve"> </w:t>
      </w:r>
      <w:r w:rsidR="009D72B5" w:rsidRPr="00631676">
        <w:rPr>
          <w:rFonts w:cstheme="minorHAnsi"/>
          <w:i/>
        </w:rPr>
        <w:t>v. New Jersey</w:t>
      </w:r>
      <w:r w:rsidR="009D72B5" w:rsidRPr="00631676">
        <w:rPr>
          <w:rFonts w:cstheme="minorHAnsi"/>
        </w:rPr>
        <w:t xml:space="preserve"> (2000) 530 U.S. 466 and </w:t>
      </w:r>
      <w:r w:rsidR="009D72B5" w:rsidRPr="00631676">
        <w:rPr>
          <w:rFonts w:cstheme="minorHAnsi"/>
          <w:i/>
        </w:rPr>
        <w:t>Ring</w:t>
      </w:r>
      <w:r w:rsidR="009D72B5" w:rsidRPr="00631676">
        <w:rPr>
          <w:rFonts w:cstheme="minorHAnsi"/>
        </w:rPr>
        <w:t xml:space="preserve"> </w:t>
      </w:r>
      <w:r w:rsidR="009D72B5" w:rsidRPr="00631676">
        <w:rPr>
          <w:rFonts w:cstheme="minorHAnsi"/>
          <w:i/>
        </w:rPr>
        <w:t>v. Arizona</w:t>
      </w:r>
      <w:r w:rsidR="009D72B5" w:rsidRPr="00631676">
        <w:rPr>
          <w:rFonts w:cstheme="minorHAnsi"/>
        </w:rPr>
        <w:t xml:space="preserve"> (2002) 536 U.S. 584, do not alter that conclusion.  (</w:t>
      </w:r>
      <w:r w:rsidR="00876601" w:rsidRPr="00631676">
        <w:rPr>
          <w:rFonts w:cstheme="minorHAnsi"/>
          <w:i/>
        </w:rPr>
        <w:t>People v. Lopez</w:t>
      </w:r>
      <w:r w:rsidR="00876601" w:rsidRPr="00631676">
        <w:rPr>
          <w:rFonts w:cstheme="minorHAnsi"/>
        </w:rPr>
        <w:t xml:space="preserve"> (2018) 5 Cal.5th 339, 370</w:t>
      </w:r>
      <w:r w:rsidR="00876601">
        <w:rPr>
          <w:rFonts w:cstheme="minorHAnsi"/>
        </w:rPr>
        <w:t xml:space="preserve">; see </w:t>
      </w:r>
      <w:r w:rsidR="009D72B5" w:rsidRPr="00631676">
        <w:rPr>
          <w:rFonts w:cstheme="minorHAnsi"/>
          <w:i/>
        </w:rPr>
        <w:t>People v. Lewis</w:t>
      </w:r>
      <w:r w:rsidR="00490B3D" w:rsidRPr="00631676">
        <w:rPr>
          <w:rFonts w:cstheme="minorHAnsi"/>
        </w:rPr>
        <w:t xml:space="preserve"> (2008) </w:t>
      </w:r>
      <w:r w:rsidR="009D72B5" w:rsidRPr="00631676">
        <w:rPr>
          <w:rFonts w:cstheme="minorHAnsi"/>
        </w:rPr>
        <w:t xml:space="preserve">43 Cal.4th </w:t>
      </w:r>
      <w:r w:rsidR="00490B3D" w:rsidRPr="00631676">
        <w:rPr>
          <w:rFonts w:cstheme="minorHAnsi"/>
        </w:rPr>
        <w:t>415,</w:t>
      </w:r>
      <w:r w:rsidR="009D72B5" w:rsidRPr="00631676">
        <w:rPr>
          <w:rFonts w:cstheme="minorHAnsi"/>
        </w:rPr>
        <w:t xml:space="preserve"> 533 [aggravating factors need not be found beyond a reasonable doubt].)</w:t>
      </w:r>
      <w:r w:rsidR="0014736B" w:rsidRPr="00631676">
        <w:rPr>
          <w:rFonts w:cstheme="minorHAnsi"/>
        </w:rPr>
        <w:t xml:space="preserve">  Nor is the death penalty statute unconstitutional for “permitting jury consideration of a defendant’s unadjudicated violent criminal activity under </w:t>
      </w:r>
      <w:r w:rsidR="009A10C1" w:rsidRPr="00631676">
        <w:rPr>
          <w:rFonts w:cstheme="minorHAnsi"/>
        </w:rPr>
        <w:t xml:space="preserve">[Penal Code] </w:t>
      </w:r>
      <w:r w:rsidR="0014736B" w:rsidRPr="00631676">
        <w:rPr>
          <w:rFonts w:cstheme="minorHAnsi"/>
        </w:rPr>
        <w:t>section 190.3, factor (b).”  (</w:t>
      </w:r>
      <w:r w:rsidR="0014736B" w:rsidRPr="00631676">
        <w:rPr>
          <w:rFonts w:cstheme="minorHAnsi"/>
          <w:i/>
        </w:rPr>
        <w:t>Bryant,</w:t>
      </w:r>
      <w:r w:rsidR="0014736B" w:rsidRPr="00631676">
        <w:rPr>
          <w:rFonts w:cstheme="minorHAnsi"/>
        </w:rPr>
        <w:t xml:space="preserve"> </w:t>
      </w:r>
      <w:r w:rsidR="0014736B" w:rsidRPr="00631676">
        <w:rPr>
          <w:rFonts w:cstheme="minorHAnsi"/>
          <w:i/>
        </w:rPr>
        <w:t>supra</w:t>
      </w:r>
      <w:r w:rsidR="0014736B" w:rsidRPr="00631676">
        <w:rPr>
          <w:rFonts w:cstheme="minorHAnsi"/>
        </w:rPr>
        <w:t>, 60 Cal.4th at p.</w:t>
      </w:r>
      <w:r w:rsidR="00A87A88" w:rsidRPr="00631676">
        <w:rPr>
          <w:rFonts w:cstheme="minorHAnsi"/>
        </w:rPr>
        <w:t> </w:t>
      </w:r>
      <w:r w:rsidR="0014736B" w:rsidRPr="00631676">
        <w:rPr>
          <w:rFonts w:cstheme="minorHAnsi"/>
        </w:rPr>
        <w:t>469.)</w:t>
      </w:r>
    </w:p>
    <w:p w14:paraId="7D5EB948" w14:textId="351F471D" w:rsidR="00A8197E" w:rsidRPr="00631676" w:rsidRDefault="009D72B5" w:rsidP="00180872">
      <w:pPr>
        <w:rPr>
          <w:rFonts w:cstheme="minorHAnsi"/>
        </w:rPr>
      </w:pPr>
      <w:r w:rsidRPr="00631676">
        <w:rPr>
          <w:rFonts w:cstheme="minorHAnsi"/>
        </w:rPr>
        <w:tab/>
      </w:r>
      <w:r w:rsidR="00A8197E" w:rsidRPr="00631676">
        <w:rPr>
          <w:rFonts w:cstheme="minorHAnsi"/>
        </w:rPr>
        <w:t xml:space="preserve">Defendant’s claims concerning the burden of proof are identical to those we considered and rejected in </w:t>
      </w:r>
      <w:r w:rsidR="00A8197E" w:rsidRPr="00631676">
        <w:rPr>
          <w:rFonts w:cstheme="minorHAnsi"/>
          <w:i/>
        </w:rPr>
        <w:t>People v. Mendoza</w:t>
      </w:r>
      <w:r w:rsidR="00A8197E" w:rsidRPr="00631676">
        <w:rPr>
          <w:rFonts w:cstheme="minorHAnsi"/>
        </w:rPr>
        <w:t xml:space="preserve"> (2011) 52 Cal.4th 1056, 1096</w:t>
      </w:r>
      <w:r w:rsidR="00E46427" w:rsidRPr="00631676">
        <w:rPr>
          <w:rFonts w:cstheme="minorHAnsi"/>
        </w:rPr>
        <w:t>:</w:t>
      </w:r>
      <w:r w:rsidR="00A8197E" w:rsidRPr="00631676">
        <w:rPr>
          <w:rFonts w:cstheme="minorHAnsi"/>
        </w:rPr>
        <w:t xml:space="preserve">  “ ‘</w:t>
      </w:r>
      <w:r w:rsidR="00DB205C" w:rsidRPr="00631676">
        <w:rPr>
          <w:rFonts w:cstheme="minorHAnsi"/>
        </w:rPr>
        <w:t> “</w:t>
      </w:r>
      <w:r w:rsidR="00A8197E" w:rsidRPr="00631676">
        <w:rPr>
          <w:rFonts w:cstheme="minorHAnsi"/>
        </w:rPr>
        <w:t>The death penalty scheme is not unconstitutional because it fails to allocate the burden of proof—or establish a standard of proof—for finding the ex</w:t>
      </w:r>
      <w:r w:rsidR="00275E57" w:rsidRPr="00631676">
        <w:rPr>
          <w:rFonts w:cstheme="minorHAnsi"/>
        </w:rPr>
        <w:t>istence of an aggravating factor.</w:t>
      </w:r>
      <w:r w:rsidR="00E46427" w:rsidRPr="00631676">
        <w:rPr>
          <w:rFonts w:cstheme="minorHAnsi"/>
        </w:rPr>
        <w:t>”</w:t>
      </w:r>
      <w:r w:rsidR="00A87A88" w:rsidRPr="00631676">
        <w:rPr>
          <w:rFonts w:cstheme="minorHAnsi"/>
        </w:rPr>
        <w:t> </w:t>
      </w:r>
      <w:r w:rsidR="00E46427" w:rsidRPr="00631676">
        <w:rPr>
          <w:rFonts w:cstheme="minorHAnsi"/>
        </w:rPr>
        <w:t>’</w:t>
      </w:r>
      <w:r w:rsidR="00A87A88" w:rsidRPr="00631676">
        <w:rPr>
          <w:rFonts w:cstheme="minorHAnsi"/>
        </w:rPr>
        <w:t> </w:t>
      </w:r>
      <w:r w:rsidR="00E46427" w:rsidRPr="00631676">
        <w:rPr>
          <w:rFonts w:cstheme="minorHAnsi"/>
        </w:rPr>
        <w:t>”</w:t>
      </w:r>
      <w:r w:rsidR="006C0002" w:rsidRPr="00631676">
        <w:rPr>
          <w:rFonts w:cstheme="minorHAnsi"/>
        </w:rPr>
        <w:t xml:space="preserve">  “</w:t>
      </w:r>
      <w:r w:rsidR="00A8197E" w:rsidRPr="00631676">
        <w:rPr>
          <w:rFonts w:cstheme="minorHAnsi"/>
        </w:rPr>
        <w:t>Nor was the trial court required to instruct the jury that there is no burden of proof at the penalty phase.</w:t>
      </w:r>
      <w:r w:rsidR="006C0002" w:rsidRPr="00631676">
        <w:rPr>
          <w:rFonts w:cstheme="minorHAnsi"/>
        </w:rPr>
        <w:t xml:space="preserve">  [Citation.]  </w:t>
      </w:r>
      <w:r w:rsidR="00A8197E" w:rsidRPr="00631676">
        <w:rPr>
          <w:rFonts w:cstheme="minorHAnsi"/>
        </w:rPr>
        <w:t>The federal Constitution does not require that the state bear some burden of persuasion at the penalty phase, and the jury instructions were not deficient in failing to so provide.</w:t>
      </w:r>
      <w:r w:rsidR="006C0002" w:rsidRPr="00631676">
        <w:rPr>
          <w:rFonts w:cstheme="minorHAnsi"/>
        </w:rPr>
        <w:t>”  (</w:t>
      </w:r>
      <w:r w:rsidR="006C0002" w:rsidRPr="00631676">
        <w:rPr>
          <w:rFonts w:cstheme="minorHAnsi"/>
          <w:i/>
        </w:rPr>
        <w:t>Ibid</w:t>
      </w:r>
      <w:r w:rsidR="006C0002" w:rsidRPr="00631676">
        <w:rPr>
          <w:rFonts w:cstheme="minorHAnsi"/>
        </w:rPr>
        <w:t>.)</w:t>
      </w:r>
      <w:r w:rsidR="00A8197E" w:rsidRPr="00631676">
        <w:rPr>
          <w:rFonts w:cstheme="minorHAnsi"/>
        </w:rPr>
        <w:t xml:space="preserve"> </w:t>
      </w:r>
      <w:r w:rsidR="00275E57" w:rsidRPr="00631676">
        <w:rPr>
          <w:rFonts w:cstheme="minorHAnsi"/>
        </w:rPr>
        <w:t xml:space="preserve"> </w:t>
      </w:r>
    </w:p>
    <w:p w14:paraId="35F70833" w14:textId="77777777" w:rsidR="0022627D" w:rsidRPr="00631676" w:rsidRDefault="00F844DC" w:rsidP="00180872">
      <w:pPr>
        <w:rPr>
          <w:rFonts w:cstheme="minorHAnsi"/>
        </w:rPr>
      </w:pPr>
      <w:r w:rsidRPr="00631676">
        <w:rPr>
          <w:rFonts w:cstheme="minorHAnsi"/>
        </w:rPr>
        <w:tab/>
      </w:r>
      <w:r w:rsidR="00A8197E" w:rsidRPr="00631676">
        <w:rPr>
          <w:rFonts w:cstheme="minorHAnsi"/>
        </w:rPr>
        <w:t>CALJIC No.</w:t>
      </w:r>
      <w:r w:rsidR="00A87A88" w:rsidRPr="00631676">
        <w:rPr>
          <w:rFonts w:cstheme="minorHAnsi"/>
        </w:rPr>
        <w:t> </w:t>
      </w:r>
      <w:r w:rsidR="00A8197E" w:rsidRPr="00631676">
        <w:rPr>
          <w:rFonts w:cstheme="minorHAnsi"/>
        </w:rPr>
        <w:t>8.88 provide</w:t>
      </w:r>
      <w:r w:rsidR="00E3024C" w:rsidRPr="00631676">
        <w:rPr>
          <w:rFonts w:cstheme="minorHAnsi"/>
        </w:rPr>
        <w:t>s</w:t>
      </w:r>
      <w:r w:rsidR="00A8197E" w:rsidRPr="00631676">
        <w:rPr>
          <w:rFonts w:cstheme="minorHAnsi"/>
        </w:rPr>
        <w:t xml:space="preserve"> the jury with </w:t>
      </w:r>
      <w:r w:rsidR="00E3024C" w:rsidRPr="00631676">
        <w:rPr>
          <w:rFonts w:cstheme="minorHAnsi"/>
        </w:rPr>
        <w:t>sufficient</w:t>
      </w:r>
      <w:r w:rsidR="00A8197E" w:rsidRPr="00631676">
        <w:rPr>
          <w:rFonts w:cstheme="minorHAnsi"/>
        </w:rPr>
        <w:t xml:space="preserve"> guidance </w:t>
      </w:r>
      <w:r w:rsidR="00E3024C" w:rsidRPr="00631676">
        <w:rPr>
          <w:rFonts w:cstheme="minorHAnsi"/>
        </w:rPr>
        <w:t>to administer</w:t>
      </w:r>
      <w:r w:rsidR="00A8197E" w:rsidRPr="00631676">
        <w:rPr>
          <w:rFonts w:cstheme="minorHAnsi"/>
        </w:rPr>
        <w:t xml:space="preserve"> the death penalty </w:t>
      </w:r>
      <w:r w:rsidR="00E3024C" w:rsidRPr="00631676">
        <w:rPr>
          <w:rFonts w:cstheme="minorHAnsi"/>
        </w:rPr>
        <w:t>and</w:t>
      </w:r>
      <w:r w:rsidR="00A8197E" w:rsidRPr="00631676">
        <w:rPr>
          <w:rFonts w:cstheme="minorHAnsi"/>
        </w:rPr>
        <w:t xml:space="preserve"> meet constitutional minimum standards.</w:t>
      </w:r>
      <w:r w:rsidRPr="00631676">
        <w:rPr>
          <w:rFonts w:cstheme="minorHAnsi"/>
        </w:rPr>
        <w:t xml:space="preserve"> </w:t>
      </w:r>
      <w:r w:rsidR="00A8197E" w:rsidRPr="00631676">
        <w:rPr>
          <w:rFonts w:cstheme="minorHAnsi"/>
        </w:rPr>
        <w:t xml:space="preserve"> </w:t>
      </w:r>
      <w:r w:rsidR="00E3024C" w:rsidRPr="00631676">
        <w:rPr>
          <w:rFonts w:cstheme="minorHAnsi"/>
        </w:rPr>
        <w:t>“More s</w:t>
      </w:r>
      <w:r w:rsidR="00A8197E" w:rsidRPr="00631676">
        <w:rPr>
          <w:rFonts w:cstheme="minorHAnsi"/>
        </w:rPr>
        <w:t>pecifically, CALJIC No.</w:t>
      </w:r>
      <w:r w:rsidR="00A87A88" w:rsidRPr="00631676">
        <w:rPr>
          <w:rFonts w:cstheme="minorHAnsi"/>
        </w:rPr>
        <w:t> </w:t>
      </w:r>
      <w:r w:rsidR="00A8197E" w:rsidRPr="00631676">
        <w:rPr>
          <w:rFonts w:cstheme="minorHAnsi"/>
        </w:rPr>
        <w:t>8.88</w:t>
      </w:r>
      <w:r w:rsidR="0085757B" w:rsidRPr="00631676">
        <w:rPr>
          <w:rFonts w:cstheme="minorHAnsi"/>
        </w:rPr>
        <w:t>’</w:t>
      </w:r>
      <w:r w:rsidR="00A8197E" w:rsidRPr="00631676">
        <w:rPr>
          <w:rFonts w:cstheme="minorHAnsi"/>
        </w:rPr>
        <w:t xml:space="preserve">s use of the </w:t>
      </w:r>
      <w:r w:rsidR="00E3024C" w:rsidRPr="00631676">
        <w:rPr>
          <w:rFonts w:cstheme="minorHAnsi"/>
        </w:rPr>
        <w:t>.</w:t>
      </w:r>
      <w:r w:rsidR="00A87A88" w:rsidRPr="00631676">
        <w:rPr>
          <w:rFonts w:cstheme="minorHAnsi"/>
        </w:rPr>
        <w:t> </w:t>
      </w:r>
      <w:r w:rsidR="00E3024C" w:rsidRPr="00631676">
        <w:rPr>
          <w:rFonts w:cstheme="minorHAnsi"/>
        </w:rPr>
        <w:t>.</w:t>
      </w:r>
      <w:r w:rsidR="00A87A88" w:rsidRPr="00631676">
        <w:rPr>
          <w:rFonts w:cstheme="minorHAnsi"/>
        </w:rPr>
        <w:t> </w:t>
      </w:r>
      <w:r w:rsidR="00E3024C" w:rsidRPr="00631676">
        <w:rPr>
          <w:rFonts w:cstheme="minorHAnsi"/>
        </w:rPr>
        <w:t xml:space="preserve">. </w:t>
      </w:r>
      <w:r w:rsidR="00A8197E" w:rsidRPr="00631676">
        <w:rPr>
          <w:rFonts w:cstheme="minorHAnsi"/>
        </w:rPr>
        <w:t xml:space="preserve">term </w:t>
      </w:r>
      <w:r w:rsidR="0085757B" w:rsidRPr="00631676">
        <w:rPr>
          <w:rFonts w:cstheme="minorHAnsi"/>
        </w:rPr>
        <w:t xml:space="preserve">‘warranted’ </w:t>
      </w:r>
      <w:r w:rsidR="00E3024C" w:rsidRPr="00631676">
        <w:rPr>
          <w:rFonts w:cstheme="minorHAnsi"/>
        </w:rPr>
        <w:t>.</w:t>
      </w:r>
      <w:r w:rsidR="00A87A88" w:rsidRPr="00631676">
        <w:rPr>
          <w:rFonts w:cstheme="minorHAnsi"/>
        </w:rPr>
        <w:t> </w:t>
      </w:r>
      <w:r w:rsidR="00E3024C" w:rsidRPr="00631676">
        <w:rPr>
          <w:rFonts w:cstheme="minorHAnsi"/>
        </w:rPr>
        <w:t>.</w:t>
      </w:r>
      <w:r w:rsidR="00A87A88" w:rsidRPr="00631676">
        <w:rPr>
          <w:rFonts w:cstheme="minorHAnsi"/>
        </w:rPr>
        <w:t> </w:t>
      </w:r>
      <w:r w:rsidR="00E3024C" w:rsidRPr="00631676">
        <w:rPr>
          <w:rFonts w:cstheme="minorHAnsi"/>
        </w:rPr>
        <w:t xml:space="preserve">. </w:t>
      </w:r>
      <w:r w:rsidR="00A8197E" w:rsidRPr="00631676">
        <w:rPr>
          <w:rFonts w:cstheme="minorHAnsi"/>
        </w:rPr>
        <w:t xml:space="preserve">does not render the instruction impermissibly vague or ambiguous. </w:t>
      </w:r>
      <w:r w:rsidR="0085757B" w:rsidRPr="00631676">
        <w:rPr>
          <w:rFonts w:cstheme="minorHAnsi"/>
        </w:rPr>
        <w:t xml:space="preserve"> [Citations.] </w:t>
      </w:r>
      <w:r w:rsidR="00A8197E" w:rsidRPr="00631676">
        <w:rPr>
          <w:rFonts w:cstheme="minorHAnsi"/>
        </w:rPr>
        <w:t xml:space="preserve"> Where, as here, the jury is instructed in the language of CALJIC No.</w:t>
      </w:r>
      <w:r w:rsidR="00A87A88" w:rsidRPr="00631676">
        <w:rPr>
          <w:rFonts w:cstheme="minorHAnsi"/>
        </w:rPr>
        <w:t> </w:t>
      </w:r>
      <w:r w:rsidR="00A8197E" w:rsidRPr="00631676">
        <w:rPr>
          <w:rFonts w:cstheme="minorHAnsi"/>
        </w:rPr>
        <w:t>8.88, the court need not further instruct that life without parole is mandatory if mitigation outweighs aggravation, or that life without parole is permissible even if ag</w:t>
      </w:r>
      <w:r w:rsidR="009C0984" w:rsidRPr="00631676">
        <w:rPr>
          <w:rFonts w:cstheme="minorHAnsi"/>
        </w:rPr>
        <w:t>gravation outweighs mitigation.”  (</w:t>
      </w:r>
      <w:r w:rsidR="00E3024C" w:rsidRPr="00631676">
        <w:rPr>
          <w:rFonts w:cstheme="minorHAnsi"/>
          <w:i/>
        </w:rPr>
        <w:t>People v. Mendoza</w:t>
      </w:r>
      <w:r w:rsidR="00E3024C" w:rsidRPr="00631676">
        <w:rPr>
          <w:rFonts w:cstheme="minorHAnsi"/>
        </w:rPr>
        <w:t xml:space="preserve">, </w:t>
      </w:r>
      <w:r w:rsidR="00E3024C" w:rsidRPr="00631676">
        <w:rPr>
          <w:rFonts w:cstheme="minorHAnsi"/>
          <w:i/>
        </w:rPr>
        <w:t>supra</w:t>
      </w:r>
      <w:r w:rsidR="007D368F" w:rsidRPr="00631676">
        <w:rPr>
          <w:rFonts w:cstheme="minorHAnsi"/>
        </w:rPr>
        <w:t>, 52 </w:t>
      </w:r>
      <w:r w:rsidR="00E3024C" w:rsidRPr="00631676">
        <w:rPr>
          <w:rFonts w:cstheme="minorHAnsi"/>
        </w:rPr>
        <w:t>Cal.4th</w:t>
      </w:r>
      <w:r w:rsidR="00730424" w:rsidRPr="00631676">
        <w:rPr>
          <w:rFonts w:cstheme="minorHAnsi"/>
        </w:rPr>
        <w:t xml:space="preserve"> at p.</w:t>
      </w:r>
      <w:r w:rsidR="00A87A88" w:rsidRPr="00631676">
        <w:rPr>
          <w:rFonts w:cstheme="minorHAnsi"/>
        </w:rPr>
        <w:t> </w:t>
      </w:r>
      <w:r w:rsidR="009C0984" w:rsidRPr="00631676">
        <w:rPr>
          <w:rFonts w:cstheme="minorHAnsi"/>
        </w:rPr>
        <w:t>1097</w:t>
      </w:r>
      <w:r w:rsidR="000D6E17" w:rsidRPr="00631676">
        <w:rPr>
          <w:rFonts w:cstheme="minorHAnsi"/>
        </w:rPr>
        <w:t>, fn. omitted</w:t>
      </w:r>
      <w:r w:rsidR="009C0984" w:rsidRPr="00631676">
        <w:rPr>
          <w:rFonts w:cstheme="minorHAnsi"/>
        </w:rPr>
        <w:t>.)</w:t>
      </w:r>
    </w:p>
    <w:p w14:paraId="61026EE8" w14:textId="77777777" w:rsidR="0022627D" w:rsidRPr="00631676" w:rsidRDefault="0022627D" w:rsidP="00180872">
      <w:pPr>
        <w:rPr>
          <w:rFonts w:cstheme="minorHAnsi"/>
        </w:rPr>
      </w:pPr>
      <w:r w:rsidRPr="00631676">
        <w:rPr>
          <w:rFonts w:cstheme="minorHAnsi"/>
        </w:rPr>
        <w:tab/>
      </w:r>
      <w:r w:rsidR="00165265" w:rsidRPr="00631676">
        <w:rPr>
          <w:rFonts w:cstheme="minorHAnsi"/>
        </w:rPr>
        <w:t>“The failure to instruct the jury that the prosecution bears some burden of persuasion regarding the jury’s penalty determination does not violate the Sixth, Eighth or Fourteenth Amendment.”  (</w:t>
      </w:r>
      <w:r w:rsidR="00165265" w:rsidRPr="00631676">
        <w:rPr>
          <w:rFonts w:cstheme="minorHAnsi"/>
          <w:i/>
        </w:rPr>
        <w:t>People v. Taylor</w:t>
      </w:r>
      <w:r w:rsidR="00165265" w:rsidRPr="00631676">
        <w:rPr>
          <w:rFonts w:cstheme="minorHAnsi"/>
        </w:rPr>
        <w:t xml:space="preserve"> (2010) 48 Cal.4th 574, 662</w:t>
      </w:r>
      <w:r w:rsidR="00B807B4" w:rsidRPr="00631676">
        <w:rPr>
          <w:rFonts w:cstheme="minorHAnsi"/>
        </w:rPr>
        <w:t>.)</w:t>
      </w:r>
      <w:r w:rsidR="00165265" w:rsidRPr="00631676">
        <w:rPr>
          <w:rFonts w:cstheme="minorHAnsi"/>
        </w:rPr>
        <w:t xml:space="preserve"> </w:t>
      </w:r>
      <w:r w:rsidR="00B807B4" w:rsidRPr="00631676">
        <w:rPr>
          <w:rFonts w:cstheme="minorHAnsi"/>
        </w:rPr>
        <w:t xml:space="preserve"> “Nor does the failure to instruct jurors they must unanimously agree on the existence of particular aggravating factors, but not on the existence of any mitigating factors, violate the Sixth, Eighth, or Fourteenth Amendment.”  (</w:t>
      </w:r>
      <w:r w:rsidR="00B807B4" w:rsidRPr="00631676">
        <w:rPr>
          <w:rFonts w:cstheme="minorHAnsi"/>
          <w:i/>
        </w:rPr>
        <w:t>Ibid</w:t>
      </w:r>
      <w:r w:rsidR="00B807B4" w:rsidRPr="00631676">
        <w:rPr>
          <w:rFonts w:cstheme="minorHAnsi"/>
        </w:rPr>
        <w:t>.)</w:t>
      </w:r>
      <w:r w:rsidR="00A1041E" w:rsidRPr="00631676">
        <w:rPr>
          <w:rFonts w:cstheme="minorHAnsi"/>
        </w:rPr>
        <w:t xml:space="preserve">  “There is no constitutional requirement that a trial court instruct the jury on the ‘</w:t>
      </w:r>
      <w:r w:rsidR="00A87A88" w:rsidRPr="00631676">
        <w:rPr>
          <w:rFonts w:cstheme="minorHAnsi"/>
        </w:rPr>
        <w:t> </w:t>
      </w:r>
      <w:r w:rsidR="00A1041E" w:rsidRPr="00631676">
        <w:rPr>
          <w:rFonts w:cstheme="minorHAnsi"/>
        </w:rPr>
        <w:t>“presumption of life.”</w:t>
      </w:r>
      <w:r w:rsidR="00A87A88" w:rsidRPr="00631676">
        <w:rPr>
          <w:rFonts w:cstheme="minorHAnsi"/>
        </w:rPr>
        <w:t> </w:t>
      </w:r>
      <w:r w:rsidR="00A1041E" w:rsidRPr="00631676">
        <w:rPr>
          <w:rFonts w:cstheme="minorHAnsi"/>
        </w:rPr>
        <w:t>’</w:t>
      </w:r>
      <w:r w:rsidR="00A87A88" w:rsidRPr="00631676">
        <w:rPr>
          <w:rFonts w:cstheme="minorHAnsi"/>
        </w:rPr>
        <w:t> </w:t>
      </w:r>
      <w:r w:rsidR="00A1041E" w:rsidRPr="00631676">
        <w:rPr>
          <w:rFonts w:cstheme="minorHAnsi"/>
        </w:rPr>
        <w:t>”  (</w:t>
      </w:r>
      <w:r w:rsidR="00A1041E" w:rsidRPr="00631676">
        <w:rPr>
          <w:rFonts w:cstheme="minorHAnsi"/>
          <w:i/>
        </w:rPr>
        <w:t>Ibid</w:t>
      </w:r>
      <w:r w:rsidR="00A1041E" w:rsidRPr="00631676">
        <w:rPr>
          <w:rFonts w:cstheme="minorHAnsi"/>
        </w:rPr>
        <w:t xml:space="preserve">., quoting </w:t>
      </w:r>
      <w:r w:rsidR="002E0038" w:rsidRPr="00631676">
        <w:rPr>
          <w:rFonts w:cstheme="minorHAnsi"/>
          <w:i/>
        </w:rPr>
        <w:t>People v. </w:t>
      </w:r>
      <w:r w:rsidR="00A1041E" w:rsidRPr="00631676">
        <w:rPr>
          <w:rFonts w:cstheme="minorHAnsi"/>
          <w:i/>
        </w:rPr>
        <w:t>Whisenhunt</w:t>
      </w:r>
      <w:r w:rsidR="00A1041E" w:rsidRPr="00631676">
        <w:rPr>
          <w:rFonts w:cstheme="minorHAnsi"/>
        </w:rPr>
        <w:t xml:space="preserve"> (2008) 44 Cal.4th 174, 228.)</w:t>
      </w:r>
    </w:p>
    <w:p w14:paraId="3565A714" w14:textId="16AAB9AD" w:rsidR="0022627D" w:rsidRPr="00631676" w:rsidRDefault="0022627D" w:rsidP="00180872">
      <w:pPr>
        <w:rPr>
          <w:rFonts w:cstheme="minorHAnsi"/>
        </w:rPr>
      </w:pPr>
      <w:r w:rsidRPr="00631676">
        <w:rPr>
          <w:rFonts w:cstheme="minorHAnsi"/>
        </w:rPr>
        <w:tab/>
      </w:r>
      <w:r w:rsidR="009D72B5" w:rsidRPr="00631676">
        <w:rPr>
          <w:rFonts w:cstheme="minorHAnsi"/>
        </w:rPr>
        <w:t>The lack of written jury findings during the penalty phase does not violate due process or the Eighth Amendment, nor does it “deprive a capital defendant of meaningful appellate review.”  (</w:t>
      </w:r>
      <w:r w:rsidR="000256E9" w:rsidRPr="00631676">
        <w:rPr>
          <w:rFonts w:cstheme="minorHAnsi"/>
          <w:i/>
        </w:rPr>
        <w:t xml:space="preserve">People v. </w:t>
      </w:r>
      <w:r w:rsidR="009D72B5" w:rsidRPr="00631676">
        <w:rPr>
          <w:rFonts w:cstheme="minorHAnsi"/>
          <w:i/>
        </w:rPr>
        <w:t>Winbush</w:t>
      </w:r>
      <w:r w:rsidR="000256E9" w:rsidRPr="00631676">
        <w:rPr>
          <w:rFonts w:cstheme="minorHAnsi"/>
        </w:rPr>
        <w:t xml:space="preserve"> (2017) 2 Cal.5th 402,</w:t>
      </w:r>
      <w:r w:rsidR="009D72B5" w:rsidRPr="00631676">
        <w:rPr>
          <w:rFonts w:cstheme="minorHAnsi"/>
        </w:rPr>
        <w:t xml:space="preserve"> 490, citing </w:t>
      </w:r>
      <w:r w:rsidR="00CD333A" w:rsidRPr="00631676">
        <w:rPr>
          <w:rFonts w:cstheme="minorHAnsi"/>
          <w:i/>
        </w:rPr>
        <w:t xml:space="preserve">People v. </w:t>
      </w:r>
      <w:r w:rsidR="009D72B5" w:rsidRPr="00631676">
        <w:rPr>
          <w:rFonts w:cstheme="minorHAnsi"/>
          <w:i/>
        </w:rPr>
        <w:t>Linton</w:t>
      </w:r>
      <w:r w:rsidR="00CD333A" w:rsidRPr="00631676">
        <w:rPr>
          <w:rFonts w:cstheme="minorHAnsi"/>
        </w:rPr>
        <w:t xml:space="preserve"> (2013) </w:t>
      </w:r>
      <w:r w:rsidR="009D72B5" w:rsidRPr="00631676">
        <w:rPr>
          <w:rFonts w:cstheme="minorHAnsi"/>
        </w:rPr>
        <w:t xml:space="preserve">56 Cal.4th </w:t>
      </w:r>
      <w:r w:rsidR="00CD333A" w:rsidRPr="00631676">
        <w:rPr>
          <w:rFonts w:cstheme="minorHAnsi"/>
        </w:rPr>
        <w:t>1146,</w:t>
      </w:r>
      <w:r w:rsidR="009D72B5" w:rsidRPr="00631676">
        <w:rPr>
          <w:rFonts w:cstheme="minorHAnsi"/>
        </w:rPr>
        <w:t xml:space="preserve"> 121</w:t>
      </w:r>
      <w:r w:rsidR="000D6E17" w:rsidRPr="00631676">
        <w:rPr>
          <w:rFonts w:cstheme="minorHAnsi"/>
        </w:rPr>
        <w:t>6</w:t>
      </w:r>
      <w:r w:rsidR="009D72B5" w:rsidRPr="00631676">
        <w:rPr>
          <w:rFonts w:cstheme="minorHAnsi"/>
        </w:rPr>
        <w:t>.)</w:t>
      </w:r>
    </w:p>
    <w:p w14:paraId="5AA8628D" w14:textId="288C5823" w:rsidR="00617778" w:rsidRPr="00631676" w:rsidRDefault="009D72B5" w:rsidP="00631676">
      <w:pPr>
        <w:rPr>
          <w:rFonts w:cstheme="minorHAnsi"/>
        </w:rPr>
      </w:pPr>
      <w:r w:rsidRPr="00631676">
        <w:rPr>
          <w:rFonts w:cstheme="minorHAnsi"/>
        </w:rPr>
        <w:tab/>
        <w:t>“Intercase proportionality review, comparing defendant’s case to other murder cases to assess relative culpability, is not required by the due process, equal protection, fair trial, or cruel and unusual punishment clauses of the federal Constitution.”  (</w:t>
      </w:r>
      <w:r w:rsidR="007337C0" w:rsidRPr="00631676">
        <w:rPr>
          <w:rFonts w:cstheme="minorHAnsi"/>
          <w:i/>
        </w:rPr>
        <w:t>People v. </w:t>
      </w:r>
      <w:r w:rsidRPr="00631676">
        <w:rPr>
          <w:rFonts w:cstheme="minorHAnsi"/>
          <w:i/>
        </w:rPr>
        <w:t>Winbush</w:t>
      </w:r>
      <w:r w:rsidRPr="00631676">
        <w:rPr>
          <w:rFonts w:cstheme="minorHAnsi"/>
        </w:rPr>
        <w:t xml:space="preserve">, </w:t>
      </w:r>
      <w:r w:rsidRPr="00631676">
        <w:rPr>
          <w:rFonts w:cstheme="minorHAnsi"/>
          <w:i/>
        </w:rPr>
        <w:t>supra</w:t>
      </w:r>
      <w:r w:rsidRPr="00631676">
        <w:rPr>
          <w:rFonts w:cstheme="minorHAnsi"/>
        </w:rPr>
        <w:t>, 2 Cal.5th at p.</w:t>
      </w:r>
      <w:r w:rsidR="00A87A88" w:rsidRPr="00631676">
        <w:rPr>
          <w:rFonts w:cstheme="minorHAnsi"/>
        </w:rPr>
        <w:t> </w:t>
      </w:r>
      <w:r w:rsidRPr="00631676">
        <w:rPr>
          <w:rFonts w:cstheme="minorHAnsi"/>
        </w:rPr>
        <w:t>490.)</w:t>
      </w:r>
      <w:r w:rsidR="00046B41" w:rsidRPr="00631676">
        <w:rPr>
          <w:rFonts w:cstheme="minorHAnsi"/>
        </w:rPr>
        <w:t xml:space="preserve">  </w:t>
      </w:r>
      <w:r w:rsidRPr="00631676">
        <w:rPr>
          <w:rFonts w:cstheme="minorHAnsi"/>
        </w:rPr>
        <w:t>“</w:t>
      </w:r>
      <w:r w:rsidR="00A87A88" w:rsidRPr="00631676">
        <w:rPr>
          <w:rFonts w:cstheme="minorHAnsi"/>
        </w:rPr>
        <w:t> </w:t>
      </w:r>
      <w:r w:rsidRPr="00631676">
        <w:rPr>
          <w:rFonts w:cstheme="minorHAnsi"/>
        </w:rPr>
        <w:t>‘California’s death penalty law does not violate equal protection by treating capital and noncapital defendants differently.’</w:t>
      </w:r>
      <w:r w:rsidR="00A87A88" w:rsidRPr="00631676">
        <w:rPr>
          <w:rFonts w:cstheme="minorHAnsi"/>
        </w:rPr>
        <w:t> </w:t>
      </w:r>
      <w:r w:rsidRPr="00631676">
        <w:rPr>
          <w:rFonts w:cstheme="minorHAnsi"/>
        </w:rPr>
        <w:t xml:space="preserve">” </w:t>
      </w:r>
      <w:r w:rsidRPr="00631676">
        <w:rPr>
          <w:rFonts w:cstheme="minorHAnsi"/>
          <w:i/>
        </w:rPr>
        <w:t xml:space="preserve"> </w:t>
      </w:r>
      <w:r w:rsidRPr="00631676">
        <w:rPr>
          <w:rFonts w:cstheme="minorHAnsi"/>
        </w:rPr>
        <w:t>(</w:t>
      </w:r>
      <w:r w:rsidR="00CD333A" w:rsidRPr="00631676">
        <w:rPr>
          <w:rFonts w:cstheme="minorHAnsi"/>
          <w:i/>
        </w:rPr>
        <w:t>People v. </w:t>
      </w:r>
      <w:r w:rsidRPr="00631676">
        <w:rPr>
          <w:rFonts w:cstheme="minorHAnsi"/>
          <w:i/>
        </w:rPr>
        <w:t>Anderson</w:t>
      </w:r>
      <w:r w:rsidRPr="00631676">
        <w:rPr>
          <w:rFonts w:cstheme="minorHAnsi"/>
        </w:rPr>
        <w:t xml:space="preserve"> (2018) 5 Cal.5th 372, 425.)</w:t>
      </w:r>
      <w:r w:rsidR="00046B41" w:rsidRPr="00631676">
        <w:rPr>
          <w:rFonts w:cstheme="minorHAnsi"/>
        </w:rPr>
        <w:t xml:space="preserve">  </w:t>
      </w:r>
      <w:r w:rsidRPr="00631676">
        <w:rPr>
          <w:rFonts w:cstheme="minorHAnsi"/>
        </w:rPr>
        <w:t>California’s death penalty statute does not violate international law.  (</w:t>
      </w:r>
      <w:r w:rsidRPr="00631676">
        <w:rPr>
          <w:rFonts w:cstheme="minorHAnsi"/>
          <w:i/>
        </w:rPr>
        <w:t>Ibid</w:t>
      </w:r>
      <w:r w:rsidRPr="00631676">
        <w:rPr>
          <w:rFonts w:cstheme="minorHAnsi"/>
        </w:rPr>
        <w:t xml:space="preserve">; see also </w:t>
      </w:r>
      <w:r w:rsidRPr="00631676">
        <w:rPr>
          <w:rFonts w:cstheme="minorHAnsi"/>
          <w:i/>
        </w:rPr>
        <w:t>People v. Sánchez</w:t>
      </w:r>
      <w:r w:rsidR="000D6E17" w:rsidRPr="00631676">
        <w:rPr>
          <w:rFonts w:cstheme="minorHAnsi"/>
        </w:rPr>
        <w:t xml:space="preserve"> (2016)</w:t>
      </w:r>
      <w:r w:rsidRPr="00631676">
        <w:rPr>
          <w:rFonts w:cstheme="minorHAnsi"/>
        </w:rPr>
        <w:t xml:space="preserve"> 63 Cal.4th </w:t>
      </w:r>
      <w:r w:rsidR="000D6E17" w:rsidRPr="00631676">
        <w:rPr>
          <w:rFonts w:cstheme="minorHAnsi"/>
        </w:rPr>
        <w:t xml:space="preserve">411, </w:t>
      </w:r>
      <w:r w:rsidRPr="00631676">
        <w:rPr>
          <w:rFonts w:cstheme="minorHAnsi"/>
        </w:rPr>
        <w:t>488.)</w:t>
      </w:r>
    </w:p>
    <w:p w14:paraId="08D99B82" w14:textId="3007697A" w:rsidR="00F92B9A" w:rsidRPr="00D86F0D" w:rsidRDefault="00876601" w:rsidP="006604B1">
      <w:pPr>
        <w:pStyle w:val="Heading2"/>
        <w:ind w:left="1440" w:hanging="720"/>
        <w:rPr>
          <w:rFonts w:cstheme="minorHAnsi"/>
          <w:i/>
          <w:szCs w:val="26"/>
        </w:rPr>
      </w:pPr>
      <w:bookmarkStart w:id="39" w:name="_Toc12993776"/>
      <w:r>
        <w:rPr>
          <w:rFonts w:cstheme="minorHAnsi"/>
          <w:szCs w:val="26"/>
        </w:rPr>
        <w:tab/>
      </w:r>
      <w:r w:rsidR="006235C9" w:rsidRPr="00180872">
        <w:rPr>
          <w:rFonts w:cstheme="minorHAnsi"/>
          <w:szCs w:val="26"/>
        </w:rPr>
        <w:t>F</w:t>
      </w:r>
      <w:r w:rsidR="00F92B9A" w:rsidRPr="00180872">
        <w:rPr>
          <w:rFonts w:cstheme="minorHAnsi"/>
          <w:szCs w:val="26"/>
        </w:rPr>
        <w:t>.</w:t>
      </w:r>
      <w:r w:rsidR="00F92B9A" w:rsidRPr="00180872">
        <w:rPr>
          <w:rFonts w:cstheme="minorHAnsi"/>
          <w:szCs w:val="26"/>
        </w:rPr>
        <w:tab/>
      </w:r>
      <w:r w:rsidR="001475C3">
        <w:rPr>
          <w:rFonts w:cstheme="minorHAnsi"/>
          <w:szCs w:val="26"/>
        </w:rPr>
        <w:tab/>
      </w:r>
      <w:r w:rsidR="00AC5DE4" w:rsidRPr="00D86F0D">
        <w:rPr>
          <w:rFonts w:cstheme="minorHAnsi"/>
          <w:szCs w:val="26"/>
        </w:rPr>
        <w:t>State Bar Motion to Quash Defendant’s</w:t>
      </w:r>
      <w:r>
        <w:rPr>
          <w:rFonts w:cstheme="minorHAnsi"/>
          <w:szCs w:val="26"/>
        </w:rPr>
        <w:br/>
        <w:t xml:space="preserve"> </w:t>
      </w:r>
      <w:r w:rsidR="00AC5DE4" w:rsidRPr="00D86F0D">
        <w:rPr>
          <w:rFonts w:cstheme="minorHAnsi"/>
          <w:szCs w:val="26"/>
        </w:rPr>
        <w:t xml:space="preserve"> </w:t>
      </w:r>
      <w:r>
        <w:rPr>
          <w:rFonts w:cstheme="minorHAnsi"/>
          <w:szCs w:val="26"/>
        </w:rPr>
        <w:t xml:space="preserve">       </w:t>
      </w:r>
      <w:r w:rsidR="00AC5DE4" w:rsidRPr="00D86F0D">
        <w:rPr>
          <w:rFonts w:cstheme="minorHAnsi"/>
          <w:szCs w:val="26"/>
        </w:rPr>
        <w:t>Subpoena</w:t>
      </w:r>
      <w:r w:rsidR="00F92B9A" w:rsidRPr="00D86F0D">
        <w:rPr>
          <w:rFonts w:cstheme="minorHAnsi"/>
          <w:szCs w:val="26"/>
        </w:rPr>
        <w:t xml:space="preserve"> </w:t>
      </w:r>
      <w:bookmarkEnd w:id="39"/>
    </w:p>
    <w:p w14:paraId="539F0707" w14:textId="28CF4CF0" w:rsidR="00782233" w:rsidRDefault="008D47AE" w:rsidP="00782233">
      <w:pPr>
        <w:rPr>
          <w:rFonts w:cstheme="minorHAnsi"/>
        </w:rPr>
      </w:pPr>
      <w:r w:rsidRPr="00631676">
        <w:rPr>
          <w:rFonts w:cstheme="minorHAnsi"/>
        </w:rPr>
        <w:tab/>
      </w:r>
      <w:r w:rsidR="00670398">
        <w:rPr>
          <w:rFonts w:cstheme="minorHAnsi"/>
        </w:rPr>
        <w:t>On February 13, 2002</w:t>
      </w:r>
      <w:r w:rsidR="001D69AF">
        <w:rPr>
          <w:rFonts w:cstheme="minorHAnsi"/>
        </w:rPr>
        <w:t>,</w:t>
      </w:r>
      <w:r w:rsidR="00670398">
        <w:rPr>
          <w:rFonts w:cstheme="minorHAnsi"/>
        </w:rPr>
        <w:t xml:space="preserve"> </w:t>
      </w:r>
      <w:r w:rsidR="009E0DD2">
        <w:rPr>
          <w:rFonts w:cstheme="minorHAnsi"/>
        </w:rPr>
        <w:t xml:space="preserve">defendant’s retained counsel, Cheri </w:t>
      </w:r>
      <w:r w:rsidR="00180872">
        <w:rPr>
          <w:rFonts w:cstheme="minorHAnsi"/>
        </w:rPr>
        <w:t>A</w:t>
      </w:r>
      <w:r w:rsidR="009E0DD2">
        <w:rPr>
          <w:rFonts w:cstheme="minorHAnsi"/>
        </w:rPr>
        <w:t xml:space="preserve">. </w:t>
      </w:r>
      <w:r w:rsidR="009E0DD2" w:rsidRPr="00631676">
        <w:rPr>
          <w:rFonts w:cstheme="minorHAnsi"/>
        </w:rPr>
        <w:t>Owen</w:t>
      </w:r>
      <w:r w:rsidR="009E0DD2">
        <w:rPr>
          <w:rFonts w:cstheme="minorHAnsi"/>
        </w:rPr>
        <w:t xml:space="preserve">, </w:t>
      </w:r>
      <w:r w:rsidR="009E0DD2" w:rsidRPr="00631676">
        <w:rPr>
          <w:rFonts w:cstheme="minorHAnsi"/>
        </w:rPr>
        <w:t>submitted a tender of resignation</w:t>
      </w:r>
      <w:r w:rsidR="0039653E">
        <w:rPr>
          <w:rFonts w:cstheme="minorHAnsi"/>
        </w:rPr>
        <w:t xml:space="preserve">, with charges pending, </w:t>
      </w:r>
      <w:r w:rsidR="0009342C">
        <w:rPr>
          <w:rFonts w:cstheme="minorHAnsi"/>
        </w:rPr>
        <w:t xml:space="preserve">from </w:t>
      </w:r>
      <w:r w:rsidR="009E0DD2" w:rsidRPr="00631676">
        <w:rPr>
          <w:rFonts w:cstheme="minorHAnsi"/>
        </w:rPr>
        <w:t>the State Bar</w:t>
      </w:r>
      <w:r w:rsidR="009E0DD2">
        <w:rPr>
          <w:rFonts w:cstheme="minorHAnsi"/>
        </w:rPr>
        <w:t xml:space="preserve">.  </w:t>
      </w:r>
      <w:r w:rsidR="009E0DD2" w:rsidRPr="00631676">
        <w:rPr>
          <w:rFonts w:cstheme="minorHAnsi"/>
        </w:rPr>
        <w:t>She resigned from the State Bar</w:t>
      </w:r>
      <w:r w:rsidR="00422A74">
        <w:rPr>
          <w:rFonts w:cstheme="minorHAnsi"/>
        </w:rPr>
        <w:t xml:space="preserve">, again </w:t>
      </w:r>
      <w:r w:rsidR="009E0DD2" w:rsidRPr="00631676">
        <w:rPr>
          <w:rFonts w:cstheme="minorHAnsi"/>
        </w:rPr>
        <w:t>with charges pending</w:t>
      </w:r>
      <w:r w:rsidR="00422A74">
        <w:rPr>
          <w:rFonts w:cstheme="minorHAnsi"/>
        </w:rPr>
        <w:t xml:space="preserve">, </w:t>
      </w:r>
      <w:r w:rsidR="009E0DD2" w:rsidRPr="00631676">
        <w:rPr>
          <w:rFonts w:cstheme="minorHAnsi"/>
        </w:rPr>
        <w:t>on April 17, 2002.</w:t>
      </w:r>
      <w:r w:rsidR="00782233">
        <w:rPr>
          <w:rFonts w:cstheme="minorHAnsi"/>
        </w:rPr>
        <w:t xml:space="preserve">  </w:t>
      </w:r>
      <w:r w:rsidR="00D31999">
        <w:rPr>
          <w:rFonts w:cstheme="minorHAnsi"/>
        </w:rPr>
        <w:t>In July of that year</w:t>
      </w:r>
      <w:r w:rsidR="005B01A2" w:rsidRPr="00631676">
        <w:rPr>
          <w:rFonts w:cstheme="minorHAnsi"/>
        </w:rPr>
        <w:t>, defendant subpoenaed Owen’s</w:t>
      </w:r>
      <w:r w:rsidR="00A516B9" w:rsidRPr="00631676">
        <w:rPr>
          <w:rFonts w:cstheme="minorHAnsi"/>
        </w:rPr>
        <w:t xml:space="preserve"> records from the State Bar.  </w:t>
      </w:r>
      <w:r w:rsidR="00A454AA">
        <w:rPr>
          <w:rFonts w:cstheme="minorHAnsi"/>
        </w:rPr>
        <w:t xml:space="preserve">The State Bar moved to quash the subpoena, and the trial court granted the motion.  </w:t>
      </w:r>
      <w:r w:rsidR="00D31999">
        <w:rPr>
          <w:rFonts w:cstheme="minorHAnsi"/>
        </w:rPr>
        <w:t>Defendant contends this was error.  We disagree.</w:t>
      </w:r>
    </w:p>
    <w:p w14:paraId="36B4965A" w14:textId="27663D32" w:rsidR="001344E9" w:rsidRPr="00631676" w:rsidRDefault="00D31999" w:rsidP="00D86F0D">
      <w:pPr>
        <w:rPr>
          <w:rFonts w:cstheme="minorHAnsi"/>
        </w:rPr>
      </w:pPr>
      <w:r>
        <w:rPr>
          <w:rFonts w:cstheme="minorHAnsi"/>
        </w:rPr>
        <w:tab/>
        <w:t>Defendant’s subpoena</w:t>
      </w:r>
      <w:r w:rsidR="00A516B9" w:rsidRPr="00631676">
        <w:rPr>
          <w:rFonts w:cstheme="minorHAnsi"/>
        </w:rPr>
        <w:t xml:space="preserve"> sought “</w:t>
      </w:r>
      <w:r w:rsidR="00A87A88" w:rsidRPr="00631676">
        <w:rPr>
          <w:rFonts w:cstheme="minorHAnsi"/>
        </w:rPr>
        <w:t> </w:t>
      </w:r>
      <w:r w:rsidR="00A516B9" w:rsidRPr="00631676">
        <w:rPr>
          <w:rFonts w:cstheme="minorHAnsi"/>
        </w:rPr>
        <w:t>‘</w:t>
      </w:r>
      <w:r>
        <w:rPr>
          <w:rFonts w:cstheme="minorHAnsi"/>
        </w:rPr>
        <w:t>[a]</w:t>
      </w:r>
      <w:r w:rsidR="00A516B9" w:rsidRPr="00631676">
        <w:rPr>
          <w:rFonts w:cstheme="minorHAnsi"/>
        </w:rPr>
        <w:t>ny and all documents pertaining to attorney CHERI A. OWEN, who was admitted to the California State Bar on June 9, 1999, with state bar number 201893.  The documents should include but are not limited to all notes, reports, complaints, and investigative notes and reports.’</w:t>
      </w:r>
      <w:r w:rsidR="00A87A88" w:rsidRPr="00631676">
        <w:rPr>
          <w:rFonts w:cstheme="minorHAnsi"/>
        </w:rPr>
        <w:t> </w:t>
      </w:r>
      <w:r w:rsidR="00A516B9" w:rsidRPr="00631676">
        <w:rPr>
          <w:rFonts w:cstheme="minorHAnsi"/>
        </w:rPr>
        <w:t xml:space="preserve">”  </w:t>
      </w:r>
      <w:r w:rsidR="00782233">
        <w:rPr>
          <w:rFonts w:cstheme="minorHAnsi"/>
        </w:rPr>
        <w:t xml:space="preserve">The State Bar moved to quash the subpoena </w:t>
      </w:r>
      <w:r w:rsidR="005A0384">
        <w:rPr>
          <w:rFonts w:cstheme="minorHAnsi"/>
        </w:rPr>
        <w:t xml:space="preserve">on grounds that the request for “any and all” records was </w:t>
      </w:r>
      <w:proofErr w:type="gramStart"/>
      <w:r w:rsidR="005A0384">
        <w:rPr>
          <w:rFonts w:cstheme="minorHAnsi"/>
        </w:rPr>
        <w:t>overbroad</w:t>
      </w:r>
      <w:proofErr w:type="gramEnd"/>
      <w:r w:rsidR="005A0384">
        <w:rPr>
          <w:rFonts w:cstheme="minorHAnsi"/>
        </w:rPr>
        <w:t xml:space="preserve"> and that the information sought was privileged and confidential.</w:t>
      </w:r>
      <w:r w:rsidR="00E073E0">
        <w:rPr>
          <w:rFonts w:cstheme="minorHAnsi"/>
        </w:rPr>
        <w:t xml:space="preserve">  </w:t>
      </w:r>
      <w:r w:rsidR="00377261">
        <w:rPr>
          <w:rFonts w:cstheme="minorHAnsi"/>
        </w:rPr>
        <w:t>In response, d</w:t>
      </w:r>
      <w:r w:rsidR="001344E9" w:rsidRPr="00631676">
        <w:rPr>
          <w:rFonts w:cstheme="minorHAnsi"/>
        </w:rPr>
        <w:t xml:space="preserve">efendant’s </w:t>
      </w:r>
      <w:r w:rsidR="00377261">
        <w:rPr>
          <w:rFonts w:cstheme="minorHAnsi"/>
        </w:rPr>
        <w:t xml:space="preserve">counsel </w:t>
      </w:r>
      <w:r w:rsidR="001344E9" w:rsidRPr="00631676">
        <w:rPr>
          <w:rFonts w:cstheme="minorHAnsi"/>
        </w:rPr>
        <w:t>argued that in camera review of all State Bar complaints related to Owen was necessary to ascertain whether Owen performed deficiently for client</w:t>
      </w:r>
      <w:r w:rsidR="000B1D62">
        <w:rPr>
          <w:rFonts w:cstheme="minorHAnsi"/>
        </w:rPr>
        <w:t>s</w:t>
      </w:r>
      <w:r w:rsidR="001344E9" w:rsidRPr="00631676">
        <w:rPr>
          <w:rFonts w:cstheme="minorHAnsi"/>
        </w:rPr>
        <w:t xml:space="preserve"> other than defendant while defendant’</w:t>
      </w:r>
      <w:r w:rsidR="00044771" w:rsidRPr="00631676">
        <w:rPr>
          <w:rFonts w:cstheme="minorHAnsi"/>
        </w:rPr>
        <w:t>s trial was ongoing.  This would</w:t>
      </w:r>
      <w:r w:rsidR="007E6D9B" w:rsidRPr="00631676">
        <w:rPr>
          <w:rFonts w:cstheme="minorHAnsi"/>
        </w:rPr>
        <w:t>, he claimed,</w:t>
      </w:r>
      <w:r w:rsidR="001344E9" w:rsidRPr="00631676">
        <w:rPr>
          <w:rFonts w:cstheme="minorHAnsi"/>
        </w:rPr>
        <w:t xml:space="preserve"> help </w:t>
      </w:r>
      <w:r w:rsidR="000B1D62">
        <w:rPr>
          <w:rFonts w:cstheme="minorHAnsi"/>
        </w:rPr>
        <w:t xml:space="preserve">determine whether Owen performed adequately </w:t>
      </w:r>
      <w:r w:rsidR="001344E9" w:rsidRPr="00631676">
        <w:rPr>
          <w:rFonts w:cstheme="minorHAnsi"/>
        </w:rPr>
        <w:t xml:space="preserve">during </w:t>
      </w:r>
      <w:r w:rsidR="00044771" w:rsidRPr="00631676">
        <w:rPr>
          <w:rFonts w:cstheme="minorHAnsi"/>
        </w:rPr>
        <w:t>defendant’s</w:t>
      </w:r>
      <w:r w:rsidR="001344E9" w:rsidRPr="00631676">
        <w:rPr>
          <w:rFonts w:cstheme="minorHAnsi"/>
        </w:rPr>
        <w:t xml:space="preserve"> trial.  </w:t>
      </w:r>
    </w:p>
    <w:p w14:paraId="48F8CAA5" w14:textId="028B42C6" w:rsidR="00BA7E49" w:rsidRPr="00631676" w:rsidRDefault="00BA7E49" w:rsidP="00D86F0D">
      <w:pPr>
        <w:rPr>
          <w:rFonts w:cstheme="minorHAnsi"/>
        </w:rPr>
      </w:pPr>
      <w:r w:rsidRPr="00631676">
        <w:rPr>
          <w:rFonts w:cstheme="minorHAnsi"/>
        </w:rPr>
        <w:tab/>
      </w:r>
      <w:r w:rsidRPr="00D71AB1">
        <w:rPr>
          <w:rFonts w:cstheme="minorHAnsi"/>
        </w:rPr>
        <w:t xml:space="preserve">The trial court </w:t>
      </w:r>
      <w:r w:rsidR="000B1D62" w:rsidRPr="00D71AB1">
        <w:rPr>
          <w:rFonts w:cstheme="minorHAnsi"/>
        </w:rPr>
        <w:t>granted the State Bar’s motion to quash on grounds that the documents were privileged.</w:t>
      </w:r>
      <w:r w:rsidR="005809C8" w:rsidRPr="00D71AB1">
        <w:rPr>
          <w:rFonts w:cstheme="minorHAnsi"/>
        </w:rPr>
        <w:t xml:space="preserve">  </w:t>
      </w:r>
      <w:r w:rsidR="000B1D62" w:rsidRPr="00D71AB1">
        <w:rPr>
          <w:rFonts w:cstheme="minorHAnsi"/>
        </w:rPr>
        <w:t xml:space="preserve">And while the court acknowledged that </w:t>
      </w:r>
      <w:r w:rsidRPr="00D71AB1">
        <w:rPr>
          <w:rFonts w:cstheme="minorHAnsi"/>
        </w:rPr>
        <w:t xml:space="preserve">due process </w:t>
      </w:r>
      <w:r w:rsidR="00885E6B" w:rsidRPr="00D71AB1">
        <w:rPr>
          <w:rFonts w:cstheme="minorHAnsi"/>
        </w:rPr>
        <w:t xml:space="preserve">might </w:t>
      </w:r>
      <w:r w:rsidR="00E825B2" w:rsidRPr="00D71AB1">
        <w:rPr>
          <w:rFonts w:cstheme="minorHAnsi"/>
        </w:rPr>
        <w:t xml:space="preserve">nevertheless require release if the </w:t>
      </w:r>
      <w:r w:rsidRPr="00D71AB1">
        <w:rPr>
          <w:rFonts w:cstheme="minorHAnsi"/>
        </w:rPr>
        <w:t>requested information</w:t>
      </w:r>
      <w:r w:rsidR="00EB601E" w:rsidRPr="00D71AB1">
        <w:rPr>
          <w:rFonts w:cstheme="minorHAnsi"/>
        </w:rPr>
        <w:t xml:space="preserve"> met a certain standard of relevance,</w:t>
      </w:r>
      <w:r w:rsidR="00EB601E">
        <w:rPr>
          <w:rFonts w:cstheme="minorHAnsi"/>
        </w:rPr>
        <w:t xml:space="preserve"> defendant had not made such a showing</w:t>
      </w:r>
      <w:r w:rsidR="00AF4E4A" w:rsidRPr="00631676">
        <w:rPr>
          <w:rFonts w:cstheme="minorHAnsi"/>
        </w:rPr>
        <w:t xml:space="preserve">.  </w:t>
      </w:r>
      <w:r w:rsidR="006A71C3" w:rsidRPr="00631676">
        <w:rPr>
          <w:rFonts w:cstheme="minorHAnsi"/>
        </w:rPr>
        <w:t xml:space="preserve">The court </w:t>
      </w:r>
      <w:r w:rsidR="000456DB">
        <w:rPr>
          <w:rFonts w:cstheme="minorHAnsi"/>
        </w:rPr>
        <w:t xml:space="preserve">explained </w:t>
      </w:r>
      <w:r w:rsidR="006A71C3" w:rsidRPr="00631676">
        <w:rPr>
          <w:rFonts w:cstheme="minorHAnsi"/>
        </w:rPr>
        <w:t xml:space="preserve">the best lens through which to view whether or not </w:t>
      </w:r>
      <w:r w:rsidR="00534828">
        <w:rPr>
          <w:rFonts w:cstheme="minorHAnsi"/>
        </w:rPr>
        <w:t xml:space="preserve">Owen </w:t>
      </w:r>
      <w:r w:rsidR="006A71C3" w:rsidRPr="00631676">
        <w:rPr>
          <w:rFonts w:cstheme="minorHAnsi"/>
        </w:rPr>
        <w:t xml:space="preserve">competently performed her duties while representing defendant was “looking at what Miss Owen did or did not do in connection with this case.  If she didn’t make the proper investigation, if she didn’t talk to the witnesses she should have talked to, if she didn’t properly prepare her briefs or the legal issues in the case, if she didn’t properly present the case in trial, that’s what you look at, and that’s the proof of the pudding.”  Looking at a complaint made by someone else would have no bearing on </w:t>
      </w:r>
      <w:r w:rsidR="005809C8">
        <w:rPr>
          <w:rFonts w:cstheme="minorHAnsi"/>
        </w:rPr>
        <w:t xml:space="preserve">the adequacy of </w:t>
      </w:r>
      <w:r w:rsidR="006A71C3" w:rsidRPr="00631676">
        <w:rPr>
          <w:rFonts w:cstheme="minorHAnsi"/>
        </w:rPr>
        <w:t>her performance in defendant’s case.</w:t>
      </w:r>
      <w:r w:rsidR="005809C8">
        <w:rPr>
          <w:rFonts w:cstheme="minorHAnsi"/>
        </w:rPr>
        <w:t xml:space="preserve">  The trial court also denied defendant’s request </w:t>
      </w:r>
      <w:r w:rsidRPr="00631676">
        <w:rPr>
          <w:rFonts w:cstheme="minorHAnsi"/>
        </w:rPr>
        <w:t xml:space="preserve">that the </w:t>
      </w:r>
      <w:r w:rsidR="005809C8">
        <w:rPr>
          <w:rFonts w:cstheme="minorHAnsi"/>
        </w:rPr>
        <w:t xml:space="preserve">requested </w:t>
      </w:r>
      <w:r w:rsidRPr="00631676">
        <w:rPr>
          <w:rFonts w:cstheme="minorHAnsi"/>
        </w:rPr>
        <w:t>documents be produced to the court and sealed.</w:t>
      </w:r>
      <w:r w:rsidR="00F069D6" w:rsidRPr="00631676">
        <w:rPr>
          <w:rStyle w:val="FootnoteReference"/>
          <w:rFonts w:cstheme="minorHAnsi"/>
        </w:rPr>
        <w:footnoteReference w:id="14"/>
      </w:r>
      <w:r w:rsidRPr="00631676">
        <w:rPr>
          <w:rFonts w:cstheme="minorHAnsi"/>
        </w:rPr>
        <w:t xml:space="preserve">  </w:t>
      </w:r>
    </w:p>
    <w:p w14:paraId="13ADE4D7" w14:textId="67FA5321" w:rsidR="00044771" w:rsidRPr="00631676" w:rsidRDefault="00044771" w:rsidP="00D86F0D">
      <w:pPr>
        <w:rPr>
          <w:rFonts w:cstheme="minorHAnsi"/>
        </w:rPr>
      </w:pPr>
      <w:r w:rsidRPr="00631676">
        <w:rPr>
          <w:rFonts w:cstheme="minorHAnsi"/>
        </w:rPr>
        <w:tab/>
      </w:r>
      <w:r w:rsidR="005F667B">
        <w:rPr>
          <w:rFonts w:cstheme="minorHAnsi"/>
        </w:rPr>
        <w:t>Contrary to defendant’s arguments, we see no error in the trial court’s ruling.</w:t>
      </w:r>
      <w:r w:rsidR="00FD111F">
        <w:rPr>
          <w:rFonts w:cstheme="minorHAnsi"/>
        </w:rPr>
        <w:t xml:space="preserve">  </w:t>
      </w:r>
      <w:r w:rsidR="00351B45">
        <w:rPr>
          <w:rFonts w:cstheme="minorHAnsi"/>
        </w:rPr>
        <w:t>Numerous provisions of law establish the privileged and confidential status of the information defendant sought from the State Bar.</w:t>
      </w:r>
      <w:r w:rsidR="00621E30">
        <w:rPr>
          <w:rFonts w:cstheme="minorHAnsi"/>
        </w:rPr>
        <w:t xml:space="preserve"> </w:t>
      </w:r>
      <w:r w:rsidR="00351B45">
        <w:rPr>
          <w:rFonts w:cstheme="minorHAnsi"/>
        </w:rPr>
        <w:t xml:space="preserve">For example, </w:t>
      </w:r>
      <w:r w:rsidR="0083224F" w:rsidRPr="00631676">
        <w:rPr>
          <w:rFonts w:cstheme="minorHAnsi"/>
        </w:rPr>
        <w:t>Business and Professions Code section 6086.1, subdivision (b)</w:t>
      </w:r>
      <w:r w:rsidR="004931CD" w:rsidRPr="00631676">
        <w:rPr>
          <w:rFonts w:cstheme="minorHAnsi"/>
        </w:rPr>
        <w:t xml:space="preserve"> </w:t>
      </w:r>
      <w:r w:rsidR="0083224F" w:rsidRPr="00631676">
        <w:rPr>
          <w:rFonts w:cstheme="minorHAnsi"/>
        </w:rPr>
        <w:t xml:space="preserve">provides that </w:t>
      </w:r>
      <w:r w:rsidR="000D6E17" w:rsidRPr="00631676">
        <w:rPr>
          <w:rFonts w:cstheme="minorHAnsi"/>
        </w:rPr>
        <w:t>S</w:t>
      </w:r>
      <w:r w:rsidR="0083224F" w:rsidRPr="00631676">
        <w:rPr>
          <w:rFonts w:cstheme="minorHAnsi"/>
        </w:rPr>
        <w:t xml:space="preserve">tate </w:t>
      </w:r>
      <w:r w:rsidR="000D6E17" w:rsidRPr="00631676">
        <w:rPr>
          <w:rFonts w:cstheme="minorHAnsi"/>
        </w:rPr>
        <w:t>B</w:t>
      </w:r>
      <w:r w:rsidR="0083224F" w:rsidRPr="00631676">
        <w:rPr>
          <w:rFonts w:cstheme="minorHAnsi"/>
        </w:rPr>
        <w:t>ar disciplin</w:t>
      </w:r>
      <w:r w:rsidR="0053580C">
        <w:rPr>
          <w:rFonts w:cstheme="minorHAnsi"/>
        </w:rPr>
        <w:t>ary</w:t>
      </w:r>
      <w:r w:rsidR="0083224F" w:rsidRPr="00631676">
        <w:rPr>
          <w:rFonts w:cstheme="minorHAnsi"/>
        </w:rPr>
        <w:t xml:space="preserve"> investigations are confidential until charges are filed.  </w:t>
      </w:r>
      <w:r w:rsidR="00E5062F" w:rsidRPr="00631676">
        <w:rPr>
          <w:rFonts w:cstheme="minorHAnsi"/>
        </w:rPr>
        <w:t xml:space="preserve">Business and Professions Code section 6094 </w:t>
      </w:r>
      <w:r w:rsidR="00185B5E">
        <w:rPr>
          <w:rFonts w:cstheme="minorHAnsi"/>
        </w:rPr>
        <w:t xml:space="preserve">further </w:t>
      </w:r>
      <w:r w:rsidR="00E5062F" w:rsidRPr="00631676">
        <w:rPr>
          <w:rFonts w:cstheme="minorHAnsi"/>
        </w:rPr>
        <w:t xml:space="preserve">provides that complaints made to a disciplinary agency regarding attorney misconduct issues or incompetence </w:t>
      </w:r>
      <w:r w:rsidR="007077A9">
        <w:rPr>
          <w:rFonts w:cstheme="minorHAnsi"/>
        </w:rPr>
        <w:t xml:space="preserve">are </w:t>
      </w:r>
      <w:r w:rsidR="00E5062F" w:rsidRPr="00631676">
        <w:rPr>
          <w:rFonts w:cstheme="minorHAnsi"/>
        </w:rPr>
        <w:t>privileged.</w:t>
      </w:r>
      <w:r w:rsidR="007077A9">
        <w:rPr>
          <w:rFonts w:cstheme="minorHAnsi"/>
        </w:rPr>
        <w:t xml:space="preserve">  </w:t>
      </w:r>
      <w:r w:rsidR="00351B45">
        <w:rPr>
          <w:rFonts w:cstheme="minorHAnsi"/>
        </w:rPr>
        <w:t>T</w:t>
      </w:r>
      <w:r w:rsidR="007077A9">
        <w:rPr>
          <w:rFonts w:cstheme="minorHAnsi"/>
        </w:rPr>
        <w:t xml:space="preserve">he State Bar </w:t>
      </w:r>
      <w:r w:rsidR="00A47BA4" w:rsidRPr="00631676">
        <w:rPr>
          <w:rFonts w:cstheme="minorHAnsi"/>
        </w:rPr>
        <w:t xml:space="preserve">Rules of Procedure, rules 2301 and 2302(a), </w:t>
      </w:r>
      <w:r w:rsidR="00351B45">
        <w:rPr>
          <w:rFonts w:cstheme="minorHAnsi"/>
        </w:rPr>
        <w:t xml:space="preserve">likewise </w:t>
      </w:r>
      <w:r w:rsidR="00186DD5" w:rsidRPr="00631676">
        <w:rPr>
          <w:rFonts w:cstheme="minorHAnsi"/>
        </w:rPr>
        <w:t>state</w:t>
      </w:r>
      <w:r w:rsidR="00880D6B" w:rsidRPr="00631676">
        <w:rPr>
          <w:rFonts w:cstheme="minorHAnsi"/>
        </w:rPr>
        <w:t>, respectively,</w:t>
      </w:r>
      <w:r w:rsidR="00A47BA4" w:rsidRPr="00631676">
        <w:rPr>
          <w:rFonts w:cstheme="minorHAnsi"/>
        </w:rPr>
        <w:t xml:space="preserve"> “the files and records of the Office of the Chief Trial Counsel are confidential”</w:t>
      </w:r>
      <w:r w:rsidR="00880D6B" w:rsidRPr="00631676">
        <w:rPr>
          <w:rFonts w:cstheme="minorHAnsi"/>
        </w:rPr>
        <w:t xml:space="preserve"> and, with exceptions, “information concerning inquiries, complaints or investigations is confidential.”</w:t>
      </w:r>
      <w:r w:rsidR="000104E3">
        <w:rPr>
          <w:rFonts w:cstheme="minorHAnsi"/>
        </w:rPr>
        <w:t xml:space="preserve">  </w:t>
      </w:r>
    </w:p>
    <w:p w14:paraId="1130D431" w14:textId="5EE9FC6E" w:rsidR="0057430E" w:rsidRPr="00631676" w:rsidRDefault="00EB4CDB" w:rsidP="00D86F0D">
      <w:pPr>
        <w:rPr>
          <w:rFonts w:cstheme="minorHAnsi"/>
        </w:rPr>
      </w:pPr>
      <w:r w:rsidRPr="00631676">
        <w:rPr>
          <w:rFonts w:cstheme="minorHAnsi"/>
        </w:rPr>
        <w:tab/>
      </w:r>
      <w:r w:rsidR="00351B45">
        <w:rPr>
          <w:rFonts w:cstheme="minorHAnsi"/>
        </w:rPr>
        <w:t xml:space="preserve">Nor has defendant established that the ruling violated his due process rights.  Defendant invokes </w:t>
      </w:r>
      <w:r w:rsidR="00BE0316" w:rsidRPr="00631676">
        <w:rPr>
          <w:rFonts w:cstheme="minorHAnsi"/>
        </w:rPr>
        <w:t xml:space="preserve">the high court’s decision in </w:t>
      </w:r>
      <w:r w:rsidR="00BE0316" w:rsidRPr="00631676">
        <w:rPr>
          <w:rFonts w:cstheme="minorHAnsi"/>
          <w:i/>
        </w:rPr>
        <w:t>Pennsylvania v. Ritchie</w:t>
      </w:r>
      <w:r w:rsidR="00BE0316" w:rsidRPr="00631676">
        <w:rPr>
          <w:rFonts w:cstheme="minorHAnsi"/>
        </w:rPr>
        <w:t xml:space="preserve"> (1987) 480 U.S. 39, 57</w:t>
      </w:r>
      <w:r w:rsidR="007E6D9B" w:rsidRPr="00631676">
        <w:rPr>
          <w:rFonts w:cstheme="minorHAnsi"/>
        </w:rPr>
        <w:t>–</w:t>
      </w:r>
      <w:r w:rsidR="00BE0316" w:rsidRPr="00631676">
        <w:rPr>
          <w:rFonts w:cstheme="minorHAnsi"/>
        </w:rPr>
        <w:t>58</w:t>
      </w:r>
      <w:r w:rsidR="00351B45">
        <w:rPr>
          <w:rFonts w:cstheme="minorHAnsi"/>
        </w:rPr>
        <w:t xml:space="preserve">, in which the court ruled that a defendant accused of </w:t>
      </w:r>
      <w:r w:rsidR="00423B04">
        <w:rPr>
          <w:rFonts w:cstheme="minorHAnsi"/>
        </w:rPr>
        <w:t xml:space="preserve">child sexual abuse </w:t>
      </w:r>
      <w:r w:rsidR="00351B45">
        <w:rPr>
          <w:rFonts w:cstheme="minorHAnsi"/>
        </w:rPr>
        <w:t xml:space="preserve">was entitled to have a court conduct an in camera review of confidential case </w:t>
      </w:r>
      <w:r w:rsidR="000367BA">
        <w:rPr>
          <w:rFonts w:cstheme="minorHAnsi"/>
        </w:rPr>
        <w:t xml:space="preserve">reports that </w:t>
      </w:r>
      <w:r w:rsidR="00423B04">
        <w:rPr>
          <w:rFonts w:cstheme="minorHAnsi"/>
        </w:rPr>
        <w:t xml:space="preserve">might have contained evidence </w:t>
      </w:r>
      <w:r w:rsidR="00757790">
        <w:rPr>
          <w:rFonts w:cstheme="minorHAnsi"/>
        </w:rPr>
        <w:t>relevant to his defense</w:t>
      </w:r>
      <w:r w:rsidR="00423B04">
        <w:rPr>
          <w:rFonts w:cstheme="minorHAnsi"/>
        </w:rPr>
        <w:t>.</w:t>
      </w:r>
      <w:r w:rsidR="00DC3068">
        <w:rPr>
          <w:rFonts w:cstheme="minorHAnsi"/>
        </w:rPr>
        <w:t xml:space="preserve">  </w:t>
      </w:r>
      <w:r w:rsidR="00423B04">
        <w:rPr>
          <w:rFonts w:cstheme="minorHAnsi"/>
        </w:rPr>
        <w:t xml:space="preserve">But here, by contrast, </w:t>
      </w:r>
      <w:r w:rsidR="003D16F8" w:rsidRPr="00631676">
        <w:rPr>
          <w:rFonts w:cstheme="minorHAnsi"/>
        </w:rPr>
        <w:t xml:space="preserve">the </w:t>
      </w:r>
      <w:r w:rsidR="004E5616">
        <w:rPr>
          <w:rFonts w:cstheme="minorHAnsi"/>
        </w:rPr>
        <w:t xml:space="preserve">information </w:t>
      </w:r>
      <w:r w:rsidR="003D16F8" w:rsidRPr="00631676">
        <w:rPr>
          <w:rFonts w:cstheme="minorHAnsi"/>
        </w:rPr>
        <w:t xml:space="preserve">defendant sought to obtain from the State Bar </w:t>
      </w:r>
      <w:r w:rsidR="00DC3068">
        <w:rPr>
          <w:rFonts w:cstheme="minorHAnsi"/>
        </w:rPr>
        <w:t xml:space="preserve">was not relevant to defendant’s case.  Defendant sought information about complaints made by others about Owen’s performance as a lawyer but </w:t>
      </w:r>
      <w:r w:rsidR="00E75616">
        <w:rPr>
          <w:rFonts w:cstheme="minorHAnsi"/>
        </w:rPr>
        <w:t xml:space="preserve">failed to show how </w:t>
      </w:r>
      <w:r w:rsidR="003D16F8" w:rsidRPr="00631676">
        <w:rPr>
          <w:rFonts w:cstheme="minorHAnsi"/>
        </w:rPr>
        <w:t xml:space="preserve">complaints </w:t>
      </w:r>
      <w:r w:rsidR="000A5794">
        <w:rPr>
          <w:rFonts w:cstheme="minorHAnsi"/>
        </w:rPr>
        <w:t xml:space="preserve">made by </w:t>
      </w:r>
      <w:r w:rsidR="003D16F8" w:rsidRPr="00631676">
        <w:rPr>
          <w:rFonts w:cstheme="minorHAnsi"/>
        </w:rPr>
        <w:t xml:space="preserve">others would bear </w:t>
      </w:r>
      <w:r w:rsidR="000A5794">
        <w:rPr>
          <w:rFonts w:cstheme="minorHAnsi"/>
        </w:rPr>
        <w:t xml:space="preserve">on whether she committed prejudicial errors in her </w:t>
      </w:r>
      <w:r w:rsidR="007E6D9B" w:rsidRPr="00631676">
        <w:rPr>
          <w:rFonts w:cstheme="minorHAnsi"/>
        </w:rPr>
        <w:t xml:space="preserve">representation </w:t>
      </w:r>
      <w:r w:rsidR="003D16F8" w:rsidRPr="00631676">
        <w:rPr>
          <w:rFonts w:cstheme="minorHAnsi"/>
        </w:rPr>
        <w:t xml:space="preserve">of defendant.  (See </w:t>
      </w:r>
      <w:r w:rsidR="003D16F8" w:rsidRPr="00631676">
        <w:rPr>
          <w:rFonts w:cstheme="minorHAnsi"/>
          <w:i/>
        </w:rPr>
        <w:t>Strickland v. Washington</w:t>
      </w:r>
      <w:r w:rsidR="007D3E87" w:rsidRPr="00631676">
        <w:rPr>
          <w:rFonts w:cstheme="minorHAnsi"/>
        </w:rPr>
        <w:t xml:space="preserve"> (1984) 466 </w:t>
      </w:r>
      <w:r w:rsidR="008D7950" w:rsidRPr="00631676">
        <w:rPr>
          <w:rFonts w:cstheme="minorHAnsi"/>
        </w:rPr>
        <w:t xml:space="preserve">U.S. 668, 687.)  </w:t>
      </w:r>
      <w:r w:rsidR="00FD1216" w:rsidRPr="00631676">
        <w:rPr>
          <w:rFonts w:cstheme="minorHAnsi"/>
        </w:rPr>
        <w:t xml:space="preserve">Accordingly, </w:t>
      </w:r>
      <w:r w:rsidR="000B5CE3" w:rsidRPr="00631676">
        <w:rPr>
          <w:rFonts w:cstheme="minorHAnsi"/>
        </w:rPr>
        <w:t>we</w:t>
      </w:r>
      <w:r w:rsidR="00FD1216" w:rsidRPr="00631676">
        <w:rPr>
          <w:rFonts w:cstheme="minorHAnsi"/>
        </w:rPr>
        <w:t xml:space="preserve"> conclude the trial court’s decision granting the State Bar’s motion to quash defendant’s subpoena for Owen’s records was not in error.</w:t>
      </w:r>
      <w:r w:rsidR="008D47AE" w:rsidRPr="00631676">
        <w:rPr>
          <w:rFonts w:cstheme="minorHAnsi"/>
        </w:rPr>
        <w:t xml:space="preserve"> </w:t>
      </w:r>
    </w:p>
    <w:p w14:paraId="215AB9CC" w14:textId="01B41088" w:rsidR="007346EC" w:rsidRPr="00D86F0D" w:rsidRDefault="007346EC" w:rsidP="00D86F0D">
      <w:pPr>
        <w:pStyle w:val="Heading2"/>
        <w:rPr>
          <w:rFonts w:cstheme="minorHAnsi"/>
          <w:i/>
          <w:szCs w:val="26"/>
        </w:rPr>
      </w:pPr>
      <w:r w:rsidRPr="00D86F0D">
        <w:rPr>
          <w:rFonts w:cstheme="minorHAnsi"/>
          <w:b w:val="0"/>
        </w:rPr>
        <w:tab/>
      </w:r>
      <w:bookmarkStart w:id="40" w:name="_Toc12993777"/>
      <w:r w:rsidR="006235C9" w:rsidRPr="00D86F0D">
        <w:rPr>
          <w:rFonts w:cstheme="minorHAnsi"/>
          <w:szCs w:val="26"/>
        </w:rPr>
        <w:t>G</w:t>
      </w:r>
      <w:r w:rsidRPr="00D86F0D">
        <w:rPr>
          <w:rFonts w:cstheme="minorHAnsi"/>
          <w:szCs w:val="26"/>
        </w:rPr>
        <w:t>.</w:t>
      </w:r>
      <w:r w:rsidRPr="00D86F0D">
        <w:rPr>
          <w:rFonts w:cstheme="minorHAnsi"/>
          <w:szCs w:val="26"/>
        </w:rPr>
        <w:tab/>
        <w:t xml:space="preserve">Denial of Motion for New Trial </w:t>
      </w:r>
      <w:bookmarkEnd w:id="40"/>
    </w:p>
    <w:p w14:paraId="41D8456E" w14:textId="0B87C44D" w:rsidR="002A0388" w:rsidRDefault="00E477AE">
      <w:pPr>
        <w:rPr>
          <w:rFonts w:cstheme="minorHAnsi"/>
        </w:rPr>
      </w:pPr>
      <w:r w:rsidRPr="00631676">
        <w:rPr>
          <w:rFonts w:cstheme="minorHAnsi"/>
        </w:rPr>
        <w:tab/>
      </w:r>
      <w:r w:rsidR="009E0DD2">
        <w:rPr>
          <w:rFonts w:cstheme="minorHAnsi"/>
        </w:rPr>
        <w:t>D</w:t>
      </w:r>
      <w:r w:rsidR="0016543E">
        <w:rPr>
          <w:rFonts w:cstheme="minorHAnsi"/>
        </w:rPr>
        <w:t xml:space="preserve">efendant </w:t>
      </w:r>
      <w:r w:rsidR="00786CEC">
        <w:rPr>
          <w:rFonts w:cstheme="minorHAnsi"/>
        </w:rPr>
        <w:t xml:space="preserve">also filed a motion seeking a new trial on </w:t>
      </w:r>
      <w:r w:rsidR="005C330C">
        <w:rPr>
          <w:rFonts w:cstheme="minorHAnsi"/>
        </w:rPr>
        <w:t xml:space="preserve">numerous </w:t>
      </w:r>
      <w:r w:rsidR="00786CEC">
        <w:rPr>
          <w:rFonts w:cstheme="minorHAnsi"/>
        </w:rPr>
        <w:t>grounds</w:t>
      </w:r>
      <w:r w:rsidR="005C330C">
        <w:rPr>
          <w:rFonts w:cstheme="minorHAnsi"/>
        </w:rPr>
        <w:t>, including</w:t>
      </w:r>
      <w:r w:rsidR="005B7D89">
        <w:rPr>
          <w:rFonts w:cstheme="minorHAnsi"/>
        </w:rPr>
        <w:t>, as relevant here,</w:t>
      </w:r>
      <w:r w:rsidR="005C330C">
        <w:rPr>
          <w:rFonts w:cstheme="minorHAnsi"/>
        </w:rPr>
        <w:t xml:space="preserve"> </w:t>
      </w:r>
      <w:r w:rsidR="005D3BF4">
        <w:rPr>
          <w:rFonts w:cstheme="minorHAnsi"/>
        </w:rPr>
        <w:t>Owen’s deficient performance as defense counsel</w:t>
      </w:r>
      <w:r w:rsidR="00786CEC">
        <w:rPr>
          <w:rFonts w:cstheme="minorHAnsi"/>
        </w:rPr>
        <w:t>.</w:t>
      </w:r>
      <w:r w:rsidR="00717692">
        <w:rPr>
          <w:rFonts w:cstheme="minorHAnsi"/>
        </w:rPr>
        <w:t xml:space="preserve">  </w:t>
      </w:r>
      <w:r w:rsidR="00641985">
        <w:rPr>
          <w:rFonts w:cstheme="minorHAnsi"/>
        </w:rPr>
        <w:t>The trial court denied the motion without holding a hearing.  Defendant contends this was error.  We conclude the trial court acted within its discretion in disposing of the new trial motion.</w:t>
      </w:r>
    </w:p>
    <w:p w14:paraId="1A1D04D2" w14:textId="77777777" w:rsidR="009374C0" w:rsidRPr="00631676" w:rsidRDefault="009374C0" w:rsidP="00B00EAA">
      <w:pPr>
        <w:keepNext/>
        <w:ind w:left="1620" w:hanging="450"/>
        <w:rPr>
          <w:rFonts w:cstheme="minorHAnsi"/>
        </w:rPr>
      </w:pPr>
      <w:r w:rsidRPr="00631676">
        <w:rPr>
          <w:rFonts w:cstheme="minorHAnsi"/>
        </w:rPr>
        <w:tab/>
      </w:r>
      <w:r w:rsidRPr="00631676">
        <w:rPr>
          <w:rFonts w:cstheme="minorHAnsi"/>
        </w:rPr>
        <w:tab/>
      </w:r>
      <w:r w:rsidR="003B3670" w:rsidRPr="00631676">
        <w:rPr>
          <w:rFonts w:cstheme="minorHAnsi"/>
          <w:i/>
        </w:rPr>
        <w:t>1</w:t>
      </w:r>
      <w:r w:rsidRPr="00631676">
        <w:rPr>
          <w:rFonts w:cstheme="minorHAnsi"/>
          <w:i/>
        </w:rPr>
        <w:t>.</w:t>
      </w:r>
      <w:r w:rsidRPr="00631676">
        <w:rPr>
          <w:rFonts w:cstheme="minorHAnsi"/>
        </w:rPr>
        <w:tab/>
      </w:r>
      <w:r w:rsidRPr="00631676">
        <w:rPr>
          <w:rFonts w:cstheme="minorHAnsi"/>
          <w:i/>
        </w:rPr>
        <w:t>Background</w:t>
      </w:r>
    </w:p>
    <w:p w14:paraId="5136FC1B" w14:textId="235398AD" w:rsidR="00242764" w:rsidRDefault="009374C0">
      <w:pPr>
        <w:rPr>
          <w:rFonts w:cstheme="minorHAnsi"/>
        </w:rPr>
      </w:pPr>
      <w:r w:rsidRPr="00631676">
        <w:rPr>
          <w:rFonts w:cstheme="minorHAnsi"/>
        </w:rPr>
        <w:tab/>
        <w:t>On March 19, 2002, defendant filed motion</w:t>
      </w:r>
      <w:r w:rsidR="001845B9" w:rsidRPr="00631676">
        <w:rPr>
          <w:rFonts w:cstheme="minorHAnsi"/>
        </w:rPr>
        <w:t>s</w:t>
      </w:r>
      <w:r w:rsidRPr="00631676">
        <w:rPr>
          <w:rFonts w:cstheme="minorHAnsi"/>
        </w:rPr>
        <w:t xml:space="preserve"> for new </w:t>
      </w:r>
      <w:r w:rsidR="0032387A" w:rsidRPr="00631676">
        <w:rPr>
          <w:rFonts w:cstheme="minorHAnsi"/>
        </w:rPr>
        <w:t xml:space="preserve">guilt </w:t>
      </w:r>
      <w:r w:rsidR="001845B9" w:rsidRPr="00631676">
        <w:rPr>
          <w:rFonts w:cstheme="minorHAnsi"/>
        </w:rPr>
        <w:t xml:space="preserve">and penalty </w:t>
      </w:r>
      <w:r w:rsidR="0032387A" w:rsidRPr="00631676">
        <w:rPr>
          <w:rFonts w:cstheme="minorHAnsi"/>
        </w:rPr>
        <w:t xml:space="preserve">phase </w:t>
      </w:r>
      <w:r w:rsidRPr="00631676">
        <w:rPr>
          <w:rFonts w:cstheme="minorHAnsi"/>
        </w:rPr>
        <w:t>trial</w:t>
      </w:r>
      <w:r w:rsidR="001845B9" w:rsidRPr="00631676">
        <w:rPr>
          <w:rFonts w:cstheme="minorHAnsi"/>
        </w:rPr>
        <w:t>s</w:t>
      </w:r>
      <w:r w:rsidRPr="00631676">
        <w:rPr>
          <w:rFonts w:cstheme="minorHAnsi"/>
        </w:rPr>
        <w:t xml:space="preserve"> via </w:t>
      </w:r>
      <w:r w:rsidR="00D04EB4" w:rsidRPr="00631676">
        <w:rPr>
          <w:rFonts w:cstheme="minorHAnsi"/>
          <w:i/>
        </w:rPr>
        <w:t>Keenan</w:t>
      </w:r>
      <w:r w:rsidR="00D6209D" w:rsidRPr="00631676">
        <w:rPr>
          <w:rStyle w:val="FootnoteReference"/>
          <w:rFonts w:cstheme="minorHAnsi"/>
        </w:rPr>
        <w:footnoteReference w:id="15"/>
      </w:r>
      <w:r w:rsidR="00D04EB4" w:rsidRPr="00631676">
        <w:rPr>
          <w:rFonts w:cstheme="minorHAnsi"/>
        </w:rPr>
        <w:t xml:space="preserve"> counsel</w:t>
      </w:r>
      <w:r w:rsidRPr="00631676">
        <w:rPr>
          <w:rFonts w:cstheme="minorHAnsi"/>
        </w:rPr>
        <w:t xml:space="preserve"> Richard V. Crouter</w:t>
      </w:r>
      <w:r w:rsidR="000F15D1" w:rsidRPr="00631676">
        <w:rPr>
          <w:rFonts w:cstheme="minorHAnsi"/>
        </w:rPr>
        <w:t xml:space="preserve">.  </w:t>
      </w:r>
      <w:r w:rsidR="00C34A53" w:rsidRPr="00631676">
        <w:rPr>
          <w:rFonts w:cstheme="minorHAnsi"/>
        </w:rPr>
        <w:t>Numerous declarations and memoranda of points and authorities followed, and the</w:t>
      </w:r>
      <w:r w:rsidRPr="00631676">
        <w:rPr>
          <w:rFonts w:cstheme="minorHAnsi"/>
        </w:rPr>
        <w:t xml:space="preserve"> motion</w:t>
      </w:r>
      <w:r w:rsidR="00C34A53" w:rsidRPr="00631676">
        <w:rPr>
          <w:rFonts w:cstheme="minorHAnsi"/>
        </w:rPr>
        <w:t>,</w:t>
      </w:r>
      <w:r w:rsidRPr="00631676">
        <w:rPr>
          <w:rFonts w:cstheme="minorHAnsi"/>
        </w:rPr>
        <w:t xml:space="preserve"> initially set to be heard on March 25, 2002, was not heard until February 7, 2003.  </w:t>
      </w:r>
      <w:r w:rsidR="00AD403A">
        <w:rPr>
          <w:rFonts w:cstheme="minorHAnsi"/>
        </w:rPr>
        <w:t xml:space="preserve">In the meantime, defendant retained new counsel, </w:t>
      </w:r>
      <w:r w:rsidR="000F15D1" w:rsidRPr="00631676">
        <w:rPr>
          <w:rFonts w:cstheme="minorHAnsi"/>
        </w:rPr>
        <w:t>Robert Sanger</w:t>
      </w:r>
      <w:r w:rsidR="001F35C6">
        <w:rPr>
          <w:rFonts w:cstheme="minorHAnsi"/>
        </w:rPr>
        <w:t xml:space="preserve">, </w:t>
      </w:r>
      <w:r w:rsidR="00A744FB">
        <w:rPr>
          <w:rFonts w:cstheme="minorHAnsi"/>
        </w:rPr>
        <w:t xml:space="preserve">and Crouter was relieved.  </w:t>
      </w:r>
      <w:r w:rsidR="00802AFF">
        <w:rPr>
          <w:rFonts w:cstheme="minorHAnsi"/>
        </w:rPr>
        <w:t xml:space="preserve">Sanger </w:t>
      </w:r>
      <w:r w:rsidR="001F35C6">
        <w:rPr>
          <w:rFonts w:cstheme="minorHAnsi"/>
        </w:rPr>
        <w:t>made supplemental arguments</w:t>
      </w:r>
      <w:r w:rsidR="00D366EA">
        <w:rPr>
          <w:rFonts w:cstheme="minorHAnsi"/>
        </w:rPr>
        <w:t xml:space="preserve"> in support of the new trial motion,</w:t>
      </w:r>
      <w:r w:rsidR="00C61580">
        <w:rPr>
          <w:rFonts w:cstheme="minorHAnsi"/>
        </w:rPr>
        <w:t xml:space="preserve"> largely focused on the adequacy of defense counsel’s performance at trial.</w:t>
      </w:r>
      <w:r w:rsidR="00BC2F3E">
        <w:rPr>
          <w:rFonts w:cstheme="minorHAnsi"/>
        </w:rPr>
        <w:t xml:space="preserve">  </w:t>
      </w:r>
      <w:r w:rsidR="00883FC4">
        <w:rPr>
          <w:rFonts w:cstheme="minorHAnsi"/>
        </w:rPr>
        <w:t xml:space="preserve">In support of the motion, counsel </w:t>
      </w:r>
      <w:r w:rsidR="004974E2">
        <w:rPr>
          <w:rFonts w:cstheme="minorHAnsi"/>
        </w:rPr>
        <w:t xml:space="preserve">contended </w:t>
      </w:r>
      <w:r w:rsidR="0018374F" w:rsidRPr="00631676">
        <w:rPr>
          <w:rFonts w:cstheme="minorHAnsi"/>
        </w:rPr>
        <w:t xml:space="preserve">that </w:t>
      </w:r>
      <w:r w:rsidR="00057557">
        <w:rPr>
          <w:rFonts w:cstheme="minorHAnsi"/>
        </w:rPr>
        <w:t>A</w:t>
      </w:r>
      <w:r w:rsidR="0018374F" w:rsidRPr="00631676">
        <w:rPr>
          <w:rFonts w:cstheme="minorHAnsi"/>
        </w:rPr>
        <w:t>ttorney Owen</w:t>
      </w:r>
      <w:r w:rsidR="003C4AB2">
        <w:rPr>
          <w:rFonts w:cstheme="minorHAnsi"/>
        </w:rPr>
        <w:t>—</w:t>
      </w:r>
      <w:r w:rsidR="00314C78">
        <w:rPr>
          <w:rFonts w:cstheme="minorHAnsi"/>
        </w:rPr>
        <w:t xml:space="preserve">who had been admitted to the State Bar </w:t>
      </w:r>
      <w:r w:rsidR="00491514">
        <w:rPr>
          <w:rFonts w:cstheme="minorHAnsi"/>
        </w:rPr>
        <w:t xml:space="preserve">just two years </w:t>
      </w:r>
      <w:r w:rsidR="00242764">
        <w:rPr>
          <w:rFonts w:cstheme="minorHAnsi"/>
        </w:rPr>
        <w:t xml:space="preserve">before </w:t>
      </w:r>
      <w:r w:rsidR="00491514">
        <w:rPr>
          <w:rFonts w:cstheme="minorHAnsi"/>
        </w:rPr>
        <w:t xml:space="preserve">the trial began and who would resign from the Bar </w:t>
      </w:r>
      <w:r w:rsidR="003C4AB2">
        <w:rPr>
          <w:rFonts w:cstheme="minorHAnsi"/>
        </w:rPr>
        <w:t xml:space="preserve">before the proceedings were over—was </w:t>
      </w:r>
      <w:r w:rsidR="0018374F" w:rsidRPr="00631676">
        <w:rPr>
          <w:rFonts w:cstheme="minorHAnsi"/>
        </w:rPr>
        <w:t>“woefully inexperienced and fell short of the minimum standards of competence required of defense counsel in a capital case.”</w:t>
      </w:r>
      <w:r w:rsidR="00242764">
        <w:rPr>
          <w:rFonts w:cstheme="minorHAnsi"/>
        </w:rPr>
        <w:t xml:space="preserve">  </w:t>
      </w:r>
    </w:p>
    <w:p w14:paraId="54C453FB" w14:textId="4A3FDB65" w:rsidR="00D17D4A" w:rsidRDefault="00242764" w:rsidP="00644D1F">
      <w:pPr>
        <w:rPr>
          <w:rFonts w:cstheme="minorHAnsi"/>
        </w:rPr>
      </w:pPr>
      <w:r>
        <w:rPr>
          <w:rFonts w:cstheme="minorHAnsi"/>
        </w:rPr>
        <w:tab/>
      </w:r>
      <w:r w:rsidR="00644D1F">
        <w:rPr>
          <w:rFonts w:cstheme="minorHAnsi"/>
        </w:rPr>
        <w:t xml:space="preserve">The trial court addressed and rejected each of the </w:t>
      </w:r>
      <w:r w:rsidR="00C10D75">
        <w:rPr>
          <w:rFonts w:cstheme="minorHAnsi"/>
        </w:rPr>
        <w:t xml:space="preserve">claims of error raised in the new trial motion, including the </w:t>
      </w:r>
      <w:r w:rsidR="0004715C">
        <w:rPr>
          <w:rFonts w:cstheme="minorHAnsi"/>
        </w:rPr>
        <w:t>claim</w:t>
      </w:r>
      <w:r w:rsidR="00C10D75">
        <w:rPr>
          <w:rFonts w:cstheme="minorHAnsi"/>
        </w:rPr>
        <w:t>s</w:t>
      </w:r>
      <w:r w:rsidR="0004715C">
        <w:rPr>
          <w:rFonts w:cstheme="minorHAnsi"/>
        </w:rPr>
        <w:t xml:space="preserve"> of </w:t>
      </w:r>
      <w:r w:rsidR="00644D1F">
        <w:rPr>
          <w:rFonts w:cstheme="minorHAnsi"/>
        </w:rPr>
        <w:t>ineffective assistance</w:t>
      </w:r>
      <w:r w:rsidR="00C10D75">
        <w:rPr>
          <w:rFonts w:cstheme="minorHAnsi"/>
        </w:rPr>
        <w:t xml:space="preserve"> of counsel. </w:t>
      </w:r>
      <w:r w:rsidR="00916F33">
        <w:rPr>
          <w:rFonts w:cstheme="minorHAnsi"/>
        </w:rPr>
        <w:t xml:space="preserve"> </w:t>
      </w:r>
    </w:p>
    <w:p w14:paraId="75C4E260" w14:textId="77777777" w:rsidR="00BE5088" w:rsidRPr="00631676" w:rsidRDefault="00BE5088" w:rsidP="00B00EAA">
      <w:pPr>
        <w:keepNext/>
        <w:ind w:left="1620" w:hanging="450"/>
        <w:rPr>
          <w:rFonts w:cstheme="minorHAnsi"/>
        </w:rPr>
      </w:pPr>
      <w:r w:rsidRPr="00631676">
        <w:rPr>
          <w:rFonts w:cstheme="minorHAnsi"/>
        </w:rPr>
        <w:tab/>
      </w:r>
      <w:r w:rsidR="003B3670" w:rsidRPr="00631676">
        <w:rPr>
          <w:rFonts w:cstheme="minorHAnsi"/>
        </w:rPr>
        <w:tab/>
      </w:r>
      <w:r w:rsidR="003B3670" w:rsidRPr="00631676">
        <w:rPr>
          <w:rFonts w:cstheme="minorHAnsi"/>
          <w:i/>
        </w:rPr>
        <w:t>2</w:t>
      </w:r>
      <w:r w:rsidR="0032387A" w:rsidRPr="00631676">
        <w:rPr>
          <w:rFonts w:cstheme="minorHAnsi"/>
          <w:i/>
        </w:rPr>
        <w:t>.</w:t>
      </w:r>
      <w:r w:rsidR="0032387A" w:rsidRPr="00631676">
        <w:rPr>
          <w:rFonts w:cstheme="minorHAnsi"/>
        </w:rPr>
        <w:tab/>
      </w:r>
      <w:r w:rsidR="0032387A" w:rsidRPr="00631676">
        <w:rPr>
          <w:rFonts w:cstheme="minorHAnsi"/>
          <w:i/>
        </w:rPr>
        <w:t>Discussion</w:t>
      </w:r>
    </w:p>
    <w:p w14:paraId="51C7BEBD" w14:textId="07B0BF8A" w:rsidR="007415B3" w:rsidRDefault="00BE5088">
      <w:pPr>
        <w:rPr>
          <w:rFonts w:cstheme="minorHAnsi"/>
        </w:rPr>
      </w:pPr>
      <w:r w:rsidRPr="00631676">
        <w:rPr>
          <w:rFonts w:cstheme="minorHAnsi"/>
        </w:rPr>
        <w:tab/>
      </w:r>
      <w:r w:rsidR="00984443">
        <w:rPr>
          <w:rFonts w:cstheme="minorHAnsi"/>
        </w:rPr>
        <w:t xml:space="preserve">Defendant raises several challenges to the trial court’s denial of the new trial motion.  </w:t>
      </w:r>
      <w:r w:rsidR="007415B3" w:rsidRPr="00631676">
        <w:rPr>
          <w:rFonts w:cstheme="minorHAnsi"/>
        </w:rPr>
        <w:t>“ ‘ “ ‘We review a trial court’s ruling on a motion for a new trial under a deferential abuse-of-discretion standard.’  [Citations.]  ‘ “A trial court’s ruling on a motion for new trial is so completely within that court’s discretion that a reviewing court will not disturb the ruling absent a manifest and unmistakable abuse of that discretion.” ’ ” ’ ”  (</w:t>
      </w:r>
      <w:r w:rsidR="007415B3" w:rsidRPr="00631676">
        <w:rPr>
          <w:rFonts w:cstheme="minorHAnsi"/>
          <w:i/>
        </w:rPr>
        <w:t>People v. McCurdy</w:t>
      </w:r>
      <w:r w:rsidR="007415B3" w:rsidRPr="00631676">
        <w:rPr>
          <w:rFonts w:cstheme="minorHAnsi"/>
        </w:rPr>
        <w:t xml:space="preserve"> (2014) 59 Cal.4th 1063, 1108.)</w:t>
      </w:r>
      <w:r w:rsidR="00984443">
        <w:rPr>
          <w:rFonts w:cstheme="minorHAnsi"/>
        </w:rPr>
        <w:t xml:space="preserve">  We find no such abuse of discretion here.</w:t>
      </w:r>
    </w:p>
    <w:p w14:paraId="6E57486C" w14:textId="76384DEF" w:rsidR="00613468" w:rsidRPr="00631676" w:rsidRDefault="0060641E" w:rsidP="00D522E4">
      <w:pPr>
        <w:rPr>
          <w:rFonts w:cstheme="minorHAnsi"/>
        </w:rPr>
      </w:pPr>
      <w:r>
        <w:rPr>
          <w:rFonts w:cstheme="minorHAnsi"/>
        </w:rPr>
        <w:tab/>
      </w:r>
      <w:r w:rsidR="0093311F">
        <w:rPr>
          <w:rFonts w:cstheme="minorHAnsi"/>
        </w:rPr>
        <w:t>As a procedural matter, d</w:t>
      </w:r>
      <w:r w:rsidR="004E1CB0">
        <w:rPr>
          <w:rFonts w:cstheme="minorHAnsi"/>
        </w:rPr>
        <w:t>e</w:t>
      </w:r>
      <w:r w:rsidR="00611E86">
        <w:rPr>
          <w:rFonts w:cstheme="minorHAnsi"/>
        </w:rPr>
        <w:t>fendant c</w:t>
      </w:r>
      <w:r w:rsidR="00613468" w:rsidRPr="00631676">
        <w:rPr>
          <w:rFonts w:cstheme="minorHAnsi"/>
        </w:rPr>
        <w:t xml:space="preserve">ontends the trial court erred by </w:t>
      </w:r>
      <w:r w:rsidR="00330074">
        <w:rPr>
          <w:rFonts w:cstheme="minorHAnsi"/>
        </w:rPr>
        <w:t xml:space="preserve">ruling on the new trial motion without holding </w:t>
      </w:r>
      <w:r w:rsidR="00613468" w:rsidRPr="00631676">
        <w:rPr>
          <w:rFonts w:cstheme="minorHAnsi"/>
        </w:rPr>
        <w:t>an evidentiary hearing</w:t>
      </w:r>
      <w:r w:rsidR="00CF5C69">
        <w:rPr>
          <w:rFonts w:cstheme="minorHAnsi"/>
        </w:rPr>
        <w:t xml:space="preserve"> </w:t>
      </w:r>
      <w:r w:rsidR="00176D97">
        <w:rPr>
          <w:rFonts w:cstheme="minorHAnsi"/>
        </w:rPr>
        <w:t xml:space="preserve">that would have permitted him to adduce new evidence in support of his </w:t>
      </w:r>
      <w:r w:rsidR="00CF5C69">
        <w:rPr>
          <w:rFonts w:cstheme="minorHAnsi"/>
        </w:rPr>
        <w:t>ineffective assistance claims.</w:t>
      </w:r>
      <w:r w:rsidR="00611E86">
        <w:rPr>
          <w:rFonts w:cstheme="minorHAnsi"/>
        </w:rPr>
        <w:t xml:space="preserve">  He </w:t>
      </w:r>
      <w:r w:rsidR="00984443">
        <w:rPr>
          <w:rFonts w:cstheme="minorHAnsi"/>
        </w:rPr>
        <w:t xml:space="preserve">further </w:t>
      </w:r>
      <w:r w:rsidR="00611E86">
        <w:rPr>
          <w:rFonts w:cstheme="minorHAnsi"/>
        </w:rPr>
        <w:t xml:space="preserve">contends the trial judge’s consideration of the motion was rushed and inadequate due to the </w:t>
      </w:r>
      <w:r w:rsidR="003A2E66" w:rsidRPr="00631676">
        <w:rPr>
          <w:rFonts w:cstheme="minorHAnsi"/>
        </w:rPr>
        <w:t xml:space="preserve">trial judge’s </w:t>
      </w:r>
      <w:r w:rsidR="001B5B82" w:rsidRPr="00631676">
        <w:rPr>
          <w:rFonts w:cstheme="minorHAnsi"/>
        </w:rPr>
        <w:t xml:space="preserve">imminent </w:t>
      </w:r>
      <w:r w:rsidR="003A2E66" w:rsidRPr="00631676">
        <w:rPr>
          <w:rFonts w:cstheme="minorHAnsi"/>
        </w:rPr>
        <w:t xml:space="preserve">retirement.  These </w:t>
      </w:r>
      <w:r w:rsidR="004E1CB0">
        <w:rPr>
          <w:rFonts w:cstheme="minorHAnsi"/>
        </w:rPr>
        <w:t xml:space="preserve">procedural </w:t>
      </w:r>
      <w:r w:rsidR="003A2E66" w:rsidRPr="00631676">
        <w:rPr>
          <w:rFonts w:cstheme="minorHAnsi"/>
        </w:rPr>
        <w:t xml:space="preserve">arguments lack merit. </w:t>
      </w:r>
      <w:r w:rsidR="00EA7982" w:rsidRPr="00631676">
        <w:rPr>
          <w:rFonts w:cstheme="minorHAnsi"/>
        </w:rPr>
        <w:t xml:space="preserve"> </w:t>
      </w:r>
      <w:r w:rsidR="004708EF">
        <w:rPr>
          <w:rFonts w:cstheme="minorHAnsi"/>
        </w:rPr>
        <w:t xml:space="preserve">The trial court was not required to hold </w:t>
      </w:r>
      <w:r w:rsidR="00D0547A" w:rsidRPr="00631676">
        <w:rPr>
          <w:rFonts w:cstheme="minorHAnsi"/>
        </w:rPr>
        <w:t>an evidentiary hearing</w:t>
      </w:r>
      <w:r w:rsidR="00176D97">
        <w:rPr>
          <w:rFonts w:cstheme="minorHAnsi"/>
        </w:rPr>
        <w:t xml:space="preserve"> on the new trial motion</w:t>
      </w:r>
      <w:r w:rsidR="004708EF">
        <w:rPr>
          <w:rFonts w:cstheme="minorHAnsi"/>
        </w:rPr>
        <w:t xml:space="preserve">; the court’s </w:t>
      </w:r>
      <w:r w:rsidR="004708EF" w:rsidRPr="00631676">
        <w:rPr>
          <w:rFonts w:cstheme="minorHAnsi"/>
        </w:rPr>
        <w:t>“only obligation is to ‘ “ ‘make whatever inquiry is reasonably necessary’ ” to resolve the matter</w:t>
      </w:r>
      <w:r w:rsidR="004708EF">
        <w:rPr>
          <w:rFonts w:cstheme="minorHAnsi"/>
        </w:rPr>
        <w:t>.</w:t>
      </w:r>
      <w:r w:rsidR="004708EF" w:rsidRPr="00631676">
        <w:rPr>
          <w:rFonts w:cstheme="minorHAnsi"/>
        </w:rPr>
        <w:t>’ ”</w:t>
      </w:r>
      <w:r w:rsidR="00D0547A" w:rsidRPr="00631676">
        <w:rPr>
          <w:rFonts w:cstheme="minorHAnsi"/>
        </w:rPr>
        <w:t xml:space="preserve">  (</w:t>
      </w:r>
      <w:r w:rsidR="00D0547A" w:rsidRPr="00631676">
        <w:rPr>
          <w:rFonts w:cstheme="minorHAnsi"/>
          <w:i/>
        </w:rPr>
        <w:t>People v. Mora and Rangel</w:t>
      </w:r>
      <w:r w:rsidR="00D0547A" w:rsidRPr="00631676">
        <w:rPr>
          <w:rFonts w:cstheme="minorHAnsi"/>
        </w:rPr>
        <w:t xml:space="preserve"> (2018) 5 Cal.5th 442, 517.)  </w:t>
      </w:r>
      <w:r w:rsidR="00D41E02">
        <w:rPr>
          <w:rFonts w:cstheme="minorHAnsi"/>
        </w:rPr>
        <w:t>And the record does not support defendant’s claim that the trial court rush</w:t>
      </w:r>
      <w:r w:rsidR="005E1B4B">
        <w:rPr>
          <w:rFonts w:cstheme="minorHAnsi"/>
        </w:rPr>
        <w:t>ed</w:t>
      </w:r>
      <w:r w:rsidR="00D41E02">
        <w:rPr>
          <w:rFonts w:cstheme="minorHAnsi"/>
        </w:rPr>
        <w:t xml:space="preserve"> to dispose of the motion</w:t>
      </w:r>
      <w:r w:rsidR="005E1B4B">
        <w:rPr>
          <w:rFonts w:cstheme="minorHAnsi"/>
        </w:rPr>
        <w:t xml:space="preserve"> without thoroughly considering its merits</w:t>
      </w:r>
      <w:r w:rsidR="00D41E02">
        <w:rPr>
          <w:rFonts w:cstheme="minorHAnsi"/>
        </w:rPr>
        <w:t>.  On the contrary, the court granted n</w:t>
      </w:r>
      <w:r w:rsidR="003A2E66" w:rsidRPr="00631676">
        <w:rPr>
          <w:rFonts w:cstheme="minorHAnsi"/>
        </w:rPr>
        <w:t xml:space="preserve">umerous extensions to allow defense counsel the opportunity to augment the new trial motion and to allow the prosecutor an opportunity to respond.  The motion, initially set to be heard </w:t>
      </w:r>
      <w:r w:rsidR="0053580C">
        <w:rPr>
          <w:rFonts w:cstheme="minorHAnsi"/>
        </w:rPr>
        <w:t>in</w:t>
      </w:r>
      <w:r w:rsidR="0053580C" w:rsidRPr="00631676">
        <w:rPr>
          <w:rFonts w:cstheme="minorHAnsi"/>
        </w:rPr>
        <w:t xml:space="preserve"> </w:t>
      </w:r>
      <w:r w:rsidR="003A2E66" w:rsidRPr="00631676">
        <w:rPr>
          <w:rFonts w:cstheme="minorHAnsi"/>
        </w:rPr>
        <w:t>March 2002, was not heard until</w:t>
      </w:r>
      <w:r w:rsidR="00AF4F6D" w:rsidRPr="00631676">
        <w:rPr>
          <w:rFonts w:cstheme="minorHAnsi"/>
        </w:rPr>
        <w:t xml:space="preserve"> almost one year later, in</w:t>
      </w:r>
      <w:r w:rsidR="003A2E66" w:rsidRPr="00631676">
        <w:rPr>
          <w:rFonts w:cstheme="minorHAnsi"/>
        </w:rPr>
        <w:t xml:space="preserve"> February 2003.  </w:t>
      </w:r>
      <w:r w:rsidR="00101E39" w:rsidRPr="00631676">
        <w:rPr>
          <w:rFonts w:cstheme="minorHAnsi"/>
        </w:rPr>
        <w:t xml:space="preserve">The trial court </w:t>
      </w:r>
      <w:r w:rsidR="004708EF">
        <w:rPr>
          <w:rFonts w:cstheme="minorHAnsi"/>
        </w:rPr>
        <w:t xml:space="preserve">thereafter </w:t>
      </w:r>
      <w:r w:rsidR="005E1B4B">
        <w:rPr>
          <w:rFonts w:cstheme="minorHAnsi"/>
        </w:rPr>
        <w:t xml:space="preserve">issued </w:t>
      </w:r>
      <w:r w:rsidR="00101E39" w:rsidRPr="00631676">
        <w:rPr>
          <w:rFonts w:cstheme="minorHAnsi"/>
        </w:rPr>
        <w:t xml:space="preserve">a thoroughly reasoned denial of the motion; its order </w:t>
      </w:r>
      <w:r w:rsidR="005E1B4B">
        <w:rPr>
          <w:rFonts w:cstheme="minorHAnsi"/>
        </w:rPr>
        <w:t xml:space="preserve">alone </w:t>
      </w:r>
      <w:r w:rsidR="00101E39" w:rsidRPr="00631676">
        <w:rPr>
          <w:rFonts w:cstheme="minorHAnsi"/>
        </w:rPr>
        <w:t>c</w:t>
      </w:r>
      <w:r w:rsidR="00AF4F6D" w:rsidRPr="00631676">
        <w:rPr>
          <w:rFonts w:cstheme="minorHAnsi"/>
        </w:rPr>
        <w:t>omprises 23 pages of transcript, and the discussion spans dozens of pages</w:t>
      </w:r>
      <w:r w:rsidR="005E1B4B">
        <w:rPr>
          <w:rFonts w:cstheme="minorHAnsi"/>
        </w:rPr>
        <w:t xml:space="preserve"> on top of that</w:t>
      </w:r>
      <w:r w:rsidR="00AF4F6D" w:rsidRPr="00631676">
        <w:rPr>
          <w:rFonts w:cstheme="minorHAnsi"/>
        </w:rPr>
        <w:t>.</w:t>
      </w:r>
      <w:r w:rsidR="00A3246F">
        <w:rPr>
          <w:rFonts w:cstheme="minorHAnsi"/>
        </w:rPr>
        <w:t xml:space="preserve">  There is no basis for defendant’s suggestion that the trial court cut corners in considering the motion.</w:t>
      </w:r>
      <w:r w:rsidR="00101E39" w:rsidRPr="00631676">
        <w:rPr>
          <w:rFonts w:cstheme="minorHAnsi"/>
        </w:rPr>
        <w:t xml:space="preserve">  </w:t>
      </w:r>
    </w:p>
    <w:p w14:paraId="11F9990B" w14:textId="1C0B4DDC" w:rsidR="00465722" w:rsidRDefault="00AF4F6D" w:rsidP="00465722">
      <w:r w:rsidRPr="00631676">
        <w:rPr>
          <w:rFonts w:cstheme="minorHAnsi"/>
        </w:rPr>
        <w:tab/>
      </w:r>
      <w:r w:rsidR="004708EF">
        <w:rPr>
          <w:rFonts w:cstheme="minorHAnsi"/>
        </w:rPr>
        <w:t>On the merits, d</w:t>
      </w:r>
      <w:r w:rsidR="005E1B4B">
        <w:rPr>
          <w:rFonts w:cstheme="minorHAnsi"/>
        </w:rPr>
        <w:t>efendant</w:t>
      </w:r>
      <w:r w:rsidR="004E1CB0">
        <w:rPr>
          <w:rFonts w:cstheme="minorHAnsi"/>
        </w:rPr>
        <w:t xml:space="preserve"> contends that the trial court erred </w:t>
      </w:r>
      <w:r w:rsidR="005625C2">
        <w:rPr>
          <w:rFonts w:cstheme="minorHAnsi"/>
        </w:rPr>
        <w:t xml:space="preserve">in </w:t>
      </w:r>
      <w:r w:rsidR="004E1CB0">
        <w:rPr>
          <w:rFonts w:cstheme="minorHAnsi"/>
        </w:rPr>
        <w:t xml:space="preserve">rejecting his </w:t>
      </w:r>
      <w:r w:rsidR="00701EA3">
        <w:rPr>
          <w:rFonts w:cstheme="minorHAnsi"/>
        </w:rPr>
        <w:t xml:space="preserve">claim that </w:t>
      </w:r>
      <w:r w:rsidR="007E7C8D">
        <w:rPr>
          <w:rFonts w:cstheme="minorHAnsi"/>
        </w:rPr>
        <w:t xml:space="preserve">he </w:t>
      </w:r>
      <w:r w:rsidR="004E1CB0">
        <w:rPr>
          <w:rFonts w:cstheme="minorHAnsi"/>
        </w:rPr>
        <w:t xml:space="preserve">did not receive the effective assistance of </w:t>
      </w:r>
      <w:r w:rsidR="00906B1F">
        <w:rPr>
          <w:rFonts w:cstheme="minorHAnsi"/>
        </w:rPr>
        <w:t xml:space="preserve">trial </w:t>
      </w:r>
      <w:r w:rsidR="004E1CB0">
        <w:rPr>
          <w:rFonts w:cstheme="minorHAnsi"/>
        </w:rPr>
        <w:t>counsel guaranteed by the United States and California Constitutions.</w:t>
      </w:r>
      <w:r w:rsidR="003F368E">
        <w:rPr>
          <w:rFonts w:cstheme="minorHAnsi"/>
        </w:rPr>
        <w:t xml:space="preserve">  Usually, </w:t>
      </w:r>
      <w:r w:rsidR="00EE7CD6">
        <w:rPr>
          <w:rFonts w:cstheme="minorHAnsi"/>
        </w:rPr>
        <w:t>“</w:t>
      </w:r>
      <w:r w:rsidR="003F368E">
        <w:rPr>
          <w:rFonts w:cstheme="minorHAnsi"/>
        </w:rPr>
        <w:t xml:space="preserve">ineffective assistance </w:t>
      </w:r>
      <w:r w:rsidR="00EE7CD6">
        <w:rPr>
          <w:rFonts w:cstheme="minorHAnsi"/>
        </w:rPr>
        <w:t>[</w:t>
      </w:r>
      <w:r w:rsidR="003F368E">
        <w:rPr>
          <w:rFonts w:cstheme="minorHAnsi"/>
        </w:rPr>
        <w:t>of counsel claims are</w:t>
      </w:r>
      <w:r w:rsidR="00EE7CD6">
        <w:rPr>
          <w:rFonts w:cstheme="minorHAnsi"/>
        </w:rPr>
        <w:t>]</w:t>
      </w:r>
      <w:r w:rsidR="003F368E">
        <w:rPr>
          <w:rFonts w:cstheme="minorHAnsi"/>
        </w:rPr>
        <w:t xml:space="preserve"> </w:t>
      </w:r>
      <w:r w:rsidR="00EE7CD6">
        <w:rPr>
          <w:rFonts w:cstheme="minorHAnsi"/>
        </w:rPr>
        <w:t xml:space="preserve">more appropriately </w:t>
      </w:r>
      <w:r w:rsidR="003F368E">
        <w:rPr>
          <w:rFonts w:cstheme="minorHAnsi"/>
        </w:rPr>
        <w:t>decided in a habeas corpus proceeding</w:t>
      </w:r>
      <w:r w:rsidR="00701EA3">
        <w:rPr>
          <w:rFonts w:cstheme="minorHAnsi"/>
        </w:rPr>
        <w:t>.</w:t>
      </w:r>
      <w:r w:rsidR="003F368E">
        <w:rPr>
          <w:rFonts w:cstheme="minorHAnsi"/>
        </w:rPr>
        <w:t>”</w:t>
      </w:r>
      <w:r w:rsidR="00701EA3">
        <w:rPr>
          <w:rFonts w:cstheme="minorHAnsi"/>
        </w:rPr>
        <w:t xml:space="preserve">  </w:t>
      </w:r>
      <w:r w:rsidR="003F368E">
        <w:rPr>
          <w:rFonts w:cstheme="minorHAnsi"/>
        </w:rPr>
        <w:t>(</w:t>
      </w:r>
      <w:r w:rsidR="003F368E">
        <w:rPr>
          <w:rFonts w:cstheme="minorHAnsi"/>
          <w:i/>
        </w:rPr>
        <w:t xml:space="preserve">People v. </w:t>
      </w:r>
      <w:r w:rsidR="00701EA3">
        <w:rPr>
          <w:rFonts w:cstheme="minorHAnsi"/>
          <w:i/>
        </w:rPr>
        <w:t xml:space="preserve">Mendoza </w:t>
      </w:r>
      <w:r w:rsidR="003F368E">
        <w:rPr>
          <w:rFonts w:cstheme="minorHAnsi"/>
          <w:i/>
        </w:rPr>
        <w:t>Tello</w:t>
      </w:r>
      <w:r w:rsidR="003F368E">
        <w:rPr>
          <w:rFonts w:cstheme="minorHAnsi"/>
        </w:rPr>
        <w:t xml:space="preserve"> (1997) 15 Cal.4th 264, 266–267.)  </w:t>
      </w:r>
      <w:r w:rsidR="00A41D4D">
        <w:rPr>
          <w:rFonts w:cstheme="minorHAnsi"/>
        </w:rPr>
        <w:t>But we have also held that a defendant may raise the issue of counsel’s effectiveness as a basis for a new trial, and, to expedite justice, a trial court should rule</w:t>
      </w:r>
      <w:r w:rsidR="00F008E4">
        <w:rPr>
          <w:rFonts w:cstheme="minorHAnsi"/>
        </w:rPr>
        <w:t xml:space="preserve"> </w:t>
      </w:r>
      <w:r w:rsidR="00A41D4D">
        <w:rPr>
          <w:rFonts w:cstheme="minorHAnsi"/>
        </w:rPr>
        <w:t>“[i]f the court is able to determine the effectiveness issue</w:t>
      </w:r>
      <w:r w:rsidR="00906B1F">
        <w:rPr>
          <w:rFonts w:cstheme="minorHAnsi"/>
        </w:rPr>
        <w:t xml:space="preserve"> </w:t>
      </w:r>
      <w:r w:rsidR="00A41D4D">
        <w:rPr>
          <w:rFonts w:cstheme="minorHAnsi"/>
        </w:rPr>
        <w:t xml:space="preserve">on such motion.”  </w:t>
      </w:r>
      <w:r w:rsidR="00BA0F5A">
        <w:rPr>
          <w:rFonts w:cstheme="minorHAnsi"/>
        </w:rPr>
        <w:t>(</w:t>
      </w:r>
      <w:r w:rsidRPr="00631676">
        <w:rPr>
          <w:rFonts w:cstheme="minorHAnsi"/>
          <w:i/>
        </w:rPr>
        <w:t>People v. Fosselman</w:t>
      </w:r>
      <w:r w:rsidRPr="00631676">
        <w:rPr>
          <w:rFonts w:cstheme="minorHAnsi"/>
        </w:rPr>
        <w:t xml:space="preserve"> (1983) 33 Cal.3d 572</w:t>
      </w:r>
      <w:r w:rsidR="00BA0F5A">
        <w:rPr>
          <w:rFonts w:cstheme="minorHAnsi"/>
        </w:rPr>
        <w:t>, 582</w:t>
      </w:r>
      <w:r w:rsidR="004048C6">
        <w:rPr>
          <w:rFonts w:cstheme="minorHAnsi"/>
        </w:rPr>
        <w:t>–58</w:t>
      </w:r>
      <w:r w:rsidR="00A41D4D">
        <w:rPr>
          <w:rFonts w:cstheme="minorHAnsi"/>
        </w:rPr>
        <w:t>3</w:t>
      </w:r>
      <w:r w:rsidR="007E2E50">
        <w:rPr>
          <w:rFonts w:cstheme="minorHAnsi"/>
        </w:rPr>
        <w:t>.</w:t>
      </w:r>
      <w:r w:rsidR="00BA0F5A">
        <w:rPr>
          <w:rFonts w:cstheme="minorHAnsi"/>
        </w:rPr>
        <w:t>)</w:t>
      </w:r>
      <w:r w:rsidR="00A41D4D">
        <w:rPr>
          <w:rFonts w:cstheme="minorHAnsi"/>
        </w:rPr>
        <w:t xml:space="preserve">  </w:t>
      </w:r>
      <w:r w:rsidR="00312B8D">
        <w:rPr>
          <w:rFonts w:cstheme="minorHAnsi"/>
        </w:rPr>
        <w:t>To make out a</w:t>
      </w:r>
      <w:r w:rsidR="00265862">
        <w:rPr>
          <w:rFonts w:cstheme="minorHAnsi"/>
        </w:rPr>
        <w:t xml:space="preserve"> claim that counsel rendered </w:t>
      </w:r>
      <w:r w:rsidR="00042361">
        <w:rPr>
          <w:rFonts w:cstheme="minorHAnsi"/>
        </w:rPr>
        <w:t xml:space="preserve">constitutionally </w:t>
      </w:r>
      <w:r w:rsidR="00265862">
        <w:rPr>
          <w:rFonts w:cstheme="minorHAnsi"/>
        </w:rPr>
        <w:t xml:space="preserve">ineffective assistance, </w:t>
      </w:r>
      <w:r w:rsidR="00312B8D">
        <w:rPr>
          <w:rFonts w:cstheme="minorHAnsi"/>
        </w:rPr>
        <w:t xml:space="preserve">“the defendant must first show counsel’s performance was deficient, in that it fell below an objective standard of reasonableness under prevailing professional norms.  Second, the defendant must show resulting prejudice, i.e., a reasonable probability that, but for counsel’s deficient performance, the outcome of the proceeding would have been different.”  </w:t>
      </w:r>
      <w:r w:rsidR="00312B8D" w:rsidRPr="00631676">
        <w:t>(</w:t>
      </w:r>
      <w:r w:rsidR="00312B8D" w:rsidRPr="00631676">
        <w:rPr>
          <w:i/>
        </w:rPr>
        <w:t>People v. Mai</w:t>
      </w:r>
      <w:r w:rsidR="00312B8D" w:rsidRPr="00631676">
        <w:t xml:space="preserve"> (2013) 57 Cal.4th 986, 1009.)</w:t>
      </w:r>
      <w:r w:rsidR="00312B8D">
        <w:t xml:space="preserve">  </w:t>
      </w:r>
      <w:r w:rsidR="00465722">
        <w:rPr>
          <w:rFonts w:cstheme="minorHAnsi"/>
        </w:rPr>
        <w:t xml:space="preserve">To make out </w:t>
      </w:r>
      <w:r w:rsidR="00083327">
        <w:rPr>
          <w:rFonts w:cstheme="minorHAnsi"/>
        </w:rPr>
        <w:t xml:space="preserve">an ineffective assistance claim </w:t>
      </w:r>
      <w:r w:rsidR="00312B8D">
        <w:rPr>
          <w:rFonts w:cstheme="minorHAnsi"/>
        </w:rPr>
        <w:t>on the basis of the trial record</w:t>
      </w:r>
      <w:r w:rsidR="00465722">
        <w:rPr>
          <w:rFonts w:cstheme="minorHAnsi"/>
        </w:rPr>
        <w:t xml:space="preserve">, the defendant </w:t>
      </w:r>
      <w:r w:rsidR="00A833D9" w:rsidRPr="00631676">
        <w:t>must show “(1) the record affirmatively discloses counsel had no rational tactical purpose for the challenged act or omission, (2) counsel was asked for a reason and failed to provide one, or (3) there simply could be no satisfactory explanation.</w:t>
      </w:r>
      <w:r w:rsidR="00F8623A">
        <w:t xml:space="preserve">  </w:t>
      </w:r>
      <w:r w:rsidR="00A833D9" w:rsidRPr="00631676">
        <w:t>All other claims of ineffective assistance are more appropriately resolved in a habeas corpus proceeding.”</w:t>
      </w:r>
      <w:r w:rsidR="00F8623A">
        <w:t xml:space="preserve">  (</w:t>
      </w:r>
      <w:r w:rsidR="00F8623A">
        <w:rPr>
          <w:i/>
        </w:rPr>
        <w:t>Ibid.</w:t>
      </w:r>
      <w:r w:rsidR="00F8623A">
        <w:t>)</w:t>
      </w:r>
    </w:p>
    <w:p w14:paraId="52EE2ABE" w14:textId="1F8AA755" w:rsidR="007E7C8D" w:rsidRDefault="00B31B09" w:rsidP="00071F96">
      <w:r>
        <w:tab/>
      </w:r>
      <w:r w:rsidR="00B24A54">
        <w:t xml:space="preserve">Here, in support of his new </w:t>
      </w:r>
      <w:r w:rsidR="00D522E4">
        <w:t xml:space="preserve">trial </w:t>
      </w:r>
      <w:r w:rsidR="00B24A54">
        <w:t xml:space="preserve">claim, defendant </w:t>
      </w:r>
      <w:r w:rsidR="004117CF">
        <w:t xml:space="preserve">emphasizes </w:t>
      </w:r>
      <w:r w:rsidR="00774079">
        <w:t xml:space="preserve">Owen’s </w:t>
      </w:r>
      <w:r w:rsidR="00E02767">
        <w:t xml:space="preserve">remarkable </w:t>
      </w:r>
      <w:r w:rsidR="00B24A54">
        <w:t>lack of professional experience</w:t>
      </w:r>
      <w:r w:rsidR="00F008E4">
        <w:t xml:space="preserve">—she </w:t>
      </w:r>
      <w:r w:rsidR="008B397C">
        <w:t xml:space="preserve">was a new lawyer who </w:t>
      </w:r>
      <w:r w:rsidR="00F008E4">
        <w:t>had never before worked on a capital case—</w:t>
      </w:r>
      <w:r w:rsidR="00B24A54">
        <w:t>and</w:t>
      </w:r>
      <w:r w:rsidR="00DF086E">
        <w:t xml:space="preserve"> the cloud under which she </w:t>
      </w:r>
      <w:r w:rsidR="00E02767">
        <w:t xml:space="preserve">abruptly </w:t>
      </w:r>
      <w:r w:rsidR="00DF086E">
        <w:t xml:space="preserve">exited the representation of defendant (and the profession as a whole).  </w:t>
      </w:r>
      <w:r w:rsidR="004E3BC1">
        <w:t>He notes that Owen did not satisfy the criteria for appointed trial counsel in a capital case.  (See Cal. Rule</w:t>
      </w:r>
      <w:r w:rsidR="008865AF">
        <w:t>s</w:t>
      </w:r>
      <w:r w:rsidR="004E3BC1">
        <w:t xml:space="preserve"> of C</w:t>
      </w:r>
      <w:r w:rsidR="008865AF">
        <w:t>our</w:t>
      </w:r>
      <w:r w:rsidR="004E3BC1">
        <w:t xml:space="preserve">t, rule 4.117.)  </w:t>
      </w:r>
    </w:p>
    <w:p w14:paraId="129F96CC" w14:textId="7659B30A" w:rsidR="007E7C8D" w:rsidRDefault="007E7C8D" w:rsidP="00071F96">
      <w:r>
        <w:tab/>
      </w:r>
      <w:r w:rsidR="004E3BC1">
        <w:t xml:space="preserve">But Owen was not appointed by the court; she was privately retained.  </w:t>
      </w:r>
      <w:r w:rsidR="004927C7">
        <w:t xml:space="preserve">And </w:t>
      </w:r>
      <w:r w:rsidR="00C919F6">
        <w:t xml:space="preserve">although </w:t>
      </w:r>
      <w:proofErr w:type="gramStart"/>
      <w:r w:rsidR="003D3590">
        <w:t>defendant’s</w:t>
      </w:r>
      <w:proofErr w:type="gramEnd"/>
      <w:r w:rsidR="003D3590">
        <w:t xml:space="preserve"> appellate counsel</w:t>
      </w:r>
      <w:r w:rsidR="00C919F6">
        <w:t xml:space="preserve"> suggested otherwise at oral argument</w:t>
      </w:r>
      <w:r w:rsidR="003D3590">
        <w:t xml:space="preserve">, </w:t>
      </w:r>
      <w:r w:rsidR="00127CFA">
        <w:t xml:space="preserve">Owen’s </w:t>
      </w:r>
      <w:r w:rsidR="00E02767">
        <w:t xml:space="preserve">brief </w:t>
      </w:r>
      <w:r w:rsidR="006427E5">
        <w:t xml:space="preserve">history </w:t>
      </w:r>
      <w:r w:rsidR="00E02767">
        <w:t xml:space="preserve">as a lawyer </w:t>
      </w:r>
      <w:r w:rsidR="00DC17AF">
        <w:t xml:space="preserve">and the circumstances of her resignation from the bar do not </w:t>
      </w:r>
      <w:r w:rsidR="00E02767">
        <w:t>establish that defendant was totally deprived of counsel during trial</w:t>
      </w:r>
      <w:r w:rsidR="00351045">
        <w:t xml:space="preserve">, requiring </w:t>
      </w:r>
      <w:r w:rsidR="00AC38BA">
        <w:t>automatic reversal of the judgment</w:t>
      </w:r>
      <w:r w:rsidR="007B3771">
        <w:t>.  (</w:t>
      </w:r>
      <w:r w:rsidR="007B3771">
        <w:rPr>
          <w:i/>
        </w:rPr>
        <w:t>United States v. Cronic</w:t>
      </w:r>
      <w:r w:rsidR="007B3771">
        <w:t xml:space="preserve"> (1984) 466 U.S. 648, 658–659.)</w:t>
      </w:r>
      <w:r w:rsidR="00265862">
        <w:t xml:space="preserve">  </w:t>
      </w:r>
      <w:r w:rsidR="002A6D8E">
        <w:t xml:space="preserve">Although defendant alleges Owen was absent for portions of jury selection and guilt phase testimony because she was meeting with a State Bar investigator, </w:t>
      </w:r>
      <w:r w:rsidR="00265862">
        <w:t xml:space="preserve">Owen </w:t>
      </w:r>
      <w:r w:rsidR="00E02767">
        <w:t>was</w:t>
      </w:r>
      <w:r w:rsidR="002A6D8E">
        <w:t>, in fact,</w:t>
      </w:r>
      <w:r w:rsidR="00E02767">
        <w:t xml:space="preserve"> present during</w:t>
      </w:r>
      <w:r w:rsidR="002A6D8E">
        <w:t xml:space="preserve"> m</w:t>
      </w:r>
      <w:r w:rsidR="00E82A79">
        <w:t>ost</w:t>
      </w:r>
      <w:r w:rsidR="002A6D8E">
        <w:t xml:space="preserve"> of the</w:t>
      </w:r>
      <w:r w:rsidR="00E02767">
        <w:t xml:space="preserve"> trial</w:t>
      </w:r>
      <w:r w:rsidR="00E93ADB">
        <w:t xml:space="preserve"> (a</w:t>
      </w:r>
      <w:r w:rsidR="00E626C6">
        <w:t xml:space="preserve">s was </w:t>
      </w:r>
      <w:r w:rsidR="00E626C6">
        <w:rPr>
          <w:i/>
        </w:rPr>
        <w:t>Keenan</w:t>
      </w:r>
      <w:r w:rsidR="00E626C6">
        <w:t xml:space="preserve"> counsel, who was present during those portions of trial when </w:t>
      </w:r>
      <w:r w:rsidR="00E93ADB">
        <w:t>Owen was absent)</w:t>
      </w:r>
      <w:r w:rsidR="00E02767">
        <w:t xml:space="preserve">.  </w:t>
      </w:r>
      <w:r w:rsidR="00E626C6">
        <w:t>Owen</w:t>
      </w:r>
      <w:r w:rsidR="00E02767">
        <w:t xml:space="preserve"> </w:t>
      </w:r>
      <w:r w:rsidR="00265862">
        <w:t>made arguments</w:t>
      </w:r>
      <w:r w:rsidR="00F04955">
        <w:t xml:space="preserve"> and objections</w:t>
      </w:r>
      <w:r w:rsidR="00AC38BA">
        <w:t xml:space="preserve">; she </w:t>
      </w:r>
      <w:r w:rsidR="00265862">
        <w:t>presented witnesses</w:t>
      </w:r>
      <w:r w:rsidR="00AC38BA">
        <w:t xml:space="preserve">.  </w:t>
      </w:r>
      <w:r w:rsidR="00390E11">
        <w:t xml:space="preserve">The question before us, at this juncture, is </w:t>
      </w:r>
      <w:r w:rsidR="004C34B6">
        <w:t>whether</w:t>
      </w:r>
      <w:r w:rsidR="0004097C">
        <w:t xml:space="preserve"> the trial record </w:t>
      </w:r>
      <w:r w:rsidR="002D2DB8">
        <w:t xml:space="preserve">alone </w:t>
      </w:r>
      <w:r w:rsidR="0004097C">
        <w:t xml:space="preserve">establishes that </w:t>
      </w:r>
      <w:r w:rsidR="004C34B6">
        <w:t>her performance fell below professional norms and that there is a reasonable probability that her deficient performance affected the result.</w:t>
      </w:r>
      <w:r w:rsidR="00E61776">
        <w:t xml:space="preserve">  Defendant has not made the necessary showing.</w:t>
      </w:r>
      <w:r w:rsidR="002D2DB8">
        <w:t xml:space="preserve">  The trial court therefore did not err in concluding it could not determine </w:t>
      </w:r>
      <w:r w:rsidR="00CF5AF5">
        <w:t>counsel was in</w:t>
      </w:r>
      <w:r w:rsidR="002D2DB8">
        <w:t xml:space="preserve">effective </w:t>
      </w:r>
      <w:r w:rsidR="00CF5AF5">
        <w:t xml:space="preserve">in the context of </w:t>
      </w:r>
      <w:r w:rsidR="002D2DB8">
        <w:t>defendant’s new trial motion.  (</w:t>
      </w:r>
      <w:r w:rsidR="002D2DB8">
        <w:rPr>
          <w:i/>
        </w:rPr>
        <w:t>People v. Fosselman</w:t>
      </w:r>
      <w:r w:rsidR="002D2DB8">
        <w:t xml:space="preserve">, </w:t>
      </w:r>
      <w:r w:rsidR="002D2DB8">
        <w:rPr>
          <w:i/>
        </w:rPr>
        <w:t>supra</w:t>
      </w:r>
      <w:r w:rsidR="002D2DB8">
        <w:t>, 33 Cal.3d at pp.</w:t>
      </w:r>
      <w:r w:rsidR="008865AF">
        <w:t> </w:t>
      </w:r>
      <w:r w:rsidR="002D2DB8">
        <w:t>582–583.)</w:t>
      </w:r>
      <w:r w:rsidR="008865AF">
        <w:t xml:space="preserve">  </w:t>
      </w:r>
    </w:p>
    <w:p w14:paraId="5D8D3546" w14:textId="4697779F" w:rsidR="004B1E7A" w:rsidRDefault="007E7C8D" w:rsidP="00071F96">
      <w:r>
        <w:tab/>
      </w:r>
      <w:r w:rsidR="00D60453">
        <w:t>Defendant</w:t>
      </w:r>
      <w:r w:rsidR="00E0551B">
        <w:t xml:space="preserve"> </w:t>
      </w:r>
      <w:r w:rsidR="00867E72">
        <w:t xml:space="preserve">contends that Owen </w:t>
      </w:r>
      <w:r w:rsidR="00536EBB">
        <w:t xml:space="preserve">did not adequately prepare a defense.  This lack of preparation was demonstrated by Owen’s failure to </w:t>
      </w:r>
      <w:r w:rsidR="00867E72">
        <w:t xml:space="preserve">interview witnesses and </w:t>
      </w:r>
      <w:r w:rsidR="00536EBB">
        <w:t xml:space="preserve">to develop a guilt phase case because she felt the police investigation was adequate and because defendant had confessed.  But defendant’s </w:t>
      </w:r>
      <w:r w:rsidR="00867E72">
        <w:t xml:space="preserve">primary argument regarding Owen’s deficient performance concerns her failure to </w:t>
      </w:r>
      <w:r w:rsidR="000A6C71">
        <w:t>develop and present evidence that defendant suffered from brain damage or a similar impairmen</w:t>
      </w:r>
      <w:r w:rsidR="00D336D7">
        <w:t xml:space="preserve">t.  </w:t>
      </w:r>
      <w:r w:rsidR="00C4018A">
        <w:t>In support of the argument, defendant introduced the opinion of Dr.</w:t>
      </w:r>
      <w:r w:rsidR="008865AF">
        <w:t> </w:t>
      </w:r>
      <w:r w:rsidR="00D734A5">
        <w:t>Albert Globus, a psychiatrist.  Based on a social and medical history including an infantile skull fracture and</w:t>
      </w:r>
      <w:r w:rsidR="00CE0AA4">
        <w:t xml:space="preserve"> febrile seizures</w:t>
      </w:r>
      <w:r w:rsidR="00D734A5">
        <w:t>, as well as postverdict neuropsychological testing, Dr.</w:t>
      </w:r>
      <w:r w:rsidR="008865AF">
        <w:t> </w:t>
      </w:r>
      <w:r w:rsidR="00D734A5">
        <w:t>Globus opined that defendant suffered from organic brain syndrome.</w:t>
      </w:r>
      <w:r w:rsidR="009D497D">
        <w:t xml:space="preserve">  Defendant contends </w:t>
      </w:r>
      <w:r w:rsidR="0030028F">
        <w:t>Owen</w:t>
      </w:r>
      <w:r w:rsidR="008B0E93">
        <w:t xml:space="preserve"> was </w:t>
      </w:r>
      <w:r w:rsidR="0030028F">
        <w:t xml:space="preserve">deficient for </w:t>
      </w:r>
      <w:r w:rsidR="00071F96">
        <w:t xml:space="preserve">failing to </w:t>
      </w:r>
      <w:r w:rsidR="00441456">
        <w:t xml:space="preserve">develop and </w:t>
      </w:r>
      <w:r w:rsidR="00071F96">
        <w:t xml:space="preserve">present </w:t>
      </w:r>
      <w:r w:rsidR="00441456">
        <w:t>such evidence of defendant’s impairments because such evidence was “</w:t>
      </w:r>
      <w:r w:rsidR="00441456">
        <w:rPr>
          <w:i/>
        </w:rPr>
        <w:t>the</w:t>
      </w:r>
      <w:r w:rsidR="00441456">
        <w:t xml:space="preserve"> best defense” to charges that defendant killed Nick with premeditation and deliberation, as is required for first degree murder, as well as “</w:t>
      </w:r>
      <w:r w:rsidR="00441456">
        <w:rPr>
          <w:i/>
        </w:rPr>
        <w:t>the</w:t>
      </w:r>
      <w:r w:rsidR="00441456">
        <w:t xml:space="preserve"> most compelling showing of mitigation” at the penalty phase.</w:t>
      </w:r>
    </w:p>
    <w:p w14:paraId="3D43A49B" w14:textId="716C7EC1" w:rsidR="00E442B0" w:rsidRDefault="004B1E7A">
      <w:pPr>
        <w:rPr>
          <w:rFonts w:cstheme="minorHAnsi"/>
        </w:rPr>
      </w:pPr>
      <w:r>
        <w:tab/>
      </w:r>
      <w:r w:rsidR="00A015C7">
        <w:t xml:space="preserve">The trial court reasonably </w:t>
      </w:r>
      <w:r w:rsidR="00E31425">
        <w:t xml:space="preserve">ruled </w:t>
      </w:r>
      <w:r w:rsidR="00AC5631">
        <w:t xml:space="preserve">that defendant’s </w:t>
      </w:r>
      <w:r w:rsidR="00591FDE">
        <w:t>postverdict</w:t>
      </w:r>
      <w:r w:rsidR="00464FBC">
        <w:t xml:space="preserve"> </w:t>
      </w:r>
      <w:r w:rsidR="00AC5631">
        <w:t xml:space="preserve">brain damage </w:t>
      </w:r>
      <w:r w:rsidR="004849B5">
        <w:t xml:space="preserve">evidence was not a sufficient basis for </w:t>
      </w:r>
      <w:r w:rsidR="00464FBC">
        <w:t xml:space="preserve">granting </w:t>
      </w:r>
      <w:r w:rsidR="004849B5">
        <w:t>a new trial.</w:t>
      </w:r>
      <w:r w:rsidR="00464FBC">
        <w:t xml:space="preserve">  </w:t>
      </w:r>
      <w:r w:rsidR="00E72EC5">
        <w:t xml:space="preserve">As to defendant’s first point, </w:t>
      </w:r>
      <w:r w:rsidR="00FB68BF">
        <w:t>after hearing defendant’s evidence, the trial court concluded that competent counsel would not have presented a brain damage defense</w:t>
      </w:r>
      <w:r w:rsidR="00E31425">
        <w:t xml:space="preserve"> at the guilt phase</w:t>
      </w:r>
      <w:r w:rsidR="00FB68BF">
        <w:t xml:space="preserve"> “</w:t>
      </w:r>
      <w:r w:rsidR="00E41006" w:rsidRPr="00631676">
        <w:rPr>
          <w:rFonts w:cstheme="minorHAnsi"/>
        </w:rPr>
        <w:t xml:space="preserve">since it’s inconsistent with </w:t>
      </w:r>
      <w:r w:rsidR="00D522E4">
        <w:rPr>
          <w:rFonts w:cstheme="minorHAnsi"/>
        </w:rPr>
        <w:t xml:space="preserve">what </w:t>
      </w:r>
      <w:r w:rsidR="00E41006" w:rsidRPr="00631676">
        <w:rPr>
          <w:rFonts w:cstheme="minorHAnsi"/>
        </w:rPr>
        <w:t>the defense actually presented, which seems to me, under the circumstances, was a better shot</w:t>
      </w:r>
      <w:r w:rsidR="008D6CC3">
        <w:rPr>
          <w:rFonts w:cstheme="minorHAnsi"/>
        </w:rPr>
        <w:t xml:space="preserve">,” given </w:t>
      </w:r>
      <w:r w:rsidR="001D4AF9">
        <w:rPr>
          <w:rFonts w:cstheme="minorHAnsi"/>
        </w:rPr>
        <w:t xml:space="preserve">defendant’s </w:t>
      </w:r>
      <w:r w:rsidR="00A9249E">
        <w:rPr>
          <w:rFonts w:cstheme="minorHAnsi"/>
        </w:rPr>
        <w:t>confession to police. “</w:t>
      </w:r>
      <w:r w:rsidR="00E41006" w:rsidRPr="00631676">
        <w:rPr>
          <w:rFonts w:cstheme="minorHAnsi"/>
        </w:rPr>
        <w:t>That defense was that this was a false confession and somebody else was the killer.”</w:t>
      </w:r>
      <w:r w:rsidR="00E47769">
        <w:rPr>
          <w:rFonts w:cstheme="minorHAnsi"/>
        </w:rPr>
        <w:t xml:space="preserve">  The trial court noted that it had been presented with no </w:t>
      </w:r>
      <w:r w:rsidR="007F7DBA">
        <w:rPr>
          <w:rFonts w:cstheme="minorHAnsi"/>
        </w:rPr>
        <w:t xml:space="preserve">cogent </w:t>
      </w:r>
      <w:r w:rsidR="00E47769">
        <w:rPr>
          <w:rFonts w:cstheme="minorHAnsi"/>
        </w:rPr>
        <w:t xml:space="preserve">argument that </w:t>
      </w:r>
      <w:r w:rsidR="007F7DBA">
        <w:rPr>
          <w:rFonts w:cstheme="minorHAnsi"/>
        </w:rPr>
        <w:t xml:space="preserve">the choice of this false confession </w:t>
      </w:r>
      <w:r w:rsidR="00E47769">
        <w:rPr>
          <w:rFonts w:cstheme="minorHAnsi"/>
        </w:rPr>
        <w:t>strategy was</w:t>
      </w:r>
      <w:r w:rsidR="00E442B0">
        <w:rPr>
          <w:rFonts w:cstheme="minorHAnsi"/>
        </w:rPr>
        <w:t xml:space="preserve"> itself the product of deficient performance.</w:t>
      </w:r>
    </w:p>
    <w:p w14:paraId="77AD4697" w14:textId="03345870" w:rsidR="00E14237" w:rsidRDefault="00C3481F">
      <w:pPr>
        <w:rPr>
          <w:rFonts w:cstheme="minorHAnsi"/>
        </w:rPr>
      </w:pPr>
      <w:r>
        <w:rPr>
          <w:rFonts w:cstheme="minorHAnsi"/>
        </w:rPr>
        <w:tab/>
        <w:t xml:space="preserve">Defendant </w:t>
      </w:r>
      <w:r w:rsidR="00CF5AF5">
        <w:rPr>
          <w:rFonts w:cstheme="minorHAnsi"/>
        </w:rPr>
        <w:t xml:space="preserve">criticizes the trial court’s reasoning but fails to grapple with the court’s central point:  </w:t>
      </w:r>
      <w:r w:rsidR="00890A1E">
        <w:rPr>
          <w:rFonts w:cstheme="minorHAnsi"/>
        </w:rPr>
        <w:t>T</w:t>
      </w:r>
      <w:r w:rsidR="00A803A7">
        <w:rPr>
          <w:rFonts w:cstheme="minorHAnsi"/>
        </w:rPr>
        <w:t>here are plausible reasons why competent counsel would choose not to present a brain</w:t>
      </w:r>
      <w:r w:rsidR="00906E32">
        <w:rPr>
          <w:rFonts w:cstheme="minorHAnsi"/>
        </w:rPr>
        <w:t xml:space="preserve"> </w:t>
      </w:r>
      <w:r w:rsidR="00A803A7">
        <w:rPr>
          <w:rFonts w:cstheme="minorHAnsi"/>
        </w:rPr>
        <w:t>damage defense</w:t>
      </w:r>
      <w:r w:rsidR="00591FDE">
        <w:rPr>
          <w:rFonts w:cstheme="minorHAnsi"/>
        </w:rPr>
        <w:t xml:space="preserve"> in an attempt to negate the prosecution’s showing of premeditation and deliberation.  </w:t>
      </w:r>
      <w:r w:rsidR="00697BA4">
        <w:rPr>
          <w:rFonts w:cstheme="minorHAnsi"/>
        </w:rPr>
        <w:t>By defendant’s own account</w:t>
      </w:r>
      <w:r w:rsidR="00356FD6">
        <w:rPr>
          <w:rFonts w:cstheme="minorHAnsi"/>
        </w:rPr>
        <w:t xml:space="preserve"> to police</w:t>
      </w:r>
      <w:r w:rsidR="00697BA4">
        <w:rPr>
          <w:rFonts w:cstheme="minorHAnsi"/>
        </w:rPr>
        <w:t xml:space="preserve">, he </w:t>
      </w:r>
      <w:r w:rsidR="00350D29">
        <w:rPr>
          <w:rFonts w:cstheme="minorHAnsi"/>
        </w:rPr>
        <w:t xml:space="preserve">accepted Hollywood’s </w:t>
      </w:r>
      <w:r w:rsidR="003D7A9F">
        <w:rPr>
          <w:rFonts w:cstheme="minorHAnsi"/>
        </w:rPr>
        <w:t xml:space="preserve">assignment </w:t>
      </w:r>
      <w:r w:rsidR="00350D29">
        <w:rPr>
          <w:rFonts w:cstheme="minorHAnsi"/>
        </w:rPr>
        <w:t xml:space="preserve">to kill </w:t>
      </w:r>
      <w:r w:rsidR="00FE706B">
        <w:rPr>
          <w:rFonts w:cstheme="minorHAnsi"/>
        </w:rPr>
        <w:t>Nick</w:t>
      </w:r>
      <w:r w:rsidR="00350D29">
        <w:rPr>
          <w:rFonts w:cstheme="minorHAnsi"/>
        </w:rPr>
        <w:t xml:space="preserve">; traveled from Los Angeles to Santa Barbara armed with a </w:t>
      </w:r>
      <w:r w:rsidR="002C52AB">
        <w:rPr>
          <w:rFonts w:cstheme="minorHAnsi"/>
        </w:rPr>
        <w:t>handgun</w:t>
      </w:r>
      <w:r w:rsidR="00350D29">
        <w:rPr>
          <w:rFonts w:cstheme="minorHAnsi"/>
        </w:rPr>
        <w:t xml:space="preserve">; </w:t>
      </w:r>
      <w:r w:rsidR="001E7933">
        <w:rPr>
          <w:rFonts w:cstheme="minorHAnsi"/>
        </w:rPr>
        <w:t xml:space="preserve">picked up </w:t>
      </w:r>
      <w:r w:rsidR="00FE706B">
        <w:rPr>
          <w:rFonts w:cstheme="minorHAnsi"/>
        </w:rPr>
        <w:t xml:space="preserve">Nick </w:t>
      </w:r>
      <w:r w:rsidR="003D7A9F">
        <w:rPr>
          <w:rFonts w:cstheme="minorHAnsi"/>
        </w:rPr>
        <w:t xml:space="preserve">from the Lemon Tree Inn </w:t>
      </w:r>
      <w:r w:rsidR="001E7933">
        <w:rPr>
          <w:rFonts w:cstheme="minorHAnsi"/>
        </w:rPr>
        <w:t xml:space="preserve">and </w:t>
      </w:r>
      <w:r w:rsidR="00F83FAF">
        <w:rPr>
          <w:rFonts w:cstheme="minorHAnsi"/>
        </w:rPr>
        <w:t>transported him to a remote location</w:t>
      </w:r>
      <w:r w:rsidR="00FF6138">
        <w:rPr>
          <w:rFonts w:cstheme="minorHAnsi"/>
        </w:rPr>
        <w:t xml:space="preserve"> where a grave had already been dug</w:t>
      </w:r>
      <w:r w:rsidR="00FE706B">
        <w:rPr>
          <w:rFonts w:cstheme="minorHAnsi"/>
        </w:rPr>
        <w:t>; then shot Nick several times and buried him</w:t>
      </w:r>
      <w:r w:rsidR="005D76C8">
        <w:rPr>
          <w:rFonts w:cstheme="minorHAnsi"/>
        </w:rPr>
        <w:t>.</w:t>
      </w:r>
      <w:r w:rsidR="00FF6138">
        <w:rPr>
          <w:rFonts w:cstheme="minorHAnsi"/>
        </w:rPr>
        <w:t xml:space="preserve">  </w:t>
      </w:r>
      <w:r w:rsidR="008B397C">
        <w:rPr>
          <w:rFonts w:cstheme="minorHAnsi"/>
        </w:rPr>
        <w:t xml:space="preserve">This account </w:t>
      </w:r>
      <w:r w:rsidR="00FF6138">
        <w:rPr>
          <w:rFonts w:cstheme="minorHAnsi"/>
        </w:rPr>
        <w:t xml:space="preserve">strongly </w:t>
      </w:r>
      <w:r w:rsidR="003D7A9F">
        <w:rPr>
          <w:rFonts w:cstheme="minorHAnsi"/>
        </w:rPr>
        <w:t>point</w:t>
      </w:r>
      <w:r w:rsidR="008B397C">
        <w:rPr>
          <w:rFonts w:cstheme="minorHAnsi"/>
        </w:rPr>
        <w:t>s</w:t>
      </w:r>
      <w:r w:rsidR="003D7A9F">
        <w:rPr>
          <w:rFonts w:cstheme="minorHAnsi"/>
        </w:rPr>
        <w:t xml:space="preserve"> to a conclusion that defendant acted with </w:t>
      </w:r>
      <w:r w:rsidR="00FF6138">
        <w:rPr>
          <w:rFonts w:cstheme="minorHAnsi"/>
        </w:rPr>
        <w:t>premeditation and deliberation</w:t>
      </w:r>
      <w:r w:rsidR="00CC2B70">
        <w:rPr>
          <w:rFonts w:cstheme="minorHAnsi"/>
        </w:rPr>
        <w:t xml:space="preserve"> when he killed Nick</w:t>
      </w:r>
      <w:r w:rsidR="00FF6138">
        <w:rPr>
          <w:rFonts w:cstheme="minorHAnsi"/>
        </w:rPr>
        <w:t xml:space="preserve">.  </w:t>
      </w:r>
      <w:r w:rsidR="004B0400">
        <w:rPr>
          <w:rFonts w:cstheme="minorHAnsi"/>
        </w:rPr>
        <w:t xml:space="preserve">As the trial court noted, competent counsel might reasonably determine that defendant’s “better shot” was to </w:t>
      </w:r>
      <w:r w:rsidR="00006CB9">
        <w:rPr>
          <w:rFonts w:cstheme="minorHAnsi"/>
        </w:rPr>
        <w:t xml:space="preserve">convince the </w:t>
      </w:r>
      <w:r w:rsidR="00423873">
        <w:rPr>
          <w:rFonts w:cstheme="minorHAnsi"/>
        </w:rPr>
        <w:t xml:space="preserve">jury that the entire confession was false, </w:t>
      </w:r>
      <w:r w:rsidR="00A15C81">
        <w:rPr>
          <w:rFonts w:cstheme="minorHAnsi"/>
        </w:rPr>
        <w:t xml:space="preserve">rather than attempting to argue that defendant </w:t>
      </w:r>
      <w:r w:rsidR="00A7672A">
        <w:rPr>
          <w:rFonts w:cstheme="minorHAnsi"/>
        </w:rPr>
        <w:t xml:space="preserve">did in fact </w:t>
      </w:r>
      <w:r w:rsidR="00A15C81">
        <w:rPr>
          <w:rFonts w:cstheme="minorHAnsi"/>
        </w:rPr>
        <w:t xml:space="preserve">commit the crime but </w:t>
      </w:r>
      <w:r w:rsidR="003A3E6C">
        <w:rPr>
          <w:rFonts w:cstheme="minorHAnsi"/>
        </w:rPr>
        <w:t>without premeditating or deliberating</w:t>
      </w:r>
      <w:r w:rsidR="001170B7">
        <w:rPr>
          <w:rFonts w:cstheme="minorHAnsi"/>
        </w:rPr>
        <w:t>.</w:t>
      </w:r>
      <w:r w:rsidR="006225F4">
        <w:rPr>
          <w:rFonts w:cstheme="minorHAnsi"/>
        </w:rPr>
        <w:t xml:space="preserve">  </w:t>
      </w:r>
      <w:r w:rsidR="00536EBB">
        <w:rPr>
          <w:rFonts w:cstheme="minorHAnsi"/>
        </w:rPr>
        <w:t xml:space="preserve">Further, as we have previously noted, </w:t>
      </w:r>
      <w:r w:rsidR="00536EBB" w:rsidRPr="00B51793">
        <w:rPr>
          <w:rFonts w:cstheme="minorHAnsi"/>
          <w:szCs w:val="27"/>
        </w:rPr>
        <w:t>“presenting expert mental health testimony inherently risks inviting damaging cross-examination.”  (</w:t>
      </w:r>
      <w:r w:rsidR="00536EBB" w:rsidRPr="00B51793">
        <w:rPr>
          <w:rFonts w:cstheme="minorHAnsi"/>
          <w:i/>
          <w:szCs w:val="27"/>
        </w:rPr>
        <w:t>People v. Rodriguez</w:t>
      </w:r>
      <w:r w:rsidR="00536EBB" w:rsidRPr="00B51793">
        <w:rPr>
          <w:rFonts w:cstheme="minorHAnsi"/>
          <w:szCs w:val="27"/>
        </w:rPr>
        <w:t xml:space="preserve"> (2014) 58 Cal.4th 587, 62</w:t>
      </w:r>
      <w:r w:rsidR="00A60F56" w:rsidRPr="00B51793">
        <w:rPr>
          <w:rFonts w:cstheme="minorHAnsi"/>
          <w:szCs w:val="27"/>
        </w:rPr>
        <w:t>4,</w:t>
      </w:r>
      <w:r w:rsidR="00536EBB" w:rsidRPr="00B51793">
        <w:rPr>
          <w:rFonts w:cstheme="minorHAnsi"/>
          <w:szCs w:val="27"/>
        </w:rPr>
        <w:t xml:space="preserve"> fn.</w:t>
      </w:r>
      <w:r w:rsidR="003A08A7" w:rsidRPr="00B51793">
        <w:rPr>
          <w:rFonts w:cstheme="minorHAnsi"/>
          <w:szCs w:val="27"/>
        </w:rPr>
        <w:t> </w:t>
      </w:r>
      <w:r w:rsidR="00536EBB" w:rsidRPr="00B51793">
        <w:rPr>
          <w:rFonts w:cstheme="minorHAnsi"/>
          <w:szCs w:val="27"/>
        </w:rPr>
        <w:t>5.)</w:t>
      </w:r>
      <w:r w:rsidR="00536EBB">
        <w:rPr>
          <w:rFonts w:cstheme="minorHAnsi"/>
        </w:rPr>
        <w:t xml:space="preserve">  </w:t>
      </w:r>
      <w:r w:rsidR="006225F4">
        <w:rPr>
          <w:rFonts w:cstheme="minorHAnsi"/>
        </w:rPr>
        <w:t xml:space="preserve">At least on this record, we cannot say the choice </w:t>
      </w:r>
      <w:r w:rsidR="00536EBB">
        <w:rPr>
          <w:rFonts w:cstheme="minorHAnsi"/>
        </w:rPr>
        <w:t xml:space="preserve">not to pursue a brain damage defense </w:t>
      </w:r>
      <w:r w:rsidR="006225F4">
        <w:rPr>
          <w:rFonts w:cstheme="minorHAnsi"/>
        </w:rPr>
        <w:t>was incompetent.</w:t>
      </w:r>
      <w:r w:rsidR="00654EAB">
        <w:rPr>
          <w:rFonts w:cstheme="minorHAnsi"/>
        </w:rPr>
        <w:t xml:space="preserve">  </w:t>
      </w:r>
      <w:r w:rsidR="00B86C7B">
        <w:rPr>
          <w:rFonts w:cstheme="minorHAnsi"/>
        </w:rPr>
        <w:t>Nor</w:t>
      </w:r>
      <w:r w:rsidR="003A3E6C">
        <w:rPr>
          <w:rFonts w:cstheme="minorHAnsi"/>
        </w:rPr>
        <w:t xml:space="preserve"> </w:t>
      </w:r>
      <w:r w:rsidR="00B86C7B">
        <w:rPr>
          <w:rFonts w:cstheme="minorHAnsi"/>
        </w:rPr>
        <w:t xml:space="preserve">has defendant shown that </w:t>
      </w:r>
      <w:r w:rsidR="00956321">
        <w:rPr>
          <w:rFonts w:cstheme="minorHAnsi"/>
        </w:rPr>
        <w:t>the presentation of such a defense would likely have changed the outcome of the trial.</w:t>
      </w:r>
    </w:p>
    <w:p w14:paraId="7E0DF474" w14:textId="0D39C358" w:rsidR="00177A4D" w:rsidRDefault="00980ED1" w:rsidP="005C22EE">
      <w:pPr>
        <w:rPr>
          <w:rFonts w:cstheme="minorHAnsi"/>
        </w:rPr>
      </w:pPr>
      <w:r>
        <w:rPr>
          <w:rFonts w:cstheme="minorHAnsi"/>
        </w:rPr>
        <w:tab/>
      </w:r>
      <w:r w:rsidR="00A56FEC">
        <w:rPr>
          <w:rFonts w:cstheme="minorHAnsi"/>
        </w:rPr>
        <w:t>Insofar as defendant argues tha</w:t>
      </w:r>
      <w:r w:rsidR="00087545">
        <w:rPr>
          <w:rFonts w:cstheme="minorHAnsi"/>
        </w:rPr>
        <w:t xml:space="preserve">t competent counsel would have presented </w:t>
      </w:r>
      <w:r w:rsidR="00A00D1F">
        <w:rPr>
          <w:rFonts w:cstheme="minorHAnsi"/>
        </w:rPr>
        <w:t xml:space="preserve">the brain damage evidence </w:t>
      </w:r>
      <w:r w:rsidR="00C720CB">
        <w:rPr>
          <w:rFonts w:cstheme="minorHAnsi"/>
        </w:rPr>
        <w:t xml:space="preserve">to bolster his </w:t>
      </w:r>
      <w:r w:rsidR="005C22EE">
        <w:rPr>
          <w:rFonts w:cstheme="minorHAnsi"/>
        </w:rPr>
        <w:t>claim that his confession was false</w:t>
      </w:r>
      <w:r w:rsidR="00C720CB">
        <w:rPr>
          <w:rFonts w:cstheme="minorHAnsi"/>
        </w:rPr>
        <w:t xml:space="preserve">, </w:t>
      </w:r>
      <w:r w:rsidR="000131CA">
        <w:rPr>
          <w:rFonts w:cstheme="minorHAnsi"/>
        </w:rPr>
        <w:t xml:space="preserve">the trial court reasonably rejected </w:t>
      </w:r>
      <w:r w:rsidR="00A00D1F">
        <w:rPr>
          <w:rFonts w:cstheme="minorHAnsi"/>
        </w:rPr>
        <w:t xml:space="preserve">that </w:t>
      </w:r>
      <w:r w:rsidR="000131CA">
        <w:rPr>
          <w:rFonts w:cstheme="minorHAnsi"/>
        </w:rPr>
        <w:t>argument</w:t>
      </w:r>
      <w:r w:rsidR="00A00D1F">
        <w:rPr>
          <w:rFonts w:cstheme="minorHAnsi"/>
        </w:rPr>
        <w:t xml:space="preserve"> as well</w:t>
      </w:r>
      <w:r w:rsidR="000131CA">
        <w:rPr>
          <w:rFonts w:cstheme="minorHAnsi"/>
        </w:rPr>
        <w:t xml:space="preserve">.  </w:t>
      </w:r>
      <w:r w:rsidR="005C22EE">
        <w:rPr>
          <w:rFonts w:cstheme="minorHAnsi"/>
        </w:rPr>
        <w:t xml:space="preserve">Defendant argued that brain damage evidence would have </w:t>
      </w:r>
      <w:r w:rsidR="00E41006">
        <w:rPr>
          <w:rFonts w:cstheme="minorHAnsi"/>
        </w:rPr>
        <w:t>neutralize</w:t>
      </w:r>
      <w:r w:rsidR="005C22EE">
        <w:rPr>
          <w:rFonts w:cstheme="minorHAnsi"/>
        </w:rPr>
        <w:t>d</w:t>
      </w:r>
      <w:r w:rsidR="00E41006">
        <w:rPr>
          <w:rFonts w:cstheme="minorHAnsi"/>
        </w:rPr>
        <w:t xml:space="preserve"> </w:t>
      </w:r>
      <w:r w:rsidR="00E41006" w:rsidRPr="00631676">
        <w:rPr>
          <w:rFonts w:cstheme="minorHAnsi"/>
        </w:rPr>
        <w:t xml:space="preserve">the </w:t>
      </w:r>
      <w:r w:rsidR="005C22EE">
        <w:rPr>
          <w:rFonts w:cstheme="minorHAnsi"/>
        </w:rPr>
        <w:t xml:space="preserve">prosecution’s rebuttal witness, who opined </w:t>
      </w:r>
      <w:r w:rsidR="00E41006">
        <w:rPr>
          <w:rFonts w:cstheme="minorHAnsi"/>
        </w:rPr>
        <w:t xml:space="preserve">that </w:t>
      </w:r>
      <w:r w:rsidR="00E41006" w:rsidRPr="00631676">
        <w:rPr>
          <w:rFonts w:cstheme="minorHAnsi"/>
        </w:rPr>
        <w:t xml:space="preserve">an individual </w:t>
      </w:r>
      <w:r w:rsidR="00E41006">
        <w:rPr>
          <w:rFonts w:cstheme="minorHAnsi"/>
        </w:rPr>
        <w:t xml:space="preserve">would </w:t>
      </w:r>
      <w:r w:rsidR="00E41006" w:rsidRPr="00631676">
        <w:rPr>
          <w:rFonts w:cstheme="minorHAnsi"/>
        </w:rPr>
        <w:t xml:space="preserve">not falsely confess and claim amnesia without suffering </w:t>
      </w:r>
      <w:r w:rsidR="00E41006">
        <w:rPr>
          <w:rFonts w:cstheme="minorHAnsi"/>
        </w:rPr>
        <w:t xml:space="preserve">serious mental illness or brain damage.  But, the </w:t>
      </w:r>
      <w:r w:rsidR="009159F5">
        <w:rPr>
          <w:rFonts w:cstheme="minorHAnsi"/>
        </w:rPr>
        <w:t xml:space="preserve">trial </w:t>
      </w:r>
      <w:r w:rsidR="00E41006">
        <w:rPr>
          <w:rFonts w:cstheme="minorHAnsi"/>
        </w:rPr>
        <w:t>court noted, defendant’s own expert had not agreed that brain damage was an “essential precondition to the person’s predilection to give a false confession under certain circumstances,” and had not relied on evidence of brain damage in offering his opinion</w:t>
      </w:r>
      <w:r w:rsidR="008808B8">
        <w:rPr>
          <w:rFonts w:cstheme="minorHAnsi"/>
        </w:rPr>
        <w:t xml:space="preserve"> in support of the defense</w:t>
      </w:r>
      <w:r w:rsidR="009B35C9">
        <w:rPr>
          <w:rFonts w:cstheme="minorHAnsi"/>
        </w:rPr>
        <w:t xml:space="preserve">.  Under the circumstances, we cannot say there is no plausible reason why competent counsel would choose not to </w:t>
      </w:r>
      <w:r w:rsidR="00D336D7">
        <w:rPr>
          <w:rFonts w:cstheme="minorHAnsi"/>
        </w:rPr>
        <w:t>develop a brain damage defense</w:t>
      </w:r>
      <w:r w:rsidR="00AF6E89">
        <w:rPr>
          <w:rFonts w:cstheme="minorHAnsi"/>
        </w:rPr>
        <w:t xml:space="preserve"> and instead to rely on </w:t>
      </w:r>
      <w:r w:rsidR="00312B1E">
        <w:rPr>
          <w:rFonts w:cstheme="minorHAnsi"/>
        </w:rPr>
        <w:t xml:space="preserve">the </w:t>
      </w:r>
      <w:r w:rsidR="008C48FE">
        <w:rPr>
          <w:rFonts w:cstheme="minorHAnsi"/>
        </w:rPr>
        <w:t>opinion of the defense expert.</w:t>
      </w:r>
      <w:r w:rsidR="00C73349">
        <w:rPr>
          <w:rFonts w:cstheme="minorHAnsi"/>
        </w:rPr>
        <w:t xml:space="preserve">  And once again, defendant has not shown that the presentation of </w:t>
      </w:r>
      <w:r w:rsidR="000B4DA7">
        <w:rPr>
          <w:rFonts w:cstheme="minorHAnsi"/>
        </w:rPr>
        <w:t xml:space="preserve">his </w:t>
      </w:r>
      <w:r w:rsidR="00C73349">
        <w:rPr>
          <w:rFonts w:cstheme="minorHAnsi"/>
        </w:rPr>
        <w:t xml:space="preserve">brain damage evidence would </w:t>
      </w:r>
      <w:r w:rsidR="00B472B0">
        <w:rPr>
          <w:rFonts w:cstheme="minorHAnsi"/>
        </w:rPr>
        <w:t xml:space="preserve">likely have altered the jury’s view of </w:t>
      </w:r>
      <w:r w:rsidR="008B4CF8">
        <w:rPr>
          <w:rFonts w:cstheme="minorHAnsi"/>
        </w:rPr>
        <w:t xml:space="preserve">whether to believe defendant’s confession or instead to believe </w:t>
      </w:r>
      <w:r w:rsidR="00177A4D">
        <w:rPr>
          <w:rFonts w:cstheme="minorHAnsi"/>
        </w:rPr>
        <w:t>that he gave the confession while suffering from temporary amnesia, as he testified at trial.</w:t>
      </w:r>
    </w:p>
    <w:p w14:paraId="7A1EDA24" w14:textId="2B15D4A7" w:rsidR="00907B78" w:rsidRDefault="00907B78" w:rsidP="005C22EE">
      <w:pPr>
        <w:rPr>
          <w:rFonts w:cstheme="minorHAnsi"/>
        </w:rPr>
      </w:pPr>
      <w:r>
        <w:rPr>
          <w:rFonts w:cstheme="minorHAnsi"/>
        </w:rPr>
        <w:tab/>
      </w:r>
      <w:r w:rsidR="003A3E6C">
        <w:rPr>
          <w:rFonts w:cstheme="minorHAnsi"/>
        </w:rPr>
        <w:t>Turning to the question of mitigation, t</w:t>
      </w:r>
      <w:r w:rsidR="005B62CF" w:rsidRPr="00631676">
        <w:rPr>
          <w:rFonts w:cstheme="minorHAnsi"/>
        </w:rPr>
        <w:t xml:space="preserve">he </w:t>
      </w:r>
      <w:r w:rsidR="005B62CF">
        <w:rPr>
          <w:rFonts w:cstheme="minorHAnsi"/>
        </w:rPr>
        <w:t xml:space="preserve">trial </w:t>
      </w:r>
      <w:r w:rsidR="005B62CF" w:rsidRPr="00631676">
        <w:rPr>
          <w:rFonts w:cstheme="minorHAnsi"/>
        </w:rPr>
        <w:t xml:space="preserve">court concluded that </w:t>
      </w:r>
      <w:r w:rsidR="00A33B99">
        <w:rPr>
          <w:rFonts w:cstheme="minorHAnsi"/>
        </w:rPr>
        <w:t xml:space="preserve">defendant’s newly presented </w:t>
      </w:r>
      <w:r w:rsidR="005B62CF" w:rsidRPr="00631676">
        <w:rPr>
          <w:rFonts w:cstheme="minorHAnsi"/>
        </w:rPr>
        <w:t xml:space="preserve">evidence of mental defect or brain damage, even if available, would not have </w:t>
      </w:r>
      <w:proofErr w:type="gramStart"/>
      <w:r w:rsidR="005B62CF" w:rsidRPr="00631676">
        <w:rPr>
          <w:rFonts w:cstheme="minorHAnsi"/>
        </w:rPr>
        <w:t>made a difference</w:t>
      </w:r>
      <w:proofErr w:type="gramEnd"/>
      <w:r w:rsidR="003A3E6C">
        <w:rPr>
          <w:rFonts w:cstheme="minorHAnsi"/>
        </w:rPr>
        <w:t xml:space="preserve"> at the penalty phas</w:t>
      </w:r>
      <w:r w:rsidR="009965DC">
        <w:rPr>
          <w:rFonts w:cstheme="minorHAnsi"/>
        </w:rPr>
        <w:t xml:space="preserve">e. </w:t>
      </w:r>
      <w:r w:rsidR="001904DE">
        <w:rPr>
          <w:rFonts w:cstheme="minorHAnsi"/>
        </w:rPr>
        <w:t xml:space="preserve"> In making an independent determination of the propriety of the penalty, the trial court reweighed the mitigating circumstances</w:t>
      </w:r>
      <w:r w:rsidR="002160A4">
        <w:rPr>
          <w:rFonts w:cstheme="minorHAnsi"/>
        </w:rPr>
        <w:t xml:space="preserve"> that had been presented, including</w:t>
      </w:r>
      <w:r w:rsidR="001904DE">
        <w:rPr>
          <w:rFonts w:cstheme="minorHAnsi"/>
        </w:rPr>
        <w:t xml:space="preserve"> defendant’s lack of criminal record, lack of violent history, peacemaking role among his friend group, excessive use of alcohol and marijuana, dependent personality, and obedience to Hollywood.  </w:t>
      </w:r>
      <w:r w:rsidR="002160A4">
        <w:rPr>
          <w:rFonts w:cstheme="minorHAnsi"/>
        </w:rPr>
        <w:t>The court concluded that no mitigating circumstance</w:t>
      </w:r>
      <w:r w:rsidR="001904DE">
        <w:rPr>
          <w:rFonts w:cstheme="minorHAnsi"/>
        </w:rPr>
        <w:t xml:space="preserve"> “appear[ed] to significantly extenuate the crime.” </w:t>
      </w:r>
      <w:r w:rsidR="009965DC">
        <w:rPr>
          <w:rFonts w:cstheme="minorHAnsi"/>
        </w:rPr>
        <w:t xml:space="preserve"> </w:t>
      </w:r>
      <w:r w:rsidR="00B9310F">
        <w:rPr>
          <w:rFonts w:cstheme="minorHAnsi"/>
        </w:rPr>
        <w:t>The court concluded defendant’s newly presented evidence of brain damage would not likely have altered the relevant balance of factors.  We see no error in the court’s determination.</w:t>
      </w:r>
    </w:p>
    <w:p w14:paraId="459AEF89" w14:textId="066DAE9C" w:rsidR="00216FA2" w:rsidRDefault="00563370">
      <w:pPr>
        <w:rPr>
          <w:rFonts w:cstheme="minorHAnsi"/>
        </w:rPr>
      </w:pPr>
      <w:r>
        <w:rPr>
          <w:rFonts w:cstheme="minorHAnsi"/>
        </w:rPr>
        <w:tab/>
        <w:t xml:space="preserve">Defendant’s </w:t>
      </w:r>
      <w:r w:rsidR="002F1EB1">
        <w:rPr>
          <w:rFonts w:cstheme="minorHAnsi"/>
        </w:rPr>
        <w:t xml:space="preserve">next claim of ineffective assistance centers on </w:t>
      </w:r>
      <w:r w:rsidR="00337A15">
        <w:t xml:space="preserve">a set of two agreements executed </w:t>
      </w:r>
      <w:r w:rsidR="008D739F">
        <w:t xml:space="preserve">in February 2002, </w:t>
      </w:r>
      <w:r w:rsidR="00337A15">
        <w:t xml:space="preserve">in which </w:t>
      </w:r>
      <w:r w:rsidR="00AC00E3">
        <w:t xml:space="preserve">defendant agreed to give Owen an “exclusive grant” to the </w:t>
      </w:r>
      <w:r w:rsidR="00C86A6B" w:rsidRPr="00631676">
        <w:rPr>
          <w:rFonts w:cstheme="minorHAnsi"/>
        </w:rPr>
        <w:t>media and literary rights to his background and story</w:t>
      </w:r>
      <w:r w:rsidR="00216FA2">
        <w:rPr>
          <w:rFonts w:cstheme="minorHAnsi"/>
        </w:rPr>
        <w:t xml:space="preserve"> and to waive attorney-client privilege to permit Owen to speak and write </w:t>
      </w:r>
      <w:r w:rsidR="008D739F">
        <w:rPr>
          <w:rFonts w:cstheme="minorHAnsi"/>
        </w:rPr>
        <w:t xml:space="preserve">about his criminal case.  </w:t>
      </w:r>
      <w:r w:rsidR="009B2094">
        <w:rPr>
          <w:rFonts w:cstheme="minorHAnsi"/>
        </w:rPr>
        <w:t xml:space="preserve">Defendant contends that these agreements created a conflict of interest that “tainted the representation </w:t>
      </w:r>
      <w:r w:rsidR="009B2094">
        <w:rPr>
          <w:rFonts w:cstheme="minorHAnsi"/>
          <w:i/>
        </w:rPr>
        <w:t>ab initio</w:t>
      </w:r>
      <w:r w:rsidR="002F1EB1">
        <w:rPr>
          <w:rFonts w:cstheme="minorHAnsi"/>
        </w:rPr>
        <w:t>,</w:t>
      </w:r>
      <w:r w:rsidR="009B2094">
        <w:rPr>
          <w:rFonts w:cstheme="minorHAnsi"/>
        </w:rPr>
        <w:t>”</w:t>
      </w:r>
      <w:r w:rsidR="002F1EB1">
        <w:rPr>
          <w:rFonts w:cstheme="minorHAnsi"/>
        </w:rPr>
        <w:t xml:space="preserve"> and that establish grounds for a new trial.</w:t>
      </w:r>
      <w:r w:rsidR="007779D6">
        <w:rPr>
          <w:rFonts w:cstheme="minorHAnsi"/>
        </w:rPr>
        <w:t xml:space="preserve">  </w:t>
      </w:r>
      <w:r w:rsidR="00633E66">
        <w:rPr>
          <w:rFonts w:cstheme="minorHAnsi"/>
        </w:rPr>
        <w:t>The trial court disagreed, and we do as well.</w:t>
      </w:r>
    </w:p>
    <w:p w14:paraId="79C301FF" w14:textId="38D053E4" w:rsidR="0034587A" w:rsidRDefault="00827C13" w:rsidP="00AC00E3">
      <w:pPr>
        <w:rPr>
          <w:rFonts w:cstheme="minorHAnsi"/>
        </w:rPr>
      </w:pPr>
      <w:r>
        <w:rPr>
          <w:rFonts w:cstheme="minorHAnsi"/>
        </w:rPr>
        <w:tab/>
      </w:r>
      <w:r w:rsidR="00457687">
        <w:rPr>
          <w:rFonts w:cstheme="minorHAnsi"/>
        </w:rPr>
        <w:t>A</w:t>
      </w:r>
      <w:r>
        <w:rPr>
          <w:rFonts w:cstheme="minorHAnsi"/>
        </w:rPr>
        <w:t xml:space="preserve">s the trial court acknowledged, </w:t>
      </w:r>
      <w:r w:rsidR="000E313B" w:rsidRPr="00631676">
        <w:rPr>
          <w:rFonts w:cstheme="minorHAnsi"/>
        </w:rPr>
        <w:t>these agreements “grant[ed] [Owen] exclusive rights to exploit her client’s story for her benefit</w:t>
      </w:r>
      <w:r w:rsidR="000E313B">
        <w:rPr>
          <w:rFonts w:cstheme="minorHAnsi"/>
        </w:rPr>
        <w:t>,</w:t>
      </w:r>
      <w:r w:rsidR="000E313B" w:rsidRPr="00631676">
        <w:rPr>
          <w:rFonts w:cstheme="minorHAnsi"/>
        </w:rPr>
        <w:t>”</w:t>
      </w:r>
      <w:r w:rsidR="000E313B">
        <w:rPr>
          <w:rFonts w:cstheme="minorHAnsi"/>
        </w:rPr>
        <w:t xml:space="preserve"> creating the potential for a </w:t>
      </w:r>
      <w:r w:rsidR="000E313B" w:rsidRPr="00631676">
        <w:rPr>
          <w:rFonts w:cstheme="minorHAnsi"/>
        </w:rPr>
        <w:t>conflict of interest</w:t>
      </w:r>
      <w:r w:rsidR="000E313B">
        <w:rPr>
          <w:rFonts w:cstheme="minorHAnsi"/>
        </w:rPr>
        <w:t xml:space="preserve">.  </w:t>
      </w:r>
      <w:r w:rsidR="00AF62ED">
        <w:rPr>
          <w:rFonts w:cstheme="minorHAnsi"/>
        </w:rPr>
        <w:t>But</w:t>
      </w:r>
      <w:r>
        <w:rPr>
          <w:rFonts w:cstheme="minorHAnsi"/>
        </w:rPr>
        <w:t xml:space="preserve"> to establish a deprivation of his constitutional right to counsel, defendant must show more than a “</w:t>
      </w:r>
      <w:r w:rsidR="00D60F42">
        <w:rPr>
          <w:rFonts w:cstheme="minorHAnsi"/>
        </w:rPr>
        <w:t> </w:t>
      </w:r>
      <w:r>
        <w:rPr>
          <w:rFonts w:cstheme="minorHAnsi"/>
        </w:rPr>
        <w:t>‘theoretical division of loyalties’</w:t>
      </w:r>
      <w:r w:rsidR="008865AF">
        <w:rPr>
          <w:rFonts w:cstheme="minorHAnsi"/>
        </w:rPr>
        <w:t> </w:t>
      </w:r>
      <w:r>
        <w:rPr>
          <w:rFonts w:cstheme="minorHAnsi"/>
        </w:rPr>
        <w:t>”; he must show that counsel “labored under an actual conflict of interest ‘</w:t>
      </w:r>
      <w:r>
        <w:rPr>
          <w:rFonts w:cstheme="minorHAnsi"/>
          <w:i/>
        </w:rPr>
        <w:t>that affected counsel’s performance</w:t>
      </w:r>
      <w:r>
        <w:rPr>
          <w:rFonts w:cstheme="minorHAnsi"/>
        </w:rPr>
        <w:t>.’</w:t>
      </w:r>
      <w:r w:rsidR="008865AF">
        <w:rPr>
          <w:rFonts w:cstheme="minorHAnsi"/>
        </w:rPr>
        <w:t> </w:t>
      </w:r>
      <w:r>
        <w:rPr>
          <w:rFonts w:cstheme="minorHAnsi"/>
        </w:rPr>
        <w:t>”  (</w:t>
      </w:r>
      <w:r>
        <w:rPr>
          <w:rFonts w:cstheme="minorHAnsi"/>
          <w:i/>
        </w:rPr>
        <w:t>People v. Doolin</w:t>
      </w:r>
      <w:r>
        <w:rPr>
          <w:rFonts w:cstheme="minorHAnsi"/>
        </w:rPr>
        <w:t xml:space="preserve"> (2009) 45 Cal.4th 390, 417</w:t>
      </w:r>
      <w:r w:rsidR="00D944E4">
        <w:rPr>
          <w:rFonts w:cstheme="minorHAnsi"/>
        </w:rPr>
        <w:t>.)</w:t>
      </w:r>
      <w:r w:rsidR="00BC1F37">
        <w:rPr>
          <w:rFonts w:cstheme="minorHAnsi"/>
        </w:rPr>
        <w:t xml:space="preserve">  Or as the trial court put it, to succeed on the conflict claim, </w:t>
      </w:r>
      <w:r w:rsidR="000E313B" w:rsidRPr="00631676">
        <w:rPr>
          <w:rFonts w:cstheme="minorHAnsi"/>
        </w:rPr>
        <w:t>“there has to be some showing of cause and effect, in other words, that the act or omission of the lawyer in seeking the benefits of the agreement has placed her client’s defense in jeopardy.”</w:t>
      </w:r>
      <w:r w:rsidR="00FC3623">
        <w:rPr>
          <w:rFonts w:cstheme="minorHAnsi"/>
        </w:rPr>
        <w:t xml:space="preserve">  As the trial court </w:t>
      </w:r>
      <w:r w:rsidR="00CF6167">
        <w:rPr>
          <w:rFonts w:cstheme="minorHAnsi"/>
        </w:rPr>
        <w:t>explained</w:t>
      </w:r>
      <w:r w:rsidR="005B4283">
        <w:rPr>
          <w:rFonts w:cstheme="minorHAnsi"/>
        </w:rPr>
        <w:t xml:space="preserve">, </w:t>
      </w:r>
      <w:r w:rsidR="000E313B" w:rsidRPr="00631676">
        <w:rPr>
          <w:rFonts w:cstheme="minorHAnsi"/>
        </w:rPr>
        <w:t xml:space="preserve">no such showing </w:t>
      </w:r>
      <w:r w:rsidR="000E313B">
        <w:rPr>
          <w:rFonts w:cstheme="minorHAnsi"/>
        </w:rPr>
        <w:t>had been</w:t>
      </w:r>
      <w:r w:rsidR="000E313B" w:rsidRPr="00631676">
        <w:rPr>
          <w:rFonts w:cstheme="minorHAnsi"/>
        </w:rPr>
        <w:t xml:space="preserve"> made here.</w:t>
      </w:r>
      <w:r w:rsidR="00CF6167">
        <w:rPr>
          <w:rFonts w:cstheme="minorHAnsi"/>
        </w:rPr>
        <w:t xml:space="preserve">  Indeed, the agreements were made </w:t>
      </w:r>
      <w:r w:rsidR="005972DB">
        <w:rPr>
          <w:rFonts w:cstheme="minorHAnsi"/>
        </w:rPr>
        <w:t xml:space="preserve">some two months </w:t>
      </w:r>
      <w:r w:rsidR="005972DB" w:rsidRPr="000D25E7">
        <w:rPr>
          <w:rFonts w:cstheme="minorHAnsi"/>
        </w:rPr>
        <w:t>after</w:t>
      </w:r>
      <w:r w:rsidR="005972DB">
        <w:rPr>
          <w:rFonts w:cstheme="minorHAnsi"/>
        </w:rPr>
        <w:t xml:space="preserve"> the jury rendered its penalty verdict</w:t>
      </w:r>
      <w:r w:rsidR="001B2539">
        <w:rPr>
          <w:rFonts w:cstheme="minorHAnsi"/>
        </w:rPr>
        <w:t xml:space="preserve"> and just one day before Owen </w:t>
      </w:r>
      <w:proofErr w:type="gramStart"/>
      <w:r w:rsidR="001B2539">
        <w:rPr>
          <w:rFonts w:cstheme="minorHAnsi"/>
        </w:rPr>
        <w:t>tendered her resignation</w:t>
      </w:r>
      <w:proofErr w:type="gramEnd"/>
      <w:r w:rsidR="001B2539">
        <w:rPr>
          <w:rFonts w:cstheme="minorHAnsi"/>
        </w:rPr>
        <w:t xml:space="preserve"> to the State Bar</w:t>
      </w:r>
      <w:r w:rsidR="00E30BFB">
        <w:rPr>
          <w:rFonts w:cstheme="minorHAnsi"/>
        </w:rPr>
        <w:t>.</w:t>
      </w:r>
      <w:r w:rsidR="009E14B3">
        <w:rPr>
          <w:rFonts w:cstheme="minorHAnsi"/>
        </w:rPr>
        <w:t xml:space="preserve">  </w:t>
      </w:r>
      <w:r w:rsidR="00A535B2">
        <w:rPr>
          <w:rFonts w:cstheme="minorHAnsi"/>
        </w:rPr>
        <w:t xml:space="preserve">And contrary to defendant’s argument, nothing in the record shows </w:t>
      </w:r>
      <w:r w:rsidR="00670398">
        <w:rPr>
          <w:rFonts w:cstheme="minorHAnsi"/>
        </w:rPr>
        <w:t>that the parties had been operating under any comparable agreement</w:t>
      </w:r>
      <w:r w:rsidR="000D3FAC">
        <w:rPr>
          <w:rFonts w:cstheme="minorHAnsi"/>
        </w:rPr>
        <w:t xml:space="preserve"> previously</w:t>
      </w:r>
      <w:r w:rsidR="001D2724">
        <w:rPr>
          <w:rFonts w:cstheme="minorHAnsi"/>
        </w:rPr>
        <w:t xml:space="preserve">, while Owen was </w:t>
      </w:r>
      <w:r w:rsidR="00BA0F7B">
        <w:rPr>
          <w:rFonts w:cstheme="minorHAnsi"/>
        </w:rPr>
        <w:t xml:space="preserve">still </w:t>
      </w:r>
      <w:r w:rsidR="0034587A">
        <w:rPr>
          <w:rFonts w:cstheme="minorHAnsi"/>
        </w:rPr>
        <w:t>representing defendant at trial.</w:t>
      </w:r>
    </w:p>
    <w:p w14:paraId="6D0E0C12" w14:textId="0F98EF0A" w:rsidR="005D2809" w:rsidRPr="00631676" w:rsidRDefault="000D25E7" w:rsidP="00D60F42">
      <w:pPr>
        <w:rPr>
          <w:rFonts w:cstheme="minorHAnsi"/>
        </w:rPr>
      </w:pPr>
      <w:r>
        <w:rPr>
          <w:rFonts w:cstheme="minorHAnsi"/>
        </w:rPr>
        <w:tab/>
      </w:r>
      <w:r w:rsidR="00407BE2">
        <w:rPr>
          <w:rFonts w:cstheme="minorHAnsi"/>
        </w:rPr>
        <w:t>Th</w:t>
      </w:r>
      <w:r w:rsidR="00376CCC">
        <w:rPr>
          <w:rFonts w:cstheme="minorHAnsi"/>
        </w:rPr>
        <w:t>e</w:t>
      </w:r>
      <w:r w:rsidR="00407BE2">
        <w:rPr>
          <w:rFonts w:cstheme="minorHAnsi"/>
        </w:rPr>
        <w:t xml:space="preserve"> case </w:t>
      </w:r>
      <w:r w:rsidR="00376CCC">
        <w:rPr>
          <w:rFonts w:cstheme="minorHAnsi"/>
        </w:rPr>
        <w:t xml:space="preserve">before us </w:t>
      </w:r>
      <w:r w:rsidR="00407BE2">
        <w:rPr>
          <w:rFonts w:cstheme="minorHAnsi"/>
        </w:rPr>
        <w:t xml:space="preserve">thus differs </w:t>
      </w:r>
      <w:r w:rsidR="00376CCC">
        <w:rPr>
          <w:rFonts w:cstheme="minorHAnsi"/>
        </w:rPr>
        <w:t xml:space="preserve">in </w:t>
      </w:r>
      <w:r w:rsidR="005D2946">
        <w:rPr>
          <w:rFonts w:cstheme="minorHAnsi"/>
        </w:rPr>
        <w:t xml:space="preserve">critical </w:t>
      </w:r>
      <w:r w:rsidR="00376CCC">
        <w:rPr>
          <w:rFonts w:cstheme="minorHAnsi"/>
        </w:rPr>
        <w:t xml:space="preserve">respects </w:t>
      </w:r>
      <w:r w:rsidR="00407BE2">
        <w:rPr>
          <w:rFonts w:cstheme="minorHAnsi"/>
        </w:rPr>
        <w:t xml:space="preserve">from </w:t>
      </w:r>
      <w:r w:rsidR="00407BE2">
        <w:rPr>
          <w:rFonts w:cstheme="minorHAnsi"/>
          <w:i/>
        </w:rPr>
        <w:t>People v. Corona</w:t>
      </w:r>
      <w:r w:rsidR="0083119F">
        <w:rPr>
          <w:rFonts w:cstheme="minorHAnsi"/>
        </w:rPr>
        <w:t xml:space="preserve"> (1978) 80 Cal.App.3d 684, on </w:t>
      </w:r>
      <w:r w:rsidR="005D2809">
        <w:rPr>
          <w:rFonts w:cstheme="minorHAnsi"/>
        </w:rPr>
        <w:t>which defendant relies.  In that case</w:t>
      </w:r>
      <w:r w:rsidR="00DF1961">
        <w:rPr>
          <w:rFonts w:cstheme="minorHAnsi"/>
        </w:rPr>
        <w:t xml:space="preserve">, </w:t>
      </w:r>
      <w:r w:rsidR="00376CCC">
        <w:rPr>
          <w:rFonts w:cstheme="minorHAnsi"/>
        </w:rPr>
        <w:t xml:space="preserve">the record showed that </w:t>
      </w:r>
      <w:r w:rsidR="00DF1961">
        <w:rPr>
          <w:rFonts w:cstheme="minorHAnsi"/>
        </w:rPr>
        <w:t xml:space="preserve">trial counsel </w:t>
      </w:r>
      <w:r w:rsidR="00087F97">
        <w:rPr>
          <w:rFonts w:cstheme="minorHAnsi"/>
        </w:rPr>
        <w:t xml:space="preserve">agreed to represent the defendant, who was facing </w:t>
      </w:r>
      <w:r w:rsidR="006E4BDB">
        <w:rPr>
          <w:rFonts w:cstheme="minorHAnsi"/>
        </w:rPr>
        <w:t xml:space="preserve">25 counts of first degree murder, in exchange for exclusive literary rights to the defendant’s life story, including the </w:t>
      </w:r>
      <w:r w:rsidR="00376CCC">
        <w:rPr>
          <w:rFonts w:cstheme="minorHAnsi"/>
        </w:rPr>
        <w:t xml:space="preserve">criminal </w:t>
      </w:r>
      <w:r w:rsidR="006E4BDB">
        <w:rPr>
          <w:rFonts w:cstheme="minorHAnsi"/>
        </w:rPr>
        <w:t>proceedings against him.</w:t>
      </w:r>
      <w:r w:rsidR="00376CCC">
        <w:rPr>
          <w:rFonts w:cstheme="minorHAnsi"/>
        </w:rPr>
        <w:t xml:space="preserve">  (</w:t>
      </w:r>
      <w:r w:rsidR="00376CCC">
        <w:rPr>
          <w:rFonts w:cstheme="minorHAnsi"/>
          <w:i/>
        </w:rPr>
        <w:t>Id.</w:t>
      </w:r>
      <w:r w:rsidR="00376CCC">
        <w:rPr>
          <w:rFonts w:cstheme="minorHAnsi"/>
        </w:rPr>
        <w:t xml:space="preserve"> at p.</w:t>
      </w:r>
      <w:r w:rsidR="008865AF">
        <w:rPr>
          <w:rFonts w:cstheme="minorHAnsi"/>
        </w:rPr>
        <w:t> </w:t>
      </w:r>
      <w:r w:rsidR="00376CCC">
        <w:rPr>
          <w:rFonts w:cstheme="minorHAnsi"/>
        </w:rPr>
        <w:t>703.)</w:t>
      </w:r>
      <w:r w:rsidR="00E25117">
        <w:rPr>
          <w:rFonts w:cstheme="minorHAnsi"/>
        </w:rPr>
        <w:t xml:space="preserve">  Trial counsel went on to make decisions in the interests of “his own pocketbook” rather than “the best interests of his client” (</w:t>
      </w:r>
      <w:r w:rsidR="00E25117">
        <w:rPr>
          <w:rFonts w:cstheme="minorHAnsi"/>
          <w:i/>
        </w:rPr>
        <w:t>id.</w:t>
      </w:r>
      <w:r w:rsidR="00E25117">
        <w:rPr>
          <w:rFonts w:cstheme="minorHAnsi"/>
        </w:rPr>
        <w:t xml:space="preserve"> at p.</w:t>
      </w:r>
      <w:r w:rsidR="008865AF">
        <w:rPr>
          <w:rFonts w:cstheme="minorHAnsi"/>
        </w:rPr>
        <w:t> </w:t>
      </w:r>
      <w:r w:rsidR="0019405D">
        <w:rPr>
          <w:rFonts w:cstheme="minorHAnsi"/>
        </w:rPr>
        <w:t xml:space="preserve">720), including the abandonment of </w:t>
      </w:r>
      <w:r w:rsidR="00376CCC">
        <w:rPr>
          <w:rFonts w:cstheme="minorHAnsi"/>
        </w:rPr>
        <w:t xml:space="preserve">mental defenses </w:t>
      </w:r>
      <w:r w:rsidR="0019405D">
        <w:rPr>
          <w:rFonts w:cstheme="minorHAnsi"/>
        </w:rPr>
        <w:t xml:space="preserve">central to </w:t>
      </w:r>
      <w:r w:rsidR="00376CCC">
        <w:rPr>
          <w:rFonts w:cstheme="minorHAnsi"/>
        </w:rPr>
        <w:t>the case</w:t>
      </w:r>
      <w:r w:rsidR="0019405D">
        <w:rPr>
          <w:rFonts w:cstheme="minorHAnsi"/>
        </w:rPr>
        <w:t xml:space="preserve"> (</w:t>
      </w:r>
      <w:r w:rsidR="0019405D">
        <w:rPr>
          <w:rFonts w:cstheme="minorHAnsi"/>
          <w:i/>
        </w:rPr>
        <w:t>id.</w:t>
      </w:r>
      <w:r w:rsidR="0019405D">
        <w:rPr>
          <w:rFonts w:cstheme="minorHAnsi"/>
        </w:rPr>
        <w:t xml:space="preserve"> at pp.</w:t>
      </w:r>
      <w:r w:rsidR="008865AF">
        <w:rPr>
          <w:rFonts w:cstheme="minorHAnsi"/>
        </w:rPr>
        <w:t> </w:t>
      </w:r>
      <w:r w:rsidR="0019405D">
        <w:rPr>
          <w:rFonts w:cstheme="minorHAnsi"/>
        </w:rPr>
        <w:t>721, 727)</w:t>
      </w:r>
      <w:r w:rsidR="005D6B81">
        <w:rPr>
          <w:rFonts w:cstheme="minorHAnsi"/>
        </w:rPr>
        <w:t>.</w:t>
      </w:r>
      <w:r w:rsidR="0019405D">
        <w:rPr>
          <w:rFonts w:cstheme="minorHAnsi"/>
        </w:rPr>
        <w:t xml:space="preserve">  </w:t>
      </w:r>
      <w:r w:rsidR="00F47128">
        <w:t xml:space="preserve">No comparable circumstances are present here.  </w:t>
      </w:r>
      <w:r w:rsidR="00E25117">
        <w:t>The record neither s</w:t>
      </w:r>
      <w:r w:rsidR="001B2539">
        <w:t>hows that Owen labored under a potential conflict of interest during the course of her representation of defendant</w:t>
      </w:r>
      <w:r w:rsidR="005D2946">
        <w:t>, nor shows that “the conflict of interest .</w:t>
      </w:r>
      <w:r w:rsidR="008865AF">
        <w:t> </w:t>
      </w:r>
      <w:r w:rsidR="005D2946">
        <w:t>.</w:t>
      </w:r>
      <w:r w:rsidR="008865AF">
        <w:t> </w:t>
      </w:r>
      <w:r w:rsidR="005D2946">
        <w:t xml:space="preserve">. resulted in obvious prejudice” to defendant’s case, as it had in </w:t>
      </w:r>
      <w:r w:rsidR="005D2946">
        <w:rPr>
          <w:i/>
        </w:rPr>
        <w:t>Corona</w:t>
      </w:r>
      <w:r w:rsidR="005D2946">
        <w:t>.  (</w:t>
      </w:r>
      <w:r w:rsidR="005D2946">
        <w:rPr>
          <w:i/>
        </w:rPr>
        <w:t>Id.</w:t>
      </w:r>
      <w:r w:rsidR="005D2946">
        <w:t xml:space="preserve"> at p.</w:t>
      </w:r>
      <w:r w:rsidR="008865AF">
        <w:t> </w:t>
      </w:r>
      <w:r w:rsidR="005D2946">
        <w:t>720</w:t>
      </w:r>
      <w:r w:rsidR="00EE7CD6">
        <w:t>, fn. omitted</w:t>
      </w:r>
      <w:r w:rsidR="005D2946">
        <w:t>.)</w:t>
      </w:r>
    </w:p>
    <w:p w14:paraId="7496003C" w14:textId="3F4DDD15" w:rsidR="00150034" w:rsidRDefault="00410BF5" w:rsidP="00D60F42">
      <w:pPr>
        <w:rPr>
          <w:rFonts w:cstheme="minorHAnsi"/>
        </w:rPr>
      </w:pPr>
      <w:r w:rsidRPr="00631676">
        <w:rPr>
          <w:rFonts w:cstheme="minorHAnsi"/>
        </w:rPr>
        <w:tab/>
      </w:r>
      <w:r w:rsidR="00DD1870">
        <w:rPr>
          <w:rFonts w:cstheme="minorHAnsi"/>
        </w:rPr>
        <w:t>Finally, defendant asks us to compel the trial court to reconsider its handling of various other claims in the motion for new trial, including a claim that Owen was acting as an informant for the Los Angeles District Attorney</w:t>
      </w:r>
      <w:r w:rsidR="00534894">
        <w:rPr>
          <w:rFonts w:cstheme="minorHAnsi"/>
        </w:rPr>
        <w:t xml:space="preserve"> and </w:t>
      </w:r>
      <w:r w:rsidR="0033272E">
        <w:rPr>
          <w:rFonts w:cstheme="minorHAnsi"/>
        </w:rPr>
        <w:t xml:space="preserve">a claim that Owen instructed </w:t>
      </w:r>
      <w:r w:rsidR="00534894">
        <w:rPr>
          <w:rFonts w:cstheme="minorHAnsi"/>
        </w:rPr>
        <w:t xml:space="preserve">defense investigators not to investigate the case </w:t>
      </w:r>
      <w:r w:rsidR="006E0FB7">
        <w:rPr>
          <w:rFonts w:cstheme="minorHAnsi"/>
        </w:rPr>
        <w:t xml:space="preserve">and </w:t>
      </w:r>
      <w:r w:rsidR="00A821E4">
        <w:rPr>
          <w:rFonts w:cstheme="minorHAnsi"/>
        </w:rPr>
        <w:t xml:space="preserve">instead </w:t>
      </w:r>
      <w:r w:rsidR="00534894">
        <w:rPr>
          <w:rFonts w:cstheme="minorHAnsi"/>
        </w:rPr>
        <w:t>divert</w:t>
      </w:r>
      <w:r w:rsidR="00A821E4">
        <w:rPr>
          <w:rFonts w:cstheme="minorHAnsi"/>
        </w:rPr>
        <w:t>ed</w:t>
      </w:r>
      <w:r w:rsidR="00534894">
        <w:rPr>
          <w:rFonts w:cstheme="minorHAnsi"/>
        </w:rPr>
        <w:t xml:space="preserve"> investigation funds to </w:t>
      </w:r>
      <w:r w:rsidR="002F64DE">
        <w:rPr>
          <w:rFonts w:cstheme="minorHAnsi"/>
        </w:rPr>
        <w:t>satisfy other obligations</w:t>
      </w:r>
      <w:r w:rsidR="00FD2C0F">
        <w:rPr>
          <w:rFonts w:cstheme="minorHAnsi"/>
        </w:rPr>
        <w:t xml:space="preserve">.  </w:t>
      </w:r>
      <w:r w:rsidR="00002E20">
        <w:rPr>
          <w:rFonts w:cstheme="minorHAnsi"/>
        </w:rPr>
        <w:t xml:space="preserve">The trial court rejected these arguments </w:t>
      </w:r>
      <w:r w:rsidR="006E0FB7">
        <w:rPr>
          <w:rFonts w:cstheme="minorHAnsi"/>
        </w:rPr>
        <w:t xml:space="preserve">on </w:t>
      </w:r>
      <w:r w:rsidR="00890A1E">
        <w:rPr>
          <w:rFonts w:cstheme="minorHAnsi"/>
        </w:rPr>
        <w:t xml:space="preserve">the </w:t>
      </w:r>
      <w:r w:rsidR="006E0FB7">
        <w:rPr>
          <w:rFonts w:cstheme="minorHAnsi"/>
        </w:rPr>
        <w:t xml:space="preserve">grounds that the claims were unsupported by the record </w:t>
      </w:r>
      <w:r w:rsidR="00F124D1">
        <w:rPr>
          <w:rFonts w:cstheme="minorHAnsi"/>
        </w:rPr>
        <w:t>and</w:t>
      </w:r>
      <w:r w:rsidR="00536EBB">
        <w:rPr>
          <w:rFonts w:cstheme="minorHAnsi"/>
        </w:rPr>
        <w:t xml:space="preserve">, even if true, would not have established that defendant was prejudiced by Owen’s deficient performance. </w:t>
      </w:r>
      <w:r w:rsidR="003A08A7">
        <w:rPr>
          <w:rFonts w:cstheme="minorHAnsi"/>
        </w:rPr>
        <w:t xml:space="preserve"> </w:t>
      </w:r>
      <w:r w:rsidR="00A821E4">
        <w:rPr>
          <w:rFonts w:cstheme="minorHAnsi"/>
        </w:rPr>
        <w:t>The trial court did not abuse its discretion in concluding that none of these claims constituted a basis for granting defendant’s new trial motion.</w:t>
      </w:r>
    </w:p>
    <w:p w14:paraId="3993F48F" w14:textId="77777777" w:rsidR="004929DC" w:rsidRPr="00D60F42" w:rsidRDefault="008609EE" w:rsidP="00D60F42">
      <w:pPr>
        <w:pStyle w:val="Heading1"/>
        <w:rPr>
          <w:rFonts w:cstheme="minorHAnsi"/>
        </w:rPr>
      </w:pPr>
      <w:bookmarkStart w:id="41" w:name="_Toc12993778"/>
      <w:r w:rsidRPr="00D60F42">
        <w:rPr>
          <w:rFonts w:cstheme="minorHAnsi"/>
          <w:caps/>
          <w:szCs w:val="26"/>
        </w:rPr>
        <w:t>III.</w:t>
      </w:r>
      <w:r w:rsidRPr="00D60F42">
        <w:rPr>
          <w:rFonts w:cstheme="minorHAnsi"/>
          <w:caps/>
          <w:szCs w:val="26"/>
        </w:rPr>
        <w:tab/>
      </w:r>
      <w:r w:rsidR="004929DC" w:rsidRPr="00D60F42">
        <w:rPr>
          <w:rFonts w:cstheme="minorHAnsi"/>
          <w:caps/>
          <w:szCs w:val="26"/>
        </w:rPr>
        <w:t>DISPOSITION</w:t>
      </w:r>
      <w:bookmarkEnd w:id="41"/>
    </w:p>
    <w:p w14:paraId="7C19E80A" w14:textId="57EE1368" w:rsidR="004929DC" w:rsidRDefault="004929DC" w:rsidP="00D60F42">
      <w:pPr>
        <w:rPr>
          <w:rFonts w:cstheme="minorHAnsi"/>
        </w:rPr>
      </w:pPr>
      <w:r w:rsidRPr="00631676">
        <w:rPr>
          <w:rFonts w:cstheme="minorHAnsi"/>
        </w:rPr>
        <w:tab/>
      </w:r>
      <w:r w:rsidR="0032317D" w:rsidRPr="00631676">
        <w:rPr>
          <w:rFonts w:cstheme="minorHAnsi"/>
        </w:rPr>
        <w:t>The judgment of the superior court is affirmed</w:t>
      </w:r>
      <w:r w:rsidRPr="00631676">
        <w:rPr>
          <w:rFonts w:cstheme="minorHAnsi"/>
        </w:rPr>
        <w:t>.</w:t>
      </w:r>
    </w:p>
    <w:p w14:paraId="636B4F6D" w14:textId="77777777" w:rsidR="00D716D0" w:rsidRPr="00631676" w:rsidRDefault="00D716D0" w:rsidP="00D60F42">
      <w:pPr>
        <w:rPr>
          <w:rFonts w:cstheme="minorHAnsi"/>
        </w:rPr>
      </w:pPr>
    </w:p>
    <w:p w14:paraId="08E7BC86" w14:textId="1991BB6A" w:rsidR="0057430E" w:rsidRPr="00631676" w:rsidRDefault="00890A1E" w:rsidP="00D60F42">
      <w:pPr>
        <w:tabs>
          <w:tab w:val="left" w:pos="1440"/>
        </w:tabs>
        <w:ind w:firstLine="720"/>
        <w:rPr>
          <w:rFonts w:cstheme="minorHAnsi"/>
          <w:b/>
          <w:caps/>
        </w:rPr>
      </w:pPr>
      <w:r>
        <w:rPr>
          <w:rFonts w:cstheme="minorHAnsi"/>
          <w:b/>
          <w:smallCaps/>
        </w:rPr>
        <w:tab/>
      </w:r>
      <w:r w:rsidR="004929DC" w:rsidRPr="00631676">
        <w:rPr>
          <w:rFonts w:cstheme="minorHAnsi"/>
          <w:b/>
          <w:smallCaps/>
        </w:rPr>
        <w:tab/>
      </w:r>
      <w:r w:rsidR="004929DC" w:rsidRPr="00631676">
        <w:rPr>
          <w:rFonts w:cstheme="minorHAnsi"/>
          <w:b/>
          <w:smallCaps/>
        </w:rPr>
        <w:tab/>
      </w:r>
      <w:r w:rsidR="004929DC" w:rsidRPr="00631676">
        <w:rPr>
          <w:rFonts w:cstheme="minorHAnsi"/>
          <w:b/>
          <w:smallCaps/>
        </w:rPr>
        <w:tab/>
      </w:r>
      <w:r w:rsidR="004929DC" w:rsidRPr="00631676">
        <w:rPr>
          <w:rFonts w:cstheme="minorHAnsi"/>
          <w:b/>
          <w:smallCaps/>
        </w:rPr>
        <w:tab/>
      </w:r>
      <w:r w:rsidR="004929DC" w:rsidRPr="00631676">
        <w:rPr>
          <w:rFonts w:cstheme="minorHAnsi"/>
          <w:b/>
          <w:smallCaps/>
        </w:rPr>
        <w:tab/>
      </w:r>
      <w:r w:rsidR="004929DC" w:rsidRPr="00631676">
        <w:rPr>
          <w:rFonts w:cstheme="minorHAnsi"/>
          <w:b/>
          <w:smallCaps/>
        </w:rPr>
        <w:tab/>
      </w:r>
      <w:r w:rsidR="004929DC" w:rsidRPr="00631676">
        <w:rPr>
          <w:rFonts w:cstheme="minorHAnsi"/>
          <w:b/>
          <w:caps/>
        </w:rPr>
        <w:t>kruger, J.</w:t>
      </w:r>
    </w:p>
    <w:p w14:paraId="3D3821F1" w14:textId="77777777" w:rsidR="00A81DBF" w:rsidRPr="00631676" w:rsidRDefault="00A81DBF" w:rsidP="00D60F42">
      <w:pPr>
        <w:rPr>
          <w:rFonts w:cstheme="minorHAnsi"/>
        </w:rPr>
      </w:pPr>
    </w:p>
    <w:p w14:paraId="3FE6FF6D" w14:textId="40B4CB79" w:rsidR="00786EC3" w:rsidRDefault="00460076" w:rsidP="00D60F42">
      <w:pPr>
        <w:rPr>
          <w:rFonts w:cstheme="minorHAnsi"/>
          <w:b/>
        </w:rPr>
      </w:pPr>
      <w:r w:rsidRPr="00631676">
        <w:rPr>
          <w:rFonts w:cstheme="minorHAnsi"/>
          <w:b/>
        </w:rPr>
        <w:t>We Concur</w:t>
      </w:r>
      <w:r w:rsidR="0032317D" w:rsidRPr="00631676">
        <w:rPr>
          <w:rFonts w:cstheme="minorHAnsi"/>
          <w:b/>
        </w:rPr>
        <w:t>:</w:t>
      </w:r>
    </w:p>
    <w:p w14:paraId="72EEB6D2" w14:textId="133F9340" w:rsidR="00B00EAA" w:rsidRDefault="00B00EAA" w:rsidP="00B00EAA">
      <w:pPr>
        <w:spacing w:after="0" w:line="240" w:lineRule="auto"/>
        <w:rPr>
          <w:rFonts w:cstheme="minorHAnsi"/>
          <w:b/>
        </w:rPr>
      </w:pPr>
      <w:r>
        <w:rPr>
          <w:rFonts w:cstheme="minorHAnsi"/>
          <w:b/>
        </w:rPr>
        <w:t>CANTIL-SAKAUYE, C. J.</w:t>
      </w:r>
    </w:p>
    <w:p w14:paraId="0900CB81" w14:textId="5C75E3F9" w:rsidR="00B00EAA" w:rsidRDefault="00B00EAA" w:rsidP="00B00EAA">
      <w:pPr>
        <w:spacing w:after="0" w:line="240" w:lineRule="auto"/>
        <w:rPr>
          <w:rFonts w:cstheme="minorHAnsi"/>
          <w:b/>
        </w:rPr>
      </w:pPr>
      <w:r>
        <w:rPr>
          <w:rFonts w:cstheme="minorHAnsi"/>
          <w:b/>
        </w:rPr>
        <w:t>CHIN, J.</w:t>
      </w:r>
    </w:p>
    <w:p w14:paraId="31B7A592" w14:textId="231F252A" w:rsidR="00B00EAA" w:rsidRDefault="00B00EAA" w:rsidP="00B00EAA">
      <w:pPr>
        <w:spacing w:after="0" w:line="240" w:lineRule="auto"/>
        <w:rPr>
          <w:rFonts w:cstheme="minorHAnsi"/>
          <w:b/>
        </w:rPr>
      </w:pPr>
      <w:r>
        <w:rPr>
          <w:rFonts w:cstheme="minorHAnsi"/>
          <w:b/>
        </w:rPr>
        <w:t>CORRIGAN, J.</w:t>
      </w:r>
    </w:p>
    <w:p w14:paraId="7CE177D3" w14:textId="158A39CF" w:rsidR="00B00EAA" w:rsidRDefault="00B00EAA" w:rsidP="00B00EAA">
      <w:pPr>
        <w:spacing w:after="0" w:line="240" w:lineRule="auto"/>
        <w:rPr>
          <w:rFonts w:cstheme="minorHAnsi"/>
          <w:b/>
        </w:rPr>
      </w:pPr>
      <w:r>
        <w:rPr>
          <w:rFonts w:cstheme="minorHAnsi"/>
          <w:b/>
        </w:rPr>
        <w:t>LIU, J.</w:t>
      </w:r>
    </w:p>
    <w:p w14:paraId="72D86BA6" w14:textId="780AF4CB" w:rsidR="00B00EAA" w:rsidRDefault="00B00EAA" w:rsidP="00B00EAA">
      <w:pPr>
        <w:spacing w:after="0" w:line="240" w:lineRule="auto"/>
        <w:rPr>
          <w:rFonts w:cstheme="minorHAnsi"/>
          <w:b/>
        </w:rPr>
      </w:pPr>
      <w:r>
        <w:rPr>
          <w:rFonts w:cstheme="minorHAnsi"/>
          <w:b/>
        </w:rPr>
        <w:t>CUÉLLAR, J.</w:t>
      </w:r>
    </w:p>
    <w:p w14:paraId="72766A4C" w14:textId="60769331" w:rsidR="00B00EAA" w:rsidRDefault="00B00EAA" w:rsidP="00B00EAA">
      <w:pPr>
        <w:spacing w:after="0" w:line="240" w:lineRule="auto"/>
        <w:rPr>
          <w:rFonts w:cstheme="minorHAnsi"/>
          <w:b/>
        </w:rPr>
      </w:pPr>
      <w:r>
        <w:rPr>
          <w:rFonts w:cstheme="minorHAnsi"/>
          <w:b/>
        </w:rPr>
        <w:t>GROBAN, J.</w:t>
      </w:r>
    </w:p>
    <w:p w14:paraId="2D7AFC69" w14:textId="2CE748F7" w:rsidR="00B00EAA" w:rsidRPr="00D60F42" w:rsidRDefault="00B00EAA" w:rsidP="00D60F42">
      <w:pPr>
        <w:rPr>
          <w:rFonts w:cstheme="minorHAnsi"/>
          <w:b/>
        </w:rPr>
        <w:sectPr w:rsidR="00B00EAA" w:rsidRPr="00D60F42" w:rsidSect="00102482">
          <w:pgSz w:w="12240" w:h="15840"/>
          <w:pgMar w:top="1440" w:right="2160" w:bottom="1440" w:left="2160" w:header="720" w:footer="720" w:gutter="0"/>
          <w:pgNumType w:start="1"/>
          <w:cols w:space="720"/>
          <w:titlePg/>
          <w:docGrid w:linePitch="367"/>
        </w:sectPr>
      </w:pPr>
    </w:p>
    <w:p w14:paraId="0293BEFA" w14:textId="77777777" w:rsidR="002A007F" w:rsidRPr="002A007F" w:rsidRDefault="002A007F" w:rsidP="002A007F">
      <w:pPr>
        <w:spacing w:after="0" w:line="240" w:lineRule="auto"/>
        <w:jc w:val="left"/>
        <w:rPr>
          <w:rFonts w:ascii="Times New Roman" w:hAnsi="Times New Roman"/>
          <w:i/>
          <w:sz w:val="20"/>
        </w:rPr>
      </w:pPr>
      <w:bookmarkStart w:id="42" w:name="initials"/>
      <w:bookmarkEnd w:id="42"/>
      <w:r w:rsidRPr="002A007F">
        <w:rPr>
          <w:rFonts w:ascii="Times New Roman" w:hAnsi="Times New Roman"/>
          <w:i/>
          <w:sz w:val="20"/>
        </w:rPr>
        <w:t>See next page for addresses and telephone numbers for counsel who argued in Supreme Court.</w:t>
      </w:r>
    </w:p>
    <w:p w14:paraId="79123191" w14:textId="77777777" w:rsidR="002A007F" w:rsidRPr="002A007F" w:rsidRDefault="002A007F" w:rsidP="002A007F">
      <w:pPr>
        <w:spacing w:after="0" w:line="240" w:lineRule="auto"/>
        <w:jc w:val="left"/>
        <w:rPr>
          <w:rFonts w:ascii="Times New Roman" w:hAnsi="Times New Roman"/>
          <w:i/>
          <w:sz w:val="20"/>
        </w:rPr>
      </w:pPr>
    </w:p>
    <w:p w14:paraId="4A048316" w14:textId="77777777" w:rsidR="002A007F" w:rsidRPr="002A007F" w:rsidRDefault="002A007F" w:rsidP="002A007F">
      <w:pPr>
        <w:spacing w:after="0" w:line="240" w:lineRule="auto"/>
        <w:jc w:val="left"/>
        <w:rPr>
          <w:rFonts w:ascii="Times New Roman" w:hAnsi="Times New Roman"/>
          <w:b/>
          <w:sz w:val="20"/>
        </w:rPr>
      </w:pPr>
      <w:r w:rsidRPr="002A007F">
        <w:rPr>
          <w:rFonts w:ascii="Times New Roman" w:hAnsi="Times New Roman"/>
          <w:b/>
          <w:sz w:val="20"/>
        </w:rPr>
        <w:t xml:space="preserve">Name of Opinion  </w:t>
      </w:r>
      <w:r w:rsidRPr="002A007F">
        <w:rPr>
          <w:rFonts w:ascii="Times New Roman" w:hAnsi="Times New Roman"/>
          <w:sz w:val="20"/>
        </w:rPr>
        <w:t>People v. Hoyt</w:t>
      </w:r>
      <w:r w:rsidRPr="002A007F">
        <w:rPr>
          <w:rFonts w:ascii="Times New Roman" w:hAnsi="Times New Roman"/>
          <w:sz w:val="26"/>
          <w:szCs w:val="26"/>
        </w:rPr>
        <w:t xml:space="preserve"> </w:t>
      </w:r>
      <w:r w:rsidRPr="002A007F">
        <w:rPr>
          <w:rFonts w:ascii="Times New Roman" w:hAnsi="Times New Roman"/>
          <w:sz w:val="20"/>
        </w:rPr>
        <w:t xml:space="preserve"> </w:t>
      </w:r>
      <w:r w:rsidRPr="002A007F">
        <w:rPr>
          <w:rFonts w:ascii="Times New Roman" w:hAnsi="Times New Roman"/>
          <w:b/>
          <w:sz w:val="20"/>
        </w:rPr>
        <w:t>________________________________________________________________________________</w:t>
      </w:r>
    </w:p>
    <w:p w14:paraId="2A25B3B1" w14:textId="77777777" w:rsidR="002A007F" w:rsidRPr="002A007F" w:rsidRDefault="002A007F" w:rsidP="002A007F">
      <w:pPr>
        <w:spacing w:after="0" w:line="240" w:lineRule="auto"/>
        <w:jc w:val="left"/>
        <w:rPr>
          <w:rFonts w:ascii="Times New Roman" w:hAnsi="Times New Roman"/>
          <w:b/>
          <w:sz w:val="20"/>
        </w:rPr>
      </w:pPr>
    </w:p>
    <w:p w14:paraId="036B58D5" w14:textId="77777777" w:rsidR="002A007F" w:rsidRPr="002A007F" w:rsidRDefault="002A007F" w:rsidP="002A007F">
      <w:pPr>
        <w:spacing w:after="0" w:line="240" w:lineRule="auto"/>
        <w:jc w:val="left"/>
        <w:rPr>
          <w:rFonts w:ascii="Times New Roman" w:hAnsi="Times New Roman"/>
          <w:bCs/>
          <w:sz w:val="20"/>
        </w:rPr>
      </w:pPr>
      <w:r w:rsidRPr="002A007F">
        <w:rPr>
          <w:rFonts w:ascii="Times New Roman" w:hAnsi="Times New Roman"/>
          <w:b/>
          <w:sz w:val="20"/>
        </w:rPr>
        <w:t>Unpublished Opinion</w:t>
      </w:r>
    </w:p>
    <w:p w14:paraId="483B9A73" w14:textId="77777777" w:rsidR="002A007F" w:rsidRPr="002A007F" w:rsidRDefault="002A007F" w:rsidP="002A007F">
      <w:pPr>
        <w:spacing w:after="0" w:line="240" w:lineRule="auto"/>
        <w:jc w:val="left"/>
        <w:rPr>
          <w:rFonts w:ascii="Times New Roman" w:hAnsi="Times New Roman"/>
          <w:sz w:val="20"/>
        </w:rPr>
      </w:pPr>
      <w:r w:rsidRPr="002A007F">
        <w:rPr>
          <w:rFonts w:ascii="Times New Roman" w:hAnsi="Times New Roman"/>
          <w:b/>
          <w:sz w:val="20"/>
        </w:rPr>
        <w:t xml:space="preserve">Original Appeal </w:t>
      </w:r>
      <w:r w:rsidRPr="002A007F">
        <w:rPr>
          <w:rFonts w:ascii="Times New Roman" w:hAnsi="Times New Roman"/>
          <w:sz w:val="20"/>
        </w:rPr>
        <w:t>XXX</w:t>
      </w:r>
    </w:p>
    <w:p w14:paraId="31A11B06" w14:textId="77777777" w:rsidR="002A007F" w:rsidRPr="002A007F" w:rsidRDefault="002A007F" w:rsidP="002A007F">
      <w:pPr>
        <w:spacing w:after="0" w:line="240" w:lineRule="auto"/>
        <w:jc w:val="left"/>
        <w:rPr>
          <w:rFonts w:ascii="Times New Roman" w:hAnsi="Times New Roman"/>
          <w:b/>
          <w:sz w:val="20"/>
        </w:rPr>
      </w:pPr>
      <w:r w:rsidRPr="002A007F">
        <w:rPr>
          <w:rFonts w:ascii="Times New Roman" w:hAnsi="Times New Roman"/>
          <w:b/>
          <w:sz w:val="20"/>
        </w:rPr>
        <w:t xml:space="preserve">Original Proceeding </w:t>
      </w:r>
    </w:p>
    <w:p w14:paraId="0C968894" w14:textId="77777777" w:rsidR="002A007F" w:rsidRPr="002A007F" w:rsidRDefault="002A007F" w:rsidP="002A007F">
      <w:pPr>
        <w:spacing w:after="0" w:line="240" w:lineRule="auto"/>
        <w:jc w:val="left"/>
        <w:rPr>
          <w:rFonts w:ascii="Times New Roman" w:hAnsi="Times New Roman"/>
          <w:sz w:val="20"/>
        </w:rPr>
      </w:pPr>
      <w:r w:rsidRPr="002A007F">
        <w:rPr>
          <w:rFonts w:ascii="Times New Roman" w:hAnsi="Times New Roman"/>
          <w:b/>
          <w:sz w:val="20"/>
        </w:rPr>
        <w:t>Review Granted</w:t>
      </w:r>
    </w:p>
    <w:p w14:paraId="06024F9D" w14:textId="77777777" w:rsidR="002A007F" w:rsidRPr="002A007F" w:rsidRDefault="002A007F" w:rsidP="002A007F">
      <w:pPr>
        <w:spacing w:after="0" w:line="240" w:lineRule="auto"/>
        <w:jc w:val="left"/>
        <w:rPr>
          <w:rFonts w:ascii="Times New Roman" w:hAnsi="Times New Roman"/>
          <w:b/>
          <w:sz w:val="20"/>
        </w:rPr>
      </w:pPr>
      <w:r w:rsidRPr="002A007F">
        <w:rPr>
          <w:rFonts w:ascii="Times New Roman" w:hAnsi="Times New Roman"/>
          <w:b/>
          <w:sz w:val="20"/>
        </w:rPr>
        <w:t>Rehearing Granted</w:t>
      </w:r>
    </w:p>
    <w:p w14:paraId="21B4F634" w14:textId="77777777" w:rsidR="002A007F" w:rsidRPr="002A007F" w:rsidRDefault="002A007F" w:rsidP="002A007F">
      <w:pPr>
        <w:spacing w:after="0" w:line="240" w:lineRule="auto"/>
        <w:jc w:val="left"/>
        <w:rPr>
          <w:rFonts w:ascii="Times New Roman" w:hAnsi="Times New Roman"/>
          <w:b/>
          <w:sz w:val="20"/>
        </w:rPr>
      </w:pPr>
    </w:p>
    <w:p w14:paraId="3655FD43" w14:textId="77777777" w:rsidR="002A007F" w:rsidRPr="002A007F" w:rsidRDefault="002A007F" w:rsidP="002A007F">
      <w:pPr>
        <w:spacing w:after="0" w:line="240" w:lineRule="auto"/>
        <w:jc w:val="left"/>
        <w:rPr>
          <w:rFonts w:ascii="Times New Roman" w:hAnsi="Times New Roman"/>
          <w:b/>
          <w:sz w:val="20"/>
        </w:rPr>
      </w:pPr>
      <w:r w:rsidRPr="002A007F">
        <w:rPr>
          <w:rFonts w:ascii="Times New Roman" w:hAnsi="Times New Roman"/>
          <w:b/>
          <w:sz w:val="20"/>
        </w:rPr>
        <w:t>________________________________________________________________________________</w:t>
      </w:r>
    </w:p>
    <w:p w14:paraId="1BE1BB0C" w14:textId="77777777" w:rsidR="002A007F" w:rsidRPr="002A007F" w:rsidRDefault="002A007F" w:rsidP="002A007F">
      <w:pPr>
        <w:spacing w:after="0" w:line="240" w:lineRule="auto"/>
        <w:jc w:val="left"/>
        <w:rPr>
          <w:rFonts w:ascii="Times New Roman" w:hAnsi="Times New Roman"/>
          <w:b/>
          <w:sz w:val="20"/>
        </w:rPr>
      </w:pPr>
    </w:p>
    <w:p w14:paraId="3DD18EAE" w14:textId="77777777" w:rsidR="002A007F" w:rsidRPr="002A007F" w:rsidRDefault="002A007F" w:rsidP="002A007F">
      <w:pPr>
        <w:spacing w:after="0" w:line="240" w:lineRule="auto"/>
        <w:jc w:val="left"/>
        <w:rPr>
          <w:rFonts w:ascii="Times New Roman" w:hAnsi="Times New Roman"/>
          <w:bCs/>
          <w:sz w:val="20"/>
        </w:rPr>
      </w:pPr>
      <w:r w:rsidRPr="002A007F">
        <w:rPr>
          <w:rFonts w:ascii="Times New Roman" w:hAnsi="Times New Roman"/>
          <w:b/>
          <w:sz w:val="20"/>
        </w:rPr>
        <w:t>Opinion No.</w:t>
      </w:r>
      <w:r w:rsidRPr="002A007F">
        <w:rPr>
          <w:rFonts w:ascii="Times New Roman" w:hAnsi="Times New Roman"/>
          <w:sz w:val="20"/>
        </w:rPr>
        <w:t xml:space="preserve"> S113653</w:t>
      </w:r>
    </w:p>
    <w:p w14:paraId="2B5B8274" w14:textId="77777777" w:rsidR="002A007F" w:rsidRPr="002A007F" w:rsidRDefault="002A007F" w:rsidP="002A007F">
      <w:pPr>
        <w:spacing w:after="0" w:line="240" w:lineRule="auto"/>
        <w:jc w:val="left"/>
        <w:rPr>
          <w:rFonts w:ascii="Times New Roman" w:hAnsi="Times New Roman"/>
          <w:bCs/>
          <w:sz w:val="20"/>
        </w:rPr>
      </w:pPr>
      <w:r w:rsidRPr="002A007F">
        <w:rPr>
          <w:rFonts w:ascii="Times New Roman" w:hAnsi="Times New Roman"/>
          <w:b/>
          <w:sz w:val="20"/>
        </w:rPr>
        <w:t>Date Filed:</w:t>
      </w:r>
      <w:r w:rsidRPr="002A007F">
        <w:rPr>
          <w:rFonts w:ascii="Times New Roman" w:hAnsi="Times New Roman"/>
          <w:sz w:val="20"/>
        </w:rPr>
        <w:t xml:space="preserve"> January 30, 2020</w:t>
      </w:r>
    </w:p>
    <w:p w14:paraId="70A85C6D" w14:textId="77777777" w:rsidR="002A007F" w:rsidRPr="002A007F" w:rsidRDefault="002A007F" w:rsidP="002A007F">
      <w:pPr>
        <w:spacing w:after="0" w:line="240" w:lineRule="auto"/>
        <w:jc w:val="left"/>
        <w:rPr>
          <w:rFonts w:ascii="Times New Roman" w:hAnsi="Times New Roman"/>
          <w:b/>
          <w:sz w:val="20"/>
        </w:rPr>
      </w:pPr>
      <w:r w:rsidRPr="002A007F">
        <w:rPr>
          <w:rFonts w:ascii="Times New Roman" w:hAnsi="Times New Roman"/>
          <w:b/>
          <w:sz w:val="20"/>
        </w:rPr>
        <w:t>________________________________________________________________________________</w:t>
      </w:r>
    </w:p>
    <w:p w14:paraId="05EEBBF6" w14:textId="77777777" w:rsidR="002A007F" w:rsidRPr="002A007F" w:rsidRDefault="002A007F" w:rsidP="002A007F">
      <w:pPr>
        <w:spacing w:after="0" w:line="240" w:lineRule="auto"/>
        <w:jc w:val="left"/>
        <w:rPr>
          <w:rFonts w:ascii="Times New Roman" w:hAnsi="Times New Roman"/>
          <w:b/>
          <w:sz w:val="20"/>
        </w:rPr>
      </w:pPr>
    </w:p>
    <w:p w14:paraId="32AD714F" w14:textId="77777777" w:rsidR="002A007F" w:rsidRPr="002A007F" w:rsidRDefault="002A007F" w:rsidP="002A007F">
      <w:pPr>
        <w:spacing w:after="0" w:line="240" w:lineRule="auto"/>
        <w:jc w:val="left"/>
        <w:rPr>
          <w:rFonts w:ascii="Times New Roman" w:hAnsi="Times New Roman"/>
          <w:bCs/>
          <w:sz w:val="20"/>
        </w:rPr>
      </w:pPr>
      <w:r w:rsidRPr="002A007F">
        <w:rPr>
          <w:rFonts w:ascii="Times New Roman" w:hAnsi="Times New Roman"/>
          <w:b/>
          <w:sz w:val="20"/>
        </w:rPr>
        <w:t xml:space="preserve">Court:  </w:t>
      </w:r>
      <w:r w:rsidRPr="002A007F">
        <w:rPr>
          <w:rFonts w:ascii="Times New Roman" w:hAnsi="Times New Roman"/>
          <w:sz w:val="20"/>
        </w:rPr>
        <w:t>Superior</w:t>
      </w:r>
    </w:p>
    <w:p w14:paraId="42E0AC3B" w14:textId="77777777" w:rsidR="002A007F" w:rsidRPr="002A007F" w:rsidRDefault="002A007F" w:rsidP="002A007F">
      <w:pPr>
        <w:spacing w:after="0" w:line="240" w:lineRule="auto"/>
        <w:jc w:val="left"/>
        <w:rPr>
          <w:rFonts w:ascii="Times New Roman" w:hAnsi="Times New Roman"/>
          <w:bCs/>
          <w:sz w:val="20"/>
        </w:rPr>
      </w:pPr>
      <w:r w:rsidRPr="002A007F">
        <w:rPr>
          <w:rFonts w:ascii="Times New Roman" w:hAnsi="Times New Roman"/>
          <w:b/>
          <w:sz w:val="20"/>
        </w:rPr>
        <w:t xml:space="preserve">County:  </w:t>
      </w:r>
      <w:r w:rsidRPr="002A007F">
        <w:rPr>
          <w:rFonts w:ascii="Times New Roman" w:hAnsi="Times New Roman"/>
          <w:sz w:val="20"/>
        </w:rPr>
        <w:t>Santa Barbara</w:t>
      </w:r>
    </w:p>
    <w:p w14:paraId="403C26AE" w14:textId="77777777" w:rsidR="002A007F" w:rsidRPr="002A007F" w:rsidRDefault="002A007F" w:rsidP="002A007F">
      <w:pPr>
        <w:spacing w:after="0" w:line="240" w:lineRule="auto"/>
        <w:ind w:left="720" w:hanging="720"/>
        <w:jc w:val="left"/>
        <w:rPr>
          <w:rFonts w:ascii="Times New Roman" w:hAnsi="Times New Roman"/>
          <w:bCs/>
          <w:sz w:val="20"/>
        </w:rPr>
      </w:pPr>
      <w:r w:rsidRPr="002A007F">
        <w:rPr>
          <w:rFonts w:ascii="Times New Roman" w:hAnsi="Times New Roman"/>
          <w:b/>
          <w:sz w:val="20"/>
        </w:rPr>
        <w:t xml:space="preserve">Judge:  </w:t>
      </w:r>
      <w:r w:rsidRPr="002A007F">
        <w:rPr>
          <w:rFonts w:ascii="Times New Roman" w:hAnsi="Times New Roman"/>
          <w:sz w:val="20"/>
        </w:rPr>
        <w:t>William L. Gordon</w:t>
      </w:r>
    </w:p>
    <w:p w14:paraId="5EA4B37B" w14:textId="77777777" w:rsidR="002A007F" w:rsidRPr="002A007F" w:rsidRDefault="002A007F" w:rsidP="002A007F">
      <w:pPr>
        <w:spacing w:after="0" w:line="240" w:lineRule="auto"/>
        <w:jc w:val="left"/>
        <w:rPr>
          <w:rFonts w:ascii="Times New Roman" w:hAnsi="Times New Roman"/>
          <w:b/>
          <w:sz w:val="20"/>
        </w:rPr>
      </w:pPr>
    </w:p>
    <w:p w14:paraId="6F866074" w14:textId="77777777" w:rsidR="002A007F" w:rsidRPr="002A007F" w:rsidRDefault="002A007F" w:rsidP="002A007F">
      <w:pPr>
        <w:spacing w:after="0" w:line="240" w:lineRule="auto"/>
        <w:jc w:val="left"/>
        <w:rPr>
          <w:rFonts w:ascii="Times New Roman" w:hAnsi="Times New Roman"/>
          <w:b/>
          <w:sz w:val="20"/>
        </w:rPr>
      </w:pPr>
      <w:r w:rsidRPr="002A007F">
        <w:rPr>
          <w:rFonts w:ascii="Times New Roman" w:hAnsi="Times New Roman"/>
          <w:b/>
          <w:sz w:val="20"/>
        </w:rPr>
        <w:t xml:space="preserve">________________________________________________________________________________ </w:t>
      </w:r>
    </w:p>
    <w:p w14:paraId="112F3C21" w14:textId="77777777" w:rsidR="002A007F" w:rsidRPr="002A007F" w:rsidRDefault="002A007F" w:rsidP="002A007F">
      <w:pPr>
        <w:spacing w:after="0" w:line="240" w:lineRule="auto"/>
        <w:jc w:val="left"/>
        <w:rPr>
          <w:rFonts w:ascii="Times New Roman" w:hAnsi="Times New Roman"/>
          <w:b/>
          <w:sz w:val="20"/>
        </w:rPr>
      </w:pPr>
    </w:p>
    <w:p w14:paraId="5C226660" w14:textId="77777777" w:rsidR="002A007F" w:rsidRPr="002A007F" w:rsidRDefault="002A007F" w:rsidP="002A007F">
      <w:pPr>
        <w:spacing w:after="0" w:line="240" w:lineRule="auto"/>
        <w:jc w:val="left"/>
        <w:rPr>
          <w:rFonts w:ascii="Times New Roman" w:hAnsi="Times New Roman"/>
          <w:b/>
          <w:sz w:val="20"/>
        </w:rPr>
      </w:pPr>
      <w:r w:rsidRPr="002A007F">
        <w:rPr>
          <w:rFonts w:ascii="Times New Roman" w:hAnsi="Times New Roman"/>
          <w:b/>
          <w:sz w:val="20"/>
        </w:rPr>
        <w:t>Counsel:</w:t>
      </w:r>
    </w:p>
    <w:p w14:paraId="2EBE470B" w14:textId="77777777" w:rsidR="002A007F" w:rsidRPr="002A007F" w:rsidRDefault="002A007F" w:rsidP="002A007F">
      <w:pPr>
        <w:spacing w:after="0" w:line="240" w:lineRule="auto"/>
        <w:jc w:val="left"/>
        <w:rPr>
          <w:rFonts w:ascii="Times New Roman" w:hAnsi="Times New Roman"/>
          <w:sz w:val="20"/>
        </w:rPr>
      </w:pPr>
    </w:p>
    <w:p w14:paraId="54B8467D" w14:textId="77777777" w:rsidR="002A007F" w:rsidRPr="002A007F" w:rsidRDefault="002A007F" w:rsidP="002A007F">
      <w:pPr>
        <w:spacing w:after="0" w:line="240" w:lineRule="auto"/>
        <w:jc w:val="left"/>
        <w:rPr>
          <w:rFonts w:ascii="Times New Roman" w:hAnsi="Times New Roman"/>
          <w:sz w:val="20"/>
        </w:rPr>
      </w:pPr>
      <w:r w:rsidRPr="002A007F">
        <w:rPr>
          <w:rFonts w:ascii="Times New Roman" w:hAnsi="Times New Roman"/>
          <w:sz w:val="20"/>
        </w:rPr>
        <w:t>Roger Teich, under appointment by the Supreme Court, for Defendant Appellant.</w:t>
      </w:r>
    </w:p>
    <w:p w14:paraId="3C750CEA" w14:textId="77777777" w:rsidR="002A007F" w:rsidRPr="002A007F" w:rsidRDefault="002A007F" w:rsidP="002A007F">
      <w:pPr>
        <w:spacing w:after="0" w:line="240" w:lineRule="auto"/>
        <w:jc w:val="left"/>
        <w:rPr>
          <w:rFonts w:ascii="Times New Roman" w:hAnsi="Times New Roman"/>
          <w:sz w:val="20"/>
        </w:rPr>
      </w:pPr>
    </w:p>
    <w:p w14:paraId="717D4F3C" w14:textId="77777777" w:rsidR="002A007F" w:rsidRPr="002A007F" w:rsidRDefault="002A007F" w:rsidP="002A007F">
      <w:pPr>
        <w:spacing w:after="0" w:line="240" w:lineRule="auto"/>
        <w:jc w:val="left"/>
        <w:rPr>
          <w:rFonts w:ascii="Times New Roman" w:hAnsi="Times New Roman"/>
          <w:sz w:val="20"/>
        </w:rPr>
      </w:pPr>
      <w:r w:rsidRPr="002A007F">
        <w:rPr>
          <w:rFonts w:ascii="Times New Roman" w:hAnsi="Times New Roman"/>
          <w:sz w:val="20"/>
        </w:rPr>
        <w:t>Kamala D. Harris and Xavier Becerra, Attorneys General, Dane R. Gillette, Chief Assistant Attorney General, Lance E. Winters, Assistant Attorney General, Jaime L. Fuster and David F. Glassman, Deputy Attorneys General, for Plaintiff and Respondent.</w:t>
      </w:r>
    </w:p>
    <w:p w14:paraId="6F55B604" w14:textId="77777777" w:rsidR="002A007F" w:rsidRPr="002A007F" w:rsidRDefault="002A007F" w:rsidP="002A007F">
      <w:pPr>
        <w:spacing w:after="0" w:line="240" w:lineRule="auto"/>
        <w:jc w:val="left"/>
        <w:rPr>
          <w:rFonts w:ascii="Times New Roman" w:hAnsi="Times New Roman"/>
          <w:sz w:val="20"/>
        </w:rPr>
      </w:pPr>
    </w:p>
    <w:p w14:paraId="4634B628" w14:textId="77777777" w:rsidR="002A007F" w:rsidRPr="002A007F" w:rsidRDefault="002A007F" w:rsidP="002A007F">
      <w:pPr>
        <w:spacing w:after="0" w:line="240" w:lineRule="auto"/>
        <w:jc w:val="left"/>
        <w:rPr>
          <w:rFonts w:ascii="Times New Roman" w:hAnsi="Times New Roman"/>
          <w:b/>
          <w:sz w:val="20"/>
        </w:rPr>
      </w:pPr>
    </w:p>
    <w:p w14:paraId="6F3CFC5D" w14:textId="77777777" w:rsidR="002A007F" w:rsidRPr="002A007F" w:rsidRDefault="002A007F" w:rsidP="002A007F">
      <w:pPr>
        <w:spacing w:after="0" w:line="240" w:lineRule="auto"/>
        <w:jc w:val="left"/>
        <w:rPr>
          <w:rFonts w:ascii="Times New Roman" w:hAnsi="Times New Roman"/>
          <w:b/>
          <w:sz w:val="20"/>
        </w:rPr>
      </w:pPr>
    </w:p>
    <w:p w14:paraId="11AA61D7" w14:textId="77777777" w:rsidR="002A007F" w:rsidRPr="002A007F" w:rsidRDefault="002A007F" w:rsidP="002A007F">
      <w:pPr>
        <w:spacing w:after="0" w:line="240" w:lineRule="auto"/>
        <w:jc w:val="left"/>
        <w:rPr>
          <w:rFonts w:ascii="Times New Roman" w:hAnsi="Times New Roman"/>
          <w:b/>
          <w:sz w:val="20"/>
        </w:rPr>
      </w:pPr>
    </w:p>
    <w:p w14:paraId="507837DE" w14:textId="77777777" w:rsidR="002A007F" w:rsidRPr="002A007F" w:rsidRDefault="002A007F" w:rsidP="002A007F">
      <w:pPr>
        <w:spacing w:after="0" w:line="240" w:lineRule="auto"/>
        <w:jc w:val="left"/>
        <w:rPr>
          <w:rFonts w:ascii="Times New Roman" w:hAnsi="Times New Roman"/>
          <w:b/>
          <w:sz w:val="20"/>
        </w:rPr>
      </w:pPr>
      <w:r w:rsidRPr="002A007F">
        <w:rPr>
          <w:rFonts w:ascii="Times New Roman" w:hAnsi="Times New Roman"/>
          <w:b/>
          <w:sz w:val="20"/>
        </w:rPr>
        <w:br w:type="page"/>
      </w:r>
    </w:p>
    <w:p w14:paraId="2F04136B" w14:textId="77777777" w:rsidR="002A007F" w:rsidRPr="002A007F" w:rsidRDefault="002A007F" w:rsidP="002A007F">
      <w:pPr>
        <w:spacing w:after="0" w:line="240" w:lineRule="auto"/>
        <w:jc w:val="left"/>
        <w:rPr>
          <w:rFonts w:ascii="Times New Roman" w:hAnsi="Times New Roman"/>
          <w:b/>
          <w:sz w:val="20"/>
        </w:rPr>
      </w:pPr>
    </w:p>
    <w:p w14:paraId="4A69CC8F" w14:textId="77777777" w:rsidR="002A007F" w:rsidRPr="002A007F" w:rsidRDefault="002A007F" w:rsidP="002A007F">
      <w:pPr>
        <w:spacing w:after="0" w:line="240" w:lineRule="auto"/>
        <w:jc w:val="left"/>
        <w:rPr>
          <w:rFonts w:ascii="Times New Roman" w:hAnsi="Times New Roman"/>
          <w:b/>
          <w:sz w:val="20"/>
        </w:rPr>
      </w:pPr>
    </w:p>
    <w:p w14:paraId="57D957E0" w14:textId="77777777" w:rsidR="002A007F" w:rsidRPr="002A007F" w:rsidRDefault="002A007F" w:rsidP="002A007F">
      <w:pPr>
        <w:spacing w:after="0" w:line="240" w:lineRule="auto"/>
        <w:jc w:val="left"/>
        <w:rPr>
          <w:rFonts w:ascii="Times New Roman" w:hAnsi="Times New Roman"/>
          <w:b/>
          <w:sz w:val="20"/>
        </w:rPr>
      </w:pPr>
    </w:p>
    <w:p w14:paraId="480D029E" w14:textId="77777777" w:rsidR="002A007F" w:rsidRPr="002A007F" w:rsidRDefault="002A007F" w:rsidP="002A007F">
      <w:pPr>
        <w:spacing w:after="0" w:line="240" w:lineRule="auto"/>
        <w:jc w:val="left"/>
        <w:rPr>
          <w:rFonts w:ascii="Times New Roman" w:hAnsi="Times New Roman"/>
          <w:b/>
          <w:sz w:val="20"/>
        </w:rPr>
      </w:pPr>
      <w:r w:rsidRPr="002A007F">
        <w:rPr>
          <w:rFonts w:ascii="Times New Roman" w:hAnsi="Times New Roman"/>
          <w:b/>
          <w:sz w:val="20"/>
        </w:rPr>
        <w:t>Counsel who argued in Supreme Court (not intended for publication with opinion):</w:t>
      </w:r>
    </w:p>
    <w:p w14:paraId="362A43DC" w14:textId="77777777" w:rsidR="002A007F" w:rsidRPr="002A007F" w:rsidRDefault="002A007F" w:rsidP="002A007F">
      <w:pPr>
        <w:spacing w:after="0" w:line="240" w:lineRule="auto"/>
        <w:jc w:val="left"/>
        <w:rPr>
          <w:rFonts w:ascii="Times New Roman" w:hAnsi="Times New Roman"/>
          <w:b/>
          <w:sz w:val="20"/>
        </w:rPr>
      </w:pPr>
    </w:p>
    <w:p w14:paraId="0E7A2E4F" w14:textId="77777777" w:rsidR="002A007F" w:rsidRPr="002A007F" w:rsidRDefault="002A007F" w:rsidP="002A007F">
      <w:pPr>
        <w:spacing w:after="0" w:line="240" w:lineRule="auto"/>
        <w:jc w:val="left"/>
        <w:rPr>
          <w:rFonts w:ascii="Times New Roman" w:hAnsi="Times New Roman"/>
          <w:sz w:val="20"/>
        </w:rPr>
      </w:pPr>
    </w:p>
    <w:p w14:paraId="004F48F2" w14:textId="77777777" w:rsidR="002A007F" w:rsidRPr="002A007F" w:rsidRDefault="002A007F" w:rsidP="002A007F">
      <w:pPr>
        <w:spacing w:after="0" w:line="240" w:lineRule="auto"/>
        <w:jc w:val="left"/>
        <w:rPr>
          <w:rFonts w:ascii="Times New Roman" w:hAnsi="Times New Roman"/>
          <w:sz w:val="20"/>
        </w:rPr>
      </w:pPr>
      <w:r w:rsidRPr="002A007F">
        <w:rPr>
          <w:rFonts w:ascii="Times New Roman" w:hAnsi="Times New Roman"/>
          <w:sz w:val="20"/>
        </w:rPr>
        <w:t>Roger Teich</w:t>
      </w:r>
    </w:p>
    <w:p w14:paraId="7CAE20E3" w14:textId="77777777" w:rsidR="002A007F" w:rsidRPr="002A007F" w:rsidRDefault="002A007F" w:rsidP="002A007F">
      <w:pPr>
        <w:spacing w:after="0" w:line="240" w:lineRule="auto"/>
        <w:jc w:val="left"/>
        <w:rPr>
          <w:rFonts w:ascii="Times New Roman" w:hAnsi="Times New Roman"/>
          <w:sz w:val="20"/>
        </w:rPr>
      </w:pPr>
      <w:r w:rsidRPr="002A007F">
        <w:rPr>
          <w:rFonts w:ascii="Times New Roman" w:hAnsi="Times New Roman"/>
          <w:sz w:val="20"/>
        </w:rPr>
        <w:t>290 Nevada Street</w:t>
      </w:r>
    </w:p>
    <w:p w14:paraId="3F308E6A" w14:textId="77777777" w:rsidR="002A007F" w:rsidRPr="002A007F" w:rsidRDefault="002A007F" w:rsidP="002A007F">
      <w:pPr>
        <w:spacing w:after="0" w:line="240" w:lineRule="auto"/>
        <w:jc w:val="left"/>
        <w:rPr>
          <w:rFonts w:ascii="Times New Roman" w:hAnsi="Times New Roman"/>
          <w:sz w:val="20"/>
        </w:rPr>
      </w:pPr>
      <w:r w:rsidRPr="002A007F">
        <w:rPr>
          <w:rFonts w:ascii="Times New Roman" w:hAnsi="Times New Roman"/>
          <w:sz w:val="20"/>
        </w:rPr>
        <w:t>San Francisco, CA 94110</w:t>
      </w:r>
    </w:p>
    <w:p w14:paraId="44D45A97" w14:textId="77777777" w:rsidR="002A007F" w:rsidRPr="002A007F" w:rsidRDefault="002A007F" w:rsidP="002A007F">
      <w:pPr>
        <w:spacing w:after="0" w:line="240" w:lineRule="auto"/>
        <w:jc w:val="left"/>
        <w:rPr>
          <w:rFonts w:ascii="Times New Roman" w:hAnsi="Times New Roman"/>
          <w:sz w:val="20"/>
        </w:rPr>
      </w:pPr>
      <w:r w:rsidRPr="002A007F">
        <w:rPr>
          <w:rFonts w:ascii="Times New Roman" w:hAnsi="Times New Roman"/>
          <w:sz w:val="20"/>
        </w:rPr>
        <w:t>(415) 948-0045</w:t>
      </w:r>
    </w:p>
    <w:p w14:paraId="21A423C8" w14:textId="77777777" w:rsidR="002A007F" w:rsidRPr="002A007F" w:rsidRDefault="002A007F" w:rsidP="002A007F">
      <w:pPr>
        <w:spacing w:after="0" w:line="240" w:lineRule="auto"/>
        <w:jc w:val="left"/>
        <w:rPr>
          <w:rFonts w:ascii="Times New Roman" w:hAnsi="Times New Roman"/>
          <w:sz w:val="20"/>
        </w:rPr>
      </w:pPr>
    </w:p>
    <w:p w14:paraId="30FD69BA" w14:textId="77777777" w:rsidR="002A007F" w:rsidRPr="002A007F" w:rsidRDefault="002A007F" w:rsidP="002A007F">
      <w:pPr>
        <w:spacing w:after="0" w:line="240" w:lineRule="auto"/>
        <w:jc w:val="left"/>
        <w:rPr>
          <w:rFonts w:ascii="Times New Roman" w:hAnsi="Times New Roman"/>
          <w:sz w:val="20"/>
        </w:rPr>
      </w:pPr>
      <w:r w:rsidRPr="002A007F">
        <w:rPr>
          <w:rFonts w:ascii="Times New Roman" w:hAnsi="Times New Roman"/>
          <w:sz w:val="20"/>
        </w:rPr>
        <w:t>David F. Glassman</w:t>
      </w:r>
    </w:p>
    <w:p w14:paraId="04CDD5A6" w14:textId="77777777" w:rsidR="002A007F" w:rsidRPr="002A007F" w:rsidRDefault="002A007F" w:rsidP="002A007F">
      <w:pPr>
        <w:spacing w:after="0" w:line="240" w:lineRule="auto"/>
        <w:jc w:val="left"/>
        <w:rPr>
          <w:rFonts w:ascii="Times New Roman" w:hAnsi="Times New Roman"/>
          <w:sz w:val="20"/>
        </w:rPr>
      </w:pPr>
      <w:r w:rsidRPr="002A007F">
        <w:rPr>
          <w:rFonts w:ascii="Times New Roman" w:hAnsi="Times New Roman"/>
          <w:sz w:val="20"/>
        </w:rPr>
        <w:t>Deputy Attorney General</w:t>
      </w:r>
    </w:p>
    <w:p w14:paraId="6789E2F2" w14:textId="77777777" w:rsidR="002A007F" w:rsidRPr="002A007F" w:rsidRDefault="002A007F" w:rsidP="002A007F">
      <w:pPr>
        <w:spacing w:after="0" w:line="240" w:lineRule="auto"/>
        <w:jc w:val="left"/>
        <w:rPr>
          <w:rFonts w:ascii="Times New Roman" w:hAnsi="Times New Roman"/>
          <w:sz w:val="20"/>
        </w:rPr>
      </w:pPr>
      <w:r w:rsidRPr="002A007F">
        <w:rPr>
          <w:rFonts w:ascii="Times New Roman" w:hAnsi="Times New Roman"/>
          <w:sz w:val="20"/>
        </w:rPr>
        <w:t>300 South Spring Street, Suite 1702</w:t>
      </w:r>
    </w:p>
    <w:p w14:paraId="2FD44D1C" w14:textId="77777777" w:rsidR="002A007F" w:rsidRPr="002A007F" w:rsidRDefault="002A007F" w:rsidP="002A007F">
      <w:pPr>
        <w:spacing w:after="0" w:line="240" w:lineRule="auto"/>
        <w:jc w:val="left"/>
        <w:rPr>
          <w:rFonts w:ascii="Times New Roman" w:hAnsi="Times New Roman"/>
          <w:sz w:val="20"/>
        </w:rPr>
      </w:pPr>
      <w:r w:rsidRPr="002A007F">
        <w:rPr>
          <w:rFonts w:ascii="Times New Roman" w:hAnsi="Times New Roman"/>
          <w:sz w:val="20"/>
        </w:rPr>
        <w:t>Los Angeles, CA 90013</w:t>
      </w:r>
    </w:p>
    <w:p w14:paraId="7E9EF3EC" w14:textId="77777777" w:rsidR="002A007F" w:rsidRPr="002A007F" w:rsidRDefault="002A007F" w:rsidP="002A007F">
      <w:pPr>
        <w:spacing w:after="0" w:line="240" w:lineRule="auto"/>
        <w:jc w:val="left"/>
        <w:rPr>
          <w:rFonts w:ascii="Times New Roman" w:hAnsi="Times New Roman"/>
          <w:sz w:val="20"/>
        </w:rPr>
      </w:pPr>
      <w:r w:rsidRPr="002A007F">
        <w:rPr>
          <w:rFonts w:ascii="Times New Roman" w:hAnsi="Times New Roman"/>
          <w:sz w:val="20"/>
        </w:rPr>
        <w:t>(213) 897-2355</w:t>
      </w:r>
    </w:p>
    <w:p w14:paraId="5F6DD44F" w14:textId="13B0777D" w:rsidR="004929DC" w:rsidRPr="005108DC" w:rsidRDefault="004929DC" w:rsidP="00150034">
      <w:pPr>
        <w:tabs>
          <w:tab w:val="right" w:pos="7200"/>
        </w:tabs>
        <w:spacing w:after="0" w:line="240" w:lineRule="auto"/>
        <w:jc w:val="left"/>
        <w:rPr>
          <w:rFonts w:asciiTheme="minorHAnsi" w:hAnsiTheme="minorHAnsi" w:cstheme="minorHAnsi"/>
          <w:sz w:val="26"/>
          <w:szCs w:val="26"/>
        </w:rPr>
      </w:pPr>
    </w:p>
    <w:sectPr w:rsidR="004929DC" w:rsidRPr="005108DC">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BBCD0" w14:textId="77777777" w:rsidR="00DC0E79" w:rsidRDefault="00DC0E79" w:rsidP="0009769D">
      <w:r>
        <w:separator/>
      </w:r>
    </w:p>
  </w:endnote>
  <w:endnote w:type="continuationSeparator" w:id="0">
    <w:p w14:paraId="12669366" w14:textId="77777777" w:rsidR="00DC0E79" w:rsidRDefault="00DC0E79" w:rsidP="00097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294216"/>
      <w:docPartObj>
        <w:docPartGallery w:val="Page Numbers (Bottom of Page)"/>
        <w:docPartUnique/>
      </w:docPartObj>
    </w:sdtPr>
    <w:sdtEndPr>
      <w:rPr>
        <w:noProof/>
      </w:rPr>
    </w:sdtEndPr>
    <w:sdtContent>
      <w:p w14:paraId="44BE93F8" w14:textId="77777777" w:rsidR="00B51793" w:rsidRDefault="00B51793">
        <w:pPr>
          <w:pStyle w:val="Footer"/>
        </w:pPr>
        <w:r>
          <w:fldChar w:fldCharType="begin"/>
        </w:r>
        <w:r>
          <w:instrText xml:space="preserve"> PAGE   \* MERGEFORMAT </w:instrText>
        </w:r>
        <w:r>
          <w:fldChar w:fldCharType="separate"/>
        </w:r>
        <w:r>
          <w:rPr>
            <w:noProof/>
          </w:rPr>
          <w:t>103</w:t>
        </w:r>
        <w:r>
          <w:rPr>
            <w:noProof/>
          </w:rPr>
          <w:fldChar w:fldCharType="end"/>
        </w:r>
      </w:p>
    </w:sdtContent>
  </w:sdt>
  <w:p w14:paraId="5E3F7CD7" w14:textId="77777777" w:rsidR="00B51793" w:rsidRDefault="00B51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0D686" w14:textId="77777777" w:rsidR="00774E71" w:rsidRDefault="00B527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E0700" w14:textId="77777777" w:rsidR="00774E71" w:rsidRDefault="00B527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03AB1" w14:textId="77777777" w:rsidR="00774E71" w:rsidRDefault="00B52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88337" w14:textId="77777777" w:rsidR="00DC0E79" w:rsidRDefault="00DC0E79" w:rsidP="0009769D">
      <w:r>
        <w:separator/>
      </w:r>
    </w:p>
  </w:footnote>
  <w:footnote w:type="continuationSeparator" w:id="0">
    <w:p w14:paraId="617E660A" w14:textId="77777777" w:rsidR="00DC0E79" w:rsidRDefault="00DC0E79" w:rsidP="0009769D">
      <w:r>
        <w:continuationSeparator/>
      </w:r>
    </w:p>
  </w:footnote>
  <w:footnote w:type="continuationNotice" w:id="1">
    <w:p w14:paraId="084DFC2D" w14:textId="77777777" w:rsidR="00DC0E79" w:rsidRPr="00A1223C" w:rsidRDefault="00DC0E79" w:rsidP="00A1223C">
      <w:pPr>
        <w:pStyle w:val="Footer"/>
      </w:pPr>
    </w:p>
  </w:footnote>
  <w:footnote w:id="2">
    <w:p w14:paraId="18BDFAC9" w14:textId="77777777" w:rsidR="00B51793" w:rsidRDefault="00B51793" w:rsidP="00D34D6B">
      <w:pPr>
        <w:pStyle w:val="FootnoteText"/>
      </w:pPr>
      <w:r>
        <w:rPr>
          <w:rStyle w:val="FootnoteReference"/>
        </w:rPr>
        <w:footnoteRef/>
      </w:r>
      <w:r>
        <w:t xml:space="preserve"> </w:t>
      </w:r>
      <w:r>
        <w:tab/>
      </w:r>
      <w:r w:rsidRPr="00B702F2">
        <w:rPr>
          <w:szCs w:val="27"/>
        </w:rPr>
        <w:t>As the jury was informed, Sheehan testified under a grant of immunity, which would be void if he failed to be truthful.</w:t>
      </w:r>
    </w:p>
  </w:footnote>
  <w:footnote w:id="3">
    <w:p w14:paraId="007B9382" w14:textId="0F4DE4E4" w:rsidR="00B51793" w:rsidRPr="00D73C57" w:rsidRDefault="00B51793" w:rsidP="00631676">
      <w:pPr>
        <w:pStyle w:val="FootnoteText"/>
        <w:rPr>
          <w:sz w:val="26"/>
          <w:szCs w:val="26"/>
        </w:rPr>
      </w:pPr>
      <w:r w:rsidRPr="0041028D">
        <w:rPr>
          <w:rStyle w:val="FootnoteReference"/>
          <w:sz w:val="26"/>
          <w:szCs w:val="26"/>
        </w:rPr>
        <w:footnoteRef/>
      </w:r>
      <w:r w:rsidRPr="00D73C57">
        <w:rPr>
          <w:sz w:val="26"/>
          <w:szCs w:val="26"/>
        </w:rPr>
        <w:t xml:space="preserve"> </w:t>
      </w:r>
      <w:r w:rsidRPr="00D73C57">
        <w:rPr>
          <w:sz w:val="26"/>
          <w:szCs w:val="26"/>
        </w:rPr>
        <w:tab/>
      </w:r>
      <w:r w:rsidRPr="008A5804">
        <w:rPr>
          <w:rFonts w:cstheme="minorHAnsi"/>
          <w:szCs w:val="27"/>
        </w:rPr>
        <w:t xml:space="preserve">Once the tape was removed at the morgue, Nick was seen to be wearing a ring.  </w:t>
      </w:r>
      <w:r w:rsidRPr="008A5804">
        <w:rPr>
          <w:szCs w:val="27"/>
        </w:rPr>
        <w:t>Nick also wore a distinctive belt buckle.  The parties stipulated to the identification of the deceased at trial.</w:t>
      </w:r>
      <w:r w:rsidRPr="00D73C57">
        <w:rPr>
          <w:sz w:val="26"/>
          <w:szCs w:val="26"/>
        </w:rPr>
        <w:t xml:space="preserve">  </w:t>
      </w:r>
    </w:p>
  </w:footnote>
  <w:footnote w:id="4">
    <w:p w14:paraId="1FD68419" w14:textId="77777777" w:rsidR="00B51793" w:rsidRDefault="00B51793" w:rsidP="00631676">
      <w:pPr>
        <w:pStyle w:val="FootnoteText"/>
        <w:rPr>
          <w:sz w:val="26"/>
          <w:szCs w:val="26"/>
        </w:rPr>
      </w:pPr>
      <w:r w:rsidRPr="0041028D">
        <w:rPr>
          <w:rStyle w:val="FootnoteReference"/>
          <w:sz w:val="26"/>
          <w:szCs w:val="26"/>
        </w:rPr>
        <w:footnoteRef/>
      </w:r>
      <w:r w:rsidRPr="0041028D">
        <w:rPr>
          <w:b/>
          <w:sz w:val="26"/>
          <w:szCs w:val="26"/>
        </w:rPr>
        <w:t xml:space="preserve"> </w:t>
      </w:r>
      <w:r w:rsidRPr="00C01F59">
        <w:rPr>
          <w:sz w:val="26"/>
          <w:szCs w:val="26"/>
        </w:rPr>
        <w:tab/>
      </w:r>
      <w:r w:rsidRPr="008A5804">
        <w:rPr>
          <w:i/>
          <w:szCs w:val="27"/>
        </w:rPr>
        <w:t>Miranda v. Arizona</w:t>
      </w:r>
      <w:r w:rsidRPr="008A5804">
        <w:rPr>
          <w:szCs w:val="27"/>
        </w:rPr>
        <w:t xml:space="preserve"> (1966) 384 U.S. 436 (</w:t>
      </w:r>
      <w:r w:rsidRPr="008A5804">
        <w:rPr>
          <w:i/>
          <w:szCs w:val="27"/>
        </w:rPr>
        <w:t>Miranda</w:t>
      </w:r>
      <w:r w:rsidRPr="008A5804">
        <w:rPr>
          <w:szCs w:val="27"/>
        </w:rPr>
        <w:t>).</w:t>
      </w:r>
    </w:p>
    <w:p w14:paraId="03966A76" w14:textId="77777777" w:rsidR="00B51793" w:rsidRPr="00770B0A" w:rsidRDefault="00B51793" w:rsidP="005E40FD">
      <w:pPr>
        <w:pStyle w:val="FootnoteText"/>
        <w:rPr>
          <w:sz w:val="12"/>
          <w:szCs w:val="12"/>
        </w:rPr>
      </w:pPr>
    </w:p>
  </w:footnote>
  <w:footnote w:id="5">
    <w:p w14:paraId="3C7ED266" w14:textId="0AF84627" w:rsidR="00B51793" w:rsidRPr="009207FF" w:rsidRDefault="00B51793" w:rsidP="00631676">
      <w:pPr>
        <w:pStyle w:val="FootnoteText"/>
        <w:rPr>
          <w:sz w:val="26"/>
          <w:szCs w:val="26"/>
        </w:rPr>
      </w:pPr>
      <w:r w:rsidRPr="0041028D">
        <w:rPr>
          <w:rStyle w:val="FootnoteReference"/>
          <w:sz w:val="26"/>
          <w:szCs w:val="26"/>
        </w:rPr>
        <w:footnoteRef/>
      </w:r>
      <w:r w:rsidRPr="009207FF">
        <w:rPr>
          <w:sz w:val="26"/>
          <w:szCs w:val="26"/>
        </w:rPr>
        <w:t xml:space="preserve"> </w:t>
      </w:r>
      <w:r w:rsidRPr="009207FF">
        <w:rPr>
          <w:sz w:val="26"/>
          <w:szCs w:val="26"/>
        </w:rPr>
        <w:tab/>
      </w:r>
      <w:r w:rsidRPr="008A5804">
        <w:rPr>
          <w:szCs w:val="27"/>
        </w:rPr>
        <w:t xml:space="preserve">Defendant alleges the transcript used at trial contained two inaccuracies.  </w:t>
      </w:r>
      <w:r>
        <w:rPr>
          <w:szCs w:val="27"/>
        </w:rPr>
        <w:t>A</w:t>
      </w:r>
      <w:r w:rsidRPr="008A5804">
        <w:rPr>
          <w:szCs w:val="27"/>
        </w:rPr>
        <w:t xml:space="preserve">fter his assertion to detectives that </w:t>
      </w:r>
      <w:r>
        <w:rPr>
          <w:szCs w:val="27"/>
        </w:rPr>
        <w:t xml:space="preserve">he had nothing to do with the kidnapping, </w:t>
      </w:r>
      <w:r w:rsidRPr="008A5804">
        <w:rPr>
          <w:szCs w:val="27"/>
        </w:rPr>
        <w:t xml:space="preserve">the transcript </w:t>
      </w:r>
      <w:r>
        <w:rPr>
          <w:szCs w:val="27"/>
        </w:rPr>
        <w:t xml:space="preserve">given to </w:t>
      </w:r>
      <w:r w:rsidRPr="008A5804">
        <w:rPr>
          <w:szCs w:val="27"/>
        </w:rPr>
        <w:t xml:space="preserve">jurors </w:t>
      </w:r>
      <w:r>
        <w:rPr>
          <w:szCs w:val="27"/>
        </w:rPr>
        <w:t>indicated that there was some whispering before defendant asked why he was charged.  A later-filed corrected transcript of the interview indicates that Reinstadler had responded to defendant’s initial assertion that he had nothing to do with the kidnapping by whispering</w:t>
      </w:r>
      <w:r w:rsidRPr="008A5804">
        <w:rPr>
          <w:szCs w:val="27"/>
        </w:rPr>
        <w:t>, “We know that</w:t>
      </w:r>
      <w:r>
        <w:rPr>
          <w:szCs w:val="27"/>
        </w:rPr>
        <w:t>.</w:t>
      </w:r>
      <w:r w:rsidRPr="008A5804">
        <w:rPr>
          <w:szCs w:val="27"/>
        </w:rPr>
        <w:t xml:space="preserve">” </w:t>
      </w:r>
      <w:r>
        <w:rPr>
          <w:szCs w:val="27"/>
        </w:rPr>
        <w:t xml:space="preserve"> </w:t>
      </w:r>
      <w:r w:rsidRPr="008A5804">
        <w:rPr>
          <w:szCs w:val="27"/>
        </w:rPr>
        <w:t>Defendant also claims the transcript used at trial contained an error in an exchange during which defendant indicated he met someone at the Lemon Tree Inn.  At trial, the transcript read, “WEST:  You met someone there?  HOYT:  Nick.”  The corrected transcript reads, “WEST:  You met someone there?  HOYT:  Yeah.”</w:t>
      </w:r>
      <w:r>
        <w:rPr>
          <w:szCs w:val="27"/>
        </w:rPr>
        <w:t xml:space="preserve">  These discrepancies do not affect our evaluation of the issues in this case.  </w:t>
      </w:r>
    </w:p>
  </w:footnote>
  <w:footnote w:id="6">
    <w:p w14:paraId="1236B0FA" w14:textId="7F41802A" w:rsidR="00B51793" w:rsidRDefault="00B51793">
      <w:pPr>
        <w:pStyle w:val="FootnoteText"/>
      </w:pPr>
      <w:r>
        <w:rPr>
          <w:rStyle w:val="FootnoteReference"/>
        </w:rPr>
        <w:footnoteRef/>
      </w:r>
      <w:r>
        <w:tab/>
      </w:r>
      <w:r w:rsidRPr="008A5804">
        <w:rPr>
          <w:szCs w:val="27"/>
        </w:rPr>
        <w:t>The Los Padres National Forest took its present name in 1936.  (Exec. Order No. 7501 (Dec. 3, 1936).)</w:t>
      </w:r>
    </w:p>
  </w:footnote>
  <w:footnote w:id="7">
    <w:p w14:paraId="2291A3D2" w14:textId="5A9864C6" w:rsidR="00B51793" w:rsidRPr="00834D34" w:rsidRDefault="00B51793" w:rsidP="00895B30">
      <w:pPr>
        <w:pStyle w:val="FootnoteText"/>
        <w:rPr>
          <w:sz w:val="26"/>
          <w:szCs w:val="26"/>
        </w:rPr>
      </w:pPr>
      <w:r w:rsidRPr="00834D34">
        <w:rPr>
          <w:rStyle w:val="FootnoteReference"/>
          <w:sz w:val="26"/>
          <w:szCs w:val="26"/>
        </w:rPr>
        <w:footnoteRef/>
      </w:r>
      <w:r w:rsidRPr="00834D34">
        <w:rPr>
          <w:sz w:val="26"/>
          <w:szCs w:val="26"/>
        </w:rPr>
        <w:t xml:space="preserve"> </w:t>
      </w:r>
      <w:r w:rsidRPr="00834D34">
        <w:rPr>
          <w:sz w:val="26"/>
          <w:szCs w:val="26"/>
        </w:rPr>
        <w:tab/>
      </w:r>
      <w:r w:rsidRPr="00EE728B">
        <w:rPr>
          <w:szCs w:val="27"/>
        </w:rPr>
        <w:t>At oral argument, defense counsel also contended Prospective Juror F.G.’s responses to the questionnaire indicated his willingness to follow the court’s instructions in general.  He contended that dismissal was not warranted because</w:t>
      </w:r>
      <w:r>
        <w:rPr>
          <w:szCs w:val="27"/>
        </w:rPr>
        <w:t>,</w:t>
      </w:r>
      <w:r w:rsidRPr="00EE728B">
        <w:rPr>
          <w:szCs w:val="27"/>
        </w:rPr>
        <w:t xml:space="preserve"> in their oral exchange</w:t>
      </w:r>
      <w:r>
        <w:rPr>
          <w:szCs w:val="27"/>
        </w:rPr>
        <w:t>,</w:t>
      </w:r>
      <w:r w:rsidRPr="00EE728B">
        <w:rPr>
          <w:szCs w:val="27"/>
        </w:rPr>
        <w:t xml:space="preserve"> the court did not specifically advise F.G. that the court’s instructions would include an instruction to decide guilt based on the evidence presented, without allowing the potential penalty to factor into </w:t>
      </w:r>
      <w:r>
        <w:rPr>
          <w:szCs w:val="27"/>
        </w:rPr>
        <w:t xml:space="preserve">the </w:t>
      </w:r>
      <w:r w:rsidRPr="00EE728B">
        <w:rPr>
          <w:szCs w:val="27"/>
        </w:rPr>
        <w:t>jurors’ evaluation of the facts of the case.  Based on our review of the record, we see no genuine potential for confusion on this point.  It was not necessary for the trial court to explicitly advise F.G. that a juror’s determination of the facts should be based solely on the evidence presented.</w:t>
      </w:r>
    </w:p>
  </w:footnote>
  <w:footnote w:id="8">
    <w:p w14:paraId="3B23E56C" w14:textId="2062EED0" w:rsidR="00B51793" w:rsidRPr="00C146AB" w:rsidRDefault="00B51793" w:rsidP="00631676">
      <w:pPr>
        <w:pStyle w:val="FootnoteText"/>
        <w:rPr>
          <w:sz w:val="26"/>
          <w:szCs w:val="26"/>
        </w:rPr>
      </w:pPr>
      <w:r w:rsidRPr="00FC5B99">
        <w:rPr>
          <w:rStyle w:val="FootnoteReference"/>
          <w:sz w:val="26"/>
          <w:szCs w:val="26"/>
        </w:rPr>
        <w:footnoteRef/>
      </w:r>
      <w:r w:rsidRPr="00C146AB">
        <w:rPr>
          <w:sz w:val="26"/>
          <w:szCs w:val="26"/>
        </w:rPr>
        <w:t xml:space="preserve"> </w:t>
      </w:r>
      <w:r w:rsidRPr="00C146AB">
        <w:rPr>
          <w:sz w:val="26"/>
          <w:szCs w:val="26"/>
        </w:rPr>
        <w:tab/>
      </w:r>
      <w:r w:rsidRPr="00EE728B">
        <w:rPr>
          <w:szCs w:val="27"/>
        </w:rPr>
        <w:t>Of the three remaining special allegations, two related to Pressley’s age and the last stated that Skidmore, Rugge, Pressley, and Hollywood were principals in a felony in which a coprincipal, defendant, possessed an assault weapon.</w:t>
      </w:r>
    </w:p>
  </w:footnote>
  <w:footnote w:id="9">
    <w:p w14:paraId="1982F20A" w14:textId="582994B0" w:rsidR="00B51793" w:rsidRPr="001340F8" w:rsidRDefault="00B51793" w:rsidP="00631676">
      <w:pPr>
        <w:pStyle w:val="FootnoteText"/>
        <w:rPr>
          <w:sz w:val="26"/>
          <w:szCs w:val="26"/>
        </w:rPr>
      </w:pPr>
      <w:r w:rsidRPr="001340F8">
        <w:rPr>
          <w:rStyle w:val="FootnoteReference"/>
          <w:sz w:val="26"/>
          <w:szCs w:val="26"/>
        </w:rPr>
        <w:footnoteRef/>
      </w:r>
      <w:r w:rsidRPr="001340F8">
        <w:rPr>
          <w:sz w:val="26"/>
          <w:szCs w:val="26"/>
        </w:rPr>
        <w:t xml:space="preserve"> </w:t>
      </w:r>
      <w:r w:rsidRPr="001340F8">
        <w:rPr>
          <w:sz w:val="26"/>
          <w:szCs w:val="26"/>
        </w:rPr>
        <w:tab/>
      </w:r>
      <w:r w:rsidRPr="008A5804">
        <w:rPr>
          <w:szCs w:val="27"/>
        </w:rPr>
        <w:t>CALJIC No. 9.56 provides:  “When one consents to accompany another, there is no kidnapping so long as the condition of consent exists.  [¶]  To consent, a person must:  [¶]  1. Act freely and voluntarily and not under the influence of threats, force, or duress;  [¶]  2. Have knowledge that [he] [she] was being physically moved; and  [¶]  3. Possess sufficient mental capacity to make an intelligent choice whether to be physically moved by the other person [or persons].  [¶]  [Being passive does not amount to consent.]  Consent requires a free will and positive cooperation in act or attitude.”</w:t>
      </w:r>
    </w:p>
  </w:footnote>
  <w:footnote w:id="10">
    <w:p w14:paraId="1A93DC50" w14:textId="71A7EEB4" w:rsidR="00B51793" w:rsidRDefault="00B51793">
      <w:pPr>
        <w:pStyle w:val="FootnoteText"/>
      </w:pPr>
      <w:r>
        <w:rPr>
          <w:rStyle w:val="FootnoteReference"/>
        </w:rPr>
        <w:footnoteRef/>
      </w:r>
      <w:r>
        <w:t xml:space="preserve"> </w:t>
      </w:r>
      <w:r>
        <w:tab/>
        <w:t>This exchange was captured on the second side, or “side B” of the audiotape used to record Detective West’s and Sergeant Reinstadler’s interview with defendant.</w:t>
      </w:r>
    </w:p>
  </w:footnote>
  <w:footnote w:id="11">
    <w:p w14:paraId="6B253B32" w14:textId="77777777" w:rsidR="00B51793" w:rsidRPr="00C446CE" w:rsidRDefault="00B51793" w:rsidP="00631676">
      <w:pPr>
        <w:pStyle w:val="FootnoteText"/>
        <w:rPr>
          <w:sz w:val="26"/>
          <w:szCs w:val="26"/>
        </w:rPr>
      </w:pPr>
      <w:r w:rsidRPr="00C779EA">
        <w:rPr>
          <w:rStyle w:val="FootnoteReference"/>
          <w:sz w:val="26"/>
          <w:szCs w:val="26"/>
        </w:rPr>
        <w:footnoteRef/>
      </w:r>
      <w:r w:rsidRPr="00C446CE">
        <w:rPr>
          <w:sz w:val="26"/>
          <w:szCs w:val="26"/>
        </w:rPr>
        <w:t xml:space="preserve"> </w:t>
      </w:r>
      <w:r w:rsidRPr="00C446CE">
        <w:rPr>
          <w:sz w:val="26"/>
          <w:szCs w:val="26"/>
        </w:rPr>
        <w:tab/>
      </w:r>
      <w:r w:rsidRPr="00AA11A1">
        <w:rPr>
          <w:szCs w:val="27"/>
        </w:rPr>
        <w:t>Evidence Code section 402, subdivision (a) provides:  “When the existence of a preliminary fact is disputed, its existence or nonexistence shall be determined as provided in this article.”  Subdivision (b) provides:  “The court may hear and determine the question of the admissibility of evidence out of the presence or hearing of the jury; but in a criminal action, the court shall hear and determine the question of the admissibility of a confession or admission of the defendant out of the presence and hearing of the jury if any party so requests.”</w:t>
      </w:r>
    </w:p>
  </w:footnote>
  <w:footnote w:id="12">
    <w:p w14:paraId="47C1CEEA" w14:textId="153AB2D7" w:rsidR="00B51793" w:rsidRPr="009F29E8" w:rsidRDefault="00B51793" w:rsidP="00E4364C">
      <w:pPr>
        <w:pStyle w:val="FootnoteText"/>
        <w:rPr>
          <w:sz w:val="26"/>
          <w:szCs w:val="26"/>
        </w:rPr>
      </w:pPr>
      <w:r w:rsidRPr="009D3686">
        <w:rPr>
          <w:rStyle w:val="FootnoteReference"/>
          <w:sz w:val="26"/>
          <w:szCs w:val="26"/>
        </w:rPr>
        <w:footnoteRef/>
      </w:r>
      <w:r w:rsidRPr="009D3686">
        <w:rPr>
          <w:b/>
          <w:sz w:val="26"/>
          <w:szCs w:val="26"/>
        </w:rPr>
        <w:t xml:space="preserve"> </w:t>
      </w:r>
      <w:r w:rsidRPr="009F29E8">
        <w:rPr>
          <w:sz w:val="26"/>
          <w:szCs w:val="26"/>
        </w:rPr>
        <w:tab/>
      </w:r>
      <w:r w:rsidRPr="00211B85">
        <w:rPr>
          <w:szCs w:val="27"/>
        </w:rPr>
        <w:t xml:space="preserve">As amended in 1998, Penal Code section 190.2, subdivision (a)(17)(M) provides, “To prove the special circumstance[] of kidnapping[,] . . . if there is specific intent to kill, it is only required that there be proof of the elements of th[at] felon[y].  If so established, [the] special circumstance[] [is] proven </w:t>
      </w:r>
      <w:r w:rsidRPr="00211B85">
        <w:rPr>
          <w:i/>
          <w:szCs w:val="27"/>
        </w:rPr>
        <w:t>even if the felony of kidnapping . . . is committed primarily or solely for the purpose of facilitating the murder</w:t>
      </w:r>
      <w:r w:rsidRPr="00211B85">
        <w:rPr>
          <w:szCs w:val="27"/>
        </w:rPr>
        <w:t>.”  (Italics added.)</w:t>
      </w:r>
    </w:p>
  </w:footnote>
  <w:footnote w:id="13">
    <w:p w14:paraId="5FB78871" w14:textId="32D8C360" w:rsidR="00B51793" w:rsidRPr="002E3FC3" w:rsidRDefault="00B51793" w:rsidP="008850D1">
      <w:pPr>
        <w:pStyle w:val="FootnoteText"/>
        <w:rPr>
          <w:sz w:val="26"/>
          <w:szCs w:val="26"/>
        </w:rPr>
      </w:pPr>
      <w:r w:rsidRPr="002E3FC3">
        <w:rPr>
          <w:rStyle w:val="FootnoteReference"/>
          <w:sz w:val="26"/>
          <w:szCs w:val="26"/>
        </w:rPr>
        <w:footnoteRef/>
      </w:r>
      <w:r w:rsidRPr="002E3FC3">
        <w:rPr>
          <w:b/>
          <w:sz w:val="26"/>
          <w:szCs w:val="26"/>
        </w:rPr>
        <w:t xml:space="preserve"> </w:t>
      </w:r>
      <w:r w:rsidRPr="002E3FC3">
        <w:rPr>
          <w:b/>
          <w:sz w:val="26"/>
          <w:szCs w:val="26"/>
        </w:rPr>
        <w:tab/>
      </w:r>
      <w:r w:rsidRPr="00211B85">
        <w:rPr>
          <w:szCs w:val="27"/>
        </w:rPr>
        <w:t xml:space="preserve">At oral argument, defendant argued for the first time that this instruction was defective because the “or” in the first sentence of the instruction would have conveyed to the jury that it could find the special circumstance true so long as it concluded that “the murder was committed while the Defendant was engaged in the commission of a kidnapping,” even if it did not find that defendant had an independent purpose to kidnap Nick.  While it does appear the disjunctive “or” in the first sentence was included in error, we see no likelihood that the jury was confused by it.  The second sentence of the instruction unambiguously informed the jury that </w:t>
      </w:r>
      <w:r w:rsidRPr="00211B85">
        <w:rPr>
          <w:rFonts w:cstheme="minorHAnsi"/>
          <w:szCs w:val="27"/>
        </w:rPr>
        <w:t>“the special circumstance . . . is not established if the kidnap was merely incidental to the commission of the murder.”  The instruction thus expressly told the jurors that they must find an independent felonious purpose to find the special circumstance true.</w:t>
      </w:r>
    </w:p>
  </w:footnote>
  <w:footnote w:id="14">
    <w:p w14:paraId="112B238A" w14:textId="08C52F3A" w:rsidR="00B51793" w:rsidRPr="00F069D6" w:rsidRDefault="00B51793" w:rsidP="00631676">
      <w:pPr>
        <w:pStyle w:val="FootnoteText"/>
        <w:rPr>
          <w:sz w:val="26"/>
          <w:szCs w:val="26"/>
        </w:rPr>
      </w:pPr>
      <w:r w:rsidRPr="00A87A88">
        <w:rPr>
          <w:rStyle w:val="FootnoteReference"/>
          <w:sz w:val="26"/>
          <w:szCs w:val="26"/>
        </w:rPr>
        <w:footnoteRef/>
      </w:r>
      <w:r w:rsidRPr="00F069D6">
        <w:rPr>
          <w:sz w:val="26"/>
          <w:szCs w:val="26"/>
        </w:rPr>
        <w:t xml:space="preserve"> </w:t>
      </w:r>
      <w:r w:rsidRPr="00F069D6">
        <w:rPr>
          <w:sz w:val="26"/>
          <w:szCs w:val="26"/>
        </w:rPr>
        <w:tab/>
      </w:r>
      <w:r w:rsidRPr="008A5804">
        <w:rPr>
          <w:szCs w:val="27"/>
        </w:rPr>
        <w:t>In record augmentation proceedings that took place in 2009 in anticipation of briefing before this court, defendant’s counsel argued Owen’s State Bar records might have relevance to an eventual habeas corpus proceeding before this court.  With that in mind</w:t>
      </w:r>
      <w:r>
        <w:rPr>
          <w:szCs w:val="27"/>
        </w:rPr>
        <w:t>,</w:t>
      </w:r>
      <w:r w:rsidRPr="008A5804">
        <w:rPr>
          <w:szCs w:val="27"/>
        </w:rPr>
        <w:t xml:space="preserve"> the trial court ordered the State Bar to preserve the records.</w:t>
      </w:r>
      <w:r w:rsidRPr="00F069D6">
        <w:rPr>
          <w:sz w:val="26"/>
          <w:szCs w:val="26"/>
        </w:rPr>
        <w:t xml:space="preserve">  </w:t>
      </w:r>
    </w:p>
  </w:footnote>
  <w:footnote w:id="15">
    <w:p w14:paraId="3EFF1157" w14:textId="5C961D70" w:rsidR="00B51793" w:rsidRPr="00242229" w:rsidRDefault="00B51793" w:rsidP="00310EE4">
      <w:pPr>
        <w:pStyle w:val="FootnoteText"/>
        <w:rPr>
          <w:sz w:val="26"/>
          <w:szCs w:val="26"/>
        </w:rPr>
      </w:pPr>
      <w:r w:rsidRPr="00C3571B">
        <w:rPr>
          <w:rStyle w:val="FootnoteReference"/>
          <w:sz w:val="26"/>
          <w:szCs w:val="26"/>
        </w:rPr>
        <w:footnoteRef/>
      </w:r>
      <w:r w:rsidRPr="001E0BB5">
        <w:rPr>
          <w:sz w:val="26"/>
          <w:szCs w:val="26"/>
        </w:rPr>
        <w:tab/>
      </w:r>
      <w:r w:rsidRPr="00876601">
        <w:rPr>
          <w:i/>
          <w:szCs w:val="27"/>
        </w:rPr>
        <w:t>Keenan v. Superior Court</w:t>
      </w:r>
      <w:r w:rsidRPr="00876601">
        <w:rPr>
          <w:szCs w:val="27"/>
        </w:rPr>
        <w:t xml:space="preserve"> (1982) 31 Cal.3d 424.  In </w:t>
      </w:r>
      <w:r w:rsidRPr="00876601">
        <w:rPr>
          <w:i/>
          <w:szCs w:val="27"/>
        </w:rPr>
        <w:t>Keenan</w:t>
      </w:r>
      <w:r w:rsidRPr="00876601">
        <w:rPr>
          <w:szCs w:val="27"/>
        </w:rPr>
        <w:t>, we held Penal Code section 987.9 funds may be used to appoint a second attorney for a defendant in a capital case.  (</w:t>
      </w:r>
      <w:r w:rsidRPr="00890A1E">
        <w:rPr>
          <w:i/>
          <w:szCs w:val="27"/>
        </w:rPr>
        <w:t>Keenan</w:t>
      </w:r>
      <w:r>
        <w:rPr>
          <w:szCs w:val="27"/>
        </w:rPr>
        <w:t>,</w:t>
      </w:r>
      <w:r w:rsidRPr="00876601">
        <w:rPr>
          <w:szCs w:val="27"/>
        </w:rPr>
        <w:t xml:space="preserve"> at p. 434.)</w:t>
      </w:r>
      <w:r>
        <w:rPr>
          <w:sz w:val="26"/>
          <w:szCs w:val="2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08BA3" w14:textId="77777777" w:rsidR="00B51793" w:rsidRDefault="00B51793">
    <w:pPr>
      <w:pStyle w:val="Header"/>
    </w:pPr>
    <w:r>
      <w:t>PEOPLE v. HOYT</w:t>
    </w:r>
  </w:p>
  <w:p w14:paraId="1FEBB1F7" w14:textId="68368D96" w:rsidR="00B51793" w:rsidRDefault="00B51793">
    <w:pPr>
      <w:pStyle w:val="Header"/>
    </w:pPr>
    <w:r>
      <w:t>Opinion of the Court by Kruger, J.</w:t>
    </w:r>
  </w:p>
  <w:p w14:paraId="0FE29E91" w14:textId="77777777" w:rsidR="00B51793" w:rsidRDefault="00B517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0B340" w14:textId="77777777" w:rsidR="00774E71" w:rsidRDefault="00B527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9FE2B" w14:textId="77777777" w:rsidR="00774E71" w:rsidRDefault="00B527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BCC99" w14:textId="77777777" w:rsidR="00774E71" w:rsidRDefault="00B52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366E3"/>
    <w:multiLevelType w:val="hybridMultilevel"/>
    <w:tmpl w:val="EAE878D4"/>
    <w:lvl w:ilvl="0" w:tplc="F1B09E44">
      <w:start w:val="1"/>
      <w:numFmt w:val="decimal"/>
      <w:lvlText w:val="%1."/>
      <w:lvlJc w:val="left"/>
      <w:pPr>
        <w:ind w:left="3834" w:hanging="720"/>
      </w:pPr>
      <w:rPr>
        <w:rFonts w:asciiTheme="minorHAnsi" w:hAnsiTheme="minorHAnsi" w:cstheme="minorHAnsi" w:hint="default"/>
        <w:b w:val="0"/>
        <w:i/>
      </w:rPr>
    </w:lvl>
    <w:lvl w:ilvl="1" w:tplc="04090019" w:tentative="1">
      <w:start w:val="1"/>
      <w:numFmt w:val="lowerLetter"/>
      <w:lvlText w:val="%2."/>
      <w:lvlJc w:val="left"/>
      <w:pPr>
        <w:ind w:left="4194" w:hanging="360"/>
      </w:pPr>
    </w:lvl>
    <w:lvl w:ilvl="2" w:tplc="0409001B" w:tentative="1">
      <w:start w:val="1"/>
      <w:numFmt w:val="lowerRoman"/>
      <w:lvlText w:val="%3."/>
      <w:lvlJc w:val="right"/>
      <w:pPr>
        <w:ind w:left="4914" w:hanging="180"/>
      </w:pPr>
    </w:lvl>
    <w:lvl w:ilvl="3" w:tplc="0409000F" w:tentative="1">
      <w:start w:val="1"/>
      <w:numFmt w:val="decimal"/>
      <w:lvlText w:val="%4."/>
      <w:lvlJc w:val="left"/>
      <w:pPr>
        <w:ind w:left="5634" w:hanging="360"/>
      </w:pPr>
    </w:lvl>
    <w:lvl w:ilvl="4" w:tplc="04090019" w:tentative="1">
      <w:start w:val="1"/>
      <w:numFmt w:val="lowerLetter"/>
      <w:lvlText w:val="%5."/>
      <w:lvlJc w:val="left"/>
      <w:pPr>
        <w:ind w:left="6354" w:hanging="360"/>
      </w:pPr>
    </w:lvl>
    <w:lvl w:ilvl="5" w:tplc="0409001B" w:tentative="1">
      <w:start w:val="1"/>
      <w:numFmt w:val="lowerRoman"/>
      <w:lvlText w:val="%6."/>
      <w:lvlJc w:val="right"/>
      <w:pPr>
        <w:ind w:left="7074" w:hanging="180"/>
      </w:pPr>
    </w:lvl>
    <w:lvl w:ilvl="6" w:tplc="0409000F" w:tentative="1">
      <w:start w:val="1"/>
      <w:numFmt w:val="decimal"/>
      <w:lvlText w:val="%7."/>
      <w:lvlJc w:val="left"/>
      <w:pPr>
        <w:ind w:left="7794" w:hanging="360"/>
      </w:pPr>
    </w:lvl>
    <w:lvl w:ilvl="7" w:tplc="04090019" w:tentative="1">
      <w:start w:val="1"/>
      <w:numFmt w:val="lowerLetter"/>
      <w:lvlText w:val="%8."/>
      <w:lvlJc w:val="left"/>
      <w:pPr>
        <w:ind w:left="8514" w:hanging="360"/>
      </w:pPr>
    </w:lvl>
    <w:lvl w:ilvl="8" w:tplc="0409001B" w:tentative="1">
      <w:start w:val="1"/>
      <w:numFmt w:val="lowerRoman"/>
      <w:lvlText w:val="%9."/>
      <w:lvlJc w:val="right"/>
      <w:pPr>
        <w:ind w:left="9234" w:hanging="180"/>
      </w:pPr>
    </w:lvl>
  </w:abstractNum>
  <w:abstractNum w:abstractNumId="1" w15:restartNumberingAfterBreak="0">
    <w:nsid w:val="2CD80D30"/>
    <w:multiLevelType w:val="hybridMultilevel"/>
    <w:tmpl w:val="D6B0D768"/>
    <w:lvl w:ilvl="0" w:tplc="3EB88244">
      <w:start w:val="1"/>
      <w:numFmt w:val="upperLetter"/>
      <w:lvlText w:val="%1."/>
      <w:lvlJc w:val="left"/>
      <w:pPr>
        <w:ind w:left="1515" w:hanging="360"/>
      </w:pPr>
      <w:rPr>
        <w:rFonts w:hint="default"/>
        <w:b/>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removePersonalInformation/>
  <w:removeDateAndTime/>
  <w:hideSpellingErrors/>
  <w:hideGrammaticalErrors/>
  <w:proofState w:grammar="clean"/>
  <w:defaultTabStop w:val="720"/>
  <w:characterSpacingControl w:val="doNotCompress"/>
  <w:hdrShapeDefaults>
    <o:shapedefaults v:ext="edit" spidmax="2252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A10"/>
    <w:rsid w:val="00000370"/>
    <w:rsid w:val="0000060E"/>
    <w:rsid w:val="00000BDD"/>
    <w:rsid w:val="00001202"/>
    <w:rsid w:val="000012C6"/>
    <w:rsid w:val="00002344"/>
    <w:rsid w:val="00002859"/>
    <w:rsid w:val="00002898"/>
    <w:rsid w:val="00002E20"/>
    <w:rsid w:val="00004615"/>
    <w:rsid w:val="00004F09"/>
    <w:rsid w:val="00004F0A"/>
    <w:rsid w:val="00004FD5"/>
    <w:rsid w:val="000053F9"/>
    <w:rsid w:val="00005BCE"/>
    <w:rsid w:val="00006CB9"/>
    <w:rsid w:val="000079E9"/>
    <w:rsid w:val="000104E3"/>
    <w:rsid w:val="00010EBA"/>
    <w:rsid w:val="00011065"/>
    <w:rsid w:val="00011572"/>
    <w:rsid w:val="00011793"/>
    <w:rsid w:val="00011F3D"/>
    <w:rsid w:val="00012445"/>
    <w:rsid w:val="00012AEC"/>
    <w:rsid w:val="000131CA"/>
    <w:rsid w:val="000133A3"/>
    <w:rsid w:val="00013A9A"/>
    <w:rsid w:val="00013BCC"/>
    <w:rsid w:val="000141B2"/>
    <w:rsid w:val="00014217"/>
    <w:rsid w:val="000142EB"/>
    <w:rsid w:val="0001436B"/>
    <w:rsid w:val="00014727"/>
    <w:rsid w:val="000158E0"/>
    <w:rsid w:val="00015DD6"/>
    <w:rsid w:val="00015E21"/>
    <w:rsid w:val="0001672F"/>
    <w:rsid w:val="00016FB9"/>
    <w:rsid w:val="000170A6"/>
    <w:rsid w:val="00017225"/>
    <w:rsid w:val="000172B4"/>
    <w:rsid w:val="000204C4"/>
    <w:rsid w:val="00021054"/>
    <w:rsid w:val="0002194F"/>
    <w:rsid w:val="00021FB1"/>
    <w:rsid w:val="00022BE2"/>
    <w:rsid w:val="00023C12"/>
    <w:rsid w:val="00024613"/>
    <w:rsid w:val="00025161"/>
    <w:rsid w:val="000256E9"/>
    <w:rsid w:val="00025F18"/>
    <w:rsid w:val="00026943"/>
    <w:rsid w:val="00030501"/>
    <w:rsid w:val="00030603"/>
    <w:rsid w:val="00031192"/>
    <w:rsid w:val="00031553"/>
    <w:rsid w:val="00031A4C"/>
    <w:rsid w:val="00031C79"/>
    <w:rsid w:val="00031F6F"/>
    <w:rsid w:val="00034BE1"/>
    <w:rsid w:val="000350C8"/>
    <w:rsid w:val="000361AE"/>
    <w:rsid w:val="000367BA"/>
    <w:rsid w:val="00040288"/>
    <w:rsid w:val="0004097C"/>
    <w:rsid w:val="00040C57"/>
    <w:rsid w:val="00040D99"/>
    <w:rsid w:val="00040F9A"/>
    <w:rsid w:val="00041259"/>
    <w:rsid w:val="00041464"/>
    <w:rsid w:val="00041550"/>
    <w:rsid w:val="00041B83"/>
    <w:rsid w:val="00041DFF"/>
    <w:rsid w:val="00042361"/>
    <w:rsid w:val="00042474"/>
    <w:rsid w:val="000431ED"/>
    <w:rsid w:val="00043A68"/>
    <w:rsid w:val="00043C41"/>
    <w:rsid w:val="00044771"/>
    <w:rsid w:val="00044821"/>
    <w:rsid w:val="00044C34"/>
    <w:rsid w:val="0004527A"/>
    <w:rsid w:val="00045500"/>
    <w:rsid w:val="00045564"/>
    <w:rsid w:val="000456DB"/>
    <w:rsid w:val="0004641E"/>
    <w:rsid w:val="000464DA"/>
    <w:rsid w:val="00046B41"/>
    <w:rsid w:val="00046C3C"/>
    <w:rsid w:val="0004715C"/>
    <w:rsid w:val="0004773A"/>
    <w:rsid w:val="00047D81"/>
    <w:rsid w:val="00047F22"/>
    <w:rsid w:val="00047FF0"/>
    <w:rsid w:val="00051BB5"/>
    <w:rsid w:val="00051FCF"/>
    <w:rsid w:val="000524B5"/>
    <w:rsid w:val="00052A87"/>
    <w:rsid w:val="00053150"/>
    <w:rsid w:val="0005396C"/>
    <w:rsid w:val="00053D8B"/>
    <w:rsid w:val="0005548E"/>
    <w:rsid w:val="00055606"/>
    <w:rsid w:val="00056567"/>
    <w:rsid w:val="00056C03"/>
    <w:rsid w:val="000572D7"/>
    <w:rsid w:val="00057557"/>
    <w:rsid w:val="00057FC9"/>
    <w:rsid w:val="00060D52"/>
    <w:rsid w:val="00060E19"/>
    <w:rsid w:val="000615F5"/>
    <w:rsid w:val="00061E83"/>
    <w:rsid w:val="000622A2"/>
    <w:rsid w:val="0006439A"/>
    <w:rsid w:val="00064BD8"/>
    <w:rsid w:val="00064DD3"/>
    <w:rsid w:val="000656D6"/>
    <w:rsid w:val="00065CA1"/>
    <w:rsid w:val="000661AD"/>
    <w:rsid w:val="00066C8D"/>
    <w:rsid w:val="00067BB3"/>
    <w:rsid w:val="00067E41"/>
    <w:rsid w:val="00067E7B"/>
    <w:rsid w:val="000701F7"/>
    <w:rsid w:val="00071109"/>
    <w:rsid w:val="00071554"/>
    <w:rsid w:val="00071F96"/>
    <w:rsid w:val="00072535"/>
    <w:rsid w:val="0007260E"/>
    <w:rsid w:val="00072643"/>
    <w:rsid w:val="0007281D"/>
    <w:rsid w:val="000730FB"/>
    <w:rsid w:val="000732EA"/>
    <w:rsid w:val="00073495"/>
    <w:rsid w:val="000747F6"/>
    <w:rsid w:val="00074A78"/>
    <w:rsid w:val="00075987"/>
    <w:rsid w:val="00076642"/>
    <w:rsid w:val="000768BF"/>
    <w:rsid w:val="00077B9D"/>
    <w:rsid w:val="0008011E"/>
    <w:rsid w:val="000817F4"/>
    <w:rsid w:val="00081A67"/>
    <w:rsid w:val="00081D52"/>
    <w:rsid w:val="00082787"/>
    <w:rsid w:val="000827FD"/>
    <w:rsid w:val="00082CB1"/>
    <w:rsid w:val="00083327"/>
    <w:rsid w:val="000839F5"/>
    <w:rsid w:val="00083A32"/>
    <w:rsid w:val="00083C74"/>
    <w:rsid w:val="00084459"/>
    <w:rsid w:val="000851E4"/>
    <w:rsid w:val="00085F65"/>
    <w:rsid w:val="00086904"/>
    <w:rsid w:val="00087545"/>
    <w:rsid w:val="0008760A"/>
    <w:rsid w:val="00087F97"/>
    <w:rsid w:val="00091212"/>
    <w:rsid w:val="00091573"/>
    <w:rsid w:val="00091DA2"/>
    <w:rsid w:val="000925D8"/>
    <w:rsid w:val="00092BC3"/>
    <w:rsid w:val="00092D9F"/>
    <w:rsid w:val="0009342C"/>
    <w:rsid w:val="00093E53"/>
    <w:rsid w:val="00095846"/>
    <w:rsid w:val="00096407"/>
    <w:rsid w:val="000965F0"/>
    <w:rsid w:val="00096966"/>
    <w:rsid w:val="00096B6B"/>
    <w:rsid w:val="00097653"/>
    <w:rsid w:val="0009769D"/>
    <w:rsid w:val="000976F6"/>
    <w:rsid w:val="00097DC4"/>
    <w:rsid w:val="000A01B7"/>
    <w:rsid w:val="000A0D34"/>
    <w:rsid w:val="000A18AA"/>
    <w:rsid w:val="000A2DED"/>
    <w:rsid w:val="000A3049"/>
    <w:rsid w:val="000A3335"/>
    <w:rsid w:val="000A377F"/>
    <w:rsid w:val="000A3ABC"/>
    <w:rsid w:val="000A3EEB"/>
    <w:rsid w:val="000A4352"/>
    <w:rsid w:val="000A4412"/>
    <w:rsid w:val="000A488B"/>
    <w:rsid w:val="000A4A59"/>
    <w:rsid w:val="000A5520"/>
    <w:rsid w:val="000A5794"/>
    <w:rsid w:val="000A5E9C"/>
    <w:rsid w:val="000A6907"/>
    <w:rsid w:val="000A6C71"/>
    <w:rsid w:val="000A6D6F"/>
    <w:rsid w:val="000A774D"/>
    <w:rsid w:val="000B025D"/>
    <w:rsid w:val="000B06E7"/>
    <w:rsid w:val="000B09AF"/>
    <w:rsid w:val="000B0BCD"/>
    <w:rsid w:val="000B134A"/>
    <w:rsid w:val="000B1A6B"/>
    <w:rsid w:val="000B1D62"/>
    <w:rsid w:val="000B1D77"/>
    <w:rsid w:val="000B1E4F"/>
    <w:rsid w:val="000B24CA"/>
    <w:rsid w:val="000B2595"/>
    <w:rsid w:val="000B2665"/>
    <w:rsid w:val="000B2D8A"/>
    <w:rsid w:val="000B30FD"/>
    <w:rsid w:val="000B3D7E"/>
    <w:rsid w:val="000B4543"/>
    <w:rsid w:val="000B4735"/>
    <w:rsid w:val="000B4793"/>
    <w:rsid w:val="000B4DA7"/>
    <w:rsid w:val="000B5CE3"/>
    <w:rsid w:val="000B5F13"/>
    <w:rsid w:val="000B6380"/>
    <w:rsid w:val="000B6A7E"/>
    <w:rsid w:val="000B6FD9"/>
    <w:rsid w:val="000B7C75"/>
    <w:rsid w:val="000B7CD4"/>
    <w:rsid w:val="000C086E"/>
    <w:rsid w:val="000C0933"/>
    <w:rsid w:val="000C0C52"/>
    <w:rsid w:val="000C16C6"/>
    <w:rsid w:val="000C2404"/>
    <w:rsid w:val="000C249D"/>
    <w:rsid w:val="000C275E"/>
    <w:rsid w:val="000C27DB"/>
    <w:rsid w:val="000C2C7D"/>
    <w:rsid w:val="000C37F0"/>
    <w:rsid w:val="000C3C88"/>
    <w:rsid w:val="000C3FCA"/>
    <w:rsid w:val="000C4658"/>
    <w:rsid w:val="000C4A9B"/>
    <w:rsid w:val="000C4DC3"/>
    <w:rsid w:val="000C5254"/>
    <w:rsid w:val="000C60D8"/>
    <w:rsid w:val="000D083A"/>
    <w:rsid w:val="000D0F24"/>
    <w:rsid w:val="000D15DD"/>
    <w:rsid w:val="000D2016"/>
    <w:rsid w:val="000D25E7"/>
    <w:rsid w:val="000D39FE"/>
    <w:rsid w:val="000D3A7C"/>
    <w:rsid w:val="000D3FAC"/>
    <w:rsid w:val="000D40B9"/>
    <w:rsid w:val="000D4730"/>
    <w:rsid w:val="000D4924"/>
    <w:rsid w:val="000D5929"/>
    <w:rsid w:val="000D5B6E"/>
    <w:rsid w:val="000D5E5F"/>
    <w:rsid w:val="000D6181"/>
    <w:rsid w:val="000D6CB3"/>
    <w:rsid w:val="000D6E17"/>
    <w:rsid w:val="000D70B8"/>
    <w:rsid w:val="000D7C48"/>
    <w:rsid w:val="000E0BBA"/>
    <w:rsid w:val="000E0E5E"/>
    <w:rsid w:val="000E183D"/>
    <w:rsid w:val="000E1BBB"/>
    <w:rsid w:val="000E1F78"/>
    <w:rsid w:val="000E27F1"/>
    <w:rsid w:val="000E2CCD"/>
    <w:rsid w:val="000E313B"/>
    <w:rsid w:val="000E3263"/>
    <w:rsid w:val="000E372F"/>
    <w:rsid w:val="000E3CAB"/>
    <w:rsid w:val="000E4BE9"/>
    <w:rsid w:val="000E5484"/>
    <w:rsid w:val="000E5B77"/>
    <w:rsid w:val="000E6393"/>
    <w:rsid w:val="000E699B"/>
    <w:rsid w:val="000E6E9C"/>
    <w:rsid w:val="000E7275"/>
    <w:rsid w:val="000E7360"/>
    <w:rsid w:val="000E7882"/>
    <w:rsid w:val="000F0968"/>
    <w:rsid w:val="000F1262"/>
    <w:rsid w:val="000F15D1"/>
    <w:rsid w:val="000F22F1"/>
    <w:rsid w:val="000F234C"/>
    <w:rsid w:val="000F3C80"/>
    <w:rsid w:val="000F49B2"/>
    <w:rsid w:val="000F4D59"/>
    <w:rsid w:val="000F4F6F"/>
    <w:rsid w:val="000F72B2"/>
    <w:rsid w:val="000F76C9"/>
    <w:rsid w:val="000F7E3E"/>
    <w:rsid w:val="000F7FE8"/>
    <w:rsid w:val="00100010"/>
    <w:rsid w:val="001007ED"/>
    <w:rsid w:val="00100C52"/>
    <w:rsid w:val="00101AF1"/>
    <w:rsid w:val="00101E39"/>
    <w:rsid w:val="00102482"/>
    <w:rsid w:val="00102535"/>
    <w:rsid w:val="0010263E"/>
    <w:rsid w:val="00102787"/>
    <w:rsid w:val="00102C72"/>
    <w:rsid w:val="0010331E"/>
    <w:rsid w:val="00104392"/>
    <w:rsid w:val="00104468"/>
    <w:rsid w:val="00104510"/>
    <w:rsid w:val="001046DA"/>
    <w:rsid w:val="0010480C"/>
    <w:rsid w:val="00105153"/>
    <w:rsid w:val="00105528"/>
    <w:rsid w:val="00105531"/>
    <w:rsid w:val="00105DEC"/>
    <w:rsid w:val="001062BB"/>
    <w:rsid w:val="00106AB8"/>
    <w:rsid w:val="00106BE7"/>
    <w:rsid w:val="00107C79"/>
    <w:rsid w:val="0011140A"/>
    <w:rsid w:val="001117A9"/>
    <w:rsid w:val="00112F9C"/>
    <w:rsid w:val="0011346D"/>
    <w:rsid w:val="0011398E"/>
    <w:rsid w:val="00113C78"/>
    <w:rsid w:val="00114ACA"/>
    <w:rsid w:val="00114F0E"/>
    <w:rsid w:val="001151E0"/>
    <w:rsid w:val="00115C5C"/>
    <w:rsid w:val="00116042"/>
    <w:rsid w:val="001167BA"/>
    <w:rsid w:val="001170B7"/>
    <w:rsid w:val="001176F6"/>
    <w:rsid w:val="00117ADB"/>
    <w:rsid w:val="00117FE3"/>
    <w:rsid w:val="00120759"/>
    <w:rsid w:val="00120A86"/>
    <w:rsid w:val="00120E9F"/>
    <w:rsid w:val="0012175D"/>
    <w:rsid w:val="00121A6A"/>
    <w:rsid w:val="00121D65"/>
    <w:rsid w:val="00123037"/>
    <w:rsid w:val="001230A2"/>
    <w:rsid w:val="001230DD"/>
    <w:rsid w:val="00123908"/>
    <w:rsid w:val="001243F5"/>
    <w:rsid w:val="00124711"/>
    <w:rsid w:val="00124D6F"/>
    <w:rsid w:val="00125274"/>
    <w:rsid w:val="001258C6"/>
    <w:rsid w:val="00125F8F"/>
    <w:rsid w:val="001272ED"/>
    <w:rsid w:val="001274B2"/>
    <w:rsid w:val="001275BD"/>
    <w:rsid w:val="00127CFA"/>
    <w:rsid w:val="001301BD"/>
    <w:rsid w:val="0013099B"/>
    <w:rsid w:val="00130F90"/>
    <w:rsid w:val="00131023"/>
    <w:rsid w:val="00131367"/>
    <w:rsid w:val="00131430"/>
    <w:rsid w:val="00132B59"/>
    <w:rsid w:val="00133A0D"/>
    <w:rsid w:val="001340F8"/>
    <w:rsid w:val="001343A3"/>
    <w:rsid w:val="001344E9"/>
    <w:rsid w:val="00134A2F"/>
    <w:rsid w:val="00135771"/>
    <w:rsid w:val="0013597C"/>
    <w:rsid w:val="00136632"/>
    <w:rsid w:val="00137273"/>
    <w:rsid w:val="00141600"/>
    <w:rsid w:val="001417FC"/>
    <w:rsid w:val="00141B96"/>
    <w:rsid w:val="00142FDD"/>
    <w:rsid w:val="00144A40"/>
    <w:rsid w:val="001456D0"/>
    <w:rsid w:val="00145BAA"/>
    <w:rsid w:val="00146305"/>
    <w:rsid w:val="001467FA"/>
    <w:rsid w:val="00146ECA"/>
    <w:rsid w:val="0014706C"/>
    <w:rsid w:val="0014736B"/>
    <w:rsid w:val="001475C3"/>
    <w:rsid w:val="00150034"/>
    <w:rsid w:val="001508A5"/>
    <w:rsid w:val="00150AD2"/>
    <w:rsid w:val="00152C79"/>
    <w:rsid w:val="00152CE2"/>
    <w:rsid w:val="00153371"/>
    <w:rsid w:val="001534DB"/>
    <w:rsid w:val="00153E6D"/>
    <w:rsid w:val="00154569"/>
    <w:rsid w:val="001557F0"/>
    <w:rsid w:val="0015582D"/>
    <w:rsid w:val="0015789A"/>
    <w:rsid w:val="00161691"/>
    <w:rsid w:val="001617ED"/>
    <w:rsid w:val="00162CE7"/>
    <w:rsid w:val="00162F96"/>
    <w:rsid w:val="001634F9"/>
    <w:rsid w:val="00163FCE"/>
    <w:rsid w:val="00164CC7"/>
    <w:rsid w:val="00165265"/>
    <w:rsid w:val="0016543E"/>
    <w:rsid w:val="0016621E"/>
    <w:rsid w:val="0016649C"/>
    <w:rsid w:val="00167802"/>
    <w:rsid w:val="00167FAD"/>
    <w:rsid w:val="0017039C"/>
    <w:rsid w:val="001704E8"/>
    <w:rsid w:val="00170E09"/>
    <w:rsid w:val="0017173B"/>
    <w:rsid w:val="00171C44"/>
    <w:rsid w:val="00171FF1"/>
    <w:rsid w:val="0017296D"/>
    <w:rsid w:val="00172B3C"/>
    <w:rsid w:val="00172F44"/>
    <w:rsid w:val="00174034"/>
    <w:rsid w:val="0017532F"/>
    <w:rsid w:val="0017552D"/>
    <w:rsid w:val="00175867"/>
    <w:rsid w:val="0017609D"/>
    <w:rsid w:val="001766F0"/>
    <w:rsid w:val="00176D97"/>
    <w:rsid w:val="001770E6"/>
    <w:rsid w:val="001772AF"/>
    <w:rsid w:val="001777F5"/>
    <w:rsid w:val="00177A4D"/>
    <w:rsid w:val="00177BE2"/>
    <w:rsid w:val="00180872"/>
    <w:rsid w:val="00181D1B"/>
    <w:rsid w:val="0018207C"/>
    <w:rsid w:val="001832FA"/>
    <w:rsid w:val="0018374F"/>
    <w:rsid w:val="001838AF"/>
    <w:rsid w:val="001845B9"/>
    <w:rsid w:val="00185839"/>
    <w:rsid w:val="001859C4"/>
    <w:rsid w:val="00185B5E"/>
    <w:rsid w:val="00185C4C"/>
    <w:rsid w:val="00186502"/>
    <w:rsid w:val="0018669B"/>
    <w:rsid w:val="00186C4C"/>
    <w:rsid w:val="00186D64"/>
    <w:rsid w:val="00186DD5"/>
    <w:rsid w:val="001904DE"/>
    <w:rsid w:val="001907E2"/>
    <w:rsid w:val="00190AE2"/>
    <w:rsid w:val="00190F11"/>
    <w:rsid w:val="001910B3"/>
    <w:rsid w:val="00191E35"/>
    <w:rsid w:val="00193D4F"/>
    <w:rsid w:val="0019405D"/>
    <w:rsid w:val="00194632"/>
    <w:rsid w:val="00195016"/>
    <w:rsid w:val="001961E5"/>
    <w:rsid w:val="001968F3"/>
    <w:rsid w:val="001976D5"/>
    <w:rsid w:val="00197BA9"/>
    <w:rsid w:val="001A0801"/>
    <w:rsid w:val="001A0FBC"/>
    <w:rsid w:val="001A1654"/>
    <w:rsid w:val="001A23C6"/>
    <w:rsid w:val="001A2466"/>
    <w:rsid w:val="001A26B8"/>
    <w:rsid w:val="001A3783"/>
    <w:rsid w:val="001A459C"/>
    <w:rsid w:val="001A4689"/>
    <w:rsid w:val="001A50FD"/>
    <w:rsid w:val="001A597F"/>
    <w:rsid w:val="001A5B68"/>
    <w:rsid w:val="001A5C68"/>
    <w:rsid w:val="001B12C4"/>
    <w:rsid w:val="001B1EC6"/>
    <w:rsid w:val="001B2539"/>
    <w:rsid w:val="001B2866"/>
    <w:rsid w:val="001B2D19"/>
    <w:rsid w:val="001B356F"/>
    <w:rsid w:val="001B3D66"/>
    <w:rsid w:val="001B41E5"/>
    <w:rsid w:val="001B4E04"/>
    <w:rsid w:val="001B4FA3"/>
    <w:rsid w:val="001B5B82"/>
    <w:rsid w:val="001B64A5"/>
    <w:rsid w:val="001B718E"/>
    <w:rsid w:val="001B7A51"/>
    <w:rsid w:val="001C0594"/>
    <w:rsid w:val="001C157B"/>
    <w:rsid w:val="001C346F"/>
    <w:rsid w:val="001C3613"/>
    <w:rsid w:val="001C36F2"/>
    <w:rsid w:val="001C3FFE"/>
    <w:rsid w:val="001C4375"/>
    <w:rsid w:val="001C47BB"/>
    <w:rsid w:val="001C4DC2"/>
    <w:rsid w:val="001C5A16"/>
    <w:rsid w:val="001C5FDC"/>
    <w:rsid w:val="001C6107"/>
    <w:rsid w:val="001C63A3"/>
    <w:rsid w:val="001C6447"/>
    <w:rsid w:val="001C6F9C"/>
    <w:rsid w:val="001C7C8B"/>
    <w:rsid w:val="001D0706"/>
    <w:rsid w:val="001D0F5A"/>
    <w:rsid w:val="001D15C4"/>
    <w:rsid w:val="001D2573"/>
    <w:rsid w:val="001D265A"/>
    <w:rsid w:val="001D2724"/>
    <w:rsid w:val="001D3152"/>
    <w:rsid w:val="001D3875"/>
    <w:rsid w:val="001D4829"/>
    <w:rsid w:val="001D48FB"/>
    <w:rsid w:val="001D4AF9"/>
    <w:rsid w:val="001D4C6B"/>
    <w:rsid w:val="001D54A2"/>
    <w:rsid w:val="001D5AEA"/>
    <w:rsid w:val="001D5D85"/>
    <w:rsid w:val="001D6228"/>
    <w:rsid w:val="001D69AF"/>
    <w:rsid w:val="001D6F6D"/>
    <w:rsid w:val="001D70DC"/>
    <w:rsid w:val="001D725B"/>
    <w:rsid w:val="001E065D"/>
    <w:rsid w:val="001E08F9"/>
    <w:rsid w:val="001E0BB5"/>
    <w:rsid w:val="001E1317"/>
    <w:rsid w:val="001E14DC"/>
    <w:rsid w:val="001E1745"/>
    <w:rsid w:val="001E1B0F"/>
    <w:rsid w:val="001E23D8"/>
    <w:rsid w:val="001E2502"/>
    <w:rsid w:val="001E286D"/>
    <w:rsid w:val="001E2A32"/>
    <w:rsid w:val="001E3399"/>
    <w:rsid w:val="001E3514"/>
    <w:rsid w:val="001E3AF9"/>
    <w:rsid w:val="001E497F"/>
    <w:rsid w:val="001E4C1E"/>
    <w:rsid w:val="001E631D"/>
    <w:rsid w:val="001E7933"/>
    <w:rsid w:val="001F04DA"/>
    <w:rsid w:val="001F2722"/>
    <w:rsid w:val="001F2F50"/>
    <w:rsid w:val="001F3188"/>
    <w:rsid w:val="001F3267"/>
    <w:rsid w:val="001F35C6"/>
    <w:rsid w:val="001F3687"/>
    <w:rsid w:val="001F4954"/>
    <w:rsid w:val="001F6383"/>
    <w:rsid w:val="001F6984"/>
    <w:rsid w:val="001F79AD"/>
    <w:rsid w:val="001F7E4D"/>
    <w:rsid w:val="00200C91"/>
    <w:rsid w:val="00200CC5"/>
    <w:rsid w:val="00200EC4"/>
    <w:rsid w:val="00201352"/>
    <w:rsid w:val="00201487"/>
    <w:rsid w:val="00201708"/>
    <w:rsid w:val="002022C5"/>
    <w:rsid w:val="00203316"/>
    <w:rsid w:val="00203C20"/>
    <w:rsid w:val="00204444"/>
    <w:rsid w:val="00204E5A"/>
    <w:rsid w:val="00205154"/>
    <w:rsid w:val="0020594A"/>
    <w:rsid w:val="0020744D"/>
    <w:rsid w:val="002101B9"/>
    <w:rsid w:val="0021077F"/>
    <w:rsid w:val="00210A63"/>
    <w:rsid w:val="00210A68"/>
    <w:rsid w:val="00210BF2"/>
    <w:rsid w:val="00211070"/>
    <w:rsid w:val="002110C6"/>
    <w:rsid w:val="00211B85"/>
    <w:rsid w:val="002120C1"/>
    <w:rsid w:val="00212BE0"/>
    <w:rsid w:val="00212D80"/>
    <w:rsid w:val="00212DB8"/>
    <w:rsid w:val="00213F00"/>
    <w:rsid w:val="00214984"/>
    <w:rsid w:val="002149B0"/>
    <w:rsid w:val="00214B7B"/>
    <w:rsid w:val="0021546E"/>
    <w:rsid w:val="00215707"/>
    <w:rsid w:val="00215A54"/>
    <w:rsid w:val="00215BB8"/>
    <w:rsid w:val="00215D0E"/>
    <w:rsid w:val="002160A4"/>
    <w:rsid w:val="0021637C"/>
    <w:rsid w:val="002165C7"/>
    <w:rsid w:val="00216F4F"/>
    <w:rsid w:val="00216FA2"/>
    <w:rsid w:val="00217732"/>
    <w:rsid w:val="00217816"/>
    <w:rsid w:val="002202AA"/>
    <w:rsid w:val="002202E5"/>
    <w:rsid w:val="002205CD"/>
    <w:rsid w:val="00220CAE"/>
    <w:rsid w:val="00220F2A"/>
    <w:rsid w:val="00221530"/>
    <w:rsid w:val="00221772"/>
    <w:rsid w:val="00221A31"/>
    <w:rsid w:val="00222CAC"/>
    <w:rsid w:val="00223296"/>
    <w:rsid w:val="002244B2"/>
    <w:rsid w:val="0022475B"/>
    <w:rsid w:val="0022627D"/>
    <w:rsid w:val="00226643"/>
    <w:rsid w:val="00227E2B"/>
    <w:rsid w:val="002311B0"/>
    <w:rsid w:val="00231CFA"/>
    <w:rsid w:val="00231DA2"/>
    <w:rsid w:val="00231F53"/>
    <w:rsid w:val="002320B4"/>
    <w:rsid w:val="00233118"/>
    <w:rsid w:val="00233126"/>
    <w:rsid w:val="00233757"/>
    <w:rsid w:val="002337B2"/>
    <w:rsid w:val="00234216"/>
    <w:rsid w:val="002363EE"/>
    <w:rsid w:val="0023775A"/>
    <w:rsid w:val="00241A61"/>
    <w:rsid w:val="0024202A"/>
    <w:rsid w:val="00242229"/>
    <w:rsid w:val="00242566"/>
    <w:rsid w:val="00242764"/>
    <w:rsid w:val="00242C22"/>
    <w:rsid w:val="002432D2"/>
    <w:rsid w:val="00243485"/>
    <w:rsid w:val="0024355B"/>
    <w:rsid w:val="00243600"/>
    <w:rsid w:val="00245266"/>
    <w:rsid w:val="002452F9"/>
    <w:rsid w:val="002452FD"/>
    <w:rsid w:val="002461C1"/>
    <w:rsid w:val="002465F2"/>
    <w:rsid w:val="00247330"/>
    <w:rsid w:val="00250217"/>
    <w:rsid w:val="00251309"/>
    <w:rsid w:val="00251B06"/>
    <w:rsid w:val="00252C48"/>
    <w:rsid w:val="002541DB"/>
    <w:rsid w:val="00255116"/>
    <w:rsid w:val="00255675"/>
    <w:rsid w:val="00257B68"/>
    <w:rsid w:val="002601A5"/>
    <w:rsid w:val="00261733"/>
    <w:rsid w:val="00261BDF"/>
    <w:rsid w:val="00263D3B"/>
    <w:rsid w:val="00263E10"/>
    <w:rsid w:val="002641A4"/>
    <w:rsid w:val="0026424A"/>
    <w:rsid w:val="00264259"/>
    <w:rsid w:val="00264776"/>
    <w:rsid w:val="00264B54"/>
    <w:rsid w:val="00264E9E"/>
    <w:rsid w:val="00265862"/>
    <w:rsid w:val="002661C2"/>
    <w:rsid w:val="00266776"/>
    <w:rsid w:val="00266B59"/>
    <w:rsid w:val="00266C51"/>
    <w:rsid w:val="0026724A"/>
    <w:rsid w:val="002675E2"/>
    <w:rsid w:val="00270B7F"/>
    <w:rsid w:val="002719FB"/>
    <w:rsid w:val="00271A8A"/>
    <w:rsid w:val="00272199"/>
    <w:rsid w:val="002724D9"/>
    <w:rsid w:val="00272619"/>
    <w:rsid w:val="00272B95"/>
    <w:rsid w:val="00272E60"/>
    <w:rsid w:val="0027336B"/>
    <w:rsid w:val="002733A2"/>
    <w:rsid w:val="00273A85"/>
    <w:rsid w:val="00273CD0"/>
    <w:rsid w:val="00273F7E"/>
    <w:rsid w:val="0027424E"/>
    <w:rsid w:val="0027492A"/>
    <w:rsid w:val="00275E57"/>
    <w:rsid w:val="0027639C"/>
    <w:rsid w:val="00276B5D"/>
    <w:rsid w:val="002773D2"/>
    <w:rsid w:val="0027797C"/>
    <w:rsid w:val="0028071A"/>
    <w:rsid w:val="00282181"/>
    <w:rsid w:val="0028225F"/>
    <w:rsid w:val="00282C25"/>
    <w:rsid w:val="00283987"/>
    <w:rsid w:val="00283C2F"/>
    <w:rsid w:val="00284BFA"/>
    <w:rsid w:val="00285B53"/>
    <w:rsid w:val="00286C35"/>
    <w:rsid w:val="00286C37"/>
    <w:rsid w:val="00286ED7"/>
    <w:rsid w:val="00286EF1"/>
    <w:rsid w:val="00287240"/>
    <w:rsid w:val="00290CEE"/>
    <w:rsid w:val="00290FE0"/>
    <w:rsid w:val="002912FE"/>
    <w:rsid w:val="002920AC"/>
    <w:rsid w:val="002924DD"/>
    <w:rsid w:val="00292833"/>
    <w:rsid w:val="0029291A"/>
    <w:rsid w:val="0029350B"/>
    <w:rsid w:val="00293537"/>
    <w:rsid w:val="00293A93"/>
    <w:rsid w:val="0029421D"/>
    <w:rsid w:val="002944DE"/>
    <w:rsid w:val="00294511"/>
    <w:rsid w:val="0029476D"/>
    <w:rsid w:val="00294A56"/>
    <w:rsid w:val="00295591"/>
    <w:rsid w:val="002955CB"/>
    <w:rsid w:val="00295A4F"/>
    <w:rsid w:val="00295F00"/>
    <w:rsid w:val="002963C2"/>
    <w:rsid w:val="00296A23"/>
    <w:rsid w:val="00296C69"/>
    <w:rsid w:val="00297CF1"/>
    <w:rsid w:val="00297FD5"/>
    <w:rsid w:val="002A007F"/>
    <w:rsid w:val="002A0388"/>
    <w:rsid w:val="002A05D6"/>
    <w:rsid w:val="002A16D9"/>
    <w:rsid w:val="002A1C7B"/>
    <w:rsid w:val="002A1CB7"/>
    <w:rsid w:val="002A345A"/>
    <w:rsid w:val="002A48C8"/>
    <w:rsid w:val="002A5BB2"/>
    <w:rsid w:val="002A6D51"/>
    <w:rsid w:val="002A6D8E"/>
    <w:rsid w:val="002B09CA"/>
    <w:rsid w:val="002B0EE7"/>
    <w:rsid w:val="002B166C"/>
    <w:rsid w:val="002B2611"/>
    <w:rsid w:val="002B27D5"/>
    <w:rsid w:val="002B2916"/>
    <w:rsid w:val="002B357B"/>
    <w:rsid w:val="002B378D"/>
    <w:rsid w:val="002B3BB4"/>
    <w:rsid w:val="002B49CF"/>
    <w:rsid w:val="002B50F7"/>
    <w:rsid w:val="002B6464"/>
    <w:rsid w:val="002B6A81"/>
    <w:rsid w:val="002B70CF"/>
    <w:rsid w:val="002B715A"/>
    <w:rsid w:val="002B73A2"/>
    <w:rsid w:val="002B79D9"/>
    <w:rsid w:val="002B7DC7"/>
    <w:rsid w:val="002C0F0D"/>
    <w:rsid w:val="002C28E0"/>
    <w:rsid w:val="002C29CB"/>
    <w:rsid w:val="002C2A1D"/>
    <w:rsid w:val="002C2AE4"/>
    <w:rsid w:val="002C2B6C"/>
    <w:rsid w:val="002C367D"/>
    <w:rsid w:val="002C3ADF"/>
    <w:rsid w:val="002C4333"/>
    <w:rsid w:val="002C52AB"/>
    <w:rsid w:val="002C65D4"/>
    <w:rsid w:val="002C68E7"/>
    <w:rsid w:val="002C779A"/>
    <w:rsid w:val="002D11F6"/>
    <w:rsid w:val="002D1E00"/>
    <w:rsid w:val="002D2D4B"/>
    <w:rsid w:val="002D2DB8"/>
    <w:rsid w:val="002D34A5"/>
    <w:rsid w:val="002D3819"/>
    <w:rsid w:val="002D399D"/>
    <w:rsid w:val="002D3D43"/>
    <w:rsid w:val="002D6501"/>
    <w:rsid w:val="002D66F2"/>
    <w:rsid w:val="002D702E"/>
    <w:rsid w:val="002D7636"/>
    <w:rsid w:val="002E0038"/>
    <w:rsid w:val="002E0C7A"/>
    <w:rsid w:val="002E1771"/>
    <w:rsid w:val="002E1B66"/>
    <w:rsid w:val="002E2088"/>
    <w:rsid w:val="002E3CC2"/>
    <w:rsid w:val="002E3FC3"/>
    <w:rsid w:val="002E470A"/>
    <w:rsid w:val="002E4C52"/>
    <w:rsid w:val="002E5FEB"/>
    <w:rsid w:val="002E60F1"/>
    <w:rsid w:val="002E6238"/>
    <w:rsid w:val="002E62D6"/>
    <w:rsid w:val="002E6828"/>
    <w:rsid w:val="002E6E05"/>
    <w:rsid w:val="002E6EFD"/>
    <w:rsid w:val="002E753B"/>
    <w:rsid w:val="002E7C79"/>
    <w:rsid w:val="002F0CAB"/>
    <w:rsid w:val="002F0D63"/>
    <w:rsid w:val="002F1498"/>
    <w:rsid w:val="002F1C15"/>
    <w:rsid w:val="002F1EB1"/>
    <w:rsid w:val="002F1FD6"/>
    <w:rsid w:val="002F208F"/>
    <w:rsid w:val="002F2207"/>
    <w:rsid w:val="002F22FB"/>
    <w:rsid w:val="002F4BE9"/>
    <w:rsid w:val="002F4D00"/>
    <w:rsid w:val="002F5F2E"/>
    <w:rsid w:val="002F64DE"/>
    <w:rsid w:val="002F6FC9"/>
    <w:rsid w:val="0030015B"/>
    <w:rsid w:val="0030028F"/>
    <w:rsid w:val="0030099C"/>
    <w:rsid w:val="00301381"/>
    <w:rsid w:val="00301629"/>
    <w:rsid w:val="0030164A"/>
    <w:rsid w:val="00301D63"/>
    <w:rsid w:val="00301F53"/>
    <w:rsid w:val="003028D6"/>
    <w:rsid w:val="00303D7C"/>
    <w:rsid w:val="00304797"/>
    <w:rsid w:val="00305899"/>
    <w:rsid w:val="00306481"/>
    <w:rsid w:val="00307A4A"/>
    <w:rsid w:val="00307A91"/>
    <w:rsid w:val="00307F56"/>
    <w:rsid w:val="0031054D"/>
    <w:rsid w:val="00310EE4"/>
    <w:rsid w:val="00311018"/>
    <w:rsid w:val="0031120E"/>
    <w:rsid w:val="00311D8D"/>
    <w:rsid w:val="00311FB1"/>
    <w:rsid w:val="00312B1E"/>
    <w:rsid w:val="00312B8D"/>
    <w:rsid w:val="0031337D"/>
    <w:rsid w:val="00313643"/>
    <w:rsid w:val="0031375D"/>
    <w:rsid w:val="00314C78"/>
    <w:rsid w:val="00314FEC"/>
    <w:rsid w:val="00315239"/>
    <w:rsid w:val="00315DE4"/>
    <w:rsid w:val="00315EC7"/>
    <w:rsid w:val="00316117"/>
    <w:rsid w:val="0032025A"/>
    <w:rsid w:val="0032026E"/>
    <w:rsid w:val="00320337"/>
    <w:rsid w:val="00320A20"/>
    <w:rsid w:val="003216A6"/>
    <w:rsid w:val="003216DF"/>
    <w:rsid w:val="00321CB1"/>
    <w:rsid w:val="00321D41"/>
    <w:rsid w:val="00322C71"/>
    <w:rsid w:val="00322FD5"/>
    <w:rsid w:val="0032317D"/>
    <w:rsid w:val="00323370"/>
    <w:rsid w:val="00323408"/>
    <w:rsid w:val="0032387A"/>
    <w:rsid w:val="0032540D"/>
    <w:rsid w:val="00325627"/>
    <w:rsid w:val="00326278"/>
    <w:rsid w:val="003265AA"/>
    <w:rsid w:val="003268A9"/>
    <w:rsid w:val="00330074"/>
    <w:rsid w:val="00330337"/>
    <w:rsid w:val="003315CB"/>
    <w:rsid w:val="0033202D"/>
    <w:rsid w:val="0033203B"/>
    <w:rsid w:val="0033272E"/>
    <w:rsid w:val="003329AD"/>
    <w:rsid w:val="0033313B"/>
    <w:rsid w:val="00333229"/>
    <w:rsid w:val="0033362A"/>
    <w:rsid w:val="003336C4"/>
    <w:rsid w:val="00333B3A"/>
    <w:rsid w:val="00334820"/>
    <w:rsid w:val="00334863"/>
    <w:rsid w:val="00334C2E"/>
    <w:rsid w:val="00335777"/>
    <w:rsid w:val="003358A6"/>
    <w:rsid w:val="00335938"/>
    <w:rsid w:val="00335DBD"/>
    <w:rsid w:val="00336131"/>
    <w:rsid w:val="00336BBC"/>
    <w:rsid w:val="00337128"/>
    <w:rsid w:val="003372DF"/>
    <w:rsid w:val="0033733A"/>
    <w:rsid w:val="00337A15"/>
    <w:rsid w:val="0034002A"/>
    <w:rsid w:val="00340426"/>
    <w:rsid w:val="003409AA"/>
    <w:rsid w:val="00340B2E"/>
    <w:rsid w:val="00340C59"/>
    <w:rsid w:val="003417FB"/>
    <w:rsid w:val="00342402"/>
    <w:rsid w:val="00343894"/>
    <w:rsid w:val="00344B58"/>
    <w:rsid w:val="00344D57"/>
    <w:rsid w:val="003450D5"/>
    <w:rsid w:val="00345411"/>
    <w:rsid w:val="0034582A"/>
    <w:rsid w:val="0034587A"/>
    <w:rsid w:val="00345EC1"/>
    <w:rsid w:val="00346D27"/>
    <w:rsid w:val="0035064A"/>
    <w:rsid w:val="00350777"/>
    <w:rsid w:val="00350D12"/>
    <w:rsid w:val="00350D29"/>
    <w:rsid w:val="00351045"/>
    <w:rsid w:val="0035135B"/>
    <w:rsid w:val="00351B45"/>
    <w:rsid w:val="0035282D"/>
    <w:rsid w:val="00353015"/>
    <w:rsid w:val="003536C1"/>
    <w:rsid w:val="0035377F"/>
    <w:rsid w:val="003555C5"/>
    <w:rsid w:val="00355ACF"/>
    <w:rsid w:val="00356119"/>
    <w:rsid w:val="00356572"/>
    <w:rsid w:val="00356FD6"/>
    <w:rsid w:val="00357467"/>
    <w:rsid w:val="00357A46"/>
    <w:rsid w:val="00357BFA"/>
    <w:rsid w:val="00357EDC"/>
    <w:rsid w:val="003603CB"/>
    <w:rsid w:val="00360914"/>
    <w:rsid w:val="00361511"/>
    <w:rsid w:val="00361ADE"/>
    <w:rsid w:val="00362397"/>
    <w:rsid w:val="0036272C"/>
    <w:rsid w:val="00362FAD"/>
    <w:rsid w:val="00363359"/>
    <w:rsid w:val="003639E8"/>
    <w:rsid w:val="003640BD"/>
    <w:rsid w:val="003648A4"/>
    <w:rsid w:val="00365BD8"/>
    <w:rsid w:val="00367712"/>
    <w:rsid w:val="00367BAA"/>
    <w:rsid w:val="003708AC"/>
    <w:rsid w:val="0037150B"/>
    <w:rsid w:val="00371529"/>
    <w:rsid w:val="003721D1"/>
    <w:rsid w:val="003730F9"/>
    <w:rsid w:val="00373369"/>
    <w:rsid w:val="003736BB"/>
    <w:rsid w:val="0037382C"/>
    <w:rsid w:val="00373F85"/>
    <w:rsid w:val="00374808"/>
    <w:rsid w:val="003748FF"/>
    <w:rsid w:val="0037512B"/>
    <w:rsid w:val="00375199"/>
    <w:rsid w:val="00375748"/>
    <w:rsid w:val="00376418"/>
    <w:rsid w:val="00376CCC"/>
    <w:rsid w:val="00377261"/>
    <w:rsid w:val="00377366"/>
    <w:rsid w:val="00377C3E"/>
    <w:rsid w:val="00377CF8"/>
    <w:rsid w:val="00382217"/>
    <w:rsid w:val="00383230"/>
    <w:rsid w:val="00383907"/>
    <w:rsid w:val="00383BD7"/>
    <w:rsid w:val="003840B7"/>
    <w:rsid w:val="0038456A"/>
    <w:rsid w:val="00384814"/>
    <w:rsid w:val="00385417"/>
    <w:rsid w:val="003855E3"/>
    <w:rsid w:val="003856FB"/>
    <w:rsid w:val="00386BCE"/>
    <w:rsid w:val="00387422"/>
    <w:rsid w:val="003878DF"/>
    <w:rsid w:val="00387C7E"/>
    <w:rsid w:val="00387FDC"/>
    <w:rsid w:val="00390E11"/>
    <w:rsid w:val="003912FB"/>
    <w:rsid w:val="00392A94"/>
    <w:rsid w:val="003944B2"/>
    <w:rsid w:val="003959AA"/>
    <w:rsid w:val="00395B57"/>
    <w:rsid w:val="00395FFB"/>
    <w:rsid w:val="0039653E"/>
    <w:rsid w:val="00396573"/>
    <w:rsid w:val="00396B3F"/>
    <w:rsid w:val="00396D13"/>
    <w:rsid w:val="00396EFD"/>
    <w:rsid w:val="003A0520"/>
    <w:rsid w:val="003A08A7"/>
    <w:rsid w:val="003A0D1B"/>
    <w:rsid w:val="003A0FB1"/>
    <w:rsid w:val="003A14AA"/>
    <w:rsid w:val="003A240B"/>
    <w:rsid w:val="003A28C8"/>
    <w:rsid w:val="003A2E66"/>
    <w:rsid w:val="003A34B1"/>
    <w:rsid w:val="003A37B1"/>
    <w:rsid w:val="003A3E6C"/>
    <w:rsid w:val="003A3ECE"/>
    <w:rsid w:val="003A491B"/>
    <w:rsid w:val="003A4FA4"/>
    <w:rsid w:val="003A564E"/>
    <w:rsid w:val="003A6B92"/>
    <w:rsid w:val="003A6BA4"/>
    <w:rsid w:val="003A7169"/>
    <w:rsid w:val="003A7D84"/>
    <w:rsid w:val="003B02B0"/>
    <w:rsid w:val="003B0617"/>
    <w:rsid w:val="003B063B"/>
    <w:rsid w:val="003B071E"/>
    <w:rsid w:val="003B0F15"/>
    <w:rsid w:val="003B19C5"/>
    <w:rsid w:val="003B206C"/>
    <w:rsid w:val="003B209E"/>
    <w:rsid w:val="003B324D"/>
    <w:rsid w:val="003B3387"/>
    <w:rsid w:val="003B3670"/>
    <w:rsid w:val="003B4073"/>
    <w:rsid w:val="003B4863"/>
    <w:rsid w:val="003B4F4A"/>
    <w:rsid w:val="003B4F7C"/>
    <w:rsid w:val="003B4FF8"/>
    <w:rsid w:val="003B57F4"/>
    <w:rsid w:val="003B5B65"/>
    <w:rsid w:val="003B62BA"/>
    <w:rsid w:val="003B66D3"/>
    <w:rsid w:val="003B6B09"/>
    <w:rsid w:val="003B6BE7"/>
    <w:rsid w:val="003B6FF3"/>
    <w:rsid w:val="003B788D"/>
    <w:rsid w:val="003B78C7"/>
    <w:rsid w:val="003B7AC2"/>
    <w:rsid w:val="003B7C7F"/>
    <w:rsid w:val="003B7CAB"/>
    <w:rsid w:val="003B7E92"/>
    <w:rsid w:val="003C023E"/>
    <w:rsid w:val="003C0452"/>
    <w:rsid w:val="003C05E9"/>
    <w:rsid w:val="003C0FB5"/>
    <w:rsid w:val="003C10C5"/>
    <w:rsid w:val="003C1597"/>
    <w:rsid w:val="003C19E8"/>
    <w:rsid w:val="003C2454"/>
    <w:rsid w:val="003C2D3A"/>
    <w:rsid w:val="003C36F5"/>
    <w:rsid w:val="003C4AB2"/>
    <w:rsid w:val="003C4EAB"/>
    <w:rsid w:val="003C6176"/>
    <w:rsid w:val="003C6447"/>
    <w:rsid w:val="003C6B69"/>
    <w:rsid w:val="003C7DAE"/>
    <w:rsid w:val="003D01A2"/>
    <w:rsid w:val="003D04C7"/>
    <w:rsid w:val="003D08AD"/>
    <w:rsid w:val="003D0C0D"/>
    <w:rsid w:val="003D10AB"/>
    <w:rsid w:val="003D165C"/>
    <w:rsid w:val="003D16F8"/>
    <w:rsid w:val="003D20D1"/>
    <w:rsid w:val="003D22FA"/>
    <w:rsid w:val="003D2401"/>
    <w:rsid w:val="003D280C"/>
    <w:rsid w:val="003D3590"/>
    <w:rsid w:val="003D36A9"/>
    <w:rsid w:val="003D4233"/>
    <w:rsid w:val="003D4CC7"/>
    <w:rsid w:val="003D56F7"/>
    <w:rsid w:val="003D5AF4"/>
    <w:rsid w:val="003D6512"/>
    <w:rsid w:val="003D6766"/>
    <w:rsid w:val="003D687E"/>
    <w:rsid w:val="003D7A9F"/>
    <w:rsid w:val="003D7C9C"/>
    <w:rsid w:val="003E02BA"/>
    <w:rsid w:val="003E25DF"/>
    <w:rsid w:val="003E45E8"/>
    <w:rsid w:val="003E482C"/>
    <w:rsid w:val="003E54B6"/>
    <w:rsid w:val="003E5764"/>
    <w:rsid w:val="003E6079"/>
    <w:rsid w:val="003E60C4"/>
    <w:rsid w:val="003E66E1"/>
    <w:rsid w:val="003E6CD2"/>
    <w:rsid w:val="003E6E9A"/>
    <w:rsid w:val="003E6EE2"/>
    <w:rsid w:val="003E6F54"/>
    <w:rsid w:val="003E7556"/>
    <w:rsid w:val="003E7FC9"/>
    <w:rsid w:val="003F0468"/>
    <w:rsid w:val="003F1A58"/>
    <w:rsid w:val="003F1B62"/>
    <w:rsid w:val="003F22AA"/>
    <w:rsid w:val="003F30B1"/>
    <w:rsid w:val="003F35EC"/>
    <w:rsid w:val="003F368E"/>
    <w:rsid w:val="003F38E5"/>
    <w:rsid w:val="003F3B00"/>
    <w:rsid w:val="003F3E35"/>
    <w:rsid w:val="003F43E7"/>
    <w:rsid w:val="003F4824"/>
    <w:rsid w:val="003F4AD3"/>
    <w:rsid w:val="003F505A"/>
    <w:rsid w:val="003F520A"/>
    <w:rsid w:val="003F5661"/>
    <w:rsid w:val="003F5C50"/>
    <w:rsid w:val="003F5DDA"/>
    <w:rsid w:val="003F794E"/>
    <w:rsid w:val="003F7B21"/>
    <w:rsid w:val="004009E9"/>
    <w:rsid w:val="004014B9"/>
    <w:rsid w:val="0040152F"/>
    <w:rsid w:val="00402260"/>
    <w:rsid w:val="00402641"/>
    <w:rsid w:val="00402A46"/>
    <w:rsid w:val="0040328F"/>
    <w:rsid w:val="004038C1"/>
    <w:rsid w:val="004048C6"/>
    <w:rsid w:val="00404C28"/>
    <w:rsid w:val="004054D0"/>
    <w:rsid w:val="00405512"/>
    <w:rsid w:val="0040554F"/>
    <w:rsid w:val="00405D38"/>
    <w:rsid w:val="00406406"/>
    <w:rsid w:val="0040711C"/>
    <w:rsid w:val="0040765D"/>
    <w:rsid w:val="00407932"/>
    <w:rsid w:val="00407BE2"/>
    <w:rsid w:val="00407D9D"/>
    <w:rsid w:val="00407E5B"/>
    <w:rsid w:val="0041028D"/>
    <w:rsid w:val="004103F1"/>
    <w:rsid w:val="00410BF5"/>
    <w:rsid w:val="00410DFE"/>
    <w:rsid w:val="00410FF7"/>
    <w:rsid w:val="004117CF"/>
    <w:rsid w:val="004118F9"/>
    <w:rsid w:val="004123E4"/>
    <w:rsid w:val="00413702"/>
    <w:rsid w:val="0041445E"/>
    <w:rsid w:val="00414603"/>
    <w:rsid w:val="00414EAA"/>
    <w:rsid w:val="00415809"/>
    <w:rsid w:val="00415EE9"/>
    <w:rsid w:val="004163FA"/>
    <w:rsid w:val="00416AB8"/>
    <w:rsid w:val="00417871"/>
    <w:rsid w:val="0042013B"/>
    <w:rsid w:val="0042022D"/>
    <w:rsid w:val="00420C84"/>
    <w:rsid w:val="004212A8"/>
    <w:rsid w:val="0042160D"/>
    <w:rsid w:val="00421D79"/>
    <w:rsid w:val="00422A74"/>
    <w:rsid w:val="00422B97"/>
    <w:rsid w:val="00423873"/>
    <w:rsid w:val="00423B04"/>
    <w:rsid w:val="00423CA0"/>
    <w:rsid w:val="00424A7F"/>
    <w:rsid w:val="00425EAD"/>
    <w:rsid w:val="0042685B"/>
    <w:rsid w:val="00426DC5"/>
    <w:rsid w:val="004307EF"/>
    <w:rsid w:val="004308F1"/>
    <w:rsid w:val="00431177"/>
    <w:rsid w:val="004316BD"/>
    <w:rsid w:val="00431BA4"/>
    <w:rsid w:val="00432CC2"/>
    <w:rsid w:val="00432D74"/>
    <w:rsid w:val="00433A49"/>
    <w:rsid w:val="0043596B"/>
    <w:rsid w:val="00435C44"/>
    <w:rsid w:val="00435D99"/>
    <w:rsid w:val="004360A1"/>
    <w:rsid w:val="004361A0"/>
    <w:rsid w:val="00436272"/>
    <w:rsid w:val="004363AA"/>
    <w:rsid w:val="00437F86"/>
    <w:rsid w:val="004410F5"/>
    <w:rsid w:val="0044138B"/>
    <w:rsid w:val="00441456"/>
    <w:rsid w:val="00442115"/>
    <w:rsid w:val="00442238"/>
    <w:rsid w:val="004427C5"/>
    <w:rsid w:val="004430C2"/>
    <w:rsid w:val="00445246"/>
    <w:rsid w:val="00445801"/>
    <w:rsid w:val="00450638"/>
    <w:rsid w:val="00451182"/>
    <w:rsid w:val="004516D9"/>
    <w:rsid w:val="00452A60"/>
    <w:rsid w:val="00452B98"/>
    <w:rsid w:val="00452BD4"/>
    <w:rsid w:val="00453179"/>
    <w:rsid w:val="0045340D"/>
    <w:rsid w:val="00453738"/>
    <w:rsid w:val="00453A4C"/>
    <w:rsid w:val="00454F34"/>
    <w:rsid w:val="00455949"/>
    <w:rsid w:val="0045594B"/>
    <w:rsid w:val="00455C94"/>
    <w:rsid w:val="004569AF"/>
    <w:rsid w:val="00457687"/>
    <w:rsid w:val="00457C29"/>
    <w:rsid w:val="00457D76"/>
    <w:rsid w:val="00457F5F"/>
    <w:rsid w:val="00460076"/>
    <w:rsid w:val="0046100B"/>
    <w:rsid w:val="0046199C"/>
    <w:rsid w:val="004619DA"/>
    <w:rsid w:val="004624B7"/>
    <w:rsid w:val="00463B2A"/>
    <w:rsid w:val="00463EC5"/>
    <w:rsid w:val="00463EDF"/>
    <w:rsid w:val="0046404B"/>
    <w:rsid w:val="00464223"/>
    <w:rsid w:val="00464FBC"/>
    <w:rsid w:val="004652F6"/>
    <w:rsid w:val="00465309"/>
    <w:rsid w:val="00465722"/>
    <w:rsid w:val="00466B44"/>
    <w:rsid w:val="00466F0A"/>
    <w:rsid w:val="0046721B"/>
    <w:rsid w:val="0046796C"/>
    <w:rsid w:val="00467A88"/>
    <w:rsid w:val="00467F87"/>
    <w:rsid w:val="0047027E"/>
    <w:rsid w:val="004708EF"/>
    <w:rsid w:val="00470E47"/>
    <w:rsid w:val="004716EA"/>
    <w:rsid w:val="00472072"/>
    <w:rsid w:val="0047210C"/>
    <w:rsid w:val="00472420"/>
    <w:rsid w:val="004727DC"/>
    <w:rsid w:val="00474AFD"/>
    <w:rsid w:val="0047516A"/>
    <w:rsid w:val="00475788"/>
    <w:rsid w:val="00475943"/>
    <w:rsid w:val="00475A2C"/>
    <w:rsid w:val="004761A5"/>
    <w:rsid w:val="00476845"/>
    <w:rsid w:val="004768A4"/>
    <w:rsid w:val="00476975"/>
    <w:rsid w:val="00477035"/>
    <w:rsid w:val="00477A0C"/>
    <w:rsid w:val="004800E1"/>
    <w:rsid w:val="004801A2"/>
    <w:rsid w:val="00480A47"/>
    <w:rsid w:val="004811AF"/>
    <w:rsid w:val="0048121D"/>
    <w:rsid w:val="0048170D"/>
    <w:rsid w:val="00482060"/>
    <w:rsid w:val="00483E9F"/>
    <w:rsid w:val="004841E5"/>
    <w:rsid w:val="004849B5"/>
    <w:rsid w:val="0048598A"/>
    <w:rsid w:val="00486628"/>
    <w:rsid w:val="00486DEF"/>
    <w:rsid w:val="00486E35"/>
    <w:rsid w:val="004872E5"/>
    <w:rsid w:val="004900A1"/>
    <w:rsid w:val="0049023F"/>
    <w:rsid w:val="0049036A"/>
    <w:rsid w:val="00490B3D"/>
    <w:rsid w:val="00490CC9"/>
    <w:rsid w:val="00490FAD"/>
    <w:rsid w:val="00491514"/>
    <w:rsid w:val="0049234F"/>
    <w:rsid w:val="004927C7"/>
    <w:rsid w:val="0049286A"/>
    <w:rsid w:val="004929DC"/>
    <w:rsid w:val="00492CC8"/>
    <w:rsid w:val="00492FFB"/>
    <w:rsid w:val="004931CD"/>
    <w:rsid w:val="004934BC"/>
    <w:rsid w:val="00493AB8"/>
    <w:rsid w:val="00493C02"/>
    <w:rsid w:val="00493FAB"/>
    <w:rsid w:val="004959A3"/>
    <w:rsid w:val="00496B7F"/>
    <w:rsid w:val="00496E2B"/>
    <w:rsid w:val="0049745C"/>
    <w:rsid w:val="004974E2"/>
    <w:rsid w:val="00497CAB"/>
    <w:rsid w:val="00497FA2"/>
    <w:rsid w:val="004A0EBF"/>
    <w:rsid w:val="004A1BA6"/>
    <w:rsid w:val="004A3C9A"/>
    <w:rsid w:val="004A41AE"/>
    <w:rsid w:val="004A5758"/>
    <w:rsid w:val="004A595D"/>
    <w:rsid w:val="004A66B5"/>
    <w:rsid w:val="004A699D"/>
    <w:rsid w:val="004A7096"/>
    <w:rsid w:val="004A7461"/>
    <w:rsid w:val="004A7B8A"/>
    <w:rsid w:val="004B0400"/>
    <w:rsid w:val="004B05B1"/>
    <w:rsid w:val="004B0604"/>
    <w:rsid w:val="004B0C33"/>
    <w:rsid w:val="004B18E1"/>
    <w:rsid w:val="004B1E7A"/>
    <w:rsid w:val="004B2509"/>
    <w:rsid w:val="004B2AAF"/>
    <w:rsid w:val="004B2EB2"/>
    <w:rsid w:val="004B586D"/>
    <w:rsid w:val="004B5A74"/>
    <w:rsid w:val="004B5ED1"/>
    <w:rsid w:val="004B63D8"/>
    <w:rsid w:val="004B67D4"/>
    <w:rsid w:val="004B7212"/>
    <w:rsid w:val="004B7DDA"/>
    <w:rsid w:val="004C0354"/>
    <w:rsid w:val="004C13B2"/>
    <w:rsid w:val="004C15E6"/>
    <w:rsid w:val="004C16B3"/>
    <w:rsid w:val="004C1C65"/>
    <w:rsid w:val="004C1E8B"/>
    <w:rsid w:val="004C2394"/>
    <w:rsid w:val="004C2735"/>
    <w:rsid w:val="004C3221"/>
    <w:rsid w:val="004C34B6"/>
    <w:rsid w:val="004C3810"/>
    <w:rsid w:val="004C4E14"/>
    <w:rsid w:val="004C6735"/>
    <w:rsid w:val="004C6A56"/>
    <w:rsid w:val="004C6F1D"/>
    <w:rsid w:val="004C7427"/>
    <w:rsid w:val="004C7ABE"/>
    <w:rsid w:val="004C7D11"/>
    <w:rsid w:val="004D0128"/>
    <w:rsid w:val="004D1077"/>
    <w:rsid w:val="004D1871"/>
    <w:rsid w:val="004D19D8"/>
    <w:rsid w:val="004D2BAE"/>
    <w:rsid w:val="004D2DB0"/>
    <w:rsid w:val="004D2E4C"/>
    <w:rsid w:val="004D33CB"/>
    <w:rsid w:val="004D3846"/>
    <w:rsid w:val="004D3F22"/>
    <w:rsid w:val="004D5388"/>
    <w:rsid w:val="004D577E"/>
    <w:rsid w:val="004D73CA"/>
    <w:rsid w:val="004D7E1E"/>
    <w:rsid w:val="004E0572"/>
    <w:rsid w:val="004E058A"/>
    <w:rsid w:val="004E11BE"/>
    <w:rsid w:val="004E1CB0"/>
    <w:rsid w:val="004E2A49"/>
    <w:rsid w:val="004E2D20"/>
    <w:rsid w:val="004E3058"/>
    <w:rsid w:val="004E346A"/>
    <w:rsid w:val="004E3529"/>
    <w:rsid w:val="004E3A51"/>
    <w:rsid w:val="004E3BC1"/>
    <w:rsid w:val="004E3CAE"/>
    <w:rsid w:val="004E3D24"/>
    <w:rsid w:val="004E43FD"/>
    <w:rsid w:val="004E4BC9"/>
    <w:rsid w:val="004E5343"/>
    <w:rsid w:val="004E5616"/>
    <w:rsid w:val="004E56B6"/>
    <w:rsid w:val="004E6618"/>
    <w:rsid w:val="004E78A3"/>
    <w:rsid w:val="004E7A58"/>
    <w:rsid w:val="004E7D43"/>
    <w:rsid w:val="004E7DC2"/>
    <w:rsid w:val="004F02A8"/>
    <w:rsid w:val="004F0416"/>
    <w:rsid w:val="004F10F4"/>
    <w:rsid w:val="004F1353"/>
    <w:rsid w:val="004F18C4"/>
    <w:rsid w:val="004F1F23"/>
    <w:rsid w:val="004F21F5"/>
    <w:rsid w:val="004F2CEF"/>
    <w:rsid w:val="004F3009"/>
    <w:rsid w:val="004F453C"/>
    <w:rsid w:val="004F4805"/>
    <w:rsid w:val="004F5815"/>
    <w:rsid w:val="004F59A0"/>
    <w:rsid w:val="004F5C35"/>
    <w:rsid w:val="004F746F"/>
    <w:rsid w:val="004F77C6"/>
    <w:rsid w:val="005003B4"/>
    <w:rsid w:val="00500444"/>
    <w:rsid w:val="0050190B"/>
    <w:rsid w:val="0050192A"/>
    <w:rsid w:val="00501DA0"/>
    <w:rsid w:val="00502A85"/>
    <w:rsid w:val="00502C9E"/>
    <w:rsid w:val="00503C37"/>
    <w:rsid w:val="00503C58"/>
    <w:rsid w:val="00505134"/>
    <w:rsid w:val="00505B78"/>
    <w:rsid w:val="00506699"/>
    <w:rsid w:val="00506B15"/>
    <w:rsid w:val="00510016"/>
    <w:rsid w:val="0051056B"/>
    <w:rsid w:val="005108DC"/>
    <w:rsid w:val="00512E56"/>
    <w:rsid w:val="00513478"/>
    <w:rsid w:val="00513506"/>
    <w:rsid w:val="00513781"/>
    <w:rsid w:val="00513D16"/>
    <w:rsid w:val="00513E0A"/>
    <w:rsid w:val="005152B5"/>
    <w:rsid w:val="005156A3"/>
    <w:rsid w:val="00515D25"/>
    <w:rsid w:val="0051668B"/>
    <w:rsid w:val="00517461"/>
    <w:rsid w:val="00520FD4"/>
    <w:rsid w:val="005212BC"/>
    <w:rsid w:val="00521E1E"/>
    <w:rsid w:val="005239F5"/>
    <w:rsid w:val="00524B61"/>
    <w:rsid w:val="00525686"/>
    <w:rsid w:val="00526380"/>
    <w:rsid w:val="005269E9"/>
    <w:rsid w:val="00526E73"/>
    <w:rsid w:val="00527450"/>
    <w:rsid w:val="0052751E"/>
    <w:rsid w:val="00527B95"/>
    <w:rsid w:val="00530441"/>
    <w:rsid w:val="0053119E"/>
    <w:rsid w:val="005311F5"/>
    <w:rsid w:val="00531759"/>
    <w:rsid w:val="00531AE6"/>
    <w:rsid w:val="00531E98"/>
    <w:rsid w:val="00531FEB"/>
    <w:rsid w:val="00532049"/>
    <w:rsid w:val="00532726"/>
    <w:rsid w:val="005342E3"/>
    <w:rsid w:val="005346D3"/>
    <w:rsid w:val="00534828"/>
    <w:rsid w:val="00534894"/>
    <w:rsid w:val="00534B81"/>
    <w:rsid w:val="0053524B"/>
    <w:rsid w:val="00535342"/>
    <w:rsid w:val="00535805"/>
    <w:rsid w:val="0053580C"/>
    <w:rsid w:val="00536194"/>
    <w:rsid w:val="0053693C"/>
    <w:rsid w:val="00536956"/>
    <w:rsid w:val="00536EBB"/>
    <w:rsid w:val="00537847"/>
    <w:rsid w:val="0054051C"/>
    <w:rsid w:val="005405F2"/>
    <w:rsid w:val="00541523"/>
    <w:rsid w:val="00541AB6"/>
    <w:rsid w:val="00541D36"/>
    <w:rsid w:val="005429F5"/>
    <w:rsid w:val="00542A02"/>
    <w:rsid w:val="00543109"/>
    <w:rsid w:val="00543420"/>
    <w:rsid w:val="0054370B"/>
    <w:rsid w:val="00545430"/>
    <w:rsid w:val="005457C0"/>
    <w:rsid w:val="005469DD"/>
    <w:rsid w:val="00546D32"/>
    <w:rsid w:val="00546FEC"/>
    <w:rsid w:val="005474CD"/>
    <w:rsid w:val="00547F36"/>
    <w:rsid w:val="005503B7"/>
    <w:rsid w:val="005507EB"/>
    <w:rsid w:val="005508AE"/>
    <w:rsid w:val="00550B3E"/>
    <w:rsid w:val="00550EA9"/>
    <w:rsid w:val="00550FD9"/>
    <w:rsid w:val="0055137F"/>
    <w:rsid w:val="005519A3"/>
    <w:rsid w:val="00551F2A"/>
    <w:rsid w:val="0055211B"/>
    <w:rsid w:val="005528F3"/>
    <w:rsid w:val="00552C66"/>
    <w:rsid w:val="00552CE2"/>
    <w:rsid w:val="00553D8E"/>
    <w:rsid w:val="00554977"/>
    <w:rsid w:val="00554C2E"/>
    <w:rsid w:val="00555445"/>
    <w:rsid w:val="005569BD"/>
    <w:rsid w:val="00556E9E"/>
    <w:rsid w:val="00556FE4"/>
    <w:rsid w:val="00557928"/>
    <w:rsid w:val="00560135"/>
    <w:rsid w:val="00561674"/>
    <w:rsid w:val="005619DA"/>
    <w:rsid w:val="005625C2"/>
    <w:rsid w:val="00562A7A"/>
    <w:rsid w:val="00563370"/>
    <w:rsid w:val="00563C8D"/>
    <w:rsid w:val="00563FE1"/>
    <w:rsid w:val="005643FB"/>
    <w:rsid w:val="00564865"/>
    <w:rsid w:val="005656D7"/>
    <w:rsid w:val="00567322"/>
    <w:rsid w:val="00567CD4"/>
    <w:rsid w:val="00567CEF"/>
    <w:rsid w:val="00570B35"/>
    <w:rsid w:val="00570FEF"/>
    <w:rsid w:val="005710AA"/>
    <w:rsid w:val="005721D9"/>
    <w:rsid w:val="0057251C"/>
    <w:rsid w:val="00573012"/>
    <w:rsid w:val="0057319A"/>
    <w:rsid w:val="005739B3"/>
    <w:rsid w:val="0057430E"/>
    <w:rsid w:val="0057467A"/>
    <w:rsid w:val="00574CCF"/>
    <w:rsid w:val="00574E58"/>
    <w:rsid w:val="00574FEF"/>
    <w:rsid w:val="00575246"/>
    <w:rsid w:val="00575AEE"/>
    <w:rsid w:val="0057622D"/>
    <w:rsid w:val="005767C2"/>
    <w:rsid w:val="005767C7"/>
    <w:rsid w:val="005767EB"/>
    <w:rsid w:val="005769F7"/>
    <w:rsid w:val="005771E0"/>
    <w:rsid w:val="0057736D"/>
    <w:rsid w:val="0057740D"/>
    <w:rsid w:val="00577BFC"/>
    <w:rsid w:val="00577D6D"/>
    <w:rsid w:val="00580487"/>
    <w:rsid w:val="005805CC"/>
    <w:rsid w:val="00580616"/>
    <w:rsid w:val="005809C8"/>
    <w:rsid w:val="00581250"/>
    <w:rsid w:val="00581599"/>
    <w:rsid w:val="0058307B"/>
    <w:rsid w:val="005830F5"/>
    <w:rsid w:val="005837CC"/>
    <w:rsid w:val="0058380F"/>
    <w:rsid w:val="00583982"/>
    <w:rsid w:val="00583FBC"/>
    <w:rsid w:val="00584408"/>
    <w:rsid w:val="00584846"/>
    <w:rsid w:val="00585745"/>
    <w:rsid w:val="005867E3"/>
    <w:rsid w:val="0058729E"/>
    <w:rsid w:val="0058785E"/>
    <w:rsid w:val="00590063"/>
    <w:rsid w:val="0059057B"/>
    <w:rsid w:val="00590675"/>
    <w:rsid w:val="00590C59"/>
    <w:rsid w:val="00590CAD"/>
    <w:rsid w:val="00591FDE"/>
    <w:rsid w:val="00592062"/>
    <w:rsid w:val="005924FD"/>
    <w:rsid w:val="00592546"/>
    <w:rsid w:val="0059269F"/>
    <w:rsid w:val="00592BBE"/>
    <w:rsid w:val="00592D42"/>
    <w:rsid w:val="00593534"/>
    <w:rsid w:val="00594563"/>
    <w:rsid w:val="005953B8"/>
    <w:rsid w:val="00596162"/>
    <w:rsid w:val="0059656B"/>
    <w:rsid w:val="00596B6F"/>
    <w:rsid w:val="005972DB"/>
    <w:rsid w:val="00597566"/>
    <w:rsid w:val="00597E3F"/>
    <w:rsid w:val="005A02B8"/>
    <w:rsid w:val="005A0372"/>
    <w:rsid w:val="005A0384"/>
    <w:rsid w:val="005A0C60"/>
    <w:rsid w:val="005A0D74"/>
    <w:rsid w:val="005A1312"/>
    <w:rsid w:val="005A136D"/>
    <w:rsid w:val="005A1DF6"/>
    <w:rsid w:val="005A1E16"/>
    <w:rsid w:val="005A2BAB"/>
    <w:rsid w:val="005A36B5"/>
    <w:rsid w:val="005A3BE9"/>
    <w:rsid w:val="005A3C21"/>
    <w:rsid w:val="005A3DEC"/>
    <w:rsid w:val="005A4F30"/>
    <w:rsid w:val="005A5113"/>
    <w:rsid w:val="005A599D"/>
    <w:rsid w:val="005A5AAE"/>
    <w:rsid w:val="005A6EBD"/>
    <w:rsid w:val="005A7279"/>
    <w:rsid w:val="005A7C91"/>
    <w:rsid w:val="005A7D53"/>
    <w:rsid w:val="005B01A2"/>
    <w:rsid w:val="005B03D4"/>
    <w:rsid w:val="005B127A"/>
    <w:rsid w:val="005B1979"/>
    <w:rsid w:val="005B1CA4"/>
    <w:rsid w:val="005B2FC4"/>
    <w:rsid w:val="005B30B1"/>
    <w:rsid w:val="005B3510"/>
    <w:rsid w:val="005B4283"/>
    <w:rsid w:val="005B4928"/>
    <w:rsid w:val="005B49F8"/>
    <w:rsid w:val="005B4B65"/>
    <w:rsid w:val="005B5114"/>
    <w:rsid w:val="005B5360"/>
    <w:rsid w:val="005B567A"/>
    <w:rsid w:val="005B56B0"/>
    <w:rsid w:val="005B59B4"/>
    <w:rsid w:val="005B5D9F"/>
    <w:rsid w:val="005B5E3F"/>
    <w:rsid w:val="005B5FA0"/>
    <w:rsid w:val="005B62CF"/>
    <w:rsid w:val="005B72CD"/>
    <w:rsid w:val="005B7D89"/>
    <w:rsid w:val="005B7EEE"/>
    <w:rsid w:val="005B7F8B"/>
    <w:rsid w:val="005C112E"/>
    <w:rsid w:val="005C1EF8"/>
    <w:rsid w:val="005C2256"/>
    <w:rsid w:val="005C22EE"/>
    <w:rsid w:val="005C2343"/>
    <w:rsid w:val="005C27AE"/>
    <w:rsid w:val="005C2E4D"/>
    <w:rsid w:val="005C2FF7"/>
    <w:rsid w:val="005C330C"/>
    <w:rsid w:val="005C3771"/>
    <w:rsid w:val="005C3BD7"/>
    <w:rsid w:val="005C45FB"/>
    <w:rsid w:val="005C4827"/>
    <w:rsid w:val="005C4E7D"/>
    <w:rsid w:val="005C59F0"/>
    <w:rsid w:val="005C615B"/>
    <w:rsid w:val="005C69B6"/>
    <w:rsid w:val="005C6CEB"/>
    <w:rsid w:val="005C7166"/>
    <w:rsid w:val="005D0554"/>
    <w:rsid w:val="005D1033"/>
    <w:rsid w:val="005D10AC"/>
    <w:rsid w:val="005D1165"/>
    <w:rsid w:val="005D12C2"/>
    <w:rsid w:val="005D1493"/>
    <w:rsid w:val="005D1D02"/>
    <w:rsid w:val="005D23E0"/>
    <w:rsid w:val="005D2549"/>
    <w:rsid w:val="005D25A6"/>
    <w:rsid w:val="005D2809"/>
    <w:rsid w:val="005D28C1"/>
    <w:rsid w:val="005D2946"/>
    <w:rsid w:val="005D35D6"/>
    <w:rsid w:val="005D3B5C"/>
    <w:rsid w:val="005D3BF4"/>
    <w:rsid w:val="005D43FA"/>
    <w:rsid w:val="005D4B36"/>
    <w:rsid w:val="005D5012"/>
    <w:rsid w:val="005D5272"/>
    <w:rsid w:val="005D52DF"/>
    <w:rsid w:val="005D5498"/>
    <w:rsid w:val="005D59E7"/>
    <w:rsid w:val="005D6370"/>
    <w:rsid w:val="005D69D2"/>
    <w:rsid w:val="005D6B81"/>
    <w:rsid w:val="005D7060"/>
    <w:rsid w:val="005D7167"/>
    <w:rsid w:val="005D754A"/>
    <w:rsid w:val="005D76C8"/>
    <w:rsid w:val="005D779F"/>
    <w:rsid w:val="005E06CA"/>
    <w:rsid w:val="005E0AD3"/>
    <w:rsid w:val="005E1564"/>
    <w:rsid w:val="005E1588"/>
    <w:rsid w:val="005E1B4B"/>
    <w:rsid w:val="005E2279"/>
    <w:rsid w:val="005E25C3"/>
    <w:rsid w:val="005E2778"/>
    <w:rsid w:val="005E2F42"/>
    <w:rsid w:val="005E399A"/>
    <w:rsid w:val="005E3E87"/>
    <w:rsid w:val="005E3FA2"/>
    <w:rsid w:val="005E40FD"/>
    <w:rsid w:val="005E4114"/>
    <w:rsid w:val="005E4C23"/>
    <w:rsid w:val="005E4F5F"/>
    <w:rsid w:val="005E51E9"/>
    <w:rsid w:val="005F0F8D"/>
    <w:rsid w:val="005F1556"/>
    <w:rsid w:val="005F1DB3"/>
    <w:rsid w:val="005F261D"/>
    <w:rsid w:val="005F2886"/>
    <w:rsid w:val="005F3447"/>
    <w:rsid w:val="005F39B5"/>
    <w:rsid w:val="005F544D"/>
    <w:rsid w:val="005F5C9A"/>
    <w:rsid w:val="005F5F8D"/>
    <w:rsid w:val="005F6434"/>
    <w:rsid w:val="005F64EE"/>
    <w:rsid w:val="005F667B"/>
    <w:rsid w:val="005F6CE5"/>
    <w:rsid w:val="00600982"/>
    <w:rsid w:val="00600BA9"/>
    <w:rsid w:val="006011D1"/>
    <w:rsid w:val="00601480"/>
    <w:rsid w:val="00602608"/>
    <w:rsid w:val="00602FCE"/>
    <w:rsid w:val="0060305D"/>
    <w:rsid w:val="00603144"/>
    <w:rsid w:val="006032E7"/>
    <w:rsid w:val="006034F7"/>
    <w:rsid w:val="00603E02"/>
    <w:rsid w:val="00603E2B"/>
    <w:rsid w:val="006040DF"/>
    <w:rsid w:val="00604218"/>
    <w:rsid w:val="0060436F"/>
    <w:rsid w:val="00604499"/>
    <w:rsid w:val="006049BD"/>
    <w:rsid w:val="00604AF8"/>
    <w:rsid w:val="00604C65"/>
    <w:rsid w:val="006051F6"/>
    <w:rsid w:val="00605AE6"/>
    <w:rsid w:val="00605BD9"/>
    <w:rsid w:val="006061BF"/>
    <w:rsid w:val="0060641E"/>
    <w:rsid w:val="00606850"/>
    <w:rsid w:val="00606937"/>
    <w:rsid w:val="00607AF8"/>
    <w:rsid w:val="0061048D"/>
    <w:rsid w:val="00610F42"/>
    <w:rsid w:val="00611601"/>
    <w:rsid w:val="00611AC2"/>
    <w:rsid w:val="00611B8B"/>
    <w:rsid w:val="00611E86"/>
    <w:rsid w:val="00612794"/>
    <w:rsid w:val="00612CC0"/>
    <w:rsid w:val="00612F9C"/>
    <w:rsid w:val="00613468"/>
    <w:rsid w:val="00613F18"/>
    <w:rsid w:val="00614087"/>
    <w:rsid w:val="0061410B"/>
    <w:rsid w:val="006146FC"/>
    <w:rsid w:val="00614B8C"/>
    <w:rsid w:val="006154EB"/>
    <w:rsid w:val="00617778"/>
    <w:rsid w:val="00617BCB"/>
    <w:rsid w:val="00617F62"/>
    <w:rsid w:val="0062007F"/>
    <w:rsid w:val="00620413"/>
    <w:rsid w:val="0062137C"/>
    <w:rsid w:val="00621E30"/>
    <w:rsid w:val="006225C9"/>
    <w:rsid w:val="006225F4"/>
    <w:rsid w:val="00622716"/>
    <w:rsid w:val="00622943"/>
    <w:rsid w:val="0062351C"/>
    <w:rsid w:val="006235C9"/>
    <w:rsid w:val="006238ED"/>
    <w:rsid w:val="00623C4A"/>
    <w:rsid w:val="00623DD4"/>
    <w:rsid w:val="00623F7A"/>
    <w:rsid w:val="006244A4"/>
    <w:rsid w:val="006250B3"/>
    <w:rsid w:val="006255AB"/>
    <w:rsid w:val="00625CB9"/>
    <w:rsid w:val="00625CFB"/>
    <w:rsid w:val="006275E1"/>
    <w:rsid w:val="00627680"/>
    <w:rsid w:val="0063064C"/>
    <w:rsid w:val="00630B1C"/>
    <w:rsid w:val="00630B62"/>
    <w:rsid w:val="00631230"/>
    <w:rsid w:val="00631676"/>
    <w:rsid w:val="00631962"/>
    <w:rsid w:val="00631EB6"/>
    <w:rsid w:val="006320BE"/>
    <w:rsid w:val="00632A09"/>
    <w:rsid w:val="0063340A"/>
    <w:rsid w:val="00633509"/>
    <w:rsid w:val="00633E66"/>
    <w:rsid w:val="00635176"/>
    <w:rsid w:val="006359C4"/>
    <w:rsid w:val="00636298"/>
    <w:rsid w:val="00636941"/>
    <w:rsid w:val="00637839"/>
    <w:rsid w:val="00637DEF"/>
    <w:rsid w:val="0064077C"/>
    <w:rsid w:val="006407B4"/>
    <w:rsid w:val="00641985"/>
    <w:rsid w:val="00641CFE"/>
    <w:rsid w:val="00642271"/>
    <w:rsid w:val="006427E5"/>
    <w:rsid w:val="006429B0"/>
    <w:rsid w:val="0064330C"/>
    <w:rsid w:val="0064351A"/>
    <w:rsid w:val="00644D1F"/>
    <w:rsid w:val="0064594F"/>
    <w:rsid w:val="00646144"/>
    <w:rsid w:val="0064720A"/>
    <w:rsid w:val="00647234"/>
    <w:rsid w:val="00647F5F"/>
    <w:rsid w:val="00647FB4"/>
    <w:rsid w:val="00650206"/>
    <w:rsid w:val="0065046F"/>
    <w:rsid w:val="0065104D"/>
    <w:rsid w:val="006512A5"/>
    <w:rsid w:val="00651BC9"/>
    <w:rsid w:val="00652157"/>
    <w:rsid w:val="0065237A"/>
    <w:rsid w:val="00652495"/>
    <w:rsid w:val="006528CC"/>
    <w:rsid w:val="00652A8A"/>
    <w:rsid w:val="00652ED7"/>
    <w:rsid w:val="006531D5"/>
    <w:rsid w:val="00653252"/>
    <w:rsid w:val="006538C8"/>
    <w:rsid w:val="00654525"/>
    <w:rsid w:val="00654EAB"/>
    <w:rsid w:val="00654FF8"/>
    <w:rsid w:val="00655715"/>
    <w:rsid w:val="00655A1A"/>
    <w:rsid w:val="00655F41"/>
    <w:rsid w:val="006604B1"/>
    <w:rsid w:val="00660B80"/>
    <w:rsid w:val="0066107F"/>
    <w:rsid w:val="0066321B"/>
    <w:rsid w:val="006638CF"/>
    <w:rsid w:val="00665A10"/>
    <w:rsid w:val="00666444"/>
    <w:rsid w:val="006668A0"/>
    <w:rsid w:val="00666BCA"/>
    <w:rsid w:val="00667097"/>
    <w:rsid w:val="00667622"/>
    <w:rsid w:val="00667AC0"/>
    <w:rsid w:val="00667FB1"/>
    <w:rsid w:val="00670398"/>
    <w:rsid w:val="0067061C"/>
    <w:rsid w:val="0067073C"/>
    <w:rsid w:val="00670A73"/>
    <w:rsid w:val="00671E1F"/>
    <w:rsid w:val="0067246B"/>
    <w:rsid w:val="00672E7F"/>
    <w:rsid w:val="006738EC"/>
    <w:rsid w:val="00673DED"/>
    <w:rsid w:val="006740E0"/>
    <w:rsid w:val="0067438F"/>
    <w:rsid w:val="00674509"/>
    <w:rsid w:val="006753CF"/>
    <w:rsid w:val="00675FDC"/>
    <w:rsid w:val="00676D80"/>
    <w:rsid w:val="00677B97"/>
    <w:rsid w:val="006801DB"/>
    <w:rsid w:val="00680549"/>
    <w:rsid w:val="00682366"/>
    <w:rsid w:val="00682AA1"/>
    <w:rsid w:val="006833EF"/>
    <w:rsid w:val="00684392"/>
    <w:rsid w:val="006845B5"/>
    <w:rsid w:val="00685305"/>
    <w:rsid w:val="00685A32"/>
    <w:rsid w:val="0069208D"/>
    <w:rsid w:val="0069276D"/>
    <w:rsid w:val="0069286C"/>
    <w:rsid w:val="006929A9"/>
    <w:rsid w:val="00692FA0"/>
    <w:rsid w:val="00693E48"/>
    <w:rsid w:val="00693EDB"/>
    <w:rsid w:val="00694751"/>
    <w:rsid w:val="00694E75"/>
    <w:rsid w:val="0069560F"/>
    <w:rsid w:val="00695719"/>
    <w:rsid w:val="0069577E"/>
    <w:rsid w:val="0069621F"/>
    <w:rsid w:val="00696B13"/>
    <w:rsid w:val="00696F44"/>
    <w:rsid w:val="00697353"/>
    <w:rsid w:val="00697BA4"/>
    <w:rsid w:val="006A0352"/>
    <w:rsid w:val="006A0AFF"/>
    <w:rsid w:val="006A0C10"/>
    <w:rsid w:val="006A1123"/>
    <w:rsid w:val="006A1FC6"/>
    <w:rsid w:val="006A1FEF"/>
    <w:rsid w:val="006A2EC7"/>
    <w:rsid w:val="006A32B8"/>
    <w:rsid w:val="006A3E02"/>
    <w:rsid w:val="006A3F82"/>
    <w:rsid w:val="006A4167"/>
    <w:rsid w:val="006A4AA4"/>
    <w:rsid w:val="006A5BF5"/>
    <w:rsid w:val="006A6387"/>
    <w:rsid w:val="006A71C3"/>
    <w:rsid w:val="006A766E"/>
    <w:rsid w:val="006A79EF"/>
    <w:rsid w:val="006A7C9B"/>
    <w:rsid w:val="006B0D6D"/>
    <w:rsid w:val="006B145C"/>
    <w:rsid w:val="006B19F0"/>
    <w:rsid w:val="006B1A58"/>
    <w:rsid w:val="006B1BE0"/>
    <w:rsid w:val="006B1DB0"/>
    <w:rsid w:val="006B24E3"/>
    <w:rsid w:val="006B29CE"/>
    <w:rsid w:val="006B301F"/>
    <w:rsid w:val="006B3F1F"/>
    <w:rsid w:val="006B41EF"/>
    <w:rsid w:val="006B47CB"/>
    <w:rsid w:val="006B5035"/>
    <w:rsid w:val="006B559F"/>
    <w:rsid w:val="006B63EB"/>
    <w:rsid w:val="006B7C9D"/>
    <w:rsid w:val="006B7E76"/>
    <w:rsid w:val="006C0002"/>
    <w:rsid w:val="006C07D0"/>
    <w:rsid w:val="006C1651"/>
    <w:rsid w:val="006C17CF"/>
    <w:rsid w:val="006C186B"/>
    <w:rsid w:val="006C2316"/>
    <w:rsid w:val="006C2E7B"/>
    <w:rsid w:val="006C31C9"/>
    <w:rsid w:val="006C4B5C"/>
    <w:rsid w:val="006C53A4"/>
    <w:rsid w:val="006C55B7"/>
    <w:rsid w:val="006C5862"/>
    <w:rsid w:val="006C5FD2"/>
    <w:rsid w:val="006C6501"/>
    <w:rsid w:val="006C6D68"/>
    <w:rsid w:val="006D0C29"/>
    <w:rsid w:val="006D21B3"/>
    <w:rsid w:val="006D2F02"/>
    <w:rsid w:val="006D329A"/>
    <w:rsid w:val="006D4051"/>
    <w:rsid w:val="006D41AA"/>
    <w:rsid w:val="006D41F7"/>
    <w:rsid w:val="006D52A1"/>
    <w:rsid w:val="006D5D2A"/>
    <w:rsid w:val="006D5EE6"/>
    <w:rsid w:val="006D64DB"/>
    <w:rsid w:val="006D6781"/>
    <w:rsid w:val="006D6EB1"/>
    <w:rsid w:val="006D78B4"/>
    <w:rsid w:val="006D7997"/>
    <w:rsid w:val="006D7F2D"/>
    <w:rsid w:val="006E0530"/>
    <w:rsid w:val="006E0932"/>
    <w:rsid w:val="006E0EB8"/>
    <w:rsid w:val="006E0FB7"/>
    <w:rsid w:val="006E29B4"/>
    <w:rsid w:val="006E30AA"/>
    <w:rsid w:val="006E3147"/>
    <w:rsid w:val="006E380C"/>
    <w:rsid w:val="006E385B"/>
    <w:rsid w:val="006E3F98"/>
    <w:rsid w:val="006E453B"/>
    <w:rsid w:val="006E4AD0"/>
    <w:rsid w:val="006E4BDB"/>
    <w:rsid w:val="006E4BF3"/>
    <w:rsid w:val="006E53A0"/>
    <w:rsid w:val="006E6F68"/>
    <w:rsid w:val="006E74E9"/>
    <w:rsid w:val="006E771F"/>
    <w:rsid w:val="006F0A25"/>
    <w:rsid w:val="006F100D"/>
    <w:rsid w:val="006F15F0"/>
    <w:rsid w:val="006F194F"/>
    <w:rsid w:val="006F2009"/>
    <w:rsid w:val="006F2AC5"/>
    <w:rsid w:val="006F2E71"/>
    <w:rsid w:val="006F34D4"/>
    <w:rsid w:val="006F363E"/>
    <w:rsid w:val="006F4A26"/>
    <w:rsid w:val="006F4CCF"/>
    <w:rsid w:val="006F5B9B"/>
    <w:rsid w:val="006F661F"/>
    <w:rsid w:val="006F6B2F"/>
    <w:rsid w:val="006F6CF6"/>
    <w:rsid w:val="006F718F"/>
    <w:rsid w:val="006F7819"/>
    <w:rsid w:val="007001DD"/>
    <w:rsid w:val="00700E8F"/>
    <w:rsid w:val="00701695"/>
    <w:rsid w:val="00701BA2"/>
    <w:rsid w:val="00701EA3"/>
    <w:rsid w:val="007027DB"/>
    <w:rsid w:val="0070306D"/>
    <w:rsid w:val="007037B8"/>
    <w:rsid w:val="00703D45"/>
    <w:rsid w:val="0070492F"/>
    <w:rsid w:val="00704E58"/>
    <w:rsid w:val="0070519C"/>
    <w:rsid w:val="00705216"/>
    <w:rsid w:val="00705EA5"/>
    <w:rsid w:val="00706614"/>
    <w:rsid w:val="00706E5F"/>
    <w:rsid w:val="00707471"/>
    <w:rsid w:val="007075DA"/>
    <w:rsid w:val="007077A9"/>
    <w:rsid w:val="00707AD7"/>
    <w:rsid w:val="00711A61"/>
    <w:rsid w:val="00713400"/>
    <w:rsid w:val="00713C09"/>
    <w:rsid w:val="00713F7D"/>
    <w:rsid w:val="00714134"/>
    <w:rsid w:val="0071443E"/>
    <w:rsid w:val="00715422"/>
    <w:rsid w:val="0071572C"/>
    <w:rsid w:val="007159C2"/>
    <w:rsid w:val="00716816"/>
    <w:rsid w:val="00716833"/>
    <w:rsid w:val="00716A23"/>
    <w:rsid w:val="0071756B"/>
    <w:rsid w:val="00717692"/>
    <w:rsid w:val="00720C1E"/>
    <w:rsid w:val="007211EA"/>
    <w:rsid w:val="007218A0"/>
    <w:rsid w:val="007218DB"/>
    <w:rsid w:val="00721B28"/>
    <w:rsid w:val="007227E3"/>
    <w:rsid w:val="00722DCE"/>
    <w:rsid w:val="00724773"/>
    <w:rsid w:val="00724C44"/>
    <w:rsid w:val="00725E8B"/>
    <w:rsid w:val="00726A70"/>
    <w:rsid w:val="00726FD8"/>
    <w:rsid w:val="00727EF0"/>
    <w:rsid w:val="00730424"/>
    <w:rsid w:val="007309B4"/>
    <w:rsid w:val="00731006"/>
    <w:rsid w:val="007321D4"/>
    <w:rsid w:val="0073263F"/>
    <w:rsid w:val="00732AE2"/>
    <w:rsid w:val="0073321A"/>
    <w:rsid w:val="007337C0"/>
    <w:rsid w:val="00733946"/>
    <w:rsid w:val="00733B4A"/>
    <w:rsid w:val="00733B92"/>
    <w:rsid w:val="00733F7D"/>
    <w:rsid w:val="00734027"/>
    <w:rsid w:val="007346EC"/>
    <w:rsid w:val="00734847"/>
    <w:rsid w:val="00735BE1"/>
    <w:rsid w:val="00735EA6"/>
    <w:rsid w:val="00736296"/>
    <w:rsid w:val="00740071"/>
    <w:rsid w:val="00740C2E"/>
    <w:rsid w:val="007415B3"/>
    <w:rsid w:val="007422B5"/>
    <w:rsid w:val="007424F3"/>
    <w:rsid w:val="00743505"/>
    <w:rsid w:val="007435EC"/>
    <w:rsid w:val="007439A0"/>
    <w:rsid w:val="00743B32"/>
    <w:rsid w:val="00744696"/>
    <w:rsid w:val="00746072"/>
    <w:rsid w:val="007466E7"/>
    <w:rsid w:val="00746A68"/>
    <w:rsid w:val="00747565"/>
    <w:rsid w:val="00747FCE"/>
    <w:rsid w:val="007517CA"/>
    <w:rsid w:val="00751E7C"/>
    <w:rsid w:val="007520DD"/>
    <w:rsid w:val="0075290A"/>
    <w:rsid w:val="00752B5C"/>
    <w:rsid w:val="007531CD"/>
    <w:rsid w:val="007538DB"/>
    <w:rsid w:val="00753AF4"/>
    <w:rsid w:val="00753C79"/>
    <w:rsid w:val="00757790"/>
    <w:rsid w:val="00760059"/>
    <w:rsid w:val="0076063A"/>
    <w:rsid w:val="00760870"/>
    <w:rsid w:val="00761781"/>
    <w:rsid w:val="00761C67"/>
    <w:rsid w:val="00761D86"/>
    <w:rsid w:val="007627BA"/>
    <w:rsid w:val="007628D2"/>
    <w:rsid w:val="00762C96"/>
    <w:rsid w:val="00762FC7"/>
    <w:rsid w:val="00763FA1"/>
    <w:rsid w:val="0076409B"/>
    <w:rsid w:val="00765131"/>
    <w:rsid w:val="00765766"/>
    <w:rsid w:val="007658B3"/>
    <w:rsid w:val="007669C0"/>
    <w:rsid w:val="0076748F"/>
    <w:rsid w:val="007674F6"/>
    <w:rsid w:val="007707BA"/>
    <w:rsid w:val="00770B0A"/>
    <w:rsid w:val="007729F1"/>
    <w:rsid w:val="00773339"/>
    <w:rsid w:val="00773916"/>
    <w:rsid w:val="00773F3F"/>
    <w:rsid w:val="00774079"/>
    <w:rsid w:val="00774505"/>
    <w:rsid w:val="00774A1E"/>
    <w:rsid w:val="00775280"/>
    <w:rsid w:val="007759B5"/>
    <w:rsid w:val="0077632D"/>
    <w:rsid w:val="00776F16"/>
    <w:rsid w:val="007779D6"/>
    <w:rsid w:val="00777A6C"/>
    <w:rsid w:val="00777FEA"/>
    <w:rsid w:val="00780512"/>
    <w:rsid w:val="007812B3"/>
    <w:rsid w:val="007818FB"/>
    <w:rsid w:val="00782233"/>
    <w:rsid w:val="0078275D"/>
    <w:rsid w:val="00782980"/>
    <w:rsid w:val="0078344F"/>
    <w:rsid w:val="00783738"/>
    <w:rsid w:val="00784594"/>
    <w:rsid w:val="00786CEC"/>
    <w:rsid w:val="00786EC3"/>
    <w:rsid w:val="0078720C"/>
    <w:rsid w:val="007872CB"/>
    <w:rsid w:val="00787C93"/>
    <w:rsid w:val="007908A1"/>
    <w:rsid w:val="00790A74"/>
    <w:rsid w:val="00790D98"/>
    <w:rsid w:val="00792F41"/>
    <w:rsid w:val="00793ECC"/>
    <w:rsid w:val="00795840"/>
    <w:rsid w:val="00795B23"/>
    <w:rsid w:val="00796D82"/>
    <w:rsid w:val="007973D8"/>
    <w:rsid w:val="00797549"/>
    <w:rsid w:val="00797785"/>
    <w:rsid w:val="007A0103"/>
    <w:rsid w:val="007A017C"/>
    <w:rsid w:val="007A0694"/>
    <w:rsid w:val="007A0859"/>
    <w:rsid w:val="007A093A"/>
    <w:rsid w:val="007A0C0F"/>
    <w:rsid w:val="007A0D72"/>
    <w:rsid w:val="007A0F8A"/>
    <w:rsid w:val="007A13FC"/>
    <w:rsid w:val="007A1704"/>
    <w:rsid w:val="007A196E"/>
    <w:rsid w:val="007A1F10"/>
    <w:rsid w:val="007A1F94"/>
    <w:rsid w:val="007A2294"/>
    <w:rsid w:val="007A29B1"/>
    <w:rsid w:val="007A2EBF"/>
    <w:rsid w:val="007A2ECD"/>
    <w:rsid w:val="007A36D0"/>
    <w:rsid w:val="007A433A"/>
    <w:rsid w:val="007A45D3"/>
    <w:rsid w:val="007A4F8A"/>
    <w:rsid w:val="007A512D"/>
    <w:rsid w:val="007A5827"/>
    <w:rsid w:val="007A58B7"/>
    <w:rsid w:val="007A6B4D"/>
    <w:rsid w:val="007A6E48"/>
    <w:rsid w:val="007A6FAA"/>
    <w:rsid w:val="007A7EF4"/>
    <w:rsid w:val="007B06AA"/>
    <w:rsid w:val="007B085D"/>
    <w:rsid w:val="007B08F3"/>
    <w:rsid w:val="007B1010"/>
    <w:rsid w:val="007B12CC"/>
    <w:rsid w:val="007B1AD1"/>
    <w:rsid w:val="007B20D7"/>
    <w:rsid w:val="007B36E7"/>
    <w:rsid w:val="007B3771"/>
    <w:rsid w:val="007B3836"/>
    <w:rsid w:val="007B4504"/>
    <w:rsid w:val="007B4773"/>
    <w:rsid w:val="007B4AEC"/>
    <w:rsid w:val="007B4DFE"/>
    <w:rsid w:val="007B501D"/>
    <w:rsid w:val="007B5EEE"/>
    <w:rsid w:val="007B5FFE"/>
    <w:rsid w:val="007B62E2"/>
    <w:rsid w:val="007B76DA"/>
    <w:rsid w:val="007C042F"/>
    <w:rsid w:val="007C0558"/>
    <w:rsid w:val="007C0C5C"/>
    <w:rsid w:val="007C0E7A"/>
    <w:rsid w:val="007C1515"/>
    <w:rsid w:val="007C1917"/>
    <w:rsid w:val="007C1E3F"/>
    <w:rsid w:val="007C20BE"/>
    <w:rsid w:val="007C304C"/>
    <w:rsid w:val="007C3260"/>
    <w:rsid w:val="007C4750"/>
    <w:rsid w:val="007C48FA"/>
    <w:rsid w:val="007C4C4F"/>
    <w:rsid w:val="007C4CD3"/>
    <w:rsid w:val="007C5FE9"/>
    <w:rsid w:val="007C6589"/>
    <w:rsid w:val="007C66FB"/>
    <w:rsid w:val="007C67F9"/>
    <w:rsid w:val="007C6E66"/>
    <w:rsid w:val="007C78B2"/>
    <w:rsid w:val="007D084E"/>
    <w:rsid w:val="007D089B"/>
    <w:rsid w:val="007D1437"/>
    <w:rsid w:val="007D1AF9"/>
    <w:rsid w:val="007D1BFF"/>
    <w:rsid w:val="007D1E4F"/>
    <w:rsid w:val="007D20C3"/>
    <w:rsid w:val="007D20EB"/>
    <w:rsid w:val="007D249E"/>
    <w:rsid w:val="007D2AAC"/>
    <w:rsid w:val="007D329E"/>
    <w:rsid w:val="007D368F"/>
    <w:rsid w:val="007D3E87"/>
    <w:rsid w:val="007D4386"/>
    <w:rsid w:val="007D4672"/>
    <w:rsid w:val="007D522C"/>
    <w:rsid w:val="007D604F"/>
    <w:rsid w:val="007D6118"/>
    <w:rsid w:val="007D72A6"/>
    <w:rsid w:val="007D7440"/>
    <w:rsid w:val="007D74FB"/>
    <w:rsid w:val="007D7F65"/>
    <w:rsid w:val="007E0F4D"/>
    <w:rsid w:val="007E1097"/>
    <w:rsid w:val="007E1371"/>
    <w:rsid w:val="007E138C"/>
    <w:rsid w:val="007E1A97"/>
    <w:rsid w:val="007E245A"/>
    <w:rsid w:val="007E2E50"/>
    <w:rsid w:val="007E33B1"/>
    <w:rsid w:val="007E3F75"/>
    <w:rsid w:val="007E4833"/>
    <w:rsid w:val="007E49FC"/>
    <w:rsid w:val="007E4A49"/>
    <w:rsid w:val="007E4AAE"/>
    <w:rsid w:val="007E5139"/>
    <w:rsid w:val="007E62B3"/>
    <w:rsid w:val="007E65FB"/>
    <w:rsid w:val="007E682F"/>
    <w:rsid w:val="007E6A25"/>
    <w:rsid w:val="007E6D9B"/>
    <w:rsid w:val="007E728E"/>
    <w:rsid w:val="007E7C8D"/>
    <w:rsid w:val="007E7E9E"/>
    <w:rsid w:val="007F0C72"/>
    <w:rsid w:val="007F190F"/>
    <w:rsid w:val="007F1BEB"/>
    <w:rsid w:val="007F2671"/>
    <w:rsid w:val="007F26E8"/>
    <w:rsid w:val="007F2991"/>
    <w:rsid w:val="007F2B2A"/>
    <w:rsid w:val="007F2E64"/>
    <w:rsid w:val="007F32AA"/>
    <w:rsid w:val="007F33EC"/>
    <w:rsid w:val="007F3EB0"/>
    <w:rsid w:val="007F42D1"/>
    <w:rsid w:val="007F504B"/>
    <w:rsid w:val="007F54B3"/>
    <w:rsid w:val="007F55CF"/>
    <w:rsid w:val="007F63AA"/>
    <w:rsid w:val="007F63B2"/>
    <w:rsid w:val="007F7C08"/>
    <w:rsid w:val="007F7DBA"/>
    <w:rsid w:val="007F7F45"/>
    <w:rsid w:val="0080006A"/>
    <w:rsid w:val="008007F3"/>
    <w:rsid w:val="0080133F"/>
    <w:rsid w:val="008014A2"/>
    <w:rsid w:val="00801B0D"/>
    <w:rsid w:val="00802443"/>
    <w:rsid w:val="0080267F"/>
    <w:rsid w:val="00802AFF"/>
    <w:rsid w:val="00802E99"/>
    <w:rsid w:val="00803726"/>
    <w:rsid w:val="00803CAD"/>
    <w:rsid w:val="00803DB4"/>
    <w:rsid w:val="00803F95"/>
    <w:rsid w:val="00803FE4"/>
    <w:rsid w:val="00804542"/>
    <w:rsid w:val="00804BF9"/>
    <w:rsid w:val="00805C8B"/>
    <w:rsid w:val="00810440"/>
    <w:rsid w:val="00810894"/>
    <w:rsid w:val="00811A6B"/>
    <w:rsid w:val="00811AF9"/>
    <w:rsid w:val="00811E85"/>
    <w:rsid w:val="008127FF"/>
    <w:rsid w:val="008129B8"/>
    <w:rsid w:val="00813081"/>
    <w:rsid w:val="0081322B"/>
    <w:rsid w:val="00814D51"/>
    <w:rsid w:val="008154A8"/>
    <w:rsid w:val="008173BD"/>
    <w:rsid w:val="00817C95"/>
    <w:rsid w:val="00821629"/>
    <w:rsid w:val="00821812"/>
    <w:rsid w:val="00821AD0"/>
    <w:rsid w:val="00821B36"/>
    <w:rsid w:val="00822968"/>
    <w:rsid w:val="00822B96"/>
    <w:rsid w:val="00823A8D"/>
    <w:rsid w:val="00824F14"/>
    <w:rsid w:val="0082530E"/>
    <w:rsid w:val="0082552B"/>
    <w:rsid w:val="00825C57"/>
    <w:rsid w:val="00825EB9"/>
    <w:rsid w:val="008269EA"/>
    <w:rsid w:val="00826D02"/>
    <w:rsid w:val="008279B7"/>
    <w:rsid w:val="00827A06"/>
    <w:rsid w:val="00827C13"/>
    <w:rsid w:val="00827DBB"/>
    <w:rsid w:val="008304CF"/>
    <w:rsid w:val="00830891"/>
    <w:rsid w:val="00830925"/>
    <w:rsid w:val="0083119F"/>
    <w:rsid w:val="0083124E"/>
    <w:rsid w:val="0083224F"/>
    <w:rsid w:val="0083297A"/>
    <w:rsid w:val="00832F69"/>
    <w:rsid w:val="00833C10"/>
    <w:rsid w:val="00833C8C"/>
    <w:rsid w:val="00833F06"/>
    <w:rsid w:val="00835315"/>
    <w:rsid w:val="00835562"/>
    <w:rsid w:val="00835FEC"/>
    <w:rsid w:val="00836F55"/>
    <w:rsid w:val="00837109"/>
    <w:rsid w:val="0083789C"/>
    <w:rsid w:val="00837EC9"/>
    <w:rsid w:val="00840404"/>
    <w:rsid w:val="00840883"/>
    <w:rsid w:val="00841689"/>
    <w:rsid w:val="0084298B"/>
    <w:rsid w:val="00842A55"/>
    <w:rsid w:val="00842D10"/>
    <w:rsid w:val="008433EA"/>
    <w:rsid w:val="00843EAD"/>
    <w:rsid w:val="008441C0"/>
    <w:rsid w:val="00844FEA"/>
    <w:rsid w:val="00847483"/>
    <w:rsid w:val="00847C80"/>
    <w:rsid w:val="0085185E"/>
    <w:rsid w:val="00852963"/>
    <w:rsid w:val="00852AB6"/>
    <w:rsid w:val="0085321F"/>
    <w:rsid w:val="00854809"/>
    <w:rsid w:val="00854997"/>
    <w:rsid w:val="00854D5C"/>
    <w:rsid w:val="008556BD"/>
    <w:rsid w:val="00855CEC"/>
    <w:rsid w:val="00856055"/>
    <w:rsid w:val="00856C6F"/>
    <w:rsid w:val="00856D07"/>
    <w:rsid w:val="0085706F"/>
    <w:rsid w:val="0085757B"/>
    <w:rsid w:val="00857B52"/>
    <w:rsid w:val="008609EE"/>
    <w:rsid w:val="00861674"/>
    <w:rsid w:val="00861724"/>
    <w:rsid w:val="00862CA9"/>
    <w:rsid w:val="008633C2"/>
    <w:rsid w:val="008638FC"/>
    <w:rsid w:val="0086439C"/>
    <w:rsid w:val="00864873"/>
    <w:rsid w:val="00864B5D"/>
    <w:rsid w:val="008663AF"/>
    <w:rsid w:val="00867E72"/>
    <w:rsid w:val="008704A6"/>
    <w:rsid w:val="008706DA"/>
    <w:rsid w:val="008709E7"/>
    <w:rsid w:val="00870AAB"/>
    <w:rsid w:val="008720F4"/>
    <w:rsid w:val="008727A6"/>
    <w:rsid w:val="008732E5"/>
    <w:rsid w:val="00873986"/>
    <w:rsid w:val="008740F9"/>
    <w:rsid w:val="00874CDC"/>
    <w:rsid w:val="00875387"/>
    <w:rsid w:val="00875A27"/>
    <w:rsid w:val="00875D28"/>
    <w:rsid w:val="008760E4"/>
    <w:rsid w:val="00876601"/>
    <w:rsid w:val="00876A37"/>
    <w:rsid w:val="0087725D"/>
    <w:rsid w:val="00880043"/>
    <w:rsid w:val="00880755"/>
    <w:rsid w:val="00880875"/>
    <w:rsid w:val="00880891"/>
    <w:rsid w:val="008808B8"/>
    <w:rsid w:val="00880D6B"/>
    <w:rsid w:val="008810A5"/>
    <w:rsid w:val="0088135A"/>
    <w:rsid w:val="00881552"/>
    <w:rsid w:val="00882783"/>
    <w:rsid w:val="00882A49"/>
    <w:rsid w:val="008832DD"/>
    <w:rsid w:val="0088336A"/>
    <w:rsid w:val="00883BC6"/>
    <w:rsid w:val="00883C13"/>
    <w:rsid w:val="00883FC4"/>
    <w:rsid w:val="00884EDE"/>
    <w:rsid w:val="00884FF3"/>
    <w:rsid w:val="008850D1"/>
    <w:rsid w:val="008854B1"/>
    <w:rsid w:val="0088582C"/>
    <w:rsid w:val="008858AF"/>
    <w:rsid w:val="00885E6B"/>
    <w:rsid w:val="008865AF"/>
    <w:rsid w:val="008866EB"/>
    <w:rsid w:val="00886BE6"/>
    <w:rsid w:val="00886F10"/>
    <w:rsid w:val="00887302"/>
    <w:rsid w:val="008874BF"/>
    <w:rsid w:val="0089088D"/>
    <w:rsid w:val="00890A1E"/>
    <w:rsid w:val="0089103B"/>
    <w:rsid w:val="00891603"/>
    <w:rsid w:val="008916A6"/>
    <w:rsid w:val="00891F0F"/>
    <w:rsid w:val="00892A2A"/>
    <w:rsid w:val="00893060"/>
    <w:rsid w:val="0089328F"/>
    <w:rsid w:val="00893C30"/>
    <w:rsid w:val="0089473D"/>
    <w:rsid w:val="00894E99"/>
    <w:rsid w:val="00895693"/>
    <w:rsid w:val="008959BD"/>
    <w:rsid w:val="00895B30"/>
    <w:rsid w:val="00895E19"/>
    <w:rsid w:val="0089635E"/>
    <w:rsid w:val="008963FF"/>
    <w:rsid w:val="00896EC9"/>
    <w:rsid w:val="00897844"/>
    <w:rsid w:val="008A01B2"/>
    <w:rsid w:val="008A027D"/>
    <w:rsid w:val="008A1873"/>
    <w:rsid w:val="008A1931"/>
    <w:rsid w:val="008A19BF"/>
    <w:rsid w:val="008A1C05"/>
    <w:rsid w:val="008A2014"/>
    <w:rsid w:val="008A2D95"/>
    <w:rsid w:val="008A32DB"/>
    <w:rsid w:val="008A44A3"/>
    <w:rsid w:val="008A45CE"/>
    <w:rsid w:val="008A50C8"/>
    <w:rsid w:val="008A5804"/>
    <w:rsid w:val="008A5C5E"/>
    <w:rsid w:val="008A5F1D"/>
    <w:rsid w:val="008A6964"/>
    <w:rsid w:val="008A6972"/>
    <w:rsid w:val="008A6E9F"/>
    <w:rsid w:val="008A7525"/>
    <w:rsid w:val="008A7BF0"/>
    <w:rsid w:val="008A7C9A"/>
    <w:rsid w:val="008A7FC2"/>
    <w:rsid w:val="008B07ED"/>
    <w:rsid w:val="008B08A8"/>
    <w:rsid w:val="008B0E93"/>
    <w:rsid w:val="008B1054"/>
    <w:rsid w:val="008B16A0"/>
    <w:rsid w:val="008B19D2"/>
    <w:rsid w:val="008B1AFE"/>
    <w:rsid w:val="008B1C1B"/>
    <w:rsid w:val="008B1D7D"/>
    <w:rsid w:val="008B247D"/>
    <w:rsid w:val="008B24D2"/>
    <w:rsid w:val="008B2827"/>
    <w:rsid w:val="008B345B"/>
    <w:rsid w:val="008B397C"/>
    <w:rsid w:val="008B40E1"/>
    <w:rsid w:val="008B43C6"/>
    <w:rsid w:val="008B49FE"/>
    <w:rsid w:val="008B4CF8"/>
    <w:rsid w:val="008B5445"/>
    <w:rsid w:val="008B5521"/>
    <w:rsid w:val="008B5800"/>
    <w:rsid w:val="008B5900"/>
    <w:rsid w:val="008B61CA"/>
    <w:rsid w:val="008B6369"/>
    <w:rsid w:val="008B668C"/>
    <w:rsid w:val="008B714E"/>
    <w:rsid w:val="008B759B"/>
    <w:rsid w:val="008C01ED"/>
    <w:rsid w:val="008C0633"/>
    <w:rsid w:val="008C074F"/>
    <w:rsid w:val="008C0927"/>
    <w:rsid w:val="008C12B7"/>
    <w:rsid w:val="008C234E"/>
    <w:rsid w:val="008C27EE"/>
    <w:rsid w:val="008C2F67"/>
    <w:rsid w:val="008C3FBE"/>
    <w:rsid w:val="008C4059"/>
    <w:rsid w:val="008C48FE"/>
    <w:rsid w:val="008C6CCD"/>
    <w:rsid w:val="008D0211"/>
    <w:rsid w:val="008D0297"/>
    <w:rsid w:val="008D06F2"/>
    <w:rsid w:val="008D0872"/>
    <w:rsid w:val="008D0D16"/>
    <w:rsid w:val="008D0F86"/>
    <w:rsid w:val="008D11D9"/>
    <w:rsid w:val="008D2141"/>
    <w:rsid w:val="008D28F0"/>
    <w:rsid w:val="008D34B3"/>
    <w:rsid w:val="008D3CCB"/>
    <w:rsid w:val="008D4358"/>
    <w:rsid w:val="008D44BD"/>
    <w:rsid w:val="008D47AE"/>
    <w:rsid w:val="008D540F"/>
    <w:rsid w:val="008D5A81"/>
    <w:rsid w:val="008D6649"/>
    <w:rsid w:val="008D6BFE"/>
    <w:rsid w:val="008D6CC3"/>
    <w:rsid w:val="008D739F"/>
    <w:rsid w:val="008D7556"/>
    <w:rsid w:val="008D7950"/>
    <w:rsid w:val="008D7CE1"/>
    <w:rsid w:val="008D7D43"/>
    <w:rsid w:val="008D7F4F"/>
    <w:rsid w:val="008E0A01"/>
    <w:rsid w:val="008E0B49"/>
    <w:rsid w:val="008E0D66"/>
    <w:rsid w:val="008E213C"/>
    <w:rsid w:val="008E315E"/>
    <w:rsid w:val="008E3372"/>
    <w:rsid w:val="008E3FE2"/>
    <w:rsid w:val="008E5454"/>
    <w:rsid w:val="008E5B6B"/>
    <w:rsid w:val="008E5CFB"/>
    <w:rsid w:val="008E5E7F"/>
    <w:rsid w:val="008E6328"/>
    <w:rsid w:val="008F0411"/>
    <w:rsid w:val="008F14F5"/>
    <w:rsid w:val="008F187C"/>
    <w:rsid w:val="008F30E5"/>
    <w:rsid w:val="008F3AC5"/>
    <w:rsid w:val="008F48D5"/>
    <w:rsid w:val="008F508D"/>
    <w:rsid w:val="008F554F"/>
    <w:rsid w:val="008F58CB"/>
    <w:rsid w:val="008F5FF4"/>
    <w:rsid w:val="008F6BA1"/>
    <w:rsid w:val="008F6F03"/>
    <w:rsid w:val="008F6F7F"/>
    <w:rsid w:val="008F72FF"/>
    <w:rsid w:val="008F7F8A"/>
    <w:rsid w:val="009000B7"/>
    <w:rsid w:val="00900133"/>
    <w:rsid w:val="0090064D"/>
    <w:rsid w:val="00900750"/>
    <w:rsid w:val="009015F3"/>
    <w:rsid w:val="00901E4C"/>
    <w:rsid w:val="00902D35"/>
    <w:rsid w:val="00902FB5"/>
    <w:rsid w:val="009035F4"/>
    <w:rsid w:val="00903FD4"/>
    <w:rsid w:val="00904E4C"/>
    <w:rsid w:val="0090561F"/>
    <w:rsid w:val="00905C42"/>
    <w:rsid w:val="00906A8B"/>
    <w:rsid w:val="00906B1F"/>
    <w:rsid w:val="00906E32"/>
    <w:rsid w:val="0090717F"/>
    <w:rsid w:val="00907438"/>
    <w:rsid w:val="00907916"/>
    <w:rsid w:val="00907B78"/>
    <w:rsid w:val="0091016D"/>
    <w:rsid w:val="00910953"/>
    <w:rsid w:val="0091138F"/>
    <w:rsid w:val="0091149D"/>
    <w:rsid w:val="00912AFD"/>
    <w:rsid w:val="00912C5A"/>
    <w:rsid w:val="00914A92"/>
    <w:rsid w:val="009159F5"/>
    <w:rsid w:val="00915B10"/>
    <w:rsid w:val="00916F33"/>
    <w:rsid w:val="009177CF"/>
    <w:rsid w:val="009207FF"/>
    <w:rsid w:val="009235BE"/>
    <w:rsid w:val="00923966"/>
    <w:rsid w:val="00923C43"/>
    <w:rsid w:val="009246E1"/>
    <w:rsid w:val="00924794"/>
    <w:rsid w:val="00924B68"/>
    <w:rsid w:val="009251E4"/>
    <w:rsid w:val="0092529B"/>
    <w:rsid w:val="00926185"/>
    <w:rsid w:val="00926968"/>
    <w:rsid w:val="00931364"/>
    <w:rsid w:val="00931517"/>
    <w:rsid w:val="009317A2"/>
    <w:rsid w:val="00931967"/>
    <w:rsid w:val="009321CD"/>
    <w:rsid w:val="00932487"/>
    <w:rsid w:val="00932D09"/>
    <w:rsid w:val="00932FC8"/>
    <w:rsid w:val="0093311F"/>
    <w:rsid w:val="009339EF"/>
    <w:rsid w:val="0093462B"/>
    <w:rsid w:val="0093520E"/>
    <w:rsid w:val="009352A6"/>
    <w:rsid w:val="0093586A"/>
    <w:rsid w:val="009359B9"/>
    <w:rsid w:val="009359C1"/>
    <w:rsid w:val="009364B0"/>
    <w:rsid w:val="00936BEF"/>
    <w:rsid w:val="009374C0"/>
    <w:rsid w:val="00940745"/>
    <w:rsid w:val="009408C2"/>
    <w:rsid w:val="00940996"/>
    <w:rsid w:val="00940A20"/>
    <w:rsid w:val="00940F03"/>
    <w:rsid w:val="00941094"/>
    <w:rsid w:val="00941BD9"/>
    <w:rsid w:val="009420CC"/>
    <w:rsid w:val="00943050"/>
    <w:rsid w:val="00943103"/>
    <w:rsid w:val="0094418C"/>
    <w:rsid w:val="0094457D"/>
    <w:rsid w:val="00944DD2"/>
    <w:rsid w:val="00945036"/>
    <w:rsid w:val="00946082"/>
    <w:rsid w:val="00946256"/>
    <w:rsid w:val="009462A1"/>
    <w:rsid w:val="00946315"/>
    <w:rsid w:val="00946FF9"/>
    <w:rsid w:val="009472D6"/>
    <w:rsid w:val="009476F0"/>
    <w:rsid w:val="00947728"/>
    <w:rsid w:val="0095056F"/>
    <w:rsid w:val="00950C60"/>
    <w:rsid w:val="0095120B"/>
    <w:rsid w:val="009513DE"/>
    <w:rsid w:val="0095184D"/>
    <w:rsid w:val="00951992"/>
    <w:rsid w:val="00951CFD"/>
    <w:rsid w:val="00952F63"/>
    <w:rsid w:val="00953050"/>
    <w:rsid w:val="00953F7F"/>
    <w:rsid w:val="00954BAF"/>
    <w:rsid w:val="00954E30"/>
    <w:rsid w:val="00956232"/>
    <w:rsid w:val="00956291"/>
    <w:rsid w:val="0095629D"/>
    <w:rsid w:val="00956321"/>
    <w:rsid w:val="00956631"/>
    <w:rsid w:val="00961A8E"/>
    <w:rsid w:val="00961F5D"/>
    <w:rsid w:val="00962454"/>
    <w:rsid w:val="00962DA5"/>
    <w:rsid w:val="00962ED2"/>
    <w:rsid w:val="009646F5"/>
    <w:rsid w:val="00965162"/>
    <w:rsid w:val="00965789"/>
    <w:rsid w:val="00965815"/>
    <w:rsid w:val="00965C27"/>
    <w:rsid w:val="00966159"/>
    <w:rsid w:val="00966B90"/>
    <w:rsid w:val="009719A8"/>
    <w:rsid w:val="0097201E"/>
    <w:rsid w:val="00972428"/>
    <w:rsid w:val="009726E4"/>
    <w:rsid w:val="009729FA"/>
    <w:rsid w:val="00972D3E"/>
    <w:rsid w:val="00973D53"/>
    <w:rsid w:val="00974690"/>
    <w:rsid w:val="009749FC"/>
    <w:rsid w:val="00975B44"/>
    <w:rsid w:val="00975BCF"/>
    <w:rsid w:val="0097667A"/>
    <w:rsid w:val="00976E01"/>
    <w:rsid w:val="00977060"/>
    <w:rsid w:val="00977C31"/>
    <w:rsid w:val="00980045"/>
    <w:rsid w:val="00980305"/>
    <w:rsid w:val="00980ED1"/>
    <w:rsid w:val="0098107C"/>
    <w:rsid w:val="00981BF6"/>
    <w:rsid w:val="009830C4"/>
    <w:rsid w:val="00984443"/>
    <w:rsid w:val="009851F7"/>
    <w:rsid w:val="00985C44"/>
    <w:rsid w:val="00985CF0"/>
    <w:rsid w:val="00985D98"/>
    <w:rsid w:val="00986B0C"/>
    <w:rsid w:val="00986EA9"/>
    <w:rsid w:val="00986F31"/>
    <w:rsid w:val="00987EF8"/>
    <w:rsid w:val="00990362"/>
    <w:rsid w:val="00990F67"/>
    <w:rsid w:val="00991807"/>
    <w:rsid w:val="009919FE"/>
    <w:rsid w:val="00991E92"/>
    <w:rsid w:val="00992D82"/>
    <w:rsid w:val="0099356F"/>
    <w:rsid w:val="00993D21"/>
    <w:rsid w:val="0099434F"/>
    <w:rsid w:val="009944B3"/>
    <w:rsid w:val="00994712"/>
    <w:rsid w:val="00995CC0"/>
    <w:rsid w:val="009965DC"/>
    <w:rsid w:val="0099661A"/>
    <w:rsid w:val="009966F0"/>
    <w:rsid w:val="00997413"/>
    <w:rsid w:val="009A06C6"/>
    <w:rsid w:val="009A10C1"/>
    <w:rsid w:val="009A1976"/>
    <w:rsid w:val="009A1B4A"/>
    <w:rsid w:val="009A1B5B"/>
    <w:rsid w:val="009A1C9F"/>
    <w:rsid w:val="009A24FB"/>
    <w:rsid w:val="009A2B3D"/>
    <w:rsid w:val="009A37D6"/>
    <w:rsid w:val="009A435E"/>
    <w:rsid w:val="009A5555"/>
    <w:rsid w:val="009A6989"/>
    <w:rsid w:val="009A6C67"/>
    <w:rsid w:val="009A7085"/>
    <w:rsid w:val="009B0D1F"/>
    <w:rsid w:val="009B1459"/>
    <w:rsid w:val="009B18D4"/>
    <w:rsid w:val="009B1BB6"/>
    <w:rsid w:val="009B1E43"/>
    <w:rsid w:val="009B1E89"/>
    <w:rsid w:val="009B2094"/>
    <w:rsid w:val="009B279C"/>
    <w:rsid w:val="009B3273"/>
    <w:rsid w:val="009B35C9"/>
    <w:rsid w:val="009B47FA"/>
    <w:rsid w:val="009B4D39"/>
    <w:rsid w:val="009B5175"/>
    <w:rsid w:val="009B5450"/>
    <w:rsid w:val="009B578A"/>
    <w:rsid w:val="009B5C20"/>
    <w:rsid w:val="009B67BE"/>
    <w:rsid w:val="009B6869"/>
    <w:rsid w:val="009B6ACB"/>
    <w:rsid w:val="009B70FB"/>
    <w:rsid w:val="009B7577"/>
    <w:rsid w:val="009C0984"/>
    <w:rsid w:val="009C0AB1"/>
    <w:rsid w:val="009C13D8"/>
    <w:rsid w:val="009C1587"/>
    <w:rsid w:val="009C1AF1"/>
    <w:rsid w:val="009C2EBC"/>
    <w:rsid w:val="009C3508"/>
    <w:rsid w:val="009C3E39"/>
    <w:rsid w:val="009C5AC9"/>
    <w:rsid w:val="009C5BCF"/>
    <w:rsid w:val="009C66C6"/>
    <w:rsid w:val="009C6EDC"/>
    <w:rsid w:val="009C71F1"/>
    <w:rsid w:val="009C77FA"/>
    <w:rsid w:val="009D1326"/>
    <w:rsid w:val="009D1BD8"/>
    <w:rsid w:val="009D1F78"/>
    <w:rsid w:val="009D3417"/>
    <w:rsid w:val="009D3686"/>
    <w:rsid w:val="009D3956"/>
    <w:rsid w:val="009D3CA2"/>
    <w:rsid w:val="009D4052"/>
    <w:rsid w:val="009D472E"/>
    <w:rsid w:val="009D497D"/>
    <w:rsid w:val="009D4DEA"/>
    <w:rsid w:val="009D5968"/>
    <w:rsid w:val="009D5B65"/>
    <w:rsid w:val="009D5BE0"/>
    <w:rsid w:val="009D72B5"/>
    <w:rsid w:val="009D7CF6"/>
    <w:rsid w:val="009E027A"/>
    <w:rsid w:val="009E0379"/>
    <w:rsid w:val="009E0396"/>
    <w:rsid w:val="009E0DD2"/>
    <w:rsid w:val="009E1253"/>
    <w:rsid w:val="009E14B3"/>
    <w:rsid w:val="009E1596"/>
    <w:rsid w:val="009E18E5"/>
    <w:rsid w:val="009E2129"/>
    <w:rsid w:val="009E3D11"/>
    <w:rsid w:val="009E45D3"/>
    <w:rsid w:val="009E4A0A"/>
    <w:rsid w:val="009E4C00"/>
    <w:rsid w:val="009E574C"/>
    <w:rsid w:val="009E5846"/>
    <w:rsid w:val="009E5DFB"/>
    <w:rsid w:val="009E6C7E"/>
    <w:rsid w:val="009E7B20"/>
    <w:rsid w:val="009E7B69"/>
    <w:rsid w:val="009E7D84"/>
    <w:rsid w:val="009F08BB"/>
    <w:rsid w:val="009F13A8"/>
    <w:rsid w:val="009F1907"/>
    <w:rsid w:val="009F1934"/>
    <w:rsid w:val="009F1CA7"/>
    <w:rsid w:val="009F2355"/>
    <w:rsid w:val="009F2A55"/>
    <w:rsid w:val="009F2D51"/>
    <w:rsid w:val="009F3511"/>
    <w:rsid w:val="009F36AF"/>
    <w:rsid w:val="009F3FAC"/>
    <w:rsid w:val="009F4675"/>
    <w:rsid w:val="009F516F"/>
    <w:rsid w:val="009F5BEF"/>
    <w:rsid w:val="009F5FBE"/>
    <w:rsid w:val="009F6D20"/>
    <w:rsid w:val="009F6EAD"/>
    <w:rsid w:val="00A00D1F"/>
    <w:rsid w:val="00A00ED4"/>
    <w:rsid w:val="00A015C7"/>
    <w:rsid w:val="00A03170"/>
    <w:rsid w:val="00A0374B"/>
    <w:rsid w:val="00A03859"/>
    <w:rsid w:val="00A039CA"/>
    <w:rsid w:val="00A04D12"/>
    <w:rsid w:val="00A0525D"/>
    <w:rsid w:val="00A064E1"/>
    <w:rsid w:val="00A0698E"/>
    <w:rsid w:val="00A06DE5"/>
    <w:rsid w:val="00A1041E"/>
    <w:rsid w:val="00A1182F"/>
    <w:rsid w:val="00A11B74"/>
    <w:rsid w:val="00A1223C"/>
    <w:rsid w:val="00A124D2"/>
    <w:rsid w:val="00A1256F"/>
    <w:rsid w:val="00A1398C"/>
    <w:rsid w:val="00A13A75"/>
    <w:rsid w:val="00A13B0C"/>
    <w:rsid w:val="00A14506"/>
    <w:rsid w:val="00A148A9"/>
    <w:rsid w:val="00A14A21"/>
    <w:rsid w:val="00A14EC4"/>
    <w:rsid w:val="00A15546"/>
    <w:rsid w:val="00A157F2"/>
    <w:rsid w:val="00A15C81"/>
    <w:rsid w:val="00A15D0E"/>
    <w:rsid w:val="00A1660F"/>
    <w:rsid w:val="00A16664"/>
    <w:rsid w:val="00A16D90"/>
    <w:rsid w:val="00A16F59"/>
    <w:rsid w:val="00A173E0"/>
    <w:rsid w:val="00A176B5"/>
    <w:rsid w:val="00A20085"/>
    <w:rsid w:val="00A20407"/>
    <w:rsid w:val="00A218B0"/>
    <w:rsid w:val="00A218F8"/>
    <w:rsid w:val="00A219C2"/>
    <w:rsid w:val="00A21E45"/>
    <w:rsid w:val="00A23B49"/>
    <w:rsid w:val="00A23CFF"/>
    <w:rsid w:val="00A23E37"/>
    <w:rsid w:val="00A24341"/>
    <w:rsid w:val="00A25D6A"/>
    <w:rsid w:val="00A26D79"/>
    <w:rsid w:val="00A2706A"/>
    <w:rsid w:val="00A27EF7"/>
    <w:rsid w:val="00A27FF4"/>
    <w:rsid w:val="00A30024"/>
    <w:rsid w:val="00A3013E"/>
    <w:rsid w:val="00A317DE"/>
    <w:rsid w:val="00A31BC9"/>
    <w:rsid w:val="00A31F13"/>
    <w:rsid w:val="00A3246F"/>
    <w:rsid w:val="00A333AB"/>
    <w:rsid w:val="00A33466"/>
    <w:rsid w:val="00A33514"/>
    <w:rsid w:val="00A33B99"/>
    <w:rsid w:val="00A33CDA"/>
    <w:rsid w:val="00A34132"/>
    <w:rsid w:val="00A34312"/>
    <w:rsid w:val="00A34E53"/>
    <w:rsid w:val="00A3518A"/>
    <w:rsid w:val="00A35502"/>
    <w:rsid w:val="00A3571C"/>
    <w:rsid w:val="00A35C10"/>
    <w:rsid w:val="00A36B23"/>
    <w:rsid w:val="00A37A4C"/>
    <w:rsid w:val="00A37C32"/>
    <w:rsid w:val="00A37FCD"/>
    <w:rsid w:val="00A400C9"/>
    <w:rsid w:val="00A4074B"/>
    <w:rsid w:val="00A40FA6"/>
    <w:rsid w:val="00A410FC"/>
    <w:rsid w:val="00A415DD"/>
    <w:rsid w:val="00A41703"/>
    <w:rsid w:val="00A41D4D"/>
    <w:rsid w:val="00A42606"/>
    <w:rsid w:val="00A43223"/>
    <w:rsid w:val="00A4339A"/>
    <w:rsid w:val="00A43C8A"/>
    <w:rsid w:val="00A44333"/>
    <w:rsid w:val="00A4444D"/>
    <w:rsid w:val="00A446CB"/>
    <w:rsid w:val="00A4493E"/>
    <w:rsid w:val="00A454AA"/>
    <w:rsid w:val="00A45CE2"/>
    <w:rsid w:val="00A462A3"/>
    <w:rsid w:val="00A47BA4"/>
    <w:rsid w:val="00A50AC1"/>
    <w:rsid w:val="00A50B57"/>
    <w:rsid w:val="00A50BAF"/>
    <w:rsid w:val="00A50C9C"/>
    <w:rsid w:val="00A516B9"/>
    <w:rsid w:val="00A51EFA"/>
    <w:rsid w:val="00A535B2"/>
    <w:rsid w:val="00A5385E"/>
    <w:rsid w:val="00A53A02"/>
    <w:rsid w:val="00A53C89"/>
    <w:rsid w:val="00A5432C"/>
    <w:rsid w:val="00A54949"/>
    <w:rsid w:val="00A54BF3"/>
    <w:rsid w:val="00A55D6D"/>
    <w:rsid w:val="00A55EC0"/>
    <w:rsid w:val="00A56890"/>
    <w:rsid w:val="00A56FEC"/>
    <w:rsid w:val="00A5727C"/>
    <w:rsid w:val="00A5764B"/>
    <w:rsid w:val="00A60237"/>
    <w:rsid w:val="00A60D3A"/>
    <w:rsid w:val="00A60F56"/>
    <w:rsid w:val="00A611EC"/>
    <w:rsid w:val="00A62C7A"/>
    <w:rsid w:val="00A62E91"/>
    <w:rsid w:val="00A630EC"/>
    <w:rsid w:val="00A634D8"/>
    <w:rsid w:val="00A63C5F"/>
    <w:rsid w:val="00A646AB"/>
    <w:rsid w:val="00A65EF8"/>
    <w:rsid w:val="00A65F01"/>
    <w:rsid w:val="00A669FC"/>
    <w:rsid w:val="00A671A3"/>
    <w:rsid w:val="00A70722"/>
    <w:rsid w:val="00A70F50"/>
    <w:rsid w:val="00A71BEC"/>
    <w:rsid w:val="00A7247D"/>
    <w:rsid w:val="00A728A2"/>
    <w:rsid w:val="00A72B0A"/>
    <w:rsid w:val="00A72D29"/>
    <w:rsid w:val="00A731B7"/>
    <w:rsid w:val="00A73510"/>
    <w:rsid w:val="00A73763"/>
    <w:rsid w:val="00A73CCD"/>
    <w:rsid w:val="00A744FB"/>
    <w:rsid w:val="00A74573"/>
    <w:rsid w:val="00A745A5"/>
    <w:rsid w:val="00A74DB0"/>
    <w:rsid w:val="00A7672A"/>
    <w:rsid w:val="00A76BD6"/>
    <w:rsid w:val="00A76E08"/>
    <w:rsid w:val="00A770DD"/>
    <w:rsid w:val="00A7796F"/>
    <w:rsid w:val="00A779C9"/>
    <w:rsid w:val="00A77FCC"/>
    <w:rsid w:val="00A803A7"/>
    <w:rsid w:val="00A80DB5"/>
    <w:rsid w:val="00A80E70"/>
    <w:rsid w:val="00A80F94"/>
    <w:rsid w:val="00A8197E"/>
    <w:rsid w:val="00A81BFA"/>
    <w:rsid w:val="00A81DBF"/>
    <w:rsid w:val="00A8213A"/>
    <w:rsid w:val="00A821E4"/>
    <w:rsid w:val="00A826E5"/>
    <w:rsid w:val="00A82763"/>
    <w:rsid w:val="00A833D9"/>
    <w:rsid w:val="00A834AD"/>
    <w:rsid w:val="00A83C9F"/>
    <w:rsid w:val="00A83CBF"/>
    <w:rsid w:val="00A85904"/>
    <w:rsid w:val="00A86138"/>
    <w:rsid w:val="00A86454"/>
    <w:rsid w:val="00A87A88"/>
    <w:rsid w:val="00A901B3"/>
    <w:rsid w:val="00A90681"/>
    <w:rsid w:val="00A90944"/>
    <w:rsid w:val="00A9188E"/>
    <w:rsid w:val="00A91C21"/>
    <w:rsid w:val="00A91D12"/>
    <w:rsid w:val="00A92220"/>
    <w:rsid w:val="00A9249E"/>
    <w:rsid w:val="00A92792"/>
    <w:rsid w:val="00A93708"/>
    <w:rsid w:val="00A943F5"/>
    <w:rsid w:val="00A9461E"/>
    <w:rsid w:val="00A94E12"/>
    <w:rsid w:val="00A950B3"/>
    <w:rsid w:val="00A95DEA"/>
    <w:rsid w:val="00A96EDF"/>
    <w:rsid w:val="00A9740B"/>
    <w:rsid w:val="00A97BC8"/>
    <w:rsid w:val="00AA11A1"/>
    <w:rsid w:val="00AA1C94"/>
    <w:rsid w:val="00AA29F0"/>
    <w:rsid w:val="00AA30AC"/>
    <w:rsid w:val="00AA3D5E"/>
    <w:rsid w:val="00AA3EA5"/>
    <w:rsid w:val="00AA48ED"/>
    <w:rsid w:val="00AA4B7A"/>
    <w:rsid w:val="00AA535F"/>
    <w:rsid w:val="00AA6992"/>
    <w:rsid w:val="00AA7628"/>
    <w:rsid w:val="00AA7763"/>
    <w:rsid w:val="00AA7967"/>
    <w:rsid w:val="00AB0906"/>
    <w:rsid w:val="00AB3265"/>
    <w:rsid w:val="00AB3650"/>
    <w:rsid w:val="00AB385B"/>
    <w:rsid w:val="00AB39C2"/>
    <w:rsid w:val="00AB3D7C"/>
    <w:rsid w:val="00AB3FEE"/>
    <w:rsid w:val="00AB485B"/>
    <w:rsid w:val="00AB5388"/>
    <w:rsid w:val="00AB54BA"/>
    <w:rsid w:val="00AB56A9"/>
    <w:rsid w:val="00AB794A"/>
    <w:rsid w:val="00AC00E3"/>
    <w:rsid w:val="00AC0274"/>
    <w:rsid w:val="00AC0CAA"/>
    <w:rsid w:val="00AC1296"/>
    <w:rsid w:val="00AC259A"/>
    <w:rsid w:val="00AC33C3"/>
    <w:rsid w:val="00AC38BA"/>
    <w:rsid w:val="00AC4350"/>
    <w:rsid w:val="00AC5244"/>
    <w:rsid w:val="00AC5631"/>
    <w:rsid w:val="00AC572D"/>
    <w:rsid w:val="00AC5B0F"/>
    <w:rsid w:val="00AC5DE4"/>
    <w:rsid w:val="00AC6380"/>
    <w:rsid w:val="00AC63D2"/>
    <w:rsid w:val="00AC64F9"/>
    <w:rsid w:val="00AC666C"/>
    <w:rsid w:val="00AD0A68"/>
    <w:rsid w:val="00AD1654"/>
    <w:rsid w:val="00AD183C"/>
    <w:rsid w:val="00AD2238"/>
    <w:rsid w:val="00AD33BD"/>
    <w:rsid w:val="00AD3500"/>
    <w:rsid w:val="00AD3ACC"/>
    <w:rsid w:val="00AD3C95"/>
    <w:rsid w:val="00AD3F55"/>
    <w:rsid w:val="00AD403A"/>
    <w:rsid w:val="00AD57BE"/>
    <w:rsid w:val="00AD5909"/>
    <w:rsid w:val="00AD6334"/>
    <w:rsid w:val="00AD6B6B"/>
    <w:rsid w:val="00AD6D11"/>
    <w:rsid w:val="00AD70C6"/>
    <w:rsid w:val="00AD7F8E"/>
    <w:rsid w:val="00AE0047"/>
    <w:rsid w:val="00AE095D"/>
    <w:rsid w:val="00AE10C1"/>
    <w:rsid w:val="00AE1584"/>
    <w:rsid w:val="00AE2A5D"/>
    <w:rsid w:val="00AE38F0"/>
    <w:rsid w:val="00AE429D"/>
    <w:rsid w:val="00AE4566"/>
    <w:rsid w:val="00AE45D4"/>
    <w:rsid w:val="00AE4B0A"/>
    <w:rsid w:val="00AE621F"/>
    <w:rsid w:val="00AE648D"/>
    <w:rsid w:val="00AE6502"/>
    <w:rsid w:val="00AE69D4"/>
    <w:rsid w:val="00AE6FCD"/>
    <w:rsid w:val="00AE7264"/>
    <w:rsid w:val="00AE77B3"/>
    <w:rsid w:val="00AE7D51"/>
    <w:rsid w:val="00AE7E42"/>
    <w:rsid w:val="00AE7EBA"/>
    <w:rsid w:val="00AF0ABB"/>
    <w:rsid w:val="00AF0ED9"/>
    <w:rsid w:val="00AF20E7"/>
    <w:rsid w:val="00AF2634"/>
    <w:rsid w:val="00AF2C92"/>
    <w:rsid w:val="00AF34E3"/>
    <w:rsid w:val="00AF34EC"/>
    <w:rsid w:val="00AF3514"/>
    <w:rsid w:val="00AF3637"/>
    <w:rsid w:val="00AF38AC"/>
    <w:rsid w:val="00AF3BBB"/>
    <w:rsid w:val="00AF4E4A"/>
    <w:rsid w:val="00AF4F6D"/>
    <w:rsid w:val="00AF5347"/>
    <w:rsid w:val="00AF62ED"/>
    <w:rsid w:val="00AF6D93"/>
    <w:rsid w:val="00AF6E89"/>
    <w:rsid w:val="00AF6F55"/>
    <w:rsid w:val="00AF7734"/>
    <w:rsid w:val="00B00608"/>
    <w:rsid w:val="00B007EF"/>
    <w:rsid w:val="00B00EAA"/>
    <w:rsid w:val="00B00F8B"/>
    <w:rsid w:val="00B010DC"/>
    <w:rsid w:val="00B0133D"/>
    <w:rsid w:val="00B01475"/>
    <w:rsid w:val="00B0147D"/>
    <w:rsid w:val="00B014D3"/>
    <w:rsid w:val="00B016EB"/>
    <w:rsid w:val="00B01DA4"/>
    <w:rsid w:val="00B029BC"/>
    <w:rsid w:val="00B02A81"/>
    <w:rsid w:val="00B03293"/>
    <w:rsid w:val="00B0336B"/>
    <w:rsid w:val="00B037F5"/>
    <w:rsid w:val="00B04B91"/>
    <w:rsid w:val="00B05036"/>
    <w:rsid w:val="00B0551C"/>
    <w:rsid w:val="00B05EFD"/>
    <w:rsid w:val="00B06933"/>
    <w:rsid w:val="00B06B01"/>
    <w:rsid w:val="00B06D79"/>
    <w:rsid w:val="00B070D1"/>
    <w:rsid w:val="00B104F1"/>
    <w:rsid w:val="00B1100F"/>
    <w:rsid w:val="00B12F34"/>
    <w:rsid w:val="00B1336B"/>
    <w:rsid w:val="00B134D4"/>
    <w:rsid w:val="00B1529D"/>
    <w:rsid w:val="00B15429"/>
    <w:rsid w:val="00B16A63"/>
    <w:rsid w:val="00B17262"/>
    <w:rsid w:val="00B17613"/>
    <w:rsid w:val="00B203D6"/>
    <w:rsid w:val="00B20BE6"/>
    <w:rsid w:val="00B21A32"/>
    <w:rsid w:val="00B21AD3"/>
    <w:rsid w:val="00B21AF1"/>
    <w:rsid w:val="00B241EF"/>
    <w:rsid w:val="00B2485D"/>
    <w:rsid w:val="00B24A54"/>
    <w:rsid w:val="00B24A63"/>
    <w:rsid w:val="00B24C5D"/>
    <w:rsid w:val="00B24F7E"/>
    <w:rsid w:val="00B25806"/>
    <w:rsid w:val="00B30071"/>
    <w:rsid w:val="00B30D5A"/>
    <w:rsid w:val="00B3195F"/>
    <w:rsid w:val="00B31B09"/>
    <w:rsid w:val="00B32223"/>
    <w:rsid w:val="00B32318"/>
    <w:rsid w:val="00B32471"/>
    <w:rsid w:val="00B325F2"/>
    <w:rsid w:val="00B32851"/>
    <w:rsid w:val="00B32FE5"/>
    <w:rsid w:val="00B33BDC"/>
    <w:rsid w:val="00B33ED3"/>
    <w:rsid w:val="00B34720"/>
    <w:rsid w:val="00B35522"/>
    <w:rsid w:val="00B35B0E"/>
    <w:rsid w:val="00B35F91"/>
    <w:rsid w:val="00B35FB6"/>
    <w:rsid w:val="00B36F18"/>
    <w:rsid w:val="00B37A04"/>
    <w:rsid w:val="00B408FB"/>
    <w:rsid w:val="00B41391"/>
    <w:rsid w:val="00B4211D"/>
    <w:rsid w:val="00B425B6"/>
    <w:rsid w:val="00B42A82"/>
    <w:rsid w:val="00B42BDB"/>
    <w:rsid w:val="00B42C23"/>
    <w:rsid w:val="00B431B2"/>
    <w:rsid w:val="00B4433A"/>
    <w:rsid w:val="00B451C8"/>
    <w:rsid w:val="00B467B9"/>
    <w:rsid w:val="00B472B0"/>
    <w:rsid w:val="00B476AE"/>
    <w:rsid w:val="00B47FB1"/>
    <w:rsid w:val="00B5017A"/>
    <w:rsid w:val="00B50244"/>
    <w:rsid w:val="00B50790"/>
    <w:rsid w:val="00B51473"/>
    <w:rsid w:val="00B51793"/>
    <w:rsid w:val="00B51B7E"/>
    <w:rsid w:val="00B5207F"/>
    <w:rsid w:val="00B522B5"/>
    <w:rsid w:val="00B5249D"/>
    <w:rsid w:val="00B5377A"/>
    <w:rsid w:val="00B53916"/>
    <w:rsid w:val="00B540AD"/>
    <w:rsid w:val="00B55BCB"/>
    <w:rsid w:val="00B561A0"/>
    <w:rsid w:val="00B5778F"/>
    <w:rsid w:val="00B579B6"/>
    <w:rsid w:val="00B57F4E"/>
    <w:rsid w:val="00B601FF"/>
    <w:rsid w:val="00B606F6"/>
    <w:rsid w:val="00B6086C"/>
    <w:rsid w:val="00B60874"/>
    <w:rsid w:val="00B60959"/>
    <w:rsid w:val="00B6165A"/>
    <w:rsid w:val="00B616C5"/>
    <w:rsid w:val="00B62B59"/>
    <w:rsid w:val="00B63853"/>
    <w:rsid w:val="00B63958"/>
    <w:rsid w:val="00B64269"/>
    <w:rsid w:val="00B643AC"/>
    <w:rsid w:val="00B64874"/>
    <w:rsid w:val="00B657A8"/>
    <w:rsid w:val="00B65A5F"/>
    <w:rsid w:val="00B65AC0"/>
    <w:rsid w:val="00B665ED"/>
    <w:rsid w:val="00B679FF"/>
    <w:rsid w:val="00B702F2"/>
    <w:rsid w:val="00B707A0"/>
    <w:rsid w:val="00B72104"/>
    <w:rsid w:val="00B723AD"/>
    <w:rsid w:val="00B72CC7"/>
    <w:rsid w:val="00B73A0A"/>
    <w:rsid w:val="00B7455E"/>
    <w:rsid w:val="00B74B15"/>
    <w:rsid w:val="00B75336"/>
    <w:rsid w:val="00B7556E"/>
    <w:rsid w:val="00B7580A"/>
    <w:rsid w:val="00B75CCE"/>
    <w:rsid w:val="00B76038"/>
    <w:rsid w:val="00B76626"/>
    <w:rsid w:val="00B76A8E"/>
    <w:rsid w:val="00B77C25"/>
    <w:rsid w:val="00B801F3"/>
    <w:rsid w:val="00B8032D"/>
    <w:rsid w:val="00B807B4"/>
    <w:rsid w:val="00B811D0"/>
    <w:rsid w:val="00B826C8"/>
    <w:rsid w:val="00B83663"/>
    <w:rsid w:val="00B84085"/>
    <w:rsid w:val="00B84622"/>
    <w:rsid w:val="00B848C8"/>
    <w:rsid w:val="00B860AA"/>
    <w:rsid w:val="00B8632A"/>
    <w:rsid w:val="00B86C7B"/>
    <w:rsid w:val="00B8771B"/>
    <w:rsid w:val="00B9022E"/>
    <w:rsid w:val="00B91436"/>
    <w:rsid w:val="00B91DCC"/>
    <w:rsid w:val="00B9264B"/>
    <w:rsid w:val="00B9274F"/>
    <w:rsid w:val="00B92B95"/>
    <w:rsid w:val="00B93093"/>
    <w:rsid w:val="00B9310F"/>
    <w:rsid w:val="00B93A8F"/>
    <w:rsid w:val="00B93C4C"/>
    <w:rsid w:val="00B94C90"/>
    <w:rsid w:val="00B95907"/>
    <w:rsid w:val="00B95AD9"/>
    <w:rsid w:val="00B971A6"/>
    <w:rsid w:val="00B97F2C"/>
    <w:rsid w:val="00BA04C2"/>
    <w:rsid w:val="00BA0957"/>
    <w:rsid w:val="00BA0F5A"/>
    <w:rsid w:val="00BA0F7B"/>
    <w:rsid w:val="00BA217B"/>
    <w:rsid w:val="00BA24FC"/>
    <w:rsid w:val="00BA33E7"/>
    <w:rsid w:val="00BA3BA7"/>
    <w:rsid w:val="00BA589C"/>
    <w:rsid w:val="00BA596F"/>
    <w:rsid w:val="00BA631D"/>
    <w:rsid w:val="00BA7E49"/>
    <w:rsid w:val="00BA7FBC"/>
    <w:rsid w:val="00BB1180"/>
    <w:rsid w:val="00BB1649"/>
    <w:rsid w:val="00BB264D"/>
    <w:rsid w:val="00BB3627"/>
    <w:rsid w:val="00BB36E4"/>
    <w:rsid w:val="00BB3EBF"/>
    <w:rsid w:val="00BB4BBA"/>
    <w:rsid w:val="00BB4BDB"/>
    <w:rsid w:val="00BB5464"/>
    <w:rsid w:val="00BB563D"/>
    <w:rsid w:val="00BB566B"/>
    <w:rsid w:val="00BB57F4"/>
    <w:rsid w:val="00BB690B"/>
    <w:rsid w:val="00BB699E"/>
    <w:rsid w:val="00BB7AC8"/>
    <w:rsid w:val="00BC0B3F"/>
    <w:rsid w:val="00BC1201"/>
    <w:rsid w:val="00BC17E6"/>
    <w:rsid w:val="00BC1D3B"/>
    <w:rsid w:val="00BC1F37"/>
    <w:rsid w:val="00BC22D6"/>
    <w:rsid w:val="00BC2F3E"/>
    <w:rsid w:val="00BC2F8D"/>
    <w:rsid w:val="00BC307E"/>
    <w:rsid w:val="00BC382D"/>
    <w:rsid w:val="00BC3EF7"/>
    <w:rsid w:val="00BC4DC9"/>
    <w:rsid w:val="00BC587B"/>
    <w:rsid w:val="00BC5EC1"/>
    <w:rsid w:val="00BC6855"/>
    <w:rsid w:val="00BC7155"/>
    <w:rsid w:val="00BD03E8"/>
    <w:rsid w:val="00BD070B"/>
    <w:rsid w:val="00BD0D81"/>
    <w:rsid w:val="00BD0EEB"/>
    <w:rsid w:val="00BD1078"/>
    <w:rsid w:val="00BD2FE8"/>
    <w:rsid w:val="00BD3900"/>
    <w:rsid w:val="00BD41A4"/>
    <w:rsid w:val="00BD4507"/>
    <w:rsid w:val="00BD4BA2"/>
    <w:rsid w:val="00BD5AD4"/>
    <w:rsid w:val="00BD5C64"/>
    <w:rsid w:val="00BD5DED"/>
    <w:rsid w:val="00BD5E11"/>
    <w:rsid w:val="00BD627E"/>
    <w:rsid w:val="00BD7E9A"/>
    <w:rsid w:val="00BD7EA4"/>
    <w:rsid w:val="00BE0248"/>
    <w:rsid w:val="00BE0316"/>
    <w:rsid w:val="00BE0969"/>
    <w:rsid w:val="00BE0E97"/>
    <w:rsid w:val="00BE1F55"/>
    <w:rsid w:val="00BE2F39"/>
    <w:rsid w:val="00BE303D"/>
    <w:rsid w:val="00BE36BC"/>
    <w:rsid w:val="00BE3D4B"/>
    <w:rsid w:val="00BE4CE5"/>
    <w:rsid w:val="00BE5040"/>
    <w:rsid w:val="00BE5088"/>
    <w:rsid w:val="00BE53D6"/>
    <w:rsid w:val="00BE560E"/>
    <w:rsid w:val="00BE6540"/>
    <w:rsid w:val="00BE6721"/>
    <w:rsid w:val="00BE7B00"/>
    <w:rsid w:val="00BF03E6"/>
    <w:rsid w:val="00BF041D"/>
    <w:rsid w:val="00BF060C"/>
    <w:rsid w:val="00BF06A8"/>
    <w:rsid w:val="00BF089D"/>
    <w:rsid w:val="00BF0A1A"/>
    <w:rsid w:val="00BF1281"/>
    <w:rsid w:val="00BF1331"/>
    <w:rsid w:val="00BF1358"/>
    <w:rsid w:val="00BF1B88"/>
    <w:rsid w:val="00BF21B7"/>
    <w:rsid w:val="00BF246F"/>
    <w:rsid w:val="00BF2A4D"/>
    <w:rsid w:val="00BF3183"/>
    <w:rsid w:val="00BF34B6"/>
    <w:rsid w:val="00BF3945"/>
    <w:rsid w:val="00BF4EDA"/>
    <w:rsid w:val="00BF57FA"/>
    <w:rsid w:val="00BF5B35"/>
    <w:rsid w:val="00BF626F"/>
    <w:rsid w:val="00BF68B2"/>
    <w:rsid w:val="00BF74EE"/>
    <w:rsid w:val="00BF777C"/>
    <w:rsid w:val="00BF78AB"/>
    <w:rsid w:val="00C00985"/>
    <w:rsid w:val="00C01352"/>
    <w:rsid w:val="00C01F4C"/>
    <w:rsid w:val="00C01F59"/>
    <w:rsid w:val="00C02273"/>
    <w:rsid w:val="00C02973"/>
    <w:rsid w:val="00C02994"/>
    <w:rsid w:val="00C02A39"/>
    <w:rsid w:val="00C02BF5"/>
    <w:rsid w:val="00C02F56"/>
    <w:rsid w:val="00C031F6"/>
    <w:rsid w:val="00C03796"/>
    <w:rsid w:val="00C03C12"/>
    <w:rsid w:val="00C04905"/>
    <w:rsid w:val="00C05A6E"/>
    <w:rsid w:val="00C06228"/>
    <w:rsid w:val="00C065D3"/>
    <w:rsid w:val="00C06B73"/>
    <w:rsid w:val="00C06C81"/>
    <w:rsid w:val="00C10111"/>
    <w:rsid w:val="00C1054E"/>
    <w:rsid w:val="00C10D75"/>
    <w:rsid w:val="00C11828"/>
    <w:rsid w:val="00C13323"/>
    <w:rsid w:val="00C1384B"/>
    <w:rsid w:val="00C13911"/>
    <w:rsid w:val="00C146AB"/>
    <w:rsid w:val="00C15BB1"/>
    <w:rsid w:val="00C163DB"/>
    <w:rsid w:val="00C16A25"/>
    <w:rsid w:val="00C170AA"/>
    <w:rsid w:val="00C202FC"/>
    <w:rsid w:val="00C2066E"/>
    <w:rsid w:val="00C20A42"/>
    <w:rsid w:val="00C20B20"/>
    <w:rsid w:val="00C216C4"/>
    <w:rsid w:val="00C21975"/>
    <w:rsid w:val="00C229D8"/>
    <w:rsid w:val="00C22F55"/>
    <w:rsid w:val="00C22FBD"/>
    <w:rsid w:val="00C23046"/>
    <w:rsid w:val="00C233B6"/>
    <w:rsid w:val="00C247C1"/>
    <w:rsid w:val="00C24CF6"/>
    <w:rsid w:val="00C253DD"/>
    <w:rsid w:val="00C26661"/>
    <w:rsid w:val="00C26CE6"/>
    <w:rsid w:val="00C27244"/>
    <w:rsid w:val="00C27520"/>
    <w:rsid w:val="00C305B5"/>
    <w:rsid w:val="00C3063C"/>
    <w:rsid w:val="00C30934"/>
    <w:rsid w:val="00C31259"/>
    <w:rsid w:val="00C317D0"/>
    <w:rsid w:val="00C321CE"/>
    <w:rsid w:val="00C32E39"/>
    <w:rsid w:val="00C32F42"/>
    <w:rsid w:val="00C32FBE"/>
    <w:rsid w:val="00C33059"/>
    <w:rsid w:val="00C33491"/>
    <w:rsid w:val="00C346B6"/>
    <w:rsid w:val="00C3481F"/>
    <w:rsid w:val="00C34A53"/>
    <w:rsid w:val="00C3550C"/>
    <w:rsid w:val="00C3571B"/>
    <w:rsid w:val="00C35AFA"/>
    <w:rsid w:val="00C362C5"/>
    <w:rsid w:val="00C366A7"/>
    <w:rsid w:val="00C36943"/>
    <w:rsid w:val="00C372B9"/>
    <w:rsid w:val="00C37413"/>
    <w:rsid w:val="00C37957"/>
    <w:rsid w:val="00C37C74"/>
    <w:rsid w:val="00C37DE5"/>
    <w:rsid w:val="00C37EF3"/>
    <w:rsid w:val="00C4018A"/>
    <w:rsid w:val="00C41913"/>
    <w:rsid w:val="00C42ACF"/>
    <w:rsid w:val="00C4373B"/>
    <w:rsid w:val="00C446CE"/>
    <w:rsid w:val="00C449C5"/>
    <w:rsid w:val="00C45574"/>
    <w:rsid w:val="00C45A89"/>
    <w:rsid w:val="00C45ED4"/>
    <w:rsid w:val="00C46666"/>
    <w:rsid w:val="00C47791"/>
    <w:rsid w:val="00C47B22"/>
    <w:rsid w:val="00C47CC1"/>
    <w:rsid w:val="00C501EE"/>
    <w:rsid w:val="00C51717"/>
    <w:rsid w:val="00C51B2E"/>
    <w:rsid w:val="00C51DF0"/>
    <w:rsid w:val="00C52298"/>
    <w:rsid w:val="00C52356"/>
    <w:rsid w:val="00C52F60"/>
    <w:rsid w:val="00C53361"/>
    <w:rsid w:val="00C53EF9"/>
    <w:rsid w:val="00C546D7"/>
    <w:rsid w:val="00C55F02"/>
    <w:rsid w:val="00C56498"/>
    <w:rsid w:val="00C56F3B"/>
    <w:rsid w:val="00C576E2"/>
    <w:rsid w:val="00C579BA"/>
    <w:rsid w:val="00C600D4"/>
    <w:rsid w:val="00C61580"/>
    <w:rsid w:val="00C6172C"/>
    <w:rsid w:val="00C61969"/>
    <w:rsid w:val="00C6314E"/>
    <w:rsid w:val="00C64523"/>
    <w:rsid w:val="00C6581B"/>
    <w:rsid w:val="00C66157"/>
    <w:rsid w:val="00C66485"/>
    <w:rsid w:val="00C66494"/>
    <w:rsid w:val="00C664D7"/>
    <w:rsid w:val="00C66981"/>
    <w:rsid w:val="00C67CA0"/>
    <w:rsid w:val="00C70493"/>
    <w:rsid w:val="00C70A4D"/>
    <w:rsid w:val="00C71E73"/>
    <w:rsid w:val="00C720CB"/>
    <w:rsid w:val="00C7232B"/>
    <w:rsid w:val="00C73349"/>
    <w:rsid w:val="00C736B1"/>
    <w:rsid w:val="00C738D6"/>
    <w:rsid w:val="00C74BC9"/>
    <w:rsid w:val="00C75315"/>
    <w:rsid w:val="00C755D6"/>
    <w:rsid w:val="00C7659A"/>
    <w:rsid w:val="00C7772E"/>
    <w:rsid w:val="00C77857"/>
    <w:rsid w:val="00C77907"/>
    <w:rsid w:val="00C779EA"/>
    <w:rsid w:val="00C80BBB"/>
    <w:rsid w:val="00C80C7F"/>
    <w:rsid w:val="00C82501"/>
    <w:rsid w:val="00C8343B"/>
    <w:rsid w:val="00C8390F"/>
    <w:rsid w:val="00C83E69"/>
    <w:rsid w:val="00C83EDB"/>
    <w:rsid w:val="00C83FCB"/>
    <w:rsid w:val="00C84FB9"/>
    <w:rsid w:val="00C8502A"/>
    <w:rsid w:val="00C85300"/>
    <w:rsid w:val="00C85442"/>
    <w:rsid w:val="00C86A0D"/>
    <w:rsid w:val="00C86A6B"/>
    <w:rsid w:val="00C8748C"/>
    <w:rsid w:val="00C87876"/>
    <w:rsid w:val="00C90ECE"/>
    <w:rsid w:val="00C90F4A"/>
    <w:rsid w:val="00C910A8"/>
    <w:rsid w:val="00C919D9"/>
    <w:rsid w:val="00C919F6"/>
    <w:rsid w:val="00C92945"/>
    <w:rsid w:val="00C93AC3"/>
    <w:rsid w:val="00C94291"/>
    <w:rsid w:val="00C9440F"/>
    <w:rsid w:val="00C94B6D"/>
    <w:rsid w:val="00C95B3B"/>
    <w:rsid w:val="00C960A6"/>
    <w:rsid w:val="00C962E3"/>
    <w:rsid w:val="00C96667"/>
    <w:rsid w:val="00C96CE3"/>
    <w:rsid w:val="00C971AE"/>
    <w:rsid w:val="00C97678"/>
    <w:rsid w:val="00C97689"/>
    <w:rsid w:val="00C97983"/>
    <w:rsid w:val="00C97C8D"/>
    <w:rsid w:val="00C97F2A"/>
    <w:rsid w:val="00CA09C9"/>
    <w:rsid w:val="00CA1877"/>
    <w:rsid w:val="00CA24DF"/>
    <w:rsid w:val="00CA273F"/>
    <w:rsid w:val="00CA2776"/>
    <w:rsid w:val="00CA32D0"/>
    <w:rsid w:val="00CA3953"/>
    <w:rsid w:val="00CA40AA"/>
    <w:rsid w:val="00CA4171"/>
    <w:rsid w:val="00CA4449"/>
    <w:rsid w:val="00CA44C7"/>
    <w:rsid w:val="00CA4563"/>
    <w:rsid w:val="00CA51E1"/>
    <w:rsid w:val="00CA5CF8"/>
    <w:rsid w:val="00CA5EEC"/>
    <w:rsid w:val="00CA652D"/>
    <w:rsid w:val="00CA6C72"/>
    <w:rsid w:val="00CA6FB4"/>
    <w:rsid w:val="00CA71E1"/>
    <w:rsid w:val="00CA727B"/>
    <w:rsid w:val="00CA7514"/>
    <w:rsid w:val="00CB073F"/>
    <w:rsid w:val="00CB0D85"/>
    <w:rsid w:val="00CB1675"/>
    <w:rsid w:val="00CB16FC"/>
    <w:rsid w:val="00CB2600"/>
    <w:rsid w:val="00CB2944"/>
    <w:rsid w:val="00CB2A8E"/>
    <w:rsid w:val="00CB38AC"/>
    <w:rsid w:val="00CB3A4E"/>
    <w:rsid w:val="00CB50B8"/>
    <w:rsid w:val="00CB5898"/>
    <w:rsid w:val="00CB63B7"/>
    <w:rsid w:val="00CB6EBD"/>
    <w:rsid w:val="00CB763A"/>
    <w:rsid w:val="00CB789C"/>
    <w:rsid w:val="00CB7B7E"/>
    <w:rsid w:val="00CB7EE7"/>
    <w:rsid w:val="00CC110E"/>
    <w:rsid w:val="00CC1927"/>
    <w:rsid w:val="00CC2B70"/>
    <w:rsid w:val="00CC3F86"/>
    <w:rsid w:val="00CC40E6"/>
    <w:rsid w:val="00CC44C0"/>
    <w:rsid w:val="00CC45F4"/>
    <w:rsid w:val="00CC4F4C"/>
    <w:rsid w:val="00CC5115"/>
    <w:rsid w:val="00CC5778"/>
    <w:rsid w:val="00CC5A32"/>
    <w:rsid w:val="00CC63B5"/>
    <w:rsid w:val="00CD0CDE"/>
    <w:rsid w:val="00CD25FF"/>
    <w:rsid w:val="00CD3128"/>
    <w:rsid w:val="00CD333A"/>
    <w:rsid w:val="00CD34B4"/>
    <w:rsid w:val="00CD37BD"/>
    <w:rsid w:val="00CD3D38"/>
    <w:rsid w:val="00CD4A94"/>
    <w:rsid w:val="00CD4E8C"/>
    <w:rsid w:val="00CD4F6D"/>
    <w:rsid w:val="00CD55EA"/>
    <w:rsid w:val="00CD59BF"/>
    <w:rsid w:val="00CD5AF3"/>
    <w:rsid w:val="00CD5AF6"/>
    <w:rsid w:val="00CD6249"/>
    <w:rsid w:val="00CD6CAA"/>
    <w:rsid w:val="00CD7432"/>
    <w:rsid w:val="00CD7457"/>
    <w:rsid w:val="00CD7D47"/>
    <w:rsid w:val="00CE005E"/>
    <w:rsid w:val="00CE0AA4"/>
    <w:rsid w:val="00CE0D54"/>
    <w:rsid w:val="00CE1018"/>
    <w:rsid w:val="00CE193E"/>
    <w:rsid w:val="00CE3254"/>
    <w:rsid w:val="00CE3B15"/>
    <w:rsid w:val="00CE3EF3"/>
    <w:rsid w:val="00CE48DC"/>
    <w:rsid w:val="00CE5111"/>
    <w:rsid w:val="00CE515E"/>
    <w:rsid w:val="00CE5190"/>
    <w:rsid w:val="00CE5F71"/>
    <w:rsid w:val="00CE6EE1"/>
    <w:rsid w:val="00CF22B9"/>
    <w:rsid w:val="00CF29AB"/>
    <w:rsid w:val="00CF3609"/>
    <w:rsid w:val="00CF385C"/>
    <w:rsid w:val="00CF3DDF"/>
    <w:rsid w:val="00CF5AF5"/>
    <w:rsid w:val="00CF5C69"/>
    <w:rsid w:val="00CF6167"/>
    <w:rsid w:val="00CF66F6"/>
    <w:rsid w:val="00CF7DE4"/>
    <w:rsid w:val="00D00043"/>
    <w:rsid w:val="00D00336"/>
    <w:rsid w:val="00D00641"/>
    <w:rsid w:val="00D01063"/>
    <w:rsid w:val="00D012A8"/>
    <w:rsid w:val="00D01302"/>
    <w:rsid w:val="00D0138F"/>
    <w:rsid w:val="00D013CC"/>
    <w:rsid w:val="00D014A9"/>
    <w:rsid w:val="00D02030"/>
    <w:rsid w:val="00D02B2C"/>
    <w:rsid w:val="00D02BE0"/>
    <w:rsid w:val="00D03C0F"/>
    <w:rsid w:val="00D03E01"/>
    <w:rsid w:val="00D03E30"/>
    <w:rsid w:val="00D03F94"/>
    <w:rsid w:val="00D0444C"/>
    <w:rsid w:val="00D04EB4"/>
    <w:rsid w:val="00D04F78"/>
    <w:rsid w:val="00D0547A"/>
    <w:rsid w:val="00D0699D"/>
    <w:rsid w:val="00D106F3"/>
    <w:rsid w:val="00D1074C"/>
    <w:rsid w:val="00D1191C"/>
    <w:rsid w:val="00D122D1"/>
    <w:rsid w:val="00D123AD"/>
    <w:rsid w:val="00D12BDC"/>
    <w:rsid w:val="00D12DA9"/>
    <w:rsid w:val="00D13004"/>
    <w:rsid w:val="00D13066"/>
    <w:rsid w:val="00D135E3"/>
    <w:rsid w:val="00D138C2"/>
    <w:rsid w:val="00D13AEE"/>
    <w:rsid w:val="00D13DBC"/>
    <w:rsid w:val="00D14493"/>
    <w:rsid w:val="00D1486C"/>
    <w:rsid w:val="00D16813"/>
    <w:rsid w:val="00D17214"/>
    <w:rsid w:val="00D17607"/>
    <w:rsid w:val="00D176F2"/>
    <w:rsid w:val="00D17D4A"/>
    <w:rsid w:val="00D206D3"/>
    <w:rsid w:val="00D208CF"/>
    <w:rsid w:val="00D217DB"/>
    <w:rsid w:val="00D217F4"/>
    <w:rsid w:val="00D21927"/>
    <w:rsid w:val="00D21F88"/>
    <w:rsid w:val="00D222BA"/>
    <w:rsid w:val="00D225AB"/>
    <w:rsid w:val="00D23ACF"/>
    <w:rsid w:val="00D23EC0"/>
    <w:rsid w:val="00D241BB"/>
    <w:rsid w:val="00D24CE3"/>
    <w:rsid w:val="00D24E54"/>
    <w:rsid w:val="00D24ECA"/>
    <w:rsid w:val="00D253D1"/>
    <w:rsid w:val="00D25C9F"/>
    <w:rsid w:val="00D264E4"/>
    <w:rsid w:val="00D26E81"/>
    <w:rsid w:val="00D30AAE"/>
    <w:rsid w:val="00D30AFE"/>
    <w:rsid w:val="00D3190B"/>
    <w:rsid w:val="00D31999"/>
    <w:rsid w:val="00D3272B"/>
    <w:rsid w:val="00D332C0"/>
    <w:rsid w:val="00D332C4"/>
    <w:rsid w:val="00D332EC"/>
    <w:rsid w:val="00D33388"/>
    <w:rsid w:val="00D334E2"/>
    <w:rsid w:val="00D336D7"/>
    <w:rsid w:val="00D33BF6"/>
    <w:rsid w:val="00D340CB"/>
    <w:rsid w:val="00D34460"/>
    <w:rsid w:val="00D3450D"/>
    <w:rsid w:val="00D34D6B"/>
    <w:rsid w:val="00D3583C"/>
    <w:rsid w:val="00D35FD5"/>
    <w:rsid w:val="00D366EA"/>
    <w:rsid w:val="00D36806"/>
    <w:rsid w:val="00D36EDE"/>
    <w:rsid w:val="00D373AB"/>
    <w:rsid w:val="00D3749A"/>
    <w:rsid w:val="00D401C5"/>
    <w:rsid w:val="00D406D8"/>
    <w:rsid w:val="00D40920"/>
    <w:rsid w:val="00D41014"/>
    <w:rsid w:val="00D410E9"/>
    <w:rsid w:val="00D41E02"/>
    <w:rsid w:val="00D42B30"/>
    <w:rsid w:val="00D42CA5"/>
    <w:rsid w:val="00D42FC7"/>
    <w:rsid w:val="00D433EC"/>
    <w:rsid w:val="00D43A39"/>
    <w:rsid w:val="00D43BCD"/>
    <w:rsid w:val="00D43D6C"/>
    <w:rsid w:val="00D44AF3"/>
    <w:rsid w:val="00D44B85"/>
    <w:rsid w:val="00D44C26"/>
    <w:rsid w:val="00D45209"/>
    <w:rsid w:val="00D45B9C"/>
    <w:rsid w:val="00D45E03"/>
    <w:rsid w:val="00D45E41"/>
    <w:rsid w:val="00D46213"/>
    <w:rsid w:val="00D462FA"/>
    <w:rsid w:val="00D46452"/>
    <w:rsid w:val="00D46701"/>
    <w:rsid w:val="00D46AB5"/>
    <w:rsid w:val="00D51D1C"/>
    <w:rsid w:val="00D522E4"/>
    <w:rsid w:val="00D52314"/>
    <w:rsid w:val="00D53114"/>
    <w:rsid w:val="00D538AD"/>
    <w:rsid w:val="00D538F0"/>
    <w:rsid w:val="00D55BED"/>
    <w:rsid w:val="00D55EE4"/>
    <w:rsid w:val="00D5601D"/>
    <w:rsid w:val="00D561B9"/>
    <w:rsid w:val="00D563B9"/>
    <w:rsid w:val="00D566FC"/>
    <w:rsid w:val="00D5796B"/>
    <w:rsid w:val="00D60453"/>
    <w:rsid w:val="00D6056F"/>
    <w:rsid w:val="00D60922"/>
    <w:rsid w:val="00D60F42"/>
    <w:rsid w:val="00D611CB"/>
    <w:rsid w:val="00D61973"/>
    <w:rsid w:val="00D6209D"/>
    <w:rsid w:val="00D627B6"/>
    <w:rsid w:val="00D649EB"/>
    <w:rsid w:val="00D65B0B"/>
    <w:rsid w:val="00D66DBB"/>
    <w:rsid w:val="00D66E2C"/>
    <w:rsid w:val="00D6711D"/>
    <w:rsid w:val="00D702B0"/>
    <w:rsid w:val="00D7046C"/>
    <w:rsid w:val="00D716D0"/>
    <w:rsid w:val="00D71AB1"/>
    <w:rsid w:val="00D71C1F"/>
    <w:rsid w:val="00D71C80"/>
    <w:rsid w:val="00D71D1C"/>
    <w:rsid w:val="00D71FA9"/>
    <w:rsid w:val="00D734A5"/>
    <w:rsid w:val="00D73693"/>
    <w:rsid w:val="00D739A6"/>
    <w:rsid w:val="00D739D5"/>
    <w:rsid w:val="00D73C57"/>
    <w:rsid w:val="00D73F21"/>
    <w:rsid w:val="00D753AC"/>
    <w:rsid w:val="00D753F7"/>
    <w:rsid w:val="00D75B6A"/>
    <w:rsid w:val="00D76216"/>
    <w:rsid w:val="00D769DB"/>
    <w:rsid w:val="00D773C4"/>
    <w:rsid w:val="00D778B9"/>
    <w:rsid w:val="00D80051"/>
    <w:rsid w:val="00D8060F"/>
    <w:rsid w:val="00D80B2B"/>
    <w:rsid w:val="00D80C98"/>
    <w:rsid w:val="00D80D8C"/>
    <w:rsid w:val="00D81071"/>
    <w:rsid w:val="00D81D68"/>
    <w:rsid w:val="00D82223"/>
    <w:rsid w:val="00D82228"/>
    <w:rsid w:val="00D82340"/>
    <w:rsid w:val="00D82F64"/>
    <w:rsid w:val="00D8302B"/>
    <w:rsid w:val="00D83473"/>
    <w:rsid w:val="00D8493B"/>
    <w:rsid w:val="00D84AD0"/>
    <w:rsid w:val="00D84DB5"/>
    <w:rsid w:val="00D85017"/>
    <w:rsid w:val="00D85A1B"/>
    <w:rsid w:val="00D85B04"/>
    <w:rsid w:val="00D86A30"/>
    <w:rsid w:val="00D86D43"/>
    <w:rsid w:val="00D86E27"/>
    <w:rsid w:val="00D86F0D"/>
    <w:rsid w:val="00D87136"/>
    <w:rsid w:val="00D8762D"/>
    <w:rsid w:val="00D87BAB"/>
    <w:rsid w:val="00D9040B"/>
    <w:rsid w:val="00D90DFD"/>
    <w:rsid w:val="00D91804"/>
    <w:rsid w:val="00D91D10"/>
    <w:rsid w:val="00D93048"/>
    <w:rsid w:val="00D93285"/>
    <w:rsid w:val="00D935B7"/>
    <w:rsid w:val="00D9397C"/>
    <w:rsid w:val="00D93DDD"/>
    <w:rsid w:val="00D941B4"/>
    <w:rsid w:val="00D9449A"/>
    <w:rsid w:val="00D944E4"/>
    <w:rsid w:val="00D94643"/>
    <w:rsid w:val="00D9515E"/>
    <w:rsid w:val="00D9596A"/>
    <w:rsid w:val="00D962C2"/>
    <w:rsid w:val="00D974FF"/>
    <w:rsid w:val="00DA0BF7"/>
    <w:rsid w:val="00DA2025"/>
    <w:rsid w:val="00DA32B4"/>
    <w:rsid w:val="00DA33E0"/>
    <w:rsid w:val="00DA359D"/>
    <w:rsid w:val="00DA3917"/>
    <w:rsid w:val="00DA3FCE"/>
    <w:rsid w:val="00DA433E"/>
    <w:rsid w:val="00DA4573"/>
    <w:rsid w:val="00DA620D"/>
    <w:rsid w:val="00DA6BE6"/>
    <w:rsid w:val="00DA6E98"/>
    <w:rsid w:val="00DA7E78"/>
    <w:rsid w:val="00DA7FBB"/>
    <w:rsid w:val="00DB0381"/>
    <w:rsid w:val="00DB094E"/>
    <w:rsid w:val="00DB1646"/>
    <w:rsid w:val="00DB205C"/>
    <w:rsid w:val="00DB276A"/>
    <w:rsid w:val="00DB27DE"/>
    <w:rsid w:val="00DB3D3F"/>
    <w:rsid w:val="00DB3FBD"/>
    <w:rsid w:val="00DB491C"/>
    <w:rsid w:val="00DB5F76"/>
    <w:rsid w:val="00DB606D"/>
    <w:rsid w:val="00DB6B48"/>
    <w:rsid w:val="00DB7838"/>
    <w:rsid w:val="00DC0423"/>
    <w:rsid w:val="00DC0575"/>
    <w:rsid w:val="00DC0E79"/>
    <w:rsid w:val="00DC17AF"/>
    <w:rsid w:val="00DC2E99"/>
    <w:rsid w:val="00DC3068"/>
    <w:rsid w:val="00DC41B2"/>
    <w:rsid w:val="00DC4641"/>
    <w:rsid w:val="00DC4A94"/>
    <w:rsid w:val="00DC50C0"/>
    <w:rsid w:val="00DC5CDE"/>
    <w:rsid w:val="00DC5D0C"/>
    <w:rsid w:val="00DC7157"/>
    <w:rsid w:val="00DD006B"/>
    <w:rsid w:val="00DD0B27"/>
    <w:rsid w:val="00DD0EC3"/>
    <w:rsid w:val="00DD1080"/>
    <w:rsid w:val="00DD1855"/>
    <w:rsid w:val="00DD1870"/>
    <w:rsid w:val="00DD21EE"/>
    <w:rsid w:val="00DD31B0"/>
    <w:rsid w:val="00DD33C4"/>
    <w:rsid w:val="00DD3DA2"/>
    <w:rsid w:val="00DD4335"/>
    <w:rsid w:val="00DD4851"/>
    <w:rsid w:val="00DD4E2D"/>
    <w:rsid w:val="00DD54AD"/>
    <w:rsid w:val="00DD5ADD"/>
    <w:rsid w:val="00DD5FEE"/>
    <w:rsid w:val="00DD6723"/>
    <w:rsid w:val="00DD6C7A"/>
    <w:rsid w:val="00DD6E4E"/>
    <w:rsid w:val="00DD73A1"/>
    <w:rsid w:val="00DD771E"/>
    <w:rsid w:val="00DD7A6C"/>
    <w:rsid w:val="00DD7EB6"/>
    <w:rsid w:val="00DE038D"/>
    <w:rsid w:val="00DE0CEB"/>
    <w:rsid w:val="00DE14D6"/>
    <w:rsid w:val="00DE1C42"/>
    <w:rsid w:val="00DE211C"/>
    <w:rsid w:val="00DE3EB1"/>
    <w:rsid w:val="00DE5F1A"/>
    <w:rsid w:val="00DE6A00"/>
    <w:rsid w:val="00DE6AE2"/>
    <w:rsid w:val="00DE70BA"/>
    <w:rsid w:val="00DE715F"/>
    <w:rsid w:val="00DE71D2"/>
    <w:rsid w:val="00DE7BD7"/>
    <w:rsid w:val="00DF0584"/>
    <w:rsid w:val="00DF086E"/>
    <w:rsid w:val="00DF089F"/>
    <w:rsid w:val="00DF0D6A"/>
    <w:rsid w:val="00DF1129"/>
    <w:rsid w:val="00DF1490"/>
    <w:rsid w:val="00DF1961"/>
    <w:rsid w:val="00DF1A85"/>
    <w:rsid w:val="00DF1D3D"/>
    <w:rsid w:val="00DF240E"/>
    <w:rsid w:val="00DF2771"/>
    <w:rsid w:val="00DF2DEB"/>
    <w:rsid w:val="00DF43FD"/>
    <w:rsid w:val="00DF445B"/>
    <w:rsid w:val="00DF4FB2"/>
    <w:rsid w:val="00DF57F3"/>
    <w:rsid w:val="00DF5E00"/>
    <w:rsid w:val="00DF6D97"/>
    <w:rsid w:val="00DF6E15"/>
    <w:rsid w:val="00DF771F"/>
    <w:rsid w:val="00DF7962"/>
    <w:rsid w:val="00E01931"/>
    <w:rsid w:val="00E01BF5"/>
    <w:rsid w:val="00E01D5E"/>
    <w:rsid w:val="00E02767"/>
    <w:rsid w:val="00E0551B"/>
    <w:rsid w:val="00E05CB0"/>
    <w:rsid w:val="00E05EBA"/>
    <w:rsid w:val="00E0653A"/>
    <w:rsid w:val="00E069E5"/>
    <w:rsid w:val="00E073E0"/>
    <w:rsid w:val="00E07A39"/>
    <w:rsid w:val="00E104CF"/>
    <w:rsid w:val="00E10E12"/>
    <w:rsid w:val="00E10E2F"/>
    <w:rsid w:val="00E1143F"/>
    <w:rsid w:val="00E1161E"/>
    <w:rsid w:val="00E127CB"/>
    <w:rsid w:val="00E12897"/>
    <w:rsid w:val="00E14237"/>
    <w:rsid w:val="00E142CD"/>
    <w:rsid w:val="00E14980"/>
    <w:rsid w:val="00E14DB4"/>
    <w:rsid w:val="00E156AF"/>
    <w:rsid w:val="00E1651F"/>
    <w:rsid w:val="00E168D0"/>
    <w:rsid w:val="00E20702"/>
    <w:rsid w:val="00E20E74"/>
    <w:rsid w:val="00E21A5F"/>
    <w:rsid w:val="00E22173"/>
    <w:rsid w:val="00E222F1"/>
    <w:rsid w:val="00E22F32"/>
    <w:rsid w:val="00E2397B"/>
    <w:rsid w:val="00E242B2"/>
    <w:rsid w:val="00E244B4"/>
    <w:rsid w:val="00E24876"/>
    <w:rsid w:val="00E2497E"/>
    <w:rsid w:val="00E25117"/>
    <w:rsid w:val="00E257E3"/>
    <w:rsid w:val="00E26E9D"/>
    <w:rsid w:val="00E27B91"/>
    <w:rsid w:val="00E27C49"/>
    <w:rsid w:val="00E3024C"/>
    <w:rsid w:val="00E30BFB"/>
    <w:rsid w:val="00E31425"/>
    <w:rsid w:val="00E31C16"/>
    <w:rsid w:val="00E3213C"/>
    <w:rsid w:val="00E322EC"/>
    <w:rsid w:val="00E325A2"/>
    <w:rsid w:val="00E32FC6"/>
    <w:rsid w:val="00E3386F"/>
    <w:rsid w:val="00E339A0"/>
    <w:rsid w:val="00E346CA"/>
    <w:rsid w:val="00E34A10"/>
    <w:rsid w:val="00E34AD2"/>
    <w:rsid w:val="00E35E70"/>
    <w:rsid w:val="00E3609F"/>
    <w:rsid w:val="00E36FFB"/>
    <w:rsid w:val="00E37058"/>
    <w:rsid w:val="00E37E6F"/>
    <w:rsid w:val="00E404F9"/>
    <w:rsid w:val="00E40CCE"/>
    <w:rsid w:val="00E40EDC"/>
    <w:rsid w:val="00E41006"/>
    <w:rsid w:val="00E41A8A"/>
    <w:rsid w:val="00E41E24"/>
    <w:rsid w:val="00E4250F"/>
    <w:rsid w:val="00E42767"/>
    <w:rsid w:val="00E4364C"/>
    <w:rsid w:val="00E43BA4"/>
    <w:rsid w:val="00E442B0"/>
    <w:rsid w:val="00E443BC"/>
    <w:rsid w:val="00E449B6"/>
    <w:rsid w:val="00E45987"/>
    <w:rsid w:val="00E461B0"/>
    <w:rsid w:val="00E4631E"/>
    <w:rsid w:val="00E463B2"/>
    <w:rsid w:val="00E46427"/>
    <w:rsid w:val="00E46A97"/>
    <w:rsid w:val="00E47769"/>
    <w:rsid w:val="00E477AE"/>
    <w:rsid w:val="00E47C27"/>
    <w:rsid w:val="00E5020A"/>
    <w:rsid w:val="00E5062F"/>
    <w:rsid w:val="00E50E40"/>
    <w:rsid w:val="00E51745"/>
    <w:rsid w:val="00E51F67"/>
    <w:rsid w:val="00E538AD"/>
    <w:rsid w:val="00E54F82"/>
    <w:rsid w:val="00E55797"/>
    <w:rsid w:val="00E56381"/>
    <w:rsid w:val="00E56D85"/>
    <w:rsid w:val="00E57634"/>
    <w:rsid w:val="00E57A9A"/>
    <w:rsid w:val="00E57EC2"/>
    <w:rsid w:val="00E607F2"/>
    <w:rsid w:val="00E6123A"/>
    <w:rsid w:val="00E6148B"/>
    <w:rsid w:val="00E615E7"/>
    <w:rsid w:val="00E61776"/>
    <w:rsid w:val="00E61C0D"/>
    <w:rsid w:val="00E61F69"/>
    <w:rsid w:val="00E62393"/>
    <w:rsid w:val="00E626C6"/>
    <w:rsid w:val="00E62757"/>
    <w:rsid w:val="00E62908"/>
    <w:rsid w:val="00E62B82"/>
    <w:rsid w:val="00E62EEF"/>
    <w:rsid w:val="00E63417"/>
    <w:rsid w:val="00E6348B"/>
    <w:rsid w:val="00E63E0D"/>
    <w:rsid w:val="00E640D9"/>
    <w:rsid w:val="00E642AE"/>
    <w:rsid w:val="00E64483"/>
    <w:rsid w:val="00E65077"/>
    <w:rsid w:val="00E65B81"/>
    <w:rsid w:val="00E67BD5"/>
    <w:rsid w:val="00E67E13"/>
    <w:rsid w:val="00E700D4"/>
    <w:rsid w:val="00E7046C"/>
    <w:rsid w:val="00E7084F"/>
    <w:rsid w:val="00E70CD2"/>
    <w:rsid w:val="00E7199F"/>
    <w:rsid w:val="00E71CE9"/>
    <w:rsid w:val="00E71E5F"/>
    <w:rsid w:val="00E71F7A"/>
    <w:rsid w:val="00E7220C"/>
    <w:rsid w:val="00E72EC5"/>
    <w:rsid w:val="00E73A27"/>
    <w:rsid w:val="00E74427"/>
    <w:rsid w:val="00E7493D"/>
    <w:rsid w:val="00E74B8B"/>
    <w:rsid w:val="00E75380"/>
    <w:rsid w:val="00E75432"/>
    <w:rsid w:val="00E75616"/>
    <w:rsid w:val="00E75942"/>
    <w:rsid w:val="00E76473"/>
    <w:rsid w:val="00E764B1"/>
    <w:rsid w:val="00E76BDE"/>
    <w:rsid w:val="00E772C7"/>
    <w:rsid w:val="00E777F6"/>
    <w:rsid w:val="00E8024F"/>
    <w:rsid w:val="00E80892"/>
    <w:rsid w:val="00E813EB"/>
    <w:rsid w:val="00E81826"/>
    <w:rsid w:val="00E82118"/>
    <w:rsid w:val="00E825B2"/>
    <w:rsid w:val="00E82944"/>
    <w:rsid w:val="00E82A79"/>
    <w:rsid w:val="00E83F4D"/>
    <w:rsid w:val="00E84521"/>
    <w:rsid w:val="00E849C4"/>
    <w:rsid w:val="00E84EBB"/>
    <w:rsid w:val="00E85435"/>
    <w:rsid w:val="00E856CE"/>
    <w:rsid w:val="00E86DEE"/>
    <w:rsid w:val="00E86FD0"/>
    <w:rsid w:val="00E87ABD"/>
    <w:rsid w:val="00E902D3"/>
    <w:rsid w:val="00E90F69"/>
    <w:rsid w:val="00E91385"/>
    <w:rsid w:val="00E91509"/>
    <w:rsid w:val="00E919E5"/>
    <w:rsid w:val="00E92D73"/>
    <w:rsid w:val="00E93008"/>
    <w:rsid w:val="00E937A4"/>
    <w:rsid w:val="00E93ADB"/>
    <w:rsid w:val="00E94825"/>
    <w:rsid w:val="00E948BB"/>
    <w:rsid w:val="00E95247"/>
    <w:rsid w:val="00E95940"/>
    <w:rsid w:val="00E96045"/>
    <w:rsid w:val="00E9682C"/>
    <w:rsid w:val="00E96899"/>
    <w:rsid w:val="00E9749F"/>
    <w:rsid w:val="00E97790"/>
    <w:rsid w:val="00EA021B"/>
    <w:rsid w:val="00EA0269"/>
    <w:rsid w:val="00EA068C"/>
    <w:rsid w:val="00EA0CF3"/>
    <w:rsid w:val="00EA1DD9"/>
    <w:rsid w:val="00EA248D"/>
    <w:rsid w:val="00EA2490"/>
    <w:rsid w:val="00EA385C"/>
    <w:rsid w:val="00EA3A50"/>
    <w:rsid w:val="00EA4584"/>
    <w:rsid w:val="00EA4830"/>
    <w:rsid w:val="00EA4AE4"/>
    <w:rsid w:val="00EA56C3"/>
    <w:rsid w:val="00EA651E"/>
    <w:rsid w:val="00EA6768"/>
    <w:rsid w:val="00EA69D1"/>
    <w:rsid w:val="00EA7982"/>
    <w:rsid w:val="00EA7CA4"/>
    <w:rsid w:val="00EB0286"/>
    <w:rsid w:val="00EB1B40"/>
    <w:rsid w:val="00EB2035"/>
    <w:rsid w:val="00EB22D2"/>
    <w:rsid w:val="00EB34C6"/>
    <w:rsid w:val="00EB38D9"/>
    <w:rsid w:val="00EB3F30"/>
    <w:rsid w:val="00EB4439"/>
    <w:rsid w:val="00EB44E2"/>
    <w:rsid w:val="00EB489D"/>
    <w:rsid w:val="00EB4B1C"/>
    <w:rsid w:val="00EB4CDB"/>
    <w:rsid w:val="00EB52E3"/>
    <w:rsid w:val="00EB5588"/>
    <w:rsid w:val="00EB5593"/>
    <w:rsid w:val="00EB55A0"/>
    <w:rsid w:val="00EB55B0"/>
    <w:rsid w:val="00EB578A"/>
    <w:rsid w:val="00EB5CE8"/>
    <w:rsid w:val="00EB601E"/>
    <w:rsid w:val="00EB632C"/>
    <w:rsid w:val="00EB64E7"/>
    <w:rsid w:val="00EB65F3"/>
    <w:rsid w:val="00EB6B4E"/>
    <w:rsid w:val="00EB6B51"/>
    <w:rsid w:val="00EB6DEB"/>
    <w:rsid w:val="00EB75AB"/>
    <w:rsid w:val="00EB772D"/>
    <w:rsid w:val="00EC02EE"/>
    <w:rsid w:val="00EC033C"/>
    <w:rsid w:val="00EC0647"/>
    <w:rsid w:val="00EC17DD"/>
    <w:rsid w:val="00EC1CBA"/>
    <w:rsid w:val="00EC2239"/>
    <w:rsid w:val="00EC2290"/>
    <w:rsid w:val="00EC2A9D"/>
    <w:rsid w:val="00EC3B27"/>
    <w:rsid w:val="00EC3DB2"/>
    <w:rsid w:val="00EC46B6"/>
    <w:rsid w:val="00EC59A6"/>
    <w:rsid w:val="00EC5EE7"/>
    <w:rsid w:val="00EC68B1"/>
    <w:rsid w:val="00EC68D5"/>
    <w:rsid w:val="00EC6AF9"/>
    <w:rsid w:val="00EC6C39"/>
    <w:rsid w:val="00EC73AF"/>
    <w:rsid w:val="00EC766B"/>
    <w:rsid w:val="00EC781B"/>
    <w:rsid w:val="00EC7E5C"/>
    <w:rsid w:val="00EC7E8B"/>
    <w:rsid w:val="00ED0113"/>
    <w:rsid w:val="00ED03B8"/>
    <w:rsid w:val="00ED22AE"/>
    <w:rsid w:val="00ED287D"/>
    <w:rsid w:val="00ED2CE9"/>
    <w:rsid w:val="00ED3D28"/>
    <w:rsid w:val="00ED45AB"/>
    <w:rsid w:val="00ED45E1"/>
    <w:rsid w:val="00ED6ADE"/>
    <w:rsid w:val="00ED6D10"/>
    <w:rsid w:val="00ED6F8F"/>
    <w:rsid w:val="00ED7286"/>
    <w:rsid w:val="00ED7E31"/>
    <w:rsid w:val="00EE0BB2"/>
    <w:rsid w:val="00EE1243"/>
    <w:rsid w:val="00EE29E1"/>
    <w:rsid w:val="00EE2B09"/>
    <w:rsid w:val="00EE2C17"/>
    <w:rsid w:val="00EE3AA8"/>
    <w:rsid w:val="00EE4EE8"/>
    <w:rsid w:val="00EE50B7"/>
    <w:rsid w:val="00EE5C1A"/>
    <w:rsid w:val="00EE5D5E"/>
    <w:rsid w:val="00EE5E55"/>
    <w:rsid w:val="00EE6774"/>
    <w:rsid w:val="00EE6922"/>
    <w:rsid w:val="00EE6EA8"/>
    <w:rsid w:val="00EE728B"/>
    <w:rsid w:val="00EE7B6A"/>
    <w:rsid w:val="00EE7CD6"/>
    <w:rsid w:val="00EF0B22"/>
    <w:rsid w:val="00EF0E12"/>
    <w:rsid w:val="00EF1EC7"/>
    <w:rsid w:val="00EF3145"/>
    <w:rsid w:val="00EF3752"/>
    <w:rsid w:val="00EF4E14"/>
    <w:rsid w:val="00EF6084"/>
    <w:rsid w:val="00EF62DD"/>
    <w:rsid w:val="00EF66AF"/>
    <w:rsid w:val="00EF6A9A"/>
    <w:rsid w:val="00EF6E56"/>
    <w:rsid w:val="00EF70B0"/>
    <w:rsid w:val="00F00528"/>
    <w:rsid w:val="00F008E4"/>
    <w:rsid w:val="00F011F7"/>
    <w:rsid w:val="00F01226"/>
    <w:rsid w:val="00F0144B"/>
    <w:rsid w:val="00F01787"/>
    <w:rsid w:val="00F017A5"/>
    <w:rsid w:val="00F01DB7"/>
    <w:rsid w:val="00F028FD"/>
    <w:rsid w:val="00F02BB6"/>
    <w:rsid w:val="00F0320D"/>
    <w:rsid w:val="00F03352"/>
    <w:rsid w:val="00F033A0"/>
    <w:rsid w:val="00F04955"/>
    <w:rsid w:val="00F04B85"/>
    <w:rsid w:val="00F057ED"/>
    <w:rsid w:val="00F05F05"/>
    <w:rsid w:val="00F0655E"/>
    <w:rsid w:val="00F069D6"/>
    <w:rsid w:val="00F07354"/>
    <w:rsid w:val="00F0780A"/>
    <w:rsid w:val="00F07BA3"/>
    <w:rsid w:val="00F1022C"/>
    <w:rsid w:val="00F1037A"/>
    <w:rsid w:val="00F10BEB"/>
    <w:rsid w:val="00F10CA0"/>
    <w:rsid w:val="00F10D10"/>
    <w:rsid w:val="00F11A3C"/>
    <w:rsid w:val="00F11A41"/>
    <w:rsid w:val="00F11AFD"/>
    <w:rsid w:val="00F124D1"/>
    <w:rsid w:val="00F14AA7"/>
    <w:rsid w:val="00F15A1E"/>
    <w:rsid w:val="00F163EC"/>
    <w:rsid w:val="00F16AEB"/>
    <w:rsid w:val="00F178AB"/>
    <w:rsid w:val="00F179C7"/>
    <w:rsid w:val="00F214FC"/>
    <w:rsid w:val="00F2155B"/>
    <w:rsid w:val="00F2196B"/>
    <w:rsid w:val="00F22B8A"/>
    <w:rsid w:val="00F23166"/>
    <w:rsid w:val="00F23C4F"/>
    <w:rsid w:val="00F24200"/>
    <w:rsid w:val="00F24913"/>
    <w:rsid w:val="00F24DFB"/>
    <w:rsid w:val="00F25816"/>
    <w:rsid w:val="00F25A10"/>
    <w:rsid w:val="00F26C63"/>
    <w:rsid w:val="00F27E98"/>
    <w:rsid w:val="00F30B14"/>
    <w:rsid w:val="00F31451"/>
    <w:rsid w:val="00F3191C"/>
    <w:rsid w:val="00F31B02"/>
    <w:rsid w:val="00F31F4F"/>
    <w:rsid w:val="00F32D0D"/>
    <w:rsid w:val="00F33C32"/>
    <w:rsid w:val="00F33E24"/>
    <w:rsid w:val="00F33E3B"/>
    <w:rsid w:val="00F34D55"/>
    <w:rsid w:val="00F34D76"/>
    <w:rsid w:val="00F350DF"/>
    <w:rsid w:val="00F357C9"/>
    <w:rsid w:val="00F35BA5"/>
    <w:rsid w:val="00F368A1"/>
    <w:rsid w:val="00F36F4A"/>
    <w:rsid w:val="00F36FD6"/>
    <w:rsid w:val="00F3716F"/>
    <w:rsid w:val="00F37B46"/>
    <w:rsid w:val="00F40936"/>
    <w:rsid w:val="00F40A4F"/>
    <w:rsid w:val="00F4114A"/>
    <w:rsid w:val="00F41F26"/>
    <w:rsid w:val="00F4366D"/>
    <w:rsid w:val="00F44558"/>
    <w:rsid w:val="00F4498C"/>
    <w:rsid w:val="00F45ABE"/>
    <w:rsid w:val="00F45CAE"/>
    <w:rsid w:val="00F46264"/>
    <w:rsid w:val="00F463C0"/>
    <w:rsid w:val="00F47128"/>
    <w:rsid w:val="00F475F3"/>
    <w:rsid w:val="00F478FF"/>
    <w:rsid w:val="00F50A0A"/>
    <w:rsid w:val="00F51259"/>
    <w:rsid w:val="00F513E2"/>
    <w:rsid w:val="00F52077"/>
    <w:rsid w:val="00F521CC"/>
    <w:rsid w:val="00F528C3"/>
    <w:rsid w:val="00F52A43"/>
    <w:rsid w:val="00F52ECA"/>
    <w:rsid w:val="00F53839"/>
    <w:rsid w:val="00F546D6"/>
    <w:rsid w:val="00F55AEC"/>
    <w:rsid w:val="00F55E60"/>
    <w:rsid w:val="00F5607D"/>
    <w:rsid w:val="00F564EA"/>
    <w:rsid w:val="00F565E1"/>
    <w:rsid w:val="00F56E7B"/>
    <w:rsid w:val="00F608B6"/>
    <w:rsid w:val="00F6116A"/>
    <w:rsid w:val="00F61774"/>
    <w:rsid w:val="00F617F3"/>
    <w:rsid w:val="00F61CD4"/>
    <w:rsid w:val="00F622F4"/>
    <w:rsid w:val="00F62B2F"/>
    <w:rsid w:val="00F62C28"/>
    <w:rsid w:val="00F62D35"/>
    <w:rsid w:val="00F62F10"/>
    <w:rsid w:val="00F6501C"/>
    <w:rsid w:val="00F656E9"/>
    <w:rsid w:val="00F662FF"/>
    <w:rsid w:val="00F66C47"/>
    <w:rsid w:val="00F66F13"/>
    <w:rsid w:val="00F67855"/>
    <w:rsid w:val="00F70588"/>
    <w:rsid w:val="00F70C1A"/>
    <w:rsid w:val="00F70D35"/>
    <w:rsid w:val="00F70F9E"/>
    <w:rsid w:val="00F71236"/>
    <w:rsid w:val="00F72273"/>
    <w:rsid w:val="00F726F1"/>
    <w:rsid w:val="00F72810"/>
    <w:rsid w:val="00F73F59"/>
    <w:rsid w:val="00F73F8D"/>
    <w:rsid w:val="00F7468C"/>
    <w:rsid w:val="00F74790"/>
    <w:rsid w:val="00F7588E"/>
    <w:rsid w:val="00F765F0"/>
    <w:rsid w:val="00F76FCD"/>
    <w:rsid w:val="00F77DF2"/>
    <w:rsid w:val="00F8076E"/>
    <w:rsid w:val="00F8106F"/>
    <w:rsid w:val="00F810B8"/>
    <w:rsid w:val="00F82520"/>
    <w:rsid w:val="00F82D3D"/>
    <w:rsid w:val="00F83331"/>
    <w:rsid w:val="00F836DD"/>
    <w:rsid w:val="00F83FAF"/>
    <w:rsid w:val="00F84181"/>
    <w:rsid w:val="00F842CD"/>
    <w:rsid w:val="00F84449"/>
    <w:rsid w:val="00F844DC"/>
    <w:rsid w:val="00F84894"/>
    <w:rsid w:val="00F84899"/>
    <w:rsid w:val="00F848AD"/>
    <w:rsid w:val="00F84A1D"/>
    <w:rsid w:val="00F85002"/>
    <w:rsid w:val="00F851F3"/>
    <w:rsid w:val="00F85344"/>
    <w:rsid w:val="00F85955"/>
    <w:rsid w:val="00F8623A"/>
    <w:rsid w:val="00F8658A"/>
    <w:rsid w:val="00F86AF1"/>
    <w:rsid w:val="00F87A01"/>
    <w:rsid w:val="00F90918"/>
    <w:rsid w:val="00F90EF0"/>
    <w:rsid w:val="00F9132B"/>
    <w:rsid w:val="00F915AC"/>
    <w:rsid w:val="00F91B91"/>
    <w:rsid w:val="00F9226E"/>
    <w:rsid w:val="00F92B9A"/>
    <w:rsid w:val="00F9345B"/>
    <w:rsid w:val="00F93AC2"/>
    <w:rsid w:val="00F943DF"/>
    <w:rsid w:val="00F94EA5"/>
    <w:rsid w:val="00F9504F"/>
    <w:rsid w:val="00F9518D"/>
    <w:rsid w:val="00F954BF"/>
    <w:rsid w:val="00F95F9C"/>
    <w:rsid w:val="00F96628"/>
    <w:rsid w:val="00F96901"/>
    <w:rsid w:val="00F96D97"/>
    <w:rsid w:val="00F976A8"/>
    <w:rsid w:val="00F97921"/>
    <w:rsid w:val="00F97A0E"/>
    <w:rsid w:val="00F97DBE"/>
    <w:rsid w:val="00F97F23"/>
    <w:rsid w:val="00FA0967"/>
    <w:rsid w:val="00FA0CE2"/>
    <w:rsid w:val="00FA164C"/>
    <w:rsid w:val="00FA16D8"/>
    <w:rsid w:val="00FA1F07"/>
    <w:rsid w:val="00FA20D3"/>
    <w:rsid w:val="00FA2282"/>
    <w:rsid w:val="00FA30C0"/>
    <w:rsid w:val="00FA34D8"/>
    <w:rsid w:val="00FA34FC"/>
    <w:rsid w:val="00FA36E2"/>
    <w:rsid w:val="00FA444E"/>
    <w:rsid w:val="00FA48B9"/>
    <w:rsid w:val="00FA48FD"/>
    <w:rsid w:val="00FA56D3"/>
    <w:rsid w:val="00FA5D79"/>
    <w:rsid w:val="00FA5D7A"/>
    <w:rsid w:val="00FA642E"/>
    <w:rsid w:val="00FA64F6"/>
    <w:rsid w:val="00FA6EB2"/>
    <w:rsid w:val="00FA72F1"/>
    <w:rsid w:val="00FA7557"/>
    <w:rsid w:val="00FA75CE"/>
    <w:rsid w:val="00FA765D"/>
    <w:rsid w:val="00FA7E8F"/>
    <w:rsid w:val="00FA7ED2"/>
    <w:rsid w:val="00FB0071"/>
    <w:rsid w:val="00FB063A"/>
    <w:rsid w:val="00FB0742"/>
    <w:rsid w:val="00FB07F6"/>
    <w:rsid w:val="00FB0A34"/>
    <w:rsid w:val="00FB2399"/>
    <w:rsid w:val="00FB2CC0"/>
    <w:rsid w:val="00FB2DFF"/>
    <w:rsid w:val="00FB2FAF"/>
    <w:rsid w:val="00FB33CE"/>
    <w:rsid w:val="00FB34F1"/>
    <w:rsid w:val="00FB3A0A"/>
    <w:rsid w:val="00FB3E7F"/>
    <w:rsid w:val="00FB4A33"/>
    <w:rsid w:val="00FB54BC"/>
    <w:rsid w:val="00FB5626"/>
    <w:rsid w:val="00FB5E4F"/>
    <w:rsid w:val="00FB65C2"/>
    <w:rsid w:val="00FB68A4"/>
    <w:rsid w:val="00FB68BF"/>
    <w:rsid w:val="00FB692F"/>
    <w:rsid w:val="00FB749B"/>
    <w:rsid w:val="00FB7848"/>
    <w:rsid w:val="00FC14EF"/>
    <w:rsid w:val="00FC18BF"/>
    <w:rsid w:val="00FC3623"/>
    <w:rsid w:val="00FC37B4"/>
    <w:rsid w:val="00FC3A95"/>
    <w:rsid w:val="00FC5602"/>
    <w:rsid w:val="00FC5B99"/>
    <w:rsid w:val="00FC690E"/>
    <w:rsid w:val="00FC71E1"/>
    <w:rsid w:val="00FC7FCA"/>
    <w:rsid w:val="00FD0F37"/>
    <w:rsid w:val="00FD111F"/>
    <w:rsid w:val="00FD1216"/>
    <w:rsid w:val="00FD2C0F"/>
    <w:rsid w:val="00FD3337"/>
    <w:rsid w:val="00FD3BA8"/>
    <w:rsid w:val="00FD52D3"/>
    <w:rsid w:val="00FD59D4"/>
    <w:rsid w:val="00FD7546"/>
    <w:rsid w:val="00FE062E"/>
    <w:rsid w:val="00FE0A4B"/>
    <w:rsid w:val="00FE2E32"/>
    <w:rsid w:val="00FE461A"/>
    <w:rsid w:val="00FE511E"/>
    <w:rsid w:val="00FE5404"/>
    <w:rsid w:val="00FE588F"/>
    <w:rsid w:val="00FE6A46"/>
    <w:rsid w:val="00FE6AC1"/>
    <w:rsid w:val="00FE706B"/>
    <w:rsid w:val="00FE70A4"/>
    <w:rsid w:val="00FE7B22"/>
    <w:rsid w:val="00FF058B"/>
    <w:rsid w:val="00FF0A9A"/>
    <w:rsid w:val="00FF0F4A"/>
    <w:rsid w:val="00FF105A"/>
    <w:rsid w:val="00FF179E"/>
    <w:rsid w:val="00FF19D9"/>
    <w:rsid w:val="00FF20CA"/>
    <w:rsid w:val="00FF26BA"/>
    <w:rsid w:val="00FF3626"/>
    <w:rsid w:val="00FF37AA"/>
    <w:rsid w:val="00FF3EA6"/>
    <w:rsid w:val="00FF40D5"/>
    <w:rsid w:val="00FF40E8"/>
    <w:rsid w:val="00FF4282"/>
    <w:rsid w:val="00FF4AC9"/>
    <w:rsid w:val="00FF4F55"/>
    <w:rsid w:val="00FF5327"/>
    <w:rsid w:val="00FF58D3"/>
    <w:rsid w:val="00FF5CE0"/>
    <w:rsid w:val="00FF6074"/>
    <w:rsid w:val="00FF6138"/>
    <w:rsid w:val="00FF6727"/>
    <w:rsid w:val="00FF6E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96C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1676"/>
    <w:pPr>
      <w:spacing w:after="100" w:line="400" w:lineRule="exact"/>
      <w:jc w:val="both"/>
    </w:pPr>
    <w:rPr>
      <w:rFonts w:ascii="Century Schoolbook" w:eastAsia="Times New Roman" w:hAnsi="Century Schoolbook"/>
      <w:sz w:val="27"/>
      <w:szCs w:val="20"/>
    </w:rPr>
  </w:style>
  <w:style w:type="paragraph" w:styleId="Heading1">
    <w:name w:val="heading 1"/>
    <w:basedOn w:val="Normal"/>
    <w:next w:val="Normal"/>
    <w:link w:val="Heading1Char"/>
    <w:qFormat/>
    <w:rsid w:val="00631676"/>
    <w:pPr>
      <w:keepNext/>
      <w:spacing w:before="140" w:line="240" w:lineRule="atLeast"/>
      <w:jc w:val="center"/>
      <w:outlineLvl w:val="0"/>
    </w:pPr>
    <w:rPr>
      <w:b/>
      <w:smallCaps/>
    </w:rPr>
  </w:style>
  <w:style w:type="paragraph" w:styleId="Heading2">
    <w:name w:val="heading 2"/>
    <w:basedOn w:val="Normal"/>
    <w:next w:val="Normal"/>
    <w:link w:val="Heading2Char"/>
    <w:qFormat/>
    <w:rsid w:val="00631676"/>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631676"/>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631676"/>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631676"/>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uiPriority w:val="9"/>
    <w:semiHidden/>
    <w:unhideWhenUsed/>
    <w:qFormat/>
    <w:rsid w:val="0093586A"/>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93586A"/>
    <w:pPr>
      <w:spacing w:before="240" w:after="60"/>
      <w:outlineLvl w:val="6"/>
    </w:pPr>
    <w:rPr>
      <w:sz w:val="24"/>
    </w:rPr>
  </w:style>
  <w:style w:type="paragraph" w:styleId="Heading8">
    <w:name w:val="heading 8"/>
    <w:basedOn w:val="Normal"/>
    <w:next w:val="Normal"/>
    <w:link w:val="Heading8Char"/>
    <w:uiPriority w:val="9"/>
    <w:semiHidden/>
    <w:unhideWhenUsed/>
    <w:qFormat/>
    <w:rsid w:val="0093586A"/>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93586A"/>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586A"/>
    <w:rPr>
      <w:rFonts w:ascii="Century Schoolbook" w:eastAsia="Times New Roman" w:hAnsi="Century Schoolbook"/>
      <w:b/>
      <w:smallCaps/>
      <w:sz w:val="27"/>
      <w:szCs w:val="20"/>
    </w:rPr>
  </w:style>
  <w:style w:type="character" w:customStyle="1" w:styleId="Heading2Char">
    <w:name w:val="Heading 2 Char"/>
    <w:basedOn w:val="DefaultParagraphFont"/>
    <w:link w:val="Heading2"/>
    <w:rsid w:val="0093586A"/>
    <w:rPr>
      <w:rFonts w:ascii="Century Schoolbook" w:eastAsia="Times New Roman" w:hAnsi="Century Schoolbook"/>
      <w:b/>
      <w:sz w:val="27"/>
      <w:szCs w:val="20"/>
    </w:rPr>
  </w:style>
  <w:style w:type="character" w:customStyle="1" w:styleId="Heading3Char">
    <w:name w:val="Heading 3 Char"/>
    <w:basedOn w:val="DefaultParagraphFont"/>
    <w:link w:val="Heading3"/>
    <w:rsid w:val="0093586A"/>
    <w:rPr>
      <w:rFonts w:ascii="Century Schoolbook" w:eastAsia="Times New Roman" w:hAnsi="Century Schoolbook"/>
      <w:i/>
      <w:sz w:val="27"/>
      <w:szCs w:val="20"/>
    </w:rPr>
  </w:style>
  <w:style w:type="character" w:customStyle="1" w:styleId="Heading6Char">
    <w:name w:val="Heading 6 Char"/>
    <w:basedOn w:val="DefaultParagraphFont"/>
    <w:link w:val="Heading6"/>
    <w:uiPriority w:val="9"/>
    <w:semiHidden/>
    <w:rsid w:val="0093586A"/>
    <w:rPr>
      <w:b/>
      <w:bCs/>
    </w:rPr>
  </w:style>
  <w:style w:type="character" w:customStyle="1" w:styleId="Heading7Char">
    <w:name w:val="Heading 7 Char"/>
    <w:basedOn w:val="DefaultParagraphFont"/>
    <w:link w:val="Heading7"/>
    <w:uiPriority w:val="9"/>
    <w:semiHidden/>
    <w:rsid w:val="0093586A"/>
    <w:rPr>
      <w:sz w:val="24"/>
      <w:szCs w:val="24"/>
    </w:rPr>
  </w:style>
  <w:style w:type="character" w:customStyle="1" w:styleId="Heading8Char">
    <w:name w:val="Heading 8 Char"/>
    <w:basedOn w:val="DefaultParagraphFont"/>
    <w:link w:val="Heading8"/>
    <w:uiPriority w:val="9"/>
    <w:semiHidden/>
    <w:rsid w:val="0093586A"/>
    <w:rPr>
      <w:i/>
      <w:iCs/>
      <w:sz w:val="24"/>
      <w:szCs w:val="24"/>
    </w:rPr>
  </w:style>
  <w:style w:type="character" w:customStyle="1" w:styleId="Heading9Char">
    <w:name w:val="Heading 9 Char"/>
    <w:basedOn w:val="DefaultParagraphFont"/>
    <w:link w:val="Heading9"/>
    <w:uiPriority w:val="9"/>
    <w:semiHidden/>
    <w:rsid w:val="0093586A"/>
    <w:rPr>
      <w:rFonts w:asciiTheme="majorHAnsi" w:eastAsiaTheme="majorEastAsia" w:hAnsiTheme="majorHAnsi"/>
    </w:rPr>
  </w:style>
  <w:style w:type="paragraph" w:styleId="Title">
    <w:name w:val="Title"/>
    <w:basedOn w:val="Normal"/>
    <w:next w:val="Normal"/>
    <w:link w:val="TitleChar"/>
    <w:uiPriority w:val="10"/>
    <w:qFormat/>
    <w:rsid w:val="0093586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3586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3586A"/>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93586A"/>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93586A"/>
    <w:pPr>
      <w:outlineLvl w:val="9"/>
    </w:pPr>
  </w:style>
  <w:style w:type="character" w:styleId="CommentReference">
    <w:name w:val="annotation reference"/>
    <w:uiPriority w:val="99"/>
    <w:semiHidden/>
    <w:unhideWhenUsed/>
    <w:rsid w:val="00CD4E8C"/>
    <w:rPr>
      <w:sz w:val="16"/>
      <w:szCs w:val="16"/>
    </w:rPr>
  </w:style>
  <w:style w:type="paragraph" w:styleId="TOC1">
    <w:name w:val="toc 1"/>
    <w:basedOn w:val="Normal"/>
    <w:next w:val="Normal"/>
    <w:autoRedefine/>
    <w:rsid w:val="00631676"/>
  </w:style>
  <w:style w:type="paragraph" w:styleId="TOC2">
    <w:name w:val="toc 2"/>
    <w:basedOn w:val="Normal"/>
    <w:next w:val="Normal"/>
    <w:autoRedefine/>
    <w:rsid w:val="00631676"/>
    <w:pPr>
      <w:ind w:left="259"/>
    </w:pPr>
  </w:style>
  <w:style w:type="paragraph" w:styleId="TOC3">
    <w:name w:val="toc 3"/>
    <w:basedOn w:val="Normal"/>
    <w:next w:val="Normal"/>
    <w:autoRedefine/>
    <w:rsid w:val="00631676"/>
    <w:pPr>
      <w:ind w:left="520"/>
    </w:pPr>
  </w:style>
  <w:style w:type="character" w:styleId="Hyperlink">
    <w:name w:val="Hyperlink"/>
    <w:basedOn w:val="DefaultParagraphFont"/>
    <w:uiPriority w:val="99"/>
    <w:unhideWhenUsed/>
    <w:rsid w:val="0057430E"/>
    <w:rPr>
      <w:color w:val="0000FF" w:themeColor="hyperlink"/>
      <w:u w:val="single"/>
    </w:rPr>
  </w:style>
  <w:style w:type="paragraph" w:styleId="BalloonText">
    <w:name w:val="Balloon Text"/>
    <w:basedOn w:val="Normal"/>
    <w:link w:val="BalloonTextChar"/>
    <w:uiPriority w:val="99"/>
    <w:semiHidden/>
    <w:unhideWhenUsed/>
    <w:rsid w:val="0057430E"/>
    <w:rPr>
      <w:rFonts w:ascii="Tahoma" w:hAnsi="Tahoma" w:cs="Tahoma"/>
      <w:sz w:val="16"/>
      <w:szCs w:val="16"/>
    </w:rPr>
  </w:style>
  <w:style w:type="character" w:customStyle="1" w:styleId="BalloonTextChar">
    <w:name w:val="Balloon Text Char"/>
    <w:basedOn w:val="DefaultParagraphFont"/>
    <w:link w:val="BalloonText"/>
    <w:uiPriority w:val="99"/>
    <w:semiHidden/>
    <w:rsid w:val="0057430E"/>
    <w:rPr>
      <w:rFonts w:ascii="Tahoma" w:hAnsi="Tahoma" w:cs="Tahoma"/>
      <w:sz w:val="16"/>
      <w:szCs w:val="16"/>
    </w:rPr>
  </w:style>
  <w:style w:type="paragraph" w:styleId="FootnoteText">
    <w:name w:val="footnote text"/>
    <w:basedOn w:val="Normal"/>
    <w:link w:val="FootnoteTextChar"/>
    <w:rsid w:val="00631676"/>
    <w:pPr>
      <w:spacing w:line="300" w:lineRule="exact"/>
    </w:pPr>
  </w:style>
  <w:style w:type="character" w:customStyle="1" w:styleId="FootnoteTextChar">
    <w:name w:val="Footnote Text Char"/>
    <w:basedOn w:val="DefaultParagraphFont"/>
    <w:link w:val="FootnoteText"/>
    <w:rsid w:val="0009769D"/>
    <w:rPr>
      <w:rFonts w:ascii="Century Schoolbook" w:eastAsia="Times New Roman" w:hAnsi="Century Schoolbook"/>
      <w:sz w:val="27"/>
      <w:szCs w:val="20"/>
    </w:rPr>
  </w:style>
  <w:style w:type="character" w:styleId="FootnoteReference">
    <w:name w:val="footnote reference"/>
    <w:basedOn w:val="DefaultParagraphFont"/>
    <w:rsid w:val="00631676"/>
    <w:rPr>
      <w:rFonts w:ascii="Century Schoolbook" w:hAnsi="Century Schoolbook"/>
      <w:b/>
      <w:i w:val="0"/>
      <w:position w:val="4"/>
      <w:sz w:val="27"/>
      <w:vertAlign w:val="superscript"/>
    </w:rPr>
  </w:style>
  <w:style w:type="paragraph" w:styleId="Header">
    <w:name w:val="header"/>
    <w:basedOn w:val="Normal"/>
    <w:link w:val="HeaderChar"/>
    <w:uiPriority w:val="99"/>
    <w:qFormat/>
    <w:rsid w:val="00631676"/>
    <w:pPr>
      <w:tabs>
        <w:tab w:val="center" w:pos="3960"/>
        <w:tab w:val="right" w:pos="10080"/>
      </w:tabs>
      <w:spacing w:after="80" w:line="240" w:lineRule="auto"/>
      <w:jc w:val="center"/>
    </w:pPr>
    <w:rPr>
      <w:sz w:val="22"/>
    </w:rPr>
  </w:style>
  <w:style w:type="character" w:customStyle="1" w:styleId="HeaderChar">
    <w:name w:val="Header Char"/>
    <w:basedOn w:val="DefaultParagraphFont"/>
    <w:link w:val="Header"/>
    <w:uiPriority w:val="99"/>
    <w:rsid w:val="00F5607D"/>
    <w:rPr>
      <w:rFonts w:ascii="Century Schoolbook" w:eastAsia="Times New Roman" w:hAnsi="Century Schoolbook"/>
      <w:sz w:val="22"/>
      <w:szCs w:val="20"/>
    </w:rPr>
  </w:style>
  <w:style w:type="paragraph" w:styleId="Footer">
    <w:name w:val="footer"/>
    <w:basedOn w:val="Normal"/>
    <w:link w:val="FooterChar"/>
    <w:qFormat/>
    <w:rsid w:val="00631676"/>
    <w:pPr>
      <w:tabs>
        <w:tab w:val="center" w:pos="3960"/>
        <w:tab w:val="right" w:pos="10080"/>
      </w:tabs>
      <w:spacing w:after="0" w:line="240" w:lineRule="auto"/>
      <w:jc w:val="center"/>
    </w:pPr>
    <w:rPr>
      <w:sz w:val="22"/>
    </w:rPr>
  </w:style>
  <w:style w:type="character" w:customStyle="1" w:styleId="FooterChar">
    <w:name w:val="Footer Char"/>
    <w:basedOn w:val="DefaultParagraphFont"/>
    <w:link w:val="Footer"/>
    <w:uiPriority w:val="99"/>
    <w:rsid w:val="00F5607D"/>
    <w:rPr>
      <w:rFonts w:ascii="Century Schoolbook" w:eastAsia="Times New Roman" w:hAnsi="Century Schoolbook"/>
      <w:sz w:val="22"/>
      <w:szCs w:val="20"/>
    </w:rPr>
  </w:style>
  <w:style w:type="paragraph" w:styleId="CommentText">
    <w:name w:val="annotation text"/>
    <w:basedOn w:val="Normal"/>
    <w:link w:val="CommentTextChar"/>
    <w:uiPriority w:val="99"/>
    <w:unhideWhenUsed/>
    <w:rsid w:val="0090064D"/>
    <w:rPr>
      <w:sz w:val="20"/>
    </w:rPr>
  </w:style>
  <w:style w:type="character" w:customStyle="1" w:styleId="CommentTextChar">
    <w:name w:val="Comment Text Char"/>
    <w:basedOn w:val="DefaultParagraphFont"/>
    <w:link w:val="CommentText"/>
    <w:uiPriority w:val="99"/>
    <w:rsid w:val="0090064D"/>
    <w:rPr>
      <w:sz w:val="20"/>
      <w:szCs w:val="20"/>
    </w:rPr>
  </w:style>
  <w:style w:type="paragraph" w:styleId="CommentSubject">
    <w:name w:val="annotation subject"/>
    <w:basedOn w:val="CommentText"/>
    <w:next w:val="CommentText"/>
    <w:link w:val="CommentSubjectChar"/>
    <w:uiPriority w:val="99"/>
    <w:semiHidden/>
    <w:unhideWhenUsed/>
    <w:rsid w:val="0090064D"/>
    <w:rPr>
      <w:b/>
      <w:bCs/>
    </w:rPr>
  </w:style>
  <w:style w:type="character" w:customStyle="1" w:styleId="CommentSubjectChar">
    <w:name w:val="Comment Subject Char"/>
    <w:basedOn w:val="CommentTextChar"/>
    <w:link w:val="CommentSubject"/>
    <w:uiPriority w:val="99"/>
    <w:semiHidden/>
    <w:rsid w:val="0090064D"/>
    <w:rPr>
      <w:b/>
      <w:bCs/>
      <w:sz w:val="20"/>
      <w:szCs w:val="20"/>
    </w:rPr>
  </w:style>
  <w:style w:type="paragraph" w:styleId="Revision">
    <w:name w:val="Revision"/>
    <w:hidden/>
    <w:uiPriority w:val="99"/>
    <w:semiHidden/>
    <w:rsid w:val="00940F03"/>
    <w:rPr>
      <w:szCs w:val="24"/>
    </w:rPr>
  </w:style>
  <w:style w:type="paragraph" w:styleId="EndnoteText">
    <w:name w:val="endnote text"/>
    <w:basedOn w:val="Normal"/>
    <w:link w:val="EndnoteTextChar"/>
    <w:uiPriority w:val="99"/>
    <w:semiHidden/>
    <w:unhideWhenUsed/>
    <w:rsid w:val="0057736D"/>
    <w:rPr>
      <w:sz w:val="20"/>
    </w:rPr>
  </w:style>
  <w:style w:type="character" w:customStyle="1" w:styleId="EndnoteTextChar">
    <w:name w:val="Endnote Text Char"/>
    <w:basedOn w:val="DefaultParagraphFont"/>
    <w:link w:val="EndnoteText"/>
    <w:uiPriority w:val="99"/>
    <w:semiHidden/>
    <w:rsid w:val="0057736D"/>
    <w:rPr>
      <w:sz w:val="20"/>
      <w:szCs w:val="20"/>
    </w:rPr>
  </w:style>
  <w:style w:type="character" w:styleId="EndnoteReference">
    <w:name w:val="endnote reference"/>
    <w:basedOn w:val="DefaultParagraphFont"/>
    <w:uiPriority w:val="99"/>
    <w:semiHidden/>
    <w:unhideWhenUsed/>
    <w:rsid w:val="0057736D"/>
    <w:rPr>
      <w:vertAlign w:val="superscript"/>
    </w:rPr>
  </w:style>
  <w:style w:type="character" w:customStyle="1" w:styleId="Heading4Char">
    <w:name w:val="Heading 4 Char"/>
    <w:basedOn w:val="DefaultParagraphFont"/>
    <w:link w:val="Heading4"/>
    <w:rsid w:val="00EA69D1"/>
    <w:rPr>
      <w:rFonts w:ascii="Century Schoolbook" w:eastAsia="Times New Roman" w:hAnsi="Century Schoolbook"/>
      <w:i/>
      <w:sz w:val="27"/>
      <w:szCs w:val="20"/>
    </w:rPr>
  </w:style>
  <w:style w:type="character" w:customStyle="1" w:styleId="Heading5Char">
    <w:name w:val="Heading 5 Char"/>
    <w:basedOn w:val="DefaultParagraphFont"/>
    <w:link w:val="Heading5"/>
    <w:rsid w:val="00631676"/>
    <w:rPr>
      <w:rFonts w:ascii="Century Schoolbook" w:eastAsia="Times New Roman" w:hAnsi="Century Schoolbook"/>
      <w:i/>
      <w:sz w:val="27"/>
      <w:szCs w:val="20"/>
    </w:rPr>
  </w:style>
  <w:style w:type="paragraph" w:styleId="Date">
    <w:name w:val="Date"/>
    <w:basedOn w:val="Normal"/>
    <w:link w:val="DateChar"/>
    <w:semiHidden/>
    <w:rsid w:val="00631676"/>
    <w:pPr>
      <w:jc w:val="right"/>
    </w:pPr>
  </w:style>
  <w:style w:type="character" w:customStyle="1" w:styleId="DateChar">
    <w:name w:val="Date Char"/>
    <w:basedOn w:val="DefaultParagraphFont"/>
    <w:link w:val="Date"/>
    <w:semiHidden/>
    <w:rsid w:val="00631676"/>
    <w:rPr>
      <w:rFonts w:ascii="Century Schoolbook" w:eastAsia="Times New Roman" w:hAnsi="Century Schoolbook"/>
      <w:sz w:val="27"/>
      <w:szCs w:val="20"/>
    </w:rPr>
  </w:style>
  <w:style w:type="paragraph" w:styleId="NormalIndent">
    <w:name w:val="Normal Indent"/>
    <w:basedOn w:val="Normal"/>
    <w:link w:val="NormalIndentChar"/>
    <w:rsid w:val="00631676"/>
    <w:pPr>
      <w:ind w:left="720"/>
    </w:pPr>
  </w:style>
  <w:style w:type="character" w:styleId="PageNumber">
    <w:name w:val="page number"/>
    <w:basedOn w:val="DefaultParagraphFont"/>
    <w:semiHidden/>
    <w:rsid w:val="00631676"/>
  </w:style>
  <w:style w:type="paragraph" w:customStyle="1" w:styleId="Recommend">
    <w:name w:val="Recommend"/>
    <w:basedOn w:val="Normal"/>
    <w:rsid w:val="00631676"/>
  </w:style>
  <w:style w:type="paragraph" w:customStyle="1" w:styleId="subject">
    <w:name w:val="subject"/>
    <w:basedOn w:val="Normal"/>
    <w:rsid w:val="00631676"/>
    <w:pPr>
      <w:tabs>
        <w:tab w:val="left" w:pos="1008"/>
      </w:tabs>
      <w:ind w:left="990" w:hanging="990"/>
    </w:pPr>
    <w:rPr>
      <w:b/>
    </w:rPr>
  </w:style>
  <w:style w:type="paragraph" w:customStyle="1" w:styleId="Summary">
    <w:name w:val="Summary"/>
    <w:basedOn w:val="Normal"/>
    <w:rsid w:val="00631676"/>
    <w:pPr>
      <w:ind w:left="2160" w:hanging="2160"/>
    </w:pPr>
  </w:style>
  <w:style w:type="paragraph" w:customStyle="1" w:styleId="Text">
    <w:name w:val="Text"/>
    <w:basedOn w:val="Normal"/>
    <w:rsid w:val="00631676"/>
    <w:pPr>
      <w:tabs>
        <w:tab w:val="left" w:pos="720"/>
        <w:tab w:val="left" w:pos="1440"/>
        <w:tab w:val="left" w:pos="2160"/>
        <w:tab w:val="center" w:pos="4320"/>
      </w:tabs>
      <w:spacing w:line="480" w:lineRule="atLeast"/>
      <w:ind w:firstLine="540"/>
    </w:pPr>
  </w:style>
  <w:style w:type="paragraph" w:customStyle="1" w:styleId="Title1">
    <w:name w:val="Title1"/>
    <w:basedOn w:val="Normal"/>
    <w:rsid w:val="00631676"/>
    <w:pPr>
      <w:tabs>
        <w:tab w:val="left" w:pos="5760"/>
        <w:tab w:val="left" w:pos="6480"/>
      </w:tabs>
      <w:spacing w:line="240" w:lineRule="atLeast"/>
    </w:pPr>
  </w:style>
  <w:style w:type="paragraph" w:customStyle="1" w:styleId="Titles">
    <w:name w:val="Titles"/>
    <w:basedOn w:val="Normal"/>
    <w:rsid w:val="00631676"/>
    <w:pPr>
      <w:tabs>
        <w:tab w:val="left" w:pos="2160"/>
      </w:tabs>
      <w:ind w:left="2160" w:hanging="2160"/>
    </w:pPr>
    <w:rPr>
      <w:b/>
    </w:rPr>
  </w:style>
  <w:style w:type="paragraph" w:styleId="TOAHeading">
    <w:name w:val="toa heading"/>
    <w:basedOn w:val="Normal"/>
    <w:next w:val="Normal"/>
    <w:semiHidden/>
    <w:rsid w:val="00631676"/>
    <w:pPr>
      <w:spacing w:before="120"/>
    </w:pPr>
    <w:rPr>
      <w:b/>
    </w:rPr>
  </w:style>
  <w:style w:type="paragraph" w:styleId="TOC4">
    <w:name w:val="toc 4"/>
    <w:basedOn w:val="Normal"/>
    <w:next w:val="Normal"/>
    <w:autoRedefine/>
    <w:semiHidden/>
    <w:rsid w:val="00631676"/>
    <w:pPr>
      <w:ind w:left="780"/>
    </w:pPr>
  </w:style>
  <w:style w:type="paragraph" w:styleId="TOC5">
    <w:name w:val="toc 5"/>
    <w:basedOn w:val="Normal"/>
    <w:next w:val="Normal"/>
    <w:autoRedefine/>
    <w:semiHidden/>
    <w:rsid w:val="00631676"/>
    <w:pPr>
      <w:ind w:left="1040"/>
    </w:pPr>
  </w:style>
  <w:style w:type="paragraph" w:styleId="TOC6">
    <w:name w:val="toc 6"/>
    <w:basedOn w:val="Normal"/>
    <w:next w:val="Normal"/>
    <w:autoRedefine/>
    <w:semiHidden/>
    <w:rsid w:val="00631676"/>
    <w:pPr>
      <w:ind w:left="1300"/>
    </w:pPr>
  </w:style>
  <w:style w:type="paragraph" w:styleId="TOC7">
    <w:name w:val="toc 7"/>
    <w:basedOn w:val="Normal"/>
    <w:next w:val="Normal"/>
    <w:autoRedefine/>
    <w:semiHidden/>
    <w:rsid w:val="00631676"/>
    <w:pPr>
      <w:ind w:left="1560"/>
    </w:pPr>
  </w:style>
  <w:style w:type="paragraph" w:styleId="TOC8">
    <w:name w:val="toc 8"/>
    <w:basedOn w:val="Normal"/>
    <w:next w:val="Normal"/>
    <w:autoRedefine/>
    <w:semiHidden/>
    <w:rsid w:val="00631676"/>
    <w:pPr>
      <w:ind w:left="1820"/>
    </w:pPr>
  </w:style>
  <w:style w:type="paragraph" w:styleId="TOC9">
    <w:name w:val="toc 9"/>
    <w:basedOn w:val="Normal"/>
    <w:next w:val="Normal"/>
    <w:autoRedefine/>
    <w:semiHidden/>
    <w:rsid w:val="00631676"/>
    <w:pPr>
      <w:ind w:left="2080"/>
    </w:pPr>
  </w:style>
  <w:style w:type="paragraph" w:customStyle="1" w:styleId="Contents">
    <w:name w:val="Contents"/>
    <w:basedOn w:val="Normal"/>
    <w:rsid w:val="00631676"/>
    <w:pPr>
      <w:jc w:val="center"/>
    </w:pPr>
    <w:rPr>
      <w:b/>
      <w:spacing w:val="100"/>
    </w:rPr>
  </w:style>
  <w:style w:type="paragraph" w:styleId="BodyText">
    <w:name w:val="Body Text"/>
    <w:basedOn w:val="Normal"/>
    <w:link w:val="BodyTextChar"/>
    <w:qFormat/>
    <w:rsid w:val="00631676"/>
  </w:style>
  <w:style w:type="character" w:customStyle="1" w:styleId="BodyTextChar">
    <w:name w:val="Body Text Char"/>
    <w:basedOn w:val="DefaultParagraphFont"/>
    <w:link w:val="BodyText"/>
    <w:rsid w:val="00631676"/>
    <w:rPr>
      <w:rFonts w:ascii="Century Schoolbook" w:eastAsia="Times New Roman" w:hAnsi="Century Schoolbook"/>
      <w:sz w:val="27"/>
      <w:szCs w:val="20"/>
    </w:rPr>
  </w:style>
  <w:style w:type="character" w:customStyle="1" w:styleId="NormalIndentChar">
    <w:name w:val="Normal Indent Char"/>
    <w:link w:val="NormalIndent"/>
    <w:rsid w:val="00A5727C"/>
    <w:rPr>
      <w:rFonts w:ascii="Century Schoolbook" w:eastAsia="Times New Roman" w:hAnsi="Century Schoolbook"/>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719510">
      <w:bodyDiv w:val="1"/>
      <w:marLeft w:val="0"/>
      <w:marRight w:val="0"/>
      <w:marTop w:val="0"/>
      <w:marBottom w:val="0"/>
      <w:divBdr>
        <w:top w:val="none" w:sz="0" w:space="0" w:color="auto"/>
        <w:left w:val="none" w:sz="0" w:space="0" w:color="auto"/>
        <w:bottom w:val="none" w:sz="0" w:space="0" w:color="auto"/>
        <w:right w:val="none" w:sz="0" w:space="0" w:color="auto"/>
      </w:divBdr>
    </w:div>
    <w:div w:id="160591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60E75-5B42-4291-8FAD-A0E52199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26283</Words>
  <Characters>149816</Characters>
  <Application>Microsoft Office Word</Application>
  <DocSecurity>0</DocSecurity>
  <Lines>1248</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2020-01-29T20:01:00Z</dcterms:created>
  <dcterms:modified xsi:type="dcterms:W3CDTF">2020-01-30T16:46:00Z</dcterms:modified>
</cp:coreProperties>
</file>