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8ED" w:rsidRDefault="00AF57BF" w:rsidP="00AF57BF">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rsidR="00AF57BF" w:rsidRDefault="00AF57BF" w:rsidP="00AF57BF">
      <w:pPr>
        <w:tabs>
          <w:tab w:val="left" w:pos="1440"/>
          <w:tab w:val="left" w:pos="4680"/>
          <w:tab w:val="center" w:pos="7200"/>
        </w:tabs>
        <w:spacing w:after="0"/>
        <w:jc w:val="center"/>
      </w:pPr>
    </w:p>
    <w:p w:rsidR="00AF57BF" w:rsidRDefault="00AF57BF" w:rsidP="00AF57BF">
      <w:pPr>
        <w:tabs>
          <w:tab w:val="left" w:pos="1440"/>
          <w:tab w:val="left" w:pos="4680"/>
          <w:tab w:val="center" w:pos="7200"/>
        </w:tabs>
        <w:spacing w:after="0"/>
        <w:jc w:val="center"/>
      </w:pPr>
      <w:r>
        <w:t>THE PEOPLE</w:t>
      </w:r>
      <w:r w:rsidR="002A40FA">
        <w:t>,</w:t>
      </w:r>
    </w:p>
    <w:p w:rsidR="00AF57BF" w:rsidRDefault="00AF57BF" w:rsidP="00AF57BF">
      <w:pPr>
        <w:tabs>
          <w:tab w:val="left" w:pos="1440"/>
          <w:tab w:val="left" w:pos="4680"/>
          <w:tab w:val="center" w:pos="7200"/>
        </w:tabs>
        <w:spacing w:after="0"/>
        <w:jc w:val="center"/>
      </w:pPr>
      <w:r>
        <w:t>Plaintiff and Respondent</w:t>
      </w:r>
      <w:r w:rsidR="002A40FA">
        <w:t>,</w:t>
      </w:r>
    </w:p>
    <w:p w:rsidR="00AF57BF" w:rsidRDefault="00AF57BF" w:rsidP="00AF57BF">
      <w:pPr>
        <w:tabs>
          <w:tab w:val="left" w:pos="1440"/>
          <w:tab w:val="left" w:pos="4680"/>
          <w:tab w:val="center" w:pos="7200"/>
        </w:tabs>
        <w:spacing w:after="0"/>
        <w:jc w:val="center"/>
      </w:pPr>
      <w:r>
        <w:t>v.</w:t>
      </w:r>
    </w:p>
    <w:p w:rsidR="00AF57BF" w:rsidRDefault="00AF57BF" w:rsidP="00AF57BF">
      <w:pPr>
        <w:tabs>
          <w:tab w:val="left" w:pos="1440"/>
          <w:tab w:val="left" w:pos="4680"/>
          <w:tab w:val="center" w:pos="7200"/>
        </w:tabs>
        <w:spacing w:after="0"/>
        <w:jc w:val="center"/>
      </w:pPr>
      <w:r>
        <w:t>OSWALDO AMEZCUA and JOSEPH CONRAD FLORES</w:t>
      </w:r>
      <w:r w:rsidR="002A40FA">
        <w:t>,</w:t>
      </w:r>
    </w:p>
    <w:p w:rsidR="00AF57BF" w:rsidRDefault="00AF57BF" w:rsidP="00AF57BF">
      <w:pPr>
        <w:tabs>
          <w:tab w:val="left" w:pos="1440"/>
          <w:tab w:val="left" w:pos="4680"/>
          <w:tab w:val="center" w:pos="7200"/>
        </w:tabs>
        <w:spacing w:after="0"/>
        <w:jc w:val="center"/>
      </w:pPr>
      <w:r>
        <w:t>Defendants and Appellants.</w:t>
      </w:r>
    </w:p>
    <w:p w:rsidR="00AF57BF" w:rsidRDefault="00AF57BF" w:rsidP="00AF57BF">
      <w:pPr>
        <w:tabs>
          <w:tab w:val="left" w:pos="1440"/>
          <w:tab w:val="left" w:pos="4680"/>
          <w:tab w:val="center" w:pos="7200"/>
        </w:tabs>
        <w:spacing w:after="0"/>
        <w:jc w:val="center"/>
      </w:pPr>
    </w:p>
    <w:p w:rsidR="00AF57BF" w:rsidRDefault="00AF57BF" w:rsidP="00AF57BF">
      <w:pPr>
        <w:tabs>
          <w:tab w:val="left" w:pos="1440"/>
          <w:tab w:val="left" w:pos="4680"/>
          <w:tab w:val="center" w:pos="7200"/>
        </w:tabs>
        <w:spacing w:after="0"/>
        <w:jc w:val="center"/>
      </w:pPr>
      <w:r>
        <w:t>S133660</w:t>
      </w:r>
    </w:p>
    <w:p w:rsidR="00AF57BF" w:rsidRDefault="00AF57BF" w:rsidP="00AF57BF">
      <w:pPr>
        <w:tabs>
          <w:tab w:val="left" w:pos="1440"/>
          <w:tab w:val="left" w:pos="4680"/>
          <w:tab w:val="center" w:pos="7200"/>
        </w:tabs>
        <w:spacing w:after="0"/>
        <w:jc w:val="center"/>
      </w:pPr>
    </w:p>
    <w:p w:rsidR="00AF57BF" w:rsidRDefault="00AF57BF" w:rsidP="00AF57BF">
      <w:pPr>
        <w:tabs>
          <w:tab w:val="left" w:pos="1440"/>
          <w:tab w:val="left" w:pos="4680"/>
          <w:tab w:val="center" w:pos="7200"/>
        </w:tabs>
        <w:spacing w:after="0"/>
        <w:jc w:val="center"/>
      </w:pPr>
      <w:r>
        <w:t>Los Angeles County</w:t>
      </w:r>
      <w:r w:rsidR="002A40FA">
        <w:t xml:space="preserve"> Superior Court</w:t>
      </w:r>
    </w:p>
    <w:p w:rsidR="00AF57BF" w:rsidRDefault="00AF57BF" w:rsidP="00AF57BF">
      <w:pPr>
        <w:tabs>
          <w:tab w:val="left" w:pos="1440"/>
          <w:tab w:val="left" w:pos="4680"/>
          <w:tab w:val="center" w:pos="7200"/>
        </w:tabs>
        <w:spacing w:after="0"/>
        <w:jc w:val="center"/>
      </w:pPr>
      <w:r>
        <w:t>KA050813</w:t>
      </w:r>
    </w:p>
    <w:p w:rsidR="00AF57BF" w:rsidRDefault="00AF57BF" w:rsidP="00AF57BF">
      <w:pPr>
        <w:pBdr>
          <w:bottom w:val="single" w:sz="4" w:space="1" w:color="auto"/>
        </w:pBdr>
        <w:tabs>
          <w:tab w:val="left" w:pos="1440"/>
          <w:tab w:val="left" w:pos="4680"/>
          <w:tab w:val="center" w:pos="7200"/>
        </w:tabs>
        <w:spacing w:after="0"/>
        <w:jc w:val="center"/>
      </w:pPr>
    </w:p>
    <w:p w:rsidR="00AF57BF" w:rsidRDefault="00AF57BF" w:rsidP="00AF57BF">
      <w:pPr>
        <w:tabs>
          <w:tab w:val="left" w:pos="1440"/>
          <w:tab w:val="left" w:pos="4680"/>
          <w:tab w:val="center" w:pos="7200"/>
        </w:tabs>
        <w:spacing w:after="0"/>
        <w:jc w:val="center"/>
      </w:pPr>
    </w:p>
    <w:p w:rsidR="00AF57BF" w:rsidRDefault="00D15283" w:rsidP="00AF57BF">
      <w:pPr>
        <w:tabs>
          <w:tab w:val="left" w:pos="1440"/>
          <w:tab w:val="left" w:pos="4680"/>
          <w:tab w:val="center" w:pos="7200"/>
        </w:tabs>
        <w:spacing w:after="0"/>
        <w:jc w:val="center"/>
      </w:pPr>
      <w:r>
        <w:t>February 28</w:t>
      </w:r>
      <w:r w:rsidR="00AF57BF">
        <w:t>, 2019</w:t>
      </w:r>
    </w:p>
    <w:p w:rsidR="00AF57BF" w:rsidRDefault="00AF57BF" w:rsidP="00AF57BF">
      <w:pPr>
        <w:tabs>
          <w:tab w:val="left" w:pos="1440"/>
          <w:tab w:val="left" w:pos="4680"/>
          <w:tab w:val="center" w:pos="7200"/>
        </w:tabs>
        <w:spacing w:after="0"/>
        <w:jc w:val="center"/>
      </w:pPr>
    </w:p>
    <w:p w:rsidR="00AF57BF" w:rsidRDefault="00AF57BF" w:rsidP="00AF57BF">
      <w:pPr>
        <w:tabs>
          <w:tab w:val="left" w:pos="1440"/>
          <w:tab w:val="left" w:pos="4680"/>
          <w:tab w:val="center" w:pos="7200"/>
        </w:tabs>
        <w:spacing w:after="0"/>
        <w:jc w:val="left"/>
      </w:pPr>
      <w:r>
        <w:t xml:space="preserve">Justice Corrigan authored the opinion of the court, in which </w:t>
      </w:r>
      <w:r w:rsidR="00D15283">
        <w:t>Chief Justice Cantil-Sakauye, Justices Chin, Liu, Cuéllar, Kruger, and O’Rourke</w:t>
      </w:r>
      <w:r w:rsidR="00D15283">
        <w:rPr>
          <w:rStyle w:val="FootnoteReference"/>
        </w:rPr>
        <w:footnoteReference w:id="2"/>
      </w:r>
      <w:r>
        <w:t xml:space="preserve"> concurred.</w:t>
      </w:r>
    </w:p>
    <w:p w:rsidR="00AF57BF" w:rsidRPr="00AF57BF" w:rsidRDefault="00AF57BF" w:rsidP="00AF57BF">
      <w:pPr>
        <w:pBdr>
          <w:bottom w:val="single" w:sz="4" w:space="1" w:color="auto"/>
        </w:pBdr>
        <w:tabs>
          <w:tab w:val="left" w:pos="1440"/>
          <w:tab w:val="left" w:pos="4680"/>
          <w:tab w:val="center" w:pos="7200"/>
        </w:tabs>
        <w:spacing w:line="480" w:lineRule="atLeast"/>
        <w:jc w:val="left"/>
      </w:pPr>
      <w:bookmarkStart w:id="2" w:name="Return"/>
      <w:bookmarkEnd w:id="2"/>
    </w:p>
    <w:p w:rsidR="00AF57BF" w:rsidRDefault="00AF57BF">
      <w:pPr>
        <w:tabs>
          <w:tab w:val="left" w:pos="1440"/>
          <w:tab w:val="left" w:pos="4680"/>
          <w:tab w:val="center" w:pos="7200"/>
        </w:tabs>
        <w:spacing w:line="480" w:lineRule="atLeast"/>
        <w:sectPr w:rsidR="00AF57BF" w:rsidSect="00AF57BF">
          <w:headerReference w:type="default" r:id="rId7"/>
          <w:footerReference w:type="default" r:id="rId8"/>
          <w:footnotePr>
            <w:numFmt w:val="chicago"/>
            <w:numRestart w:val="eachSect"/>
          </w:footnotePr>
          <w:pgSz w:w="12240" w:h="15840"/>
          <w:pgMar w:top="1800" w:right="2160" w:bottom="1440" w:left="2160" w:header="720" w:footer="720" w:gutter="0"/>
          <w:cols w:space="720"/>
          <w:titlePg/>
          <w:docGrid w:linePitch="367"/>
        </w:sectPr>
      </w:pPr>
    </w:p>
    <w:p w:rsidR="00AF57BF" w:rsidRDefault="00AF57BF" w:rsidP="00AF57BF">
      <w:pPr>
        <w:tabs>
          <w:tab w:val="left" w:pos="1440"/>
          <w:tab w:val="left" w:pos="4680"/>
          <w:tab w:val="center" w:pos="7200"/>
        </w:tabs>
        <w:jc w:val="center"/>
      </w:pPr>
      <w:r>
        <w:lastRenderedPageBreak/>
        <w:t>PEOPLE v. AMEZCUA and FLORES</w:t>
      </w:r>
    </w:p>
    <w:p w:rsidR="00AF57BF" w:rsidRDefault="00AF57BF" w:rsidP="00AF57BF">
      <w:pPr>
        <w:tabs>
          <w:tab w:val="left" w:pos="1440"/>
          <w:tab w:val="left" w:pos="4680"/>
          <w:tab w:val="center" w:pos="7200"/>
        </w:tabs>
        <w:jc w:val="center"/>
      </w:pPr>
      <w:r>
        <w:t>S133660</w:t>
      </w:r>
    </w:p>
    <w:p w:rsidR="00AF57BF" w:rsidRDefault="00AF57BF" w:rsidP="00AF57BF">
      <w:pPr>
        <w:tabs>
          <w:tab w:val="left" w:pos="1440"/>
          <w:tab w:val="left" w:pos="4680"/>
          <w:tab w:val="center" w:pos="7200"/>
        </w:tabs>
        <w:jc w:val="center"/>
      </w:pPr>
    </w:p>
    <w:p w:rsidR="00AF57BF" w:rsidRDefault="00AF57BF" w:rsidP="00AF57BF">
      <w:pPr>
        <w:tabs>
          <w:tab w:val="left" w:pos="1440"/>
          <w:tab w:val="left" w:pos="4680"/>
          <w:tab w:val="center" w:pos="7200"/>
        </w:tabs>
        <w:jc w:val="center"/>
      </w:pPr>
      <w:r>
        <w:t>Opinion of the Court by Corrigan, J.</w:t>
      </w:r>
    </w:p>
    <w:p w:rsidR="00AF57BF" w:rsidRPr="00AF57BF" w:rsidRDefault="00AF57BF" w:rsidP="00AF57BF">
      <w:pPr>
        <w:tabs>
          <w:tab w:val="left" w:pos="1440"/>
          <w:tab w:val="left" w:pos="4680"/>
          <w:tab w:val="center" w:pos="7200"/>
        </w:tabs>
        <w:jc w:val="center"/>
      </w:pPr>
    </w:p>
    <w:p w:rsidR="004E6325" w:rsidRPr="00AF57BF" w:rsidRDefault="00E43018" w:rsidP="00AF57BF">
      <w:pPr>
        <w:tabs>
          <w:tab w:val="left" w:pos="1440"/>
        </w:tabs>
        <w:ind w:firstLine="720"/>
      </w:pPr>
      <w:bookmarkStart w:id="3" w:name="mainstory"/>
      <w:bookmarkEnd w:id="3"/>
      <w:r w:rsidRPr="00AF57BF">
        <w:t>A</w:t>
      </w:r>
      <w:r w:rsidR="00A95D71" w:rsidRPr="00AF57BF">
        <w:t xml:space="preserve"> jury convicted codefendants Oswaldo </w:t>
      </w:r>
      <w:proofErr w:type="spellStart"/>
      <w:r w:rsidR="00A95D71" w:rsidRPr="00AF57BF">
        <w:t>Amezcua</w:t>
      </w:r>
      <w:proofErr w:type="spellEnd"/>
      <w:r w:rsidR="00A95D71" w:rsidRPr="00AF57BF">
        <w:t xml:space="preserve"> and Joseph Conrad Flores of the first degree murders of</w:t>
      </w:r>
      <w:r w:rsidR="00A25873" w:rsidRPr="00AF57BF">
        <w:t xml:space="preserve"> </w:t>
      </w:r>
      <w:r w:rsidR="0090543C" w:rsidRPr="00AF57BF">
        <w:t>George</w:t>
      </w:r>
      <w:r w:rsidR="00A95D71" w:rsidRPr="00AF57BF">
        <w:t xml:space="preserve"> Flores</w:t>
      </w:r>
      <w:r w:rsidR="0090543C" w:rsidRPr="00AF57BF">
        <w:t>, John</w:t>
      </w:r>
      <w:r w:rsidR="00A25873" w:rsidRPr="00AF57BF">
        <w:t xml:space="preserve"> Di</w:t>
      </w:r>
      <w:r w:rsidR="009C7840" w:rsidRPr="00AF57BF">
        <w:t>az,</w:t>
      </w:r>
      <w:r w:rsidR="00A25873" w:rsidRPr="00AF57BF">
        <w:t xml:space="preserve"> Arturo Madrigal,</w:t>
      </w:r>
      <w:r w:rsidR="009C7840" w:rsidRPr="00AF57BF">
        <w:t xml:space="preserve"> and Luis</w:t>
      </w:r>
      <w:r w:rsidR="002E3DB9" w:rsidRPr="00AF57BF">
        <w:t xml:space="preserve"> Reyes</w:t>
      </w:r>
      <w:r w:rsidR="009C7840" w:rsidRPr="00AF57BF">
        <w:t xml:space="preserve"> and found true multiple-murder and drive-by-murder special circumstance allegations.</w:t>
      </w:r>
      <w:r w:rsidR="009C7840" w:rsidRPr="00AF57BF">
        <w:rPr>
          <w:rStyle w:val="FootnoteReference"/>
        </w:rPr>
        <w:footnoteReference w:id="3"/>
      </w:r>
      <w:r w:rsidR="009C7840" w:rsidRPr="00AF57BF">
        <w:t xml:space="preserve"> </w:t>
      </w:r>
      <w:r w:rsidR="002E3DB9" w:rsidRPr="00AF57BF">
        <w:t xml:space="preserve"> </w:t>
      </w:r>
      <w:r w:rsidR="009C7840" w:rsidRPr="00AF57BF">
        <w:t xml:space="preserve">The jury also convicted </w:t>
      </w:r>
      <w:r w:rsidRPr="00AF57BF">
        <w:t>defendan</w:t>
      </w:r>
      <w:r w:rsidR="00EE313E" w:rsidRPr="00AF57BF">
        <w:t>ts</w:t>
      </w:r>
      <w:r w:rsidR="009C7840" w:rsidRPr="00AF57BF">
        <w:t xml:space="preserve"> of multiple</w:t>
      </w:r>
      <w:r w:rsidR="00EE313E" w:rsidRPr="00AF57BF">
        <w:t xml:space="preserve"> counts of</w:t>
      </w:r>
      <w:r w:rsidRPr="00AF57BF">
        <w:t xml:space="preserve"> attempted willful, deli</w:t>
      </w:r>
      <w:r w:rsidR="00EE313E" w:rsidRPr="00AF57BF">
        <w:t xml:space="preserve">berate, premeditated murder, </w:t>
      </w:r>
      <w:r w:rsidR="003447A3" w:rsidRPr="00AF57BF">
        <w:t>some</w:t>
      </w:r>
      <w:r w:rsidR="00EE313E" w:rsidRPr="00AF57BF">
        <w:t xml:space="preserve"> of them relating to peace officers;</w:t>
      </w:r>
      <w:r w:rsidR="004B32D7" w:rsidRPr="00AF57BF">
        <w:rPr>
          <w:rStyle w:val="FootnoteReference"/>
        </w:rPr>
        <w:footnoteReference w:id="4"/>
      </w:r>
      <w:r w:rsidR="004B32D7" w:rsidRPr="00AF57BF">
        <w:rPr>
          <w:rStyle w:val="FootnoteReference"/>
        </w:rPr>
        <w:t xml:space="preserve"> </w:t>
      </w:r>
      <w:r w:rsidR="009C7840" w:rsidRPr="00AF57BF">
        <w:t>multiple</w:t>
      </w:r>
      <w:r w:rsidR="00EE313E" w:rsidRPr="00AF57BF">
        <w:t xml:space="preserve"> counts of false imprisonment</w:t>
      </w:r>
      <w:r w:rsidR="002F4DD6" w:rsidRPr="00AF57BF">
        <w:rPr>
          <w:rStyle w:val="FootnoteReference"/>
        </w:rPr>
        <w:footnoteReference w:id="5"/>
      </w:r>
      <w:r w:rsidR="009A2700" w:rsidRPr="00AF57BF">
        <w:t xml:space="preserve"> in</w:t>
      </w:r>
      <w:r w:rsidR="00942A68" w:rsidRPr="00AF57BF">
        <w:t xml:space="preserve"> a hostage-taking incident; </w:t>
      </w:r>
      <w:r w:rsidR="00503347" w:rsidRPr="00AF57BF">
        <w:t>custodial possession of a weapon;</w:t>
      </w:r>
      <w:r w:rsidR="004B32D7" w:rsidRPr="00AF57BF">
        <w:rPr>
          <w:rStyle w:val="FootnoteReference"/>
        </w:rPr>
        <w:footnoteReference w:id="6"/>
      </w:r>
      <w:r w:rsidR="00503347" w:rsidRPr="00AF57BF">
        <w:t xml:space="preserve"> </w:t>
      </w:r>
      <w:r w:rsidR="002F4DD6" w:rsidRPr="00AF57BF">
        <w:t xml:space="preserve">and various other offenses and enhancement </w:t>
      </w:r>
      <w:r w:rsidR="009A2700" w:rsidRPr="00AF57BF">
        <w:t xml:space="preserve">allegations, including that </w:t>
      </w:r>
      <w:r w:rsidR="004E6325" w:rsidRPr="00AF57BF">
        <w:t xml:space="preserve">many of the </w:t>
      </w:r>
      <w:r w:rsidR="002F4DD6" w:rsidRPr="00AF57BF">
        <w:t>offenses were committed for the benefit of a criminal street gang</w:t>
      </w:r>
      <w:r w:rsidR="00A731F3" w:rsidRPr="00AF57BF">
        <w:t>.</w:t>
      </w:r>
      <w:r w:rsidR="00A731F3" w:rsidRPr="00AF57BF">
        <w:rPr>
          <w:rStyle w:val="FootnoteReference"/>
        </w:rPr>
        <w:footnoteReference w:id="7"/>
      </w:r>
      <w:r w:rsidR="004E6325" w:rsidRPr="00AF57BF">
        <w:t xml:space="preserve">  The jury ret</w:t>
      </w:r>
      <w:r w:rsidR="009C7840" w:rsidRPr="00AF57BF">
        <w:t xml:space="preserve">urned death verdicts for both </w:t>
      </w:r>
      <w:r w:rsidR="004E6325" w:rsidRPr="00AF57BF">
        <w:t>defendants</w:t>
      </w:r>
      <w:r w:rsidR="00793A82" w:rsidRPr="00AF57BF">
        <w:t xml:space="preserve">.  </w:t>
      </w:r>
      <w:r w:rsidR="00793A82" w:rsidRPr="00AF57BF">
        <w:lastRenderedPageBreak/>
        <w:t>T</w:t>
      </w:r>
      <w:r w:rsidR="004E6325" w:rsidRPr="00AF57BF">
        <w:t xml:space="preserve">he trial court </w:t>
      </w:r>
      <w:r w:rsidR="004B74BD" w:rsidRPr="00AF57BF">
        <w:t xml:space="preserve">sentenced each defendant to death for </w:t>
      </w:r>
      <w:r w:rsidR="00793A82" w:rsidRPr="00AF57BF">
        <w:t xml:space="preserve">the murder convictions and </w:t>
      </w:r>
      <w:r w:rsidR="004B74BD" w:rsidRPr="00AF57BF">
        <w:t xml:space="preserve">imposed </w:t>
      </w:r>
      <w:r w:rsidR="00793A82" w:rsidRPr="00AF57BF">
        <w:t>determinate</w:t>
      </w:r>
      <w:r w:rsidR="004B74BD" w:rsidRPr="00AF57BF">
        <w:t xml:space="preserve"> and indeterminate sentences for </w:t>
      </w:r>
      <w:r w:rsidR="00793A82" w:rsidRPr="00AF57BF">
        <w:t xml:space="preserve">the noncapital convictions.  </w:t>
      </w:r>
      <w:r w:rsidR="004E6325" w:rsidRPr="00AF57BF">
        <w:t>This appeal is autom</w:t>
      </w:r>
      <w:r w:rsidR="003D4473" w:rsidRPr="00AF57BF">
        <w:t>atic.  W</w:t>
      </w:r>
      <w:r w:rsidR="004E6325" w:rsidRPr="00AF57BF">
        <w:t>e affirm the judgment in its entirety.</w:t>
      </w:r>
    </w:p>
    <w:p w:rsidR="004E6325" w:rsidRPr="00AF57BF" w:rsidRDefault="00871F7B" w:rsidP="00AF57BF">
      <w:pPr>
        <w:pStyle w:val="Heading1"/>
        <w:rPr>
          <w:b w:val="0"/>
        </w:rPr>
      </w:pPr>
      <w:bookmarkStart w:id="4" w:name="_Toc521674375"/>
      <w:r w:rsidRPr="00AF57BF">
        <w:t>I.  Facts</w:t>
      </w:r>
      <w:bookmarkEnd w:id="4"/>
    </w:p>
    <w:p w:rsidR="004E6325" w:rsidRPr="00AF57BF" w:rsidRDefault="004E6325" w:rsidP="00AF57BF">
      <w:pPr>
        <w:pStyle w:val="Heading2"/>
      </w:pPr>
      <w:bookmarkStart w:id="5" w:name="_Toc459886084"/>
      <w:bookmarkStart w:id="6" w:name="_Toc521674376"/>
      <w:r w:rsidRPr="00AF57BF">
        <w:t>A.  Guilt Phase</w:t>
      </w:r>
      <w:bookmarkEnd w:id="5"/>
      <w:bookmarkEnd w:id="6"/>
    </w:p>
    <w:p w:rsidR="00E94784" w:rsidRPr="00AF57BF" w:rsidRDefault="00E94784" w:rsidP="00AF57BF">
      <w:pPr>
        <w:pStyle w:val="Heading3"/>
      </w:pPr>
      <w:bookmarkStart w:id="7" w:name="_Toc521674377"/>
      <w:r w:rsidRPr="00AF57BF">
        <w:t xml:space="preserve">1.  </w:t>
      </w:r>
      <w:r w:rsidR="00B35C48" w:rsidRPr="00AF57BF">
        <w:t>Prosecution</w:t>
      </w:r>
      <w:bookmarkEnd w:id="7"/>
    </w:p>
    <w:p w:rsidR="00B52285" w:rsidRPr="00AF57BF" w:rsidRDefault="00254FF0" w:rsidP="00AF57BF">
      <w:pPr>
        <w:pStyle w:val="Heading4"/>
      </w:pPr>
      <w:bookmarkStart w:id="8" w:name="_Toc521674378"/>
      <w:r w:rsidRPr="00AF57BF">
        <w:t>a.</w:t>
      </w:r>
      <w:r w:rsidRPr="00AF57BF">
        <w:tab/>
      </w:r>
      <w:r w:rsidR="00AF3018" w:rsidRPr="00AF57BF">
        <w:t xml:space="preserve">April 11, 2000:  </w:t>
      </w:r>
      <w:r w:rsidR="004B32D7" w:rsidRPr="00AF57BF">
        <w:t>M</w:t>
      </w:r>
      <w:r w:rsidR="00EB789B" w:rsidRPr="00AF57BF">
        <w:t>urder of John Diaz</w:t>
      </w:r>
      <w:bookmarkEnd w:id="8"/>
    </w:p>
    <w:p w:rsidR="00345ED1" w:rsidRPr="00AF57BF" w:rsidRDefault="00B52285" w:rsidP="00AF57BF">
      <w:pPr>
        <w:pStyle w:val="Text"/>
        <w:spacing w:line="400" w:lineRule="exact"/>
      </w:pPr>
      <w:r w:rsidRPr="00AF57BF">
        <w:t>The city of Baldwin Park</w:t>
      </w:r>
      <w:r w:rsidR="00E673A4" w:rsidRPr="00AF57BF">
        <w:t xml:space="preserve"> is the home of the Eastside </w:t>
      </w:r>
      <w:r w:rsidR="00A2201E" w:rsidRPr="00AF57BF">
        <w:t>Bole</w:t>
      </w:r>
      <w:r w:rsidR="00367F15" w:rsidRPr="00AF57BF">
        <w:t xml:space="preserve">n Parque (ESBP) gang.  </w:t>
      </w:r>
      <w:r w:rsidR="00E04B1F" w:rsidRPr="00AF57BF">
        <w:t>D</w:t>
      </w:r>
      <w:r w:rsidR="00E673A4" w:rsidRPr="00AF57BF">
        <w:t>efenda</w:t>
      </w:r>
      <w:r w:rsidR="00AA4411" w:rsidRPr="00AF57BF">
        <w:t>nts were members of ESBP.  Not long after</w:t>
      </w:r>
      <w:r w:rsidR="00E673A4" w:rsidRPr="00AF57BF">
        <w:t xml:space="preserve"> midnight </w:t>
      </w:r>
      <w:r w:rsidR="006C374B" w:rsidRPr="00AF57BF">
        <w:t>on April 11, 2000, Paul Gonzales</w:t>
      </w:r>
      <w:r w:rsidR="00E673A4" w:rsidRPr="00AF57BF">
        <w:t xml:space="preserve"> </w:t>
      </w:r>
      <w:r w:rsidR="0054402C" w:rsidRPr="00AF57BF">
        <w:t>was riding a bicycle on Merced Street in Baldwin Park.  H</w:t>
      </w:r>
      <w:r w:rsidR="00E673A4" w:rsidRPr="00AF57BF">
        <w:t xml:space="preserve">is half-brother, John Diaz, </w:t>
      </w:r>
      <w:r w:rsidR="0054402C" w:rsidRPr="00AF57BF">
        <w:t xml:space="preserve">rode on the handlebars. </w:t>
      </w:r>
      <w:r w:rsidR="00E673A4" w:rsidRPr="00AF57BF">
        <w:t xml:space="preserve"> </w:t>
      </w:r>
      <w:r w:rsidR="006C374B" w:rsidRPr="00AF57BF">
        <w:t>Diaz</w:t>
      </w:r>
      <w:r w:rsidR="0054402C" w:rsidRPr="00AF57BF">
        <w:t xml:space="preserve"> was</w:t>
      </w:r>
      <w:r w:rsidR="00E673A4" w:rsidRPr="00AF57BF">
        <w:t xml:space="preserve"> a member of the Monrovia gang</w:t>
      </w:r>
      <w:r w:rsidR="00971E81" w:rsidRPr="00AF57BF">
        <w:t xml:space="preserve"> </w:t>
      </w:r>
      <w:r w:rsidR="0054402C" w:rsidRPr="00AF57BF">
        <w:t>and had</w:t>
      </w:r>
      <w:r w:rsidR="00971E81" w:rsidRPr="00AF57BF">
        <w:t xml:space="preserve"> a “Monrovia” tattoo above his right knee</w:t>
      </w:r>
      <w:r w:rsidR="0054402C" w:rsidRPr="00AF57BF">
        <w:t xml:space="preserve">. </w:t>
      </w:r>
      <w:r w:rsidR="00E673A4" w:rsidRPr="00AF57BF">
        <w:t xml:space="preserve"> </w:t>
      </w:r>
      <w:r w:rsidR="006C374B" w:rsidRPr="00AF57BF">
        <w:t>Gonzales</w:t>
      </w:r>
      <w:r w:rsidR="00E673A4" w:rsidRPr="00AF57BF">
        <w:t xml:space="preserve"> was</w:t>
      </w:r>
      <w:r w:rsidR="0054402C" w:rsidRPr="00AF57BF">
        <w:t xml:space="preserve"> not a gang member.  </w:t>
      </w:r>
      <w:r w:rsidR="00FF00CA" w:rsidRPr="00AF57BF">
        <w:t xml:space="preserve">They </w:t>
      </w:r>
      <w:r w:rsidR="0054402C" w:rsidRPr="00AF57BF">
        <w:t>passed</w:t>
      </w:r>
      <w:r w:rsidR="00B76ECA" w:rsidRPr="00AF57BF">
        <w:t xml:space="preserve"> a black sport utility vehicle (SUV) </w:t>
      </w:r>
      <w:r w:rsidR="006E1511" w:rsidRPr="00AF57BF">
        <w:t>sitting at a red light</w:t>
      </w:r>
      <w:r w:rsidR="00FF00CA" w:rsidRPr="00AF57BF">
        <w:t xml:space="preserve">.  </w:t>
      </w:r>
      <w:r w:rsidR="00A9044D" w:rsidRPr="00AF57BF">
        <w:t>The SUV</w:t>
      </w:r>
      <w:r w:rsidR="00992666" w:rsidRPr="00AF57BF">
        <w:t xml:space="preserve"> made a U-turn</w:t>
      </w:r>
      <w:r w:rsidR="008A0623" w:rsidRPr="00AF57BF">
        <w:t xml:space="preserve"> and </w:t>
      </w:r>
      <w:r w:rsidR="006E1511" w:rsidRPr="00AF57BF">
        <w:t>came</w:t>
      </w:r>
      <w:r w:rsidR="00992666" w:rsidRPr="00AF57BF">
        <w:t xml:space="preserve"> back toward the brothers</w:t>
      </w:r>
      <w:r w:rsidR="008A0623" w:rsidRPr="00AF57BF">
        <w:t xml:space="preserve"> on th</w:t>
      </w:r>
      <w:r w:rsidR="0054402C" w:rsidRPr="00AF57BF">
        <w:t>e opposite side of the street,</w:t>
      </w:r>
      <w:r w:rsidR="008A0623" w:rsidRPr="00AF57BF">
        <w:t xml:space="preserve"> </w:t>
      </w:r>
      <w:r w:rsidR="004940C9" w:rsidRPr="00AF57BF">
        <w:t xml:space="preserve">then </w:t>
      </w:r>
      <w:r w:rsidR="008A0623" w:rsidRPr="00AF57BF">
        <w:t xml:space="preserve">made another U-turn and </w:t>
      </w:r>
      <w:r w:rsidR="006E1511" w:rsidRPr="00AF57BF">
        <w:t>pulled</w:t>
      </w:r>
      <w:r w:rsidR="001A013D" w:rsidRPr="00AF57BF">
        <w:t xml:space="preserve"> alongside them.  </w:t>
      </w:r>
      <w:r w:rsidR="00985F04" w:rsidRPr="00AF57BF">
        <w:t>Two people were in the car</w:t>
      </w:r>
      <w:r w:rsidR="00EE3EAE" w:rsidRPr="00AF57BF">
        <w:t xml:space="preserve">.  As the SUV </w:t>
      </w:r>
      <w:r w:rsidR="006E1511" w:rsidRPr="00AF57BF">
        <w:t>pulled past them</w:t>
      </w:r>
      <w:r w:rsidR="00EE3EAE" w:rsidRPr="00AF57BF">
        <w:t>, the passenger shouted, “Where you from?”</w:t>
      </w:r>
      <w:r w:rsidR="006C374B" w:rsidRPr="00AF57BF">
        <w:t xml:space="preserve">  Gonzales</w:t>
      </w:r>
      <w:r w:rsidR="00EE3EAE" w:rsidRPr="00AF57BF">
        <w:t xml:space="preserve"> saw gunfire </w:t>
      </w:r>
      <w:r w:rsidR="00C8596E" w:rsidRPr="00AF57BF">
        <w:t xml:space="preserve">coming </w:t>
      </w:r>
      <w:r w:rsidR="00EE3EAE" w:rsidRPr="00AF57BF">
        <w:t>from inside the vehicle</w:t>
      </w:r>
      <w:r w:rsidR="006E1511" w:rsidRPr="00AF57BF">
        <w:t>,</w:t>
      </w:r>
      <w:r w:rsidR="00EE3EAE" w:rsidRPr="00AF57BF">
        <w:t xml:space="preserve"> </w:t>
      </w:r>
      <w:r w:rsidR="00985F04" w:rsidRPr="00AF57BF">
        <w:t xml:space="preserve">jumped off the bicycle and </w:t>
      </w:r>
      <w:r w:rsidR="00B0726A" w:rsidRPr="00AF57BF">
        <w:t>crouched</w:t>
      </w:r>
      <w:r w:rsidR="00985F04" w:rsidRPr="00AF57BF">
        <w:t xml:space="preserve"> </w:t>
      </w:r>
      <w:r w:rsidR="00992666" w:rsidRPr="00AF57BF">
        <w:t xml:space="preserve">behind a parked car.  The SUV sped away. </w:t>
      </w:r>
      <w:r w:rsidR="00985F04" w:rsidRPr="00AF57BF">
        <w:t xml:space="preserve"> Diaz</w:t>
      </w:r>
      <w:r w:rsidR="00935FDF" w:rsidRPr="00AF57BF">
        <w:t xml:space="preserve"> approached Gonzales,</w:t>
      </w:r>
      <w:r w:rsidR="00985F04" w:rsidRPr="00AF57BF">
        <w:t xml:space="preserve"> </w:t>
      </w:r>
      <w:r w:rsidR="00FB57CF" w:rsidRPr="00AF57BF">
        <w:t>told him to c</w:t>
      </w:r>
      <w:r w:rsidR="00985F04" w:rsidRPr="00AF57BF">
        <w:t xml:space="preserve">all </w:t>
      </w:r>
      <w:r w:rsidR="00FB57CF" w:rsidRPr="00AF57BF">
        <w:t>an</w:t>
      </w:r>
      <w:r w:rsidR="00985F04" w:rsidRPr="00AF57BF">
        <w:t xml:space="preserve"> </w:t>
      </w:r>
      <w:r w:rsidR="00935FDF" w:rsidRPr="00AF57BF">
        <w:t>ambulance, and</w:t>
      </w:r>
      <w:r w:rsidR="00D627C1" w:rsidRPr="00AF57BF">
        <w:t xml:space="preserve"> fell to the ground.  </w:t>
      </w:r>
      <w:r w:rsidR="00D0367A" w:rsidRPr="00AF57BF">
        <w:t>He died</w:t>
      </w:r>
      <w:r w:rsidR="00844045" w:rsidRPr="00AF57BF">
        <w:t xml:space="preserve"> at the</w:t>
      </w:r>
      <w:r w:rsidR="00BE433D" w:rsidRPr="00AF57BF">
        <w:t xml:space="preserve"> hospital.</w:t>
      </w:r>
      <w:r w:rsidR="00844045" w:rsidRPr="00AF57BF">
        <w:t xml:space="preserve">  </w:t>
      </w:r>
    </w:p>
    <w:p w:rsidR="00C8596E" w:rsidRPr="00AF57BF" w:rsidRDefault="00D0367A" w:rsidP="00AF57BF">
      <w:pPr>
        <w:pStyle w:val="Text"/>
        <w:spacing w:line="400" w:lineRule="exact"/>
      </w:pPr>
      <w:r w:rsidRPr="00AF57BF">
        <w:lastRenderedPageBreak/>
        <w:t xml:space="preserve">Sheriff’s </w:t>
      </w:r>
      <w:r w:rsidR="006F6482" w:rsidRPr="00AF57BF">
        <w:t xml:space="preserve">Sergeant </w:t>
      </w:r>
      <w:r w:rsidR="00C8596E" w:rsidRPr="00AF57BF">
        <w:t>Kennet</w:t>
      </w:r>
      <w:r w:rsidR="004B1937" w:rsidRPr="00AF57BF">
        <w:t>h Clark</w:t>
      </w:r>
      <w:r w:rsidR="006F6482" w:rsidRPr="00AF57BF">
        <w:t xml:space="preserve"> processed the scene.  He</w:t>
      </w:r>
      <w:r w:rsidR="004B74BD" w:rsidRPr="00AF57BF">
        <w:t xml:space="preserve"> </w:t>
      </w:r>
      <w:r w:rsidR="00C8596E" w:rsidRPr="00AF57BF">
        <w:t>found five expended nine-millimeter shell casings</w:t>
      </w:r>
      <w:r w:rsidR="004B1937" w:rsidRPr="00AF57BF">
        <w:t>, and</w:t>
      </w:r>
      <w:r w:rsidR="001E039C" w:rsidRPr="00AF57BF">
        <w:t xml:space="preserve"> a bullet hole in </w:t>
      </w:r>
      <w:r w:rsidR="002A40FA">
        <w:t>a</w:t>
      </w:r>
      <w:r w:rsidR="001E039C" w:rsidRPr="00AF57BF">
        <w:t xml:space="preserve"> residence </w:t>
      </w:r>
      <w:r w:rsidR="002A40FA">
        <w:t xml:space="preserve">on </w:t>
      </w:r>
      <w:r w:rsidR="001E039C" w:rsidRPr="00AF57BF">
        <w:t xml:space="preserve">Merced Street.  </w:t>
      </w:r>
      <w:r w:rsidR="00674AC5" w:rsidRPr="00AF57BF">
        <w:t xml:space="preserve">Gonzales described the shooter as being between ages 18 and 22, short-haired or bald-headed with a light complexion.  </w:t>
      </w:r>
    </w:p>
    <w:p w:rsidR="00226571" w:rsidRPr="00AF57BF" w:rsidRDefault="00D0367A" w:rsidP="00AF57BF">
      <w:pPr>
        <w:pStyle w:val="Text"/>
        <w:spacing w:line="400" w:lineRule="exact"/>
      </w:pPr>
      <w:r w:rsidRPr="00AF57BF">
        <w:t xml:space="preserve">Doctor </w:t>
      </w:r>
      <w:r w:rsidR="000B3E94" w:rsidRPr="00AF57BF">
        <w:t xml:space="preserve">Vladimir </w:t>
      </w:r>
      <w:proofErr w:type="spellStart"/>
      <w:r w:rsidR="000B3E94" w:rsidRPr="00AF57BF">
        <w:t>Levicky</w:t>
      </w:r>
      <w:proofErr w:type="spellEnd"/>
      <w:r w:rsidR="000B3E94" w:rsidRPr="00AF57BF">
        <w:t xml:space="preserve">, M.D., </w:t>
      </w:r>
      <w:r w:rsidR="003C436B" w:rsidRPr="00AF57BF">
        <w:t>p</w:t>
      </w:r>
      <w:r w:rsidR="00935FDF" w:rsidRPr="00AF57BF">
        <w:t>erformed the</w:t>
      </w:r>
      <w:r w:rsidR="003775E6" w:rsidRPr="00AF57BF">
        <w:t xml:space="preserve"> </w:t>
      </w:r>
      <w:r w:rsidR="00FB57CF" w:rsidRPr="00AF57BF">
        <w:t xml:space="preserve">Diaz </w:t>
      </w:r>
      <w:r w:rsidR="003775E6" w:rsidRPr="00AF57BF">
        <w:t>autopsy</w:t>
      </w:r>
      <w:r w:rsidR="003C436B" w:rsidRPr="00AF57BF">
        <w:t xml:space="preserve">.  Diaz suffered a fatal </w:t>
      </w:r>
      <w:r w:rsidRPr="00AF57BF">
        <w:t xml:space="preserve">gunshot </w:t>
      </w:r>
      <w:r w:rsidR="003C436B" w:rsidRPr="00AF57BF">
        <w:t>wound to his left side, wh</w:t>
      </w:r>
      <w:r w:rsidR="000B3E94" w:rsidRPr="00AF57BF">
        <w:t>ich</w:t>
      </w:r>
      <w:r w:rsidR="003C436B" w:rsidRPr="00AF57BF">
        <w:t xml:space="preserve"> perforated his</w:t>
      </w:r>
      <w:r w:rsidRPr="00AF57BF">
        <w:t xml:space="preserve"> liver and inferior vena cava.  A second</w:t>
      </w:r>
      <w:r w:rsidR="003C436B" w:rsidRPr="00AF57BF">
        <w:t xml:space="preserve"> fatal wound to </w:t>
      </w:r>
      <w:r w:rsidR="000B3E94" w:rsidRPr="00AF57BF">
        <w:t>the</w:t>
      </w:r>
      <w:r w:rsidR="003C436B" w:rsidRPr="00AF57BF">
        <w:t xml:space="preserve"> back</w:t>
      </w:r>
      <w:r w:rsidRPr="00AF57BF">
        <w:t xml:space="preserve"> perforated his liver, stomach, and aorta.  A third</w:t>
      </w:r>
      <w:r w:rsidR="003C436B" w:rsidRPr="00AF57BF">
        <w:t xml:space="preserve"> wound to the buttocks perforated his bladder</w:t>
      </w:r>
      <w:r w:rsidR="00240E74" w:rsidRPr="00AF57BF">
        <w:t xml:space="preserve">.  </w:t>
      </w:r>
      <w:r w:rsidR="003775E6" w:rsidRPr="00AF57BF">
        <w:t xml:space="preserve">The bullet </w:t>
      </w:r>
      <w:r w:rsidR="000B3E94" w:rsidRPr="00AF57BF">
        <w:t>from</w:t>
      </w:r>
      <w:r w:rsidR="003775E6" w:rsidRPr="00AF57BF">
        <w:t xml:space="preserve"> Diaz’s back was retrieved and booked into evidence.  </w:t>
      </w:r>
    </w:p>
    <w:p w:rsidR="00431834" w:rsidRPr="00AF57BF" w:rsidRDefault="00DA58A5" w:rsidP="00AF57BF">
      <w:pPr>
        <w:pStyle w:val="Text"/>
        <w:spacing w:line="400" w:lineRule="exact"/>
      </w:pPr>
      <w:r w:rsidRPr="00AF57BF">
        <w:t>In a recorded conversation with the trial prosecutor on February 21, 2002, defendants admitted t</w:t>
      </w:r>
      <w:r w:rsidR="00993696" w:rsidRPr="00AF57BF">
        <w:t>hey did</w:t>
      </w:r>
      <w:r w:rsidR="00163F8A" w:rsidRPr="00AF57BF">
        <w:t xml:space="preserve"> the shooting.</w:t>
      </w:r>
      <w:r w:rsidR="00890B69" w:rsidRPr="00AF57BF">
        <w:rPr>
          <w:rStyle w:val="FootnoteReference"/>
        </w:rPr>
        <w:footnoteReference w:id="8"/>
      </w:r>
      <w:r w:rsidR="00163F8A" w:rsidRPr="00AF57BF">
        <w:t xml:space="preserve">  Flores described how Diaz had been on the handlebars of a bicycle that his “friend or </w:t>
      </w:r>
      <w:r w:rsidR="004B32D7" w:rsidRPr="00AF57BF">
        <w:t xml:space="preserve">his </w:t>
      </w:r>
      <w:r w:rsidR="007806F6" w:rsidRPr="00AF57BF">
        <w:t>brother” had been riding</w:t>
      </w:r>
      <w:r w:rsidR="00163F8A" w:rsidRPr="00AF57BF">
        <w:t xml:space="preserve"> and noted that five nine-millimeter shell casings should have been f</w:t>
      </w:r>
      <w:r w:rsidR="00240E74" w:rsidRPr="00AF57BF">
        <w:t xml:space="preserve">ound at the scene.  </w:t>
      </w:r>
      <w:r w:rsidR="00163F8A" w:rsidRPr="00AF57BF">
        <w:t>In another recorded conversation with the prosecutor on March 28, 2002, defendants a</w:t>
      </w:r>
      <w:r w:rsidR="00760891" w:rsidRPr="00AF57BF">
        <w:t xml:space="preserve">gain admitted </w:t>
      </w:r>
      <w:r w:rsidR="00163F8A" w:rsidRPr="00AF57BF">
        <w:t>shooting</w:t>
      </w:r>
      <w:r w:rsidR="00760891" w:rsidRPr="00AF57BF">
        <w:t xml:space="preserve"> Diaz</w:t>
      </w:r>
      <w:r w:rsidR="00163F8A" w:rsidRPr="00AF57BF">
        <w:t>.</w:t>
      </w:r>
      <w:r w:rsidR="00EE681E" w:rsidRPr="00AF57BF">
        <w:t xml:space="preserve">  Flores </w:t>
      </w:r>
      <w:r w:rsidR="00431834" w:rsidRPr="00AF57BF">
        <w:t xml:space="preserve">said he </w:t>
      </w:r>
      <w:r w:rsidR="00EE681E" w:rsidRPr="00AF57BF">
        <w:t xml:space="preserve">did not kill the </w:t>
      </w:r>
      <w:r w:rsidR="00F60ECC" w:rsidRPr="00AF57BF">
        <w:t>victim’s brother because he was not a gang member.</w:t>
      </w:r>
      <w:r w:rsidR="00163F8A" w:rsidRPr="00AF57BF">
        <w:t xml:space="preserve">  </w:t>
      </w:r>
    </w:p>
    <w:p w:rsidR="007E5442" w:rsidRPr="00AF57BF" w:rsidRDefault="007E5442" w:rsidP="00AF57BF">
      <w:pPr>
        <w:pStyle w:val="Text"/>
        <w:spacing w:line="400" w:lineRule="exact"/>
      </w:pPr>
      <w:r w:rsidRPr="00AF57BF">
        <w:t>After these interviews Gonzale</w:t>
      </w:r>
      <w:r w:rsidR="00895FB3">
        <w:t>s</w:t>
      </w:r>
      <w:r w:rsidRPr="00AF57BF">
        <w:t xml:space="preserve"> identified a photo of Flores as the shooter.  He did the same at trial.  </w:t>
      </w:r>
    </w:p>
    <w:p w:rsidR="00DA58A5" w:rsidRPr="00AF57BF" w:rsidRDefault="00240E74" w:rsidP="00AF57BF">
      <w:pPr>
        <w:pStyle w:val="Text"/>
        <w:spacing w:line="400" w:lineRule="exact"/>
      </w:pPr>
      <w:r w:rsidRPr="00AF57BF">
        <w:t>Baldwin Park Police Sergeant</w:t>
      </w:r>
      <w:r w:rsidR="001209DD" w:rsidRPr="00AF57BF">
        <w:t xml:space="preserve"> David Reynoso, testifying as a gang expert, opined the shooting was c</w:t>
      </w:r>
      <w:r w:rsidR="00E20CA6" w:rsidRPr="00AF57BF">
        <w:t xml:space="preserve">ommitted for the </w:t>
      </w:r>
      <w:r w:rsidR="00E20CA6" w:rsidRPr="00AF57BF">
        <w:lastRenderedPageBreak/>
        <w:t xml:space="preserve">benefit of </w:t>
      </w:r>
      <w:r w:rsidR="00CD4CA6" w:rsidRPr="00AF57BF">
        <w:t>ESBP</w:t>
      </w:r>
      <w:r w:rsidR="001209DD" w:rsidRPr="00AF57BF">
        <w:t xml:space="preserve">.  Based on defendants’ recorded conversations with the prosecutor, Reynoso believed </w:t>
      </w:r>
      <w:r w:rsidR="00CD4CA6" w:rsidRPr="00AF57BF">
        <w:t>defendants shot Diaz because he was a rival gang member in territory claimed by ESBP, and the shoot</w:t>
      </w:r>
      <w:r w:rsidR="00E20CA6" w:rsidRPr="00AF57BF">
        <w:t xml:space="preserve">ing was intended to promote </w:t>
      </w:r>
      <w:r w:rsidR="00CD4CA6" w:rsidRPr="00AF57BF">
        <w:t xml:space="preserve">ESBP’s reputation.  </w:t>
      </w:r>
    </w:p>
    <w:p w:rsidR="004A2115" w:rsidRPr="00AF57BF" w:rsidRDefault="004A2115" w:rsidP="00AF57BF">
      <w:pPr>
        <w:pStyle w:val="Heading4"/>
      </w:pPr>
      <w:bookmarkStart w:id="9" w:name="_Toc521674379"/>
      <w:r w:rsidRPr="00AF57BF">
        <w:t>b.</w:t>
      </w:r>
      <w:r w:rsidR="00935FDF" w:rsidRPr="00AF57BF">
        <w:tab/>
        <w:t xml:space="preserve">May 25, 2000:  </w:t>
      </w:r>
      <w:r w:rsidR="004B32D7" w:rsidRPr="00AF57BF">
        <w:t>M</w:t>
      </w:r>
      <w:r w:rsidR="00254FF0" w:rsidRPr="00AF57BF">
        <w:t xml:space="preserve">urder of </w:t>
      </w:r>
      <w:r w:rsidR="007D374D" w:rsidRPr="00AF57BF">
        <w:t xml:space="preserve">Arturo Madrigal and </w:t>
      </w:r>
      <w:r w:rsidR="004B32D7" w:rsidRPr="00AF57BF">
        <w:t>Attempted M</w:t>
      </w:r>
      <w:r w:rsidR="007D374D" w:rsidRPr="00AF57BF">
        <w:t>urder of Fernando Gutierrez</w:t>
      </w:r>
      <w:bookmarkEnd w:id="9"/>
    </w:p>
    <w:p w:rsidR="004A2115" w:rsidRPr="00AF57BF" w:rsidRDefault="007D374D" w:rsidP="00AF57BF">
      <w:pPr>
        <w:pStyle w:val="Text"/>
        <w:spacing w:line="400" w:lineRule="exact"/>
      </w:pPr>
      <w:r w:rsidRPr="00AF57BF">
        <w:t>On May 25, 2000, Arturo Madrigal was park</w:t>
      </w:r>
      <w:r w:rsidR="0031077B" w:rsidRPr="00AF57BF">
        <w:t>ing</w:t>
      </w:r>
      <w:r w:rsidRPr="00AF57BF">
        <w:t xml:space="preserve"> his Chev</w:t>
      </w:r>
      <w:r w:rsidR="002A40FA">
        <w:t>rolet</w:t>
      </w:r>
      <w:r w:rsidRPr="00AF57BF">
        <w:t xml:space="preserve"> Blazer near the corner of </w:t>
      </w:r>
      <w:proofErr w:type="spellStart"/>
      <w:r w:rsidRPr="00AF57BF">
        <w:t>Rexwood</w:t>
      </w:r>
      <w:proofErr w:type="spellEnd"/>
      <w:r w:rsidRPr="00AF57BF">
        <w:t xml:space="preserve"> Avenue an</w:t>
      </w:r>
      <w:r w:rsidR="00264F56" w:rsidRPr="00AF57BF">
        <w:t>d Maine Avenue in Baldwin Park</w:t>
      </w:r>
      <w:r w:rsidRPr="00AF57BF">
        <w:t>.  Madrigal’s friend Fernando Gutierrez</w:t>
      </w:r>
      <w:r w:rsidR="00240E74" w:rsidRPr="00AF57BF">
        <w:t>, who lived nearby,</w:t>
      </w:r>
      <w:r w:rsidRPr="00AF57BF">
        <w:t xml:space="preserve"> </w:t>
      </w:r>
      <w:r w:rsidR="007E5442" w:rsidRPr="00AF57BF">
        <w:t>sat</w:t>
      </w:r>
      <w:r w:rsidRPr="00AF57BF">
        <w:t xml:space="preserve"> in the passenger seat.  </w:t>
      </w:r>
      <w:r w:rsidR="00935FDF" w:rsidRPr="00AF57BF">
        <w:t>A car</w:t>
      </w:r>
      <w:r w:rsidR="005C55A0" w:rsidRPr="00AF57BF">
        <w:t xml:space="preserve"> stopped </w:t>
      </w:r>
      <w:r w:rsidR="007E5442" w:rsidRPr="00AF57BF">
        <w:t>next to</w:t>
      </w:r>
      <w:r w:rsidR="005C55A0" w:rsidRPr="00AF57BF">
        <w:t xml:space="preserve"> </w:t>
      </w:r>
      <w:r w:rsidR="0031077B" w:rsidRPr="00AF57BF">
        <w:t>the Blazer</w:t>
      </w:r>
      <w:r w:rsidR="007E5442" w:rsidRPr="00AF57BF">
        <w:t xml:space="preserve"> and s</w:t>
      </w:r>
      <w:r w:rsidR="005C55A0" w:rsidRPr="00AF57BF">
        <w:t xml:space="preserve">omeone inside said, “Where you from?”  </w:t>
      </w:r>
      <w:r w:rsidR="00944836" w:rsidRPr="00AF57BF">
        <w:t>Gutierrez replie</w:t>
      </w:r>
      <w:r w:rsidR="005C55A0" w:rsidRPr="00AF57BF">
        <w:t>d loudly, “We’re not from nowhere.</w:t>
      </w:r>
      <w:r w:rsidR="00DB4740" w:rsidRPr="00AF57BF">
        <w:t xml:space="preserve">”  </w:t>
      </w:r>
      <w:r w:rsidR="007E5442" w:rsidRPr="00AF57BF">
        <w:t>S</w:t>
      </w:r>
      <w:r w:rsidR="00DB4740" w:rsidRPr="00AF57BF">
        <w:t xml:space="preserve">omeone in the other car </w:t>
      </w:r>
      <w:r w:rsidR="007E5442" w:rsidRPr="00AF57BF">
        <w:t>started shoot</w:t>
      </w:r>
      <w:r w:rsidR="00944836" w:rsidRPr="00AF57BF">
        <w:t>ing</w:t>
      </w:r>
      <w:r w:rsidR="007E5442" w:rsidRPr="00AF57BF">
        <w:t xml:space="preserve"> and</w:t>
      </w:r>
      <w:r w:rsidR="00944836" w:rsidRPr="00AF57BF">
        <w:t xml:space="preserve"> G</w:t>
      </w:r>
      <w:r w:rsidR="00DB4740" w:rsidRPr="00AF57BF">
        <w:t xml:space="preserve">utierrez ducked under the dashboard.  </w:t>
      </w:r>
      <w:r w:rsidR="007E5442" w:rsidRPr="00AF57BF">
        <w:t>When</w:t>
      </w:r>
      <w:r w:rsidR="00E056A1" w:rsidRPr="00AF57BF">
        <w:t xml:space="preserve"> the shooting</w:t>
      </w:r>
      <w:r w:rsidR="007E5442" w:rsidRPr="00AF57BF">
        <w:t xml:space="preserve"> stopped</w:t>
      </w:r>
      <w:r w:rsidR="00E056A1" w:rsidRPr="00AF57BF">
        <w:t>, h</w:t>
      </w:r>
      <w:r w:rsidR="00DB4740" w:rsidRPr="00AF57BF">
        <w:t>e hear</w:t>
      </w:r>
      <w:r w:rsidR="007E5442" w:rsidRPr="00AF57BF">
        <w:t>d</w:t>
      </w:r>
      <w:r w:rsidR="00DB4740" w:rsidRPr="00AF57BF">
        <w:t xml:space="preserve"> blood dripping from Madrigal.  Gutierrez got out of the car</w:t>
      </w:r>
      <w:r w:rsidR="0031077B" w:rsidRPr="00AF57BF">
        <w:t xml:space="preserve"> and</w:t>
      </w:r>
      <w:r w:rsidR="00DB4740" w:rsidRPr="00AF57BF">
        <w:t xml:space="preserve"> ran</w:t>
      </w:r>
      <w:r w:rsidR="00315EAA" w:rsidRPr="00AF57BF">
        <w:t xml:space="preserve"> for help.  </w:t>
      </w:r>
    </w:p>
    <w:p w:rsidR="00D4010D" w:rsidRPr="00AF57BF" w:rsidRDefault="00315EAA" w:rsidP="00AF57BF">
      <w:pPr>
        <w:pStyle w:val="Text"/>
        <w:spacing w:line="400" w:lineRule="exact"/>
      </w:pPr>
      <w:r w:rsidRPr="00AF57BF">
        <w:t xml:space="preserve">Gutierrez told police there </w:t>
      </w:r>
      <w:r w:rsidR="0031077B" w:rsidRPr="00AF57BF">
        <w:t>had been</w:t>
      </w:r>
      <w:r w:rsidRPr="00AF57BF">
        <w:t xml:space="preserve"> </w:t>
      </w:r>
      <w:r w:rsidR="00220A16" w:rsidRPr="00AF57BF">
        <w:t xml:space="preserve">four </w:t>
      </w:r>
      <w:r w:rsidRPr="00AF57BF">
        <w:t>Hispanic</w:t>
      </w:r>
      <w:r w:rsidR="0031077B" w:rsidRPr="00AF57BF">
        <w:t xml:space="preserve"> men in the car.  All were</w:t>
      </w:r>
      <w:r w:rsidRPr="00AF57BF">
        <w:t xml:space="preserve"> between 20 and 25 years old, with shaved heads.  </w:t>
      </w:r>
      <w:r w:rsidR="00CC2B78" w:rsidRPr="00AF57BF">
        <w:t xml:space="preserve">He testified neither he nor Madrigal </w:t>
      </w:r>
      <w:r w:rsidR="00E609DB" w:rsidRPr="00AF57BF">
        <w:t>belonged to</w:t>
      </w:r>
      <w:r w:rsidR="00CC2B78" w:rsidRPr="00AF57BF">
        <w:t xml:space="preserve"> a gang.  </w:t>
      </w:r>
      <w:r w:rsidR="00E76D03" w:rsidRPr="00AF57BF">
        <w:t xml:space="preserve">He </w:t>
      </w:r>
      <w:r w:rsidR="009C2026" w:rsidRPr="00AF57BF">
        <w:t xml:space="preserve">saw the assailants only briefly </w:t>
      </w:r>
      <w:r w:rsidR="008458F8" w:rsidRPr="00AF57BF">
        <w:t xml:space="preserve">and </w:t>
      </w:r>
      <w:r w:rsidR="00E76D03" w:rsidRPr="00AF57BF">
        <w:t xml:space="preserve">was unable to identify </w:t>
      </w:r>
      <w:r w:rsidR="009C2026" w:rsidRPr="00AF57BF">
        <w:t xml:space="preserve">anyone at trial.  </w:t>
      </w:r>
    </w:p>
    <w:p w:rsidR="00315EAA" w:rsidRPr="00AF57BF" w:rsidRDefault="00220B46" w:rsidP="00AF57BF">
      <w:pPr>
        <w:pStyle w:val="Text"/>
        <w:spacing w:line="400" w:lineRule="exact"/>
      </w:pPr>
      <w:r w:rsidRPr="00AF57BF">
        <w:t xml:space="preserve">Police Detective Mike Hemenway responded to </w:t>
      </w:r>
      <w:r w:rsidR="0031077B" w:rsidRPr="00AF57BF">
        <w:t>the scene</w:t>
      </w:r>
      <w:r w:rsidR="00206946" w:rsidRPr="00AF57BF">
        <w:t xml:space="preserve"> to find t</w:t>
      </w:r>
      <w:r w:rsidR="0031077B" w:rsidRPr="00AF57BF">
        <w:t>he</w:t>
      </w:r>
      <w:r w:rsidRPr="00AF57BF">
        <w:t xml:space="preserve"> Blazer parked </w:t>
      </w:r>
      <w:r w:rsidR="0082515C" w:rsidRPr="00AF57BF">
        <w:t xml:space="preserve">near the corner of Maine and </w:t>
      </w:r>
      <w:proofErr w:type="spellStart"/>
      <w:r w:rsidR="0082515C" w:rsidRPr="00AF57BF">
        <w:t>Rexwood</w:t>
      </w:r>
      <w:proofErr w:type="spellEnd"/>
      <w:r w:rsidR="0082515C" w:rsidRPr="00AF57BF">
        <w:t xml:space="preserve"> Avenues </w:t>
      </w:r>
      <w:r w:rsidR="009252D9" w:rsidRPr="00AF57BF">
        <w:t xml:space="preserve">with its </w:t>
      </w:r>
      <w:r w:rsidR="0082515C" w:rsidRPr="00AF57BF">
        <w:t xml:space="preserve">engine </w:t>
      </w:r>
      <w:r w:rsidR="009252D9" w:rsidRPr="00AF57BF">
        <w:t>running</w:t>
      </w:r>
      <w:r w:rsidRPr="00AF57BF">
        <w:t>.  Madrigal</w:t>
      </w:r>
      <w:r w:rsidR="00E139DF" w:rsidRPr="00AF57BF">
        <w:t xml:space="preserve"> </w:t>
      </w:r>
      <w:r w:rsidR="00206946" w:rsidRPr="00AF57BF">
        <w:t>was</w:t>
      </w:r>
      <w:r w:rsidR="00E139DF" w:rsidRPr="00AF57BF">
        <w:t xml:space="preserve"> dead</w:t>
      </w:r>
      <w:r w:rsidR="000B546C" w:rsidRPr="00AF57BF">
        <w:t xml:space="preserve"> behind the wheel</w:t>
      </w:r>
      <w:r w:rsidR="00E139DF" w:rsidRPr="00AF57BF">
        <w:t>;</w:t>
      </w:r>
      <w:r w:rsidRPr="00AF57BF">
        <w:t xml:space="preserve"> blood </w:t>
      </w:r>
      <w:r w:rsidR="00E139DF" w:rsidRPr="00AF57BF">
        <w:t>flowed from</w:t>
      </w:r>
      <w:r w:rsidRPr="00AF57BF">
        <w:t xml:space="preserve"> his ears and head.  </w:t>
      </w:r>
      <w:r w:rsidR="00A90388" w:rsidRPr="00AF57BF">
        <w:t xml:space="preserve">Lisa </w:t>
      </w:r>
      <w:proofErr w:type="spellStart"/>
      <w:r w:rsidR="00A90388" w:rsidRPr="00AF57BF">
        <w:t>Scheinin</w:t>
      </w:r>
      <w:proofErr w:type="spellEnd"/>
      <w:r w:rsidR="00A90388" w:rsidRPr="00AF57BF">
        <w:t xml:space="preserve">, M.D., testified </w:t>
      </w:r>
      <w:r w:rsidR="00D708BC" w:rsidRPr="00AF57BF">
        <w:t>in lieu of</w:t>
      </w:r>
      <w:r w:rsidR="00A90388" w:rsidRPr="00AF57BF">
        <w:t xml:space="preserve"> the</w:t>
      </w:r>
      <w:r w:rsidR="00D4010D" w:rsidRPr="00AF57BF">
        <w:t xml:space="preserve"> pathologist who performed the au</w:t>
      </w:r>
      <w:r w:rsidR="00A90388" w:rsidRPr="00AF57BF">
        <w:t>topsy</w:t>
      </w:r>
      <w:r w:rsidR="00D708BC" w:rsidRPr="00AF57BF">
        <w:t>.  She reported his</w:t>
      </w:r>
      <w:r w:rsidR="00A90388" w:rsidRPr="00AF57BF">
        <w:t xml:space="preserve"> conclu</w:t>
      </w:r>
      <w:r w:rsidR="00D708BC" w:rsidRPr="00AF57BF">
        <w:t>sions that</w:t>
      </w:r>
      <w:r w:rsidR="00616B9B" w:rsidRPr="00AF57BF">
        <w:t xml:space="preserve"> </w:t>
      </w:r>
      <w:r w:rsidR="00D4010D" w:rsidRPr="00AF57BF">
        <w:t xml:space="preserve">Madrigal </w:t>
      </w:r>
      <w:r w:rsidR="00A90388" w:rsidRPr="00AF57BF">
        <w:t xml:space="preserve">died </w:t>
      </w:r>
      <w:r w:rsidR="00D708BC" w:rsidRPr="00AF57BF">
        <w:t>from</w:t>
      </w:r>
      <w:r w:rsidR="00A90388" w:rsidRPr="00AF57BF">
        <w:t xml:space="preserve"> a gunshot wound to the head that severed his brain stem</w:t>
      </w:r>
      <w:r w:rsidR="00D708BC" w:rsidRPr="00AF57BF">
        <w:t xml:space="preserve">.  </w:t>
      </w:r>
      <w:r w:rsidR="00173C78" w:rsidRPr="00AF57BF">
        <w:t>Several</w:t>
      </w:r>
      <w:r w:rsidR="00487AFB" w:rsidRPr="00AF57BF">
        <w:t xml:space="preserve"> bullet</w:t>
      </w:r>
      <w:r w:rsidR="00173C78" w:rsidRPr="00AF57BF">
        <w:t>s were</w:t>
      </w:r>
      <w:r w:rsidR="00487AFB" w:rsidRPr="00AF57BF">
        <w:t xml:space="preserve"> recovered and </w:t>
      </w:r>
      <w:r w:rsidR="00173C78" w:rsidRPr="00AF57BF">
        <w:t>given</w:t>
      </w:r>
      <w:r w:rsidR="00487AFB" w:rsidRPr="00AF57BF">
        <w:t xml:space="preserve"> to </w:t>
      </w:r>
      <w:r w:rsidR="00487AFB" w:rsidRPr="00AF57BF">
        <w:lastRenderedPageBreak/>
        <w:t>investigators</w:t>
      </w:r>
      <w:r w:rsidR="00A90388" w:rsidRPr="00AF57BF">
        <w:t xml:space="preserve">.  Madrigal also suffered a grazing wound to one knee.  </w:t>
      </w:r>
    </w:p>
    <w:p w:rsidR="00A90388" w:rsidRPr="00AF57BF" w:rsidRDefault="00FB7718" w:rsidP="00AF57BF">
      <w:pPr>
        <w:pStyle w:val="Text"/>
        <w:spacing w:line="400" w:lineRule="exact"/>
      </w:pPr>
      <w:r w:rsidRPr="00AF57BF">
        <w:t xml:space="preserve">A sheriff’s </w:t>
      </w:r>
      <w:r w:rsidR="00173C78" w:rsidRPr="00AF57BF">
        <w:t>deputy</w:t>
      </w:r>
      <w:r w:rsidRPr="00AF57BF">
        <w:t xml:space="preserve"> recovered four expended nine-millimeter cartridge casings and </w:t>
      </w:r>
      <w:r w:rsidR="00D45B02" w:rsidRPr="00AF57BF">
        <w:t>one expended bullet</w:t>
      </w:r>
      <w:r w:rsidRPr="00AF57BF">
        <w:t xml:space="preserve"> near the Blazer </w:t>
      </w:r>
      <w:r w:rsidR="00A76EF5" w:rsidRPr="00AF57BF">
        <w:t>along with</w:t>
      </w:r>
      <w:r w:rsidRPr="00AF57BF">
        <w:t xml:space="preserve"> one expended bullet from inside the driver’s door.  </w:t>
      </w:r>
      <w:r w:rsidR="009C2026" w:rsidRPr="00AF57BF">
        <w:t xml:space="preserve">All had been fired from outside the </w:t>
      </w:r>
      <w:r w:rsidR="00A76EF5" w:rsidRPr="00AF57BF">
        <w:t>vehicle</w:t>
      </w:r>
      <w:r w:rsidR="00173C78" w:rsidRPr="00AF57BF">
        <w:t xml:space="preserve"> and</w:t>
      </w:r>
      <w:r w:rsidR="00A67B38" w:rsidRPr="00AF57BF">
        <w:t xml:space="preserve"> from the same </w:t>
      </w:r>
      <w:r w:rsidR="00173C78" w:rsidRPr="00AF57BF">
        <w:t>gun</w:t>
      </w:r>
      <w:r w:rsidR="00A76EF5" w:rsidRPr="00AF57BF">
        <w:t>.  A</w:t>
      </w:r>
      <w:r w:rsidR="00A67B38" w:rsidRPr="00AF57BF">
        <w:t xml:space="preserve">ll four bullets </w:t>
      </w:r>
      <w:r w:rsidR="00A76EF5" w:rsidRPr="00AF57BF">
        <w:t>from the Madrigal autopsy</w:t>
      </w:r>
      <w:r w:rsidR="005D633A" w:rsidRPr="00AF57BF">
        <w:t xml:space="preserve"> </w:t>
      </w:r>
      <w:r w:rsidR="00A67B38" w:rsidRPr="00AF57BF">
        <w:t xml:space="preserve">showed six lands and grooves with a right twist, consistent with having been fired from a nine-millimeter Smith and Wesson semiautomatic pistol.  </w:t>
      </w:r>
    </w:p>
    <w:p w:rsidR="00A67B38" w:rsidRPr="00AF57BF" w:rsidRDefault="00972004" w:rsidP="00AF57BF">
      <w:pPr>
        <w:pStyle w:val="Text"/>
        <w:spacing w:line="400" w:lineRule="exact"/>
      </w:pPr>
      <w:r w:rsidRPr="00AF57BF">
        <w:t>Prosecution gang expert</w:t>
      </w:r>
      <w:r w:rsidR="00A67B38" w:rsidRPr="00AF57BF">
        <w:t xml:space="preserve"> Reynoso testified </w:t>
      </w:r>
      <w:r w:rsidR="003E4196" w:rsidRPr="00AF57BF">
        <w:t xml:space="preserve">that the Madrigal shooting was </w:t>
      </w:r>
      <w:r w:rsidR="00F42F8E" w:rsidRPr="00AF57BF">
        <w:t>committed for the benefit of</w:t>
      </w:r>
      <w:r w:rsidRPr="00AF57BF">
        <w:t xml:space="preserve"> ESBP.  He</w:t>
      </w:r>
      <w:r w:rsidR="003E4196" w:rsidRPr="00AF57BF">
        <w:t xml:space="preserve"> noted that Madrigal’s head was shaved, creating a perception he was a rival gang mem</w:t>
      </w:r>
      <w:r w:rsidR="000B546C" w:rsidRPr="00AF57BF">
        <w:t>ber present in ESBP territory in</w:t>
      </w:r>
      <w:r w:rsidR="003E4196" w:rsidRPr="00AF57BF">
        <w:t xml:space="preserve"> an act of disrespect.  The shooting added to the gang’s notoriety.  </w:t>
      </w:r>
    </w:p>
    <w:p w:rsidR="005D633A" w:rsidRPr="00AF57BF" w:rsidRDefault="005D633A" w:rsidP="00AF57BF">
      <w:pPr>
        <w:pStyle w:val="Text"/>
        <w:spacing w:line="400" w:lineRule="exact"/>
      </w:pPr>
      <w:r w:rsidRPr="00AF57BF">
        <w:t xml:space="preserve">In a recorded conversation on March 28, 2002, defendants provided </w:t>
      </w:r>
      <w:r w:rsidR="00043479" w:rsidRPr="00AF57BF">
        <w:t xml:space="preserve">trial </w:t>
      </w:r>
      <w:r w:rsidRPr="00AF57BF">
        <w:t xml:space="preserve">prosecutor Levine and Detective Kerfoot with details of the shooting.  Defendants were “driving around </w:t>
      </w:r>
      <w:r w:rsidR="00D45B02" w:rsidRPr="00AF57BF">
        <w:t>[</w:t>
      </w:r>
      <w:r w:rsidRPr="00AF57BF">
        <w:t>the</w:t>
      </w:r>
      <w:r w:rsidR="00D45B02" w:rsidRPr="00AF57BF">
        <w:t>]</w:t>
      </w:r>
      <w:r w:rsidRPr="00AF57BF">
        <w:t xml:space="preserve"> neighborhood</w:t>
      </w:r>
      <w:r w:rsidR="00972004" w:rsidRPr="00AF57BF">
        <w:t xml:space="preserve"> looking for people to kill.”  T</w:t>
      </w:r>
      <w:r w:rsidRPr="00AF57BF">
        <w:t xml:space="preserve">hey saw “a gang member </w:t>
      </w:r>
      <w:r w:rsidR="00D45B02" w:rsidRPr="00AF57BF">
        <w:t>[</w:t>
      </w:r>
      <w:r w:rsidRPr="00AF57BF">
        <w:t>that was</w:t>
      </w:r>
      <w:r w:rsidR="00D45B02" w:rsidRPr="00AF57BF">
        <w:t>]</w:t>
      </w:r>
      <w:r w:rsidRPr="00AF57BF">
        <w:t xml:space="preserve"> in the wrong area</w:t>
      </w:r>
      <w:r w:rsidR="001A654D" w:rsidRPr="00AF57BF">
        <w:t>,</w:t>
      </w:r>
      <w:r w:rsidRPr="00AF57BF">
        <w:t>”</w:t>
      </w:r>
      <w:r w:rsidR="00972004" w:rsidRPr="00AF57BF">
        <w:t xml:space="preserve"> </w:t>
      </w:r>
      <w:r w:rsidRPr="00AF57BF">
        <w:t xml:space="preserve">driving an “older model Blazer.”  </w:t>
      </w:r>
      <w:proofErr w:type="spellStart"/>
      <w:r w:rsidR="00043479" w:rsidRPr="00AF57BF">
        <w:t>Amezcua</w:t>
      </w:r>
      <w:proofErr w:type="spellEnd"/>
      <w:r w:rsidR="00043479" w:rsidRPr="00AF57BF">
        <w:t xml:space="preserve"> was driving</w:t>
      </w:r>
      <w:r w:rsidR="0096378F" w:rsidRPr="00AF57BF">
        <w:t xml:space="preserve">. </w:t>
      </w:r>
      <w:r w:rsidR="00043479" w:rsidRPr="00AF57BF">
        <w:t xml:space="preserve"> </w:t>
      </w:r>
      <w:r w:rsidRPr="00AF57BF">
        <w:t>Flores</w:t>
      </w:r>
      <w:r w:rsidR="0015727D" w:rsidRPr="00AF57BF">
        <w:t xml:space="preserve">, using a nine-millimeter </w:t>
      </w:r>
      <w:r w:rsidR="00043479" w:rsidRPr="00AF57BF">
        <w:t>pistol</w:t>
      </w:r>
      <w:r w:rsidR="0015727D" w:rsidRPr="00AF57BF">
        <w:t>,</w:t>
      </w:r>
      <w:r w:rsidRPr="00AF57BF">
        <w:t xml:space="preserve"> fired “two to three shots” that hit the victim in the face and neck.  </w:t>
      </w:r>
      <w:r w:rsidR="0015727D" w:rsidRPr="00AF57BF">
        <w:t xml:space="preserve">The passenger </w:t>
      </w:r>
      <w:r w:rsidR="0096378F" w:rsidRPr="00AF57BF">
        <w:t>fled</w:t>
      </w:r>
      <w:r w:rsidR="0015727D" w:rsidRPr="00AF57BF">
        <w:t xml:space="preserve">.  Asked </w:t>
      </w:r>
      <w:r w:rsidR="0096378F" w:rsidRPr="00AF57BF">
        <w:t>why they went</w:t>
      </w:r>
      <w:r w:rsidR="0015727D" w:rsidRPr="00AF57BF">
        <w:t xml:space="preserve"> out and start</w:t>
      </w:r>
      <w:r w:rsidR="0096378F" w:rsidRPr="00AF57BF">
        <w:t>ed</w:t>
      </w:r>
      <w:r w:rsidR="0015727D" w:rsidRPr="00AF57BF">
        <w:t xml:space="preserve"> shooting people, defendants explained it was their </w:t>
      </w:r>
      <w:r w:rsidR="00663B4E" w:rsidRPr="00AF57BF">
        <w:t>“</w:t>
      </w:r>
      <w:r w:rsidR="0015727D" w:rsidRPr="00AF57BF">
        <w:t>job.</w:t>
      </w:r>
      <w:r w:rsidR="00663B4E" w:rsidRPr="00AF57BF">
        <w:t>”  Flores said, “</w:t>
      </w:r>
      <w:r w:rsidR="0094252E" w:rsidRPr="00AF57BF">
        <w:t>[W]</w:t>
      </w:r>
      <w:r w:rsidR="00663B4E" w:rsidRPr="00AF57BF">
        <w:t xml:space="preserve">e were trying to better the gang and [instill] fear to the rest of the gangs.”  He explained </w:t>
      </w:r>
      <w:r w:rsidR="0094252E" w:rsidRPr="00AF57BF">
        <w:t>that the victim should not have been driving in</w:t>
      </w:r>
      <w:r w:rsidR="00663B4E" w:rsidRPr="00AF57BF">
        <w:t xml:space="preserve"> </w:t>
      </w:r>
      <w:r w:rsidR="0094252E" w:rsidRPr="00AF57BF">
        <w:t>“</w:t>
      </w:r>
      <w:r w:rsidR="00264F56" w:rsidRPr="00AF57BF">
        <w:t>our hood”</w:t>
      </w:r>
      <w:r w:rsidR="002A40FA" w:rsidRPr="00AF57BF">
        <w:t>;</w:t>
      </w:r>
      <w:r w:rsidR="00663B4E" w:rsidRPr="00AF57BF">
        <w:t xml:space="preserve"> he could have driven “the long way,” but they had caught him taking “the</w:t>
      </w:r>
      <w:r w:rsidR="0094252E" w:rsidRPr="00AF57BF">
        <w:t xml:space="preserve"> short way,</w:t>
      </w:r>
      <w:r w:rsidR="00663B4E" w:rsidRPr="00AF57BF">
        <w:t xml:space="preserve">” </w:t>
      </w:r>
      <w:r w:rsidR="0094252E" w:rsidRPr="00AF57BF">
        <w:t>and Flores “domed him.”</w:t>
      </w:r>
      <w:r w:rsidR="00663B4E" w:rsidRPr="00AF57BF">
        <w:t xml:space="preserve"> </w:t>
      </w:r>
      <w:r w:rsidR="0094252E" w:rsidRPr="00AF57BF">
        <w:t xml:space="preserve"> </w:t>
      </w:r>
    </w:p>
    <w:p w:rsidR="004A2115" w:rsidRPr="00AF57BF" w:rsidRDefault="004A2115" w:rsidP="00AF57BF">
      <w:pPr>
        <w:pStyle w:val="Heading4"/>
      </w:pPr>
      <w:bookmarkStart w:id="10" w:name="_Toc521674380"/>
      <w:r w:rsidRPr="00AF57BF">
        <w:lastRenderedPageBreak/>
        <w:t>c.</w:t>
      </w:r>
      <w:r w:rsidR="0094252E" w:rsidRPr="00AF57BF">
        <w:tab/>
      </w:r>
      <w:r w:rsidR="0033570A" w:rsidRPr="00AF57BF">
        <w:t xml:space="preserve">June 19, 2000:  </w:t>
      </w:r>
      <w:r w:rsidR="00D45B02" w:rsidRPr="00AF57BF">
        <w:t>M</w:t>
      </w:r>
      <w:r w:rsidR="0033570A" w:rsidRPr="00AF57BF">
        <w:t xml:space="preserve">urder of George Flores and </w:t>
      </w:r>
      <w:r w:rsidR="00D45B02" w:rsidRPr="00AF57BF">
        <w:t>Attempted M</w:t>
      </w:r>
      <w:r w:rsidR="00037BF7" w:rsidRPr="00AF57BF">
        <w:t xml:space="preserve">urders of Joe </w:t>
      </w:r>
      <w:proofErr w:type="spellStart"/>
      <w:r w:rsidR="00037BF7" w:rsidRPr="00AF57BF">
        <w:t>Mayorquin</w:t>
      </w:r>
      <w:proofErr w:type="spellEnd"/>
      <w:r w:rsidR="00037BF7" w:rsidRPr="00AF57BF">
        <w:t>, Robert Perez, Jr., and Art Martinez</w:t>
      </w:r>
      <w:bookmarkEnd w:id="10"/>
    </w:p>
    <w:p w:rsidR="004A2115" w:rsidRPr="00AF57BF" w:rsidRDefault="00BC5CAF" w:rsidP="00AF57BF">
      <w:pPr>
        <w:pStyle w:val="Text"/>
        <w:spacing w:line="400" w:lineRule="exact"/>
      </w:pPr>
      <w:r w:rsidRPr="00AF57BF">
        <w:t>Katrina Barber</w:t>
      </w:r>
      <w:r w:rsidR="007634D1" w:rsidRPr="00AF57BF">
        <w:rPr>
          <w:rStyle w:val="FootnoteReference"/>
        </w:rPr>
        <w:footnoteReference w:id="9"/>
      </w:r>
      <w:r w:rsidRPr="00AF57BF">
        <w:t xml:space="preserve"> knew both </w:t>
      </w:r>
      <w:proofErr w:type="spellStart"/>
      <w:r w:rsidRPr="00AF57BF">
        <w:t>Amezcua</w:t>
      </w:r>
      <w:proofErr w:type="spellEnd"/>
      <w:r w:rsidRPr="00AF57BF">
        <w:t xml:space="preserve"> and Flores</w:t>
      </w:r>
      <w:r w:rsidR="003262F2" w:rsidRPr="00AF57BF">
        <w:t>.  About 11:30 p.m. on June 18,</w:t>
      </w:r>
      <w:r w:rsidR="007634D1" w:rsidRPr="00AF57BF">
        <w:t xml:space="preserve"> 2000, she was </w:t>
      </w:r>
      <w:r w:rsidR="009F7B7E" w:rsidRPr="00AF57BF">
        <w:t>parked</w:t>
      </w:r>
      <w:r w:rsidR="007634D1" w:rsidRPr="00AF57BF">
        <w:t xml:space="preserve"> in front of her mother’s house in</w:t>
      </w:r>
      <w:r w:rsidR="009F7B7E" w:rsidRPr="00AF57BF">
        <w:t xml:space="preserve"> a stolen Toyota Corolla.  D</w:t>
      </w:r>
      <w:r w:rsidR="003262F2" w:rsidRPr="00AF57BF">
        <w:t xml:space="preserve">efendants asked her for a ride.  </w:t>
      </w:r>
      <w:r w:rsidR="001A654D" w:rsidRPr="00AF57BF">
        <w:t>S</w:t>
      </w:r>
      <w:r w:rsidR="003262F2" w:rsidRPr="00AF57BF">
        <w:t xml:space="preserve">he drove around Baldwin Park and Alhambra until the Corolla broke down.  Barber then stole a Toyota Cressida and drove </w:t>
      </w:r>
      <w:r w:rsidR="00A86C0B" w:rsidRPr="00AF57BF">
        <w:t xml:space="preserve">to </w:t>
      </w:r>
      <w:r w:rsidR="00FF25E3" w:rsidRPr="00AF57BF">
        <w:t xml:space="preserve">the home of </w:t>
      </w:r>
      <w:r w:rsidR="00A86C0B" w:rsidRPr="00AF57BF">
        <w:t>Flores’s mother</w:t>
      </w:r>
      <w:r w:rsidR="003262F2" w:rsidRPr="00AF57BF">
        <w:t xml:space="preserve"> in Hemet.</w:t>
      </w:r>
      <w:r w:rsidR="007634D1" w:rsidRPr="00AF57BF">
        <w:t xml:space="preserve">  </w:t>
      </w:r>
      <w:r w:rsidR="00112D40" w:rsidRPr="00AF57BF">
        <w:t xml:space="preserve">They arrived about 3:00 a.m. and stayed the night.  When they left the next morning, defendants </w:t>
      </w:r>
      <w:r w:rsidR="009F7B7E" w:rsidRPr="00AF57BF">
        <w:t>carried</w:t>
      </w:r>
      <w:r w:rsidR="00112D40" w:rsidRPr="00AF57BF">
        <w:t xml:space="preserve"> two black duffle bags.  One bag </w:t>
      </w:r>
      <w:r w:rsidR="009F7B7E" w:rsidRPr="00AF57BF">
        <w:t xml:space="preserve">held Flores’s clothes.  There were </w:t>
      </w:r>
      <w:r w:rsidR="00112D40" w:rsidRPr="00AF57BF">
        <w:t>about 10 firearms</w:t>
      </w:r>
      <w:r w:rsidR="009F7B7E" w:rsidRPr="00AF57BF">
        <w:t xml:space="preserve"> in the other duffle</w:t>
      </w:r>
      <w:r w:rsidR="00112D40" w:rsidRPr="00AF57BF">
        <w:t xml:space="preserve">.  </w:t>
      </w:r>
    </w:p>
    <w:p w:rsidR="00830DD2" w:rsidRPr="00AF57BF" w:rsidRDefault="00830DD2" w:rsidP="00AF57BF">
      <w:pPr>
        <w:pStyle w:val="Text"/>
        <w:spacing w:line="400" w:lineRule="exact"/>
      </w:pPr>
      <w:r w:rsidRPr="00AF57BF">
        <w:t xml:space="preserve">Barber drove defendants to the La Puente home of </w:t>
      </w:r>
      <w:r w:rsidR="00FF25E3" w:rsidRPr="00AF57BF">
        <w:t xml:space="preserve">ESBP member </w:t>
      </w:r>
      <w:r w:rsidRPr="00AF57BF">
        <w:t>Luis Reyes</w:t>
      </w:r>
      <w:r w:rsidR="00FF68FF" w:rsidRPr="00AF57BF">
        <w:t>.</w:t>
      </w:r>
      <w:r w:rsidR="00684046" w:rsidRPr="00AF57BF">
        <w:t xml:space="preserve">  </w:t>
      </w:r>
      <w:r w:rsidR="00081C3F" w:rsidRPr="00AF57BF">
        <w:t>The four watched television and used</w:t>
      </w:r>
      <w:r w:rsidR="00684046" w:rsidRPr="00AF57BF">
        <w:t xml:space="preserve"> crystal methamphetamine</w:t>
      </w:r>
      <w:r w:rsidR="00081C3F" w:rsidRPr="00AF57BF">
        <w:t>, then</w:t>
      </w:r>
      <w:r w:rsidR="00A9172C" w:rsidRPr="00AF57BF">
        <w:t xml:space="preserve"> left the hous</w:t>
      </w:r>
      <w:r w:rsidR="00684046" w:rsidRPr="00AF57BF">
        <w:t xml:space="preserve">e in </w:t>
      </w:r>
      <w:r w:rsidR="00FF68FF" w:rsidRPr="00AF57BF">
        <w:t>two</w:t>
      </w:r>
      <w:r w:rsidR="00684046" w:rsidRPr="00AF57BF">
        <w:t xml:space="preserve"> vehicles</w:t>
      </w:r>
      <w:r w:rsidR="00533173" w:rsidRPr="00AF57BF">
        <w:t>.</w:t>
      </w:r>
      <w:r w:rsidR="00043479" w:rsidRPr="00AF57BF">
        <w:t xml:space="preserve"> </w:t>
      </w:r>
      <w:r w:rsidR="00684046" w:rsidRPr="00AF57BF">
        <w:t xml:space="preserve"> Barber </w:t>
      </w:r>
      <w:r w:rsidR="00043479" w:rsidRPr="00AF57BF">
        <w:t xml:space="preserve">took </w:t>
      </w:r>
      <w:r w:rsidR="00684046" w:rsidRPr="00AF57BF">
        <w:t>Flores in the Cressida</w:t>
      </w:r>
      <w:r w:rsidR="00FF68FF" w:rsidRPr="00AF57BF">
        <w:t>;</w:t>
      </w:r>
      <w:r w:rsidR="00684046" w:rsidRPr="00AF57BF">
        <w:t xml:space="preserve"> Reyes </w:t>
      </w:r>
      <w:r w:rsidR="00043479" w:rsidRPr="00AF57BF">
        <w:t xml:space="preserve">drove </w:t>
      </w:r>
      <w:proofErr w:type="spellStart"/>
      <w:r w:rsidR="00A9172C" w:rsidRPr="00AF57BF">
        <w:t>Amezcua</w:t>
      </w:r>
      <w:proofErr w:type="spellEnd"/>
      <w:r w:rsidR="00A9172C" w:rsidRPr="00AF57BF">
        <w:t xml:space="preserve"> in his Monte Carlo.  </w:t>
      </w:r>
      <w:r w:rsidR="00264F56" w:rsidRPr="00AF57BF">
        <w:t>Parked n</w:t>
      </w:r>
      <w:r w:rsidR="00081C3F" w:rsidRPr="00AF57BF">
        <w:t>ear each other in</w:t>
      </w:r>
      <w:r w:rsidR="007A73B9" w:rsidRPr="00AF57BF">
        <w:t xml:space="preserve"> a hotel lot</w:t>
      </w:r>
      <w:r w:rsidR="00081C3F" w:rsidRPr="00AF57BF">
        <w:t>,</w:t>
      </w:r>
      <w:r w:rsidR="007A73B9" w:rsidRPr="00AF57BF">
        <w:t xml:space="preserve"> Barber saw Reyes</w:t>
      </w:r>
      <w:r w:rsidR="008C3FC8" w:rsidRPr="00AF57BF">
        <w:t xml:space="preserve"> talking with and</w:t>
      </w:r>
      <w:r w:rsidR="007A73B9" w:rsidRPr="00AF57BF">
        <w:t xml:space="preserve"> </w:t>
      </w:r>
      <w:r w:rsidR="008C3FC8" w:rsidRPr="00AF57BF">
        <w:t>giving</w:t>
      </w:r>
      <w:r w:rsidR="005D4772" w:rsidRPr="00AF57BF">
        <w:t xml:space="preserve"> something </w:t>
      </w:r>
      <w:r w:rsidR="007A73B9" w:rsidRPr="00AF57BF">
        <w:t xml:space="preserve">to </w:t>
      </w:r>
      <w:r w:rsidR="008C3FC8" w:rsidRPr="00AF57BF">
        <w:t>a person</w:t>
      </w:r>
      <w:r w:rsidR="00EA310C" w:rsidRPr="00AF57BF">
        <w:t xml:space="preserve"> in a</w:t>
      </w:r>
      <w:r w:rsidR="00081C3F" w:rsidRPr="00AF57BF">
        <w:t>nother</w:t>
      </w:r>
      <w:r w:rsidR="00EA310C" w:rsidRPr="00AF57BF">
        <w:t xml:space="preserve"> </w:t>
      </w:r>
      <w:r w:rsidR="00FA3242" w:rsidRPr="00AF57BF">
        <w:t>car</w:t>
      </w:r>
      <w:r w:rsidR="00264F56" w:rsidRPr="00AF57BF">
        <w:t>.</w:t>
      </w:r>
      <w:r w:rsidR="00081C3F" w:rsidRPr="00AF57BF">
        <w:t xml:space="preserve"> </w:t>
      </w:r>
    </w:p>
    <w:p w:rsidR="009008C7" w:rsidRPr="00AF57BF" w:rsidRDefault="008C3FC8" w:rsidP="00AF57BF">
      <w:pPr>
        <w:pStyle w:val="Text"/>
        <w:spacing w:line="400" w:lineRule="exact"/>
      </w:pPr>
      <w:r w:rsidRPr="00AF57BF">
        <w:t>Ba</w:t>
      </w:r>
      <w:r w:rsidR="000F18F5" w:rsidRPr="00AF57BF">
        <w:t>rber</w:t>
      </w:r>
      <w:r w:rsidR="00081C3F" w:rsidRPr="00AF57BF">
        <w:t xml:space="preserve"> then</w:t>
      </w:r>
      <w:r w:rsidR="000F18F5" w:rsidRPr="00AF57BF">
        <w:t xml:space="preserve"> got on the freeway to go</w:t>
      </w:r>
      <w:r w:rsidRPr="00AF57BF">
        <w:t xml:space="preserve"> to her mother’s house in La Puente</w:t>
      </w:r>
      <w:r w:rsidR="00FF68FF" w:rsidRPr="00AF57BF">
        <w:t xml:space="preserve">. </w:t>
      </w:r>
      <w:r w:rsidRPr="00AF57BF">
        <w:t xml:space="preserve"> In Ba</w:t>
      </w:r>
      <w:r w:rsidR="00F806B4" w:rsidRPr="00AF57BF">
        <w:t xml:space="preserve">ldwin Park, Barber drove past some men sitting on a wall </w:t>
      </w:r>
      <w:r w:rsidR="003C32C0" w:rsidRPr="00AF57BF">
        <w:t xml:space="preserve">in front of a house </w:t>
      </w:r>
      <w:r w:rsidR="00F806B4" w:rsidRPr="00AF57BF">
        <w:t xml:space="preserve">on Ledford Street.  </w:t>
      </w:r>
      <w:r w:rsidR="00043479" w:rsidRPr="00AF57BF">
        <w:t xml:space="preserve">At </w:t>
      </w:r>
      <w:r w:rsidR="00E41DA0" w:rsidRPr="00AF57BF">
        <w:t>Flores</w:t>
      </w:r>
      <w:r w:rsidR="00043479" w:rsidRPr="00AF57BF">
        <w:t>’s direction,</w:t>
      </w:r>
      <w:r w:rsidR="00DD043E" w:rsidRPr="00AF57BF">
        <w:t xml:space="preserve"> Barber </w:t>
      </w:r>
      <w:r w:rsidR="00B01315" w:rsidRPr="00AF57BF">
        <w:t>turned</w:t>
      </w:r>
      <w:r w:rsidR="00081C3F" w:rsidRPr="00AF57BF">
        <w:t xml:space="preserve"> back toward the men</w:t>
      </w:r>
      <w:r w:rsidR="00DD043E" w:rsidRPr="00AF57BF">
        <w:t xml:space="preserve"> and stopped.  The Monte Carlo with Reyes and </w:t>
      </w:r>
      <w:proofErr w:type="spellStart"/>
      <w:r w:rsidR="00DD043E" w:rsidRPr="00AF57BF">
        <w:t>Amezcua</w:t>
      </w:r>
      <w:proofErr w:type="spellEnd"/>
      <w:r w:rsidR="00DD043E" w:rsidRPr="00AF57BF">
        <w:t xml:space="preserve"> drove up and </w:t>
      </w:r>
      <w:r w:rsidR="00043479" w:rsidRPr="00AF57BF">
        <w:t xml:space="preserve">also </w:t>
      </w:r>
      <w:r w:rsidR="00DD043E" w:rsidRPr="00AF57BF">
        <w:t xml:space="preserve">stopped in front of the Ledford Street house.  Flores </w:t>
      </w:r>
      <w:r w:rsidR="00573062" w:rsidRPr="00AF57BF">
        <w:lastRenderedPageBreak/>
        <w:t xml:space="preserve">said to the men, “Well, well, </w:t>
      </w:r>
      <w:r w:rsidR="007C3019" w:rsidRPr="00AF57BF">
        <w:t xml:space="preserve">well, </w:t>
      </w:r>
      <w:r w:rsidR="00573062" w:rsidRPr="00AF57BF">
        <w:t xml:space="preserve">what do we have here?”  </w:t>
      </w:r>
      <w:r w:rsidR="009774C7" w:rsidRPr="00AF57BF">
        <w:t>One of the seated men</w:t>
      </w:r>
      <w:r w:rsidR="0082115C" w:rsidRPr="00AF57BF">
        <w:t xml:space="preserve"> started to run.  </w:t>
      </w:r>
      <w:r w:rsidR="00E9339B" w:rsidRPr="00AF57BF">
        <w:t>S</w:t>
      </w:r>
      <w:r w:rsidR="0082115C" w:rsidRPr="00AF57BF">
        <w:t>tanding outside the Monte Carlo</w:t>
      </w:r>
      <w:r w:rsidR="00E9339B" w:rsidRPr="00AF57BF">
        <w:t xml:space="preserve">, </w:t>
      </w:r>
      <w:proofErr w:type="spellStart"/>
      <w:r w:rsidR="00E9339B" w:rsidRPr="00AF57BF">
        <w:t>Amezcua</w:t>
      </w:r>
      <w:proofErr w:type="spellEnd"/>
      <w:r w:rsidR="00E9339B" w:rsidRPr="00AF57BF">
        <w:t xml:space="preserve"> fired</w:t>
      </w:r>
      <w:r w:rsidR="009774C7" w:rsidRPr="00AF57BF">
        <w:t xml:space="preserve"> a pistol at them</w:t>
      </w:r>
      <w:r w:rsidR="0082115C" w:rsidRPr="00AF57BF">
        <w:t xml:space="preserve">.  Flores, </w:t>
      </w:r>
      <w:r w:rsidR="00A459DE" w:rsidRPr="00AF57BF">
        <w:t xml:space="preserve">still inside Barber’s stolen car and </w:t>
      </w:r>
      <w:r w:rsidR="0082115C" w:rsidRPr="00AF57BF">
        <w:t xml:space="preserve">armed with an AK-47, </w:t>
      </w:r>
      <w:r w:rsidR="000A004C" w:rsidRPr="00AF57BF">
        <w:t xml:space="preserve">also </w:t>
      </w:r>
      <w:r w:rsidR="00201CC9" w:rsidRPr="00AF57BF">
        <w:t>shot</w:t>
      </w:r>
      <w:r w:rsidR="00A459DE" w:rsidRPr="00AF57BF">
        <w:t xml:space="preserve"> at the </w:t>
      </w:r>
      <w:r w:rsidR="009774C7" w:rsidRPr="00AF57BF">
        <w:t>group</w:t>
      </w:r>
      <w:r w:rsidR="000A004C" w:rsidRPr="00AF57BF">
        <w:t xml:space="preserve">. </w:t>
      </w:r>
      <w:r w:rsidR="0082115C" w:rsidRPr="00AF57BF">
        <w:t xml:space="preserve"> </w:t>
      </w:r>
      <w:r w:rsidR="000A004C" w:rsidRPr="00AF57BF">
        <w:t>T</w:t>
      </w:r>
      <w:r w:rsidR="0082115C" w:rsidRPr="00AF57BF">
        <w:t xml:space="preserve">hen </w:t>
      </w:r>
      <w:r w:rsidR="000A004C" w:rsidRPr="00AF57BF">
        <w:t xml:space="preserve">he </w:t>
      </w:r>
      <w:r w:rsidR="0082115C" w:rsidRPr="00AF57BF">
        <w:t>handed Barber a</w:t>
      </w:r>
      <w:r w:rsidR="00FC29C2" w:rsidRPr="00AF57BF">
        <w:t xml:space="preserve"> .22-caliber </w:t>
      </w:r>
      <w:r w:rsidR="00A459DE" w:rsidRPr="00AF57BF">
        <w:t>semiautomatic</w:t>
      </w:r>
      <w:r w:rsidR="00B16638" w:rsidRPr="00AF57BF">
        <w:t xml:space="preserve">, </w:t>
      </w:r>
      <w:r w:rsidR="00201CC9" w:rsidRPr="00AF57BF">
        <w:t>telling her to</w:t>
      </w:r>
      <w:r w:rsidR="0082115C" w:rsidRPr="00AF57BF">
        <w:t xml:space="preserve"> shoot.  </w:t>
      </w:r>
      <w:r w:rsidR="00FC29C2" w:rsidRPr="00AF57BF">
        <w:t>Barber fired</w:t>
      </w:r>
      <w:r w:rsidR="00A459DE" w:rsidRPr="00AF57BF">
        <w:t xml:space="preserve"> three or four times</w:t>
      </w:r>
      <w:r w:rsidR="00FC29C2" w:rsidRPr="00AF57BF">
        <w:t xml:space="preserve"> </w:t>
      </w:r>
      <w:r w:rsidR="009774C7" w:rsidRPr="00AF57BF">
        <w:t>toward</w:t>
      </w:r>
      <w:r w:rsidR="00FC29C2" w:rsidRPr="00AF57BF">
        <w:t xml:space="preserve"> the </w:t>
      </w:r>
      <w:r w:rsidR="009774C7" w:rsidRPr="00AF57BF">
        <w:t>men</w:t>
      </w:r>
      <w:r w:rsidR="00A1666B" w:rsidRPr="00AF57BF">
        <w:t xml:space="preserve"> </w:t>
      </w:r>
      <w:r w:rsidR="00FC29C2" w:rsidRPr="00AF57BF">
        <w:t xml:space="preserve">without trying to hit them.  </w:t>
      </w:r>
      <w:r w:rsidR="00201CC9" w:rsidRPr="00AF57BF">
        <w:t>O</w:t>
      </w:r>
      <w:r w:rsidR="007C3019" w:rsidRPr="00AF57BF">
        <w:t xml:space="preserve">ne </w:t>
      </w:r>
      <w:r w:rsidR="009774C7" w:rsidRPr="00AF57BF">
        <w:t>victim</w:t>
      </w:r>
      <w:r w:rsidR="00201CC9" w:rsidRPr="00AF57BF">
        <w:t xml:space="preserve"> was</w:t>
      </w:r>
      <w:r w:rsidR="00A459DE" w:rsidRPr="00AF57BF">
        <w:t xml:space="preserve"> shot </w:t>
      </w:r>
      <w:r w:rsidR="00201CC9" w:rsidRPr="00AF57BF">
        <w:t>as</w:t>
      </w:r>
      <w:r w:rsidR="00A459DE" w:rsidRPr="00AF57BF">
        <w:t xml:space="preserve"> he</w:t>
      </w:r>
      <w:r w:rsidR="00201CC9" w:rsidRPr="00AF57BF">
        <w:t xml:space="preserve"> tried </w:t>
      </w:r>
      <w:r w:rsidR="00A1666B" w:rsidRPr="00AF57BF">
        <w:t xml:space="preserve">to </w:t>
      </w:r>
      <w:r w:rsidR="009774C7" w:rsidRPr="00AF57BF">
        <w:t>get in</w:t>
      </w:r>
      <w:r w:rsidR="00201CC9" w:rsidRPr="00AF57BF">
        <w:t xml:space="preserve"> </w:t>
      </w:r>
      <w:r w:rsidR="00A459DE" w:rsidRPr="00AF57BF">
        <w:t>the house.  When the shooting stopped</w:t>
      </w:r>
      <w:r w:rsidR="009774C7" w:rsidRPr="00AF57BF">
        <w:t>, Barber</w:t>
      </w:r>
      <w:r w:rsidR="00A459DE" w:rsidRPr="00AF57BF">
        <w:t xml:space="preserve"> drove away</w:t>
      </w:r>
      <w:r w:rsidR="00560039" w:rsidRPr="00AF57BF">
        <w:t xml:space="preserve">.  </w:t>
      </w:r>
    </w:p>
    <w:p w:rsidR="009008C7" w:rsidRPr="00AF57BF" w:rsidRDefault="00261C36" w:rsidP="00AF57BF">
      <w:pPr>
        <w:pStyle w:val="Text"/>
        <w:spacing w:line="400" w:lineRule="exact"/>
      </w:pPr>
      <w:r w:rsidRPr="00AF57BF">
        <w:t>Robert Perez</w:t>
      </w:r>
      <w:r w:rsidR="00B51D0C" w:rsidRPr="00AF57BF">
        <w:t xml:space="preserve"> testified that</w:t>
      </w:r>
      <w:r w:rsidR="00207A65" w:rsidRPr="00AF57BF">
        <w:t xml:space="preserve"> on </w:t>
      </w:r>
      <w:r w:rsidR="00EC188B" w:rsidRPr="00AF57BF">
        <w:t xml:space="preserve">the morning of </w:t>
      </w:r>
      <w:r w:rsidR="00207A65" w:rsidRPr="00AF57BF">
        <w:t xml:space="preserve">June 19, 2000, </w:t>
      </w:r>
      <w:r w:rsidR="00B51D0C" w:rsidRPr="00AF57BF">
        <w:t xml:space="preserve">he </w:t>
      </w:r>
      <w:r w:rsidR="00207A65" w:rsidRPr="00AF57BF">
        <w:t>was</w:t>
      </w:r>
      <w:r w:rsidR="000A004C" w:rsidRPr="00AF57BF">
        <w:t xml:space="preserve"> standing</w:t>
      </w:r>
      <w:r w:rsidR="00207A65" w:rsidRPr="00AF57BF">
        <w:t xml:space="preserve"> </w:t>
      </w:r>
      <w:r w:rsidR="001771F3" w:rsidRPr="00AF57BF">
        <w:t xml:space="preserve">beside the wall </w:t>
      </w:r>
      <w:r w:rsidR="006324D4" w:rsidRPr="00AF57BF">
        <w:t>in front of his</w:t>
      </w:r>
      <w:r w:rsidR="00B51D0C" w:rsidRPr="00AF57BF">
        <w:t xml:space="preserve"> Ledford Street</w:t>
      </w:r>
      <w:r w:rsidR="00207A65" w:rsidRPr="00AF57BF">
        <w:t xml:space="preserve"> </w:t>
      </w:r>
      <w:r w:rsidR="00556547" w:rsidRPr="00AF57BF">
        <w:t xml:space="preserve">home, chatting </w:t>
      </w:r>
      <w:r w:rsidR="00207A65" w:rsidRPr="00AF57BF">
        <w:t xml:space="preserve">with his friends Art Martinez, Joe </w:t>
      </w:r>
      <w:proofErr w:type="spellStart"/>
      <w:r w:rsidR="00207A65" w:rsidRPr="00AF57BF">
        <w:t>Mayorquin</w:t>
      </w:r>
      <w:proofErr w:type="spellEnd"/>
      <w:r w:rsidR="00207A65" w:rsidRPr="00AF57BF">
        <w:t xml:space="preserve">, and George Flores.  </w:t>
      </w:r>
      <w:r w:rsidR="00201CC9" w:rsidRPr="00AF57BF">
        <w:t>Perez</w:t>
      </w:r>
      <w:r w:rsidR="00207A65" w:rsidRPr="00AF57BF">
        <w:t xml:space="preserve"> was not a gang member, but </w:t>
      </w:r>
      <w:r w:rsidR="001771F3" w:rsidRPr="00AF57BF">
        <w:t xml:space="preserve">two of his friends were inactive members of the 22nd Street gang.  </w:t>
      </w:r>
      <w:r w:rsidR="00545B73" w:rsidRPr="00AF57BF">
        <w:t>A</w:t>
      </w:r>
      <w:r w:rsidR="00B51D0C" w:rsidRPr="00AF57BF">
        <w:t>ll</w:t>
      </w:r>
      <w:r w:rsidR="00545B73" w:rsidRPr="00AF57BF">
        <w:t xml:space="preserve"> were</w:t>
      </w:r>
      <w:r w:rsidR="00B51D0C" w:rsidRPr="00AF57BF">
        <w:t xml:space="preserve"> </w:t>
      </w:r>
      <w:r w:rsidR="00A1666B" w:rsidRPr="00AF57BF">
        <w:t xml:space="preserve">unarmed. </w:t>
      </w:r>
      <w:r w:rsidR="00C71262" w:rsidRPr="00AF57BF">
        <w:t xml:space="preserve"> A Chev</w:t>
      </w:r>
      <w:r w:rsidR="002A40FA">
        <w:t>rolet</w:t>
      </w:r>
      <w:r w:rsidR="00C71262" w:rsidRPr="00AF57BF">
        <w:t xml:space="preserve"> Monte Carlo</w:t>
      </w:r>
      <w:r w:rsidR="008A093A" w:rsidRPr="00AF57BF">
        <w:t xml:space="preserve"> </w:t>
      </w:r>
      <w:r w:rsidR="00201CC9" w:rsidRPr="00AF57BF">
        <w:t>drove by</w:t>
      </w:r>
      <w:r w:rsidR="008A093A" w:rsidRPr="00AF57BF">
        <w:t>, catchin</w:t>
      </w:r>
      <w:r w:rsidR="00A847BD" w:rsidRPr="00AF57BF">
        <w:t>g his attention because the men</w:t>
      </w:r>
      <w:r w:rsidR="008A093A" w:rsidRPr="00AF57BF">
        <w:t xml:space="preserve"> inside were staring at them.  Perez’s brother-in-law had been murdered in front of the house three years earlier, so he was constantly vigilant.  </w:t>
      </w:r>
      <w:r w:rsidR="00FD34A2" w:rsidRPr="00AF57BF">
        <w:t>The car tur</w:t>
      </w:r>
      <w:r w:rsidR="00B51D0C" w:rsidRPr="00AF57BF">
        <w:t xml:space="preserve">ned around and </w:t>
      </w:r>
      <w:r w:rsidR="00201CC9" w:rsidRPr="00AF57BF">
        <w:t>approached</w:t>
      </w:r>
      <w:r w:rsidR="00FD34A2" w:rsidRPr="00AF57BF">
        <w:t xml:space="preserve">.  Perez told his friends </w:t>
      </w:r>
      <w:r w:rsidR="00B51D0C" w:rsidRPr="00AF57BF">
        <w:t xml:space="preserve">to go to the </w:t>
      </w:r>
      <w:r w:rsidR="00545B73" w:rsidRPr="00AF57BF">
        <w:t>back</w:t>
      </w:r>
      <w:r w:rsidR="00EC188B" w:rsidRPr="00AF57BF">
        <w:t xml:space="preserve"> of the house, but</w:t>
      </w:r>
      <w:r w:rsidR="00FD34A2" w:rsidRPr="00AF57BF">
        <w:t xml:space="preserve"> Flores and </w:t>
      </w:r>
      <w:proofErr w:type="spellStart"/>
      <w:r w:rsidR="00FD34A2" w:rsidRPr="00AF57BF">
        <w:t>Mayorquin</w:t>
      </w:r>
      <w:proofErr w:type="spellEnd"/>
      <w:r w:rsidR="00FD34A2" w:rsidRPr="00AF57BF">
        <w:t xml:space="preserve"> </w:t>
      </w:r>
      <w:r w:rsidR="00317245" w:rsidRPr="00AF57BF">
        <w:t>stay</w:t>
      </w:r>
      <w:r w:rsidR="00FD34A2" w:rsidRPr="00AF57BF">
        <w:t xml:space="preserve">ed to see what would happen.  </w:t>
      </w:r>
      <w:r w:rsidR="00EC188B" w:rsidRPr="00AF57BF">
        <w:t xml:space="preserve">The Monte Carlo and a </w:t>
      </w:r>
      <w:r w:rsidR="00545B73" w:rsidRPr="00AF57BF">
        <w:t xml:space="preserve">woman driving a </w:t>
      </w:r>
      <w:r w:rsidR="00EC188B" w:rsidRPr="00AF57BF">
        <w:t xml:space="preserve">Toyota </w:t>
      </w:r>
      <w:r w:rsidR="00CE50F1" w:rsidRPr="00AF57BF">
        <w:t xml:space="preserve">pulled up.  </w:t>
      </w:r>
      <w:r w:rsidR="00D54291" w:rsidRPr="00AF57BF">
        <w:t>Flores was seated</w:t>
      </w:r>
      <w:r w:rsidR="00DB785B" w:rsidRPr="00AF57BF">
        <w:t xml:space="preserve"> in the Toyota</w:t>
      </w:r>
      <w:r w:rsidR="00D54291" w:rsidRPr="00AF57BF">
        <w:t xml:space="preserve"> and</w:t>
      </w:r>
      <w:r w:rsidR="00DB785B" w:rsidRPr="00AF57BF">
        <w:t xml:space="preserve"> said, “Well, well, what do we have here?”  </w:t>
      </w:r>
      <w:proofErr w:type="spellStart"/>
      <w:r w:rsidR="00D54291" w:rsidRPr="00AF57BF">
        <w:t>Amezcua</w:t>
      </w:r>
      <w:proofErr w:type="spellEnd"/>
      <w:r w:rsidR="00CE50F1" w:rsidRPr="00AF57BF">
        <w:t xml:space="preserve"> got out of the Monte Carlo holdi</w:t>
      </w:r>
      <w:r w:rsidR="00D54291" w:rsidRPr="00AF57BF">
        <w:t>ng a black pistol,</w:t>
      </w:r>
      <w:r w:rsidR="008A6718" w:rsidRPr="00AF57BF">
        <w:t xml:space="preserve"> said something</w:t>
      </w:r>
      <w:r w:rsidR="00D54291" w:rsidRPr="00AF57BF">
        <w:t xml:space="preserve">, and fired the first shot. </w:t>
      </w:r>
      <w:r w:rsidR="00A847BD" w:rsidRPr="00AF57BF">
        <w:t xml:space="preserve"> Perez </w:t>
      </w:r>
      <w:r w:rsidR="00512FCA" w:rsidRPr="00AF57BF">
        <w:t>jumped for cover</w:t>
      </w:r>
      <w:r w:rsidR="00AB07E2" w:rsidRPr="00AF57BF">
        <w:t xml:space="preserve"> and </w:t>
      </w:r>
      <w:r w:rsidR="00512FCA" w:rsidRPr="00AF57BF">
        <w:t xml:space="preserve">crawled </w:t>
      </w:r>
      <w:r w:rsidR="00AB07E2" w:rsidRPr="00AF57BF">
        <w:t xml:space="preserve">toward the </w:t>
      </w:r>
      <w:r w:rsidR="007E42E3" w:rsidRPr="00AF57BF">
        <w:t>side of his house.</w:t>
      </w:r>
      <w:r w:rsidR="00AB07E2" w:rsidRPr="00AF57BF">
        <w:t xml:space="preserve"> </w:t>
      </w:r>
      <w:r w:rsidR="007E42E3" w:rsidRPr="00AF57BF">
        <w:t xml:space="preserve"> He heard </w:t>
      </w:r>
      <w:r w:rsidR="00B51D0C" w:rsidRPr="00AF57BF">
        <w:t>a</w:t>
      </w:r>
      <w:r w:rsidR="004E3FD8" w:rsidRPr="00AF57BF">
        <w:t xml:space="preserve"> metallic sound</w:t>
      </w:r>
      <w:r w:rsidR="007E42E3" w:rsidRPr="00AF57BF">
        <w:t xml:space="preserve"> and the firing of a second gun</w:t>
      </w:r>
      <w:r w:rsidR="009948FF" w:rsidRPr="00AF57BF">
        <w:t xml:space="preserve"> from</w:t>
      </w:r>
      <w:r w:rsidR="00D54291" w:rsidRPr="00AF57BF">
        <w:t xml:space="preserve"> around</w:t>
      </w:r>
      <w:r w:rsidR="009948FF" w:rsidRPr="00AF57BF">
        <w:t xml:space="preserve"> the Toyota.  </w:t>
      </w:r>
      <w:r w:rsidR="00D54291" w:rsidRPr="00AF57BF">
        <w:t xml:space="preserve">When the shooting stopped </w:t>
      </w:r>
      <w:r w:rsidR="009948FF" w:rsidRPr="00AF57BF">
        <w:t>Perez</w:t>
      </w:r>
      <w:r w:rsidR="007E42E3" w:rsidRPr="00AF57BF">
        <w:t xml:space="preserve"> </w:t>
      </w:r>
      <w:r w:rsidR="001F4167" w:rsidRPr="00AF57BF">
        <w:t>was uninjured</w:t>
      </w:r>
      <w:r w:rsidR="00D54291" w:rsidRPr="00AF57BF">
        <w:t>, but</w:t>
      </w:r>
      <w:r w:rsidR="009524AF" w:rsidRPr="00AF57BF">
        <w:t xml:space="preserve"> Geor</w:t>
      </w:r>
      <w:r w:rsidR="00B531AD" w:rsidRPr="00AF57BF">
        <w:t>ge Flores lay dead</w:t>
      </w:r>
      <w:r w:rsidR="009524AF" w:rsidRPr="00AF57BF">
        <w:t xml:space="preserve"> </w:t>
      </w:r>
      <w:r w:rsidR="00D54291" w:rsidRPr="00AF57BF">
        <w:t>from</w:t>
      </w:r>
      <w:r w:rsidR="009524AF" w:rsidRPr="00AF57BF">
        <w:t xml:space="preserve"> a </w:t>
      </w:r>
      <w:r w:rsidR="00D54291" w:rsidRPr="00AF57BF">
        <w:t xml:space="preserve">neck </w:t>
      </w:r>
      <w:r w:rsidR="009524AF" w:rsidRPr="00AF57BF">
        <w:t xml:space="preserve">wound and Joe </w:t>
      </w:r>
      <w:proofErr w:type="spellStart"/>
      <w:r w:rsidR="009524AF" w:rsidRPr="00AF57BF">
        <w:t>Mayorquin</w:t>
      </w:r>
      <w:proofErr w:type="spellEnd"/>
      <w:r w:rsidR="009524AF" w:rsidRPr="00AF57BF">
        <w:t xml:space="preserve"> had been </w:t>
      </w:r>
      <w:r w:rsidR="00B531AD" w:rsidRPr="00AF57BF">
        <w:t>shot in the leg</w:t>
      </w:r>
      <w:r w:rsidR="009524AF" w:rsidRPr="00AF57BF">
        <w:t>.  Perez later found bullet</w:t>
      </w:r>
      <w:r w:rsidR="00BC43FF" w:rsidRPr="00AF57BF">
        <w:t xml:space="preserve"> hole</w:t>
      </w:r>
      <w:r w:rsidR="009524AF" w:rsidRPr="00AF57BF">
        <w:t xml:space="preserve">s in his house and garage.  </w:t>
      </w:r>
    </w:p>
    <w:p w:rsidR="009524AF" w:rsidRPr="00AF57BF" w:rsidRDefault="00B16638" w:rsidP="00AF57BF">
      <w:pPr>
        <w:pStyle w:val="Text"/>
        <w:spacing w:line="400" w:lineRule="exact"/>
      </w:pPr>
      <w:r w:rsidRPr="00AF57BF">
        <w:lastRenderedPageBreak/>
        <w:t>Sergeant</w:t>
      </w:r>
      <w:r w:rsidR="00B531AD" w:rsidRPr="00AF57BF">
        <w:t xml:space="preserve"> Reynoso testified that, in his opinion, the Ledford </w:t>
      </w:r>
      <w:r w:rsidR="00317245" w:rsidRPr="00AF57BF">
        <w:t xml:space="preserve">Street </w:t>
      </w:r>
      <w:r w:rsidR="00D9184E" w:rsidRPr="00AF57BF">
        <w:t xml:space="preserve">shootings were committed for ESBP’s benefit.  </w:t>
      </w:r>
      <w:r w:rsidR="00237558" w:rsidRPr="00AF57BF">
        <w:t>The location of th</w:t>
      </w:r>
      <w:r w:rsidR="00D9184E" w:rsidRPr="00AF57BF">
        <w:t>e offense was one claimed by</w:t>
      </w:r>
      <w:r w:rsidR="00237558" w:rsidRPr="00AF57BF">
        <w:t xml:space="preserve"> ESBP</w:t>
      </w:r>
      <w:r w:rsidR="008253AA" w:rsidRPr="00AF57BF">
        <w:t>.  V</w:t>
      </w:r>
      <w:r w:rsidR="00B531AD" w:rsidRPr="00AF57BF">
        <w:t xml:space="preserve">ictim George Flores </w:t>
      </w:r>
      <w:r w:rsidR="00D54291" w:rsidRPr="00AF57BF">
        <w:t xml:space="preserve">belonged to </w:t>
      </w:r>
      <w:r w:rsidR="00B531AD" w:rsidRPr="00AF57BF">
        <w:t xml:space="preserve">a different </w:t>
      </w:r>
      <w:r w:rsidR="00237558" w:rsidRPr="00AF57BF">
        <w:t>gan</w:t>
      </w:r>
      <w:r w:rsidRPr="00AF57BF">
        <w:t xml:space="preserve">g </w:t>
      </w:r>
      <w:r w:rsidR="00D54291" w:rsidRPr="00AF57BF">
        <w:t>but</w:t>
      </w:r>
      <w:r w:rsidR="00237558" w:rsidRPr="00AF57BF">
        <w:t xml:space="preserve"> openly display</w:t>
      </w:r>
      <w:r w:rsidRPr="00AF57BF">
        <w:t>ed</w:t>
      </w:r>
      <w:r w:rsidR="00237558" w:rsidRPr="00AF57BF">
        <w:t xml:space="preserve"> his tattoos in ESBP territory.  Killing</w:t>
      </w:r>
      <w:r w:rsidR="00BC6BBB" w:rsidRPr="00AF57BF">
        <w:t xml:space="preserve"> him promote</w:t>
      </w:r>
      <w:r w:rsidR="00D54291" w:rsidRPr="00AF57BF">
        <w:t>d</w:t>
      </w:r>
      <w:r w:rsidR="00BC6BBB" w:rsidRPr="00AF57BF">
        <w:t xml:space="preserve"> </w:t>
      </w:r>
      <w:r w:rsidRPr="00AF57BF">
        <w:t xml:space="preserve">ESBP’s notorious reputation.  </w:t>
      </w:r>
    </w:p>
    <w:p w:rsidR="004A2115" w:rsidRPr="00AF57BF" w:rsidRDefault="00B6732C" w:rsidP="00AF57BF">
      <w:pPr>
        <w:pStyle w:val="Heading4"/>
      </w:pPr>
      <w:bookmarkStart w:id="11" w:name="_Toc521674381"/>
      <w:r w:rsidRPr="00AF57BF">
        <w:t>d.</w:t>
      </w:r>
      <w:r w:rsidRPr="00AF57BF">
        <w:tab/>
        <w:t xml:space="preserve">June 19, 2000:  </w:t>
      </w:r>
      <w:r w:rsidR="00432DDC" w:rsidRPr="00AF57BF">
        <w:t>M</w:t>
      </w:r>
      <w:r w:rsidR="00261C36" w:rsidRPr="00AF57BF">
        <w:t>urder of Luis Reyes</w:t>
      </w:r>
      <w:bookmarkEnd w:id="11"/>
    </w:p>
    <w:p w:rsidR="004A2115" w:rsidRPr="00AF57BF" w:rsidRDefault="00317245" w:rsidP="00AF57BF">
      <w:pPr>
        <w:pStyle w:val="Text"/>
        <w:spacing w:line="400" w:lineRule="exact"/>
      </w:pPr>
      <w:r w:rsidRPr="00AF57BF">
        <w:t>A</w:t>
      </w:r>
      <w:r w:rsidR="00261C36" w:rsidRPr="00AF57BF">
        <w:t>fter the Ledford Street</w:t>
      </w:r>
      <w:r w:rsidR="008253AA" w:rsidRPr="00AF57BF">
        <w:t xml:space="preserve"> shooting</w:t>
      </w:r>
      <w:r w:rsidR="00261C36" w:rsidRPr="00AF57BF">
        <w:t>, Flores told Barber</w:t>
      </w:r>
      <w:r w:rsidR="00AC5237" w:rsidRPr="00AF57BF">
        <w:t xml:space="preserve"> </w:t>
      </w:r>
      <w:r w:rsidR="00261C36" w:rsidRPr="00AF57BF">
        <w:t>she could not go to her mother’</w:t>
      </w:r>
      <w:r w:rsidR="00964CF9" w:rsidRPr="00AF57BF">
        <w:t>s house</w:t>
      </w:r>
      <w:r w:rsidR="00261C36" w:rsidRPr="00AF57BF">
        <w:t xml:space="preserve">.  </w:t>
      </w:r>
      <w:r w:rsidR="00964CF9" w:rsidRPr="00AF57BF">
        <w:t>As they drove</w:t>
      </w:r>
      <w:r w:rsidR="00261C36" w:rsidRPr="00AF57BF">
        <w:t xml:space="preserve"> toward San Bernardino</w:t>
      </w:r>
      <w:r w:rsidR="001D3789" w:rsidRPr="00AF57BF">
        <w:t xml:space="preserve"> the car began to shake.</w:t>
      </w:r>
      <w:r w:rsidR="00261C36" w:rsidRPr="00AF57BF">
        <w:t xml:space="preserve"> </w:t>
      </w:r>
      <w:r w:rsidR="00135FD5" w:rsidRPr="00AF57BF">
        <w:t xml:space="preserve"> </w:t>
      </w:r>
      <w:r w:rsidR="00261C36" w:rsidRPr="00AF57BF">
        <w:t>Barber got off the freeway</w:t>
      </w:r>
      <w:r w:rsidR="00BC5EEB" w:rsidRPr="00AF57BF">
        <w:t xml:space="preserve"> and stopped</w:t>
      </w:r>
      <w:r w:rsidR="00261C36" w:rsidRPr="00AF57BF">
        <w:t xml:space="preserve">, followed by Reyes and </w:t>
      </w:r>
      <w:proofErr w:type="spellStart"/>
      <w:r w:rsidR="00261C36" w:rsidRPr="00AF57BF">
        <w:t>Amezcua</w:t>
      </w:r>
      <w:proofErr w:type="spellEnd"/>
      <w:r w:rsidR="00261C36" w:rsidRPr="00AF57BF">
        <w:t xml:space="preserve"> in the Monte Carlo.  </w:t>
      </w:r>
      <w:r w:rsidR="00964CF9" w:rsidRPr="00AF57BF">
        <w:t>G</w:t>
      </w:r>
      <w:r w:rsidR="00BC5EEB" w:rsidRPr="00AF57BF">
        <w:t>athering her things</w:t>
      </w:r>
      <w:r w:rsidR="00135FD5" w:rsidRPr="00AF57BF">
        <w:t>, she</w:t>
      </w:r>
      <w:r w:rsidR="00BC5EEB" w:rsidRPr="00AF57BF">
        <w:t xml:space="preserve"> heard gun</w:t>
      </w:r>
      <w:r w:rsidR="00964CF9" w:rsidRPr="00AF57BF">
        <w:t xml:space="preserve">fire and saw </w:t>
      </w:r>
      <w:proofErr w:type="spellStart"/>
      <w:r w:rsidR="00964CF9" w:rsidRPr="00AF57BF">
        <w:t>Amezcua</w:t>
      </w:r>
      <w:proofErr w:type="spellEnd"/>
      <w:r w:rsidR="00964CF9" w:rsidRPr="00AF57BF">
        <w:t xml:space="preserve"> shoot</w:t>
      </w:r>
      <w:r w:rsidR="001D3789" w:rsidRPr="00AF57BF">
        <w:t xml:space="preserve"> Reyes</w:t>
      </w:r>
      <w:r w:rsidR="00BC5EEB" w:rsidRPr="00AF57BF">
        <w:t xml:space="preserve">.  </w:t>
      </w:r>
      <w:r w:rsidR="001D3789" w:rsidRPr="00AF57BF">
        <w:t xml:space="preserve">Flores asked </w:t>
      </w:r>
      <w:proofErr w:type="spellStart"/>
      <w:r w:rsidR="001D3789" w:rsidRPr="00AF57BF">
        <w:t>Amezcua</w:t>
      </w:r>
      <w:proofErr w:type="spellEnd"/>
      <w:r w:rsidR="001D3789" w:rsidRPr="00AF57BF">
        <w:t xml:space="preserve">, “What are you doing that here for?”  </w:t>
      </w:r>
      <w:r w:rsidR="00964CF9" w:rsidRPr="00AF57BF">
        <w:t>Then he</w:t>
      </w:r>
      <w:r w:rsidR="008D6B5C" w:rsidRPr="00AF57BF">
        <w:t xml:space="preserve"> and </w:t>
      </w:r>
      <w:proofErr w:type="spellStart"/>
      <w:r w:rsidR="008D6B5C" w:rsidRPr="00AF57BF">
        <w:t>Amezcua</w:t>
      </w:r>
      <w:proofErr w:type="spellEnd"/>
      <w:r w:rsidR="00CA45AA" w:rsidRPr="00AF57BF">
        <w:t xml:space="preserve"> </w:t>
      </w:r>
      <w:r w:rsidR="005818D5" w:rsidRPr="00AF57BF">
        <w:t>began to pull</w:t>
      </w:r>
      <w:r w:rsidR="00CA45AA" w:rsidRPr="00AF57BF">
        <w:t xml:space="preserve"> Reyes, bleeding and chok</w:t>
      </w:r>
      <w:r w:rsidR="008D6B5C" w:rsidRPr="00AF57BF">
        <w:t>ing, from the car.  Barber started to drive the Monte Carlo away, but Reyes’</w:t>
      </w:r>
      <w:r w:rsidR="005818D5" w:rsidRPr="00AF57BF">
        <w:t>s right leg was still inside</w:t>
      </w:r>
      <w:r w:rsidR="008D6B5C" w:rsidRPr="00AF57BF">
        <w:t>.  Flores told her to “</w:t>
      </w:r>
      <w:r w:rsidR="00432DDC" w:rsidRPr="00AF57BF">
        <w:t>[</w:t>
      </w:r>
      <w:r w:rsidR="008D6B5C" w:rsidRPr="00AF57BF">
        <w:t>j</w:t>
      </w:r>
      <w:r w:rsidR="00432DDC" w:rsidRPr="00AF57BF">
        <w:t>]</w:t>
      </w:r>
      <w:proofErr w:type="spellStart"/>
      <w:r w:rsidR="008D6B5C" w:rsidRPr="00AF57BF">
        <w:t>ust</w:t>
      </w:r>
      <w:proofErr w:type="spellEnd"/>
      <w:r w:rsidR="008D6B5C" w:rsidRPr="00AF57BF">
        <w:t xml:space="preserve"> run him over</w:t>
      </w:r>
      <w:r w:rsidR="00DA10C3" w:rsidRPr="00AF57BF">
        <w:t>,</w:t>
      </w:r>
      <w:r w:rsidR="008D6B5C" w:rsidRPr="00AF57BF">
        <w:t xml:space="preserve">” </w:t>
      </w:r>
      <w:r w:rsidR="00DA10C3" w:rsidRPr="00AF57BF">
        <w:t xml:space="preserve">but </w:t>
      </w:r>
      <w:r w:rsidR="00192BAC" w:rsidRPr="00AF57BF">
        <w:t xml:space="preserve">she moved </w:t>
      </w:r>
      <w:r w:rsidRPr="00AF57BF">
        <w:t>him from</w:t>
      </w:r>
      <w:r w:rsidR="00192BAC" w:rsidRPr="00AF57BF">
        <w:t xml:space="preserve"> the car before driving off. </w:t>
      </w:r>
      <w:r w:rsidR="008D6B5C" w:rsidRPr="00AF57BF">
        <w:t xml:space="preserve"> They got back on th</w:t>
      </w:r>
      <w:r w:rsidR="00716BFB" w:rsidRPr="00AF57BF">
        <w:t>e freeway and eventually stopped at</w:t>
      </w:r>
      <w:r w:rsidR="008D6B5C" w:rsidRPr="00AF57BF">
        <w:t xml:space="preserve"> </w:t>
      </w:r>
      <w:r w:rsidR="00EB4BDB" w:rsidRPr="00AF57BF">
        <w:t xml:space="preserve">the home of </w:t>
      </w:r>
      <w:proofErr w:type="spellStart"/>
      <w:r w:rsidR="008D6B5C" w:rsidRPr="00AF57BF">
        <w:t>Amezcua’s</w:t>
      </w:r>
      <w:proofErr w:type="spellEnd"/>
      <w:r w:rsidR="008D6B5C" w:rsidRPr="00AF57BF">
        <w:t xml:space="preserve"> cousin in Pasadena</w:t>
      </w:r>
      <w:r w:rsidR="00AD0FB1" w:rsidRPr="00AF57BF">
        <w:t>.  T</w:t>
      </w:r>
      <w:r w:rsidR="008D6B5C" w:rsidRPr="00AF57BF">
        <w:t xml:space="preserve">hey took showers and ate.  </w:t>
      </w:r>
      <w:r w:rsidR="00544B65" w:rsidRPr="00AF57BF">
        <w:t xml:space="preserve">A few hours later, they went to </w:t>
      </w:r>
      <w:r w:rsidRPr="00AF57BF">
        <w:t>the</w:t>
      </w:r>
      <w:r w:rsidR="00544B65" w:rsidRPr="00AF57BF">
        <w:t xml:space="preserve"> house in Hemet, bringing the black bag of guns inside.  </w:t>
      </w:r>
      <w:r w:rsidRPr="00AF57BF">
        <w:t>Flores’</w:t>
      </w:r>
      <w:r w:rsidR="00F527AD" w:rsidRPr="00AF57BF">
        <w:t>s mother told him that if he didn’</w:t>
      </w:r>
      <w:r w:rsidR="00B116B3" w:rsidRPr="00AF57BF">
        <w:t>t get rid of the guns</w:t>
      </w:r>
      <w:r w:rsidR="00F527AD" w:rsidRPr="00AF57BF">
        <w:t xml:space="preserve"> sh</w:t>
      </w:r>
      <w:r w:rsidR="005818D5" w:rsidRPr="00AF57BF">
        <w:t>e would sell them</w:t>
      </w:r>
      <w:r w:rsidR="00AD0FB1" w:rsidRPr="00AF57BF">
        <w:t>.  H</w:t>
      </w:r>
      <w:r w:rsidR="00F527AD" w:rsidRPr="00AF57BF">
        <w:t xml:space="preserve">e </w:t>
      </w:r>
      <w:r w:rsidR="004D09B1" w:rsidRPr="00AF57BF">
        <w:t>replied</w:t>
      </w:r>
      <w:r w:rsidR="00F527AD" w:rsidRPr="00AF57BF">
        <w:t xml:space="preserve"> that if she did, he w</w:t>
      </w:r>
      <w:r w:rsidR="004D09B1" w:rsidRPr="00AF57BF">
        <w:t>ould</w:t>
      </w:r>
      <w:r w:rsidR="00F527AD" w:rsidRPr="00AF57BF">
        <w:t xml:space="preserve"> have to kill her.  </w:t>
      </w:r>
      <w:r w:rsidRPr="00AF57BF">
        <w:t>The group</w:t>
      </w:r>
      <w:r w:rsidR="00001E6B" w:rsidRPr="00AF57BF">
        <w:t xml:space="preserve"> </w:t>
      </w:r>
      <w:r w:rsidR="00544B65" w:rsidRPr="00AF57BF">
        <w:t xml:space="preserve">stayed there three or four days.  </w:t>
      </w:r>
      <w:r w:rsidR="00AD0FD4" w:rsidRPr="00AF57BF">
        <w:t>At one point</w:t>
      </w:r>
      <w:r w:rsidR="006E5CE5" w:rsidRPr="00AF57BF">
        <w:t>,</w:t>
      </w:r>
      <w:r w:rsidR="00AD0FD4" w:rsidRPr="00AF57BF">
        <w:t xml:space="preserve"> </w:t>
      </w:r>
      <w:r w:rsidR="009444C5" w:rsidRPr="00AF57BF">
        <w:t xml:space="preserve">Barber </w:t>
      </w:r>
      <w:r w:rsidR="00AD0FD4" w:rsidRPr="00AF57BF">
        <w:t xml:space="preserve">asked </w:t>
      </w:r>
      <w:r w:rsidR="009444C5" w:rsidRPr="00AF57BF">
        <w:t>Flores</w:t>
      </w:r>
      <w:r w:rsidR="00AD0FD4" w:rsidRPr="00AF57BF">
        <w:t xml:space="preserve"> if he was going to kill her</w:t>
      </w:r>
      <w:r w:rsidR="00CD27B7" w:rsidRPr="00AF57BF">
        <w:t>.  H</w:t>
      </w:r>
      <w:r w:rsidR="00AD0FD4" w:rsidRPr="00AF57BF">
        <w:t xml:space="preserve">e replied, “If I wanted to kill you, I would </w:t>
      </w:r>
      <w:r w:rsidR="00432DDC" w:rsidRPr="00AF57BF">
        <w:t xml:space="preserve">take you out back and shoot you. </w:t>
      </w:r>
      <w:r w:rsidR="00AD0FD4" w:rsidRPr="00AF57BF">
        <w:t xml:space="preserve"> </w:t>
      </w:r>
      <w:r w:rsidR="00432DDC" w:rsidRPr="00AF57BF">
        <w:t>T</w:t>
      </w:r>
      <w:r w:rsidR="00AD0FD4" w:rsidRPr="00AF57BF">
        <w:t xml:space="preserve">hrow you in the trunk and take you in the hills and nobody would ever know.”  </w:t>
      </w:r>
      <w:r w:rsidR="00F527AD" w:rsidRPr="00AF57BF">
        <w:t>Barber observed th</w:t>
      </w:r>
      <w:r w:rsidR="00620DCD" w:rsidRPr="00AF57BF">
        <w:t>at his mother would know; he responde</w:t>
      </w:r>
      <w:r w:rsidR="00F527AD" w:rsidRPr="00AF57BF">
        <w:t xml:space="preserve">d, “My mom wouldn’t care </w:t>
      </w:r>
      <w:r w:rsidR="00F527AD" w:rsidRPr="00AF57BF">
        <w:lastRenderedPageBreak/>
        <w:t xml:space="preserve">because she knew I had to do that to one of my friends,” referring to his “homeboy </w:t>
      </w:r>
      <w:proofErr w:type="spellStart"/>
      <w:r w:rsidR="00F527AD" w:rsidRPr="00AF57BF">
        <w:t>Vago</w:t>
      </w:r>
      <w:proofErr w:type="spellEnd"/>
      <w:r w:rsidR="00F527AD" w:rsidRPr="00AF57BF">
        <w:t>.”</w:t>
      </w:r>
      <w:r w:rsidR="00F527AD" w:rsidRPr="00AF57BF">
        <w:rPr>
          <w:rStyle w:val="FootnoteReference"/>
        </w:rPr>
        <w:footnoteReference w:id="10"/>
      </w:r>
      <w:r w:rsidR="00B16638" w:rsidRPr="00AF57BF">
        <w:t xml:space="preserve"> </w:t>
      </w:r>
    </w:p>
    <w:p w:rsidR="00FB132A" w:rsidRPr="00AF57BF" w:rsidRDefault="00B75857" w:rsidP="00AF57BF">
      <w:pPr>
        <w:pStyle w:val="Text"/>
        <w:spacing w:line="400" w:lineRule="exact"/>
      </w:pPr>
      <w:r w:rsidRPr="00AF57BF">
        <w:t>O</w:t>
      </w:r>
      <w:r w:rsidR="006326AD" w:rsidRPr="00AF57BF">
        <w:t xml:space="preserve">n June 19, 2000, </w:t>
      </w:r>
      <w:r w:rsidR="001B6B4B" w:rsidRPr="00AF57BF">
        <w:t xml:space="preserve">Andrew Quiroz </w:t>
      </w:r>
      <w:r w:rsidR="006326AD" w:rsidRPr="00AF57BF">
        <w:t xml:space="preserve">saw </w:t>
      </w:r>
      <w:r w:rsidR="006355F7" w:rsidRPr="00AF57BF">
        <w:t>a man lying beside</w:t>
      </w:r>
      <w:r w:rsidR="006326AD" w:rsidRPr="00AF57BF">
        <w:t xml:space="preserve"> the road</w:t>
      </w:r>
      <w:r w:rsidR="00543E38" w:rsidRPr="00AF57BF">
        <w:t xml:space="preserve"> and rushed to hi</w:t>
      </w:r>
      <w:r w:rsidR="006326AD" w:rsidRPr="00AF57BF">
        <w:t xml:space="preserve">s side.  </w:t>
      </w:r>
      <w:r w:rsidR="00543E38" w:rsidRPr="00AF57BF">
        <w:t>The man</w:t>
      </w:r>
      <w:r w:rsidR="00542B8A" w:rsidRPr="00AF57BF">
        <w:t xml:space="preserve"> had been shot</w:t>
      </w:r>
      <w:r w:rsidR="00B04147" w:rsidRPr="00AF57BF">
        <w:t xml:space="preserve"> </w:t>
      </w:r>
      <w:r w:rsidR="00542B8A" w:rsidRPr="00AF57BF">
        <w:t>but</w:t>
      </w:r>
      <w:r w:rsidR="00B04147" w:rsidRPr="00AF57BF">
        <w:t xml:space="preserve"> was still breathing.  Quiroz </w:t>
      </w:r>
      <w:r w:rsidR="00CB5DC3" w:rsidRPr="00AF57BF">
        <w:t>called for help</w:t>
      </w:r>
      <w:r w:rsidR="00365D2D" w:rsidRPr="00AF57BF">
        <w:t>, which arrived within</w:t>
      </w:r>
      <w:r w:rsidR="00B04147" w:rsidRPr="00AF57BF">
        <w:t xml:space="preserve"> 10 minutes.  </w:t>
      </w:r>
    </w:p>
    <w:p w:rsidR="00E37708" w:rsidRPr="00AF57BF" w:rsidRDefault="00E37708" w:rsidP="00AF57BF">
      <w:pPr>
        <w:pStyle w:val="Text"/>
        <w:spacing w:line="400" w:lineRule="exact"/>
      </w:pPr>
      <w:r w:rsidRPr="00AF57BF">
        <w:t xml:space="preserve">Sergeant Dean Brown responded </w:t>
      </w:r>
      <w:r w:rsidR="00542B8A" w:rsidRPr="00AF57BF">
        <w:t>to find</w:t>
      </w:r>
      <w:r w:rsidR="002A79BF" w:rsidRPr="00AF57BF">
        <w:t xml:space="preserve"> </w:t>
      </w:r>
      <w:r w:rsidRPr="00AF57BF">
        <w:t>Reyes</w:t>
      </w:r>
      <w:r w:rsidR="006B6136" w:rsidRPr="00AF57BF">
        <w:t xml:space="preserve"> l</w:t>
      </w:r>
      <w:r w:rsidR="00B831DB" w:rsidRPr="00AF57BF">
        <w:t>y</w:t>
      </w:r>
      <w:r w:rsidR="006B6136" w:rsidRPr="00AF57BF">
        <w:t>ing</w:t>
      </w:r>
      <w:r w:rsidRPr="00AF57BF">
        <w:t xml:space="preserve"> in a pool of blood</w:t>
      </w:r>
      <w:r w:rsidR="00B831DB" w:rsidRPr="00AF57BF">
        <w:t xml:space="preserve">. </w:t>
      </w:r>
      <w:r w:rsidRPr="00AF57BF">
        <w:t xml:space="preserve"> </w:t>
      </w:r>
      <w:r w:rsidR="00B831DB" w:rsidRPr="00AF57BF">
        <w:t>A</w:t>
      </w:r>
      <w:r w:rsidR="00D71967" w:rsidRPr="00AF57BF">
        <w:t xml:space="preserve"> stolen </w:t>
      </w:r>
      <w:r w:rsidR="002A79BF" w:rsidRPr="00AF57BF">
        <w:t>Toyota Cressida</w:t>
      </w:r>
      <w:r w:rsidRPr="00AF57BF">
        <w:t xml:space="preserve"> parked nearby</w:t>
      </w:r>
      <w:r w:rsidR="002A79BF" w:rsidRPr="00AF57BF">
        <w:t xml:space="preserve"> </w:t>
      </w:r>
      <w:r w:rsidR="00B831DB" w:rsidRPr="00AF57BF">
        <w:t xml:space="preserve">contained </w:t>
      </w:r>
      <w:r w:rsidR="002A79BF" w:rsidRPr="00AF57BF">
        <w:t>five shell casings</w:t>
      </w:r>
      <w:r w:rsidRPr="00AF57BF">
        <w:t xml:space="preserve">.  </w:t>
      </w:r>
      <w:r w:rsidR="0026555B" w:rsidRPr="00AF57BF">
        <w:t>A bullet fell from the victim’s clothing when he was lifted</w:t>
      </w:r>
      <w:r w:rsidR="006B6136" w:rsidRPr="00AF57BF">
        <w:t xml:space="preserve">. </w:t>
      </w:r>
      <w:r w:rsidR="0026555B" w:rsidRPr="00AF57BF">
        <w:t xml:space="preserve"> </w:t>
      </w:r>
      <w:r w:rsidR="00BE6E44" w:rsidRPr="00AF57BF">
        <w:t xml:space="preserve">Brown </w:t>
      </w:r>
      <w:r w:rsidR="006B6136" w:rsidRPr="00AF57BF">
        <w:t xml:space="preserve">also </w:t>
      </w:r>
      <w:r w:rsidR="00B831DB" w:rsidRPr="00AF57BF">
        <w:t xml:space="preserve">found </w:t>
      </w:r>
      <w:r w:rsidR="00A80A92" w:rsidRPr="00AF57BF">
        <w:t>a spent bullet and</w:t>
      </w:r>
      <w:r w:rsidR="00BE6E44" w:rsidRPr="00AF57BF">
        <w:t xml:space="preserve"> shell casing </w:t>
      </w:r>
      <w:r w:rsidR="00B831DB" w:rsidRPr="00AF57BF">
        <w:t>in nearby</w:t>
      </w:r>
      <w:r w:rsidR="00A80A92" w:rsidRPr="00AF57BF">
        <w:t xml:space="preserve"> weeds</w:t>
      </w:r>
      <w:r w:rsidR="0026555B" w:rsidRPr="00AF57BF">
        <w:t>.  An autopsy</w:t>
      </w:r>
      <w:r w:rsidR="00542B8A" w:rsidRPr="00AF57BF">
        <w:t xml:space="preserve"> identified</w:t>
      </w:r>
      <w:r w:rsidR="0026555B" w:rsidRPr="00AF57BF">
        <w:t xml:space="preserve"> 19 gunshot wounds, </w:t>
      </w:r>
      <w:r w:rsidR="00CA45AA" w:rsidRPr="00AF57BF">
        <w:t xml:space="preserve">shot from a distance of </w:t>
      </w:r>
      <w:r w:rsidR="00B831DB" w:rsidRPr="00AF57BF">
        <w:t xml:space="preserve">about </w:t>
      </w:r>
      <w:r w:rsidR="00CA45AA" w:rsidRPr="00AF57BF">
        <w:t xml:space="preserve">two feet.  </w:t>
      </w:r>
      <w:r w:rsidR="00B831DB" w:rsidRPr="00AF57BF">
        <w:t>B</w:t>
      </w:r>
      <w:r w:rsidR="00527383" w:rsidRPr="00AF57BF">
        <w:t xml:space="preserve">ullets recovered from </w:t>
      </w:r>
      <w:r w:rsidR="00B831DB" w:rsidRPr="00AF57BF">
        <w:t xml:space="preserve">the </w:t>
      </w:r>
      <w:r w:rsidR="00527383" w:rsidRPr="00AF57BF">
        <w:t xml:space="preserve">body came from </w:t>
      </w:r>
      <w:r w:rsidR="00031B1F" w:rsidRPr="00AF57BF">
        <w:t xml:space="preserve">a </w:t>
      </w:r>
      <w:r w:rsidR="00527383" w:rsidRPr="00AF57BF">
        <w:t xml:space="preserve">Ruger </w:t>
      </w:r>
      <w:r w:rsidR="00444B79" w:rsidRPr="00AF57BF">
        <w:t xml:space="preserve">pistol linked to </w:t>
      </w:r>
      <w:proofErr w:type="spellStart"/>
      <w:r w:rsidR="00444B79" w:rsidRPr="00AF57BF">
        <w:t>Amezcua</w:t>
      </w:r>
      <w:proofErr w:type="spellEnd"/>
      <w:r w:rsidR="00444B79" w:rsidRPr="00AF57BF">
        <w:t xml:space="preserve">.  </w:t>
      </w:r>
    </w:p>
    <w:p w:rsidR="00444B79" w:rsidRPr="00AF57BF" w:rsidRDefault="00444B79" w:rsidP="00AF57BF">
      <w:pPr>
        <w:pStyle w:val="Text"/>
        <w:spacing w:line="400" w:lineRule="exact"/>
      </w:pPr>
      <w:r w:rsidRPr="00AF57BF">
        <w:lastRenderedPageBreak/>
        <w:t>Reyes’s wallet contained a payment receipt for the Monte Carlo</w:t>
      </w:r>
      <w:r w:rsidR="00B30C62" w:rsidRPr="00AF57BF">
        <w:t xml:space="preserve">.  </w:t>
      </w:r>
      <w:r w:rsidR="006B6136" w:rsidRPr="00AF57BF">
        <w:t>Ontario p</w:t>
      </w:r>
      <w:r w:rsidRPr="00AF57BF">
        <w:t xml:space="preserve">olice </w:t>
      </w:r>
      <w:r w:rsidR="00542B8A" w:rsidRPr="00AF57BF">
        <w:t>posted a bulletin</w:t>
      </w:r>
      <w:r w:rsidR="006B6136" w:rsidRPr="00AF57BF">
        <w:t xml:space="preserve"> that</w:t>
      </w:r>
      <w:r w:rsidR="00537522" w:rsidRPr="00AF57BF">
        <w:t xml:space="preserve"> </w:t>
      </w:r>
      <w:r w:rsidR="00B30C62" w:rsidRPr="00AF57BF">
        <w:t>the car</w:t>
      </w:r>
      <w:r w:rsidR="00537522" w:rsidRPr="00AF57BF">
        <w:t xml:space="preserve"> was wanted in connection with a homicide</w:t>
      </w:r>
      <w:r w:rsidR="006B6136" w:rsidRPr="00AF57BF">
        <w:t xml:space="preserve"> and i</w:t>
      </w:r>
      <w:r w:rsidR="00537522" w:rsidRPr="00AF57BF">
        <w:t xml:space="preserve">ts occupants were considered armed and dangerous. </w:t>
      </w:r>
      <w:r w:rsidRPr="00AF57BF">
        <w:t xml:space="preserve"> </w:t>
      </w:r>
    </w:p>
    <w:p w:rsidR="007850FE" w:rsidRPr="00AF57BF" w:rsidRDefault="00A21D98" w:rsidP="00AF57BF">
      <w:pPr>
        <w:pStyle w:val="Text"/>
        <w:spacing w:line="400" w:lineRule="exact"/>
      </w:pPr>
      <w:r w:rsidRPr="00AF57BF">
        <w:t>Detective</w:t>
      </w:r>
      <w:r w:rsidR="007850FE" w:rsidRPr="00AF57BF">
        <w:t xml:space="preserve"> Reynoso testified that Reyes was considered to be a “rat” because he had cooperated with the police.  </w:t>
      </w:r>
      <w:r w:rsidR="00B30C62" w:rsidRPr="00AF57BF">
        <w:t>He opined that</w:t>
      </w:r>
      <w:r w:rsidR="007850FE" w:rsidRPr="00AF57BF">
        <w:t xml:space="preserve"> Reyes was killed because his c</w:t>
      </w:r>
      <w:r w:rsidR="00684A87" w:rsidRPr="00AF57BF">
        <w:t>onduct</w:t>
      </w:r>
      <w:r w:rsidR="00543E38" w:rsidRPr="00AF57BF">
        <w:t xml:space="preserve"> was disrespectful to</w:t>
      </w:r>
      <w:r w:rsidR="007850FE" w:rsidRPr="00AF57BF">
        <w:t xml:space="preserve"> ESB</w:t>
      </w:r>
      <w:r w:rsidR="00542B8A" w:rsidRPr="00AF57BF">
        <w:t>P and his</w:t>
      </w:r>
      <w:r w:rsidR="00543E38" w:rsidRPr="00AF57BF">
        <w:t xml:space="preserve"> killing promoted</w:t>
      </w:r>
      <w:r w:rsidR="007850FE" w:rsidRPr="00AF57BF">
        <w:t xml:space="preserve"> ESBP’s reputation.  </w:t>
      </w:r>
    </w:p>
    <w:p w:rsidR="004A2115" w:rsidRPr="00AF57BF" w:rsidRDefault="004A2115" w:rsidP="00AF57BF">
      <w:pPr>
        <w:pStyle w:val="Heading4"/>
      </w:pPr>
      <w:bookmarkStart w:id="12" w:name="_Toc521674382"/>
      <w:r w:rsidRPr="00AF57BF">
        <w:t>e.</w:t>
      </w:r>
      <w:r w:rsidR="002842A0" w:rsidRPr="00AF57BF">
        <w:tab/>
        <w:t xml:space="preserve">June 24 and 25, 2000:  </w:t>
      </w:r>
      <w:r w:rsidR="00432DDC" w:rsidRPr="00AF57BF">
        <w:t>Attempted Murder of P</w:t>
      </w:r>
      <w:r w:rsidR="002842A0" w:rsidRPr="00AF57BF">
        <w:t xml:space="preserve">eace </w:t>
      </w:r>
      <w:r w:rsidR="00432DDC" w:rsidRPr="00AF57BF">
        <w:t>O</w:t>
      </w:r>
      <w:r w:rsidR="002842A0" w:rsidRPr="00AF57BF">
        <w:t xml:space="preserve">fficer Andrew Putney and </w:t>
      </w:r>
      <w:r w:rsidR="00432DDC" w:rsidRPr="00AF57BF">
        <w:t>A</w:t>
      </w:r>
      <w:r w:rsidR="002842A0" w:rsidRPr="00AF57BF">
        <w:t>rson of Reyes’s Monte Carlo</w:t>
      </w:r>
      <w:bookmarkEnd w:id="12"/>
    </w:p>
    <w:p w:rsidR="00DD3280" w:rsidRPr="00AF57BF" w:rsidRDefault="00852B14" w:rsidP="00AF57BF">
      <w:pPr>
        <w:pStyle w:val="Text"/>
        <w:spacing w:line="400" w:lineRule="exact"/>
      </w:pPr>
      <w:r w:rsidRPr="00AF57BF">
        <w:t xml:space="preserve">During the evening of </w:t>
      </w:r>
      <w:r w:rsidR="00542B8A" w:rsidRPr="00AF57BF">
        <w:t xml:space="preserve">June 24, 2000, </w:t>
      </w:r>
      <w:proofErr w:type="spellStart"/>
      <w:r w:rsidR="00542B8A" w:rsidRPr="00AF57BF">
        <w:t>Amezcua</w:t>
      </w:r>
      <w:proofErr w:type="spellEnd"/>
      <w:r w:rsidR="00542B8A" w:rsidRPr="00AF57BF">
        <w:t>,</w:t>
      </w:r>
      <w:r w:rsidR="0044458D" w:rsidRPr="00AF57BF">
        <w:t xml:space="preserve"> Flores </w:t>
      </w:r>
      <w:r w:rsidR="00542B8A" w:rsidRPr="00AF57BF">
        <w:t>and</w:t>
      </w:r>
      <w:r w:rsidR="0044458D" w:rsidRPr="00AF57BF">
        <w:t xml:space="preserve"> Flores’</w:t>
      </w:r>
      <w:r w:rsidR="00542B8A" w:rsidRPr="00AF57BF">
        <w:t>s girlfriend, Carina Renteria, went to a 7-</w:t>
      </w:r>
      <w:r w:rsidR="002A40FA">
        <w:t>Eleven store</w:t>
      </w:r>
      <w:r w:rsidR="007E7BF7" w:rsidRPr="00AF57BF">
        <w:t xml:space="preserve">.  </w:t>
      </w:r>
      <w:r w:rsidR="001D5721" w:rsidRPr="00AF57BF">
        <w:t xml:space="preserve">Renteria drove </w:t>
      </w:r>
      <w:r w:rsidR="007E7BF7" w:rsidRPr="00AF57BF">
        <w:t xml:space="preserve">Flores in her Honda </w:t>
      </w:r>
      <w:r w:rsidR="001D5721" w:rsidRPr="00AF57BF">
        <w:t>Civic</w:t>
      </w:r>
      <w:r w:rsidR="007E7BF7" w:rsidRPr="00AF57BF">
        <w:t xml:space="preserve">. </w:t>
      </w:r>
      <w:r w:rsidR="0017622C" w:rsidRPr="00AF57BF">
        <w:t xml:space="preserve"> </w:t>
      </w:r>
      <w:proofErr w:type="spellStart"/>
      <w:r w:rsidR="001D5721" w:rsidRPr="00AF57BF">
        <w:t>Amezcua</w:t>
      </w:r>
      <w:proofErr w:type="spellEnd"/>
      <w:r w:rsidR="001D5721" w:rsidRPr="00AF57BF">
        <w:t xml:space="preserve"> drove </w:t>
      </w:r>
      <w:r w:rsidR="00BE3293" w:rsidRPr="00AF57BF">
        <w:t>the</w:t>
      </w:r>
      <w:r w:rsidR="001D5721" w:rsidRPr="00AF57BF">
        <w:t xml:space="preserve"> Monte Carlo</w:t>
      </w:r>
      <w:r w:rsidR="0017622C" w:rsidRPr="00AF57BF">
        <w:t xml:space="preserve">.  </w:t>
      </w:r>
      <w:proofErr w:type="spellStart"/>
      <w:r w:rsidR="0017622C" w:rsidRPr="00AF57BF">
        <w:t>Amezcua</w:t>
      </w:r>
      <w:proofErr w:type="spellEnd"/>
      <w:r w:rsidR="0017622C" w:rsidRPr="00AF57BF">
        <w:t xml:space="preserve"> </w:t>
      </w:r>
      <w:r w:rsidR="007E7BF7" w:rsidRPr="00AF57BF">
        <w:t>s</w:t>
      </w:r>
      <w:r w:rsidR="0017622C" w:rsidRPr="00AF57BF">
        <w:t>ped out of the parking lot</w:t>
      </w:r>
      <w:r w:rsidR="00A65CEC" w:rsidRPr="00AF57BF">
        <w:t xml:space="preserve"> a</w:t>
      </w:r>
      <w:r w:rsidR="007E7BF7" w:rsidRPr="00AF57BF">
        <w:t>nd was</w:t>
      </w:r>
      <w:r w:rsidR="0017622C" w:rsidRPr="00AF57BF">
        <w:t xml:space="preserve"> followed by San Bernardino County Sheriff’</w:t>
      </w:r>
      <w:r w:rsidR="00D26C3A" w:rsidRPr="00AF57BF">
        <w:t xml:space="preserve">s </w:t>
      </w:r>
      <w:r w:rsidR="007E7BF7" w:rsidRPr="00AF57BF">
        <w:t>d</w:t>
      </w:r>
      <w:r w:rsidR="0017622C" w:rsidRPr="00AF57BF">
        <w:t>eputy Andrew Putney</w:t>
      </w:r>
      <w:r w:rsidR="001D5721" w:rsidRPr="00AF57BF">
        <w:t xml:space="preserve">.  </w:t>
      </w:r>
      <w:r w:rsidR="009F7C71" w:rsidRPr="00AF57BF">
        <w:t xml:space="preserve">Renteria and Flores </w:t>
      </w:r>
      <w:r w:rsidR="007E7BF7" w:rsidRPr="00AF57BF">
        <w:t xml:space="preserve">followed </w:t>
      </w:r>
      <w:r w:rsidR="00432DDC" w:rsidRPr="00AF57BF">
        <w:t xml:space="preserve">in the Civic.  </w:t>
      </w:r>
    </w:p>
    <w:p w:rsidR="004A2115" w:rsidRPr="00AF57BF" w:rsidRDefault="00542B8A" w:rsidP="00AF57BF">
      <w:pPr>
        <w:pStyle w:val="Text"/>
        <w:spacing w:line="400" w:lineRule="exact"/>
      </w:pPr>
      <w:r w:rsidRPr="00AF57BF">
        <w:t>T</w:t>
      </w:r>
      <w:r w:rsidR="00A65CEC" w:rsidRPr="00AF57BF">
        <w:t xml:space="preserve">he Monte Carlo’s license plate </w:t>
      </w:r>
      <w:r w:rsidR="004E3FD8" w:rsidRPr="00AF57BF">
        <w:t>showed</w:t>
      </w:r>
      <w:r w:rsidR="00A65CEC" w:rsidRPr="00AF57BF">
        <w:t xml:space="preserve"> it was stolen.  </w:t>
      </w:r>
      <w:proofErr w:type="spellStart"/>
      <w:r w:rsidRPr="00AF57BF">
        <w:t>Amezcua</w:t>
      </w:r>
      <w:proofErr w:type="spellEnd"/>
      <w:r w:rsidR="00D26C3A" w:rsidRPr="00AF57BF">
        <w:t xml:space="preserve"> </w:t>
      </w:r>
      <w:r w:rsidR="00305851" w:rsidRPr="00AF57BF">
        <w:t>entered</w:t>
      </w:r>
      <w:r w:rsidRPr="00AF57BF">
        <w:t xml:space="preserve"> the 10 Freeway.  He cut</w:t>
      </w:r>
      <w:r w:rsidR="00D26C3A" w:rsidRPr="00AF57BF">
        <w:t xml:space="preserve"> </w:t>
      </w:r>
      <w:r w:rsidR="00432DDC" w:rsidRPr="00AF57BF">
        <w:t>in and out of lanes</w:t>
      </w:r>
      <w:r w:rsidRPr="00AF57BF">
        <w:t xml:space="preserve"> at</w:t>
      </w:r>
      <w:r w:rsidR="00D26C3A" w:rsidRPr="00AF57BF">
        <w:t xml:space="preserve"> speeds be</w:t>
      </w:r>
      <w:r w:rsidR="00023DBB" w:rsidRPr="00AF57BF">
        <w:t>tween 70 and 85</w:t>
      </w:r>
      <w:r w:rsidRPr="00AF57BF">
        <w:t xml:space="preserve"> miles per hour.  After about two miles he</w:t>
      </w:r>
      <w:r w:rsidR="00D32C3E" w:rsidRPr="00AF57BF">
        <w:t xml:space="preserve"> made a </w:t>
      </w:r>
      <w:proofErr w:type="gramStart"/>
      <w:r w:rsidR="00D32C3E" w:rsidRPr="00AF57BF">
        <w:t>hard right</w:t>
      </w:r>
      <w:proofErr w:type="gramEnd"/>
      <w:r w:rsidR="00D32C3E" w:rsidRPr="00AF57BF">
        <w:t xml:space="preserve"> turn in front of Putney’s </w:t>
      </w:r>
      <w:r w:rsidR="00305851" w:rsidRPr="00AF57BF">
        <w:t>vehicle</w:t>
      </w:r>
      <w:r w:rsidR="00D32C3E" w:rsidRPr="00AF57BF">
        <w:t>, missed the offr</w:t>
      </w:r>
      <w:r w:rsidR="00243AB7" w:rsidRPr="00AF57BF">
        <w:t>amp,</w:t>
      </w:r>
      <w:r w:rsidR="00D32C3E" w:rsidRPr="00AF57BF">
        <w:t xml:space="preserve"> </w:t>
      </w:r>
      <w:r w:rsidR="00243AB7" w:rsidRPr="00AF57BF">
        <w:t>and became airborne</w:t>
      </w:r>
      <w:r w:rsidR="006D70BF" w:rsidRPr="00AF57BF">
        <w:t xml:space="preserve">.  </w:t>
      </w:r>
      <w:r w:rsidR="001E7EAD" w:rsidRPr="00AF57BF">
        <w:t>He</w:t>
      </w:r>
      <w:r w:rsidR="00D32C3E" w:rsidRPr="00AF57BF">
        <w:t xml:space="preserve"> </w:t>
      </w:r>
      <w:r w:rsidR="00243AB7" w:rsidRPr="00AF57BF">
        <w:t xml:space="preserve">landed back on the ramp and </w:t>
      </w:r>
      <w:r w:rsidR="006D70BF" w:rsidRPr="00AF57BF">
        <w:t>sped off</w:t>
      </w:r>
      <w:r w:rsidR="00243AB7" w:rsidRPr="00AF57BF">
        <w:t xml:space="preserve">.  </w:t>
      </w:r>
      <w:r w:rsidR="00CD0562" w:rsidRPr="00AF57BF">
        <w:t>Putney</w:t>
      </w:r>
      <w:r w:rsidR="004E3FD8" w:rsidRPr="00AF57BF">
        <w:t xml:space="preserve"> followed,</w:t>
      </w:r>
      <w:r w:rsidR="00CD0562" w:rsidRPr="00AF57BF">
        <w:t xml:space="preserve"> </w:t>
      </w:r>
      <w:r w:rsidR="00DD3280" w:rsidRPr="00AF57BF">
        <w:t>heard gunfire from behind hi</w:t>
      </w:r>
      <w:r w:rsidR="00AC0AED" w:rsidRPr="00AF57BF">
        <w:t>m</w:t>
      </w:r>
      <w:r w:rsidR="004E3FD8" w:rsidRPr="00AF57BF">
        <w:t>,</w:t>
      </w:r>
      <w:r w:rsidR="001E7EAD" w:rsidRPr="00AF57BF">
        <w:t xml:space="preserve"> and a round</w:t>
      </w:r>
      <w:r w:rsidR="00A00A03" w:rsidRPr="00AF57BF">
        <w:t xml:space="preserve"> blew out </w:t>
      </w:r>
      <w:r w:rsidR="006D70BF" w:rsidRPr="00AF57BF">
        <w:t>his front</w:t>
      </w:r>
      <w:r w:rsidR="00A00A03" w:rsidRPr="00AF57BF">
        <w:t xml:space="preserve"> tire.  </w:t>
      </w:r>
      <w:r w:rsidR="006D70BF" w:rsidRPr="00AF57BF">
        <w:t>Putney saw</w:t>
      </w:r>
      <w:r w:rsidR="00A00A03" w:rsidRPr="00AF57BF">
        <w:t xml:space="preserve"> a dark compact car with tinted windows, going about 90 miles per hour</w:t>
      </w:r>
      <w:r w:rsidR="006D70BF" w:rsidRPr="00AF57BF">
        <w:t>. A</w:t>
      </w:r>
      <w:r w:rsidR="00A00A03" w:rsidRPr="00AF57BF">
        <w:t xml:space="preserve"> Hispanic male was sitting in the </w:t>
      </w:r>
      <w:r w:rsidR="006D70BF" w:rsidRPr="00AF57BF">
        <w:t xml:space="preserve">passenger </w:t>
      </w:r>
      <w:r w:rsidR="00A00A03" w:rsidRPr="00AF57BF">
        <w:t xml:space="preserve">door </w:t>
      </w:r>
      <w:r w:rsidR="0033616B" w:rsidRPr="00AF57BF">
        <w:t>window</w:t>
      </w:r>
      <w:r w:rsidR="00A00A03" w:rsidRPr="00AF57BF">
        <w:t xml:space="preserve"> firing at Putney.  </w:t>
      </w:r>
    </w:p>
    <w:p w:rsidR="00F33B62" w:rsidRPr="00AF57BF" w:rsidRDefault="00F33B62" w:rsidP="00AF57BF">
      <w:pPr>
        <w:pStyle w:val="Text"/>
        <w:spacing w:line="400" w:lineRule="exact"/>
      </w:pPr>
      <w:r w:rsidRPr="00AF57BF">
        <w:t>Renteria testified that</w:t>
      </w:r>
      <w:r w:rsidR="00DE17C6" w:rsidRPr="00AF57BF">
        <w:t xml:space="preserve"> after they had gotten onto the freeway,</w:t>
      </w:r>
      <w:r w:rsidRPr="00AF57BF">
        <w:t xml:space="preserve"> </w:t>
      </w:r>
      <w:r w:rsidR="00AB0858" w:rsidRPr="00AF57BF">
        <w:t>Flores told her to ca</w:t>
      </w:r>
      <w:r w:rsidR="002F2813" w:rsidRPr="00AF57BF">
        <w:t>tch</w:t>
      </w:r>
      <w:r w:rsidR="00C734D7" w:rsidRPr="00AF57BF">
        <w:t xml:space="preserve"> the </w:t>
      </w:r>
      <w:r w:rsidR="006D70BF" w:rsidRPr="00AF57BF">
        <w:t>patrol car</w:t>
      </w:r>
      <w:r w:rsidR="00C734D7" w:rsidRPr="00AF57BF">
        <w:t xml:space="preserve">.  </w:t>
      </w:r>
      <w:r w:rsidR="006D70BF" w:rsidRPr="00AF57BF">
        <w:t>As</w:t>
      </w:r>
      <w:r w:rsidR="00C734D7" w:rsidRPr="00AF57BF">
        <w:t xml:space="preserve"> she drew </w:t>
      </w:r>
      <w:r w:rsidR="00C734D7" w:rsidRPr="00AF57BF">
        <w:lastRenderedPageBreak/>
        <w:t>close</w:t>
      </w:r>
      <w:r w:rsidR="006D70BF" w:rsidRPr="00AF57BF">
        <w:t>r</w:t>
      </w:r>
      <w:r w:rsidR="00AB0858" w:rsidRPr="00AF57BF">
        <w:t>, Flores rolled down the</w:t>
      </w:r>
      <w:r w:rsidR="001E7EAD" w:rsidRPr="00AF57BF">
        <w:t xml:space="preserve"> window, leaned out</w:t>
      </w:r>
      <w:r w:rsidR="00023DBB" w:rsidRPr="00AF57BF">
        <w:t xml:space="preserve"> and began </w:t>
      </w:r>
      <w:r w:rsidR="006D70BF" w:rsidRPr="00AF57BF">
        <w:t>shooting</w:t>
      </w:r>
      <w:r w:rsidR="00AB0858" w:rsidRPr="00AF57BF">
        <w:t xml:space="preserve">.  </w:t>
      </w:r>
      <w:r w:rsidR="008E17DB" w:rsidRPr="00AF57BF">
        <w:t>She had not known he wa</w:t>
      </w:r>
      <w:r w:rsidR="00C734D7" w:rsidRPr="00AF57BF">
        <w:t xml:space="preserve">s going to </w:t>
      </w:r>
      <w:r w:rsidR="006D70BF" w:rsidRPr="00AF57BF">
        <w:t>do that</w:t>
      </w:r>
      <w:r w:rsidR="008E17DB" w:rsidRPr="00AF57BF">
        <w:t xml:space="preserve">.  Flores told her to keep driving and </w:t>
      </w:r>
      <w:r w:rsidR="0033616B" w:rsidRPr="00AF57BF">
        <w:t>get off</w:t>
      </w:r>
      <w:r w:rsidR="008E17DB" w:rsidRPr="00AF57BF">
        <w:t xml:space="preserve"> the freeway.  She </w:t>
      </w:r>
      <w:r w:rsidR="001911CE" w:rsidRPr="00AF57BF">
        <w:t>drove</w:t>
      </w:r>
      <w:r w:rsidR="008E17DB" w:rsidRPr="00AF57BF">
        <w:t xml:space="preserve"> to his mother’s house in Hemet.  Shortly thereafter, </w:t>
      </w:r>
      <w:proofErr w:type="spellStart"/>
      <w:r w:rsidR="008E17DB" w:rsidRPr="00AF57BF">
        <w:t>Amezcua</w:t>
      </w:r>
      <w:proofErr w:type="spellEnd"/>
      <w:r w:rsidR="008E17DB" w:rsidRPr="00AF57BF">
        <w:t xml:space="preserve"> </w:t>
      </w:r>
      <w:r w:rsidR="001911CE" w:rsidRPr="00AF57BF">
        <w:t>arrived</w:t>
      </w:r>
      <w:r w:rsidR="008E17DB" w:rsidRPr="00AF57BF">
        <w:t xml:space="preserve"> in the Monte Carlo.  </w:t>
      </w:r>
      <w:r w:rsidR="00933C94" w:rsidRPr="00AF57BF">
        <w:t xml:space="preserve">He </w:t>
      </w:r>
      <w:r w:rsidR="001911CE" w:rsidRPr="00AF57BF">
        <w:t xml:space="preserve">and </w:t>
      </w:r>
      <w:r w:rsidR="00933C94" w:rsidRPr="00AF57BF">
        <w:t xml:space="preserve">Flores </w:t>
      </w:r>
      <w:r w:rsidR="001911CE" w:rsidRPr="00AF57BF">
        <w:t xml:space="preserve">decided to burn </w:t>
      </w:r>
      <w:r w:rsidR="00933C94" w:rsidRPr="00AF57BF">
        <w:t xml:space="preserve">the </w:t>
      </w:r>
      <w:r w:rsidR="0065221D" w:rsidRPr="00AF57BF">
        <w:t>car</w:t>
      </w:r>
      <w:r w:rsidR="00933C94" w:rsidRPr="00AF57BF">
        <w:t xml:space="preserve">.  </w:t>
      </w:r>
      <w:r w:rsidR="0060099C" w:rsidRPr="00AF57BF">
        <w:t xml:space="preserve">Renteria and </w:t>
      </w:r>
      <w:r w:rsidR="00FC30C3" w:rsidRPr="00AF57BF">
        <w:t xml:space="preserve">Flores’s mother secured a plastic </w:t>
      </w:r>
      <w:r w:rsidR="004E3FD8" w:rsidRPr="00AF57BF">
        <w:t>gas container</w:t>
      </w:r>
      <w:r w:rsidR="00CD193C" w:rsidRPr="00AF57BF">
        <w:t xml:space="preserve">.  </w:t>
      </w:r>
      <w:proofErr w:type="spellStart"/>
      <w:r w:rsidR="00607A83" w:rsidRPr="00AF57BF">
        <w:t>Amezcua</w:t>
      </w:r>
      <w:proofErr w:type="spellEnd"/>
      <w:r w:rsidR="00607A83" w:rsidRPr="00AF57BF">
        <w:t xml:space="preserve"> and Flores</w:t>
      </w:r>
      <w:r w:rsidR="00F74463" w:rsidRPr="00AF57BF">
        <w:t xml:space="preserve"> </w:t>
      </w:r>
      <w:r w:rsidR="00CD193C" w:rsidRPr="00AF57BF">
        <w:t>drove</w:t>
      </w:r>
      <w:r w:rsidR="00607A83" w:rsidRPr="00AF57BF">
        <w:t xml:space="preserve"> the Monte Carlo to an isolated area</w:t>
      </w:r>
      <w:r w:rsidR="0033616B" w:rsidRPr="00AF57BF">
        <w:t>, and</w:t>
      </w:r>
      <w:r w:rsidR="00CD193C" w:rsidRPr="00AF57BF">
        <w:t xml:space="preserve"> t</w:t>
      </w:r>
      <w:r w:rsidR="002F2813" w:rsidRPr="00AF57BF">
        <w:t xml:space="preserve">he two women </w:t>
      </w:r>
      <w:r w:rsidR="0033616B" w:rsidRPr="00AF57BF">
        <w:t>followed</w:t>
      </w:r>
      <w:r w:rsidR="00CD193C" w:rsidRPr="00AF57BF">
        <w:t xml:space="preserve"> </w:t>
      </w:r>
      <w:r w:rsidR="002F2813" w:rsidRPr="00AF57BF">
        <w:t>in the Honda</w:t>
      </w:r>
      <w:r w:rsidR="0033616B" w:rsidRPr="00AF57BF">
        <w:t xml:space="preserve">.  </w:t>
      </w:r>
      <w:r w:rsidR="001E7EAD" w:rsidRPr="00AF57BF">
        <w:t>After igniting the car</w:t>
      </w:r>
      <w:r w:rsidR="00C226C6" w:rsidRPr="00AF57BF">
        <w:t>,</w:t>
      </w:r>
      <w:r w:rsidR="0033616B" w:rsidRPr="00AF57BF">
        <w:t xml:space="preserve"> t</w:t>
      </w:r>
      <w:r w:rsidR="002F2813" w:rsidRPr="00AF57BF">
        <w:t xml:space="preserve">he men ran back to the </w:t>
      </w:r>
      <w:r w:rsidR="00CD193C" w:rsidRPr="00AF57BF">
        <w:t>Honda</w:t>
      </w:r>
      <w:r w:rsidR="002F2813" w:rsidRPr="00AF57BF">
        <w:t xml:space="preserve">, </w:t>
      </w:r>
      <w:r w:rsidR="001E7EAD" w:rsidRPr="00AF57BF">
        <w:t>and</w:t>
      </w:r>
      <w:r w:rsidR="002F2813" w:rsidRPr="00AF57BF">
        <w:t xml:space="preserve"> </w:t>
      </w:r>
      <w:r w:rsidR="00CD193C" w:rsidRPr="00AF57BF">
        <w:t xml:space="preserve">all </w:t>
      </w:r>
      <w:r w:rsidR="001E7EAD" w:rsidRPr="00AF57BF">
        <w:t xml:space="preserve">four </w:t>
      </w:r>
      <w:r w:rsidR="002F2813" w:rsidRPr="00AF57BF">
        <w:t xml:space="preserve">left together.  Renteria stayed </w:t>
      </w:r>
      <w:r w:rsidR="00CD193C" w:rsidRPr="00AF57BF">
        <w:t>in Hemet overnight</w:t>
      </w:r>
      <w:r w:rsidR="002F2813" w:rsidRPr="00AF57BF">
        <w:t xml:space="preserve">, </w:t>
      </w:r>
      <w:r w:rsidR="00CD193C" w:rsidRPr="00AF57BF">
        <w:t>then</w:t>
      </w:r>
      <w:r w:rsidR="002F2813" w:rsidRPr="00AF57BF">
        <w:t xml:space="preserve"> returned to her sister’s house.  </w:t>
      </w:r>
    </w:p>
    <w:p w:rsidR="00AD64EE" w:rsidRPr="00AF57BF" w:rsidRDefault="00596897" w:rsidP="00AF57BF">
      <w:pPr>
        <w:pStyle w:val="Text"/>
        <w:spacing w:line="400" w:lineRule="exact"/>
      </w:pPr>
      <w:r w:rsidRPr="00AF57BF">
        <w:t xml:space="preserve">About 3:00 a.m. on June 25, 2000, firefighters </w:t>
      </w:r>
      <w:r w:rsidR="00CD193C" w:rsidRPr="00AF57BF">
        <w:t>found the</w:t>
      </w:r>
      <w:r w:rsidRPr="00AF57BF">
        <w:t xml:space="preserve"> Monte Carlo </w:t>
      </w:r>
      <w:r w:rsidR="00CD193C" w:rsidRPr="00AF57BF">
        <w:t xml:space="preserve">on fire </w:t>
      </w:r>
      <w:r w:rsidRPr="00AF57BF">
        <w:t xml:space="preserve">in San Jacinto, a city adjacent to Hemet. </w:t>
      </w:r>
      <w:r w:rsidR="005D713E" w:rsidRPr="00AF57BF">
        <w:t xml:space="preserve"> </w:t>
      </w:r>
      <w:r w:rsidR="00CD193C" w:rsidRPr="00AF57BF">
        <w:t>Local p</w:t>
      </w:r>
      <w:r w:rsidR="005D713E" w:rsidRPr="00AF57BF">
        <w:t>olice</w:t>
      </w:r>
      <w:r w:rsidRPr="00AF57BF">
        <w:t xml:space="preserve"> chec</w:t>
      </w:r>
      <w:r w:rsidR="005D713E" w:rsidRPr="00AF57BF">
        <w:t>k</w:t>
      </w:r>
      <w:r w:rsidR="00CD193C" w:rsidRPr="00AF57BF">
        <w:t>ed</w:t>
      </w:r>
      <w:r w:rsidR="005D713E" w:rsidRPr="00AF57BF">
        <w:t xml:space="preserve"> the license plate</w:t>
      </w:r>
      <w:r w:rsidR="00CD193C" w:rsidRPr="00AF57BF">
        <w:t xml:space="preserve"> and</w:t>
      </w:r>
      <w:r w:rsidR="005D713E" w:rsidRPr="00AF57BF">
        <w:t xml:space="preserve"> contacted </w:t>
      </w:r>
      <w:r w:rsidRPr="00AF57BF">
        <w:t xml:space="preserve">Ontario </w:t>
      </w:r>
      <w:r w:rsidR="00572868" w:rsidRPr="00AF57BF">
        <w:t>officers</w:t>
      </w:r>
      <w:r w:rsidRPr="00AF57BF">
        <w:t>.</w:t>
      </w:r>
      <w:r w:rsidR="00B26D9D" w:rsidRPr="00AF57BF">
        <w:t xml:space="preserve">  </w:t>
      </w:r>
      <w:r w:rsidR="00CD193C" w:rsidRPr="00AF57BF">
        <w:t>Inside t</w:t>
      </w:r>
      <w:r w:rsidR="003E5871" w:rsidRPr="00AF57BF">
        <w:t>he car</w:t>
      </w:r>
      <w:r w:rsidR="003661C3" w:rsidRPr="00AF57BF">
        <w:t xml:space="preserve">, police found bullets, </w:t>
      </w:r>
      <w:r w:rsidR="001E7EAD" w:rsidRPr="00AF57BF">
        <w:t>casings and shells</w:t>
      </w:r>
      <w:r w:rsidR="003E5871" w:rsidRPr="00AF57BF">
        <w:t xml:space="preserve">.  </w:t>
      </w:r>
    </w:p>
    <w:p w:rsidR="00834744" w:rsidRPr="00AF57BF" w:rsidRDefault="00834744" w:rsidP="00AF57BF">
      <w:pPr>
        <w:pStyle w:val="Text"/>
        <w:spacing w:line="400" w:lineRule="exact"/>
      </w:pPr>
      <w:r w:rsidRPr="00AF57BF">
        <w:t>Sheriff’s deputies interviewed Renteria</w:t>
      </w:r>
      <w:r w:rsidR="00424EAF" w:rsidRPr="00AF57BF">
        <w:t>, who thereafter</w:t>
      </w:r>
      <w:r w:rsidRPr="00AF57BF">
        <w:t xml:space="preserve"> pleaded</w:t>
      </w:r>
      <w:r w:rsidR="00616317" w:rsidRPr="00AF57BF">
        <w:t xml:space="preserve"> guilty to</w:t>
      </w:r>
      <w:r w:rsidR="00432DDC" w:rsidRPr="00AF57BF">
        <w:t xml:space="preserve"> </w:t>
      </w:r>
      <w:proofErr w:type="gramStart"/>
      <w:r w:rsidR="00432DDC" w:rsidRPr="00AF57BF">
        <w:t>being</w:t>
      </w:r>
      <w:proofErr w:type="gramEnd"/>
      <w:r w:rsidR="00432DDC" w:rsidRPr="00AF57BF">
        <w:t xml:space="preserve"> an accessory to</w:t>
      </w:r>
      <w:r w:rsidR="00424EAF" w:rsidRPr="00AF57BF">
        <w:t xml:space="preserve"> arson.  She</w:t>
      </w:r>
      <w:r w:rsidRPr="00AF57BF">
        <w:t xml:space="preserve"> testified at defendants’</w:t>
      </w:r>
      <w:r w:rsidR="00424EAF" w:rsidRPr="00AF57BF">
        <w:t xml:space="preserve"> trial and</w:t>
      </w:r>
      <w:r w:rsidR="009E48D8" w:rsidRPr="00AF57BF">
        <w:t xml:space="preserve"> received</w:t>
      </w:r>
      <w:r w:rsidR="00616317" w:rsidRPr="00AF57BF">
        <w:t xml:space="preserve"> no</w:t>
      </w:r>
      <w:r w:rsidR="00424EAF" w:rsidRPr="00AF57BF">
        <w:t xml:space="preserve"> consideration for doing so</w:t>
      </w:r>
      <w:r w:rsidR="00616317" w:rsidRPr="00AF57BF">
        <w:t xml:space="preserve">.  </w:t>
      </w:r>
    </w:p>
    <w:p w:rsidR="005B5DFB" w:rsidRPr="00AF57BF" w:rsidRDefault="005B5DFB" w:rsidP="00AF57BF">
      <w:pPr>
        <w:pStyle w:val="Text"/>
        <w:spacing w:line="400" w:lineRule="exact"/>
      </w:pPr>
      <w:r w:rsidRPr="00AF57BF">
        <w:t>In a recorded conversation on February 21, 2002, prosecutor Levine told defendants, “You guys are—you’re a good shot</w:t>
      </w:r>
      <w:r w:rsidR="009E48D8" w:rsidRPr="00AF57BF">
        <w:t>.</w:t>
      </w:r>
      <w:r w:rsidRPr="00AF57BF">
        <w:t>”</w:t>
      </w:r>
      <w:r w:rsidR="00994725" w:rsidRPr="00AF57BF">
        <w:t xml:space="preserve"> </w:t>
      </w:r>
      <w:r w:rsidR="009E48D8" w:rsidRPr="00AF57BF">
        <w:t xml:space="preserve"> </w:t>
      </w:r>
      <w:r w:rsidR="006773F0" w:rsidRPr="00AF57BF">
        <w:t xml:space="preserve">Flores said, “Yeah, it’s hard to shoot when you’re in a vehicle and both vehicles are moving and one’s turning.”  Levine said, “You hit that car a lot of times,” and Flores replied, “Yeah.  Oh, </w:t>
      </w:r>
      <w:proofErr w:type="gramStart"/>
      <w:r w:rsidR="006773F0" w:rsidRPr="00AF57BF">
        <w:t>and .</w:t>
      </w:r>
      <w:proofErr w:type="gramEnd"/>
      <w:r w:rsidR="006773F0" w:rsidRPr="00AF57BF">
        <w:t> . .</w:t>
      </w:r>
      <w:r w:rsidR="00765C9C" w:rsidRPr="00AF57BF">
        <w:t xml:space="preserve"> </w:t>
      </w:r>
      <w:r w:rsidR="006773F0" w:rsidRPr="00AF57BF">
        <w:t>I should’ve had the other gun.”</w:t>
      </w:r>
      <w:r w:rsidR="00023DBB" w:rsidRPr="00AF57BF">
        <w:t xml:space="preserve">  </w:t>
      </w:r>
    </w:p>
    <w:p w:rsidR="006773F0" w:rsidRPr="00AF57BF" w:rsidRDefault="006773F0" w:rsidP="00AF57BF">
      <w:pPr>
        <w:pStyle w:val="Text"/>
        <w:spacing w:line="400" w:lineRule="exact"/>
      </w:pPr>
      <w:r w:rsidRPr="00AF57BF">
        <w:t xml:space="preserve">In a recorded conversation on March 28, 2002, Flores said they “do quite a bit of traveling, okay.”  </w:t>
      </w:r>
      <w:proofErr w:type="spellStart"/>
      <w:r w:rsidRPr="00AF57BF">
        <w:t>Amezcua</w:t>
      </w:r>
      <w:proofErr w:type="spellEnd"/>
      <w:r w:rsidRPr="00AF57BF">
        <w:t xml:space="preserve"> added, “With our duffle bags.”  Flores </w:t>
      </w:r>
      <w:r w:rsidR="00765C9C" w:rsidRPr="00AF57BF">
        <w:t>said,</w:t>
      </w:r>
      <w:r w:rsidR="00023DBB" w:rsidRPr="00AF57BF">
        <w:t xml:space="preserve"> “</w:t>
      </w:r>
      <w:proofErr w:type="gramStart"/>
      <w:r w:rsidR="00023DBB" w:rsidRPr="00AF57BF">
        <w:t>Black .</w:t>
      </w:r>
      <w:proofErr w:type="gramEnd"/>
      <w:r w:rsidR="00023DBB" w:rsidRPr="00AF57BF">
        <w:t> . . duffle bags.”</w:t>
      </w:r>
      <w:r w:rsidR="00765C9C" w:rsidRPr="00AF57BF">
        <w:t xml:space="preserve">  Later, Detective Kerfoot asked, “What’d you guys do with your duffle bags?”  </w:t>
      </w:r>
      <w:r w:rsidR="00E60D29" w:rsidRPr="00AF57BF">
        <w:t>Flores said they couldn’</w:t>
      </w:r>
      <w:r w:rsidR="00994725" w:rsidRPr="00AF57BF">
        <w:t>t tell him</w:t>
      </w:r>
      <w:r w:rsidR="00E60D29" w:rsidRPr="00AF57BF">
        <w:t xml:space="preserve"> because “[</w:t>
      </w:r>
      <w:proofErr w:type="spellStart"/>
      <w:r w:rsidR="00E60D29" w:rsidRPr="00AF57BF">
        <w:t>i</w:t>
      </w:r>
      <w:proofErr w:type="spellEnd"/>
      <w:r w:rsidR="00E60D29" w:rsidRPr="00AF57BF">
        <w:t>]f we ever get out, will we be able to go get ’</w:t>
      </w:r>
      <w:proofErr w:type="spellStart"/>
      <w:r w:rsidR="00E60D29" w:rsidRPr="00AF57BF">
        <w:t>em</w:t>
      </w:r>
      <w:proofErr w:type="spellEnd"/>
      <w:r w:rsidR="00E60D29" w:rsidRPr="00AF57BF">
        <w:t xml:space="preserve"> and we’ll be able to finish </w:t>
      </w:r>
      <w:r w:rsidR="00E60D29" w:rsidRPr="00AF57BF">
        <w:lastRenderedPageBreak/>
        <w:t xml:space="preserve">our mission?  </w:t>
      </w:r>
      <w:proofErr w:type="spellStart"/>
      <w:r w:rsidR="00E60D29" w:rsidRPr="00AF57BF">
        <w:t>’Cause</w:t>
      </w:r>
      <w:proofErr w:type="spellEnd"/>
      <w:r w:rsidR="00E60D29" w:rsidRPr="00AF57BF">
        <w:t xml:space="preserve"> our mission was not completed.”  Kerfoot asked, “What was your mission?”  </w:t>
      </w:r>
      <w:proofErr w:type="spellStart"/>
      <w:r w:rsidR="00E60D29" w:rsidRPr="00AF57BF">
        <w:t>Amezcua</w:t>
      </w:r>
      <w:proofErr w:type="spellEnd"/>
      <w:r w:rsidR="00E60D29" w:rsidRPr="00AF57BF">
        <w:t xml:space="preserve"> replied, “To kill as much people as I could. </w:t>
      </w:r>
      <w:r w:rsidR="00023DBB" w:rsidRPr="00AF57BF">
        <w:t xml:space="preserve"> [</w:t>
      </w:r>
      <w:proofErr w:type="gramStart"/>
      <w:r w:rsidR="00023DBB" w:rsidRPr="00AF57BF">
        <w:t>¶]  Cops</w:t>
      </w:r>
      <w:proofErr w:type="gramEnd"/>
      <w:r w:rsidR="00023DBB" w:rsidRPr="00AF57BF">
        <w:t xml:space="preserve"> included.”  </w:t>
      </w:r>
    </w:p>
    <w:p w:rsidR="00D1654C" w:rsidRPr="00AF57BF" w:rsidRDefault="00D1654C" w:rsidP="00AF57BF">
      <w:pPr>
        <w:pStyle w:val="Heading4"/>
        <w:keepLines/>
      </w:pPr>
      <w:bookmarkStart w:id="13" w:name="_Toc521674383"/>
      <w:r w:rsidRPr="00AF57BF">
        <w:t>f.</w:t>
      </w:r>
      <w:r w:rsidR="00140CD1" w:rsidRPr="00AF57BF">
        <w:tab/>
      </w:r>
      <w:r w:rsidR="008720E3" w:rsidRPr="00AF57BF">
        <w:t xml:space="preserve">July 4, 2000:  </w:t>
      </w:r>
      <w:r w:rsidR="00432DDC" w:rsidRPr="00AF57BF">
        <w:t>Attempted Murders of Peace O</w:t>
      </w:r>
      <w:r w:rsidR="009669DC" w:rsidRPr="00AF57BF">
        <w:t>fficers</w:t>
      </w:r>
      <w:r w:rsidR="00432DDC" w:rsidRPr="00AF57BF">
        <w:t>; A</w:t>
      </w:r>
      <w:r w:rsidR="008720E3" w:rsidRPr="00AF57BF">
        <w:t xml:space="preserve">ssault </w:t>
      </w:r>
      <w:r w:rsidR="00432DDC" w:rsidRPr="00AF57BF">
        <w:t>with a Semiautomatic Firearm; Assault with a Firearm; False I</w:t>
      </w:r>
      <w:r w:rsidR="008720E3" w:rsidRPr="00AF57BF">
        <w:t>mprisonment</w:t>
      </w:r>
      <w:r w:rsidR="002A40FA">
        <w:t>s on Santa Monica Pier</w:t>
      </w:r>
      <w:bookmarkEnd w:id="13"/>
    </w:p>
    <w:p w:rsidR="008720E3" w:rsidRPr="00AF57BF" w:rsidRDefault="007728D1" w:rsidP="00AF57BF">
      <w:pPr>
        <w:pStyle w:val="Text"/>
        <w:spacing w:line="400" w:lineRule="exact"/>
      </w:pPr>
      <w:r w:rsidRPr="00AF57BF">
        <w:t>Close to</w:t>
      </w:r>
      <w:r w:rsidR="008720E3" w:rsidRPr="00AF57BF">
        <w:t xml:space="preserve"> midnight on </w:t>
      </w:r>
      <w:r w:rsidR="00DB3D42" w:rsidRPr="00AF57BF">
        <w:t xml:space="preserve">the night of </w:t>
      </w:r>
      <w:r w:rsidR="008720E3" w:rsidRPr="00AF57BF">
        <w:t xml:space="preserve">July </w:t>
      </w:r>
      <w:r w:rsidR="00DB3D42" w:rsidRPr="00AF57BF">
        <w:t>3–</w:t>
      </w:r>
      <w:r w:rsidR="008720E3" w:rsidRPr="00AF57BF">
        <w:t xml:space="preserve">4, 2000, </w:t>
      </w:r>
      <w:r w:rsidR="00A47467" w:rsidRPr="00AF57BF">
        <w:t>Police Officer Robert Martinez</w:t>
      </w:r>
      <w:r w:rsidR="009E48D8" w:rsidRPr="00AF57BF">
        <w:t xml:space="preserve"> </w:t>
      </w:r>
      <w:r w:rsidR="00A47467" w:rsidRPr="00AF57BF">
        <w:t xml:space="preserve">received a radio call </w:t>
      </w:r>
      <w:r w:rsidR="009E48D8" w:rsidRPr="00AF57BF">
        <w:t>reporting</w:t>
      </w:r>
      <w:r w:rsidR="00A47467" w:rsidRPr="00AF57BF">
        <w:t xml:space="preserve"> that a triple homicide suspect had made a call from a public telephone on the </w:t>
      </w:r>
      <w:r w:rsidR="009E48D8" w:rsidRPr="00AF57BF">
        <w:t xml:space="preserve">Santa Monica </w:t>
      </w:r>
      <w:r w:rsidR="00A47467" w:rsidRPr="00AF57BF">
        <w:t xml:space="preserve">pier.  </w:t>
      </w:r>
      <w:r w:rsidR="005C02C6" w:rsidRPr="00AF57BF">
        <w:t>Mart</w:t>
      </w:r>
      <w:r w:rsidR="00407126" w:rsidRPr="00AF57BF">
        <w:t xml:space="preserve">inez went to the </w:t>
      </w:r>
      <w:r w:rsidR="009E48D8" w:rsidRPr="00AF57BF">
        <w:t>pay-</w:t>
      </w:r>
      <w:r w:rsidR="00407126" w:rsidRPr="00AF57BF">
        <w:t>phone</w:t>
      </w:r>
      <w:r w:rsidR="005C02C6" w:rsidRPr="00AF57BF">
        <w:t xml:space="preserve">, verified the number, and waited for </w:t>
      </w:r>
      <w:r w:rsidR="00227886" w:rsidRPr="00AF57BF">
        <w:t xml:space="preserve">additional </w:t>
      </w:r>
      <w:r w:rsidR="005C02C6" w:rsidRPr="00AF57BF">
        <w:t xml:space="preserve">units.  Martinez and </w:t>
      </w:r>
      <w:r w:rsidR="00023DBB" w:rsidRPr="00AF57BF">
        <w:t>six assisting officers</w:t>
      </w:r>
      <w:r w:rsidR="005C02C6" w:rsidRPr="00AF57BF">
        <w:t xml:space="preserve"> walk</w:t>
      </w:r>
      <w:r w:rsidR="00023DBB" w:rsidRPr="00AF57BF">
        <w:t>ed</w:t>
      </w:r>
      <w:r w:rsidR="005C02C6" w:rsidRPr="00AF57BF">
        <w:t xml:space="preserve"> to</w:t>
      </w:r>
      <w:r w:rsidR="00223CD3" w:rsidRPr="00AF57BF">
        <w:t>ward the end of the pier</w:t>
      </w:r>
      <w:r w:rsidR="005C02C6" w:rsidRPr="00AF57BF">
        <w:t xml:space="preserve"> </w:t>
      </w:r>
      <w:r w:rsidR="009E48D8" w:rsidRPr="00AF57BF">
        <w:t xml:space="preserve">and saw </w:t>
      </w:r>
      <w:r w:rsidR="005C02C6" w:rsidRPr="00AF57BF">
        <w:t>defendants</w:t>
      </w:r>
      <w:r w:rsidR="00642F15" w:rsidRPr="00AF57BF">
        <w:t xml:space="preserve"> standing </w:t>
      </w:r>
      <w:r w:rsidR="009E48D8" w:rsidRPr="00AF57BF">
        <w:t>outside an</w:t>
      </w:r>
      <w:r w:rsidR="005C02C6" w:rsidRPr="00AF57BF">
        <w:t xml:space="preserve"> arcade.  Flores matched the description </w:t>
      </w:r>
      <w:r w:rsidR="00657348" w:rsidRPr="00AF57BF">
        <w:t xml:space="preserve">of the suspect.  </w:t>
      </w:r>
      <w:r w:rsidR="00A07530" w:rsidRPr="00AF57BF">
        <w:t xml:space="preserve">Flores </w:t>
      </w:r>
      <w:r w:rsidR="00CD1AFE" w:rsidRPr="00AF57BF">
        <w:t>approached</w:t>
      </w:r>
      <w:r w:rsidR="007A78BF" w:rsidRPr="00AF57BF">
        <w:t xml:space="preserve"> the officers</w:t>
      </w:r>
      <w:r w:rsidR="004E3FD8" w:rsidRPr="00AF57BF">
        <w:t>, while</w:t>
      </w:r>
      <w:r w:rsidR="007A78BF" w:rsidRPr="00AF57BF">
        <w:t xml:space="preserve"> </w:t>
      </w:r>
      <w:proofErr w:type="spellStart"/>
      <w:r w:rsidR="007A78BF" w:rsidRPr="00AF57BF">
        <w:t>Amezcua</w:t>
      </w:r>
      <w:proofErr w:type="spellEnd"/>
      <w:r w:rsidR="007A78BF" w:rsidRPr="00AF57BF">
        <w:t xml:space="preserve"> went into the arcade.  Martinez began to pat</w:t>
      </w:r>
      <w:r w:rsidR="004221E2" w:rsidRPr="00AF57BF">
        <w:t xml:space="preserve"> </w:t>
      </w:r>
      <w:r w:rsidR="007A78BF" w:rsidRPr="00AF57BF">
        <w:t xml:space="preserve">down </w:t>
      </w:r>
      <w:r w:rsidR="004221E2" w:rsidRPr="00AF57BF">
        <w:t>Flores, who tried to turn away</w:t>
      </w:r>
      <w:r w:rsidR="00F61E10" w:rsidRPr="00AF57BF">
        <w:t>.</w:t>
      </w:r>
      <w:r w:rsidR="003606AC" w:rsidRPr="00AF57BF">
        <w:t xml:space="preserve">  Martinez </w:t>
      </w:r>
      <w:r w:rsidR="003E13C5" w:rsidRPr="00AF57BF">
        <w:t>grabbed</w:t>
      </w:r>
      <w:r w:rsidR="003606AC" w:rsidRPr="00AF57BF">
        <w:t xml:space="preserve"> </w:t>
      </w:r>
      <w:proofErr w:type="gramStart"/>
      <w:r w:rsidR="003606AC" w:rsidRPr="00AF57BF">
        <w:t>him</w:t>
      </w:r>
      <w:proofErr w:type="gramEnd"/>
      <w:r w:rsidR="003606AC" w:rsidRPr="00AF57BF">
        <w:t xml:space="preserve"> and both men </w:t>
      </w:r>
      <w:r w:rsidR="003E13C5" w:rsidRPr="00AF57BF">
        <w:t>fell</w:t>
      </w:r>
      <w:r w:rsidR="003606AC" w:rsidRPr="00AF57BF">
        <w:t xml:space="preserve"> to the ground.  </w:t>
      </w:r>
      <w:r w:rsidR="008B7145" w:rsidRPr="00AF57BF">
        <w:t>Fl</w:t>
      </w:r>
      <w:r w:rsidR="00A07530" w:rsidRPr="00AF57BF">
        <w:t xml:space="preserve">ores </w:t>
      </w:r>
      <w:r w:rsidR="00FE0725" w:rsidRPr="00AF57BF">
        <w:t>was subdued by a police dog</w:t>
      </w:r>
      <w:r w:rsidR="00A60091" w:rsidRPr="00AF57BF">
        <w:t xml:space="preserve">.  </w:t>
      </w:r>
      <w:r w:rsidR="0099124F" w:rsidRPr="00AF57BF">
        <w:t>He had a</w:t>
      </w:r>
      <w:r w:rsidR="00A07530" w:rsidRPr="00AF57BF">
        <w:t xml:space="preserve"> </w:t>
      </w:r>
      <w:r w:rsidR="00F67A53" w:rsidRPr="00AF57BF">
        <w:t>semiautomatic AP</w:t>
      </w:r>
      <w:r w:rsidR="00436225" w:rsidRPr="00AF57BF">
        <w:t>9</w:t>
      </w:r>
      <w:r w:rsidR="00F67A53" w:rsidRPr="00AF57BF">
        <w:t xml:space="preserve"> handgun </w:t>
      </w:r>
      <w:r w:rsidR="000215A2" w:rsidRPr="00AF57BF">
        <w:t xml:space="preserve">and a </w:t>
      </w:r>
      <w:r w:rsidR="00DB087C" w:rsidRPr="00AF57BF">
        <w:t xml:space="preserve">loaded </w:t>
      </w:r>
      <w:r w:rsidR="00F67A53" w:rsidRPr="00AF57BF">
        <w:t>se</w:t>
      </w:r>
      <w:r w:rsidR="000215A2" w:rsidRPr="00AF57BF">
        <w:t>miautomatic pistol</w:t>
      </w:r>
      <w:r w:rsidR="0099124F" w:rsidRPr="00AF57BF">
        <w:t xml:space="preserve"> on his person</w:t>
      </w:r>
      <w:r w:rsidR="00F67A53" w:rsidRPr="00AF57BF">
        <w:t xml:space="preserve">.  </w:t>
      </w:r>
    </w:p>
    <w:p w:rsidR="00D1654C" w:rsidRPr="00AF57BF" w:rsidRDefault="00906027" w:rsidP="00AF57BF">
      <w:pPr>
        <w:pStyle w:val="Text"/>
        <w:spacing w:line="400" w:lineRule="exact"/>
      </w:pPr>
      <w:r w:rsidRPr="00AF57BF">
        <w:t xml:space="preserve">Martinez told </w:t>
      </w:r>
      <w:r w:rsidR="00A60091" w:rsidRPr="00AF57BF">
        <w:t xml:space="preserve">Sergeant Michael Braaten </w:t>
      </w:r>
      <w:r w:rsidR="006D1614" w:rsidRPr="00AF57BF">
        <w:t xml:space="preserve">another suspect had gone </w:t>
      </w:r>
      <w:r w:rsidR="0099124F" w:rsidRPr="00AF57BF">
        <w:t>in</w:t>
      </w:r>
      <w:r w:rsidR="006D1614" w:rsidRPr="00AF57BF">
        <w:t>to the arcade</w:t>
      </w:r>
      <w:r w:rsidR="00C73542" w:rsidRPr="00AF57BF">
        <w:t>.  A</w:t>
      </w:r>
      <w:r w:rsidR="00A60091" w:rsidRPr="00AF57BF">
        <w:t>s a</w:t>
      </w:r>
      <w:r w:rsidR="00C73542" w:rsidRPr="00AF57BF">
        <w:t>rcade patrons began to leave</w:t>
      </w:r>
      <w:r w:rsidR="002727E3" w:rsidRPr="00AF57BF">
        <w:t>,</w:t>
      </w:r>
      <w:r w:rsidR="005E411B" w:rsidRPr="00AF57BF">
        <w:t xml:space="preserve"> officers took up various positions</w:t>
      </w:r>
      <w:r w:rsidR="00C73542" w:rsidRPr="00AF57BF">
        <w:t xml:space="preserve">. </w:t>
      </w:r>
      <w:r w:rsidR="004D6D9A" w:rsidRPr="00AF57BF">
        <w:t xml:space="preserve"> </w:t>
      </w:r>
      <w:r w:rsidR="00143CEF" w:rsidRPr="00AF57BF">
        <w:t xml:space="preserve">Martinez </w:t>
      </w:r>
      <w:r w:rsidR="00A60091" w:rsidRPr="00AF57BF">
        <w:t>yell</w:t>
      </w:r>
      <w:r w:rsidR="00143CEF" w:rsidRPr="00AF57BF">
        <w:t>ed, “He’s to the right,”</w:t>
      </w:r>
      <w:r w:rsidR="000F7F2C" w:rsidRPr="00AF57BF">
        <w:t xml:space="preserve"> and </w:t>
      </w:r>
      <w:proofErr w:type="spellStart"/>
      <w:r w:rsidR="000F7F2C" w:rsidRPr="00AF57BF">
        <w:t>Amezcua</w:t>
      </w:r>
      <w:proofErr w:type="spellEnd"/>
      <w:r w:rsidR="00C44382" w:rsidRPr="00AF57BF">
        <w:t xml:space="preserve"> grabb</w:t>
      </w:r>
      <w:r w:rsidR="00A60091" w:rsidRPr="00AF57BF">
        <w:t>ed</w:t>
      </w:r>
      <w:r w:rsidR="00C44382" w:rsidRPr="00AF57BF">
        <w:t xml:space="preserve"> a woman </w:t>
      </w:r>
      <w:r w:rsidR="00A60091" w:rsidRPr="00AF57BF">
        <w:t>named</w:t>
      </w:r>
      <w:r w:rsidR="00C44382" w:rsidRPr="00AF57BF">
        <w:t xml:space="preserve"> Cathy Yang</w:t>
      </w:r>
      <w:r w:rsidR="00A60091" w:rsidRPr="00AF57BF">
        <w:t>.  U</w:t>
      </w:r>
      <w:r w:rsidR="00FA3358" w:rsidRPr="00AF57BF">
        <w:t>sing her as a shield,</w:t>
      </w:r>
      <w:r w:rsidR="0091681A" w:rsidRPr="00AF57BF">
        <w:t xml:space="preserve"> </w:t>
      </w:r>
      <w:r w:rsidR="00A60091" w:rsidRPr="00AF57BF">
        <w:t>he fired at</w:t>
      </w:r>
      <w:r w:rsidR="0091681A" w:rsidRPr="00AF57BF">
        <w:t xml:space="preserve"> Braaten</w:t>
      </w:r>
      <w:r w:rsidR="002727E3" w:rsidRPr="00AF57BF">
        <w:t>, who</w:t>
      </w:r>
      <w:r w:rsidR="0091681A" w:rsidRPr="00AF57BF">
        <w:t xml:space="preserve"> </w:t>
      </w:r>
      <w:r w:rsidR="007A7F6B" w:rsidRPr="00AF57BF">
        <w:t xml:space="preserve">took cover behind a pillar.  </w:t>
      </w:r>
      <w:r w:rsidR="00643503" w:rsidRPr="00AF57BF">
        <w:t xml:space="preserve">Officer </w:t>
      </w:r>
      <w:r w:rsidR="004E3FD8" w:rsidRPr="00AF57BF">
        <w:t xml:space="preserve">Cristina </w:t>
      </w:r>
      <w:r w:rsidR="00643503" w:rsidRPr="00AF57BF">
        <w:t xml:space="preserve">Coria </w:t>
      </w:r>
      <w:r w:rsidR="002727E3" w:rsidRPr="00AF57BF">
        <w:t>shouted, “I</w:t>
      </w:r>
      <w:r w:rsidR="00436225" w:rsidRPr="00AF57BF">
        <w:t>[</w:t>
      </w:r>
      <w:r w:rsidR="002727E3" w:rsidRPr="00AF57BF">
        <w:t>’ve</w:t>
      </w:r>
      <w:r w:rsidR="00436225" w:rsidRPr="00AF57BF">
        <w:t>]</w:t>
      </w:r>
      <w:r w:rsidR="002727E3" w:rsidRPr="00AF57BF">
        <w:t xml:space="preserve"> been hit,” and</w:t>
      </w:r>
      <w:r w:rsidR="00643503" w:rsidRPr="00AF57BF">
        <w:t xml:space="preserve"> Martinez carried her out of the line of fire.  </w:t>
      </w:r>
      <w:r w:rsidR="00D379AA" w:rsidRPr="00AF57BF">
        <w:t xml:space="preserve">Officer </w:t>
      </w:r>
      <w:r w:rsidR="00BC74F4" w:rsidRPr="00AF57BF">
        <w:t xml:space="preserve">James </w:t>
      </w:r>
      <w:r w:rsidR="00D379AA" w:rsidRPr="00AF57BF">
        <w:t xml:space="preserve">Hirt </w:t>
      </w:r>
      <w:r w:rsidR="00BC74F4" w:rsidRPr="00AF57BF">
        <w:t xml:space="preserve">was also shot in the leg.  </w:t>
      </w:r>
      <w:r w:rsidR="004E1FFE" w:rsidRPr="00AF57BF">
        <w:t>H</w:t>
      </w:r>
      <w:r w:rsidR="00BC74F4" w:rsidRPr="00AF57BF">
        <w:t>irt</w:t>
      </w:r>
      <w:r w:rsidR="00295007" w:rsidRPr="00AF57BF">
        <w:t xml:space="preserve"> saw</w:t>
      </w:r>
      <w:r w:rsidR="00393882" w:rsidRPr="00AF57BF">
        <w:t xml:space="preserve"> </w:t>
      </w:r>
      <w:proofErr w:type="spellStart"/>
      <w:r w:rsidR="00393882" w:rsidRPr="00AF57BF">
        <w:t>Amezcua</w:t>
      </w:r>
      <w:proofErr w:type="spellEnd"/>
      <w:r w:rsidR="00393882" w:rsidRPr="00AF57BF">
        <w:t xml:space="preserve"> with his left</w:t>
      </w:r>
      <w:r w:rsidR="00295007" w:rsidRPr="00AF57BF">
        <w:t xml:space="preserve"> arm around</w:t>
      </w:r>
      <w:r w:rsidR="004E1FFE" w:rsidRPr="00AF57BF">
        <w:t xml:space="preserve"> a woman</w:t>
      </w:r>
      <w:r w:rsidR="00295007" w:rsidRPr="00AF57BF">
        <w:t>’</w:t>
      </w:r>
      <w:r w:rsidR="00393882" w:rsidRPr="00AF57BF">
        <w:t xml:space="preserve">s neck and his right hand pointing a </w:t>
      </w:r>
      <w:r w:rsidR="00295007" w:rsidRPr="00AF57BF">
        <w:t>gun</w:t>
      </w:r>
      <w:r w:rsidR="00393882" w:rsidRPr="00AF57BF">
        <w:t xml:space="preserve">. </w:t>
      </w:r>
      <w:r w:rsidR="004E1FFE" w:rsidRPr="00AF57BF">
        <w:t xml:space="preserve"> </w:t>
      </w:r>
      <w:r w:rsidR="00A52E2D" w:rsidRPr="00AF57BF">
        <w:t xml:space="preserve">Officer Steven </w:t>
      </w:r>
      <w:r w:rsidR="006F2485" w:rsidRPr="00AF57BF">
        <w:t xml:space="preserve">Wong </w:t>
      </w:r>
      <w:r w:rsidR="00A52E2D" w:rsidRPr="00AF57BF">
        <w:t xml:space="preserve">was struck in the </w:t>
      </w:r>
      <w:r w:rsidR="00BE168E" w:rsidRPr="00AF57BF">
        <w:t>right hip</w:t>
      </w:r>
      <w:r w:rsidR="00635273" w:rsidRPr="00AF57BF">
        <w:t xml:space="preserve">.  </w:t>
      </w:r>
    </w:p>
    <w:p w:rsidR="00CA647E" w:rsidRPr="00AF57BF" w:rsidRDefault="00CA647E" w:rsidP="00AF57BF">
      <w:pPr>
        <w:pStyle w:val="Text"/>
        <w:spacing w:line="400" w:lineRule="exact"/>
      </w:pPr>
      <w:r w:rsidRPr="00AF57BF">
        <w:lastRenderedPageBreak/>
        <w:t xml:space="preserve">Jing </w:t>
      </w:r>
      <w:proofErr w:type="spellStart"/>
      <w:r w:rsidRPr="00AF57BF">
        <w:t>Huali</w:t>
      </w:r>
      <w:proofErr w:type="spellEnd"/>
      <w:r w:rsidRPr="00AF57BF">
        <w:t xml:space="preserve"> was leaving the arcade when she heard gunsho</w:t>
      </w:r>
      <w:r w:rsidR="0099124F" w:rsidRPr="00AF57BF">
        <w:t>ts</w:t>
      </w:r>
      <w:r w:rsidRPr="00AF57BF">
        <w:t xml:space="preserve">.  She saw </w:t>
      </w:r>
      <w:proofErr w:type="spellStart"/>
      <w:r w:rsidRPr="00AF57BF">
        <w:t>Amezcua</w:t>
      </w:r>
      <w:proofErr w:type="spellEnd"/>
      <w:r w:rsidRPr="00AF57BF">
        <w:t xml:space="preserve"> holding someone and pointing a gun </w:t>
      </w:r>
      <w:r w:rsidR="002577CC" w:rsidRPr="00AF57BF">
        <w:t>at her</w:t>
      </w:r>
      <w:r w:rsidRPr="00AF57BF">
        <w:t>.  She was</w:t>
      </w:r>
      <w:r w:rsidR="00590C50" w:rsidRPr="00AF57BF">
        <w:t xml:space="preserve"> wound</w:t>
      </w:r>
      <w:r w:rsidR="002577CC" w:rsidRPr="00AF57BF">
        <w:t>ed in the</w:t>
      </w:r>
      <w:r w:rsidRPr="00AF57BF">
        <w:t xml:space="preserve"> left leg</w:t>
      </w:r>
      <w:r w:rsidR="004E3FD8" w:rsidRPr="00AF57BF">
        <w:t xml:space="preserve"> during the gunfire</w:t>
      </w:r>
      <w:r w:rsidRPr="00AF57BF">
        <w:t xml:space="preserve">.  </w:t>
      </w:r>
    </w:p>
    <w:p w:rsidR="00407656" w:rsidRPr="00AF57BF" w:rsidRDefault="00CA647E" w:rsidP="00AF57BF">
      <w:pPr>
        <w:pStyle w:val="Text"/>
        <w:spacing w:line="400" w:lineRule="exact"/>
      </w:pPr>
      <w:r w:rsidRPr="00AF57BF">
        <w:t xml:space="preserve">Lorna Cass and Paul Hoffman were in the arcade with their </w:t>
      </w:r>
      <w:r w:rsidR="006055A3" w:rsidRPr="00AF57BF">
        <w:t xml:space="preserve">respective </w:t>
      </w:r>
      <w:r w:rsidRPr="00AF57BF">
        <w:t>children</w:t>
      </w:r>
      <w:r w:rsidR="002577CC" w:rsidRPr="00AF57BF">
        <w:t>.  T</w:t>
      </w:r>
      <w:r w:rsidRPr="00AF57BF">
        <w:t>hey heard the sound of gunshots and took cover.  Cass saw a man holding an Asian woman hostage</w:t>
      </w:r>
      <w:r w:rsidR="006E2F31" w:rsidRPr="00AF57BF">
        <w:t xml:space="preserve">.  </w:t>
      </w:r>
      <w:r w:rsidR="00FE0725" w:rsidRPr="00AF57BF">
        <w:t>The man said</w:t>
      </w:r>
      <w:r w:rsidR="00D777E2" w:rsidRPr="00AF57BF">
        <w:t xml:space="preserve"> to move the arcade machines closer together to form a barricade and </w:t>
      </w:r>
      <w:r w:rsidR="00FE0725" w:rsidRPr="00AF57BF">
        <w:t>tol</w:t>
      </w:r>
      <w:r w:rsidR="00D777E2" w:rsidRPr="00AF57BF">
        <w:t xml:space="preserve">d </w:t>
      </w:r>
      <w:r w:rsidR="00BC42B6" w:rsidRPr="00AF57BF">
        <w:t>everyone</w:t>
      </w:r>
      <w:r w:rsidR="006E2F31" w:rsidRPr="00AF57BF">
        <w:t xml:space="preserve"> </w:t>
      </w:r>
      <w:r w:rsidR="009130BF" w:rsidRPr="00AF57BF">
        <w:t xml:space="preserve">still in the arcade </w:t>
      </w:r>
      <w:r w:rsidR="006E2F31" w:rsidRPr="00AF57BF">
        <w:t>to come together so he c</w:t>
      </w:r>
      <w:r w:rsidR="005B7973" w:rsidRPr="00AF57BF">
        <w:t xml:space="preserve">ould see them.  </w:t>
      </w:r>
    </w:p>
    <w:p w:rsidR="00CA647E" w:rsidRPr="00AF57BF" w:rsidRDefault="006E2F31" w:rsidP="00AF57BF">
      <w:pPr>
        <w:pStyle w:val="Text"/>
        <w:spacing w:line="400" w:lineRule="exact"/>
      </w:pPr>
      <w:r w:rsidRPr="00AF57BF">
        <w:t>Bonnie Stone and Michael Lopez were</w:t>
      </w:r>
      <w:r w:rsidR="002577CC" w:rsidRPr="00AF57BF">
        <w:t xml:space="preserve"> also</w:t>
      </w:r>
      <w:r w:rsidRPr="00AF57BF">
        <w:t xml:space="preserve"> </w:t>
      </w:r>
      <w:r w:rsidR="00FE0725" w:rsidRPr="00AF57BF">
        <w:t>present</w:t>
      </w:r>
      <w:r w:rsidRPr="00AF57BF">
        <w:t xml:space="preserve">.  Stone saw </w:t>
      </w:r>
      <w:proofErr w:type="spellStart"/>
      <w:r w:rsidRPr="00AF57BF">
        <w:t>Amezcua</w:t>
      </w:r>
      <w:proofErr w:type="spellEnd"/>
      <w:r w:rsidR="002577CC" w:rsidRPr="00AF57BF">
        <w:t xml:space="preserve"> with a gun in his hand </w:t>
      </w:r>
      <w:r w:rsidRPr="00AF57BF">
        <w:t>holding an Asian woman around her neck</w:t>
      </w:r>
      <w:r w:rsidR="00721D82" w:rsidRPr="00AF57BF">
        <w:t xml:space="preserve">.  </w:t>
      </w:r>
      <w:proofErr w:type="spellStart"/>
      <w:r w:rsidR="00721D82" w:rsidRPr="00AF57BF">
        <w:t>Amezcua</w:t>
      </w:r>
      <w:proofErr w:type="spellEnd"/>
      <w:r w:rsidR="00721D82" w:rsidRPr="00AF57BF">
        <w:t xml:space="preserve"> </w:t>
      </w:r>
      <w:r w:rsidR="002577CC" w:rsidRPr="00AF57BF">
        <w:t>controlled about 15</w:t>
      </w:r>
      <w:r w:rsidR="00721D82" w:rsidRPr="00AF57BF">
        <w:t xml:space="preserve"> hostages</w:t>
      </w:r>
      <w:r w:rsidR="009130BF" w:rsidRPr="00AF57BF">
        <w:t xml:space="preserve">, </w:t>
      </w:r>
      <w:r w:rsidR="002577CC" w:rsidRPr="00AF57BF">
        <w:t>directing them</w:t>
      </w:r>
      <w:r w:rsidR="00721D82" w:rsidRPr="00AF57BF">
        <w:t xml:space="preserve"> where</w:t>
      </w:r>
      <w:r w:rsidR="00407656" w:rsidRPr="00AF57BF">
        <w:t xml:space="preserve"> to sit.  He</w:t>
      </w:r>
      <w:r w:rsidR="00721D82" w:rsidRPr="00AF57BF">
        <w:t xml:space="preserve"> </w:t>
      </w:r>
      <w:r w:rsidR="002577CC" w:rsidRPr="00AF57BF">
        <w:t>tol</w:t>
      </w:r>
      <w:r w:rsidR="00721D82" w:rsidRPr="00AF57BF">
        <w:t>d Lopez to reload bullets from one magazine</w:t>
      </w:r>
      <w:r w:rsidR="00296643" w:rsidRPr="00AF57BF">
        <w:t xml:space="preserve"> into another</w:t>
      </w:r>
      <w:r w:rsidR="00721D82" w:rsidRPr="00AF57BF">
        <w:t xml:space="preserve"> and gave </w:t>
      </w:r>
      <w:r w:rsidR="002577CC" w:rsidRPr="00AF57BF">
        <w:t>him</w:t>
      </w:r>
      <w:r w:rsidR="00721D82" w:rsidRPr="00AF57BF">
        <w:t xml:space="preserve"> the empty magazine as a “souvenir.”  </w:t>
      </w:r>
      <w:r w:rsidR="00797D6C" w:rsidRPr="00AF57BF">
        <w:t xml:space="preserve">After a few hours, </w:t>
      </w:r>
      <w:proofErr w:type="spellStart"/>
      <w:r w:rsidR="00797D6C" w:rsidRPr="00AF57BF">
        <w:t>A</w:t>
      </w:r>
      <w:r w:rsidR="002E6DBF" w:rsidRPr="00AF57BF">
        <w:t>mezcua</w:t>
      </w:r>
      <w:proofErr w:type="spellEnd"/>
      <w:r w:rsidR="002E6DBF" w:rsidRPr="00AF57BF">
        <w:t xml:space="preserve"> began letting hostages leave</w:t>
      </w:r>
      <w:r w:rsidR="00797D6C" w:rsidRPr="00AF57BF">
        <w:t xml:space="preserve">, singly and in pairs.  </w:t>
      </w:r>
      <w:r w:rsidR="00FE0725" w:rsidRPr="00AF57BF">
        <w:t>He</w:t>
      </w:r>
      <w:r w:rsidR="005F4239" w:rsidRPr="00AF57BF">
        <w:t xml:space="preserve"> </w:t>
      </w:r>
      <w:r w:rsidR="002577CC" w:rsidRPr="00AF57BF">
        <w:t xml:space="preserve">eventually </w:t>
      </w:r>
      <w:r w:rsidR="005F4239" w:rsidRPr="00AF57BF">
        <w:t>surrendered</w:t>
      </w:r>
      <w:r w:rsidR="0099124F" w:rsidRPr="00AF57BF">
        <w:t xml:space="preserve"> after about five hours</w:t>
      </w:r>
      <w:r w:rsidR="005F4239" w:rsidRPr="00AF57BF">
        <w:t>.</w:t>
      </w:r>
    </w:p>
    <w:p w:rsidR="00D1654C" w:rsidRPr="00AF57BF" w:rsidRDefault="00D1654C" w:rsidP="00AF57BF">
      <w:pPr>
        <w:pStyle w:val="Heading4"/>
      </w:pPr>
      <w:bookmarkStart w:id="14" w:name="_Toc521674384"/>
      <w:r w:rsidRPr="00AF57BF">
        <w:t>g.</w:t>
      </w:r>
      <w:r w:rsidR="00105A2B" w:rsidRPr="00AF57BF">
        <w:tab/>
      </w:r>
      <w:r w:rsidR="00F3749F" w:rsidRPr="00AF57BF">
        <w:t>Defendants’</w:t>
      </w:r>
      <w:r w:rsidR="00CC1D0E" w:rsidRPr="00AF57BF">
        <w:t xml:space="preserve"> </w:t>
      </w:r>
      <w:r w:rsidR="00436225" w:rsidRPr="00AF57BF">
        <w:t>W</w:t>
      </w:r>
      <w:r w:rsidR="004709D0" w:rsidRPr="00AF57BF">
        <w:t>eapon</w:t>
      </w:r>
      <w:r w:rsidR="00CC1D0E" w:rsidRPr="00AF57BF">
        <w:t xml:space="preserve"> </w:t>
      </w:r>
      <w:r w:rsidR="00436225" w:rsidRPr="00AF57BF">
        <w:t>P</w:t>
      </w:r>
      <w:r w:rsidR="00CC1D0E" w:rsidRPr="00AF57BF">
        <w:t xml:space="preserve">ossession </w:t>
      </w:r>
      <w:r w:rsidR="00436225" w:rsidRPr="00AF57BF">
        <w:t>in C</w:t>
      </w:r>
      <w:r w:rsidR="004709D0" w:rsidRPr="00AF57BF">
        <w:t>ustody</w:t>
      </w:r>
      <w:bookmarkEnd w:id="14"/>
    </w:p>
    <w:p w:rsidR="00D1654C" w:rsidRPr="00AF57BF" w:rsidRDefault="0066570C" w:rsidP="00AF57BF">
      <w:pPr>
        <w:pStyle w:val="Text"/>
        <w:spacing w:line="400" w:lineRule="exact"/>
      </w:pPr>
      <w:r w:rsidRPr="00AF57BF">
        <w:t xml:space="preserve">On January 29, 2001, Sheriff’s Deputy Armando </w:t>
      </w:r>
      <w:proofErr w:type="spellStart"/>
      <w:r w:rsidRPr="00AF57BF">
        <w:t>Meneses</w:t>
      </w:r>
      <w:proofErr w:type="spellEnd"/>
      <w:r w:rsidRPr="00AF57BF">
        <w:t xml:space="preserve"> found a homemade stabbing device</w:t>
      </w:r>
      <w:r w:rsidR="00B017CB" w:rsidRPr="00AF57BF">
        <w:t>, or shank,</w:t>
      </w:r>
      <w:r w:rsidRPr="00AF57BF">
        <w:t xml:space="preserve"> hidden under the toilet rim</w:t>
      </w:r>
      <w:r w:rsidR="0099124F" w:rsidRPr="00AF57BF">
        <w:t xml:space="preserve"> in </w:t>
      </w:r>
      <w:proofErr w:type="spellStart"/>
      <w:r w:rsidR="0099124F" w:rsidRPr="00AF57BF">
        <w:t>Amezcua’s</w:t>
      </w:r>
      <w:proofErr w:type="spellEnd"/>
      <w:r w:rsidR="0099124F" w:rsidRPr="00AF57BF">
        <w:t xml:space="preserve"> cell</w:t>
      </w:r>
      <w:r w:rsidRPr="00AF57BF">
        <w:t>.</w:t>
      </w:r>
      <w:r w:rsidR="00B017CB" w:rsidRPr="00AF57BF">
        <w:t xml:space="preserve"> </w:t>
      </w:r>
      <w:r w:rsidR="00D024FD" w:rsidRPr="00AF57BF">
        <w:t xml:space="preserve"> </w:t>
      </w:r>
    </w:p>
    <w:p w:rsidR="00D1654C" w:rsidRPr="00AF57BF" w:rsidRDefault="005C4179" w:rsidP="00AF57BF">
      <w:pPr>
        <w:pStyle w:val="Text"/>
        <w:spacing w:line="400" w:lineRule="exact"/>
      </w:pPr>
      <w:r w:rsidRPr="00AF57BF">
        <w:t xml:space="preserve">On April 30, 2001, </w:t>
      </w:r>
      <w:r w:rsidR="00F3749F" w:rsidRPr="00AF57BF">
        <w:t>a deputy</w:t>
      </w:r>
      <w:r w:rsidRPr="00AF57BF">
        <w:t xml:space="preserve"> found two large pieces o</w:t>
      </w:r>
      <w:r w:rsidR="002304C9" w:rsidRPr="00AF57BF">
        <w:t>f metal capable of being made into</w:t>
      </w:r>
      <w:r w:rsidRPr="00AF57BF">
        <w:t xml:space="preserve"> weapons hidden in the corners of </w:t>
      </w:r>
      <w:r w:rsidR="00F3749F" w:rsidRPr="00AF57BF">
        <w:t>Flores’</w:t>
      </w:r>
      <w:r w:rsidRPr="00AF57BF">
        <w:t xml:space="preserve">s bunk.  </w:t>
      </w:r>
      <w:r w:rsidR="00F3749F" w:rsidRPr="00AF57BF">
        <w:t xml:space="preserve">Flores occupied the cell alone.  </w:t>
      </w:r>
    </w:p>
    <w:p w:rsidR="00B35C48" w:rsidRPr="00AF57BF" w:rsidRDefault="00B35C48" w:rsidP="00AF57BF">
      <w:pPr>
        <w:pStyle w:val="Heading3"/>
      </w:pPr>
      <w:bookmarkStart w:id="15" w:name="_Toc521674385"/>
      <w:r w:rsidRPr="00AF57BF">
        <w:t>2.  Defense</w:t>
      </w:r>
      <w:bookmarkEnd w:id="15"/>
    </w:p>
    <w:p w:rsidR="004A2115" w:rsidRPr="00AF57BF" w:rsidRDefault="0052282C" w:rsidP="00AF57BF">
      <w:pPr>
        <w:pStyle w:val="Text"/>
        <w:spacing w:line="400" w:lineRule="exact"/>
      </w:pPr>
      <w:r w:rsidRPr="00AF57BF">
        <w:t>The parties stipulated that Andre Acevedo would have testified that Carina Renteria told him she was driving a ca</w:t>
      </w:r>
      <w:r w:rsidR="00FB132A" w:rsidRPr="00AF57BF">
        <w:t>r with three passengers</w:t>
      </w:r>
      <w:r w:rsidR="00F3749F" w:rsidRPr="00AF57BF">
        <w:t xml:space="preserve"> </w:t>
      </w:r>
      <w:r w:rsidRPr="00AF57BF">
        <w:t xml:space="preserve">when a police car drove in between </w:t>
      </w:r>
      <w:r w:rsidRPr="00AF57BF">
        <w:lastRenderedPageBreak/>
        <w:t>them</w:t>
      </w:r>
      <w:r w:rsidR="00F3749F" w:rsidRPr="00AF57BF">
        <w:t xml:space="preserve">. </w:t>
      </w:r>
      <w:r w:rsidRPr="00AF57BF">
        <w:t xml:space="preserve"> </w:t>
      </w:r>
      <w:r w:rsidR="00F3749F" w:rsidRPr="00AF57BF">
        <w:t>T</w:t>
      </w:r>
      <w:r w:rsidRPr="00AF57BF">
        <w:t xml:space="preserve">he </w:t>
      </w:r>
      <w:r w:rsidR="00F3749F" w:rsidRPr="00AF57BF">
        <w:t xml:space="preserve">two </w:t>
      </w:r>
      <w:r w:rsidRPr="00AF57BF">
        <w:t>men in the back seat told her to pull alongside the officer</w:t>
      </w:r>
      <w:r w:rsidR="00F3749F" w:rsidRPr="00AF57BF">
        <w:t>. W</w:t>
      </w:r>
      <w:r w:rsidRPr="00AF57BF">
        <w:t xml:space="preserve">hen she did so, </w:t>
      </w:r>
      <w:r w:rsidR="00F3749F" w:rsidRPr="00AF57BF">
        <w:t>“</w:t>
      </w:r>
      <w:r w:rsidRPr="00AF57BF">
        <w:t>they</w:t>
      </w:r>
      <w:r w:rsidR="00F3749F" w:rsidRPr="00AF57BF">
        <w:t>”</w:t>
      </w:r>
      <w:r w:rsidRPr="00AF57BF">
        <w:t xml:space="preserve"> rolled down the window and began shooting.  </w:t>
      </w:r>
    </w:p>
    <w:p w:rsidR="003718ED" w:rsidRPr="00AF57BF" w:rsidRDefault="00784242" w:rsidP="00AF57BF">
      <w:pPr>
        <w:pStyle w:val="Heading2"/>
      </w:pPr>
      <w:bookmarkStart w:id="16" w:name="_Toc521674386"/>
      <w:r w:rsidRPr="00AF57BF">
        <w:t>B.  Penalty Phase</w:t>
      </w:r>
      <w:bookmarkEnd w:id="16"/>
    </w:p>
    <w:p w:rsidR="00B35C48" w:rsidRPr="00AF57BF" w:rsidRDefault="00B35C48" w:rsidP="00AF57BF">
      <w:pPr>
        <w:pStyle w:val="Heading3"/>
      </w:pPr>
      <w:bookmarkStart w:id="17" w:name="_Toc521674387"/>
      <w:r w:rsidRPr="00AF57BF">
        <w:t>1.  Prosecution</w:t>
      </w:r>
      <w:bookmarkEnd w:id="17"/>
    </w:p>
    <w:p w:rsidR="004A2115" w:rsidRPr="00AF57BF" w:rsidRDefault="004A2115" w:rsidP="00AF57BF">
      <w:pPr>
        <w:pStyle w:val="Heading4"/>
      </w:pPr>
      <w:bookmarkStart w:id="18" w:name="_Toc521674388"/>
      <w:r w:rsidRPr="00AF57BF">
        <w:t>a.</w:t>
      </w:r>
      <w:r w:rsidR="00105A2B" w:rsidRPr="00AF57BF">
        <w:tab/>
      </w:r>
      <w:proofErr w:type="spellStart"/>
      <w:r w:rsidR="00A01CE6" w:rsidRPr="00AF57BF">
        <w:t>Amezcua’</w:t>
      </w:r>
      <w:r w:rsidR="003774B3" w:rsidRPr="00AF57BF">
        <w:t>s</w:t>
      </w:r>
      <w:proofErr w:type="spellEnd"/>
      <w:r w:rsidR="003774B3" w:rsidRPr="00AF57BF">
        <w:t xml:space="preserve"> Custodial Possession of a W</w:t>
      </w:r>
      <w:r w:rsidR="00A01CE6" w:rsidRPr="00AF57BF">
        <w:t>eapon</w:t>
      </w:r>
      <w:bookmarkEnd w:id="18"/>
    </w:p>
    <w:p w:rsidR="004A2115" w:rsidRPr="00AF57BF" w:rsidRDefault="00A47AAF" w:rsidP="00AF57BF">
      <w:pPr>
        <w:pStyle w:val="Text"/>
        <w:spacing w:line="400" w:lineRule="exact"/>
      </w:pPr>
      <w:r w:rsidRPr="00AF57BF">
        <w:t xml:space="preserve">On November 19, 2004, </w:t>
      </w:r>
      <w:r w:rsidR="00F3749F" w:rsidRPr="00AF57BF">
        <w:t>a s</w:t>
      </w:r>
      <w:r w:rsidRPr="00AF57BF">
        <w:t xml:space="preserve">heriff’s </w:t>
      </w:r>
      <w:r w:rsidR="00F3749F" w:rsidRPr="00AF57BF">
        <w:t>d</w:t>
      </w:r>
      <w:r w:rsidRPr="00AF57BF">
        <w:t xml:space="preserve">eputy found a shank </w:t>
      </w:r>
      <w:r w:rsidR="00F3749F" w:rsidRPr="00AF57BF">
        <w:t xml:space="preserve">hidden in </w:t>
      </w:r>
      <w:proofErr w:type="spellStart"/>
      <w:r w:rsidR="00F3749F" w:rsidRPr="00AF57BF">
        <w:t>Amezcua’s</w:t>
      </w:r>
      <w:proofErr w:type="spellEnd"/>
      <w:r w:rsidR="00F3749F" w:rsidRPr="00AF57BF">
        <w:t xml:space="preserve"> jail cell</w:t>
      </w:r>
      <w:r w:rsidR="00BA2D05" w:rsidRPr="00AF57BF">
        <w:t xml:space="preserve">.  </w:t>
      </w:r>
    </w:p>
    <w:p w:rsidR="004A2115" w:rsidRPr="00AF57BF" w:rsidRDefault="004A2115" w:rsidP="00AF57BF">
      <w:pPr>
        <w:pStyle w:val="Heading4"/>
      </w:pPr>
      <w:bookmarkStart w:id="19" w:name="_Toc521674389"/>
      <w:r w:rsidRPr="00AF57BF">
        <w:t>b.</w:t>
      </w:r>
      <w:r w:rsidR="00105A2B" w:rsidRPr="00AF57BF">
        <w:tab/>
      </w:r>
      <w:r w:rsidR="00A47AAF" w:rsidRPr="00AF57BF">
        <w:t xml:space="preserve">Flores’s </w:t>
      </w:r>
      <w:r w:rsidR="00473B17" w:rsidRPr="00AF57BF">
        <w:t>Armed R</w:t>
      </w:r>
      <w:r w:rsidR="00A47AAF" w:rsidRPr="00AF57BF">
        <w:t>obbery</w:t>
      </w:r>
      <w:bookmarkEnd w:id="19"/>
    </w:p>
    <w:p w:rsidR="004A2115" w:rsidRPr="00AF57BF" w:rsidRDefault="00A47AAF" w:rsidP="00AF57BF">
      <w:pPr>
        <w:pStyle w:val="Text"/>
        <w:spacing w:line="400" w:lineRule="exact"/>
      </w:pPr>
      <w:r w:rsidRPr="00AF57BF">
        <w:t xml:space="preserve">On March 29, 1995, </w:t>
      </w:r>
      <w:r w:rsidR="006140D9" w:rsidRPr="00AF57BF">
        <w:t xml:space="preserve">David Wachtel, Buddy Jacob, and a woman named Karen were </w:t>
      </w:r>
      <w:r w:rsidR="00F3749F" w:rsidRPr="00AF57BF">
        <w:t>parked</w:t>
      </w:r>
      <w:r w:rsidR="006140D9" w:rsidRPr="00AF57BF">
        <w:t xml:space="preserve"> in Baldwin Park, talking.  Flores and another man approached and tapped on the window.  </w:t>
      </w:r>
      <w:r w:rsidR="00845C90" w:rsidRPr="00AF57BF">
        <w:t xml:space="preserve">Flores </w:t>
      </w:r>
      <w:r w:rsidR="006140D9" w:rsidRPr="00AF57BF">
        <w:t>asked if the</w:t>
      </w:r>
      <w:r w:rsidR="00845C90" w:rsidRPr="00AF57BF">
        <w:t xml:space="preserve">y </w:t>
      </w:r>
      <w:r w:rsidR="006140D9" w:rsidRPr="00AF57BF">
        <w:t xml:space="preserve">had any money.  </w:t>
      </w:r>
      <w:r w:rsidR="005D3B82" w:rsidRPr="00AF57BF">
        <w:t>Initially</w:t>
      </w:r>
      <w:r w:rsidR="004F7B84" w:rsidRPr="00AF57BF">
        <w:t>,</w:t>
      </w:r>
      <w:r w:rsidR="00F44CAA" w:rsidRPr="00AF57BF">
        <w:t xml:space="preserve"> Wachtel refused to give him money or his wallet</w:t>
      </w:r>
      <w:r w:rsidR="005D3B82" w:rsidRPr="00AF57BF">
        <w:t xml:space="preserve">. </w:t>
      </w:r>
      <w:r w:rsidR="00F44CAA" w:rsidRPr="00AF57BF">
        <w:t xml:space="preserve"> Flores showed him a gun and said</w:t>
      </w:r>
      <w:r w:rsidR="008A52DF" w:rsidRPr="00AF57BF">
        <w:t>,</w:t>
      </w:r>
      <w:r w:rsidR="00F44CAA" w:rsidRPr="00AF57BF">
        <w:t xml:space="preserve"> “Don’t make me make you</w:t>
      </w:r>
      <w:r w:rsidR="005D3B82" w:rsidRPr="00AF57BF">
        <w:t>.</w:t>
      </w:r>
      <w:r w:rsidR="00F44CAA" w:rsidRPr="00AF57BF">
        <w:t xml:space="preserve">” </w:t>
      </w:r>
      <w:r w:rsidR="005D3B82" w:rsidRPr="00AF57BF">
        <w:t xml:space="preserve"> </w:t>
      </w:r>
      <w:r w:rsidR="00F44CAA" w:rsidRPr="00AF57BF">
        <w:t xml:space="preserve">Flores took Wachtel’s pager and wallet, Jacob’s necklace, and $20 from Karen’s purse.  Flores </w:t>
      </w:r>
      <w:proofErr w:type="gramStart"/>
      <w:r w:rsidR="00F44CAA" w:rsidRPr="00AF57BF">
        <w:t>left</w:t>
      </w:r>
      <w:proofErr w:type="gramEnd"/>
      <w:r w:rsidR="00F44CAA" w:rsidRPr="00AF57BF">
        <w:t xml:space="preserve"> </w:t>
      </w:r>
      <w:r w:rsidR="00E56DCA" w:rsidRPr="00AF57BF">
        <w:t>and</w:t>
      </w:r>
      <w:r w:rsidR="00F44CAA" w:rsidRPr="00AF57BF">
        <w:t xml:space="preserve"> police</w:t>
      </w:r>
      <w:r w:rsidR="00E56DCA" w:rsidRPr="00AF57BF">
        <w:t xml:space="preserve"> were summoned</w:t>
      </w:r>
      <w:r w:rsidR="00F44CAA" w:rsidRPr="00AF57BF">
        <w:t xml:space="preserve">.  Wachtel identified </w:t>
      </w:r>
      <w:r w:rsidR="00E56DCA" w:rsidRPr="00AF57BF">
        <w:t xml:space="preserve">Flores </w:t>
      </w:r>
      <w:r w:rsidR="00F44CAA" w:rsidRPr="00AF57BF">
        <w:t xml:space="preserve">at </w:t>
      </w:r>
      <w:r w:rsidR="0099124F" w:rsidRPr="00AF57BF">
        <w:t>a</w:t>
      </w:r>
      <w:r w:rsidR="00E56DCA" w:rsidRPr="00AF57BF">
        <w:t xml:space="preserve"> </w:t>
      </w:r>
      <w:r w:rsidR="00F44CAA" w:rsidRPr="00AF57BF">
        <w:t xml:space="preserve">preliminary hearing.  </w:t>
      </w:r>
    </w:p>
    <w:p w:rsidR="004A2115" w:rsidRPr="00AF57BF" w:rsidRDefault="004A2115" w:rsidP="00AF57BF">
      <w:pPr>
        <w:pStyle w:val="Heading4"/>
      </w:pPr>
      <w:bookmarkStart w:id="20" w:name="_Toc521674390"/>
      <w:r w:rsidRPr="00AF57BF">
        <w:t>c.</w:t>
      </w:r>
      <w:r w:rsidR="00105A2B" w:rsidRPr="00AF57BF">
        <w:tab/>
      </w:r>
      <w:r w:rsidR="00473B17" w:rsidRPr="00AF57BF">
        <w:t>Flores’s T</w:t>
      </w:r>
      <w:r w:rsidR="004F7B84" w:rsidRPr="00AF57BF">
        <w:t xml:space="preserve">hreat </w:t>
      </w:r>
      <w:r w:rsidR="00473B17" w:rsidRPr="00AF57BF">
        <w:t>Against Jail O</w:t>
      </w:r>
      <w:r w:rsidR="004F7B84" w:rsidRPr="00AF57BF">
        <w:t>fficer</w:t>
      </w:r>
      <w:bookmarkEnd w:id="20"/>
    </w:p>
    <w:p w:rsidR="004A2115" w:rsidRPr="00AF57BF" w:rsidRDefault="005B7973" w:rsidP="00AF57BF">
      <w:pPr>
        <w:pStyle w:val="Text"/>
        <w:spacing w:line="400" w:lineRule="exact"/>
      </w:pPr>
      <w:r w:rsidRPr="00AF57BF">
        <w:t>On May 10, 2001, Sheriff’s Deputy D</w:t>
      </w:r>
      <w:r w:rsidR="004F7B84" w:rsidRPr="00AF57BF">
        <w:t xml:space="preserve">ustin </w:t>
      </w:r>
      <w:proofErr w:type="spellStart"/>
      <w:r w:rsidR="004F7B84" w:rsidRPr="00AF57BF">
        <w:t>Cikcel</w:t>
      </w:r>
      <w:proofErr w:type="spellEnd"/>
      <w:r w:rsidR="004F7B84" w:rsidRPr="00AF57BF">
        <w:t xml:space="preserve"> </w:t>
      </w:r>
      <w:r w:rsidR="00EC5FAE" w:rsidRPr="00AF57BF">
        <w:t>removed contraband including excess sheets and food</w:t>
      </w:r>
      <w:r w:rsidR="00843838" w:rsidRPr="00AF57BF">
        <w:t xml:space="preserve"> from Flores’s cell</w:t>
      </w:r>
      <w:r w:rsidR="00EC5FAE" w:rsidRPr="00AF57BF">
        <w:t xml:space="preserve">.  Flores was belligerent and later said, “You will see, </w:t>
      </w:r>
      <w:proofErr w:type="spellStart"/>
      <w:r w:rsidR="00EC5FAE" w:rsidRPr="00AF57BF">
        <w:t>Cikcel</w:t>
      </w:r>
      <w:proofErr w:type="spellEnd"/>
      <w:r w:rsidR="00EC5FAE" w:rsidRPr="00AF57BF">
        <w:t xml:space="preserve">.  Maybe not today, but you will see when you are not expecting it.”  </w:t>
      </w:r>
      <w:proofErr w:type="spellStart"/>
      <w:r w:rsidR="00EC5FAE" w:rsidRPr="00AF57BF">
        <w:t>Cikcel</w:t>
      </w:r>
      <w:proofErr w:type="spellEnd"/>
      <w:r w:rsidR="00EC5FAE" w:rsidRPr="00AF57BF">
        <w:t xml:space="preserve"> took the comment</w:t>
      </w:r>
      <w:r w:rsidR="00BA2D05" w:rsidRPr="00AF57BF">
        <w:t xml:space="preserve"> as a threat.  </w:t>
      </w:r>
    </w:p>
    <w:p w:rsidR="004A2115" w:rsidRPr="00AF57BF" w:rsidRDefault="004A2115" w:rsidP="00AF57BF">
      <w:pPr>
        <w:pStyle w:val="Heading4"/>
      </w:pPr>
      <w:bookmarkStart w:id="21" w:name="_Toc521674391"/>
      <w:r w:rsidRPr="00AF57BF">
        <w:t>d.</w:t>
      </w:r>
      <w:r w:rsidR="00105A2B" w:rsidRPr="00AF57BF">
        <w:tab/>
      </w:r>
      <w:r w:rsidR="00473B17" w:rsidRPr="00AF57BF">
        <w:t>Crimes A</w:t>
      </w:r>
      <w:r w:rsidR="00862E8E" w:rsidRPr="00AF57BF">
        <w:t>gainst Timothy Obregon and Alicia Garcia</w:t>
      </w:r>
      <w:bookmarkEnd w:id="21"/>
    </w:p>
    <w:p w:rsidR="00D4069E" w:rsidRPr="00AF57BF" w:rsidRDefault="00CC05C7" w:rsidP="00AF57BF">
      <w:pPr>
        <w:pStyle w:val="Text"/>
        <w:spacing w:line="400" w:lineRule="exact"/>
      </w:pPr>
      <w:r w:rsidRPr="00AF57BF">
        <w:t>On June 13, 2000, Timothy Obregon was living in Bald</w:t>
      </w:r>
      <w:r w:rsidR="007806F6" w:rsidRPr="00AF57BF">
        <w:t>win Park.  He was not in a gang</w:t>
      </w:r>
      <w:r w:rsidRPr="00AF57BF">
        <w:t xml:space="preserve"> but was a friend of ESBP member </w:t>
      </w:r>
      <w:r w:rsidRPr="00AF57BF">
        <w:lastRenderedPageBreak/>
        <w:t>Richa</w:t>
      </w:r>
      <w:r w:rsidR="00BA2D05" w:rsidRPr="00AF57BF">
        <w:t xml:space="preserve">rd Robles.  </w:t>
      </w:r>
      <w:r w:rsidRPr="00AF57BF">
        <w:t>That</w:t>
      </w:r>
      <w:r w:rsidR="00967FF8" w:rsidRPr="00AF57BF">
        <w:t xml:space="preserve"> evening</w:t>
      </w:r>
      <w:r w:rsidRPr="00AF57BF">
        <w:t>, Robles called</w:t>
      </w:r>
      <w:r w:rsidR="003A2767" w:rsidRPr="00AF57BF">
        <w:t xml:space="preserve"> and asked</w:t>
      </w:r>
      <w:r w:rsidRPr="00AF57BF">
        <w:t xml:space="preserve"> Obregon to give his “homeboys” a ride home.  </w:t>
      </w:r>
      <w:r w:rsidR="00FC0369" w:rsidRPr="00AF57BF">
        <w:t xml:space="preserve">Robles brought </w:t>
      </w:r>
      <w:r w:rsidR="006A7E03" w:rsidRPr="00AF57BF">
        <w:t>defendants</w:t>
      </w:r>
      <w:r w:rsidR="00FC0369" w:rsidRPr="00AF57BF">
        <w:t xml:space="preserve"> to Obregon’s house</w:t>
      </w:r>
      <w:r w:rsidR="005B577A" w:rsidRPr="00AF57BF">
        <w:t>, introduced them, and gave Obregon</w:t>
      </w:r>
      <w:r w:rsidR="00FC0369" w:rsidRPr="00AF57BF">
        <w:t xml:space="preserve"> $40</w:t>
      </w:r>
      <w:r w:rsidR="00D649A1" w:rsidRPr="00AF57BF">
        <w:t>.</w:t>
      </w:r>
      <w:r w:rsidR="00E0756D" w:rsidRPr="00AF57BF">
        <w:t xml:space="preserve">  </w:t>
      </w:r>
      <w:r w:rsidR="00AE60F7" w:rsidRPr="00AF57BF">
        <w:t>Flores put a large</w:t>
      </w:r>
      <w:r w:rsidR="00950984" w:rsidRPr="00AF57BF">
        <w:t>,</w:t>
      </w:r>
      <w:r w:rsidR="00AE60F7" w:rsidRPr="00AF57BF">
        <w:t xml:space="preserve"> </w:t>
      </w:r>
      <w:r w:rsidR="00843838" w:rsidRPr="00AF57BF">
        <w:t>dark</w:t>
      </w:r>
      <w:r w:rsidR="00950984" w:rsidRPr="00AF57BF">
        <w:t xml:space="preserve"> duffle bag in the trunk.  </w:t>
      </w:r>
      <w:r w:rsidR="003A2767" w:rsidRPr="00AF57BF">
        <w:t>Obregon’s girlfriend, Alicia Garcia,</w:t>
      </w:r>
      <w:r w:rsidR="00B5593F" w:rsidRPr="00AF57BF">
        <w:t xml:space="preserve"> went along for the ride.  Garcia sat in the front passenger seat </w:t>
      </w:r>
      <w:r w:rsidR="000B41DD" w:rsidRPr="00AF57BF">
        <w:t xml:space="preserve">with </w:t>
      </w:r>
      <w:proofErr w:type="spellStart"/>
      <w:r w:rsidR="000B41DD" w:rsidRPr="00AF57BF">
        <w:t>Amezcua</w:t>
      </w:r>
      <w:proofErr w:type="spellEnd"/>
      <w:r w:rsidR="000B41DD" w:rsidRPr="00AF57BF">
        <w:t xml:space="preserve"> </w:t>
      </w:r>
      <w:r w:rsidR="003A2767" w:rsidRPr="00AF57BF">
        <w:t xml:space="preserve">and </w:t>
      </w:r>
      <w:r w:rsidR="00B5593F" w:rsidRPr="00AF57BF">
        <w:t xml:space="preserve">Flores </w:t>
      </w:r>
      <w:r w:rsidR="003A2767" w:rsidRPr="00AF57BF">
        <w:t>in the rear</w:t>
      </w:r>
      <w:r w:rsidR="00B95850" w:rsidRPr="00AF57BF">
        <w:t xml:space="preserve">.  </w:t>
      </w:r>
    </w:p>
    <w:p w:rsidR="00D4069E" w:rsidRPr="00AF57BF" w:rsidRDefault="00B5593F" w:rsidP="00AF57BF">
      <w:pPr>
        <w:pStyle w:val="Text"/>
        <w:spacing w:line="400" w:lineRule="exact"/>
      </w:pPr>
      <w:r w:rsidRPr="00AF57BF">
        <w:t xml:space="preserve">Flores </w:t>
      </w:r>
      <w:r w:rsidR="003A2767" w:rsidRPr="00AF57BF">
        <w:t>tol</w:t>
      </w:r>
      <w:r w:rsidR="00081245" w:rsidRPr="00AF57BF">
        <w:t>d Obregon to take the 10 F</w:t>
      </w:r>
      <w:r w:rsidRPr="00AF57BF">
        <w:t xml:space="preserve">reeway east.  </w:t>
      </w:r>
      <w:r w:rsidR="003A2767" w:rsidRPr="00AF57BF">
        <w:t>N</w:t>
      </w:r>
      <w:r w:rsidR="00D4069E" w:rsidRPr="00AF57BF">
        <w:t>o one spoke</w:t>
      </w:r>
      <w:r w:rsidR="00B95850" w:rsidRPr="00AF57BF">
        <w:t>, which made Obregon nervo</w:t>
      </w:r>
      <w:r w:rsidR="003F6B41" w:rsidRPr="00AF57BF">
        <w:t>us.  At one point</w:t>
      </w:r>
      <w:r w:rsidR="00853977" w:rsidRPr="00AF57BF">
        <w:t>,</w:t>
      </w:r>
      <w:r w:rsidR="003F6B41" w:rsidRPr="00AF57BF">
        <w:t xml:space="preserve"> Garcia complain</w:t>
      </w:r>
      <w:r w:rsidR="00B95850" w:rsidRPr="00AF57BF">
        <w:t xml:space="preserve">ed it was taking a long time and </w:t>
      </w:r>
      <w:r w:rsidR="003F6B41" w:rsidRPr="00AF57BF">
        <w:t>asked how far they were going.  A minute or two later, Obregon heard gunfire.  Shots went through the windshield and Garcia “squirm</w:t>
      </w:r>
      <w:r w:rsidR="003A2767" w:rsidRPr="00AF57BF">
        <w:t>ed</w:t>
      </w:r>
      <w:r w:rsidR="003F6B41" w:rsidRPr="00AF57BF">
        <w:t>” in her seat.</w:t>
      </w:r>
      <w:r w:rsidR="005B577A" w:rsidRPr="00AF57BF">
        <w:t xml:space="preserve">  </w:t>
      </w:r>
      <w:proofErr w:type="spellStart"/>
      <w:r w:rsidR="005B577A" w:rsidRPr="00AF57BF">
        <w:t>Amezcua</w:t>
      </w:r>
      <w:proofErr w:type="spellEnd"/>
      <w:r w:rsidR="003F6B41" w:rsidRPr="00AF57BF">
        <w:t xml:space="preserve"> reloaded</w:t>
      </w:r>
      <w:r w:rsidR="003A2767" w:rsidRPr="00AF57BF">
        <w:t xml:space="preserve"> his gun</w:t>
      </w:r>
      <w:r w:rsidR="003F6B41" w:rsidRPr="00AF57BF">
        <w:t xml:space="preserve"> and started to </w:t>
      </w:r>
      <w:r w:rsidR="003A2767" w:rsidRPr="00AF57BF">
        <w:t>point it at</w:t>
      </w:r>
      <w:r w:rsidR="003F6B41" w:rsidRPr="00AF57BF">
        <w:t xml:space="preserve"> Garcia’s head.  </w:t>
      </w:r>
      <w:r w:rsidR="00D649A1" w:rsidRPr="00AF57BF">
        <w:t xml:space="preserve">Flores told him not to do that.  </w:t>
      </w:r>
      <w:r w:rsidR="00091649" w:rsidRPr="00AF57BF">
        <w:t xml:space="preserve">Garcia started to cry and said, “He shot me, and I am dying.”  </w:t>
      </w:r>
      <w:r w:rsidR="003A2767" w:rsidRPr="00AF57BF">
        <w:t>B</w:t>
      </w:r>
      <w:r w:rsidR="00091649" w:rsidRPr="00AF57BF">
        <w:t>lood stream</w:t>
      </w:r>
      <w:r w:rsidR="003A2767" w:rsidRPr="00AF57BF">
        <w:t>ed</w:t>
      </w:r>
      <w:r w:rsidR="00091649" w:rsidRPr="00AF57BF">
        <w:t xml:space="preserve"> down from a hole in her chin.  </w:t>
      </w:r>
      <w:r w:rsidR="00387C78" w:rsidRPr="00AF57BF">
        <w:t>Obregon</w:t>
      </w:r>
      <w:r w:rsidR="00091649" w:rsidRPr="00AF57BF">
        <w:t xml:space="preserve"> felt something at the back of his neck and Flores said, “Better drive straight, motherfucker, or I will shoot yo</w:t>
      </w:r>
      <w:r w:rsidR="00473B17" w:rsidRPr="00AF57BF">
        <w:t xml:space="preserve">u with this nine.”  </w:t>
      </w:r>
    </w:p>
    <w:p w:rsidR="00862E8E" w:rsidRPr="00AF57BF" w:rsidRDefault="00E66ED1" w:rsidP="00AF57BF">
      <w:pPr>
        <w:pStyle w:val="Text"/>
        <w:spacing w:line="400" w:lineRule="exact"/>
      </w:pPr>
      <w:r w:rsidRPr="00AF57BF">
        <w:t xml:space="preserve">At </w:t>
      </w:r>
      <w:r w:rsidR="00CD2984" w:rsidRPr="00AF57BF">
        <w:t>Flores</w:t>
      </w:r>
      <w:r w:rsidRPr="00AF57BF">
        <w:t>’s direction</w:t>
      </w:r>
      <w:r w:rsidR="00CD2984" w:rsidRPr="00AF57BF">
        <w:t xml:space="preserve"> Obregon </w:t>
      </w:r>
      <w:r w:rsidRPr="00AF57BF">
        <w:t>left</w:t>
      </w:r>
      <w:r w:rsidR="00CD2984" w:rsidRPr="00AF57BF">
        <w:t xml:space="preserve"> the freeway at the next exit</w:t>
      </w:r>
      <w:r w:rsidRPr="00AF57BF">
        <w:t>.</w:t>
      </w:r>
      <w:r w:rsidR="00C06D81" w:rsidRPr="00AF57BF">
        <w:t xml:space="preserve"> </w:t>
      </w:r>
      <w:r w:rsidRPr="00AF57BF">
        <w:t xml:space="preserve"> T</w:t>
      </w:r>
      <w:r w:rsidR="00C06D81" w:rsidRPr="00AF57BF">
        <w:t>he road w</w:t>
      </w:r>
      <w:r w:rsidRPr="00AF57BF">
        <w:t>as lined with</w:t>
      </w:r>
      <w:r w:rsidR="00C06D81" w:rsidRPr="00AF57BF">
        <w:t xml:space="preserve"> tall cornfields</w:t>
      </w:r>
      <w:r w:rsidR="005E2124" w:rsidRPr="00AF57BF">
        <w:t xml:space="preserve">.  Flores </w:t>
      </w:r>
      <w:r w:rsidR="00843838" w:rsidRPr="00AF57BF">
        <w:t>said he would</w:t>
      </w:r>
      <w:r w:rsidR="00A17416" w:rsidRPr="00AF57BF">
        <w:t xml:space="preserve"> let them go in a pla</w:t>
      </w:r>
      <w:r w:rsidR="00C1700A" w:rsidRPr="00AF57BF">
        <w:t>ce where Obregon could get help</w:t>
      </w:r>
      <w:r w:rsidR="00A17416" w:rsidRPr="00AF57BF">
        <w:t xml:space="preserve"> and told h</w:t>
      </w:r>
      <w:r w:rsidR="00D649A1" w:rsidRPr="00AF57BF">
        <w:t>im to stop in a residential neighborhood</w:t>
      </w:r>
      <w:r w:rsidR="00A17416" w:rsidRPr="00AF57BF">
        <w:t xml:space="preserve">.  </w:t>
      </w:r>
      <w:r w:rsidR="005E0DA8" w:rsidRPr="00AF57BF">
        <w:t>Obregon and Flores got out of the car</w:t>
      </w:r>
      <w:r w:rsidR="000B41DD" w:rsidRPr="00AF57BF">
        <w:t xml:space="preserve">. </w:t>
      </w:r>
      <w:r w:rsidR="005E0DA8" w:rsidRPr="00AF57BF">
        <w:t xml:space="preserve"> Flores </w:t>
      </w:r>
      <w:r w:rsidR="000B41DD" w:rsidRPr="00AF57BF">
        <w:t>demanded</w:t>
      </w:r>
      <w:r w:rsidR="005E0DA8" w:rsidRPr="00AF57BF">
        <w:t xml:space="preserve"> money</w:t>
      </w:r>
      <w:r w:rsidR="000B41DD" w:rsidRPr="00AF57BF">
        <w:t>, which</w:t>
      </w:r>
      <w:r w:rsidRPr="00AF57BF">
        <w:t xml:space="preserve"> </w:t>
      </w:r>
      <w:r w:rsidR="005E0DA8" w:rsidRPr="00AF57BF">
        <w:t xml:space="preserve">Obregon </w:t>
      </w:r>
      <w:r w:rsidR="000B41DD" w:rsidRPr="00AF57BF">
        <w:t>gave him</w:t>
      </w:r>
      <w:r w:rsidR="00473B17" w:rsidRPr="00AF57BF">
        <w:t xml:space="preserve">.  </w:t>
      </w:r>
      <w:r w:rsidR="003923A3" w:rsidRPr="00AF57BF">
        <w:t>Obregon lifted Garcia</w:t>
      </w:r>
      <w:r w:rsidRPr="00AF57BF">
        <w:t xml:space="preserve"> from the car</w:t>
      </w:r>
      <w:r w:rsidR="003923A3" w:rsidRPr="00AF57BF">
        <w:t xml:space="preserve"> and </w:t>
      </w:r>
      <w:r w:rsidR="000E7CA8" w:rsidRPr="00AF57BF">
        <w:t xml:space="preserve">put her down on the sidewalk.  </w:t>
      </w:r>
      <w:r w:rsidR="008A27B7" w:rsidRPr="00AF57BF">
        <w:t>Flores asked Obregon, “Do you know me?”  Obregon answered in the negative, saying he would “tell them</w:t>
      </w:r>
      <w:r w:rsidR="00473B17" w:rsidRPr="00AF57BF">
        <w:t xml:space="preserve"> that</w:t>
      </w:r>
      <w:r w:rsidR="008A27B7" w:rsidRPr="00AF57BF">
        <w:t xml:space="preserve"> we got carjacked” and he “[wouldn’t] say anything.”  </w:t>
      </w:r>
      <w:r w:rsidR="00843838" w:rsidRPr="00AF57BF">
        <w:t>Defendants left in the car and</w:t>
      </w:r>
      <w:r w:rsidR="00C8620E" w:rsidRPr="00AF57BF">
        <w:t xml:space="preserve"> Obregon went to a nearby house to seek help.  Getting no response, he ran to </w:t>
      </w:r>
      <w:r w:rsidRPr="00AF57BF">
        <w:t>a</w:t>
      </w:r>
      <w:r w:rsidR="00C8620E" w:rsidRPr="00AF57BF">
        <w:t xml:space="preserve"> Circle K </w:t>
      </w:r>
      <w:r w:rsidR="002A40FA">
        <w:t xml:space="preserve">store </w:t>
      </w:r>
      <w:r w:rsidR="00C8620E" w:rsidRPr="00AF57BF">
        <w:t>a half block away.  Police and paramedics soon arrived and treat</w:t>
      </w:r>
      <w:r w:rsidRPr="00AF57BF">
        <w:t>ed</w:t>
      </w:r>
      <w:r w:rsidR="00843838" w:rsidRPr="00AF57BF">
        <w:t xml:space="preserve"> Garcia, who had</w:t>
      </w:r>
      <w:r w:rsidR="00C8620E" w:rsidRPr="00AF57BF">
        <w:t xml:space="preserve"> </w:t>
      </w:r>
      <w:r w:rsidR="00CC71F7" w:rsidRPr="00AF57BF">
        <w:t>b</w:t>
      </w:r>
      <w:r w:rsidR="00C364B5" w:rsidRPr="00AF57BF">
        <w:t>u</w:t>
      </w:r>
      <w:r w:rsidR="00CC71F7" w:rsidRPr="00AF57BF">
        <w:t>llet</w:t>
      </w:r>
      <w:r w:rsidR="00D4069E" w:rsidRPr="00AF57BF">
        <w:t xml:space="preserve"> </w:t>
      </w:r>
      <w:r w:rsidR="00C8620E" w:rsidRPr="00AF57BF">
        <w:t xml:space="preserve">holes in her breasts </w:t>
      </w:r>
      <w:r w:rsidR="00C8620E" w:rsidRPr="00AF57BF">
        <w:lastRenderedPageBreak/>
        <w:t xml:space="preserve">and chin.  </w:t>
      </w:r>
      <w:r w:rsidR="006F356B" w:rsidRPr="00AF57BF">
        <w:t>Garcia</w:t>
      </w:r>
      <w:r w:rsidR="00C364B5" w:rsidRPr="00AF57BF">
        <w:t xml:space="preserve"> survived, but </w:t>
      </w:r>
      <w:r w:rsidR="000B41DD" w:rsidRPr="00AF57BF">
        <w:t>the incident changed her</w:t>
      </w:r>
      <w:r w:rsidR="006F356B" w:rsidRPr="00AF57BF">
        <w:t xml:space="preserve"> personality</w:t>
      </w:r>
      <w:r w:rsidR="000B41DD" w:rsidRPr="00AF57BF">
        <w:t>.  S</w:t>
      </w:r>
      <w:r w:rsidR="006F356B" w:rsidRPr="00AF57BF">
        <w:t xml:space="preserve">he became frightened of “everybody and everything.”  </w:t>
      </w:r>
    </w:p>
    <w:p w:rsidR="00862E8E" w:rsidRPr="00AF57BF" w:rsidRDefault="00105A2B" w:rsidP="00AF57BF">
      <w:pPr>
        <w:pStyle w:val="Heading4"/>
      </w:pPr>
      <w:bookmarkStart w:id="22" w:name="_Toc521674392"/>
      <w:r w:rsidRPr="00AF57BF">
        <w:t>e.</w:t>
      </w:r>
      <w:r w:rsidRPr="00AF57BF">
        <w:tab/>
      </w:r>
      <w:r w:rsidR="00473B17" w:rsidRPr="00AF57BF">
        <w:t>Victim I</w:t>
      </w:r>
      <w:r w:rsidR="00862E8E" w:rsidRPr="00AF57BF">
        <w:t xml:space="preserve">mpact </w:t>
      </w:r>
      <w:r w:rsidR="00473B17" w:rsidRPr="00AF57BF">
        <w:t>E</w:t>
      </w:r>
      <w:r w:rsidR="00862E8E" w:rsidRPr="00AF57BF">
        <w:t>vidence</w:t>
      </w:r>
      <w:bookmarkEnd w:id="22"/>
    </w:p>
    <w:p w:rsidR="004A2115" w:rsidRPr="00AF57BF" w:rsidRDefault="005D5D0F" w:rsidP="00AF57BF">
      <w:pPr>
        <w:pStyle w:val="Text"/>
        <w:spacing w:line="400" w:lineRule="exact"/>
      </w:pPr>
      <w:r w:rsidRPr="00AF57BF">
        <w:t>Maria de L</w:t>
      </w:r>
      <w:r w:rsidR="003C0EF8" w:rsidRPr="00AF57BF">
        <w:t xml:space="preserve">os Angeles Calvo, the mother of </w:t>
      </w:r>
      <w:r w:rsidR="00A459CD" w:rsidRPr="00AF57BF">
        <w:t xml:space="preserve">victim </w:t>
      </w:r>
      <w:r w:rsidR="003C0EF8" w:rsidRPr="00AF57BF">
        <w:t xml:space="preserve">George Flores, </w:t>
      </w:r>
      <w:r w:rsidRPr="00AF57BF">
        <w:t xml:space="preserve">testified </w:t>
      </w:r>
      <w:r w:rsidR="00C15B17" w:rsidRPr="00AF57BF">
        <w:t>he</w:t>
      </w:r>
      <w:r w:rsidRPr="00AF57BF">
        <w:t xml:space="preserve"> was the youngest of her four children</w:t>
      </w:r>
      <w:r w:rsidR="00A459CD" w:rsidRPr="00AF57BF">
        <w:t xml:space="preserve">.  He was </w:t>
      </w:r>
      <w:r w:rsidRPr="00AF57BF">
        <w:t>happy</w:t>
      </w:r>
      <w:r w:rsidR="00362733" w:rsidRPr="00AF57BF">
        <w:t xml:space="preserve"> and</w:t>
      </w:r>
      <w:r w:rsidR="00843838" w:rsidRPr="00AF57BF">
        <w:t xml:space="preserve"> friendly,</w:t>
      </w:r>
      <w:r w:rsidR="008F1CC1" w:rsidRPr="00AF57BF">
        <w:t xml:space="preserve"> much loved by family</w:t>
      </w:r>
      <w:r w:rsidR="003B22A9" w:rsidRPr="00AF57BF">
        <w:t xml:space="preserve"> and friends</w:t>
      </w:r>
      <w:r w:rsidR="00843838" w:rsidRPr="00AF57BF">
        <w:t>, and</w:t>
      </w:r>
      <w:r w:rsidRPr="00AF57BF">
        <w:t xml:space="preserve"> enjoyed</w:t>
      </w:r>
      <w:r w:rsidR="00853977" w:rsidRPr="00AF57BF">
        <w:t xml:space="preserve"> baseball and family </w:t>
      </w:r>
      <w:r w:rsidR="00A459CD" w:rsidRPr="00AF57BF">
        <w:t>gathering</w:t>
      </w:r>
      <w:r w:rsidR="00853977" w:rsidRPr="00AF57BF">
        <w:t>s</w:t>
      </w:r>
      <w:r w:rsidR="00A459CD" w:rsidRPr="00AF57BF">
        <w:t>.  He</w:t>
      </w:r>
      <w:r w:rsidRPr="00AF57BF">
        <w:t xml:space="preserve"> wanted to </w:t>
      </w:r>
      <w:r w:rsidR="00A459CD" w:rsidRPr="00AF57BF">
        <w:t>study</w:t>
      </w:r>
      <w:r w:rsidRPr="00AF57BF">
        <w:t xml:space="preserve"> electronics.  </w:t>
      </w:r>
      <w:r w:rsidR="008F1CC1" w:rsidRPr="00AF57BF">
        <w:t>Attending George’s funeral was the sa</w:t>
      </w:r>
      <w:r w:rsidR="003B22A9" w:rsidRPr="00AF57BF">
        <w:t xml:space="preserve">ddest, most difficult thing </w:t>
      </w:r>
      <w:r w:rsidR="00C15B17" w:rsidRPr="00AF57BF">
        <w:t>she ever had</w:t>
      </w:r>
      <w:r w:rsidR="008F1CC1" w:rsidRPr="00AF57BF">
        <w:t xml:space="preserve"> to do</w:t>
      </w:r>
      <w:r w:rsidR="00A459CD" w:rsidRPr="00AF57BF">
        <w:t>.  M</w:t>
      </w:r>
      <w:r w:rsidR="008F1CC1" w:rsidRPr="00AF57BF">
        <w:t>any things continued to remind her of him.  George’s</w:t>
      </w:r>
      <w:r w:rsidRPr="00AF57BF">
        <w:t xml:space="preserve"> </w:t>
      </w:r>
      <w:r w:rsidR="00C15B17" w:rsidRPr="00AF57BF">
        <w:t xml:space="preserve">own </w:t>
      </w:r>
      <w:r w:rsidRPr="00AF57BF">
        <w:t>son</w:t>
      </w:r>
      <w:r w:rsidR="008F1CC1" w:rsidRPr="00AF57BF">
        <w:t xml:space="preserve"> </w:t>
      </w:r>
      <w:r w:rsidR="00A459CD" w:rsidRPr="00AF57BF">
        <w:t>repeatedly</w:t>
      </w:r>
      <w:r w:rsidRPr="00AF57BF">
        <w:t xml:space="preserve"> ask</w:t>
      </w:r>
      <w:r w:rsidR="00A459CD" w:rsidRPr="00AF57BF">
        <w:t>ed</w:t>
      </w:r>
      <w:r w:rsidRPr="00AF57BF">
        <w:t xml:space="preserve"> </w:t>
      </w:r>
      <w:r w:rsidR="008F1CC1" w:rsidRPr="00AF57BF">
        <w:t xml:space="preserve">her </w:t>
      </w:r>
      <w:r w:rsidR="00BA2D05" w:rsidRPr="00AF57BF">
        <w:t>why his father was gone.</w:t>
      </w:r>
      <w:r w:rsidR="008F1CC1" w:rsidRPr="00AF57BF">
        <w:t xml:space="preserve">  Michelle </w:t>
      </w:r>
      <w:proofErr w:type="spellStart"/>
      <w:r w:rsidR="008F1CC1" w:rsidRPr="00AF57BF">
        <w:t>Gerena</w:t>
      </w:r>
      <w:proofErr w:type="spellEnd"/>
      <w:r w:rsidR="008F1CC1" w:rsidRPr="00AF57BF">
        <w:t xml:space="preserve">, a </w:t>
      </w:r>
      <w:r w:rsidR="003B22A9" w:rsidRPr="00AF57BF">
        <w:t xml:space="preserve">close </w:t>
      </w:r>
      <w:r w:rsidR="008F1CC1" w:rsidRPr="00AF57BF">
        <w:t>friend</w:t>
      </w:r>
      <w:r w:rsidR="00120338" w:rsidRPr="00AF57BF">
        <w:t xml:space="preserve">, </w:t>
      </w:r>
      <w:r w:rsidR="003B22A9" w:rsidRPr="00AF57BF">
        <w:t>described learn</w:t>
      </w:r>
      <w:r w:rsidR="00286774" w:rsidRPr="00AF57BF">
        <w:t>ing</w:t>
      </w:r>
      <w:r w:rsidR="003B22A9" w:rsidRPr="00AF57BF">
        <w:t xml:space="preserve"> of George’s death.  She </w:t>
      </w:r>
      <w:r w:rsidR="00120338" w:rsidRPr="00AF57BF">
        <w:t xml:space="preserve">testified that George “was the kind of person you could call at </w:t>
      </w:r>
      <w:r w:rsidR="00082808" w:rsidRPr="00AF57BF">
        <w:t>[</w:t>
      </w:r>
      <w:r w:rsidR="00120338" w:rsidRPr="00AF57BF">
        <w:t>two</w:t>
      </w:r>
      <w:r w:rsidR="00082808" w:rsidRPr="00AF57BF">
        <w:t>]</w:t>
      </w:r>
      <w:r w:rsidR="00120338" w:rsidRPr="00AF57BF">
        <w:t xml:space="preserve"> o’clock in the morning.  If you needed him, he’d get out of bed for you</w:t>
      </w:r>
      <w:r w:rsidR="00C15B17" w:rsidRPr="00AF57BF">
        <w:t>” and</w:t>
      </w:r>
      <w:r w:rsidR="00120338" w:rsidRPr="00AF57BF">
        <w:t xml:space="preserve"> </w:t>
      </w:r>
      <w:r w:rsidR="00C15B17" w:rsidRPr="00AF57BF">
        <w:t>“</w:t>
      </w:r>
      <w:r w:rsidR="00120338" w:rsidRPr="00AF57BF">
        <w:t>do whatever” was needed.  He loved his son and wanted everyone to be happy.  His f</w:t>
      </w:r>
      <w:r w:rsidR="00843838" w:rsidRPr="00AF57BF">
        <w:t xml:space="preserve">riends continually remember </w:t>
      </w:r>
      <w:r w:rsidR="00120338" w:rsidRPr="00AF57BF">
        <w:t xml:space="preserve">and think about him. </w:t>
      </w:r>
    </w:p>
    <w:p w:rsidR="008F1CC1" w:rsidRPr="00AF57BF" w:rsidRDefault="00F01658" w:rsidP="00AF57BF">
      <w:pPr>
        <w:pStyle w:val="Text"/>
        <w:spacing w:line="400" w:lineRule="exact"/>
      </w:pPr>
      <w:r w:rsidRPr="00AF57BF">
        <w:t>Vivian Gonzales</w:t>
      </w:r>
      <w:r w:rsidR="003B22A9" w:rsidRPr="00AF57BF">
        <w:t xml:space="preserve"> described her son, </w:t>
      </w:r>
      <w:r w:rsidRPr="00AF57BF">
        <w:t xml:space="preserve">John Diaz, </w:t>
      </w:r>
      <w:r w:rsidR="003B22A9" w:rsidRPr="00AF57BF">
        <w:t>as a loving and caring man</w:t>
      </w:r>
      <w:r w:rsidR="00286774" w:rsidRPr="00AF57BF">
        <w:t>.  He</w:t>
      </w:r>
      <w:r w:rsidR="003B22A9" w:rsidRPr="00AF57BF">
        <w:t xml:space="preserve"> had a daughter and was planning to marry.  </w:t>
      </w:r>
      <w:r w:rsidR="00BA7629" w:rsidRPr="00AF57BF">
        <w:t>S</w:t>
      </w:r>
      <w:r w:rsidR="003B22A9" w:rsidRPr="00AF57BF">
        <w:t xml:space="preserve">he </w:t>
      </w:r>
      <w:r w:rsidR="00DB7451" w:rsidRPr="00AF57BF">
        <w:t>heard the gunshots that killed</w:t>
      </w:r>
      <w:r w:rsidR="00E402D8" w:rsidRPr="00AF57BF">
        <w:t xml:space="preserve"> her son</w:t>
      </w:r>
      <w:r w:rsidR="002A40FA">
        <w:t>,</w:t>
      </w:r>
      <w:r w:rsidR="00BA7629" w:rsidRPr="00AF57BF">
        <w:t xml:space="preserve"> and</w:t>
      </w:r>
      <w:r w:rsidR="00286774" w:rsidRPr="00AF57BF">
        <w:t xml:space="preserve"> hi</w:t>
      </w:r>
      <w:r w:rsidR="00DB7451" w:rsidRPr="00AF57BF">
        <w:t>s cousin came to</w:t>
      </w:r>
      <w:r w:rsidR="00BA7629" w:rsidRPr="00AF57BF">
        <w:t xml:space="preserve"> tell her</w:t>
      </w:r>
      <w:r w:rsidR="00DB7451" w:rsidRPr="00AF57BF">
        <w:t xml:space="preserve"> John had been shot.  She saw her son lying on the grass, dying.  She w</w:t>
      </w:r>
      <w:r w:rsidR="00C1700A" w:rsidRPr="00AF57BF">
        <w:t>anted to go to him and hold him</w:t>
      </w:r>
      <w:r w:rsidR="00DB7451" w:rsidRPr="00AF57BF">
        <w:t xml:space="preserve"> but could not bear to watch him die.  </w:t>
      </w:r>
      <w:r w:rsidR="00E402D8" w:rsidRPr="00AF57BF">
        <w:t xml:space="preserve">Attending his funeral was heartbreaking.  </w:t>
      </w:r>
      <w:r w:rsidR="00286774" w:rsidRPr="00AF57BF">
        <w:t>Because v</w:t>
      </w:r>
      <w:r w:rsidR="00E402D8" w:rsidRPr="00AF57BF">
        <w:t>isiting his grave</w:t>
      </w:r>
      <w:r w:rsidR="00464BD7" w:rsidRPr="00AF57BF">
        <w:t xml:space="preserve"> i</w:t>
      </w:r>
      <w:r w:rsidR="00E402D8" w:rsidRPr="00AF57BF">
        <w:t>s too sad, she made a garden and find</w:t>
      </w:r>
      <w:r w:rsidR="00286774" w:rsidRPr="00AF57BF">
        <w:t>s</w:t>
      </w:r>
      <w:r w:rsidR="00E402D8" w:rsidRPr="00AF57BF">
        <w:t xml:space="preserve"> comfort</w:t>
      </w:r>
      <w:r w:rsidR="00286774" w:rsidRPr="00AF57BF">
        <w:t xml:space="preserve"> there</w:t>
      </w:r>
      <w:r w:rsidR="00E402D8" w:rsidRPr="00AF57BF">
        <w:t xml:space="preserve"> in her memories of him.</w:t>
      </w:r>
      <w:r w:rsidR="00464BD7" w:rsidRPr="00AF57BF">
        <w:t xml:space="preserve">  She no longer celebrates Christmas.  She is always angry and sometimes doesn’t even want to get out of bed.</w:t>
      </w:r>
      <w:r w:rsidR="003B22A9" w:rsidRPr="00AF57BF">
        <w:t xml:space="preserve">  </w:t>
      </w:r>
    </w:p>
    <w:p w:rsidR="00B35C48" w:rsidRPr="00AF57BF" w:rsidRDefault="00D0344E" w:rsidP="00AF57BF">
      <w:pPr>
        <w:pStyle w:val="Heading3"/>
      </w:pPr>
      <w:bookmarkStart w:id="23" w:name="_Toc521674393"/>
      <w:r w:rsidRPr="00AF57BF">
        <w:lastRenderedPageBreak/>
        <w:t xml:space="preserve">2.  </w:t>
      </w:r>
      <w:r w:rsidR="00B35C48" w:rsidRPr="00AF57BF">
        <w:t>Defense</w:t>
      </w:r>
      <w:bookmarkEnd w:id="23"/>
    </w:p>
    <w:p w:rsidR="00B35C48" w:rsidRPr="00AF57BF" w:rsidRDefault="00CE5781" w:rsidP="00AF57BF">
      <w:pPr>
        <w:pStyle w:val="Text"/>
        <w:spacing w:line="400" w:lineRule="exact"/>
      </w:pPr>
      <w:r w:rsidRPr="00AF57BF">
        <w:t xml:space="preserve">Neither defendant presented </w:t>
      </w:r>
      <w:r w:rsidR="00A51C2C" w:rsidRPr="00AF57BF">
        <w:t>evidence</w:t>
      </w:r>
      <w:r w:rsidRPr="00AF57BF">
        <w:t xml:space="preserve"> at the penalty phase</w:t>
      </w:r>
      <w:r w:rsidR="00A51C2C" w:rsidRPr="00AF57BF">
        <w:t>.</w:t>
      </w:r>
    </w:p>
    <w:p w:rsidR="00784242" w:rsidRPr="00AF57BF" w:rsidRDefault="00871F7B" w:rsidP="00AF57BF">
      <w:pPr>
        <w:pStyle w:val="Heading1"/>
      </w:pPr>
      <w:bookmarkStart w:id="24" w:name="_Toc521674394"/>
      <w:r w:rsidRPr="00AF57BF">
        <w:t>II.  Discussion</w:t>
      </w:r>
      <w:bookmarkEnd w:id="24"/>
    </w:p>
    <w:p w:rsidR="00871F7B" w:rsidRPr="00AF57BF" w:rsidRDefault="00D0344E" w:rsidP="00AF57BF">
      <w:pPr>
        <w:pStyle w:val="Heading2"/>
        <w:ind w:left="1572" w:firstLine="0"/>
      </w:pPr>
      <w:bookmarkStart w:id="25" w:name="_Toc521674395"/>
      <w:r w:rsidRPr="00AF57BF">
        <w:t xml:space="preserve">A. </w:t>
      </w:r>
      <w:r w:rsidR="00B171B3" w:rsidRPr="00AF57BF">
        <w:t>Jury Selection Issues</w:t>
      </w:r>
      <w:bookmarkEnd w:id="25"/>
    </w:p>
    <w:p w:rsidR="00B171B3" w:rsidRPr="00AF57BF" w:rsidRDefault="000F6564" w:rsidP="00AF57BF">
      <w:pPr>
        <w:pStyle w:val="Heading3"/>
        <w:numPr>
          <w:ilvl w:val="0"/>
          <w:numId w:val="9"/>
        </w:numPr>
        <w:ind w:left="1584" w:hanging="432"/>
      </w:pPr>
      <w:bookmarkStart w:id="26" w:name="_Toc521674396"/>
      <w:r w:rsidRPr="00AF57BF">
        <w:t xml:space="preserve">Trial Court’s Refusal </w:t>
      </w:r>
      <w:proofErr w:type="gramStart"/>
      <w:r w:rsidRPr="00AF57BF">
        <w:t>T</w:t>
      </w:r>
      <w:r w:rsidR="00082808" w:rsidRPr="00AF57BF">
        <w:t>o</w:t>
      </w:r>
      <w:proofErr w:type="gramEnd"/>
      <w:r w:rsidR="00082808" w:rsidRPr="00AF57BF">
        <w:t xml:space="preserve"> Ask Prospective Jurors </w:t>
      </w:r>
      <w:r w:rsidR="00BC7868" w:rsidRPr="00AF57BF">
        <w:t>i</w:t>
      </w:r>
      <w:r w:rsidR="00082808" w:rsidRPr="00AF57BF">
        <w:t>f They W</w:t>
      </w:r>
      <w:r w:rsidR="00B171B3" w:rsidRPr="00AF57BF">
        <w:t xml:space="preserve">ould </w:t>
      </w:r>
      <w:r w:rsidR="00082808" w:rsidRPr="00AF57BF">
        <w:t xml:space="preserve">Always Vote </w:t>
      </w:r>
      <w:r w:rsidR="00BC7868" w:rsidRPr="00AF57BF">
        <w:t>for Death i</w:t>
      </w:r>
      <w:r w:rsidR="00082808" w:rsidRPr="00AF57BF">
        <w:t>f a</w:t>
      </w:r>
      <w:r w:rsidR="00BC7868" w:rsidRPr="00AF57BF">
        <w:t xml:space="preserve"> Defendant Were Convicted o</w:t>
      </w:r>
      <w:r w:rsidR="00082808" w:rsidRPr="00AF57BF">
        <w:t xml:space="preserve">f Multiple Murders </w:t>
      </w:r>
      <w:bookmarkEnd w:id="26"/>
    </w:p>
    <w:p w:rsidR="00481ACD" w:rsidRPr="00AF57BF" w:rsidRDefault="009229E6" w:rsidP="00AF57BF">
      <w:pPr>
        <w:pStyle w:val="Text"/>
        <w:spacing w:line="400" w:lineRule="exact"/>
        <w:ind w:firstLine="547"/>
      </w:pPr>
      <w:r w:rsidRPr="00AF57BF">
        <w:t>Defendan</w:t>
      </w:r>
      <w:r w:rsidR="00953EFF" w:rsidRPr="00AF57BF">
        <w:t xml:space="preserve">ts contend the trial court deprived them of their </w:t>
      </w:r>
      <w:r w:rsidR="00F033EF" w:rsidRPr="00AF57BF">
        <w:t>right to a fair trial and impartial jury</w:t>
      </w:r>
      <w:r w:rsidRPr="00AF57BF">
        <w:t xml:space="preserve"> </w:t>
      </w:r>
      <w:r w:rsidR="00EE3C36" w:rsidRPr="00AF57BF">
        <w:t>by</w:t>
      </w:r>
      <w:r w:rsidRPr="00AF57BF">
        <w:t xml:space="preserve"> rejecting a joint defense request that the </w:t>
      </w:r>
      <w:r w:rsidR="003B22A9" w:rsidRPr="00AF57BF">
        <w:t xml:space="preserve">juror </w:t>
      </w:r>
      <w:r w:rsidRPr="00AF57BF">
        <w:t xml:space="preserve">questionnaire ask whether, if </w:t>
      </w:r>
      <w:r w:rsidR="00EE3C36" w:rsidRPr="00AF57BF">
        <w:t>jurors</w:t>
      </w:r>
      <w:r w:rsidRPr="00AF57BF">
        <w:t xml:space="preserve"> found a defendant guilty of five murders with special circumstances</w:t>
      </w:r>
      <w:r w:rsidR="00FA48DC" w:rsidRPr="00AF57BF">
        <w:t>,</w:t>
      </w:r>
      <w:r w:rsidRPr="00AF57BF">
        <w:t xml:space="preserve"> they would always vote for the death penalt</w:t>
      </w:r>
      <w:r w:rsidR="00FA48DC" w:rsidRPr="00AF57BF">
        <w:t xml:space="preserve">y.  </w:t>
      </w:r>
      <w:r w:rsidR="0081099D" w:rsidRPr="00AF57BF">
        <w:t>T</w:t>
      </w:r>
      <w:r w:rsidR="00E116FF" w:rsidRPr="00AF57BF">
        <w:t>he court expressed concern</w:t>
      </w:r>
      <w:r w:rsidR="00BC7868" w:rsidRPr="00AF57BF">
        <w:t xml:space="preserve"> that</w:t>
      </w:r>
      <w:r w:rsidR="004B3C28" w:rsidRPr="00AF57BF">
        <w:t xml:space="preserve"> </w:t>
      </w:r>
      <w:r w:rsidR="00FA48DC" w:rsidRPr="00AF57BF">
        <w:t>the question as phrased would cause prospective jurors to prejudge the evidence</w:t>
      </w:r>
      <w:r w:rsidR="00EE3C36" w:rsidRPr="00AF57BF">
        <w:t>.  It</w:t>
      </w:r>
      <w:r w:rsidR="0081099D" w:rsidRPr="00AF57BF">
        <w:t xml:space="preserve"> </w:t>
      </w:r>
      <w:r w:rsidR="002160A2" w:rsidRPr="00AF57BF">
        <w:t xml:space="preserve">suggested </w:t>
      </w:r>
      <w:r w:rsidR="00EE3C36" w:rsidRPr="00AF57BF">
        <w:t>asking</w:t>
      </w:r>
      <w:r w:rsidR="00BC7868" w:rsidRPr="00AF57BF">
        <w:t>,</w:t>
      </w:r>
      <w:r w:rsidR="0081099D" w:rsidRPr="00AF57BF">
        <w:t xml:space="preserve"> “If you found </w:t>
      </w:r>
      <w:r w:rsidR="00BC7868" w:rsidRPr="00AF57BF">
        <w:t>a</w:t>
      </w:r>
      <w:r w:rsidR="0081099D" w:rsidRPr="00AF57BF">
        <w:t xml:space="preserve"> defendant guilty of five murders, would you always vote for death and refuse to consider mitigating circumstances (his background, etc.)?”  </w:t>
      </w:r>
      <w:r w:rsidR="008C3CF9" w:rsidRPr="00AF57BF">
        <w:t xml:space="preserve">The prosecutor and counsel for Flores agreed to the </w:t>
      </w:r>
      <w:r w:rsidR="00EE3C36" w:rsidRPr="00AF57BF">
        <w:t xml:space="preserve">modification. </w:t>
      </w:r>
      <w:r w:rsidR="008C3CF9" w:rsidRPr="00AF57BF">
        <w:t xml:space="preserve"> </w:t>
      </w:r>
      <w:r w:rsidR="00EE3C36" w:rsidRPr="00AF57BF">
        <w:t>C</w:t>
      </w:r>
      <w:r w:rsidR="00207D8D" w:rsidRPr="00AF57BF">
        <w:t xml:space="preserve">ounsel for </w:t>
      </w:r>
      <w:proofErr w:type="spellStart"/>
      <w:r w:rsidR="00207D8D" w:rsidRPr="00AF57BF">
        <w:t>Amezcua</w:t>
      </w:r>
      <w:proofErr w:type="spellEnd"/>
      <w:r w:rsidR="00207D8D" w:rsidRPr="00AF57BF">
        <w:t xml:space="preserve"> did not object, </w:t>
      </w:r>
      <w:r w:rsidR="0046461A" w:rsidRPr="00AF57BF">
        <w:t>and</w:t>
      </w:r>
      <w:r w:rsidR="008C3CF9" w:rsidRPr="00AF57BF">
        <w:t xml:space="preserve"> </w:t>
      </w:r>
      <w:r w:rsidR="00EE3C36" w:rsidRPr="00AF57BF">
        <w:t>the question</w:t>
      </w:r>
      <w:r w:rsidR="008C3CF9" w:rsidRPr="00AF57BF">
        <w:t xml:space="preserve"> </w:t>
      </w:r>
      <w:r w:rsidR="0046461A" w:rsidRPr="00AF57BF">
        <w:t xml:space="preserve">was </w:t>
      </w:r>
      <w:r w:rsidR="008C3CF9" w:rsidRPr="00AF57BF">
        <w:t xml:space="preserve">included.  </w:t>
      </w:r>
    </w:p>
    <w:p w:rsidR="00AF6BA4" w:rsidRPr="00AF57BF" w:rsidRDefault="0079251E" w:rsidP="00AF57BF">
      <w:pPr>
        <w:pStyle w:val="Text"/>
        <w:spacing w:line="400" w:lineRule="exact"/>
        <w:ind w:firstLine="547"/>
      </w:pPr>
      <w:r w:rsidRPr="00AF57BF">
        <w:t>Defendants</w:t>
      </w:r>
      <w:r w:rsidR="008D5623" w:rsidRPr="00AF57BF">
        <w:t xml:space="preserve"> acknowledg</w:t>
      </w:r>
      <w:r w:rsidRPr="00AF57BF">
        <w:t>e</w:t>
      </w:r>
      <w:r w:rsidR="008D5623" w:rsidRPr="00AF57BF">
        <w:t xml:space="preserve"> the trial court’s </w:t>
      </w:r>
      <w:r w:rsidR="00F2785D" w:rsidRPr="00AF57BF">
        <w:t>wide latitude</w:t>
      </w:r>
      <w:r w:rsidR="008D5623" w:rsidRPr="00AF57BF">
        <w:t xml:space="preserve"> </w:t>
      </w:r>
      <w:r w:rsidR="00435D35" w:rsidRPr="00AF57BF">
        <w:t xml:space="preserve">in </w:t>
      </w:r>
      <w:r w:rsidR="00F2785D" w:rsidRPr="00AF57BF">
        <w:t>conducting voir dire, including</w:t>
      </w:r>
      <w:r w:rsidR="00F033EF" w:rsidRPr="00AF57BF">
        <w:t xml:space="preserve"> in the choice and format of</w:t>
      </w:r>
      <w:r w:rsidR="00F2785D" w:rsidRPr="00AF57BF">
        <w:t xml:space="preserve"> questions to be asked</w:t>
      </w:r>
      <w:r w:rsidRPr="00AF57BF">
        <w:t xml:space="preserve">. </w:t>
      </w:r>
      <w:r w:rsidR="00F2785D" w:rsidRPr="00AF57BF">
        <w:t xml:space="preserve"> (</w:t>
      </w:r>
      <w:r w:rsidR="00F2785D" w:rsidRPr="00AF57BF">
        <w:rPr>
          <w:i/>
        </w:rPr>
        <w:t>People v. Landry</w:t>
      </w:r>
      <w:r w:rsidR="00F2785D" w:rsidRPr="00AF57BF">
        <w:t xml:space="preserve"> (2016) 2 Cal.5th 52</w:t>
      </w:r>
      <w:r w:rsidR="00203C20" w:rsidRPr="00AF57BF">
        <w:t>, 83; Code Civ. Proc., § 223</w:t>
      </w:r>
      <w:r w:rsidRPr="00AF57BF">
        <w:t>.</w:t>
      </w:r>
      <w:r w:rsidR="00203C20" w:rsidRPr="00AF57BF">
        <w:t>)</w:t>
      </w:r>
      <w:r w:rsidRPr="00AF57BF">
        <w:t xml:space="preserve"> </w:t>
      </w:r>
      <w:r w:rsidR="00203C20" w:rsidRPr="00AF57BF">
        <w:t xml:space="preserve"> </w:t>
      </w:r>
      <w:r w:rsidR="00ED50AB" w:rsidRPr="00AF57BF">
        <w:t>Preliminarily, they</w:t>
      </w:r>
      <w:r w:rsidR="00A96618" w:rsidRPr="00AF57BF">
        <w:t xml:space="preserve"> forfeited this claim when neither objected to the court’s modification.  </w:t>
      </w:r>
      <w:r w:rsidR="00F00D76" w:rsidRPr="00AF57BF">
        <w:t>(</w:t>
      </w:r>
      <w:r w:rsidR="001C7FFD" w:rsidRPr="00AF57BF">
        <w:rPr>
          <w:i/>
        </w:rPr>
        <w:t xml:space="preserve">People v. Thompson </w:t>
      </w:r>
      <w:r w:rsidR="001C7FFD" w:rsidRPr="00AF57BF">
        <w:t xml:space="preserve">(2010) 49 Cal.4th 79, 97; </w:t>
      </w:r>
      <w:r w:rsidR="00F00D76" w:rsidRPr="00AF57BF">
        <w:rPr>
          <w:i/>
        </w:rPr>
        <w:t>People v. Robinson</w:t>
      </w:r>
      <w:r w:rsidR="003B22A9" w:rsidRPr="00AF57BF">
        <w:t xml:space="preserve"> (2005) 37 Cal.4th 592, 617.</w:t>
      </w:r>
      <w:r w:rsidR="00713CBD" w:rsidRPr="00AF57BF">
        <w:t>)</w:t>
      </w:r>
      <w:r w:rsidR="003B22A9" w:rsidRPr="00AF57BF">
        <w:t xml:space="preserve">  Were the claim </w:t>
      </w:r>
      <w:r w:rsidR="00CE00EB" w:rsidRPr="00AF57BF">
        <w:t>preserved</w:t>
      </w:r>
      <w:r w:rsidR="00F33427" w:rsidRPr="00AF57BF">
        <w:t xml:space="preserve">, </w:t>
      </w:r>
      <w:r w:rsidR="00CE00EB" w:rsidRPr="00AF57BF">
        <w:t xml:space="preserve">it </w:t>
      </w:r>
      <w:r w:rsidR="003B22A9" w:rsidRPr="00AF57BF">
        <w:t>would lack</w:t>
      </w:r>
      <w:r w:rsidR="00CE00EB" w:rsidRPr="00AF57BF">
        <w:t xml:space="preserve"> merit.  </w:t>
      </w:r>
    </w:p>
    <w:p w:rsidR="00AF6BA4" w:rsidRPr="00AF57BF" w:rsidRDefault="00CE00EB" w:rsidP="00AF57BF">
      <w:pPr>
        <w:pStyle w:val="Text"/>
        <w:spacing w:line="400" w:lineRule="exact"/>
        <w:ind w:firstLine="547"/>
      </w:pPr>
      <w:r w:rsidRPr="00AF57BF">
        <w:lastRenderedPageBreak/>
        <w:t>I</w:t>
      </w:r>
      <w:r w:rsidR="00297E05" w:rsidRPr="00AF57BF">
        <w:t xml:space="preserve">n </w:t>
      </w:r>
      <w:r w:rsidR="00297E05" w:rsidRPr="00AF57BF">
        <w:rPr>
          <w:i/>
        </w:rPr>
        <w:t xml:space="preserve">Morgan v. Illinois </w:t>
      </w:r>
      <w:r w:rsidR="00297E05" w:rsidRPr="00AF57BF">
        <w:t xml:space="preserve">(1992) 504 U.S. 719, the high court </w:t>
      </w:r>
      <w:r w:rsidR="004313B1" w:rsidRPr="00AF57BF">
        <w:t xml:space="preserve">recognized that “part of the guarantee of a defendant’s right to an impartial jury is an adequate </w:t>
      </w:r>
      <w:r w:rsidR="004313B1" w:rsidRPr="00AF57BF">
        <w:rPr>
          <w:i/>
        </w:rPr>
        <w:t>voir dire</w:t>
      </w:r>
      <w:r w:rsidR="004313B1" w:rsidRPr="00AF57BF">
        <w:t xml:space="preserve"> to identify unqualified jurors.”  (</w:t>
      </w:r>
      <w:r w:rsidR="004313B1" w:rsidRPr="00AF57BF">
        <w:rPr>
          <w:i/>
        </w:rPr>
        <w:t>Id.</w:t>
      </w:r>
      <w:r w:rsidR="004313B1" w:rsidRPr="00AF57BF">
        <w:t xml:space="preserve"> at p. 729</w:t>
      </w:r>
      <w:r w:rsidR="00ED50AB" w:rsidRPr="00AF57BF">
        <w:t>.)  P</w:t>
      </w:r>
      <w:r w:rsidR="00E43345" w:rsidRPr="00AF57BF">
        <w:t>rospective</w:t>
      </w:r>
      <w:r w:rsidR="00ED50AB" w:rsidRPr="00AF57BF">
        <w:t xml:space="preserve"> jurors are</w:t>
      </w:r>
      <w:r w:rsidR="00D0248E" w:rsidRPr="00AF57BF">
        <w:t xml:space="preserve"> unqualified</w:t>
      </w:r>
      <w:r w:rsidR="00ED50AB" w:rsidRPr="00AF57BF">
        <w:t xml:space="preserve"> if their</w:t>
      </w:r>
      <w:r w:rsidR="00E43345" w:rsidRPr="00AF57BF">
        <w:t xml:space="preserve"> views </w:t>
      </w:r>
      <w:r w:rsidR="00E116FF" w:rsidRPr="00AF57BF">
        <w:t xml:space="preserve">would </w:t>
      </w:r>
      <w:r w:rsidR="00E43345" w:rsidRPr="00AF57BF">
        <w:t xml:space="preserve">prevent or </w:t>
      </w:r>
      <w:r w:rsidR="00ED50AB" w:rsidRPr="00AF57BF">
        <w:t>substantially impair their</w:t>
      </w:r>
      <w:r w:rsidR="00E43345" w:rsidRPr="00AF57BF">
        <w:t xml:space="preserve"> performanc</w:t>
      </w:r>
      <w:r w:rsidR="00E116FF" w:rsidRPr="00AF57BF">
        <w:t>e in accordance with the instructions and oath.</w:t>
      </w:r>
      <w:r w:rsidR="004313B1" w:rsidRPr="00AF57BF">
        <w:t xml:space="preserve">  </w:t>
      </w:r>
      <w:r w:rsidR="00E116FF" w:rsidRPr="00AF57BF">
        <w:t>(</w:t>
      </w:r>
      <w:r w:rsidR="00E116FF" w:rsidRPr="00AF57BF">
        <w:rPr>
          <w:i/>
        </w:rPr>
        <w:t>Wainwright v. Witt</w:t>
      </w:r>
      <w:r w:rsidR="00E116FF" w:rsidRPr="00AF57BF">
        <w:t xml:space="preserve"> (1985) 469 U.S. 412, 424.)  </w:t>
      </w:r>
      <w:r w:rsidR="00135974" w:rsidRPr="00AF57BF">
        <w:t>I</w:t>
      </w:r>
      <w:r w:rsidR="004313B1" w:rsidRPr="00AF57BF">
        <w:t xml:space="preserve">nadequate voir dire </w:t>
      </w:r>
      <w:r w:rsidR="0085664D" w:rsidRPr="00AF57BF">
        <w:t xml:space="preserve">prevents </w:t>
      </w:r>
      <w:r w:rsidR="004313B1" w:rsidRPr="00AF57BF">
        <w:t>the trial court from remov</w:t>
      </w:r>
      <w:r w:rsidR="00052AD7" w:rsidRPr="00AF57BF">
        <w:t>ing</w:t>
      </w:r>
      <w:r w:rsidR="004313B1" w:rsidRPr="00AF57BF">
        <w:t xml:space="preserve"> prospect</w:t>
      </w:r>
      <w:r w:rsidR="00ED50AB" w:rsidRPr="00AF57BF">
        <w:t>ive jurors who will not</w:t>
      </w:r>
      <w:r w:rsidR="004313B1" w:rsidRPr="00AF57BF">
        <w:t xml:space="preserve"> follow the court’s instru</w:t>
      </w:r>
      <w:r w:rsidR="00EB79CA" w:rsidRPr="00AF57BF">
        <w:t>ctions.  (</w:t>
      </w:r>
      <w:r w:rsidR="00EB79CA" w:rsidRPr="00AF57BF">
        <w:rPr>
          <w:i/>
        </w:rPr>
        <w:t xml:space="preserve">Rosales-Lopez v. United States </w:t>
      </w:r>
      <w:r w:rsidR="00EB79CA" w:rsidRPr="00AF57BF">
        <w:t xml:space="preserve">(1981) 451 U.S. 182, 188.)  </w:t>
      </w:r>
    </w:p>
    <w:p w:rsidR="00CE2BF5" w:rsidRPr="00AF57BF" w:rsidRDefault="00CE00EB" w:rsidP="00AF57BF">
      <w:pPr>
        <w:pStyle w:val="Text"/>
        <w:spacing w:line="400" w:lineRule="exact"/>
        <w:ind w:firstLine="547"/>
      </w:pPr>
      <w:r w:rsidRPr="00AF57BF">
        <w:t>The original</w:t>
      </w:r>
      <w:r w:rsidR="00D0248E" w:rsidRPr="00AF57BF">
        <w:t xml:space="preserve"> defense</w:t>
      </w:r>
      <w:r w:rsidR="00E116FF" w:rsidRPr="00AF57BF">
        <w:t xml:space="preserve"> question</w:t>
      </w:r>
      <w:r w:rsidRPr="00AF57BF">
        <w:t xml:space="preserve"> sought to identify jurors who would always vote to impose the </w:t>
      </w:r>
      <w:r w:rsidR="00D538A9" w:rsidRPr="00AF57BF">
        <w:t>death sentence</w:t>
      </w:r>
      <w:r w:rsidR="005C492C" w:rsidRPr="00AF57BF">
        <w:t xml:space="preserve"> </w:t>
      </w:r>
      <w:r w:rsidR="005A593F" w:rsidRPr="00AF57BF">
        <w:t>if they convicted defendants of five murders</w:t>
      </w:r>
      <w:r w:rsidR="00F033EF" w:rsidRPr="00AF57BF">
        <w:t xml:space="preserve">.  </w:t>
      </w:r>
      <w:r w:rsidR="005A593F" w:rsidRPr="00AF57BF">
        <w:t>Defendants</w:t>
      </w:r>
      <w:r w:rsidR="00F033EF" w:rsidRPr="00AF57BF">
        <w:t xml:space="preserve"> cite</w:t>
      </w:r>
      <w:r w:rsidR="00E116FF" w:rsidRPr="00AF57BF">
        <w:t xml:space="preserve"> </w:t>
      </w:r>
      <w:r w:rsidR="00E427E9" w:rsidRPr="00AF57BF">
        <w:rPr>
          <w:i/>
        </w:rPr>
        <w:t xml:space="preserve">People v. Cash </w:t>
      </w:r>
      <w:r w:rsidR="00D538A9" w:rsidRPr="00AF57BF">
        <w:t xml:space="preserve">(2002) </w:t>
      </w:r>
      <w:r w:rsidR="006E6D73" w:rsidRPr="00AF57BF">
        <w:t xml:space="preserve">28 Cal.4th 703, </w:t>
      </w:r>
      <w:r w:rsidR="00E116FF" w:rsidRPr="00AF57BF">
        <w:t xml:space="preserve">which held </w:t>
      </w:r>
      <w:r w:rsidR="00E427E9" w:rsidRPr="00AF57BF">
        <w:t>the trial court e</w:t>
      </w:r>
      <w:r w:rsidR="00203C20" w:rsidRPr="00AF57BF">
        <w:t xml:space="preserve">rred in prohibiting voir dire </w:t>
      </w:r>
      <w:r w:rsidR="005A593F" w:rsidRPr="00AF57BF">
        <w:t>about Cash</w:t>
      </w:r>
      <w:r w:rsidR="00203C20" w:rsidRPr="00AF57BF">
        <w:t>’s</w:t>
      </w:r>
      <w:r w:rsidR="00E427E9" w:rsidRPr="00AF57BF">
        <w:t xml:space="preserve"> prior murder, “a fact likely to be of great significance to prospective jurors” and one that “could cause some jurors invariabl</w:t>
      </w:r>
      <w:r w:rsidR="006E6D73" w:rsidRPr="00AF57BF">
        <w:t>y to vote for the death penalty</w:t>
      </w:r>
      <w:r w:rsidR="00E116FF" w:rsidRPr="00AF57BF">
        <w:t>.</w:t>
      </w:r>
      <w:r w:rsidR="00E427E9" w:rsidRPr="00AF57BF">
        <w:t>”</w:t>
      </w:r>
      <w:r w:rsidR="00E116FF" w:rsidRPr="00AF57BF">
        <w:t xml:space="preserve">  (</w:t>
      </w:r>
      <w:r w:rsidR="00641EF6" w:rsidRPr="00AF57BF">
        <w:rPr>
          <w:i/>
        </w:rPr>
        <w:t>Id.</w:t>
      </w:r>
      <w:r w:rsidR="00641EF6" w:rsidRPr="00AF57BF">
        <w:t xml:space="preserve"> at p. 721</w:t>
      </w:r>
      <w:r w:rsidR="006E6D73" w:rsidRPr="00AF57BF">
        <w:t>.)</w:t>
      </w:r>
      <w:r w:rsidR="00E427E9" w:rsidRPr="00AF57BF">
        <w:t xml:space="preserve">  </w:t>
      </w:r>
      <w:r w:rsidR="00F033EF" w:rsidRPr="00AF57BF">
        <w:t xml:space="preserve">Here, </w:t>
      </w:r>
      <w:proofErr w:type="gramStart"/>
      <w:r w:rsidR="00F033EF" w:rsidRPr="00AF57BF">
        <w:t>defendants</w:t>
      </w:r>
      <w:proofErr w:type="gramEnd"/>
      <w:r w:rsidR="00EB14FD" w:rsidRPr="00AF57BF">
        <w:t xml:space="preserve"> reason</w:t>
      </w:r>
      <w:r w:rsidR="00D538A9" w:rsidRPr="00AF57BF">
        <w:t>, t</w:t>
      </w:r>
      <w:r w:rsidR="004B3C28" w:rsidRPr="00AF57BF">
        <w:t xml:space="preserve">he trial court’s reframing of the question to include </w:t>
      </w:r>
      <w:r w:rsidR="005A593F" w:rsidRPr="00AF57BF">
        <w:t>reference to</w:t>
      </w:r>
      <w:r w:rsidR="004B3C28" w:rsidRPr="00AF57BF">
        <w:t xml:space="preserve"> mitigating evidence “blurred the call of the original question in a way that suggested that only </w:t>
      </w:r>
      <w:r w:rsidR="00BC7868" w:rsidRPr="00AF57BF">
        <w:t xml:space="preserve">evidence of </w:t>
      </w:r>
      <w:r w:rsidR="004B3C28" w:rsidRPr="00AF57BF">
        <w:t>mitigating circumstances would suffice to prevent a death verdict.”</w:t>
      </w:r>
      <w:r w:rsidRPr="00AF57BF">
        <w:t xml:space="preserve"> </w:t>
      </w:r>
      <w:r w:rsidR="004B3C28" w:rsidRPr="00AF57BF">
        <w:t xml:space="preserve"> </w:t>
      </w:r>
    </w:p>
    <w:p w:rsidR="00DC2EAA" w:rsidRPr="00AF57BF" w:rsidRDefault="005A593F" w:rsidP="00AF57BF">
      <w:pPr>
        <w:pStyle w:val="Text"/>
        <w:spacing w:line="400" w:lineRule="exact"/>
        <w:ind w:firstLine="547"/>
      </w:pPr>
      <w:r w:rsidRPr="00AF57BF">
        <w:t xml:space="preserve">The argument fails.  </w:t>
      </w:r>
      <w:r w:rsidR="009D2973" w:rsidRPr="00AF57BF">
        <w:t xml:space="preserve">The </w:t>
      </w:r>
      <w:r w:rsidR="00B36242" w:rsidRPr="00AF57BF">
        <w:t>modification eliminated a reference to special circumstances</w:t>
      </w:r>
      <w:r w:rsidRPr="00AF57BF">
        <w:t>, which</w:t>
      </w:r>
      <w:r w:rsidR="00B36242" w:rsidRPr="00AF57BF">
        <w:t xml:space="preserve"> the court was concerned prospective jurors would not understand</w:t>
      </w:r>
      <w:r w:rsidRPr="00AF57BF">
        <w:t>.  It asked</w:t>
      </w:r>
      <w:r w:rsidR="00B36242" w:rsidRPr="00AF57BF">
        <w:t xml:space="preserve"> </w:t>
      </w:r>
      <w:r w:rsidR="0015516C" w:rsidRPr="00AF57BF">
        <w:t xml:space="preserve">whether </w:t>
      </w:r>
      <w:r w:rsidR="00B36242" w:rsidRPr="00AF57BF">
        <w:t xml:space="preserve">the juror </w:t>
      </w:r>
      <w:r w:rsidR="0015516C" w:rsidRPr="00AF57BF">
        <w:t xml:space="preserve">would </w:t>
      </w:r>
      <w:r w:rsidR="00B36242" w:rsidRPr="00AF57BF">
        <w:t>refuse to con</w:t>
      </w:r>
      <w:r w:rsidR="0015516C" w:rsidRPr="00AF57BF">
        <w:t>sider mitigating e</w:t>
      </w:r>
      <w:r w:rsidR="003A4D42" w:rsidRPr="00AF57BF">
        <w:t>vidence</w:t>
      </w:r>
      <w:r w:rsidRPr="00AF57BF">
        <w:t>.  Such an inquiry is</w:t>
      </w:r>
      <w:r w:rsidR="003A4D42" w:rsidRPr="00AF57BF">
        <w:t xml:space="preserve"> generally relevant to</w:t>
      </w:r>
      <w:r w:rsidR="0015516C" w:rsidRPr="00AF57BF">
        <w:t xml:space="preserve"> uncovering prejudgment of penalty</w:t>
      </w:r>
      <w:r w:rsidR="003A4D42" w:rsidRPr="00AF57BF">
        <w:t xml:space="preserve"> in a case involving</w:t>
      </w:r>
      <w:r w:rsidR="0015516C" w:rsidRPr="00AF57BF">
        <w:t xml:space="preserve"> multiple murder</w:t>
      </w:r>
      <w:r w:rsidR="00952E5D" w:rsidRPr="00AF57BF">
        <w:t xml:space="preserve">.  </w:t>
      </w:r>
      <w:r w:rsidRPr="00AF57BF">
        <w:t>T</w:t>
      </w:r>
      <w:r w:rsidR="00952E5D" w:rsidRPr="00AF57BF">
        <w:t xml:space="preserve">he modified </w:t>
      </w:r>
      <w:r w:rsidR="00B16860" w:rsidRPr="00AF57BF">
        <w:t>question</w:t>
      </w:r>
      <w:r w:rsidR="00952E5D" w:rsidRPr="00AF57BF">
        <w:t xml:space="preserve"> did not </w:t>
      </w:r>
      <w:r w:rsidR="00ED50AB" w:rsidRPr="00AF57BF">
        <w:t xml:space="preserve">ask how a panelist might react if </w:t>
      </w:r>
      <w:r w:rsidR="00952E5D" w:rsidRPr="00AF57BF">
        <w:t>the defense presented no mitigati</w:t>
      </w:r>
      <w:r w:rsidR="00ED50AB" w:rsidRPr="00AF57BF">
        <w:t>ng evidence</w:t>
      </w:r>
      <w:r w:rsidR="000F525C" w:rsidRPr="00AF57BF">
        <w:t>.  Bu</w:t>
      </w:r>
      <w:r w:rsidR="00135974" w:rsidRPr="00AF57BF">
        <w:t>t the court had no indication</w:t>
      </w:r>
      <w:r w:rsidR="000F525C" w:rsidRPr="00AF57BF">
        <w:t xml:space="preserve"> that </w:t>
      </w:r>
      <w:r w:rsidR="00135974" w:rsidRPr="00AF57BF">
        <w:t xml:space="preserve">the defense would </w:t>
      </w:r>
      <w:r w:rsidR="000F525C" w:rsidRPr="00AF57BF">
        <w:t>ultimate</w:t>
      </w:r>
      <w:r w:rsidR="00135974" w:rsidRPr="00AF57BF">
        <w:t>ly make that</w:t>
      </w:r>
      <w:r w:rsidR="000F525C" w:rsidRPr="00AF57BF">
        <w:t xml:space="preserve"> </w:t>
      </w:r>
      <w:r w:rsidR="000F525C" w:rsidRPr="00AF57BF">
        <w:lastRenderedPageBreak/>
        <w:t>choice</w:t>
      </w:r>
      <w:r w:rsidR="00ED50AB" w:rsidRPr="00AF57BF">
        <w:t>, nor did counsel request the question be modified</w:t>
      </w:r>
      <w:r w:rsidR="000F525C" w:rsidRPr="00AF57BF">
        <w:t xml:space="preserve">. </w:t>
      </w:r>
      <w:r w:rsidR="00952E5D" w:rsidRPr="00AF57BF">
        <w:t xml:space="preserve"> </w:t>
      </w:r>
      <w:r w:rsidR="000F525C" w:rsidRPr="00AF57BF">
        <w:t>Further,</w:t>
      </w:r>
      <w:r w:rsidR="0015516C" w:rsidRPr="00AF57BF">
        <w:t xml:space="preserve"> d</w:t>
      </w:r>
      <w:r w:rsidR="009D2973" w:rsidRPr="00AF57BF">
        <w:t>efense counsel had the opportunity to orally question prospective jurors</w:t>
      </w:r>
      <w:r w:rsidR="000F525C" w:rsidRPr="00AF57BF">
        <w:t xml:space="preserve">.  </w:t>
      </w:r>
      <w:r w:rsidR="00505A25" w:rsidRPr="00AF57BF">
        <w:t>Defendants</w:t>
      </w:r>
      <w:r w:rsidR="009D2973" w:rsidRPr="00AF57BF">
        <w:t xml:space="preserve"> point to no instance in which the court restricted such inquiry</w:t>
      </w:r>
      <w:r w:rsidR="000F525C" w:rsidRPr="00AF57BF">
        <w:t>, undermining</w:t>
      </w:r>
      <w:r w:rsidR="009D2973" w:rsidRPr="00AF57BF">
        <w:t xml:space="preserve"> their ability to discern whether a juror could or would not follow the law.  </w:t>
      </w:r>
      <w:r w:rsidR="0015516C" w:rsidRPr="00AF57BF">
        <w:t xml:space="preserve">The voir dire process as a whole sufficed to identify unqualified jurors.  </w:t>
      </w:r>
      <w:r w:rsidR="00CE057A" w:rsidRPr="00AF57BF">
        <w:t>Defendants are correct in asserting broadly that the absence of a mitigating factor may not be considered an aggravating factor (</w:t>
      </w:r>
      <w:r w:rsidR="00CE057A" w:rsidRPr="00AF57BF">
        <w:rPr>
          <w:i/>
        </w:rPr>
        <w:t xml:space="preserve">People v. </w:t>
      </w:r>
      <w:proofErr w:type="spellStart"/>
      <w:r w:rsidR="00CE057A" w:rsidRPr="00AF57BF">
        <w:rPr>
          <w:i/>
        </w:rPr>
        <w:t>Siripongs</w:t>
      </w:r>
      <w:proofErr w:type="spellEnd"/>
      <w:r w:rsidR="00CE057A" w:rsidRPr="00AF57BF">
        <w:t xml:space="preserve"> (1988) 45 Cal.3d 548, 583) and that the aggravating evidence in a given case may still fail to warrant the death penalty, even in the absence of mitigation.  (</w:t>
      </w:r>
      <w:r w:rsidR="00CE057A" w:rsidRPr="00AF57BF">
        <w:rPr>
          <w:i/>
        </w:rPr>
        <w:t xml:space="preserve">People v. </w:t>
      </w:r>
      <w:proofErr w:type="spellStart"/>
      <w:r w:rsidR="00CE057A" w:rsidRPr="00AF57BF">
        <w:rPr>
          <w:i/>
        </w:rPr>
        <w:t>Brasure</w:t>
      </w:r>
      <w:proofErr w:type="spellEnd"/>
      <w:r w:rsidR="00CE057A" w:rsidRPr="00AF57BF">
        <w:t xml:space="preserve"> (2008) 42 Cal.4th 1037, 1061–1062.)  They do not persuasively suggest how the modified </w:t>
      </w:r>
      <w:r w:rsidR="00B16860" w:rsidRPr="00AF57BF">
        <w:t>question</w:t>
      </w:r>
      <w:r w:rsidR="00CE057A" w:rsidRPr="00AF57BF">
        <w:t xml:space="preserve"> might reasonably have been understood to imply the contrary.</w:t>
      </w:r>
    </w:p>
    <w:p w:rsidR="00ED6AB2" w:rsidRPr="00AF57BF" w:rsidRDefault="00ED6AB2" w:rsidP="00AF57BF">
      <w:pPr>
        <w:pStyle w:val="Heading3"/>
        <w:numPr>
          <w:ilvl w:val="0"/>
          <w:numId w:val="9"/>
        </w:numPr>
        <w:ind w:left="1584" w:hanging="432"/>
      </w:pPr>
      <w:r w:rsidRPr="00AF57BF">
        <w:t xml:space="preserve"> </w:t>
      </w:r>
      <w:bookmarkStart w:id="27" w:name="_Toc521674397"/>
      <w:r w:rsidR="000D0141" w:rsidRPr="00AF57BF">
        <w:t xml:space="preserve">Excusal </w:t>
      </w:r>
      <w:r w:rsidR="00BC7868" w:rsidRPr="00AF57BF">
        <w:t>of P</w:t>
      </w:r>
      <w:r w:rsidR="00F33BA0" w:rsidRPr="00AF57BF">
        <w:t xml:space="preserve">rospective </w:t>
      </w:r>
      <w:r w:rsidR="00BC7868" w:rsidRPr="00AF57BF">
        <w:t>Juror for C</w:t>
      </w:r>
      <w:r w:rsidR="00F33BA0" w:rsidRPr="00AF57BF">
        <w:t xml:space="preserve">ause </w:t>
      </w:r>
      <w:bookmarkEnd w:id="27"/>
    </w:p>
    <w:p w:rsidR="000D0141" w:rsidRPr="00AF57BF" w:rsidRDefault="002141EE" w:rsidP="00AF57BF">
      <w:pPr>
        <w:pStyle w:val="Text"/>
        <w:spacing w:line="400" w:lineRule="exact"/>
      </w:pPr>
      <w:r w:rsidRPr="00AF57BF">
        <w:t xml:space="preserve">Defendants contend that the trial court erroneously excused a prospective juror who expressed reservations about the death penalty but said she could vote for death if the aggravating evidence were strong enough.  The error, they claim, violated their rights to a fair trial, an impartial jury, and a reliable penalty determination under the Fifth, Sixth, Eighth, and Fourteenth Amendments to the federal Constitution.  </w:t>
      </w:r>
    </w:p>
    <w:p w:rsidR="00101E4C" w:rsidRPr="00AF57BF" w:rsidRDefault="00BC7868" w:rsidP="00AF57BF">
      <w:pPr>
        <w:pStyle w:val="Heading4"/>
        <w:numPr>
          <w:ilvl w:val="0"/>
          <w:numId w:val="3"/>
        </w:numPr>
        <w:ind w:left="2016" w:hanging="432"/>
      </w:pPr>
      <w:bookmarkStart w:id="28" w:name="_Toc521674398"/>
      <w:r w:rsidRPr="00AF57BF">
        <w:t>Jury Selection P</w:t>
      </w:r>
      <w:r w:rsidR="00101E4C" w:rsidRPr="00AF57BF">
        <w:t>rocedures</w:t>
      </w:r>
      <w:bookmarkEnd w:id="28"/>
    </w:p>
    <w:p w:rsidR="00007409" w:rsidRPr="00AF57BF" w:rsidRDefault="0002380F" w:rsidP="00AF57BF">
      <w:pPr>
        <w:pStyle w:val="Text"/>
        <w:spacing w:line="400" w:lineRule="exact"/>
      </w:pPr>
      <w:r w:rsidRPr="00AF57BF">
        <w:t xml:space="preserve">The questionnaire </w:t>
      </w:r>
      <w:r w:rsidR="007D05BC" w:rsidRPr="00AF57BF">
        <w:t>here included</w:t>
      </w:r>
      <w:r w:rsidR="00007409" w:rsidRPr="00AF57BF">
        <w:t xml:space="preserve"> the following</w:t>
      </w:r>
      <w:r w:rsidRPr="00AF57BF">
        <w:t xml:space="preserve"> questions</w:t>
      </w:r>
      <w:r w:rsidR="00007409" w:rsidRPr="00AF57BF">
        <w:t>:</w:t>
      </w:r>
    </w:p>
    <w:p w:rsidR="008D35BE" w:rsidRPr="00AF57BF" w:rsidRDefault="003E400E" w:rsidP="00AF57BF">
      <w:pPr>
        <w:pStyle w:val="Text"/>
        <w:spacing w:line="400" w:lineRule="exact"/>
      </w:pPr>
      <w:r w:rsidRPr="00AF57BF">
        <w:t>“</w:t>
      </w:r>
      <w:r w:rsidR="00007409" w:rsidRPr="00AF57BF">
        <w:t xml:space="preserve">Are you so strongly opposed to the death penalty that you would </w:t>
      </w:r>
      <w:r w:rsidR="008D35BE" w:rsidRPr="00AF57BF">
        <w:rPr>
          <w:b/>
        </w:rPr>
        <w:t>always</w:t>
      </w:r>
      <w:r w:rsidR="008D35BE" w:rsidRPr="00AF57BF">
        <w:t xml:space="preserve"> vote for life in prison without the possibility of parole and never vote for death for a defendant convicted of </w:t>
      </w:r>
      <w:proofErr w:type="gramStart"/>
      <w:r w:rsidR="008D35BE" w:rsidRPr="00AF57BF">
        <w:t>first degree</w:t>
      </w:r>
      <w:proofErr w:type="gramEnd"/>
      <w:r w:rsidR="008D35BE" w:rsidRPr="00AF57BF">
        <w:t xml:space="preserve"> murder and a special circumstance?</w:t>
      </w:r>
      <w:r w:rsidRPr="00AF57BF">
        <w:t xml:space="preserve">” </w:t>
      </w:r>
      <w:r w:rsidR="008D35BE" w:rsidRPr="00AF57BF">
        <w:t xml:space="preserve"> </w:t>
      </w:r>
    </w:p>
    <w:p w:rsidR="008D35BE" w:rsidRPr="00AF57BF" w:rsidRDefault="003E400E" w:rsidP="00AF57BF">
      <w:pPr>
        <w:pStyle w:val="Text"/>
        <w:spacing w:line="400" w:lineRule="exact"/>
      </w:pPr>
      <w:r w:rsidRPr="00AF57BF">
        <w:lastRenderedPageBreak/>
        <w:t>“</w:t>
      </w:r>
      <w:r w:rsidR="008D35BE" w:rsidRPr="00AF57BF">
        <w:t xml:space="preserve">Are you so strongly in favor of the death penalty you would </w:t>
      </w:r>
      <w:r w:rsidR="008D35BE" w:rsidRPr="00AF57BF">
        <w:rPr>
          <w:b/>
        </w:rPr>
        <w:t>always</w:t>
      </w:r>
      <w:r w:rsidR="008D35BE" w:rsidRPr="00AF57BF">
        <w:t xml:space="preserve"> vote for death and never vote for life in prison without the possibility of parole for a defendant convicted of </w:t>
      </w:r>
      <w:proofErr w:type="gramStart"/>
      <w:r w:rsidR="008D35BE" w:rsidRPr="00AF57BF">
        <w:t>first degree</w:t>
      </w:r>
      <w:proofErr w:type="gramEnd"/>
      <w:r w:rsidR="008D35BE" w:rsidRPr="00AF57BF">
        <w:t xml:space="preserve"> murder and a special circumstance?</w:t>
      </w:r>
      <w:r w:rsidRPr="00AF57BF">
        <w:t>”</w:t>
      </w:r>
      <w:r w:rsidR="008D35BE" w:rsidRPr="00AF57BF">
        <w:t xml:space="preserve">  </w:t>
      </w:r>
    </w:p>
    <w:p w:rsidR="008D35BE" w:rsidRPr="00AF57BF" w:rsidRDefault="003E400E" w:rsidP="00AF57BF">
      <w:pPr>
        <w:pStyle w:val="Text"/>
        <w:spacing w:line="400" w:lineRule="exact"/>
      </w:pPr>
      <w:r w:rsidRPr="00AF57BF">
        <w:t>“</w:t>
      </w:r>
      <w:r w:rsidR="008D35BE" w:rsidRPr="00AF57BF">
        <w:t xml:space="preserve">Are you so strongly opposed to the death penalty that you would </w:t>
      </w:r>
      <w:r w:rsidR="008D35BE" w:rsidRPr="00AF57BF">
        <w:rPr>
          <w:b/>
        </w:rPr>
        <w:t>always</w:t>
      </w:r>
      <w:r w:rsidR="008D35BE" w:rsidRPr="00AF57BF">
        <w:t xml:space="preserve"> vote against death regardless of what evidence of aggravation or mitigation is presented?</w:t>
      </w:r>
      <w:r w:rsidRPr="00AF57BF">
        <w:t>”</w:t>
      </w:r>
      <w:r w:rsidR="008D35BE" w:rsidRPr="00AF57BF">
        <w:t xml:space="preserve"> </w:t>
      </w:r>
    </w:p>
    <w:p w:rsidR="00101E4C" w:rsidRPr="00AF57BF" w:rsidRDefault="003E400E" w:rsidP="00AF57BF">
      <w:pPr>
        <w:pStyle w:val="Text"/>
        <w:spacing w:line="400" w:lineRule="exact"/>
      </w:pPr>
      <w:r w:rsidRPr="00AF57BF">
        <w:t>“</w:t>
      </w:r>
      <w:r w:rsidR="008D35BE" w:rsidRPr="00AF57BF">
        <w:t xml:space="preserve">Are you so strongly in favor of the death penalty that you would </w:t>
      </w:r>
      <w:r w:rsidR="008D35BE" w:rsidRPr="00AF57BF">
        <w:rPr>
          <w:b/>
        </w:rPr>
        <w:t>always</w:t>
      </w:r>
      <w:r w:rsidR="008D35BE" w:rsidRPr="00AF57BF">
        <w:t xml:space="preserve"> vote for death regardless of what evidence of aggravation or mitigation is presented?</w:t>
      </w:r>
      <w:r w:rsidRPr="00AF57BF">
        <w:t>”</w:t>
      </w:r>
      <w:r w:rsidR="0002380F" w:rsidRPr="00AF57BF">
        <w:t xml:space="preserve">  </w:t>
      </w:r>
    </w:p>
    <w:p w:rsidR="008D35BE" w:rsidRPr="00AF57BF" w:rsidRDefault="003E400E" w:rsidP="00AF57BF">
      <w:pPr>
        <w:pStyle w:val="Text"/>
        <w:spacing w:line="400" w:lineRule="exact"/>
      </w:pPr>
      <w:r w:rsidRPr="00AF57BF">
        <w:t>“</w:t>
      </w:r>
      <w:r w:rsidR="008D35BE" w:rsidRPr="00AF57BF">
        <w:t>In a penalty phase, would you want to hear evidence of aggravation and mitigation?</w:t>
      </w:r>
      <w:r w:rsidRPr="00AF57BF">
        <w:t>”</w:t>
      </w:r>
      <w:r w:rsidR="002E4D12" w:rsidRPr="00AF57BF">
        <w:t xml:space="preserve">  </w:t>
      </w:r>
    </w:p>
    <w:p w:rsidR="00074043" w:rsidRPr="00AF57BF" w:rsidRDefault="003E400E" w:rsidP="00AF57BF">
      <w:pPr>
        <w:pStyle w:val="Text"/>
        <w:spacing w:line="400" w:lineRule="exact"/>
      </w:pPr>
      <w:r w:rsidRPr="00AF57BF">
        <w:t>“</w:t>
      </w:r>
      <w:r w:rsidR="00BC7868" w:rsidRPr="00AF57BF">
        <w:t>In a penalty phase</w:t>
      </w:r>
      <w:r w:rsidR="008D35BE" w:rsidRPr="00AF57BF">
        <w:t xml:space="preserve"> would you </w:t>
      </w:r>
      <w:r w:rsidR="008D35BE" w:rsidRPr="00AF57BF">
        <w:rPr>
          <w:b/>
        </w:rPr>
        <w:t>always</w:t>
      </w:r>
      <w:r w:rsidR="00074043" w:rsidRPr="00AF57BF">
        <w:t xml:space="preserve"> vote for death, regardless of the mitigating evidence?</w:t>
      </w:r>
      <w:r w:rsidRPr="00AF57BF">
        <w:t>”</w:t>
      </w:r>
      <w:r w:rsidR="00074043" w:rsidRPr="00AF57BF">
        <w:t xml:space="preserve">  </w:t>
      </w:r>
    </w:p>
    <w:p w:rsidR="008D35BE" w:rsidRPr="00AF57BF" w:rsidRDefault="003E400E" w:rsidP="00AF57BF">
      <w:pPr>
        <w:pStyle w:val="Text"/>
        <w:spacing w:line="400" w:lineRule="exact"/>
      </w:pPr>
      <w:r w:rsidRPr="00AF57BF">
        <w:t>“</w:t>
      </w:r>
      <w:r w:rsidR="00074043" w:rsidRPr="00AF57BF">
        <w:t xml:space="preserve">In a penalty phase would you </w:t>
      </w:r>
      <w:r w:rsidR="00074043" w:rsidRPr="00AF57BF">
        <w:rPr>
          <w:b/>
        </w:rPr>
        <w:t>always</w:t>
      </w:r>
      <w:r w:rsidR="00074043" w:rsidRPr="00AF57BF">
        <w:t xml:space="preserve"> vote for life, regardless of the aggravating evidence?</w:t>
      </w:r>
      <w:r w:rsidRPr="00AF57BF">
        <w:t>”</w:t>
      </w:r>
      <w:r w:rsidR="00074043" w:rsidRPr="00AF57BF">
        <w:t xml:space="preserve">  </w:t>
      </w:r>
    </w:p>
    <w:p w:rsidR="00074043" w:rsidRPr="00AF57BF" w:rsidRDefault="003E400E" w:rsidP="00AF57BF">
      <w:pPr>
        <w:pStyle w:val="Text"/>
        <w:spacing w:line="400" w:lineRule="exact"/>
      </w:pPr>
      <w:r w:rsidRPr="00AF57BF">
        <w:t>“</w:t>
      </w:r>
      <w:r w:rsidR="00074043" w:rsidRPr="00AF57BF">
        <w:t>Regardless of your views of the death penalty, would you be able to vote for death for a defendant if you believed, after hearing all the evidence, that the death penalty was appropriate?</w:t>
      </w:r>
      <w:r w:rsidRPr="00AF57BF">
        <w:t>”</w:t>
      </w:r>
      <w:r w:rsidR="00074043" w:rsidRPr="00AF57BF">
        <w:t xml:space="preserve">  </w:t>
      </w:r>
    </w:p>
    <w:p w:rsidR="00074043" w:rsidRPr="00AF57BF" w:rsidRDefault="003E400E" w:rsidP="00AF57BF">
      <w:pPr>
        <w:pStyle w:val="Text"/>
        <w:spacing w:line="400" w:lineRule="exact"/>
      </w:pPr>
      <w:r w:rsidRPr="00AF57BF">
        <w:t>“</w:t>
      </w:r>
      <w:r w:rsidR="00074043" w:rsidRPr="00AF57BF">
        <w:t>Will your feelings about the death penalty impair your ability to be a fair and impartial juror in this case?</w:t>
      </w:r>
      <w:r w:rsidRPr="00AF57BF">
        <w:t>”</w:t>
      </w:r>
      <w:r w:rsidR="00074043" w:rsidRPr="00AF57BF">
        <w:t xml:space="preserve">  </w:t>
      </w:r>
    </w:p>
    <w:p w:rsidR="00D17923" w:rsidRPr="00AF57BF" w:rsidRDefault="00B23C82" w:rsidP="00AF57BF">
      <w:pPr>
        <w:pStyle w:val="Text"/>
        <w:spacing w:line="400" w:lineRule="exact"/>
      </w:pPr>
      <w:r w:rsidRPr="00AF57BF">
        <w:t xml:space="preserve">Before </w:t>
      </w:r>
      <w:r w:rsidR="00F35CB4" w:rsidRPr="00AF57BF">
        <w:t xml:space="preserve">voir dire examination, the court </w:t>
      </w:r>
      <w:r w:rsidR="007D05BC" w:rsidRPr="00AF57BF">
        <w:t>instructed</w:t>
      </w:r>
      <w:r w:rsidR="00F35CB4" w:rsidRPr="00AF57BF">
        <w:t>, “Jurors who would never impose death cannot sit in this case.  [</w:t>
      </w:r>
      <w:proofErr w:type="gramStart"/>
      <w:r w:rsidR="00F35CB4" w:rsidRPr="00AF57BF">
        <w:t>¶</w:t>
      </w:r>
      <w:r w:rsidR="00FA6AD8" w:rsidRPr="00AF57BF">
        <w:t>]  </w:t>
      </w:r>
      <w:r w:rsidR="00F35CB4" w:rsidRPr="00AF57BF">
        <w:t>Jurors</w:t>
      </w:r>
      <w:proofErr w:type="gramEnd"/>
      <w:r w:rsidR="00F35CB4" w:rsidRPr="00AF57BF">
        <w:t xml:space="preserve"> who would never impose life cannot sit on this case.”  The court elaborated</w:t>
      </w:r>
      <w:proofErr w:type="gramStart"/>
      <w:r w:rsidR="00F35CB4" w:rsidRPr="00AF57BF">
        <w:t>:  “</w:t>
      </w:r>
      <w:proofErr w:type="gramEnd"/>
      <w:r w:rsidR="00F35CB4" w:rsidRPr="00AF57BF">
        <w:t>Now</w:t>
      </w:r>
      <w:r w:rsidR="00BC7868" w:rsidRPr="00AF57BF">
        <w:t>,</w:t>
      </w:r>
      <w:r w:rsidR="00F35CB4" w:rsidRPr="00AF57BF">
        <w:t xml:space="preserve"> in my expe</w:t>
      </w:r>
      <w:r w:rsidR="00FA6AD8" w:rsidRPr="00AF57BF">
        <w:t xml:space="preserve">rience and that of other judges . . . people </w:t>
      </w:r>
      <w:proofErr w:type="spellStart"/>
      <w:r w:rsidR="00FA6AD8" w:rsidRPr="00AF57BF">
        <w:t>kinda</w:t>
      </w:r>
      <w:proofErr w:type="spellEnd"/>
      <w:r w:rsidR="00FA6AD8" w:rsidRPr="00AF57BF">
        <w:t xml:space="preserve"> break [themselves] down into four categories in a case like this.  [</w:t>
      </w:r>
      <w:proofErr w:type="gramStart"/>
      <w:r w:rsidR="00FA6AD8" w:rsidRPr="00AF57BF">
        <w:t>¶]  We</w:t>
      </w:r>
      <w:proofErr w:type="gramEnd"/>
      <w:r w:rsidR="00FA6AD8" w:rsidRPr="00AF57BF">
        <w:t xml:space="preserve"> have the category number one people.  These are folks that don’t believe in the </w:t>
      </w:r>
      <w:r w:rsidR="00FA6AD8" w:rsidRPr="00AF57BF">
        <w:lastRenderedPageBreak/>
        <w:t xml:space="preserve">death penalty.  And that’s fine.  Many of you said you could never impose death and I respect that decision.  I am not here </w:t>
      </w:r>
      <w:r w:rsidR="00BC7868" w:rsidRPr="00AF57BF">
        <w:t xml:space="preserve">to try </w:t>
      </w:r>
      <w:r w:rsidR="00FA6AD8" w:rsidRPr="00AF57BF">
        <w:t>to change your mind.  [¶]  . . . [</w:t>
      </w:r>
      <w:proofErr w:type="gramStart"/>
      <w:r w:rsidR="00FA6AD8" w:rsidRPr="00AF57BF">
        <w:t>¶]  We</w:t>
      </w:r>
      <w:proofErr w:type="gramEnd"/>
      <w:r w:rsidR="00FA6AD8" w:rsidRPr="00AF57BF">
        <w:t xml:space="preserve"> have a category two person.  This is the person who’s strongly in favor of the death penalty.  He is [kind] of an eye for an eye guy who says if this person, this defendant, committed murder with special circumstances, he must die.  [</w:t>
      </w:r>
      <w:proofErr w:type="gramStart"/>
      <w:r w:rsidR="00FA6AD8" w:rsidRPr="00AF57BF">
        <w:t>¶]  I</w:t>
      </w:r>
      <w:proofErr w:type="gramEnd"/>
      <w:r w:rsidR="00FA6AD8" w:rsidRPr="00AF57BF">
        <w:t xml:space="preserve"> don’t care about his personal history or background.  I don’t care about the mitigating evidence.  Murder means he should be executed.  That is a category number two person.  We have some of those in this group.</w:t>
      </w:r>
      <w:r w:rsidR="001E0867" w:rsidRPr="00AF57BF">
        <w:t xml:space="preserve">  [</w:t>
      </w:r>
      <w:proofErr w:type="gramStart"/>
      <w:r w:rsidR="001E0867" w:rsidRPr="00AF57BF">
        <w:t>¶]  Then</w:t>
      </w:r>
      <w:proofErr w:type="gramEnd"/>
      <w:r w:rsidR="001E0867" w:rsidRPr="00AF57BF">
        <w:t xml:space="preserve"> we have what I call the category three person.  And this is the person who says, </w:t>
      </w:r>
      <w:proofErr w:type="gramStart"/>
      <w:r w:rsidR="001E0867" w:rsidRPr="00AF57BF">
        <w:t>You</w:t>
      </w:r>
      <w:proofErr w:type="gramEnd"/>
      <w:r w:rsidR="001E0867" w:rsidRPr="00AF57BF">
        <w:t xml:space="preserve"> know, I believe in the death penalty.  I think it’s appropriate for society to have a death penalty.  But, you know, I know myself.  And I don’t think I could ever vote to put somebody to death.  [¶] . . . [</w:t>
      </w:r>
      <w:proofErr w:type="gramStart"/>
      <w:r w:rsidR="001E0867" w:rsidRPr="00AF57BF">
        <w:t>¶]  Nothing</w:t>
      </w:r>
      <w:proofErr w:type="gramEnd"/>
      <w:r w:rsidR="001E0867" w:rsidRPr="00AF57BF">
        <w:t xml:space="preserve"> wrong with being a category three person. . . . [¶]  . . .  The category four person is the person who says, you know, I can go either way.  I </w:t>
      </w:r>
      <w:r w:rsidR="00355E00" w:rsidRPr="00AF57BF">
        <w:t>want to hear it all</w:t>
      </w:r>
      <w:proofErr w:type="gramStart"/>
      <w:r w:rsidR="00355E00" w:rsidRPr="00AF57BF">
        <w:t>. .</w:t>
      </w:r>
      <w:proofErr w:type="gramEnd"/>
      <w:r w:rsidR="00355E00" w:rsidRPr="00AF57BF">
        <w:t xml:space="preserve"> . . </w:t>
      </w:r>
      <w:r w:rsidR="00ED762B" w:rsidRPr="00AF57BF">
        <w:t xml:space="preserve"> </w:t>
      </w:r>
      <w:r w:rsidR="000019B5" w:rsidRPr="00AF57BF">
        <w:t xml:space="preserve">Many of you said I want to hear everything that I am entitled to hear before I have to make such a decision.  But many of you said I could make such a decision.  And that’s all we’re after.  We want people that can make the decision.”  </w:t>
      </w:r>
      <w:r w:rsidR="007D05BC" w:rsidRPr="00AF57BF">
        <w:t>T</w:t>
      </w:r>
      <w:r w:rsidR="00100605" w:rsidRPr="00AF57BF">
        <w:t>he court</w:t>
      </w:r>
      <w:r w:rsidR="00D17923" w:rsidRPr="00AF57BF">
        <w:t xml:space="preserve"> </w:t>
      </w:r>
      <w:r w:rsidR="00100605" w:rsidRPr="00AF57BF">
        <w:t xml:space="preserve">asked </w:t>
      </w:r>
      <w:r w:rsidR="00135974" w:rsidRPr="00AF57BF">
        <w:t>all</w:t>
      </w:r>
      <w:r w:rsidR="00100605" w:rsidRPr="00AF57BF">
        <w:t xml:space="preserve"> prospective juror</w:t>
      </w:r>
      <w:r w:rsidR="00135974" w:rsidRPr="00AF57BF">
        <w:t>s</w:t>
      </w:r>
      <w:r w:rsidR="00100605" w:rsidRPr="00AF57BF">
        <w:t xml:space="preserve"> to say which categor</w:t>
      </w:r>
      <w:r w:rsidR="00135974" w:rsidRPr="00AF57BF">
        <w:t>y they</w:t>
      </w:r>
      <w:r w:rsidR="00100605" w:rsidRPr="00AF57BF">
        <w:t xml:space="preserve"> belonged in.  </w:t>
      </w:r>
    </w:p>
    <w:p w:rsidR="00761FB9" w:rsidRPr="00AF57BF" w:rsidRDefault="00100605" w:rsidP="00AF57BF">
      <w:pPr>
        <w:pStyle w:val="Text"/>
        <w:spacing w:line="400" w:lineRule="exact"/>
      </w:pPr>
      <w:r w:rsidRPr="00AF57BF">
        <w:t xml:space="preserve">Prospective Juror No. 74 </w:t>
      </w:r>
      <w:r w:rsidR="007D05BC" w:rsidRPr="00AF57BF">
        <w:t>wrote</w:t>
      </w:r>
      <w:r w:rsidRPr="00AF57BF">
        <w:t xml:space="preserve"> in her questionnaire that she had “no opinion one way or the other” about the death penalty, but “I just don’t want to be the one to decide; I wouldn’t choose to kill someone.” </w:t>
      </w:r>
      <w:r w:rsidR="002E4D12" w:rsidRPr="00AF57BF">
        <w:t xml:space="preserve"> </w:t>
      </w:r>
      <w:r w:rsidR="00EF37B6" w:rsidRPr="00AF57BF">
        <w:t xml:space="preserve">She </w:t>
      </w:r>
      <w:r w:rsidR="000F63F1" w:rsidRPr="00AF57BF">
        <w:t xml:space="preserve">had never held a different opinion on the question. </w:t>
      </w:r>
      <w:r w:rsidR="000F63F1" w:rsidRPr="00AF57BF">
        <w:rPr>
          <w:szCs w:val="26"/>
        </w:rPr>
        <w:t xml:space="preserve"> </w:t>
      </w:r>
      <w:r w:rsidR="00D07D03" w:rsidRPr="00AF57BF">
        <w:rPr>
          <w:szCs w:val="26"/>
        </w:rPr>
        <w:t xml:space="preserve">When asked </w:t>
      </w:r>
      <w:r w:rsidR="004E3FD8" w:rsidRPr="00AF57BF">
        <w:rPr>
          <w:szCs w:val="26"/>
        </w:rPr>
        <w:t xml:space="preserve">in the questionnaire </w:t>
      </w:r>
      <w:r w:rsidR="00D07D03" w:rsidRPr="00AF57BF">
        <w:rPr>
          <w:szCs w:val="26"/>
        </w:rPr>
        <w:t xml:space="preserve">“Are you so strongly opposed to the death penalty that you would </w:t>
      </w:r>
      <w:r w:rsidR="00D07D03" w:rsidRPr="00AF57BF">
        <w:rPr>
          <w:b/>
          <w:szCs w:val="26"/>
        </w:rPr>
        <w:t>always</w:t>
      </w:r>
      <w:r w:rsidR="00D07D03" w:rsidRPr="00AF57BF">
        <w:rPr>
          <w:szCs w:val="26"/>
        </w:rPr>
        <w:t xml:space="preserve"> vote for life in prison without the possibility of parole and never vote for death for a </w:t>
      </w:r>
      <w:r w:rsidR="00D07D03" w:rsidRPr="00AF57BF">
        <w:rPr>
          <w:szCs w:val="26"/>
        </w:rPr>
        <w:lastRenderedPageBreak/>
        <w:t xml:space="preserve">defendant convicted of </w:t>
      </w:r>
      <w:proofErr w:type="gramStart"/>
      <w:r w:rsidR="00D07D03" w:rsidRPr="00AF57BF">
        <w:rPr>
          <w:szCs w:val="26"/>
        </w:rPr>
        <w:t>first degree</w:t>
      </w:r>
      <w:proofErr w:type="gramEnd"/>
      <w:r w:rsidR="00D07D03" w:rsidRPr="00AF57BF">
        <w:rPr>
          <w:szCs w:val="26"/>
        </w:rPr>
        <w:t xml:space="preserve"> murd</w:t>
      </w:r>
      <w:r w:rsidR="00065F0B" w:rsidRPr="00AF57BF">
        <w:rPr>
          <w:szCs w:val="26"/>
        </w:rPr>
        <w:t>er and a special circumstance?”</w:t>
      </w:r>
      <w:r w:rsidR="00D07D03" w:rsidRPr="00AF57BF">
        <w:rPr>
          <w:szCs w:val="26"/>
        </w:rPr>
        <w:t xml:space="preserve"> she answered, “Yes.”  But in response to the question “Are you so strongly opposed to the death penalty that you would </w:t>
      </w:r>
      <w:r w:rsidR="00D07D03" w:rsidRPr="00AF57BF">
        <w:rPr>
          <w:b/>
          <w:szCs w:val="26"/>
        </w:rPr>
        <w:t>always</w:t>
      </w:r>
      <w:r w:rsidR="00D07D03" w:rsidRPr="00AF57BF">
        <w:rPr>
          <w:szCs w:val="26"/>
        </w:rPr>
        <w:t xml:space="preserve"> vote against death regardless of what evidence of aggravation or mitigation is presented?” she </w:t>
      </w:r>
      <w:r w:rsidR="001F2ACE" w:rsidRPr="00AF57BF">
        <w:rPr>
          <w:szCs w:val="26"/>
        </w:rPr>
        <w:t>answer</w:t>
      </w:r>
      <w:r w:rsidR="00D07D03" w:rsidRPr="00AF57BF">
        <w:rPr>
          <w:szCs w:val="26"/>
        </w:rPr>
        <w:t xml:space="preserve">ed, “Unsure.”  </w:t>
      </w:r>
      <w:r w:rsidR="00293859" w:rsidRPr="00AF57BF">
        <w:rPr>
          <w:szCs w:val="26"/>
        </w:rPr>
        <w:t>When asked</w:t>
      </w:r>
      <w:r w:rsidR="001F2ACE" w:rsidRPr="00AF57BF">
        <w:rPr>
          <w:szCs w:val="26"/>
        </w:rPr>
        <w:t>,</w:t>
      </w:r>
      <w:r w:rsidR="00293859" w:rsidRPr="00AF57BF">
        <w:rPr>
          <w:szCs w:val="26"/>
        </w:rPr>
        <w:t xml:space="preserve"> “In a penalty phase would you </w:t>
      </w:r>
      <w:r w:rsidR="00293859" w:rsidRPr="00AF57BF">
        <w:rPr>
          <w:b/>
          <w:szCs w:val="26"/>
        </w:rPr>
        <w:t>always</w:t>
      </w:r>
      <w:r w:rsidR="00293859" w:rsidRPr="00AF57BF">
        <w:rPr>
          <w:szCs w:val="26"/>
        </w:rPr>
        <w:t xml:space="preserve"> vote for life, regardles</w:t>
      </w:r>
      <w:r w:rsidR="00EA0775" w:rsidRPr="00AF57BF">
        <w:rPr>
          <w:szCs w:val="26"/>
        </w:rPr>
        <w:t>s of the aggravating evidence?”</w:t>
      </w:r>
      <w:r w:rsidR="00293859" w:rsidRPr="00AF57BF">
        <w:rPr>
          <w:szCs w:val="26"/>
        </w:rPr>
        <w:t xml:space="preserve"> she answered, “Probably.”  But </w:t>
      </w:r>
      <w:r w:rsidR="001F2ACE" w:rsidRPr="00AF57BF">
        <w:rPr>
          <w:szCs w:val="26"/>
        </w:rPr>
        <w:t>when asked,</w:t>
      </w:r>
      <w:r w:rsidR="00293859" w:rsidRPr="00AF57BF">
        <w:rPr>
          <w:szCs w:val="26"/>
        </w:rPr>
        <w:t xml:space="preserve"> “Regardless of your views on the death penalty, would you be able to vote for death for a defendant if you believed, after hearing all the evidence, that the </w:t>
      </w:r>
      <w:r w:rsidR="00EA0775" w:rsidRPr="00AF57BF">
        <w:rPr>
          <w:szCs w:val="26"/>
        </w:rPr>
        <w:t>death penalty was appropriate?”</w:t>
      </w:r>
      <w:r w:rsidR="00293859" w:rsidRPr="00AF57BF">
        <w:rPr>
          <w:szCs w:val="26"/>
        </w:rPr>
        <w:t xml:space="preserve"> she </w:t>
      </w:r>
      <w:r w:rsidR="001F2ACE" w:rsidRPr="00AF57BF">
        <w:rPr>
          <w:szCs w:val="26"/>
        </w:rPr>
        <w:t>answere</w:t>
      </w:r>
      <w:r w:rsidR="00293859" w:rsidRPr="00AF57BF">
        <w:rPr>
          <w:szCs w:val="26"/>
        </w:rPr>
        <w:t>d</w:t>
      </w:r>
      <w:r w:rsidR="001F2ACE" w:rsidRPr="00AF57BF">
        <w:rPr>
          <w:szCs w:val="26"/>
        </w:rPr>
        <w:t>,</w:t>
      </w:r>
      <w:r w:rsidR="00293859" w:rsidRPr="00AF57BF">
        <w:rPr>
          <w:szCs w:val="26"/>
        </w:rPr>
        <w:t xml:space="preserve"> “[I]f I thought it appropriate, yes.”  Asked whether her feelings about the death penalty would impair her ability to be fair and impartial, she answered in the negative.  </w:t>
      </w:r>
      <w:r w:rsidR="0069606F" w:rsidRPr="00AF57BF">
        <w:rPr>
          <w:szCs w:val="26"/>
        </w:rPr>
        <w:t>And when asked, “Would y</w:t>
      </w:r>
      <w:r w:rsidR="00EA0775" w:rsidRPr="00AF57BF">
        <w:rPr>
          <w:szCs w:val="26"/>
        </w:rPr>
        <w:t>ou like to serve on this jury?”</w:t>
      </w:r>
      <w:r w:rsidR="0069606F" w:rsidRPr="00AF57BF">
        <w:rPr>
          <w:szCs w:val="26"/>
        </w:rPr>
        <w:t xml:space="preserve"> she answered in the negative, stating in part, “Don’t want to decide if defendants should die if it comes to that.” </w:t>
      </w:r>
    </w:p>
    <w:p w:rsidR="00727138" w:rsidRPr="00AF57BF" w:rsidRDefault="00D17923" w:rsidP="00AF57BF">
      <w:pPr>
        <w:pStyle w:val="Text"/>
        <w:spacing w:line="400" w:lineRule="exact"/>
        <w:rPr>
          <w:szCs w:val="26"/>
        </w:rPr>
      </w:pPr>
      <w:r w:rsidRPr="00AF57BF">
        <w:rPr>
          <w:szCs w:val="26"/>
        </w:rPr>
        <w:t>During questioning by the trial court, Prospective Juror No. 74 initially categorized herself as “pretty much a three,” but said</w:t>
      </w:r>
      <w:r w:rsidR="00EA0775" w:rsidRPr="00AF57BF">
        <w:rPr>
          <w:szCs w:val="26"/>
        </w:rPr>
        <w:t>, “I</w:t>
      </w:r>
      <w:r w:rsidRPr="00AF57BF">
        <w:rPr>
          <w:szCs w:val="26"/>
        </w:rPr>
        <w:t xml:space="preserve">t would have to be for me to put someone to death, the aggravating evidence be a lot and there would be like no mitigating evidence.  </w:t>
      </w:r>
      <w:proofErr w:type="gramStart"/>
      <w:r w:rsidRPr="00AF57BF">
        <w:rPr>
          <w:szCs w:val="26"/>
        </w:rPr>
        <w:t>So</w:t>
      </w:r>
      <w:proofErr w:type="gramEnd"/>
      <w:r w:rsidRPr="00AF57BF">
        <w:rPr>
          <w:szCs w:val="26"/>
        </w:rPr>
        <w:t xml:space="preserve"> it’s a good chance </w:t>
      </w:r>
      <w:r w:rsidR="00EA0775" w:rsidRPr="00AF57BF">
        <w:rPr>
          <w:szCs w:val="26"/>
        </w:rPr>
        <w:t>that I am</w:t>
      </w:r>
      <w:r w:rsidRPr="00AF57BF">
        <w:rPr>
          <w:szCs w:val="26"/>
        </w:rPr>
        <w:t xml:space="preserve"> a three.” </w:t>
      </w:r>
      <w:r w:rsidR="002E4D12" w:rsidRPr="00AF57BF">
        <w:rPr>
          <w:szCs w:val="26"/>
        </w:rPr>
        <w:t xml:space="preserve"> </w:t>
      </w:r>
      <w:r w:rsidRPr="00AF57BF">
        <w:rPr>
          <w:szCs w:val="26"/>
        </w:rPr>
        <w:t xml:space="preserve">The court </w:t>
      </w:r>
      <w:r w:rsidR="007D05BC" w:rsidRPr="00AF57BF">
        <w:rPr>
          <w:szCs w:val="26"/>
        </w:rPr>
        <w:t>asked</w:t>
      </w:r>
      <w:r w:rsidRPr="00AF57BF">
        <w:rPr>
          <w:szCs w:val="26"/>
        </w:rPr>
        <w:t>, “Well, but are you saying that you could put somebody to death?”  Prospective Juror No. 74 rep</w:t>
      </w:r>
      <w:r w:rsidR="00D25D6C" w:rsidRPr="00AF57BF">
        <w:rPr>
          <w:szCs w:val="26"/>
        </w:rPr>
        <w:t>lied, “It would have to be reall</w:t>
      </w:r>
      <w:r w:rsidRPr="00AF57BF">
        <w:rPr>
          <w:szCs w:val="26"/>
        </w:rPr>
        <w:t xml:space="preserve">y harsh circumstances.”  </w:t>
      </w:r>
      <w:r w:rsidR="00C31BFA" w:rsidRPr="00AF57BF">
        <w:rPr>
          <w:szCs w:val="26"/>
        </w:rPr>
        <w:t>The court said, “That is all right.  It’s up to the People to persuade you.  [</w:t>
      </w:r>
      <w:proofErr w:type="gramStart"/>
      <w:r w:rsidR="00C31BFA" w:rsidRPr="00AF57BF">
        <w:rPr>
          <w:szCs w:val="26"/>
        </w:rPr>
        <w:t>¶]  I</w:t>
      </w:r>
      <w:proofErr w:type="gramEnd"/>
      <w:r w:rsidR="00C31BFA" w:rsidRPr="00AF57BF">
        <w:rPr>
          <w:szCs w:val="26"/>
        </w:rPr>
        <w:t xml:space="preserve"> am saying that number threes are people who say, Judge, I know myself, I could never, regardless of what the evidence was, put somebody to death.  [</w:t>
      </w:r>
      <w:proofErr w:type="gramStart"/>
      <w:r w:rsidR="00C31BFA" w:rsidRPr="00AF57BF">
        <w:rPr>
          <w:szCs w:val="26"/>
        </w:rPr>
        <w:t>¶]  Are</w:t>
      </w:r>
      <w:proofErr w:type="gramEnd"/>
      <w:r w:rsidR="00C31BFA" w:rsidRPr="00AF57BF">
        <w:rPr>
          <w:szCs w:val="26"/>
        </w:rPr>
        <w:t xml:space="preserve"> you that person?”  Again, she equivocated</w:t>
      </w:r>
      <w:proofErr w:type="gramStart"/>
      <w:r w:rsidR="00C31BFA" w:rsidRPr="00AF57BF">
        <w:rPr>
          <w:szCs w:val="26"/>
        </w:rPr>
        <w:t>:  “</w:t>
      </w:r>
      <w:proofErr w:type="gramEnd"/>
      <w:r w:rsidR="00C31BFA" w:rsidRPr="00AF57BF">
        <w:rPr>
          <w:szCs w:val="26"/>
        </w:rPr>
        <w:t xml:space="preserve">Well, I could be a four with three tendencies.”  The court replied, “Yes, and we’re not allowing </w:t>
      </w:r>
      <w:r w:rsidR="00C31BFA" w:rsidRPr="00AF57BF">
        <w:rPr>
          <w:szCs w:val="26"/>
        </w:rPr>
        <w:lastRenderedPageBreak/>
        <w:t>that this morning.  No four with three tendencies.  But I understand what you are saying.  [</w:t>
      </w:r>
      <w:proofErr w:type="gramStart"/>
      <w:r w:rsidR="00C31BFA" w:rsidRPr="00AF57BF">
        <w:rPr>
          <w:szCs w:val="26"/>
        </w:rPr>
        <w:t>¶]  So</w:t>
      </w:r>
      <w:proofErr w:type="gramEnd"/>
      <w:r w:rsidR="00C31BFA" w:rsidRPr="00AF57BF">
        <w:rPr>
          <w:szCs w:val="26"/>
        </w:rPr>
        <w:t xml:space="preserve"> are you a three or a four?  [</w:t>
      </w:r>
      <w:proofErr w:type="gramStart"/>
      <w:r w:rsidR="00C31BFA" w:rsidRPr="00AF57BF">
        <w:rPr>
          <w:szCs w:val="26"/>
        </w:rPr>
        <w:t>¶]  You</w:t>
      </w:r>
      <w:proofErr w:type="gramEnd"/>
      <w:r w:rsidR="00C31BFA" w:rsidRPr="00AF57BF">
        <w:rPr>
          <w:szCs w:val="26"/>
        </w:rPr>
        <w:t xml:space="preserve"> sound like you are a four?”  She answered</w:t>
      </w:r>
      <w:proofErr w:type="gramStart"/>
      <w:r w:rsidR="00C31BFA" w:rsidRPr="00AF57BF">
        <w:rPr>
          <w:szCs w:val="26"/>
        </w:rPr>
        <w:t>:  “</w:t>
      </w:r>
      <w:proofErr w:type="gramEnd"/>
      <w:r w:rsidR="00C31BFA" w:rsidRPr="00AF57BF">
        <w:rPr>
          <w:szCs w:val="26"/>
        </w:rPr>
        <w:t xml:space="preserve">I could be a four.”  </w:t>
      </w:r>
    </w:p>
    <w:p w:rsidR="00B35FF5" w:rsidRPr="00AF57BF" w:rsidRDefault="007D05BC" w:rsidP="00AF57BF">
      <w:pPr>
        <w:pStyle w:val="Text"/>
        <w:spacing w:line="400" w:lineRule="exact"/>
        <w:rPr>
          <w:szCs w:val="26"/>
        </w:rPr>
      </w:pPr>
      <w:r w:rsidRPr="00AF57BF">
        <w:rPr>
          <w:szCs w:val="26"/>
        </w:rPr>
        <w:t>D</w:t>
      </w:r>
      <w:r w:rsidR="00B35FF5" w:rsidRPr="00AF57BF">
        <w:rPr>
          <w:szCs w:val="26"/>
        </w:rPr>
        <w:t xml:space="preserve">uring questioning by counsel for Flores, Prospective Juror No. 74 acknowledged that in the penalty phase she would lean toward life instead of death, “but if I thought the aggravating was enough, then you know it would be hard, but I could make the decision.”  </w:t>
      </w:r>
      <w:r w:rsidR="008E5D82" w:rsidRPr="00AF57BF">
        <w:rPr>
          <w:szCs w:val="26"/>
        </w:rPr>
        <w:t>T</w:t>
      </w:r>
      <w:r w:rsidR="00B35FF5" w:rsidRPr="00AF57BF">
        <w:rPr>
          <w:szCs w:val="26"/>
        </w:rPr>
        <w:t xml:space="preserve">he prosecutor </w:t>
      </w:r>
      <w:r w:rsidR="008E5D82" w:rsidRPr="00AF57BF">
        <w:rPr>
          <w:szCs w:val="26"/>
        </w:rPr>
        <w:t xml:space="preserve">then </w:t>
      </w:r>
      <w:r w:rsidR="00803E1D" w:rsidRPr="00AF57BF">
        <w:rPr>
          <w:szCs w:val="26"/>
        </w:rPr>
        <w:t xml:space="preserve">vividly </w:t>
      </w:r>
      <w:r w:rsidR="00871C0F" w:rsidRPr="00AF57BF">
        <w:rPr>
          <w:szCs w:val="26"/>
        </w:rPr>
        <w:t>described the reality of the penalty phase decision making process</w:t>
      </w:r>
      <w:proofErr w:type="gramStart"/>
      <w:r w:rsidR="008E5D82" w:rsidRPr="00AF57BF">
        <w:rPr>
          <w:szCs w:val="26"/>
        </w:rPr>
        <w:t xml:space="preserve">:  </w:t>
      </w:r>
      <w:r w:rsidR="00871C0F" w:rsidRPr="00AF57BF">
        <w:rPr>
          <w:szCs w:val="26"/>
        </w:rPr>
        <w:t>“</w:t>
      </w:r>
      <w:proofErr w:type="gramEnd"/>
      <w:r w:rsidR="00496741" w:rsidRPr="00AF57BF">
        <w:rPr>
          <w:szCs w:val="26"/>
        </w:rPr>
        <w:t xml:space="preserve">Let’s stop.  </w:t>
      </w:r>
      <w:r w:rsidR="00D25D6C" w:rsidRPr="00AF57BF">
        <w:rPr>
          <w:szCs w:val="26"/>
        </w:rPr>
        <w:t xml:space="preserve">Think about it.  </w:t>
      </w:r>
      <w:r w:rsidR="00496741" w:rsidRPr="00AF57BF">
        <w:rPr>
          <w:szCs w:val="26"/>
        </w:rPr>
        <w:t xml:space="preserve">It’s not movies anymore.  It is not T.V., not filling out questionnaires.  </w:t>
      </w:r>
      <w:r w:rsidR="00EA0775" w:rsidRPr="00AF57BF">
        <w:rPr>
          <w:szCs w:val="26"/>
        </w:rPr>
        <w:t>It’s really</w:t>
      </w:r>
      <w:r w:rsidR="002F32C5" w:rsidRPr="00AF57BF">
        <w:rPr>
          <w:szCs w:val="26"/>
        </w:rPr>
        <w:t xml:space="preserve"> can you do it?  </w:t>
      </w:r>
      <w:r w:rsidR="00496741" w:rsidRPr="00AF57BF">
        <w:rPr>
          <w:szCs w:val="26"/>
        </w:rPr>
        <w:t>To sit on this jury, you have to be able to do that if it’s warranted</w:t>
      </w:r>
      <w:r w:rsidR="00EA0775" w:rsidRPr="00AF57BF">
        <w:rPr>
          <w:szCs w:val="26"/>
        </w:rPr>
        <w:t>.  A</w:t>
      </w:r>
      <w:r w:rsidR="00496741" w:rsidRPr="00AF57BF">
        <w:rPr>
          <w:szCs w:val="26"/>
        </w:rPr>
        <w:t>nd this is very real stuff</w:t>
      </w:r>
      <w:proofErr w:type="gramStart"/>
      <w:r w:rsidR="00496741" w:rsidRPr="00AF57BF">
        <w:rPr>
          <w:szCs w:val="26"/>
        </w:rPr>
        <w:t>. .</w:t>
      </w:r>
      <w:proofErr w:type="gramEnd"/>
      <w:r w:rsidR="00496741" w:rsidRPr="00AF57BF">
        <w:rPr>
          <w:szCs w:val="26"/>
        </w:rPr>
        <w:t> . </w:t>
      </w:r>
      <w:proofErr w:type="gramStart"/>
      <w:r w:rsidR="00496741" w:rsidRPr="00AF57BF">
        <w:rPr>
          <w:szCs w:val="26"/>
        </w:rPr>
        <w:t>.[</w:t>
      </w:r>
      <w:proofErr w:type="gramEnd"/>
      <w:r w:rsidR="00496741" w:rsidRPr="00AF57BF">
        <w:rPr>
          <w:szCs w:val="26"/>
        </w:rPr>
        <w:t xml:space="preserve">¶]  Is there anybody that has listened to what I’ve said </w:t>
      </w:r>
      <w:r w:rsidR="00EA0775" w:rsidRPr="00AF57BF">
        <w:rPr>
          <w:szCs w:val="26"/>
        </w:rPr>
        <w:t>and starting to think, w</w:t>
      </w:r>
      <w:r w:rsidR="00496741" w:rsidRPr="00AF57BF">
        <w:rPr>
          <w:szCs w:val="26"/>
        </w:rPr>
        <w:t>hoa, wait a minute, in front of the defendants, I am going to have to come back and return a verdict of death in front of them.  [</w:t>
      </w:r>
      <w:proofErr w:type="gramStart"/>
      <w:r w:rsidR="00496741" w:rsidRPr="00AF57BF">
        <w:rPr>
          <w:szCs w:val="26"/>
        </w:rPr>
        <w:t>¶]  Maybe</w:t>
      </w:r>
      <w:proofErr w:type="gramEnd"/>
      <w:r w:rsidR="00496741" w:rsidRPr="00AF57BF">
        <w:rPr>
          <w:szCs w:val="26"/>
        </w:rPr>
        <w:t xml:space="preserve"> with their family sitting out in the audience, I have to tell a mother that her son is going to be put to death?</w:t>
      </w:r>
      <w:r w:rsidR="00E8395E" w:rsidRPr="00AF57BF">
        <w:rPr>
          <w:szCs w:val="26"/>
        </w:rPr>
        <w:t xml:space="preserve">  [¶]  . . .</w:t>
      </w:r>
      <w:r w:rsidR="00B70B42" w:rsidRPr="00AF57BF">
        <w:rPr>
          <w:szCs w:val="26"/>
        </w:rPr>
        <w:t>  [</w:t>
      </w:r>
      <w:proofErr w:type="gramStart"/>
      <w:r w:rsidR="00B70B42" w:rsidRPr="00AF57BF">
        <w:rPr>
          <w:szCs w:val="26"/>
        </w:rPr>
        <w:t>¶]  </w:t>
      </w:r>
      <w:r w:rsidR="002E2D78" w:rsidRPr="00AF57BF">
        <w:rPr>
          <w:szCs w:val="26"/>
        </w:rPr>
        <w:t>Has</w:t>
      </w:r>
      <w:proofErr w:type="gramEnd"/>
      <w:r w:rsidR="002E2D78" w:rsidRPr="00AF57BF">
        <w:rPr>
          <w:szCs w:val="26"/>
        </w:rPr>
        <w:t xml:space="preserve"> anybody had any kind of change of heart, any change of feeling inside of them based on what I have said at all?”  </w:t>
      </w:r>
      <w:r w:rsidR="003E400E" w:rsidRPr="00AF57BF">
        <w:rPr>
          <w:szCs w:val="26"/>
        </w:rPr>
        <w:t xml:space="preserve">Prospective Juror No. 74 raised her hand and said, “I don’t think I </w:t>
      </w:r>
      <w:r w:rsidR="00212207" w:rsidRPr="00AF57BF">
        <w:rPr>
          <w:szCs w:val="26"/>
        </w:rPr>
        <w:t>could do it,</w:t>
      </w:r>
      <w:r w:rsidR="003E400E" w:rsidRPr="00AF57BF">
        <w:rPr>
          <w:szCs w:val="26"/>
        </w:rPr>
        <w:t>”</w:t>
      </w:r>
      <w:r w:rsidR="00212207" w:rsidRPr="00AF57BF">
        <w:rPr>
          <w:szCs w:val="26"/>
        </w:rPr>
        <w:t xml:space="preserve"> and</w:t>
      </w:r>
      <w:r w:rsidR="003E400E" w:rsidRPr="00AF57BF">
        <w:rPr>
          <w:szCs w:val="26"/>
        </w:rPr>
        <w:t xml:space="preserve"> confirmed it was her “final determination.” </w:t>
      </w:r>
      <w:r w:rsidR="002E4D12" w:rsidRPr="00AF57BF">
        <w:rPr>
          <w:szCs w:val="26"/>
        </w:rPr>
        <w:t xml:space="preserve"> </w:t>
      </w:r>
      <w:r w:rsidR="003E400E" w:rsidRPr="00AF57BF">
        <w:rPr>
          <w:szCs w:val="26"/>
        </w:rPr>
        <w:t xml:space="preserve">The court excused her for cause over defense objection.  </w:t>
      </w:r>
    </w:p>
    <w:p w:rsidR="003E400E" w:rsidRPr="00AF57BF" w:rsidRDefault="00212207" w:rsidP="00AF57BF">
      <w:pPr>
        <w:pStyle w:val="Heading4"/>
        <w:numPr>
          <w:ilvl w:val="0"/>
          <w:numId w:val="3"/>
        </w:numPr>
        <w:ind w:left="2016" w:hanging="432"/>
      </w:pPr>
      <w:bookmarkStart w:id="29" w:name="_Toc521674399"/>
      <w:r w:rsidRPr="00AF57BF">
        <w:t>Analysis</w:t>
      </w:r>
      <w:bookmarkEnd w:id="29"/>
    </w:p>
    <w:p w:rsidR="00212207" w:rsidRPr="00AF57BF" w:rsidRDefault="007D05BC" w:rsidP="00AF57BF">
      <w:pPr>
        <w:pStyle w:val="Text"/>
        <w:spacing w:line="400" w:lineRule="exact"/>
      </w:pPr>
      <w:r w:rsidRPr="00AF57BF">
        <w:t>Both</w:t>
      </w:r>
      <w:r w:rsidR="00A32B34" w:rsidRPr="00AF57BF">
        <w:t xml:space="preserve"> </w:t>
      </w:r>
      <w:r w:rsidR="00F17FAF" w:rsidRPr="00AF57BF">
        <w:t xml:space="preserve">the federal </w:t>
      </w:r>
      <w:r w:rsidRPr="00AF57BF">
        <w:t xml:space="preserve">and state </w:t>
      </w:r>
      <w:proofErr w:type="spellStart"/>
      <w:r w:rsidRPr="00AF57BF">
        <w:t>c</w:t>
      </w:r>
      <w:r w:rsidR="00F17FAF" w:rsidRPr="00AF57BF">
        <w:t>onstitution</w:t>
      </w:r>
      <w:r w:rsidRPr="00AF57BF">
        <w:t>s</w:t>
      </w:r>
      <w:proofErr w:type="spellEnd"/>
      <w:r w:rsidR="00F17FAF" w:rsidRPr="00AF57BF">
        <w:t xml:space="preserve"> guarantee criminal defendants the right to</w:t>
      </w:r>
      <w:r w:rsidR="001B7497" w:rsidRPr="00AF57BF">
        <w:t xml:space="preserve"> trial</w:t>
      </w:r>
      <w:r w:rsidR="00F17FAF" w:rsidRPr="00AF57BF">
        <w:t xml:space="preserve"> </w:t>
      </w:r>
      <w:r w:rsidR="001B7497" w:rsidRPr="00AF57BF">
        <w:t>before</w:t>
      </w:r>
      <w:r w:rsidR="00EE0D07" w:rsidRPr="00AF57BF">
        <w:t xml:space="preserve"> an impartial jury</w:t>
      </w:r>
      <w:r w:rsidR="00B34D45" w:rsidRPr="00AF57BF">
        <w:t xml:space="preserve">. </w:t>
      </w:r>
      <w:r w:rsidR="00EE0D07" w:rsidRPr="00AF57BF">
        <w:t xml:space="preserve"> (</w:t>
      </w:r>
      <w:r w:rsidR="001B7497" w:rsidRPr="00AF57BF">
        <w:rPr>
          <w:i/>
        </w:rPr>
        <w:t xml:space="preserve">Duncan v. Louisiana </w:t>
      </w:r>
      <w:r w:rsidR="001B7497" w:rsidRPr="00AF57BF">
        <w:t xml:space="preserve">(1968) 391 U.S. 145, 149–150; </w:t>
      </w:r>
      <w:r w:rsidR="008D7A3E" w:rsidRPr="00AF57BF">
        <w:rPr>
          <w:i/>
        </w:rPr>
        <w:t xml:space="preserve">Turner v. Louisiana </w:t>
      </w:r>
      <w:r w:rsidR="008D7A3E" w:rsidRPr="00AF57BF">
        <w:t xml:space="preserve">(1965) 379 U.S. 466, 471; </w:t>
      </w:r>
      <w:r w:rsidR="001B7497" w:rsidRPr="00AF57BF">
        <w:t xml:space="preserve">U.S. Const., 6th &amp; 14th </w:t>
      </w:r>
      <w:r w:rsidR="001B7497" w:rsidRPr="00AF57BF">
        <w:lastRenderedPageBreak/>
        <w:t>Amends.; Cal. Const., art. I, § 16</w:t>
      </w:r>
      <w:r w:rsidR="008D7A3E" w:rsidRPr="00AF57BF">
        <w:t>.</w:t>
      </w:r>
      <w:r w:rsidR="00EE0D07" w:rsidRPr="00AF57BF">
        <w:t>)</w:t>
      </w:r>
      <w:r w:rsidR="00B34D45" w:rsidRPr="00AF57BF">
        <w:t xml:space="preserve"> </w:t>
      </w:r>
      <w:r w:rsidR="00DE617C" w:rsidRPr="00AF57BF">
        <w:t xml:space="preserve"> </w:t>
      </w:r>
      <w:r w:rsidR="00B34D45" w:rsidRPr="00AF57BF">
        <w:t>P</w:t>
      </w:r>
      <w:r w:rsidR="00F22D11" w:rsidRPr="00AF57BF">
        <w:t xml:space="preserve">rospective jurors </w:t>
      </w:r>
      <w:r w:rsidR="00B34D45" w:rsidRPr="00AF57BF">
        <w:t>can</w:t>
      </w:r>
      <w:r w:rsidR="00F22D11" w:rsidRPr="00AF57BF">
        <w:t xml:space="preserve">not </w:t>
      </w:r>
      <w:r w:rsidR="00B34D45" w:rsidRPr="00AF57BF">
        <w:t xml:space="preserve">be </w:t>
      </w:r>
      <w:r w:rsidR="00F22D11" w:rsidRPr="00AF57BF">
        <w:t>excluded for cause simply because they voice general objections to the death penalty or express conscientious or religious scruples against its i</w:t>
      </w:r>
      <w:r w:rsidR="008D7A3E" w:rsidRPr="00AF57BF">
        <w:t>mposit</w:t>
      </w:r>
      <w:r w:rsidR="00F22D11" w:rsidRPr="00AF57BF">
        <w:t>ion.  (</w:t>
      </w:r>
      <w:r w:rsidR="00F22D11" w:rsidRPr="00AF57BF">
        <w:rPr>
          <w:i/>
        </w:rPr>
        <w:t>Witherspoon v. Illinois</w:t>
      </w:r>
      <w:r w:rsidR="00F22D11" w:rsidRPr="00AF57BF">
        <w:t xml:space="preserve"> (1968) </w:t>
      </w:r>
      <w:r w:rsidR="00A050A1" w:rsidRPr="00AF57BF">
        <w:t>391 </w:t>
      </w:r>
      <w:r w:rsidR="00F22D11" w:rsidRPr="00AF57BF">
        <w:t xml:space="preserve">U.S. 510, </w:t>
      </w:r>
      <w:r w:rsidR="0047379F" w:rsidRPr="00AF57BF">
        <w:t xml:space="preserve">522.)  </w:t>
      </w:r>
      <w:r w:rsidR="00B34D45" w:rsidRPr="00AF57BF">
        <w:t>P</w:t>
      </w:r>
      <w:r w:rsidR="00C85BBE" w:rsidRPr="00AF57BF">
        <w:t>rospective juror</w:t>
      </w:r>
      <w:r w:rsidR="00B34D45" w:rsidRPr="00AF57BF">
        <w:t>s</w:t>
      </w:r>
      <w:r w:rsidR="00C85BBE" w:rsidRPr="00AF57BF">
        <w:t xml:space="preserve"> in a capital case may be excluded for cause</w:t>
      </w:r>
      <w:r w:rsidR="00A050A1" w:rsidRPr="00AF57BF">
        <w:t>, however,</w:t>
      </w:r>
      <w:r w:rsidR="00C85BBE" w:rsidRPr="00AF57BF">
        <w:t xml:space="preserve"> if the</w:t>
      </w:r>
      <w:r w:rsidR="00B34D45" w:rsidRPr="00AF57BF">
        <w:t>ir</w:t>
      </w:r>
      <w:r w:rsidR="00C85BBE" w:rsidRPr="00AF57BF">
        <w:t xml:space="preserve"> views would prevent or substantially impair the performance of </w:t>
      </w:r>
      <w:r w:rsidR="00B34D45" w:rsidRPr="00AF57BF">
        <w:t>their</w:t>
      </w:r>
      <w:r w:rsidR="00C85BBE" w:rsidRPr="00AF57BF">
        <w:t xml:space="preserve"> duties.  (</w:t>
      </w:r>
      <w:r w:rsidR="00C85BBE" w:rsidRPr="00AF57BF">
        <w:rPr>
          <w:i/>
        </w:rPr>
        <w:t>Wainwright v. Witt</w:t>
      </w:r>
      <w:r w:rsidR="00370F55" w:rsidRPr="00AF57BF">
        <w:t xml:space="preserve">, </w:t>
      </w:r>
      <w:r w:rsidR="00370F55" w:rsidRPr="00AF57BF">
        <w:rPr>
          <w:i/>
        </w:rPr>
        <w:t>supra</w:t>
      </w:r>
      <w:r w:rsidR="00370F55" w:rsidRPr="00AF57BF">
        <w:t>,</w:t>
      </w:r>
      <w:r w:rsidR="00F22D11" w:rsidRPr="00AF57BF">
        <w:t xml:space="preserve"> </w:t>
      </w:r>
      <w:r w:rsidR="00A050A1" w:rsidRPr="00AF57BF">
        <w:t>469 </w:t>
      </w:r>
      <w:r w:rsidR="00370F55" w:rsidRPr="00AF57BF">
        <w:t>U.S. at p. </w:t>
      </w:r>
      <w:r w:rsidR="00F22D11" w:rsidRPr="00AF57BF">
        <w:t xml:space="preserve">424.)  </w:t>
      </w:r>
      <w:r w:rsidR="00A050A1" w:rsidRPr="00AF57BF">
        <w:t>“[I]n determining whether the removal of a potential juror would vindicate the State’s interest without violating the defendant’s right, the trial court makes a judgment based in part on the demeanor of the juror, a judgment owed deference by reviewing courts.”  (</w:t>
      </w:r>
      <w:proofErr w:type="spellStart"/>
      <w:r w:rsidR="00A050A1" w:rsidRPr="00AF57BF">
        <w:rPr>
          <w:i/>
        </w:rPr>
        <w:t>Uttecht</w:t>
      </w:r>
      <w:proofErr w:type="spellEnd"/>
      <w:r w:rsidR="00A050A1" w:rsidRPr="00AF57BF">
        <w:rPr>
          <w:i/>
        </w:rPr>
        <w:t xml:space="preserve"> v. Brown</w:t>
      </w:r>
      <w:r w:rsidR="00A050A1" w:rsidRPr="00AF57BF">
        <w:t xml:space="preserve"> (2007) 551 U.S.</w:t>
      </w:r>
      <w:r w:rsidR="001A21BB" w:rsidRPr="00AF57BF">
        <w:t xml:space="preserve"> 1, 9.)  </w:t>
      </w:r>
      <w:r w:rsidR="00E23427" w:rsidRPr="00AF57BF">
        <w:t>“When the prospective juror’</w:t>
      </w:r>
      <w:r w:rsidR="007B64B4" w:rsidRPr="00AF57BF">
        <w:t>s answers on voir dire are conflictin</w:t>
      </w:r>
      <w:r w:rsidR="00E23427" w:rsidRPr="00AF57BF">
        <w:t>g or equivocal, the trial court’</w:t>
      </w:r>
      <w:r w:rsidR="007B64B4" w:rsidRPr="00AF57BF">
        <w:t>s findi</w:t>
      </w:r>
      <w:r w:rsidR="00E23427" w:rsidRPr="00AF57BF">
        <w:t>ngs as to the prospective juror’</w:t>
      </w:r>
      <w:r w:rsidR="007B64B4" w:rsidRPr="00AF57BF">
        <w:t>s state of mind are binding on appellate courts if supported by substantial evidence.</w:t>
      </w:r>
      <w:r w:rsidR="00E23427" w:rsidRPr="00AF57BF">
        <w:t>”  (</w:t>
      </w:r>
      <w:r w:rsidR="00E23427" w:rsidRPr="00AF57BF">
        <w:rPr>
          <w:i/>
        </w:rPr>
        <w:t>People v. Duenas</w:t>
      </w:r>
      <w:r w:rsidR="00E23427" w:rsidRPr="00AF57BF">
        <w:t xml:space="preserve"> (2012) 55 Cal.4th 1, 10.)</w:t>
      </w:r>
      <w:r w:rsidR="007B64B4" w:rsidRPr="00AF57BF">
        <w:t xml:space="preserve"> </w:t>
      </w:r>
      <w:r w:rsidR="008D5F8D" w:rsidRPr="00AF57BF">
        <w:t xml:space="preserve">  </w:t>
      </w:r>
    </w:p>
    <w:p w:rsidR="00890A8A" w:rsidRPr="00AF57BF" w:rsidRDefault="00587460" w:rsidP="00AF57BF">
      <w:pPr>
        <w:pStyle w:val="Text"/>
        <w:spacing w:line="400" w:lineRule="exact"/>
      </w:pPr>
      <w:r w:rsidRPr="00AF57BF">
        <w:t>Defendants contend</w:t>
      </w:r>
      <w:r w:rsidR="00890A8A" w:rsidRPr="00AF57BF">
        <w:t xml:space="preserve"> that Prospective Juror No. 74’s questionnaire responses reflected a juror without a fixed opini</w:t>
      </w:r>
      <w:r w:rsidR="000A6627" w:rsidRPr="00AF57BF">
        <w:t xml:space="preserve">on regarding the death penalty, but one with concerns about herself returning a verdict </w:t>
      </w:r>
      <w:r w:rsidR="00EA0775" w:rsidRPr="00AF57BF">
        <w:t>that would end someone’s life.</w:t>
      </w:r>
      <w:r w:rsidR="000A6627" w:rsidRPr="00AF57BF">
        <w:t xml:space="preserve"> </w:t>
      </w:r>
      <w:r w:rsidR="00FE6E00" w:rsidRPr="00AF57BF">
        <w:t xml:space="preserve"> In urging error, t</w:t>
      </w:r>
      <w:r w:rsidR="002E1C00" w:rsidRPr="00AF57BF">
        <w:t>hey</w:t>
      </w:r>
      <w:r w:rsidR="0001729A" w:rsidRPr="00AF57BF">
        <w:t xml:space="preserve"> rely on</w:t>
      </w:r>
      <w:r w:rsidR="000A6627" w:rsidRPr="00AF57BF">
        <w:t xml:space="preserve"> state</w:t>
      </w:r>
      <w:r w:rsidR="00670D19" w:rsidRPr="00AF57BF">
        <w:t xml:space="preserve">ments </w:t>
      </w:r>
      <w:r w:rsidR="007B4EAE" w:rsidRPr="00AF57BF">
        <w:t xml:space="preserve">she made </w:t>
      </w:r>
      <w:r w:rsidR="00670D19" w:rsidRPr="00AF57BF">
        <w:t>during voir dire characterizing herself</w:t>
      </w:r>
      <w:r w:rsidR="007B4EAE" w:rsidRPr="00AF57BF">
        <w:t>, in the trial court’s taxonomy,</w:t>
      </w:r>
      <w:r w:rsidR="00670D19" w:rsidRPr="00AF57BF">
        <w:t xml:space="preserve"> as a “</w:t>
      </w:r>
      <w:r w:rsidR="007B4EAE" w:rsidRPr="00AF57BF">
        <w:t>category number four</w:t>
      </w:r>
      <w:r w:rsidR="00670D19" w:rsidRPr="00AF57BF">
        <w:t>” juror</w:t>
      </w:r>
      <w:r w:rsidR="007B4EAE" w:rsidRPr="00AF57BF">
        <w:t>, one who</w:t>
      </w:r>
      <w:r w:rsidR="00670D19" w:rsidRPr="00AF57BF">
        <w:t xml:space="preserve"> </w:t>
      </w:r>
      <w:r w:rsidR="000A6627" w:rsidRPr="00AF57BF">
        <w:t xml:space="preserve">would “lean </w:t>
      </w:r>
      <w:proofErr w:type="gramStart"/>
      <w:r w:rsidR="000A6627" w:rsidRPr="00AF57BF">
        <w:t>towards .</w:t>
      </w:r>
      <w:proofErr w:type="gramEnd"/>
      <w:r w:rsidR="000A6627" w:rsidRPr="00AF57BF">
        <w:t> . . [life] instead of death,” but could vote for death</w:t>
      </w:r>
      <w:r w:rsidR="007B4EAE" w:rsidRPr="00AF57BF">
        <w:t xml:space="preserve">, even though </w:t>
      </w:r>
      <w:r w:rsidR="00EA0775" w:rsidRPr="00AF57BF">
        <w:t>“</w:t>
      </w:r>
      <w:r w:rsidR="007B4EAE" w:rsidRPr="00AF57BF">
        <w:t>it would be hard,”</w:t>
      </w:r>
      <w:r w:rsidR="000A6627" w:rsidRPr="00AF57BF">
        <w:t xml:space="preserve"> if she “tho</w:t>
      </w:r>
      <w:r w:rsidR="007B4EAE" w:rsidRPr="00AF57BF">
        <w:t xml:space="preserve">ught the aggravating was </w:t>
      </w:r>
      <w:r w:rsidR="007B4EAE" w:rsidRPr="00AF57BF">
        <w:lastRenderedPageBreak/>
        <w:t>enough.</w:t>
      </w:r>
      <w:r w:rsidR="000A6627" w:rsidRPr="00AF57BF">
        <w:t>”</w:t>
      </w:r>
      <w:r w:rsidR="00BE2BB8" w:rsidRPr="00AF57BF">
        <w:rPr>
          <w:rStyle w:val="FootnoteReference"/>
        </w:rPr>
        <w:footnoteReference w:id="11"/>
      </w:r>
      <w:r w:rsidR="00BE2BB8" w:rsidRPr="00AF57BF">
        <w:t xml:space="preserve"> </w:t>
      </w:r>
      <w:r w:rsidR="000A6627" w:rsidRPr="00AF57BF">
        <w:t xml:space="preserve"> </w:t>
      </w:r>
      <w:r w:rsidR="000D4744" w:rsidRPr="00AF57BF">
        <w:t>They observe that</w:t>
      </w:r>
      <w:r w:rsidR="000A6627" w:rsidRPr="00AF57BF">
        <w:t xml:space="preserve"> it was only after the prosecutor </w:t>
      </w:r>
      <w:r w:rsidR="002E1C00" w:rsidRPr="00AF57BF">
        <w:t>asked whether</w:t>
      </w:r>
      <w:r w:rsidR="00C21DFA" w:rsidRPr="00AF57BF">
        <w:t xml:space="preserve"> any</w:t>
      </w:r>
      <w:r w:rsidR="007655B4" w:rsidRPr="00AF57BF">
        <w:t xml:space="preserve"> juror</w:t>
      </w:r>
      <w:r w:rsidR="002E1C00" w:rsidRPr="00AF57BF">
        <w:t xml:space="preserve"> </w:t>
      </w:r>
      <w:r w:rsidR="00E22AED" w:rsidRPr="00AF57BF">
        <w:t>had had a change of heart and could not return a death verdict before defendants and their family</w:t>
      </w:r>
      <w:r w:rsidR="00AB2681" w:rsidRPr="00AF57BF">
        <w:t xml:space="preserve"> </w:t>
      </w:r>
      <w:r w:rsidR="002E1C00" w:rsidRPr="00AF57BF">
        <w:t>that Prospective Juror No. 74 said</w:t>
      </w:r>
      <w:r w:rsidR="0001729A" w:rsidRPr="00AF57BF">
        <w:t>,</w:t>
      </w:r>
      <w:r w:rsidR="002E1C00" w:rsidRPr="00AF57BF">
        <w:t xml:space="preserve"> “I don’t think I could do it.” </w:t>
      </w:r>
      <w:r w:rsidR="002C4BBF" w:rsidRPr="00AF57BF">
        <w:t xml:space="preserve"> They maintain the question about defendants’ family overly emotionalized the inquiry.</w:t>
      </w:r>
    </w:p>
    <w:p w:rsidR="00BD2152" w:rsidRPr="00AF57BF" w:rsidRDefault="00FE6E00" w:rsidP="00AF57BF">
      <w:pPr>
        <w:pStyle w:val="Text"/>
        <w:spacing w:line="400" w:lineRule="exact"/>
      </w:pPr>
      <w:r w:rsidRPr="00AF57BF">
        <w:t xml:space="preserve">Prospective Juror No. 74 gave equivocal and conflicting answers </w:t>
      </w:r>
      <w:r w:rsidR="00B34D45" w:rsidRPr="00AF57BF">
        <w:t>throughout the process.  She obviously thought about her own views and did her best to explain them.  H</w:t>
      </w:r>
      <w:r w:rsidR="00E42646" w:rsidRPr="00AF57BF">
        <w:t>er final reply to the prosecutor’s questio</w:t>
      </w:r>
      <w:r w:rsidR="00BA40F8" w:rsidRPr="00AF57BF">
        <w:t>n</w:t>
      </w:r>
      <w:r w:rsidR="00E42646" w:rsidRPr="00AF57BF">
        <w:t xml:space="preserve"> constituted substantial evidence on which the t</w:t>
      </w:r>
      <w:r w:rsidR="00DA544D" w:rsidRPr="00AF57BF">
        <w:t>rial court could base its excusal</w:t>
      </w:r>
      <w:r w:rsidR="00BD2152" w:rsidRPr="00AF57BF">
        <w:t xml:space="preserve">.  </w:t>
      </w:r>
      <w:r w:rsidR="00CA5A99" w:rsidRPr="00AF57BF">
        <w:t>(</w:t>
      </w:r>
      <w:r w:rsidR="00CA5A99" w:rsidRPr="00AF57BF">
        <w:rPr>
          <w:i/>
        </w:rPr>
        <w:t>Peo</w:t>
      </w:r>
      <w:r w:rsidR="000C6DF4" w:rsidRPr="00AF57BF">
        <w:rPr>
          <w:i/>
        </w:rPr>
        <w:t xml:space="preserve">ple v. </w:t>
      </w:r>
      <w:proofErr w:type="spellStart"/>
      <w:r w:rsidR="000C6DF4" w:rsidRPr="00AF57BF">
        <w:rPr>
          <w:i/>
        </w:rPr>
        <w:t>Fuiava</w:t>
      </w:r>
      <w:proofErr w:type="spellEnd"/>
      <w:r w:rsidR="00CA5A99" w:rsidRPr="00AF57BF">
        <w:t xml:space="preserve"> (</w:t>
      </w:r>
      <w:r w:rsidR="007E7173" w:rsidRPr="00AF57BF">
        <w:t xml:space="preserve">2012) 53 Cal.4th 622, 659–661.)  </w:t>
      </w:r>
      <w:r w:rsidR="00D4092E" w:rsidRPr="00AF57BF">
        <w:t xml:space="preserve">There was nothing improper in the </w:t>
      </w:r>
      <w:r w:rsidR="00BA40F8" w:rsidRPr="00AF57BF">
        <w:t xml:space="preserve">prosecutor’s </w:t>
      </w:r>
      <w:r w:rsidR="00BB0C5F" w:rsidRPr="00AF57BF">
        <w:t>request that she</w:t>
      </w:r>
      <w:r w:rsidR="00BA40F8" w:rsidRPr="00AF57BF">
        <w:t xml:space="preserve"> </w:t>
      </w:r>
      <w:r w:rsidR="00C610AE" w:rsidRPr="00AF57BF">
        <w:t>assess</w:t>
      </w:r>
      <w:r w:rsidR="00BA40F8" w:rsidRPr="00AF57BF">
        <w:t xml:space="preserve"> her </w:t>
      </w:r>
      <w:r w:rsidR="00875083" w:rsidRPr="00AF57BF">
        <w:t xml:space="preserve">own </w:t>
      </w:r>
      <w:r w:rsidR="00C610AE" w:rsidRPr="00AF57BF">
        <w:t>ability to return a death verdict</w:t>
      </w:r>
      <w:r w:rsidR="00BA40F8" w:rsidRPr="00AF57BF">
        <w:t xml:space="preserve"> in the concrete situation in which she might fi</w:t>
      </w:r>
      <w:r w:rsidR="002C4BBF" w:rsidRPr="00AF57BF">
        <w:t>nd herself if she served</w:t>
      </w:r>
      <w:r w:rsidR="00BA40F8" w:rsidRPr="00AF57BF">
        <w:t xml:space="preserve">.  </w:t>
      </w:r>
      <w:r w:rsidR="00BD2152" w:rsidRPr="00AF57BF">
        <w:t>There was</w:t>
      </w:r>
      <w:r w:rsidR="00E42646" w:rsidRPr="00AF57BF">
        <w:t xml:space="preserve"> no erro</w:t>
      </w:r>
      <w:r w:rsidR="00DA544D" w:rsidRPr="00AF57BF">
        <w:t>r</w:t>
      </w:r>
      <w:r w:rsidR="00E42646" w:rsidRPr="00AF57BF">
        <w:t>.</w:t>
      </w:r>
    </w:p>
    <w:p w:rsidR="00FE6E00" w:rsidRPr="00AF57BF" w:rsidRDefault="00DE1C60" w:rsidP="00AF57BF">
      <w:pPr>
        <w:pStyle w:val="Heading2"/>
        <w:ind w:left="720" w:firstLine="0"/>
      </w:pPr>
      <w:bookmarkStart w:id="30" w:name="_Toc521674400"/>
      <w:r w:rsidRPr="00AF57BF">
        <w:t>B.</w:t>
      </w:r>
      <w:r w:rsidRPr="00AF57BF">
        <w:tab/>
      </w:r>
      <w:r w:rsidR="00D21BE8" w:rsidRPr="00AF57BF">
        <w:t>Guilt Phase Issues</w:t>
      </w:r>
      <w:bookmarkEnd w:id="30"/>
    </w:p>
    <w:p w:rsidR="00D21BE8" w:rsidRPr="00AF57BF" w:rsidRDefault="00EA0775" w:rsidP="00AF57BF">
      <w:pPr>
        <w:pStyle w:val="Heading3"/>
        <w:numPr>
          <w:ilvl w:val="0"/>
          <w:numId w:val="4"/>
        </w:numPr>
        <w:ind w:left="1584" w:hanging="432"/>
      </w:pPr>
      <w:bookmarkStart w:id="31" w:name="_Toc521674401"/>
      <w:r w:rsidRPr="00AF57BF">
        <w:t>Courtroom S</w:t>
      </w:r>
      <w:r w:rsidR="00D21BE8" w:rsidRPr="00AF57BF">
        <w:t>ecurity</w:t>
      </w:r>
      <w:bookmarkEnd w:id="31"/>
    </w:p>
    <w:p w:rsidR="00D21BE8" w:rsidRPr="00AF57BF" w:rsidRDefault="00F33BA0" w:rsidP="00AF57BF">
      <w:pPr>
        <w:pStyle w:val="Text"/>
        <w:spacing w:line="400" w:lineRule="exact"/>
      </w:pPr>
      <w:r w:rsidRPr="00AF57BF">
        <w:t>Defendants contend their rights to a fair trial, present</w:t>
      </w:r>
      <w:r w:rsidR="00197C42" w:rsidRPr="00AF57BF">
        <w:t>ation of</w:t>
      </w:r>
      <w:r w:rsidRPr="00AF57BF">
        <w:t xml:space="preserve"> a defense, and the presumption of innocence were prejudiced by heightened courtroom security measures not based on case-specific reasons.  </w:t>
      </w:r>
      <w:r w:rsidR="00197C42" w:rsidRPr="00AF57BF">
        <w:t>T</w:t>
      </w:r>
      <w:r w:rsidR="00FC2FAB" w:rsidRPr="00AF57BF">
        <w:t>hey claim</w:t>
      </w:r>
      <w:r w:rsidR="00197C42" w:rsidRPr="00AF57BF">
        <w:t xml:space="preserve"> the court</w:t>
      </w:r>
      <w:r w:rsidR="000851DE" w:rsidRPr="00AF57BF">
        <w:t xml:space="preserve"> deferr</w:t>
      </w:r>
      <w:r w:rsidR="00197C42" w:rsidRPr="00AF57BF">
        <w:t>ed</w:t>
      </w:r>
      <w:r w:rsidR="000851DE" w:rsidRPr="00AF57BF">
        <w:t xml:space="preserve"> to the sheriff regarding the level of security and </w:t>
      </w:r>
      <w:r w:rsidRPr="00AF57BF">
        <w:t>fail</w:t>
      </w:r>
      <w:r w:rsidR="00197C42" w:rsidRPr="00AF57BF">
        <w:t>ed</w:t>
      </w:r>
      <w:r w:rsidRPr="00AF57BF">
        <w:t xml:space="preserve"> to state on the record why the need for the</w:t>
      </w:r>
      <w:r w:rsidR="007B6CFF" w:rsidRPr="00AF57BF">
        <w:t xml:space="preserve"> measures </w:t>
      </w:r>
      <w:r w:rsidR="00197C42" w:rsidRPr="00AF57BF">
        <w:t xml:space="preserve">employed </w:t>
      </w:r>
      <w:r w:rsidR="007B6CFF" w:rsidRPr="00AF57BF">
        <w:lastRenderedPageBreak/>
        <w:t xml:space="preserve">outweighed potential prejudice to the defendants.  </w:t>
      </w:r>
      <w:r w:rsidR="00505A25" w:rsidRPr="00AF57BF">
        <w:t>We</w:t>
      </w:r>
      <w:r w:rsidR="007B6CFF" w:rsidRPr="00AF57BF">
        <w:t xml:space="preserve"> reject the contention.</w:t>
      </w:r>
    </w:p>
    <w:p w:rsidR="00E22AED" w:rsidRPr="00AF57BF" w:rsidRDefault="00570B86" w:rsidP="00AF57BF">
      <w:pPr>
        <w:pStyle w:val="Text"/>
        <w:spacing w:line="400" w:lineRule="exact"/>
      </w:pPr>
      <w:r w:rsidRPr="00AF57BF">
        <w:t xml:space="preserve">At the start of jury selection, </w:t>
      </w:r>
      <w:r w:rsidR="002C4BBF" w:rsidRPr="00AF57BF">
        <w:t xml:space="preserve">there were </w:t>
      </w:r>
      <w:r w:rsidRPr="00AF57BF">
        <w:t>eight u</w:t>
      </w:r>
      <w:r w:rsidR="002C4BBF" w:rsidRPr="00AF57BF">
        <w:t>niformed deputy sheriffs</w:t>
      </w:r>
      <w:r w:rsidR="008D7A3E" w:rsidRPr="00AF57BF">
        <w:t xml:space="preserve"> in</w:t>
      </w:r>
      <w:r w:rsidRPr="00AF57BF">
        <w:t xml:space="preserve"> the courtroom.  </w:t>
      </w:r>
      <w:r w:rsidR="00932136" w:rsidRPr="00AF57BF">
        <w:t xml:space="preserve">Counsel for </w:t>
      </w:r>
      <w:proofErr w:type="spellStart"/>
      <w:r w:rsidR="00932136" w:rsidRPr="00AF57BF">
        <w:t>Amezcua</w:t>
      </w:r>
      <w:proofErr w:type="spellEnd"/>
      <w:r w:rsidR="00932136" w:rsidRPr="00AF57BF">
        <w:t xml:space="preserve"> objected, saying, “I think that it’s onerous.  I think that this is a difficult enough case without having the impression that would be left by having so many </w:t>
      </w:r>
      <w:proofErr w:type="gramStart"/>
      <w:r w:rsidR="00932136" w:rsidRPr="00AF57BF">
        <w:t>sheriff</w:t>
      </w:r>
      <w:r w:rsidR="00EA0775" w:rsidRPr="00AF57BF">
        <w:rPr>
          <w:vertAlign w:val="superscript"/>
        </w:rPr>
        <w:t>[</w:t>
      </w:r>
      <w:proofErr w:type="gramEnd"/>
      <w:r w:rsidR="009F1F95" w:rsidRPr="00AF57BF">
        <w:t>’</w:t>
      </w:r>
      <w:r w:rsidR="00EA0775" w:rsidRPr="00AF57BF">
        <w:rPr>
          <w:vertAlign w:val="superscript"/>
        </w:rPr>
        <w:t>]</w:t>
      </w:r>
      <w:r w:rsidR="00932136" w:rsidRPr="00AF57BF">
        <w:t>s deputies sitting in the courtroom throughout this trial, so I would object to the number of sheriffs that are here.</w:t>
      </w:r>
      <w:r w:rsidR="0011621A" w:rsidRPr="00AF57BF">
        <w:t xml:space="preserve">  [</w:t>
      </w:r>
      <w:proofErr w:type="gramStart"/>
      <w:r w:rsidR="0011621A" w:rsidRPr="00AF57BF">
        <w:t>¶]  My</w:t>
      </w:r>
      <w:proofErr w:type="gramEnd"/>
      <w:r w:rsidR="0011621A" w:rsidRPr="00AF57BF">
        <w:t xml:space="preserve"> understanding is that neither of these gentlemen, Mr. </w:t>
      </w:r>
      <w:proofErr w:type="spellStart"/>
      <w:r w:rsidR="0011621A" w:rsidRPr="00AF57BF">
        <w:t>Amezcua</w:t>
      </w:r>
      <w:proofErr w:type="spellEnd"/>
      <w:r w:rsidR="0011621A" w:rsidRPr="00AF57BF">
        <w:t xml:space="preserve"> or Mr. Flores, have acted up in court and that at this point, there is no reason for that kind of a security detail to be present in front of the jury.</w:t>
      </w:r>
      <w:r w:rsidR="00932136" w:rsidRPr="00AF57BF">
        <w:t xml:space="preserve">”  </w:t>
      </w:r>
      <w:r w:rsidR="0011621A" w:rsidRPr="00AF57BF">
        <w:t>Counsel for Flores joined in the objection.  The court replied, “I normally leave security issues up to the bailiffs, to the experts.  I feel that in this case, given that there have been a number of incidents at the jail, that there is understandably some concern above that present in most cases.  I will watch the issue.  [</w:t>
      </w:r>
      <w:proofErr w:type="gramStart"/>
      <w:r w:rsidR="0011621A" w:rsidRPr="00AF57BF">
        <w:t>¶]  I</w:t>
      </w:r>
      <w:proofErr w:type="gramEnd"/>
      <w:r w:rsidR="0011621A" w:rsidRPr="00AF57BF">
        <w:t xml:space="preserve"> feel that I am going to allow the number of bailiffs to remain for today.  I feel that this is going to be very quick.  The jurors are going to be in and out in a matter of minutes.</w:t>
      </w:r>
      <w:r w:rsidR="00EA0775" w:rsidRPr="00AF57BF">
        <w:rPr>
          <w:vertAlign w:val="superscript"/>
        </w:rPr>
        <w:t>[</w:t>
      </w:r>
      <w:r w:rsidR="001830D6" w:rsidRPr="00AF57BF">
        <w:rPr>
          <w:rStyle w:val="FootnoteReference"/>
        </w:rPr>
        <w:footnoteReference w:id="12"/>
      </w:r>
      <w:r w:rsidR="00EA0775" w:rsidRPr="00AF57BF">
        <w:rPr>
          <w:vertAlign w:val="superscript"/>
        </w:rPr>
        <w:t>]</w:t>
      </w:r>
      <w:r w:rsidR="0011621A" w:rsidRPr="00AF57BF">
        <w:t xml:space="preserve">  I will give some additional thought to the number of bailiffs that are necessary, but given the fact that we have two defendants, we have had a number of incidents at the jail, I think it’s </w:t>
      </w:r>
      <w:r w:rsidR="00EE4B1E" w:rsidRPr="00AF57BF">
        <w:t>important for us to have what the security people call a show of force.  [</w:t>
      </w:r>
      <w:proofErr w:type="gramStart"/>
      <w:r w:rsidR="00EE4B1E" w:rsidRPr="00AF57BF">
        <w:t>¶]  My</w:t>
      </w:r>
      <w:proofErr w:type="gramEnd"/>
      <w:r w:rsidR="00EE4B1E" w:rsidRPr="00AF57BF">
        <w:t xml:space="preserve"> thought is that once we get going with the trial, and I do expect that there will be no problems.  I think that </w:t>
      </w:r>
      <w:r w:rsidR="00EE4B1E" w:rsidRPr="00AF57BF">
        <w:lastRenderedPageBreak/>
        <w:t xml:space="preserve">Mr. </w:t>
      </w:r>
      <w:proofErr w:type="spellStart"/>
      <w:r w:rsidR="00EE4B1E" w:rsidRPr="00AF57BF">
        <w:t>Amezcua</w:t>
      </w:r>
      <w:proofErr w:type="spellEnd"/>
      <w:r w:rsidR="00EE4B1E" w:rsidRPr="00AF57BF">
        <w:t xml:space="preserve"> and Mr. Flores have conducted themselves in a very appropriate manner at all times with this court, and I think that once we get going, that the sheriff will see that there is probably not the need to have such a number of bailiffs, but your objection is noted for the record.”  </w:t>
      </w:r>
    </w:p>
    <w:p w:rsidR="007B6CFF" w:rsidRPr="00AF57BF" w:rsidRDefault="00EE4B1E" w:rsidP="00AF57BF">
      <w:pPr>
        <w:pStyle w:val="Text"/>
        <w:spacing w:line="400" w:lineRule="exact"/>
      </w:pPr>
      <w:r w:rsidRPr="00AF57BF">
        <w:t xml:space="preserve">Counsel for </w:t>
      </w:r>
      <w:proofErr w:type="spellStart"/>
      <w:r w:rsidRPr="00AF57BF">
        <w:t>Amezcua</w:t>
      </w:r>
      <w:proofErr w:type="spellEnd"/>
      <w:r w:rsidRPr="00AF57BF">
        <w:t xml:space="preserve"> noted that both defenda</w:t>
      </w:r>
      <w:r w:rsidR="004F2B2E" w:rsidRPr="00AF57BF">
        <w:t>nts were belted to their chairs</w:t>
      </w:r>
      <w:r w:rsidRPr="00AF57BF">
        <w:t xml:space="preserve"> with one hand cuffed to their </w:t>
      </w:r>
      <w:proofErr w:type="gramStart"/>
      <w:r w:rsidRPr="00AF57BF">
        <w:t>belt</w:t>
      </w:r>
      <w:r w:rsidR="007974F6" w:rsidRPr="00AF57BF">
        <w:t>, and</w:t>
      </w:r>
      <w:proofErr w:type="gramEnd"/>
      <w:r w:rsidR="007974F6" w:rsidRPr="00AF57BF">
        <w:t xml:space="preserve"> expressed doubt that either defendant could even stand up</w:t>
      </w:r>
      <w:r w:rsidR="004F2B2E" w:rsidRPr="00AF57BF">
        <w:t>.  T</w:t>
      </w:r>
      <w:r w:rsidR="002113F7" w:rsidRPr="00AF57BF">
        <w:t>he court observed that the defense table had been draped to prevent pros</w:t>
      </w:r>
      <w:r w:rsidR="0054719E" w:rsidRPr="00AF57BF">
        <w:t xml:space="preserve">pective jurors from seeing </w:t>
      </w:r>
      <w:r w:rsidR="002113F7" w:rsidRPr="00AF57BF">
        <w:t>def</w:t>
      </w:r>
      <w:r w:rsidR="0054719E" w:rsidRPr="00AF57BF">
        <w:t>endant</w:t>
      </w:r>
      <w:r w:rsidR="00286A49" w:rsidRPr="00AF57BF">
        <w:t>s</w:t>
      </w:r>
      <w:r w:rsidR="0054719E" w:rsidRPr="00AF57BF">
        <w:t>’</w:t>
      </w:r>
      <w:r w:rsidR="00342EE7" w:rsidRPr="00AF57BF">
        <w:t xml:space="preserve"> </w:t>
      </w:r>
      <w:r w:rsidR="00286A49" w:rsidRPr="00AF57BF">
        <w:t>cuffed hand</w:t>
      </w:r>
      <w:r w:rsidR="0054719E" w:rsidRPr="00AF57BF">
        <w:t>s</w:t>
      </w:r>
      <w:r w:rsidR="002113F7" w:rsidRPr="00AF57BF">
        <w:t xml:space="preserve">.  </w:t>
      </w:r>
      <w:r w:rsidR="00E07F69" w:rsidRPr="00AF57BF">
        <w:t>Counsel for Flores objected, arguing that jurors would be able to infer that defendants were shackled</w:t>
      </w:r>
      <w:r w:rsidR="009A7C53" w:rsidRPr="00AF57BF">
        <w:t xml:space="preserve"> from the fact only their left hands would be above the table</w:t>
      </w:r>
      <w:r w:rsidR="00BE7846" w:rsidRPr="00AF57BF">
        <w:t>.  The court overruled the objection</w:t>
      </w:r>
      <w:r w:rsidR="00E07F69" w:rsidRPr="00AF57BF">
        <w:t>, noting that precautions had to be taken in this case</w:t>
      </w:r>
      <w:r w:rsidR="00286A49" w:rsidRPr="00AF57BF">
        <w:t>.  S</w:t>
      </w:r>
      <w:r w:rsidR="004F2B2E" w:rsidRPr="00AF57BF">
        <w:t xml:space="preserve">hortly thereafter prospective jurors </w:t>
      </w:r>
      <w:r w:rsidR="00286A49" w:rsidRPr="00AF57BF">
        <w:t>entered</w:t>
      </w:r>
      <w:r w:rsidR="004F2B2E" w:rsidRPr="00AF57BF">
        <w:t xml:space="preserve"> the courtroom</w:t>
      </w:r>
      <w:r w:rsidR="00E07F69" w:rsidRPr="00AF57BF">
        <w:t xml:space="preserve">.  </w:t>
      </w:r>
      <w:r w:rsidR="004F2B2E" w:rsidRPr="00AF57BF">
        <w:t xml:space="preserve">The record does not reflect whether </w:t>
      </w:r>
      <w:r w:rsidR="008D7A3E" w:rsidRPr="00AF57BF">
        <w:t xml:space="preserve">these </w:t>
      </w:r>
      <w:r w:rsidR="004F2B2E" w:rsidRPr="00AF57BF">
        <w:t xml:space="preserve">security arrangements were </w:t>
      </w:r>
      <w:r w:rsidR="008D7A3E" w:rsidRPr="00AF57BF">
        <w:t>maintained</w:t>
      </w:r>
      <w:r w:rsidR="004F2B2E" w:rsidRPr="00AF57BF">
        <w:t xml:space="preserve"> during the </w:t>
      </w:r>
      <w:r w:rsidR="008D7A3E" w:rsidRPr="00AF57BF">
        <w:t>rest of the proceedings.  T</w:t>
      </w:r>
      <w:r w:rsidR="004F2B2E" w:rsidRPr="00AF57BF">
        <w:t>he defense made no further objections on this topic.</w:t>
      </w:r>
    </w:p>
    <w:p w:rsidR="00836FFA" w:rsidRPr="00AF57BF" w:rsidRDefault="00331B6A" w:rsidP="00AF57BF">
      <w:pPr>
        <w:pStyle w:val="Text"/>
        <w:spacing w:line="400" w:lineRule="exact"/>
      </w:pPr>
      <w:r w:rsidRPr="00AF57BF">
        <w:t>“We begin with the familiar principle that a ‘trial court has broad power to maintain courtroom security and orderly proceedings.  [Citation</w:t>
      </w:r>
      <w:r w:rsidR="00342EE7" w:rsidRPr="00AF57BF">
        <w:t>s</w:t>
      </w:r>
      <w:r w:rsidRPr="00AF57BF">
        <w:t>.]</w:t>
      </w:r>
      <w:r w:rsidR="00EA0775" w:rsidRPr="00AF57BF">
        <w:t>’  [Citation.]</w:t>
      </w:r>
      <w:r w:rsidRPr="00AF57BF">
        <w:t xml:space="preserve">  For this reason, decisions regarding security measures in the courtroom are generally reviewed for abuse of discretion.  [Citations.]  [</w:t>
      </w:r>
      <w:proofErr w:type="gramStart"/>
      <w:r w:rsidRPr="00AF57BF">
        <w:t>¶]  However</w:t>
      </w:r>
      <w:proofErr w:type="gramEnd"/>
      <w:r w:rsidRPr="00AF57BF">
        <w:t>, despite our traditional deference to the trial court in this area, some extraordinary security practices carry an inordinate risk of infringing upon a criminal defendant’s right to a fair trial.  These exceptional practices must be justified by a particularized showing of manifest need sufficient to overcome the substantial risk of prejudice they pose.  For example, visib</w:t>
      </w:r>
      <w:r w:rsidR="00302D2A" w:rsidRPr="00AF57BF">
        <w:t>le</w:t>
      </w:r>
      <w:r w:rsidR="00EA0775" w:rsidRPr="00AF57BF">
        <w:t xml:space="preserve"> physical</w:t>
      </w:r>
      <w:r w:rsidR="00302D2A" w:rsidRPr="00AF57BF">
        <w:t xml:space="preserve"> restraints like handcuffs or</w:t>
      </w:r>
      <w:r w:rsidRPr="00AF57BF">
        <w:t xml:space="preserve"> leg irons may erode </w:t>
      </w:r>
      <w:r w:rsidRPr="00AF57BF">
        <w:lastRenderedPageBreak/>
        <w:t xml:space="preserve">the presumption of innocence because </w:t>
      </w:r>
      <w:r w:rsidR="00AB0B75" w:rsidRPr="00AF57BF">
        <w:t>they suggest to the jury that the defendant is a dangerous person who must be separated from the rest of the community.  [Citations</w:t>
      </w:r>
      <w:proofErr w:type="gramStart"/>
      <w:r w:rsidR="00AB0B75" w:rsidRPr="00AF57BF">
        <w:t xml:space="preserve">.]  </w:t>
      </w:r>
      <w:r w:rsidR="00AE312A" w:rsidRPr="00AF57BF">
        <w:t>.</w:t>
      </w:r>
      <w:proofErr w:type="gramEnd"/>
      <w:r w:rsidR="00AE312A" w:rsidRPr="00AF57BF">
        <w:t> . .</w:t>
      </w:r>
      <w:r w:rsidR="006D7E3D" w:rsidRPr="00AF57BF">
        <w:t xml:space="preserve">  In addition to their prejudicial effect on the jury, shackles may distract or embarrass a defendant, potentially impairing his ability to participate in his defense or serve as a competent witness on</w:t>
      </w:r>
      <w:r w:rsidR="00E90146" w:rsidRPr="00AF57BF">
        <w:t xml:space="preserve"> his own behalf.  [Citations.</w:t>
      </w:r>
      <w:proofErr w:type="gramStart"/>
      <w:r w:rsidR="00E90146" w:rsidRPr="00AF57BF">
        <w:t>] .</w:t>
      </w:r>
      <w:proofErr w:type="gramEnd"/>
      <w:r w:rsidR="00E90146" w:rsidRPr="00AF57BF">
        <w:t> . .  [</w:t>
      </w:r>
      <w:proofErr w:type="gramStart"/>
      <w:r w:rsidR="00E90146" w:rsidRPr="00AF57BF">
        <w:t>¶]  Because</w:t>
      </w:r>
      <w:proofErr w:type="gramEnd"/>
      <w:r w:rsidR="00E90146" w:rsidRPr="00AF57BF">
        <w:t xml:space="preserve"> physical restraints carry such risks, the United States Supreme Court has long considered their use inherently prejudicial.  [Citations.]  Thus, a criminal defendant may not appear before the jury in shackles unless the trial court has found that the restraints are justified by a state interest specific to the particular trial.  </w:t>
      </w:r>
      <w:r w:rsidR="007B04EC" w:rsidRPr="00AF57BF">
        <w:t>[Cita</w:t>
      </w:r>
      <w:r w:rsidR="001935D8" w:rsidRPr="00AF57BF">
        <w:t>tion</w:t>
      </w:r>
      <w:proofErr w:type="gramStart"/>
      <w:r w:rsidR="001935D8" w:rsidRPr="00AF57BF">
        <w:t>.]  .</w:t>
      </w:r>
      <w:proofErr w:type="gramEnd"/>
      <w:r w:rsidR="001935D8" w:rsidRPr="00AF57BF">
        <w:t> . . </w:t>
      </w:r>
      <w:r w:rsidR="00302D2A" w:rsidRPr="00AF57BF">
        <w:t xml:space="preserve">[¶] . . . </w:t>
      </w:r>
      <w:r w:rsidR="001935D8" w:rsidRPr="00AF57BF">
        <w:t>[</w:t>
      </w:r>
      <w:proofErr w:type="gramStart"/>
      <w:r w:rsidR="001935D8" w:rsidRPr="00AF57BF">
        <w:t>¶]  But</w:t>
      </w:r>
      <w:proofErr w:type="gramEnd"/>
      <w:r w:rsidR="001935D8" w:rsidRPr="00AF57BF">
        <w:t xml:space="preserve"> the stringent showing required for physical restraints like shackles is the exception, not the rule.  Security measures that are not inherently prejudicial need not be justified by a demonstration of extraordinary need.  [Citations.]  In contrast to physical restraints placed on the defendant’s person, we have upheld most other security practices when based on proper exercises of discretion</w:t>
      </w:r>
      <w:proofErr w:type="gramStart"/>
      <w:r w:rsidR="001935D8" w:rsidRPr="00AF57BF">
        <w:t>. .</w:t>
      </w:r>
      <w:proofErr w:type="gramEnd"/>
      <w:r w:rsidR="001935D8" w:rsidRPr="00AF57BF">
        <w:t xml:space="preserve"> . . </w:t>
      </w:r>
      <w:r w:rsidR="00811851">
        <w:t>[Citations</w:t>
      </w:r>
      <w:proofErr w:type="gramStart"/>
      <w:r w:rsidR="00811851">
        <w:t>.]  .</w:t>
      </w:r>
      <w:proofErr w:type="gramEnd"/>
      <w:r w:rsidR="00811851">
        <w:t xml:space="preserve"> . .  </w:t>
      </w:r>
      <w:r w:rsidR="001935D8" w:rsidRPr="00AF57BF">
        <w:t xml:space="preserve">[W]e </w:t>
      </w:r>
      <w:proofErr w:type="gramStart"/>
      <w:r w:rsidR="001935D8" w:rsidRPr="00AF57BF">
        <w:t>have</w:t>
      </w:r>
      <w:proofErr w:type="gramEnd"/>
      <w:r w:rsidR="001935D8" w:rsidRPr="00AF57BF">
        <w:t xml:space="preserve"> consistently upheld the stationing of security or law enforcement officers in the courtroom.”  </w:t>
      </w:r>
      <w:r w:rsidR="007C5D5D" w:rsidRPr="00AF57BF">
        <w:t>(</w:t>
      </w:r>
      <w:r w:rsidR="007C5D5D" w:rsidRPr="00AF57BF">
        <w:rPr>
          <w:i/>
        </w:rPr>
        <w:t>People v. Stevens</w:t>
      </w:r>
      <w:r w:rsidR="007C5D5D" w:rsidRPr="00AF57BF">
        <w:t xml:space="preserve"> (</w:t>
      </w:r>
      <w:r w:rsidR="001935D8" w:rsidRPr="00AF57BF">
        <w:t>2009) 47 </w:t>
      </w:r>
      <w:r w:rsidR="009728C8" w:rsidRPr="00AF57BF">
        <w:t>Cal.4th 625, 632–634</w:t>
      </w:r>
      <w:r w:rsidR="006D7E3D" w:rsidRPr="00AF57BF">
        <w:t>.)</w:t>
      </w:r>
      <w:r w:rsidR="001935D8" w:rsidRPr="00AF57BF">
        <w:t xml:space="preserve">  </w:t>
      </w:r>
    </w:p>
    <w:p w:rsidR="00842521" w:rsidRPr="00AF57BF" w:rsidRDefault="00A6202A" w:rsidP="00AF57BF">
      <w:pPr>
        <w:pStyle w:val="Text"/>
        <w:spacing w:line="400" w:lineRule="exact"/>
      </w:pPr>
      <w:r w:rsidRPr="00AF57BF">
        <w:t xml:space="preserve">In </w:t>
      </w:r>
      <w:r w:rsidRPr="00AF57BF">
        <w:rPr>
          <w:i/>
        </w:rPr>
        <w:t xml:space="preserve">Holbrook v. Flynn </w:t>
      </w:r>
      <w:r w:rsidRPr="00AF57BF">
        <w:t xml:space="preserve">(1986) 475 U.S. 560, </w:t>
      </w:r>
      <w:r w:rsidR="006D0508" w:rsidRPr="00AF57BF">
        <w:t>Justice Marshall</w:t>
      </w:r>
      <w:r w:rsidR="00CB3C3E" w:rsidRPr="00AF57BF">
        <w:t xml:space="preserve"> </w:t>
      </w:r>
      <w:r w:rsidRPr="00AF57BF">
        <w:t xml:space="preserve">explained </w:t>
      </w:r>
      <w:r w:rsidR="006D0508" w:rsidRPr="00AF57BF">
        <w:t>why</w:t>
      </w:r>
      <w:r w:rsidRPr="00AF57BF">
        <w:t xml:space="preserve"> different rules </w:t>
      </w:r>
      <w:r w:rsidR="006D0508" w:rsidRPr="00AF57BF">
        <w:t xml:space="preserve">apply to </w:t>
      </w:r>
      <w:r w:rsidRPr="00AF57BF">
        <w:t xml:space="preserve">physical restraints and the deployment of security personnel.  “The chief feature that distinguishes the use of identifiable security officers from courtroom practices we might find inherently prejudicial is the wider range of inferences that a juror might reasonably draw from the officers’ presence.  While shackling and prison clothes are unmistakable indications of the need to separate a </w:t>
      </w:r>
      <w:r w:rsidRPr="00AF57BF">
        <w:lastRenderedPageBreak/>
        <w:t>defendant from the community at large, the presence of guards at a defendant’s trial need not be interpreted as a sign that he is parti</w:t>
      </w:r>
      <w:r w:rsidR="005B19BE" w:rsidRPr="00AF57BF">
        <w:t>cularly dangerous or culpable</w:t>
      </w:r>
      <w:proofErr w:type="gramStart"/>
      <w:r w:rsidR="005B19BE" w:rsidRPr="00AF57BF">
        <w:t xml:space="preserve">. </w:t>
      </w:r>
      <w:r w:rsidR="00B2742F" w:rsidRPr="00AF57BF">
        <w:t>.</w:t>
      </w:r>
      <w:proofErr w:type="gramEnd"/>
      <w:r w:rsidR="00B2742F" w:rsidRPr="00AF57BF">
        <w:t> . . </w:t>
      </w:r>
      <w:r w:rsidR="0037736A" w:rsidRPr="00AF57BF">
        <w:t xml:space="preserve"> </w:t>
      </w:r>
      <w:r w:rsidR="00B2742F" w:rsidRPr="00AF57BF">
        <w:t>Our society has become inured to the presence of armed guards in most public places; they are doubtless taken for granted so long as their numbers or weaponry do not suggest particular official concern or alarm.</w:t>
      </w:r>
      <w:r w:rsidR="00842521" w:rsidRPr="00AF57BF">
        <w:t>”</w:t>
      </w:r>
      <w:r w:rsidR="00B2742F" w:rsidRPr="00AF57BF">
        <w:t xml:space="preserve">  (</w:t>
      </w:r>
      <w:r w:rsidR="00B2742F" w:rsidRPr="00AF57BF">
        <w:rPr>
          <w:i/>
        </w:rPr>
        <w:t>Id.</w:t>
      </w:r>
      <w:r w:rsidR="00B2742F" w:rsidRPr="00AF57BF">
        <w:t xml:space="preserve"> at p. 569.)</w:t>
      </w:r>
    </w:p>
    <w:p w:rsidR="005F57AA" w:rsidRPr="00AF57BF" w:rsidRDefault="00842521" w:rsidP="00AF57BF">
      <w:pPr>
        <w:pStyle w:val="Text"/>
        <w:spacing w:line="400" w:lineRule="exact"/>
      </w:pPr>
      <w:r w:rsidRPr="00AF57BF">
        <w:t xml:space="preserve">Defendants contend the trial court </w:t>
      </w:r>
      <w:r w:rsidR="009D1BB0" w:rsidRPr="00AF57BF">
        <w:t xml:space="preserve">abused its discretion by deferring to the sheriff’s determination that eight uniformed officers were needed to secure the courtroom in this trial instead of justifying the practice by reference to case-specific </w:t>
      </w:r>
      <w:r w:rsidR="007F0F84" w:rsidRPr="00AF57BF">
        <w:t>fact</w:t>
      </w:r>
      <w:r w:rsidR="00EA512A" w:rsidRPr="00AF57BF">
        <w:t>s</w:t>
      </w:r>
      <w:r w:rsidR="009D1BB0" w:rsidRPr="00AF57BF">
        <w:t xml:space="preserve">.  </w:t>
      </w:r>
      <w:r w:rsidR="00285497" w:rsidRPr="00AF57BF">
        <w:t>The contention is not borne out by the record.  In overruling defendants’ objection to the presence of eight bailiffs at the outset of the trial,</w:t>
      </w:r>
      <w:r w:rsidR="00EF0B41" w:rsidRPr="00AF57BF">
        <w:t xml:space="preserve"> the court alluded to </w:t>
      </w:r>
      <w:r w:rsidR="001C2261" w:rsidRPr="00AF57BF">
        <w:t xml:space="preserve">the many </w:t>
      </w:r>
      <w:r w:rsidR="00285497" w:rsidRPr="00AF57BF">
        <w:t xml:space="preserve">incidents in </w:t>
      </w:r>
      <w:r w:rsidR="00486686" w:rsidRPr="00AF57BF">
        <w:t xml:space="preserve">which </w:t>
      </w:r>
      <w:proofErr w:type="spellStart"/>
      <w:r w:rsidR="00486686" w:rsidRPr="00AF57BF">
        <w:t>Amezcua</w:t>
      </w:r>
      <w:proofErr w:type="spellEnd"/>
      <w:r w:rsidR="00486686" w:rsidRPr="00AF57BF">
        <w:t xml:space="preserve"> and Flores</w:t>
      </w:r>
      <w:r w:rsidR="00EF0B41" w:rsidRPr="00AF57BF">
        <w:t xml:space="preserve"> were involved in violent or nonconforming conduct in </w:t>
      </w:r>
      <w:r w:rsidR="00285497" w:rsidRPr="00AF57BF">
        <w:t>jail</w:t>
      </w:r>
      <w:r w:rsidR="006868F0" w:rsidRPr="00AF57BF">
        <w:t>.  B</w:t>
      </w:r>
      <w:r w:rsidR="00285497" w:rsidRPr="00AF57BF">
        <w:t>oth</w:t>
      </w:r>
      <w:r w:rsidR="00574723" w:rsidRPr="00AF57BF">
        <w:t xml:space="preserve"> were categorized as “K-10,” or “high security and/or administrative segregated, noteworthy cases</w:t>
      </w:r>
      <w:r w:rsidR="00285497" w:rsidRPr="00AF57BF">
        <w:t>.</w:t>
      </w:r>
      <w:r w:rsidR="00574723" w:rsidRPr="00AF57BF">
        <w:t xml:space="preserve">”  </w:t>
      </w:r>
      <w:r w:rsidR="006868F0" w:rsidRPr="00AF57BF">
        <w:t>I</w:t>
      </w:r>
      <w:r w:rsidR="00AC088B" w:rsidRPr="00AF57BF">
        <w:t xml:space="preserve">n an earlier hearing </w:t>
      </w:r>
      <w:r w:rsidR="006868F0" w:rsidRPr="00AF57BF">
        <w:t>to determine</w:t>
      </w:r>
      <w:r w:rsidR="00AC088B" w:rsidRPr="00AF57BF">
        <w:t xml:space="preserve"> whether defendants would be allowed to possess writing implements in their cells,</w:t>
      </w:r>
      <w:r w:rsidR="00574723" w:rsidRPr="00AF57BF">
        <w:t xml:space="preserve"> </w:t>
      </w:r>
      <w:r w:rsidR="006868F0" w:rsidRPr="00AF57BF">
        <w:t>evidence demonstrated the following</w:t>
      </w:r>
      <w:proofErr w:type="gramStart"/>
      <w:r w:rsidR="00285497" w:rsidRPr="00AF57BF">
        <w:t>:  (</w:t>
      </w:r>
      <w:proofErr w:type="gramEnd"/>
      <w:r w:rsidR="00285497" w:rsidRPr="00AF57BF">
        <w:t>1) </w:t>
      </w:r>
      <w:r w:rsidR="002742B8" w:rsidRPr="00AF57BF">
        <w:t>A</w:t>
      </w:r>
      <w:r w:rsidR="00EF0B41" w:rsidRPr="00AF57BF">
        <w:t>n October 2, 2000 search of Flores’s cell yield</w:t>
      </w:r>
      <w:r w:rsidR="006868F0" w:rsidRPr="00AF57BF">
        <w:t>ed</w:t>
      </w:r>
      <w:r w:rsidR="00EF0B41" w:rsidRPr="00AF57BF">
        <w:t xml:space="preserve"> a five-foot long wooden broom </w:t>
      </w:r>
      <w:r w:rsidR="00A966E0" w:rsidRPr="00AF57BF">
        <w:t xml:space="preserve">handle, </w:t>
      </w:r>
      <w:r w:rsidR="00302D2A" w:rsidRPr="00AF57BF">
        <w:t xml:space="preserve">a large piece of jagged mirror, </w:t>
      </w:r>
      <w:r w:rsidR="00A966E0" w:rsidRPr="00AF57BF">
        <w:t>two altered razor</w:t>
      </w:r>
      <w:r w:rsidR="00EF0B41" w:rsidRPr="00AF57BF">
        <w:t>s, and excessive linens, all contraband</w:t>
      </w:r>
      <w:r w:rsidR="002742B8" w:rsidRPr="00AF57BF">
        <w:t>.</w:t>
      </w:r>
      <w:r w:rsidR="006E6409" w:rsidRPr="00AF57BF">
        <w:t xml:space="preserve"> </w:t>
      </w:r>
      <w:r w:rsidR="00EF0B41" w:rsidRPr="00AF57BF">
        <w:t xml:space="preserve"> (2) </w:t>
      </w:r>
      <w:r w:rsidR="002742B8" w:rsidRPr="00AF57BF">
        <w:t>On</w:t>
      </w:r>
      <w:r w:rsidR="00740034" w:rsidRPr="00AF57BF">
        <w:t xml:space="preserve"> November 2, 2001, both defendants, along with other</w:t>
      </w:r>
      <w:r w:rsidR="002742B8" w:rsidRPr="00AF57BF">
        <w:t>s</w:t>
      </w:r>
      <w:r w:rsidR="00740034" w:rsidRPr="00AF57BF">
        <w:t>, were being removed from their cells for visits</w:t>
      </w:r>
      <w:r w:rsidR="00F1527D" w:rsidRPr="00AF57BF">
        <w:t xml:space="preserve">. </w:t>
      </w:r>
      <w:r w:rsidR="00740034" w:rsidRPr="00AF57BF">
        <w:t xml:space="preserve"> </w:t>
      </w:r>
      <w:r w:rsidR="00F1527D" w:rsidRPr="00AF57BF">
        <w:t>D</w:t>
      </w:r>
      <w:r w:rsidR="00740034" w:rsidRPr="00AF57BF">
        <w:t xml:space="preserve">efendants managed to slip out of their handcuffs and </w:t>
      </w:r>
      <w:r w:rsidR="00C6579B" w:rsidRPr="00AF57BF">
        <w:t>waist chains</w:t>
      </w:r>
      <w:r w:rsidR="00740034" w:rsidRPr="00AF57BF">
        <w:t xml:space="preserve"> and stab</w:t>
      </w:r>
      <w:r w:rsidR="00F1527D" w:rsidRPr="00AF57BF">
        <w:t>bed</w:t>
      </w:r>
      <w:r w:rsidR="00740034" w:rsidRPr="00AF57BF">
        <w:t xml:space="preserve"> inmate Steve Matson with a homemade shank</w:t>
      </w:r>
      <w:r w:rsidR="00F1527D" w:rsidRPr="00AF57BF">
        <w:t>.</w:t>
      </w:r>
      <w:r w:rsidR="006E6409" w:rsidRPr="00AF57BF">
        <w:t xml:space="preserve"> </w:t>
      </w:r>
      <w:r w:rsidR="00740034" w:rsidRPr="00AF57BF">
        <w:t xml:space="preserve"> (3) </w:t>
      </w:r>
      <w:r w:rsidR="00F1527D" w:rsidRPr="00AF57BF">
        <w:t>On</w:t>
      </w:r>
      <w:r w:rsidR="00740034" w:rsidRPr="00AF57BF">
        <w:t xml:space="preserve"> September 2, 2001, </w:t>
      </w:r>
      <w:proofErr w:type="spellStart"/>
      <w:r w:rsidR="00740034" w:rsidRPr="00AF57BF">
        <w:t>Amezcua</w:t>
      </w:r>
      <w:proofErr w:type="spellEnd"/>
      <w:r w:rsidR="00740034" w:rsidRPr="00AF57BF">
        <w:t xml:space="preserve"> w</w:t>
      </w:r>
      <w:r w:rsidR="00F1527D" w:rsidRPr="00AF57BF">
        <w:t>as</w:t>
      </w:r>
      <w:r w:rsidR="00740034" w:rsidRPr="00AF57BF">
        <w:t xml:space="preserve"> outside his cell cleaning up the tier</w:t>
      </w:r>
      <w:r w:rsidR="00C64670" w:rsidRPr="00AF57BF">
        <w:t xml:space="preserve"> entrance</w:t>
      </w:r>
      <w:r w:rsidR="00F1527D" w:rsidRPr="00AF57BF">
        <w:t>.  He</w:t>
      </w:r>
      <w:r w:rsidR="00C64670" w:rsidRPr="00AF57BF">
        <w:t xml:space="preserve"> </w:t>
      </w:r>
      <w:r w:rsidR="00302D2A" w:rsidRPr="00AF57BF">
        <w:t>assaulted</w:t>
      </w:r>
      <w:r w:rsidR="00811851">
        <w:t xml:space="preserve"> inmate</w:t>
      </w:r>
      <w:r w:rsidR="00302D2A" w:rsidRPr="00AF57BF">
        <w:t xml:space="preserve"> Steve</w:t>
      </w:r>
      <w:r w:rsidR="00C64670" w:rsidRPr="00AF57BF">
        <w:t xml:space="preserve"> Harvey by stabbing him through the bars o</w:t>
      </w:r>
      <w:r w:rsidR="000D4428" w:rsidRPr="00AF57BF">
        <w:t>f his cell</w:t>
      </w:r>
      <w:r w:rsidR="00970F7B" w:rsidRPr="00AF57BF">
        <w:t>.</w:t>
      </w:r>
      <w:r w:rsidR="006E6409" w:rsidRPr="00AF57BF">
        <w:t xml:space="preserve"> </w:t>
      </w:r>
      <w:r w:rsidR="000D4428" w:rsidRPr="00AF57BF">
        <w:t xml:space="preserve"> (4) </w:t>
      </w:r>
      <w:r w:rsidR="00970F7B" w:rsidRPr="00AF57BF">
        <w:t>On</w:t>
      </w:r>
      <w:r w:rsidR="000D4428" w:rsidRPr="00AF57BF">
        <w:t xml:space="preserve"> May </w:t>
      </w:r>
      <w:r w:rsidR="00C64670" w:rsidRPr="00AF57BF">
        <w:t xml:space="preserve">10, 2001, Flores became belligerent </w:t>
      </w:r>
      <w:r w:rsidR="00970F7B" w:rsidRPr="00AF57BF">
        <w:t xml:space="preserve">and </w:t>
      </w:r>
      <w:r w:rsidR="00C64670" w:rsidRPr="00AF57BF">
        <w:t>threaten</w:t>
      </w:r>
      <w:r w:rsidR="00970F7B" w:rsidRPr="00AF57BF">
        <w:t>ed</w:t>
      </w:r>
      <w:r w:rsidR="00C64670" w:rsidRPr="00AF57BF">
        <w:t xml:space="preserve"> </w:t>
      </w:r>
      <w:r w:rsidR="00C64670" w:rsidRPr="00AF57BF">
        <w:lastRenderedPageBreak/>
        <w:t xml:space="preserve">Deputy </w:t>
      </w:r>
      <w:proofErr w:type="spellStart"/>
      <w:r w:rsidR="00505A25" w:rsidRPr="00AF57BF">
        <w:t>Cik</w:t>
      </w:r>
      <w:r w:rsidR="00907FFB" w:rsidRPr="00AF57BF">
        <w:t>cel</w:t>
      </w:r>
      <w:proofErr w:type="spellEnd"/>
      <w:r w:rsidR="00C64670" w:rsidRPr="00AF57BF">
        <w:t xml:space="preserve"> with the words, “You’ll see</w:t>
      </w:r>
      <w:r w:rsidR="001E6D53" w:rsidRPr="00AF57BF">
        <w:t xml:space="preserve"> </w:t>
      </w:r>
      <w:r w:rsidR="00C64670" w:rsidRPr="00AF57BF">
        <w:t>—</w:t>
      </w:r>
      <w:r w:rsidR="001E6D53" w:rsidRPr="00AF57BF">
        <w:t xml:space="preserve"> </w:t>
      </w:r>
      <w:r w:rsidR="00C64670" w:rsidRPr="00AF57BF">
        <w:t>maybe not today, but you’ll see it when you’re not expecting it</w:t>
      </w:r>
      <w:r w:rsidR="00D030C0" w:rsidRPr="00AF57BF">
        <w:t>.</w:t>
      </w:r>
      <w:r w:rsidR="00C64670" w:rsidRPr="00AF57BF">
        <w:t>”</w:t>
      </w:r>
      <w:r w:rsidR="006E6409" w:rsidRPr="00AF57BF">
        <w:t xml:space="preserve"> </w:t>
      </w:r>
      <w:r w:rsidR="00C64670" w:rsidRPr="00AF57BF">
        <w:t xml:space="preserve"> (5) </w:t>
      </w:r>
      <w:r w:rsidR="00970F7B" w:rsidRPr="00AF57BF">
        <w:t>A</w:t>
      </w:r>
      <w:r w:rsidR="00C64670" w:rsidRPr="00AF57BF">
        <w:t>n Ap</w:t>
      </w:r>
      <w:r w:rsidR="001B5013" w:rsidRPr="00AF57BF">
        <w:t xml:space="preserve">ril 30, 2001 search of Flores’s cell </w:t>
      </w:r>
      <w:r w:rsidR="00970F7B" w:rsidRPr="00AF57BF">
        <w:t>uncovered</w:t>
      </w:r>
      <w:r w:rsidR="001B5013" w:rsidRPr="00AF57BF">
        <w:t xml:space="preserve"> </w:t>
      </w:r>
      <w:r w:rsidR="00C64670" w:rsidRPr="00AF57BF">
        <w:t>excess</w:t>
      </w:r>
      <w:r w:rsidR="007B0A0B" w:rsidRPr="00AF57BF">
        <w:t>ive</w:t>
      </w:r>
      <w:r w:rsidR="001B5013" w:rsidRPr="00AF57BF">
        <w:t xml:space="preserve"> linen and two</w:t>
      </w:r>
      <w:r w:rsidR="00ED663A" w:rsidRPr="00AF57BF">
        <w:t xml:space="preserve"> </w:t>
      </w:r>
      <w:r w:rsidR="00C64670" w:rsidRPr="00AF57BF">
        <w:t>piece</w:t>
      </w:r>
      <w:r w:rsidR="001B5013" w:rsidRPr="00AF57BF">
        <w:t>s</w:t>
      </w:r>
      <w:r w:rsidR="00C64670" w:rsidRPr="00AF57BF">
        <w:t xml:space="preserve"> of metal</w:t>
      </w:r>
      <w:r w:rsidR="001B5013" w:rsidRPr="00AF57BF">
        <w:t xml:space="preserve"> capable of being fashioned into shanks</w:t>
      </w:r>
      <w:r w:rsidR="00970F7B" w:rsidRPr="00AF57BF">
        <w:t xml:space="preserve">.  The metal pieces were </w:t>
      </w:r>
      <w:r w:rsidR="001B5013" w:rsidRPr="00AF57BF">
        <w:t>12</w:t>
      </w:r>
      <w:r w:rsidR="00970F7B" w:rsidRPr="00AF57BF">
        <w:t xml:space="preserve"> and eight</w:t>
      </w:r>
      <w:r w:rsidR="001B5013" w:rsidRPr="00AF57BF">
        <w:t xml:space="preserve"> inches long</w:t>
      </w:r>
      <w:r w:rsidR="00970F7B" w:rsidRPr="00AF57BF">
        <w:t>.</w:t>
      </w:r>
      <w:r w:rsidR="006E6409" w:rsidRPr="00AF57BF">
        <w:t xml:space="preserve"> </w:t>
      </w:r>
      <w:r w:rsidR="001B5013" w:rsidRPr="00AF57BF">
        <w:t xml:space="preserve"> (6) </w:t>
      </w:r>
      <w:r w:rsidR="00970F7B" w:rsidRPr="00AF57BF">
        <w:t>A</w:t>
      </w:r>
      <w:r w:rsidR="001B5013" w:rsidRPr="00AF57BF">
        <w:t xml:space="preserve"> January 29, 2001 search of </w:t>
      </w:r>
      <w:proofErr w:type="spellStart"/>
      <w:r w:rsidR="001B5013" w:rsidRPr="00AF57BF">
        <w:t>Amezcua’s</w:t>
      </w:r>
      <w:proofErr w:type="spellEnd"/>
      <w:r w:rsidR="001B5013" w:rsidRPr="00AF57BF">
        <w:t xml:space="preserve"> cell </w:t>
      </w:r>
      <w:r w:rsidR="00970F7B" w:rsidRPr="00AF57BF">
        <w:t>revealed</w:t>
      </w:r>
      <w:r w:rsidR="00EA0775" w:rsidRPr="00AF57BF">
        <w:t xml:space="preserve"> a five</w:t>
      </w:r>
      <w:r w:rsidR="00811851">
        <w:t>-</w:t>
      </w:r>
      <w:r w:rsidR="001B5013" w:rsidRPr="00AF57BF">
        <w:t>and</w:t>
      </w:r>
      <w:r w:rsidR="00811851">
        <w:t>-</w:t>
      </w:r>
      <w:r w:rsidR="00EA0775" w:rsidRPr="00AF57BF">
        <w:t>a</w:t>
      </w:r>
      <w:r w:rsidR="00811851">
        <w:t>-</w:t>
      </w:r>
      <w:r w:rsidR="001B5013" w:rsidRPr="00AF57BF">
        <w:t>half-inch</w:t>
      </w:r>
      <w:r w:rsidR="006E6409" w:rsidRPr="00AF57BF">
        <w:t>-</w:t>
      </w:r>
      <w:r w:rsidR="001B5013" w:rsidRPr="00AF57BF">
        <w:t>long</w:t>
      </w:r>
      <w:r w:rsidR="00970F7B" w:rsidRPr="00AF57BF">
        <w:t xml:space="preserve"> shank</w:t>
      </w:r>
      <w:r w:rsidR="007B0A0B" w:rsidRPr="00AF57BF">
        <w:t xml:space="preserve"> with a cloth handle</w:t>
      </w:r>
      <w:r w:rsidR="00970F7B" w:rsidRPr="00AF57BF">
        <w:t xml:space="preserve">. </w:t>
      </w:r>
      <w:r w:rsidR="00E83086" w:rsidRPr="00AF57BF">
        <w:t xml:space="preserve"> (7) </w:t>
      </w:r>
      <w:r w:rsidR="00970F7B" w:rsidRPr="00AF57BF">
        <w:t>On</w:t>
      </w:r>
      <w:r w:rsidR="007B0A0B" w:rsidRPr="00AF57BF">
        <w:t xml:space="preserve"> January 5, 2001, Flores initially refused to leave his cell</w:t>
      </w:r>
      <w:r w:rsidR="00970F7B" w:rsidRPr="00AF57BF">
        <w:t>.  A</w:t>
      </w:r>
      <w:r w:rsidR="007B0A0B" w:rsidRPr="00AF57BF">
        <w:t xml:space="preserve">fter he </w:t>
      </w:r>
      <w:r w:rsidR="00970F7B" w:rsidRPr="00AF57BF">
        <w:t>did so</w:t>
      </w:r>
      <w:r w:rsidR="007B0A0B" w:rsidRPr="00AF57BF">
        <w:t xml:space="preserve">, </w:t>
      </w:r>
      <w:r w:rsidR="00970F7B" w:rsidRPr="00AF57BF">
        <w:t>deputies found</w:t>
      </w:r>
      <w:r w:rsidR="007B0A0B" w:rsidRPr="00AF57BF">
        <w:t xml:space="preserve"> a tattoo kit, several pieces of carbon paper (</w:t>
      </w:r>
      <w:r w:rsidR="00304A5A" w:rsidRPr="00AF57BF">
        <w:t xml:space="preserve">commonly </w:t>
      </w:r>
      <w:r w:rsidR="007B0A0B" w:rsidRPr="00AF57BF">
        <w:t xml:space="preserve">used </w:t>
      </w:r>
      <w:r w:rsidR="00304A5A" w:rsidRPr="00AF57BF">
        <w:t>in</w:t>
      </w:r>
      <w:r w:rsidR="00050AEA" w:rsidRPr="00AF57BF">
        <w:t xml:space="preserve"> tattooing</w:t>
      </w:r>
      <w:r w:rsidR="007B0A0B" w:rsidRPr="00AF57BF">
        <w:t>), loose razor blades, and a pair of orange jail pants that had been cut off into shorts</w:t>
      </w:r>
      <w:r w:rsidR="00E83086" w:rsidRPr="00AF57BF">
        <w:t xml:space="preserve">.  Subsequent searches of defendants’ cells yielded pencils, which defendants were not permitted to possess because of their potential use as stabbing weapons.  </w:t>
      </w:r>
      <w:r w:rsidR="00474B48" w:rsidRPr="00AF57BF">
        <w:t xml:space="preserve">At </w:t>
      </w:r>
      <w:r w:rsidR="006868F0" w:rsidRPr="00AF57BF">
        <w:t>another</w:t>
      </w:r>
      <w:r w:rsidR="00474B48" w:rsidRPr="00AF57BF">
        <w:t xml:space="preserve"> hearing</w:t>
      </w:r>
      <w:r w:rsidR="00382CA1" w:rsidRPr="00AF57BF">
        <w:t xml:space="preserve"> </w:t>
      </w:r>
      <w:r w:rsidR="006868F0" w:rsidRPr="00AF57BF">
        <w:t xml:space="preserve">on </w:t>
      </w:r>
      <w:r w:rsidR="00036F34" w:rsidRPr="00AF57BF">
        <w:t xml:space="preserve">jail </w:t>
      </w:r>
      <w:r w:rsidR="004D1CDA" w:rsidRPr="00AF57BF">
        <w:t>security matters</w:t>
      </w:r>
      <w:r w:rsidR="00382CA1" w:rsidRPr="00AF57BF">
        <w:t xml:space="preserve">, Deputy John </w:t>
      </w:r>
      <w:proofErr w:type="spellStart"/>
      <w:r w:rsidR="00382CA1" w:rsidRPr="00AF57BF">
        <w:t>Kepley</w:t>
      </w:r>
      <w:proofErr w:type="spellEnd"/>
      <w:r w:rsidR="00382CA1" w:rsidRPr="00AF57BF">
        <w:t xml:space="preserve"> testified that </w:t>
      </w:r>
      <w:r w:rsidR="00FE0622" w:rsidRPr="00AF57BF">
        <w:t>o</w:t>
      </w:r>
      <w:r w:rsidR="00382CA1" w:rsidRPr="00AF57BF">
        <w:t xml:space="preserve">n April 20, 2002, </w:t>
      </w:r>
      <w:proofErr w:type="spellStart"/>
      <w:r w:rsidR="00382CA1" w:rsidRPr="00AF57BF">
        <w:t>Amezcua’s</w:t>
      </w:r>
      <w:proofErr w:type="spellEnd"/>
      <w:r w:rsidR="00382CA1" w:rsidRPr="00AF57BF">
        <w:t xml:space="preserve"> cell </w:t>
      </w:r>
      <w:r w:rsidR="00FE0622" w:rsidRPr="00AF57BF">
        <w:t>contain</w:t>
      </w:r>
      <w:r w:rsidR="00382CA1" w:rsidRPr="00AF57BF">
        <w:t xml:space="preserve">ed a </w:t>
      </w:r>
      <w:r w:rsidR="00EA70B9" w:rsidRPr="00AF57BF">
        <w:t xml:space="preserve">pencil and a </w:t>
      </w:r>
      <w:r w:rsidR="00382CA1" w:rsidRPr="00AF57BF">
        <w:t>quantity of</w:t>
      </w:r>
      <w:r w:rsidR="00EA70B9" w:rsidRPr="00AF57BF">
        <w:t xml:space="preserve"> </w:t>
      </w:r>
      <w:r w:rsidR="00382CA1" w:rsidRPr="00AF57BF">
        <w:t>jail-made alc</w:t>
      </w:r>
      <w:r w:rsidR="00EA70B9" w:rsidRPr="00AF57BF">
        <w:t>ohol</w:t>
      </w:r>
      <w:r w:rsidR="00486686" w:rsidRPr="00AF57BF">
        <w:t xml:space="preserve">. </w:t>
      </w:r>
      <w:r w:rsidR="00382CA1" w:rsidRPr="00AF57BF">
        <w:t xml:space="preserve"> </w:t>
      </w:r>
      <w:proofErr w:type="spellStart"/>
      <w:r w:rsidR="00382CA1" w:rsidRPr="00AF57BF">
        <w:t>Kepley</w:t>
      </w:r>
      <w:proofErr w:type="spellEnd"/>
      <w:r w:rsidR="00382CA1" w:rsidRPr="00AF57BF">
        <w:t xml:space="preserve"> testified </w:t>
      </w:r>
      <w:r w:rsidR="00365553" w:rsidRPr="00AF57BF">
        <w:t xml:space="preserve">to </w:t>
      </w:r>
      <w:r w:rsidR="00382CA1" w:rsidRPr="00AF57BF">
        <w:t xml:space="preserve">six incidents </w:t>
      </w:r>
      <w:r w:rsidR="00E20ABA" w:rsidRPr="00AF57BF">
        <w:t xml:space="preserve">between November 2001 and September 2002 </w:t>
      </w:r>
      <w:r w:rsidR="00382CA1" w:rsidRPr="00AF57BF">
        <w:t xml:space="preserve">in which Flores was either insubordinate and noncompliant with jail staff or was found to possess </w:t>
      </w:r>
      <w:r w:rsidR="00E20ABA" w:rsidRPr="00AF57BF">
        <w:t>contraband or weapons</w:t>
      </w:r>
      <w:r w:rsidR="002A198F" w:rsidRPr="00AF57BF">
        <w:t xml:space="preserve"> in his cell.</w:t>
      </w:r>
      <w:r w:rsidR="00486686" w:rsidRPr="00AF57BF">
        <w:t xml:space="preserve">  </w:t>
      </w:r>
    </w:p>
    <w:p w:rsidR="00DD7AA9" w:rsidRPr="00AF57BF" w:rsidRDefault="00365553" w:rsidP="00AF57BF">
      <w:pPr>
        <w:pStyle w:val="Text"/>
        <w:spacing w:line="400" w:lineRule="exact"/>
      </w:pPr>
      <w:r w:rsidRPr="00AF57BF">
        <w:t>T</w:t>
      </w:r>
      <w:r w:rsidR="00DD7AA9" w:rsidRPr="00AF57BF">
        <w:t xml:space="preserve">he trial court </w:t>
      </w:r>
      <w:r w:rsidR="00BD2152" w:rsidRPr="00AF57BF">
        <w:t xml:space="preserve">did not </w:t>
      </w:r>
      <w:r w:rsidR="00DD7AA9" w:rsidRPr="00AF57BF">
        <w:t xml:space="preserve">improperly </w:t>
      </w:r>
      <w:r w:rsidR="00BD2152" w:rsidRPr="00AF57BF">
        <w:t>substitute</w:t>
      </w:r>
      <w:r w:rsidR="00057199" w:rsidRPr="00AF57BF">
        <w:t xml:space="preserve"> the bailiffs’ </w:t>
      </w:r>
      <w:r w:rsidR="00E25EEA" w:rsidRPr="00AF57BF">
        <w:t xml:space="preserve">discretion </w:t>
      </w:r>
      <w:r w:rsidR="00057199" w:rsidRPr="00AF57BF">
        <w:t xml:space="preserve">for its own determination </w:t>
      </w:r>
      <w:r w:rsidR="00FB0A54" w:rsidRPr="00AF57BF">
        <w:t>regarding</w:t>
      </w:r>
      <w:r w:rsidR="00057199" w:rsidRPr="00AF57BF">
        <w:t xml:space="preserve"> the necessary level of</w:t>
      </w:r>
      <w:r w:rsidR="00297D81" w:rsidRPr="00AF57BF">
        <w:t xml:space="preserve"> courtroom</w:t>
      </w:r>
      <w:r w:rsidR="00057199" w:rsidRPr="00AF57BF">
        <w:t xml:space="preserve"> security.  The court’s comments reflect its </w:t>
      </w:r>
      <w:r w:rsidR="00515196" w:rsidRPr="00AF57BF">
        <w:t>permissible</w:t>
      </w:r>
      <w:r w:rsidR="00057199" w:rsidRPr="00AF57BF">
        <w:t xml:space="preserve"> consideration of the bailiffs’ view</w:t>
      </w:r>
      <w:r w:rsidR="006427C3" w:rsidRPr="00AF57BF">
        <w:t xml:space="preserve">s, as well as its </w:t>
      </w:r>
      <w:r w:rsidR="00006C38" w:rsidRPr="00AF57BF">
        <w:t>own assessment</w:t>
      </w:r>
      <w:r w:rsidR="006427C3" w:rsidRPr="00AF57BF">
        <w:t xml:space="preserve"> </w:t>
      </w:r>
      <w:r w:rsidR="00057199" w:rsidRPr="00AF57BF">
        <w:t xml:space="preserve">that </w:t>
      </w:r>
      <w:r w:rsidR="008C4F68" w:rsidRPr="00AF57BF">
        <w:t xml:space="preserve">the case presented security concerns above those present in most cases and its sense that a “show of force” was appropriate.  </w:t>
      </w:r>
      <w:r w:rsidR="006427C3" w:rsidRPr="00AF57BF">
        <w:t xml:space="preserve">The court did not </w:t>
      </w:r>
      <w:r w:rsidR="00E5088E" w:rsidRPr="00AF57BF">
        <w:t>abdicate</w:t>
      </w:r>
      <w:r w:rsidR="006427C3" w:rsidRPr="00AF57BF">
        <w:t xml:space="preserve"> its authority over courtroom security.</w:t>
      </w:r>
    </w:p>
    <w:p w:rsidR="00B40718" w:rsidRPr="00AF57BF" w:rsidRDefault="00486686" w:rsidP="00AF57BF">
      <w:pPr>
        <w:pStyle w:val="Text"/>
        <w:spacing w:line="400" w:lineRule="exact"/>
      </w:pPr>
      <w:r w:rsidRPr="00AF57BF">
        <w:t xml:space="preserve">Defendants argue that because </w:t>
      </w:r>
      <w:r w:rsidR="00DD7AA9" w:rsidRPr="00AF57BF">
        <w:t>the enumerated</w:t>
      </w:r>
      <w:r w:rsidRPr="00AF57BF">
        <w:t xml:space="preserve"> incidents </w:t>
      </w:r>
      <w:r w:rsidR="00A37474" w:rsidRPr="00AF57BF">
        <w:t xml:space="preserve">occurred several years before the start of trial and none </w:t>
      </w:r>
      <w:r w:rsidRPr="00AF57BF">
        <w:t>reflected co</w:t>
      </w:r>
      <w:r w:rsidR="005F57AA" w:rsidRPr="00AF57BF">
        <w:t>urtroom misbehavior, they fail to</w:t>
      </w:r>
      <w:r w:rsidRPr="00AF57BF">
        <w:t xml:space="preserve"> support the </w:t>
      </w:r>
      <w:r w:rsidRPr="00AF57BF">
        <w:lastRenderedPageBreak/>
        <w:t>court’s ruling</w:t>
      </w:r>
      <w:r w:rsidR="00237BF0" w:rsidRPr="00AF57BF">
        <w:t>.  T</w:t>
      </w:r>
      <w:r w:rsidRPr="00AF57BF">
        <w:t xml:space="preserve">hey point out that the judge described their </w:t>
      </w:r>
      <w:r w:rsidR="007B42F7" w:rsidRPr="00AF57BF">
        <w:t>conduc</w:t>
      </w:r>
      <w:r w:rsidRPr="00AF57BF">
        <w:t xml:space="preserve">t during court proceedings as </w:t>
      </w:r>
      <w:r w:rsidR="007B42F7" w:rsidRPr="00AF57BF">
        <w:t xml:space="preserve">“very </w:t>
      </w:r>
      <w:r w:rsidRPr="00AF57BF">
        <w:t>appropriate.</w:t>
      </w:r>
      <w:r w:rsidR="007B42F7" w:rsidRPr="00AF57BF">
        <w:t xml:space="preserve">”  </w:t>
      </w:r>
      <w:r w:rsidR="00B40718" w:rsidRPr="00AF57BF">
        <w:t>But it is settled law that a defendant’s violent custodial behavior can support a court’s exercise of discretion to order extra courtroom security</w:t>
      </w:r>
      <w:r w:rsidR="00237BF0" w:rsidRPr="00AF57BF">
        <w:t xml:space="preserve">. </w:t>
      </w:r>
      <w:r w:rsidR="00B40718" w:rsidRPr="00AF57BF">
        <w:t xml:space="preserve"> (</w:t>
      </w:r>
      <w:r w:rsidR="00237BF0" w:rsidRPr="00AF57BF">
        <w:t>S</w:t>
      </w:r>
      <w:r w:rsidR="006427C3" w:rsidRPr="00AF57BF">
        <w:t xml:space="preserve">ee, </w:t>
      </w:r>
      <w:r w:rsidR="00A37474" w:rsidRPr="00AF57BF">
        <w:t>e</w:t>
      </w:r>
      <w:r w:rsidR="00B40718" w:rsidRPr="00AF57BF">
        <w:t>.g.,</w:t>
      </w:r>
      <w:r w:rsidR="002358D8" w:rsidRPr="00AF57BF">
        <w:t xml:space="preserve"> </w:t>
      </w:r>
      <w:r w:rsidR="002358D8" w:rsidRPr="00AF57BF">
        <w:rPr>
          <w:i/>
        </w:rPr>
        <w:t>People v. Lomax</w:t>
      </w:r>
      <w:r w:rsidR="002358D8" w:rsidRPr="00AF57BF">
        <w:t xml:space="preserve"> (2010) 49 Cal.4th 530, 559–562; </w:t>
      </w:r>
      <w:r w:rsidR="00B40718" w:rsidRPr="00AF57BF">
        <w:rPr>
          <w:i/>
        </w:rPr>
        <w:t>People v. Hawkins</w:t>
      </w:r>
      <w:r w:rsidR="00B40718" w:rsidRPr="00AF57BF">
        <w:t xml:space="preserve"> (1995) 10 Cal.4th 920, 944</w:t>
      </w:r>
      <w:r w:rsidR="00237BF0" w:rsidRPr="00AF57BF">
        <w:t>.</w:t>
      </w:r>
      <w:r w:rsidR="00A37474" w:rsidRPr="00AF57BF">
        <w:t>)</w:t>
      </w:r>
      <w:r w:rsidR="00237BF0" w:rsidRPr="00AF57BF">
        <w:t xml:space="preserve">  N</w:t>
      </w:r>
      <w:r w:rsidR="00A37474" w:rsidRPr="00AF57BF">
        <w:t xml:space="preserve">othing in the record </w:t>
      </w:r>
      <w:r w:rsidR="003D5336" w:rsidRPr="00AF57BF">
        <w:t>compels an inference</w:t>
      </w:r>
      <w:r w:rsidR="00811851">
        <w:t xml:space="preserve"> that</w:t>
      </w:r>
      <w:r w:rsidR="003D5336" w:rsidRPr="00AF57BF">
        <w:t xml:space="preserve"> the conditions </w:t>
      </w:r>
      <w:r w:rsidR="004D1CDA" w:rsidRPr="00AF57BF">
        <w:t xml:space="preserve">initially </w:t>
      </w:r>
      <w:r w:rsidR="003D5336" w:rsidRPr="00AF57BF">
        <w:t>giving rise to the need for extra security had abated</w:t>
      </w:r>
      <w:r w:rsidR="004D1CDA" w:rsidRPr="00AF57BF">
        <w:t xml:space="preserve"> by the time </w:t>
      </w:r>
      <w:r w:rsidR="00237BF0" w:rsidRPr="00AF57BF">
        <w:t>of</w:t>
      </w:r>
      <w:r w:rsidR="004D1CDA" w:rsidRPr="00AF57BF">
        <w:t xml:space="preserve"> trial</w:t>
      </w:r>
      <w:r w:rsidR="003D5336" w:rsidRPr="00AF57BF">
        <w:t>.</w:t>
      </w:r>
      <w:r w:rsidRPr="00AF57BF">
        <w:t xml:space="preserve">  </w:t>
      </w:r>
      <w:r w:rsidR="00054130" w:rsidRPr="00AF57BF">
        <w:t xml:space="preserve">(See </w:t>
      </w:r>
      <w:r w:rsidR="00054130" w:rsidRPr="00AF57BF">
        <w:rPr>
          <w:i/>
        </w:rPr>
        <w:t xml:space="preserve">People v. Bryant, Smith and Wheeler </w:t>
      </w:r>
      <w:r w:rsidR="00054130" w:rsidRPr="00AF57BF">
        <w:t xml:space="preserve">(2014) 60 Cal.4th 335, 390–392.)  </w:t>
      </w:r>
      <w:r w:rsidR="00C56B1D" w:rsidRPr="00AF57BF">
        <w:t>Finally</w:t>
      </w:r>
      <w:r w:rsidR="009D6AFF" w:rsidRPr="00AF57BF">
        <w:t>, during a</w:t>
      </w:r>
      <w:r w:rsidR="00036F34" w:rsidRPr="00AF57BF">
        <w:t xml:space="preserve"> hearing</w:t>
      </w:r>
      <w:r w:rsidR="004D1CDA" w:rsidRPr="00AF57BF">
        <w:t xml:space="preserve"> after the court’s </w:t>
      </w:r>
      <w:r w:rsidR="009D6AFF" w:rsidRPr="00AF57BF">
        <w:t>November 2, 2002</w:t>
      </w:r>
      <w:r w:rsidR="00036F34" w:rsidRPr="00AF57BF">
        <w:t xml:space="preserve"> </w:t>
      </w:r>
      <w:r w:rsidR="009D6AFF" w:rsidRPr="00AF57BF">
        <w:t xml:space="preserve">ruling, </w:t>
      </w:r>
      <w:proofErr w:type="spellStart"/>
      <w:r w:rsidR="00036F34" w:rsidRPr="00AF57BF">
        <w:t>Amezcua</w:t>
      </w:r>
      <w:proofErr w:type="spellEnd"/>
      <w:r w:rsidR="00036F34" w:rsidRPr="00AF57BF">
        <w:t xml:space="preserve"> said </w:t>
      </w:r>
      <w:r w:rsidR="00C56B1D" w:rsidRPr="00AF57BF">
        <w:t xml:space="preserve">in court that </w:t>
      </w:r>
      <w:r w:rsidR="00036F34" w:rsidRPr="00AF57BF">
        <w:t xml:space="preserve">he wished he had a gun, </w:t>
      </w:r>
      <w:r w:rsidR="00FB1C42" w:rsidRPr="00AF57BF">
        <w:t>simulated</w:t>
      </w:r>
      <w:r w:rsidR="00036F34" w:rsidRPr="00AF57BF">
        <w:t xml:space="preserve"> a gun</w:t>
      </w:r>
      <w:r w:rsidR="00FB1C42" w:rsidRPr="00AF57BF">
        <w:t xml:space="preserve"> with his hand</w:t>
      </w:r>
      <w:r w:rsidR="00036F34" w:rsidRPr="00AF57BF">
        <w:t>, pointed his finger at the prosecutor, and made a “shooting noise</w:t>
      </w:r>
      <w:r w:rsidR="00FB1C42" w:rsidRPr="00AF57BF">
        <w:t>.</w:t>
      </w:r>
      <w:r w:rsidR="00036F34" w:rsidRPr="00AF57BF">
        <w:t xml:space="preserve">” </w:t>
      </w:r>
      <w:r w:rsidR="00D030C0" w:rsidRPr="00AF57BF">
        <w:t xml:space="preserve"> </w:t>
      </w:r>
      <w:r w:rsidR="00FB1C42" w:rsidRPr="00AF57BF">
        <w:t>Defendants characterize the incident as “mere macho posturing</w:t>
      </w:r>
      <w:r w:rsidR="006E6409" w:rsidRPr="00AF57BF">
        <w:t>,</w:t>
      </w:r>
      <w:r w:rsidR="00FB1C42" w:rsidRPr="00AF57BF">
        <w:t xml:space="preserve">” </w:t>
      </w:r>
      <w:r w:rsidR="00B40718" w:rsidRPr="00AF57BF">
        <w:t xml:space="preserve">but the trial court could properly </w:t>
      </w:r>
      <w:r w:rsidR="000B2B00" w:rsidRPr="00AF57BF">
        <w:t>consider the conduct</w:t>
      </w:r>
      <w:r w:rsidR="007A2DDA" w:rsidRPr="00AF57BF">
        <w:t xml:space="preserve"> in </w:t>
      </w:r>
      <w:r w:rsidR="006E6409" w:rsidRPr="00AF57BF">
        <w:t xml:space="preserve">a less benign light and take it into account in </w:t>
      </w:r>
      <w:r w:rsidR="007A2DDA" w:rsidRPr="00AF57BF">
        <w:t>approv</w:t>
      </w:r>
      <w:r w:rsidR="00B40718" w:rsidRPr="00AF57BF">
        <w:t xml:space="preserve">ing </w:t>
      </w:r>
      <w:r w:rsidR="00AA563F" w:rsidRPr="00AF57BF">
        <w:t xml:space="preserve">these </w:t>
      </w:r>
      <w:r w:rsidR="007A2DDA" w:rsidRPr="00AF57BF">
        <w:t xml:space="preserve">security </w:t>
      </w:r>
      <w:r w:rsidR="00B40718" w:rsidRPr="00AF57BF">
        <w:t>arrangemen</w:t>
      </w:r>
      <w:r w:rsidR="007A2DDA" w:rsidRPr="00AF57BF">
        <w:t>ts</w:t>
      </w:r>
      <w:r w:rsidR="00B40718" w:rsidRPr="00AF57BF">
        <w:t xml:space="preserve">.  </w:t>
      </w:r>
    </w:p>
    <w:p w:rsidR="00353F3F" w:rsidRPr="00AF57BF" w:rsidRDefault="00754536" w:rsidP="00AF57BF">
      <w:pPr>
        <w:pStyle w:val="Text"/>
        <w:spacing w:line="400" w:lineRule="exact"/>
      </w:pPr>
      <w:r w:rsidRPr="00AF57BF">
        <w:t>The cited</w:t>
      </w:r>
      <w:r w:rsidR="00752044" w:rsidRPr="00AF57BF">
        <w:t xml:space="preserve"> incidents of violent or nonconforming custodial behavior </w:t>
      </w:r>
      <w:r w:rsidR="00006C38" w:rsidRPr="00AF57BF">
        <w:t xml:space="preserve">are </w:t>
      </w:r>
      <w:r w:rsidR="00752044" w:rsidRPr="00AF57BF">
        <w:t>likewise a particularized showing of</w:t>
      </w:r>
      <w:r w:rsidR="00353F3F" w:rsidRPr="00AF57BF">
        <w:t xml:space="preserve"> manifest need</w:t>
      </w:r>
      <w:r w:rsidR="00752044" w:rsidRPr="00AF57BF">
        <w:t xml:space="preserve"> for physical restraints</w:t>
      </w:r>
      <w:r w:rsidR="00006C38" w:rsidRPr="00AF57BF">
        <w:t>.  There was</w:t>
      </w:r>
      <w:r w:rsidR="00752044" w:rsidRPr="00AF57BF">
        <w:t xml:space="preserve"> no abuse of discretion in the trial court’s shackling order</w:t>
      </w:r>
      <w:r w:rsidR="00353F3F" w:rsidRPr="00AF57BF">
        <w:t xml:space="preserve">.  </w:t>
      </w:r>
      <w:r w:rsidR="00752044" w:rsidRPr="00AF57BF">
        <w:t>(</w:t>
      </w:r>
      <w:r w:rsidR="00752044" w:rsidRPr="00AF57BF">
        <w:rPr>
          <w:i/>
        </w:rPr>
        <w:t>People v. Stevens</w:t>
      </w:r>
      <w:r w:rsidR="00752044" w:rsidRPr="00AF57BF">
        <w:t xml:space="preserve">, </w:t>
      </w:r>
      <w:r w:rsidR="00752044" w:rsidRPr="00AF57BF">
        <w:rPr>
          <w:i/>
        </w:rPr>
        <w:t>supra</w:t>
      </w:r>
      <w:r w:rsidR="00752044" w:rsidRPr="00AF57BF">
        <w:t xml:space="preserve">, 47 Cal.4th at p. 632; </w:t>
      </w:r>
      <w:r w:rsidR="00752044" w:rsidRPr="00AF57BF">
        <w:rPr>
          <w:i/>
        </w:rPr>
        <w:t>People v. Duran</w:t>
      </w:r>
      <w:r w:rsidR="00752044" w:rsidRPr="00AF57BF">
        <w:t xml:space="preserve"> (1976) 16 Cal.3d </w:t>
      </w:r>
      <w:r w:rsidR="00E27BAD" w:rsidRPr="00AF57BF">
        <w:t>282, 293, fn. 12.)</w:t>
      </w:r>
    </w:p>
    <w:p w:rsidR="00AA563F" w:rsidRPr="00AF57BF" w:rsidRDefault="00BA00BC" w:rsidP="00AF57BF">
      <w:pPr>
        <w:pStyle w:val="Text"/>
        <w:spacing w:line="400" w:lineRule="exact"/>
      </w:pPr>
      <w:r w:rsidRPr="00AF57BF">
        <w:t xml:space="preserve">Even </w:t>
      </w:r>
      <w:r w:rsidR="00AA563F" w:rsidRPr="00AF57BF">
        <w:t>if</w:t>
      </w:r>
      <w:r w:rsidRPr="00AF57BF">
        <w:t xml:space="preserve"> defendants </w:t>
      </w:r>
      <w:r w:rsidR="00AA563F" w:rsidRPr="00AF57BF">
        <w:t>could</w:t>
      </w:r>
      <w:r w:rsidR="00B40718" w:rsidRPr="00AF57BF">
        <w:t xml:space="preserve"> establish an abuse of discretion, the record fails to reflect</w:t>
      </w:r>
      <w:r w:rsidR="00F073E4" w:rsidRPr="00AF57BF">
        <w:t xml:space="preserve"> any </w:t>
      </w:r>
      <w:r w:rsidR="00B40718" w:rsidRPr="00AF57BF">
        <w:t>prejudice</w:t>
      </w:r>
      <w:r w:rsidR="00BB4286" w:rsidRPr="00AF57BF">
        <w:t xml:space="preserve">, defendants’ generic assertions to the contrary notwithstanding.  </w:t>
      </w:r>
      <w:r w:rsidR="00F073E4" w:rsidRPr="00AF57BF">
        <w:t xml:space="preserve">(See </w:t>
      </w:r>
      <w:r w:rsidR="00F073E4" w:rsidRPr="00AF57BF">
        <w:rPr>
          <w:i/>
        </w:rPr>
        <w:t>People v. Hernandez</w:t>
      </w:r>
      <w:r w:rsidR="00F073E4" w:rsidRPr="00AF57BF">
        <w:t xml:space="preserve"> (2011) 51 Cal.4th 733</w:t>
      </w:r>
      <w:r w:rsidR="00D117BF" w:rsidRPr="00AF57BF">
        <w:t xml:space="preserve">, 746; </w:t>
      </w:r>
      <w:r w:rsidR="00F073E4" w:rsidRPr="00AF57BF">
        <w:rPr>
          <w:i/>
        </w:rPr>
        <w:t>People v. Watson</w:t>
      </w:r>
      <w:r w:rsidR="00F073E4" w:rsidRPr="00AF57BF">
        <w:t xml:space="preserve"> (1956) 46 Cal.2d 818, 83</w:t>
      </w:r>
      <w:r w:rsidR="00D117BF" w:rsidRPr="00AF57BF">
        <w:t>7</w:t>
      </w:r>
      <w:r w:rsidR="00F073E4" w:rsidRPr="00AF57BF">
        <w:t xml:space="preserve">.)  </w:t>
      </w:r>
      <w:r w:rsidR="00D22AE9" w:rsidRPr="00AF57BF">
        <w:t>T</w:t>
      </w:r>
      <w:r w:rsidR="004D0A4C" w:rsidRPr="00AF57BF">
        <w:t>he assertions t</w:t>
      </w:r>
      <w:r w:rsidR="00D22AE9" w:rsidRPr="00AF57BF">
        <w:t xml:space="preserve">hat the jury </w:t>
      </w:r>
      <w:r w:rsidR="00BC5CB9" w:rsidRPr="00AF57BF">
        <w:t xml:space="preserve">noticed limitations on defendants’ freedom of movement </w:t>
      </w:r>
      <w:r w:rsidR="00D94898" w:rsidRPr="00AF57BF">
        <w:t>or inferred the court</w:t>
      </w:r>
      <w:r w:rsidR="00BC5CB9" w:rsidRPr="00AF57BF">
        <w:t xml:space="preserve"> </w:t>
      </w:r>
      <w:r w:rsidR="004D0A4C" w:rsidRPr="00AF57BF">
        <w:t>viewed</w:t>
      </w:r>
      <w:r w:rsidR="00BC5CB9" w:rsidRPr="00AF57BF">
        <w:t xml:space="preserve"> </w:t>
      </w:r>
      <w:r w:rsidR="00D94898" w:rsidRPr="00AF57BF">
        <w:t>defendants</w:t>
      </w:r>
      <w:r w:rsidR="004D0A4C" w:rsidRPr="00AF57BF">
        <w:t xml:space="preserve"> as a threat are </w:t>
      </w:r>
      <w:r w:rsidR="0054719E" w:rsidRPr="00AF57BF">
        <w:t xml:space="preserve">mere </w:t>
      </w:r>
      <w:r w:rsidR="004D0A4C" w:rsidRPr="00AF57BF">
        <w:t>speculation</w:t>
      </w:r>
      <w:r w:rsidR="008417E7" w:rsidRPr="00AF57BF">
        <w:t xml:space="preserve"> </w:t>
      </w:r>
      <w:r w:rsidR="004D0A4C" w:rsidRPr="00AF57BF">
        <w:t>unsupported by</w:t>
      </w:r>
      <w:r w:rsidR="008417E7" w:rsidRPr="00AF57BF">
        <w:t xml:space="preserve"> </w:t>
      </w:r>
      <w:r w:rsidR="00B71552" w:rsidRPr="00AF57BF">
        <w:t xml:space="preserve">any </w:t>
      </w:r>
      <w:r w:rsidR="008417E7" w:rsidRPr="00AF57BF">
        <w:t>affirmative indications in the record</w:t>
      </w:r>
      <w:r w:rsidR="00BC5CB9" w:rsidRPr="00AF57BF">
        <w:t xml:space="preserve">. </w:t>
      </w:r>
      <w:r w:rsidR="00D755B3" w:rsidRPr="00AF57BF">
        <w:t xml:space="preserve"> </w:t>
      </w:r>
      <w:r w:rsidR="00754536" w:rsidRPr="00AF57BF">
        <w:t>(See</w:t>
      </w:r>
      <w:r w:rsidR="00754536" w:rsidRPr="00AF57BF">
        <w:rPr>
          <w:i/>
        </w:rPr>
        <w:t xml:space="preserve"> </w:t>
      </w:r>
      <w:r w:rsidR="00754536" w:rsidRPr="00AF57BF">
        <w:rPr>
          <w:i/>
        </w:rPr>
        <w:lastRenderedPageBreak/>
        <w:t xml:space="preserve">People v. </w:t>
      </w:r>
      <w:r w:rsidR="0067635D" w:rsidRPr="00AF57BF">
        <w:rPr>
          <w:i/>
        </w:rPr>
        <w:t xml:space="preserve">Ervine </w:t>
      </w:r>
      <w:r w:rsidR="0067635D" w:rsidRPr="00AF57BF">
        <w:t xml:space="preserve">(2009) 47 Cal.4th 745, 773; </w:t>
      </w:r>
      <w:r w:rsidR="0067635D" w:rsidRPr="00AF57BF">
        <w:rPr>
          <w:i/>
        </w:rPr>
        <w:t>People v. Cleveland</w:t>
      </w:r>
      <w:r w:rsidR="0067635D" w:rsidRPr="00AF57BF">
        <w:t xml:space="preserve"> (2004) 32 Cal.4th 704, 740.)  </w:t>
      </w:r>
      <w:r w:rsidR="007A2DDA" w:rsidRPr="00AF57BF">
        <w:t xml:space="preserve">Nor do defendants point to anything in the record affirmatively suggesting </w:t>
      </w:r>
      <w:r w:rsidR="006427C3" w:rsidRPr="00AF57BF">
        <w:t xml:space="preserve">that </w:t>
      </w:r>
      <w:r w:rsidR="007A2DDA" w:rsidRPr="00AF57BF">
        <w:t>the restrai</w:t>
      </w:r>
      <w:r w:rsidR="001743A2" w:rsidRPr="00AF57BF">
        <w:t>nts</w:t>
      </w:r>
      <w:r w:rsidR="007A2DDA" w:rsidRPr="00AF57BF">
        <w:t xml:space="preserve"> had any effect on their ability to conduct their defense.  </w:t>
      </w:r>
      <w:proofErr w:type="gramStart"/>
      <w:r w:rsidR="006E192C" w:rsidRPr="00AF57BF">
        <w:rPr>
          <w:rStyle w:val="ssrfcpassagedeactivated"/>
        </w:rPr>
        <w:t>“ ‘</w:t>
      </w:r>
      <w:proofErr w:type="gramEnd"/>
      <w:r w:rsidR="000F6564" w:rsidRPr="00AF57BF">
        <w:rPr>
          <w:rStyle w:val="ssrfcpassagedeactivated"/>
        </w:rPr>
        <w:t>[</w:t>
      </w:r>
      <w:r w:rsidR="006E192C" w:rsidRPr="00AF57BF">
        <w:rPr>
          <w:rStyle w:val="ssrfcpassagedeactivated"/>
        </w:rPr>
        <w:t>W</w:t>
      </w:r>
      <w:r w:rsidR="000F6564" w:rsidRPr="00AF57BF">
        <w:rPr>
          <w:rStyle w:val="ssrfcpassagedeactivated"/>
        </w:rPr>
        <w:t>]</w:t>
      </w:r>
      <w:r w:rsidR="00D755B3" w:rsidRPr="00AF57BF">
        <w:rPr>
          <w:rStyle w:val="ssrfcpassagedeactivated"/>
        </w:rPr>
        <w:t>e have consistently held that courtroom shackling, even if error, [is] harmless if there is no evidence that the jury saw the restraints, or that the shackles impaired or prejudiced the defendant’s right to testify or</w:t>
      </w:r>
      <w:r w:rsidR="006E192C" w:rsidRPr="00AF57BF">
        <w:rPr>
          <w:rStyle w:val="ssrfcpassagedeactivated"/>
        </w:rPr>
        <w:t xml:space="preserve"> participate in his defense.’ ”</w:t>
      </w:r>
      <w:r w:rsidR="006E192C" w:rsidRPr="00AF57BF">
        <w:t xml:space="preserve">  (</w:t>
      </w:r>
      <w:r w:rsidR="006E192C" w:rsidRPr="00AF57BF">
        <w:rPr>
          <w:i/>
        </w:rPr>
        <w:t xml:space="preserve">People v. Williams </w:t>
      </w:r>
      <w:r w:rsidR="006E192C" w:rsidRPr="00AF57BF">
        <w:t>(2015) 61 Cal.4th 1244, 1259.</w:t>
      </w:r>
      <w:r w:rsidR="00D755B3" w:rsidRPr="00AF57BF">
        <w:t xml:space="preserve">)  </w:t>
      </w:r>
      <w:r w:rsidR="00BB4286" w:rsidRPr="00AF57BF">
        <w:t>Moreover, t</w:t>
      </w:r>
      <w:r w:rsidR="00531109" w:rsidRPr="00AF57BF">
        <w:t>he trial court expressed confidence that once the trial was under way there would be no problems a</w:t>
      </w:r>
      <w:r w:rsidR="00F257E9" w:rsidRPr="00AF57BF">
        <w:t>nd</w:t>
      </w:r>
      <w:r w:rsidR="00254648" w:rsidRPr="00AF57BF">
        <w:t xml:space="preserve"> the</w:t>
      </w:r>
      <w:r w:rsidR="00F257E9" w:rsidRPr="00AF57BF">
        <w:t xml:space="preserve"> </w:t>
      </w:r>
      <w:r w:rsidR="003D5336" w:rsidRPr="00AF57BF">
        <w:t>need for such a</w:t>
      </w:r>
      <w:r w:rsidR="00F257E9" w:rsidRPr="00AF57BF">
        <w:t xml:space="preserve"> number of deputies</w:t>
      </w:r>
      <w:r w:rsidR="00531109" w:rsidRPr="00AF57BF">
        <w:t xml:space="preserve"> </w:t>
      </w:r>
      <w:r w:rsidR="00AA563F" w:rsidRPr="00AF57BF">
        <w:t>would abate.  T</w:t>
      </w:r>
      <w:r w:rsidR="007A2DDA" w:rsidRPr="00AF57BF">
        <w:t xml:space="preserve">he record does not reveal whether the court’s prediction </w:t>
      </w:r>
      <w:r w:rsidR="00011501" w:rsidRPr="00AF57BF">
        <w:t>was borne out, but</w:t>
      </w:r>
      <w:r w:rsidR="00AA563F" w:rsidRPr="00AF57BF">
        <w:t xml:space="preserve"> defendants</w:t>
      </w:r>
      <w:r w:rsidR="00531109" w:rsidRPr="00AF57BF">
        <w:t xml:space="preserve"> </w:t>
      </w:r>
      <w:r w:rsidR="00AA563F" w:rsidRPr="00AF57BF">
        <w:t>did not</w:t>
      </w:r>
      <w:r w:rsidR="00BB4286" w:rsidRPr="00AF57BF">
        <w:t xml:space="preserve"> renew </w:t>
      </w:r>
      <w:r w:rsidR="00011501" w:rsidRPr="00AF57BF">
        <w:t>the</w:t>
      </w:r>
      <w:r w:rsidR="00AA563F" w:rsidRPr="00AF57BF">
        <w:t>ir</w:t>
      </w:r>
      <w:r w:rsidR="00011501" w:rsidRPr="00AF57BF">
        <w:t xml:space="preserve"> objection.</w:t>
      </w:r>
    </w:p>
    <w:p w:rsidR="00011501" w:rsidRPr="00AF57BF" w:rsidRDefault="00AA563F" w:rsidP="00AF57BF">
      <w:pPr>
        <w:pStyle w:val="Heading3"/>
      </w:pPr>
      <w:bookmarkStart w:id="32" w:name="_Toc521674402"/>
      <w:r w:rsidRPr="00AF57BF">
        <w:t>2.</w:t>
      </w:r>
      <w:r w:rsidRPr="00AF57BF" w:rsidDel="00AA563F">
        <w:t xml:space="preserve"> </w:t>
      </w:r>
      <w:r w:rsidR="00070DDA" w:rsidRPr="00AF57BF">
        <w:t>Admiss</w:t>
      </w:r>
      <w:r w:rsidR="00EA0775" w:rsidRPr="00AF57BF">
        <w:t>ion of A</w:t>
      </w:r>
      <w:r w:rsidR="007072A7" w:rsidRPr="00AF57BF">
        <w:t xml:space="preserve">utopsy </w:t>
      </w:r>
      <w:r w:rsidR="00EA0775" w:rsidRPr="00AF57BF">
        <w:t>R</w:t>
      </w:r>
      <w:r w:rsidR="00952217" w:rsidRPr="00AF57BF">
        <w:t xml:space="preserve">esults </w:t>
      </w:r>
      <w:bookmarkEnd w:id="32"/>
    </w:p>
    <w:p w:rsidR="00D853F6" w:rsidRPr="00AF57BF" w:rsidRDefault="00952217" w:rsidP="00AF57BF">
      <w:pPr>
        <w:pStyle w:val="Text"/>
        <w:spacing w:line="400" w:lineRule="exact"/>
      </w:pPr>
      <w:r w:rsidRPr="00AF57BF">
        <w:t xml:space="preserve">Defendants </w:t>
      </w:r>
      <w:r w:rsidR="00070DDA" w:rsidRPr="00AF57BF">
        <w:t xml:space="preserve">were convicted of the </w:t>
      </w:r>
      <w:proofErr w:type="gramStart"/>
      <w:r w:rsidR="00070DDA" w:rsidRPr="00AF57BF">
        <w:t>first degree</w:t>
      </w:r>
      <w:proofErr w:type="gramEnd"/>
      <w:r w:rsidR="00070DDA" w:rsidRPr="00AF57BF">
        <w:t xml:space="preserve"> murder of Arturo Madrigal during a drive-by shooting for the benefit of a criminal street gang.  (§§ 187, </w:t>
      </w:r>
      <w:proofErr w:type="spellStart"/>
      <w:r w:rsidR="00784BE2" w:rsidRPr="00AF57BF">
        <w:t>subd</w:t>
      </w:r>
      <w:proofErr w:type="spellEnd"/>
      <w:r w:rsidR="00784BE2" w:rsidRPr="00AF57BF">
        <w:t xml:space="preserve">. (a), 190.2, </w:t>
      </w:r>
      <w:proofErr w:type="spellStart"/>
      <w:r w:rsidR="00784BE2" w:rsidRPr="00AF57BF">
        <w:t>subd</w:t>
      </w:r>
      <w:proofErr w:type="spellEnd"/>
      <w:r w:rsidR="00784BE2" w:rsidRPr="00AF57BF">
        <w:t>. (a</w:t>
      </w:r>
      <w:proofErr w:type="gramStart"/>
      <w:r w:rsidR="00784BE2" w:rsidRPr="00AF57BF">
        <w:t>)(</w:t>
      </w:r>
      <w:proofErr w:type="gramEnd"/>
      <w:r w:rsidR="00784BE2" w:rsidRPr="00AF57BF">
        <w:t xml:space="preserve">21), </w:t>
      </w:r>
      <w:r w:rsidR="00344DB7" w:rsidRPr="00AF57BF">
        <w:t>186.22</w:t>
      </w:r>
      <w:r w:rsidR="00EA0775" w:rsidRPr="00AF57BF">
        <w:t xml:space="preserve">, </w:t>
      </w:r>
      <w:proofErr w:type="spellStart"/>
      <w:r w:rsidR="00EA0775" w:rsidRPr="00AF57BF">
        <w:t>subd</w:t>
      </w:r>
      <w:proofErr w:type="spellEnd"/>
      <w:r w:rsidR="00EA0775" w:rsidRPr="00AF57BF">
        <w:t>. (b)(1)</w:t>
      </w:r>
      <w:r w:rsidR="00344DB7" w:rsidRPr="00AF57BF">
        <w:t xml:space="preserve">.)  </w:t>
      </w:r>
      <w:r w:rsidR="00AA563F" w:rsidRPr="00AF57BF">
        <w:t>A</w:t>
      </w:r>
      <w:r w:rsidR="00344DB7" w:rsidRPr="00AF57BF">
        <w:t xml:space="preserve"> </w:t>
      </w:r>
      <w:r w:rsidR="008C235E" w:rsidRPr="00AF57BF">
        <w:t xml:space="preserve">deputy medical examiner other than the one who performed the autopsy </w:t>
      </w:r>
      <w:r w:rsidR="00AA563F" w:rsidRPr="00AF57BF">
        <w:t xml:space="preserve">testified as to the results.  Defendants assert </w:t>
      </w:r>
      <w:r w:rsidR="00EA0775" w:rsidRPr="00AF57BF">
        <w:t xml:space="preserve">the testimony </w:t>
      </w:r>
      <w:r w:rsidR="00070DDA" w:rsidRPr="00AF57BF">
        <w:t>violated</w:t>
      </w:r>
      <w:r w:rsidRPr="00AF57BF">
        <w:t xml:space="preserve"> their right of confrontation under the Sixth Amendment</w:t>
      </w:r>
      <w:r w:rsidR="00D853F6" w:rsidRPr="00AF57BF">
        <w:t>.</w:t>
      </w:r>
    </w:p>
    <w:p w:rsidR="00891715" w:rsidRPr="00AF57BF" w:rsidRDefault="00B56432" w:rsidP="00AF57BF">
      <w:pPr>
        <w:pStyle w:val="Text"/>
        <w:spacing w:line="400" w:lineRule="exact"/>
      </w:pPr>
      <w:r w:rsidRPr="00AF57BF">
        <w:t xml:space="preserve">Madrigal was shot and killed on May 25, 2000.  Two days later, Dr. </w:t>
      </w:r>
      <w:r w:rsidR="0081612D" w:rsidRPr="00AF57BF">
        <w:t>Carrillo performed an autops</w:t>
      </w:r>
      <w:r w:rsidR="000A3E4B" w:rsidRPr="00AF57BF">
        <w:t>y, and</w:t>
      </w:r>
      <w:r w:rsidR="0081612D" w:rsidRPr="00AF57BF">
        <w:t xml:space="preserve"> wrote a report concluding that Madrigal</w:t>
      </w:r>
      <w:r w:rsidR="00512138" w:rsidRPr="00AF57BF">
        <w:t xml:space="preserve"> died from</w:t>
      </w:r>
      <w:r w:rsidR="0081612D" w:rsidRPr="00AF57BF">
        <w:t xml:space="preserve"> a </w:t>
      </w:r>
      <w:r w:rsidR="006E192C" w:rsidRPr="00AF57BF">
        <w:t xml:space="preserve">homicidal </w:t>
      </w:r>
      <w:r w:rsidR="0081612D" w:rsidRPr="00AF57BF">
        <w:t xml:space="preserve">gunshot. </w:t>
      </w:r>
      <w:r w:rsidR="00512138" w:rsidRPr="00AF57BF">
        <w:t xml:space="preserve"> </w:t>
      </w:r>
      <w:r w:rsidR="0081612D" w:rsidRPr="00AF57BF">
        <w:t>Dr. Carr</w:t>
      </w:r>
      <w:r w:rsidR="00383C0C" w:rsidRPr="00AF57BF">
        <w:t>illo</w:t>
      </w:r>
      <w:r w:rsidR="00931F89" w:rsidRPr="00AF57BF">
        <w:t xml:space="preserve"> was </w:t>
      </w:r>
      <w:r w:rsidR="00E30E43" w:rsidRPr="00AF57BF">
        <w:t>away from</w:t>
      </w:r>
      <w:r w:rsidR="00D853F6" w:rsidRPr="00AF57BF">
        <w:t xml:space="preserve"> the office </w:t>
      </w:r>
      <w:r w:rsidR="00512138" w:rsidRPr="00AF57BF">
        <w:t>during</w:t>
      </w:r>
      <w:r w:rsidR="00A959CA" w:rsidRPr="00AF57BF">
        <w:t xml:space="preserve"> trial</w:t>
      </w:r>
      <w:r w:rsidR="009A5324" w:rsidRPr="00AF57BF">
        <w:t xml:space="preserve"> because his wife had just had a baby</w:t>
      </w:r>
      <w:r w:rsidR="00512138" w:rsidRPr="00AF57BF">
        <w:t>.  In his stead</w:t>
      </w:r>
      <w:r w:rsidR="00A959CA" w:rsidRPr="00AF57BF">
        <w:t xml:space="preserve"> </w:t>
      </w:r>
      <w:r w:rsidR="00A548F0" w:rsidRPr="00AF57BF">
        <w:t>the prosecutor</w:t>
      </w:r>
      <w:r w:rsidR="0030646F" w:rsidRPr="00AF57BF">
        <w:t xml:space="preserve"> called</w:t>
      </w:r>
      <w:r w:rsidR="00A548F0" w:rsidRPr="00AF57BF">
        <w:t xml:space="preserve"> Dr. Lisa </w:t>
      </w:r>
      <w:proofErr w:type="spellStart"/>
      <w:r w:rsidR="00A548F0" w:rsidRPr="00AF57BF">
        <w:t>Scheinin</w:t>
      </w:r>
      <w:proofErr w:type="spellEnd"/>
      <w:r w:rsidR="00A548F0" w:rsidRPr="00AF57BF">
        <w:t>, a medical examiner in the same office</w:t>
      </w:r>
      <w:r w:rsidR="00512138" w:rsidRPr="00AF57BF">
        <w:t xml:space="preserve">. </w:t>
      </w:r>
      <w:r w:rsidR="0030646F" w:rsidRPr="00AF57BF">
        <w:t xml:space="preserve"> </w:t>
      </w:r>
      <w:r w:rsidR="00051E44" w:rsidRPr="00AF57BF">
        <w:t>Dr. </w:t>
      </w:r>
      <w:proofErr w:type="spellStart"/>
      <w:r w:rsidR="0030646F" w:rsidRPr="00AF57BF">
        <w:t>Scheinin</w:t>
      </w:r>
      <w:proofErr w:type="spellEnd"/>
      <w:r w:rsidR="0030646F" w:rsidRPr="00AF57BF">
        <w:t xml:space="preserve"> described </w:t>
      </w:r>
      <w:r w:rsidR="00A548F0" w:rsidRPr="00AF57BF">
        <w:t>Dr. Carrillo’s observations</w:t>
      </w:r>
      <w:r w:rsidR="0030646F" w:rsidRPr="00AF57BF">
        <w:t xml:space="preserve"> and conclusions</w:t>
      </w:r>
      <w:r w:rsidR="006E192C" w:rsidRPr="00AF57BF">
        <w:t xml:space="preserve"> about</w:t>
      </w:r>
      <w:r w:rsidR="00A548F0" w:rsidRPr="00AF57BF">
        <w:t xml:space="preserve"> wounds and the trajectory of the fatal bullet,</w:t>
      </w:r>
      <w:r w:rsidR="00AD4CBF" w:rsidRPr="00AF57BF">
        <w:t xml:space="preserve"> </w:t>
      </w:r>
      <w:r w:rsidR="00AD4CBF" w:rsidRPr="00AF57BF">
        <w:lastRenderedPageBreak/>
        <w:t>as recorded in his autopsy</w:t>
      </w:r>
      <w:r w:rsidR="00A548F0" w:rsidRPr="00AF57BF">
        <w:t xml:space="preserve"> report</w:t>
      </w:r>
      <w:r w:rsidR="00AD4CBF" w:rsidRPr="00AF57BF">
        <w:t>.  The</w:t>
      </w:r>
      <w:r w:rsidR="00A548F0" w:rsidRPr="00AF57BF">
        <w:t xml:space="preserve"> report itself was not admitted into evidence.  </w:t>
      </w:r>
    </w:p>
    <w:p w:rsidR="0030646F" w:rsidRPr="00AF57BF" w:rsidRDefault="00E037CC" w:rsidP="00AF57BF">
      <w:pPr>
        <w:pStyle w:val="Text"/>
        <w:spacing w:line="400" w:lineRule="exact"/>
      </w:pPr>
      <w:r w:rsidRPr="00AF57BF">
        <w:t>D</w:t>
      </w:r>
      <w:r w:rsidR="0030646F" w:rsidRPr="00AF57BF">
        <w:t xml:space="preserve">efendants </w:t>
      </w:r>
      <w:r w:rsidR="00512138" w:rsidRPr="00AF57BF">
        <w:t>did not</w:t>
      </w:r>
      <w:r w:rsidR="00D853F6" w:rsidRPr="00AF57BF">
        <w:t xml:space="preserve"> </w:t>
      </w:r>
      <w:r w:rsidR="00E67B7B" w:rsidRPr="00AF57BF">
        <w:t xml:space="preserve">object </w:t>
      </w:r>
      <w:r w:rsidR="00497D33" w:rsidRPr="00AF57BF">
        <w:t xml:space="preserve">to Dr. </w:t>
      </w:r>
      <w:proofErr w:type="spellStart"/>
      <w:r w:rsidR="00497D33" w:rsidRPr="00AF57BF">
        <w:t>Scheinin’s</w:t>
      </w:r>
      <w:proofErr w:type="spellEnd"/>
      <w:r w:rsidR="00497D33" w:rsidRPr="00AF57BF">
        <w:t xml:space="preserve"> testimony</w:t>
      </w:r>
      <w:r w:rsidR="00512138" w:rsidRPr="00AF57BF">
        <w:t>, thus failing</w:t>
      </w:r>
      <w:r w:rsidR="00497D33" w:rsidRPr="00AF57BF">
        <w:t xml:space="preserve"> </w:t>
      </w:r>
      <w:r w:rsidR="00E319F5" w:rsidRPr="00AF57BF">
        <w:t>to preserve the claim</w:t>
      </w:r>
      <w:r w:rsidR="00B543E9" w:rsidRPr="00AF57BF">
        <w:t xml:space="preserve"> in this post-</w:t>
      </w:r>
      <w:r w:rsidR="00B543E9" w:rsidRPr="00AF57BF">
        <w:rPr>
          <w:i/>
        </w:rPr>
        <w:t>Crawford</w:t>
      </w:r>
      <w:r w:rsidR="00B543E9" w:rsidRPr="00AF57BF">
        <w:t xml:space="preserve"> case</w:t>
      </w:r>
      <w:r w:rsidR="00E67B7B" w:rsidRPr="00AF57BF">
        <w:t>.</w:t>
      </w:r>
      <w:r w:rsidR="00000A6D" w:rsidRPr="00AF57BF">
        <w:t xml:space="preserve">  </w:t>
      </w:r>
      <w:r w:rsidR="00B543E9" w:rsidRPr="00AF57BF">
        <w:t xml:space="preserve">(See </w:t>
      </w:r>
      <w:r w:rsidR="00B543E9" w:rsidRPr="00AF57BF">
        <w:rPr>
          <w:i/>
        </w:rPr>
        <w:t>Crawford v. Washington</w:t>
      </w:r>
      <w:r w:rsidR="00B543E9" w:rsidRPr="00AF57BF">
        <w:t xml:space="preserve"> (2004) 541 U.S. 36, 42 (</w:t>
      </w:r>
      <w:r w:rsidR="00B543E9" w:rsidRPr="00AF57BF">
        <w:rPr>
          <w:i/>
        </w:rPr>
        <w:t>Crawford</w:t>
      </w:r>
      <w:r w:rsidR="00B543E9" w:rsidRPr="00AF57BF">
        <w:t>).)</w:t>
      </w:r>
      <w:r w:rsidR="00594145" w:rsidRPr="00AF57BF">
        <w:rPr>
          <w:rStyle w:val="FootnoteReference"/>
        </w:rPr>
        <w:footnoteReference w:id="13"/>
      </w:r>
      <w:r w:rsidR="00B543E9" w:rsidRPr="00AF57BF">
        <w:t xml:space="preserve">  </w:t>
      </w:r>
      <w:r w:rsidR="007D0ACC" w:rsidRPr="00AF57BF">
        <w:t>D</w:t>
      </w:r>
      <w:r w:rsidR="00F810F3" w:rsidRPr="00AF57BF">
        <w:t xml:space="preserve">efendants </w:t>
      </w:r>
      <w:r w:rsidR="007D0ACC" w:rsidRPr="00AF57BF">
        <w:t xml:space="preserve">establish </w:t>
      </w:r>
      <w:r w:rsidR="00F810F3" w:rsidRPr="00AF57BF">
        <w:t xml:space="preserve">no </w:t>
      </w:r>
      <w:r w:rsidR="007D0ACC" w:rsidRPr="00AF57BF">
        <w:t xml:space="preserve">ground for </w:t>
      </w:r>
      <w:r w:rsidR="00F810F3" w:rsidRPr="00AF57BF">
        <w:t>relief</w:t>
      </w:r>
      <w:r w:rsidR="00C248F7" w:rsidRPr="00AF57BF">
        <w:t xml:space="preserve"> because admission of</w:t>
      </w:r>
      <w:r w:rsidR="00D853F6" w:rsidRPr="00AF57BF">
        <w:t xml:space="preserve"> the testimony</w:t>
      </w:r>
      <w:r w:rsidR="000A7E29" w:rsidRPr="00AF57BF">
        <w:t>, even if error</w:t>
      </w:r>
      <w:r w:rsidR="00166D17" w:rsidRPr="00AF57BF">
        <w:t>,</w:t>
      </w:r>
      <w:r w:rsidR="00D853F6" w:rsidRPr="00AF57BF">
        <w:t xml:space="preserve"> was </w:t>
      </w:r>
      <w:r w:rsidR="0078756D" w:rsidRPr="00AF57BF">
        <w:t>harmless beyond a reasonable doubt.</w:t>
      </w:r>
    </w:p>
    <w:p w:rsidR="0078756D" w:rsidRPr="00AF57BF" w:rsidRDefault="00C576AC" w:rsidP="00AF57BF">
      <w:pPr>
        <w:pStyle w:val="Text"/>
        <w:spacing w:line="400" w:lineRule="exact"/>
      </w:pPr>
      <w:r w:rsidRPr="00AF57BF">
        <w:t>“T</w:t>
      </w:r>
      <w:r w:rsidR="00721EA4" w:rsidRPr="00AF57BF">
        <w:t>he Sixth Amendment</w:t>
      </w:r>
      <w:r w:rsidRPr="00AF57BF">
        <w:t xml:space="preserve">’s Confrontation Clause provides that, </w:t>
      </w:r>
      <w:r w:rsidR="004610CA" w:rsidRPr="00AF57BF">
        <w:t>‘</w:t>
      </w:r>
      <w:r w:rsidRPr="00AF57BF">
        <w:t>[</w:t>
      </w:r>
      <w:proofErr w:type="spellStart"/>
      <w:r w:rsidRPr="00AF57BF">
        <w:t>i</w:t>
      </w:r>
      <w:proofErr w:type="spellEnd"/>
      <w:r w:rsidRPr="00AF57BF">
        <w:t xml:space="preserve">]n all criminal prosecutions, the accused shall enjoy the </w:t>
      </w:r>
      <w:proofErr w:type="gramStart"/>
      <w:r w:rsidRPr="00AF57BF">
        <w:t>right .</w:t>
      </w:r>
      <w:proofErr w:type="gramEnd"/>
      <w:r w:rsidRPr="00AF57BF">
        <w:t> . . to be confronted with the witnesses against him.</w:t>
      </w:r>
      <w:proofErr w:type="gramStart"/>
      <w:r w:rsidR="004610CA" w:rsidRPr="00AF57BF">
        <w:t>’ ”</w:t>
      </w:r>
      <w:proofErr w:type="gramEnd"/>
      <w:r w:rsidRPr="00AF57BF">
        <w:t xml:space="preserve">  </w:t>
      </w:r>
      <w:r w:rsidR="004610CA" w:rsidRPr="00AF57BF">
        <w:t>(</w:t>
      </w:r>
      <w:r w:rsidR="00E037CC" w:rsidRPr="00AF57BF">
        <w:rPr>
          <w:i/>
        </w:rPr>
        <w:t>Crawford</w:t>
      </w:r>
      <w:r w:rsidR="00B543E9" w:rsidRPr="00AF57BF">
        <w:t xml:space="preserve">, </w:t>
      </w:r>
      <w:r w:rsidR="00B543E9" w:rsidRPr="00AF57BF">
        <w:rPr>
          <w:i/>
        </w:rPr>
        <w:t>supra</w:t>
      </w:r>
      <w:r w:rsidR="00B543E9" w:rsidRPr="00AF57BF">
        <w:t>,</w:t>
      </w:r>
      <w:r w:rsidR="00E037CC" w:rsidRPr="00AF57BF">
        <w:t xml:space="preserve"> 541 U.S. </w:t>
      </w:r>
      <w:r w:rsidR="00B543E9" w:rsidRPr="00AF57BF">
        <w:t>at p.</w:t>
      </w:r>
      <w:r w:rsidR="00ED125F" w:rsidRPr="00AF57BF">
        <w:t> </w:t>
      </w:r>
      <w:r w:rsidR="00E037CC" w:rsidRPr="00AF57BF">
        <w:t xml:space="preserve">42.)  </w:t>
      </w:r>
      <w:r w:rsidR="00EB24F7" w:rsidRPr="00AF57BF">
        <w:rPr>
          <w:i/>
        </w:rPr>
        <w:t xml:space="preserve">Crawford </w:t>
      </w:r>
      <w:r w:rsidR="00EB24F7" w:rsidRPr="00AF57BF">
        <w:t xml:space="preserve">held that the clause bars introduction of “testimonial” </w:t>
      </w:r>
      <w:r w:rsidR="007D0ACC" w:rsidRPr="00AF57BF">
        <w:t>hearsay</w:t>
      </w:r>
      <w:r w:rsidR="00EB24F7" w:rsidRPr="00AF57BF">
        <w:t xml:space="preserve"> against a defendant unless the witness is </w:t>
      </w:r>
      <w:proofErr w:type="gramStart"/>
      <w:r w:rsidR="00EB24F7" w:rsidRPr="00AF57BF">
        <w:t>unavailable</w:t>
      </w:r>
      <w:proofErr w:type="gramEnd"/>
      <w:r w:rsidR="00EB24F7" w:rsidRPr="00AF57BF">
        <w:t xml:space="preserve"> and the defendant had a prior opportunity for cross-examination.  (</w:t>
      </w:r>
      <w:r w:rsidR="00EB24F7" w:rsidRPr="00AF57BF">
        <w:rPr>
          <w:i/>
        </w:rPr>
        <w:t>Id.</w:t>
      </w:r>
      <w:r w:rsidR="00EB24F7" w:rsidRPr="00AF57BF">
        <w:t xml:space="preserve"> at </w:t>
      </w:r>
      <w:r w:rsidR="00ED663A" w:rsidRPr="00AF57BF">
        <w:t>p</w:t>
      </w:r>
      <w:r w:rsidR="00811851">
        <w:t>. </w:t>
      </w:r>
      <w:r w:rsidR="00EB24F7" w:rsidRPr="00AF57BF">
        <w:t>68</w:t>
      </w:r>
      <w:r w:rsidR="00811851">
        <w:t xml:space="preserve">; see also </w:t>
      </w:r>
      <w:r w:rsidR="00811851">
        <w:rPr>
          <w:i/>
        </w:rPr>
        <w:t>id.</w:t>
      </w:r>
      <w:r w:rsidR="00811851">
        <w:t xml:space="preserve"> at p. 42</w:t>
      </w:r>
      <w:r w:rsidR="00EB24F7" w:rsidRPr="00AF57BF">
        <w:t xml:space="preserve">.)  </w:t>
      </w:r>
      <w:r w:rsidR="007D0ACC" w:rsidRPr="00AF57BF">
        <w:t>Subsequent</w:t>
      </w:r>
      <w:r w:rsidR="007D1803" w:rsidRPr="00AF57BF">
        <w:t xml:space="preserve"> decisions </w:t>
      </w:r>
      <w:r w:rsidR="00506E73" w:rsidRPr="00AF57BF">
        <w:t xml:space="preserve">by the high court and this court </w:t>
      </w:r>
      <w:r w:rsidR="000D6B15" w:rsidRPr="00AF57BF">
        <w:t>have sought to clarify</w:t>
      </w:r>
      <w:r w:rsidR="004711E2" w:rsidRPr="00AF57BF">
        <w:t xml:space="preserve"> what a “testimonial” statement is in the context of written reports documenting scientific testing.  </w:t>
      </w:r>
      <w:r w:rsidR="000D6B15" w:rsidRPr="00AF57BF">
        <w:t xml:space="preserve">(See </w:t>
      </w:r>
      <w:r w:rsidR="00083978" w:rsidRPr="00AF57BF">
        <w:rPr>
          <w:i/>
        </w:rPr>
        <w:t>Melendez-Diaz v. Massachusetts</w:t>
      </w:r>
      <w:r w:rsidR="00083978" w:rsidRPr="00AF57BF">
        <w:t xml:space="preserve"> (2009) </w:t>
      </w:r>
      <w:r w:rsidR="00083978" w:rsidRPr="00AF57BF">
        <w:lastRenderedPageBreak/>
        <w:t>557 U.S. 305</w:t>
      </w:r>
      <w:r w:rsidR="004F4853" w:rsidRPr="00AF57BF">
        <w:t>, 310–311;</w:t>
      </w:r>
      <w:r w:rsidR="00083978" w:rsidRPr="00AF57BF">
        <w:t xml:space="preserve"> </w:t>
      </w:r>
      <w:proofErr w:type="spellStart"/>
      <w:r w:rsidR="00FA67A1" w:rsidRPr="00AF57BF">
        <w:rPr>
          <w:i/>
        </w:rPr>
        <w:t>Bullcoming</w:t>
      </w:r>
      <w:proofErr w:type="spellEnd"/>
      <w:r w:rsidR="00FA67A1" w:rsidRPr="00AF57BF">
        <w:rPr>
          <w:i/>
        </w:rPr>
        <w:t xml:space="preserve"> v. New Mexico</w:t>
      </w:r>
      <w:r w:rsidR="00FA67A1" w:rsidRPr="00AF57BF">
        <w:t xml:space="preserve"> (2011) </w:t>
      </w:r>
      <w:r w:rsidR="005C5447" w:rsidRPr="00AF57BF">
        <w:t>564</w:t>
      </w:r>
      <w:r w:rsidR="00FA67A1" w:rsidRPr="00AF57BF">
        <w:t> U.S.</w:t>
      </w:r>
      <w:r w:rsidR="005C5447" w:rsidRPr="00AF57BF">
        <w:t xml:space="preserve"> 647</w:t>
      </w:r>
      <w:r w:rsidR="004F4853" w:rsidRPr="00AF57BF">
        <w:t xml:space="preserve">, 664–665; </w:t>
      </w:r>
      <w:r w:rsidR="004F4853" w:rsidRPr="00AF57BF">
        <w:rPr>
          <w:i/>
        </w:rPr>
        <w:t>Williams v. Illinois</w:t>
      </w:r>
      <w:r w:rsidR="00EA0775" w:rsidRPr="00AF57BF">
        <w:t xml:space="preserve"> (2012) 567 U.S. 50, 57–58; </w:t>
      </w:r>
      <w:r w:rsidR="00EA0775" w:rsidRPr="00AF57BF">
        <w:rPr>
          <w:i/>
        </w:rPr>
        <w:t>id.</w:t>
      </w:r>
      <w:r w:rsidR="00EA0775" w:rsidRPr="00AF57BF">
        <w:t xml:space="preserve"> at pp. </w:t>
      </w:r>
      <w:r w:rsidR="004F4853" w:rsidRPr="00AF57BF">
        <w:t>103–104</w:t>
      </w:r>
      <w:r w:rsidR="00EA0775" w:rsidRPr="00AF57BF">
        <w:t xml:space="preserve"> (conc. </w:t>
      </w:r>
      <w:proofErr w:type="spellStart"/>
      <w:r w:rsidR="00EA0775" w:rsidRPr="00AF57BF">
        <w:t>opn</w:t>
      </w:r>
      <w:proofErr w:type="spellEnd"/>
      <w:r w:rsidR="00EA0775" w:rsidRPr="00AF57BF">
        <w:t>. of Thomas, J.)</w:t>
      </w:r>
      <w:r w:rsidR="004F4853" w:rsidRPr="00AF57BF">
        <w:t>;</w:t>
      </w:r>
      <w:r w:rsidR="00947590" w:rsidRPr="00AF57BF">
        <w:t xml:space="preserve"> </w:t>
      </w:r>
      <w:r w:rsidR="00782289" w:rsidRPr="00AF57BF">
        <w:rPr>
          <w:i/>
        </w:rPr>
        <w:t xml:space="preserve">People v. </w:t>
      </w:r>
      <w:proofErr w:type="spellStart"/>
      <w:r w:rsidR="00782289" w:rsidRPr="00AF57BF">
        <w:rPr>
          <w:i/>
        </w:rPr>
        <w:t>Dungo</w:t>
      </w:r>
      <w:proofErr w:type="spellEnd"/>
      <w:r w:rsidR="00782289" w:rsidRPr="00AF57BF">
        <w:t xml:space="preserve"> (2012) 55 Cal.4th 608</w:t>
      </w:r>
      <w:r w:rsidR="004F4853" w:rsidRPr="00AF57BF">
        <w:t>.)  A comprehensive definition of the term “testimonial” awaits articulation.  (</w:t>
      </w:r>
      <w:proofErr w:type="spellStart"/>
      <w:r w:rsidR="002954E4" w:rsidRPr="00AF57BF">
        <w:rPr>
          <w:i/>
        </w:rPr>
        <w:t>Dungo</w:t>
      </w:r>
      <w:proofErr w:type="spellEnd"/>
      <w:r w:rsidR="002954E4" w:rsidRPr="00AF57BF">
        <w:t>, at p</w:t>
      </w:r>
      <w:r w:rsidR="00512670" w:rsidRPr="00AF57BF">
        <w:t xml:space="preserve">p. 648–649 (dis. </w:t>
      </w:r>
      <w:proofErr w:type="spellStart"/>
      <w:r w:rsidR="00512670" w:rsidRPr="00AF57BF">
        <w:t>opn</w:t>
      </w:r>
      <w:proofErr w:type="spellEnd"/>
      <w:r w:rsidR="00512670" w:rsidRPr="00AF57BF">
        <w:t xml:space="preserve">. of Corrigan, J.).)  </w:t>
      </w:r>
    </w:p>
    <w:p w:rsidR="009F3E2E" w:rsidRPr="00AF57BF" w:rsidRDefault="00826553" w:rsidP="00AF57BF">
      <w:pPr>
        <w:pStyle w:val="Text"/>
        <w:spacing w:line="400" w:lineRule="exact"/>
      </w:pPr>
      <w:r w:rsidRPr="00AF57BF">
        <w:t xml:space="preserve">However, we need not address the question in depth because any error </w:t>
      </w:r>
      <w:r w:rsidR="00051E44" w:rsidRPr="00AF57BF">
        <w:t xml:space="preserve">here </w:t>
      </w:r>
      <w:r w:rsidRPr="00AF57BF">
        <w:t xml:space="preserve">was harmless.  </w:t>
      </w:r>
      <w:r w:rsidR="00051E44" w:rsidRPr="00AF57BF">
        <w:t>(</w:t>
      </w:r>
      <w:r w:rsidR="00051E44" w:rsidRPr="00AF57BF">
        <w:rPr>
          <w:i/>
        </w:rPr>
        <w:t>Chapman v. California</w:t>
      </w:r>
      <w:r w:rsidR="00051E44" w:rsidRPr="00AF57BF">
        <w:t xml:space="preserve"> (1967) 386 U.S. 18, 24.)  </w:t>
      </w:r>
      <w:r w:rsidR="005E72A4" w:rsidRPr="00AF57BF">
        <w:t>The cause of Madri</w:t>
      </w:r>
      <w:r w:rsidR="00E037CC" w:rsidRPr="00AF57BF">
        <w:t>gal’s death was undisputed.  D</w:t>
      </w:r>
      <w:r w:rsidR="005134D6" w:rsidRPr="00AF57BF">
        <w:t>efendants acknowledg</w:t>
      </w:r>
      <w:r w:rsidR="005E72A4" w:rsidRPr="00AF57BF">
        <w:t xml:space="preserve">ed their responsibility </w:t>
      </w:r>
      <w:r w:rsidRPr="00AF57BF">
        <w:t xml:space="preserve">in pretrial statements.  </w:t>
      </w:r>
      <w:r w:rsidR="005134D6" w:rsidRPr="00AF57BF">
        <w:t>Flores admitted</w:t>
      </w:r>
      <w:r w:rsidR="005E72A4" w:rsidRPr="00AF57BF">
        <w:t xml:space="preserve"> he “domed” Madrigal and shot him in the face.  </w:t>
      </w:r>
      <w:r w:rsidRPr="00AF57BF">
        <w:t>A responding o</w:t>
      </w:r>
      <w:r w:rsidR="005E72A4" w:rsidRPr="00AF57BF">
        <w:t>fficer testified he saw Madrigal in</w:t>
      </w:r>
      <w:r w:rsidR="00E63FD9" w:rsidRPr="00AF57BF">
        <w:t>side</w:t>
      </w:r>
      <w:r w:rsidR="005E72A4" w:rsidRPr="00AF57BF">
        <w:t xml:space="preserve"> the Blazer </w:t>
      </w:r>
      <w:r w:rsidR="00E63FD9" w:rsidRPr="00AF57BF">
        <w:t xml:space="preserve">with blood </w:t>
      </w:r>
      <w:r w:rsidR="00882F00" w:rsidRPr="00AF57BF">
        <w:t>com</w:t>
      </w:r>
      <w:r w:rsidR="00E63FD9" w:rsidRPr="00AF57BF">
        <w:t xml:space="preserve">ing from his ears and head.  Photographic evidence corroborated the testimony.  </w:t>
      </w:r>
      <w:r w:rsidRPr="00AF57BF">
        <w:t xml:space="preserve">Extensive </w:t>
      </w:r>
      <w:r w:rsidR="00E63FD9" w:rsidRPr="00AF57BF">
        <w:t xml:space="preserve">evidence </w:t>
      </w:r>
      <w:r w:rsidRPr="00AF57BF">
        <w:t xml:space="preserve">demonstrated </w:t>
      </w:r>
      <w:r w:rsidR="00E63FD9" w:rsidRPr="00AF57BF">
        <w:t>that Madrigal died as the result of a gunshot wou</w:t>
      </w:r>
      <w:r w:rsidR="0045137F" w:rsidRPr="00AF57BF">
        <w:t>nd to the head</w:t>
      </w:r>
      <w:r w:rsidR="00E63FD9" w:rsidRPr="00AF57BF">
        <w:t>.</w:t>
      </w:r>
      <w:r w:rsidR="007D41D4" w:rsidRPr="00AF57BF">
        <w:rPr>
          <w:rStyle w:val="FootnoteReference"/>
        </w:rPr>
        <w:footnoteReference w:id="14"/>
      </w:r>
      <w:r w:rsidR="00E63FD9" w:rsidRPr="00AF57BF">
        <w:t xml:space="preserve">  </w:t>
      </w:r>
      <w:r w:rsidR="004774C7" w:rsidRPr="00AF57BF">
        <w:t>Defendants</w:t>
      </w:r>
      <w:r w:rsidR="009160A0" w:rsidRPr="00AF57BF">
        <w:t xml:space="preserve"> contend</w:t>
      </w:r>
      <w:r w:rsidR="004774C7" w:rsidRPr="00AF57BF">
        <w:t xml:space="preserve"> the </w:t>
      </w:r>
      <w:r w:rsidR="00483A7D" w:rsidRPr="00AF57BF">
        <w:t xml:space="preserve">improperly admitted </w:t>
      </w:r>
      <w:r w:rsidR="004774C7" w:rsidRPr="00AF57BF">
        <w:t>autopsy results supplied necessary corroboration</w:t>
      </w:r>
      <w:r w:rsidR="009160A0" w:rsidRPr="00AF57BF">
        <w:t>, for purposes of the corpus delicti rule,</w:t>
      </w:r>
      <w:r w:rsidR="0050223A" w:rsidRPr="00AF57BF">
        <w:rPr>
          <w:rStyle w:val="FootnoteReference"/>
        </w:rPr>
        <w:footnoteReference w:id="15"/>
      </w:r>
      <w:r w:rsidR="004774C7" w:rsidRPr="00AF57BF">
        <w:t xml:space="preserve"> of </w:t>
      </w:r>
      <w:r w:rsidR="00175E26" w:rsidRPr="00AF57BF">
        <w:lastRenderedPageBreak/>
        <w:t>Flores’s confession that he “domed” Madrigal</w:t>
      </w:r>
      <w:r w:rsidR="009160A0" w:rsidRPr="00AF57BF">
        <w:t>.  The contention</w:t>
      </w:r>
      <w:r w:rsidR="00B12810" w:rsidRPr="00AF57BF">
        <w:t xml:space="preserve"> lacks merit.  T</w:t>
      </w:r>
      <w:r w:rsidR="00175E26" w:rsidRPr="00AF57BF">
        <w:t>he responding officer’s testimony and the photographic evidence</w:t>
      </w:r>
      <w:r w:rsidR="00B12810" w:rsidRPr="00AF57BF">
        <w:t xml:space="preserve"> provided ample corroboration</w:t>
      </w:r>
      <w:r w:rsidR="00175E26" w:rsidRPr="00AF57BF">
        <w:t>.</w:t>
      </w:r>
    </w:p>
    <w:p w:rsidR="00C558EF" w:rsidRPr="00AF57BF" w:rsidRDefault="00C558EF" w:rsidP="00AF57BF">
      <w:pPr>
        <w:pStyle w:val="Heading3"/>
        <w:numPr>
          <w:ilvl w:val="0"/>
          <w:numId w:val="12"/>
        </w:numPr>
        <w:ind w:left="1584" w:hanging="432"/>
      </w:pPr>
      <w:bookmarkStart w:id="33" w:name="_Toc521674403"/>
      <w:r w:rsidRPr="00AF57BF">
        <w:t xml:space="preserve">Admission of </w:t>
      </w:r>
      <w:r w:rsidR="000A0DEF" w:rsidRPr="00AF57BF">
        <w:t>S</w:t>
      </w:r>
      <w:r w:rsidRPr="00AF57BF">
        <w:t>tatement</w:t>
      </w:r>
      <w:r w:rsidR="00EF5C0C" w:rsidRPr="00AF57BF">
        <w:t>s</w:t>
      </w:r>
      <w:r w:rsidRPr="00AF57BF">
        <w:t xml:space="preserve"> </w:t>
      </w:r>
      <w:r w:rsidR="000A0DEF" w:rsidRPr="00AF57BF">
        <w:t>M</w:t>
      </w:r>
      <w:r w:rsidR="00DB332E" w:rsidRPr="00AF57BF">
        <w:t xml:space="preserve">ade </w:t>
      </w:r>
      <w:r w:rsidRPr="00AF57BF">
        <w:t xml:space="preserve">to </w:t>
      </w:r>
      <w:r w:rsidR="00E42883" w:rsidRPr="00AF57BF">
        <w:t>Deputy District Attorney Levine</w:t>
      </w:r>
      <w:r w:rsidR="0004007D" w:rsidRPr="00AF57BF">
        <w:t xml:space="preserve"> </w:t>
      </w:r>
      <w:bookmarkEnd w:id="33"/>
    </w:p>
    <w:p w:rsidR="0023513E" w:rsidRPr="00AF57BF" w:rsidRDefault="009E228F" w:rsidP="00AF57BF">
      <w:pPr>
        <w:pStyle w:val="Text"/>
        <w:spacing w:line="400" w:lineRule="exact"/>
      </w:pPr>
      <w:r w:rsidRPr="00AF57BF">
        <w:t>O</w:t>
      </w:r>
      <w:r w:rsidR="006003F2" w:rsidRPr="00AF57BF">
        <w:t xml:space="preserve">n </w:t>
      </w:r>
      <w:r w:rsidR="0092006B" w:rsidRPr="00AF57BF">
        <w:t>January 7</w:t>
      </w:r>
      <w:r w:rsidR="008A4062" w:rsidRPr="00AF57BF">
        <w:t>, 2002</w:t>
      </w:r>
      <w:r w:rsidR="0092006B" w:rsidRPr="00AF57BF">
        <w:t>,</w:t>
      </w:r>
      <w:r w:rsidR="008A4062" w:rsidRPr="00AF57BF">
        <w:t xml:space="preserve"> the trial court granted</w:t>
      </w:r>
      <w:r w:rsidR="00C2733B" w:rsidRPr="00AF57BF">
        <w:t xml:space="preserve"> defendants’</w:t>
      </w:r>
      <w:r w:rsidR="008A4062" w:rsidRPr="00AF57BF">
        <w:t xml:space="preserve"> requests to represent themselves</w:t>
      </w:r>
      <w:r w:rsidR="000D674D" w:rsidRPr="00AF57BF">
        <w:t xml:space="preserve">.  </w:t>
      </w:r>
      <w:r w:rsidR="00FC4893" w:rsidRPr="00AF57BF">
        <w:rPr>
          <w:rStyle w:val="ssleftalign"/>
        </w:rPr>
        <w:t xml:space="preserve">(See </w:t>
      </w:r>
      <w:proofErr w:type="spellStart"/>
      <w:r w:rsidR="00FC4893" w:rsidRPr="00AF57BF">
        <w:rPr>
          <w:i/>
        </w:rPr>
        <w:t>Faretta</w:t>
      </w:r>
      <w:proofErr w:type="spellEnd"/>
      <w:r w:rsidR="00FC4893" w:rsidRPr="00AF57BF">
        <w:rPr>
          <w:i/>
        </w:rPr>
        <w:t xml:space="preserve"> v. California </w:t>
      </w:r>
      <w:r w:rsidR="000F6564" w:rsidRPr="00AF57BF">
        <w:t>(1975) 422 U.S. 806</w:t>
      </w:r>
      <w:r w:rsidR="00FC4893" w:rsidRPr="00AF57BF">
        <w:t xml:space="preserve">.)  </w:t>
      </w:r>
      <w:r w:rsidR="000D674D" w:rsidRPr="00AF57BF">
        <w:t xml:space="preserve">They continued to represent themselves until May 6, 2002, when the court allowed them to revoke their </w:t>
      </w:r>
      <w:proofErr w:type="spellStart"/>
      <w:r w:rsidR="00FC4893" w:rsidRPr="00AF57BF">
        <w:rPr>
          <w:i/>
        </w:rPr>
        <w:t>Faretta</w:t>
      </w:r>
      <w:proofErr w:type="spellEnd"/>
      <w:r w:rsidR="00B12810" w:rsidRPr="00AF57BF">
        <w:t xml:space="preserve"> requests.  B</w:t>
      </w:r>
      <w:r w:rsidR="000D674D" w:rsidRPr="00AF57BF">
        <w:t>oth were represented by counsel for the remainder of the proceedings</w:t>
      </w:r>
      <w:r w:rsidR="008A4062" w:rsidRPr="00AF57BF">
        <w:t>.</w:t>
      </w:r>
      <w:r w:rsidR="00FC4893" w:rsidRPr="00AF57BF">
        <w:t xml:space="preserve"> </w:t>
      </w:r>
      <w:r w:rsidRPr="00AF57BF">
        <w:t xml:space="preserve"> </w:t>
      </w:r>
      <w:r w:rsidR="00FC4893" w:rsidRPr="00AF57BF">
        <w:t>In February 2002,</w:t>
      </w:r>
      <w:r w:rsidR="008A4062" w:rsidRPr="00AF57BF">
        <w:t xml:space="preserve"> </w:t>
      </w:r>
      <w:r w:rsidR="00DD7B7C" w:rsidRPr="00AF57BF">
        <w:t>trial prosecutor</w:t>
      </w:r>
      <w:r w:rsidR="006003F2" w:rsidRPr="00AF57BF">
        <w:t xml:space="preserve"> </w:t>
      </w:r>
      <w:r w:rsidR="00DD7B7C" w:rsidRPr="00AF57BF">
        <w:t xml:space="preserve">Darren </w:t>
      </w:r>
      <w:r w:rsidR="006003F2" w:rsidRPr="00AF57BF">
        <w:t xml:space="preserve">Levine met with </w:t>
      </w:r>
      <w:r w:rsidR="00FC4893" w:rsidRPr="00AF57BF">
        <w:t>defendants</w:t>
      </w:r>
      <w:r w:rsidR="00C2733B" w:rsidRPr="00AF57BF">
        <w:t>,</w:t>
      </w:r>
      <w:r w:rsidR="006003F2" w:rsidRPr="00AF57BF">
        <w:t xml:space="preserve"> at their request</w:t>
      </w:r>
      <w:r w:rsidR="00C2733B" w:rsidRPr="00AF57BF">
        <w:t>,</w:t>
      </w:r>
      <w:r w:rsidR="006003F2" w:rsidRPr="00AF57BF">
        <w:t xml:space="preserve"> to provide discovery.  </w:t>
      </w:r>
      <w:r w:rsidR="006C34D2" w:rsidRPr="00AF57BF">
        <w:t>In an unrecorded conversation, d</w:t>
      </w:r>
      <w:r w:rsidR="008D4ADE" w:rsidRPr="00AF57BF">
        <w:t xml:space="preserve">efendants made </w:t>
      </w:r>
      <w:r w:rsidR="00312188" w:rsidRPr="00AF57BF">
        <w:t xml:space="preserve">spontaneous </w:t>
      </w:r>
      <w:r w:rsidR="00305C39" w:rsidRPr="00AF57BF">
        <w:t xml:space="preserve">statements </w:t>
      </w:r>
      <w:r w:rsidR="00E229DF" w:rsidRPr="00AF57BF">
        <w:t xml:space="preserve">about </w:t>
      </w:r>
      <w:r w:rsidR="008D4ADE" w:rsidRPr="00AF57BF">
        <w:t xml:space="preserve">the charged crimes and other offenses. </w:t>
      </w:r>
      <w:r w:rsidR="000C4A3D" w:rsidRPr="00AF57BF">
        <w:t xml:space="preserve"> </w:t>
      </w:r>
      <w:r w:rsidR="008D4ADE" w:rsidRPr="00AF57BF">
        <w:t>Levine</w:t>
      </w:r>
      <w:r w:rsidR="00F92264" w:rsidRPr="00AF57BF">
        <w:t xml:space="preserve"> and</w:t>
      </w:r>
      <w:r w:rsidR="008D4ADE" w:rsidRPr="00AF57BF">
        <w:t xml:space="preserve"> </w:t>
      </w:r>
      <w:r w:rsidR="001D594D" w:rsidRPr="00AF57BF">
        <w:t>a law enforcement</w:t>
      </w:r>
      <w:r w:rsidR="00F92264" w:rsidRPr="00AF57BF">
        <w:t xml:space="preserve"> officer </w:t>
      </w:r>
      <w:r w:rsidR="008D4ADE" w:rsidRPr="00AF57BF">
        <w:t xml:space="preserve">met with </w:t>
      </w:r>
      <w:r w:rsidR="00C2733B" w:rsidRPr="00AF57BF">
        <w:t xml:space="preserve">them </w:t>
      </w:r>
      <w:r w:rsidR="008D4ADE" w:rsidRPr="00AF57BF">
        <w:t>again on February 21</w:t>
      </w:r>
      <w:r w:rsidR="003B21E2" w:rsidRPr="00AF57BF">
        <w:t xml:space="preserve">, 2002.  </w:t>
      </w:r>
      <w:r w:rsidRPr="00AF57BF">
        <w:t>A third</w:t>
      </w:r>
      <w:r w:rsidR="00852286" w:rsidRPr="00AF57BF">
        <w:t xml:space="preserve"> meeting took place o</w:t>
      </w:r>
      <w:r w:rsidR="003B21E2" w:rsidRPr="00AF57BF">
        <w:t>n</w:t>
      </w:r>
      <w:r w:rsidR="00852286" w:rsidRPr="00AF57BF">
        <w:t xml:space="preserve"> March 28, 2002</w:t>
      </w:r>
      <w:r w:rsidR="00E229DF" w:rsidRPr="00AF57BF">
        <w:t>, with investigator</w:t>
      </w:r>
      <w:r w:rsidR="00852286" w:rsidRPr="00AF57BF">
        <w:t xml:space="preserve"> </w:t>
      </w:r>
      <w:r w:rsidR="003B21E2" w:rsidRPr="00AF57BF">
        <w:t>Thomas Kerfoot</w:t>
      </w:r>
      <w:r w:rsidR="00E229DF" w:rsidRPr="00AF57BF">
        <w:t xml:space="preserve"> in attendance</w:t>
      </w:r>
      <w:r w:rsidR="003B21E2" w:rsidRPr="00AF57BF">
        <w:t>.  Levine</w:t>
      </w:r>
      <w:r w:rsidR="00312188" w:rsidRPr="00AF57BF">
        <w:t xml:space="preserve"> </w:t>
      </w:r>
      <w:r w:rsidR="0064712D" w:rsidRPr="00AF57BF">
        <w:t xml:space="preserve">surreptitiously </w:t>
      </w:r>
      <w:r w:rsidR="00312188" w:rsidRPr="00AF57BF">
        <w:t>recorded</w:t>
      </w:r>
      <w:r w:rsidR="003B21E2" w:rsidRPr="00AF57BF">
        <w:t xml:space="preserve"> the</w:t>
      </w:r>
      <w:r w:rsidR="00312188" w:rsidRPr="00AF57BF">
        <w:t xml:space="preserve"> </w:t>
      </w:r>
      <w:r w:rsidR="003B21E2" w:rsidRPr="00AF57BF">
        <w:t xml:space="preserve">February 21 and March 28 </w:t>
      </w:r>
      <w:r w:rsidR="00312188" w:rsidRPr="00AF57BF">
        <w:t xml:space="preserve">conversations.  </w:t>
      </w:r>
      <w:r w:rsidR="00DD23BF" w:rsidRPr="00AF57BF">
        <w:t xml:space="preserve">In the interval between the two conversations, a preliminary hearing was held in connection with the Santa Monica pier charges.  </w:t>
      </w:r>
      <w:r w:rsidR="00A94AFF" w:rsidRPr="00AF57BF">
        <w:t>F</w:t>
      </w:r>
      <w:r w:rsidR="003D5045" w:rsidRPr="00AF57BF">
        <w:t xml:space="preserve">ollowing an </w:t>
      </w:r>
      <w:r w:rsidR="00FA5136" w:rsidRPr="00AF57BF">
        <w:t xml:space="preserve">expanded </w:t>
      </w:r>
      <w:r w:rsidR="003D5045" w:rsidRPr="00AF57BF">
        <w:t>investigation, Levine convene</w:t>
      </w:r>
      <w:r w:rsidR="00B365B6" w:rsidRPr="00AF57BF">
        <w:t>d a grand jury</w:t>
      </w:r>
      <w:r w:rsidR="00B12810" w:rsidRPr="00AF57BF">
        <w:t xml:space="preserve">.  </w:t>
      </w:r>
      <w:proofErr w:type="gramStart"/>
      <w:r w:rsidR="00B12810" w:rsidRPr="00AF57BF">
        <w:t>It</w:t>
      </w:r>
      <w:proofErr w:type="gramEnd"/>
      <w:r w:rsidR="00B12810" w:rsidRPr="00AF57BF">
        <w:t xml:space="preserve"> indicted defendants for</w:t>
      </w:r>
      <w:r w:rsidR="003D5045" w:rsidRPr="00AF57BF">
        <w:t xml:space="preserve"> the murders of </w:t>
      </w:r>
      <w:r w:rsidR="00B365B6" w:rsidRPr="00AF57BF">
        <w:t xml:space="preserve">John Diaz and Arturo Madrigal and the attempted murders of Paul Gonzales </w:t>
      </w:r>
      <w:r w:rsidR="00B365B6" w:rsidRPr="00AF57BF">
        <w:lastRenderedPageBreak/>
        <w:t>and Fernando Gutierrez, with numerous weapons, gang, and spe</w:t>
      </w:r>
      <w:r w:rsidR="00BC5DD5" w:rsidRPr="00AF57BF">
        <w:t>cial circumstance allegations.</w:t>
      </w:r>
      <w:r w:rsidR="00B365B6" w:rsidRPr="00AF57BF">
        <w:t xml:space="preserve">  </w:t>
      </w:r>
      <w:r w:rsidR="00F80D7C" w:rsidRPr="00AF57BF">
        <w:t>The indictments were later folded into the amended information on which the case went to trial</w:t>
      </w:r>
      <w:r w:rsidR="00DD7B7C" w:rsidRPr="00AF57BF">
        <w:t>.  The trial court denied defense motions to exclude redacted recordings of the statements</w:t>
      </w:r>
      <w:r w:rsidR="00FA5136" w:rsidRPr="00AF57BF">
        <w:t>.  D</w:t>
      </w:r>
      <w:r w:rsidR="00852286" w:rsidRPr="00AF57BF">
        <w:t>efendants were convicted of the offenses against Di</w:t>
      </w:r>
      <w:r w:rsidR="00A4279A" w:rsidRPr="00AF57BF">
        <w:t>az, Madrigal,</w:t>
      </w:r>
      <w:r w:rsidR="00852286" w:rsidRPr="00AF57BF">
        <w:t xml:space="preserve"> and Gutierrez.</w:t>
      </w:r>
    </w:p>
    <w:p w:rsidR="00204A0B" w:rsidRPr="00AF57BF" w:rsidRDefault="006116C3" w:rsidP="00AF57BF">
      <w:pPr>
        <w:pStyle w:val="Text"/>
        <w:spacing w:line="400" w:lineRule="exact"/>
      </w:pPr>
      <w:r w:rsidRPr="00AF57BF">
        <w:t>D</w:t>
      </w:r>
      <w:r w:rsidR="00DD7B7C" w:rsidRPr="00AF57BF">
        <w:t xml:space="preserve">efendants contend </w:t>
      </w:r>
      <w:r w:rsidR="00811851">
        <w:t xml:space="preserve">that </w:t>
      </w:r>
      <w:r w:rsidR="00DD7B7C" w:rsidRPr="00AF57BF">
        <w:t>the statements should have been excluded under</w:t>
      </w:r>
      <w:r w:rsidR="000A0DEF" w:rsidRPr="00AF57BF">
        <w:t xml:space="preserve"> Penal Code</w:t>
      </w:r>
      <w:r w:rsidR="00DD7B7C" w:rsidRPr="00AF57BF">
        <w:t xml:space="preserve"> section 1192.4 and Evidence Code section 1153 </w:t>
      </w:r>
      <w:r w:rsidRPr="00AF57BF">
        <w:t>because they were</w:t>
      </w:r>
      <w:r w:rsidR="00DD7B7C" w:rsidRPr="00AF57BF">
        <w:t xml:space="preserve"> part of settlement negotiations.</w:t>
      </w:r>
      <w:r w:rsidR="00BA07C2" w:rsidRPr="00AF57BF">
        <w:t xml:space="preserve">  </w:t>
      </w:r>
      <w:r w:rsidR="00BF579A" w:rsidRPr="00AF57BF">
        <w:t>Their</w:t>
      </w:r>
      <w:r w:rsidR="00BA07C2" w:rsidRPr="00AF57BF">
        <w:t xml:space="preserve"> suppression motion </w:t>
      </w:r>
      <w:r w:rsidR="005D123D" w:rsidRPr="00AF57BF">
        <w:t xml:space="preserve">below </w:t>
      </w:r>
      <w:r w:rsidR="00BA07C2" w:rsidRPr="00AF57BF">
        <w:t xml:space="preserve">did not </w:t>
      </w:r>
      <w:proofErr w:type="gramStart"/>
      <w:r w:rsidR="00BA07C2" w:rsidRPr="00AF57BF">
        <w:t>assert</w:t>
      </w:r>
      <w:proofErr w:type="gramEnd"/>
      <w:r w:rsidR="00BA07C2" w:rsidRPr="00AF57BF">
        <w:t xml:space="preserve"> this ground</w:t>
      </w:r>
      <w:r w:rsidR="005D123D" w:rsidRPr="00AF57BF">
        <w:t>.</w:t>
      </w:r>
      <w:r w:rsidR="00BA07C2" w:rsidRPr="00AF57BF">
        <w:t xml:space="preserve"> </w:t>
      </w:r>
      <w:r w:rsidR="005D123D" w:rsidRPr="00AF57BF">
        <w:t xml:space="preserve"> Instead the defense relied</w:t>
      </w:r>
      <w:r w:rsidR="006F2C0A" w:rsidRPr="00AF57BF">
        <w:t xml:space="preserve"> on three other grounds</w:t>
      </w:r>
      <w:r w:rsidR="00790B07" w:rsidRPr="00AF57BF">
        <w:t xml:space="preserve"> not renewed here</w:t>
      </w:r>
      <w:r w:rsidR="0023767D" w:rsidRPr="00AF57BF">
        <w:t>.</w:t>
      </w:r>
      <w:r w:rsidR="00CD6B04" w:rsidRPr="00AF57BF">
        <w:rPr>
          <w:vertAlign w:val="superscript"/>
        </w:rPr>
        <w:t xml:space="preserve"> </w:t>
      </w:r>
      <w:r w:rsidR="0023767D" w:rsidRPr="00AF57BF">
        <w:t xml:space="preserve"> T</w:t>
      </w:r>
      <w:r w:rsidR="00494C07" w:rsidRPr="00AF57BF">
        <w:t>he</w:t>
      </w:r>
      <w:r w:rsidR="00D76B00" w:rsidRPr="00AF57BF">
        <w:t>ir appellate</w:t>
      </w:r>
      <w:r w:rsidR="00494C07" w:rsidRPr="00AF57BF">
        <w:t xml:space="preserve"> claim is </w:t>
      </w:r>
      <w:r w:rsidR="0023767D" w:rsidRPr="00AF57BF">
        <w:t xml:space="preserve">thus </w:t>
      </w:r>
      <w:r w:rsidR="00494C07" w:rsidRPr="00AF57BF">
        <w:t>forfeited</w:t>
      </w:r>
      <w:r w:rsidR="008218EC" w:rsidRPr="00AF57BF">
        <w:t xml:space="preserve">.  </w:t>
      </w:r>
      <w:r w:rsidR="00385F16" w:rsidRPr="00AF57BF">
        <w:t>(</w:t>
      </w:r>
      <w:proofErr w:type="spellStart"/>
      <w:r w:rsidR="00385F16" w:rsidRPr="00AF57BF">
        <w:t>Evid</w:t>
      </w:r>
      <w:proofErr w:type="spellEnd"/>
      <w:r w:rsidR="00385F16" w:rsidRPr="00AF57BF">
        <w:t xml:space="preserve">. Code, § 353, </w:t>
      </w:r>
      <w:proofErr w:type="spellStart"/>
      <w:r w:rsidR="00385F16" w:rsidRPr="00AF57BF">
        <w:t>subd</w:t>
      </w:r>
      <w:proofErr w:type="spellEnd"/>
      <w:r w:rsidR="00385F16" w:rsidRPr="00AF57BF">
        <w:t>. </w:t>
      </w:r>
      <w:r w:rsidR="001679E5" w:rsidRPr="00AF57BF">
        <w:t>(a).)</w:t>
      </w:r>
      <w:r w:rsidR="00204A0B" w:rsidRPr="00AF57BF">
        <w:t xml:space="preserve">  </w:t>
      </w:r>
      <w:r w:rsidR="00C02A66" w:rsidRPr="00AF57BF">
        <w:t>It also</w:t>
      </w:r>
      <w:r w:rsidR="00BA07C2" w:rsidRPr="00AF57BF">
        <w:t xml:space="preserve"> lacks merit</w:t>
      </w:r>
      <w:r w:rsidR="00C02A66" w:rsidRPr="00AF57BF">
        <w:t>.</w:t>
      </w:r>
      <w:r w:rsidR="00BF579A" w:rsidRPr="00AF57BF">
        <w:rPr>
          <w:rStyle w:val="FootnoteReference"/>
        </w:rPr>
        <w:footnoteReference w:id="16"/>
      </w:r>
      <w:r w:rsidR="0023513E" w:rsidRPr="00AF57BF">
        <w:t xml:space="preserve"> </w:t>
      </w:r>
    </w:p>
    <w:p w:rsidR="009214BF" w:rsidRPr="00AF57BF" w:rsidRDefault="009214BF" w:rsidP="00AF57BF">
      <w:pPr>
        <w:pStyle w:val="Text"/>
        <w:spacing w:line="400" w:lineRule="exact"/>
      </w:pPr>
      <w:r w:rsidRPr="00AF57BF">
        <w:t>Evidence Code section 1153 provides that “[e]</w:t>
      </w:r>
      <w:proofErr w:type="spellStart"/>
      <w:r w:rsidRPr="00AF57BF">
        <w:t>vidence</w:t>
      </w:r>
      <w:proofErr w:type="spellEnd"/>
      <w:r w:rsidRPr="00AF57BF">
        <w:t xml:space="preserve"> of a plea of guilty, later withdrawn, or of an offer to plead guilty to the crime charged or to any other crime, made by the defendant in a criminal action is inadmissible in any action or </w:t>
      </w:r>
      <w:r w:rsidRPr="00AF57BF">
        <w:lastRenderedPageBreak/>
        <w:t xml:space="preserve">in any proceeding of any nature, including proceedings before agencies, commissions, boards, and tribunals.”  </w:t>
      </w:r>
      <w:r w:rsidR="000A0DEF" w:rsidRPr="00AF57BF">
        <w:t>Penal Code s</w:t>
      </w:r>
      <w:r w:rsidRPr="00AF57BF">
        <w:t>ection 1192.4 provides that “[</w:t>
      </w:r>
      <w:proofErr w:type="spellStart"/>
      <w:r w:rsidRPr="00AF57BF">
        <w:t>i</w:t>
      </w:r>
      <w:proofErr w:type="spellEnd"/>
      <w:r w:rsidRPr="00AF57BF">
        <w:t xml:space="preserve">]f the defendant’s plea of guilty pursuant to Section 1192.1 </w:t>
      </w:r>
      <w:r w:rsidR="00141099" w:rsidRPr="00AF57BF">
        <w:t>[ple</w:t>
      </w:r>
      <w:r w:rsidR="00B12810" w:rsidRPr="00AF57BF">
        <w:t>a of guilty specifying degree of crime</w:t>
      </w:r>
      <w:r w:rsidR="00141099" w:rsidRPr="00AF57BF">
        <w:t xml:space="preserve">] </w:t>
      </w:r>
      <w:r w:rsidRPr="00AF57BF">
        <w:t xml:space="preserve">or 1192.2 </w:t>
      </w:r>
      <w:r w:rsidR="00141099" w:rsidRPr="00AF57BF">
        <w:t xml:space="preserve">[plea before committing magistrate] </w:t>
      </w:r>
      <w:r w:rsidRPr="00AF57BF">
        <w:t>is not accepted by the prosecuting attorney and approved by the court, the plea shall be deemed withdrawn and the defendant may then enter such plea or pleas as would otherwise have been available.  The plea so</w:t>
      </w:r>
      <w:r w:rsidR="00141099" w:rsidRPr="00AF57BF">
        <w:t xml:space="preserve"> withdrawn may not be received in evidence in any criminal, civil, or special action or proceeding of any nature, including proceedings before agencies, commissions, boards, and tribunals.”  </w:t>
      </w:r>
      <w:r w:rsidR="005C2DEF" w:rsidRPr="00AF57BF">
        <w:rPr>
          <w:rStyle w:val="ssleftalign"/>
        </w:rPr>
        <w:t>In the</w:t>
      </w:r>
      <w:r w:rsidR="003C6CCD" w:rsidRPr="00AF57BF">
        <w:rPr>
          <w:rStyle w:val="ssleftalign"/>
        </w:rPr>
        <w:t xml:space="preserve"> enact</w:t>
      </w:r>
      <w:r w:rsidR="005C2DEF" w:rsidRPr="00AF57BF">
        <w:rPr>
          <w:rStyle w:val="ssleftalign"/>
        </w:rPr>
        <w:t>ment of these</w:t>
      </w:r>
      <w:r w:rsidR="003C6CCD" w:rsidRPr="00AF57BF">
        <w:rPr>
          <w:rStyle w:val="ssleftalign"/>
        </w:rPr>
        <w:t xml:space="preserve"> section</w:t>
      </w:r>
      <w:r w:rsidR="005C2DEF" w:rsidRPr="00AF57BF">
        <w:rPr>
          <w:rStyle w:val="ssleftalign"/>
        </w:rPr>
        <w:t>s</w:t>
      </w:r>
      <w:r w:rsidR="003C6CCD" w:rsidRPr="00AF57BF">
        <w:rPr>
          <w:rStyle w:val="ssleftalign"/>
        </w:rPr>
        <w:t xml:space="preserve"> the Legislature </w:t>
      </w:r>
      <w:r w:rsidR="005C2DEF" w:rsidRPr="00AF57BF">
        <w:rPr>
          <w:rStyle w:val="ssleftalign"/>
        </w:rPr>
        <w:t>extended the earlier rule from</w:t>
      </w:r>
      <w:r w:rsidR="003C6CCD" w:rsidRPr="00AF57BF">
        <w:rPr>
          <w:rStyle w:val="ssleftalign"/>
        </w:rPr>
        <w:t xml:space="preserve"> civil cases </w:t>
      </w:r>
      <w:r w:rsidR="005C2DEF" w:rsidRPr="00AF57BF">
        <w:rPr>
          <w:rStyle w:val="ssleftalign"/>
        </w:rPr>
        <w:t>to</w:t>
      </w:r>
      <w:r w:rsidR="003C6CCD" w:rsidRPr="00AF57BF">
        <w:rPr>
          <w:rStyle w:val="ssleftalign"/>
        </w:rPr>
        <w:t xml:space="preserve"> prohibit evidence of offers to compromise</w:t>
      </w:r>
      <w:r w:rsidR="005C2DEF" w:rsidRPr="00AF57BF">
        <w:rPr>
          <w:rStyle w:val="ssleftalign"/>
        </w:rPr>
        <w:t>.</w:t>
      </w:r>
      <w:r w:rsidR="00AE38B4" w:rsidRPr="00AF57BF">
        <w:rPr>
          <w:rStyle w:val="ssleftalign"/>
        </w:rPr>
        <w:t xml:space="preserve">  (</w:t>
      </w:r>
      <w:r w:rsidR="00AE38B4" w:rsidRPr="00AF57BF">
        <w:rPr>
          <w:rStyle w:val="ssleftalign"/>
          <w:i/>
        </w:rPr>
        <w:t>People v. Wilson</w:t>
      </w:r>
      <w:r w:rsidR="00AE38B4" w:rsidRPr="00AF57BF">
        <w:rPr>
          <w:rStyle w:val="ssleftalign"/>
        </w:rPr>
        <w:t xml:space="preserve"> (1963) 60 Cal.2d 139, 156</w:t>
      </w:r>
      <w:r w:rsidR="000A0DEF" w:rsidRPr="00AF57BF">
        <w:rPr>
          <w:rStyle w:val="ssleftalign"/>
        </w:rPr>
        <w:t>; see former Code Civ. Proc., § 2078</w:t>
      </w:r>
      <w:r w:rsidR="00AE38B4" w:rsidRPr="00AF57BF">
        <w:rPr>
          <w:rStyle w:val="ssleftalign"/>
        </w:rPr>
        <w:t xml:space="preserve">.)  </w:t>
      </w:r>
      <w:r w:rsidR="006D40F2" w:rsidRPr="00AF57BF">
        <w:rPr>
          <w:rStyle w:val="ssleftalign"/>
        </w:rPr>
        <w:t>At least one case has extended t</w:t>
      </w:r>
      <w:r w:rsidR="003660E7" w:rsidRPr="00AF57BF">
        <w:rPr>
          <w:rStyle w:val="ssleftalign"/>
        </w:rPr>
        <w:t xml:space="preserve">he exclusionary </w:t>
      </w:r>
      <w:r w:rsidR="0046154A" w:rsidRPr="00AF57BF">
        <w:rPr>
          <w:rStyle w:val="ssleftalign"/>
        </w:rPr>
        <w:t xml:space="preserve">rule </w:t>
      </w:r>
      <w:r w:rsidR="003660E7" w:rsidRPr="00AF57BF">
        <w:rPr>
          <w:rStyle w:val="ssleftalign"/>
        </w:rPr>
        <w:t>to admissions made in the course of plea negotiations.  (</w:t>
      </w:r>
      <w:r w:rsidR="003660E7" w:rsidRPr="00AF57BF">
        <w:rPr>
          <w:rStyle w:val="ssleftalign"/>
          <w:i/>
        </w:rPr>
        <w:t>People v. Tanner</w:t>
      </w:r>
      <w:r w:rsidR="003660E7" w:rsidRPr="00AF57BF">
        <w:rPr>
          <w:rStyle w:val="ssleftalign"/>
        </w:rPr>
        <w:t xml:space="preserve"> (1975) 45 Cal.App.3d 345, 349–351.)  </w:t>
      </w:r>
    </w:p>
    <w:p w:rsidR="00852286" w:rsidRPr="00AF57BF" w:rsidRDefault="0029766D" w:rsidP="00AF57BF">
      <w:pPr>
        <w:pStyle w:val="Text"/>
        <w:spacing w:line="400" w:lineRule="exact"/>
      </w:pPr>
      <w:r w:rsidRPr="00AF57BF">
        <w:t>We a</w:t>
      </w:r>
      <w:r w:rsidR="00F26A08" w:rsidRPr="00AF57BF">
        <w:t>ssum</w:t>
      </w:r>
      <w:r w:rsidRPr="00AF57BF">
        <w:t>e without deciding that</w:t>
      </w:r>
      <w:r w:rsidR="00F26A08" w:rsidRPr="00AF57BF">
        <w:t xml:space="preserve"> the </w:t>
      </w:r>
      <w:r w:rsidRPr="00AF57BF">
        <w:t>rule extends to</w:t>
      </w:r>
      <w:r w:rsidR="00F26A08" w:rsidRPr="00AF57BF">
        <w:t xml:space="preserve"> mere admissions </w:t>
      </w:r>
      <w:r w:rsidR="00927D35" w:rsidRPr="00AF57BF">
        <w:t xml:space="preserve">made </w:t>
      </w:r>
      <w:r w:rsidR="00F26A08" w:rsidRPr="00AF57BF">
        <w:t>during plea negotiations</w:t>
      </w:r>
      <w:r w:rsidRPr="00AF57BF">
        <w:t>, as opposed to</w:t>
      </w:r>
      <w:r w:rsidR="004231A2" w:rsidRPr="00AF57BF">
        <w:t xml:space="preserve"> withdrawn pleas or offers to plead</w:t>
      </w:r>
      <w:r w:rsidRPr="00AF57BF">
        <w:t>.  Even so,</w:t>
      </w:r>
      <w:r w:rsidR="00C02A66" w:rsidRPr="00AF57BF">
        <w:t xml:space="preserve"> defendants’ </w:t>
      </w:r>
      <w:r w:rsidRPr="00AF57BF">
        <w:t>statements</w:t>
      </w:r>
      <w:r w:rsidR="00C02A66" w:rsidRPr="00AF57BF">
        <w:t xml:space="preserve"> </w:t>
      </w:r>
      <w:r w:rsidR="00B12810" w:rsidRPr="00AF57BF">
        <w:t xml:space="preserve">do not fall under section 1192.4 because they </w:t>
      </w:r>
      <w:r w:rsidR="00C02A66" w:rsidRPr="00AF57BF">
        <w:t xml:space="preserve">were not made in the course of </w:t>
      </w:r>
      <w:r w:rsidRPr="00AF57BF">
        <w:t xml:space="preserve">any </w:t>
      </w:r>
      <w:r w:rsidR="00C02A66" w:rsidRPr="00AF57BF">
        <w:t>plea negotiations</w:t>
      </w:r>
      <w:r w:rsidR="00F26A08" w:rsidRPr="00AF57BF">
        <w:t>.  S</w:t>
      </w:r>
      <w:r w:rsidR="00E338E7" w:rsidRPr="00AF57BF">
        <w:t>ettlement of the case was never on the table</w:t>
      </w:r>
      <w:r w:rsidR="00C02A66" w:rsidRPr="00AF57BF">
        <w:t xml:space="preserve">. </w:t>
      </w:r>
      <w:r w:rsidR="00E338E7" w:rsidRPr="00AF57BF">
        <w:t xml:space="preserve"> </w:t>
      </w:r>
      <w:r w:rsidR="005D2163" w:rsidRPr="00AF57BF">
        <w:t>D</w:t>
      </w:r>
      <w:r w:rsidR="002D6C53" w:rsidRPr="00AF57BF">
        <w:t xml:space="preserve">efendants </w:t>
      </w:r>
      <w:r w:rsidR="00E6338A" w:rsidRPr="00AF57BF">
        <w:t>were seek</w:t>
      </w:r>
      <w:r w:rsidR="002D6C53" w:rsidRPr="00AF57BF">
        <w:t>ing</w:t>
      </w:r>
      <w:r w:rsidR="002D2752" w:rsidRPr="00AF57BF">
        <w:t xml:space="preserve"> to take</w:t>
      </w:r>
      <w:r w:rsidR="002D6C53" w:rsidRPr="00AF57BF">
        <w:t xml:space="preserve"> credit for several </w:t>
      </w:r>
      <w:r w:rsidR="00765F62" w:rsidRPr="00AF57BF">
        <w:t>uncharged</w:t>
      </w:r>
      <w:r w:rsidRPr="00AF57BF">
        <w:t xml:space="preserve"> </w:t>
      </w:r>
      <w:r w:rsidR="002D6C53" w:rsidRPr="00AF57BF">
        <w:t>murders and</w:t>
      </w:r>
      <w:r w:rsidRPr="00AF57BF">
        <w:t xml:space="preserve"> </w:t>
      </w:r>
      <w:r w:rsidR="005D2163" w:rsidRPr="00AF57BF">
        <w:t xml:space="preserve">other </w:t>
      </w:r>
      <w:r w:rsidRPr="00AF57BF">
        <w:t>crime</w:t>
      </w:r>
      <w:r w:rsidR="002D6C53" w:rsidRPr="00AF57BF">
        <w:t xml:space="preserve">s they had committed so that they could be </w:t>
      </w:r>
      <w:r w:rsidR="002D2752" w:rsidRPr="00AF57BF">
        <w:t xml:space="preserve">tried, </w:t>
      </w:r>
      <w:r w:rsidR="002D6C53" w:rsidRPr="00AF57BF">
        <w:t>convicted</w:t>
      </w:r>
      <w:r w:rsidR="002D2752" w:rsidRPr="00AF57BF">
        <w:t>,</w:t>
      </w:r>
      <w:r w:rsidR="002D6C53" w:rsidRPr="00AF57BF">
        <w:t xml:space="preserve"> and sent to death row</w:t>
      </w:r>
      <w:r w:rsidR="00417B4C" w:rsidRPr="00AF57BF">
        <w:t>.  They asked</w:t>
      </w:r>
      <w:r w:rsidR="002D6C53" w:rsidRPr="00AF57BF">
        <w:t xml:space="preserve"> only </w:t>
      </w:r>
      <w:r w:rsidR="002D2752" w:rsidRPr="00AF57BF">
        <w:t>that the prosecutor</w:t>
      </w:r>
      <w:r w:rsidR="002D6C53" w:rsidRPr="00AF57BF">
        <w:t xml:space="preserve"> exert efforts to see they received the minimum restitution fine.</w:t>
      </w:r>
      <w:r w:rsidR="005D2163" w:rsidRPr="00AF57BF">
        <w:t xml:space="preserve">  T</w:t>
      </w:r>
      <w:r w:rsidR="00417B4C" w:rsidRPr="00AF57BF">
        <w:t>hey did not condition their admissions on any such agreement.</w:t>
      </w:r>
    </w:p>
    <w:p w:rsidR="00253A33" w:rsidRPr="00AF57BF" w:rsidRDefault="002D2752" w:rsidP="00AF57BF">
      <w:pPr>
        <w:pStyle w:val="Text"/>
        <w:spacing w:line="400" w:lineRule="exact"/>
      </w:pPr>
      <w:r w:rsidRPr="00AF57BF">
        <w:t xml:space="preserve">It is true, as defendants observe, that the subject of a non-life sentence </w:t>
      </w:r>
      <w:r w:rsidR="00417B4C" w:rsidRPr="00AF57BF">
        <w:t>arose during</w:t>
      </w:r>
      <w:r w:rsidRPr="00AF57BF">
        <w:t xml:space="preserve"> the February 21 conversation.  </w:t>
      </w:r>
      <w:r w:rsidR="00D818D0" w:rsidRPr="00AF57BF">
        <w:t xml:space="preserve">After </w:t>
      </w:r>
      <w:r w:rsidR="00E84594" w:rsidRPr="00AF57BF">
        <w:lastRenderedPageBreak/>
        <w:t>discussi</w:t>
      </w:r>
      <w:r w:rsidR="003F5E94" w:rsidRPr="00AF57BF">
        <w:t xml:space="preserve">ng </w:t>
      </w:r>
      <w:r w:rsidR="00E84594" w:rsidRPr="00AF57BF">
        <w:t xml:space="preserve">discovery and the upcoming preliminary examination, Flores </w:t>
      </w:r>
      <w:r w:rsidR="00FB15C7" w:rsidRPr="00AF57BF">
        <w:t>alluded</w:t>
      </w:r>
      <w:r w:rsidR="00E84594" w:rsidRPr="00AF57BF">
        <w:t xml:space="preserve"> to an offense (the Diaz killing) that law enforcement evidently had not yet tied to defendants.  P</w:t>
      </w:r>
      <w:r w:rsidR="00FB4B96" w:rsidRPr="00AF57BF">
        <w:t xml:space="preserve">rosecutor Levine </w:t>
      </w:r>
      <w:r w:rsidR="00E84594" w:rsidRPr="00AF57BF">
        <w:t>asked defendants</w:t>
      </w:r>
      <w:r w:rsidR="006E3B07" w:rsidRPr="00AF57BF">
        <w:t>,</w:t>
      </w:r>
      <w:r w:rsidR="00E84594" w:rsidRPr="00AF57BF">
        <w:t xml:space="preserve"> “</w:t>
      </w:r>
      <w:r w:rsidR="008F77B4" w:rsidRPr="00AF57BF">
        <w:t xml:space="preserve">Why do you want me to make all these murders on you?  I don’t get it.”  Flores replied, “Because I enjoy staying </w:t>
      </w:r>
      <w:proofErr w:type="gramStart"/>
      <w:r w:rsidR="008F77B4" w:rsidRPr="00AF57BF">
        <w:t>here .</w:t>
      </w:r>
      <w:proofErr w:type="gramEnd"/>
      <w:r w:rsidR="008F77B4" w:rsidRPr="00AF57BF">
        <w:t> . . </w:t>
      </w:r>
      <w:r w:rsidR="00CC3E19" w:rsidRPr="00AF57BF">
        <w:t>.</w:t>
      </w:r>
      <w:r w:rsidR="008F77B4" w:rsidRPr="00AF57BF">
        <w:t>”  Levine went on</w:t>
      </w:r>
      <w:r w:rsidR="00E16C52" w:rsidRPr="00AF57BF">
        <w:t xml:space="preserve"> jocularly</w:t>
      </w:r>
      <w:proofErr w:type="gramStart"/>
      <w:r w:rsidR="008F77B4" w:rsidRPr="00AF57BF">
        <w:t>:  “</w:t>
      </w:r>
      <w:proofErr w:type="gramEnd"/>
      <w:r w:rsidR="008F77B4" w:rsidRPr="00AF57BF">
        <w:t>You don’t have a thing for me or anything?”  Flores responded, “Nah, nah, we just</w:t>
      </w:r>
      <w:r w:rsidR="00FB6F61" w:rsidRPr="00AF57BF">
        <w:t xml:space="preserve"> </w:t>
      </w:r>
      <w:r w:rsidR="008F77B4" w:rsidRPr="00AF57BF">
        <w:t>—</w:t>
      </w:r>
      <w:r w:rsidR="00FB6F61" w:rsidRPr="00AF57BF">
        <w:t xml:space="preserve"> </w:t>
      </w:r>
      <w:r w:rsidR="008F77B4" w:rsidRPr="00AF57BF">
        <w:t>we think you’re cool, you know.  And then after the trial we’ll give you another one.”</w:t>
      </w:r>
      <w:r w:rsidR="00FB279F" w:rsidRPr="00AF57BF">
        <w:t xml:space="preserve">  Levine aske</w:t>
      </w:r>
      <w:r w:rsidR="008F77B4" w:rsidRPr="00AF57BF">
        <w:t xml:space="preserve">d, “You can give me another murder that you did?”  Flores replied, “Another one.”  </w:t>
      </w:r>
      <w:r w:rsidR="001E6210" w:rsidRPr="00AF57BF">
        <w:t xml:space="preserve">Levine asked why. </w:t>
      </w:r>
      <w:r w:rsidR="006A7526" w:rsidRPr="00AF57BF">
        <w:t xml:space="preserve"> Flores answ</w:t>
      </w:r>
      <w:r w:rsidR="009D58F2" w:rsidRPr="00AF57BF">
        <w:t xml:space="preserve">ered, “Why not?”  </w:t>
      </w:r>
      <w:r w:rsidR="001E6210" w:rsidRPr="00AF57BF">
        <w:t xml:space="preserve">Evidently testing their sincerity, </w:t>
      </w:r>
      <w:r w:rsidR="008E0299" w:rsidRPr="00AF57BF">
        <w:t xml:space="preserve">Levine </w:t>
      </w:r>
      <w:r w:rsidR="00FB4B96" w:rsidRPr="00AF57BF">
        <w:t>reminded defendants of an earlier conversation</w:t>
      </w:r>
      <w:proofErr w:type="gramStart"/>
      <w:r w:rsidR="00FB4B96" w:rsidRPr="00AF57BF">
        <w:t>:  “</w:t>
      </w:r>
      <w:proofErr w:type="gramEnd"/>
      <w:r w:rsidR="00FB4B96" w:rsidRPr="00AF57BF">
        <w:t>When you came to me</w:t>
      </w:r>
      <w:r w:rsidR="00DF050A" w:rsidRPr="00AF57BF">
        <w:t xml:space="preserve"> </w:t>
      </w:r>
      <w:r w:rsidR="00FB4B96" w:rsidRPr="00AF57BF">
        <w:t>—</w:t>
      </w:r>
      <w:r w:rsidR="00DF050A" w:rsidRPr="00AF57BF">
        <w:t xml:space="preserve"> </w:t>
      </w:r>
      <w:r w:rsidR="00FB4B96" w:rsidRPr="00AF57BF">
        <w:t>remember last time you said to me ‘give me</w:t>
      </w:r>
      <w:r w:rsidR="004231A2" w:rsidRPr="00AF57BF">
        <w:t xml:space="preserve"> </w:t>
      </w:r>
      <w:r w:rsidR="00FB4B96" w:rsidRPr="00AF57BF">
        <w:t>—</w:t>
      </w:r>
      <w:r w:rsidR="004231A2" w:rsidRPr="00AF57BF">
        <w:t xml:space="preserve"> </w:t>
      </w:r>
      <w:r w:rsidR="00FB4B96" w:rsidRPr="00AF57BF">
        <w:t xml:space="preserve">give me the 50 </w:t>
      </w:r>
      <w:r w:rsidR="000A0DEF" w:rsidRPr="00AF57BF">
        <w:t>years.’</w:t>
      </w:r>
      <w:r w:rsidR="00FB4B96" w:rsidRPr="00AF57BF">
        <w:t xml:space="preserve">  [¶]  . . . </w:t>
      </w:r>
      <w:r w:rsidR="000A0DEF" w:rsidRPr="00AF57BF">
        <w:t>[</w:t>
      </w:r>
      <w:proofErr w:type="gramStart"/>
      <w:r w:rsidR="000A0DEF" w:rsidRPr="00AF57BF">
        <w:t xml:space="preserve">¶]  </w:t>
      </w:r>
      <w:r w:rsidR="00FB4B96" w:rsidRPr="00AF57BF">
        <w:t>And</w:t>
      </w:r>
      <w:proofErr w:type="gramEnd"/>
      <w:r w:rsidR="00FB4B96" w:rsidRPr="00AF57BF">
        <w:t xml:space="preserve"> without the ‘L</w:t>
      </w:r>
      <w:r w:rsidR="003F5E94" w:rsidRPr="00AF57BF">
        <w:t xml:space="preserve"> [a life sentence]</w:t>
      </w:r>
      <w:r w:rsidR="000A0DEF" w:rsidRPr="00AF57BF">
        <w:t>.’</w:t>
      </w:r>
      <w:r w:rsidR="00FB4B96" w:rsidRPr="00AF57BF">
        <w:t xml:space="preserve">  [¶]</w:t>
      </w:r>
      <w:r w:rsidR="000A0DEF" w:rsidRPr="00AF57BF">
        <w:t>  . . .</w:t>
      </w:r>
      <w:r w:rsidR="00FB4B96" w:rsidRPr="00AF57BF">
        <w:t> </w:t>
      </w:r>
      <w:r w:rsidR="000A0DEF" w:rsidRPr="00AF57BF">
        <w:t> [</w:t>
      </w:r>
      <w:proofErr w:type="gramStart"/>
      <w:r w:rsidR="000A0DEF" w:rsidRPr="00AF57BF">
        <w:t xml:space="preserve">¶]  </w:t>
      </w:r>
      <w:r w:rsidR="008E0299" w:rsidRPr="00AF57BF">
        <w:t>I</w:t>
      </w:r>
      <w:proofErr w:type="gramEnd"/>
      <w:r w:rsidR="008E0299" w:rsidRPr="00AF57BF">
        <w:t xml:space="preserve"> don’t think you want the death penalty.  You said that.”  </w:t>
      </w:r>
      <w:r w:rsidR="0028140E" w:rsidRPr="00AF57BF">
        <w:t xml:space="preserve">Flores answered, “I’m </w:t>
      </w:r>
      <w:proofErr w:type="spellStart"/>
      <w:r w:rsidR="0028140E" w:rsidRPr="00AF57BF">
        <w:t>gonna</w:t>
      </w:r>
      <w:proofErr w:type="spellEnd"/>
      <w:r w:rsidR="0028140E" w:rsidRPr="00AF57BF">
        <w:t xml:space="preserve"> help.  If you give me 50 years without the ‘L,’ I can get married and get a bone yard visit. </w:t>
      </w:r>
      <w:r w:rsidR="000A0DEF" w:rsidRPr="00AF57BF">
        <w:t xml:space="preserve"> [¶]  </w:t>
      </w:r>
      <w:r w:rsidR="0028140E" w:rsidRPr="00AF57BF">
        <w:t>. . . </w:t>
      </w:r>
      <w:r w:rsidR="000A0DEF" w:rsidRPr="00AF57BF">
        <w:t> [</w:t>
      </w:r>
      <w:proofErr w:type="gramStart"/>
      <w:r w:rsidR="000A0DEF" w:rsidRPr="00AF57BF">
        <w:t>¶]  </w:t>
      </w:r>
      <w:r w:rsidR="0028140E" w:rsidRPr="00AF57BF">
        <w:t>But</w:t>
      </w:r>
      <w:proofErr w:type="gramEnd"/>
      <w:r w:rsidR="0028140E" w:rsidRPr="00AF57BF">
        <w:t xml:space="preserve"> if you give me the ‘L,’ I have no sex.”  </w:t>
      </w:r>
      <w:r w:rsidR="00FC2522" w:rsidRPr="00AF57BF">
        <w:t xml:space="preserve">Levine </w:t>
      </w:r>
      <w:r w:rsidR="008E4085" w:rsidRPr="00AF57BF">
        <w:t>said he understood</w:t>
      </w:r>
      <w:r w:rsidR="00FC2522" w:rsidRPr="00AF57BF">
        <w:t xml:space="preserve"> the point</w:t>
      </w:r>
      <w:r w:rsidR="00E338E7" w:rsidRPr="00AF57BF">
        <w:t>, but firmly rejected any</w:t>
      </w:r>
      <w:r w:rsidR="006E3B07" w:rsidRPr="00AF57BF">
        <w:t xml:space="preserve"> </w:t>
      </w:r>
      <w:r w:rsidR="00E338E7" w:rsidRPr="00AF57BF">
        <w:t xml:space="preserve">suggestion he might be open </w:t>
      </w:r>
      <w:r w:rsidR="001E6210" w:rsidRPr="00AF57BF">
        <w:t xml:space="preserve">to </w:t>
      </w:r>
      <w:r w:rsidR="001D61B0" w:rsidRPr="00AF57BF">
        <w:t xml:space="preserve">seeking </w:t>
      </w:r>
      <w:r w:rsidR="001E6210" w:rsidRPr="00AF57BF">
        <w:t>a noncapital sentence</w:t>
      </w:r>
      <w:proofErr w:type="gramStart"/>
      <w:r w:rsidR="00E338E7" w:rsidRPr="00AF57BF">
        <w:t xml:space="preserve">:  </w:t>
      </w:r>
      <w:r w:rsidR="006E3B07" w:rsidRPr="00AF57BF">
        <w:t>“</w:t>
      </w:r>
      <w:proofErr w:type="gramEnd"/>
      <w:r w:rsidR="006E3B07" w:rsidRPr="00AF57BF">
        <w:t>[N]</w:t>
      </w:r>
      <w:proofErr w:type="spellStart"/>
      <w:r w:rsidR="006E3B07" w:rsidRPr="00AF57BF">
        <w:t>othing</w:t>
      </w:r>
      <w:proofErr w:type="spellEnd"/>
      <w:r w:rsidR="006E3B07" w:rsidRPr="00AF57BF">
        <w:t xml:space="preserve"> personal . . . </w:t>
      </w:r>
      <w:proofErr w:type="gramStart"/>
      <w:r w:rsidR="006E3B07" w:rsidRPr="00AF57BF">
        <w:t>but .</w:t>
      </w:r>
      <w:proofErr w:type="gramEnd"/>
      <w:r w:rsidR="006E3B07" w:rsidRPr="00AF57BF">
        <w:t> . . if there’s a death penalty, this is the case that</w:t>
      </w:r>
      <w:r w:rsidR="00DF050A" w:rsidRPr="00AF57BF">
        <w:t xml:space="preserve"> </w:t>
      </w:r>
      <w:r w:rsidR="006E3B07" w:rsidRPr="00AF57BF">
        <w:t>—</w:t>
      </w:r>
      <w:r w:rsidR="00DF050A" w:rsidRPr="00AF57BF">
        <w:t xml:space="preserve"> </w:t>
      </w:r>
      <w:r w:rsidR="006E3B07" w:rsidRPr="00AF57BF">
        <w:t>that warrants it.</w:t>
      </w:r>
      <w:r w:rsidR="009D58F2" w:rsidRPr="00AF57BF">
        <w:t xml:space="preserve">”  </w:t>
      </w:r>
    </w:p>
    <w:p w:rsidR="0064106F" w:rsidRPr="00AF57BF" w:rsidRDefault="00C40865" w:rsidP="00AF57BF">
      <w:pPr>
        <w:pStyle w:val="Text"/>
        <w:spacing w:line="400" w:lineRule="exact"/>
      </w:pPr>
      <w:r w:rsidRPr="00AF57BF">
        <w:t>After</w:t>
      </w:r>
      <w:r w:rsidR="00E338E7" w:rsidRPr="00AF57BF">
        <w:t xml:space="preserve"> Levine’s assurance that he would</w:t>
      </w:r>
      <w:r w:rsidRPr="00AF57BF">
        <w:t xml:space="preserve"> pursue</w:t>
      </w:r>
      <w:r w:rsidR="00E338E7" w:rsidRPr="00AF57BF">
        <w:t xml:space="preserve"> a death sentence, defendants continued to </w:t>
      </w:r>
      <w:r w:rsidRPr="00AF57BF">
        <w:t>make statements</w:t>
      </w:r>
      <w:r w:rsidR="009A1730" w:rsidRPr="00AF57BF">
        <w:t>.  They shifted to diverse topics,</w:t>
      </w:r>
      <w:r w:rsidR="00E338E7" w:rsidRPr="00AF57BF">
        <w:t xml:space="preserve"> </w:t>
      </w:r>
      <w:r w:rsidRPr="00AF57BF">
        <w:t>mentioning</w:t>
      </w:r>
      <w:r w:rsidR="005758BD" w:rsidRPr="00AF57BF">
        <w:t xml:space="preserve"> </w:t>
      </w:r>
      <w:r w:rsidR="00E16C52" w:rsidRPr="00AF57BF">
        <w:t>their</w:t>
      </w:r>
      <w:r w:rsidR="00FB15C7" w:rsidRPr="00AF57BF">
        <w:t xml:space="preserve"> </w:t>
      </w:r>
      <w:r w:rsidR="00230EBA" w:rsidRPr="00AF57BF">
        <w:t>other criminal activities</w:t>
      </w:r>
      <w:r w:rsidR="00FD3103" w:rsidRPr="00AF57BF">
        <w:t xml:space="preserve"> and philosophy</w:t>
      </w:r>
      <w:r w:rsidR="000A0DEF" w:rsidRPr="00AF57BF">
        <w:t>,</w:t>
      </w:r>
      <w:r w:rsidR="004F2E2E" w:rsidRPr="00AF57BF">
        <w:t xml:space="preserve"> and</w:t>
      </w:r>
      <w:r w:rsidR="005758BD" w:rsidRPr="00AF57BF">
        <w:t xml:space="preserve"> </w:t>
      </w:r>
      <w:r w:rsidR="004F2E2E" w:rsidRPr="00AF57BF">
        <w:t xml:space="preserve">a recipe for </w:t>
      </w:r>
      <w:proofErr w:type="spellStart"/>
      <w:r w:rsidR="004F2E2E" w:rsidRPr="00AF57BF">
        <w:t>pruno</w:t>
      </w:r>
      <w:proofErr w:type="spellEnd"/>
      <w:r w:rsidR="006D40F2" w:rsidRPr="00AF57BF">
        <w:t xml:space="preserve"> [jail-made alcohol]</w:t>
      </w:r>
      <w:r w:rsidR="00EC11B3" w:rsidRPr="00AF57BF">
        <w:t xml:space="preserve">. </w:t>
      </w:r>
      <w:r w:rsidR="009D58F2" w:rsidRPr="00AF57BF">
        <w:t xml:space="preserve"> </w:t>
      </w:r>
      <w:r w:rsidR="00EC11B3" w:rsidRPr="00AF57BF">
        <w:t>E</w:t>
      </w:r>
      <w:r w:rsidR="004F2E2E" w:rsidRPr="00AF57BF">
        <w:t>ventually</w:t>
      </w:r>
      <w:r w:rsidR="00621EED" w:rsidRPr="00AF57BF">
        <w:t>,</w:t>
      </w:r>
      <w:r w:rsidR="004F2E2E" w:rsidRPr="00AF57BF">
        <w:t xml:space="preserve"> </w:t>
      </w:r>
      <w:proofErr w:type="spellStart"/>
      <w:r w:rsidR="004F2E2E" w:rsidRPr="00AF57BF">
        <w:t>Amezcua</w:t>
      </w:r>
      <w:proofErr w:type="spellEnd"/>
      <w:r w:rsidR="004F2E2E" w:rsidRPr="00AF57BF">
        <w:t xml:space="preserve"> said, “Okay if we talk about th</w:t>
      </w:r>
      <w:r w:rsidR="00230EBA" w:rsidRPr="00AF57BF">
        <w:t>ese murders, right, that we did,</w:t>
      </w:r>
      <w:r w:rsidR="009D58F2" w:rsidRPr="00AF57BF">
        <w:t xml:space="preserve">” </w:t>
      </w:r>
      <w:r w:rsidR="00230EBA" w:rsidRPr="00AF57BF">
        <w:t xml:space="preserve">and “Can we talk about restitution?”  </w:t>
      </w:r>
      <w:r w:rsidR="00253A33" w:rsidRPr="00AF57BF">
        <w:t xml:space="preserve">Flores said, “See, that’s what we </w:t>
      </w:r>
      <w:proofErr w:type="spellStart"/>
      <w:r w:rsidR="00253A33" w:rsidRPr="00AF57BF">
        <w:t>wanna</w:t>
      </w:r>
      <w:proofErr w:type="spellEnd"/>
      <w:r w:rsidR="00253A33" w:rsidRPr="00AF57BF">
        <w:t xml:space="preserve"> do.  Okay, we’re </w:t>
      </w:r>
      <w:proofErr w:type="spellStart"/>
      <w:r w:rsidR="00253A33" w:rsidRPr="00AF57BF">
        <w:t>gonna</w:t>
      </w:r>
      <w:proofErr w:type="spellEnd"/>
      <w:r w:rsidR="00253A33" w:rsidRPr="00AF57BF">
        <w:t xml:space="preserve"> get a lot of restitution.  We’ll give you a </w:t>
      </w:r>
      <w:r w:rsidR="00253A33" w:rsidRPr="00AF57BF">
        <w:lastRenderedPageBreak/>
        <w:t xml:space="preserve">murder if [you] drop our restitution, so it’ll only be 200 instead of a whole </w:t>
      </w:r>
      <w:r w:rsidR="000A0DEF" w:rsidRPr="00AF57BF">
        <w:t>(</w:t>
      </w:r>
      <w:r w:rsidR="00253A33" w:rsidRPr="00AF57BF">
        <w:rPr>
          <w:i/>
        </w:rPr>
        <w:t>unintelligible</w:t>
      </w:r>
      <w:r w:rsidR="000A0DEF" w:rsidRPr="00AF57BF">
        <w:t>)</w:t>
      </w:r>
      <w:r w:rsidR="00253A33" w:rsidRPr="00AF57BF">
        <w:t xml:space="preserve"> of restitution, which we’ll never be able to pay.”  </w:t>
      </w:r>
      <w:r w:rsidRPr="00AF57BF">
        <w:t>D</w:t>
      </w:r>
      <w:r w:rsidR="00BD4ADA" w:rsidRPr="00AF57BF">
        <w:t>efendants explained</w:t>
      </w:r>
      <w:r w:rsidR="00253A33" w:rsidRPr="00AF57BF">
        <w:t xml:space="preserve"> to Levine that death row inmates </w:t>
      </w:r>
      <w:r w:rsidR="00BD4ADA" w:rsidRPr="00AF57BF">
        <w:t>have restitution deduc</w:t>
      </w:r>
      <w:r w:rsidR="0065696B" w:rsidRPr="00AF57BF">
        <w:t>ted from their books</w:t>
      </w:r>
      <w:r w:rsidRPr="00AF57BF">
        <w:t xml:space="preserve"> [money that can be spent in prison]</w:t>
      </w:r>
      <w:r w:rsidR="009A1730" w:rsidRPr="00AF57BF">
        <w:t xml:space="preserve">. </w:t>
      </w:r>
      <w:r w:rsidR="0065696B" w:rsidRPr="00AF57BF">
        <w:t xml:space="preserve"> Flores commente</w:t>
      </w:r>
      <w:r w:rsidR="00BD4ADA" w:rsidRPr="00AF57BF">
        <w:t xml:space="preserve">d, “Our thing is this, see, if we buy a TV, we’re </w:t>
      </w:r>
      <w:proofErr w:type="spellStart"/>
      <w:r w:rsidR="00BD4ADA" w:rsidRPr="00AF57BF">
        <w:t>gonna</w:t>
      </w:r>
      <w:proofErr w:type="spellEnd"/>
      <w:r w:rsidR="00BD4ADA" w:rsidRPr="00AF57BF">
        <w:t xml:space="preserve"> have to p</w:t>
      </w:r>
      <w:r w:rsidR="009D58F2" w:rsidRPr="00AF57BF">
        <w:t xml:space="preserve">ay restitution.”  </w:t>
      </w:r>
      <w:r w:rsidR="00BD4ADA" w:rsidRPr="00AF57BF">
        <w:t>He elaborated</w:t>
      </w:r>
      <w:proofErr w:type="gramStart"/>
      <w:r w:rsidR="00BD4ADA" w:rsidRPr="00AF57BF">
        <w:t>:  “</w:t>
      </w:r>
      <w:proofErr w:type="gramEnd"/>
      <w:r w:rsidR="00BD4ADA" w:rsidRPr="00AF57BF">
        <w:t xml:space="preserve">So, now I’m going to death row, something different, something new, right?  And I don’t </w:t>
      </w:r>
      <w:proofErr w:type="spellStart"/>
      <w:r w:rsidR="00BD4ADA" w:rsidRPr="00AF57BF">
        <w:t>wanna</w:t>
      </w:r>
      <w:proofErr w:type="spellEnd"/>
      <w:r w:rsidR="00BD4ADA" w:rsidRPr="00AF57BF">
        <w:t xml:space="preserve"> have a lot of restitution because when I buy a TV, they’re </w:t>
      </w:r>
      <w:proofErr w:type="spellStart"/>
      <w:r w:rsidR="00BD4ADA" w:rsidRPr="00AF57BF">
        <w:t>gonna</w:t>
      </w:r>
      <w:proofErr w:type="spellEnd"/>
      <w:r w:rsidR="00BD4ADA" w:rsidRPr="00AF57BF">
        <w:t xml:space="preserve"> make me pay to the victims in </w:t>
      </w:r>
      <w:r w:rsidR="000A0DEF" w:rsidRPr="00AF57BF">
        <w:t>(</w:t>
      </w:r>
      <w:r w:rsidR="00BD4ADA" w:rsidRPr="00AF57BF">
        <w:rPr>
          <w:i/>
        </w:rPr>
        <w:t>unintelligible</w:t>
      </w:r>
      <w:r w:rsidR="000A0DEF" w:rsidRPr="00AF57BF">
        <w:t>)</w:t>
      </w:r>
      <w:r w:rsidR="00BD4ADA" w:rsidRPr="00AF57BF">
        <w:t xml:space="preserve"> or </w:t>
      </w:r>
      <w:r w:rsidR="009D58F2" w:rsidRPr="00AF57BF">
        <w:t xml:space="preserve">right up front.”  </w:t>
      </w:r>
    </w:p>
    <w:p w:rsidR="00427964" w:rsidRPr="00AF57BF" w:rsidRDefault="00427964" w:rsidP="00AF57BF">
      <w:pPr>
        <w:pStyle w:val="Text"/>
        <w:spacing w:line="400" w:lineRule="exact"/>
      </w:pPr>
      <w:r w:rsidRPr="00AF57BF">
        <w:t xml:space="preserve">After further discussion of </w:t>
      </w:r>
      <w:r w:rsidR="00865CB2" w:rsidRPr="00AF57BF">
        <w:t>defendants’ criminal activities</w:t>
      </w:r>
      <w:r w:rsidR="00CE65FB" w:rsidRPr="00AF57BF">
        <w:t xml:space="preserve">, </w:t>
      </w:r>
      <w:r w:rsidR="000F2B4C" w:rsidRPr="00AF57BF">
        <w:t xml:space="preserve">Flores </w:t>
      </w:r>
      <w:r w:rsidR="00C40865" w:rsidRPr="00AF57BF">
        <w:t>again urged</w:t>
      </w:r>
      <w:r w:rsidR="000F2B4C" w:rsidRPr="00AF57BF">
        <w:t xml:space="preserve"> a $200 restitution fine</w:t>
      </w:r>
      <w:r w:rsidR="00C40865" w:rsidRPr="00AF57BF">
        <w:t xml:space="preserve">. </w:t>
      </w:r>
      <w:r w:rsidR="000F2B4C" w:rsidRPr="00AF57BF">
        <w:t xml:space="preserve"> </w:t>
      </w:r>
      <w:r w:rsidR="00C40865" w:rsidRPr="00AF57BF">
        <w:t>He said they had now admitted</w:t>
      </w:r>
      <w:r w:rsidR="000F2B4C" w:rsidRPr="00AF57BF">
        <w:t xml:space="preserve"> three murders and could </w:t>
      </w:r>
      <w:r w:rsidR="00C40865" w:rsidRPr="00AF57BF">
        <w:t>reveal</w:t>
      </w:r>
      <w:r w:rsidR="000F2B4C" w:rsidRPr="00AF57BF">
        <w:t xml:space="preserve"> </w:t>
      </w:r>
      <w:r w:rsidR="00220396" w:rsidRPr="00AF57BF">
        <w:t xml:space="preserve">two more. </w:t>
      </w:r>
      <w:r w:rsidR="000F2B4C" w:rsidRPr="00AF57BF">
        <w:t xml:space="preserve"> Levine asked, “[W]</w:t>
      </w:r>
      <w:proofErr w:type="spellStart"/>
      <w:r w:rsidR="000F2B4C" w:rsidRPr="00AF57BF">
        <w:t>hy</w:t>
      </w:r>
      <w:proofErr w:type="spellEnd"/>
      <w:r w:rsidR="000F2B4C" w:rsidRPr="00AF57BF">
        <w:t xml:space="preserve"> are you giving it to me? [¶]  . . . [</w:t>
      </w:r>
      <w:proofErr w:type="gramStart"/>
      <w:r w:rsidR="000F2B4C" w:rsidRPr="00AF57BF">
        <w:t>¶]  And</w:t>
      </w:r>
      <w:proofErr w:type="gramEnd"/>
      <w:r w:rsidR="000F2B4C" w:rsidRPr="00AF57BF">
        <w:t xml:space="preserve"> . . . that doesn’t bother you that I’m </w:t>
      </w:r>
      <w:proofErr w:type="spellStart"/>
      <w:r w:rsidR="000F2B4C" w:rsidRPr="00AF57BF">
        <w:t>gonna</w:t>
      </w:r>
      <w:proofErr w:type="spellEnd"/>
      <w:r w:rsidR="000F2B4C" w:rsidRPr="00AF57BF">
        <w:t xml:space="preserve"> use that against you</w:t>
      </w:r>
      <w:proofErr w:type="gramStart"/>
      <w:r w:rsidR="000F2B4C" w:rsidRPr="00AF57BF">
        <w:t xml:space="preserve">[?]”  </w:t>
      </w:r>
      <w:proofErr w:type="spellStart"/>
      <w:r w:rsidR="001950F5" w:rsidRPr="00AF57BF">
        <w:t>Amezcua</w:t>
      </w:r>
      <w:proofErr w:type="spellEnd"/>
      <w:proofErr w:type="gramEnd"/>
      <w:r w:rsidR="001950F5" w:rsidRPr="00AF57BF">
        <w:t xml:space="preserve"> replied, “We know that already.”  Flores said, “We don’t care.  The whole thing is, we want death, right?”  </w:t>
      </w:r>
    </w:p>
    <w:p w:rsidR="00BA07C2" w:rsidRPr="00AF57BF" w:rsidRDefault="008018BA" w:rsidP="00AF57BF">
      <w:pPr>
        <w:pStyle w:val="Text"/>
        <w:spacing w:line="400" w:lineRule="exact"/>
      </w:pPr>
      <w:r w:rsidRPr="00AF57BF">
        <w:t xml:space="preserve">During the March 28 conversation, </w:t>
      </w:r>
      <w:r w:rsidR="00DB6619" w:rsidRPr="00AF57BF">
        <w:t>Levine observed that “</w:t>
      </w:r>
      <w:r w:rsidR="0067412D" w:rsidRPr="00AF57BF">
        <w:t>a</w:t>
      </w:r>
      <w:r w:rsidR="00DB6619" w:rsidRPr="00AF57BF">
        <w:t xml:space="preserve"> number of times in court you guys have said that you wanted us to come talk to you about some cases and maybe work out something, either with regard to, uh, restitution </w:t>
      </w:r>
      <w:proofErr w:type="gramStart"/>
      <w:r w:rsidR="00DB6619" w:rsidRPr="00AF57BF">
        <w:t>issue</w:t>
      </w:r>
      <w:r w:rsidR="000A0DEF" w:rsidRPr="00AF57BF">
        <w:t xml:space="preserve"> .</w:t>
      </w:r>
      <w:proofErr w:type="gramEnd"/>
      <w:r w:rsidR="000A0DEF" w:rsidRPr="00AF57BF">
        <w:t> . .</w:t>
      </w:r>
      <w:r w:rsidR="005908B9" w:rsidRPr="00AF57BF">
        <w:t> </w:t>
      </w:r>
      <w:r w:rsidR="000A0DEF" w:rsidRPr="00AF57BF">
        <w:t>.</w:t>
      </w:r>
      <w:r w:rsidR="00DB6619" w:rsidRPr="00AF57BF">
        <w:t>”</w:t>
      </w:r>
      <w:r w:rsidR="009D58F2" w:rsidRPr="00AF57BF">
        <w:t xml:space="preserve">  </w:t>
      </w:r>
      <w:proofErr w:type="spellStart"/>
      <w:r w:rsidR="009D58F2" w:rsidRPr="00AF57BF">
        <w:t>Amezcua</w:t>
      </w:r>
      <w:proofErr w:type="spellEnd"/>
      <w:r w:rsidR="009D58F2" w:rsidRPr="00AF57BF">
        <w:t xml:space="preserve"> and Flores agreed.  </w:t>
      </w:r>
      <w:r w:rsidR="00C40865" w:rsidRPr="00AF57BF">
        <w:t>B</w:t>
      </w:r>
      <w:r w:rsidR="00E9693F" w:rsidRPr="00AF57BF">
        <w:t xml:space="preserve">oth </w:t>
      </w:r>
      <w:r w:rsidR="00DD08F7" w:rsidRPr="00AF57BF">
        <w:t xml:space="preserve">defendants </w:t>
      </w:r>
      <w:r w:rsidR="00C40865" w:rsidRPr="00AF57BF">
        <w:t xml:space="preserve">confirmed they </w:t>
      </w:r>
      <w:r w:rsidR="00DD08F7" w:rsidRPr="00AF57BF">
        <w:t>understood</w:t>
      </w:r>
      <w:r w:rsidR="00811851">
        <w:t xml:space="preserve"> that</w:t>
      </w:r>
      <w:r w:rsidR="00DD08F7" w:rsidRPr="00AF57BF">
        <w:t xml:space="preserve"> “all this stuff” discussed </w:t>
      </w:r>
      <w:r w:rsidR="00C40865" w:rsidRPr="00AF57BF">
        <w:t>during</w:t>
      </w:r>
      <w:r w:rsidR="00DD08F7" w:rsidRPr="00AF57BF">
        <w:t xml:space="preserve"> their conversations could be used </w:t>
      </w:r>
      <w:r w:rsidR="002E1C41" w:rsidRPr="00AF57BF">
        <w:t>against them</w:t>
      </w:r>
      <w:r w:rsidR="00B814A9" w:rsidRPr="00AF57BF">
        <w:t>;</w:t>
      </w:r>
      <w:r w:rsidR="00DD08F7" w:rsidRPr="00AF57BF">
        <w:t xml:space="preserve"> that they could have a</w:t>
      </w:r>
      <w:r w:rsidR="00C40865" w:rsidRPr="00AF57BF">
        <w:t>n appointed</w:t>
      </w:r>
      <w:r w:rsidR="00DD08F7" w:rsidRPr="00AF57BF">
        <w:t xml:space="preserve"> lawyer present</w:t>
      </w:r>
      <w:r w:rsidR="00073B37" w:rsidRPr="00AF57BF">
        <w:t>;</w:t>
      </w:r>
      <w:r w:rsidR="005908B9" w:rsidRPr="00AF57BF">
        <w:t xml:space="preserve"> </w:t>
      </w:r>
      <w:r w:rsidR="00DD08F7" w:rsidRPr="00AF57BF">
        <w:t xml:space="preserve">and </w:t>
      </w:r>
      <w:r w:rsidR="002E1C41" w:rsidRPr="00AF57BF">
        <w:t xml:space="preserve">that </w:t>
      </w:r>
      <w:r w:rsidR="00DD08F7" w:rsidRPr="00AF57BF">
        <w:t xml:space="preserve">they did not have to speak with </w:t>
      </w:r>
      <w:r w:rsidR="00C40865" w:rsidRPr="00AF57BF">
        <w:t>Levine</w:t>
      </w:r>
      <w:r w:rsidR="000B16FD" w:rsidRPr="00AF57BF">
        <w:t>.  They agreed</w:t>
      </w:r>
      <w:r w:rsidR="002E1C41" w:rsidRPr="00AF57BF">
        <w:t xml:space="preserve"> that </w:t>
      </w:r>
      <w:r w:rsidR="000B16FD" w:rsidRPr="00AF57BF">
        <w:t>Levine</w:t>
      </w:r>
      <w:r w:rsidR="002E1C41" w:rsidRPr="00AF57BF">
        <w:t xml:space="preserve"> and Kerfoot were present at </w:t>
      </w:r>
      <w:r w:rsidR="000B16FD" w:rsidRPr="00AF57BF">
        <w:t>their</w:t>
      </w:r>
      <w:r w:rsidR="002E1C41" w:rsidRPr="00AF57BF">
        <w:t xml:space="preserve"> request</w:t>
      </w:r>
      <w:r w:rsidR="001F2967" w:rsidRPr="00AF57BF">
        <w:t xml:space="preserve"> and </w:t>
      </w:r>
      <w:r w:rsidR="000B16FD" w:rsidRPr="00AF57BF">
        <w:t>that they</w:t>
      </w:r>
      <w:r w:rsidR="001F2967" w:rsidRPr="00AF57BF">
        <w:t xml:space="preserve"> wanted to speak with them</w:t>
      </w:r>
      <w:r w:rsidR="009D58F2" w:rsidRPr="00AF57BF">
        <w:t xml:space="preserve">.  </w:t>
      </w:r>
      <w:r w:rsidR="00B04E59" w:rsidRPr="00AF57BF">
        <w:t>Flores</w:t>
      </w:r>
      <w:r w:rsidR="00D851C5" w:rsidRPr="00AF57BF">
        <w:t>’s only</w:t>
      </w:r>
      <w:r w:rsidR="00B04E59" w:rsidRPr="00AF57BF">
        <w:t xml:space="preserve"> </w:t>
      </w:r>
      <w:r w:rsidR="00587C9F" w:rsidRPr="00AF57BF">
        <w:t>expressed concern</w:t>
      </w:r>
      <w:r w:rsidR="00D851C5" w:rsidRPr="00AF57BF">
        <w:t>s</w:t>
      </w:r>
      <w:r w:rsidR="00587C9F" w:rsidRPr="00AF57BF">
        <w:t xml:space="preserve"> </w:t>
      </w:r>
      <w:r w:rsidR="00D851C5" w:rsidRPr="00AF57BF">
        <w:t>were that</w:t>
      </w:r>
      <w:r w:rsidR="00587C9F" w:rsidRPr="00AF57BF">
        <w:t xml:space="preserve"> the record </w:t>
      </w:r>
      <w:r w:rsidR="000B16FD" w:rsidRPr="00AF57BF">
        <w:t>be clear</w:t>
      </w:r>
      <w:r w:rsidR="00D851C5" w:rsidRPr="00AF57BF">
        <w:t xml:space="preserve"> that each defendant</w:t>
      </w:r>
      <w:r w:rsidR="001F2967" w:rsidRPr="00AF57BF">
        <w:t xml:space="preserve"> incriminated </w:t>
      </w:r>
      <w:r w:rsidR="00587C9F" w:rsidRPr="00AF57BF">
        <w:t xml:space="preserve">himself </w:t>
      </w:r>
      <w:r w:rsidR="001F2967" w:rsidRPr="00AF57BF">
        <w:t xml:space="preserve">alone </w:t>
      </w:r>
      <w:r w:rsidR="00587C9F" w:rsidRPr="00AF57BF">
        <w:t>and t</w:t>
      </w:r>
      <w:r w:rsidR="00D851C5" w:rsidRPr="00AF57BF">
        <w:t xml:space="preserve">hat </w:t>
      </w:r>
      <w:r w:rsidR="004A2348" w:rsidRPr="00AF57BF">
        <w:t>the prosecution would not “go after”</w:t>
      </w:r>
      <w:r w:rsidR="00587C9F" w:rsidRPr="00AF57BF">
        <w:t xml:space="preserve"> Barber or Flores’s mother.  </w:t>
      </w:r>
      <w:r w:rsidR="00F162A9" w:rsidRPr="00AF57BF">
        <w:lastRenderedPageBreak/>
        <w:t>The conversation turned to a crime committed in Redlands</w:t>
      </w:r>
      <w:r w:rsidR="00073B37" w:rsidRPr="00AF57BF">
        <w:t xml:space="preserve">, and Flores raised the possibility that defendants would </w:t>
      </w:r>
      <w:r w:rsidR="009D58F2" w:rsidRPr="00AF57BF">
        <w:t xml:space="preserve">admit to two more murders.  </w:t>
      </w:r>
      <w:proofErr w:type="spellStart"/>
      <w:r w:rsidR="0067412D" w:rsidRPr="00AF57BF">
        <w:t>Amezcua</w:t>
      </w:r>
      <w:proofErr w:type="spellEnd"/>
      <w:r w:rsidR="0067412D" w:rsidRPr="00AF57BF">
        <w:t xml:space="preserve"> asked, “So how much of a guarantee can we have o</w:t>
      </w:r>
      <w:r w:rsidR="009D58F2" w:rsidRPr="00AF57BF">
        <w:t xml:space="preserve">n the restitution though?”  </w:t>
      </w:r>
      <w:r w:rsidR="00071DAB" w:rsidRPr="00AF57BF">
        <w:t xml:space="preserve">Levine told defendants the decision would be up to the judge, but he would use his best efforts to persuade the judge to order </w:t>
      </w:r>
      <w:r w:rsidR="00C71067" w:rsidRPr="00AF57BF">
        <w:t>$200 in</w:t>
      </w:r>
      <w:r w:rsidR="00071DAB" w:rsidRPr="00AF57BF">
        <w:t xml:space="preserve"> restitution</w:t>
      </w:r>
      <w:r w:rsidR="00C71067" w:rsidRPr="00AF57BF">
        <w:t xml:space="preserve"> fines</w:t>
      </w:r>
      <w:r w:rsidR="00071DAB" w:rsidRPr="00AF57BF">
        <w:t xml:space="preserve">.  </w:t>
      </w:r>
      <w:r w:rsidR="000B16FD" w:rsidRPr="00AF57BF">
        <w:t>Defendants raised</w:t>
      </w:r>
      <w:r w:rsidR="00581CDC" w:rsidRPr="00AF57BF">
        <w:t xml:space="preserve"> the fate of Katrina Barber</w:t>
      </w:r>
      <w:r w:rsidR="000B16FD" w:rsidRPr="00AF57BF">
        <w:t xml:space="preserve">. </w:t>
      </w:r>
      <w:r w:rsidR="00581CDC" w:rsidRPr="00AF57BF">
        <w:t xml:space="preserve"> </w:t>
      </w:r>
      <w:r w:rsidR="000B16FD" w:rsidRPr="00AF57BF">
        <w:t>Levine</w:t>
      </w:r>
      <w:r w:rsidR="00581CDC" w:rsidRPr="00AF57BF">
        <w:t xml:space="preserve"> said he would push for a state prison sentence that would allow </w:t>
      </w:r>
      <w:r w:rsidR="000B16FD" w:rsidRPr="00AF57BF">
        <w:t>her</w:t>
      </w:r>
      <w:r w:rsidR="00581CDC" w:rsidRPr="00AF57BF">
        <w:t xml:space="preserve"> to be released immediately bas</w:t>
      </w:r>
      <w:r w:rsidR="009D58F2" w:rsidRPr="00AF57BF">
        <w:t xml:space="preserve">ed on time already served.  </w:t>
      </w:r>
      <w:r w:rsidR="004C442F" w:rsidRPr="00AF57BF">
        <w:t xml:space="preserve">Defendants then described the </w:t>
      </w:r>
      <w:r w:rsidR="00256E7E" w:rsidRPr="00AF57BF">
        <w:t xml:space="preserve">Diaz </w:t>
      </w:r>
      <w:r w:rsidR="000B16FD" w:rsidRPr="00AF57BF">
        <w:t xml:space="preserve">and Madrigal </w:t>
      </w:r>
      <w:r w:rsidR="00256E7E" w:rsidRPr="00AF57BF">
        <w:t>murder</w:t>
      </w:r>
      <w:r w:rsidR="000B16FD" w:rsidRPr="00AF57BF">
        <w:t>s</w:t>
      </w:r>
      <w:r w:rsidR="00256E7E" w:rsidRPr="00AF57BF">
        <w:t xml:space="preserve"> </w:t>
      </w:r>
      <w:r w:rsidR="00B06C3D" w:rsidRPr="00AF57BF">
        <w:t>as well as the</w:t>
      </w:r>
      <w:r w:rsidR="0037203C" w:rsidRPr="00AF57BF">
        <w:t>ir</w:t>
      </w:r>
      <w:r w:rsidR="00B06C3D" w:rsidRPr="00AF57BF">
        <w:t xml:space="preserve"> attempts to kill Gutierrez and</w:t>
      </w:r>
      <w:r w:rsidR="00256E7E" w:rsidRPr="00AF57BF">
        <w:t xml:space="preserve"> Gonzales</w:t>
      </w:r>
      <w:r w:rsidR="00220396" w:rsidRPr="00AF57BF">
        <w:t xml:space="preserve">. </w:t>
      </w:r>
      <w:r w:rsidR="00465A3A" w:rsidRPr="00AF57BF">
        <w:t xml:space="preserve"> </w:t>
      </w:r>
    </w:p>
    <w:p w:rsidR="005908B9" w:rsidRPr="00AF57BF" w:rsidRDefault="00932799" w:rsidP="00AF57BF">
      <w:pPr>
        <w:pStyle w:val="Text"/>
        <w:spacing w:line="400" w:lineRule="exact"/>
      </w:pPr>
      <w:r w:rsidRPr="00AF57BF">
        <w:t>The</w:t>
      </w:r>
      <w:r w:rsidR="005908B9" w:rsidRPr="00AF57BF">
        <w:t xml:space="preserve"> </w:t>
      </w:r>
      <w:r w:rsidRPr="00AF57BF">
        <w:t>February 21 and March 28 conversations</w:t>
      </w:r>
      <w:r w:rsidR="005908B9" w:rsidRPr="00AF57BF">
        <w:t xml:space="preserve"> </w:t>
      </w:r>
      <w:r w:rsidR="00B06C3D" w:rsidRPr="00AF57BF">
        <w:t>never involved</w:t>
      </w:r>
      <w:r w:rsidR="005908B9" w:rsidRPr="00AF57BF">
        <w:t xml:space="preserve"> a potential plea to any of the offenses or allegations ultimately charged in this case</w:t>
      </w:r>
      <w:r w:rsidR="002F5C2D" w:rsidRPr="00AF57BF">
        <w:t>.  D</w:t>
      </w:r>
      <w:r w:rsidR="00555634" w:rsidRPr="00AF57BF">
        <w:t>efendants</w:t>
      </w:r>
      <w:r w:rsidRPr="00AF57BF">
        <w:t xml:space="preserve">’ argument to the contrary relies on </w:t>
      </w:r>
      <w:r w:rsidR="00266468" w:rsidRPr="00AF57BF">
        <w:t>the reference</w:t>
      </w:r>
      <w:r w:rsidRPr="00AF57BF">
        <w:t xml:space="preserve"> to</w:t>
      </w:r>
      <w:r w:rsidR="00564B6E" w:rsidRPr="00AF57BF">
        <w:t xml:space="preserve"> their</w:t>
      </w:r>
      <w:r w:rsidRPr="00AF57BF">
        <w:t xml:space="preserve"> earlier </w:t>
      </w:r>
      <w:r w:rsidR="00266468" w:rsidRPr="00AF57BF">
        <w:t>exploration of a 50-year non-life sentence</w:t>
      </w:r>
      <w:r w:rsidR="00B06C3D" w:rsidRPr="00AF57BF">
        <w:t xml:space="preserve">. </w:t>
      </w:r>
      <w:r w:rsidR="00266468" w:rsidRPr="00AF57BF">
        <w:t xml:space="preserve"> Levine promptly rejected </w:t>
      </w:r>
      <w:r w:rsidR="00B06C3D" w:rsidRPr="00AF57BF">
        <w:t xml:space="preserve">that option </w:t>
      </w:r>
      <w:r w:rsidR="00266468" w:rsidRPr="00AF57BF">
        <w:t xml:space="preserve">and defendants never again alluded </w:t>
      </w:r>
      <w:r w:rsidR="00B06C3D" w:rsidRPr="00AF57BF">
        <w:t>to it.  N</w:t>
      </w:r>
      <w:r w:rsidR="009A331C" w:rsidRPr="00AF57BF">
        <w:t>one</w:t>
      </w:r>
      <w:r w:rsidR="0065696B" w:rsidRPr="00AF57BF">
        <w:t>theless</w:t>
      </w:r>
      <w:r w:rsidR="00B06C3D" w:rsidRPr="00AF57BF">
        <w:t xml:space="preserve"> they</w:t>
      </w:r>
      <w:r w:rsidR="0065696B" w:rsidRPr="00AF57BF">
        <w:t xml:space="preserve"> </w:t>
      </w:r>
      <w:r w:rsidR="00266468" w:rsidRPr="00AF57BF">
        <w:t>continu</w:t>
      </w:r>
      <w:r w:rsidR="00B06C3D" w:rsidRPr="00AF57BF">
        <w:t>ed</w:t>
      </w:r>
      <w:r w:rsidR="00266468" w:rsidRPr="00AF57BF">
        <w:t xml:space="preserve"> to disclose information about </w:t>
      </w:r>
      <w:r w:rsidR="00B06C3D" w:rsidRPr="00AF57BF">
        <w:t xml:space="preserve">other </w:t>
      </w:r>
      <w:r w:rsidR="00266468" w:rsidRPr="00AF57BF">
        <w:t>offenses</w:t>
      </w:r>
      <w:r w:rsidR="005908B9" w:rsidRPr="00AF57BF">
        <w:t xml:space="preserve">.  </w:t>
      </w:r>
      <w:r w:rsidR="00972045" w:rsidRPr="00AF57BF">
        <w:rPr>
          <w:rStyle w:val="ssleftalign"/>
        </w:rPr>
        <w:t>Defendants contend that because they were seeking resolution of “aspects” of the case, specifically restitution, this court should read Evidence Code section 1153 and section 1192.4 broadly and accord them the benefit of the exclusionary rule</w:t>
      </w:r>
      <w:r w:rsidR="00B06C3D" w:rsidRPr="00AF57BF">
        <w:rPr>
          <w:rStyle w:val="ssleftalign"/>
        </w:rPr>
        <w:t xml:space="preserve">.  We decline the invitation. </w:t>
      </w:r>
      <w:r w:rsidR="00972045" w:rsidRPr="00AF57BF">
        <w:rPr>
          <w:rStyle w:val="ssleftalign"/>
        </w:rPr>
        <w:t xml:space="preserve"> </w:t>
      </w:r>
      <w:r w:rsidR="00B06C3D" w:rsidRPr="00AF57BF">
        <w:t>D</w:t>
      </w:r>
      <w:r w:rsidR="003923AA" w:rsidRPr="00AF57BF">
        <w:t xml:space="preserve">efendants </w:t>
      </w:r>
      <w:r w:rsidR="00B06C3D" w:rsidRPr="00AF57BF">
        <w:t xml:space="preserve">would not plead to a death sentence and the prosecutor would offer nothing less. </w:t>
      </w:r>
      <w:r w:rsidR="00F254F7" w:rsidRPr="00AF57BF">
        <w:t xml:space="preserve"> </w:t>
      </w:r>
      <w:r w:rsidR="00045FDF" w:rsidRPr="00AF57BF">
        <w:t>T</w:t>
      </w:r>
      <w:r w:rsidR="005908B9" w:rsidRPr="00AF57BF">
        <w:t xml:space="preserve">he public </w:t>
      </w:r>
      <w:r w:rsidR="00F254F7" w:rsidRPr="00AF57BF">
        <w:t>policy embodied in</w:t>
      </w:r>
      <w:r w:rsidR="005908B9" w:rsidRPr="00AF57BF">
        <w:t xml:space="preserve"> section 1192.4 and Evidence Code section 1153</w:t>
      </w:r>
      <w:r w:rsidR="00045FDF" w:rsidRPr="00AF57BF">
        <w:t>, which favors</w:t>
      </w:r>
      <w:r w:rsidR="00F254F7" w:rsidRPr="00AF57BF">
        <w:t xml:space="preserve"> “</w:t>
      </w:r>
      <w:r w:rsidR="005908B9" w:rsidRPr="00AF57BF">
        <w:rPr>
          <w:rStyle w:val="ssleftalign"/>
        </w:rPr>
        <w:t>the settlement of criminal cases without the necessity of a trial” (</w:t>
      </w:r>
      <w:r w:rsidR="005908B9" w:rsidRPr="00AF57BF">
        <w:rPr>
          <w:rStyle w:val="ssleftalign"/>
          <w:i/>
        </w:rPr>
        <w:t>People v. Wilson</w:t>
      </w:r>
      <w:r w:rsidR="005908B9" w:rsidRPr="00AF57BF">
        <w:rPr>
          <w:rStyle w:val="ssleftalign"/>
        </w:rPr>
        <w:t xml:space="preserve">, </w:t>
      </w:r>
      <w:r w:rsidR="005908B9" w:rsidRPr="00AF57BF">
        <w:rPr>
          <w:rStyle w:val="ssleftalign"/>
          <w:i/>
        </w:rPr>
        <w:t>supra</w:t>
      </w:r>
      <w:r w:rsidR="005908B9" w:rsidRPr="00AF57BF">
        <w:rPr>
          <w:rStyle w:val="ssleftalign"/>
        </w:rPr>
        <w:t>, 60 Cal.2d at p. 156</w:t>
      </w:r>
      <w:r w:rsidR="00F254F7" w:rsidRPr="00AF57BF">
        <w:rPr>
          <w:rStyle w:val="ssleftalign"/>
        </w:rPr>
        <w:t>)</w:t>
      </w:r>
      <w:r w:rsidR="00045FDF" w:rsidRPr="00AF57BF">
        <w:rPr>
          <w:rStyle w:val="ssleftalign"/>
        </w:rPr>
        <w:t>,</w:t>
      </w:r>
      <w:r w:rsidR="00F254F7" w:rsidRPr="00AF57BF">
        <w:rPr>
          <w:rStyle w:val="ssleftalign"/>
        </w:rPr>
        <w:t xml:space="preserve"> would not have been furthered by exclusion of </w:t>
      </w:r>
      <w:r w:rsidR="003D26CF" w:rsidRPr="00AF57BF">
        <w:rPr>
          <w:rStyle w:val="ssleftalign"/>
        </w:rPr>
        <w:t>statement</w:t>
      </w:r>
      <w:r w:rsidR="00F254F7" w:rsidRPr="00AF57BF">
        <w:rPr>
          <w:rStyle w:val="ssleftalign"/>
        </w:rPr>
        <w:t xml:space="preserve">s made </w:t>
      </w:r>
      <w:r w:rsidR="00045FDF" w:rsidRPr="00AF57BF">
        <w:rPr>
          <w:rStyle w:val="ssleftalign"/>
        </w:rPr>
        <w:t xml:space="preserve">here. </w:t>
      </w:r>
      <w:r w:rsidR="00653A64" w:rsidRPr="00AF57BF">
        <w:rPr>
          <w:rStyle w:val="ssleftalign"/>
        </w:rPr>
        <w:t xml:space="preserve"> </w:t>
      </w:r>
      <w:r w:rsidR="00045FDF" w:rsidRPr="00AF57BF">
        <w:rPr>
          <w:rStyle w:val="ssleftalign"/>
        </w:rPr>
        <w:t>T</w:t>
      </w:r>
      <w:r w:rsidR="00653A64" w:rsidRPr="00AF57BF">
        <w:rPr>
          <w:rStyle w:val="ssleftalign"/>
        </w:rPr>
        <w:t>heir admission was not improper</w:t>
      </w:r>
      <w:r w:rsidR="00F254F7" w:rsidRPr="00AF57BF">
        <w:rPr>
          <w:rStyle w:val="ssleftalign"/>
        </w:rPr>
        <w:t>.</w:t>
      </w:r>
      <w:r w:rsidR="008E38A5" w:rsidRPr="00AF57BF">
        <w:rPr>
          <w:rStyle w:val="ssleftalign"/>
        </w:rPr>
        <w:t xml:space="preserve">  </w:t>
      </w:r>
      <w:r w:rsidR="00045FDF" w:rsidRPr="00AF57BF">
        <w:rPr>
          <w:rStyle w:val="ssleftalign"/>
        </w:rPr>
        <w:t>A</w:t>
      </w:r>
      <w:r w:rsidR="008E38A5" w:rsidRPr="00AF57BF">
        <w:rPr>
          <w:rStyle w:val="ssleftalign"/>
        </w:rPr>
        <w:t xml:space="preserve">t no point in any of the conversations did either </w:t>
      </w:r>
      <w:r w:rsidR="008E38A5" w:rsidRPr="00AF57BF">
        <w:rPr>
          <w:rStyle w:val="ssleftalign"/>
        </w:rPr>
        <w:lastRenderedPageBreak/>
        <w:t xml:space="preserve">defendant actually </w:t>
      </w:r>
      <w:proofErr w:type="gramStart"/>
      <w:r w:rsidR="00FE09A3" w:rsidRPr="00AF57BF">
        <w:rPr>
          <w:rStyle w:val="ssleftalign"/>
        </w:rPr>
        <w:t>make, or</w:t>
      </w:r>
      <w:proofErr w:type="gramEnd"/>
      <w:r w:rsidR="00FE09A3" w:rsidRPr="00AF57BF">
        <w:rPr>
          <w:rStyle w:val="ssleftalign"/>
        </w:rPr>
        <w:t xml:space="preserve"> engage in negotiations that would have led to their making, “an offer </w:t>
      </w:r>
      <w:r w:rsidR="00FE09A3" w:rsidRPr="00AF57BF">
        <w:rPr>
          <w:rStyle w:val="ssleftalign"/>
          <w:i/>
        </w:rPr>
        <w:t>to plead guilty</w:t>
      </w:r>
      <w:r w:rsidR="00FE09A3" w:rsidRPr="00AF57BF">
        <w:rPr>
          <w:rStyle w:val="ssleftalign"/>
        </w:rPr>
        <w:t xml:space="preserve"> to the crime charged or to any other crime,” as provided in Evidence Code section 1153</w:t>
      </w:r>
      <w:r w:rsidR="00045FDF" w:rsidRPr="00AF57BF">
        <w:rPr>
          <w:rStyle w:val="ssleftalign"/>
        </w:rPr>
        <w:t xml:space="preserve">.  (Italics added.) </w:t>
      </w:r>
      <w:r w:rsidR="00D50E19" w:rsidRPr="00AF57BF">
        <w:rPr>
          <w:rStyle w:val="ssleftalign"/>
        </w:rPr>
        <w:t xml:space="preserve"> </w:t>
      </w:r>
      <w:r w:rsidR="00045FDF" w:rsidRPr="00AF57BF">
        <w:rPr>
          <w:rStyle w:val="ssleftalign"/>
        </w:rPr>
        <w:t xml:space="preserve">Their </w:t>
      </w:r>
      <w:r w:rsidR="005D2163" w:rsidRPr="00AF57BF">
        <w:rPr>
          <w:rStyle w:val="ssleftalign"/>
        </w:rPr>
        <w:t xml:space="preserve">revelations of guilt for other, uncharged crimes to </w:t>
      </w:r>
      <w:r w:rsidR="00045FDF" w:rsidRPr="00AF57BF">
        <w:rPr>
          <w:rStyle w:val="ssleftalign"/>
        </w:rPr>
        <w:t>reduce their obligations to pay restitution and maximize their in-prison spending ability do not bring them within the statute.</w:t>
      </w:r>
    </w:p>
    <w:p w:rsidR="00E42883" w:rsidRPr="00AF57BF" w:rsidRDefault="00E42883" w:rsidP="00AF57BF">
      <w:pPr>
        <w:pStyle w:val="Heading3"/>
        <w:numPr>
          <w:ilvl w:val="0"/>
          <w:numId w:val="12"/>
        </w:numPr>
        <w:ind w:left="1584" w:hanging="432"/>
      </w:pPr>
      <w:bookmarkStart w:id="34" w:name="_Toc521674404"/>
      <w:r w:rsidRPr="00AF57BF">
        <w:t>CALJIC No. 3.00</w:t>
      </w:r>
      <w:r w:rsidR="004E1745" w:rsidRPr="00AF57BF">
        <w:t xml:space="preserve"> </w:t>
      </w:r>
      <w:bookmarkEnd w:id="34"/>
    </w:p>
    <w:p w:rsidR="00E42883" w:rsidRPr="00AF57BF" w:rsidRDefault="00E42883" w:rsidP="00AF57BF">
      <w:pPr>
        <w:pStyle w:val="Text"/>
        <w:spacing w:line="400" w:lineRule="exact"/>
      </w:pPr>
      <w:r w:rsidRPr="00AF57BF">
        <w:t xml:space="preserve">Defendants contend the trial court erred in </w:t>
      </w:r>
      <w:r w:rsidR="00833F58" w:rsidRPr="00AF57BF">
        <w:t>giving</w:t>
      </w:r>
      <w:r w:rsidRPr="00AF57BF">
        <w:t xml:space="preserve"> the jury </w:t>
      </w:r>
      <w:r w:rsidR="00885868" w:rsidRPr="00AF57BF">
        <w:t xml:space="preserve">former </w:t>
      </w:r>
      <w:r w:rsidR="009A7729" w:rsidRPr="00AF57BF">
        <w:t>CALJIC No. </w:t>
      </w:r>
      <w:r w:rsidRPr="00AF57BF">
        <w:t>3.00</w:t>
      </w:r>
      <w:r w:rsidR="000A7E29" w:rsidRPr="00AF57BF">
        <w:t>, which</w:t>
      </w:r>
      <w:r w:rsidR="00D41DDA" w:rsidRPr="00AF57BF">
        <w:t xml:space="preserve"> </w:t>
      </w:r>
      <w:r w:rsidR="00DE2D49" w:rsidRPr="00AF57BF">
        <w:t>told them</w:t>
      </w:r>
      <w:r w:rsidR="001E61B8" w:rsidRPr="00AF57BF">
        <w:t xml:space="preserve"> that each principal involved in the commission of the crime, whether as a direct perpetrator or an aider and abettor, is </w:t>
      </w:r>
      <w:r w:rsidR="00885868" w:rsidRPr="00AF57BF">
        <w:t>“</w:t>
      </w:r>
      <w:r w:rsidR="001E61B8" w:rsidRPr="00AF57BF">
        <w:t>equally guilty</w:t>
      </w:r>
      <w:r w:rsidR="00885868" w:rsidRPr="00AF57BF">
        <w:t>”</w:t>
      </w:r>
      <w:r w:rsidR="001E61B8" w:rsidRPr="00AF57BF">
        <w:t xml:space="preserve"> of the offense.  </w:t>
      </w:r>
      <w:r w:rsidR="007D2594" w:rsidRPr="00AF57BF">
        <w:t xml:space="preserve">Neither </w:t>
      </w:r>
      <w:proofErr w:type="spellStart"/>
      <w:r w:rsidR="00885868" w:rsidRPr="00AF57BF">
        <w:t>Amezcua</w:t>
      </w:r>
      <w:proofErr w:type="spellEnd"/>
      <w:r w:rsidR="00885868" w:rsidRPr="00AF57BF">
        <w:t xml:space="preserve"> nor Flores</w:t>
      </w:r>
      <w:r w:rsidR="001C79ED" w:rsidRPr="00AF57BF">
        <w:t xml:space="preserve"> </w:t>
      </w:r>
      <w:r w:rsidR="007D2594" w:rsidRPr="00AF57BF">
        <w:t>objected</w:t>
      </w:r>
      <w:r w:rsidR="001C79ED" w:rsidRPr="00AF57BF">
        <w:t xml:space="preserve"> </w:t>
      </w:r>
      <w:r w:rsidR="007D2594" w:rsidRPr="00AF57BF">
        <w:t>or requested any modification of the standard language</w:t>
      </w:r>
      <w:r w:rsidR="00DE2D49" w:rsidRPr="00AF57BF">
        <w:t>.  Nonetheless,</w:t>
      </w:r>
      <w:r w:rsidR="00031446" w:rsidRPr="00AF57BF">
        <w:t xml:space="preserve"> </w:t>
      </w:r>
      <w:r w:rsidR="001C79ED" w:rsidRPr="00AF57BF">
        <w:t xml:space="preserve">section 1259 allows us to reach the merits of any claim of instructional error </w:t>
      </w:r>
      <w:r w:rsidR="00217C36" w:rsidRPr="00AF57BF">
        <w:t>that</w:t>
      </w:r>
      <w:r w:rsidR="0095193C" w:rsidRPr="00AF57BF">
        <w:t xml:space="preserve"> potentially</w:t>
      </w:r>
      <w:r w:rsidR="00217C36" w:rsidRPr="00AF57BF">
        <w:t xml:space="preserve"> affects</w:t>
      </w:r>
      <w:r w:rsidR="00D930C8" w:rsidRPr="00AF57BF">
        <w:t xml:space="preserve"> a party’s substantial rights.  </w:t>
      </w:r>
      <w:r w:rsidR="00217C36" w:rsidRPr="00AF57BF">
        <w:t>(</w:t>
      </w:r>
      <w:r w:rsidR="00217C36" w:rsidRPr="00AF57BF">
        <w:rPr>
          <w:i/>
        </w:rPr>
        <w:t>People v. Johnson</w:t>
      </w:r>
      <w:r w:rsidR="00217C36" w:rsidRPr="00AF57BF">
        <w:t xml:space="preserve"> (2016) 62 Cal.4th 600, 639.)</w:t>
      </w:r>
      <w:r w:rsidR="00DE2D49" w:rsidRPr="00AF57BF">
        <w:t xml:space="preserve">  Defendants each assert error as to different convictions.</w:t>
      </w:r>
    </w:p>
    <w:p w:rsidR="003E1CF6" w:rsidRPr="00AF57BF" w:rsidRDefault="00FB6696" w:rsidP="00AF57BF">
      <w:pPr>
        <w:pStyle w:val="Text"/>
        <w:spacing w:line="400" w:lineRule="exact"/>
      </w:pPr>
      <w:proofErr w:type="spellStart"/>
      <w:r w:rsidRPr="00AF57BF">
        <w:t>Amezcua</w:t>
      </w:r>
      <w:proofErr w:type="spellEnd"/>
      <w:r w:rsidRPr="00AF57BF">
        <w:t xml:space="preserve"> </w:t>
      </w:r>
      <w:r w:rsidR="00885868" w:rsidRPr="00AF57BF">
        <w:t xml:space="preserve">raises the CALJIC No. 3.00 issue in connection with his conviction </w:t>
      </w:r>
      <w:r w:rsidR="008505D7" w:rsidRPr="00AF57BF">
        <w:t>as an aider and abettor in</w:t>
      </w:r>
      <w:r w:rsidR="00885868" w:rsidRPr="00AF57BF">
        <w:t xml:space="preserve"> the Diaz and Madrigal</w:t>
      </w:r>
      <w:r w:rsidR="008505D7" w:rsidRPr="00AF57BF">
        <w:t xml:space="preserve"> murders</w:t>
      </w:r>
      <w:r w:rsidR="00387467" w:rsidRPr="00AF57BF">
        <w:t xml:space="preserve"> and the attempted murder of Fernando Gutierrez </w:t>
      </w:r>
      <w:r w:rsidR="00B62FAE" w:rsidRPr="00AF57BF">
        <w:t>dur</w:t>
      </w:r>
      <w:r w:rsidR="00387467" w:rsidRPr="00AF57BF">
        <w:t>in</w:t>
      </w:r>
      <w:r w:rsidR="00B62FAE" w:rsidRPr="00AF57BF">
        <w:t>g</w:t>
      </w:r>
      <w:r w:rsidR="00387467" w:rsidRPr="00AF57BF">
        <w:t xml:space="preserve"> the Madrigal kill</w:t>
      </w:r>
      <w:r w:rsidR="00B62FAE" w:rsidRPr="00AF57BF">
        <w:t>ing</w:t>
      </w:r>
      <w:r w:rsidR="00885868" w:rsidRPr="00AF57BF">
        <w:t xml:space="preserve">.  </w:t>
      </w:r>
      <w:r w:rsidR="00B62FAE" w:rsidRPr="00AF57BF">
        <w:t xml:space="preserve">As noted, Flores was the actual killer in those instances.  </w:t>
      </w:r>
      <w:r w:rsidR="00885868" w:rsidRPr="00AF57BF">
        <w:t xml:space="preserve">Diaz was </w:t>
      </w:r>
      <w:r w:rsidR="005D2163" w:rsidRPr="00AF57BF">
        <w:t>killed</w:t>
      </w:r>
      <w:r w:rsidR="001D61B0" w:rsidRPr="00AF57BF">
        <w:t xml:space="preserve"> by nine-</w:t>
      </w:r>
      <w:r w:rsidR="008A024F" w:rsidRPr="00AF57BF">
        <w:t xml:space="preserve">millimeter gunfire </w:t>
      </w:r>
      <w:r w:rsidR="001646CA" w:rsidRPr="00AF57BF">
        <w:t xml:space="preserve">while </w:t>
      </w:r>
      <w:r w:rsidR="00885868" w:rsidRPr="00AF57BF">
        <w:t>riding on the handlebars of a bicycle pedaled b</w:t>
      </w:r>
      <w:r w:rsidR="00B62FAE" w:rsidRPr="00AF57BF">
        <w:t>y</w:t>
      </w:r>
      <w:r w:rsidR="001646CA" w:rsidRPr="00AF57BF">
        <w:t xml:space="preserve"> Paul Gonzales</w:t>
      </w:r>
      <w:r w:rsidR="008A024F" w:rsidRPr="00AF57BF">
        <w:t>.  Gonzales identified Flores as the shoot</w:t>
      </w:r>
      <w:r w:rsidR="00B62FAE" w:rsidRPr="00AF57BF">
        <w:t>ing</w:t>
      </w:r>
      <w:r w:rsidR="008A024F" w:rsidRPr="00AF57BF">
        <w:t xml:space="preserve"> passenger in a black SUV that made two U-turns to drive past </w:t>
      </w:r>
      <w:r w:rsidR="005D2163" w:rsidRPr="00AF57BF">
        <w:t>the bike</w:t>
      </w:r>
      <w:r w:rsidR="00CA23C7" w:rsidRPr="00AF57BF">
        <w:t xml:space="preserve">.  </w:t>
      </w:r>
      <w:r w:rsidR="00B62FAE" w:rsidRPr="00AF57BF">
        <w:t>He</w:t>
      </w:r>
      <w:r w:rsidR="001F678E" w:rsidRPr="00AF57BF">
        <w:t xml:space="preserve"> </w:t>
      </w:r>
      <w:r w:rsidR="009A7729" w:rsidRPr="00AF57BF">
        <w:t>did not identify the driver</w:t>
      </w:r>
      <w:r w:rsidR="00B62FAE" w:rsidRPr="00AF57BF">
        <w:t xml:space="preserve">. </w:t>
      </w:r>
      <w:r w:rsidR="009A7729" w:rsidRPr="00AF57BF">
        <w:t xml:space="preserve"> </w:t>
      </w:r>
      <w:r w:rsidR="001F678E" w:rsidRPr="00AF57BF">
        <w:t>The prosecution</w:t>
      </w:r>
      <w:r w:rsidR="00A045E9" w:rsidRPr="00AF57BF">
        <w:t xml:space="preserve"> </w:t>
      </w:r>
      <w:r w:rsidR="002E0736" w:rsidRPr="00AF57BF">
        <w:t>introduc</w:t>
      </w:r>
      <w:r w:rsidR="001F678E" w:rsidRPr="00AF57BF">
        <w:t xml:space="preserve">ed Flores’s extrajudicial </w:t>
      </w:r>
      <w:r w:rsidR="00E91446" w:rsidRPr="00AF57BF">
        <w:t>admission</w:t>
      </w:r>
      <w:r w:rsidR="004208C7" w:rsidRPr="00AF57BF">
        <w:t xml:space="preserve"> </w:t>
      </w:r>
      <w:r w:rsidR="00A045E9" w:rsidRPr="00AF57BF">
        <w:t>that</w:t>
      </w:r>
      <w:r w:rsidR="00E91446" w:rsidRPr="00AF57BF">
        <w:t xml:space="preserve"> while </w:t>
      </w:r>
      <w:r w:rsidR="005D2163" w:rsidRPr="00AF57BF">
        <w:t>being</w:t>
      </w:r>
      <w:r w:rsidR="00E91446" w:rsidRPr="00AF57BF">
        <w:t xml:space="preserve"> </w:t>
      </w:r>
      <w:r w:rsidR="006E5A01" w:rsidRPr="00AF57BF">
        <w:t>driven by</w:t>
      </w:r>
      <w:r w:rsidR="005A3D3B" w:rsidRPr="00AF57BF">
        <w:t xml:space="preserve"> </w:t>
      </w:r>
      <w:proofErr w:type="spellStart"/>
      <w:r w:rsidR="00E91446" w:rsidRPr="00AF57BF">
        <w:t>Amezcua</w:t>
      </w:r>
      <w:proofErr w:type="spellEnd"/>
      <w:r w:rsidR="00217C36" w:rsidRPr="00AF57BF">
        <w:t>,</w:t>
      </w:r>
      <w:r w:rsidR="00A045E9" w:rsidRPr="00AF57BF">
        <w:t xml:space="preserve"> </w:t>
      </w:r>
      <w:r w:rsidR="005A3D3B" w:rsidRPr="00AF57BF">
        <w:t>Flores</w:t>
      </w:r>
      <w:r w:rsidR="00A045E9" w:rsidRPr="00AF57BF">
        <w:t xml:space="preserve"> fired five shots</w:t>
      </w:r>
      <w:r w:rsidR="001139FA" w:rsidRPr="00AF57BF">
        <w:t xml:space="preserve"> from a nine-</w:t>
      </w:r>
      <w:r w:rsidR="00EF7816" w:rsidRPr="00AF57BF">
        <w:t>millimeter weapon, killing</w:t>
      </w:r>
      <w:r w:rsidR="00A045E9" w:rsidRPr="00AF57BF">
        <w:t xml:space="preserve"> a ma</w:t>
      </w:r>
      <w:r w:rsidR="006E5A01" w:rsidRPr="00AF57BF">
        <w:t>n</w:t>
      </w:r>
      <w:r w:rsidR="00A045E9" w:rsidRPr="00AF57BF">
        <w:t xml:space="preserve"> riding on </w:t>
      </w:r>
      <w:r w:rsidR="00EF7816" w:rsidRPr="00AF57BF">
        <w:t xml:space="preserve">bicycle </w:t>
      </w:r>
      <w:r w:rsidR="00EF7816" w:rsidRPr="00AF57BF">
        <w:lastRenderedPageBreak/>
        <w:t>handlebars</w:t>
      </w:r>
      <w:r w:rsidR="00A045E9" w:rsidRPr="00AF57BF">
        <w:t xml:space="preserve">.  </w:t>
      </w:r>
      <w:r w:rsidR="006E5A01" w:rsidRPr="00AF57BF">
        <w:t>Hearing</w:t>
      </w:r>
      <w:r w:rsidR="000E6DE9" w:rsidRPr="00AF57BF">
        <w:t xml:space="preserve"> this</w:t>
      </w:r>
      <w:r w:rsidR="005A3D3B" w:rsidRPr="00AF57BF">
        <w:t xml:space="preserve"> admission</w:t>
      </w:r>
      <w:r w:rsidR="000E6DE9" w:rsidRPr="00AF57BF">
        <w:t xml:space="preserve">, </w:t>
      </w:r>
      <w:proofErr w:type="spellStart"/>
      <w:r w:rsidR="00A045E9" w:rsidRPr="00AF57BF">
        <w:t>Amezcua</w:t>
      </w:r>
      <w:proofErr w:type="spellEnd"/>
      <w:r w:rsidR="004208C7" w:rsidRPr="00AF57BF">
        <w:t xml:space="preserve"> laughed and said</w:t>
      </w:r>
      <w:r w:rsidR="006353A2" w:rsidRPr="00AF57BF">
        <w:t xml:space="preserve"> to the prosecutor</w:t>
      </w:r>
      <w:r w:rsidR="004208C7" w:rsidRPr="00AF57BF">
        <w:t xml:space="preserve">, “Catch me?”  </w:t>
      </w:r>
      <w:r w:rsidR="002E0736" w:rsidRPr="00AF57BF">
        <w:t xml:space="preserve">The prosecution also introduced admissions </w:t>
      </w:r>
      <w:r w:rsidR="006E5A01" w:rsidRPr="00AF57BF">
        <w:t xml:space="preserve">of </w:t>
      </w:r>
      <w:r w:rsidR="003A60DF" w:rsidRPr="00AF57BF">
        <w:t>Flores</w:t>
      </w:r>
      <w:r w:rsidR="002E0736" w:rsidRPr="00AF57BF">
        <w:t xml:space="preserve"> that he was the shooter and </w:t>
      </w:r>
      <w:proofErr w:type="spellStart"/>
      <w:r w:rsidR="002E0736" w:rsidRPr="00AF57BF">
        <w:t>Amezcua</w:t>
      </w:r>
      <w:proofErr w:type="spellEnd"/>
      <w:r w:rsidR="002E0736" w:rsidRPr="00AF57BF">
        <w:t xml:space="preserve"> the driver of a “four-runner” </w:t>
      </w:r>
      <w:r w:rsidR="006E5A01" w:rsidRPr="00AF57BF">
        <w:t>when</w:t>
      </w:r>
      <w:r w:rsidR="002E0736" w:rsidRPr="00AF57BF">
        <w:t xml:space="preserve"> Flores shot a man </w:t>
      </w:r>
      <w:r w:rsidR="006D6064" w:rsidRPr="00AF57BF">
        <w:t>in the mouth</w:t>
      </w:r>
      <w:r w:rsidR="00E54F43" w:rsidRPr="00AF57BF">
        <w:t>.</w:t>
      </w:r>
      <w:r w:rsidR="00186476" w:rsidRPr="00AF57BF">
        <w:t xml:space="preserve">  </w:t>
      </w:r>
    </w:p>
    <w:p w:rsidR="00D930C8" w:rsidRPr="00AF57BF" w:rsidRDefault="006E5A01" w:rsidP="00AF57BF">
      <w:pPr>
        <w:pStyle w:val="Text"/>
        <w:spacing w:line="400" w:lineRule="exact"/>
      </w:pPr>
      <w:r w:rsidRPr="00AF57BF">
        <w:t>As to</w:t>
      </w:r>
      <w:r w:rsidR="00186476" w:rsidRPr="00AF57BF">
        <w:t xml:space="preserve"> the </w:t>
      </w:r>
      <w:r w:rsidR="00635AFE" w:rsidRPr="00AF57BF">
        <w:t xml:space="preserve">Madrigal killing, </w:t>
      </w:r>
      <w:r w:rsidR="003E1CF6" w:rsidRPr="00AF57BF">
        <w:t xml:space="preserve">evidence showed </w:t>
      </w:r>
      <w:r w:rsidR="00915002" w:rsidRPr="00AF57BF">
        <w:t>the victim</w:t>
      </w:r>
      <w:r w:rsidR="003E1CF6" w:rsidRPr="00AF57BF">
        <w:t xml:space="preserve"> was parking his Chevrolet Blazer when a car stopped </w:t>
      </w:r>
      <w:proofErr w:type="gramStart"/>
      <w:r w:rsidR="003E1CF6" w:rsidRPr="00AF57BF">
        <w:t>alongside</w:t>
      </w:r>
      <w:proofErr w:type="gramEnd"/>
      <w:r w:rsidR="003E1CF6" w:rsidRPr="00AF57BF">
        <w:t xml:space="preserve"> and someone </w:t>
      </w:r>
      <w:r w:rsidR="00915002" w:rsidRPr="00AF57BF">
        <w:t>yelled</w:t>
      </w:r>
      <w:r w:rsidR="003E1CF6" w:rsidRPr="00AF57BF">
        <w:t xml:space="preserve">, “Where you from?”  Madrigal’s passenger, Gutierrez, said, “We’re not from nowhere.”  Gutierrez told police there were four Hispanic men with shaved heads in </w:t>
      </w:r>
      <w:r w:rsidR="00FB6C8D" w:rsidRPr="00AF57BF">
        <w:t>the car and the passenger shot</w:t>
      </w:r>
      <w:r w:rsidR="003E1CF6" w:rsidRPr="00AF57BF">
        <w:t xml:space="preserve"> Madrigal.  The fatal bullet was a nine</w:t>
      </w:r>
      <w:r w:rsidR="00341082" w:rsidRPr="00AF57BF">
        <w:t>-</w:t>
      </w:r>
      <w:r w:rsidR="003E1CF6" w:rsidRPr="00AF57BF">
        <w:t>millimeter.  D</w:t>
      </w:r>
      <w:r w:rsidR="00635AFE" w:rsidRPr="00AF57BF">
        <w:t xml:space="preserve">uring </w:t>
      </w:r>
      <w:r w:rsidRPr="00AF57BF">
        <w:t>discussion</w:t>
      </w:r>
      <w:r w:rsidR="00635AFE" w:rsidRPr="00AF57BF">
        <w:t>s with the prosecutor, defendants spoke of a shooting in</w:t>
      </w:r>
      <w:r w:rsidR="00CB142B" w:rsidRPr="00AF57BF">
        <w:t>volving a Blazer</w:t>
      </w:r>
      <w:r w:rsidRPr="00AF57BF">
        <w:t xml:space="preserve">. </w:t>
      </w:r>
      <w:r w:rsidR="00635AFE" w:rsidRPr="00AF57BF">
        <w:t xml:space="preserve"> Flores said he shot the driver in the face and neck, and that the passenger ran.  </w:t>
      </w:r>
      <w:proofErr w:type="spellStart"/>
      <w:r w:rsidR="00CB142B" w:rsidRPr="00AF57BF">
        <w:t>Amezcua</w:t>
      </w:r>
      <w:proofErr w:type="spellEnd"/>
      <w:r w:rsidR="00CB142B" w:rsidRPr="00AF57BF">
        <w:t xml:space="preserve"> agreed.  Asked the reason for the shooting, </w:t>
      </w:r>
      <w:proofErr w:type="spellStart"/>
      <w:r w:rsidR="00CB142B" w:rsidRPr="00AF57BF">
        <w:t>Amezcua</w:t>
      </w:r>
      <w:proofErr w:type="spellEnd"/>
      <w:r w:rsidR="00CB142B" w:rsidRPr="00AF57BF">
        <w:t xml:space="preserve"> said, “He was a gang member, man,” and described the act as “a vandal type of thing.  You’re driving around your neighborhood looking for people to kill.”</w:t>
      </w:r>
      <w:r w:rsidR="003E1CF6" w:rsidRPr="00AF57BF">
        <w:t xml:space="preserve">  </w:t>
      </w:r>
    </w:p>
    <w:p w:rsidR="004E1745" w:rsidRPr="00AF57BF" w:rsidRDefault="003268E0" w:rsidP="00AF57BF">
      <w:pPr>
        <w:pStyle w:val="Text"/>
        <w:spacing w:line="400" w:lineRule="exact"/>
      </w:pPr>
      <w:r w:rsidRPr="00AF57BF">
        <w:t xml:space="preserve">Flores raises the CALJIC No. 3.00 issue in connection with his conviction of the </w:t>
      </w:r>
      <w:r w:rsidR="00B85465" w:rsidRPr="00AF57BF">
        <w:t xml:space="preserve">George </w:t>
      </w:r>
      <w:r w:rsidRPr="00AF57BF">
        <w:t>Flores and Reyes</w:t>
      </w:r>
      <w:r w:rsidR="006E5A01" w:rsidRPr="00AF57BF">
        <w:t xml:space="preserve"> murders</w:t>
      </w:r>
      <w:r w:rsidR="0095193C" w:rsidRPr="00AF57BF">
        <w:t xml:space="preserve">, </w:t>
      </w:r>
      <w:r w:rsidR="006E5A01" w:rsidRPr="00AF57BF">
        <w:t>in which</w:t>
      </w:r>
      <w:r w:rsidR="0095193C" w:rsidRPr="00AF57BF">
        <w:t xml:space="preserve"> </w:t>
      </w:r>
      <w:proofErr w:type="spellStart"/>
      <w:r w:rsidR="0095193C" w:rsidRPr="00AF57BF">
        <w:t>Amezcua</w:t>
      </w:r>
      <w:proofErr w:type="spellEnd"/>
      <w:r w:rsidR="0095193C" w:rsidRPr="00AF57BF">
        <w:t xml:space="preserve"> was the actual killer</w:t>
      </w:r>
      <w:r w:rsidR="00A4076A" w:rsidRPr="00AF57BF">
        <w:t>.  Briefly,</w:t>
      </w:r>
      <w:r w:rsidR="0000519A" w:rsidRPr="00AF57BF">
        <w:t xml:space="preserve"> </w:t>
      </w:r>
      <w:r w:rsidRPr="00AF57BF">
        <w:t>the prosecution’s evidence at t</w:t>
      </w:r>
      <w:r w:rsidR="00A4076A" w:rsidRPr="00AF57BF">
        <w:t>rial showed that d</w:t>
      </w:r>
      <w:r w:rsidR="003F4C09" w:rsidRPr="00AF57BF">
        <w:t>efendant Flores</w:t>
      </w:r>
      <w:r w:rsidR="006E5A01" w:rsidRPr="00AF57BF">
        <w:t xml:space="preserve"> was riding</w:t>
      </w:r>
      <w:r w:rsidR="00A4076A" w:rsidRPr="00AF57BF">
        <w:t xml:space="preserve"> in a </w:t>
      </w:r>
      <w:r w:rsidR="004D6A47" w:rsidRPr="00AF57BF">
        <w:t xml:space="preserve">stolen </w:t>
      </w:r>
      <w:r w:rsidR="00A4076A" w:rsidRPr="00AF57BF">
        <w:t>Toyota driven by Katrina Barber</w:t>
      </w:r>
      <w:r w:rsidR="00C234AA" w:rsidRPr="00AF57BF">
        <w:t>.  D</w:t>
      </w:r>
      <w:r w:rsidR="00A4076A" w:rsidRPr="00AF57BF">
        <w:t xml:space="preserve">efendant </w:t>
      </w:r>
      <w:proofErr w:type="spellStart"/>
      <w:r w:rsidR="00A4076A" w:rsidRPr="00AF57BF">
        <w:t>Amezcua</w:t>
      </w:r>
      <w:proofErr w:type="spellEnd"/>
      <w:r w:rsidR="00C234AA" w:rsidRPr="00AF57BF">
        <w:t xml:space="preserve"> rode</w:t>
      </w:r>
      <w:r w:rsidR="00A4076A" w:rsidRPr="00AF57BF">
        <w:t xml:space="preserve"> in a Monte </w:t>
      </w:r>
      <w:r w:rsidR="001139FA" w:rsidRPr="00AF57BF">
        <w:t>Carlo driven by fellow ESBP</w:t>
      </w:r>
      <w:r w:rsidR="00A4076A" w:rsidRPr="00AF57BF">
        <w:t xml:space="preserve"> member Luis Reyes</w:t>
      </w:r>
      <w:r w:rsidR="00C234AA" w:rsidRPr="00AF57BF">
        <w:t>.  The cars</w:t>
      </w:r>
      <w:r w:rsidR="008615BE" w:rsidRPr="00AF57BF">
        <w:t xml:space="preserve"> passed</w:t>
      </w:r>
      <w:r w:rsidRPr="00AF57BF">
        <w:t xml:space="preserve"> a </w:t>
      </w:r>
      <w:r w:rsidR="002B1271" w:rsidRPr="00AF57BF">
        <w:t xml:space="preserve">Ledford </w:t>
      </w:r>
      <w:r w:rsidR="00341082" w:rsidRPr="00AF57BF">
        <w:t>Street</w:t>
      </w:r>
      <w:r w:rsidR="002B1271" w:rsidRPr="00AF57BF">
        <w:t xml:space="preserve"> </w:t>
      </w:r>
      <w:r w:rsidRPr="00AF57BF">
        <w:t xml:space="preserve">residence </w:t>
      </w:r>
      <w:r w:rsidR="00C234AA" w:rsidRPr="00AF57BF">
        <w:t>where</w:t>
      </w:r>
      <w:r w:rsidR="00F25B7D" w:rsidRPr="00AF57BF">
        <w:t xml:space="preserve"> George</w:t>
      </w:r>
      <w:r w:rsidRPr="00AF57BF">
        <w:t xml:space="preserve"> Flores and several friends were </w:t>
      </w:r>
      <w:r w:rsidR="00C234AA" w:rsidRPr="00AF57BF">
        <w:t xml:space="preserve">socializing </w:t>
      </w:r>
      <w:r w:rsidR="00A4076A" w:rsidRPr="00AF57BF">
        <w:t>out</w:t>
      </w:r>
      <w:r w:rsidR="00C234AA" w:rsidRPr="00AF57BF">
        <w:t xml:space="preserve">side. </w:t>
      </w:r>
      <w:r w:rsidR="00A4076A" w:rsidRPr="00AF57BF">
        <w:t xml:space="preserve"> </w:t>
      </w:r>
      <w:r w:rsidR="00C234AA" w:rsidRPr="00AF57BF">
        <w:t xml:space="preserve">The Toyota and Monte Carlo </w:t>
      </w:r>
      <w:r w:rsidR="00A4076A" w:rsidRPr="00AF57BF">
        <w:t>turned</w:t>
      </w:r>
      <w:r w:rsidR="004D6A47" w:rsidRPr="00AF57BF">
        <w:t xml:space="preserve"> around and </w:t>
      </w:r>
      <w:r w:rsidR="00915002" w:rsidRPr="00AF57BF">
        <w:t>came toward</w:t>
      </w:r>
      <w:r w:rsidR="00A4076A" w:rsidRPr="00AF57BF">
        <w:t xml:space="preserve"> </w:t>
      </w:r>
      <w:r w:rsidR="00C234AA" w:rsidRPr="00AF57BF">
        <w:t>the home</w:t>
      </w:r>
      <w:r w:rsidR="00A4076A" w:rsidRPr="00AF57BF">
        <w:t xml:space="preserve">. </w:t>
      </w:r>
      <w:r w:rsidRPr="00AF57BF">
        <w:t xml:space="preserve"> </w:t>
      </w:r>
      <w:proofErr w:type="spellStart"/>
      <w:r w:rsidRPr="00AF57BF">
        <w:t>Amezcua</w:t>
      </w:r>
      <w:proofErr w:type="spellEnd"/>
      <w:r w:rsidRPr="00AF57BF">
        <w:t xml:space="preserve"> </w:t>
      </w:r>
      <w:r w:rsidR="0000519A" w:rsidRPr="00AF57BF">
        <w:t>got out</w:t>
      </w:r>
      <w:r w:rsidR="0035783A" w:rsidRPr="00AF57BF">
        <w:t xml:space="preserve"> of the Monte Carlo</w:t>
      </w:r>
      <w:r w:rsidR="004D6A47" w:rsidRPr="00AF57BF">
        <w:t>,</w:t>
      </w:r>
      <w:r w:rsidR="002B1271" w:rsidRPr="00AF57BF">
        <w:t xml:space="preserve"> exchanged words with</w:t>
      </w:r>
      <w:r w:rsidR="004D6A47" w:rsidRPr="00AF57BF">
        <w:t xml:space="preserve"> </w:t>
      </w:r>
      <w:r w:rsidR="00F25B7D" w:rsidRPr="00AF57BF">
        <w:t xml:space="preserve">George </w:t>
      </w:r>
      <w:r w:rsidR="004D6A47" w:rsidRPr="00AF57BF">
        <w:t>Flores</w:t>
      </w:r>
      <w:r w:rsidR="00217C36" w:rsidRPr="00AF57BF">
        <w:t>,</w:t>
      </w:r>
      <w:r w:rsidR="004D6A47" w:rsidRPr="00AF57BF">
        <w:t xml:space="preserve"> and pointed a gun at him</w:t>
      </w:r>
      <w:r w:rsidR="006D40F2" w:rsidRPr="00AF57BF">
        <w:t xml:space="preserve">. </w:t>
      </w:r>
      <w:r w:rsidR="002B1271" w:rsidRPr="00AF57BF">
        <w:t xml:space="preserve"> </w:t>
      </w:r>
      <w:r w:rsidR="006D40F2" w:rsidRPr="00AF57BF">
        <w:t>S</w:t>
      </w:r>
      <w:r w:rsidR="0000519A" w:rsidRPr="00AF57BF">
        <w:t>hots were fired</w:t>
      </w:r>
      <w:r w:rsidR="006D40F2" w:rsidRPr="00AF57BF">
        <w:t>;</w:t>
      </w:r>
      <w:r w:rsidR="002B1271" w:rsidRPr="00AF57BF">
        <w:t xml:space="preserve"> </w:t>
      </w:r>
      <w:r w:rsidR="0000519A" w:rsidRPr="00AF57BF">
        <w:t>Flores was killed</w:t>
      </w:r>
      <w:r w:rsidR="00346ECA" w:rsidRPr="00AF57BF">
        <w:t>;</w:t>
      </w:r>
      <w:r w:rsidR="002B1271" w:rsidRPr="00AF57BF">
        <w:t xml:space="preserve"> and Joe </w:t>
      </w:r>
      <w:proofErr w:type="spellStart"/>
      <w:r w:rsidR="002B1271" w:rsidRPr="00AF57BF">
        <w:t>Mayorquin</w:t>
      </w:r>
      <w:proofErr w:type="spellEnd"/>
      <w:r w:rsidR="002B1271" w:rsidRPr="00AF57BF">
        <w:t xml:space="preserve"> was wounded</w:t>
      </w:r>
      <w:r w:rsidR="004D6A47" w:rsidRPr="00AF57BF">
        <w:t xml:space="preserve">.  The two cars </w:t>
      </w:r>
      <w:r w:rsidR="00915002" w:rsidRPr="00AF57BF">
        <w:t>drove off</w:t>
      </w:r>
      <w:r w:rsidR="004D6A47" w:rsidRPr="00AF57BF">
        <w:t xml:space="preserve">.  Because the </w:t>
      </w:r>
      <w:r w:rsidR="00C234AA" w:rsidRPr="00AF57BF">
        <w:lastRenderedPageBreak/>
        <w:t xml:space="preserve">Toyota </w:t>
      </w:r>
      <w:r w:rsidR="00ED23E7" w:rsidRPr="00AF57BF">
        <w:t>was experiencing</w:t>
      </w:r>
      <w:r w:rsidR="005E2339" w:rsidRPr="00AF57BF">
        <w:t xml:space="preserve"> engine</w:t>
      </w:r>
      <w:r w:rsidR="004D6A47" w:rsidRPr="00AF57BF">
        <w:t xml:space="preserve"> trouble, Barber pulled of</w:t>
      </w:r>
      <w:r w:rsidR="00ED23E7" w:rsidRPr="00AF57BF">
        <w:t>f the freeway</w:t>
      </w:r>
      <w:r w:rsidR="008615BE" w:rsidRPr="00AF57BF">
        <w:t xml:space="preserve"> and saw </w:t>
      </w:r>
      <w:proofErr w:type="spellStart"/>
      <w:r w:rsidR="008615BE" w:rsidRPr="00AF57BF">
        <w:t>Amezcua</w:t>
      </w:r>
      <w:proofErr w:type="spellEnd"/>
      <w:r w:rsidR="008615BE" w:rsidRPr="00AF57BF">
        <w:t xml:space="preserve"> shoot Reyes.</w:t>
      </w:r>
      <w:r w:rsidR="000131EB" w:rsidRPr="00AF57BF">
        <w:t xml:space="preserve">  Flores asked </w:t>
      </w:r>
      <w:proofErr w:type="spellStart"/>
      <w:r w:rsidR="000131EB" w:rsidRPr="00AF57BF">
        <w:t>Amezcua</w:t>
      </w:r>
      <w:proofErr w:type="spellEnd"/>
      <w:r w:rsidR="0011321D" w:rsidRPr="00AF57BF">
        <w:t>,</w:t>
      </w:r>
      <w:r w:rsidR="000131EB" w:rsidRPr="00AF57BF">
        <w:t xml:space="preserve"> </w:t>
      </w:r>
      <w:r w:rsidR="0011321D" w:rsidRPr="00AF57BF">
        <w:t>“What are you doing that here for?”</w:t>
      </w:r>
      <w:r w:rsidR="003E053D" w:rsidRPr="00AF57BF">
        <w:t xml:space="preserve">  </w:t>
      </w:r>
      <w:r w:rsidR="00346ECA" w:rsidRPr="00AF57BF">
        <w:t>The men</w:t>
      </w:r>
      <w:r w:rsidR="00915002" w:rsidRPr="00AF57BF">
        <w:t xml:space="preserve"> partially</w:t>
      </w:r>
      <w:r w:rsidR="00346ECA" w:rsidRPr="00AF57BF">
        <w:t xml:space="preserve"> dragged</w:t>
      </w:r>
      <w:r w:rsidR="00627CAA" w:rsidRPr="00AF57BF">
        <w:t xml:space="preserve"> Reyes from the Monte Carlo</w:t>
      </w:r>
      <w:r w:rsidR="00915002" w:rsidRPr="00AF57BF">
        <w:t>.  Even though</w:t>
      </w:r>
      <w:r w:rsidR="00EA0D11" w:rsidRPr="00AF57BF">
        <w:t xml:space="preserve"> his</w:t>
      </w:r>
      <w:r w:rsidR="00FB6C8D" w:rsidRPr="00AF57BF">
        <w:t xml:space="preserve"> right leg remained in the car,</w:t>
      </w:r>
      <w:r w:rsidR="00EA0D11" w:rsidRPr="00AF57BF">
        <w:t xml:space="preserve"> F</w:t>
      </w:r>
      <w:r w:rsidR="00E205C0" w:rsidRPr="00AF57BF">
        <w:t>lores told Barber to drive away</w:t>
      </w:r>
      <w:r w:rsidR="00EA0D11" w:rsidRPr="00AF57BF">
        <w:t xml:space="preserve"> and “</w:t>
      </w:r>
      <w:r w:rsidR="00341082" w:rsidRPr="00AF57BF">
        <w:t>[</w:t>
      </w:r>
      <w:r w:rsidR="00EA0D11" w:rsidRPr="00AF57BF">
        <w:t>j</w:t>
      </w:r>
      <w:r w:rsidR="00341082" w:rsidRPr="00AF57BF">
        <w:t>]</w:t>
      </w:r>
      <w:proofErr w:type="spellStart"/>
      <w:r w:rsidR="00EA0D11" w:rsidRPr="00AF57BF">
        <w:t>us</w:t>
      </w:r>
      <w:r w:rsidR="00220396" w:rsidRPr="00AF57BF">
        <w:t>t</w:t>
      </w:r>
      <w:proofErr w:type="spellEnd"/>
      <w:r w:rsidR="00220396" w:rsidRPr="00AF57BF">
        <w:t xml:space="preserve"> run [Reyes] over.”  </w:t>
      </w:r>
    </w:p>
    <w:p w:rsidR="0095193C" w:rsidRPr="00AF57BF" w:rsidRDefault="00C874BE" w:rsidP="00AF57BF">
      <w:pPr>
        <w:ind w:firstLine="720"/>
        <w:contextualSpacing/>
        <w:rPr>
          <w:szCs w:val="26"/>
        </w:rPr>
      </w:pPr>
      <w:r w:rsidRPr="00AF57BF">
        <w:t>Defendants correctly observe</w:t>
      </w:r>
      <w:r w:rsidR="00286618" w:rsidRPr="00AF57BF">
        <w:t xml:space="preserve"> </w:t>
      </w:r>
      <w:r w:rsidRPr="00AF57BF">
        <w:t xml:space="preserve">that, </w:t>
      </w:r>
      <w:r w:rsidR="004E68EE" w:rsidRPr="00AF57BF">
        <w:t>contrary to a possible</w:t>
      </w:r>
      <w:r w:rsidR="005B7E72" w:rsidRPr="00AF57BF">
        <w:t xml:space="preserve"> implication</w:t>
      </w:r>
      <w:r w:rsidR="00AE187C" w:rsidRPr="00AF57BF">
        <w:t xml:space="preserve"> of former CALJIC No. 3.00, an actual killer and an aider/abettor are not </w:t>
      </w:r>
      <w:r w:rsidR="009D6EFE" w:rsidRPr="00AF57BF">
        <w:t>always</w:t>
      </w:r>
      <w:r w:rsidR="00AE187C" w:rsidRPr="00AF57BF">
        <w:t xml:space="preserve"> guilty</w:t>
      </w:r>
      <w:r w:rsidR="009D6EFE" w:rsidRPr="00AF57BF">
        <w:t xml:space="preserve"> of the same offense</w:t>
      </w:r>
      <w:r w:rsidR="00915002" w:rsidRPr="00AF57BF">
        <w:t>.  R</w:t>
      </w:r>
      <w:r w:rsidR="00AE187C" w:rsidRPr="00AF57BF">
        <w:t>ather, in a homicide prosecution not involving felony murder or the natural and probable consequences doctrine</w:t>
      </w:r>
      <w:r w:rsidR="00915002" w:rsidRPr="00AF57BF">
        <w:t>,</w:t>
      </w:r>
      <w:r w:rsidR="00AE187C" w:rsidRPr="00AF57BF">
        <w:t xml:space="preserve"> the aider/abettor’s guilt is</w:t>
      </w:r>
      <w:r w:rsidR="00B71FE3" w:rsidRPr="00AF57BF">
        <w:t xml:space="preserve"> </w:t>
      </w:r>
      <w:r w:rsidR="00AE187C" w:rsidRPr="00AF57BF">
        <w:t xml:space="preserve">based on the combined acts of all the principals </w:t>
      </w:r>
      <w:r w:rsidR="00C234AA" w:rsidRPr="00AF57BF">
        <w:t>and</w:t>
      </w:r>
      <w:r w:rsidR="00AE187C" w:rsidRPr="00AF57BF">
        <w:t xml:space="preserve"> </w:t>
      </w:r>
      <w:r w:rsidR="00BC025E" w:rsidRPr="00AF57BF">
        <w:t xml:space="preserve">on </w:t>
      </w:r>
      <w:r w:rsidR="00AE187C" w:rsidRPr="00AF57BF">
        <w:t xml:space="preserve">the aider/abettor’s own </w:t>
      </w:r>
      <w:r w:rsidR="00C234AA" w:rsidRPr="00AF57BF">
        <w:t>knowledge and intent</w:t>
      </w:r>
      <w:r w:rsidR="00AE187C" w:rsidRPr="00AF57BF">
        <w:t xml:space="preserve">.  Consequently, </w:t>
      </w:r>
      <w:r w:rsidR="00CA4985" w:rsidRPr="00AF57BF">
        <w:t xml:space="preserve">in some circumstances </w:t>
      </w:r>
      <w:r w:rsidR="00AE187C" w:rsidRPr="00AF57BF">
        <w:t xml:space="preserve">an aider/abettor may be culpable for a </w:t>
      </w:r>
      <w:r w:rsidR="003048B1" w:rsidRPr="00AF57BF">
        <w:t xml:space="preserve">greater or </w:t>
      </w:r>
      <w:r w:rsidR="00AE187C" w:rsidRPr="00AF57BF">
        <w:t>lesser c</w:t>
      </w:r>
      <w:r w:rsidR="00223760" w:rsidRPr="00AF57BF">
        <w:t>rime than the actual killer</w:t>
      </w:r>
      <w:r w:rsidR="00AE187C" w:rsidRPr="00AF57BF">
        <w:t>.  (</w:t>
      </w:r>
      <w:r w:rsidR="00AE187C" w:rsidRPr="00AF57BF">
        <w:rPr>
          <w:i/>
        </w:rPr>
        <w:t>People v. McCoy</w:t>
      </w:r>
      <w:r w:rsidR="00AE187C" w:rsidRPr="00AF57BF">
        <w:t xml:space="preserve"> (2001) 25 Cal.4th 1111, 1120.)  </w:t>
      </w:r>
      <w:r w:rsidR="00CA4985" w:rsidRPr="00AF57BF">
        <w:rPr>
          <w:i/>
        </w:rPr>
        <w:t>People v. Bryant, Smith and Wheeler</w:t>
      </w:r>
      <w:r w:rsidR="00054130" w:rsidRPr="00AF57BF">
        <w:t xml:space="preserve">, </w:t>
      </w:r>
      <w:r w:rsidR="00054130" w:rsidRPr="00AF57BF">
        <w:rPr>
          <w:i/>
        </w:rPr>
        <w:t>supra</w:t>
      </w:r>
      <w:r w:rsidR="00054130" w:rsidRPr="00AF57BF">
        <w:t>,</w:t>
      </w:r>
      <w:r w:rsidR="000663D3" w:rsidRPr="00AF57BF">
        <w:t xml:space="preserve"> 60 Cal.4th 335</w:t>
      </w:r>
      <w:r w:rsidR="00CA4985" w:rsidRPr="00AF57BF">
        <w:t xml:space="preserve"> recognized that the standard instruction </w:t>
      </w:r>
      <w:r w:rsidR="009F4EAA" w:rsidRPr="00AF57BF">
        <w:t>“</w:t>
      </w:r>
      <w:r w:rsidR="00CA4985" w:rsidRPr="00AF57BF">
        <w:rPr>
          <w:szCs w:val="26"/>
        </w:rPr>
        <w:t>generally stated a correct rule of law</w:t>
      </w:r>
      <w:r w:rsidR="000663D3" w:rsidRPr="00AF57BF">
        <w:rPr>
          <w:szCs w:val="26"/>
        </w:rPr>
        <w:t>,” in that</w:t>
      </w:r>
      <w:r w:rsidR="00CA4985" w:rsidRPr="00AF57BF">
        <w:rPr>
          <w:szCs w:val="26"/>
        </w:rPr>
        <w:t xml:space="preserve"> </w:t>
      </w:r>
      <w:r w:rsidR="000663D3" w:rsidRPr="00AF57BF">
        <w:rPr>
          <w:szCs w:val="26"/>
        </w:rPr>
        <w:t>“[a]</w:t>
      </w:r>
      <w:proofErr w:type="spellStart"/>
      <w:r w:rsidR="00CA4985" w:rsidRPr="00AF57BF">
        <w:rPr>
          <w:szCs w:val="26"/>
        </w:rPr>
        <w:t>ll</w:t>
      </w:r>
      <w:proofErr w:type="spellEnd"/>
      <w:r w:rsidR="00CA4985" w:rsidRPr="00AF57BF">
        <w:rPr>
          <w:szCs w:val="26"/>
        </w:rPr>
        <w:t xml:space="preserve"> principals, incl</w:t>
      </w:r>
      <w:r w:rsidR="009F4EAA" w:rsidRPr="00AF57BF">
        <w:rPr>
          <w:szCs w:val="26"/>
        </w:rPr>
        <w:t>uding aiders and abettors, are ‘equally guilty’</w:t>
      </w:r>
      <w:r w:rsidR="00CA4985" w:rsidRPr="00AF57BF">
        <w:rPr>
          <w:szCs w:val="26"/>
        </w:rPr>
        <w:t xml:space="preserve"> in the sense that they are all criminally liable</w:t>
      </w:r>
      <w:r w:rsidR="000768CD" w:rsidRPr="00AF57BF">
        <w:rPr>
          <w:szCs w:val="26"/>
        </w:rPr>
        <w:t>.</w:t>
      </w:r>
      <w:r w:rsidRPr="00AF57BF">
        <w:rPr>
          <w:szCs w:val="26"/>
        </w:rPr>
        <w:t xml:space="preserve">” </w:t>
      </w:r>
      <w:r w:rsidR="000768CD" w:rsidRPr="00AF57BF">
        <w:rPr>
          <w:szCs w:val="26"/>
        </w:rPr>
        <w:t xml:space="preserve"> </w:t>
      </w:r>
      <w:r w:rsidR="00341082" w:rsidRPr="00AF57BF">
        <w:rPr>
          <w:szCs w:val="26"/>
        </w:rPr>
        <w:t>(</w:t>
      </w:r>
      <w:r w:rsidR="00341082" w:rsidRPr="00AF57BF">
        <w:rPr>
          <w:i/>
          <w:szCs w:val="26"/>
        </w:rPr>
        <w:t>Id.</w:t>
      </w:r>
      <w:r w:rsidR="00341082" w:rsidRPr="00AF57BF">
        <w:rPr>
          <w:szCs w:val="26"/>
        </w:rPr>
        <w:t xml:space="preserve"> at p. 433.)  </w:t>
      </w:r>
      <w:r w:rsidR="000768CD" w:rsidRPr="00AF57BF">
        <w:rPr>
          <w:szCs w:val="26"/>
        </w:rPr>
        <w:t xml:space="preserve">However, </w:t>
      </w:r>
      <w:r w:rsidR="000663D3" w:rsidRPr="00AF57BF">
        <w:rPr>
          <w:szCs w:val="26"/>
        </w:rPr>
        <w:t>former CALJIC No. 3.00</w:t>
      </w:r>
      <w:r w:rsidR="00CA4985" w:rsidRPr="00AF57BF">
        <w:rPr>
          <w:szCs w:val="26"/>
        </w:rPr>
        <w:t xml:space="preserve"> </w:t>
      </w:r>
      <w:r w:rsidR="000663D3" w:rsidRPr="00AF57BF">
        <w:rPr>
          <w:szCs w:val="26"/>
        </w:rPr>
        <w:t>“</w:t>
      </w:r>
      <w:r w:rsidR="00CA4985" w:rsidRPr="00AF57BF">
        <w:rPr>
          <w:szCs w:val="26"/>
        </w:rPr>
        <w:t>could be misleading if the principals in a particular case might be guilty of different crimes and the jury interprets the instruction to preclude such a finding.</w:t>
      </w:r>
      <w:r w:rsidR="009F4EAA" w:rsidRPr="00AF57BF">
        <w:rPr>
          <w:szCs w:val="26"/>
        </w:rPr>
        <w:t>”</w:t>
      </w:r>
      <w:r w:rsidR="00CA4985" w:rsidRPr="00AF57BF">
        <w:rPr>
          <w:szCs w:val="26"/>
        </w:rPr>
        <w:t xml:space="preserve"> </w:t>
      </w:r>
      <w:r w:rsidR="009F4EAA" w:rsidRPr="00AF57BF">
        <w:rPr>
          <w:szCs w:val="24"/>
        </w:rPr>
        <w:t xml:space="preserve"> (</w:t>
      </w:r>
      <w:r w:rsidR="00341082" w:rsidRPr="00AF57BF">
        <w:rPr>
          <w:i/>
          <w:szCs w:val="26"/>
        </w:rPr>
        <w:t>Ibid</w:t>
      </w:r>
      <w:r w:rsidR="009F4EAA" w:rsidRPr="00AF57BF">
        <w:rPr>
          <w:szCs w:val="26"/>
        </w:rPr>
        <w:t xml:space="preserve">.)  </w:t>
      </w:r>
    </w:p>
    <w:p w:rsidR="00A46D57" w:rsidRPr="00AF57BF" w:rsidRDefault="000768CD" w:rsidP="00AF57BF">
      <w:pPr>
        <w:ind w:firstLine="720"/>
        <w:contextualSpacing/>
        <w:rPr>
          <w:szCs w:val="26"/>
        </w:rPr>
      </w:pPr>
      <w:r w:rsidRPr="00AF57BF">
        <w:rPr>
          <w:szCs w:val="26"/>
        </w:rPr>
        <w:t>Here the prosecution sought to prove murder under theories of premeditation, lying in wait</w:t>
      </w:r>
      <w:r w:rsidR="00341082" w:rsidRPr="00AF57BF">
        <w:rPr>
          <w:szCs w:val="26"/>
        </w:rPr>
        <w:t>,</w:t>
      </w:r>
      <w:r w:rsidRPr="00AF57BF">
        <w:rPr>
          <w:szCs w:val="26"/>
        </w:rPr>
        <w:t xml:space="preserve"> and drive-by shooting.  </w:t>
      </w:r>
      <w:r w:rsidR="00990C12" w:rsidRPr="00AF57BF">
        <w:rPr>
          <w:szCs w:val="26"/>
        </w:rPr>
        <w:t>Defendant</w:t>
      </w:r>
      <w:r w:rsidR="000663D3" w:rsidRPr="00AF57BF">
        <w:rPr>
          <w:szCs w:val="26"/>
        </w:rPr>
        <w:t xml:space="preserve">s </w:t>
      </w:r>
      <w:r w:rsidR="00A85EC2" w:rsidRPr="00AF57BF">
        <w:rPr>
          <w:szCs w:val="26"/>
        </w:rPr>
        <w:t>contend</w:t>
      </w:r>
      <w:r w:rsidR="0077641B" w:rsidRPr="00AF57BF">
        <w:rPr>
          <w:szCs w:val="26"/>
        </w:rPr>
        <w:t xml:space="preserve"> that</w:t>
      </w:r>
      <w:r w:rsidR="00990C12" w:rsidRPr="00AF57BF">
        <w:rPr>
          <w:szCs w:val="26"/>
        </w:rPr>
        <w:t xml:space="preserve"> </w:t>
      </w:r>
      <w:r w:rsidR="0077641B" w:rsidRPr="00AF57BF">
        <w:rPr>
          <w:szCs w:val="26"/>
        </w:rPr>
        <w:t xml:space="preserve">as to </w:t>
      </w:r>
      <w:r w:rsidR="00B84E0B" w:rsidRPr="00AF57BF">
        <w:rPr>
          <w:szCs w:val="26"/>
        </w:rPr>
        <w:t>each theory</w:t>
      </w:r>
      <w:r w:rsidR="0077641B" w:rsidRPr="00AF57BF">
        <w:rPr>
          <w:szCs w:val="26"/>
        </w:rPr>
        <w:t>,</w:t>
      </w:r>
      <w:r w:rsidR="00B47280" w:rsidRPr="00AF57BF">
        <w:rPr>
          <w:szCs w:val="26"/>
        </w:rPr>
        <w:t xml:space="preserve"> </w:t>
      </w:r>
      <w:r w:rsidR="00E76533" w:rsidRPr="00AF57BF">
        <w:rPr>
          <w:szCs w:val="26"/>
        </w:rPr>
        <w:t>the ev</w:t>
      </w:r>
      <w:r w:rsidR="000131EB" w:rsidRPr="00AF57BF">
        <w:rPr>
          <w:szCs w:val="26"/>
        </w:rPr>
        <w:t>idence did not clearly show that the aider/abettor shared the direct perpetrator’s</w:t>
      </w:r>
      <w:r w:rsidR="00990C12" w:rsidRPr="00AF57BF">
        <w:rPr>
          <w:szCs w:val="26"/>
        </w:rPr>
        <w:t xml:space="preserve"> </w:t>
      </w:r>
      <w:proofErr w:type="spellStart"/>
      <w:r w:rsidR="00990C12" w:rsidRPr="00AF57BF">
        <w:rPr>
          <w:szCs w:val="26"/>
        </w:rPr>
        <w:t>mens</w:t>
      </w:r>
      <w:proofErr w:type="spellEnd"/>
      <w:r w:rsidR="00990C12" w:rsidRPr="00AF57BF">
        <w:rPr>
          <w:szCs w:val="26"/>
        </w:rPr>
        <w:t xml:space="preserve"> rea</w:t>
      </w:r>
      <w:r w:rsidR="00FF6F4F" w:rsidRPr="00AF57BF">
        <w:rPr>
          <w:szCs w:val="26"/>
        </w:rPr>
        <w:t xml:space="preserve">. </w:t>
      </w:r>
      <w:r w:rsidR="000131EB" w:rsidRPr="00AF57BF">
        <w:rPr>
          <w:szCs w:val="26"/>
        </w:rPr>
        <w:t xml:space="preserve"> </w:t>
      </w:r>
      <w:r w:rsidR="00FF6F4F" w:rsidRPr="00AF57BF">
        <w:rPr>
          <w:szCs w:val="26"/>
        </w:rPr>
        <w:t>C</w:t>
      </w:r>
      <w:r w:rsidR="0077641B" w:rsidRPr="00AF57BF">
        <w:rPr>
          <w:szCs w:val="26"/>
        </w:rPr>
        <w:t>onsequently</w:t>
      </w:r>
      <w:r w:rsidR="00341082" w:rsidRPr="00AF57BF">
        <w:rPr>
          <w:szCs w:val="26"/>
        </w:rPr>
        <w:t>,</w:t>
      </w:r>
      <w:r w:rsidR="0077641B" w:rsidRPr="00AF57BF">
        <w:rPr>
          <w:szCs w:val="26"/>
        </w:rPr>
        <w:t xml:space="preserve"> </w:t>
      </w:r>
      <w:r w:rsidR="00BE49C5" w:rsidRPr="00AF57BF">
        <w:rPr>
          <w:szCs w:val="26"/>
        </w:rPr>
        <w:t xml:space="preserve">the unmodified </w:t>
      </w:r>
      <w:r w:rsidR="007D3E78" w:rsidRPr="00AF57BF">
        <w:rPr>
          <w:szCs w:val="26"/>
        </w:rPr>
        <w:t>CALJIC No. 3.00 c</w:t>
      </w:r>
      <w:r w:rsidR="008968A4" w:rsidRPr="00AF57BF">
        <w:rPr>
          <w:szCs w:val="26"/>
        </w:rPr>
        <w:t>ould</w:t>
      </w:r>
      <w:r w:rsidR="000131EB" w:rsidRPr="00AF57BF">
        <w:rPr>
          <w:szCs w:val="26"/>
        </w:rPr>
        <w:t xml:space="preserve"> </w:t>
      </w:r>
      <w:r w:rsidR="00920188" w:rsidRPr="00AF57BF">
        <w:rPr>
          <w:szCs w:val="26"/>
        </w:rPr>
        <w:t xml:space="preserve">potentially </w:t>
      </w:r>
      <w:r w:rsidR="008968A4" w:rsidRPr="00AF57BF">
        <w:rPr>
          <w:szCs w:val="26"/>
        </w:rPr>
        <w:t>have misled the jury</w:t>
      </w:r>
      <w:r w:rsidR="00BE49C5" w:rsidRPr="00AF57BF">
        <w:rPr>
          <w:szCs w:val="26"/>
        </w:rPr>
        <w:t xml:space="preserve"> into convicting </w:t>
      </w:r>
      <w:r w:rsidR="00BE49C5" w:rsidRPr="00AF57BF">
        <w:rPr>
          <w:szCs w:val="26"/>
        </w:rPr>
        <w:lastRenderedPageBreak/>
        <w:t>the aider/abettor without making the requisite factual findings</w:t>
      </w:r>
      <w:r w:rsidR="008968A4" w:rsidRPr="00AF57BF">
        <w:rPr>
          <w:szCs w:val="26"/>
        </w:rPr>
        <w:t xml:space="preserve">.  </w:t>
      </w:r>
      <w:r w:rsidR="00A85EC2" w:rsidRPr="00AF57BF">
        <w:rPr>
          <w:szCs w:val="26"/>
        </w:rPr>
        <w:t>The contention is unpersuasive.</w:t>
      </w:r>
    </w:p>
    <w:p w:rsidR="00B052D7" w:rsidRPr="00AF57BF" w:rsidRDefault="00346ECA" w:rsidP="00AF57BF">
      <w:pPr>
        <w:ind w:firstLine="720"/>
        <w:contextualSpacing/>
        <w:rPr>
          <w:szCs w:val="26"/>
        </w:rPr>
      </w:pPr>
      <w:r w:rsidRPr="00AF57BF">
        <w:rPr>
          <w:szCs w:val="26"/>
        </w:rPr>
        <w:t xml:space="preserve">Because </w:t>
      </w:r>
      <w:r w:rsidR="00A20627" w:rsidRPr="00AF57BF">
        <w:rPr>
          <w:szCs w:val="26"/>
        </w:rPr>
        <w:t>the circumstances of this cas</w:t>
      </w:r>
      <w:r w:rsidRPr="00AF57BF">
        <w:rPr>
          <w:szCs w:val="26"/>
        </w:rPr>
        <w:t>e</w:t>
      </w:r>
      <w:r w:rsidR="00113977" w:rsidRPr="00AF57BF">
        <w:rPr>
          <w:szCs w:val="26"/>
        </w:rPr>
        <w:t xml:space="preserve"> reflected </w:t>
      </w:r>
      <w:r w:rsidR="002D05DE" w:rsidRPr="00AF57BF">
        <w:rPr>
          <w:szCs w:val="26"/>
        </w:rPr>
        <w:t xml:space="preserve">the </w:t>
      </w:r>
      <w:r w:rsidR="00113977" w:rsidRPr="00AF57BF">
        <w:rPr>
          <w:szCs w:val="26"/>
        </w:rPr>
        <w:t xml:space="preserve">defendants’ joint participation in the offenses at issue with the required intent to kill, </w:t>
      </w:r>
      <w:r w:rsidR="00A20627" w:rsidRPr="00AF57BF">
        <w:rPr>
          <w:szCs w:val="26"/>
        </w:rPr>
        <w:t>the trial court did not err in giving the jury the unmodified CALJIC No. 3.00</w:t>
      </w:r>
      <w:r w:rsidR="00FD188A" w:rsidRPr="00AF57BF">
        <w:rPr>
          <w:szCs w:val="26"/>
        </w:rPr>
        <w:t xml:space="preserve">.  </w:t>
      </w:r>
      <w:r w:rsidR="00A91127" w:rsidRPr="00AF57BF">
        <w:rPr>
          <w:szCs w:val="26"/>
        </w:rPr>
        <w:t>N</w:t>
      </w:r>
      <w:r w:rsidR="00B052D7" w:rsidRPr="00AF57BF">
        <w:rPr>
          <w:szCs w:val="26"/>
        </w:rPr>
        <w:t xml:space="preserve">either the evidence nor any theory of defense </w:t>
      </w:r>
      <w:r w:rsidR="00915002" w:rsidRPr="00AF57BF">
        <w:rPr>
          <w:szCs w:val="26"/>
        </w:rPr>
        <w:t xml:space="preserve">argued at trial or </w:t>
      </w:r>
      <w:r w:rsidR="00B052D7" w:rsidRPr="00AF57BF">
        <w:rPr>
          <w:szCs w:val="26"/>
        </w:rPr>
        <w:t xml:space="preserve">cited in the briefs suggested that </w:t>
      </w:r>
      <w:proofErr w:type="spellStart"/>
      <w:r w:rsidR="00B052D7" w:rsidRPr="00AF57BF">
        <w:rPr>
          <w:szCs w:val="26"/>
        </w:rPr>
        <w:t>Amezcua</w:t>
      </w:r>
      <w:proofErr w:type="spellEnd"/>
      <w:r w:rsidR="00B052D7" w:rsidRPr="00AF57BF">
        <w:rPr>
          <w:szCs w:val="26"/>
        </w:rPr>
        <w:t xml:space="preserve"> and Flores entertained different states of mind </w:t>
      </w:r>
      <w:r w:rsidR="00915002" w:rsidRPr="00AF57BF">
        <w:rPr>
          <w:szCs w:val="26"/>
        </w:rPr>
        <w:t>rendering them</w:t>
      </w:r>
      <w:r w:rsidR="00B052D7" w:rsidRPr="00AF57BF">
        <w:rPr>
          <w:szCs w:val="26"/>
        </w:rPr>
        <w:t xml:space="preserve"> guilty of different crimes.  In relevant portions of </w:t>
      </w:r>
      <w:r w:rsidR="00FF6F4F" w:rsidRPr="00AF57BF">
        <w:rPr>
          <w:szCs w:val="26"/>
        </w:rPr>
        <w:t>statements to</w:t>
      </w:r>
      <w:r w:rsidR="00B052D7" w:rsidRPr="00AF57BF">
        <w:rPr>
          <w:szCs w:val="26"/>
        </w:rPr>
        <w:t xml:space="preserve"> the prosecutor, both defendants admitted to the Diaz and Madrigal killings</w:t>
      </w:r>
      <w:r w:rsidR="00FF6F4F" w:rsidRPr="00AF57BF">
        <w:rPr>
          <w:szCs w:val="26"/>
        </w:rPr>
        <w:t xml:space="preserve">. </w:t>
      </w:r>
      <w:r w:rsidR="00B052D7" w:rsidRPr="00AF57BF">
        <w:rPr>
          <w:szCs w:val="26"/>
        </w:rPr>
        <w:t xml:space="preserve"> Flores explain</w:t>
      </w:r>
      <w:r w:rsidR="00FF6F4F" w:rsidRPr="00AF57BF">
        <w:rPr>
          <w:szCs w:val="26"/>
        </w:rPr>
        <w:t>ed</w:t>
      </w:r>
      <w:r w:rsidR="00B052D7" w:rsidRPr="00AF57BF">
        <w:rPr>
          <w:szCs w:val="26"/>
        </w:rPr>
        <w:t xml:space="preserve"> that the motivation for those offenses was “territorial” and that, by committing them, they were trying to instill fear in other gangs.  The attempted murder of Fernando Gutierrez in the same incident as the Madrigal killing is indistinguishable in the relevant respect.  The </w:t>
      </w:r>
      <w:proofErr w:type="spellStart"/>
      <w:r w:rsidR="00B052D7" w:rsidRPr="00AF57BF">
        <w:rPr>
          <w:szCs w:val="26"/>
        </w:rPr>
        <w:t>Mayorquin</w:t>
      </w:r>
      <w:proofErr w:type="spellEnd"/>
      <w:r w:rsidR="00B052D7" w:rsidRPr="00AF57BF">
        <w:rPr>
          <w:szCs w:val="26"/>
        </w:rPr>
        <w:t xml:space="preserve"> and George Flores murders fit a similar pattern of a shooting done for gang-related purposes and can be analyzed similarly for purposes of the current claim of error.  The Luis Reyes murder was factually </w:t>
      </w:r>
      <w:r w:rsidR="00FF6F4F" w:rsidRPr="00AF57BF">
        <w:rPr>
          <w:szCs w:val="26"/>
        </w:rPr>
        <w:t xml:space="preserve">a bit different.  </w:t>
      </w:r>
      <w:r w:rsidR="00B052D7" w:rsidRPr="00AF57BF">
        <w:rPr>
          <w:szCs w:val="26"/>
        </w:rPr>
        <w:t xml:space="preserve">Reyes was a fellow member of </w:t>
      </w:r>
      <w:r w:rsidR="00AB1270" w:rsidRPr="00AF57BF">
        <w:rPr>
          <w:szCs w:val="26"/>
        </w:rPr>
        <w:t xml:space="preserve">ESBP, </w:t>
      </w:r>
      <w:r w:rsidR="00FF6F4F" w:rsidRPr="00AF57BF">
        <w:rPr>
          <w:szCs w:val="26"/>
        </w:rPr>
        <w:t>defendants’ own gang</w:t>
      </w:r>
      <w:r w:rsidR="00AB1270" w:rsidRPr="00AF57BF">
        <w:rPr>
          <w:szCs w:val="26"/>
        </w:rPr>
        <w:t xml:space="preserve">. </w:t>
      </w:r>
      <w:r w:rsidR="00B052D7" w:rsidRPr="00AF57BF">
        <w:rPr>
          <w:szCs w:val="26"/>
        </w:rPr>
        <w:t xml:space="preserve"> Flores </w:t>
      </w:r>
      <w:r w:rsidR="00FF6F4F" w:rsidRPr="00AF57BF">
        <w:rPr>
          <w:szCs w:val="26"/>
        </w:rPr>
        <w:t>did ask</w:t>
      </w:r>
      <w:r w:rsidR="00B052D7" w:rsidRPr="00AF57BF">
        <w:rPr>
          <w:szCs w:val="26"/>
        </w:rPr>
        <w:t xml:space="preserve"> </w:t>
      </w:r>
      <w:proofErr w:type="spellStart"/>
      <w:r w:rsidR="00B052D7" w:rsidRPr="00AF57BF">
        <w:rPr>
          <w:szCs w:val="26"/>
        </w:rPr>
        <w:t>Amezcua</w:t>
      </w:r>
      <w:proofErr w:type="spellEnd"/>
      <w:r w:rsidR="00B052D7" w:rsidRPr="00AF57BF">
        <w:rPr>
          <w:szCs w:val="26"/>
        </w:rPr>
        <w:t xml:space="preserve"> “</w:t>
      </w:r>
      <w:r w:rsidR="00341082" w:rsidRPr="00AF57BF">
        <w:rPr>
          <w:szCs w:val="26"/>
        </w:rPr>
        <w:t>[</w:t>
      </w:r>
      <w:r w:rsidR="00B052D7" w:rsidRPr="00AF57BF">
        <w:rPr>
          <w:szCs w:val="26"/>
        </w:rPr>
        <w:t>w</w:t>
      </w:r>
      <w:r w:rsidR="00341082" w:rsidRPr="00AF57BF">
        <w:rPr>
          <w:szCs w:val="26"/>
        </w:rPr>
        <w:t>]</w:t>
      </w:r>
      <w:r w:rsidR="00B052D7" w:rsidRPr="00AF57BF">
        <w:rPr>
          <w:szCs w:val="26"/>
        </w:rPr>
        <w:t>hat are you doing that here for?”</w:t>
      </w:r>
      <w:r w:rsidR="00FF6F4F" w:rsidRPr="00AF57BF">
        <w:rPr>
          <w:szCs w:val="26"/>
        </w:rPr>
        <w:t xml:space="preserve">  B</w:t>
      </w:r>
      <w:r w:rsidR="00B052D7" w:rsidRPr="00AF57BF">
        <w:rPr>
          <w:szCs w:val="26"/>
        </w:rPr>
        <w:t xml:space="preserve">ut almost immediately thereafter Flores urged Katrina Barber to “run [Reyes] over” with the Monte Carlo, evidencing his own intent to kill Reyes.  </w:t>
      </w:r>
      <w:r w:rsidR="002D05DE" w:rsidRPr="00AF57BF">
        <w:rPr>
          <w:szCs w:val="26"/>
        </w:rPr>
        <w:t xml:space="preserve">Reyes was still alive when defendants left the scene.  </w:t>
      </w:r>
      <w:r w:rsidR="00B052D7" w:rsidRPr="00AF57BF">
        <w:rPr>
          <w:szCs w:val="26"/>
        </w:rPr>
        <w:t>The evidence thus amply supported an inference that defendants shared the same intent with respect to each of the charges, and for that reason no modification of the instruction was warranted.</w:t>
      </w:r>
    </w:p>
    <w:p w:rsidR="00360035" w:rsidRPr="00AF57BF" w:rsidRDefault="00B052D7" w:rsidP="00AF57BF">
      <w:pPr>
        <w:ind w:firstLine="720"/>
        <w:contextualSpacing/>
        <w:rPr>
          <w:szCs w:val="26"/>
        </w:rPr>
      </w:pPr>
      <w:r w:rsidRPr="00AF57BF">
        <w:rPr>
          <w:szCs w:val="26"/>
        </w:rPr>
        <w:t>O</w:t>
      </w:r>
      <w:r w:rsidR="00AD2AAE" w:rsidRPr="00AF57BF">
        <w:rPr>
          <w:szCs w:val="26"/>
        </w:rPr>
        <w:t>ther instructions</w:t>
      </w:r>
      <w:r w:rsidRPr="00AF57BF">
        <w:rPr>
          <w:szCs w:val="26"/>
        </w:rPr>
        <w:t>, moreover,</w:t>
      </w:r>
      <w:r w:rsidR="00AD2AAE" w:rsidRPr="00AF57BF">
        <w:rPr>
          <w:szCs w:val="26"/>
        </w:rPr>
        <w:t xml:space="preserve"> reinforced the requirement that the jury </w:t>
      </w:r>
      <w:r w:rsidR="00360035" w:rsidRPr="00AF57BF">
        <w:rPr>
          <w:szCs w:val="26"/>
        </w:rPr>
        <w:t xml:space="preserve">find the intent-to-kill element </w:t>
      </w:r>
      <w:r w:rsidR="00FF6F4F" w:rsidRPr="00AF57BF">
        <w:rPr>
          <w:szCs w:val="26"/>
        </w:rPr>
        <w:t xml:space="preserve">proven </w:t>
      </w:r>
      <w:r w:rsidR="00360035" w:rsidRPr="00AF57BF">
        <w:rPr>
          <w:szCs w:val="26"/>
        </w:rPr>
        <w:t xml:space="preserve">in order to </w:t>
      </w:r>
      <w:r w:rsidR="00360035" w:rsidRPr="00AF57BF">
        <w:rPr>
          <w:szCs w:val="26"/>
        </w:rPr>
        <w:lastRenderedPageBreak/>
        <w:t xml:space="preserve">convict of murder or attempted murder on a theory of aiding and abetting.  </w:t>
      </w:r>
      <w:r w:rsidR="00C874BE" w:rsidRPr="00AF57BF">
        <w:rPr>
          <w:szCs w:val="26"/>
        </w:rPr>
        <w:t xml:space="preserve">CALJIC No. 3.01, </w:t>
      </w:r>
      <w:r w:rsidR="00811851">
        <w:rPr>
          <w:szCs w:val="26"/>
        </w:rPr>
        <w:t xml:space="preserve">as </w:t>
      </w:r>
      <w:r w:rsidR="00360035" w:rsidRPr="00AF57BF">
        <w:rPr>
          <w:szCs w:val="26"/>
        </w:rPr>
        <w:t>given in this case, provided</w:t>
      </w:r>
      <w:r w:rsidR="00BC357C" w:rsidRPr="00AF57BF">
        <w:rPr>
          <w:szCs w:val="26"/>
        </w:rPr>
        <w:t xml:space="preserve"> that “[a] person aids and abets the commission of a crime when he or she:  [¶]  (1) with knowledge of the unlawful purpose of the perpetrator, and [¶]  (2) with the intent or purpose of committing or encouraging or facilitating the commission of the crime, and [¶]  (3) by act or ad</w:t>
      </w:r>
      <w:r w:rsidR="00341082" w:rsidRPr="00AF57BF">
        <w:rPr>
          <w:szCs w:val="26"/>
        </w:rPr>
        <w:t>vice aids, promotes, encourages</w:t>
      </w:r>
      <w:r w:rsidR="00BC357C" w:rsidRPr="00AF57BF">
        <w:rPr>
          <w:szCs w:val="26"/>
        </w:rPr>
        <w:t xml:space="preserve"> or instigates the commission of the crime.”  The requireme</w:t>
      </w:r>
      <w:r w:rsidR="00257EF2" w:rsidRPr="00AF57BF">
        <w:rPr>
          <w:szCs w:val="26"/>
        </w:rPr>
        <w:t>nt that the aider/abettor know o</w:t>
      </w:r>
      <w:r w:rsidR="00BC357C" w:rsidRPr="00AF57BF">
        <w:rPr>
          <w:szCs w:val="26"/>
        </w:rPr>
        <w:t>f the perpetrator’</w:t>
      </w:r>
      <w:r w:rsidR="00257EF2" w:rsidRPr="00AF57BF">
        <w:rPr>
          <w:szCs w:val="26"/>
        </w:rPr>
        <w:t xml:space="preserve">s unlawful purpose, </w:t>
      </w:r>
      <w:r w:rsidR="00FF6F4F" w:rsidRPr="00AF57BF">
        <w:rPr>
          <w:szCs w:val="26"/>
        </w:rPr>
        <w:t>intend</w:t>
      </w:r>
      <w:r w:rsidR="00257EF2" w:rsidRPr="00AF57BF">
        <w:rPr>
          <w:szCs w:val="26"/>
        </w:rPr>
        <w:t xml:space="preserve"> to facilitate that purpose,</w:t>
      </w:r>
      <w:r w:rsidR="00BC357C" w:rsidRPr="00AF57BF">
        <w:rPr>
          <w:szCs w:val="26"/>
        </w:rPr>
        <w:t xml:space="preserve"> </w:t>
      </w:r>
      <w:r w:rsidR="00FF6F4F" w:rsidRPr="00AF57BF">
        <w:rPr>
          <w:szCs w:val="26"/>
        </w:rPr>
        <w:t xml:space="preserve">and do an </w:t>
      </w:r>
      <w:r w:rsidR="00257EF2" w:rsidRPr="00AF57BF">
        <w:rPr>
          <w:szCs w:val="26"/>
        </w:rPr>
        <w:t>act that assist</w:t>
      </w:r>
      <w:r w:rsidR="002D05DE" w:rsidRPr="00AF57BF">
        <w:rPr>
          <w:szCs w:val="26"/>
        </w:rPr>
        <w:t>s</w:t>
      </w:r>
      <w:r w:rsidR="00257EF2" w:rsidRPr="00AF57BF">
        <w:rPr>
          <w:szCs w:val="26"/>
        </w:rPr>
        <w:t xml:space="preserve"> or fac</w:t>
      </w:r>
      <w:r w:rsidR="00A3741E" w:rsidRPr="00AF57BF">
        <w:rPr>
          <w:szCs w:val="26"/>
        </w:rPr>
        <w:t>ilitate</w:t>
      </w:r>
      <w:r w:rsidR="002D05DE" w:rsidRPr="00AF57BF">
        <w:rPr>
          <w:szCs w:val="26"/>
        </w:rPr>
        <w:t>s</w:t>
      </w:r>
      <w:r w:rsidR="00A3741E" w:rsidRPr="00AF57BF">
        <w:rPr>
          <w:szCs w:val="26"/>
        </w:rPr>
        <w:t xml:space="preserve"> </w:t>
      </w:r>
      <w:r w:rsidR="00FF6F4F" w:rsidRPr="00AF57BF">
        <w:rPr>
          <w:szCs w:val="26"/>
        </w:rPr>
        <w:t>the purpose</w:t>
      </w:r>
      <w:r w:rsidR="00A3741E" w:rsidRPr="00AF57BF">
        <w:rPr>
          <w:szCs w:val="26"/>
        </w:rPr>
        <w:t xml:space="preserve">, sufficiently </w:t>
      </w:r>
      <w:r w:rsidR="00915002" w:rsidRPr="00AF57BF">
        <w:rPr>
          <w:szCs w:val="26"/>
        </w:rPr>
        <w:t>explained</w:t>
      </w:r>
      <w:r w:rsidR="00257EF2" w:rsidRPr="00AF57BF">
        <w:rPr>
          <w:szCs w:val="26"/>
        </w:rPr>
        <w:t xml:space="preserve"> the </w:t>
      </w:r>
      <w:r w:rsidR="00FF6F4F" w:rsidRPr="00AF57BF">
        <w:rPr>
          <w:szCs w:val="26"/>
        </w:rPr>
        <w:t xml:space="preserve">required </w:t>
      </w:r>
      <w:proofErr w:type="spellStart"/>
      <w:r w:rsidR="00A3741E" w:rsidRPr="00AF57BF">
        <w:rPr>
          <w:szCs w:val="26"/>
        </w:rPr>
        <w:t>mens</w:t>
      </w:r>
      <w:proofErr w:type="spellEnd"/>
      <w:r w:rsidR="00A3741E" w:rsidRPr="00AF57BF">
        <w:rPr>
          <w:szCs w:val="26"/>
        </w:rPr>
        <w:t xml:space="preserve"> rea</w:t>
      </w:r>
      <w:r w:rsidR="00360035" w:rsidRPr="00AF57BF">
        <w:rPr>
          <w:szCs w:val="26"/>
        </w:rPr>
        <w:t xml:space="preserve">.  CALJIC No. 17.00, also given </w:t>
      </w:r>
      <w:r w:rsidR="00915002" w:rsidRPr="00AF57BF">
        <w:rPr>
          <w:szCs w:val="26"/>
        </w:rPr>
        <w:t>here</w:t>
      </w:r>
      <w:r w:rsidR="00360035" w:rsidRPr="00AF57BF">
        <w:rPr>
          <w:szCs w:val="26"/>
        </w:rPr>
        <w:t>,</w:t>
      </w:r>
      <w:r w:rsidR="00A3741E" w:rsidRPr="00AF57BF">
        <w:rPr>
          <w:szCs w:val="26"/>
        </w:rPr>
        <w:t xml:space="preserve"> requires the jury to decide each defendant’s guilt sepa</w:t>
      </w:r>
      <w:r w:rsidR="00FD3103" w:rsidRPr="00AF57BF">
        <w:rPr>
          <w:szCs w:val="26"/>
        </w:rPr>
        <w:t xml:space="preserve">rately.  </w:t>
      </w:r>
    </w:p>
    <w:p w:rsidR="00D44A98" w:rsidRPr="00AF57BF" w:rsidRDefault="00D44A98" w:rsidP="00AF57BF">
      <w:pPr>
        <w:pStyle w:val="Heading3"/>
      </w:pPr>
      <w:bookmarkStart w:id="35" w:name="_Toc521674405"/>
      <w:r w:rsidRPr="00AF57BF">
        <w:t>5.</w:t>
      </w:r>
      <w:r w:rsidRPr="00AF57BF">
        <w:tab/>
      </w:r>
      <w:r w:rsidR="00341082" w:rsidRPr="00AF57BF">
        <w:t>P</w:t>
      </w:r>
      <w:r w:rsidRPr="00AF57BF">
        <w:t xml:space="preserve">rosecutorial </w:t>
      </w:r>
      <w:r w:rsidR="00341082" w:rsidRPr="00AF57BF">
        <w:t>M</w:t>
      </w:r>
      <w:r w:rsidRPr="00AF57BF">
        <w:t xml:space="preserve">isconduct in </w:t>
      </w:r>
      <w:r w:rsidR="00341082" w:rsidRPr="00AF57BF">
        <w:t>I</w:t>
      </w:r>
      <w:r w:rsidRPr="00AF57BF">
        <w:t xml:space="preserve">nviting </w:t>
      </w:r>
      <w:r w:rsidR="00341082" w:rsidRPr="00AF57BF">
        <w:t>J</w:t>
      </w:r>
      <w:r w:rsidRPr="00AF57BF">
        <w:t xml:space="preserve">ury to </w:t>
      </w:r>
      <w:r w:rsidR="00341082" w:rsidRPr="00AF57BF">
        <w:t>V</w:t>
      </w:r>
      <w:r w:rsidRPr="00AF57BF">
        <w:t xml:space="preserve">iew the </w:t>
      </w:r>
      <w:r w:rsidR="00341082" w:rsidRPr="00AF57BF">
        <w:t>C</w:t>
      </w:r>
      <w:r w:rsidRPr="00AF57BF">
        <w:t xml:space="preserve">ase through the </w:t>
      </w:r>
      <w:r w:rsidR="00341082" w:rsidRPr="00AF57BF">
        <w:t>V</w:t>
      </w:r>
      <w:r w:rsidRPr="00AF57BF">
        <w:t xml:space="preserve">ictims’ </w:t>
      </w:r>
      <w:r w:rsidR="00341082" w:rsidRPr="00AF57BF">
        <w:t>E</w:t>
      </w:r>
      <w:r w:rsidRPr="00AF57BF">
        <w:t xml:space="preserve">yes </w:t>
      </w:r>
      <w:bookmarkEnd w:id="35"/>
    </w:p>
    <w:p w:rsidR="00D44A98" w:rsidRPr="00AF57BF" w:rsidRDefault="00900CBC" w:rsidP="00AF57BF">
      <w:pPr>
        <w:pStyle w:val="Text"/>
        <w:spacing w:line="400" w:lineRule="exact"/>
      </w:pPr>
      <w:r w:rsidRPr="00AF57BF">
        <w:t>Defendants contend prosecutor</w:t>
      </w:r>
      <w:r w:rsidR="00FF6F4F" w:rsidRPr="00AF57BF">
        <w:t>ial</w:t>
      </w:r>
      <w:r w:rsidRPr="00AF57BF">
        <w:t xml:space="preserve"> </w:t>
      </w:r>
      <w:r w:rsidR="0063694F" w:rsidRPr="00AF57BF">
        <w:t>misconduct depriv</w:t>
      </w:r>
      <w:r w:rsidR="00FF6F4F" w:rsidRPr="00AF57BF">
        <w:t>ed</w:t>
      </w:r>
      <w:r w:rsidRPr="00AF57BF">
        <w:t xml:space="preserve"> them </w:t>
      </w:r>
      <w:r w:rsidR="0063694F" w:rsidRPr="00AF57BF">
        <w:t xml:space="preserve">of </w:t>
      </w:r>
      <w:r w:rsidRPr="00AF57BF">
        <w:t>due process and a fair trial</w:t>
      </w:r>
      <w:r w:rsidR="00FF6F4F" w:rsidRPr="00AF57BF">
        <w:t xml:space="preserve">. </w:t>
      </w:r>
      <w:r w:rsidRPr="00AF57BF">
        <w:t xml:space="preserve"> </w:t>
      </w:r>
      <w:r w:rsidR="00647F84" w:rsidRPr="00AF57BF">
        <w:t>They assert</w:t>
      </w:r>
      <w:r w:rsidR="00811851">
        <w:t xml:space="preserve"> that</w:t>
      </w:r>
      <w:r w:rsidR="00B60913" w:rsidRPr="00AF57BF">
        <w:t xml:space="preserve"> </w:t>
      </w:r>
      <w:r w:rsidR="004115B2" w:rsidRPr="00AF57BF">
        <w:t>t</w:t>
      </w:r>
      <w:r w:rsidR="00B60913" w:rsidRPr="00AF57BF">
        <w:t xml:space="preserve">he </w:t>
      </w:r>
      <w:r w:rsidR="004115B2" w:rsidRPr="00AF57BF">
        <w:t xml:space="preserve">prosecutor </w:t>
      </w:r>
      <w:r w:rsidR="00B60913" w:rsidRPr="00AF57BF">
        <w:t>made</w:t>
      </w:r>
      <w:r w:rsidRPr="00AF57BF">
        <w:t xml:space="preserve"> an improper appeal to jurors’ sympathy for the victims during guilt phase closing argument.  </w:t>
      </w:r>
      <w:r w:rsidR="0019132A" w:rsidRPr="00AF57BF">
        <w:t>The prosecutor expressed concern that jurors would find themselves benumbed by t</w:t>
      </w:r>
      <w:r w:rsidR="00F421DF" w:rsidRPr="00AF57BF">
        <w:t>he evidence of so many murders, arguing</w:t>
      </w:r>
      <w:proofErr w:type="gramStart"/>
      <w:r w:rsidR="00F421DF" w:rsidRPr="00AF57BF">
        <w:t xml:space="preserve">: </w:t>
      </w:r>
      <w:r w:rsidR="0019132A" w:rsidRPr="00AF57BF">
        <w:t xml:space="preserve"> “</w:t>
      </w:r>
      <w:proofErr w:type="gramEnd"/>
      <w:r w:rsidR="0019132A" w:rsidRPr="00AF57BF">
        <w:t>My concern, and I will just tell you right now here my concern is okay, you see one murder.  You look at that, wow.  You see two murders, wow.  [</w:t>
      </w:r>
      <w:proofErr w:type="gramStart"/>
      <w:r w:rsidR="0019132A" w:rsidRPr="00AF57BF">
        <w:t>¶]  Three</w:t>
      </w:r>
      <w:proofErr w:type="gramEnd"/>
      <w:r w:rsidR="0019132A" w:rsidRPr="00AF57BF">
        <w:t>, wow.  [</w:t>
      </w:r>
      <w:proofErr w:type="gramStart"/>
      <w:r w:rsidR="0019132A" w:rsidRPr="00AF57BF">
        <w:t>¶]  Four</w:t>
      </w:r>
      <w:proofErr w:type="gramEnd"/>
      <w:r w:rsidR="0019132A" w:rsidRPr="00AF57BF">
        <w:t>, then the fifth murder you see and you start to think, wow, people really do this.  This isn’t a movie.  This is not a movie.  This is not a television show, but what worries me is over time, you can get what?  More pictures you look at</w:t>
      </w:r>
      <w:r w:rsidR="00341082" w:rsidRPr="00AF57BF">
        <w:t xml:space="preserve"> it</w:t>
      </w:r>
      <w:r w:rsidR="0019132A" w:rsidRPr="00AF57BF">
        <w:t>, the more you can get numb to it.”  The prosecutor reminded the jurors to “remember what justice is.”  He continued</w:t>
      </w:r>
      <w:proofErr w:type="gramStart"/>
      <w:r w:rsidR="0019132A" w:rsidRPr="00AF57BF">
        <w:t>:  “</w:t>
      </w:r>
      <w:proofErr w:type="gramEnd"/>
      <w:r w:rsidR="0019132A" w:rsidRPr="00AF57BF">
        <w:t xml:space="preserve">Remember what it must have been like to be one of their victims being shot and </w:t>
      </w:r>
      <w:r w:rsidR="0019132A" w:rsidRPr="00AF57BF">
        <w:lastRenderedPageBreak/>
        <w:t xml:space="preserve">choking and trying to get your last breath out while your blood is gurgling in your lungs.  </w:t>
      </w:r>
      <w:r w:rsidR="006407B5" w:rsidRPr="00AF57BF">
        <w:t xml:space="preserve">What it must be like to be one of those people.”  </w:t>
      </w:r>
      <w:r w:rsidR="001A6BFF" w:rsidRPr="00AF57BF">
        <w:t>Turning to</w:t>
      </w:r>
      <w:r w:rsidR="00D614B4" w:rsidRPr="00AF57BF">
        <w:t xml:space="preserve"> </w:t>
      </w:r>
      <w:proofErr w:type="spellStart"/>
      <w:r w:rsidR="00D614B4" w:rsidRPr="00AF57BF">
        <w:t>Amezcua’s</w:t>
      </w:r>
      <w:proofErr w:type="spellEnd"/>
      <w:r w:rsidR="00D614B4" w:rsidRPr="00AF57BF">
        <w:t xml:space="preserve"> actions on the Santa Monica Pier, specifically the assault on Jing </w:t>
      </w:r>
      <w:proofErr w:type="spellStart"/>
      <w:r w:rsidR="00D614B4" w:rsidRPr="00AF57BF">
        <w:t>Huali</w:t>
      </w:r>
      <w:proofErr w:type="spellEnd"/>
      <w:r w:rsidR="00D614B4" w:rsidRPr="00AF57BF">
        <w:t>, the prosecutor said</w:t>
      </w:r>
      <w:proofErr w:type="gramStart"/>
      <w:r w:rsidR="00D614B4" w:rsidRPr="00AF57BF">
        <w:t>:  “</w:t>
      </w:r>
      <w:proofErr w:type="gramEnd"/>
      <w:r w:rsidR="00D614B4" w:rsidRPr="00AF57BF">
        <w:t xml:space="preserve">What do we know?  Jing </w:t>
      </w:r>
      <w:proofErr w:type="spellStart"/>
      <w:r w:rsidR="00D614B4" w:rsidRPr="00AF57BF">
        <w:t>Huali</w:t>
      </w:r>
      <w:proofErr w:type="spellEnd"/>
      <w:r w:rsidR="00D614B4" w:rsidRPr="00AF57BF">
        <w:t>, while she was laying down, the defendant shot her.  An assault with a firearm.  I point a loaded gun at your head, the assault is complete.  That’s it; it’s done.  You do not have to fire.  [</w:t>
      </w:r>
      <w:proofErr w:type="gramStart"/>
      <w:r w:rsidR="00D614B4" w:rsidRPr="00AF57BF">
        <w:t>¶]  I</w:t>
      </w:r>
      <w:proofErr w:type="gramEnd"/>
      <w:r w:rsidR="00D614B4" w:rsidRPr="00AF57BF">
        <w:t xml:space="preserve"> put my left arm around and I put a gun to your head, a loaded gun, completed, done, proven.  I bet you would feel assaulted if someone had a loaded gun pointed at your head.  </w:t>
      </w:r>
      <w:r w:rsidR="00341082" w:rsidRPr="00AF57BF">
        <w:t>[</w:t>
      </w:r>
      <w:proofErr w:type="gramStart"/>
      <w:r w:rsidR="00341082" w:rsidRPr="00AF57BF">
        <w:t>¶]  </w:t>
      </w:r>
      <w:r w:rsidR="00D614B4" w:rsidRPr="00AF57BF">
        <w:t>She</w:t>
      </w:r>
      <w:proofErr w:type="gramEnd"/>
      <w:r w:rsidR="00D614B4" w:rsidRPr="00AF57BF">
        <w:t xml:space="preserve"> was shot.”  </w:t>
      </w:r>
    </w:p>
    <w:p w:rsidR="00D417E5" w:rsidRPr="00AF57BF" w:rsidRDefault="009F6CC6" w:rsidP="00AF57BF">
      <w:pPr>
        <w:pStyle w:val="Text"/>
        <w:spacing w:line="400" w:lineRule="exact"/>
      </w:pPr>
      <w:r w:rsidRPr="00AF57BF">
        <w:t>Preliminarily, defendants failed to object to the prosecutor’</w:t>
      </w:r>
      <w:r w:rsidR="00AB5CE3" w:rsidRPr="00AF57BF">
        <w:t>s remark</w:t>
      </w:r>
      <w:r w:rsidRPr="00AF57BF">
        <w:t xml:space="preserve">s and did not </w:t>
      </w:r>
      <w:r w:rsidR="001A6BFF" w:rsidRPr="00AF57BF">
        <w:t>request a</w:t>
      </w:r>
      <w:r w:rsidRPr="00AF57BF">
        <w:t xml:space="preserve"> jury </w:t>
      </w:r>
      <w:r w:rsidR="001A6BFF" w:rsidRPr="00AF57BF">
        <w:t>admonition</w:t>
      </w:r>
      <w:r w:rsidR="00AB5CE3" w:rsidRPr="00AF57BF">
        <w:t>.  Consequently, they</w:t>
      </w:r>
      <w:r w:rsidRPr="00AF57BF">
        <w:t xml:space="preserve"> forfeited their misconduct claims.  (</w:t>
      </w:r>
      <w:r w:rsidR="000E09E5" w:rsidRPr="00AF57BF">
        <w:rPr>
          <w:i/>
        </w:rPr>
        <w:t>People v. Hinton</w:t>
      </w:r>
      <w:r w:rsidR="000E09E5" w:rsidRPr="00AF57BF">
        <w:t xml:space="preserve"> (2006) 37 Cal.4th </w:t>
      </w:r>
      <w:r w:rsidR="00827AD5" w:rsidRPr="00AF57BF">
        <w:t>839, 863.)  Defendants seek excusal of forfeiture on the ground that an admonition would not have cured the harm</w:t>
      </w:r>
      <w:r w:rsidR="001A6BFF" w:rsidRPr="00AF57BF">
        <w:t>.  I</w:t>
      </w:r>
      <w:r w:rsidR="0039150A" w:rsidRPr="00AF57BF">
        <w:t>n the alternative, they contend trial counsel rendered ineffective assistance in failing to make a timely objection</w:t>
      </w:r>
      <w:r w:rsidR="00827AD5" w:rsidRPr="00AF57BF">
        <w:t>.</w:t>
      </w:r>
    </w:p>
    <w:p w:rsidR="00D417E5" w:rsidRPr="00AF57BF" w:rsidRDefault="007776F9" w:rsidP="00AF57BF">
      <w:pPr>
        <w:pStyle w:val="Text"/>
        <w:spacing w:line="400" w:lineRule="exact"/>
      </w:pPr>
      <w:r w:rsidRPr="00AF57BF">
        <w:t>W</w:t>
      </w:r>
      <w:r w:rsidR="00394657" w:rsidRPr="00AF57BF">
        <w:t xml:space="preserve">ere </w:t>
      </w:r>
      <w:r w:rsidR="00E85B20" w:rsidRPr="00AF57BF">
        <w:t>this court</w:t>
      </w:r>
      <w:r w:rsidRPr="00AF57BF">
        <w:t xml:space="preserve"> </w:t>
      </w:r>
      <w:r w:rsidR="00394657" w:rsidRPr="00AF57BF">
        <w:t xml:space="preserve">to reach the merits of the claim, it </w:t>
      </w:r>
      <w:r w:rsidR="0092484E" w:rsidRPr="00AF57BF">
        <w:t>would appear</w:t>
      </w:r>
      <w:r w:rsidR="00394657" w:rsidRPr="00AF57BF">
        <w:t xml:space="preserve"> the argument</w:t>
      </w:r>
      <w:r w:rsidR="00561982" w:rsidRPr="00AF57BF">
        <w:t xml:space="preserve"> crossed</w:t>
      </w:r>
      <w:r w:rsidR="001A6BFF" w:rsidRPr="00AF57BF">
        <w:t xml:space="preserve"> the line</w:t>
      </w:r>
      <w:r w:rsidR="00561982" w:rsidRPr="00AF57BF">
        <w:t xml:space="preserve"> of impropriety</w:t>
      </w:r>
      <w:r w:rsidR="00394657" w:rsidRPr="00AF57BF">
        <w:t xml:space="preserve">.  </w:t>
      </w:r>
      <w:r w:rsidR="00803345" w:rsidRPr="00AF57BF">
        <w:rPr>
          <w:rStyle w:val="ssrfcpassagedeactivated"/>
        </w:rPr>
        <w:t xml:space="preserve">“The standards governing review of misconduct claims are settled.  ‘A prosecutor who uses </w:t>
      </w:r>
      <w:r w:rsidR="00803345" w:rsidRPr="00AF57BF">
        <w:rPr>
          <w:rStyle w:val="sssh"/>
        </w:rPr>
        <w:t>deceptive or reprehensible</w:t>
      </w:r>
      <w:r w:rsidR="00803345" w:rsidRPr="00AF57BF">
        <w:rPr>
          <w:rStyle w:val="ssrfcpassagedeactivated"/>
        </w:rPr>
        <w:t xml:space="preserve"> methods to persuade the </w:t>
      </w:r>
      <w:r w:rsidR="00803345" w:rsidRPr="00AF57BF">
        <w:rPr>
          <w:rStyle w:val="sssh"/>
        </w:rPr>
        <w:t>jury</w:t>
      </w:r>
      <w:r w:rsidR="00803345" w:rsidRPr="00AF57BF">
        <w:rPr>
          <w:rStyle w:val="ssrfcpassagedeactivated"/>
        </w:rPr>
        <w:t xml:space="preserve"> commits misconduct, and such actions require reversal under the federal Constitution when they infect the trial with such </w:t>
      </w:r>
      <w:proofErr w:type="gramStart"/>
      <w:r w:rsidR="00803345" w:rsidRPr="00AF57BF">
        <w:rPr>
          <w:rStyle w:val="ssrfcpassagedeactivated"/>
        </w:rPr>
        <w:t>“ ‘</w:t>
      </w:r>
      <w:proofErr w:type="gramEnd"/>
      <w:r w:rsidR="00803345" w:rsidRPr="00AF57BF">
        <w:rPr>
          <w:rStyle w:val="ssrfcpassagedeactivated"/>
        </w:rPr>
        <w:t xml:space="preserve">unfairness as to make the resulting conviction a denial of due process.’ ”  [Citations.]  Under state </w:t>
      </w:r>
      <w:r w:rsidR="00B84608" w:rsidRPr="00AF57BF">
        <w:rPr>
          <w:rStyle w:val="ssrfcpassagedeactivated"/>
        </w:rPr>
        <w:t>law, a prosecutor who uses such</w:t>
      </w:r>
      <w:r w:rsidR="00803345" w:rsidRPr="00AF57BF">
        <w:rPr>
          <w:rStyle w:val="ssrfcpassagedeactivated"/>
        </w:rPr>
        <w:t xml:space="preserve"> methods commits misconduct even when those actions do not result in a fundamentally unfair trial.</w:t>
      </w:r>
      <w:proofErr w:type="gramStart"/>
      <w:r w:rsidR="00803345" w:rsidRPr="00AF57BF">
        <w:rPr>
          <w:rStyle w:val="ssrfcpassagedeactivated"/>
        </w:rPr>
        <w:t>’ ”</w:t>
      </w:r>
      <w:proofErr w:type="gramEnd"/>
      <w:r w:rsidR="00803345" w:rsidRPr="00AF57BF">
        <w:rPr>
          <w:rStyle w:val="ssrfcpassagedeactivated"/>
        </w:rPr>
        <w:t xml:space="preserve"> (</w:t>
      </w:r>
      <w:r w:rsidR="00803345" w:rsidRPr="00AF57BF">
        <w:rPr>
          <w:rStyle w:val="ssit"/>
          <w:i/>
        </w:rPr>
        <w:t>People v. Friend</w:t>
      </w:r>
      <w:r w:rsidR="00803345" w:rsidRPr="00AF57BF">
        <w:rPr>
          <w:rStyle w:val="ssrfcpassagedeactivated"/>
        </w:rPr>
        <w:t xml:space="preserve"> (2009) 47 </w:t>
      </w:r>
      <w:r w:rsidR="00D95D70" w:rsidRPr="00AF57BF">
        <w:rPr>
          <w:rStyle w:val="ssrfcpassagedeactivated"/>
        </w:rPr>
        <w:t>Cal.4th 1, 29</w:t>
      </w:r>
      <w:r w:rsidR="00803345" w:rsidRPr="00AF57BF">
        <w:rPr>
          <w:rStyle w:val="ssrfcpassagedeactivated"/>
        </w:rPr>
        <w:t xml:space="preserve">.)  </w:t>
      </w:r>
      <w:r w:rsidR="001A688D" w:rsidRPr="00AF57BF">
        <w:lastRenderedPageBreak/>
        <w:t xml:space="preserve">Although </w:t>
      </w:r>
      <w:r w:rsidR="002D05DE" w:rsidRPr="00AF57BF">
        <w:t>a</w:t>
      </w:r>
      <w:r w:rsidR="001A688D" w:rsidRPr="00AF57BF">
        <w:t xml:space="preserve"> prosecutor </w:t>
      </w:r>
      <w:r w:rsidR="002D05DE" w:rsidRPr="00AF57BF">
        <w:t>may</w:t>
      </w:r>
      <w:r w:rsidR="001A688D" w:rsidRPr="00AF57BF">
        <w:t xml:space="preserve"> vigorously argue </w:t>
      </w:r>
      <w:r w:rsidR="002D05DE" w:rsidRPr="00AF57BF">
        <w:t>the</w:t>
      </w:r>
      <w:r w:rsidR="001A688D" w:rsidRPr="00AF57BF">
        <w:t xml:space="preserve"> case, </w:t>
      </w:r>
      <w:r w:rsidR="00633171" w:rsidRPr="00AF57BF">
        <w:t>appeals to sympathy for the victim</w:t>
      </w:r>
      <w:r w:rsidR="002929AD" w:rsidRPr="00AF57BF">
        <w:t xml:space="preserve"> </w:t>
      </w:r>
      <w:r w:rsidR="00633171" w:rsidRPr="00AF57BF">
        <w:t xml:space="preserve">during an objective determination of guilt </w:t>
      </w:r>
      <w:r w:rsidR="002929AD" w:rsidRPr="00AF57BF">
        <w:t>fall outside the bounds of vigorous argument.  (</w:t>
      </w:r>
      <w:r w:rsidR="00633171" w:rsidRPr="00AF57BF">
        <w:rPr>
          <w:i/>
        </w:rPr>
        <w:t>People v. Pearson</w:t>
      </w:r>
      <w:r w:rsidR="00776342" w:rsidRPr="00AF57BF">
        <w:t xml:space="preserve"> (2013) 56 </w:t>
      </w:r>
      <w:r w:rsidR="00633171" w:rsidRPr="00AF57BF">
        <w:t xml:space="preserve">Cal.4th 393, 441; </w:t>
      </w:r>
      <w:r w:rsidR="00633171" w:rsidRPr="00AF57BF">
        <w:rPr>
          <w:i/>
        </w:rPr>
        <w:t xml:space="preserve">People v. Stansbury </w:t>
      </w:r>
      <w:r w:rsidR="00776342" w:rsidRPr="00AF57BF">
        <w:t>(1993) 4 </w:t>
      </w:r>
      <w:r w:rsidR="00633171" w:rsidRPr="00AF57BF">
        <w:t xml:space="preserve">Cal.4th 1017, 1057; </w:t>
      </w:r>
      <w:r w:rsidR="00633171" w:rsidRPr="00AF57BF">
        <w:rPr>
          <w:i/>
        </w:rPr>
        <w:t>People v. Fields</w:t>
      </w:r>
      <w:r w:rsidR="00776342" w:rsidRPr="00AF57BF">
        <w:t xml:space="preserve"> (1983) 35 </w:t>
      </w:r>
      <w:r w:rsidR="00633171" w:rsidRPr="00AF57BF">
        <w:t xml:space="preserve">Cal.3d 329, 362–363.)  </w:t>
      </w:r>
      <w:r w:rsidR="00561982" w:rsidRPr="00AF57BF">
        <w:t>Here</w:t>
      </w:r>
      <w:r w:rsidR="003C02B9" w:rsidRPr="00AF57BF">
        <w:t xml:space="preserve">, as in </w:t>
      </w:r>
      <w:r w:rsidR="003C02B9" w:rsidRPr="00AF57BF">
        <w:rPr>
          <w:i/>
        </w:rPr>
        <w:t>Stansbury</w:t>
      </w:r>
      <w:r w:rsidR="003C02B9" w:rsidRPr="00AF57BF">
        <w:t xml:space="preserve"> and </w:t>
      </w:r>
      <w:r w:rsidR="003C02B9" w:rsidRPr="00AF57BF">
        <w:rPr>
          <w:i/>
        </w:rPr>
        <w:t>Fields</w:t>
      </w:r>
      <w:r w:rsidR="003C02B9" w:rsidRPr="00AF57BF">
        <w:t>, by inviting jurors to view the crime through</w:t>
      </w:r>
      <w:r w:rsidR="00561982" w:rsidRPr="00AF57BF">
        <w:t xml:space="preserve"> the victims’</w:t>
      </w:r>
      <w:r w:rsidR="003C02B9" w:rsidRPr="00AF57BF">
        <w:t xml:space="preserve"> eyes</w:t>
      </w:r>
      <w:r w:rsidR="00561982" w:rsidRPr="00AF57BF">
        <w:t>, the prosecutor made an improper appeal to emotion and sympathy.</w:t>
      </w:r>
      <w:r w:rsidR="00FF22BA" w:rsidRPr="00AF57BF">
        <w:t xml:space="preserve">  </w:t>
      </w:r>
    </w:p>
    <w:p w:rsidR="002913B2" w:rsidRPr="00AF57BF" w:rsidRDefault="00BF5DF1" w:rsidP="00AF57BF">
      <w:pPr>
        <w:pStyle w:val="Text"/>
        <w:spacing w:line="400" w:lineRule="exact"/>
      </w:pPr>
      <w:r w:rsidRPr="00AF57BF">
        <w:t>The remarks</w:t>
      </w:r>
      <w:r w:rsidR="0063694F" w:rsidRPr="00AF57BF">
        <w:t xml:space="preserve"> </w:t>
      </w:r>
      <w:r w:rsidR="002D05DE" w:rsidRPr="00AF57BF">
        <w:t xml:space="preserve">here </w:t>
      </w:r>
      <w:r w:rsidR="0063694F" w:rsidRPr="00AF57BF">
        <w:t xml:space="preserve">constituted but a brief </w:t>
      </w:r>
      <w:r w:rsidR="00776342" w:rsidRPr="00AF57BF">
        <w:t>part of the</w:t>
      </w:r>
      <w:r w:rsidR="0063694F" w:rsidRPr="00AF57BF">
        <w:t xml:space="preserve"> argument, however, and the evidence of defendants’ guilt, including their own</w:t>
      </w:r>
      <w:r w:rsidR="00A43CED" w:rsidRPr="00AF57BF">
        <w:t xml:space="preserve"> admissions, was overwhelming.  Accordingly, t</w:t>
      </w:r>
      <w:r w:rsidR="00DC4546" w:rsidRPr="00AF57BF">
        <w:t xml:space="preserve">here </w:t>
      </w:r>
      <w:r w:rsidR="00464FC8" w:rsidRPr="00AF57BF">
        <w:t xml:space="preserve">is no reasonable </w:t>
      </w:r>
      <w:r w:rsidR="005A1AA3" w:rsidRPr="00AF57BF">
        <w:t xml:space="preserve">probability </w:t>
      </w:r>
      <w:r w:rsidR="00DC4546" w:rsidRPr="00AF57BF">
        <w:t xml:space="preserve">the </w:t>
      </w:r>
      <w:r w:rsidR="00A43CED" w:rsidRPr="00AF57BF">
        <w:t>impropriety</w:t>
      </w:r>
      <w:r w:rsidR="005744DE" w:rsidRPr="00AF57BF">
        <w:t xml:space="preserve"> </w:t>
      </w:r>
      <w:r w:rsidR="000A09D9" w:rsidRPr="00AF57BF">
        <w:t>affected the</w:t>
      </w:r>
      <w:r w:rsidR="00DC33EF" w:rsidRPr="00AF57BF">
        <w:t xml:space="preserve"> </w:t>
      </w:r>
      <w:proofErr w:type="spellStart"/>
      <w:r w:rsidR="00DC33EF" w:rsidRPr="00AF57BF">
        <w:t>guilt</w:t>
      </w:r>
      <w:proofErr w:type="spellEnd"/>
      <w:r w:rsidR="000A09D9" w:rsidRPr="00AF57BF">
        <w:t xml:space="preserve"> verdict</w:t>
      </w:r>
      <w:r w:rsidR="00817F8D" w:rsidRPr="00AF57BF">
        <w:t>s</w:t>
      </w:r>
      <w:r w:rsidR="000A09D9" w:rsidRPr="00AF57BF">
        <w:t xml:space="preserve">.  </w:t>
      </w:r>
      <w:r w:rsidR="00A43CED" w:rsidRPr="00AF57BF">
        <w:t>(</w:t>
      </w:r>
      <w:r w:rsidR="00A43CED" w:rsidRPr="00AF57BF">
        <w:rPr>
          <w:i/>
        </w:rPr>
        <w:t xml:space="preserve">People v. </w:t>
      </w:r>
      <w:r w:rsidR="0057728A" w:rsidRPr="00AF57BF">
        <w:rPr>
          <w:i/>
        </w:rPr>
        <w:t>Pearson</w:t>
      </w:r>
      <w:r w:rsidR="0057728A" w:rsidRPr="00AF57BF">
        <w:t xml:space="preserve">, </w:t>
      </w:r>
      <w:r w:rsidR="0057728A" w:rsidRPr="00AF57BF">
        <w:rPr>
          <w:i/>
        </w:rPr>
        <w:t>supra</w:t>
      </w:r>
      <w:r w:rsidR="0057728A" w:rsidRPr="00AF57BF">
        <w:t>, 56 Cal.4th at pp. 441–442;</w:t>
      </w:r>
      <w:r w:rsidR="0057728A" w:rsidRPr="00AF57BF">
        <w:rPr>
          <w:i/>
        </w:rPr>
        <w:t xml:space="preserve"> People v. Stansbury</w:t>
      </w:r>
      <w:r w:rsidR="0057728A" w:rsidRPr="00AF57BF">
        <w:t xml:space="preserve">, </w:t>
      </w:r>
      <w:r w:rsidR="0057728A" w:rsidRPr="00AF57BF">
        <w:rPr>
          <w:i/>
        </w:rPr>
        <w:t>supra</w:t>
      </w:r>
      <w:r w:rsidR="0057728A" w:rsidRPr="00AF57BF">
        <w:t>, 4 Cal.4th at p. 1057</w:t>
      </w:r>
      <w:r w:rsidR="00A43CED" w:rsidRPr="00AF57BF">
        <w:t xml:space="preserve">.)  </w:t>
      </w:r>
      <w:r w:rsidR="00895BB3" w:rsidRPr="00AF57BF">
        <w:t>Based on that want</w:t>
      </w:r>
      <w:r w:rsidR="003C02B9" w:rsidRPr="00AF57BF">
        <w:t xml:space="preserve"> of prejudice, defendants’ claim of ineffective assistance of counsel in failing to object to the remarks </w:t>
      </w:r>
      <w:r w:rsidR="00895BB3" w:rsidRPr="00AF57BF">
        <w:t>lacks</w:t>
      </w:r>
      <w:r w:rsidR="003C02B9" w:rsidRPr="00AF57BF">
        <w:t xml:space="preserve"> merit.  Nor</w:t>
      </w:r>
      <w:r w:rsidR="00895BB3" w:rsidRPr="00AF57BF">
        <w:t>, contrary to Flores’s claim,</w:t>
      </w:r>
      <w:r w:rsidR="003C02B9" w:rsidRPr="00AF57BF">
        <w:t xml:space="preserve"> did the remarks prejudice defendants at the penalty phase, where </w:t>
      </w:r>
      <w:proofErr w:type="gramStart"/>
      <w:r w:rsidR="00DB3CED" w:rsidRPr="00AF57BF">
        <w:t>“</w:t>
      </w:r>
      <w:r w:rsidR="00341082" w:rsidRPr="00AF57BF">
        <w:t> ‘</w:t>
      </w:r>
      <w:proofErr w:type="gramEnd"/>
      <w:r w:rsidR="00DB3CED" w:rsidRPr="00AF57BF">
        <w:rPr>
          <w:rStyle w:val="ssrfcpassagedeactivated"/>
        </w:rPr>
        <w:t xml:space="preserve">considerable </w:t>
      </w:r>
      <w:r w:rsidR="00DB3CED" w:rsidRPr="00AF57BF">
        <w:rPr>
          <w:rStyle w:val="sssh"/>
        </w:rPr>
        <w:t>leeway</w:t>
      </w:r>
      <w:r w:rsidR="00DB3CED" w:rsidRPr="00AF57BF">
        <w:rPr>
          <w:rStyle w:val="ssrfcpassagedeactivated"/>
        </w:rPr>
        <w:t xml:space="preserve"> is given for emotional appeal so long as it relates to relevant considerations.</w:t>
      </w:r>
      <w:r w:rsidR="00341082" w:rsidRPr="00AF57BF">
        <w:rPr>
          <w:rStyle w:val="ssrfcpassagedeactivated"/>
        </w:rPr>
        <w:t>’ </w:t>
      </w:r>
      <w:r w:rsidR="00DB3CED" w:rsidRPr="00AF57BF">
        <w:rPr>
          <w:rStyle w:val="ssrfcpassagedeactivated"/>
        </w:rPr>
        <w:t>”  (</w:t>
      </w:r>
      <w:r w:rsidR="008549E4" w:rsidRPr="00AF57BF">
        <w:rPr>
          <w:rStyle w:val="ssrfcpassagedeactivated"/>
          <w:i/>
        </w:rPr>
        <w:t xml:space="preserve">People v. Sanders </w:t>
      </w:r>
      <w:r w:rsidR="008549E4" w:rsidRPr="00AF57BF">
        <w:rPr>
          <w:rStyle w:val="ssrfcpassagedeactivated"/>
        </w:rPr>
        <w:t>(1995) 11 Cal.4th 475, 551</w:t>
      </w:r>
      <w:r w:rsidR="009B2135" w:rsidRPr="00AF57BF">
        <w:t>.</w:t>
      </w:r>
      <w:r w:rsidR="008549E4" w:rsidRPr="00AF57BF">
        <w:t>)</w:t>
      </w:r>
      <w:r w:rsidR="009B2135" w:rsidRPr="00AF57BF">
        <w:t xml:space="preserve"> </w:t>
      </w:r>
      <w:r w:rsidR="0078103C" w:rsidRPr="00AF57BF">
        <w:t xml:space="preserve"> </w:t>
      </w:r>
      <w:r w:rsidR="00DC33EF" w:rsidRPr="00AF57BF">
        <w:t>The terror defendants inflicted on victims and their callousness in doing so are legitimate factors for consideration.</w:t>
      </w:r>
    </w:p>
    <w:p w:rsidR="00D23DA0" w:rsidRPr="00AF57BF" w:rsidRDefault="00DE1C60" w:rsidP="00AF57BF">
      <w:pPr>
        <w:pStyle w:val="Heading2"/>
        <w:numPr>
          <w:ilvl w:val="0"/>
          <w:numId w:val="11"/>
        </w:numPr>
      </w:pPr>
      <w:r w:rsidRPr="00AF57BF">
        <w:t xml:space="preserve"> </w:t>
      </w:r>
      <w:bookmarkStart w:id="36" w:name="_Toc521674406"/>
      <w:r w:rsidR="00D23DA0" w:rsidRPr="00AF57BF">
        <w:t>Penalty Phase Issues</w:t>
      </w:r>
      <w:bookmarkEnd w:id="36"/>
    </w:p>
    <w:p w:rsidR="00893DFA" w:rsidRPr="00AF57BF" w:rsidRDefault="00341082" w:rsidP="00AF57BF">
      <w:pPr>
        <w:pStyle w:val="Heading3"/>
        <w:numPr>
          <w:ilvl w:val="0"/>
          <w:numId w:val="6"/>
        </w:numPr>
        <w:ind w:left="1584" w:hanging="432"/>
      </w:pPr>
      <w:bookmarkStart w:id="37" w:name="_Toc521674407"/>
      <w:r w:rsidRPr="00AF57BF">
        <w:t>Trial C</w:t>
      </w:r>
      <w:r w:rsidR="006A27D0" w:rsidRPr="00AF57BF">
        <w:t xml:space="preserve">ourt’s </w:t>
      </w:r>
      <w:r w:rsidRPr="00AF57BF">
        <w:t>Acqui</w:t>
      </w:r>
      <w:r w:rsidR="000F6564" w:rsidRPr="00AF57BF">
        <w:t xml:space="preserve">escence in Defendants’ Refusal </w:t>
      </w:r>
      <w:proofErr w:type="gramStart"/>
      <w:r w:rsidR="000F6564" w:rsidRPr="00AF57BF">
        <w:t>T</w:t>
      </w:r>
      <w:r w:rsidRPr="00AF57BF">
        <w:t>o</w:t>
      </w:r>
      <w:proofErr w:type="gramEnd"/>
      <w:r w:rsidRPr="00AF57BF">
        <w:t xml:space="preserve"> A</w:t>
      </w:r>
      <w:r w:rsidR="006A27D0" w:rsidRPr="00AF57BF">
        <w:t xml:space="preserve">llow </w:t>
      </w:r>
      <w:r w:rsidRPr="00AF57BF">
        <w:t>T</w:t>
      </w:r>
      <w:r w:rsidR="006A27D0" w:rsidRPr="00AF57BF">
        <w:t xml:space="preserve">heir </w:t>
      </w:r>
      <w:r w:rsidRPr="00AF57BF">
        <w:t>C</w:t>
      </w:r>
      <w:r w:rsidR="006A27D0" w:rsidRPr="00AF57BF">
        <w:t>ounsel</w:t>
      </w:r>
      <w:r w:rsidR="000F6564" w:rsidRPr="00AF57BF">
        <w:t xml:space="preserve"> T</w:t>
      </w:r>
      <w:r w:rsidR="006802CE" w:rsidRPr="00AF57BF">
        <w:t xml:space="preserve">o </w:t>
      </w:r>
      <w:r w:rsidRPr="00AF57BF">
        <w:t>P</w:t>
      </w:r>
      <w:r w:rsidR="006802CE" w:rsidRPr="00AF57BF">
        <w:t xml:space="preserve">resent </w:t>
      </w:r>
      <w:r w:rsidRPr="00AF57BF">
        <w:t>P</w:t>
      </w:r>
      <w:r w:rsidR="006802CE" w:rsidRPr="00AF57BF">
        <w:t xml:space="preserve">enalty </w:t>
      </w:r>
      <w:r w:rsidRPr="00AF57BF">
        <w:t>Phase D</w:t>
      </w:r>
      <w:r w:rsidR="006802CE" w:rsidRPr="00AF57BF">
        <w:t xml:space="preserve">efense </w:t>
      </w:r>
      <w:bookmarkEnd w:id="37"/>
    </w:p>
    <w:p w:rsidR="0099405F" w:rsidRPr="00AF57BF" w:rsidRDefault="0099405F" w:rsidP="00AF57BF">
      <w:pPr>
        <w:pStyle w:val="Text"/>
        <w:spacing w:line="400" w:lineRule="exact"/>
      </w:pPr>
      <w:r w:rsidRPr="00AF57BF">
        <w:t>The day before closing guilt phase a</w:t>
      </w:r>
      <w:r w:rsidR="00C0292F" w:rsidRPr="00AF57BF">
        <w:t xml:space="preserve">rguments, defendants and their </w:t>
      </w:r>
      <w:proofErr w:type="gramStart"/>
      <w:r w:rsidR="00C0292F" w:rsidRPr="00AF57BF">
        <w:t>four</w:t>
      </w:r>
      <w:r w:rsidRPr="00AF57BF">
        <w:t xml:space="preserve"> counsel</w:t>
      </w:r>
      <w:proofErr w:type="gramEnd"/>
      <w:r w:rsidRPr="00AF57BF">
        <w:t xml:space="preserve"> asked to meet with the court in camera.  A transcript of the closed hearing covers 24 pages.  Counsel told the court that each client had informed them repeatedly </w:t>
      </w:r>
      <w:r w:rsidRPr="00AF57BF">
        <w:lastRenderedPageBreak/>
        <w:t>and emphatically that they did not want any defense presented should there be a penalty phase.  We summarize that hearing in some detail.</w:t>
      </w:r>
    </w:p>
    <w:p w:rsidR="0099405F" w:rsidRPr="00AF57BF" w:rsidRDefault="0099405F" w:rsidP="00AF57BF">
      <w:pPr>
        <w:pStyle w:val="Text"/>
        <w:spacing w:line="400" w:lineRule="exact"/>
      </w:pPr>
      <w:r w:rsidRPr="00AF57BF">
        <w:tab/>
        <w:t>Cou</w:t>
      </w:r>
      <w:r w:rsidR="004C7AA9" w:rsidRPr="00AF57BF">
        <w:t xml:space="preserve">nsel for </w:t>
      </w:r>
      <w:proofErr w:type="spellStart"/>
      <w:r w:rsidR="004C7AA9" w:rsidRPr="00AF57BF">
        <w:t>Amezcua</w:t>
      </w:r>
      <w:proofErr w:type="spellEnd"/>
      <w:r w:rsidR="004C7AA9" w:rsidRPr="00AF57BF">
        <w:t xml:space="preserve"> reported that “</w:t>
      </w:r>
      <w:r w:rsidRPr="00AF57BF">
        <w:t>throughout my representation,” his client instructed that he</w:t>
      </w:r>
      <w:r w:rsidR="00E205C0" w:rsidRPr="00AF57BF">
        <w:t xml:space="preserve"> did not want his family called</w:t>
      </w:r>
      <w:r w:rsidRPr="00AF57BF">
        <w:t xml:space="preserve"> as witnesses.  He “has expanded that </w:t>
      </w:r>
      <w:proofErr w:type="gramStart"/>
      <w:r w:rsidR="004C7AA9" w:rsidRPr="00AF57BF">
        <w:t>now .</w:t>
      </w:r>
      <w:proofErr w:type="gramEnd"/>
      <w:r w:rsidR="004C7AA9" w:rsidRPr="00AF57BF">
        <w:t> . .</w:t>
      </w:r>
      <w:r w:rsidRPr="00AF57BF">
        <w:t xml:space="preserve"> he does not wish me to put on any defense, any witness in the course of the penalty phase.” </w:t>
      </w:r>
      <w:r w:rsidR="004C7AA9" w:rsidRPr="00AF57BF">
        <w:t xml:space="preserve"> </w:t>
      </w:r>
      <w:proofErr w:type="spellStart"/>
      <w:r w:rsidRPr="00AF57BF">
        <w:t>Amezcua</w:t>
      </w:r>
      <w:proofErr w:type="spellEnd"/>
      <w:r w:rsidRPr="00AF57BF">
        <w:t xml:space="preserve"> agreed that counsel could prepare for the penalty phase, which he did.  </w:t>
      </w:r>
      <w:r w:rsidR="000F6564" w:rsidRPr="00AF57BF">
        <w:t>Counsel</w:t>
      </w:r>
      <w:r w:rsidRPr="00AF57BF">
        <w:t xml:space="preserve"> explained the “nature of the penalty presentation” and told his client that any chance for a life sentence would be “diminished if not completely eliminated by the failure to present any mitigating evidence.” </w:t>
      </w:r>
      <w:r w:rsidR="00E205C0" w:rsidRPr="00AF57BF">
        <w:t xml:space="preserve"> </w:t>
      </w:r>
      <w:proofErr w:type="spellStart"/>
      <w:r w:rsidRPr="00AF57BF">
        <w:t>Amezcua</w:t>
      </w:r>
      <w:proofErr w:type="spellEnd"/>
      <w:r w:rsidRPr="00AF57BF">
        <w:t xml:space="preserve"> told his lawyer that he understood</w:t>
      </w:r>
      <w:r w:rsidR="004C7AA9" w:rsidRPr="00AF57BF">
        <w:t>,</w:t>
      </w:r>
      <w:r w:rsidRPr="00AF57BF">
        <w:t xml:space="preserve"> and his counsel believed he did so. </w:t>
      </w:r>
      <w:r w:rsidR="00E205C0" w:rsidRPr="00AF57BF">
        <w:t xml:space="preserve"> </w:t>
      </w:r>
      <w:r w:rsidRPr="00AF57BF">
        <w:t xml:space="preserve">Counsel asked to bring the matter to the court’s attention, give the court a chance to inquire, and “give Mr. </w:t>
      </w:r>
      <w:proofErr w:type="spellStart"/>
      <w:r w:rsidRPr="00AF57BF">
        <w:t>Amezcua</w:t>
      </w:r>
      <w:proofErr w:type="spellEnd"/>
      <w:r w:rsidRPr="00AF57BF">
        <w:t xml:space="preserve"> an opportunity to refute anything I am saying.</w:t>
      </w:r>
      <w:r w:rsidR="004C7AA9" w:rsidRPr="00AF57BF">
        <w:t>”</w:t>
      </w:r>
      <w:r w:rsidRPr="00AF57BF">
        <w:t xml:space="preserve"> </w:t>
      </w:r>
    </w:p>
    <w:p w:rsidR="0099405F" w:rsidRPr="00AF57BF" w:rsidRDefault="0099405F" w:rsidP="00AF57BF">
      <w:pPr>
        <w:pStyle w:val="Text"/>
        <w:spacing w:line="400" w:lineRule="exact"/>
      </w:pPr>
      <w:r w:rsidRPr="00AF57BF">
        <w:tab/>
        <w:t xml:space="preserve">The court asked if it should discuss the situation with each defendant separately.  Counsel related both defendants and their lawyers had discussed the question together in the last day or two and that both defendants wished to confer with the court together. </w:t>
      </w:r>
    </w:p>
    <w:p w:rsidR="0099405F" w:rsidRPr="00AF57BF" w:rsidRDefault="0099405F" w:rsidP="00AF57BF">
      <w:pPr>
        <w:pStyle w:val="Text"/>
        <w:spacing w:line="400" w:lineRule="exact"/>
      </w:pPr>
      <w:r w:rsidRPr="00AF57BF">
        <w:tab/>
        <w:t xml:space="preserve">Counsel for Flores reported that his client had the same intention.  Counsel had reviewed the penalty-phase evidence he had prepared and had “explained it all to him.”  </w:t>
      </w:r>
      <w:r w:rsidR="004C7AA9" w:rsidRPr="00AF57BF">
        <w:t>“</w:t>
      </w:r>
      <w:r w:rsidRPr="00AF57BF">
        <w:t>I have told him we have a much better chanc</w:t>
      </w:r>
      <w:r w:rsidR="004C7AA9" w:rsidRPr="00AF57BF">
        <w:t>e of avoiding the death penalty</w:t>
      </w:r>
      <w:r w:rsidRPr="00AF57BF">
        <w:t xml:space="preserve">” </w:t>
      </w:r>
      <w:r w:rsidR="004C7AA9" w:rsidRPr="00AF57BF">
        <w:t xml:space="preserve">by presenting mitigating evidence. </w:t>
      </w:r>
      <w:r w:rsidRPr="00AF57BF">
        <w:t xml:space="preserve"> Counsel had three family members and three experts prepared to set out nine </w:t>
      </w:r>
      <w:r w:rsidRPr="00AF57BF">
        <w:lastRenderedPageBreak/>
        <w:t>points in mitigation.</w:t>
      </w:r>
      <w:r w:rsidR="00FB1B83" w:rsidRPr="00AF57BF">
        <w:rPr>
          <w:rStyle w:val="FootnoteReference"/>
        </w:rPr>
        <w:footnoteReference w:id="17"/>
      </w:r>
      <w:r w:rsidRPr="00AF57BF">
        <w:t xml:space="preserve"> </w:t>
      </w:r>
      <w:r w:rsidR="004C7AA9" w:rsidRPr="00AF57BF">
        <w:t xml:space="preserve"> </w:t>
      </w:r>
      <w:r w:rsidRPr="00AF57BF">
        <w:t>After that explanation</w:t>
      </w:r>
      <w:r w:rsidR="004C7AA9" w:rsidRPr="00AF57BF">
        <w:t>,</w:t>
      </w:r>
      <w:r w:rsidRPr="00AF57BF">
        <w:t xml:space="preserve"> Flores </w:t>
      </w:r>
      <w:r w:rsidR="00256C4E" w:rsidRPr="00AF57BF">
        <w:t>had said,</w:t>
      </w:r>
      <w:r w:rsidRPr="00AF57BF">
        <w:t xml:space="preserve"> </w:t>
      </w:r>
      <w:proofErr w:type="gramStart"/>
      <w:r w:rsidRPr="00AF57BF">
        <w:t>“</w:t>
      </w:r>
      <w:r w:rsidR="00256C4E" w:rsidRPr="00AF57BF">
        <w:t> ‘</w:t>
      </w:r>
      <w:proofErr w:type="gramEnd"/>
      <w:r w:rsidR="00256C4E" w:rsidRPr="00AF57BF">
        <w:t>N</w:t>
      </w:r>
      <w:r w:rsidRPr="00AF57BF">
        <w:t>o, I don’t want that.  I don’t want my parents involved.  I want no witnesses on my behalf.  Period.</w:t>
      </w:r>
      <w:proofErr w:type="gramStart"/>
      <w:r w:rsidR="00256C4E" w:rsidRPr="00AF57BF">
        <w:t>’ </w:t>
      </w:r>
      <w:r w:rsidRPr="00AF57BF">
        <w:t>”</w:t>
      </w:r>
      <w:proofErr w:type="gramEnd"/>
      <w:r w:rsidRPr="00AF57BF">
        <w:t xml:space="preserve"> </w:t>
      </w:r>
    </w:p>
    <w:p w:rsidR="0099405F" w:rsidRPr="00AF57BF" w:rsidRDefault="0099405F" w:rsidP="00AF57BF">
      <w:pPr>
        <w:pStyle w:val="Text"/>
        <w:spacing w:line="400" w:lineRule="exact"/>
      </w:pPr>
      <w:r w:rsidRPr="00AF57BF">
        <w:tab/>
        <w:t xml:space="preserve">The court asked </w:t>
      </w:r>
      <w:proofErr w:type="spellStart"/>
      <w:r w:rsidRPr="00AF57BF">
        <w:t>Amezcua’s</w:t>
      </w:r>
      <w:proofErr w:type="spellEnd"/>
      <w:r w:rsidRPr="00AF57BF">
        <w:t xml:space="preserve"> counsel to summarize the mitigating evidence he was prepared to introduce.  Counsel replied his presentation would be </w:t>
      </w:r>
      <w:r w:rsidR="004C7AA9" w:rsidRPr="00AF57BF">
        <w:t>“</w:t>
      </w:r>
      <w:r w:rsidRPr="00AF57BF">
        <w:t>somewhat along the s</w:t>
      </w:r>
      <w:r w:rsidR="004C7AA9" w:rsidRPr="00AF57BF">
        <w:t>ame lines.”  He had seven to 10</w:t>
      </w:r>
      <w:r w:rsidRPr="00AF57BF">
        <w:t xml:space="preserve"> family members available to testify, along with a psychologist and </w:t>
      </w:r>
      <w:r w:rsidR="004C7AA9" w:rsidRPr="00AF57BF">
        <w:t xml:space="preserve">a </w:t>
      </w:r>
      <w:r w:rsidRPr="00AF57BF">
        <w:t xml:space="preserve">social historian.  He would offer a three-hour tape recording of the hostage negotiations which would reveal a different and “much softer side” of </w:t>
      </w:r>
      <w:proofErr w:type="spellStart"/>
      <w:r w:rsidRPr="00AF57BF">
        <w:t>Amezcua</w:t>
      </w:r>
      <w:proofErr w:type="spellEnd"/>
      <w:r w:rsidRPr="00AF57BF">
        <w:t>.</w:t>
      </w:r>
    </w:p>
    <w:p w:rsidR="0099405F" w:rsidRPr="00AF57BF" w:rsidRDefault="0099405F" w:rsidP="00AF57BF">
      <w:pPr>
        <w:pStyle w:val="Text"/>
        <w:spacing w:line="400" w:lineRule="exact"/>
      </w:pPr>
      <w:r w:rsidRPr="00AF57BF">
        <w:tab/>
        <w:t>The court explained to both defendants that it wanted “to make sure that it is very cl</w:t>
      </w:r>
      <w:r w:rsidR="0095230E" w:rsidRPr="00AF57BF">
        <w:t>ear as to what [each] defendant</w:t>
      </w:r>
      <w:r w:rsidR="00256C4E" w:rsidRPr="00AF57BF">
        <w:t xml:space="preserve"> wants</w:t>
      </w:r>
      <w:r w:rsidRPr="00AF57BF">
        <w:t>” and said it would ask</w:t>
      </w:r>
      <w:r w:rsidR="008C1D9E" w:rsidRPr="00AF57BF">
        <w:t xml:space="preserve"> both of them “what it</w:t>
      </w:r>
      <w:r w:rsidRPr="00AF57BF">
        <w:t xml:space="preserve"> is you really want here.”  “It’s also important for me to establish that your decision is knowing and voluntarily made.” </w:t>
      </w:r>
    </w:p>
    <w:p w:rsidR="0099405F" w:rsidRPr="00AF57BF" w:rsidRDefault="0099405F" w:rsidP="00AF57BF">
      <w:pPr>
        <w:pStyle w:val="Text"/>
        <w:spacing w:line="400" w:lineRule="exact"/>
      </w:pPr>
      <w:r w:rsidRPr="00AF57BF">
        <w:tab/>
        <w:t xml:space="preserve">It went on to explain, “I am also charged with the responsibility of trying to persuade one or both of you to change your mind, to encourage you to consult further with your attorney before making any final decision.” </w:t>
      </w:r>
      <w:r w:rsidR="0095230E" w:rsidRPr="00AF57BF">
        <w:t xml:space="preserve"> </w:t>
      </w:r>
      <w:r w:rsidRPr="00AF57BF">
        <w:t>The court told defendants that “a decision not to put on mitigating evidence could result in a verdict of death” and would “not be a basis for a reversal of that verdict.</w:t>
      </w:r>
      <w:r w:rsidR="0095230E" w:rsidRPr="00AF57BF">
        <w:t xml:space="preserve">” </w:t>
      </w:r>
      <w:r w:rsidRPr="00AF57BF">
        <w:t xml:space="preserve"> The judge was going to talk first with defendants together, </w:t>
      </w:r>
      <w:r w:rsidR="00256C4E" w:rsidRPr="00AF57BF">
        <w:t>and</w:t>
      </w:r>
      <w:r w:rsidRPr="00AF57BF">
        <w:t xml:space="preserve"> then separately, “just to make </w:t>
      </w:r>
      <w:r w:rsidRPr="00AF57BF">
        <w:lastRenderedPageBreak/>
        <w:t>sure that one is not influencing the other.</w:t>
      </w:r>
      <w:r w:rsidR="00256C4E" w:rsidRPr="00AF57BF">
        <w:t>”</w:t>
      </w:r>
      <w:r w:rsidRPr="00AF57BF">
        <w:t xml:space="preserve">  The court heard from Flores first.</w:t>
      </w:r>
    </w:p>
    <w:p w:rsidR="0099405F" w:rsidRPr="00AF57BF" w:rsidRDefault="0099405F" w:rsidP="00AF57BF">
      <w:pPr>
        <w:pStyle w:val="Text"/>
        <w:spacing w:line="400" w:lineRule="exact"/>
      </w:pPr>
      <w:r w:rsidRPr="00AF57BF">
        <w:tab/>
        <w:t xml:space="preserve">Flores repeated that he understood the jury might decide a death sentence was too harsh for him, “but I refuse to allow my attorneys to attempt to sway their opinion.”  The court asked why. </w:t>
      </w:r>
      <w:r w:rsidR="0095230E" w:rsidRPr="00AF57BF">
        <w:t xml:space="preserve"> </w:t>
      </w:r>
      <w:r w:rsidRPr="00AF57BF">
        <w:t>Flores replied</w:t>
      </w:r>
      <w:proofErr w:type="gramStart"/>
      <w:r w:rsidRPr="00AF57BF">
        <w:t>:</w:t>
      </w:r>
      <w:r w:rsidR="008C1D9E" w:rsidRPr="00AF57BF">
        <w:t xml:space="preserve"> </w:t>
      </w:r>
      <w:r w:rsidR="00C3766A" w:rsidRPr="00AF57BF">
        <w:t xml:space="preserve"> </w:t>
      </w:r>
      <w:r w:rsidR="008C1D9E" w:rsidRPr="00AF57BF">
        <w:t>“</w:t>
      </w:r>
      <w:proofErr w:type="gramEnd"/>
      <w:r w:rsidR="008C1D9E" w:rsidRPr="00AF57BF">
        <w:t xml:space="preserve">I do not want my attorneys to . . . </w:t>
      </w:r>
      <w:r w:rsidRPr="00AF57BF">
        <w:t xml:space="preserve">put my family and friends or whoever </w:t>
      </w:r>
      <w:r w:rsidR="008C1D9E" w:rsidRPr="00AF57BF">
        <w:t xml:space="preserve">on there and make it — </w:t>
      </w:r>
      <w:r w:rsidRPr="00AF57BF">
        <w:t>blame them for something I may have done.”  “I did it without th</w:t>
      </w:r>
      <w:r w:rsidR="008C1D9E" w:rsidRPr="00AF57BF">
        <w:t>em.  In my mind I stand alone</w:t>
      </w:r>
      <w:proofErr w:type="gramStart"/>
      <w:r w:rsidR="008C1D9E" w:rsidRPr="00AF57BF">
        <w:t>. .</w:t>
      </w:r>
      <w:proofErr w:type="gramEnd"/>
      <w:r w:rsidR="008C1D9E" w:rsidRPr="00AF57BF">
        <w:t> . .</w:t>
      </w:r>
      <w:r w:rsidR="000F6564" w:rsidRPr="00AF57BF">
        <w:t xml:space="preserve">” </w:t>
      </w:r>
      <w:r w:rsidR="008C1D9E" w:rsidRPr="00AF57BF">
        <w:t xml:space="preserve"> “[I] am very adamant about it —</w:t>
      </w:r>
      <w:r w:rsidRPr="00AF57BF">
        <w:t xml:space="preserve"> will not allow anybody, nobody to get them on the stand.” </w:t>
      </w:r>
      <w:r w:rsidR="008C1D9E" w:rsidRPr="00AF57BF">
        <w:t xml:space="preserve"> </w:t>
      </w:r>
      <w:r w:rsidRPr="00AF57BF">
        <w:t>Asked when he made this decision, Flores replied</w:t>
      </w:r>
      <w:r w:rsidR="00C3766A" w:rsidRPr="00AF57BF">
        <w:t>,</w:t>
      </w:r>
      <w:r w:rsidRPr="00AF57BF">
        <w:t xml:space="preserve"> “2000, Fourth of July,” the day, five years earlier</w:t>
      </w:r>
      <w:r w:rsidR="008C1D9E" w:rsidRPr="00AF57BF">
        <w:t>,</w:t>
      </w:r>
      <w:r w:rsidRPr="00AF57BF">
        <w:t xml:space="preserve"> when he had been arrested.  When the court observed</w:t>
      </w:r>
      <w:r w:rsidR="008C1D9E" w:rsidRPr="00AF57BF">
        <w:t>,</w:t>
      </w:r>
      <w:r w:rsidRPr="00AF57BF">
        <w:t xml:space="preserve"> “You’ve been thinking about it for quite a while,” Flores confirmed, “Yes.”</w:t>
      </w:r>
    </w:p>
    <w:p w:rsidR="0099405F" w:rsidRPr="00AF57BF" w:rsidRDefault="0099405F" w:rsidP="00AF57BF">
      <w:pPr>
        <w:pStyle w:val="Text"/>
        <w:spacing w:line="400" w:lineRule="exact"/>
      </w:pPr>
      <w:r w:rsidRPr="00AF57BF">
        <w:tab/>
        <w:t xml:space="preserve">Turning to </w:t>
      </w:r>
      <w:proofErr w:type="spellStart"/>
      <w:r w:rsidR="00C3766A" w:rsidRPr="00AF57BF">
        <w:t>Amezcua</w:t>
      </w:r>
      <w:proofErr w:type="spellEnd"/>
      <w:r w:rsidR="00C3766A" w:rsidRPr="00AF57BF">
        <w:t>, the court asked: “T</w:t>
      </w:r>
      <w:r w:rsidRPr="00AF57BF">
        <w:t xml:space="preserve">ell me in your own words what it is you are thinking.”  </w:t>
      </w:r>
      <w:proofErr w:type="spellStart"/>
      <w:r w:rsidRPr="00AF57BF">
        <w:t>Amezcua</w:t>
      </w:r>
      <w:proofErr w:type="spellEnd"/>
      <w:r w:rsidRPr="00AF57BF">
        <w:t xml:space="preserve"> replied: “I don’t want nobody </w:t>
      </w:r>
      <w:r w:rsidR="00C3766A" w:rsidRPr="00AF57BF">
        <w:t xml:space="preserve">up there crying on my behalf, </w:t>
      </w:r>
      <w:r w:rsidRPr="00AF57BF">
        <w:t>when I didn’t think about</w:t>
      </w:r>
      <w:r w:rsidR="00C3766A" w:rsidRPr="00AF57BF">
        <w:t xml:space="preserve"> them when I was out there</w:t>
      </w:r>
      <w:proofErr w:type="gramStart"/>
      <w:r w:rsidR="00C3766A" w:rsidRPr="00AF57BF">
        <w:t>.</w:t>
      </w:r>
      <w:r w:rsidR="00811851">
        <w:t> </w:t>
      </w:r>
      <w:r w:rsidR="00C3766A" w:rsidRPr="00AF57BF">
        <w:t>.</w:t>
      </w:r>
      <w:proofErr w:type="gramEnd"/>
      <w:r w:rsidR="00C3766A" w:rsidRPr="00AF57BF">
        <w:t> . . </w:t>
      </w:r>
      <w:r w:rsidRPr="00AF57BF">
        <w:t xml:space="preserve">I care about them but that’s my own personal thing.” </w:t>
      </w:r>
      <w:r w:rsidR="005660A4" w:rsidRPr="00AF57BF">
        <w:t xml:space="preserve"> </w:t>
      </w:r>
      <w:r w:rsidRPr="00AF57BF">
        <w:t xml:space="preserve">Told by the court that he “might very well get the death penalty,” </w:t>
      </w:r>
      <w:proofErr w:type="spellStart"/>
      <w:r w:rsidRPr="00AF57BF">
        <w:t>Amezcua</w:t>
      </w:r>
      <w:proofErr w:type="spellEnd"/>
      <w:r w:rsidRPr="00AF57BF">
        <w:t xml:space="preserve"> replied</w:t>
      </w:r>
      <w:proofErr w:type="gramStart"/>
      <w:r w:rsidRPr="00AF57BF">
        <w:t xml:space="preserve">: </w:t>
      </w:r>
      <w:r w:rsidR="00256C4E" w:rsidRPr="00AF57BF">
        <w:t xml:space="preserve"> </w:t>
      </w:r>
      <w:r w:rsidRPr="00AF57BF">
        <w:t>“</w:t>
      </w:r>
      <w:proofErr w:type="gramEnd"/>
      <w:r w:rsidRPr="00AF57BF">
        <w:t xml:space="preserve">I fully understand; right?”  “Mr. </w:t>
      </w:r>
      <w:proofErr w:type="spellStart"/>
      <w:r w:rsidRPr="00AF57BF">
        <w:t>Perlo</w:t>
      </w:r>
      <w:proofErr w:type="spellEnd"/>
      <w:r w:rsidRPr="00AF57BF">
        <w:t xml:space="preserve"> and Mr. Miller [his counsel] have a do</w:t>
      </w:r>
      <w:r w:rsidR="005660A4" w:rsidRPr="00AF57BF">
        <w:t>ne a great job in defending me</w:t>
      </w:r>
      <w:proofErr w:type="gramStart"/>
      <w:r w:rsidR="005660A4" w:rsidRPr="00AF57BF">
        <w:t>. .</w:t>
      </w:r>
      <w:proofErr w:type="gramEnd"/>
      <w:r w:rsidR="005660A4" w:rsidRPr="00AF57BF">
        <w:t> . .</w:t>
      </w:r>
      <w:r w:rsidRPr="00AF57BF">
        <w:t xml:space="preserve">  </w:t>
      </w:r>
      <w:r w:rsidR="005660A4" w:rsidRPr="00AF57BF">
        <w:t>[</w:t>
      </w:r>
      <w:proofErr w:type="gramStart"/>
      <w:r w:rsidR="005660A4" w:rsidRPr="00AF57BF">
        <w:t>¶]  </w:t>
      </w:r>
      <w:r w:rsidRPr="00AF57BF">
        <w:t>I</w:t>
      </w:r>
      <w:proofErr w:type="gramEnd"/>
      <w:r w:rsidRPr="00AF57BF">
        <w:t xml:space="preserve"> talked to them and his investigators, whoever, right?  And, to tell you the truth, I feel bad for not letting him do his job to the extent </w:t>
      </w:r>
      <w:r w:rsidR="005660A4" w:rsidRPr="00AF57BF">
        <w:t>I hog-tied him the whole way</w:t>
      </w:r>
      <w:proofErr w:type="gramStart"/>
      <w:r w:rsidR="005660A4" w:rsidRPr="00AF57BF">
        <w:t>. .</w:t>
      </w:r>
      <w:proofErr w:type="gramEnd"/>
      <w:r w:rsidR="005660A4" w:rsidRPr="00AF57BF">
        <w:t> . .</w:t>
      </w:r>
      <w:r w:rsidRPr="00AF57BF">
        <w:t xml:space="preserve">  If he would have done that, I would have gone pro per.” </w:t>
      </w:r>
    </w:p>
    <w:p w:rsidR="0099405F" w:rsidRPr="00AF57BF" w:rsidRDefault="0099405F" w:rsidP="00AF57BF">
      <w:pPr>
        <w:pStyle w:val="Text"/>
        <w:spacing w:line="400" w:lineRule="exact"/>
      </w:pPr>
      <w:r w:rsidRPr="00AF57BF">
        <w:tab/>
        <w:t>Returning to defendant Flores</w:t>
      </w:r>
      <w:r w:rsidR="005660A4" w:rsidRPr="00AF57BF">
        <w:t>,</w:t>
      </w:r>
      <w:r w:rsidRPr="00AF57BF">
        <w:t xml:space="preserve"> the court asked if he had any questions about what mitigating evidence was available.  It reminded him that “your counsel </w:t>
      </w:r>
      <w:proofErr w:type="gramStart"/>
      <w:r w:rsidRPr="00AF57BF">
        <w:t>have</w:t>
      </w:r>
      <w:proofErr w:type="gramEnd"/>
      <w:r w:rsidRPr="00AF57BF">
        <w:t xml:space="preserve"> worked hard and have developed evidence they would like to present.  You </w:t>
      </w:r>
      <w:r w:rsidRPr="00AF57BF">
        <w:lastRenderedPageBreak/>
        <w:t>underst</w:t>
      </w:r>
      <w:r w:rsidR="005660A4" w:rsidRPr="00AF57BF">
        <w:t>and that?”  Flores responded: “O</w:t>
      </w:r>
      <w:r w:rsidRPr="00AF57BF">
        <w:t>h</w:t>
      </w:r>
      <w:r w:rsidR="00256C4E" w:rsidRPr="00AF57BF">
        <w:t>,</w:t>
      </w:r>
      <w:r w:rsidRPr="00AF57BF">
        <w:t xml:space="preserve"> yeah,” and added</w:t>
      </w:r>
      <w:r w:rsidR="005660A4" w:rsidRPr="00AF57BF">
        <w:t>,</w:t>
      </w:r>
      <w:r w:rsidRPr="00AF57BF">
        <w:t xml:space="preserve"> “</w:t>
      </w:r>
      <w:r w:rsidR="00731346" w:rsidRPr="00AF57BF">
        <w:t>[T]</w:t>
      </w:r>
      <w:r w:rsidRPr="00AF57BF">
        <w:t>hey did a great job in that.</w:t>
      </w:r>
      <w:r w:rsidR="005660A4" w:rsidRPr="00AF57BF">
        <w:t>”</w:t>
      </w:r>
      <w:r w:rsidRPr="00AF57BF">
        <w:t xml:space="preserve"> </w:t>
      </w:r>
    </w:p>
    <w:p w:rsidR="0099405F" w:rsidRPr="00AF57BF" w:rsidRDefault="0099405F" w:rsidP="00AF57BF">
      <w:pPr>
        <w:pStyle w:val="Text"/>
        <w:spacing w:line="400" w:lineRule="exact"/>
      </w:pPr>
      <w:r w:rsidRPr="00AF57BF">
        <w:tab/>
        <w:t xml:space="preserve">The court told </w:t>
      </w:r>
      <w:proofErr w:type="spellStart"/>
      <w:r w:rsidRPr="00AF57BF">
        <w:t>Amezcua</w:t>
      </w:r>
      <w:proofErr w:type="spellEnd"/>
      <w:proofErr w:type="gramStart"/>
      <w:r w:rsidRPr="00AF57BF">
        <w:t>:</w:t>
      </w:r>
      <w:r w:rsidR="005660A4" w:rsidRPr="00AF57BF">
        <w:t xml:space="preserve"> </w:t>
      </w:r>
      <w:r w:rsidRPr="00AF57BF">
        <w:t xml:space="preserve"> “</w:t>
      </w:r>
      <w:proofErr w:type="gramEnd"/>
      <w:r w:rsidRPr="00AF57BF">
        <w:t>You understand that your counsel have put together some information, a lot of information.”  He replied</w:t>
      </w:r>
      <w:proofErr w:type="gramStart"/>
      <w:r w:rsidRPr="00AF57BF">
        <w:t>:</w:t>
      </w:r>
      <w:r w:rsidR="005660A4" w:rsidRPr="00AF57BF">
        <w:t xml:space="preserve"> </w:t>
      </w:r>
      <w:r w:rsidRPr="00AF57BF">
        <w:t xml:space="preserve"> “</w:t>
      </w:r>
      <w:proofErr w:type="gramEnd"/>
      <w:r w:rsidRPr="00AF57BF">
        <w:t xml:space="preserve">I just want really </w:t>
      </w:r>
      <w:r w:rsidR="005660A4" w:rsidRPr="00AF57BF">
        <w:t xml:space="preserve">to </w:t>
      </w:r>
      <w:r w:rsidRPr="00AF57BF">
        <w:t>absolve him from any lack of effort on his behalf.</w:t>
      </w:r>
      <w:r w:rsidR="006959EF" w:rsidRPr="00AF57BF">
        <w:t> . . .</w:t>
      </w:r>
      <w:r w:rsidRPr="00AF57BF">
        <w:t xml:space="preserve"> It’s been my choice from way before, I mean, I ever got arrested.  I understood my actions would get me to this point in life way before I ever got arrested.”</w:t>
      </w:r>
    </w:p>
    <w:p w:rsidR="0099405F" w:rsidRPr="00AF57BF" w:rsidRDefault="0099405F" w:rsidP="00AF57BF">
      <w:pPr>
        <w:pStyle w:val="Text"/>
        <w:spacing w:line="400" w:lineRule="exact"/>
      </w:pPr>
      <w:r w:rsidRPr="00AF57BF">
        <w:tab/>
        <w:t>The court asked both defendants if they had heard of the phrase “suici</w:t>
      </w:r>
      <w:r w:rsidR="00256C4E" w:rsidRPr="00AF57BF">
        <w:t>de by cop,” and each confirmed he</w:t>
      </w:r>
      <w:r w:rsidR="00731346" w:rsidRPr="00AF57BF">
        <w:t xml:space="preserve"> had.  The court said, “[M]</w:t>
      </w:r>
      <w:r w:rsidRPr="00AF57BF">
        <w:t>y fear is that’s kind of what you guys are doing here.”  Flores rejected the notion</w:t>
      </w:r>
      <w:proofErr w:type="gramStart"/>
      <w:r w:rsidRPr="00AF57BF">
        <w:t>:  “</w:t>
      </w:r>
      <w:proofErr w:type="gramEnd"/>
      <w:r w:rsidRPr="00AF57BF">
        <w:t>I understand your fe</w:t>
      </w:r>
      <w:r w:rsidR="006959EF" w:rsidRPr="00AF57BF">
        <w:t>eling.  I understand what you</w:t>
      </w:r>
      <w:r w:rsidRPr="00AF57BF">
        <w:t xml:space="preserve"> are saying</w:t>
      </w:r>
      <w:proofErr w:type="gramStart"/>
      <w:r w:rsidRPr="00AF57BF">
        <w:t>.</w:t>
      </w:r>
      <w:r w:rsidR="00811851">
        <w:t> .</w:t>
      </w:r>
      <w:proofErr w:type="gramEnd"/>
      <w:r w:rsidR="00811851">
        <w:t> </w:t>
      </w:r>
      <w:r w:rsidR="00811851">
        <w:rPr>
          <w:sz w:val="28"/>
        </w:rPr>
        <w:t xml:space="preserve">. . </w:t>
      </w:r>
      <w:r w:rsidRPr="00AF57BF">
        <w:t xml:space="preserve"> But my thing is I feel if I do get death, more than likely I will die on death row </w:t>
      </w:r>
      <w:r w:rsidR="00B4652A" w:rsidRPr="00AF57BF">
        <w:t>by natural causes of old age</w:t>
      </w:r>
      <w:proofErr w:type="gramStart"/>
      <w:r w:rsidR="00B4652A" w:rsidRPr="00AF57BF">
        <w:t>. .</w:t>
      </w:r>
      <w:proofErr w:type="gramEnd"/>
      <w:r w:rsidR="00B4652A" w:rsidRPr="00AF57BF">
        <w:t> . .</w:t>
      </w:r>
      <w:r w:rsidRPr="00AF57BF">
        <w:t xml:space="preserve"> I mean there is 640 pe</w:t>
      </w:r>
      <w:r w:rsidR="006959EF" w:rsidRPr="00AF57BF">
        <w:t>ople before me —</w:t>
      </w:r>
      <w:r w:rsidRPr="00AF57BF">
        <w:t xml:space="preserve"> actually 639 because one just got a reversal.” </w:t>
      </w:r>
    </w:p>
    <w:p w:rsidR="0099405F" w:rsidRPr="00AF57BF" w:rsidRDefault="0099405F" w:rsidP="00AF57BF">
      <w:pPr>
        <w:pStyle w:val="Text"/>
        <w:spacing w:line="400" w:lineRule="exact"/>
      </w:pPr>
      <w:r w:rsidRPr="00AF57BF">
        <w:tab/>
        <w:t xml:space="preserve">Asked if he intended “suicide by cop,” </w:t>
      </w:r>
      <w:proofErr w:type="spellStart"/>
      <w:r w:rsidRPr="00AF57BF">
        <w:t>Amezcua</w:t>
      </w:r>
      <w:proofErr w:type="spellEnd"/>
      <w:r w:rsidRPr="00AF57BF">
        <w:t xml:space="preserve"> responded, “No, because I will tell you the reason </w:t>
      </w:r>
      <w:r w:rsidR="00B4652A" w:rsidRPr="00AF57BF">
        <w:t xml:space="preserve">why it’s not.  Because the day that I </w:t>
      </w:r>
      <w:r w:rsidRPr="00AF57BF">
        <w:t>g</w:t>
      </w:r>
      <w:r w:rsidR="00B4652A" w:rsidRPr="00AF57BF">
        <w:t xml:space="preserve">ot arrested I had three choices: </w:t>
      </w:r>
      <w:r w:rsidRPr="00AF57BF">
        <w:t xml:space="preserve"> Either take my own life, get arrested, or either let them do it themselves.  And I knew by me taking my life was a coward way out.”  He wanted to give his family “an opportunity to say good-bye to me and I say good-bye to them, also, and let them understand that it’s not their fault, because they blame themselves.” </w:t>
      </w:r>
    </w:p>
    <w:p w:rsidR="0099405F" w:rsidRPr="00AF57BF" w:rsidRDefault="0099405F" w:rsidP="00AF57BF">
      <w:pPr>
        <w:pStyle w:val="Text"/>
        <w:spacing w:line="400" w:lineRule="exact"/>
      </w:pPr>
      <w:r w:rsidRPr="00AF57BF">
        <w:tab/>
        <w:t>Flores elaborated</w:t>
      </w:r>
      <w:proofErr w:type="gramStart"/>
      <w:r w:rsidRPr="00AF57BF">
        <w:t>:</w:t>
      </w:r>
      <w:r w:rsidR="00B4652A" w:rsidRPr="00AF57BF">
        <w:t xml:space="preserve"> </w:t>
      </w:r>
      <w:r w:rsidRPr="00AF57BF">
        <w:t xml:space="preserve"> “</w:t>
      </w:r>
      <w:proofErr w:type="gramEnd"/>
      <w:r w:rsidRPr="00AF57BF">
        <w:t>I don’t want to die.  If I want to die where I’m at, I’d kill myself</w:t>
      </w:r>
      <w:proofErr w:type="gramStart"/>
      <w:r w:rsidRPr="00AF57BF">
        <w:t>.</w:t>
      </w:r>
      <w:r w:rsidR="00811851">
        <w:t> .</w:t>
      </w:r>
      <w:proofErr w:type="gramEnd"/>
      <w:r w:rsidR="00811851">
        <w:t xml:space="preserve"> . . </w:t>
      </w:r>
      <w:r w:rsidRPr="00AF57BF">
        <w:t xml:space="preserve"> But my thing is if I do go to death row, I am going to get a way better appeal action</w:t>
      </w:r>
      <w:proofErr w:type="gramStart"/>
      <w:r w:rsidRPr="00AF57BF">
        <w:t>.</w:t>
      </w:r>
      <w:r w:rsidR="0088437E">
        <w:t> .</w:t>
      </w:r>
      <w:proofErr w:type="gramEnd"/>
      <w:r w:rsidR="0088437E">
        <w:t xml:space="preserve"> . . </w:t>
      </w:r>
      <w:r w:rsidRPr="00AF57BF">
        <w:t xml:space="preserve"> And if I go to death row, I believe there’s some technicalities in </w:t>
      </w:r>
      <w:r w:rsidRPr="00AF57BF">
        <w:lastRenderedPageBreak/>
        <w:t>my case that maybe one day with [a lawyer’s] assistance with little words or something, that they will get me back out, and I may be old, but I believe I will be back in a level four one.”</w:t>
      </w:r>
      <w:r w:rsidR="0088437E">
        <w:rPr>
          <w:rStyle w:val="FootnoteReference"/>
        </w:rPr>
        <w:footnoteReference w:id="18"/>
      </w:r>
      <w:r w:rsidRPr="00AF57BF">
        <w:t xml:space="preserve">  </w:t>
      </w:r>
    </w:p>
    <w:p w:rsidR="0099405F" w:rsidRPr="00AF57BF" w:rsidRDefault="00B4652A" w:rsidP="00AF57BF">
      <w:pPr>
        <w:pStyle w:val="Text"/>
        <w:spacing w:line="400" w:lineRule="exact"/>
      </w:pPr>
      <w:r w:rsidRPr="00AF57BF">
        <w:tab/>
        <w:t>The court asked if their</w:t>
      </w:r>
      <w:r w:rsidR="0099405F" w:rsidRPr="00AF57BF">
        <w:t xml:space="preserve"> decision was based on concerns for their safety in prison.  </w:t>
      </w:r>
      <w:proofErr w:type="spellStart"/>
      <w:r w:rsidR="0099405F" w:rsidRPr="00AF57BF">
        <w:t>Amezcua</w:t>
      </w:r>
      <w:proofErr w:type="spellEnd"/>
      <w:r w:rsidR="0099405F" w:rsidRPr="00AF57BF">
        <w:t xml:space="preserve"> said: “Never been.”  Flores: “No, </w:t>
      </w:r>
      <w:r w:rsidR="00214256" w:rsidRPr="00AF57BF">
        <w:t>never.”  The court then said: “A</w:t>
      </w:r>
      <w:r w:rsidR="0099405F" w:rsidRPr="00AF57BF">
        <w:t>nd you b</w:t>
      </w:r>
      <w:r w:rsidRPr="00AF57BF">
        <w:t>oth</w:t>
      </w:r>
      <w:r w:rsidR="0099405F" w:rsidRPr="00AF57BF">
        <w:t xml:space="preserve"> understand that if you get a death verdict, you know that this is not going to be a </w:t>
      </w:r>
      <w:proofErr w:type="gramStart"/>
      <w:r w:rsidR="0099405F" w:rsidRPr="00AF57BF">
        <w:t>grounds</w:t>
      </w:r>
      <w:proofErr w:type="gramEnd"/>
      <w:r w:rsidR="0099405F" w:rsidRPr="00AF57BF">
        <w:t xml:space="preserve"> for reversal.</w:t>
      </w:r>
      <w:r w:rsidR="00214256" w:rsidRPr="00AF57BF">
        <w:t>”</w:t>
      </w:r>
      <w:r w:rsidR="0099405F" w:rsidRPr="00AF57BF">
        <w:t xml:space="preserve">  Flores responded they were “giving that piece only up,” but that all other grounds for appeal were open.  The court reminded them that they had the right to testify and ask the jury to impose a death sentence.  It clarified that it was not encouraging them to do so and would, in fact, discourage it.  It did want to make sure they were aware of their right to testify, “just like you have the right to testif</w:t>
      </w:r>
      <w:r w:rsidR="00355EEE" w:rsidRPr="00AF57BF">
        <w:t xml:space="preserve">y in the guilt phase.” </w:t>
      </w:r>
      <w:r w:rsidR="0099405F" w:rsidRPr="00AF57BF">
        <w:t xml:space="preserve"> </w:t>
      </w:r>
    </w:p>
    <w:p w:rsidR="0099405F" w:rsidRPr="00AF57BF" w:rsidRDefault="0099405F" w:rsidP="00AF57BF">
      <w:pPr>
        <w:pStyle w:val="Text"/>
        <w:spacing w:line="400" w:lineRule="exact"/>
      </w:pPr>
      <w:r w:rsidRPr="00AF57BF">
        <w:tab/>
        <w:t>The court ended the discussion by saying</w:t>
      </w:r>
      <w:proofErr w:type="gramStart"/>
      <w:r w:rsidRPr="00AF57BF">
        <w:t>:</w:t>
      </w:r>
      <w:r w:rsidR="00355EEE" w:rsidRPr="00AF57BF">
        <w:t xml:space="preserve"> </w:t>
      </w:r>
      <w:r w:rsidRPr="00AF57BF">
        <w:t xml:space="preserve"> “</w:t>
      </w:r>
      <w:proofErr w:type="gramEnd"/>
      <w:r w:rsidRPr="00AF57BF">
        <w:t xml:space="preserve">The main thing is to say this: </w:t>
      </w:r>
      <w:r w:rsidR="00355EEE" w:rsidRPr="00AF57BF">
        <w:t xml:space="preserve"> </w:t>
      </w:r>
      <w:r w:rsidRPr="00AF57BF">
        <w:t xml:space="preserve">You are in control of the evidence that is offered </w:t>
      </w:r>
      <w:r w:rsidR="00355EEE" w:rsidRPr="00AF57BF">
        <w:t>at a penalty phase; okay?  [</w:t>
      </w:r>
      <w:proofErr w:type="gramStart"/>
      <w:r w:rsidR="00355EEE" w:rsidRPr="00AF57BF">
        <w:t>¶]  </w:t>
      </w:r>
      <w:r w:rsidRPr="00AF57BF">
        <w:t>You</w:t>
      </w:r>
      <w:proofErr w:type="gramEnd"/>
      <w:r w:rsidRPr="00AF57BF">
        <w:t xml:space="preserve"> seem to know that already, but that is the law.  And even though [defense counsel] have prepared and want to put on the mitigating evidence and they want to argue to the jury that you should not get the death penalty, you are the controlling person and you can say </w:t>
      </w:r>
      <w:r w:rsidR="00731346" w:rsidRPr="00AF57BF">
        <w:t>‘</w:t>
      </w:r>
      <w:r w:rsidRPr="00AF57BF">
        <w:t>no, I don’t want you to put that evidenc</w:t>
      </w:r>
      <w:r w:rsidR="00355EEE" w:rsidRPr="00AF57BF">
        <w:t>e on.</w:t>
      </w:r>
      <w:proofErr w:type="gramStart"/>
      <w:r w:rsidR="00731346" w:rsidRPr="00AF57BF">
        <w:t>’ </w:t>
      </w:r>
      <w:r w:rsidR="00355EEE" w:rsidRPr="00AF57BF">
        <w:t>”</w:t>
      </w:r>
      <w:proofErr w:type="gramEnd"/>
    </w:p>
    <w:p w:rsidR="0099405F" w:rsidRPr="00AF57BF" w:rsidRDefault="0099405F" w:rsidP="00AF57BF">
      <w:pPr>
        <w:pStyle w:val="Text"/>
        <w:spacing w:line="400" w:lineRule="exact"/>
      </w:pPr>
      <w:r w:rsidRPr="00AF57BF">
        <w:tab/>
        <w:t>The court began the separate conversations with Flores and his counsel.  It noted that the prosecutor had said Flores could have been a lawyer and the court said it had been impressed w</w:t>
      </w:r>
      <w:r w:rsidR="00355EEE" w:rsidRPr="00AF57BF">
        <w:t>ith his intelligence.  It compli</w:t>
      </w:r>
      <w:r w:rsidRPr="00AF57BF">
        <w:t xml:space="preserve">mented him on his </w:t>
      </w:r>
      <w:r w:rsidRPr="00AF57BF">
        <w:lastRenderedPageBreak/>
        <w:t>affection for reading and mentioned two books by a defense lawyer describing his courtroom work.  It reminded him that, even if he were incarcerated for life he could help other inmates and do other worthwhile things in prison.  It urged Flores to think</w:t>
      </w:r>
      <w:r w:rsidR="00355EEE" w:rsidRPr="00AF57BF">
        <w:t xml:space="preserve"> more about his decision</w:t>
      </w:r>
      <w:r w:rsidRPr="00AF57BF">
        <w:t xml:space="preserve"> while the jury was deliberating on guilt.  It reminded him that the presentation of mitigating evidence might make a big difference. </w:t>
      </w:r>
      <w:r w:rsidR="00355EEE" w:rsidRPr="00AF57BF">
        <w:t xml:space="preserve"> </w:t>
      </w:r>
      <w:r w:rsidRPr="00AF57BF">
        <w:t>The court asked Flores whether he had any questions.</w:t>
      </w:r>
    </w:p>
    <w:p w:rsidR="0099405F" w:rsidRPr="00AF57BF" w:rsidRDefault="0099405F" w:rsidP="00AF57BF">
      <w:pPr>
        <w:pStyle w:val="Text"/>
        <w:spacing w:line="400" w:lineRule="exact"/>
      </w:pPr>
      <w:r w:rsidRPr="00AF57BF">
        <w:tab/>
        <w:t>Flores said he understood the court was fulfilling its obligation to make sure the choice he was making was his own and was made knowingly.  Flores assured the court</w:t>
      </w:r>
      <w:proofErr w:type="gramStart"/>
      <w:r w:rsidRPr="00AF57BF">
        <w:t xml:space="preserve">: </w:t>
      </w:r>
      <w:r w:rsidR="00355EEE" w:rsidRPr="00AF57BF">
        <w:t xml:space="preserve"> </w:t>
      </w:r>
      <w:r w:rsidRPr="00AF57BF">
        <w:t>“</w:t>
      </w:r>
      <w:proofErr w:type="gramEnd"/>
      <w:r w:rsidRPr="00AF57BF">
        <w:t xml:space="preserve">I am fully aware that this is the decision I am making, and I am at ease with the decision, and I know my family members disagree with it and I’ve asked them not to come [to </w:t>
      </w:r>
      <w:r w:rsidR="00355EEE" w:rsidRPr="00AF57BF">
        <w:t>court] several, several times. . . .</w:t>
      </w:r>
      <w:r w:rsidRPr="00AF57BF">
        <w:t xml:space="preserve"> I’d rather keep this part of my life separate.” </w:t>
      </w:r>
      <w:r w:rsidR="00355EEE" w:rsidRPr="00AF57BF">
        <w:t xml:space="preserve"> </w:t>
      </w:r>
      <w:r w:rsidRPr="00AF57BF">
        <w:t>Flores told the court he would “take what you said in consideration.”</w:t>
      </w:r>
    </w:p>
    <w:p w:rsidR="0099405F" w:rsidRPr="00AF57BF" w:rsidRDefault="0099405F" w:rsidP="00AF57BF">
      <w:pPr>
        <w:pStyle w:val="Text"/>
        <w:spacing w:line="400" w:lineRule="exact"/>
      </w:pPr>
      <w:r w:rsidRPr="00AF57BF">
        <w:tab/>
        <w:t xml:space="preserve">The court then met with defendant </w:t>
      </w:r>
      <w:proofErr w:type="spellStart"/>
      <w:r w:rsidRPr="00AF57BF">
        <w:t>Amezcua</w:t>
      </w:r>
      <w:proofErr w:type="spellEnd"/>
      <w:r w:rsidRPr="00AF57BF">
        <w:t xml:space="preserve"> and his defense team.  It explained it knew Flores and </w:t>
      </w:r>
      <w:proofErr w:type="spellStart"/>
      <w:r w:rsidRPr="00AF57BF">
        <w:t>Amezcua</w:t>
      </w:r>
      <w:proofErr w:type="spellEnd"/>
      <w:r w:rsidRPr="00AF57BF">
        <w:t xml:space="preserve"> were friends but wanted to make sure this decision “is your decision and that you are not letting anybody influence you, including Mr. Flores.”  It urged </w:t>
      </w:r>
      <w:proofErr w:type="spellStart"/>
      <w:r w:rsidRPr="00AF57BF">
        <w:t>Amezcua</w:t>
      </w:r>
      <w:proofErr w:type="spellEnd"/>
      <w:r w:rsidRPr="00AF57BF">
        <w:t xml:space="preserve"> that the court “would really like you to think about this.”  It reminded him that that there is always a potential to do good things but that a death sentence would be more limiting than a sentence of life.  It added</w:t>
      </w:r>
      <w:proofErr w:type="gramStart"/>
      <w:r w:rsidRPr="00AF57BF">
        <w:t xml:space="preserve">: </w:t>
      </w:r>
      <w:r w:rsidR="00091B42" w:rsidRPr="00AF57BF">
        <w:t xml:space="preserve"> </w:t>
      </w:r>
      <w:r w:rsidRPr="00AF57BF">
        <w:t>“</w:t>
      </w:r>
      <w:proofErr w:type="gramEnd"/>
      <w:r w:rsidRPr="00AF57BF">
        <w:t>I don</w:t>
      </w:r>
      <w:r w:rsidR="00091B42" w:rsidRPr="00AF57BF">
        <w:t>’t want you to make a decision . . .</w:t>
      </w:r>
      <w:r w:rsidRPr="00AF57BF">
        <w:t xml:space="preserve"> that you’ll regret.”</w:t>
      </w:r>
    </w:p>
    <w:p w:rsidR="0099405F" w:rsidRPr="00AF57BF" w:rsidRDefault="0099405F" w:rsidP="00AF57BF">
      <w:pPr>
        <w:pStyle w:val="Text"/>
        <w:spacing w:line="400" w:lineRule="exact"/>
      </w:pPr>
      <w:r w:rsidRPr="00AF57BF">
        <w:tab/>
      </w:r>
      <w:proofErr w:type="spellStart"/>
      <w:r w:rsidRPr="00AF57BF">
        <w:t>Amezcua</w:t>
      </w:r>
      <w:proofErr w:type="spellEnd"/>
      <w:r w:rsidRPr="00AF57BF">
        <w:t xml:space="preserve"> t</w:t>
      </w:r>
      <w:r w:rsidR="00C33D3E" w:rsidRPr="00AF57BF">
        <w:t>old the court, “I</w:t>
      </w:r>
      <w:r w:rsidRPr="00AF57BF">
        <w:t xml:space="preserve"> t</w:t>
      </w:r>
      <w:r w:rsidR="00C33D3E" w:rsidRPr="00AF57BF">
        <w:t>hought about it for five years</w:t>
      </w:r>
      <w:proofErr w:type="gramStart"/>
      <w:r w:rsidR="00C33D3E" w:rsidRPr="00AF57BF">
        <w:t>. .</w:t>
      </w:r>
      <w:proofErr w:type="gramEnd"/>
      <w:r w:rsidR="00C33D3E" w:rsidRPr="00AF57BF">
        <w:t> . .</w:t>
      </w:r>
      <w:r w:rsidRPr="00AF57BF">
        <w:t xml:space="preserve"> And I a</w:t>
      </w:r>
      <w:r w:rsidR="00AC5D13" w:rsidRPr="00AF57BF">
        <w:t xml:space="preserve">llowed Mr. </w:t>
      </w:r>
      <w:proofErr w:type="spellStart"/>
      <w:r w:rsidR="00AC5D13" w:rsidRPr="00AF57BF">
        <w:t>Perlo</w:t>
      </w:r>
      <w:proofErr w:type="spellEnd"/>
      <w:r w:rsidR="00AC5D13" w:rsidRPr="00AF57BF">
        <w:t xml:space="preserve"> </w:t>
      </w:r>
      <w:r w:rsidRPr="00AF57BF">
        <w:t xml:space="preserve">to do </w:t>
      </w:r>
      <w:r w:rsidR="00C33D3E" w:rsidRPr="00AF57BF">
        <w:t>his extensive research on my pas</w:t>
      </w:r>
      <w:r w:rsidRPr="00AF57BF">
        <w:t xml:space="preserve">t.” </w:t>
      </w:r>
      <w:r w:rsidR="00C33D3E" w:rsidRPr="00AF57BF">
        <w:t xml:space="preserve"> </w:t>
      </w:r>
      <w:r w:rsidRPr="00AF57BF">
        <w:t>He assured th</w:t>
      </w:r>
      <w:r w:rsidR="00C33D3E" w:rsidRPr="00AF57BF">
        <w:t>e court it need</w:t>
      </w:r>
      <w:r w:rsidR="000F6564" w:rsidRPr="00AF57BF">
        <w:t xml:space="preserve"> </w:t>
      </w:r>
      <w:r w:rsidR="00C33D3E" w:rsidRPr="00AF57BF">
        <w:t>n</w:t>
      </w:r>
      <w:r w:rsidR="000F6564" w:rsidRPr="00AF57BF">
        <w:t>o</w:t>
      </w:r>
      <w:r w:rsidR="00C33D3E" w:rsidRPr="00AF57BF">
        <w:t>t be concerned.</w:t>
      </w:r>
      <w:r w:rsidRPr="00AF57BF">
        <w:t xml:space="preserve">  The court reminded him that he would have additional time </w:t>
      </w:r>
      <w:r w:rsidRPr="00AF57BF">
        <w:lastRenderedPageBreak/>
        <w:t>d</w:t>
      </w:r>
      <w:r w:rsidR="00C33D3E" w:rsidRPr="00AF57BF">
        <w:t xml:space="preserve">uring guilt deliberations to reconsider his choice.  </w:t>
      </w:r>
      <w:proofErr w:type="spellStart"/>
      <w:r w:rsidRPr="00AF57BF">
        <w:t>Amezcua</w:t>
      </w:r>
      <w:proofErr w:type="spellEnd"/>
      <w:r w:rsidRPr="00AF57BF">
        <w:t xml:space="preserve"> replied</w:t>
      </w:r>
      <w:proofErr w:type="gramStart"/>
      <w:r w:rsidRPr="00AF57BF">
        <w:t xml:space="preserve">: </w:t>
      </w:r>
      <w:r w:rsidR="00C33D3E" w:rsidRPr="00AF57BF">
        <w:t xml:space="preserve"> </w:t>
      </w:r>
      <w:r w:rsidRPr="00AF57BF">
        <w:t>“</w:t>
      </w:r>
      <w:proofErr w:type="gramEnd"/>
      <w:r w:rsidRPr="00AF57BF">
        <w:t xml:space="preserve">I could have saved you </w:t>
      </w:r>
      <w:r w:rsidR="00C33D3E" w:rsidRPr="00AF57BF">
        <w:t xml:space="preserve">the </w:t>
      </w:r>
      <w:r w:rsidRPr="00AF57BF">
        <w:t>time and trouble down the road.  I am not going to sway from my decision.</w:t>
      </w:r>
      <w:r w:rsidR="00C33D3E" w:rsidRPr="00AF57BF">
        <w:t>”</w:t>
      </w:r>
    </w:p>
    <w:p w:rsidR="0099405F" w:rsidRPr="00AF57BF" w:rsidRDefault="0099405F" w:rsidP="00AF57BF">
      <w:pPr>
        <w:pStyle w:val="Text"/>
        <w:spacing w:line="400" w:lineRule="exact"/>
      </w:pPr>
      <w:r w:rsidRPr="00AF57BF">
        <w:tab/>
        <w:t xml:space="preserve">The next morning the court met with all defense counsel and both defendants.  It asked Flores and </w:t>
      </w:r>
      <w:proofErr w:type="spellStart"/>
      <w:r w:rsidRPr="00AF57BF">
        <w:t>Amezcua</w:t>
      </w:r>
      <w:proofErr w:type="spellEnd"/>
      <w:r w:rsidRPr="00AF57BF">
        <w:t xml:space="preserve"> if they had had a chance to think about the previous day’s discussion and whether either had changed his mind.  Each defendant confirmed he had thought about the question and his mind was unchanged.  Both defendants confirmed they want</w:t>
      </w:r>
      <w:r w:rsidR="00866C3C" w:rsidRPr="00AF57BF">
        <w:t>ed no</w:t>
      </w:r>
      <w:r w:rsidRPr="00AF57BF">
        <w:t xml:space="preserve"> mitigating evidence presented, no prosecution witness cross-examined</w:t>
      </w:r>
      <w:r w:rsidR="00866C3C" w:rsidRPr="00AF57BF">
        <w:t>,</w:t>
      </w:r>
      <w:r w:rsidRPr="00AF57BF">
        <w:t xml:space="preserve"> and no argument made on their behalf.  </w:t>
      </w:r>
      <w:proofErr w:type="spellStart"/>
      <w:r w:rsidRPr="00AF57BF">
        <w:t>Amezcua</w:t>
      </w:r>
      <w:proofErr w:type="spellEnd"/>
      <w:r w:rsidRPr="00AF57BF">
        <w:t xml:space="preserve"> offered to put his wishes in writing</w:t>
      </w:r>
      <w:r w:rsidR="00866C3C" w:rsidRPr="00AF57BF">
        <w:t>,</w:t>
      </w:r>
      <w:r w:rsidRPr="00AF57BF">
        <w:t xml:space="preserve"> but the court replied that the written transcript would serve that</w:t>
      </w:r>
      <w:r w:rsidR="00731346" w:rsidRPr="00AF57BF">
        <w:t xml:space="preserve"> purpose.  The c</w:t>
      </w:r>
      <w:r w:rsidRPr="00AF57BF">
        <w:t xml:space="preserve">ourt went on to discuss the case of </w:t>
      </w:r>
      <w:r w:rsidRPr="00AF57BF">
        <w:rPr>
          <w:i/>
        </w:rPr>
        <w:t>People v. Sanders</w:t>
      </w:r>
      <w:r w:rsidR="00AC3DEE" w:rsidRPr="00AF57BF">
        <w:t xml:space="preserve"> (1990) 51 Cal.3d 471</w:t>
      </w:r>
      <w:r w:rsidRPr="00AF57BF">
        <w:t>, wherein the defendant had made a similar choice.  It again asked each defendant if it was his choice to have no defense evidence or argument presented and no cross-examination of the People’s witnesses.  Again</w:t>
      </w:r>
      <w:r w:rsidR="00731346" w:rsidRPr="00AF57BF">
        <w:t>,</w:t>
      </w:r>
      <w:r w:rsidRPr="00AF57BF">
        <w:t xml:space="preserve"> </w:t>
      </w:r>
      <w:r w:rsidR="00EB6A76" w:rsidRPr="00AF57BF">
        <w:t xml:space="preserve">each stated </w:t>
      </w:r>
      <w:r w:rsidR="00AC5D13" w:rsidRPr="00AF57BF">
        <w:t xml:space="preserve">that </w:t>
      </w:r>
      <w:r w:rsidR="00EB6A76" w:rsidRPr="00AF57BF">
        <w:t>he</w:t>
      </w:r>
      <w:r w:rsidRPr="00AF57BF">
        <w:t xml:space="preserve"> had</w:t>
      </w:r>
      <w:r w:rsidR="00AC5D13" w:rsidRPr="00AF57BF">
        <w:t xml:space="preserve"> so</w:t>
      </w:r>
      <w:r w:rsidRPr="00AF57BF">
        <w:t xml:space="preserve"> chosen.  All four counsel told the court they agreed that those decisions reflected their client’s sincere belief.</w:t>
      </w:r>
    </w:p>
    <w:p w:rsidR="0099405F" w:rsidRPr="00AF57BF" w:rsidRDefault="0099405F" w:rsidP="00AF57BF">
      <w:pPr>
        <w:pStyle w:val="Text"/>
        <w:spacing w:line="400" w:lineRule="exact"/>
      </w:pPr>
      <w:r w:rsidRPr="00AF57BF">
        <w:tab/>
        <w:t>The court read ex</w:t>
      </w:r>
      <w:r w:rsidR="00EB6A76" w:rsidRPr="00AF57BF">
        <w:t>c</w:t>
      </w:r>
      <w:r w:rsidRPr="00AF57BF">
        <w:t xml:space="preserve">erpts from the </w:t>
      </w:r>
      <w:r w:rsidR="00EB6A76" w:rsidRPr="00AF57BF">
        <w:rPr>
          <w:i/>
        </w:rPr>
        <w:t>S</w:t>
      </w:r>
      <w:r w:rsidRPr="00AF57BF">
        <w:rPr>
          <w:i/>
        </w:rPr>
        <w:t>anders</w:t>
      </w:r>
      <w:r w:rsidRPr="00AF57BF">
        <w:t xml:space="preserve"> opinion and explained </w:t>
      </w:r>
      <w:r w:rsidR="00AC5D13" w:rsidRPr="00AF57BF">
        <w:t xml:space="preserve">again </w:t>
      </w:r>
      <w:r w:rsidRPr="00AF57BF">
        <w:t>that, based on that precedent, counsel on appeal could not argue it was error for the defense not to argue, present evidence, or cross-examine</w:t>
      </w:r>
      <w:r w:rsidR="00EB6A76" w:rsidRPr="00AF57BF">
        <w:t>.  Flores responded: “I am f</w:t>
      </w:r>
      <w:r w:rsidRPr="00AF57BF">
        <w:t xml:space="preserve">ully aware I am giving up our appeal action.”  Asked if he had any questions about what was being said, </w:t>
      </w:r>
      <w:proofErr w:type="spellStart"/>
      <w:r w:rsidR="00731346" w:rsidRPr="00AF57BF">
        <w:t>Amezcua</w:t>
      </w:r>
      <w:proofErr w:type="spellEnd"/>
      <w:r w:rsidR="00731346" w:rsidRPr="00AF57BF">
        <w:t xml:space="preserve"> r</w:t>
      </w:r>
      <w:r w:rsidRPr="00AF57BF">
        <w:t>eplied, “None.”</w:t>
      </w:r>
      <w:r w:rsidR="00EB6A76" w:rsidRPr="00AF57BF">
        <w:t xml:space="preserve"> </w:t>
      </w:r>
      <w:r w:rsidRPr="00AF57BF">
        <w:t xml:space="preserve"> After further colloquy</w:t>
      </w:r>
      <w:r w:rsidR="00EB6A76" w:rsidRPr="00AF57BF">
        <w:t>,</w:t>
      </w:r>
      <w:r w:rsidRPr="00AF57BF">
        <w:t xml:space="preserve"> the court accepted the statements of the defendants and their counsel.</w:t>
      </w:r>
      <w:r w:rsidR="00731346" w:rsidRPr="00AF57BF">
        <w:t xml:space="preserve">  The penalty phase proceeded according to defendants’ directives.  When counsel requested certain penalty phase instructions, each defendant objected.  The instructions were not given.</w:t>
      </w:r>
    </w:p>
    <w:p w:rsidR="00401660" w:rsidRPr="00AF57BF" w:rsidRDefault="00400167" w:rsidP="00AF57BF">
      <w:pPr>
        <w:pStyle w:val="Text"/>
        <w:spacing w:line="400" w:lineRule="exact"/>
      </w:pPr>
      <w:proofErr w:type="spellStart"/>
      <w:r w:rsidRPr="00AF57BF">
        <w:lastRenderedPageBreak/>
        <w:t>Amezcua</w:t>
      </w:r>
      <w:proofErr w:type="spellEnd"/>
      <w:r w:rsidRPr="00AF57BF">
        <w:t xml:space="preserve"> and Flores</w:t>
      </w:r>
      <w:r w:rsidR="008C1191" w:rsidRPr="00AF57BF">
        <w:t xml:space="preserve"> rely on the principle</w:t>
      </w:r>
      <w:r w:rsidRPr="00AF57BF">
        <w:t xml:space="preserve"> that when a defendant elects to be represented by counsel, </w:t>
      </w:r>
      <w:r w:rsidR="008C1191" w:rsidRPr="00AF57BF">
        <w:t>he has no right to control the attorney’s strategic</w:t>
      </w:r>
      <w:r w:rsidR="00217962" w:rsidRPr="00AF57BF">
        <w:t xml:space="preserve"> and tactical</w:t>
      </w:r>
      <w:r w:rsidR="008C1191" w:rsidRPr="00AF57BF">
        <w:t xml:space="preserve"> decisions regarding the defense</w:t>
      </w:r>
      <w:r w:rsidR="00217962" w:rsidRPr="00AF57BF">
        <w:t>, including requests for jury instructions</w:t>
      </w:r>
      <w:r w:rsidR="008C1191" w:rsidRPr="00AF57BF">
        <w:t>.  (</w:t>
      </w:r>
      <w:r w:rsidR="000272CF" w:rsidRPr="00AF57BF">
        <w:rPr>
          <w:i/>
        </w:rPr>
        <w:t xml:space="preserve">People v. </w:t>
      </w:r>
      <w:r w:rsidR="00166466" w:rsidRPr="00AF57BF">
        <w:rPr>
          <w:i/>
        </w:rPr>
        <w:t xml:space="preserve">Hamilton </w:t>
      </w:r>
      <w:r w:rsidR="00166466" w:rsidRPr="00AF57BF">
        <w:t xml:space="preserve">(1989) 48 Cal.3d 1142, </w:t>
      </w:r>
      <w:r w:rsidR="003D52EB" w:rsidRPr="00AF57BF">
        <w:t xml:space="preserve">1163, </w:t>
      </w:r>
      <w:r w:rsidR="00166466" w:rsidRPr="00AF57BF">
        <w:t>1164, fn. 14</w:t>
      </w:r>
      <w:r w:rsidR="008C1191" w:rsidRPr="00AF57BF">
        <w:t xml:space="preserve">.)  </w:t>
      </w:r>
      <w:r w:rsidR="00401660" w:rsidRPr="00AF57BF">
        <w:t>I</w:t>
      </w:r>
      <w:r w:rsidR="002B25C7" w:rsidRPr="00AF57BF">
        <w:t>n their view</w:t>
      </w:r>
      <w:r w:rsidR="00401660" w:rsidRPr="00AF57BF">
        <w:t>, t</w:t>
      </w:r>
      <w:r w:rsidR="00222B26" w:rsidRPr="00AF57BF">
        <w:t>he court’</w:t>
      </w:r>
      <w:r w:rsidR="008C1191" w:rsidRPr="00AF57BF">
        <w:t xml:space="preserve">s permitting them to override </w:t>
      </w:r>
      <w:r w:rsidR="003F4828" w:rsidRPr="00AF57BF">
        <w:t>their attorneys’</w:t>
      </w:r>
      <w:r w:rsidR="008C1191" w:rsidRPr="00AF57BF">
        <w:t xml:space="preserve"> efforts</w:t>
      </w:r>
      <w:r w:rsidR="00222B26" w:rsidRPr="00AF57BF">
        <w:t xml:space="preserve"> to present a </w:t>
      </w:r>
      <w:r w:rsidR="008C1191" w:rsidRPr="00AF57BF">
        <w:t xml:space="preserve">penalty </w:t>
      </w:r>
      <w:r w:rsidR="00A56600" w:rsidRPr="00AF57BF">
        <w:t>defense</w:t>
      </w:r>
      <w:r w:rsidR="00166466" w:rsidRPr="00AF57BF">
        <w:t>, including the selection of jury instructions,</w:t>
      </w:r>
      <w:r w:rsidR="00A56600" w:rsidRPr="00AF57BF">
        <w:t xml:space="preserve"> denied them </w:t>
      </w:r>
      <w:r w:rsidR="0006603A" w:rsidRPr="00AF57BF">
        <w:t xml:space="preserve">their rights to counsel and </w:t>
      </w:r>
      <w:r w:rsidR="001D45E3" w:rsidRPr="00AF57BF">
        <w:t xml:space="preserve">a reliable </w:t>
      </w:r>
      <w:r w:rsidR="0006603A" w:rsidRPr="00AF57BF">
        <w:t>penalty determination</w:t>
      </w:r>
      <w:r w:rsidR="00947777" w:rsidRPr="00AF57BF">
        <w:t xml:space="preserve">.  </w:t>
      </w:r>
      <w:r w:rsidR="00DE176C" w:rsidRPr="00AF57BF">
        <w:t xml:space="preserve">They also assert </w:t>
      </w:r>
      <w:r w:rsidR="0088437E">
        <w:t xml:space="preserve">that </w:t>
      </w:r>
      <w:r w:rsidR="00DE176C" w:rsidRPr="00AF57BF">
        <w:t xml:space="preserve">the state’s </w:t>
      </w:r>
      <w:r w:rsidR="006F32A4" w:rsidRPr="00AF57BF">
        <w:t xml:space="preserve">independent </w:t>
      </w:r>
      <w:r w:rsidR="00DE176C" w:rsidRPr="00AF57BF">
        <w:t xml:space="preserve">interest in </w:t>
      </w:r>
      <w:r w:rsidR="006F32A4" w:rsidRPr="00AF57BF">
        <w:t>fair, accurate, and reliable penalty verdicts</w:t>
      </w:r>
      <w:r w:rsidR="00BF05EE" w:rsidRPr="00AF57BF">
        <w:t xml:space="preserve"> was violated</w:t>
      </w:r>
      <w:r w:rsidR="006F32A4" w:rsidRPr="00AF57BF">
        <w:t xml:space="preserve">.  </w:t>
      </w:r>
      <w:r w:rsidR="00392699" w:rsidRPr="00AF57BF">
        <w:t>They a</w:t>
      </w:r>
      <w:r w:rsidR="003F4828" w:rsidRPr="00AF57BF">
        <w:t>cknowledg</w:t>
      </w:r>
      <w:r w:rsidR="00392699" w:rsidRPr="00AF57BF">
        <w:t>e</w:t>
      </w:r>
      <w:r w:rsidR="00947777" w:rsidRPr="00AF57BF">
        <w:t xml:space="preserve"> that </w:t>
      </w:r>
      <w:r w:rsidR="00FF70F4" w:rsidRPr="00AF57BF">
        <w:t xml:space="preserve">decisions such as </w:t>
      </w:r>
      <w:r w:rsidR="008845C3" w:rsidRPr="00AF57BF">
        <w:rPr>
          <w:i/>
        </w:rPr>
        <w:t>People v. Bloom</w:t>
      </w:r>
      <w:r w:rsidR="00030B34" w:rsidRPr="00AF57BF">
        <w:t xml:space="preserve"> (1989) 48 Cal.3d 1194, 1218–1228</w:t>
      </w:r>
      <w:r w:rsidR="00FE44F0" w:rsidRPr="00AF57BF">
        <w:t xml:space="preserve"> (</w:t>
      </w:r>
      <w:r w:rsidR="00FE44F0" w:rsidRPr="00AF57BF">
        <w:rPr>
          <w:i/>
        </w:rPr>
        <w:t>Bloom</w:t>
      </w:r>
      <w:r w:rsidR="00FE44F0" w:rsidRPr="00AF57BF">
        <w:t>)</w:t>
      </w:r>
      <w:r w:rsidR="008845C3" w:rsidRPr="00AF57BF">
        <w:t xml:space="preserve">, </w:t>
      </w:r>
      <w:r w:rsidR="008845C3" w:rsidRPr="00AF57BF">
        <w:rPr>
          <w:i/>
        </w:rPr>
        <w:t>People v. Lang</w:t>
      </w:r>
      <w:r w:rsidR="008845C3" w:rsidRPr="00AF57BF">
        <w:t xml:space="preserve"> (1989) 49 Cal.3d 991, 1030</w:t>
      </w:r>
      <w:r w:rsidR="005A1ADB" w:rsidRPr="00AF57BF">
        <w:t xml:space="preserve"> (</w:t>
      </w:r>
      <w:r w:rsidR="005A1ADB" w:rsidRPr="00AF57BF">
        <w:rPr>
          <w:i/>
        </w:rPr>
        <w:t>Lang</w:t>
      </w:r>
      <w:r w:rsidR="005A1ADB" w:rsidRPr="00AF57BF">
        <w:t>)</w:t>
      </w:r>
      <w:r w:rsidR="00FE44F0" w:rsidRPr="00AF57BF">
        <w:t>,</w:t>
      </w:r>
      <w:r w:rsidR="008845C3" w:rsidRPr="00AF57BF">
        <w:t xml:space="preserve"> </w:t>
      </w:r>
      <w:r w:rsidR="000F6564" w:rsidRPr="00AF57BF">
        <w:rPr>
          <w:i/>
        </w:rPr>
        <w:t>People v. Sanders</w:t>
      </w:r>
      <w:r w:rsidR="000F6564" w:rsidRPr="00AF57BF">
        <w:t xml:space="preserve">, </w:t>
      </w:r>
      <w:r w:rsidR="000F6564" w:rsidRPr="00AF57BF">
        <w:rPr>
          <w:i/>
        </w:rPr>
        <w:t>supra</w:t>
      </w:r>
      <w:r w:rsidR="000F6564" w:rsidRPr="00AF57BF">
        <w:t>,</w:t>
      </w:r>
      <w:r w:rsidR="008845C3" w:rsidRPr="00AF57BF">
        <w:t xml:space="preserve"> </w:t>
      </w:r>
      <w:r w:rsidR="000F6564" w:rsidRPr="00AF57BF">
        <w:t>51 Cal.3d at pages</w:t>
      </w:r>
      <w:r w:rsidR="00791625" w:rsidRPr="00AF57BF">
        <w:t xml:space="preserve"> 526–527</w:t>
      </w:r>
      <w:r w:rsidR="005A1ADB" w:rsidRPr="00AF57BF">
        <w:rPr>
          <w:i/>
        </w:rPr>
        <w:t xml:space="preserve"> </w:t>
      </w:r>
      <w:r w:rsidR="005A1ADB" w:rsidRPr="00AF57BF">
        <w:t>(</w:t>
      </w:r>
      <w:r w:rsidR="005A1ADB" w:rsidRPr="00AF57BF">
        <w:rPr>
          <w:i/>
        </w:rPr>
        <w:t>Sanders</w:t>
      </w:r>
      <w:r w:rsidR="005A1ADB" w:rsidRPr="00AF57BF">
        <w:t>)</w:t>
      </w:r>
      <w:r w:rsidR="00791625" w:rsidRPr="00AF57BF">
        <w:t xml:space="preserve">, </w:t>
      </w:r>
      <w:r w:rsidR="003F4828" w:rsidRPr="00AF57BF">
        <w:t xml:space="preserve">and </w:t>
      </w:r>
      <w:r w:rsidR="0068225A" w:rsidRPr="00AF57BF">
        <w:rPr>
          <w:i/>
        </w:rPr>
        <w:t xml:space="preserve">People v. Deere </w:t>
      </w:r>
      <w:r w:rsidR="0068225A" w:rsidRPr="00AF57BF">
        <w:t>(1991) 53 Cal.3d 705, 717</w:t>
      </w:r>
      <w:r w:rsidR="005A1ADB" w:rsidRPr="00AF57BF">
        <w:rPr>
          <w:i/>
        </w:rPr>
        <w:t xml:space="preserve"> </w:t>
      </w:r>
      <w:r w:rsidR="00AF689B" w:rsidRPr="00AF57BF">
        <w:t>(</w:t>
      </w:r>
      <w:r w:rsidR="005A1ADB" w:rsidRPr="00AF57BF">
        <w:rPr>
          <w:i/>
        </w:rPr>
        <w:t>Deere</w:t>
      </w:r>
      <w:r w:rsidR="00AF689B" w:rsidRPr="00AF57BF">
        <w:t>)</w:t>
      </w:r>
      <w:r w:rsidR="0068225A" w:rsidRPr="00AF57BF">
        <w:t xml:space="preserve">, </w:t>
      </w:r>
      <w:r w:rsidR="00791625" w:rsidRPr="00AF57BF">
        <w:t>denied relie</w:t>
      </w:r>
      <w:r w:rsidR="002B7B56" w:rsidRPr="00AF57BF">
        <w:t>f</w:t>
      </w:r>
      <w:r w:rsidRPr="00AF57BF">
        <w:t xml:space="preserve"> on claims arising from the failure to present a</w:t>
      </w:r>
      <w:r w:rsidR="0068225A" w:rsidRPr="00AF57BF">
        <w:t xml:space="preserve"> penalty defense</w:t>
      </w:r>
      <w:r w:rsidR="003F4828" w:rsidRPr="00AF57BF">
        <w:t xml:space="preserve"> at trial</w:t>
      </w:r>
      <w:r w:rsidR="00A747E9" w:rsidRPr="00AF57BF">
        <w:t>.  T</w:t>
      </w:r>
      <w:r w:rsidR="00DF1CDB" w:rsidRPr="00AF57BF">
        <w:t>hey distinguish</w:t>
      </w:r>
      <w:r w:rsidR="0068225A" w:rsidRPr="00AF57BF">
        <w:t xml:space="preserve"> </w:t>
      </w:r>
      <w:r w:rsidR="00DF1CDB" w:rsidRPr="00AF57BF">
        <w:t xml:space="preserve">those cases </w:t>
      </w:r>
      <w:r w:rsidR="0068225A" w:rsidRPr="00AF57BF">
        <w:t xml:space="preserve">as involving either self-represented defendants or instances of ineffective assistance of counsel, a claim they are not raising here.  </w:t>
      </w:r>
      <w:r w:rsidRPr="00AF57BF">
        <w:t xml:space="preserve">To the extent those decisions are </w:t>
      </w:r>
      <w:r w:rsidR="003F4828" w:rsidRPr="00AF57BF">
        <w:t xml:space="preserve">inconsistent with the position they assert here, they </w:t>
      </w:r>
      <w:r w:rsidR="00A56600" w:rsidRPr="00AF57BF">
        <w:t xml:space="preserve">ask </w:t>
      </w:r>
      <w:r w:rsidR="00217962" w:rsidRPr="00AF57BF">
        <w:t>this court to reconsider them.</w:t>
      </w:r>
    </w:p>
    <w:p w:rsidR="00217962" w:rsidRPr="00AF57BF" w:rsidRDefault="00FE44F0" w:rsidP="00AF57BF">
      <w:pPr>
        <w:pStyle w:val="Text"/>
        <w:spacing w:line="400" w:lineRule="exact"/>
      </w:pPr>
      <w:r w:rsidRPr="00AF57BF">
        <w:t xml:space="preserve">Defendants’ arguments are unpersuasive.  </w:t>
      </w:r>
      <w:r w:rsidR="00EB6A76" w:rsidRPr="00AF57BF">
        <w:t>Thirty years of precedent,</w:t>
      </w:r>
      <w:r w:rsidR="00DD59DF" w:rsidRPr="00AF57BF">
        <w:t xml:space="preserve"> </w:t>
      </w:r>
      <w:r w:rsidR="00F51F62" w:rsidRPr="00AF57BF">
        <w:t>beginning with</w:t>
      </w:r>
      <w:r w:rsidR="00DD59DF" w:rsidRPr="00AF57BF">
        <w:t xml:space="preserve"> </w:t>
      </w:r>
      <w:r w:rsidR="00DD59DF" w:rsidRPr="00AF57BF">
        <w:rPr>
          <w:i/>
        </w:rPr>
        <w:t>Bloom</w:t>
      </w:r>
      <w:r w:rsidR="00DD59DF" w:rsidRPr="00AF57BF">
        <w:t xml:space="preserve">, </w:t>
      </w:r>
      <w:r w:rsidR="00DD59DF" w:rsidRPr="00AF57BF">
        <w:rPr>
          <w:i/>
        </w:rPr>
        <w:t>supra</w:t>
      </w:r>
      <w:r w:rsidR="00EB6A76" w:rsidRPr="00AF57BF">
        <w:t>, 48 Cal.3d 1194, has</w:t>
      </w:r>
      <w:r w:rsidR="00DD59DF" w:rsidRPr="00AF57BF">
        <w:t xml:space="preserve"> consistently held, among the core of fundamental questions over which a represented defendant retains control is the decision whether or not to present a defense at the penalty phase of a capital trial</w:t>
      </w:r>
      <w:r w:rsidR="006E2337" w:rsidRPr="00AF57BF">
        <w:t>, and the choice not to do so is not a denial of the right to counsel or a reliable penalty determination</w:t>
      </w:r>
      <w:r w:rsidR="00DD59DF" w:rsidRPr="00AF57BF">
        <w:t xml:space="preserve">.  </w:t>
      </w:r>
      <w:r w:rsidR="00AF689B" w:rsidRPr="00AF57BF">
        <w:t xml:space="preserve">(See </w:t>
      </w:r>
      <w:r w:rsidR="005F7DCA" w:rsidRPr="00AF57BF">
        <w:rPr>
          <w:i/>
        </w:rPr>
        <w:t>People v. Snow</w:t>
      </w:r>
      <w:r w:rsidR="00E61CB9" w:rsidRPr="00AF57BF">
        <w:t xml:space="preserve"> (2003) 30 </w:t>
      </w:r>
      <w:r w:rsidR="005F7DCA" w:rsidRPr="00AF57BF">
        <w:t xml:space="preserve">Cal.4th 43, 119–121; </w:t>
      </w:r>
      <w:r w:rsidR="00AF689B" w:rsidRPr="00AF57BF">
        <w:rPr>
          <w:i/>
        </w:rPr>
        <w:t>Deere</w:t>
      </w:r>
      <w:r w:rsidR="00AF689B" w:rsidRPr="00AF57BF">
        <w:t xml:space="preserve">, </w:t>
      </w:r>
      <w:r w:rsidR="00AF689B" w:rsidRPr="00AF57BF">
        <w:rPr>
          <w:i/>
        </w:rPr>
        <w:t>supra</w:t>
      </w:r>
      <w:r w:rsidR="00AF689B" w:rsidRPr="00AF57BF">
        <w:t xml:space="preserve">, 53 Cal.3d at p. 717; </w:t>
      </w:r>
      <w:r w:rsidR="00AF689B" w:rsidRPr="00AF57BF">
        <w:rPr>
          <w:i/>
        </w:rPr>
        <w:t>Sanders</w:t>
      </w:r>
      <w:r w:rsidR="00AF689B" w:rsidRPr="00AF57BF">
        <w:t xml:space="preserve">, </w:t>
      </w:r>
      <w:r w:rsidR="00AF689B" w:rsidRPr="00AF57BF">
        <w:rPr>
          <w:i/>
        </w:rPr>
        <w:t>supra</w:t>
      </w:r>
      <w:r w:rsidR="00AF689B" w:rsidRPr="00AF57BF">
        <w:t xml:space="preserve">, </w:t>
      </w:r>
      <w:r w:rsidR="00AF689B" w:rsidRPr="00AF57BF">
        <w:lastRenderedPageBreak/>
        <w:t xml:space="preserve">51 Cal.3d at pp. 526–527; </w:t>
      </w:r>
      <w:r w:rsidR="00AF689B" w:rsidRPr="00AF57BF">
        <w:rPr>
          <w:i/>
        </w:rPr>
        <w:t>Lang</w:t>
      </w:r>
      <w:r w:rsidR="00AF689B" w:rsidRPr="00AF57BF">
        <w:t xml:space="preserve">, </w:t>
      </w:r>
      <w:r w:rsidR="00AF689B" w:rsidRPr="00AF57BF">
        <w:rPr>
          <w:i/>
        </w:rPr>
        <w:t>supra</w:t>
      </w:r>
      <w:r w:rsidR="006E2337" w:rsidRPr="00AF57BF">
        <w:t>, 49 Cal.3d at p. 1030</w:t>
      </w:r>
      <w:r w:rsidR="00F51F62" w:rsidRPr="00AF57BF">
        <w:t xml:space="preserve">; </w:t>
      </w:r>
      <w:r w:rsidR="00F51F62" w:rsidRPr="00AF57BF">
        <w:rPr>
          <w:i/>
        </w:rPr>
        <w:t>Bloom</w:t>
      </w:r>
      <w:r w:rsidR="00F51F62" w:rsidRPr="00AF57BF">
        <w:t xml:space="preserve">, </w:t>
      </w:r>
      <w:r w:rsidR="001572E3" w:rsidRPr="00AF57BF">
        <w:t>at p. 1228</w:t>
      </w:r>
      <w:r w:rsidR="006E2337" w:rsidRPr="00AF57BF">
        <w:t xml:space="preserve">.)  </w:t>
      </w:r>
      <w:r w:rsidR="001016A7" w:rsidRPr="00AF57BF">
        <w:t>“</w:t>
      </w:r>
      <w:r w:rsidR="001572E3" w:rsidRPr="00AF57BF">
        <w:t> ‘[</w:t>
      </w:r>
      <w:r w:rsidR="001016A7" w:rsidRPr="00AF57BF">
        <w:t>T</w:t>
      </w:r>
      <w:r w:rsidR="001572E3" w:rsidRPr="00AF57BF">
        <w:t>]</w:t>
      </w:r>
      <w:r w:rsidR="001016A7" w:rsidRPr="00AF57BF">
        <w:t>he required reliability is attained when the prosecution has discharged its burden of proof at the guilt and penalty phases pursuant to the rules of evidence and within the guidelines of a constitutional death penalty statute, the death verdict has been returned under proper instructions and procedures, and the trier of penalty has duly considered the relevant mitigating evidence, if any, which the defendant has chosen to present.  A judgment of death entered in conformity with these rigorous standards does not violate the Eighth Amendment reliability requirements.</w:t>
      </w:r>
      <w:proofErr w:type="gramStart"/>
      <w:r w:rsidR="00030B34" w:rsidRPr="00AF57BF">
        <w:t>’ </w:t>
      </w:r>
      <w:r w:rsidR="001016A7" w:rsidRPr="00AF57BF">
        <w:t>”</w:t>
      </w:r>
      <w:proofErr w:type="gramEnd"/>
      <w:r w:rsidR="001016A7" w:rsidRPr="00AF57BF">
        <w:t xml:space="preserve">  (</w:t>
      </w:r>
      <w:r w:rsidR="001016A7" w:rsidRPr="00AF57BF">
        <w:rPr>
          <w:i/>
        </w:rPr>
        <w:t>Sanders</w:t>
      </w:r>
      <w:r w:rsidR="001016A7" w:rsidRPr="00AF57BF">
        <w:t>, at p. 526</w:t>
      </w:r>
      <w:r w:rsidR="0088437E">
        <w:t>, fn. omitted</w:t>
      </w:r>
      <w:r w:rsidR="001016A7" w:rsidRPr="00AF57BF">
        <w:t xml:space="preserve">.)  </w:t>
      </w:r>
      <w:r w:rsidR="00BF42EF" w:rsidRPr="00AF57BF">
        <w:t xml:space="preserve">Nor is a defendant deprived of </w:t>
      </w:r>
      <w:r w:rsidR="00CC694F" w:rsidRPr="00AF57BF">
        <w:t xml:space="preserve">his Sixth Amendment right to </w:t>
      </w:r>
      <w:r w:rsidR="00BF42EF" w:rsidRPr="00AF57BF">
        <w:t xml:space="preserve">counsel by virtue of counsel’s acquiescence in the defendant’s </w:t>
      </w:r>
      <w:r w:rsidR="00913BA8" w:rsidRPr="00AF57BF">
        <w:t xml:space="preserve">own </w:t>
      </w:r>
      <w:r w:rsidR="00BF42EF" w:rsidRPr="00AF57BF">
        <w:t>decision that no defense shall be presented on his behalf</w:t>
      </w:r>
      <w:r w:rsidR="00913BA8" w:rsidRPr="00AF57BF">
        <w:t xml:space="preserve">. </w:t>
      </w:r>
      <w:r w:rsidR="00CC694F" w:rsidRPr="00AF57BF">
        <w:t xml:space="preserve"> </w:t>
      </w:r>
      <w:r w:rsidR="00913BA8" w:rsidRPr="00AF57BF">
        <w:t>T</w:t>
      </w:r>
      <w:r w:rsidR="00CC694F" w:rsidRPr="00AF57BF">
        <w:t>hat</w:t>
      </w:r>
      <w:r w:rsidR="001A6E72" w:rsidRPr="00AF57BF">
        <w:t xml:space="preserve"> </w:t>
      </w:r>
      <w:r w:rsidR="00CC694F" w:rsidRPr="00AF57BF">
        <w:t xml:space="preserve">decision is the </w:t>
      </w:r>
      <w:proofErr w:type="gramStart"/>
      <w:r w:rsidR="00CC694F" w:rsidRPr="00AF57BF">
        <w:t>defendant</w:t>
      </w:r>
      <w:r w:rsidR="00341082" w:rsidRPr="00AF57BF">
        <w:t>’</w:t>
      </w:r>
      <w:r w:rsidR="001A6E72" w:rsidRPr="00AF57BF">
        <w:t>s</w:t>
      </w:r>
      <w:proofErr w:type="gramEnd"/>
      <w:r w:rsidR="001A6E72" w:rsidRPr="00AF57BF">
        <w:t xml:space="preserve"> to make</w:t>
      </w:r>
      <w:r w:rsidR="00BF42EF" w:rsidRPr="00AF57BF">
        <w:t>.</w:t>
      </w:r>
      <w:r w:rsidR="000C07E5" w:rsidRPr="00AF57BF">
        <w:t xml:space="preserve">  </w:t>
      </w:r>
      <w:r w:rsidR="001A6E72" w:rsidRPr="00AF57BF">
        <w:t>(</w:t>
      </w:r>
      <w:r w:rsidR="00CB0E6C" w:rsidRPr="00AF57BF">
        <w:rPr>
          <w:i/>
        </w:rPr>
        <w:t>Lang</w:t>
      </w:r>
      <w:r w:rsidR="00CB0E6C" w:rsidRPr="00AF57BF">
        <w:t>, at pp. 1030–1031.</w:t>
      </w:r>
      <w:r w:rsidR="00D44A98" w:rsidRPr="00AF57BF">
        <w:t xml:space="preserve">) </w:t>
      </w:r>
      <w:r w:rsidR="00CB0E6C" w:rsidRPr="00AF57BF">
        <w:t xml:space="preserve"> </w:t>
      </w:r>
      <w:r w:rsidR="009C4995" w:rsidRPr="00AF57BF">
        <w:t xml:space="preserve">Despite the general rule that counsel is responsible for the selection of jury instructions, the requested </w:t>
      </w:r>
      <w:r w:rsidR="00E84AFA" w:rsidRPr="00AF57BF">
        <w:t>instruction</w:t>
      </w:r>
      <w:r w:rsidR="009C4995" w:rsidRPr="00AF57BF">
        <w:t>s</w:t>
      </w:r>
      <w:r w:rsidR="00E84AFA" w:rsidRPr="00AF57BF">
        <w:t xml:space="preserve"> </w:t>
      </w:r>
      <w:r w:rsidR="009C4995" w:rsidRPr="00AF57BF">
        <w:t xml:space="preserve">were </w:t>
      </w:r>
      <w:r w:rsidR="00E61CB9" w:rsidRPr="00AF57BF">
        <w:t>properly refused</w:t>
      </w:r>
      <w:r w:rsidR="009C4995" w:rsidRPr="00AF57BF">
        <w:t xml:space="preserve"> </w:t>
      </w:r>
      <w:r w:rsidR="009525D3" w:rsidRPr="00AF57BF">
        <w:t>in the face of defendants’ objection</w:t>
      </w:r>
      <w:r w:rsidR="005C4627" w:rsidRPr="00AF57BF">
        <w:t>.</w:t>
      </w:r>
      <w:r w:rsidR="009525D3" w:rsidRPr="00AF57BF">
        <w:t xml:space="preserve"> </w:t>
      </w:r>
      <w:r w:rsidR="005C4627" w:rsidRPr="00AF57BF">
        <w:t xml:space="preserve"> A</w:t>
      </w:r>
      <w:r w:rsidR="009C4995" w:rsidRPr="00AF57BF">
        <w:t>s the court implicitly recognized,</w:t>
      </w:r>
      <w:r w:rsidR="00E84AFA" w:rsidRPr="00AF57BF">
        <w:t xml:space="preserve"> </w:t>
      </w:r>
      <w:r w:rsidR="00334E75" w:rsidRPr="00AF57BF">
        <w:t>the only reason for request</w:t>
      </w:r>
      <w:r w:rsidR="009C4995" w:rsidRPr="00AF57BF">
        <w:t xml:space="preserve">ing them would be to seek a sentence of </w:t>
      </w:r>
      <w:r w:rsidR="00341082" w:rsidRPr="00AF57BF">
        <w:t>life without parole</w:t>
      </w:r>
      <w:r w:rsidR="009C4995" w:rsidRPr="00AF57BF">
        <w:t xml:space="preserve"> rather than death, the very decision the law commits</w:t>
      </w:r>
      <w:r w:rsidR="00CB0E6C" w:rsidRPr="00AF57BF">
        <w:t xml:space="preserve"> to the defendant personally.</w:t>
      </w:r>
    </w:p>
    <w:p w:rsidR="0052123E" w:rsidRPr="00AF57BF" w:rsidRDefault="00565BAC" w:rsidP="00AF57BF">
      <w:pPr>
        <w:pStyle w:val="Text"/>
        <w:spacing w:line="400" w:lineRule="exact"/>
      </w:pPr>
      <w:r w:rsidRPr="00AF57BF">
        <w:rPr>
          <w:i/>
        </w:rPr>
        <w:t>McCoy v. Louisiana</w:t>
      </w:r>
      <w:r w:rsidRPr="00AF57BF">
        <w:t xml:space="preserve"> (2018) ___ U.S. ___, 138 </w:t>
      </w:r>
      <w:proofErr w:type="spellStart"/>
      <w:r w:rsidRPr="00AF57BF">
        <w:t>S.Ct</w:t>
      </w:r>
      <w:proofErr w:type="spellEnd"/>
      <w:r w:rsidRPr="00AF57BF">
        <w:t xml:space="preserve">. 1500, further supports our conclusion.  There the high court distinguished between </w:t>
      </w:r>
      <w:r w:rsidR="000A588E" w:rsidRPr="00AF57BF">
        <w:t>the different purviews of counsel and client</w:t>
      </w:r>
      <w:r w:rsidR="00B44F1F" w:rsidRPr="00AF57BF">
        <w:t xml:space="preserve">. </w:t>
      </w:r>
      <w:r w:rsidR="000A588E" w:rsidRPr="00AF57BF">
        <w:t xml:space="preserve"> </w:t>
      </w:r>
      <w:r w:rsidR="00B44F1F" w:rsidRPr="00AF57BF">
        <w:t>Trial management is controlled by counsel.  It encompasses</w:t>
      </w:r>
      <w:r w:rsidRPr="00AF57BF">
        <w:t xml:space="preserve"> such functions as determining </w:t>
      </w:r>
      <w:proofErr w:type="gramStart"/>
      <w:r w:rsidRPr="00AF57BF">
        <w:t>“ ‘</w:t>
      </w:r>
      <w:proofErr w:type="gramEnd"/>
      <w:r w:rsidRPr="00AF57BF">
        <w:t>what arguments to pursue, what evidentiary objections to raise, and what agreements to conclude regarding the admission of evidence</w:t>
      </w:r>
      <w:r w:rsidR="00B44F1F" w:rsidRPr="00AF57BF">
        <w:t>.</w:t>
      </w:r>
      <w:r w:rsidRPr="00AF57BF">
        <w:t xml:space="preserve">’ ” </w:t>
      </w:r>
      <w:r w:rsidR="00B44F1F" w:rsidRPr="00AF57BF">
        <w:t xml:space="preserve"> </w:t>
      </w:r>
      <w:r w:rsidRPr="00AF57BF">
        <w:t>(</w:t>
      </w:r>
      <w:r w:rsidR="00B44F1F" w:rsidRPr="00AF57BF">
        <w:rPr>
          <w:i/>
        </w:rPr>
        <w:t>I</w:t>
      </w:r>
      <w:r w:rsidRPr="00AF57BF">
        <w:rPr>
          <w:i/>
        </w:rPr>
        <w:t>d.</w:t>
      </w:r>
      <w:r w:rsidRPr="00AF57BF">
        <w:t xml:space="preserve"> at p. ___ [138 </w:t>
      </w:r>
      <w:proofErr w:type="spellStart"/>
      <w:r w:rsidRPr="00AF57BF">
        <w:t>S.Ct</w:t>
      </w:r>
      <w:proofErr w:type="spellEnd"/>
      <w:r w:rsidRPr="00AF57BF">
        <w:t>. at p. 1508]</w:t>
      </w:r>
      <w:r w:rsidR="00B44F1F" w:rsidRPr="00AF57BF">
        <w:t>.)  C</w:t>
      </w:r>
      <w:r w:rsidRPr="00AF57BF">
        <w:t>hoice of the defense objective</w:t>
      </w:r>
      <w:r w:rsidR="00B44F1F" w:rsidRPr="00AF57BF">
        <w:t xml:space="preserve"> is</w:t>
      </w:r>
      <w:r w:rsidRPr="00AF57BF">
        <w:t xml:space="preserve"> the client’s prerogative.  (</w:t>
      </w:r>
      <w:r w:rsidRPr="00AF57BF">
        <w:rPr>
          <w:i/>
        </w:rPr>
        <w:t>Ibid.</w:t>
      </w:r>
      <w:r w:rsidR="00B44F1F" w:rsidRPr="00AF57BF">
        <w:t>)  D</w:t>
      </w:r>
      <w:r w:rsidRPr="00AF57BF">
        <w:t xml:space="preserve">efendants claim </w:t>
      </w:r>
      <w:r w:rsidRPr="00AF57BF">
        <w:lastRenderedPageBreak/>
        <w:t>that the decision to present certain mitigating evidence or request particular jury ins</w:t>
      </w:r>
      <w:r w:rsidR="00B44F1F" w:rsidRPr="00AF57BF">
        <w:t>tructions are aspects</w:t>
      </w:r>
      <w:r w:rsidRPr="00AF57BF">
        <w:t xml:space="preserve"> of trial management</w:t>
      </w:r>
      <w:r w:rsidR="00B44F1F" w:rsidRPr="00AF57BF">
        <w:t>.</w:t>
      </w:r>
      <w:r w:rsidRPr="00AF57BF">
        <w:t xml:space="preserve"> </w:t>
      </w:r>
      <w:r w:rsidR="00B44F1F" w:rsidRPr="00AF57BF">
        <w:t xml:space="preserve"> As such they are controlled by counsel </w:t>
      </w:r>
      <w:r w:rsidRPr="00AF57BF">
        <w:t>even after defendants made clear their desire to pre</w:t>
      </w:r>
      <w:r w:rsidR="00B44F1F" w:rsidRPr="00AF57BF">
        <w:t>sent no penalty phase defense.  T</w:t>
      </w:r>
      <w:r w:rsidRPr="00AF57BF">
        <w:t xml:space="preserve">hey are incorrect.  To accept their </w:t>
      </w:r>
      <w:r w:rsidR="00505A25" w:rsidRPr="00AF57BF">
        <w:t>argument</w:t>
      </w:r>
      <w:r w:rsidRPr="00AF57BF">
        <w:t xml:space="preserve"> would be to read out of existence the </w:t>
      </w:r>
      <w:r w:rsidR="00505A25" w:rsidRPr="00AF57BF">
        <w:t>allocation of responsibilities</w:t>
      </w:r>
      <w:r w:rsidRPr="00AF57BF">
        <w:t xml:space="preserve"> the high court recognized in </w:t>
      </w:r>
      <w:r w:rsidRPr="00AF57BF">
        <w:rPr>
          <w:i/>
        </w:rPr>
        <w:t>McCoy</w:t>
      </w:r>
      <w:r w:rsidRPr="00AF57BF">
        <w:t xml:space="preserve">.  </w:t>
      </w:r>
    </w:p>
    <w:p w:rsidR="00565BAC" w:rsidRPr="00AF57BF" w:rsidRDefault="001D22B0" w:rsidP="00AF57BF">
      <w:pPr>
        <w:pStyle w:val="Text"/>
        <w:spacing w:line="400" w:lineRule="exact"/>
      </w:pPr>
      <w:r w:rsidRPr="00AF57BF">
        <w:t>T</w:t>
      </w:r>
      <w:r w:rsidR="006D26C2" w:rsidRPr="00AF57BF">
        <w:t xml:space="preserve">he </w:t>
      </w:r>
      <w:r w:rsidRPr="00AF57BF">
        <w:t xml:space="preserve">record </w:t>
      </w:r>
      <w:r w:rsidR="00B44F1F" w:rsidRPr="00AF57BF">
        <w:t>clearly demonstrates</w:t>
      </w:r>
      <w:r w:rsidRPr="00AF57BF">
        <w:t xml:space="preserve"> defendants’ objective in th</w:t>
      </w:r>
      <w:r w:rsidR="00B44F1F" w:rsidRPr="00AF57BF">
        <w:t>is case.  The court engaged in</w:t>
      </w:r>
      <w:r w:rsidR="00135861" w:rsidRPr="00AF57BF">
        <w:t xml:space="preserve"> extensive and</w:t>
      </w:r>
      <w:r w:rsidR="00D5575A" w:rsidRPr="00AF57BF">
        <w:t xml:space="preserve"> careful colloquy</w:t>
      </w:r>
      <w:r w:rsidRPr="00AF57BF">
        <w:t xml:space="preserve"> with defendants </w:t>
      </w:r>
      <w:r w:rsidR="00B44F1F" w:rsidRPr="00AF57BF">
        <w:t>and their counsel</w:t>
      </w:r>
      <w:r w:rsidR="0052123E" w:rsidRPr="00AF57BF">
        <w:t xml:space="preserve"> to ensure that </w:t>
      </w:r>
      <w:r w:rsidR="00D5575A" w:rsidRPr="00AF57BF">
        <w:t>each defendant</w:t>
      </w:r>
      <w:r w:rsidR="007B48B6" w:rsidRPr="00AF57BF">
        <w:t xml:space="preserve"> understood the stakes</w:t>
      </w:r>
      <w:r w:rsidR="006D357B" w:rsidRPr="00AF57BF">
        <w:t xml:space="preserve"> involved in </w:t>
      </w:r>
      <w:r w:rsidR="00D5575A" w:rsidRPr="00AF57BF">
        <w:t>pursuing his choice</w:t>
      </w:r>
      <w:r w:rsidR="0052123E" w:rsidRPr="00AF57BF">
        <w:t xml:space="preserve">.  </w:t>
      </w:r>
      <w:r w:rsidR="00D5575A" w:rsidRPr="00AF57BF">
        <w:t xml:space="preserve">It ensured each defendant had the benefit of the court’s own counsel, as well as that of his lawyers.  It confirmed that both defense teams had prepared a case in mitigation and were ready to present it.  It gave each defendant several opportunities to ask questions and to explain his choice in his own words.  It expressed its own concerns for each defendant as an individual and for the preservation of each man’s procedural safeguards. The court interacted with each defendant directly and with courtesy.  It took the same kind of care that is required when ensuring that the waiver of any substantial right is personally and properly made.  It explicitly found that each defendant had made his own choice knowingly and voluntarily.  </w:t>
      </w:r>
      <w:r w:rsidR="00213E50" w:rsidRPr="00AF57BF">
        <w:t xml:space="preserve">The procedure employed here satisfied the state’s interest in assuring the </w:t>
      </w:r>
      <w:r w:rsidR="00713E4E" w:rsidRPr="00AF57BF">
        <w:t>fairness and accuracy</w:t>
      </w:r>
      <w:r w:rsidR="00213E50" w:rsidRPr="00AF57BF">
        <w:t xml:space="preserve"> of the death judgments consistent</w:t>
      </w:r>
      <w:r w:rsidR="00487703" w:rsidRPr="00AF57BF">
        <w:t>ly</w:t>
      </w:r>
      <w:r w:rsidR="00213E50" w:rsidRPr="00AF57BF">
        <w:t xml:space="preserve"> with </w:t>
      </w:r>
      <w:r w:rsidR="00213E50" w:rsidRPr="00AF57BF">
        <w:rPr>
          <w:i/>
        </w:rPr>
        <w:t>McCoy</w:t>
      </w:r>
      <w:r w:rsidR="00213E50" w:rsidRPr="00AF57BF">
        <w:t xml:space="preserve">.  </w:t>
      </w:r>
    </w:p>
    <w:p w:rsidR="00D23DA0" w:rsidRPr="00AF57BF" w:rsidRDefault="006C5C80" w:rsidP="00AF57BF">
      <w:pPr>
        <w:pStyle w:val="Heading3"/>
        <w:numPr>
          <w:ilvl w:val="0"/>
          <w:numId w:val="6"/>
        </w:numPr>
        <w:ind w:left="1584" w:hanging="432"/>
      </w:pPr>
      <w:bookmarkStart w:id="38" w:name="_Toc521674408"/>
      <w:r w:rsidRPr="00AF57BF">
        <w:t xml:space="preserve">Instruction that </w:t>
      </w:r>
      <w:r w:rsidR="000F6564" w:rsidRPr="00AF57BF">
        <w:t>Death I</w:t>
      </w:r>
      <w:r w:rsidRPr="00AF57BF">
        <w:t>s a</w:t>
      </w:r>
      <w:r w:rsidR="000F6564" w:rsidRPr="00AF57BF">
        <w:t xml:space="preserve"> Greater Punishment than L</w:t>
      </w:r>
      <w:r w:rsidRPr="00AF57BF">
        <w:t xml:space="preserve">ife </w:t>
      </w:r>
      <w:r w:rsidR="000F6564" w:rsidRPr="00AF57BF">
        <w:t>Imprisonment without the Possibility of P</w:t>
      </w:r>
      <w:r w:rsidRPr="00AF57BF">
        <w:t>arole</w:t>
      </w:r>
      <w:bookmarkEnd w:id="38"/>
    </w:p>
    <w:p w:rsidR="00E92205" w:rsidRPr="00AF57BF" w:rsidRDefault="00E92205" w:rsidP="00AF57BF">
      <w:pPr>
        <w:pStyle w:val="Text"/>
        <w:spacing w:line="400" w:lineRule="exact"/>
      </w:pPr>
      <w:r w:rsidRPr="00AF57BF">
        <w:t xml:space="preserve">During </w:t>
      </w:r>
      <w:r w:rsidR="00952900" w:rsidRPr="00AF57BF">
        <w:t>voir dire, t</w:t>
      </w:r>
      <w:r w:rsidRPr="00AF57BF">
        <w:t>he trial court inst</w:t>
      </w:r>
      <w:r w:rsidR="00952900" w:rsidRPr="00AF57BF">
        <w:t>ructed prospective jurors that death is a greater punishment than l</w:t>
      </w:r>
      <w:r w:rsidR="00182B5C" w:rsidRPr="00AF57BF">
        <w:t xml:space="preserve">ife </w:t>
      </w:r>
      <w:r w:rsidR="00182B5C" w:rsidRPr="00AF57BF">
        <w:lastRenderedPageBreak/>
        <w:t>imprisonment without parole</w:t>
      </w:r>
      <w:proofErr w:type="gramStart"/>
      <w:r w:rsidR="00182B5C" w:rsidRPr="00AF57BF">
        <w:t>:</w:t>
      </w:r>
      <w:r w:rsidR="00952900" w:rsidRPr="00AF57BF">
        <w:t xml:space="preserve">  “</w:t>
      </w:r>
      <w:proofErr w:type="gramEnd"/>
      <w:r w:rsidR="00952900" w:rsidRPr="00AF57BF">
        <w:t>The law says life without parole is a lesser sentence.  It’s less serious than death.  Many of you said [in questionnaire responses], My God, I’d rathe</w:t>
      </w:r>
      <w:r w:rsidR="001572E3" w:rsidRPr="00AF57BF">
        <w:t>r be dead than spend</w:t>
      </w:r>
      <w:r w:rsidR="00952900" w:rsidRPr="00AF57BF">
        <w:t xml:space="preserve"> my life in prison.  </w:t>
      </w:r>
      <w:r w:rsidR="007C7051" w:rsidRPr="00AF57BF">
        <w:t>I’m telling you, the law that you have sworn to follow says, No, you cannot consider that.  That may be your personal feeling.  But you must agree to follow the law and the law says life without parole is a lesser punishment to death.</w:t>
      </w:r>
      <w:r w:rsidR="00E4335A" w:rsidRPr="00AF57BF">
        <w:t>”</w:t>
      </w:r>
      <w:r w:rsidR="007C7051" w:rsidRPr="00AF57BF">
        <w:t xml:space="preserve">  </w:t>
      </w:r>
      <w:r w:rsidR="00462870" w:rsidRPr="00AF57BF">
        <w:t>Counsel for both defendants objected, arguing that the law allows a jury to return a verdict of life without parole even if factors in aggravation substantially outweigh those in mitigation</w:t>
      </w:r>
      <w:r w:rsidR="0029238F" w:rsidRPr="00AF57BF">
        <w:t xml:space="preserve">. </w:t>
      </w:r>
      <w:r w:rsidR="00462870" w:rsidRPr="00AF57BF">
        <w:t xml:space="preserve"> </w:t>
      </w:r>
      <w:r w:rsidR="0029238F" w:rsidRPr="00AF57BF">
        <w:t>Thus, they asserted</w:t>
      </w:r>
      <w:r w:rsidR="006E7B23" w:rsidRPr="00AF57BF">
        <w:t xml:space="preserve"> the law </w:t>
      </w:r>
      <w:r w:rsidR="0029238F" w:rsidRPr="00AF57BF">
        <w:t xml:space="preserve">does </w:t>
      </w:r>
      <w:r w:rsidR="004E4A54" w:rsidRPr="00AF57BF">
        <w:t xml:space="preserve">not </w:t>
      </w:r>
      <w:r w:rsidR="0029238F" w:rsidRPr="00AF57BF">
        <w:t>establish that</w:t>
      </w:r>
      <w:r w:rsidR="006E7B23" w:rsidRPr="00AF57BF">
        <w:t xml:space="preserve"> death </w:t>
      </w:r>
      <w:r w:rsidR="0029238F" w:rsidRPr="00AF57BF">
        <w:t>i</w:t>
      </w:r>
      <w:r w:rsidR="006E7B23" w:rsidRPr="00AF57BF">
        <w:t xml:space="preserve">s the more serious punishment.  Defense counsel also </w:t>
      </w:r>
      <w:r w:rsidR="0098792B" w:rsidRPr="00AF57BF">
        <w:t>assert</w:t>
      </w:r>
      <w:r w:rsidR="005F1A50" w:rsidRPr="00AF57BF">
        <w:t xml:space="preserve">ed </w:t>
      </w:r>
      <w:r w:rsidR="0088437E">
        <w:t xml:space="preserve">that </w:t>
      </w:r>
      <w:r w:rsidR="005F1A50" w:rsidRPr="00AF57BF">
        <w:t xml:space="preserve">the instruction tended to constrain jurors’ </w:t>
      </w:r>
      <w:proofErr w:type="spellStart"/>
      <w:r w:rsidR="005F1A50" w:rsidRPr="00AF57BF">
        <w:t>decisionmaking</w:t>
      </w:r>
      <w:proofErr w:type="spellEnd"/>
      <w:r w:rsidR="005F1A50" w:rsidRPr="00AF57BF">
        <w:t xml:space="preserve"> by </w:t>
      </w:r>
      <w:r w:rsidR="005C4627" w:rsidRPr="00AF57BF">
        <w:t>implying</w:t>
      </w:r>
      <w:r w:rsidR="001962E4" w:rsidRPr="00AF57BF">
        <w:t xml:space="preserve"> that</w:t>
      </w:r>
      <w:r w:rsidR="005F1A50" w:rsidRPr="00AF57BF">
        <w:t xml:space="preserve"> they </w:t>
      </w:r>
      <w:r w:rsidR="003B176A" w:rsidRPr="00AF57BF">
        <w:t xml:space="preserve">may not return a verdict of life without parole because it is less serious </w:t>
      </w:r>
      <w:r w:rsidR="00644CF4" w:rsidRPr="00AF57BF">
        <w:t>than a death verdict</w:t>
      </w:r>
      <w:r w:rsidR="003B176A" w:rsidRPr="00AF57BF">
        <w:t xml:space="preserve">.  </w:t>
      </w:r>
      <w:r w:rsidR="00EA14DC" w:rsidRPr="00AF57BF">
        <w:t>The court said</w:t>
      </w:r>
      <w:r w:rsidR="00922D50" w:rsidRPr="00AF57BF">
        <w:t xml:space="preserve"> </w:t>
      </w:r>
      <w:r w:rsidR="00EA14DC" w:rsidRPr="00AF57BF">
        <w:t xml:space="preserve">it found the question interesting </w:t>
      </w:r>
      <w:r w:rsidR="00922D50" w:rsidRPr="00AF57BF">
        <w:t xml:space="preserve">and would look into </w:t>
      </w:r>
      <w:r w:rsidR="007D2390" w:rsidRPr="00AF57BF">
        <w:t>it</w:t>
      </w:r>
      <w:r w:rsidR="00922D50" w:rsidRPr="00AF57BF">
        <w:t xml:space="preserve">.  </w:t>
      </w:r>
      <w:r w:rsidR="00EA14DC" w:rsidRPr="00AF57BF">
        <w:t xml:space="preserve">Later during jury selection, when </w:t>
      </w:r>
      <w:r w:rsidR="001572E3" w:rsidRPr="00AF57BF">
        <w:t>a prospective juror expressed the view that</w:t>
      </w:r>
      <w:r w:rsidR="00EA14DC" w:rsidRPr="00AF57BF">
        <w:t xml:space="preserve"> death </w:t>
      </w:r>
      <w:r w:rsidR="001572E3" w:rsidRPr="00AF57BF">
        <w:t>w</w:t>
      </w:r>
      <w:r w:rsidR="00EA14DC" w:rsidRPr="00AF57BF">
        <w:t>as “the easy way out,” the court repeated that life without parole is the lesser punishment</w:t>
      </w:r>
      <w:r w:rsidR="00922D50" w:rsidRPr="00AF57BF">
        <w:t>, and the defense again objected</w:t>
      </w:r>
      <w:r w:rsidR="00EA14DC" w:rsidRPr="00AF57BF">
        <w:t xml:space="preserve">.  </w:t>
      </w:r>
      <w:r w:rsidR="00922D50" w:rsidRPr="00AF57BF">
        <w:t xml:space="preserve">The court </w:t>
      </w:r>
      <w:r w:rsidR="00683BCC" w:rsidRPr="00AF57BF">
        <w:t>overruled the objection, stating</w:t>
      </w:r>
      <w:r w:rsidR="00922D50" w:rsidRPr="00AF57BF">
        <w:t xml:space="preserve"> it had found no law on the point, but the</w:t>
      </w:r>
      <w:r w:rsidR="005F553A" w:rsidRPr="00AF57BF">
        <w:t xml:space="preserve"> standard</w:t>
      </w:r>
      <w:r w:rsidR="00922D50" w:rsidRPr="00AF57BF">
        <w:t xml:space="preserve"> jury instruction</w:t>
      </w:r>
      <w:r w:rsidR="00AE2558" w:rsidRPr="00AF57BF">
        <w:t>s</w:t>
      </w:r>
      <w:r w:rsidR="009E4AA6" w:rsidRPr="00AF57BF">
        <w:t xml:space="preserve">, providing that </w:t>
      </w:r>
      <w:r w:rsidR="009E4AA6" w:rsidRPr="00AF57BF">
        <w:rPr>
          <w:i/>
        </w:rPr>
        <w:t>only</w:t>
      </w:r>
      <w:r w:rsidR="009E4AA6" w:rsidRPr="00AF57BF">
        <w:t xml:space="preserve"> if the evidence in aggravation substantially outweigh</w:t>
      </w:r>
      <w:r w:rsidR="003A0BDA" w:rsidRPr="00AF57BF">
        <w:t>s</w:t>
      </w:r>
      <w:r w:rsidR="009E4AA6" w:rsidRPr="00AF57BF">
        <w:t xml:space="preserve"> that in mitigation </w:t>
      </w:r>
      <w:r w:rsidR="003A0BDA" w:rsidRPr="00AF57BF">
        <w:t>may</w:t>
      </w:r>
      <w:r w:rsidR="009E4AA6" w:rsidRPr="00AF57BF">
        <w:t xml:space="preserve"> the jury return a death verdict,</w:t>
      </w:r>
      <w:r w:rsidR="00922D50" w:rsidRPr="00AF57BF">
        <w:t xml:space="preserve"> </w:t>
      </w:r>
      <w:r w:rsidR="00B92EEE" w:rsidRPr="00AF57BF">
        <w:t>represent</w:t>
      </w:r>
      <w:r w:rsidR="00AE2558" w:rsidRPr="00AF57BF">
        <w:t>ed the state of the law.</w:t>
      </w:r>
      <w:r w:rsidR="001572E3" w:rsidRPr="00AF57BF">
        <w:t xml:space="preserve">  </w:t>
      </w:r>
    </w:p>
    <w:p w:rsidR="008A21BC" w:rsidRPr="00AF57BF" w:rsidRDefault="004238E4" w:rsidP="00AF57BF">
      <w:pPr>
        <w:pStyle w:val="Text"/>
        <w:spacing w:line="400" w:lineRule="exact"/>
      </w:pPr>
      <w:r w:rsidRPr="00AF57BF">
        <w:t>Acknowledging</w:t>
      </w:r>
      <w:r w:rsidR="00A21885" w:rsidRPr="00AF57BF">
        <w:t xml:space="preserve"> that </w:t>
      </w:r>
      <w:r w:rsidR="001C1E60" w:rsidRPr="00AF57BF">
        <w:t xml:space="preserve">several of </w:t>
      </w:r>
      <w:r w:rsidR="00E61CB9" w:rsidRPr="00AF57BF">
        <w:t>this court’s</w:t>
      </w:r>
      <w:r w:rsidR="00A21885" w:rsidRPr="00AF57BF">
        <w:t xml:space="preserve"> </w:t>
      </w:r>
      <w:r w:rsidR="001C1E60" w:rsidRPr="00AF57BF">
        <w:t>decision</w:t>
      </w:r>
      <w:r w:rsidR="00E61CB9" w:rsidRPr="00AF57BF">
        <w:t>s support the trial judge</w:t>
      </w:r>
      <w:r w:rsidR="00A21885" w:rsidRPr="00AF57BF">
        <w:t xml:space="preserve">’s ruling (see, e.g., </w:t>
      </w:r>
      <w:r w:rsidR="00A21885" w:rsidRPr="00AF57BF">
        <w:rPr>
          <w:i/>
        </w:rPr>
        <w:t xml:space="preserve">People v. Tate </w:t>
      </w:r>
      <w:r w:rsidR="00A21885" w:rsidRPr="00AF57BF">
        <w:t xml:space="preserve">(2010) 49 Cal.4th 635, 707; </w:t>
      </w:r>
      <w:r w:rsidR="00A21885" w:rsidRPr="00AF57BF">
        <w:rPr>
          <w:i/>
        </w:rPr>
        <w:t>People v. Harris</w:t>
      </w:r>
      <w:r w:rsidR="00A21885" w:rsidRPr="00AF57BF">
        <w:t xml:space="preserve"> (</w:t>
      </w:r>
      <w:r w:rsidR="001C1E60" w:rsidRPr="00AF57BF">
        <w:t>2005) 37 Cal.4th 310, 361)</w:t>
      </w:r>
      <w:r w:rsidR="00A21885" w:rsidRPr="00AF57BF">
        <w:t>, d</w:t>
      </w:r>
      <w:r w:rsidR="008A21BC" w:rsidRPr="00AF57BF">
        <w:t>efendants renew their claim of error</w:t>
      </w:r>
      <w:r w:rsidR="005C4627" w:rsidRPr="00AF57BF">
        <w:t>.  They urge</w:t>
      </w:r>
      <w:r w:rsidR="0006602E" w:rsidRPr="00AF57BF">
        <w:t xml:space="preserve"> </w:t>
      </w:r>
      <w:r w:rsidR="0088437E">
        <w:t xml:space="preserve">that </w:t>
      </w:r>
      <w:r w:rsidR="0006602E" w:rsidRPr="00AF57BF">
        <w:t xml:space="preserve">the </w:t>
      </w:r>
      <w:r w:rsidR="005204AE" w:rsidRPr="00AF57BF">
        <w:t>ranking</w:t>
      </w:r>
      <w:r w:rsidR="0037492E" w:rsidRPr="00AF57BF">
        <w:t xml:space="preserve"> </w:t>
      </w:r>
      <w:r w:rsidR="005204AE" w:rsidRPr="00AF57BF">
        <w:t>of the death penalty a</w:t>
      </w:r>
      <w:r w:rsidR="0029238F" w:rsidRPr="00AF57BF">
        <w:t>s more severe than</w:t>
      </w:r>
      <w:r w:rsidR="0006602E" w:rsidRPr="00AF57BF">
        <w:t xml:space="preserve"> life imprisonment without parole </w:t>
      </w:r>
      <w:r w:rsidR="005C4627" w:rsidRPr="00AF57BF">
        <w:t>i</w:t>
      </w:r>
      <w:r w:rsidR="0006602E" w:rsidRPr="00AF57BF">
        <w:t>s arbitrary</w:t>
      </w:r>
      <w:r w:rsidR="00E0068C" w:rsidRPr="00AF57BF">
        <w:t xml:space="preserve"> and violat</w:t>
      </w:r>
      <w:r w:rsidR="005C4627" w:rsidRPr="00AF57BF">
        <w:t>es</w:t>
      </w:r>
      <w:r w:rsidR="00E0068C" w:rsidRPr="00AF57BF">
        <w:t xml:space="preserve"> the </w:t>
      </w:r>
      <w:r w:rsidR="00E0068C" w:rsidRPr="00AF57BF">
        <w:lastRenderedPageBreak/>
        <w:t>Eighth Amendment</w:t>
      </w:r>
      <w:r w:rsidR="00A21885" w:rsidRPr="00AF57BF">
        <w:t>.</w:t>
      </w:r>
      <w:r w:rsidR="001C1E60" w:rsidRPr="00AF57BF">
        <w:t xml:space="preserve">  The</w:t>
      </w:r>
      <w:r w:rsidR="005C4627" w:rsidRPr="00AF57BF">
        <w:t xml:space="preserve"> </w:t>
      </w:r>
      <w:r w:rsidR="000B628E" w:rsidRPr="00AF57BF">
        <w:t>authorities</w:t>
      </w:r>
      <w:r w:rsidR="005C4627" w:rsidRPr="00AF57BF">
        <w:t xml:space="preserve"> to which they point do not assist them</w:t>
      </w:r>
      <w:r w:rsidR="000B628E" w:rsidRPr="00AF57BF">
        <w:t xml:space="preserve">.  </w:t>
      </w:r>
      <w:r w:rsidR="00B676CF">
        <w:t>They point to</w:t>
      </w:r>
      <w:r w:rsidR="000B628E" w:rsidRPr="00AF57BF">
        <w:t xml:space="preserve"> United States Supreme Court decisions recognizing a condemned prisoner’s autonomy interest in forgoing </w:t>
      </w:r>
      <w:r w:rsidR="00927137" w:rsidRPr="00AF57BF">
        <w:t>appellate</w:t>
      </w:r>
      <w:r w:rsidR="009A7B03" w:rsidRPr="00AF57BF">
        <w:t xml:space="preserve"> relief from a death sentence (</w:t>
      </w:r>
      <w:r w:rsidR="00927137" w:rsidRPr="00AF57BF">
        <w:t xml:space="preserve">e.g., </w:t>
      </w:r>
      <w:r w:rsidR="00927137" w:rsidRPr="00AF57BF">
        <w:rPr>
          <w:i/>
        </w:rPr>
        <w:t>Gilmore v. Utah</w:t>
      </w:r>
      <w:r w:rsidR="00E61CB9" w:rsidRPr="00AF57BF">
        <w:t xml:space="preserve"> (1976) 429 U.S. 1012, 1016–</w:t>
      </w:r>
      <w:r w:rsidR="00927137" w:rsidRPr="00AF57BF">
        <w:t>1017)</w:t>
      </w:r>
      <w:r w:rsidR="00B676CF">
        <w:t>;</w:t>
      </w:r>
      <w:r w:rsidR="007D398C" w:rsidRPr="00AF57BF">
        <w:t xml:space="preserve"> </w:t>
      </w:r>
      <w:r w:rsidR="00B676CF">
        <w:t>to</w:t>
      </w:r>
      <w:r w:rsidR="007D398C" w:rsidRPr="00AF57BF">
        <w:t xml:space="preserve"> </w:t>
      </w:r>
      <w:r w:rsidR="007B74B8" w:rsidRPr="00AF57BF">
        <w:t>various state laws</w:t>
      </w:r>
      <w:r w:rsidR="007D398C" w:rsidRPr="00AF57BF">
        <w:t xml:space="preserve"> </w:t>
      </w:r>
      <w:r w:rsidR="005976EC" w:rsidRPr="00AF57BF">
        <w:t xml:space="preserve">recognizing a </w:t>
      </w:r>
      <w:r w:rsidR="00B92EEE" w:rsidRPr="00AF57BF">
        <w:t xml:space="preserve">terminally ill person’s </w:t>
      </w:r>
      <w:r w:rsidR="005976EC" w:rsidRPr="00AF57BF">
        <w:t xml:space="preserve">right to </w:t>
      </w:r>
      <w:r w:rsidR="00B92EEE" w:rsidRPr="00AF57BF">
        <w:t>physician-</w:t>
      </w:r>
      <w:r w:rsidR="007D398C" w:rsidRPr="00AF57BF">
        <w:t xml:space="preserve">assisted suicide </w:t>
      </w:r>
      <w:r w:rsidR="00F20815" w:rsidRPr="00AF57BF">
        <w:t xml:space="preserve">(e.g., </w:t>
      </w:r>
      <w:r w:rsidR="00341082" w:rsidRPr="00AF57BF">
        <w:t>Or. Rev. Stat</w:t>
      </w:r>
      <w:r w:rsidR="001572E3" w:rsidRPr="00AF57BF">
        <w:t>. § 127.800 et seq.</w:t>
      </w:r>
      <w:r w:rsidR="005976EC" w:rsidRPr="00AF57BF">
        <w:t xml:space="preserve">; Tex. Health &amp; </w:t>
      </w:r>
      <w:proofErr w:type="spellStart"/>
      <w:r w:rsidR="005976EC" w:rsidRPr="00AF57BF">
        <w:t>Saf</w:t>
      </w:r>
      <w:proofErr w:type="spellEnd"/>
      <w:r w:rsidR="005976EC" w:rsidRPr="00AF57BF">
        <w:t>. Code § 166.046</w:t>
      </w:r>
      <w:r w:rsidR="00E61CB9" w:rsidRPr="00AF57BF">
        <w:t xml:space="preserve">(e); </w:t>
      </w:r>
      <w:r w:rsidR="0088437E" w:rsidRPr="00AF57BF">
        <w:t xml:space="preserve">Wash. </w:t>
      </w:r>
      <w:r w:rsidR="00E61CB9" w:rsidRPr="00AF57BF">
        <w:t xml:space="preserve">Rev. Code </w:t>
      </w:r>
      <w:r w:rsidR="0088437E">
        <w:t>Ann. § 70.245.010</w:t>
      </w:r>
      <w:r w:rsidR="00341082" w:rsidRPr="00AF57BF">
        <w:t xml:space="preserve"> et seq.</w:t>
      </w:r>
      <w:r w:rsidR="00B92EEE" w:rsidRPr="00AF57BF">
        <w:t xml:space="preserve">), </w:t>
      </w:r>
      <w:r w:rsidR="00B676CF">
        <w:t>and to</w:t>
      </w:r>
      <w:r w:rsidR="002B42C6" w:rsidRPr="00AF57BF">
        <w:t xml:space="preserve"> the </w:t>
      </w:r>
      <w:r w:rsidR="002955FC" w:rsidRPr="00AF57BF">
        <w:t xml:space="preserve">asserted </w:t>
      </w:r>
      <w:r w:rsidR="002B42C6" w:rsidRPr="00AF57BF">
        <w:t xml:space="preserve">existence of conditions in California prisons </w:t>
      </w:r>
      <w:r w:rsidR="00B676CF">
        <w:t>to argue</w:t>
      </w:r>
      <w:r w:rsidR="002B42C6" w:rsidRPr="00AF57BF">
        <w:t xml:space="preserve"> that a rational person might prefer death to continued incarceration (see, e.g., </w:t>
      </w:r>
      <w:r w:rsidR="002B42C6" w:rsidRPr="00AF57BF">
        <w:rPr>
          <w:i/>
        </w:rPr>
        <w:t xml:space="preserve">Brown v. Plata </w:t>
      </w:r>
      <w:r w:rsidR="001572E3" w:rsidRPr="00AF57BF">
        <w:t>(2011) 563</w:t>
      </w:r>
      <w:r w:rsidR="002B42C6" w:rsidRPr="00AF57BF">
        <w:t xml:space="preserve"> U.S. </w:t>
      </w:r>
      <w:r w:rsidR="001572E3" w:rsidRPr="00AF57BF">
        <w:t>493, 503–504</w:t>
      </w:r>
      <w:r w:rsidR="00D84E18" w:rsidRPr="00AF57BF">
        <w:t>)</w:t>
      </w:r>
      <w:r w:rsidR="00B676CF">
        <w:t xml:space="preserve">.  </w:t>
      </w:r>
      <w:proofErr w:type="gramStart"/>
      <w:r w:rsidR="00B676CF">
        <w:t>Obviously</w:t>
      </w:r>
      <w:proofErr w:type="gramEnd"/>
      <w:r w:rsidR="00B676CF">
        <w:t xml:space="preserve"> those cases are factually distinguishable</w:t>
      </w:r>
      <w:r w:rsidR="002955FC" w:rsidRPr="00AF57BF">
        <w:t xml:space="preserve">.  </w:t>
      </w:r>
      <w:r w:rsidR="00D44273" w:rsidRPr="00AF57BF">
        <w:t>T</w:t>
      </w:r>
      <w:r w:rsidR="00414F56" w:rsidRPr="00AF57BF">
        <w:t>he state’s</w:t>
      </w:r>
      <w:r w:rsidR="007E63CB" w:rsidRPr="00AF57BF">
        <w:t xml:space="preserve"> </w:t>
      </w:r>
      <w:r w:rsidR="00B465B0" w:rsidRPr="00AF57BF">
        <w:t xml:space="preserve">policy of </w:t>
      </w:r>
      <w:r w:rsidR="007E63CB" w:rsidRPr="00AF57BF">
        <w:t>exact</w:t>
      </w:r>
      <w:r w:rsidR="00414F56" w:rsidRPr="00AF57BF">
        <w:t>i</w:t>
      </w:r>
      <w:r w:rsidR="00B465B0" w:rsidRPr="00AF57BF">
        <w:t>ng</w:t>
      </w:r>
      <w:r w:rsidR="00414F56" w:rsidRPr="00AF57BF">
        <w:t xml:space="preserve"> </w:t>
      </w:r>
      <w:r w:rsidR="0088437E">
        <w:t>the</w:t>
      </w:r>
      <w:r w:rsidR="00414F56" w:rsidRPr="00AF57BF">
        <w:t xml:space="preserve"> ultimate penalty for only the most aggravated crimes is </w:t>
      </w:r>
      <w:r w:rsidR="001D1DDC" w:rsidRPr="00AF57BF">
        <w:t xml:space="preserve">a moral </w:t>
      </w:r>
      <w:r w:rsidR="00A61A9A" w:rsidRPr="00AF57BF">
        <w:t xml:space="preserve">and normative </w:t>
      </w:r>
      <w:r w:rsidR="00B465B0" w:rsidRPr="00AF57BF">
        <w:t>choice</w:t>
      </w:r>
      <w:r w:rsidR="001D1DDC" w:rsidRPr="00AF57BF">
        <w:t xml:space="preserve"> </w:t>
      </w:r>
      <w:r w:rsidR="00414F56" w:rsidRPr="00AF57BF">
        <w:t>in</w:t>
      </w:r>
      <w:r w:rsidR="00B2481B" w:rsidRPr="00AF57BF">
        <w:t xml:space="preserve">dependent of, and </w:t>
      </w:r>
      <w:r w:rsidR="0029238F" w:rsidRPr="00AF57BF">
        <w:t>distinguishable from</w:t>
      </w:r>
      <w:r w:rsidR="00414F56" w:rsidRPr="00AF57BF">
        <w:t xml:space="preserve">, the </w:t>
      </w:r>
      <w:r w:rsidR="00D44273" w:rsidRPr="00AF57BF">
        <w:t xml:space="preserve">individual </w:t>
      </w:r>
      <w:r w:rsidR="00414F56" w:rsidRPr="00AF57BF">
        <w:t xml:space="preserve">preferences of </w:t>
      </w:r>
      <w:r w:rsidR="002955FC" w:rsidRPr="00AF57BF">
        <w:t xml:space="preserve">either </w:t>
      </w:r>
      <w:r w:rsidR="00414F56" w:rsidRPr="00AF57BF">
        <w:t>persons</w:t>
      </w:r>
      <w:r w:rsidR="001D1DDC" w:rsidRPr="00AF57BF">
        <w:t xml:space="preserve"> </w:t>
      </w:r>
      <w:r w:rsidR="00414F56" w:rsidRPr="00AF57BF">
        <w:t xml:space="preserve">potentially subject to </w:t>
      </w:r>
      <w:r w:rsidR="007E63CB" w:rsidRPr="00AF57BF">
        <w:t>the penalty</w:t>
      </w:r>
      <w:r w:rsidR="001D1DDC" w:rsidRPr="00AF57BF">
        <w:t xml:space="preserve"> or </w:t>
      </w:r>
      <w:r w:rsidR="002955FC" w:rsidRPr="00AF57BF">
        <w:t xml:space="preserve">those </w:t>
      </w:r>
      <w:r w:rsidR="001D1DDC" w:rsidRPr="00AF57BF">
        <w:t xml:space="preserve">who are called upon to </w:t>
      </w:r>
      <w:r w:rsidR="003D64AE" w:rsidRPr="00AF57BF">
        <w:t>impose</w:t>
      </w:r>
      <w:r w:rsidR="001D1DDC" w:rsidRPr="00AF57BF">
        <w:t xml:space="preserve"> it</w:t>
      </w:r>
      <w:r w:rsidR="000A37AC" w:rsidRPr="00AF57BF">
        <w:t xml:space="preserve">. </w:t>
      </w:r>
    </w:p>
    <w:p w:rsidR="00D427AF" w:rsidRPr="00AF57BF" w:rsidRDefault="00F70F9E" w:rsidP="00AF57BF">
      <w:pPr>
        <w:pStyle w:val="Heading2"/>
        <w:numPr>
          <w:ilvl w:val="0"/>
          <w:numId w:val="11"/>
        </w:numPr>
      </w:pPr>
      <w:bookmarkStart w:id="39" w:name="_Toc521674409"/>
      <w:r w:rsidRPr="00AF57BF">
        <w:t>Constitutionality of the Death Penalty L</w:t>
      </w:r>
      <w:r w:rsidR="00D427AF" w:rsidRPr="00AF57BF">
        <w:t xml:space="preserve">aw </w:t>
      </w:r>
      <w:bookmarkEnd w:id="39"/>
    </w:p>
    <w:p w:rsidR="00E84169" w:rsidRPr="00AF57BF" w:rsidRDefault="00DB4F33" w:rsidP="00AF57BF">
      <w:pPr>
        <w:pStyle w:val="Text"/>
        <w:spacing w:line="400" w:lineRule="exact"/>
      </w:pPr>
      <w:r w:rsidRPr="00AF57BF">
        <w:t xml:space="preserve">Defendants </w:t>
      </w:r>
      <w:r w:rsidR="001E1005" w:rsidRPr="00AF57BF">
        <w:t>contend that many features of California’s capital sentencing scheme, alone or in combination with each other, violate the federal Constitution.  They ack</w:t>
      </w:r>
      <w:r w:rsidR="003D64AE" w:rsidRPr="00AF57BF">
        <w:t>nowledge that</w:t>
      </w:r>
      <w:r w:rsidR="001E1005" w:rsidRPr="00AF57BF">
        <w:t xml:space="preserve"> this cou</w:t>
      </w:r>
      <w:r w:rsidR="003D64AE" w:rsidRPr="00AF57BF">
        <w:t>rt has</w:t>
      </w:r>
      <w:r w:rsidR="007806F6" w:rsidRPr="00AF57BF">
        <w:t xml:space="preserve"> rejected similar claims</w:t>
      </w:r>
      <w:r w:rsidR="001E1005" w:rsidRPr="00AF57BF">
        <w:t xml:space="preserve"> but assert that we have never considered the cumulative impact of the purported defects or addressed the functioning of the system as a whole.  </w:t>
      </w:r>
      <w:r w:rsidR="006D45F7" w:rsidRPr="00AF57BF">
        <w:t>In their view,</w:t>
      </w:r>
      <w:r w:rsidR="007E399A" w:rsidRPr="00AF57BF">
        <w:t xml:space="preserve"> </w:t>
      </w:r>
      <w:r w:rsidR="006D45F7" w:rsidRPr="00AF57BF">
        <w:t>the</w:t>
      </w:r>
      <w:r w:rsidR="003D64AE" w:rsidRPr="00AF57BF">
        <w:t xml:space="preserve"> asserted</w:t>
      </w:r>
      <w:r w:rsidR="006D45F7" w:rsidRPr="00AF57BF">
        <w:t xml:space="preserve"> broad applicability</w:t>
      </w:r>
      <w:r w:rsidR="007E399A" w:rsidRPr="00AF57BF">
        <w:t xml:space="preserve"> </w:t>
      </w:r>
      <w:r w:rsidR="006D45F7" w:rsidRPr="00AF57BF">
        <w:t>of the death penalty</w:t>
      </w:r>
      <w:r w:rsidR="00E84169" w:rsidRPr="00AF57BF">
        <w:t>,</w:t>
      </w:r>
      <w:r w:rsidR="006D45F7" w:rsidRPr="00AF57BF">
        <w:t xml:space="preserve"> in the context of a </w:t>
      </w:r>
      <w:r w:rsidR="00E84169" w:rsidRPr="00AF57BF">
        <w:t>statute</w:t>
      </w:r>
      <w:r w:rsidR="006D45F7" w:rsidRPr="00AF57BF">
        <w:t xml:space="preserve"> lackin</w:t>
      </w:r>
      <w:r w:rsidR="003D64AE" w:rsidRPr="00AF57BF">
        <w:t>g certain procedural safeguards</w:t>
      </w:r>
      <w:r w:rsidR="00E84169" w:rsidRPr="00AF57BF">
        <w:t>, results in an unacceptable risk of constitutionally unreliable death judgments.</w:t>
      </w:r>
    </w:p>
    <w:p w:rsidR="007E399A" w:rsidRPr="00AF57BF" w:rsidRDefault="003A5DE9" w:rsidP="00AF57BF">
      <w:pPr>
        <w:pStyle w:val="Text"/>
        <w:spacing w:line="400" w:lineRule="exact"/>
      </w:pPr>
      <w:r w:rsidRPr="00AF57BF">
        <w:lastRenderedPageBreak/>
        <w:t xml:space="preserve">In </w:t>
      </w:r>
      <w:r w:rsidRPr="00AF57BF">
        <w:rPr>
          <w:i/>
        </w:rPr>
        <w:t>People v. Anderson</w:t>
      </w:r>
      <w:r w:rsidR="008A1F0C" w:rsidRPr="00AF57BF">
        <w:t xml:space="preserve"> (2018) 5 Cal.5th 372</w:t>
      </w:r>
      <w:r w:rsidRPr="00AF57BF">
        <w:t xml:space="preserve">, we </w:t>
      </w:r>
      <w:r w:rsidR="008A1F0C" w:rsidRPr="00AF57BF">
        <w:t>considered and rejec</w:t>
      </w:r>
      <w:r w:rsidR="00E84169" w:rsidRPr="00AF57BF">
        <w:t>ted a similar argument.</w:t>
      </w:r>
      <w:r w:rsidR="008A1F0C" w:rsidRPr="00AF57BF">
        <w:t xml:space="preserve">  “Even considering the arguments in combination, and viewing the death penalty law as a whole, it is not constitutionally defective.  Defendant’s challenges to California’s death penalty scheme </w:t>
      </w:r>
      <w:r w:rsidR="00F578C7" w:rsidRPr="00AF57BF">
        <w:t>‘</w:t>
      </w:r>
      <w:r w:rsidR="008A1F0C" w:rsidRPr="00AF57BF">
        <w:t>are no more persuasive when considered together,</w:t>
      </w:r>
      <w:r w:rsidR="00F578C7" w:rsidRPr="00AF57BF">
        <w:t>’</w:t>
      </w:r>
      <w:r w:rsidR="008A1F0C" w:rsidRPr="00AF57BF">
        <w:t xml:space="preserve"> than when considered separately.”  (</w:t>
      </w:r>
      <w:r w:rsidR="008A1F0C" w:rsidRPr="00AF57BF">
        <w:rPr>
          <w:i/>
        </w:rPr>
        <w:t>Id.</w:t>
      </w:r>
      <w:r w:rsidR="008A1F0C" w:rsidRPr="00AF57BF">
        <w:t xml:space="preserve"> at p. 42</w:t>
      </w:r>
      <w:r w:rsidR="00F578C7" w:rsidRPr="00AF57BF">
        <w:t>6</w:t>
      </w:r>
      <w:r w:rsidR="008A1F0C" w:rsidRPr="00AF57BF">
        <w:t xml:space="preserve">.)  We reach the same conclusion here.  </w:t>
      </w:r>
    </w:p>
    <w:p w:rsidR="0079580F" w:rsidRPr="00AF57BF" w:rsidRDefault="001960C2" w:rsidP="00AF57BF">
      <w:pPr>
        <w:pStyle w:val="Text"/>
        <w:spacing w:line="400" w:lineRule="exact"/>
      </w:pPr>
      <w:r w:rsidRPr="00AF57BF">
        <w:t>Regarding defendants’ specific challenges, we adhere to views previously expressed.  Thus</w:t>
      </w:r>
      <w:r w:rsidR="00FF0581" w:rsidRPr="00AF57BF">
        <w:t>:</w:t>
      </w:r>
    </w:p>
    <w:p w:rsidR="00FF0581" w:rsidRPr="00AF57BF" w:rsidRDefault="00FF0581" w:rsidP="00AF57BF">
      <w:pPr>
        <w:pStyle w:val="Text"/>
        <w:spacing w:line="400" w:lineRule="exact"/>
      </w:pPr>
      <w:r w:rsidRPr="00AF57BF">
        <w:t xml:space="preserve">The special circumstances set forth in section 190.2 adequately narrow the class of </w:t>
      </w:r>
      <w:proofErr w:type="gramStart"/>
      <w:r w:rsidRPr="00AF57BF">
        <w:t>murderers</w:t>
      </w:r>
      <w:proofErr w:type="gramEnd"/>
      <w:r w:rsidRPr="00AF57BF">
        <w:t xml:space="preserve"> subject to the death penalty.  (</w:t>
      </w:r>
      <w:r w:rsidRPr="00AF57BF">
        <w:rPr>
          <w:i/>
        </w:rPr>
        <w:t>People v. Thomas</w:t>
      </w:r>
      <w:r w:rsidR="002716DA" w:rsidRPr="00AF57BF">
        <w:t xml:space="preserve"> (2011) 52 </w:t>
      </w:r>
      <w:r w:rsidRPr="00AF57BF">
        <w:t>Cal.4th 336, 365.)</w:t>
      </w:r>
    </w:p>
    <w:p w:rsidR="00674332" w:rsidRPr="00AF57BF" w:rsidRDefault="00674332" w:rsidP="00AF57BF">
      <w:pPr>
        <w:pStyle w:val="Text"/>
        <w:spacing w:line="400" w:lineRule="exact"/>
        <w:rPr>
          <w:szCs w:val="26"/>
        </w:rPr>
      </w:pPr>
      <w:r w:rsidRPr="00AF57BF">
        <w:t xml:space="preserve">Section 190.3, factor (a), does not permit the arbitrary and capricious </w:t>
      </w:r>
      <w:r w:rsidRPr="00AF57BF">
        <w:rPr>
          <w:szCs w:val="26"/>
        </w:rPr>
        <w:t>imposition of the death penalty.  (</w:t>
      </w:r>
      <w:r w:rsidRPr="00AF57BF">
        <w:rPr>
          <w:i/>
          <w:szCs w:val="26"/>
        </w:rPr>
        <w:t>People v. Virgil</w:t>
      </w:r>
      <w:r w:rsidR="002716DA" w:rsidRPr="00AF57BF">
        <w:rPr>
          <w:szCs w:val="26"/>
        </w:rPr>
        <w:t xml:space="preserve"> (2011) 51 </w:t>
      </w:r>
      <w:r w:rsidRPr="00AF57BF">
        <w:rPr>
          <w:szCs w:val="26"/>
        </w:rPr>
        <w:t>Cal.4th 1210, 1288.)</w:t>
      </w:r>
    </w:p>
    <w:p w:rsidR="0053550C" w:rsidRPr="00AF57BF" w:rsidRDefault="00674332" w:rsidP="0088437E">
      <w:pPr>
        <w:ind w:firstLine="540"/>
        <w:rPr>
          <w:szCs w:val="26"/>
        </w:rPr>
      </w:pPr>
      <w:r w:rsidRPr="00AF57BF">
        <w:rPr>
          <w:szCs w:val="26"/>
        </w:rPr>
        <w:t xml:space="preserve">The death penalty law is not unconstitutional </w:t>
      </w:r>
      <w:r w:rsidR="00A96B80" w:rsidRPr="00AF57BF">
        <w:rPr>
          <w:szCs w:val="26"/>
        </w:rPr>
        <w:t>because it does not require</w:t>
      </w:r>
      <w:r w:rsidRPr="00AF57BF">
        <w:rPr>
          <w:szCs w:val="26"/>
        </w:rPr>
        <w:t xml:space="preserve"> unanimous jury findings</w:t>
      </w:r>
      <w:r w:rsidR="00A96B80" w:rsidRPr="00AF57BF">
        <w:rPr>
          <w:szCs w:val="26"/>
        </w:rPr>
        <w:t>,</w:t>
      </w:r>
      <w:r w:rsidRPr="00AF57BF">
        <w:rPr>
          <w:szCs w:val="26"/>
        </w:rPr>
        <w:t xml:space="preserve"> beyond a reasonable doubt</w:t>
      </w:r>
      <w:r w:rsidR="00A96B80" w:rsidRPr="00AF57BF">
        <w:rPr>
          <w:szCs w:val="26"/>
        </w:rPr>
        <w:t>,</w:t>
      </w:r>
      <w:r w:rsidRPr="00AF57BF">
        <w:rPr>
          <w:szCs w:val="26"/>
        </w:rPr>
        <w:t xml:space="preserve"> that </w:t>
      </w:r>
      <w:r w:rsidR="0096532D" w:rsidRPr="00AF57BF">
        <w:rPr>
          <w:szCs w:val="26"/>
        </w:rPr>
        <w:t>particular</w:t>
      </w:r>
      <w:r w:rsidRPr="00AF57BF">
        <w:rPr>
          <w:szCs w:val="26"/>
        </w:rPr>
        <w:t xml:space="preserve"> aggravating factors </w:t>
      </w:r>
      <w:r w:rsidR="00EE687A" w:rsidRPr="00AF57BF">
        <w:rPr>
          <w:szCs w:val="26"/>
        </w:rPr>
        <w:t xml:space="preserve">(other than prior criminality) </w:t>
      </w:r>
      <w:r w:rsidRPr="00AF57BF">
        <w:rPr>
          <w:szCs w:val="26"/>
        </w:rPr>
        <w:t xml:space="preserve">exist </w:t>
      </w:r>
      <w:r w:rsidR="00826A65" w:rsidRPr="00AF57BF">
        <w:rPr>
          <w:szCs w:val="26"/>
        </w:rPr>
        <w:t>or that jurors all agree on which aggravating</w:t>
      </w:r>
      <w:r w:rsidRPr="00AF57BF">
        <w:rPr>
          <w:szCs w:val="26"/>
        </w:rPr>
        <w:t xml:space="preserve"> </w:t>
      </w:r>
      <w:r w:rsidR="00826A65" w:rsidRPr="00AF57BF">
        <w:rPr>
          <w:szCs w:val="26"/>
        </w:rPr>
        <w:t>circumstances</w:t>
      </w:r>
      <w:r w:rsidRPr="00AF57BF">
        <w:rPr>
          <w:szCs w:val="26"/>
        </w:rPr>
        <w:t xml:space="preserve"> outweigh </w:t>
      </w:r>
      <w:r w:rsidR="00826A65" w:rsidRPr="00AF57BF">
        <w:rPr>
          <w:szCs w:val="26"/>
        </w:rPr>
        <w:t xml:space="preserve">those in </w:t>
      </w:r>
      <w:r w:rsidRPr="00AF57BF">
        <w:rPr>
          <w:szCs w:val="26"/>
        </w:rPr>
        <w:t>mitigati</w:t>
      </w:r>
      <w:r w:rsidR="00826A65" w:rsidRPr="00AF57BF">
        <w:rPr>
          <w:szCs w:val="26"/>
        </w:rPr>
        <w:t>on</w:t>
      </w:r>
      <w:r w:rsidR="00EE687A" w:rsidRPr="00AF57BF">
        <w:rPr>
          <w:szCs w:val="26"/>
        </w:rPr>
        <w:t>.  (</w:t>
      </w:r>
      <w:r w:rsidR="00EE687A" w:rsidRPr="00AF57BF">
        <w:rPr>
          <w:i/>
          <w:szCs w:val="26"/>
        </w:rPr>
        <w:t>People v. Salazar</w:t>
      </w:r>
      <w:r w:rsidR="002716DA" w:rsidRPr="00AF57BF">
        <w:rPr>
          <w:szCs w:val="26"/>
        </w:rPr>
        <w:t xml:space="preserve"> (2016) 63 </w:t>
      </w:r>
      <w:r w:rsidR="00EE687A" w:rsidRPr="00AF57BF">
        <w:rPr>
          <w:szCs w:val="26"/>
        </w:rPr>
        <w:t>Cal.4th 214, 255</w:t>
      </w:r>
      <w:r w:rsidR="00E16283" w:rsidRPr="00AF57BF">
        <w:rPr>
          <w:szCs w:val="26"/>
        </w:rPr>
        <w:t xml:space="preserve">.)  </w:t>
      </w:r>
      <w:r w:rsidR="00D9514A" w:rsidRPr="00AF57BF">
        <w:rPr>
          <w:szCs w:val="26"/>
        </w:rPr>
        <w:t xml:space="preserve">Nor is it the case that </w:t>
      </w:r>
      <w:proofErr w:type="gramStart"/>
      <w:r w:rsidR="00652873" w:rsidRPr="00AF57BF">
        <w:rPr>
          <w:szCs w:val="26"/>
        </w:rPr>
        <w:t>“</w:t>
      </w:r>
      <w:r w:rsidR="00341082" w:rsidRPr="00AF57BF">
        <w:rPr>
          <w:szCs w:val="26"/>
        </w:rPr>
        <w:t> ‘</w:t>
      </w:r>
      <w:proofErr w:type="gramEnd"/>
      <w:r w:rsidR="000160EF" w:rsidRPr="00AF57BF">
        <w:rPr>
          <w:szCs w:val="26"/>
        </w:rPr>
        <w:t>the cruel and unusual punishment clause of the Eighth Amendment, [or] the due process clause of the Fourteenth Amendment, requires that jurors in a capital case be instructed that they must find beyond a reasonable doubt that aggravating circumstances exist or that aggravating circumstances outweigh mitigating circumstances or that death is the appropriate penalty.</w:t>
      </w:r>
      <w:r w:rsidR="00341082" w:rsidRPr="00AF57BF">
        <w:rPr>
          <w:szCs w:val="26"/>
        </w:rPr>
        <w:t>’ </w:t>
      </w:r>
      <w:r w:rsidR="00652873" w:rsidRPr="00AF57BF">
        <w:rPr>
          <w:szCs w:val="26"/>
        </w:rPr>
        <w:t>”</w:t>
      </w:r>
      <w:r w:rsidR="000160EF" w:rsidRPr="00AF57BF">
        <w:rPr>
          <w:szCs w:val="26"/>
        </w:rPr>
        <w:t xml:space="preserve">  (</w:t>
      </w:r>
      <w:r w:rsidR="000160EF" w:rsidRPr="00AF57BF">
        <w:rPr>
          <w:i/>
          <w:szCs w:val="26"/>
        </w:rPr>
        <w:t>Ibid.</w:t>
      </w:r>
      <w:r w:rsidR="0053550C" w:rsidRPr="00AF57BF">
        <w:rPr>
          <w:szCs w:val="26"/>
        </w:rPr>
        <w:t>)</w:t>
      </w:r>
      <w:r w:rsidR="00472B15" w:rsidRPr="00AF57BF">
        <w:rPr>
          <w:szCs w:val="26"/>
        </w:rPr>
        <w:t xml:space="preserve">  </w:t>
      </w:r>
      <w:proofErr w:type="gramStart"/>
      <w:r w:rsidR="002B757D" w:rsidRPr="00AF57BF">
        <w:rPr>
          <w:rStyle w:val="ssrfcpassagedeactivated"/>
        </w:rPr>
        <w:t>“</w:t>
      </w:r>
      <w:r w:rsidR="00290019" w:rsidRPr="00AF57BF">
        <w:rPr>
          <w:rStyle w:val="ssrfcpassagedeactivated"/>
        </w:rPr>
        <w:t> ‘</w:t>
      </w:r>
      <w:proofErr w:type="gramEnd"/>
      <w:r w:rsidR="00290019" w:rsidRPr="00AF57BF">
        <w:rPr>
          <w:rStyle w:val="ssrfcpassagedeactivated"/>
        </w:rPr>
        <w:t>The United States Supreme Court’</w:t>
      </w:r>
      <w:r w:rsidR="002B757D" w:rsidRPr="00AF57BF">
        <w:rPr>
          <w:rStyle w:val="ssrfcpassagedeactivated"/>
        </w:rPr>
        <w:t>s decisions in</w:t>
      </w:r>
      <w:r w:rsidR="00290019" w:rsidRPr="00AF57BF">
        <w:rPr>
          <w:rStyle w:val="ssrfcpassagedeactivated"/>
        </w:rPr>
        <w:t xml:space="preserve"> </w:t>
      </w:r>
      <w:proofErr w:type="spellStart"/>
      <w:r w:rsidR="00290019" w:rsidRPr="00AF57BF">
        <w:rPr>
          <w:rStyle w:val="ssrfcpassagedeactivated"/>
          <w:i/>
        </w:rPr>
        <w:t>Apprendi</w:t>
      </w:r>
      <w:proofErr w:type="spellEnd"/>
      <w:r w:rsidR="00290019" w:rsidRPr="00AF57BF">
        <w:rPr>
          <w:rStyle w:val="ssrfcpassagedeactivated"/>
          <w:i/>
        </w:rPr>
        <w:t xml:space="preserve"> v. New Jersey</w:t>
      </w:r>
      <w:r w:rsidR="002B757D" w:rsidRPr="00AF57BF">
        <w:rPr>
          <w:rStyle w:val="ssrfcpassagedeactivated"/>
        </w:rPr>
        <w:t xml:space="preserve"> </w:t>
      </w:r>
      <w:r w:rsidR="00290019" w:rsidRPr="00AF57BF">
        <w:rPr>
          <w:rStyle w:val="ssrfcpassagedeactivated"/>
        </w:rPr>
        <w:t>[(2000)] 530 U.S. 466</w:t>
      </w:r>
      <w:r w:rsidR="002B757D" w:rsidRPr="00AF57BF">
        <w:rPr>
          <w:rStyle w:val="ssrfcpassagedeactivated"/>
        </w:rPr>
        <w:t xml:space="preserve">, and its progeny, </w:t>
      </w:r>
      <w:r w:rsidR="002B757D" w:rsidRPr="00AF57BF">
        <w:rPr>
          <w:rStyle w:val="ssrfcpassagedeactivated"/>
        </w:rPr>
        <w:lastRenderedPageBreak/>
        <w:t xml:space="preserve">do not establish a </w:t>
      </w:r>
      <w:r w:rsidR="00290019" w:rsidRPr="00AF57BF">
        <w:rPr>
          <w:rStyle w:val="ssrfcpassagedeactivated"/>
        </w:rPr>
        <w:t>Sixth Amendment</w:t>
      </w:r>
      <w:r w:rsidR="002B757D" w:rsidRPr="00AF57BF">
        <w:rPr>
          <w:rStyle w:val="ssrfcpassagedeactivated"/>
        </w:rPr>
        <w:t xml:space="preserve"> right to determination of particular aggravating factors, or a finding that aggravation outweighs mitigation beyond a reasonabl</w:t>
      </w:r>
      <w:r w:rsidR="00290019" w:rsidRPr="00AF57BF">
        <w:rPr>
          <w:rStyle w:val="ssrfcpassagedeactivated"/>
        </w:rPr>
        <w:t>e doubt or by a unanimous jury.’</w:t>
      </w:r>
      <w:r w:rsidR="002B757D" w:rsidRPr="00AF57BF">
        <w:rPr>
          <w:rStyle w:val="ssrfcpassagedeactivated"/>
        </w:rPr>
        <w:t xml:space="preserve">  [Citation.]  </w:t>
      </w:r>
      <w:r w:rsidR="00290019" w:rsidRPr="00AF57BF">
        <w:rPr>
          <w:rStyle w:val="ssrfcpassagedeactivated"/>
        </w:rPr>
        <w:t>Likewise, ‘</w:t>
      </w:r>
      <w:r w:rsidR="002B757D" w:rsidRPr="00AF57BF">
        <w:rPr>
          <w:rStyle w:val="ssrfcpassagedeactivated"/>
        </w:rPr>
        <w:t>neither the cruel and unusual punishment clause of the Eighth Amendment, nor the due process clause of the Fourteenth Amendment, requires a jury to find beyond a reasonable doubt that aggravating circumstances exist or that aggravating circumstances outweigh mitigating circumstances or that death is the appropriate penalty.</w:t>
      </w:r>
      <w:proofErr w:type="gramStart"/>
      <w:r w:rsidR="00290019" w:rsidRPr="00AF57BF">
        <w:rPr>
          <w:rStyle w:val="ssrfcpassagedeactivated"/>
        </w:rPr>
        <w:t>’ ”</w:t>
      </w:r>
      <w:proofErr w:type="gramEnd"/>
      <w:r w:rsidR="00290019" w:rsidRPr="00AF57BF">
        <w:rPr>
          <w:rStyle w:val="ssrfcpassagedeactivated"/>
        </w:rPr>
        <w:t xml:space="preserve">  (</w:t>
      </w:r>
      <w:r w:rsidR="00341082" w:rsidRPr="00AF57BF">
        <w:rPr>
          <w:rStyle w:val="ssrfcpassagedeactivated"/>
          <w:i/>
        </w:rPr>
        <w:t xml:space="preserve">People v. </w:t>
      </w:r>
      <w:r w:rsidR="00290019" w:rsidRPr="00AF57BF">
        <w:rPr>
          <w:rStyle w:val="ssrfcpassagedeactivated"/>
          <w:i/>
        </w:rPr>
        <w:t xml:space="preserve">Townsel </w:t>
      </w:r>
      <w:r w:rsidR="00290019" w:rsidRPr="00AF57BF">
        <w:rPr>
          <w:rStyle w:val="ssrfcpassagedeactivated"/>
        </w:rPr>
        <w:t>(2016) 63 Cal.4th 25, 72.)</w:t>
      </w:r>
    </w:p>
    <w:p w:rsidR="00D231A6" w:rsidRPr="00AF57BF" w:rsidRDefault="00D231A6" w:rsidP="00AF57BF">
      <w:pPr>
        <w:ind w:firstLine="720"/>
        <w:rPr>
          <w:szCs w:val="26"/>
        </w:rPr>
      </w:pPr>
      <w:proofErr w:type="gramStart"/>
      <w:r w:rsidRPr="00AF57BF">
        <w:rPr>
          <w:szCs w:val="26"/>
        </w:rPr>
        <w:t>“ ‘</w:t>
      </w:r>
      <w:proofErr w:type="gramEnd"/>
      <w:r w:rsidRPr="00AF57BF">
        <w:rPr>
          <w:szCs w:val="26"/>
        </w:rPr>
        <w:t>Written findings by the jury are not constitutionally required.’ ”  (</w:t>
      </w:r>
      <w:r w:rsidRPr="00AF57BF">
        <w:rPr>
          <w:i/>
          <w:szCs w:val="26"/>
        </w:rPr>
        <w:t>People v. Salazar</w:t>
      </w:r>
      <w:r w:rsidRPr="00AF57BF">
        <w:rPr>
          <w:szCs w:val="26"/>
        </w:rPr>
        <w:t xml:space="preserve">, </w:t>
      </w:r>
      <w:r w:rsidRPr="00AF57BF">
        <w:rPr>
          <w:i/>
          <w:szCs w:val="26"/>
        </w:rPr>
        <w:t>supra</w:t>
      </w:r>
      <w:r w:rsidRPr="00AF57BF">
        <w:rPr>
          <w:szCs w:val="26"/>
        </w:rPr>
        <w:t>, 63</w:t>
      </w:r>
      <w:r w:rsidR="002716DA" w:rsidRPr="00AF57BF">
        <w:rPr>
          <w:szCs w:val="26"/>
        </w:rPr>
        <w:t> </w:t>
      </w:r>
      <w:r w:rsidR="00341082" w:rsidRPr="00AF57BF">
        <w:rPr>
          <w:szCs w:val="26"/>
        </w:rPr>
        <w:t>Cal.</w:t>
      </w:r>
      <w:r w:rsidRPr="00AF57BF">
        <w:rPr>
          <w:szCs w:val="26"/>
        </w:rPr>
        <w:t xml:space="preserve">4th at p. 256.)  </w:t>
      </w:r>
    </w:p>
    <w:p w:rsidR="00674332" w:rsidRPr="00AF57BF" w:rsidRDefault="00F05DB5" w:rsidP="00AF57BF">
      <w:pPr>
        <w:pStyle w:val="Text"/>
        <w:spacing w:line="400" w:lineRule="exact"/>
      </w:pPr>
      <w:r w:rsidRPr="00AF57BF">
        <w:rPr>
          <w:szCs w:val="26"/>
        </w:rPr>
        <w:t xml:space="preserve">The absence of a requirement of </w:t>
      </w:r>
      <w:proofErr w:type="spellStart"/>
      <w:r w:rsidRPr="00AF57BF">
        <w:rPr>
          <w:szCs w:val="26"/>
        </w:rPr>
        <w:t>intercase</w:t>
      </w:r>
      <w:proofErr w:type="spellEnd"/>
      <w:r w:rsidRPr="00AF57BF">
        <w:rPr>
          <w:szCs w:val="26"/>
        </w:rPr>
        <w:t xml:space="preserve"> proport</w:t>
      </w:r>
      <w:r w:rsidR="00EB4471" w:rsidRPr="00AF57BF">
        <w:rPr>
          <w:szCs w:val="26"/>
        </w:rPr>
        <w:t>ionality review does not violate the Eighth Amendment.  (</w:t>
      </w:r>
      <w:r w:rsidR="00EB4471" w:rsidRPr="00AF57BF">
        <w:rPr>
          <w:i/>
          <w:szCs w:val="26"/>
        </w:rPr>
        <w:t>People v. Thompson</w:t>
      </w:r>
      <w:r w:rsidR="002716DA" w:rsidRPr="00AF57BF">
        <w:t xml:space="preserve"> (2010) 49 </w:t>
      </w:r>
      <w:r w:rsidR="00EB4471" w:rsidRPr="00AF57BF">
        <w:t xml:space="preserve">Cal.4th 79, 143.)  </w:t>
      </w:r>
    </w:p>
    <w:p w:rsidR="00EB4471" w:rsidRPr="00AF57BF" w:rsidRDefault="00EB4471" w:rsidP="00AF57BF">
      <w:pPr>
        <w:ind w:firstLine="720"/>
        <w:rPr>
          <w:szCs w:val="26"/>
        </w:rPr>
      </w:pPr>
      <w:r w:rsidRPr="00AF57BF">
        <w:rPr>
          <w:szCs w:val="26"/>
        </w:rPr>
        <w:t xml:space="preserve">“[T]he jury’s consideration of </w:t>
      </w:r>
      <w:r w:rsidRPr="00AF57BF">
        <w:rPr>
          <w:bCs/>
          <w:szCs w:val="26"/>
        </w:rPr>
        <w:t>unadjudicated criminal</w:t>
      </w:r>
      <w:r w:rsidRPr="00AF57BF">
        <w:rPr>
          <w:szCs w:val="26"/>
        </w:rPr>
        <w:t xml:space="preserve"> conduct pursuant to section 190.3, </w:t>
      </w:r>
      <w:r w:rsidRPr="00AF57BF">
        <w:rPr>
          <w:bCs/>
          <w:szCs w:val="26"/>
        </w:rPr>
        <w:t>factor (b</w:t>
      </w:r>
      <w:r w:rsidRPr="00AF57BF">
        <w:rPr>
          <w:szCs w:val="26"/>
        </w:rPr>
        <w:t xml:space="preserve">), does not offend the Fifth, Sixth, Eighth, or Fourteenth Amendments to the </w:t>
      </w:r>
      <w:r w:rsidR="00751A0A" w:rsidRPr="00AF57BF">
        <w:rPr>
          <w:szCs w:val="26"/>
        </w:rPr>
        <w:t xml:space="preserve">federal Constitution </w:t>
      </w:r>
      <w:r w:rsidRPr="00AF57BF">
        <w:rPr>
          <w:szCs w:val="26"/>
        </w:rPr>
        <w:t>or analogous provisions of the California Consti</w:t>
      </w:r>
      <w:r w:rsidR="00751A0A" w:rsidRPr="00AF57BF">
        <w:rPr>
          <w:szCs w:val="26"/>
        </w:rPr>
        <w:t>tution.”  (</w:t>
      </w:r>
      <w:r w:rsidR="00751A0A" w:rsidRPr="00AF57BF">
        <w:rPr>
          <w:i/>
          <w:szCs w:val="26"/>
        </w:rPr>
        <w:t>People v. Young</w:t>
      </w:r>
      <w:r w:rsidR="00751A0A" w:rsidRPr="00AF57BF">
        <w:rPr>
          <w:szCs w:val="26"/>
        </w:rPr>
        <w:t xml:space="preserve"> (2005)</w:t>
      </w:r>
      <w:r w:rsidR="002716DA" w:rsidRPr="00AF57BF">
        <w:rPr>
          <w:szCs w:val="26"/>
        </w:rPr>
        <w:t xml:space="preserve"> 34 </w:t>
      </w:r>
      <w:r w:rsidR="00B80953" w:rsidRPr="00AF57BF">
        <w:rPr>
          <w:szCs w:val="26"/>
        </w:rPr>
        <w:t>Cal.</w:t>
      </w:r>
      <w:r w:rsidRPr="00AF57BF">
        <w:rPr>
          <w:szCs w:val="26"/>
        </w:rPr>
        <w:t>4th 1149, 1226</w:t>
      </w:r>
      <w:r w:rsidR="00751A0A" w:rsidRPr="00AF57BF">
        <w:rPr>
          <w:szCs w:val="26"/>
        </w:rPr>
        <w:t>.)</w:t>
      </w:r>
    </w:p>
    <w:p w:rsidR="00751A0A" w:rsidRPr="00AF57BF" w:rsidRDefault="007A0248" w:rsidP="00AF57BF">
      <w:pPr>
        <w:ind w:firstLine="720"/>
        <w:rPr>
          <w:szCs w:val="26"/>
        </w:rPr>
      </w:pPr>
      <w:r w:rsidRPr="00AF57BF">
        <w:rPr>
          <w:szCs w:val="26"/>
        </w:rPr>
        <w:t>Th</w:t>
      </w:r>
      <w:r w:rsidR="0029214B" w:rsidRPr="00AF57BF">
        <w:rPr>
          <w:szCs w:val="26"/>
        </w:rPr>
        <w:t>e inclusion in the list of potential mitigating factors of such adjectives as “extreme” (see §</w:t>
      </w:r>
      <w:r w:rsidRPr="00AF57BF">
        <w:rPr>
          <w:szCs w:val="26"/>
        </w:rPr>
        <w:t xml:space="preserve"> 190.3, factor</w:t>
      </w:r>
      <w:r w:rsidR="0029214B" w:rsidRPr="00AF57BF">
        <w:rPr>
          <w:szCs w:val="26"/>
        </w:rPr>
        <w:t>s</w:t>
      </w:r>
      <w:r w:rsidRPr="00AF57BF">
        <w:rPr>
          <w:szCs w:val="26"/>
        </w:rPr>
        <w:t xml:space="preserve"> (</w:t>
      </w:r>
      <w:r w:rsidR="0029214B" w:rsidRPr="00AF57BF">
        <w:rPr>
          <w:szCs w:val="26"/>
        </w:rPr>
        <w:t xml:space="preserve">d), (g)) and “substantial” (see </w:t>
      </w:r>
      <w:r w:rsidR="0029214B" w:rsidRPr="00AF57BF">
        <w:rPr>
          <w:i/>
          <w:szCs w:val="26"/>
        </w:rPr>
        <w:t>id.</w:t>
      </w:r>
      <w:r w:rsidR="0029214B" w:rsidRPr="00AF57BF">
        <w:rPr>
          <w:szCs w:val="26"/>
        </w:rPr>
        <w:t>, factor (g)) does not act as a barrier to the consideration of mitigation in violation of the Fifth, Sixth, Eighth, and Fourteenth Amendments.  (</w:t>
      </w:r>
      <w:r w:rsidR="0029214B" w:rsidRPr="00AF57BF">
        <w:rPr>
          <w:i/>
          <w:szCs w:val="26"/>
        </w:rPr>
        <w:t>People v. Foster</w:t>
      </w:r>
      <w:r w:rsidR="0029214B" w:rsidRPr="00AF57BF">
        <w:rPr>
          <w:szCs w:val="26"/>
        </w:rPr>
        <w:t xml:space="preserve"> (20</w:t>
      </w:r>
      <w:r w:rsidR="001679DB" w:rsidRPr="00AF57BF">
        <w:rPr>
          <w:szCs w:val="26"/>
        </w:rPr>
        <w:t>10) 50 </w:t>
      </w:r>
      <w:r w:rsidR="0029214B" w:rsidRPr="00AF57BF">
        <w:rPr>
          <w:szCs w:val="26"/>
        </w:rPr>
        <w:t xml:space="preserve">Cal.4th 1301, 1365.)  </w:t>
      </w:r>
    </w:p>
    <w:p w:rsidR="00EB4471" w:rsidRPr="00AF57BF" w:rsidRDefault="008F0E96" w:rsidP="00AF57BF">
      <w:pPr>
        <w:pStyle w:val="Text"/>
        <w:spacing w:line="400" w:lineRule="exact"/>
      </w:pPr>
      <w:r w:rsidRPr="00AF57BF">
        <w:t xml:space="preserve">The trial court was not required to instruct that </w:t>
      </w:r>
      <w:r w:rsidR="00A84759" w:rsidRPr="00AF57BF">
        <w:t>certain sentencing factors (specifically</w:t>
      </w:r>
      <w:r w:rsidR="00EE7282" w:rsidRPr="00AF57BF">
        <w:t>,</w:t>
      </w:r>
      <w:r w:rsidR="00A84759" w:rsidRPr="00AF57BF">
        <w:t xml:space="preserve"> </w:t>
      </w:r>
      <w:r w:rsidR="00B80953" w:rsidRPr="00AF57BF">
        <w:t xml:space="preserve">section 190.3, </w:t>
      </w:r>
      <w:r w:rsidR="00A84759" w:rsidRPr="00AF57BF">
        <w:t>factors (d), (e), (f), (g), (h), and (j)</w:t>
      </w:r>
      <w:r w:rsidR="00473BDF" w:rsidRPr="00AF57BF">
        <w:t xml:space="preserve"> </w:t>
      </w:r>
      <w:r w:rsidR="00E7756D" w:rsidRPr="00AF57BF">
        <w:t>that are</w:t>
      </w:r>
      <w:r w:rsidR="00A84759" w:rsidRPr="00AF57BF">
        <w:t xml:space="preserve"> introduced by the phrase </w:t>
      </w:r>
      <w:proofErr w:type="gramStart"/>
      <w:r w:rsidR="00A84759" w:rsidRPr="00AF57BF">
        <w:t>“</w:t>
      </w:r>
      <w:r w:rsidR="0088437E">
        <w:t> ‘</w:t>
      </w:r>
      <w:proofErr w:type="gramEnd"/>
      <w:r w:rsidR="00A84759" w:rsidRPr="00AF57BF">
        <w:t xml:space="preserve">whether </w:t>
      </w:r>
      <w:r w:rsidR="00A84759" w:rsidRPr="00AF57BF">
        <w:lastRenderedPageBreak/>
        <w:t>or not</w:t>
      </w:r>
      <w:r w:rsidR="0088437E">
        <w:t>’ </w:t>
      </w:r>
      <w:r w:rsidR="00A84759" w:rsidRPr="00AF57BF">
        <w:t>”</w:t>
      </w:r>
      <w:r w:rsidR="0030526F" w:rsidRPr="00AF57BF">
        <w:t>) are relevant only as potential</w:t>
      </w:r>
      <w:r w:rsidR="00A84759" w:rsidRPr="00AF57BF">
        <w:t xml:space="preserve"> mitigators.  (</w:t>
      </w:r>
      <w:r w:rsidR="00A84759" w:rsidRPr="00AF57BF">
        <w:rPr>
          <w:i/>
        </w:rPr>
        <w:t>People v. Mendoza</w:t>
      </w:r>
      <w:r w:rsidR="00A84759" w:rsidRPr="00AF57BF">
        <w:t xml:space="preserve"> (</w:t>
      </w:r>
      <w:r w:rsidR="001679DB" w:rsidRPr="00AF57BF">
        <w:t>2011) 52 </w:t>
      </w:r>
      <w:r w:rsidR="00A84759" w:rsidRPr="00AF57BF">
        <w:t xml:space="preserve">Cal.4th 1056, 1097.)  </w:t>
      </w:r>
    </w:p>
    <w:p w:rsidR="00A84759" w:rsidRPr="00AF57BF" w:rsidRDefault="00C810F0" w:rsidP="00AF57BF">
      <w:pPr>
        <w:pStyle w:val="Text"/>
        <w:spacing w:line="400" w:lineRule="exact"/>
      </w:pPr>
      <w:r w:rsidRPr="00AF57BF">
        <w:t xml:space="preserve">The California sentencing scheme does not violate the equal protection clause of the Fourteenth Amendment by denying capital defendants certain procedural safeguards afforded to noncapital defendants.  </w:t>
      </w:r>
      <w:r w:rsidR="00D440FA" w:rsidRPr="00AF57BF">
        <w:t>(</w:t>
      </w:r>
      <w:r w:rsidR="00D440FA" w:rsidRPr="00AF57BF">
        <w:rPr>
          <w:i/>
        </w:rPr>
        <w:t>People v. Johnson</w:t>
      </w:r>
      <w:r w:rsidR="00D440FA" w:rsidRPr="00AF57BF">
        <w:t xml:space="preserve">, </w:t>
      </w:r>
      <w:r w:rsidR="00D440FA" w:rsidRPr="00AF57BF">
        <w:rPr>
          <w:i/>
        </w:rPr>
        <w:t>supra</w:t>
      </w:r>
      <w:r w:rsidR="008C1E74" w:rsidRPr="00AF57BF">
        <w:t>, 62 </w:t>
      </w:r>
      <w:r w:rsidR="00D440FA" w:rsidRPr="00AF57BF">
        <w:t>Cal.4th at p. 657.)</w:t>
      </w:r>
    </w:p>
    <w:p w:rsidR="00D440FA" w:rsidRPr="00AF57BF" w:rsidRDefault="007E494B" w:rsidP="00AF57BF">
      <w:pPr>
        <w:pStyle w:val="Text"/>
        <w:spacing w:line="400" w:lineRule="exact"/>
      </w:pPr>
      <w:r w:rsidRPr="00AF57BF">
        <w:t>California law does not violate international norms</w:t>
      </w:r>
      <w:r w:rsidR="0092055D" w:rsidRPr="00AF57BF">
        <w:t>, and thus contravene the Eighth and Fourteenth Amendments,</w:t>
      </w:r>
      <w:r w:rsidRPr="00AF57BF">
        <w:t xml:space="preserve"> </w:t>
      </w:r>
      <w:r w:rsidR="0092055D" w:rsidRPr="00AF57BF">
        <w:t>by imposing the death penalty as regular punishment for substantial numbers of crimes.  (</w:t>
      </w:r>
      <w:r w:rsidR="0092055D" w:rsidRPr="00AF57BF">
        <w:rPr>
          <w:i/>
        </w:rPr>
        <w:t>People v. Merriman</w:t>
      </w:r>
      <w:r w:rsidR="0092055D" w:rsidRPr="00AF57BF">
        <w:t xml:space="preserve"> (</w:t>
      </w:r>
      <w:r w:rsidR="00AD5D45" w:rsidRPr="00AF57BF">
        <w:t>2014) 60 </w:t>
      </w:r>
      <w:r w:rsidR="0092055D" w:rsidRPr="00AF57BF">
        <w:t>Cal.4th 1, 107.)</w:t>
      </w:r>
    </w:p>
    <w:p w:rsidR="004C15B8" w:rsidRPr="00AF57BF" w:rsidRDefault="00383CD1" w:rsidP="00AF57BF">
      <w:pPr>
        <w:pStyle w:val="Heading2"/>
      </w:pPr>
      <w:bookmarkStart w:id="40" w:name="_Toc521674410"/>
      <w:r w:rsidRPr="00AF57BF">
        <w:t>E</w:t>
      </w:r>
      <w:r w:rsidR="00573384" w:rsidRPr="00AF57BF">
        <w:t>.</w:t>
      </w:r>
      <w:r w:rsidR="00573384" w:rsidRPr="00AF57BF">
        <w:tab/>
      </w:r>
      <w:r w:rsidR="00F70F9E" w:rsidRPr="00AF57BF">
        <w:t>Cumulative E</w:t>
      </w:r>
      <w:r w:rsidR="004C15B8" w:rsidRPr="00AF57BF">
        <w:t xml:space="preserve">rror </w:t>
      </w:r>
      <w:bookmarkEnd w:id="40"/>
    </w:p>
    <w:p w:rsidR="00505A25" w:rsidRPr="00AF57BF" w:rsidRDefault="004C15B8" w:rsidP="00AF57BF">
      <w:pPr>
        <w:pStyle w:val="Text"/>
        <w:spacing w:line="400" w:lineRule="exact"/>
      </w:pPr>
      <w:proofErr w:type="spellStart"/>
      <w:r w:rsidRPr="00AF57BF">
        <w:t>Amezcua</w:t>
      </w:r>
      <w:proofErr w:type="spellEnd"/>
      <w:r w:rsidRPr="00AF57BF">
        <w:t xml:space="preserve">, joined by Flores, contends that errors in his trial, even if not sufficiently prejudicial </w:t>
      </w:r>
      <w:r w:rsidR="003F33D9" w:rsidRPr="00AF57BF">
        <w:t>to require</w:t>
      </w:r>
      <w:r w:rsidRPr="00AF57BF">
        <w:t xml:space="preserve"> reversal of the judgment </w:t>
      </w:r>
      <w:r w:rsidR="003F33D9" w:rsidRPr="00AF57BF">
        <w:t xml:space="preserve">when considered individually, do warrant reversal when assessed cumulatively.  </w:t>
      </w:r>
      <w:r w:rsidR="007B7A4E" w:rsidRPr="00AF57BF">
        <w:t xml:space="preserve">We </w:t>
      </w:r>
      <w:r w:rsidR="003D64AE" w:rsidRPr="00AF57BF">
        <w:t>have concluded</w:t>
      </w:r>
      <w:r w:rsidR="00C86F56" w:rsidRPr="00AF57BF">
        <w:t xml:space="preserve"> </w:t>
      </w:r>
      <w:r w:rsidR="00E7756D" w:rsidRPr="00AF57BF">
        <w:t>any error</w:t>
      </w:r>
      <w:r w:rsidR="00C86F56" w:rsidRPr="00AF57BF">
        <w:t xml:space="preserve"> in the prosecutor’s guilt phase closing </w:t>
      </w:r>
      <w:r w:rsidR="003D64AE" w:rsidRPr="00AF57BF">
        <w:t>was</w:t>
      </w:r>
      <w:r w:rsidR="00E7756D" w:rsidRPr="00AF57BF">
        <w:t xml:space="preserve"> harmless</w:t>
      </w:r>
      <w:r w:rsidR="003D64AE" w:rsidRPr="00AF57BF">
        <w:t>,</w:t>
      </w:r>
      <w:r w:rsidR="00EE7282" w:rsidRPr="00AF57BF">
        <w:t xml:space="preserve"> </w:t>
      </w:r>
      <w:r w:rsidR="003D64AE" w:rsidRPr="00AF57BF">
        <w:t xml:space="preserve">as was </w:t>
      </w:r>
      <w:r w:rsidR="00D8087D" w:rsidRPr="00AF57BF">
        <w:t xml:space="preserve">Dr. </w:t>
      </w:r>
      <w:proofErr w:type="spellStart"/>
      <w:r w:rsidR="00D8087D" w:rsidRPr="00AF57BF">
        <w:t>Scheinin</w:t>
      </w:r>
      <w:r w:rsidR="0000383F" w:rsidRPr="00AF57BF">
        <w:t>’s</w:t>
      </w:r>
      <w:proofErr w:type="spellEnd"/>
      <w:r w:rsidR="0000383F" w:rsidRPr="00AF57BF">
        <w:t xml:space="preserve"> testimony</w:t>
      </w:r>
      <w:r w:rsidR="007C4AD5" w:rsidRPr="00AF57BF">
        <w:t xml:space="preserve"> </w:t>
      </w:r>
      <w:r w:rsidR="003D64AE" w:rsidRPr="00AF57BF">
        <w:t>relating</w:t>
      </w:r>
      <w:r w:rsidR="007C4AD5" w:rsidRPr="00AF57BF">
        <w:t xml:space="preserve"> autopsy</w:t>
      </w:r>
      <w:r w:rsidR="00C86F56" w:rsidRPr="00AF57BF">
        <w:t xml:space="preserve"> </w:t>
      </w:r>
      <w:r w:rsidR="003D64AE" w:rsidRPr="00AF57BF">
        <w:t>results derived from</w:t>
      </w:r>
      <w:r w:rsidR="00C86F56" w:rsidRPr="00AF57BF">
        <w:t xml:space="preserve"> a different pathologist</w:t>
      </w:r>
      <w:r w:rsidR="003D64AE" w:rsidRPr="00AF57BF">
        <w:t>’s report</w:t>
      </w:r>
      <w:r w:rsidR="00C86F56" w:rsidRPr="00AF57BF">
        <w:t>.  Whether considered individually or cumulatively the errors do not warrant reversal.</w:t>
      </w:r>
    </w:p>
    <w:p w:rsidR="00AF57BF" w:rsidRDefault="00AF57BF" w:rsidP="00AF57BF">
      <w:pPr>
        <w:pStyle w:val="Text"/>
        <w:spacing w:line="400" w:lineRule="exact"/>
        <w:sectPr w:rsidR="00AF57BF" w:rsidSect="00AF57BF">
          <w:footerReference w:type="first" r:id="rId9"/>
          <w:footnotePr>
            <w:numRestart w:val="eachSect"/>
          </w:footnotePr>
          <w:pgSz w:w="12240" w:h="15840"/>
          <w:pgMar w:top="1800" w:right="2160" w:bottom="1440" w:left="2160" w:header="720" w:footer="720" w:gutter="0"/>
          <w:pgNumType w:start="1"/>
          <w:cols w:space="720"/>
          <w:titlePg/>
          <w:docGrid w:linePitch="367"/>
        </w:sectPr>
      </w:pPr>
    </w:p>
    <w:p w:rsidR="0092055D" w:rsidRPr="00AF57BF" w:rsidRDefault="0092055D" w:rsidP="00AF57BF">
      <w:pPr>
        <w:pStyle w:val="Text"/>
        <w:spacing w:line="400" w:lineRule="exact"/>
      </w:pPr>
    </w:p>
    <w:p w:rsidR="00C86F56" w:rsidRPr="00AF57BF" w:rsidRDefault="00556377" w:rsidP="00AF57BF">
      <w:pPr>
        <w:pStyle w:val="Heading1"/>
      </w:pPr>
      <w:bookmarkStart w:id="41" w:name="_Toc521674411"/>
      <w:r w:rsidRPr="00AF57BF">
        <w:t xml:space="preserve">III.  </w:t>
      </w:r>
      <w:r w:rsidR="00956835" w:rsidRPr="00AF57BF">
        <w:t>D</w:t>
      </w:r>
      <w:r w:rsidRPr="00AF57BF">
        <w:t>isposition</w:t>
      </w:r>
      <w:bookmarkEnd w:id="41"/>
    </w:p>
    <w:p w:rsidR="00556377" w:rsidRPr="00AF57BF" w:rsidRDefault="00505A25" w:rsidP="00AF57BF">
      <w:pPr>
        <w:pStyle w:val="Text"/>
        <w:spacing w:line="400" w:lineRule="exact"/>
      </w:pPr>
      <w:r w:rsidRPr="00AF57BF">
        <w:t>The judgment is</w:t>
      </w:r>
      <w:r w:rsidR="00556377" w:rsidRPr="00AF57BF">
        <w:t xml:space="preserve"> affirmed.</w:t>
      </w:r>
    </w:p>
    <w:p w:rsidR="00505A25" w:rsidRPr="0088437E" w:rsidRDefault="00916630" w:rsidP="00AF57BF">
      <w:pPr>
        <w:pStyle w:val="Text"/>
        <w:spacing w:line="400" w:lineRule="exact"/>
        <w:rPr>
          <w:b/>
        </w:rPr>
      </w:pPr>
      <w:r w:rsidRPr="00AF57BF">
        <w:tab/>
      </w:r>
      <w:r w:rsidRPr="00AF57BF">
        <w:tab/>
      </w:r>
      <w:r w:rsidRPr="00AF57BF">
        <w:tab/>
      </w:r>
      <w:r w:rsidRPr="00AF57BF">
        <w:tab/>
      </w:r>
      <w:r w:rsidRPr="00AF57BF">
        <w:tab/>
      </w:r>
      <w:r w:rsidRPr="00AF57BF">
        <w:tab/>
      </w:r>
      <w:r w:rsidR="0022261F" w:rsidRPr="0088437E">
        <w:rPr>
          <w:b/>
        </w:rPr>
        <w:t>CORRIGAN, J.</w:t>
      </w:r>
    </w:p>
    <w:p w:rsidR="00505A25" w:rsidRDefault="005F5FE5" w:rsidP="00AF57BF">
      <w:pPr>
        <w:pStyle w:val="Text"/>
        <w:spacing w:line="400" w:lineRule="exact"/>
        <w:ind w:firstLine="0"/>
        <w:rPr>
          <w:b/>
        </w:rPr>
      </w:pPr>
      <w:r w:rsidRPr="0088437E">
        <w:rPr>
          <w:b/>
        </w:rPr>
        <w:t>We C</w:t>
      </w:r>
      <w:r w:rsidR="00505A25" w:rsidRPr="0088437E">
        <w:rPr>
          <w:b/>
        </w:rPr>
        <w:t>oncur:</w:t>
      </w:r>
    </w:p>
    <w:p w:rsidR="00D15283" w:rsidRDefault="00D15283" w:rsidP="00AF57BF">
      <w:pPr>
        <w:pStyle w:val="Text"/>
        <w:spacing w:line="400" w:lineRule="exact"/>
        <w:ind w:firstLine="0"/>
        <w:rPr>
          <w:b/>
        </w:rPr>
      </w:pPr>
    </w:p>
    <w:p w:rsidR="00D15283" w:rsidRDefault="00D15283" w:rsidP="00D15283">
      <w:pPr>
        <w:spacing w:after="0" w:line="240" w:lineRule="auto"/>
        <w:rPr>
          <w:b/>
          <w:szCs w:val="26"/>
        </w:rPr>
      </w:pPr>
      <w:r>
        <w:rPr>
          <w:b/>
          <w:szCs w:val="26"/>
        </w:rPr>
        <w:t>CANTIL-SAKAUYE, C. J.</w:t>
      </w:r>
    </w:p>
    <w:p w:rsidR="00D15283" w:rsidRDefault="00D15283" w:rsidP="00D15283">
      <w:pPr>
        <w:spacing w:after="0" w:line="240" w:lineRule="auto"/>
        <w:rPr>
          <w:b/>
          <w:szCs w:val="26"/>
        </w:rPr>
      </w:pPr>
      <w:r>
        <w:rPr>
          <w:b/>
          <w:szCs w:val="26"/>
        </w:rPr>
        <w:t xml:space="preserve">CHIN, J.  </w:t>
      </w:r>
    </w:p>
    <w:p w:rsidR="00D15283" w:rsidRDefault="00D15283" w:rsidP="00D15283">
      <w:pPr>
        <w:spacing w:after="0" w:line="240" w:lineRule="auto"/>
        <w:rPr>
          <w:b/>
          <w:szCs w:val="26"/>
        </w:rPr>
      </w:pPr>
      <w:r>
        <w:rPr>
          <w:b/>
          <w:szCs w:val="26"/>
        </w:rPr>
        <w:t xml:space="preserve">LIU, J.  </w:t>
      </w:r>
    </w:p>
    <w:p w:rsidR="00D15283" w:rsidRDefault="00D15283" w:rsidP="00D15283">
      <w:pPr>
        <w:spacing w:after="0" w:line="240" w:lineRule="auto"/>
        <w:rPr>
          <w:b/>
          <w:szCs w:val="26"/>
        </w:rPr>
      </w:pPr>
      <w:r>
        <w:rPr>
          <w:b/>
          <w:szCs w:val="26"/>
        </w:rPr>
        <w:t>CUÉLLAR, J.</w:t>
      </w:r>
    </w:p>
    <w:p w:rsidR="00D15283" w:rsidRDefault="00D15283" w:rsidP="00D15283">
      <w:pPr>
        <w:spacing w:after="0" w:line="240" w:lineRule="auto"/>
        <w:rPr>
          <w:b/>
        </w:rPr>
      </w:pPr>
      <w:r>
        <w:rPr>
          <w:b/>
        </w:rPr>
        <w:t xml:space="preserve">KRUGER, J. </w:t>
      </w:r>
    </w:p>
    <w:p w:rsidR="00E42EF8" w:rsidRDefault="00D15283" w:rsidP="005B7437">
      <w:pPr>
        <w:spacing w:after="0" w:line="240" w:lineRule="auto"/>
        <w:jc w:val="left"/>
        <w:rPr>
          <w:b/>
        </w:rPr>
        <w:sectPr w:rsidR="00E42EF8" w:rsidSect="00AF57BF">
          <w:footnotePr>
            <w:numFmt w:val="chicago"/>
            <w:numRestart w:val="eachSect"/>
          </w:footnotePr>
          <w:pgSz w:w="12240" w:h="15840"/>
          <w:pgMar w:top="1800" w:right="2160" w:bottom="1440" w:left="2160" w:header="720" w:footer="720" w:gutter="0"/>
          <w:cols w:space="720"/>
          <w:docGrid w:linePitch="367"/>
        </w:sectPr>
      </w:pPr>
      <w:r>
        <w:rPr>
          <w:b/>
        </w:rPr>
        <w:t>O’ROURKE, J.</w:t>
      </w:r>
      <w:r>
        <w:rPr>
          <w:rStyle w:val="FootnoteReference"/>
          <w:b w:val="0"/>
        </w:rPr>
        <w:footnoteReference w:id="19"/>
      </w:r>
    </w:p>
    <w:p w:rsidR="00E42EF8" w:rsidRPr="00E42EF8" w:rsidRDefault="00E42EF8" w:rsidP="00E42EF8">
      <w:pPr>
        <w:spacing w:after="0" w:line="240" w:lineRule="auto"/>
        <w:jc w:val="left"/>
        <w:rPr>
          <w:rFonts w:ascii="Times New Roman" w:hAnsi="Times New Roman"/>
          <w:i/>
          <w:sz w:val="20"/>
        </w:rPr>
      </w:pPr>
      <w:r w:rsidRPr="00E42EF8">
        <w:rPr>
          <w:rFonts w:ascii="Times New Roman" w:hAnsi="Times New Roman"/>
          <w:i/>
          <w:sz w:val="20"/>
        </w:rPr>
        <w:t>See next page for addresses and telephone numbers for counsel who argued in Supreme Court.</w:t>
      </w:r>
    </w:p>
    <w:p w:rsidR="00E42EF8" w:rsidRPr="00E42EF8" w:rsidRDefault="00E42EF8" w:rsidP="00E42EF8">
      <w:pPr>
        <w:spacing w:after="0" w:line="240" w:lineRule="auto"/>
        <w:jc w:val="left"/>
        <w:rPr>
          <w:rFonts w:ascii="Times New Roman" w:hAnsi="Times New Roman"/>
          <w:i/>
          <w:sz w:val="20"/>
        </w:rPr>
      </w:pPr>
    </w:p>
    <w:p w:rsidR="00E42EF8" w:rsidRPr="00E42EF8" w:rsidRDefault="00E42EF8" w:rsidP="00E42EF8">
      <w:pPr>
        <w:spacing w:after="0" w:line="240" w:lineRule="auto"/>
        <w:jc w:val="left"/>
        <w:rPr>
          <w:rFonts w:ascii="Times New Roman" w:hAnsi="Times New Roman"/>
          <w:bCs/>
          <w:i/>
          <w:sz w:val="20"/>
        </w:rPr>
      </w:pPr>
      <w:r w:rsidRPr="00E42EF8">
        <w:rPr>
          <w:rFonts w:ascii="Times New Roman" w:hAnsi="Times New Roman"/>
          <w:b/>
          <w:sz w:val="20"/>
        </w:rPr>
        <w:t>Name of Opinion</w:t>
      </w:r>
      <w:r w:rsidRPr="00E42EF8">
        <w:rPr>
          <w:rFonts w:ascii="Times New Roman" w:hAnsi="Times New Roman"/>
          <w:sz w:val="20"/>
        </w:rPr>
        <w:t xml:space="preserve"> People v. </w:t>
      </w:r>
      <w:proofErr w:type="spellStart"/>
      <w:r w:rsidRPr="00E42EF8">
        <w:rPr>
          <w:rFonts w:ascii="Times New Roman" w:hAnsi="Times New Roman"/>
          <w:sz w:val="20"/>
        </w:rPr>
        <w:t>Amezcua</w:t>
      </w:r>
      <w:proofErr w:type="spellEnd"/>
      <w:r w:rsidRPr="00E42EF8">
        <w:rPr>
          <w:rFonts w:ascii="Times New Roman" w:hAnsi="Times New Roman"/>
          <w:sz w:val="20"/>
        </w:rPr>
        <w:t xml:space="preserve"> &amp; Flores</w:t>
      </w:r>
    </w:p>
    <w:p w:rsidR="00E42EF8" w:rsidRPr="00E42EF8" w:rsidRDefault="00E42EF8" w:rsidP="00E42EF8">
      <w:pPr>
        <w:spacing w:after="0" w:line="240" w:lineRule="auto"/>
        <w:jc w:val="left"/>
        <w:rPr>
          <w:rFonts w:ascii="Times New Roman" w:hAnsi="Times New Roman"/>
          <w:b/>
          <w:sz w:val="20"/>
        </w:rPr>
      </w:pPr>
      <w:r w:rsidRPr="00E42EF8">
        <w:rPr>
          <w:rFonts w:ascii="Times New Roman" w:hAnsi="Times New Roman"/>
          <w:b/>
          <w:sz w:val="20"/>
        </w:rPr>
        <w:t>__________________________________________________________________________________</w:t>
      </w:r>
    </w:p>
    <w:p w:rsidR="00E42EF8" w:rsidRPr="00E42EF8" w:rsidRDefault="00E42EF8" w:rsidP="00E42EF8">
      <w:pPr>
        <w:spacing w:after="0" w:line="240" w:lineRule="auto"/>
        <w:jc w:val="left"/>
        <w:rPr>
          <w:rFonts w:ascii="Times New Roman" w:hAnsi="Times New Roman"/>
          <w:b/>
          <w:sz w:val="20"/>
        </w:rPr>
      </w:pPr>
    </w:p>
    <w:p w:rsidR="00E42EF8" w:rsidRPr="00E42EF8" w:rsidRDefault="00E42EF8" w:rsidP="00E42EF8">
      <w:pPr>
        <w:spacing w:after="0" w:line="240" w:lineRule="auto"/>
        <w:jc w:val="left"/>
        <w:rPr>
          <w:rFonts w:ascii="Times New Roman" w:hAnsi="Times New Roman"/>
          <w:sz w:val="20"/>
        </w:rPr>
      </w:pPr>
      <w:r w:rsidRPr="00E42EF8">
        <w:rPr>
          <w:rFonts w:ascii="Times New Roman" w:hAnsi="Times New Roman"/>
          <w:b/>
          <w:sz w:val="20"/>
        </w:rPr>
        <w:t>Unpublished Opinion</w:t>
      </w:r>
    </w:p>
    <w:p w:rsidR="00E42EF8" w:rsidRPr="00E42EF8" w:rsidRDefault="00E42EF8" w:rsidP="00E42EF8">
      <w:pPr>
        <w:spacing w:after="0" w:line="240" w:lineRule="auto"/>
        <w:jc w:val="left"/>
        <w:rPr>
          <w:rFonts w:ascii="Times New Roman" w:hAnsi="Times New Roman"/>
          <w:sz w:val="20"/>
        </w:rPr>
      </w:pPr>
      <w:r w:rsidRPr="00E42EF8">
        <w:rPr>
          <w:rFonts w:ascii="Times New Roman" w:hAnsi="Times New Roman"/>
          <w:b/>
          <w:sz w:val="20"/>
        </w:rPr>
        <w:t>Original Appeal</w:t>
      </w:r>
      <w:r w:rsidRPr="00E42EF8">
        <w:rPr>
          <w:rFonts w:ascii="Times New Roman" w:hAnsi="Times New Roman"/>
          <w:sz w:val="20"/>
        </w:rPr>
        <w:t xml:space="preserve"> XXX</w:t>
      </w:r>
    </w:p>
    <w:p w:rsidR="00E42EF8" w:rsidRPr="00E42EF8" w:rsidRDefault="00E42EF8" w:rsidP="00E42EF8">
      <w:pPr>
        <w:spacing w:after="0" w:line="240" w:lineRule="auto"/>
        <w:jc w:val="left"/>
        <w:rPr>
          <w:rFonts w:ascii="Times New Roman" w:hAnsi="Times New Roman"/>
          <w:b/>
          <w:sz w:val="20"/>
        </w:rPr>
      </w:pPr>
      <w:r w:rsidRPr="00E42EF8">
        <w:rPr>
          <w:rFonts w:ascii="Times New Roman" w:hAnsi="Times New Roman"/>
          <w:b/>
          <w:sz w:val="20"/>
        </w:rPr>
        <w:t>Original Proceeding</w:t>
      </w:r>
    </w:p>
    <w:p w:rsidR="00E42EF8" w:rsidRPr="00E42EF8" w:rsidRDefault="00E42EF8" w:rsidP="00E42EF8">
      <w:pPr>
        <w:spacing w:after="0" w:line="240" w:lineRule="auto"/>
        <w:jc w:val="left"/>
        <w:rPr>
          <w:rFonts w:ascii="Times New Roman" w:hAnsi="Times New Roman"/>
          <w:sz w:val="20"/>
        </w:rPr>
      </w:pPr>
      <w:r w:rsidRPr="00E42EF8">
        <w:rPr>
          <w:rFonts w:ascii="Times New Roman" w:hAnsi="Times New Roman"/>
          <w:b/>
          <w:sz w:val="20"/>
        </w:rPr>
        <w:t>Review Granted</w:t>
      </w:r>
    </w:p>
    <w:p w:rsidR="00E42EF8" w:rsidRPr="00E42EF8" w:rsidRDefault="00E42EF8" w:rsidP="00E42EF8">
      <w:pPr>
        <w:spacing w:after="0" w:line="240" w:lineRule="auto"/>
        <w:jc w:val="left"/>
        <w:rPr>
          <w:rFonts w:ascii="Times New Roman" w:hAnsi="Times New Roman"/>
          <w:b/>
          <w:sz w:val="20"/>
        </w:rPr>
      </w:pPr>
      <w:r w:rsidRPr="00E42EF8">
        <w:rPr>
          <w:rFonts w:ascii="Times New Roman" w:hAnsi="Times New Roman"/>
          <w:b/>
          <w:sz w:val="20"/>
        </w:rPr>
        <w:t>Rehearing Granted</w:t>
      </w:r>
    </w:p>
    <w:p w:rsidR="00E42EF8" w:rsidRPr="00E42EF8" w:rsidRDefault="00E42EF8" w:rsidP="00E42EF8">
      <w:pPr>
        <w:spacing w:after="0" w:line="240" w:lineRule="auto"/>
        <w:jc w:val="left"/>
        <w:rPr>
          <w:rFonts w:ascii="Times New Roman" w:hAnsi="Times New Roman"/>
          <w:b/>
          <w:sz w:val="20"/>
        </w:rPr>
      </w:pPr>
    </w:p>
    <w:p w:rsidR="00E42EF8" w:rsidRPr="00E42EF8" w:rsidRDefault="00E42EF8" w:rsidP="00E42EF8">
      <w:pPr>
        <w:spacing w:after="0" w:line="240" w:lineRule="auto"/>
        <w:jc w:val="left"/>
        <w:rPr>
          <w:rFonts w:ascii="Times New Roman" w:hAnsi="Times New Roman"/>
          <w:b/>
          <w:sz w:val="20"/>
        </w:rPr>
      </w:pPr>
      <w:r w:rsidRPr="00E42EF8">
        <w:rPr>
          <w:rFonts w:ascii="Times New Roman" w:hAnsi="Times New Roman"/>
          <w:b/>
          <w:sz w:val="20"/>
        </w:rPr>
        <w:t>__________________________________________________________________________________</w:t>
      </w:r>
    </w:p>
    <w:p w:rsidR="00E42EF8" w:rsidRPr="00E42EF8" w:rsidRDefault="00E42EF8" w:rsidP="00E42EF8">
      <w:pPr>
        <w:spacing w:after="0" w:line="240" w:lineRule="auto"/>
        <w:jc w:val="left"/>
        <w:rPr>
          <w:rFonts w:ascii="Times New Roman" w:hAnsi="Times New Roman"/>
          <w:b/>
          <w:sz w:val="20"/>
        </w:rPr>
      </w:pPr>
    </w:p>
    <w:p w:rsidR="00E42EF8" w:rsidRPr="00E42EF8" w:rsidRDefault="00E42EF8" w:rsidP="00E42EF8">
      <w:pPr>
        <w:spacing w:after="0" w:line="240" w:lineRule="auto"/>
        <w:jc w:val="left"/>
        <w:rPr>
          <w:rFonts w:ascii="Times New Roman" w:hAnsi="Times New Roman"/>
          <w:bCs/>
          <w:sz w:val="20"/>
        </w:rPr>
      </w:pPr>
      <w:r w:rsidRPr="00E42EF8">
        <w:rPr>
          <w:rFonts w:ascii="Times New Roman" w:hAnsi="Times New Roman"/>
          <w:b/>
          <w:sz w:val="20"/>
        </w:rPr>
        <w:t>Opinion No.</w:t>
      </w:r>
      <w:r w:rsidRPr="00E42EF8">
        <w:rPr>
          <w:rFonts w:ascii="Times New Roman" w:hAnsi="Times New Roman"/>
          <w:sz w:val="20"/>
        </w:rPr>
        <w:t xml:space="preserve"> S133660</w:t>
      </w:r>
    </w:p>
    <w:p w:rsidR="00E42EF8" w:rsidRPr="00E42EF8" w:rsidRDefault="00E42EF8" w:rsidP="00E42EF8">
      <w:pPr>
        <w:spacing w:after="0" w:line="240" w:lineRule="auto"/>
        <w:jc w:val="left"/>
        <w:rPr>
          <w:rFonts w:ascii="Times New Roman" w:hAnsi="Times New Roman"/>
          <w:bCs/>
          <w:sz w:val="20"/>
        </w:rPr>
      </w:pPr>
      <w:r w:rsidRPr="00E42EF8">
        <w:rPr>
          <w:rFonts w:ascii="Times New Roman" w:hAnsi="Times New Roman"/>
          <w:b/>
          <w:sz w:val="20"/>
        </w:rPr>
        <w:t>Date Filed:</w:t>
      </w:r>
      <w:r w:rsidRPr="00E42EF8">
        <w:rPr>
          <w:rFonts w:ascii="Times New Roman" w:hAnsi="Times New Roman"/>
          <w:sz w:val="20"/>
        </w:rPr>
        <w:t xml:space="preserve"> February 28, 2019</w:t>
      </w:r>
    </w:p>
    <w:p w:rsidR="00E42EF8" w:rsidRPr="00E42EF8" w:rsidRDefault="00E42EF8" w:rsidP="00E42EF8">
      <w:pPr>
        <w:spacing w:after="0" w:line="240" w:lineRule="auto"/>
        <w:jc w:val="left"/>
        <w:rPr>
          <w:rFonts w:ascii="Times New Roman" w:hAnsi="Times New Roman"/>
          <w:b/>
          <w:sz w:val="20"/>
        </w:rPr>
      </w:pPr>
      <w:r w:rsidRPr="00E42EF8">
        <w:rPr>
          <w:rFonts w:ascii="Times New Roman" w:hAnsi="Times New Roman"/>
          <w:b/>
          <w:sz w:val="20"/>
        </w:rPr>
        <w:t>__________________________________________________________________________________</w:t>
      </w:r>
    </w:p>
    <w:p w:rsidR="00E42EF8" w:rsidRPr="00E42EF8" w:rsidRDefault="00E42EF8" w:rsidP="00E42EF8">
      <w:pPr>
        <w:spacing w:after="0" w:line="240" w:lineRule="auto"/>
        <w:jc w:val="left"/>
        <w:rPr>
          <w:rFonts w:ascii="Times New Roman" w:hAnsi="Times New Roman"/>
          <w:b/>
          <w:sz w:val="20"/>
        </w:rPr>
      </w:pPr>
    </w:p>
    <w:p w:rsidR="00E42EF8" w:rsidRPr="00E42EF8" w:rsidRDefault="00E42EF8" w:rsidP="00E42EF8">
      <w:pPr>
        <w:spacing w:after="0" w:line="240" w:lineRule="auto"/>
        <w:jc w:val="left"/>
        <w:rPr>
          <w:rFonts w:ascii="Times New Roman" w:hAnsi="Times New Roman"/>
          <w:b/>
          <w:bCs/>
          <w:sz w:val="20"/>
        </w:rPr>
      </w:pPr>
      <w:r w:rsidRPr="00E42EF8">
        <w:rPr>
          <w:rFonts w:ascii="Times New Roman" w:hAnsi="Times New Roman"/>
          <w:b/>
          <w:sz w:val="20"/>
        </w:rPr>
        <w:t>Court:</w:t>
      </w:r>
      <w:r w:rsidRPr="00E42EF8">
        <w:rPr>
          <w:rFonts w:ascii="Times New Roman" w:hAnsi="Times New Roman"/>
          <w:sz w:val="20"/>
        </w:rPr>
        <w:t xml:space="preserve"> Superior</w:t>
      </w:r>
    </w:p>
    <w:p w:rsidR="00E42EF8" w:rsidRPr="00E42EF8" w:rsidRDefault="00E42EF8" w:rsidP="00E42EF8">
      <w:pPr>
        <w:spacing w:after="0" w:line="240" w:lineRule="auto"/>
        <w:jc w:val="left"/>
        <w:rPr>
          <w:rFonts w:ascii="Times New Roman" w:hAnsi="Times New Roman"/>
          <w:bCs/>
          <w:sz w:val="20"/>
        </w:rPr>
      </w:pPr>
      <w:r w:rsidRPr="00E42EF8">
        <w:rPr>
          <w:rFonts w:ascii="Times New Roman" w:hAnsi="Times New Roman"/>
          <w:b/>
          <w:sz w:val="20"/>
        </w:rPr>
        <w:t>County:</w:t>
      </w:r>
      <w:r w:rsidRPr="00E42EF8">
        <w:rPr>
          <w:rFonts w:ascii="Times New Roman" w:hAnsi="Times New Roman"/>
          <w:sz w:val="20"/>
        </w:rPr>
        <w:t xml:space="preserve"> Los Angeles</w:t>
      </w:r>
    </w:p>
    <w:p w:rsidR="00E42EF8" w:rsidRPr="00E42EF8" w:rsidRDefault="00E42EF8" w:rsidP="00E42EF8">
      <w:pPr>
        <w:spacing w:after="0" w:line="240" w:lineRule="auto"/>
        <w:ind w:left="720" w:hanging="720"/>
        <w:jc w:val="left"/>
        <w:rPr>
          <w:rFonts w:ascii="Times New Roman" w:hAnsi="Times New Roman"/>
          <w:bCs/>
          <w:sz w:val="20"/>
        </w:rPr>
      </w:pPr>
      <w:r w:rsidRPr="00E42EF8">
        <w:rPr>
          <w:rFonts w:ascii="Times New Roman" w:hAnsi="Times New Roman"/>
          <w:b/>
          <w:sz w:val="20"/>
        </w:rPr>
        <w:t>Judge:</w:t>
      </w:r>
      <w:r w:rsidRPr="00E42EF8">
        <w:rPr>
          <w:rFonts w:ascii="Times New Roman" w:hAnsi="Times New Roman"/>
          <w:sz w:val="20"/>
        </w:rPr>
        <w:t xml:space="preserve"> Robert J. Perry</w:t>
      </w:r>
    </w:p>
    <w:p w:rsidR="00E42EF8" w:rsidRPr="00E42EF8" w:rsidRDefault="00E42EF8" w:rsidP="00E42EF8">
      <w:pPr>
        <w:spacing w:after="0" w:line="240" w:lineRule="auto"/>
        <w:jc w:val="left"/>
        <w:rPr>
          <w:rFonts w:ascii="Times New Roman" w:hAnsi="Times New Roman"/>
          <w:b/>
          <w:sz w:val="20"/>
        </w:rPr>
      </w:pPr>
    </w:p>
    <w:p w:rsidR="00E42EF8" w:rsidRPr="00E42EF8" w:rsidRDefault="00E42EF8" w:rsidP="00E42EF8">
      <w:pPr>
        <w:spacing w:after="0" w:line="240" w:lineRule="auto"/>
        <w:jc w:val="left"/>
        <w:rPr>
          <w:rFonts w:ascii="Times New Roman" w:hAnsi="Times New Roman"/>
          <w:b/>
          <w:sz w:val="20"/>
        </w:rPr>
      </w:pPr>
      <w:r w:rsidRPr="00E42EF8">
        <w:rPr>
          <w:rFonts w:ascii="Times New Roman" w:hAnsi="Times New Roman"/>
          <w:b/>
          <w:sz w:val="20"/>
        </w:rPr>
        <w:t>__________________________________________________________________________________</w:t>
      </w:r>
    </w:p>
    <w:p w:rsidR="00E42EF8" w:rsidRPr="00E42EF8" w:rsidRDefault="00E42EF8" w:rsidP="00E42EF8">
      <w:pPr>
        <w:spacing w:after="0" w:line="240" w:lineRule="auto"/>
        <w:jc w:val="left"/>
        <w:rPr>
          <w:rFonts w:ascii="Times New Roman" w:hAnsi="Times New Roman"/>
          <w:b/>
          <w:sz w:val="20"/>
        </w:rPr>
      </w:pPr>
    </w:p>
    <w:p w:rsidR="00E42EF8" w:rsidRPr="00E42EF8" w:rsidRDefault="00E42EF8" w:rsidP="00E42EF8">
      <w:pPr>
        <w:spacing w:after="0" w:line="240" w:lineRule="auto"/>
        <w:jc w:val="left"/>
        <w:rPr>
          <w:rFonts w:ascii="Times New Roman" w:hAnsi="Times New Roman"/>
          <w:b/>
          <w:sz w:val="20"/>
        </w:rPr>
      </w:pPr>
      <w:r w:rsidRPr="00E42EF8">
        <w:rPr>
          <w:rFonts w:ascii="Times New Roman" w:hAnsi="Times New Roman"/>
          <w:b/>
          <w:sz w:val="20"/>
        </w:rPr>
        <w:t>Counsel:</w:t>
      </w:r>
    </w:p>
    <w:p w:rsidR="00E42EF8" w:rsidRPr="00E42EF8" w:rsidRDefault="00E42EF8" w:rsidP="00E42EF8">
      <w:pPr>
        <w:spacing w:after="0" w:line="240" w:lineRule="auto"/>
        <w:jc w:val="left"/>
        <w:rPr>
          <w:rFonts w:ascii="Times New Roman" w:hAnsi="Times New Roman"/>
          <w:b/>
          <w:sz w:val="20"/>
        </w:rPr>
      </w:pPr>
    </w:p>
    <w:p w:rsidR="00E42EF8" w:rsidRPr="00E42EF8" w:rsidRDefault="00E42EF8" w:rsidP="00E42EF8">
      <w:pPr>
        <w:spacing w:after="0" w:line="240" w:lineRule="auto"/>
        <w:jc w:val="left"/>
        <w:rPr>
          <w:rFonts w:ascii="Times New Roman" w:hAnsi="Times New Roman"/>
          <w:sz w:val="20"/>
        </w:rPr>
      </w:pPr>
      <w:r w:rsidRPr="00E42EF8">
        <w:rPr>
          <w:rFonts w:ascii="Times New Roman" w:hAnsi="Times New Roman"/>
          <w:sz w:val="20"/>
        </w:rPr>
        <w:t xml:space="preserve">Janyce Keiko </w:t>
      </w:r>
      <w:proofErr w:type="spellStart"/>
      <w:r w:rsidRPr="00E42EF8">
        <w:rPr>
          <w:rFonts w:ascii="Times New Roman" w:hAnsi="Times New Roman"/>
          <w:sz w:val="20"/>
        </w:rPr>
        <w:t>Imata</w:t>
      </w:r>
      <w:proofErr w:type="spellEnd"/>
      <w:r w:rsidRPr="00E42EF8">
        <w:rPr>
          <w:rFonts w:ascii="Times New Roman" w:hAnsi="Times New Roman"/>
          <w:sz w:val="20"/>
        </w:rPr>
        <w:t xml:space="preserve"> Blair, under appointment by the Supreme Court, for Defendant and Appellant Oswaldo </w:t>
      </w:r>
      <w:proofErr w:type="spellStart"/>
      <w:r w:rsidRPr="00E42EF8">
        <w:rPr>
          <w:rFonts w:ascii="Times New Roman" w:hAnsi="Times New Roman"/>
          <w:sz w:val="20"/>
        </w:rPr>
        <w:t>Amezcua</w:t>
      </w:r>
      <w:proofErr w:type="spellEnd"/>
      <w:r w:rsidRPr="00E42EF8">
        <w:rPr>
          <w:rFonts w:ascii="Times New Roman" w:hAnsi="Times New Roman"/>
          <w:sz w:val="20"/>
        </w:rPr>
        <w:t>.</w:t>
      </w:r>
    </w:p>
    <w:p w:rsidR="00E42EF8" w:rsidRPr="00E42EF8" w:rsidRDefault="00E42EF8" w:rsidP="00E42EF8">
      <w:pPr>
        <w:spacing w:after="0" w:line="240" w:lineRule="auto"/>
        <w:jc w:val="left"/>
        <w:rPr>
          <w:rFonts w:ascii="Times New Roman" w:hAnsi="Times New Roman"/>
          <w:sz w:val="20"/>
        </w:rPr>
      </w:pPr>
    </w:p>
    <w:p w:rsidR="00E42EF8" w:rsidRPr="00E42EF8" w:rsidRDefault="00E42EF8" w:rsidP="00E42EF8">
      <w:pPr>
        <w:spacing w:after="0" w:line="240" w:lineRule="auto"/>
        <w:jc w:val="left"/>
        <w:rPr>
          <w:rFonts w:ascii="Times New Roman" w:hAnsi="Times New Roman"/>
          <w:sz w:val="20"/>
        </w:rPr>
      </w:pPr>
      <w:r w:rsidRPr="00E42EF8">
        <w:rPr>
          <w:rFonts w:ascii="Times New Roman" w:hAnsi="Times New Roman"/>
          <w:sz w:val="20"/>
        </w:rPr>
        <w:t>David H. Goodwin, under appointment by the Supreme Court, for Defendant and Appellant Joseph Conrad Flores.</w:t>
      </w:r>
    </w:p>
    <w:p w:rsidR="00E42EF8" w:rsidRPr="00E42EF8" w:rsidRDefault="00E42EF8" w:rsidP="00E42EF8">
      <w:pPr>
        <w:spacing w:after="0" w:line="240" w:lineRule="auto"/>
        <w:jc w:val="left"/>
        <w:rPr>
          <w:rFonts w:ascii="Times New Roman" w:hAnsi="Times New Roman"/>
          <w:sz w:val="20"/>
        </w:rPr>
      </w:pPr>
    </w:p>
    <w:p w:rsidR="00E42EF8" w:rsidRPr="00E42EF8" w:rsidRDefault="00E42EF8" w:rsidP="00E42EF8">
      <w:pPr>
        <w:spacing w:after="0" w:line="240" w:lineRule="auto"/>
        <w:jc w:val="left"/>
        <w:rPr>
          <w:rFonts w:ascii="Times New Roman" w:hAnsi="Times New Roman"/>
          <w:sz w:val="20"/>
        </w:rPr>
      </w:pPr>
      <w:r w:rsidRPr="00E42EF8">
        <w:rPr>
          <w:rFonts w:ascii="Times New Roman" w:hAnsi="Times New Roman"/>
          <w:sz w:val="20"/>
        </w:rPr>
        <w:t>Kamala D. Harris and Xavier Becerra, Attorneys General, Dane R. Gillette, Chief Assistant Attorney General, Lance E. Winters, Assistant Attorney General, Joseph P. Lee and Viet H. Nguyen, Deputy Attorneys General, for Plaintiff and Respondent.</w:t>
      </w:r>
    </w:p>
    <w:p w:rsidR="00E42EF8" w:rsidRPr="00E42EF8" w:rsidRDefault="00E42EF8" w:rsidP="00E42EF8">
      <w:pPr>
        <w:spacing w:after="0" w:line="240" w:lineRule="auto"/>
        <w:jc w:val="left"/>
        <w:rPr>
          <w:rFonts w:ascii="Times New Roman" w:hAnsi="Times New Roman"/>
          <w:b/>
          <w:sz w:val="20"/>
        </w:rPr>
      </w:pPr>
    </w:p>
    <w:p w:rsidR="00E42EF8" w:rsidRPr="00E42EF8" w:rsidRDefault="00E42EF8" w:rsidP="00E42EF8">
      <w:pPr>
        <w:spacing w:after="0" w:line="240" w:lineRule="auto"/>
        <w:jc w:val="left"/>
        <w:rPr>
          <w:rFonts w:ascii="Times New Roman" w:hAnsi="Times New Roman"/>
          <w:b/>
          <w:sz w:val="20"/>
        </w:rPr>
      </w:pPr>
    </w:p>
    <w:p w:rsidR="00E42EF8" w:rsidRPr="00E42EF8" w:rsidRDefault="00E42EF8" w:rsidP="00E42EF8">
      <w:pPr>
        <w:spacing w:after="0" w:line="240" w:lineRule="auto"/>
        <w:jc w:val="left"/>
        <w:rPr>
          <w:rFonts w:ascii="Times New Roman" w:hAnsi="Times New Roman"/>
          <w:b/>
          <w:sz w:val="20"/>
        </w:rPr>
      </w:pPr>
    </w:p>
    <w:p w:rsidR="00E42EF8" w:rsidRPr="00E42EF8" w:rsidRDefault="00E42EF8" w:rsidP="00E42EF8">
      <w:pPr>
        <w:spacing w:after="0" w:line="240" w:lineRule="auto"/>
        <w:jc w:val="left"/>
        <w:rPr>
          <w:rFonts w:ascii="Times New Roman" w:hAnsi="Times New Roman"/>
          <w:b/>
          <w:sz w:val="20"/>
        </w:rPr>
      </w:pPr>
    </w:p>
    <w:p w:rsidR="00E42EF8" w:rsidRPr="00E42EF8" w:rsidRDefault="00E42EF8" w:rsidP="00E42EF8">
      <w:pPr>
        <w:spacing w:after="0" w:line="240" w:lineRule="auto"/>
        <w:jc w:val="left"/>
        <w:rPr>
          <w:rFonts w:ascii="Times New Roman" w:hAnsi="Times New Roman"/>
          <w:b/>
          <w:sz w:val="20"/>
        </w:rPr>
      </w:pPr>
      <w:r w:rsidRPr="00E42EF8">
        <w:rPr>
          <w:rFonts w:ascii="Times New Roman" w:hAnsi="Times New Roman"/>
          <w:b/>
          <w:sz w:val="20"/>
        </w:rPr>
        <w:br w:type="page"/>
      </w:r>
    </w:p>
    <w:p w:rsidR="00E42EF8" w:rsidRPr="00E42EF8" w:rsidRDefault="00E42EF8" w:rsidP="00E42EF8">
      <w:pPr>
        <w:spacing w:after="0" w:line="240" w:lineRule="auto"/>
        <w:jc w:val="left"/>
        <w:rPr>
          <w:rFonts w:ascii="Times New Roman" w:hAnsi="Times New Roman"/>
          <w:b/>
          <w:sz w:val="20"/>
        </w:rPr>
      </w:pPr>
    </w:p>
    <w:p w:rsidR="00E42EF8" w:rsidRPr="00E42EF8" w:rsidRDefault="00E42EF8" w:rsidP="00E42EF8">
      <w:pPr>
        <w:spacing w:after="0" w:line="240" w:lineRule="auto"/>
        <w:jc w:val="left"/>
        <w:rPr>
          <w:rFonts w:ascii="Times New Roman" w:hAnsi="Times New Roman"/>
          <w:b/>
          <w:sz w:val="20"/>
        </w:rPr>
      </w:pPr>
    </w:p>
    <w:p w:rsidR="00E42EF8" w:rsidRPr="00E42EF8" w:rsidRDefault="00E42EF8" w:rsidP="00E42EF8">
      <w:pPr>
        <w:spacing w:after="0" w:line="240" w:lineRule="auto"/>
        <w:jc w:val="left"/>
        <w:rPr>
          <w:rFonts w:ascii="Times New Roman" w:hAnsi="Times New Roman"/>
          <w:b/>
          <w:sz w:val="20"/>
        </w:rPr>
      </w:pPr>
    </w:p>
    <w:p w:rsidR="00E42EF8" w:rsidRPr="00E42EF8" w:rsidRDefault="00E42EF8" w:rsidP="00E42EF8">
      <w:pPr>
        <w:spacing w:after="0" w:line="240" w:lineRule="auto"/>
        <w:jc w:val="left"/>
        <w:rPr>
          <w:rFonts w:ascii="Times New Roman" w:hAnsi="Times New Roman"/>
          <w:b/>
          <w:sz w:val="20"/>
        </w:rPr>
      </w:pPr>
      <w:r w:rsidRPr="00E42EF8">
        <w:rPr>
          <w:rFonts w:ascii="Times New Roman" w:hAnsi="Times New Roman"/>
          <w:b/>
          <w:sz w:val="20"/>
        </w:rPr>
        <w:t>Counsel who argued in Supreme Court (not intended for publication with opinion):</w:t>
      </w:r>
    </w:p>
    <w:p w:rsidR="00E42EF8" w:rsidRPr="00E42EF8" w:rsidRDefault="00E42EF8" w:rsidP="00E42EF8">
      <w:pPr>
        <w:spacing w:after="0" w:line="240" w:lineRule="auto"/>
        <w:jc w:val="left"/>
        <w:rPr>
          <w:rFonts w:ascii="Times New Roman" w:hAnsi="Times New Roman"/>
          <w:b/>
          <w:sz w:val="20"/>
        </w:rPr>
      </w:pPr>
    </w:p>
    <w:p w:rsidR="00E42EF8" w:rsidRPr="00E42EF8" w:rsidRDefault="00E42EF8" w:rsidP="00E42EF8">
      <w:pPr>
        <w:spacing w:after="0" w:line="240" w:lineRule="auto"/>
        <w:jc w:val="left"/>
        <w:rPr>
          <w:rFonts w:ascii="Times New Roman" w:hAnsi="Times New Roman"/>
          <w:sz w:val="20"/>
        </w:rPr>
      </w:pPr>
      <w:r w:rsidRPr="00E42EF8">
        <w:rPr>
          <w:rFonts w:ascii="Times New Roman" w:hAnsi="Times New Roman"/>
          <w:sz w:val="20"/>
        </w:rPr>
        <w:t xml:space="preserve">Janyce Keiko </w:t>
      </w:r>
      <w:proofErr w:type="spellStart"/>
      <w:r w:rsidRPr="00E42EF8">
        <w:rPr>
          <w:rFonts w:ascii="Times New Roman" w:hAnsi="Times New Roman"/>
          <w:sz w:val="20"/>
        </w:rPr>
        <w:t>Imata</w:t>
      </w:r>
      <w:proofErr w:type="spellEnd"/>
      <w:r w:rsidRPr="00E42EF8">
        <w:rPr>
          <w:rFonts w:ascii="Times New Roman" w:hAnsi="Times New Roman"/>
          <w:sz w:val="20"/>
        </w:rPr>
        <w:t xml:space="preserve"> Blair</w:t>
      </w:r>
    </w:p>
    <w:p w:rsidR="00E42EF8" w:rsidRPr="00E42EF8" w:rsidRDefault="00E42EF8" w:rsidP="00E42EF8">
      <w:pPr>
        <w:spacing w:after="0" w:line="240" w:lineRule="auto"/>
        <w:jc w:val="left"/>
        <w:rPr>
          <w:rFonts w:ascii="Times New Roman" w:hAnsi="Times New Roman"/>
          <w:sz w:val="20"/>
        </w:rPr>
      </w:pPr>
      <w:r w:rsidRPr="00E42EF8">
        <w:rPr>
          <w:rFonts w:ascii="Times New Roman" w:hAnsi="Times New Roman"/>
          <w:sz w:val="20"/>
        </w:rPr>
        <w:t>1609 Border Avenue</w:t>
      </w:r>
    </w:p>
    <w:p w:rsidR="00E42EF8" w:rsidRPr="00E42EF8" w:rsidRDefault="00E42EF8" w:rsidP="00E42EF8">
      <w:pPr>
        <w:spacing w:after="0" w:line="240" w:lineRule="auto"/>
        <w:jc w:val="left"/>
        <w:rPr>
          <w:rFonts w:ascii="Times New Roman" w:hAnsi="Times New Roman"/>
          <w:sz w:val="20"/>
        </w:rPr>
      </w:pPr>
      <w:r w:rsidRPr="00E42EF8">
        <w:rPr>
          <w:rFonts w:ascii="Times New Roman" w:hAnsi="Times New Roman"/>
          <w:sz w:val="20"/>
        </w:rPr>
        <w:t>Torrance, CA  90501</w:t>
      </w:r>
    </w:p>
    <w:p w:rsidR="00E42EF8" w:rsidRPr="00E42EF8" w:rsidRDefault="00E42EF8" w:rsidP="00E42EF8">
      <w:pPr>
        <w:spacing w:after="0" w:line="240" w:lineRule="auto"/>
        <w:jc w:val="left"/>
        <w:rPr>
          <w:rFonts w:ascii="Times New Roman" w:hAnsi="Times New Roman"/>
          <w:sz w:val="20"/>
        </w:rPr>
      </w:pPr>
      <w:r w:rsidRPr="00E42EF8">
        <w:rPr>
          <w:rFonts w:ascii="Times New Roman" w:hAnsi="Times New Roman"/>
          <w:sz w:val="20"/>
        </w:rPr>
        <w:t>(310) 606-9262</w:t>
      </w:r>
    </w:p>
    <w:p w:rsidR="00E42EF8" w:rsidRPr="00E42EF8" w:rsidRDefault="00E42EF8" w:rsidP="00E42EF8">
      <w:pPr>
        <w:spacing w:after="0" w:line="240" w:lineRule="auto"/>
        <w:jc w:val="left"/>
        <w:rPr>
          <w:rFonts w:ascii="Times New Roman" w:hAnsi="Times New Roman"/>
          <w:sz w:val="20"/>
        </w:rPr>
      </w:pPr>
    </w:p>
    <w:p w:rsidR="00E42EF8" w:rsidRPr="00E42EF8" w:rsidRDefault="00E42EF8" w:rsidP="00E42EF8">
      <w:pPr>
        <w:spacing w:after="0" w:line="240" w:lineRule="auto"/>
        <w:jc w:val="left"/>
        <w:rPr>
          <w:rFonts w:ascii="Times New Roman" w:hAnsi="Times New Roman"/>
          <w:sz w:val="20"/>
        </w:rPr>
      </w:pPr>
      <w:r w:rsidRPr="00E42EF8">
        <w:rPr>
          <w:rFonts w:ascii="Times New Roman" w:hAnsi="Times New Roman"/>
          <w:sz w:val="20"/>
        </w:rPr>
        <w:t>David H. Goodwin</w:t>
      </w:r>
    </w:p>
    <w:p w:rsidR="00E42EF8" w:rsidRPr="00E42EF8" w:rsidRDefault="00E42EF8" w:rsidP="00E42EF8">
      <w:pPr>
        <w:spacing w:after="0" w:line="240" w:lineRule="auto"/>
        <w:jc w:val="left"/>
        <w:rPr>
          <w:rFonts w:ascii="Times New Roman" w:hAnsi="Times New Roman"/>
          <w:sz w:val="20"/>
        </w:rPr>
      </w:pPr>
      <w:r w:rsidRPr="00E42EF8">
        <w:rPr>
          <w:rFonts w:ascii="Times New Roman" w:hAnsi="Times New Roman"/>
          <w:sz w:val="20"/>
        </w:rPr>
        <w:t>P.O. Box 50724</w:t>
      </w:r>
    </w:p>
    <w:p w:rsidR="00E42EF8" w:rsidRPr="00E42EF8" w:rsidRDefault="00E42EF8" w:rsidP="00E42EF8">
      <w:pPr>
        <w:spacing w:after="0" w:line="240" w:lineRule="auto"/>
        <w:jc w:val="left"/>
        <w:rPr>
          <w:rFonts w:ascii="Times New Roman" w:hAnsi="Times New Roman"/>
          <w:sz w:val="20"/>
        </w:rPr>
      </w:pPr>
      <w:r w:rsidRPr="00E42EF8">
        <w:rPr>
          <w:rFonts w:ascii="Times New Roman" w:hAnsi="Times New Roman"/>
          <w:sz w:val="20"/>
        </w:rPr>
        <w:t>Pasadena, CA  91115</w:t>
      </w:r>
    </w:p>
    <w:p w:rsidR="00E42EF8" w:rsidRPr="00E42EF8" w:rsidRDefault="00E42EF8" w:rsidP="00E42EF8">
      <w:pPr>
        <w:spacing w:after="0" w:line="240" w:lineRule="auto"/>
        <w:jc w:val="left"/>
        <w:rPr>
          <w:rFonts w:ascii="Times New Roman" w:hAnsi="Times New Roman"/>
          <w:sz w:val="20"/>
        </w:rPr>
      </w:pPr>
      <w:r w:rsidRPr="00E42EF8">
        <w:rPr>
          <w:rFonts w:ascii="Times New Roman" w:hAnsi="Times New Roman"/>
          <w:sz w:val="20"/>
        </w:rPr>
        <w:t>(323) 666-9960</w:t>
      </w:r>
    </w:p>
    <w:p w:rsidR="00E42EF8" w:rsidRPr="00E42EF8" w:rsidRDefault="00E42EF8" w:rsidP="00E42EF8">
      <w:pPr>
        <w:spacing w:after="0" w:line="240" w:lineRule="auto"/>
        <w:jc w:val="left"/>
        <w:rPr>
          <w:rFonts w:ascii="Times New Roman" w:hAnsi="Times New Roman"/>
          <w:sz w:val="20"/>
        </w:rPr>
      </w:pPr>
    </w:p>
    <w:p w:rsidR="00E42EF8" w:rsidRPr="00E42EF8" w:rsidRDefault="00E42EF8" w:rsidP="00E42EF8">
      <w:pPr>
        <w:spacing w:after="0" w:line="240" w:lineRule="auto"/>
        <w:jc w:val="left"/>
        <w:rPr>
          <w:rFonts w:ascii="Times New Roman" w:hAnsi="Times New Roman"/>
          <w:sz w:val="20"/>
        </w:rPr>
      </w:pPr>
      <w:r w:rsidRPr="00E42EF8">
        <w:rPr>
          <w:rFonts w:ascii="Times New Roman" w:hAnsi="Times New Roman"/>
          <w:sz w:val="20"/>
        </w:rPr>
        <w:t>Viet H. Nguyen</w:t>
      </w:r>
    </w:p>
    <w:p w:rsidR="00E42EF8" w:rsidRPr="00E42EF8" w:rsidRDefault="00E42EF8" w:rsidP="00E42EF8">
      <w:pPr>
        <w:spacing w:after="0" w:line="240" w:lineRule="auto"/>
        <w:jc w:val="left"/>
        <w:rPr>
          <w:rFonts w:ascii="Times New Roman" w:hAnsi="Times New Roman"/>
          <w:sz w:val="20"/>
        </w:rPr>
      </w:pPr>
      <w:r w:rsidRPr="00E42EF8">
        <w:rPr>
          <w:rFonts w:ascii="Times New Roman" w:hAnsi="Times New Roman"/>
          <w:sz w:val="20"/>
        </w:rPr>
        <w:t>Deputy Attorney General</w:t>
      </w:r>
    </w:p>
    <w:p w:rsidR="00E42EF8" w:rsidRPr="00E42EF8" w:rsidRDefault="00E42EF8" w:rsidP="00E42EF8">
      <w:pPr>
        <w:spacing w:after="0" w:line="240" w:lineRule="auto"/>
        <w:jc w:val="left"/>
        <w:rPr>
          <w:rFonts w:ascii="Times New Roman" w:hAnsi="Times New Roman"/>
          <w:sz w:val="20"/>
        </w:rPr>
      </w:pPr>
      <w:r w:rsidRPr="00E42EF8">
        <w:rPr>
          <w:rFonts w:ascii="Times New Roman" w:hAnsi="Times New Roman"/>
          <w:sz w:val="20"/>
        </w:rPr>
        <w:t>300 South Spring Street, Suite 1702</w:t>
      </w:r>
    </w:p>
    <w:p w:rsidR="00E42EF8" w:rsidRPr="00E42EF8" w:rsidRDefault="00E42EF8" w:rsidP="00E42EF8">
      <w:pPr>
        <w:spacing w:after="0" w:line="240" w:lineRule="auto"/>
        <w:jc w:val="left"/>
        <w:rPr>
          <w:rFonts w:ascii="Times New Roman" w:hAnsi="Times New Roman"/>
          <w:sz w:val="20"/>
        </w:rPr>
      </w:pPr>
      <w:r w:rsidRPr="00E42EF8">
        <w:rPr>
          <w:rFonts w:ascii="Times New Roman" w:hAnsi="Times New Roman"/>
          <w:sz w:val="20"/>
        </w:rPr>
        <w:t>Los Angeles, CA  90013</w:t>
      </w:r>
    </w:p>
    <w:p w:rsidR="00E42EF8" w:rsidRPr="00E42EF8" w:rsidRDefault="00E42EF8" w:rsidP="00E42EF8">
      <w:pPr>
        <w:spacing w:after="0" w:line="240" w:lineRule="auto"/>
        <w:jc w:val="left"/>
        <w:rPr>
          <w:rFonts w:ascii="Times New Roman" w:hAnsi="Times New Roman"/>
          <w:sz w:val="20"/>
        </w:rPr>
      </w:pPr>
      <w:r w:rsidRPr="00E42EF8">
        <w:rPr>
          <w:rFonts w:ascii="Times New Roman" w:hAnsi="Times New Roman"/>
          <w:sz w:val="20"/>
        </w:rPr>
        <w:t>(213) 269-6125</w:t>
      </w:r>
    </w:p>
    <w:p w:rsidR="00E42EF8" w:rsidRPr="00E42EF8" w:rsidRDefault="00E42EF8" w:rsidP="00E42EF8">
      <w:pPr>
        <w:spacing w:after="0" w:line="240" w:lineRule="auto"/>
        <w:jc w:val="left"/>
        <w:rPr>
          <w:rFonts w:ascii="Times New Roman" w:hAnsi="Times New Roman"/>
          <w:b/>
          <w:sz w:val="20"/>
        </w:rPr>
      </w:pPr>
    </w:p>
    <w:p w:rsidR="00D15283" w:rsidRPr="0088437E" w:rsidRDefault="00D15283" w:rsidP="00D15283">
      <w:pPr>
        <w:spacing w:after="0" w:line="240" w:lineRule="auto"/>
        <w:rPr>
          <w:b/>
        </w:rPr>
      </w:pPr>
    </w:p>
    <w:sectPr w:rsidR="00D15283" w:rsidRPr="0088437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007" w:rsidRDefault="00590007">
      <w:r>
        <w:separator/>
      </w:r>
    </w:p>
  </w:endnote>
  <w:endnote w:type="continuationSeparator" w:id="0">
    <w:p w:rsidR="00590007" w:rsidRDefault="0059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ECE" w:rsidRDefault="00970ECE">
    <w:pPr>
      <w:pStyle w:val="Footer"/>
    </w:pPr>
    <w:r>
      <w:fldChar w:fldCharType="begin"/>
    </w:r>
    <w:r>
      <w:instrText>PAGE</w:instrText>
    </w:r>
    <w:r>
      <w:fldChar w:fldCharType="separate"/>
    </w:r>
    <w:r>
      <w:rPr>
        <w:noProof/>
      </w:rPr>
      <w:t>53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7BF" w:rsidRDefault="00AF57BF">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C90" w:rsidRDefault="00647C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C90" w:rsidRDefault="00647C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C90" w:rsidRDefault="00647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007" w:rsidRDefault="00590007">
      <w:r>
        <w:separator/>
      </w:r>
    </w:p>
  </w:footnote>
  <w:footnote w:type="continuationSeparator" w:id="0">
    <w:p w:rsidR="00590007" w:rsidRDefault="00590007">
      <w:pPr>
        <w:rPr>
          <w:sz w:val="22"/>
        </w:rPr>
      </w:pPr>
      <w:r>
        <w:continuationSeparator/>
      </w:r>
    </w:p>
  </w:footnote>
  <w:footnote w:type="continuationNotice" w:id="1">
    <w:p w:rsidR="00590007" w:rsidRPr="000A0DEF" w:rsidRDefault="00590007" w:rsidP="000A0DEF">
      <w:pPr>
        <w:pStyle w:val="Footer"/>
      </w:pPr>
    </w:p>
  </w:footnote>
  <w:footnote w:id="2">
    <w:p w:rsidR="00D15283" w:rsidRDefault="00D15283">
      <w:pPr>
        <w:pStyle w:val="FootnoteText"/>
      </w:pPr>
      <w:r>
        <w:rPr>
          <w:rStyle w:val="FootnoteReference"/>
        </w:rPr>
        <w:footnoteRef/>
      </w:r>
      <w:r>
        <w:t xml:space="preserve"> </w:t>
      </w:r>
      <w:r>
        <w:tab/>
      </w:r>
      <w:r w:rsidRPr="00D15283">
        <w:t>Associate Justice of the Court of Appeal, Fourth Appellate District, Division One, assigned by the Chief Justice pursuant to article VI, section 6 of the California Constitution.</w:t>
      </w:r>
    </w:p>
  </w:footnote>
  <w:footnote w:id="3">
    <w:p w:rsidR="00970ECE" w:rsidRDefault="00970ECE" w:rsidP="00AF57BF">
      <w:pPr>
        <w:pStyle w:val="FootnoteText"/>
      </w:pPr>
      <w:r>
        <w:rPr>
          <w:rStyle w:val="FootnoteReference"/>
        </w:rPr>
        <w:footnoteRef/>
      </w:r>
      <w:r w:rsidR="000F6564">
        <w:t xml:space="preserve"> </w:t>
      </w:r>
      <w:r w:rsidR="000F6564">
        <w:tab/>
        <w:t>Penal Code sections 187, 190.2, subdivision</w:t>
      </w:r>
      <w:r>
        <w:t> (a)(3), (21).  Further undesignated statutory references are to the Penal Code.</w:t>
      </w:r>
    </w:p>
  </w:footnote>
  <w:footnote w:id="4">
    <w:p w:rsidR="00970ECE" w:rsidRDefault="00970ECE" w:rsidP="00AF57BF">
      <w:pPr>
        <w:pStyle w:val="FootnoteText"/>
      </w:pPr>
      <w:r>
        <w:rPr>
          <w:rStyle w:val="FootnoteReference"/>
        </w:rPr>
        <w:footnoteRef/>
      </w:r>
      <w:r w:rsidR="000F6564">
        <w:t xml:space="preserve"> </w:t>
      </w:r>
      <w:r w:rsidR="000F6564">
        <w:tab/>
        <w:t>Sections</w:t>
      </w:r>
      <w:r>
        <w:t> 664, 187.</w:t>
      </w:r>
    </w:p>
  </w:footnote>
  <w:footnote w:id="5">
    <w:p w:rsidR="00970ECE" w:rsidRDefault="00970ECE" w:rsidP="00AF57BF">
      <w:pPr>
        <w:pStyle w:val="FootnoteText"/>
      </w:pPr>
      <w:r>
        <w:rPr>
          <w:rStyle w:val="FootnoteReference"/>
        </w:rPr>
        <w:footnoteRef/>
      </w:r>
      <w:r w:rsidR="000F6564">
        <w:t xml:space="preserve"> </w:t>
      </w:r>
      <w:r w:rsidR="000F6564">
        <w:tab/>
        <w:t>Section</w:t>
      </w:r>
      <w:r>
        <w:t> 210.5.</w:t>
      </w:r>
    </w:p>
  </w:footnote>
  <w:footnote w:id="6">
    <w:p w:rsidR="00970ECE" w:rsidRDefault="00970ECE" w:rsidP="00AF57BF">
      <w:pPr>
        <w:pStyle w:val="FootnoteText"/>
      </w:pPr>
      <w:r>
        <w:rPr>
          <w:rStyle w:val="FootnoteReference"/>
        </w:rPr>
        <w:footnoteRef/>
      </w:r>
      <w:r>
        <w:t xml:space="preserve"> </w:t>
      </w:r>
      <w:r>
        <w:tab/>
      </w:r>
      <w:r w:rsidR="000F6564">
        <w:t>Section</w:t>
      </w:r>
      <w:r>
        <w:t> 4502, sub</w:t>
      </w:r>
      <w:r w:rsidR="002A40FA">
        <w:t>division</w:t>
      </w:r>
      <w:r>
        <w:t xml:space="preserve"> (a).</w:t>
      </w:r>
    </w:p>
  </w:footnote>
  <w:footnote w:id="7">
    <w:p w:rsidR="00970ECE" w:rsidRDefault="00970ECE" w:rsidP="00AF57BF">
      <w:pPr>
        <w:pStyle w:val="FootnoteText"/>
      </w:pPr>
      <w:r>
        <w:rPr>
          <w:rStyle w:val="FootnoteReference"/>
        </w:rPr>
        <w:footnoteRef/>
      </w:r>
      <w:r>
        <w:t xml:space="preserve"> </w:t>
      </w:r>
      <w:r>
        <w:tab/>
      </w:r>
      <w:r w:rsidR="002A40FA">
        <w:t>S</w:t>
      </w:r>
      <w:r>
        <w:t>ection 186.22, subdivision (b)(1) provides an enhanced sentence for certain offenses if they are committed “</w:t>
      </w:r>
      <w:r w:rsidRPr="00186F99">
        <w:t>for the benefit of, at the direction of, or in association with any criminal street gang, with the specific intent to promote, further, or assist in any criminal conduct by gang members</w:t>
      </w:r>
      <w:r>
        <w:t xml:space="preserve">.”  </w:t>
      </w:r>
    </w:p>
    <w:p w:rsidR="00970ECE" w:rsidRDefault="00970ECE" w:rsidP="00AF57BF">
      <w:pPr>
        <w:pStyle w:val="FootnoteText"/>
        <w:ind w:firstLine="720"/>
      </w:pPr>
      <w:r>
        <w:t>The jury found defendants not guilty of several other charges and was unable to reach verdicts on yet other charges, as to each of which the court declared a mistrial.</w:t>
      </w:r>
    </w:p>
  </w:footnote>
  <w:footnote w:id="8">
    <w:p w:rsidR="00970ECE" w:rsidRDefault="00970ECE" w:rsidP="00AF57BF">
      <w:pPr>
        <w:pStyle w:val="FootnoteText"/>
      </w:pPr>
      <w:r>
        <w:rPr>
          <w:rStyle w:val="FootnoteReference"/>
        </w:rPr>
        <w:footnoteRef/>
      </w:r>
      <w:r>
        <w:t xml:space="preserve"> </w:t>
      </w:r>
      <w:r>
        <w:tab/>
        <w:t xml:space="preserve">Defendants spoke to the prosecutor on February 8 and 21 and March 28, 2002, when they were representing themselves.  The circumstances of those conversations are set </w:t>
      </w:r>
      <w:r w:rsidR="00763C00">
        <w:t>o</w:t>
      </w:r>
      <w:r w:rsidR="00674AC5">
        <w:t>ut in greater detail at pages 3</w:t>
      </w:r>
      <w:r w:rsidR="00AF57BF">
        <w:t>5–41</w:t>
      </w:r>
      <w:r>
        <w:t xml:space="preserve">, </w:t>
      </w:r>
      <w:r>
        <w:rPr>
          <w:i/>
        </w:rPr>
        <w:t>post</w:t>
      </w:r>
      <w:r>
        <w:t>.</w:t>
      </w:r>
    </w:p>
  </w:footnote>
  <w:footnote w:id="9">
    <w:p w:rsidR="00970ECE" w:rsidRDefault="00970ECE" w:rsidP="00AF57BF">
      <w:pPr>
        <w:pStyle w:val="FootnoteText"/>
      </w:pPr>
      <w:r>
        <w:rPr>
          <w:rStyle w:val="FootnoteReference"/>
        </w:rPr>
        <w:footnoteRef/>
      </w:r>
      <w:r>
        <w:t xml:space="preserve"> </w:t>
      </w:r>
      <w:r>
        <w:tab/>
        <w:t>At the time she</w:t>
      </w:r>
      <w:r w:rsidR="009774C7">
        <w:t xml:space="preserve"> testified, Barber was in</w:t>
      </w:r>
      <w:r>
        <w:t xml:space="preserve"> state prison</w:t>
      </w:r>
      <w:r w:rsidR="009774C7">
        <w:t>.  She had pl</w:t>
      </w:r>
      <w:r>
        <w:t xml:space="preserve">ed guilty to shooting at an inhabited dwelling during this incident.  </w:t>
      </w:r>
    </w:p>
  </w:footnote>
  <w:footnote w:id="10">
    <w:p w:rsidR="00970ECE" w:rsidRDefault="00970ECE" w:rsidP="00AF57BF">
      <w:pPr>
        <w:pStyle w:val="FootnoteText"/>
      </w:pPr>
      <w:r>
        <w:rPr>
          <w:rStyle w:val="FootnoteReference"/>
        </w:rPr>
        <w:footnoteRef/>
      </w:r>
      <w:r>
        <w:t xml:space="preserve"> </w:t>
      </w:r>
      <w:r>
        <w:tab/>
        <w:t xml:space="preserve">The court admonished the jury to consider Flores’s comments only against </w:t>
      </w:r>
      <w:r w:rsidR="005818D5">
        <w:t>himself</w:t>
      </w:r>
      <w:r>
        <w:t xml:space="preserve">.  Other evidence showed that ESBP member Paul Ponce was nicknamed </w:t>
      </w:r>
      <w:proofErr w:type="spellStart"/>
      <w:r>
        <w:t>Vago</w:t>
      </w:r>
      <w:proofErr w:type="spellEnd"/>
      <w:r>
        <w:t>.  Defendants were charged with Ponce’s murder and related allegations, but because they wer</w:t>
      </w:r>
      <w:r w:rsidR="0023168D">
        <w:t xml:space="preserve">e acquitted of those charges, we </w:t>
      </w:r>
      <w:r w:rsidR="00743FA0">
        <w:t xml:space="preserve">briefly </w:t>
      </w:r>
      <w:r w:rsidR="0023168D">
        <w:t>summarize the evidence</w:t>
      </w:r>
      <w:r w:rsidR="00630D29">
        <w:t>.  O</w:t>
      </w:r>
      <w:r w:rsidR="00743FA0">
        <w:t>n</w:t>
      </w:r>
      <w:r w:rsidR="0023168D">
        <w:t xml:space="preserve"> June 7, 2000, </w:t>
      </w:r>
      <w:r w:rsidR="00B03BDB">
        <w:t xml:space="preserve">Katherine Schafer and </w:t>
      </w:r>
      <w:r w:rsidR="0023168D">
        <w:t xml:space="preserve">Paul Ponce </w:t>
      </w:r>
      <w:r w:rsidR="00B03BDB">
        <w:t xml:space="preserve">were in </w:t>
      </w:r>
      <w:r w:rsidR="005818D5">
        <w:t>his</w:t>
      </w:r>
      <w:r w:rsidR="00B03BDB">
        <w:t xml:space="preserve"> garage when they heard knocking at the front door</w:t>
      </w:r>
      <w:r w:rsidR="005818D5">
        <w:t>.  A</w:t>
      </w:r>
      <w:r w:rsidR="00B03BDB">
        <w:t xml:space="preserve"> closed-circuit </w:t>
      </w:r>
      <w:r w:rsidR="00743FA0">
        <w:t xml:space="preserve">video </w:t>
      </w:r>
      <w:r w:rsidR="005818D5">
        <w:t>monitor</w:t>
      </w:r>
      <w:r w:rsidR="00B03BDB">
        <w:t xml:space="preserve"> </w:t>
      </w:r>
      <w:r w:rsidR="005818D5">
        <w:t>showed</w:t>
      </w:r>
      <w:r w:rsidR="00B03BDB">
        <w:t xml:space="preserve"> a car parked in front of the house.  Ponce left the garage to answer</w:t>
      </w:r>
      <w:r w:rsidR="0023168D">
        <w:t xml:space="preserve"> the </w:t>
      </w:r>
      <w:r w:rsidR="00B03BDB">
        <w:t>door</w:t>
      </w:r>
      <w:r>
        <w:t>.</w:t>
      </w:r>
      <w:r w:rsidR="0023168D">
        <w:t xml:space="preserve">  </w:t>
      </w:r>
      <w:r w:rsidR="004E3FD8">
        <w:t>After</w:t>
      </w:r>
      <w:r w:rsidR="006E2A9A">
        <w:t xml:space="preserve"> about 10 seconds </w:t>
      </w:r>
      <w:r w:rsidR="00B03BDB">
        <w:t xml:space="preserve">Schafer heard </w:t>
      </w:r>
      <w:r w:rsidR="00B07FD1">
        <w:t>numerous</w:t>
      </w:r>
      <w:r w:rsidR="006E2A9A">
        <w:t xml:space="preserve"> </w:t>
      </w:r>
      <w:r w:rsidR="00B03BDB">
        <w:t>gunshots</w:t>
      </w:r>
      <w:r w:rsidR="006E2A9A">
        <w:t xml:space="preserve"> in quick succession.  </w:t>
      </w:r>
      <w:r w:rsidR="005818D5">
        <w:t>S</w:t>
      </w:r>
      <w:r w:rsidR="006E2A9A">
        <w:t>everal minutes</w:t>
      </w:r>
      <w:r w:rsidR="005818D5">
        <w:t xml:space="preserve"> later</w:t>
      </w:r>
      <w:r w:rsidR="006E2A9A">
        <w:t xml:space="preserve"> she found Ponce’s body in the </w:t>
      </w:r>
      <w:r w:rsidR="00B07FD1">
        <w:t>living</w:t>
      </w:r>
      <w:r w:rsidR="00630D29">
        <w:t xml:space="preserve"> room. </w:t>
      </w:r>
      <w:r w:rsidR="00743FA0">
        <w:t xml:space="preserve"> </w:t>
      </w:r>
      <w:r w:rsidR="00B13B1A">
        <w:t>Ponce</w:t>
      </w:r>
      <w:r w:rsidR="005817A6">
        <w:t>, who had “Bolen” tattooed on his back,</w:t>
      </w:r>
      <w:r w:rsidR="00B13B1A">
        <w:t xml:space="preserve"> had </w:t>
      </w:r>
      <w:r w:rsidR="005818D5">
        <w:t>been shot many times by</w:t>
      </w:r>
      <w:r w:rsidR="00630D29">
        <w:t xml:space="preserve"> .22-caliber and </w:t>
      </w:r>
      <w:r w:rsidR="002A40FA">
        <w:t>nine</w:t>
      </w:r>
      <w:r w:rsidR="00630D29">
        <w:t>-mill</w:t>
      </w:r>
      <w:r w:rsidR="00B07FD1">
        <w:t>imeter weapons</w:t>
      </w:r>
      <w:r w:rsidR="00B13B1A">
        <w:t>.</w:t>
      </w:r>
      <w:r w:rsidR="005817A6">
        <w:t xml:space="preserve">  The parties stipulated that on the day of the homicide, Schafer told a deputy sheriff that she had heard a vehicle drive up and seen a male subject come up to the front door</w:t>
      </w:r>
      <w:r w:rsidR="005818D5">
        <w:t xml:space="preserve">.  </w:t>
      </w:r>
      <w:r w:rsidR="004E2C98">
        <w:t xml:space="preserve">Ponce </w:t>
      </w:r>
      <w:r w:rsidR="005818D5">
        <w:t>went</w:t>
      </w:r>
      <w:r w:rsidR="004E2C98">
        <w:t xml:space="preserve"> to the door</w:t>
      </w:r>
      <w:r w:rsidR="005818D5">
        <w:t>.  A</w:t>
      </w:r>
      <w:r w:rsidR="00630D29">
        <w:t>s soon as he opened it</w:t>
      </w:r>
      <w:r w:rsidR="004E2C98">
        <w:t xml:space="preserve"> Schafer hea</w:t>
      </w:r>
      <w:r w:rsidR="00630D29">
        <w:t>rd gunshots</w:t>
      </w:r>
      <w:r w:rsidR="004E2C98">
        <w:t>.</w:t>
      </w:r>
      <w:r>
        <w:t xml:space="preserve"> </w:t>
      </w:r>
    </w:p>
  </w:footnote>
  <w:footnote w:id="11">
    <w:p w:rsidR="00BE2BB8" w:rsidRDefault="00BE2BB8" w:rsidP="00AF57BF">
      <w:pPr>
        <w:pStyle w:val="FootnoteText"/>
      </w:pPr>
      <w:r>
        <w:rPr>
          <w:rStyle w:val="FootnoteReference"/>
        </w:rPr>
        <w:footnoteRef/>
      </w:r>
      <w:r>
        <w:t xml:space="preserve"> </w:t>
      </w:r>
      <w:r>
        <w:tab/>
      </w:r>
      <w:r w:rsidR="00892EBB">
        <w:t>While we do not endorse a</w:t>
      </w:r>
      <w:r>
        <w:t xml:space="preserve"> taxonomy like the one employed in this case</w:t>
      </w:r>
      <w:r w:rsidR="00895FB3">
        <w:t>, we recognize that it</w:t>
      </w:r>
      <w:r>
        <w:t xml:space="preserve"> may be a helpful starting point for determination of a prospective juror’s qualific</w:t>
      </w:r>
      <w:r w:rsidR="002C4BBF">
        <w:t>ation to serve, provided the court, as here,</w:t>
      </w:r>
      <w:r>
        <w:t xml:space="preserve"> supplements </w:t>
      </w:r>
      <w:r w:rsidR="005963CB">
        <w:t>it with follow-up questions.</w:t>
      </w:r>
    </w:p>
  </w:footnote>
  <w:footnote w:id="12">
    <w:p w:rsidR="00970ECE" w:rsidRDefault="00970ECE" w:rsidP="00AF57BF">
      <w:pPr>
        <w:pStyle w:val="FootnoteText"/>
      </w:pPr>
      <w:r>
        <w:rPr>
          <w:rStyle w:val="FootnoteReference"/>
        </w:rPr>
        <w:footnoteRef/>
      </w:r>
      <w:r>
        <w:t xml:space="preserve"> </w:t>
      </w:r>
      <w:r>
        <w:tab/>
        <w:t xml:space="preserve">The day’s session included introductions, distribution of questionnaires, </w:t>
      </w:r>
      <w:proofErr w:type="spellStart"/>
      <w:r>
        <w:t>preinstructions</w:t>
      </w:r>
      <w:proofErr w:type="spellEnd"/>
      <w:r>
        <w:t>, and some hardship excu</w:t>
      </w:r>
      <w:r w:rsidR="002C4BBF">
        <w:t>sals, but no</w:t>
      </w:r>
      <w:r>
        <w:t xml:space="preserve"> voir dire.</w:t>
      </w:r>
    </w:p>
  </w:footnote>
  <w:footnote w:id="13">
    <w:p w:rsidR="00594145" w:rsidRDefault="00594145" w:rsidP="00AF57BF">
      <w:pPr>
        <w:pStyle w:val="FootnoteText"/>
      </w:pPr>
      <w:r>
        <w:rPr>
          <w:rStyle w:val="FootnoteReference"/>
        </w:rPr>
        <w:footnoteRef/>
      </w:r>
      <w:r>
        <w:t xml:space="preserve"> </w:t>
      </w:r>
      <w:r>
        <w:tab/>
      </w:r>
      <w:r w:rsidRPr="00594145">
        <w:t xml:space="preserve">Defendants contend </w:t>
      </w:r>
      <w:r w:rsidR="00811851">
        <w:t xml:space="preserve">that </w:t>
      </w:r>
      <w:r w:rsidRPr="00594145">
        <w:t xml:space="preserve">the omission was ineffective assistance of counsel.  (See </w:t>
      </w:r>
      <w:r w:rsidRPr="00594145">
        <w:rPr>
          <w:i/>
        </w:rPr>
        <w:t xml:space="preserve">Strickland v. Washington </w:t>
      </w:r>
      <w:r w:rsidRPr="00594145">
        <w:t>(1984) 466 U.S. 668, 687</w:t>
      </w:r>
      <w:r>
        <w:t xml:space="preserve"> [ineffective assistance entails deficient performance resulting in prejudice</w:t>
      </w:r>
      <w:r w:rsidR="000F6564">
        <w:t>]</w:t>
      </w:r>
      <w:r w:rsidRPr="00594145">
        <w:t xml:space="preserve">.)  </w:t>
      </w:r>
      <w:r w:rsidR="00CD7F9E">
        <w:t>Not so.  Defendants fail to overcome the presumption that the lack of objection was sound trial strategy</w:t>
      </w:r>
      <w:r w:rsidR="009A5324">
        <w:t xml:space="preserve">. </w:t>
      </w:r>
      <w:r w:rsidR="00CD7F9E">
        <w:t xml:space="preserve"> (</w:t>
      </w:r>
      <w:r w:rsidR="009A5324">
        <w:rPr>
          <w:i/>
        </w:rPr>
        <w:t>I</w:t>
      </w:r>
      <w:r w:rsidR="00CD7F9E">
        <w:rPr>
          <w:i/>
        </w:rPr>
        <w:t>d.</w:t>
      </w:r>
      <w:r w:rsidR="00CD7F9E">
        <w:t xml:space="preserve"> at p. 689</w:t>
      </w:r>
      <w:r w:rsidR="009A5324">
        <w:t>.</w:t>
      </w:r>
      <w:r w:rsidR="00CD7F9E">
        <w:t>)</w:t>
      </w:r>
      <w:r w:rsidR="009A5324">
        <w:t xml:space="preserve">  T</w:t>
      </w:r>
      <w:r w:rsidR="00CD7F9E">
        <w:t>he autopsy results were unimportant given the other evidence that Madrigal died of a gunshot wound to the head</w:t>
      </w:r>
      <w:r w:rsidR="009A5324">
        <w:t>,</w:t>
      </w:r>
      <w:r w:rsidR="00CD7F9E">
        <w:t xml:space="preserve"> and an objection would only have called attention to this routine evidence with </w:t>
      </w:r>
      <w:r w:rsidR="009A5324">
        <w:t>little prospect of gain, as Dr. Carrillo could well have been made available to testify</w:t>
      </w:r>
      <w:r w:rsidR="00CD7F9E">
        <w:t xml:space="preserve">.  </w:t>
      </w:r>
      <w:r w:rsidR="009F3E2E">
        <w:t>In any event, as discussed in the</w:t>
      </w:r>
      <w:r w:rsidR="00811851">
        <w:t xml:space="preserve"> opinion</w:t>
      </w:r>
      <w:r w:rsidR="009F3E2E">
        <w:t xml:space="preserve"> text, admission of the autopsy </w:t>
      </w:r>
      <w:r w:rsidR="00505A25">
        <w:t>findings</w:t>
      </w:r>
      <w:r w:rsidR="009F3E2E">
        <w:t xml:space="preserve"> resulted in no prejudice.</w:t>
      </w:r>
    </w:p>
  </w:footnote>
  <w:footnote w:id="14">
    <w:p w:rsidR="00970ECE" w:rsidRPr="00A334DC" w:rsidRDefault="00970ECE" w:rsidP="00AF57BF">
      <w:pPr>
        <w:pStyle w:val="FootnoteText"/>
      </w:pPr>
      <w:r>
        <w:rPr>
          <w:rStyle w:val="FootnoteReference"/>
        </w:rPr>
        <w:footnoteRef/>
      </w:r>
      <w:r>
        <w:t xml:space="preserve"> </w:t>
      </w:r>
      <w:r>
        <w:tab/>
        <w:t>The same reasoning obviates any nee</w:t>
      </w:r>
      <w:r w:rsidR="00B12810">
        <w:t>d to discuss</w:t>
      </w:r>
      <w:r>
        <w:t xml:space="preserve"> </w:t>
      </w:r>
      <w:r>
        <w:rPr>
          <w:i/>
        </w:rPr>
        <w:t>People v. Sanchez</w:t>
      </w:r>
      <w:r>
        <w:t xml:space="preserve"> (2016) 63 Cal.4th 665, 686, as it may apply here.</w:t>
      </w:r>
    </w:p>
  </w:footnote>
  <w:footnote w:id="15">
    <w:p w:rsidR="0050223A" w:rsidRPr="005078E5" w:rsidRDefault="0050223A" w:rsidP="00AF57BF">
      <w:pPr>
        <w:pStyle w:val="FootnoteText"/>
      </w:pPr>
      <w:r>
        <w:rPr>
          <w:rStyle w:val="FootnoteReference"/>
        </w:rPr>
        <w:footnoteRef/>
      </w:r>
      <w:r>
        <w:t xml:space="preserve"> </w:t>
      </w:r>
      <w:r>
        <w:tab/>
        <w:t>“</w:t>
      </w:r>
      <w:r w:rsidRPr="0050223A">
        <w:t>In every criminal trial, the prosecution must prove the corpus delicti, o</w:t>
      </w:r>
      <w:r w:rsidR="00B86FA4">
        <w:t xml:space="preserve">r the body of the crime itself — </w:t>
      </w:r>
      <w:r w:rsidRPr="0050223A">
        <w:t>i.e., the fact of injury, loss, or harm, and the existence of a criminal agency as its cause.</w:t>
      </w:r>
      <w:r w:rsidR="00B86FA4">
        <w:t xml:space="preserve"> </w:t>
      </w:r>
      <w:r w:rsidRPr="0050223A">
        <w:t xml:space="preserve"> In California, it has traditionally been held, the prosecution cannot satisfy this burden by relying </w:t>
      </w:r>
      <w:r w:rsidRPr="000F6564">
        <w:rPr>
          <w:i/>
        </w:rPr>
        <w:t>exclusively</w:t>
      </w:r>
      <w:r w:rsidRPr="0050223A">
        <w:t xml:space="preserve"> upon the extrajudicial statements, confessions, or admissions of the defendant.</w:t>
      </w:r>
      <w:r w:rsidR="00B86FA4">
        <w:t>”  (</w:t>
      </w:r>
      <w:r w:rsidR="00B86FA4">
        <w:rPr>
          <w:i/>
        </w:rPr>
        <w:t>People v. Alvarez</w:t>
      </w:r>
      <w:r w:rsidR="00B86FA4">
        <w:t xml:space="preserve"> (2002) 27 Cal.4th 1161, 1168–1169 [holding that </w:t>
      </w:r>
      <w:r w:rsidR="00BC114B">
        <w:t xml:space="preserve">the truth in evidence provision of </w:t>
      </w:r>
      <w:r w:rsidR="00B86FA4">
        <w:t>Propo</w:t>
      </w:r>
      <w:r w:rsidR="00BC114B">
        <w:t>sition 8 did not eliminate the independent-proof rule insofar as it prohibits conviction absent evidence of the crime independent of the defendant’s out-of-court state</w:t>
      </w:r>
      <w:r w:rsidR="00FB5C3D">
        <w:t>ments]</w:t>
      </w:r>
      <w:r w:rsidR="00B86FA4">
        <w:t>.)</w:t>
      </w:r>
      <w:r w:rsidR="004B7440">
        <w:t xml:space="preserve">  </w:t>
      </w:r>
      <w:proofErr w:type="gramStart"/>
      <w:r w:rsidR="004B7440">
        <w:t>“ ‘</w:t>
      </w:r>
      <w:proofErr w:type="gramEnd"/>
      <w:r w:rsidR="004B7440">
        <w:t>The independent proof may be by circumstantial evidence [citation], and it need not be beyond a reasonable doubt.  A slight or prima facie showing, permitting the reasonable inference that a crime was committed, is sufficient.  [Citations.]’  [</w:t>
      </w:r>
      <w:r w:rsidR="005078E5">
        <w:t xml:space="preserve">Citation.]  </w:t>
      </w:r>
      <w:r w:rsidR="005078E5" w:rsidRPr="005078E5">
        <w:t>It is not necessary for the independent evidence to establish that the defendant was the perpetrator.</w:t>
      </w:r>
      <w:r w:rsidR="005078E5">
        <w:t>”  (</w:t>
      </w:r>
      <w:r w:rsidR="005078E5">
        <w:rPr>
          <w:i/>
        </w:rPr>
        <w:t xml:space="preserve">People v. Wright </w:t>
      </w:r>
      <w:r w:rsidR="005078E5">
        <w:t>(1990) 52 Cal.3d 367, 404.)</w:t>
      </w:r>
    </w:p>
  </w:footnote>
  <w:footnote w:id="16">
    <w:p w:rsidR="00970ECE" w:rsidRDefault="00970ECE" w:rsidP="00AF57BF">
      <w:pPr>
        <w:pStyle w:val="FootnoteText"/>
      </w:pPr>
      <w:r>
        <w:rPr>
          <w:rStyle w:val="FootnoteReference"/>
        </w:rPr>
        <w:footnoteRef/>
      </w:r>
      <w:r>
        <w:t xml:space="preserve"> </w:t>
      </w:r>
      <w:r>
        <w:tab/>
      </w:r>
      <w:r>
        <w:rPr>
          <w:rStyle w:val="ssleftalign"/>
        </w:rPr>
        <w:t xml:space="preserve">Defendants contend that because they were “unrepresented” during the conversations, prosecutor Levine should be held to a “higher standard,” and should have advised defendants of the exclusionary rule regarding statements made in the context of settlement negotiations.  Under this “higher standard” defendants should not be held to have forfeited review.  Setting aside the questionable assumption that a prosecutor has an obligation to provide legal advice to defendants who have exercised their </w:t>
      </w:r>
      <w:proofErr w:type="spellStart"/>
      <w:r>
        <w:rPr>
          <w:rStyle w:val="ssleftalign"/>
          <w:i/>
        </w:rPr>
        <w:t>Faretta</w:t>
      </w:r>
      <w:proofErr w:type="spellEnd"/>
      <w:r>
        <w:rPr>
          <w:rStyle w:val="ssleftalign"/>
          <w:i/>
        </w:rPr>
        <w:t xml:space="preserve"> </w:t>
      </w:r>
      <w:r>
        <w:rPr>
          <w:rStyle w:val="ssleftalign"/>
        </w:rPr>
        <w:t>rights</w:t>
      </w:r>
      <w:r>
        <w:t>,</w:t>
      </w:r>
      <w:r>
        <w:rPr>
          <w:rStyle w:val="ssleftalign"/>
        </w:rPr>
        <w:t xml:space="preserve"> the contention is unavailing; defendants had given up their pro per status more than a year before their appointed counsel moved to suppress the February 21 and March 28 statements.  We review the claim based on the actions and decisions by counsel in pursuing their objections.    </w:t>
      </w:r>
    </w:p>
  </w:footnote>
  <w:footnote w:id="17">
    <w:p w:rsidR="00FB1B83" w:rsidRDefault="00FB1B83" w:rsidP="00AF57BF">
      <w:pPr>
        <w:pStyle w:val="FootnoteText"/>
      </w:pPr>
      <w:r>
        <w:rPr>
          <w:rStyle w:val="FootnoteReference"/>
        </w:rPr>
        <w:footnoteRef/>
      </w:r>
      <w:r>
        <w:t xml:space="preserve"> </w:t>
      </w:r>
      <w:r>
        <w:tab/>
      </w:r>
      <w:r w:rsidR="00B435F0">
        <w:t>Testimony would address</w:t>
      </w:r>
      <w:r w:rsidR="00B435F0" w:rsidRPr="00B435F0">
        <w:t xml:space="preserve"> parental criminality, drug abuse, rejection, and neglect; family instability and poverty; Flores’s exposure to domestic abuse; and his </w:t>
      </w:r>
      <w:r w:rsidR="00B435F0">
        <w:t xml:space="preserve">asserted </w:t>
      </w:r>
      <w:r w:rsidR="00B435F0" w:rsidRPr="00B435F0">
        <w:t xml:space="preserve">learning disabilities and head injuries.  </w:t>
      </w:r>
      <w:r w:rsidR="00B435F0">
        <w:t>An expert</w:t>
      </w:r>
      <w:r w:rsidR="00B435F0" w:rsidRPr="00B435F0">
        <w:t xml:space="preserve"> would </w:t>
      </w:r>
      <w:r w:rsidR="00B435F0">
        <w:t xml:space="preserve">also </w:t>
      </w:r>
      <w:r w:rsidR="00B435F0" w:rsidRPr="00B435F0">
        <w:t xml:space="preserve">describe conditions of incarceration.  </w:t>
      </w:r>
    </w:p>
  </w:footnote>
  <w:footnote w:id="18">
    <w:p w:rsidR="0088437E" w:rsidRDefault="0088437E">
      <w:pPr>
        <w:pStyle w:val="FootnoteText"/>
      </w:pPr>
      <w:r>
        <w:rPr>
          <w:rStyle w:val="FootnoteReference"/>
        </w:rPr>
        <w:footnoteRef/>
      </w:r>
      <w:r>
        <w:t xml:space="preserve"> </w:t>
      </w:r>
      <w:r>
        <w:tab/>
      </w:r>
      <w:r w:rsidRPr="0088437E">
        <w:t>Level four refers to the inmate classification housing system, a level at which Flores had been held before.</w:t>
      </w:r>
    </w:p>
  </w:footnote>
  <w:footnote w:id="19">
    <w:p w:rsidR="00D15283" w:rsidRDefault="00D15283">
      <w:pPr>
        <w:pStyle w:val="FootnoteText"/>
      </w:pPr>
      <w:r>
        <w:rPr>
          <w:rStyle w:val="FootnoteReference"/>
        </w:rPr>
        <w:footnoteRef/>
      </w:r>
      <w:r>
        <w:t xml:space="preserve"> </w:t>
      </w:r>
      <w:r>
        <w:tab/>
      </w:r>
      <w:r w:rsidRPr="00D15283">
        <w:t>Associate Justice of the Court of Appeal, Fourth Appellate District, Division One,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7BF" w:rsidRDefault="00AF57BF">
    <w:pPr>
      <w:pStyle w:val="Header"/>
    </w:pPr>
    <w:r>
      <w:t>PEOPLE v. AMEZCUA and FLORES</w:t>
    </w:r>
  </w:p>
  <w:p w:rsidR="00AF57BF" w:rsidRDefault="00AF57BF">
    <w:pPr>
      <w:pStyle w:val="Header"/>
    </w:pPr>
    <w:r>
      <w:t>Opinion of the Court by Corrigan, J.</w:t>
    </w:r>
  </w:p>
  <w:p w:rsidR="00AF57BF" w:rsidRDefault="00AF5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C90" w:rsidRDefault="00647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C90" w:rsidRDefault="00647C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C90" w:rsidRDefault="00647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4F6"/>
    <w:multiLevelType w:val="hybridMultilevel"/>
    <w:tmpl w:val="F4700C44"/>
    <w:lvl w:ilvl="0" w:tplc="5E26538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7B97F3B"/>
    <w:multiLevelType w:val="hybridMultilevel"/>
    <w:tmpl w:val="493C01C6"/>
    <w:lvl w:ilvl="0" w:tplc="15BC41D8">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22A83FC4"/>
    <w:multiLevelType w:val="hybridMultilevel"/>
    <w:tmpl w:val="09EC24A0"/>
    <w:lvl w:ilvl="0" w:tplc="766EB8E8">
      <w:start w:val="3"/>
      <w:numFmt w:val="decimal"/>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F59EF"/>
    <w:multiLevelType w:val="hybridMultilevel"/>
    <w:tmpl w:val="D34A564A"/>
    <w:lvl w:ilvl="0" w:tplc="55A8903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3EDB1A17"/>
    <w:multiLevelType w:val="hybridMultilevel"/>
    <w:tmpl w:val="E1BA382C"/>
    <w:lvl w:ilvl="0" w:tplc="8FBEDB5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3F5721A1"/>
    <w:multiLevelType w:val="hybridMultilevel"/>
    <w:tmpl w:val="BE96FADC"/>
    <w:lvl w:ilvl="0" w:tplc="8FBEDB5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432C3B7E"/>
    <w:multiLevelType w:val="hybridMultilevel"/>
    <w:tmpl w:val="EAC8B2AE"/>
    <w:lvl w:ilvl="0" w:tplc="862A59A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BE2E8D"/>
    <w:multiLevelType w:val="hybridMultilevel"/>
    <w:tmpl w:val="4E6A89AA"/>
    <w:lvl w:ilvl="0" w:tplc="67E080B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6277402A"/>
    <w:multiLevelType w:val="hybridMultilevel"/>
    <w:tmpl w:val="C9EE4554"/>
    <w:lvl w:ilvl="0" w:tplc="94F60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FF2472"/>
    <w:multiLevelType w:val="hybridMultilevel"/>
    <w:tmpl w:val="91E47AE8"/>
    <w:lvl w:ilvl="0" w:tplc="5A12EFF0">
      <w:start w:val="1"/>
      <w:numFmt w:val="upp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0" w15:restartNumberingAfterBreak="0">
    <w:nsid w:val="7B647AE8"/>
    <w:multiLevelType w:val="hybridMultilevel"/>
    <w:tmpl w:val="D34A564A"/>
    <w:lvl w:ilvl="0" w:tplc="55A8903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7E8750BA"/>
    <w:multiLevelType w:val="hybridMultilevel"/>
    <w:tmpl w:val="373C74BC"/>
    <w:lvl w:ilvl="0" w:tplc="8FC87DC4">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8"/>
  </w:num>
  <w:num w:numId="2">
    <w:abstractNumId w:val="3"/>
  </w:num>
  <w:num w:numId="3">
    <w:abstractNumId w:val="1"/>
  </w:num>
  <w:num w:numId="4">
    <w:abstractNumId w:val="4"/>
  </w:num>
  <w:num w:numId="5">
    <w:abstractNumId w:val="7"/>
  </w:num>
  <w:num w:numId="6">
    <w:abstractNumId w:val="0"/>
  </w:num>
  <w:num w:numId="7">
    <w:abstractNumId w:val="5"/>
  </w:num>
  <w:num w:numId="8">
    <w:abstractNumId w:val="10"/>
  </w:num>
  <w:num w:numId="9">
    <w:abstractNumId w:val="11"/>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removePersonalInformation/>
  <w:removeDateAndTime/>
  <w:printFractionalCharacterWidth/>
  <w:activeWritingStyle w:appName="MSWord" w:lang="en-US" w:vendorID="64" w:dllVersion="0" w:nlCheck="1" w:checkStyle="1"/>
  <w:activeWritingStyle w:appName="MSWord" w:lang="en-US" w:vendorID="64" w:dllVersion="6" w:nlCheck="1" w:checkStyle="1"/>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footnotePr>
    <w:numFmt w:val="chicago"/>
    <w:numRestart w:val="eachSect"/>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0302"/>
    <w:rsid w:val="00000A6D"/>
    <w:rsid w:val="000019B5"/>
    <w:rsid w:val="00001E6B"/>
    <w:rsid w:val="000028C4"/>
    <w:rsid w:val="0000383F"/>
    <w:rsid w:val="0000519A"/>
    <w:rsid w:val="00006C38"/>
    <w:rsid w:val="00007409"/>
    <w:rsid w:val="0000753A"/>
    <w:rsid w:val="00011501"/>
    <w:rsid w:val="000117A1"/>
    <w:rsid w:val="000119E6"/>
    <w:rsid w:val="00011AB5"/>
    <w:rsid w:val="00012A57"/>
    <w:rsid w:val="000131EB"/>
    <w:rsid w:val="000160EF"/>
    <w:rsid w:val="0001626D"/>
    <w:rsid w:val="0001729A"/>
    <w:rsid w:val="0002017C"/>
    <w:rsid w:val="000215A2"/>
    <w:rsid w:val="0002380F"/>
    <w:rsid w:val="00023DBB"/>
    <w:rsid w:val="000272CF"/>
    <w:rsid w:val="00027C86"/>
    <w:rsid w:val="00030B34"/>
    <w:rsid w:val="00031446"/>
    <w:rsid w:val="00031B1F"/>
    <w:rsid w:val="00031B58"/>
    <w:rsid w:val="00033E95"/>
    <w:rsid w:val="00034321"/>
    <w:rsid w:val="000359FD"/>
    <w:rsid w:val="0003618F"/>
    <w:rsid w:val="00036F34"/>
    <w:rsid w:val="00037BF7"/>
    <w:rsid w:val="0004007D"/>
    <w:rsid w:val="000402F4"/>
    <w:rsid w:val="00041717"/>
    <w:rsid w:val="00041D00"/>
    <w:rsid w:val="00041D48"/>
    <w:rsid w:val="00043479"/>
    <w:rsid w:val="00045CCD"/>
    <w:rsid w:val="00045FDF"/>
    <w:rsid w:val="000507B3"/>
    <w:rsid w:val="00050AEA"/>
    <w:rsid w:val="000515C7"/>
    <w:rsid w:val="00051E44"/>
    <w:rsid w:val="00052AD7"/>
    <w:rsid w:val="00053DEE"/>
    <w:rsid w:val="00054130"/>
    <w:rsid w:val="000541C6"/>
    <w:rsid w:val="00054388"/>
    <w:rsid w:val="00054F75"/>
    <w:rsid w:val="0005598A"/>
    <w:rsid w:val="00057199"/>
    <w:rsid w:val="00065F0B"/>
    <w:rsid w:val="0006602E"/>
    <w:rsid w:val="0006603A"/>
    <w:rsid w:val="000663D3"/>
    <w:rsid w:val="00066808"/>
    <w:rsid w:val="00070DDA"/>
    <w:rsid w:val="00071DAB"/>
    <w:rsid w:val="00073B37"/>
    <w:rsid w:val="00074043"/>
    <w:rsid w:val="000740F0"/>
    <w:rsid w:val="000750B7"/>
    <w:rsid w:val="000768CD"/>
    <w:rsid w:val="00080C3C"/>
    <w:rsid w:val="00081245"/>
    <w:rsid w:val="00081C3F"/>
    <w:rsid w:val="00082808"/>
    <w:rsid w:val="00083978"/>
    <w:rsid w:val="000851DE"/>
    <w:rsid w:val="00085B1E"/>
    <w:rsid w:val="00085FE6"/>
    <w:rsid w:val="00086EF7"/>
    <w:rsid w:val="00091649"/>
    <w:rsid w:val="00091B42"/>
    <w:rsid w:val="0009408D"/>
    <w:rsid w:val="000A004C"/>
    <w:rsid w:val="000A09D9"/>
    <w:rsid w:val="000A0DEF"/>
    <w:rsid w:val="000A1786"/>
    <w:rsid w:val="000A1F94"/>
    <w:rsid w:val="000A33FC"/>
    <w:rsid w:val="000A37AC"/>
    <w:rsid w:val="000A3E4B"/>
    <w:rsid w:val="000A588E"/>
    <w:rsid w:val="000A6627"/>
    <w:rsid w:val="000A7E29"/>
    <w:rsid w:val="000B16FD"/>
    <w:rsid w:val="000B1D13"/>
    <w:rsid w:val="000B24D5"/>
    <w:rsid w:val="000B2B00"/>
    <w:rsid w:val="000B3E94"/>
    <w:rsid w:val="000B41DD"/>
    <w:rsid w:val="000B546C"/>
    <w:rsid w:val="000B628E"/>
    <w:rsid w:val="000B7A55"/>
    <w:rsid w:val="000B7AB6"/>
    <w:rsid w:val="000C07E5"/>
    <w:rsid w:val="000C2C5A"/>
    <w:rsid w:val="000C2FAE"/>
    <w:rsid w:val="000C4A3D"/>
    <w:rsid w:val="000C6DF4"/>
    <w:rsid w:val="000D0141"/>
    <w:rsid w:val="000D0213"/>
    <w:rsid w:val="000D1596"/>
    <w:rsid w:val="000D4428"/>
    <w:rsid w:val="000D4744"/>
    <w:rsid w:val="000D674D"/>
    <w:rsid w:val="000D6B15"/>
    <w:rsid w:val="000D79F5"/>
    <w:rsid w:val="000E09E5"/>
    <w:rsid w:val="000E6DE9"/>
    <w:rsid w:val="000E71ED"/>
    <w:rsid w:val="000E7CA8"/>
    <w:rsid w:val="000E7F0E"/>
    <w:rsid w:val="000F18F5"/>
    <w:rsid w:val="000F2B4C"/>
    <w:rsid w:val="000F525C"/>
    <w:rsid w:val="000F63F1"/>
    <w:rsid w:val="000F6564"/>
    <w:rsid w:val="000F7F2C"/>
    <w:rsid w:val="00100605"/>
    <w:rsid w:val="001016A7"/>
    <w:rsid w:val="00101E4C"/>
    <w:rsid w:val="00102143"/>
    <w:rsid w:val="00105410"/>
    <w:rsid w:val="00105A2B"/>
    <w:rsid w:val="00106E79"/>
    <w:rsid w:val="00111829"/>
    <w:rsid w:val="00112D40"/>
    <w:rsid w:val="0011321D"/>
    <w:rsid w:val="00113977"/>
    <w:rsid w:val="001139FA"/>
    <w:rsid w:val="00114602"/>
    <w:rsid w:val="0011621A"/>
    <w:rsid w:val="00117E6F"/>
    <w:rsid w:val="00120338"/>
    <w:rsid w:val="001209DD"/>
    <w:rsid w:val="00121244"/>
    <w:rsid w:val="00126259"/>
    <w:rsid w:val="00131E74"/>
    <w:rsid w:val="00135861"/>
    <w:rsid w:val="00135974"/>
    <w:rsid w:val="00135FD5"/>
    <w:rsid w:val="00137A93"/>
    <w:rsid w:val="00140CD1"/>
    <w:rsid w:val="00141099"/>
    <w:rsid w:val="001428B5"/>
    <w:rsid w:val="00143CEF"/>
    <w:rsid w:val="00146A33"/>
    <w:rsid w:val="00146EFC"/>
    <w:rsid w:val="001540EA"/>
    <w:rsid w:val="0015516C"/>
    <w:rsid w:val="00155D1B"/>
    <w:rsid w:val="0015727D"/>
    <w:rsid w:val="001572E3"/>
    <w:rsid w:val="00160615"/>
    <w:rsid w:val="00163F8A"/>
    <w:rsid w:val="001646CA"/>
    <w:rsid w:val="001660C4"/>
    <w:rsid w:val="001663F6"/>
    <w:rsid w:val="00166466"/>
    <w:rsid w:val="00166D17"/>
    <w:rsid w:val="001679DB"/>
    <w:rsid w:val="001679E5"/>
    <w:rsid w:val="00173872"/>
    <w:rsid w:val="00173C78"/>
    <w:rsid w:val="001743A2"/>
    <w:rsid w:val="00175E26"/>
    <w:rsid w:val="0017622C"/>
    <w:rsid w:val="001771F3"/>
    <w:rsid w:val="00180DAD"/>
    <w:rsid w:val="00182A2C"/>
    <w:rsid w:val="00182B5C"/>
    <w:rsid w:val="001830D6"/>
    <w:rsid w:val="00186476"/>
    <w:rsid w:val="00186F99"/>
    <w:rsid w:val="001911CE"/>
    <w:rsid w:val="0019132A"/>
    <w:rsid w:val="0019187C"/>
    <w:rsid w:val="00192BAC"/>
    <w:rsid w:val="001935D8"/>
    <w:rsid w:val="001950F5"/>
    <w:rsid w:val="00195AAB"/>
    <w:rsid w:val="00195EB8"/>
    <w:rsid w:val="001960C2"/>
    <w:rsid w:val="001962E4"/>
    <w:rsid w:val="00196AA0"/>
    <w:rsid w:val="00197C42"/>
    <w:rsid w:val="001A013D"/>
    <w:rsid w:val="001A1CA8"/>
    <w:rsid w:val="001A21BB"/>
    <w:rsid w:val="001A654D"/>
    <w:rsid w:val="001A688D"/>
    <w:rsid w:val="001A6BFF"/>
    <w:rsid w:val="001A6E72"/>
    <w:rsid w:val="001A7A81"/>
    <w:rsid w:val="001B0304"/>
    <w:rsid w:val="001B18F1"/>
    <w:rsid w:val="001B3A9A"/>
    <w:rsid w:val="001B5013"/>
    <w:rsid w:val="001B6535"/>
    <w:rsid w:val="001B6B4B"/>
    <w:rsid w:val="001B7497"/>
    <w:rsid w:val="001C1E60"/>
    <w:rsid w:val="001C2261"/>
    <w:rsid w:val="001C525A"/>
    <w:rsid w:val="001C79ED"/>
    <w:rsid w:val="001C7FFD"/>
    <w:rsid w:val="001D0818"/>
    <w:rsid w:val="001D0BDA"/>
    <w:rsid w:val="001D1B8A"/>
    <w:rsid w:val="001D1DDC"/>
    <w:rsid w:val="001D22B0"/>
    <w:rsid w:val="001D253B"/>
    <w:rsid w:val="001D254C"/>
    <w:rsid w:val="001D3789"/>
    <w:rsid w:val="001D45E3"/>
    <w:rsid w:val="001D5721"/>
    <w:rsid w:val="001D594D"/>
    <w:rsid w:val="001D61B0"/>
    <w:rsid w:val="001D6A4F"/>
    <w:rsid w:val="001E039C"/>
    <w:rsid w:val="001E0867"/>
    <w:rsid w:val="001E1005"/>
    <w:rsid w:val="001E356D"/>
    <w:rsid w:val="001E3B0C"/>
    <w:rsid w:val="001E54FE"/>
    <w:rsid w:val="001E551D"/>
    <w:rsid w:val="001E56A5"/>
    <w:rsid w:val="001E61B8"/>
    <w:rsid w:val="001E6210"/>
    <w:rsid w:val="001E6D53"/>
    <w:rsid w:val="001E7EAD"/>
    <w:rsid w:val="001F2967"/>
    <w:rsid w:val="001F2ACE"/>
    <w:rsid w:val="001F4167"/>
    <w:rsid w:val="001F4DCF"/>
    <w:rsid w:val="001F678E"/>
    <w:rsid w:val="001F79C6"/>
    <w:rsid w:val="00201CC9"/>
    <w:rsid w:val="00203C20"/>
    <w:rsid w:val="00204A0B"/>
    <w:rsid w:val="00204EEC"/>
    <w:rsid w:val="00206946"/>
    <w:rsid w:val="00207A65"/>
    <w:rsid w:val="00207D8D"/>
    <w:rsid w:val="0021059E"/>
    <w:rsid w:val="002113F7"/>
    <w:rsid w:val="00212207"/>
    <w:rsid w:val="0021223F"/>
    <w:rsid w:val="00213E50"/>
    <w:rsid w:val="002141EE"/>
    <w:rsid w:val="00214256"/>
    <w:rsid w:val="00215D60"/>
    <w:rsid w:val="002160A2"/>
    <w:rsid w:val="00217962"/>
    <w:rsid w:val="00217C36"/>
    <w:rsid w:val="00220396"/>
    <w:rsid w:val="00220A16"/>
    <w:rsid w:val="00220B46"/>
    <w:rsid w:val="0022261F"/>
    <w:rsid w:val="00222B26"/>
    <w:rsid w:val="00223760"/>
    <w:rsid w:val="00223CD3"/>
    <w:rsid w:val="00225E83"/>
    <w:rsid w:val="00226571"/>
    <w:rsid w:val="00227886"/>
    <w:rsid w:val="002304C9"/>
    <w:rsid w:val="00230EBA"/>
    <w:rsid w:val="00231353"/>
    <w:rsid w:val="0023168D"/>
    <w:rsid w:val="0023513E"/>
    <w:rsid w:val="00235445"/>
    <w:rsid w:val="002358D8"/>
    <w:rsid w:val="002373CE"/>
    <w:rsid w:val="00237558"/>
    <w:rsid w:val="0023767D"/>
    <w:rsid w:val="00237BF0"/>
    <w:rsid w:val="00240E74"/>
    <w:rsid w:val="002429CC"/>
    <w:rsid w:val="00243AB7"/>
    <w:rsid w:val="002441EB"/>
    <w:rsid w:val="002468A8"/>
    <w:rsid w:val="00253A33"/>
    <w:rsid w:val="00254648"/>
    <w:rsid w:val="00254FF0"/>
    <w:rsid w:val="00255105"/>
    <w:rsid w:val="00256C4E"/>
    <w:rsid w:val="00256E7E"/>
    <w:rsid w:val="00257526"/>
    <w:rsid w:val="002577CC"/>
    <w:rsid w:val="00257EF2"/>
    <w:rsid w:val="00261200"/>
    <w:rsid w:val="00261C36"/>
    <w:rsid w:val="00262A42"/>
    <w:rsid w:val="00264AC6"/>
    <w:rsid w:val="00264F56"/>
    <w:rsid w:val="0026555B"/>
    <w:rsid w:val="00266468"/>
    <w:rsid w:val="00267823"/>
    <w:rsid w:val="00267C9C"/>
    <w:rsid w:val="00270405"/>
    <w:rsid w:val="002714A2"/>
    <w:rsid w:val="002716DA"/>
    <w:rsid w:val="002727E3"/>
    <w:rsid w:val="00272FBC"/>
    <w:rsid w:val="00273DFD"/>
    <w:rsid w:val="00273F89"/>
    <w:rsid w:val="002742B8"/>
    <w:rsid w:val="00274329"/>
    <w:rsid w:val="00276128"/>
    <w:rsid w:val="002762A7"/>
    <w:rsid w:val="0028140E"/>
    <w:rsid w:val="00281655"/>
    <w:rsid w:val="00281B5D"/>
    <w:rsid w:val="002832ED"/>
    <w:rsid w:val="002842A0"/>
    <w:rsid w:val="00285497"/>
    <w:rsid w:val="00285597"/>
    <w:rsid w:val="00286618"/>
    <w:rsid w:val="00286774"/>
    <w:rsid w:val="00286A49"/>
    <w:rsid w:val="00290019"/>
    <w:rsid w:val="002913B2"/>
    <w:rsid w:val="0029214B"/>
    <w:rsid w:val="0029238F"/>
    <w:rsid w:val="002929AD"/>
    <w:rsid w:val="00293859"/>
    <w:rsid w:val="00294799"/>
    <w:rsid w:val="00295007"/>
    <w:rsid w:val="002954E4"/>
    <w:rsid w:val="002955FC"/>
    <w:rsid w:val="00296643"/>
    <w:rsid w:val="0029766D"/>
    <w:rsid w:val="00297D81"/>
    <w:rsid w:val="00297E05"/>
    <w:rsid w:val="002A198F"/>
    <w:rsid w:val="002A2B7D"/>
    <w:rsid w:val="002A40FA"/>
    <w:rsid w:val="002A4349"/>
    <w:rsid w:val="002A79BF"/>
    <w:rsid w:val="002A7DC0"/>
    <w:rsid w:val="002B10DD"/>
    <w:rsid w:val="002B1271"/>
    <w:rsid w:val="002B16D8"/>
    <w:rsid w:val="002B1CD0"/>
    <w:rsid w:val="002B25C7"/>
    <w:rsid w:val="002B2B0D"/>
    <w:rsid w:val="002B38E5"/>
    <w:rsid w:val="002B42C6"/>
    <w:rsid w:val="002B62B7"/>
    <w:rsid w:val="002B6621"/>
    <w:rsid w:val="002B757D"/>
    <w:rsid w:val="002B7B56"/>
    <w:rsid w:val="002C3FB1"/>
    <w:rsid w:val="002C4BBF"/>
    <w:rsid w:val="002C5326"/>
    <w:rsid w:val="002C5BD4"/>
    <w:rsid w:val="002C69BA"/>
    <w:rsid w:val="002D05DE"/>
    <w:rsid w:val="002D219D"/>
    <w:rsid w:val="002D2752"/>
    <w:rsid w:val="002D6C4B"/>
    <w:rsid w:val="002D6C53"/>
    <w:rsid w:val="002D77CE"/>
    <w:rsid w:val="002E0736"/>
    <w:rsid w:val="002E1C00"/>
    <w:rsid w:val="002E1C41"/>
    <w:rsid w:val="002E2D78"/>
    <w:rsid w:val="002E3DB9"/>
    <w:rsid w:val="002E4D12"/>
    <w:rsid w:val="002E6DBF"/>
    <w:rsid w:val="002F1873"/>
    <w:rsid w:val="002F1928"/>
    <w:rsid w:val="002F2813"/>
    <w:rsid w:val="002F32C5"/>
    <w:rsid w:val="002F4DD6"/>
    <w:rsid w:val="002F5171"/>
    <w:rsid w:val="002F5C2D"/>
    <w:rsid w:val="002F6654"/>
    <w:rsid w:val="003027EF"/>
    <w:rsid w:val="00302D2A"/>
    <w:rsid w:val="003048B1"/>
    <w:rsid w:val="00304A5A"/>
    <w:rsid w:val="0030526F"/>
    <w:rsid w:val="00305851"/>
    <w:rsid w:val="00305C39"/>
    <w:rsid w:val="0030646F"/>
    <w:rsid w:val="003073A2"/>
    <w:rsid w:val="0031077B"/>
    <w:rsid w:val="00310DDC"/>
    <w:rsid w:val="00312188"/>
    <w:rsid w:val="00315EAA"/>
    <w:rsid w:val="00317245"/>
    <w:rsid w:val="003175F4"/>
    <w:rsid w:val="00320F9F"/>
    <w:rsid w:val="00325899"/>
    <w:rsid w:val="003262F2"/>
    <w:rsid w:val="003268E0"/>
    <w:rsid w:val="0032711E"/>
    <w:rsid w:val="0033027F"/>
    <w:rsid w:val="00331B6A"/>
    <w:rsid w:val="00334E75"/>
    <w:rsid w:val="0033570A"/>
    <w:rsid w:val="0033616B"/>
    <w:rsid w:val="00341082"/>
    <w:rsid w:val="00341CF5"/>
    <w:rsid w:val="00342A4D"/>
    <w:rsid w:val="00342EE7"/>
    <w:rsid w:val="003447A3"/>
    <w:rsid w:val="0034493E"/>
    <w:rsid w:val="00344DB7"/>
    <w:rsid w:val="00345ED1"/>
    <w:rsid w:val="00346ECA"/>
    <w:rsid w:val="003471CD"/>
    <w:rsid w:val="00347AE7"/>
    <w:rsid w:val="00350687"/>
    <w:rsid w:val="00350BEC"/>
    <w:rsid w:val="003538FC"/>
    <w:rsid w:val="00353F3F"/>
    <w:rsid w:val="0035449F"/>
    <w:rsid w:val="00355E00"/>
    <w:rsid w:val="00355EEE"/>
    <w:rsid w:val="0035783A"/>
    <w:rsid w:val="00357D2B"/>
    <w:rsid w:val="00360035"/>
    <w:rsid w:val="003606AC"/>
    <w:rsid w:val="00362733"/>
    <w:rsid w:val="00363177"/>
    <w:rsid w:val="00363538"/>
    <w:rsid w:val="00364899"/>
    <w:rsid w:val="00365553"/>
    <w:rsid w:val="00365D2D"/>
    <w:rsid w:val="003660E7"/>
    <w:rsid w:val="003661C3"/>
    <w:rsid w:val="00366FB8"/>
    <w:rsid w:val="00367F15"/>
    <w:rsid w:val="00370F55"/>
    <w:rsid w:val="003715F0"/>
    <w:rsid w:val="003718ED"/>
    <w:rsid w:val="0037203C"/>
    <w:rsid w:val="0037206F"/>
    <w:rsid w:val="0037492E"/>
    <w:rsid w:val="00374A24"/>
    <w:rsid w:val="0037736A"/>
    <w:rsid w:val="003774B3"/>
    <w:rsid w:val="003775E6"/>
    <w:rsid w:val="00382CA1"/>
    <w:rsid w:val="00383B1A"/>
    <w:rsid w:val="00383C0C"/>
    <w:rsid w:val="00383CD1"/>
    <w:rsid w:val="003844A5"/>
    <w:rsid w:val="00384581"/>
    <w:rsid w:val="0038532C"/>
    <w:rsid w:val="00385F16"/>
    <w:rsid w:val="00387467"/>
    <w:rsid w:val="00387C78"/>
    <w:rsid w:val="00390DFD"/>
    <w:rsid w:val="0039150A"/>
    <w:rsid w:val="003923A3"/>
    <w:rsid w:val="003923AA"/>
    <w:rsid w:val="00392699"/>
    <w:rsid w:val="00393882"/>
    <w:rsid w:val="00394657"/>
    <w:rsid w:val="003947EB"/>
    <w:rsid w:val="003956B7"/>
    <w:rsid w:val="003A0691"/>
    <w:rsid w:val="003A0BDA"/>
    <w:rsid w:val="003A0C17"/>
    <w:rsid w:val="003A2767"/>
    <w:rsid w:val="003A4C18"/>
    <w:rsid w:val="003A4D42"/>
    <w:rsid w:val="003A5DE9"/>
    <w:rsid w:val="003A60DF"/>
    <w:rsid w:val="003A7D97"/>
    <w:rsid w:val="003B176A"/>
    <w:rsid w:val="003B21E2"/>
    <w:rsid w:val="003B22A9"/>
    <w:rsid w:val="003B2A79"/>
    <w:rsid w:val="003B7B24"/>
    <w:rsid w:val="003C02B9"/>
    <w:rsid w:val="003C0E34"/>
    <w:rsid w:val="003C0EF8"/>
    <w:rsid w:val="003C2DE2"/>
    <w:rsid w:val="003C3176"/>
    <w:rsid w:val="003C32C0"/>
    <w:rsid w:val="003C436B"/>
    <w:rsid w:val="003C559A"/>
    <w:rsid w:val="003C5BE9"/>
    <w:rsid w:val="003C695A"/>
    <w:rsid w:val="003C6CCD"/>
    <w:rsid w:val="003C75C6"/>
    <w:rsid w:val="003C7B3D"/>
    <w:rsid w:val="003D0FD6"/>
    <w:rsid w:val="003D26CF"/>
    <w:rsid w:val="003D4473"/>
    <w:rsid w:val="003D4824"/>
    <w:rsid w:val="003D4E5D"/>
    <w:rsid w:val="003D5045"/>
    <w:rsid w:val="003D52EB"/>
    <w:rsid w:val="003D5336"/>
    <w:rsid w:val="003D58D1"/>
    <w:rsid w:val="003D6382"/>
    <w:rsid w:val="003D64AE"/>
    <w:rsid w:val="003E053D"/>
    <w:rsid w:val="003E13C5"/>
    <w:rsid w:val="003E1554"/>
    <w:rsid w:val="003E1CF6"/>
    <w:rsid w:val="003E327F"/>
    <w:rsid w:val="003E3AA0"/>
    <w:rsid w:val="003E400E"/>
    <w:rsid w:val="003E4196"/>
    <w:rsid w:val="003E4B5A"/>
    <w:rsid w:val="003E5871"/>
    <w:rsid w:val="003F07D1"/>
    <w:rsid w:val="003F338B"/>
    <w:rsid w:val="003F33D9"/>
    <w:rsid w:val="003F4828"/>
    <w:rsid w:val="003F4C09"/>
    <w:rsid w:val="003F5E94"/>
    <w:rsid w:val="003F6B41"/>
    <w:rsid w:val="00400167"/>
    <w:rsid w:val="00400293"/>
    <w:rsid w:val="00400DC8"/>
    <w:rsid w:val="00401660"/>
    <w:rsid w:val="00407126"/>
    <w:rsid w:val="00407656"/>
    <w:rsid w:val="00410E36"/>
    <w:rsid w:val="004115B2"/>
    <w:rsid w:val="004126DE"/>
    <w:rsid w:val="00414617"/>
    <w:rsid w:val="00414F56"/>
    <w:rsid w:val="00417B4C"/>
    <w:rsid w:val="004208C7"/>
    <w:rsid w:val="00420A2A"/>
    <w:rsid w:val="0042154A"/>
    <w:rsid w:val="004221E2"/>
    <w:rsid w:val="00422CB9"/>
    <w:rsid w:val="00422DC2"/>
    <w:rsid w:val="004231A2"/>
    <w:rsid w:val="004238E4"/>
    <w:rsid w:val="00424EAF"/>
    <w:rsid w:val="00425EB0"/>
    <w:rsid w:val="00427964"/>
    <w:rsid w:val="004313B1"/>
    <w:rsid w:val="00431834"/>
    <w:rsid w:val="00431C13"/>
    <w:rsid w:val="00432DDC"/>
    <w:rsid w:val="00434B05"/>
    <w:rsid w:val="00435D35"/>
    <w:rsid w:val="00436225"/>
    <w:rsid w:val="00437D1F"/>
    <w:rsid w:val="004409B5"/>
    <w:rsid w:val="00441A56"/>
    <w:rsid w:val="00443145"/>
    <w:rsid w:val="0044458D"/>
    <w:rsid w:val="00444B06"/>
    <w:rsid w:val="00444B79"/>
    <w:rsid w:val="004476FD"/>
    <w:rsid w:val="00450AF0"/>
    <w:rsid w:val="0045137F"/>
    <w:rsid w:val="0045142C"/>
    <w:rsid w:val="00453BBE"/>
    <w:rsid w:val="00455095"/>
    <w:rsid w:val="004610CA"/>
    <w:rsid w:val="0046154A"/>
    <w:rsid w:val="00462870"/>
    <w:rsid w:val="0046461A"/>
    <w:rsid w:val="00464BD7"/>
    <w:rsid w:val="00464FC8"/>
    <w:rsid w:val="00465A3A"/>
    <w:rsid w:val="00465C6C"/>
    <w:rsid w:val="00466A91"/>
    <w:rsid w:val="004709D0"/>
    <w:rsid w:val="00470A65"/>
    <w:rsid w:val="004711E2"/>
    <w:rsid w:val="00472B15"/>
    <w:rsid w:val="00473041"/>
    <w:rsid w:val="0047379F"/>
    <w:rsid w:val="00473B17"/>
    <w:rsid w:val="00473BDF"/>
    <w:rsid w:val="00473C82"/>
    <w:rsid w:val="00474B48"/>
    <w:rsid w:val="004758B1"/>
    <w:rsid w:val="00476B62"/>
    <w:rsid w:val="004774C7"/>
    <w:rsid w:val="004816E5"/>
    <w:rsid w:val="00481ACD"/>
    <w:rsid w:val="00482959"/>
    <w:rsid w:val="00483A7D"/>
    <w:rsid w:val="0048472B"/>
    <w:rsid w:val="00486686"/>
    <w:rsid w:val="0048758D"/>
    <w:rsid w:val="00487703"/>
    <w:rsid w:val="00487AFB"/>
    <w:rsid w:val="00491248"/>
    <w:rsid w:val="004940C9"/>
    <w:rsid w:val="004946E7"/>
    <w:rsid w:val="00494C07"/>
    <w:rsid w:val="00496741"/>
    <w:rsid w:val="00497D33"/>
    <w:rsid w:val="004A0B66"/>
    <w:rsid w:val="004A137A"/>
    <w:rsid w:val="004A2115"/>
    <w:rsid w:val="004A2348"/>
    <w:rsid w:val="004B122D"/>
    <w:rsid w:val="004B1937"/>
    <w:rsid w:val="004B32D7"/>
    <w:rsid w:val="004B3C28"/>
    <w:rsid w:val="004B5F94"/>
    <w:rsid w:val="004B6563"/>
    <w:rsid w:val="004B7440"/>
    <w:rsid w:val="004B74BD"/>
    <w:rsid w:val="004C15B8"/>
    <w:rsid w:val="004C33C2"/>
    <w:rsid w:val="004C40CD"/>
    <w:rsid w:val="004C442F"/>
    <w:rsid w:val="004C52D5"/>
    <w:rsid w:val="004C7AA9"/>
    <w:rsid w:val="004D09B1"/>
    <w:rsid w:val="004D0A4C"/>
    <w:rsid w:val="004D1CDA"/>
    <w:rsid w:val="004D4C24"/>
    <w:rsid w:val="004D6A47"/>
    <w:rsid w:val="004D6BDB"/>
    <w:rsid w:val="004D6D9A"/>
    <w:rsid w:val="004E1745"/>
    <w:rsid w:val="004E1FFE"/>
    <w:rsid w:val="004E2219"/>
    <w:rsid w:val="004E2C98"/>
    <w:rsid w:val="004E3FD8"/>
    <w:rsid w:val="004E4A54"/>
    <w:rsid w:val="004E6325"/>
    <w:rsid w:val="004E68EE"/>
    <w:rsid w:val="004E736B"/>
    <w:rsid w:val="004F151E"/>
    <w:rsid w:val="004F2B2E"/>
    <w:rsid w:val="004F2E2E"/>
    <w:rsid w:val="004F4853"/>
    <w:rsid w:val="004F59BE"/>
    <w:rsid w:val="004F6A9E"/>
    <w:rsid w:val="004F7B84"/>
    <w:rsid w:val="0050223A"/>
    <w:rsid w:val="00503347"/>
    <w:rsid w:val="00505A25"/>
    <w:rsid w:val="00506383"/>
    <w:rsid w:val="00506E73"/>
    <w:rsid w:val="005078E5"/>
    <w:rsid w:val="00511473"/>
    <w:rsid w:val="00512138"/>
    <w:rsid w:val="00512670"/>
    <w:rsid w:val="00512FCA"/>
    <w:rsid w:val="005134D6"/>
    <w:rsid w:val="00515196"/>
    <w:rsid w:val="005204AE"/>
    <w:rsid w:val="0052123E"/>
    <w:rsid w:val="0052282C"/>
    <w:rsid w:val="00523F23"/>
    <w:rsid w:val="00524486"/>
    <w:rsid w:val="00527383"/>
    <w:rsid w:val="0053087E"/>
    <w:rsid w:val="00531109"/>
    <w:rsid w:val="00533173"/>
    <w:rsid w:val="0053550C"/>
    <w:rsid w:val="00536787"/>
    <w:rsid w:val="00537522"/>
    <w:rsid w:val="00542122"/>
    <w:rsid w:val="00542B8A"/>
    <w:rsid w:val="00543E38"/>
    <w:rsid w:val="0054402C"/>
    <w:rsid w:val="00544B65"/>
    <w:rsid w:val="00545B73"/>
    <w:rsid w:val="00545DA1"/>
    <w:rsid w:val="0054719E"/>
    <w:rsid w:val="00550AD7"/>
    <w:rsid w:val="00551E59"/>
    <w:rsid w:val="00553739"/>
    <w:rsid w:val="0055381C"/>
    <w:rsid w:val="00555634"/>
    <w:rsid w:val="00556377"/>
    <w:rsid w:val="00556547"/>
    <w:rsid w:val="00556BF4"/>
    <w:rsid w:val="00560039"/>
    <w:rsid w:val="005600EE"/>
    <w:rsid w:val="00561982"/>
    <w:rsid w:val="00561A53"/>
    <w:rsid w:val="00563C2B"/>
    <w:rsid w:val="00564138"/>
    <w:rsid w:val="00564B6E"/>
    <w:rsid w:val="005656B2"/>
    <w:rsid w:val="00565BAC"/>
    <w:rsid w:val="00565C4E"/>
    <w:rsid w:val="005660A4"/>
    <w:rsid w:val="00570B86"/>
    <w:rsid w:val="00572868"/>
    <w:rsid w:val="00573062"/>
    <w:rsid w:val="00573384"/>
    <w:rsid w:val="00573589"/>
    <w:rsid w:val="005744DE"/>
    <w:rsid w:val="00574723"/>
    <w:rsid w:val="005758BD"/>
    <w:rsid w:val="005758F4"/>
    <w:rsid w:val="00576E17"/>
    <w:rsid w:val="0057728A"/>
    <w:rsid w:val="005817A6"/>
    <w:rsid w:val="005818D5"/>
    <w:rsid w:val="00581CDC"/>
    <w:rsid w:val="0058340D"/>
    <w:rsid w:val="00585EC4"/>
    <w:rsid w:val="00587460"/>
    <w:rsid w:val="00587621"/>
    <w:rsid w:val="00587C9F"/>
    <w:rsid w:val="00590007"/>
    <w:rsid w:val="005908B9"/>
    <w:rsid w:val="00590C50"/>
    <w:rsid w:val="00594145"/>
    <w:rsid w:val="0059456F"/>
    <w:rsid w:val="005963CB"/>
    <w:rsid w:val="00596897"/>
    <w:rsid w:val="005976EC"/>
    <w:rsid w:val="005A1AA3"/>
    <w:rsid w:val="005A1ADB"/>
    <w:rsid w:val="005A398E"/>
    <w:rsid w:val="005A3B3B"/>
    <w:rsid w:val="005A3D3B"/>
    <w:rsid w:val="005A593F"/>
    <w:rsid w:val="005A5FAA"/>
    <w:rsid w:val="005A6CCB"/>
    <w:rsid w:val="005B1929"/>
    <w:rsid w:val="005B19BE"/>
    <w:rsid w:val="005B4ECE"/>
    <w:rsid w:val="005B577A"/>
    <w:rsid w:val="005B57E9"/>
    <w:rsid w:val="005B5DFB"/>
    <w:rsid w:val="005B7437"/>
    <w:rsid w:val="005B7534"/>
    <w:rsid w:val="005B7973"/>
    <w:rsid w:val="005B7E72"/>
    <w:rsid w:val="005C013C"/>
    <w:rsid w:val="005C02C6"/>
    <w:rsid w:val="005C2DEF"/>
    <w:rsid w:val="005C2EFB"/>
    <w:rsid w:val="005C4179"/>
    <w:rsid w:val="005C4627"/>
    <w:rsid w:val="005C492C"/>
    <w:rsid w:val="005C4D77"/>
    <w:rsid w:val="005C5447"/>
    <w:rsid w:val="005C55A0"/>
    <w:rsid w:val="005C72F7"/>
    <w:rsid w:val="005D123D"/>
    <w:rsid w:val="005D2163"/>
    <w:rsid w:val="005D3B82"/>
    <w:rsid w:val="005D4734"/>
    <w:rsid w:val="005D4772"/>
    <w:rsid w:val="005D4E4B"/>
    <w:rsid w:val="005D5D0F"/>
    <w:rsid w:val="005D633A"/>
    <w:rsid w:val="005D713E"/>
    <w:rsid w:val="005D73CA"/>
    <w:rsid w:val="005D7E44"/>
    <w:rsid w:val="005E0DA8"/>
    <w:rsid w:val="005E2124"/>
    <w:rsid w:val="005E2339"/>
    <w:rsid w:val="005E2E83"/>
    <w:rsid w:val="005E411B"/>
    <w:rsid w:val="005E5A75"/>
    <w:rsid w:val="005E5D6A"/>
    <w:rsid w:val="005E72A4"/>
    <w:rsid w:val="005E7A23"/>
    <w:rsid w:val="005F0F6C"/>
    <w:rsid w:val="005F1A50"/>
    <w:rsid w:val="005F4239"/>
    <w:rsid w:val="005F553A"/>
    <w:rsid w:val="005F57AA"/>
    <w:rsid w:val="005F5FE5"/>
    <w:rsid w:val="005F6C6A"/>
    <w:rsid w:val="005F7941"/>
    <w:rsid w:val="005F7DCA"/>
    <w:rsid w:val="006003F2"/>
    <w:rsid w:val="0060099C"/>
    <w:rsid w:val="00601162"/>
    <w:rsid w:val="0060308B"/>
    <w:rsid w:val="006055A3"/>
    <w:rsid w:val="006072B7"/>
    <w:rsid w:val="00607A83"/>
    <w:rsid w:val="00610793"/>
    <w:rsid w:val="006116C3"/>
    <w:rsid w:val="00611983"/>
    <w:rsid w:val="006140D9"/>
    <w:rsid w:val="00614949"/>
    <w:rsid w:val="00614C46"/>
    <w:rsid w:val="00616317"/>
    <w:rsid w:val="00616B9B"/>
    <w:rsid w:val="00620DCD"/>
    <w:rsid w:val="006215C2"/>
    <w:rsid w:val="00621EED"/>
    <w:rsid w:val="0062708C"/>
    <w:rsid w:val="0062789E"/>
    <w:rsid w:val="00627BFA"/>
    <w:rsid w:val="00627CAA"/>
    <w:rsid w:val="0063023B"/>
    <w:rsid w:val="00630D29"/>
    <w:rsid w:val="006318C2"/>
    <w:rsid w:val="006324D4"/>
    <w:rsid w:val="006326AD"/>
    <w:rsid w:val="00633171"/>
    <w:rsid w:val="00635273"/>
    <w:rsid w:val="006353A2"/>
    <w:rsid w:val="006355F7"/>
    <w:rsid w:val="00635AFE"/>
    <w:rsid w:val="0063694F"/>
    <w:rsid w:val="006407B5"/>
    <w:rsid w:val="006409BB"/>
    <w:rsid w:val="0064106F"/>
    <w:rsid w:val="00641EF6"/>
    <w:rsid w:val="006427C3"/>
    <w:rsid w:val="00642F15"/>
    <w:rsid w:val="006434E7"/>
    <w:rsid w:val="00643503"/>
    <w:rsid w:val="0064350E"/>
    <w:rsid w:val="00643C5A"/>
    <w:rsid w:val="00644CF4"/>
    <w:rsid w:val="0064712D"/>
    <w:rsid w:val="00647C80"/>
    <w:rsid w:val="00647F84"/>
    <w:rsid w:val="006511B7"/>
    <w:rsid w:val="0065221D"/>
    <w:rsid w:val="00652873"/>
    <w:rsid w:val="00653A64"/>
    <w:rsid w:val="0065407F"/>
    <w:rsid w:val="0065696B"/>
    <w:rsid w:val="00657348"/>
    <w:rsid w:val="00663B4E"/>
    <w:rsid w:val="0066570C"/>
    <w:rsid w:val="0066624B"/>
    <w:rsid w:val="00666C3B"/>
    <w:rsid w:val="00666CB9"/>
    <w:rsid w:val="00667C95"/>
    <w:rsid w:val="00670D19"/>
    <w:rsid w:val="006730FA"/>
    <w:rsid w:val="0067412D"/>
    <w:rsid w:val="00674332"/>
    <w:rsid w:val="00674AC5"/>
    <w:rsid w:val="0067635D"/>
    <w:rsid w:val="006769A6"/>
    <w:rsid w:val="006773F0"/>
    <w:rsid w:val="006802CE"/>
    <w:rsid w:val="006809AF"/>
    <w:rsid w:val="0068225A"/>
    <w:rsid w:val="00683BCC"/>
    <w:rsid w:val="00684046"/>
    <w:rsid w:val="00684A87"/>
    <w:rsid w:val="006850B6"/>
    <w:rsid w:val="0068578C"/>
    <w:rsid w:val="006868F0"/>
    <w:rsid w:val="00693967"/>
    <w:rsid w:val="006959EF"/>
    <w:rsid w:val="0069606F"/>
    <w:rsid w:val="0069646E"/>
    <w:rsid w:val="006979E6"/>
    <w:rsid w:val="006A1AE8"/>
    <w:rsid w:val="006A27D0"/>
    <w:rsid w:val="006A4BE5"/>
    <w:rsid w:val="006A6DC1"/>
    <w:rsid w:val="006A7526"/>
    <w:rsid w:val="006A7E03"/>
    <w:rsid w:val="006B22D2"/>
    <w:rsid w:val="006B4C1F"/>
    <w:rsid w:val="006B6136"/>
    <w:rsid w:val="006C34D2"/>
    <w:rsid w:val="006C374B"/>
    <w:rsid w:val="006C5C80"/>
    <w:rsid w:val="006D0508"/>
    <w:rsid w:val="006D1614"/>
    <w:rsid w:val="006D26C2"/>
    <w:rsid w:val="006D357B"/>
    <w:rsid w:val="006D40F2"/>
    <w:rsid w:val="006D45F7"/>
    <w:rsid w:val="006D6064"/>
    <w:rsid w:val="006D6B6B"/>
    <w:rsid w:val="006D6E94"/>
    <w:rsid w:val="006D70BF"/>
    <w:rsid w:val="006D7E3D"/>
    <w:rsid w:val="006E1511"/>
    <w:rsid w:val="006E192C"/>
    <w:rsid w:val="006E1D98"/>
    <w:rsid w:val="006E2337"/>
    <w:rsid w:val="006E2A9A"/>
    <w:rsid w:val="006E2F31"/>
    <w:rsid w:val="006E3B07"/>
    <w:rsid w:val="006E3FAB"/>
    <w:rsid w:val="006E5A01"/>
    <w:rsid w:val="006E5CE5"/>
    <w:rsid w:val="006E6409"/>
    <w:rsid w:val="006E6D73"/>
    <w:rsid w:val="006E7297"/>
    <w:rsid w:val="006E7B23"/>
    <w:rsid w:val="006F2485"/>
    <w:rsid w:val="006F2C0A"/>
    <w:rsid w:val="006F32A4"/>
    <w:rsid w:val="006F356B"/>
    <w:rsid w:val="006F47E3"/>
    <w:rsid w:val="006F6482"/>
    <w:rsid w:val="00701261"/>
    <w:rsid w:val="00702428"/>
    <w:rsid w:val="00706066"/>
    <w:rsid w:val="007072A7"/>
    <w:rsid w:val="00711239"/>
    <w:rsid w:val="00713CBD"/>
    <w:rsid w:val="00713E4E"/>
    <w:rsid w:val="00715884"/>
    <w:rsid w:val="00716BFB"/>
    <w:rsid w:val="00716E9F"/>
    <w:rsid w:val="00720311"/>
    <w:rsid w:val="00721D82"/>
    <w:rsid w:val="00721EA4"/>
    <w:rsid w:val="007231F3"/>
    <w:rsid w:val="00727138"/>
    <w:rsid w:val="00731322"/>
    <w:rsid w:val="00731346"/>
    <w:rsid w:val="007325FC"/>
    <w:rsid w:val="007345A6"/>
    <w:rsid w:val="0073488E"/>
    <w:rsid w:val="0073603C"/>
    <w:rsid w:val="00736060"/>
    <w:rsid w:val="007364CF"/>
    <w:rsid w:val="00736D0B"/>
    <w:rsid w:val="00740034"/>
    <w:rsid w:val="007424D9"/>
    <w:rsid w:val="00742EF9"/>
    <w:rsid w:val="007431F0"/>
    <w:rsid w:val="00743FA0"/>
    <w:rsid w:val="007505EC"/>
    <w:rsid w:val="00750C83"/>
    <w:rsid w:val="00751A0A"/>
    <w:rsid w:val="00752044"/>
    <w:rsid w:val="00752EF3"/>
    <w:rsid w:val="00754536"/>
    <w:rsid w:val="00760891"/>
    <w:rsid w:val="00761FB9"/>
    <w:rsid w:val="00762E13"/>
    <w:rsid w:val="007634D1"/>
    <w:rsid w:val="00763C00"/>
    <w:rsid w:val="007655B4"/>
    <w:rsid w:val="007659AD"/>
    <w:rsid w:val="00765C9C"/>
    <w:rsid w:val="00765F62"/>
    <w:rsid w:val="007728D1"/>
    <w:rsid w:val="007733CF"/>
    <w:rsid w:val="00775E93"/>
    <w:rsid w:val="00776342"/>
    <w:rsid w:val="0077641B"/>
    <w:rsid w:val="00776FC9"/>
    <w:rsid w:val="007776F9"/>
    <w:rsid w:val="007806F6"/>
    <w:rsid w:val="0078103C"/>
    <w:rsid w:val="00782289"/>
    <w:rsid w:val="007823A1"/>
    <w:rsid w:val="00784242"/>
    <w:rsid w:val="00784BE2"/>
    <w:rsid w:val="007850FE"/>
    <w:rsid w:val="00785255"/>
    <w:rsid w:val="00785FF5"/>
    <w:rsid w:val="0078635E"/>
    <w:rsid w:val="00786B0C"/>
    <w:rsid w:val="0078756A"/>
    <w:rsid w:val="0078756D"/>
    <w:rsid w:val="00790B07"/>
    <w:rsid w:val="00791625"/>
    <w:rsid w:val="007922AD"/>
    <w:rsid w:val="0079251E"/>
    <w:rsid w:val="00792C35"/>
    <w:rsid w:val="00793462"/>
    <w:rsid w:val="00793A82"/>
    <w:rsid w:val="0079580F"/>
    <w:rsid w:val="0079595D"/>
    <w:rsid w:val="007974F6"/>
    <w:rsid w:val="00797D6C"/>
    <w:rsid w:val="007A0248"/>
    <w:rsid w:val="007A27C6"/>
    <w:rsid w:val="007A2DDA"/>
    <w:rsid w:val="007A6B69"/>
    <w:rsid w:val="007A73B9"/>
    <w:rsid w:val="007A78BF"/>
    <w:rsid w:val="007A7F6B"/>
    <w:rsid w:val="007B04EC"/>
    <w:rsid w:val="007B0A0B"/>
    <w:rsid w:val="007B42F7"/>
    <w:rsid w:val="007B48B6"/>
    <w:rsid w:val="007B4EAE"/>
    <w:rsid w:val="007B64B4"/>
    <w:rsid w:val="007B6CFF"/>
    <w:rsid w:val="007B74B8"/>
    <w:rsid w:val="007B78D5"/>
    <w:rsid w:val="007B7A4E"/>
    <w:rsid w:val="007C051A"/>
    <w:rsid w:val="007C11BB"/>
    <w:rsid w:val="007C3019"/>
    <w:rsid w:val="007C40CF"/>
    <w:rsid w:val="007C4AD5"/>
    <w:rsid w:val="007C5D5D"/>
    <w:rsid w:val="007C7051"/>
    <w:rsid w:val="007D05BC"/>
    <w:rsid w:val="007D0ACC"/>
    <w:rsid w:val="007D1803"/>
    <w:rsid w:val="007D2390"/>
    <w:rsid w:val="007D2594"/>
    <w:rsid w:val="007D2862"/>
    <w:rsid w:val="007D374D"/>
    <w:rsid w:val="007D398C"/>
    <w:rsid w:val="007D3E78"/>
    <w:rsid w:val="007D41D4"/>
    <w:rsid w:val="007D48D8"/>
    <w:rsid w:val="007D6658"/>
    <w:rsid w:val="007E1893"/>
    <w:rsid w:val="007E399A"/>
    <w:rsid w:val="007E42E3"/>
    <w:rsid w:val="007E494B"/>
    <w:rsid w:val="007E4A64"/>
    <w:rsid w:val="007E5442"/>
    <w:rsid w:val="007E5840"/>
    <w:rsid w:val="007E63CB"/>
    <w:rsid w:val="007E6F75"/>
    <w:rsid w:val="007E7173"/>
    <w:rsid w:val="007E7BF7"/>
    <w:rsid w:val="007F0ED6"/>
    <w:rsid w:val="007F0F84"/>
    <w:rsid w:val="007F1452"/>
    <w:rsid w:val="007F3951"/>
    <w:rsid w:val="007F4E2E"/>
    <w:rsid w:val="008018BA"/>
    <w:rsid w:val="00803345"/>
    <w:rsid w:val="00803E1D"/>
    <w:rsid w:val="00804053"/>
    <w:rsid w:val="00805537"/>
    <w:rsid w:val="0081099D"/>
    <w:rsid w:val="00811851"/>
    <w:rsid w:val="00813EE3"/>
    <w:rsid w:val="00815E70"/>
    <w:rsid w:val="0081612D"/>
    <w:rsid w:val="00816A10"/>
    <w:rsid w:val="00817008"/>
    <w:rsid w:val="00817056"/>
    <w:rsid w:val="00817F3B"/>
    <w:rsid w:val="00817F8D"/>
    <w:rsid w:val="0082115C"/>
    <w:rsid w:val="008218EC"/>
    <w:rsid w:val="0082515C"/>
    <w:rsid w:val="008253AA"/>
    <w:rsid w:val="00825691"/>
    <w:rsid w:val="00826553"/>
    <w:rsid w:val="00826A65"/>
    <w:rsid w:val="00827AD5"/>
    <w:rsid w:val="0083024E"/>
    <w:rsid w:val="00830817"/>
    <w:rsid w:val="00830DD2"/>
    <w:rsid w:val="0083369E"/>
    <w:rsid w:val="00833F58"/>
    <w:rsid w:val="00834012"/>
    <w:rsid w:val="00834464"/>
    <w:rsid w:val="00834744"/>
    <w:rsid w:val="00835717"/>
    <w:rsid w:val="00835DBD"/>
    <w:rsid w:val="00836FFA"/>
    <w:rsid w:val="008417E7"/>
    <w:rsid w:val="00842521"/>
    <w:rsid w:val="00843838"/>
    <w:rsid w:val="00844045"/>
    <w:rsid w:val="008458F8"/>
    <w:rsid w:val="00845C90"/>
    <w:rsid w:val="008503BF"/>
    <w:rsid w:val="008505D7"/>
    <w:rsid w:val="00852286"/>
    <w:rsid w:val="00852B14"/>
    <w:rsid w:val="00853977"/>
    <w:rsid w:val="008544BE"/>
    <w:rsid w:val="008549E4"/>
    <w:rsid w:val="008560B8"/>
    <w:rsid w:val="0085664D"/>
    <w:rsid w:val="00857F82"/>
    <w:rsid w:val="008615BE"/>
    <w:rsid w:val="00862E8E"/>
    <w:rsid w:val="00863B96"/>
    <w:rsid w:val="0086483C"/>
    <w:rsid w:val="00865CB2"/>
    <w:rsid w:val="00866C3C"/>
    <w:rsid w:val="00867169"/>
    <w:rsid w:val="00867FCF"/>
    <w:rsid w:val="0087046A"/>
    <w:rsid w:val="00871C0F"/>
    <w:rsid w:val="00871F7B"/>
    <w:rsid w:val="008720E3"/>
    <w:rsid w:val="00873A21"/>
    <w:rsid w:val="00875083"/>
    <w:rsid w:val="00875446"/>
    <w:rsid w:val="00875BD1"/>
    <w:rsid w:val="008774D3"/>
    <w:rsid w:val="00877A4C"/>
    <w:rsid w:val="00882D21"/>
    <w:rsid w:val="00882F00"/>
    <w:rsid w:val="0088437E"/>
    <w:rsid w:val="008845C3"/>
    <w:rsid w:val="00884C3A"/>
    <w:rsid w:val="00885774"/>
    <w:rsid w:val="00885868"/>
    <w:rsid w:val="00886E49"/>
    <w:rsid w:val="00890A8A"/>
    <w:rsid w:val="00890B69"/>
    <w:rsid w:val="00891715"/>
    <w:rsid w:val="00891EE0"/>
    <w:rsid w:val="00892EBB"/>
    <w:rsid w:val="00892EE1"/>
    <w:rsid w:val="00893DFA"/>
    <w:rsid w:val="0089440F"/>
    <w:rsid w:val="00895BB3"/>
    <w:rsid w:val="00895FB3"/>
    <w:rsid w:val="008968A4"/>
    <w:rsid w:val="008A024F"/>
    <w:rsid w:val="008A0623"/>
    <w:rsid w:val="008A093A"/>
    <w:rsid w:val="008A1F0C"/>
    <w:rsid w:val="008A21BC"/>
    <w:rsid w:val="008A27B7"/>
    <w:rsid w:val="008A4062"/>
    <w:rsid w:val="008A4BC0"/>
    <w:rsid w:val="008A52DF"/>
    <w:rsid w:val="008A6011"/>
    <w:rsid w:val="008A61E1"/>
    <w:rsid w:val="008A6718"/>
    <w:rsid w:val="008A7CF2"/>
    <w:rsid w:val="008B5BA0"/>
    <w:rsid w:val="008B7145"/>
    <w:rsid w:val="008C0C45"/>
    <w:rsid w:val="008C1191"/>
    <w:rsid w:val="008C1D9E"/>
    <w:rsid w:val="008C1E74"/>
    <w:rsid w:val="008C235E"/>
    <w:rsid w:val="008C2B31"/>
    <w:rsid w:val="008C3CF9"/>
    <w:rsid w:val="008C3FC8"/>
    <w:rsid w:val="008C4F44"/>
    <w:rsid w:val="008C4F68"/>
    <w:rsid w:val="008C515F"/>
    <w:rsid w:val="008C7E0A"/>
    <w:rsid w:val="008D1DCA"/>
    <w:rsid w:val="008D3504"/>
    <w:rsid w:val="008D35BE"/>
    <w:rsid w:val="008D4ADE"/>
    <w:rsid w:val="008D5623"/>
    <w:rsid w:val="008D5F8D"/>
    <w:rsid w:val="008D6B5C"/>
    <w:rsid w:val="008D7A3E"/>
    <w:rsid w:val="008E0299"/>
    <w:rsid w:val="008E1131"/>
    <w:rsid w:val="008E17DB"/>
    <w:rsid w:val="008E3283"/>
    <w:rsid w:val="008E3341"/>
    <w:rsid w:val="008E38A5"/>
    <w:rsid w:val="008E4085"/>
    <w:rsid w:val="008E431A"/>
    <w:rsid w:val="008E5779"/>
    <w:rsid w:val="008E5D82"/>
    <w:rsid w:val="008E7F0B"/>
    <w:rsid w:val="008E7F75"/>
    <w:rsid w:val="008F0073"/>
    <w:rsid w:val="008F0E96"/>
    <w:rsid w:val="008F1CC1"/>
    <w:rsid w:val="008F5CEF"/>
    <w:rsid w:val="008F77B4"/>
    <w:rsid w:val="009008C7"/>
    <w:rsid w:val="00900CBC"/>
    <w:rsid w:val="00901F8E"/>
    <w:rsid w:val="0090481D"/>
    <w:rsid w:val="0090543C"/>
    <w:rsid w:val="00906027"/>
    <w:rsid w:val="009060A9"/>
    <w:rsid w:val="009076F1"/>
    <w:rsid w:val="00907FFB"/>
    <w:rsid w:val="00912E33"/>
    <w:rsid w:val="009130BF"/>
    <w:rsid w:val="00913BA8"/>
    <w:rsid w:val="00915002"/>
    <w:rsid w:val="0091528C"/>
    <w:rsid w:val="009160A0"/>
    <w:rsid w:val="00916630"/>
    <w:rsid w:val="0091681A"/>
    <w:rsid w:val="00917BE5"/>
    <w:rsid w:val="0092006B"/>
    <w:rsid w:val="0092008E"/>
    <w:rsid w:val="00920188"/>
    <w:rsid w:val="0092055D"/>
    <w:rsid w:val="009214BF"/>
    <w:rsid w:val="009229E6"/>
    <w:rsid w:val="00922D50"/>
    <w:rsid w:val="0092484E"/>
    <w:rsid w:val="009252D9"/>
    <w:rsid w:val="00927137"/>
    <w:rsid w:val="00927D35"/>
    <w:rsid w:val="00931F89"/>
    <w:rsid w:val="00932136"/>
    <w:rsid w:val="00932799"/>
    <w:rsid w:val="00933C94"/>
    <w:rsid w:val="0093543F"/>
    <w:rsid w:val="00935FDF"/>
    <w:rsid w:val="009375B0"/>
    <w:rsid w:val="009412DA"/>
    <w:rsid w:val="0094252E"/>
    <w:rsid w:val="00942A68"/>
    <w:rsid w:val="00944142"/>
    <w:rsid w:val="009444C5"/>
    <w:rsid w:val="00944836"/>
    <w:rsid w:val="00944CFC"/>
    <w:rsid w:val="00944E4D"/>
    <w:rsid w:val="00945DF2"/>
    <w:rsid w:val="00946B44"/>
    <w:rsid w:val="00947590"/>
    <w:rsid w:val="00947777"/>
    <w:rsid w:val="00950984"/>
    <w:rsid w:val="0095123A"/>
    <w:rsid w:val="0095193C"/>
    <w:rsid w:val="00952217"/>
    <w:rsid w:val="0095230E"/>
    <w:rsid w:val="009524AF"/>
    <w:rsid w:val="009525D3"/>
    <w:rsid w:val="00952900"/>
    <w:rsid w:val="00952E5D"/>
    <w:rsid w:val="00953EFF"/>
    <w:rsid w:val="00956835"/>
    <w:rsid w:val="00960E76"/>
    <w:rsid w:val="0096378F"/>
    <w:rsid w:val="00964CF9"/>
    <w:rsid w:val="0096532D"/>
    <w:rsid w:val="009669DC"/>
    <w:rsid w:val="00966A1E"/>
    <w:rsid w:val="0096799C"/>
    <w:rsid w:val="00967FF8"/>
    <w:rsid w:val="00970ECE"/>
    <w:rsid w:val="00970F7B"/>
    <w:rsid w:val="00971E81"/>
    <w:rsid w:val="00972004"/>
    <w:rsid w:val="00972045"/>
    <w:rsid w:val="009728C8"/>
    <w:rsid w:val="00974010"/>
    <w:rsid w:val="0097461E"/>
    <w:rsid w:val="00974F34"/>
    <w:rsid w:val="009759A8"/>
    <w:rsid w:val="009774C7"/>
    <w:rsid w:val="00977755"/>
    <w:rsid w:val="0098070D"/>
    <w:rsid w:val="00983D00"/>
    <w:rsid w:val="00984E5A"/>
    <w:rsid w:val="00985F04"/>
    <w:rsid w:val="0098792B"/>
    <w:rsid w:val="00990C12"/>
    <w:rsid w:val="0099124F"/>
    <w:rsid w:val="0099186F"/>
    <w:rsid w:val="00992666"/>
    <w:rsid w:val="00993696"/>
    <w:rsid w:val="0099405F"/>
    <w:rsid w:val="00994725"/>
    <w:rsid w:val="009948FF"/>
    <w:rsid w:val="00994FA9"/>
    <w:rsid w:val="009955E8"/>
    <w:rsid w:val="00997D6C"/>
    <w:rsid w:val="009A1730"/>
    <w:rsid w:val="009A2700"/>
    <w:rsid w:val="009A331C"/>
    <w:rsid w:val="009A4839"/>
    <w:rsid w:val="009A5324"/>
    <w:rsid w:val="009A7729"/>
    <w:rsid w:val="009A77D4"/>
    <w:rsid w:val="009A7B03"/>
    <w:rsid w:val="009A7C53"/>
    <w:rsid w:val="009B2135"/>
    <w:rsid w:val="009B4994"/>
    <w:rsid w:val="009B556C"/>
    <w:rsid w:val="009B75EB"/>
    <w:rsid w:val="009C2026"/>
    <w:rsid w:val="009C230B"/>
    <w:rsid w:val="009C2695"/>
    <w:rsid w:val="009C4995"/>
    <w:rsid w:val="009C6DE8"/>
    <w:rsid w:val="009C702C"/>
    <w:rsid w:val="009C7840"/>
    <w:rsid w:val="009D0DF4"/>
    <w:rsid w:val="009D1BB0"/>
    <w:rsid w:val="009D2973"/>
    <w:rsid w:val="009D324F"/>
    <w:rsid w:val="009D58F2"/>
    <w:rsid w:val="009D6AFF"/>
    <w:rsid w:val="009D6EFE"/>
    <w:rsid w:val="009E228F"/>
    <w:rsid w:val="009E48D8"/>
    <w:rsid w:val="009E4AA6"/>
    <w:rsid w:val="009E5AD0"/>
    <w:rsid w:val="009F1F95"/>
    <w:rsid w:val="009F347F"/>
    <w:rsid w:val="009F3E2E"/>
    <w:rsid w:val="009F4EAA"/>
    <w:rsid w:val="009F50A9"/>
    <w:rsid w:val="009F56B1"/>
    <w:rsid w:val="009F6CC6"/>
    <w:rsid w:val="009F7B7E"/>
    <w:rsid w:val="009F7C71"/>
    <w:rsid w:val="00A00A03"/>
    <w:rsid w:val="00A01CE6"/>
    <w:rsid w:val="00A045E9"/>
    <w:rsid w:val="00A04D72"/>
    <w:rsid w:val="00A050A1"/>
    <w:rsid w:val="00A05B39"/>
    <w:rsid w:val="00A07530"/>
    <w:rsid w:val="00A1666B"/>
    <w:rsid w:val="00A16686"/>
    <w:rsid w:val="00A16D7B"/>
    <w:rsid w:val="00A17416"/>
    <w:rsid w:val="00A20627"/>
    <w:rsid w:val="00A20AC4"/>
    <w:rsid w:val="00A21885"/>
    <w:rsid w:val="00A21D98"/>
    <w:rsid w:val="00A21F21"/>
    <w:rsid w:val="00A2201E"/>
    <w:rsid w:val="00A25873"/>
    <w:rsid w:val="00A26A51"/>
    <w:rsid w:val="00A27E3D"/>
    <w:rsid w:val="00A27F73"/>
    <w:rsid w:val="00A32B34"/>
    <w:rsid w:val="00A32FD8"/>
    <w:rsid w:val="00A334DC"/>
    <w:rsid w:val="00A362C1"/>
    <w:rsid w:val="00A3741E"/>
    <w:rsid w:val="00A37474"/>
    <w:rsid w:val="00A4076A"/>
    <w:rsid w:val="00A4279A"/>
    <w:rsid w:val="00A43CED"/>
    <w:rsid w:val="00A449CD"/>
    <w:rsid w:val="00A451BF"/>
    <w:rsid w:val="00A452B8"/>
    <w:rsid w:val="00A452F4"/>
    <w:rsid w:val="00A459CD"/>
    <w:rsid w:val="00A459DE"/>
    <w:rsid w:val="00A45E81"/>
    <w:rsid w:val="00A46D57"/>
    <w:rsid w:val="00A47467"/>
    <w:rsid w:val="00A47701"/>
    <w:rsid w:val="00A47AAF"/>
    <w:rsid w:val="00A509AB"/>
    <w:rsid w:val="00A511F5"/>
    <w:rsid w:val="00A51C2C"/>
    <w:rsid w:val="00A52E2D"/>
    <w:rsid w:val="00A548F0"/>
    <w:rsid w:val="00A56600"/>
    <w:rsid w:val="00A60091"/>
    <w:rsid w:val="00A6077E"/>
    <w:rsid w:val="00A61A9A"/>
    <w:rsid w:val="00A6202A"/>
    <w:rsid w:val="00A6391E"/>
    <w:rsid w:val="00A63C82"/>
    <w:rsid w:val="00A63DD3"/>
    <w:rsid w:val="00A65CEC"/>
    <w:rsid w:val="00A67B38"/>
    <w:rsid w:val="00A731F3"/>
    <w:rsid w:val="00A7468F"/>
    <w:rsid w:val="00A747E9"/>
    <w:rsid w:val="00A74CC7"/>
    <w:rsid w:val="00A75119"/>
    <w:rsid w:val="00A76EF5"/>
    <w:rsid w:val="00A80A92"/>
    <w:rsid w:val="00A817C3"/>
    <w:rsid w:val="00A82778"/>
    <w:rsid w:val="00A84759"/>
    <w:rsid w:val="00A847BD"/>
    <w:rsid w:val="00A85EC2"/>
    <w:rsid w:val="00A86288"/>
    <w:rsid w:val="00A86C0B"/>
    <w:rsid w:val="00A90388"/>
    <w:rsid w:val="00A9044D"/>
    <w:rsid w:val="00A90C6B"/>
    <w:rsid w:val="00A91127"/>
    <w:rsid w:val="00A9172C"/>
    <w:rsid w:val="00A9491A"/>
    <w:rsid w:val="00A94AFF"/>
    <w:rsid w:val="00A959CA"/>
    <w:rsid w:val="00A95D71"/>
    <w:rsid w:val="00A96618"/>
    <w:rsid w:val="00A966E0"/>
    <w:rsid w:val="00A96B80"/>
    <w:rsid w:val="00A96F41"/>
    <w:rsid w:val="00A97DF4"/>
    <w:rsid w:val="00AA4411"/>
    <w:rsid w:val="00AA563F"/>
    <w:rsid w:val="00AA682A"/>
    <w:rsid w:val="00AB07E2"/>
    <w:rsid w:val="00AB0858"/>
    <w:rsid w:val="00AB0B75"/>
    <w:rsid w:val="00AB1270"/>
    <w:rsid w:val="00AB1CBB"/>
    <w:rsid w:val="00AB2681"/>
    <w:rsid w:val="00AB447F"/>
    <w:rsid w:val="00AB5CE3"/>
    <w:rsid w:val="00AB627E"/>
    <w:rsid w:val="00AB69BC"/>
    <w:rsid w:val="00AB6A74"/>
    <w:rsid w:val="00AB7508"/>
    <w:rsid w:val="00AC088B"/>
    <w:rsid w:val="00AC0AED"/>
    <w:rsid w:val="00AC2A97"/>
    <w:rsid w:val="00AC39B6"/>
    <w:rsid w:val="00AC3DEE"/>
    <w:rsid w:val="00AC5237"/>
    <w:rsid w:val="00AC5D13"/>
    <w:rsid w:val="00AC6E41"/>
    <w:rsid w:val="00AD0590"/>
    <w:rsid w:val="00AD0A69"/>
    <w:rsid w:val="00AD0FB1"/>
    <w:rsid w:val="00AD0FD4"/>
    <w:rsid w:val="00AD2AAE"/>
    <w:rsid w:val="00AD40ED"/>
    <w:rsid w:val="00AD4CBF"/>
    <w:rsid w:val="00AD5D45"/>
    <w:rsid w:val="00AD64EE"/>
    <w:rsid w:val="00AE053E"/>
    <w:rsid w:val="00AE187C"/>
    <w:rsid w:val="00AE2558"/>
    <w:rsid w:val="00AE2844"/>
    <w:rsid w:val="00AE312A"/>
    <w:rsid w:val="00AE38B4"/>
    <w:rsid w:val="00AE41CC"/>
    <w:rsid w:val="00AE4628"/>
    <w:rsid w:val="00AE4BD3"/>
    <w:rsid w:val="00AE60F7"/>
    <w:rsid w:val="00AF1932"/>
    <w:rsid w:val="00AF3018"/>
    <w:rsid w:val="00AF466E"/>
    <w:rsid w:val="00AF54FB"/>
    <w:rsid w:val="00AF57BF"/>
    <w:rsid w:val="00AF689B"/>
    <w:rsid w:val="00AF6BA4"/>
    <w:rsid w:val="00B01315"/>
    <w:rsid w:val="00B017CB"/>
    <w:rsid w:val="00B03BDB"/>
    <w:rsid w:val="00B04147"/>
    <w:rsid w:val="00B04E59"/>
    <w:rsid w:val="00B052D7"/>
    <w:rsid w:val="00B06C3D"/>
    <w:rsid w:val="00B06C5B"/>
    <w:rsid w:val="00B07093"/>
    <w:rsid w:val="00B0726A"/>
    <w:rsid w:val="00B07FD1"/>
    <w:rsid w:val="00B116B3"/>
    <w:rsid w:val="00B11826"/>
    <w:rsid w:val="00B12810"/>
    <w:rsid w:val="00B13B1A"/>
    <w:rsid w:val="00B16638"/>
    <w:rsid w:val="00B16860"/>
    <w:rsid w:val="00B171B3"/>
    <w:rsid w:val="00B17503"/>
    <w:rsid w:val="00B2373C"/>
    <w:rsid w:val="00B23C82"/>
    <w:rsid w:val="00B2481B"/>
    <w:rsid w:val="00B26D9D"/>
    <w:rsid w:val="00B2742F"/>
    <w:rsid w:val="00B30C62"/>
    <w:rsid w:val="00B30EA4"/>
    <w:rsid w:val="00B32732"/>
    <w:rsid w:val="00B3458C"/>
    <w:rsid w:val="00B34D45"/>
    <w:rsid w:val="00B35232"/>
    <w:rsid w:val="00B35C48"/>
    <w:rsid w:val="00B35FF5"/>
    <w:rsid w:val="00B36242"/>
    <w:rsid w:val="00B365B6"/>
    <w:rsid w:val="00B40718"/>
    <w:rsid w:val="00B435F0"/>
    <w:rsid w:val="00B44F1F"/>
    <w:rsid w:val="00B4511F"/>
    <w:rsid w:val="00B4652A"/>
    <w:rsid w:val="00B465B0"/>
    <w:rsid w:val="00B46F38"/>
    <w:rsid w:val="00B47280"/>
    <w:rsid w:val="00B51C77"/>
    <w:rsid w:val="00B51D0C"/>
    <w:rsid w:val="00B52285"/>
    <w:rsid w:val="00B531AD"/>
    <w:rsid w:val="00B543E9"/>
    <w:rsid w:val="00B5593F"/>
    <w:rsid w:val="00B56432"/>
    <w:rsid w:val="00B578FD"/>
    <w:rsid w:val="00B60913"/>
    <w:rsid w:val="00B60FD8"/>
    <w:rsid w:val="00B62FAE"/>
    <w:rsid w:val="00B64F44"/>
    <w:rsid w:val="00B6732C"/>
    <w:rsid w:val="00B676CF"/>
    <w:rsid w:val="00B70B42"/>
    <w:rsid w:val="00B71552"/>
    <w:rsid w:val="00B71FE3"/>
    <w:rsid w:val="00B75346"/>
    <w:rsid w:val="00B75857"/>
    <w:rsid w:val="00B76290"/>
    <w:rsid w:val="00B76ECA"/>
    <w:rsid w:val="00B77612"/>
    <w:rsid w:val="00B80847"/>
    <w:rsid w:val="00B80953"/>
    <w:rsid w:val="00B814A9"/>
    <w:rsid w:val="00B8168D"/>
    <w:rsid w:val="00B831DB"/>
    <w:rsid w:val="00B839FF"/>
    <w:rsid w:val="00B84608"/>
    <w:rsid w:val="00B84E0B"/>
    <w:rsid w:val="00B85465"/>
    <w:rsid w:val="00B86FA4"/>
    <w:rsid w:val="00B92EEE"/>
    <w:rsid w:val="00B95850"/>
    <w:rsid w:val="00BA00BC"/>
    <w:rsid w:val="00BA07C2"/>
    <w:rsid w:val="00BA1116"/>
    <w:rsid w:val="00BA21F7"/>
    <w:rsid w:val="00BA289F"/>
    <w:rsid w:val="00BA2D05"/>
    <w:rsid w:val="00BA316E"/>
    <w:rsid w:val="00BA40F8"/>
    <w:rsid w:val="00BA7629"/>
    <w:rsid w:val="00BB0AA8"/>
    <w:rsid w:val="00BB0C5F"/>
    <w:rsid w:val="00BB19F9"/>
    <w:rsid w:val="00BB3E1B"/>
    <w:rsid w:val="00BB4286"/>
    <w:rsid w:val="00BB42A3"/>
    <w:rsid w:val="00BB56EC"/>
    <w:rsid w:val="00BB7DFA"/>
    <w:rsid w:val="00BC025E"/>
    <w:rsid w:val="00BC114B"/>
    <w:rsid w:val="00BC1AE1"/>
    <w:rsid w:val="00BC357C"/>
    <w:rsid w:val="00BC42B6"/>
    <w:rsid w:val="00BC43FF"/>
    <w:rsid w:val="00BC591F"/>
    <w:rsid w:val="00BC5CAF"/>
    <w:rsid w:val="00BC5CB9"/>
    <w:rsid w:val="00BC5DD5"/>
    <w:rsid w:val="00BC5EEB"/>
    <w:rsid w:val="00BC6BBB"/>
    <w:rsid w:val="00BC74F4"/>
    <w:rsid w:val="00BC7868"/>
    <w:rsid w:val="00BD2152"/>
    <w:rsid w:val="00BD3CF7"/>
    <w:rsid w:val="00BD4ADA"/>
    <w:rsid w:val="00BD5DD9"/>
    <w:rsid w:val="00BD7E75"/>
    <w:rsid w:val="00BD7F05"/>
    <w:rsid w:val="00BE168E"/>
    <w:rsid w:val="00BE173D"/>
    <w:rsid w:val="00BE2BB8"/>
    <w:rsid w:val="00BE3293"/>
    <w:rsid w:val="00BE433D"/>
    <w:rsid w:val="00BE49C5"/>
    <w:rsid w:val="00BE6E44"/>
    <w:rsid w:val="00BE7846"/>
    <w:rsid w:val="00BF05EE"/>
    <w:rsid w:val="00BF42EF"/>
    <w:rsid w:val="00BF4DB3"/>
    <w:rsid w:val="00BF579A"/>
    <w:rsid w:val="00BF5DF1"/>
    <w:rsid w:val="00BF6149"/>
    <w:rsid w:val="00BF678C"/>
    <w:rsid w:val="00BF7604"/>
    <w:rsid w:val="00C01909"/>
    <w:rsid w:val="00C0292F"/>
    <w:rsid w:val="00C02A66"/>
    <w:rsid w:val="00C06D81"/>
    <w:rsid w:val="00C14B26"/>
    <w:rsid w:val="00C14DED"/>
    <w:rsid w:val="00C15B17"/>
    <w:rsid w:val="00C1700A"/>
    <w:rsid w:val="00C21DFA"/>
    <w:rsid w:val="00C226C6"/>
    <w:rsid w:val="00C234AA"/>
    <w:rsid w:val="00C248F7"/>
    <w:rsid w:val="00C25DD4"/>
    <w:rsid w:val="00C25E41"/>
    <w:rsid w:val="00C2733B"/>
    <w:rsid w:val="00C31BFA"/>
    <w:rsid w:val="00C33290"/>
    <w:rsid w:val="00C33D3E"/>
    <w:rsid w:val="00C343CD"/>
    <w:rsid w:val="00C364B5"/>
    <w:rsid w:val="00C3766A"/>
    <w:rsid w:val="00C40865"/>
    <w:rsid w:val="00C415EC"/>
    <w:rsid w:val="00C44382"/>
    <w:rsid w:val="00C50379"/>
    <w:rsid w:val="00C558EF"/>
    <w:rsid w:val="00C56B1D"/>
    <w:rsid w:val="00C576AC"/>
    <w:rsid w:val="00C610AE"/>
    <w:rsid w:val="00C64670"/>
    <w:rsid w:val="00C6579B"/>
    <w:rsid w:val="00C66993"/>
    <w:rsid w:val="00C71067"/>
    <w:rsid w:val="00C71262"/>
    <w:rsid w:val="00C71E89"/>
    <w:rsid w:val="00C734D7"/>
    <w:rsid w:val="00C73542"/>
    <w:rsid w:val="00C74B3E"/>
    <w:rsid w:val="00C756DD"/>
    <w:rsid w:val="00C810F0"/>
    <w:rsid w:val="00C81CF5"/>
    <w:rsid w:val="00C82863"/>
    <w:rsid w:val="00C8596E"/>
    <w:rsid w:val="00C85BBE"/>
    <w:rsid w:val="00C8620E"/>
    <w:rsid w:val="00C865F2"/>
    <w:rsid w:val="00C86F56"/>
    <w:rsid w:val="00C874BE"/>
    <w:rsid w:val="00C90080"/>
    <w:rsid w:val="00C93807"/>
    <w:rsid w:val="00C940FC"/>
    <w:rsid w:val="00C95E0B"/>
    <w:rsid w:val="00C9619F"/>
    <w:rsid w:val="00CA1855"/>
    <w:rsid w:val="00CA23C7"/>
    <w:rsid w:val="00CA3A19"/>
    <w:rsid w:val="00CA45AA"/>
    <w:rsid w:val="00CA4985"/>
    <w:rsid w:val="00CA5189"/>
    <w:rsid w:val="00CA5A99"/>
    <w:rsid w:val="00CA647E"/>
    <w:rsid w:val="00CA7293"/>
    <w:rsid w:val="00CB0E6C"/>
    <w:rsid w:val="00CB142B"/>
    <w:rsid w:val="00CB3C3E"/>
    <w:rsid w:val="00CB4763"/>
    <w:rsid w:val="00CB5DC3"/>
    <w:rsid w:val="00CB6A8C"/>
    <w:rsid w:val="00CC0302"/>
    <w:rsid w:val="00CC05C7"/>
    <w:rsid w:val="00CC1B6D"/>
    <w:rsid w:val="00CC1D0E"/>
    <w:rsid w:val="00CC2141"/>
    <w:rsid w:val="00CC2B78"/>
    <w:rsid w:val="00CC3E19"/>
    <w:rsid w:val="00CC694F"/>
    <w:rsid w:val="00CC71F7"/>
    <w:rsid w:val="00CC7A4D"/>
    <w:rsid w:val="00CD0562"/>
    <w:rsid w:val="00CD193C"/>
    <w:rsid w:val="00CD1A0C"/>
    <w:rsid w:val="00CD1AFE"/>
    <w:rsid w:val="00CD27B7"/>
    <w:rsid w:val="00CD2984"/>
    <w:rsid w:val="00CD2E5D"/>
    <w:rsid w:val="00CD4BC0"/>
    <w:rsid w:val="00CD4CA6"/>
    <w:rsid w:val="00CD6B04"/>
    <w:rsid w:val="00CD7F9E"/>
    <w:rsid w:val="00CE00EB"/>
    <w:rsid w:val="00CE057A"/>
    <w:rsid w:val="00CE2B27"/>
    <w:rsid w:val="00CE2BF5"/>
    <w:rsid w:val="00CE50F1"/>
    <w:rsid w:val="00CE5781"/>
    <w:rsid w:val="00CE65FB"/>
    <w:rsid w:val="00CF0933"/>
    <w:rsid w:val="00CF0F99"/>
    <w:rsid w:val="00CF56EA"/>
    <w:rsid w:val="00D007DC"/>
    <w:rsid w:val="00D0248E"/>
    <w:rsid w:val="00D024FD"/>
    <w:rsid w:val="00D030C0"/>
    <w:rsid w:val="00D0344E"/>
    <w:rsid w:val="00D0367A"/>
    <w:rsid w:val="00D07D03"/>
    <w:rsid w:val="00D11205"/>
    <w:rsid w:val="00D117BF"/>
    <w:rsid w:val="00D12F64"/>
    <w:rsid w:val="00D15283"/>
    <w:rsid w:val="00D156DD"/>
    <w:rsid w:val="00D15FBB"/>
    <w:rsid w:val="00D1654C"/>
    <w:rsid w:val="00D17923"/>
    <w:rsid w:val="00D21467"/>
    <w:rsid w:val="00D21898"/>
    <w:rsid w:val="00D21BE8"/>
    <w:rsid w:val="00D22AE9"/>
    <w:rsid w:val="00D231A6"/>
    <w:rsid w:val="00D23264"/>
    <w:rsid w:val="00D23DA0"/>
    <w:rsid w:val="00D25D6C"/>
    <w:rsid w:val="00D26C3A"/>
    <w:rsid w:val="00D31A81"/>
    <w:rsid w:val="00D32C3E"/>
    <w:rsid w:val="00D3543A"/>
    <w:rsid w:val="00D35C95"/>
    <w:rsid w:val="00D368AA"/>
    <w:rsid w:val="00D37476"/>
    <w:rsid w:val="00D379AA"/>
    <w:rsid w:val="00D4010D"/>
    <w:rsid w:val="00D4069E"/>
    <w:rsid w:val="00D4092E"/>
    <w:rsid w:val="00D417E5"/>
    <w:rsid w:val="00D41DDA"/>
    <w:rsid w:val="00D427AF"/>
    <w:rsid w:val="00D440FA"/>
    <w:rsid w:val="00D44273"/>
    <w:rsid w:val="00D44461"/>
    <w:rsid w:val="00D44A98"/>
    <w:rsid w:val="00D45B02"/>
    <w:rsid w:val="00D5055B"/>
    <w:rsid w:val="00D50E19"/>
    <w:rsid w:val="00D52ABD"/>
    <w:rsid w:val="00D538A9"/>
    <w:rsid w:val="00D54291"/>
    <w:rsid w:val="00D55451"/>
    <w:rsid w:val="00D5575A"/>
    <w:rsid w:val="00D6009F"/>
    <w:rsid w:val="00D614B4"/>
    <w:rsid w:val="00D6275A"/>
    <w:rsid w:val="00D627C1"/>
    <w:rsid w:val="00D6496D"/>
    <w:rsid w:val="00D649A1"/>
    <w:rsid w:val="00D6772F"/>
    <w:rsid w:val="00D708BC"/>
    <w:rsid w:val="00D71967"/>
    <w:rsid w:val="00D7274A"/>
    <w:rsid w:val="00D755B3"/>
    <w:rsid w:val="00D75B54"/>
    <w:rsid w:val="00D76B00"/>
    <w:rsid w:val="00D777E2"/>
    <w:rsid w:val="00D8087D"/>
    <w:rsid w:val="00D818D0"/>
    <w:rsid w:val="00D81BC9"/>
    <w:rsid w:val="00D82361"/>
    <w:rsid w:val="00D826CF"/>
    <w:rsid w:val="00D84B16"/>
    <w:rsid w:val="00D84E18"/>
    <w:rsid w:val="00D851C5"/>
    <w:rsid w:val="00D853F6"/>
    <w:rsid w:val="00D905AE"/>
    <w:rsid w:val="00D9184E"/>
    <w:rsid w:val="00D930C8"/>
    <w:rsid w:val="00D9382C"/>
    <w:rsid w:val="00D94898"/>
    <w:rsid w:val="00D9514A"/>
    <w:rsid w:val="00D95D70"/>
    <w:rsid w:val="00DA10C3"/>
    <w:rsid w:val="00DA2587"/>
    <w:rsid w:val="00DA2D38"/>
    <w:rsid w:val="00DA544D"/>
    <w:rsid w:val="00DA58A5"/>
    <w:rsid w:val="00DA7AB4"/>
    <w:rsid w:val="00DB087C"/>
    <w:rsid w:val="00DB332E"/>
    <w:rsid w:val="00DB3CED"/>
    <w:rsid w:val="00DB3D42"/>
    <w:rsid w:val="00DB4740"/>
    <w:rsid w:val="00DB480A"/>
    <w:rsid w:val="00DB4F33"/>
    <w:rsid w:val="00DB6619"/>
    <w:rsid w:val="00DB7451"/>
    <w:rsid w:val="00DB785B"/>
    <w:rsid w:val="00DC2EAA"/>
    <w:rsid w:val="00DC33EF"/>
    <w:rsid w:val="00DC3520"/>
    <w:rsid w:val="00DC3C40"/>
    <w:rsid w:val="00DC4546"/>
    <w:rsid w:val="00DC52F2"/>
    <w:rsid w:val="00DC6188"/>
    <w:rsid w:val="00DD043E"/>
    <w:rsid w:val="00DD067B"/>
    <w:rsid w:val="00DD08F7"/>
    <w:rsid w:val="00DD23BF"/>
    <w:rsid w:val="00DD3280"/>
    <w:rsid w:val="00DD437C"/>
    <w:rsid w:val="00DD4557"/>
    <w:rsid w:val="00DD549A"/>
    <w:rsid w:val="00DD59DF"/>
    <w:rsid w:val="00DD7AA9"/>
    <w:rsid w:val="00DD7B7C"/>
    <w:rsid w:val="00DE0187"/>
    <w:rsid w:val="00DE03D5"/>
    <w:rsid w:val="00DE0668"/>
    <w:rsid w:val="00DE176C"/>
    <w:rsid w:val="00DE17C6"/>
    <w:rsid w:val="00DE1B35"/>
    <w:rsid w:val="00DE1C60"/>
    <w:rsid w:val="00DE2D49"/>
    <w:rsid w:val="00DE3A77"/>
    <w:rsid w:val="00DE4B24"/>
    <w:rsid w:val="00DE617C"/>
    <w:rsid w:val="00DE62E3"/>
    <w:rsid w:val="00DE6688"/>
    <w:rsid w:val="00DE7585"/>
    <w:rsid w:val="00DF050A"/>
    <w:rsid w:val="00DF0F9E"/>
    <w:rsid w:val="00DF1C25"/>
    <w:rsid w:val="00DF1CDB"/>
    <w:rsid w:val="00DF3B65"/>
    <w:rsid w:val="00DF4F66"/>
    <w:rsid w:val="00DF5604"/>
    <w:rsid w:val="00DF77C7"/>
    <w:rsid w:val="00DF7A03"/>
    <w:rsid w:val="00E0068C"/>
    <w:rsid w:val="00E00F0C"/>
    <w:rsid w:val="00E03093"/>
    <w:rsid w:val="00E037CC"/>
    <w:rsid w:val="00E04435"/>
    <w:rsid w:val="00E04B1F"/>
    <w:rsid w:val="00E056A1"/>
    <w:rsid w:val="00E05C47"/>
    <w:rsid w:val="00E065E1"/>
    <w:rsid w:val="00E065ED"/>
    <w:rsid w:val="00E0756D"/>
    <w:rsid w:val="00E07F69"/>
    <w:rsid w:val="00E116FF"/>
    <w:rsid w:val="00E12ED0"/>
    <w:rsid w:val="00E139DF"/>
    <w:rsid w:val="00E14D5C"/>
    <w:rsid w:val="00E14FFF"/>
    <w:rsid w:val="00E15E39"/>
    <w:rsid w:val="00E16283"/>
    <w:rsid w:val="00E16C52"/>
    <w:rsid w:val="00E2048E"/>
    <w:rsid w:val="00E205C0"/>
    <w:rsid w:val="00E20ABA"/>
    <w:rsid w:val="00E20CA6"/>
    <w:rsid w:val="00E229DF"/>
    <w:rsid w:val="00E22AED"/>
    <w:rsid w:val="00E23427"/>
    <w:rsid w:val="00E23635"/>
    <w:rsid w:val="00E25EEA"/>
    <w:rsid w:val="00E27BAD"/>
    <w:rsid w:val="00E30E43"/>
    <w:rsid w:val="00E319F5"/>
    <w:rsid w:val="00E337EF"/>
    <w:rsid w:val="00E338E7"/>
    <w:rsid w:val="00E33D0B"/>
    <w:rsid w:val="00E37708"/>
    <w:rsid w:val="00E402D8"/>
    <w:rsid w:val="00E407AE"/>
    <w:rsid w:val="00E407C7"/>
    <w:rsid w:val="00E41DA0"/>
    <w:rsid w:val="00E42646"/>
    <w:rsid w:val="00E427E9"/>
    <w:rsid w:val="00E42883"/>
    <w:rsid w:val="00E42EF8"/>
    <w:rsid w:val="00E43018"/>
    <w:rsid w:val="00E43345"/>
    <w:rsid w:val="00E4335A"/>
    <w:rsid w:val="00E5088E"/>
    <w:rsid w:val="00E51D89"/>
    <w:rsid w:val="00E51E16"/>
    <w:rsid w:val="00E521EB"/>
    <w:rsid w:val="00E54F43"/>
    <w:rsid w:val="00E56DCA"/>
    <w:rsid w:val="00E603B8"/>
    <w:rsid w:val="00E609DB"/>
    <w:rsid w:val="00E60D29"/>
    <w:rsid w:val="00E617EF"/>
    <w:rsid w:val="00E61CB9"/>
    <w:rsid w:val="00E62F84"/>
    <w:rsid w:val="00E6338A"/>
    <w:rsid w:val="00E63FD9"/>
    <w:rsid w:val="00E6500E"/>
    <w:rsid w:val="00E66ED1"/>
    <w:rsid w:val="00E673A4"/>
    <w:rsid w:val="00E67B7B"/>
    <w:rsid w:val="00E67ED4"/>
    <w:rsid w:val="00E7312E"/>
    <w:rsid w:val="00E76533"/>
    <w:rsid w:val="00E76D03"/>
    <w:rsid w:val="00E7703E"/>
    <w:rsid w:val="00E7756D"/>
    <w:rsid w:val="00E83086"/>
    <w:rsid w:val="00E83278"/>
    <w:rsid w:val="00E8395E"/>
    <w:rsid w:val="00E84169"/>
    <w:rsid w:val="00E84594"/>
    <w:rsid w:val="00E84AFA"/>
    <w:rsid w:val="00E85B20"/>
    <w:rsid w:val="00E87C3B"/>
    <w:rsid w:val="00E90146"/>
    <w:rsid w:val="00E90CA6"/>
    <w:rsid w:val="00E91446"/>
    <w:rsid w:val="00E92205"/>
    <w:rsid w:val="00E92B9F"/>
    <w:rsid w:val="00E92F41"/>
    <w:rsid w:val="00E9339B"/>
    <w:rsid w:val="00E94784"/>
    <w:rsid w:val="00E96122"/>
    <w:rsid w:val="00E9693F"/>
    <w:rsid w:val="00E96A3B"/>
    <w:rsid w:val="00E97127"/>
    <w:rsid w:val="00EA0775"/>
    <w:rsid w:val="00EA0D11"/>
    <w:rsid w:val="00EA14DC"/>
    <w:rsid w:val="00EA310C"/>
    <w:rsid w:val="00EA43B0"/>
    <w:rsid w:val="00EA512A"/>
    <w:rsid w:val="00EA70B9"/>
    <w:rsid w:val="00EB14FD"/>
    <w:rsid w:val="00EB1913"/>
    <w:rsid w:val="00EB2107"/>
    <w:rsid w:val="00EB24F7"/>
    <w:rsid w:val="00EB4471"/>
    <w:rsid w:val="00EB4BDB"/>
    <w:rsid w:val="00EB6A76"/>
    <w:rsid w:val="00EB789B"/>
    <w:rsid w:val="00EB79CA"/>
    <w:rsid w:val="00EB7AA7"/>
    <w:rsid w:val="00EC11B3"/>
    <w:rsid w:val="00EC188B"/>
    <w:rsid w:val="00EC20C3"/>
    <w:rsid w:val="00EC5FAE"/>
    <w:rsid w:val="00ED125F"/>
    <w:rsid w:val="00ED23E7"/>
    <w:rsid w:val="00ED50AB"/>
    <w:rsid w:val="00ED6307"/>
    <w:rsid w:val="00ED663A"/>
    <w:rsid w:val="00ED6AB2"/>
    <w:rsid w:val="00ED762B"/>
    <w:rsid w:val="00ED7E96"/>
    <w:rsid w:val="00EE0D07"/>
    <w:rsid w:val="00EE1729"/>
    <w:rsid w:val="00EE313E"/>
    <w:rsid w:val="00EE38AF"/>
    <w:rsid w:val="00EE3C36"/>
    <w:rsid w:val="00EE3EAE"/>
    <w:rsid w:val="00EE4B1E"/>
    <w:rsid w:val="00EE507F"/>
    <w:rsid w:val="00EE6399"/>
    <w:rsid w:val="00EE681E"/>
    <w:rsid w:val="00EE687A"/>
    <w:rsid w:val="00EE7282"/>
    <w:rsid w:val="00EF0B41"/>
    <w:rsid w:val="00EF0EA0"/>
    <w:rsid w:val="00EF37B6"/>
    <w:rsid w:val="00EF5C0C"/>
    <w:rsid w:val="00EF7816"/>
    <w:rsid w:val="00F00D76"/>
    <w:rsid w:val="00F01658"/>
    <w:rsid w:val="00F033EF"/>
    <w:rsid w:val="00F03C69"/>
    <w:rsid w:val="00F04E65"/>
    <w:rsid w:val="00F05DB5"/>
    <w:rsid w:val="00F069E9"/>
    <w:rsid w:val="00F073E4"/>
    <w:rsid w:val="00F1527D"/>
    <w:rsid w:val="00F162A9"/>
    <w:rsid w:val="00F16459"/>
    <w:rsid w:val="00F17FAF"/>
    <w:rsid w:val="00F20815"/>
    <w:rsid w:val="00F21E13"/>
    <w:rsid w:val="00F21ED7"/>
    <w:rsid w:val="00F22884"/>
    <w:rsid w:val="00F22B37"/>
    <w:rsid w:val="00F22D11"/>
    <w:rsid w:val="00F24664"/>
    <w:rsid w:val="00F254F7"/>
    <w:rsid w:val="00F257E9"/>
    <w:rsid w:val="00F25B7D"/>
    <w:rsid w:val="00F26A08"/>
    <w:rsid w:val="00F2785D"/>
    <w:rsid w:val="00F31F77"/>
    <w:rsid w:val="00F33427"/>
    <w:rsid w:val="00F33B62"/>
    <w:rsid w:val="00F33BA0"/>
    <w:rsid w:val="00F358A4"/>
    <w:rsid w:val="00F35CB4"/>
    <w:rsid w:val="00F3749F"/>
    <w:rsid w:val="00F40608"/>
    <w:rsid w:val="00F40843"/>
    <w:rsid w:val="00F421DF"/>
    <w:rsid w:val="00F42F8E"/>
    <w:rsid w:val="00F43AB6"/>
    <w:rsid w:val="00F44CAA"/>
    <w:rsid w:val="00F51094"/>
    <w:rsid w:val="00F51F62"/>
    <w:rsid w:val="00F527AD"/>
    <w:rsid w:val="00F56A1A"/>
    <w:rsid w:val="00F576E5"/>
    <w:rsid w:val="00F578C7"/>
    <w:rsid w:val="00F60D6F"/>
    <w:rsid w:val="00F60ECC"/>
    <w:rsid w:val="00F61E10"/>
    <w:rsid w:val="00F61F78"/>
    <w:rsid w:val="00F62E93"/>
    <w:rsid w:val="00F6322D"/>
    <w:rsid w:val="00F67A53"/>
    <w:rsid w:val="00F70F9E"/>
    <w:rsid w:val="00F71C6E"/>
    <w:rsid w:val="00F74463"/>
    <w:rsid w:val="00F75DEA"/>
    <w:rsid w:val="00F764CE"/>
    <w:rsid w:val="00F806B4"/>
    <w:rsid w:val="00F80D7C"/>
    <w:rsid w:val="00F810F3"/>
    <w:rsid w:val="00F85460"/>
    <w:rsid w:val="00F85CDA"/>
    <w:rsid w:val="00F90CF3"/>
    <w:rsid w:val="00F92264"/>
    <w:rsid w:val="00F95D36"/>
    <w:rsid w:val="00FA221B"/>
    <w:rsid w:val="00FA3242"/>
    <w:rsid w:val="00FA3358"/>
    <w:rsid w:val="00FA48DC"/>
    <w:rsid w:val="00FA49FE"/>
    <w:rsid w:val="00FA5136"/>
    <w:rsid w:val="00FA6547"/>
    <w:rsid w:val="00FA67A1"/>
    <w:rsid w:val="00FA6AD8"/>
    <w:rsid w:val="00FA7B8C"/>
    <w:rsid w:val="00FB0A54"/>
    <w:rsid w:val="00FB132A"/>
    <w:rsid w:val="00FB15C7"/>
    <w:rsid w:val="00FB1B83"/>
    <w:rsid w:val="00FB1C42"/>
    <w:rsid w:val="00FB2118"/>
    <w:rsid w:val="00FB279F"/>
    <w:rsid w:val="00FB2FDD"/>
    <w:rsid w:val="00FB37A3"/>
    <w:rsid w:val="00FB4417"/>
    <w:rsid w:val="00FB4B96"/>
    <w:rsid w:val="00FB57CF"/>
    <w:rsid w:val="00FB5C3D"/>
    <w:rsid w:val="00FB6696"/>
    <w:rsid w:val="00FB6C8D"/>
    <w:rsid w:val="00FB6F61"/>
    <w:rsid w:val="00FB7718"/>
    <w:rsid w:val="00FC0369"/>
    <w:rsid w:val="00FC0A9C"/>
    <w:rsid w:val="00FC2522"/>
    <w:rsid w:val="00FC278B"/>
    <w:rsid w:val="00FC2976"/>
    <w:rsid w:val="00FC29C2"/>
    <w:rsid w:val="00FC2FAB"/>
    <w:rsid w:val="00FC30C3"/>
    <w:rsid w:val="00FC4893"/>
    <w:rsid w:val="00FC7D1F"/>
    <w:rsid w:val="00FD188A"/>
    <w:rsid w:val="00FD3103"/>
    <w:rsid w:val="00FD34A2"/>
    <w:rsid w:val="00FD4FD0"/>
    <w:rsid w:val="00FE0222"/>
    <w:rsid w:val="00FE0622"/>
    <w:rsid w:val="00FE0725"/>
    <w:rsid w:val="00FE09A3"/>
    <w:rsid w:val="00FE3297"/>
    <w:rsid w:val="00FE337C"/>
    <w:rsid w:val="00FE44F0"/>
    <w:rsid w:val="00FE63B5"/>
    <w:rsid w:val="00FE6448"/>
    <w:rsid w:val="00FE6E00"/>
    <w:rsid w:val="00FF00CA"/>
    <w:rsid w:val="00FF0581"/>
    <w:rsid w:val="00FF22BA"/>
    <w:rsid w:val="00FF25E3"/>
    <w:rsid w:val="00FF4356"/>
    <w:rsid w:val="00FF68FF"/>
    <w:rsid w:val="00FF6F4F"/>
    <w:rsid w:val="00FF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7BF"/>
    <w:pPr>
      <w:spacing w:after="100" w:line="400" w:lineRule="exact"/>
      <w:jc w:val="both"/>
    </w:pPr>
    <w:rPr>
      <w:rFonts w:ascii="Century Schoolbook" w:hAnsi="Century Schoolbook"/>
      <w:sz w:val="27"/>
    </w:rPr>
  </w:style>
  <w:style w:type="paragraph" w:styleId="Heading1">
    <w:name w:val="heading 1"/>
    <w:basedOn w:val="Normal"/>
    <w:next w:val="Normal"/>
    <w:qFormat/>
    <w:rsid w:val="00AF57BF"/>
    <w:pPr>
      <w:keepNext/>
      <w:spacing w:before="140" w:line="240" w:lineRule="atLeast"/>
      <w:jc w:val="center"/>
      <w:outlineLvl w:val="0"/>
    </w:pPr>
    <w:rPr>
      <w:b/>
      <w:smallCaps/>
    </w:rPr>
  </w:style>
  <w:style w:type="paragraph" w:styleId="Heading2">
    <w:name w:val="heading 2"/>
    <w:basedOn w:val="Normal"/>
    <w:next w:val="Normal"/>
    <w:link w:val="Heading2Char"/>
    <w:qFormat/>
    <w:rsid w:val="00AF57BF"/>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AF57BF"/>
    <w:pPr>
      <w:keepNext/>
      <w:tabs>
        <w:tab w:val="left" w:pos="1584"/>
      </w:tabs>
      <w:spacing w:before="140" w:line="240" w:lineRule="atLeast"/>
      <w:ind w:left="1584" w:hanging="432"/>
      <w:jc w:val="left"/>
      <w:outlineLvl w:val="2"/>
    </w:pPr>
    <w:rPr>
      <w:i/>
    </w:rPr>
  </w:style>
  <w:style w:type="paragraph" w:styleId="Heading4">
    <w:name w:val="heading 4"/>
    <w:basedOn w:val="Normal"/>
    <w:rsid w:val="00AF57BF"/>
    <w:pPr>
      <w:keepNext/>
      <w:tabs>
        <w:tab w:val="left" w:pos="2016"/>
      </w:tabs>
      <w:spacing w:before="140" w:line="240" w:lineRule="atLeast"/>
      <w:ind w:left="2016" w:hanging="432"/>
      <w:jc w:val="left"/>
      <w:outlineLvl w:val="3"/>
    </w:pPr>
    <w:rPr>
      <w:i/>
    </w:rPr>
  </w:style>
  <w:style w:type="paragraph" w:styleId="Heading5">
    <w:name w:val="heading 5"/>
    <w:basedOn w:val="Normal"/>
    <w:rsid w:val="00AF57BF"/>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F57BF"/>
    <w:pPr>
      <w:ind w:left="720"/>
    </w:pPr>
  </w:style>
  <w:style w:type="paragraph" w:styleId="Footer">
    <w:name w:val="footer"/>
    <w:basedOn w:val="Normal"/>
    <w:qFormat/>
    <w:rsid w:val="00AF57BF"/>
    <w:pPr>
      <w:tabs>
        <w:tab w:val="center" w:pos="3960"/>
        <w:tab w:val="right" w:pos="10080"/>
      </w:tabs>
      <w:spacing w:after="0" w:line="240" w:lineRule="auto"/>
      <w:jc w:val="center"/>
    </w:pPr>
    <w:rPr>
      <w:sz w:val="22"/>
    </w:rPr>
  </w:style>
  <w:style w:type="paragraph" w:styleId="Header">
    <w:name w:val="header"/>
    <w:basedOn w:val="Normal"/>
    <w:qFormat/>
    <w:rsid w:val="00AF57BF"/>
    <w:pPr>
      <w:tabs>
        <w:tab w:val="center" w:pos="3960"/>
        <w:tab w:val="right" w:pos="10080"/>
      </w:tabs>
      <w:spacing w:after="80" w:line="240" w:lineRule="auto"/>
      <w:jc w:val="center"/>
    </w:pPr>
    <w:rPr>
      <w:sz w:val="22"/>
    </w:rPr>
  </w:style>
  <w:style w:type="character" w:styleId="FootnoteReference">
    <w:name w:val="footnote reference"/>
    <w:rsid w:val="00AF57BF"/>
    <w:rPr>
      <w:rFonts w:ascii="Century Schoolbook" w:hAnsi="Century Schoolbook"/>
      <w:b/>
      <w:i w:val="0"/>
      <w:position w:val="4"/>
      <w:sz w:val="27"/>
      <w:vertAlign w:val="superscript"/>
    </w:rPr>
  </w:style>
  <w:style w:type="paragraph" w:styleId="FootnoteText">
    <w:name w:val="footnote text"/>
    <w:basedOn w:val="Normal"/>
    <w:link w:val="FootnoteTextChar"/>
    <w:rsid w:val="00AF57BF"/>
    <w:pPr>
      <w:spacing w:line="300" w:lineRule="exact"/>
    </w:pPr>
  </w:style>
  <w:style w:type="paragraph" w:customStyle="1" w:styleId="Title1">
    <w:name w:val="Title1"/>
    <w:basedOn w:val="Normal"/>
    <w:rsid w:val="00AF57BF"/>
    <w:pPr>
      <w:tabs>
        <w:tab w:val="left" w:pos="5760"/>
        <w:tab w:val="left" w:pos="6480"/>
      </w:tabs>
      <w:spacing w:line="240" w:lineRule="atLeast"/>
    </w:pPr>
  </w:style>
  <w:style w:type="paragraph" w:customStyle="1" w:styleId="Recommend">
    <w:name w:val="Recommend"/>
    <w:basedOn w:val="Normal"/>
    <w:rsid w:val="00AF57BF"/>
  </w:style>
  <w:style w:type="paragraph" w:customStyle="1" w:styleId="Summary">
    <w:name w:val="Summary"/>
    <w:basedOn w:val="Normal"/>
    <w:rsid w:val="00AF57BF"/>
    <w:pPr>
      <w:ind w:left="2160" w:hanging="2160"/>
    </w:pPr>
  </w:style>
  <w:style w:type="paragraph" w:customStyle="1" w:styleId="Text">
    <w:name w:val="Text"/>
    <w:basedOn w:val="Normal"/>
    <w:rsid w:val="00AF57BF"/>
    <w:pPr>
      <w:tabs>
        <w:tab w:val="left" w:pos="720"/>
        <w:tab w:val="left" w:pos="1440"/>
        <w:tab w:val="left" w:pos="2160"/>
        <w:tab w:val="center" w:pos="4320"/>
      </w:tabs>
      <w:spacing w:line="480" w:lineRule="atLeast"/>
      <w:ind w:firstLine="540"/>
    </w:pPr>
  </w:style>
  <w:style w:type="paragraph" w:styleId="Date">
    <w:name w:val="Date"/>
    <w:basedOn w:val="Normal"/>
    <w:semiHidden/>
    <w:rsid w:val="00AF57BF"/>
    <w:pPr>
      <w:jc w:val="right"/>
    </w:pPr>
  </w:style>
  <w:style w:type="character" w:styleId="PageNumber">
    <w:name w:val="page number"/>
    <w:semiHidden/>
    <w:rsid w:val="00AF57BF"/>
  </w:style>
  <w:style w:type="paragraph" w:customStyle="1" w:styleId="subject">
    <w:name w:val="subject"/>
    <w:basedOn w:val="Normal"/>
    <w:rsid w:val="00AF57BF"/>
    <w:pPr>
      <w:tabs>
        <w:tab w:val="left" w:pos="1008"/>
      </w:tabs>
      <w:ind w:left="990" w:hanging="990"/>
    </w:pPr>
    <w:rPr>
      <w:b/>
    </w:rPr>
  </w:style>
  <w:style w:type="paragraph" w:customStyle="1" w:styleId="Titles">
    <w:name w:val="Titles"/>
    <w:basedOn w:val="Normal"/>
    <w:rsid w:val="00AF57BF"/>
    <w:pPr>
      <w:tabs>
        <w:tab w:val="left" w:pos="2160"/>
      </w:tabs>
      <w:ind w:left="2160" w:hanging="2160"/>
    </w:pPr>
    <w:rPr>
      <w:b/>
    </w:rPr>
  </w:style>
  <w:style w:type="paragraph" w:styleId="TOAHeading">
    <w:name w:val="toa heading"/>
    <w:basedOn w:val="Normal"/>
    <w:next w:val="Normal"/>
    <w:semiHidden/>
    <w:rsid w:val="00AF57BF"/>
    <w:pPr>
      <w:spacing w:before="120"/>
    </w:pPr>
    <w:rPr>
      <w:b/>
    </w:rPr>
  </w:style>
  <w:style w:type="paragraph" w:styleId="TOC1">
    <w:name w:val="toc 1"/>
    <w:basedOn w:val="Normal"/>
    <w:next w:val="Normal"/>
    <w:autoRedefine/>
    <w:rsid w:val="00AF57BF"/>
  </w:style>
  <w:style w:type="paragraph" w:styleId="TOC2">
    <w:name w:val="toc 2"/>
    <w:basedOn w:val="Normal"/>
    <w:next w:val="Normal"/>
    <w:autoRedefine/>
    <w:rsid w:val="00AF57BF"/>
    <w:pPr>
      <w:ind w:left="259"/>
    </w:pPr>
  </w:style>
  <w:style w:type="paragraph" w:styleId="TOC3">
    <w:name w:val="toc 3"/>
    <w:basedOn w:val="Normal"/>
    <w:next w:val="Normal"/>
    <w:autoRedefine/>
    <w:rsid w:val="00AF57BF"/>
    <w:pPr>
      <w:ind w:left="520"/>
    </w:pPr>
  </w:style>
  <w:style w:type="paragraph" w:styleId="TOC4">
    <w:name w:val="toc 4"/>
    <w:basedOn w:val="Normal"/>
    <w:next w:val="Normal"/>
    <w:autoRedefine/>
    <w:rsid w:val="00AF57BF"/>
    <w:pPr>
      <w:ind w:left="780"/>
    </w:pPr>
  </w:style>
  <w:style w:type="paragraph" w:styleId="TOC5">
    <w:name w:val="toc 5"/>
    <w:basedOn w:val="Normal"/>
    <w:next w:val="Normal"/>
    <w:autoRedefine/>
    <w:semiHidden/>
    <w:rsid w:val="00AF57BF"/>
    <w:pPr>
      <w:ind w:left="1040"/>
    </w:pPr>
  </w:style>
  <w:style w:type="paragraph" w:styleId="TOC6">
    <w:name w:val="toc 6"/>
    <w:basedOn w:val="Normal"/>
    <w:next w:val="Normal"/>
    <w:autoRedefine/>
    <w:semiHidden/>
    <w:rsid w:val="00AF57BF"/>
    <w:pPr>
      <w:ind w:left="1300"/>
    </w:pPr>
  </w:style>
  <w:style w:type="paragraph" w:styleId="TOC7">
    <w:name w:val="toc 7"/>
    <w:basedOn w:val="Normal"/>
    <w:next w:val="Normal"/>
    <w:autoRedefine/>
    <w:semiHidden/>
    <w:rsid w:val="00AF57BF"/>
    <w:pPr>
      <w:ind w:left="1560"/>
    </w:pPr>
  </w:style>
  <w:style w:type="paragraph" w:styleId="TOC8">
    <w:name w:val="toc 8"/>
    <w:basedOn w:val="Normal"/>
    <w:next w:val="Normal"/>
    <w:autoRedefine/>
    <w:semiHidden/>
    <w:rsid w:val="00AF57BF"/>
    <w:pPr>
      <w:ind w:left="1820"/>
    </w:pPr>
  </w:style>
  <w:style w:type="paragraph" w:styleId="TOC9">
    <w:name w:val="toc 9"/>
    <w:basedOn w:val="Normal"/>
    <w:next w:val="Normal"/>
    <w:autoRedefine/>
    <w:semiHidden/>
    <w:rsid w:val="00AF57BF"/>
    <w:pPr>
      <w:ind w:left="2080"/>
    </w:pPr>
  </w:style>
  <w:style w:type="paragraph" w:customStyle="1" w:styleId="Contents">
    <w:name w:val="Contents"/>
    <w:basedOn w:val="Normal"/>
    <w:rsid w:val="00AF57BF"/>
    <w:pPr>
      <w:jc w:val="center"/>
    </w:pPr>
    <w:rPr>
      <w:b/>
      <w:spacing w:val="100"/>
    </w:rPr>
  </w:style>
  <w:style w:type="character" w:customStyle="1" w:styleId="Heading2Char">
    <w:name w:val="Heading 2 Char"/>
    <w:link w:val="Heading2"/>
    <w:rsid w:val="004E6325"/>
    <w:rPr>
      <w:rFonts w:ascii="Century Schoolbook" w:hAnsi="Century Schoolbook"/>
      <w:b/>
      <w:sz w:val="27"/>
    </w:rPr>
  </w:style>
  <w:style w:type="character" w:customStyle="1" w:styleId="FootnoteTextChar">
    <w:name w:val="Footnote Text Char"/>
    <w:link w:val="FootnoteText"/>
    <w:rsid w:val="004E6325"/>
    <w:rPr>
      <w:rFonts w:ascii="Century Schoolbook" w:hAnsi="Century Schoolbook"/>
      <w:sz w:val="27"/>
    </w:rPr>
  </w:style>
  <w:style w:type="character" w:customStyle="1" w:styleId="ssib">
    <w:name w:val="ss_ib"/>
    <w:basedOn w:val="DefaultParagraphFont"/>
    <w:rsid w:val="00CA4985"/>
  </w:style>
  <w:style w:type="character" w:customStyle="1" w:styleId="sssh">
    <w:name w:val="ss_sh"/>
    <w:basedOn w:val="DefaultParagraphFont"/>
    <w:rsid w:val="00EB4471"/>
  </w:style>
  <w:style w:type="character" w:customStyle="1" w:styleId="ssrfcpassagedeactivated">
    <w:name w:val="ss_rfcpassage_deactivated"/>
    <w:basedOn w:val="DefaultParagraphFont"/>
    <w:rsid w:val="00803345"/>
  </w:style>
  <w:style w:type="character" w:styleId="Hyperlink">
    <w:name w:val="Hyperlink"/>
    <w:uiPriority w:val="99"/>
    <w:unhideWhenUsed/>
    <w:rsid w:val="00803345"/>
    <w:rPr>
      <w:color w:val="0000FF"/>
      <w:u w:val="single"/>
    </w:rPr>
  </w:style>
  <w:style w:type="character" w:customStyle="1" w:styleId="ssit">
    <w:name w:val="ss_it"/>
    <w:basedOn w:val="DefaultParagraphFont"/>
    <w:rsid w:val="00803345"/>
  </w:style>
  <w:style w:type="character" w:customStyle="1" w:styleId="ssleftalign">
    <w:name w:val="ss_leftalign"/>
    <w:basedOn w:val="DefaultParagraphFont"/>
    <w:rsid w:val="003C6CCD"/>
  </w:style>
  <w:style w:type="paragraph" w:styleId="BalloonText">
    <w:name w:val="Balloon Text"/>
    <w:basedOn w:val="Normal"/>
    <w:link w:val="BalloonTextChar"/>
    <w:uiPriority w:val="99"/>
    <w:semiHidden/>
    <w:unhideWhenUsed/>
    <w:rsid w:val="00817F8D"/>
    <w:rPr>
      <w:rFonts w:ascii="Segoe UI" w:hAnsi="Segoe UI" w:cs="Segoe UI"/>
      <w:sz w:val="18"/>
      <w:szCs w:val="18"/>
    </w:rPr>
  </w:style>
  <w:style w:type="character" w:customStyle="1" w:styleId="BalloonTextChar">
    <w:name w:val="Balloon Text Char"/>
    <w:link w:val="BalloonText"/>
    <w:uiPriority w:val="99"/>
    <w:semiHidden/>
    <w:rsid w:val="00817F8D"/>
    <w:rPr>
      <w:rFonts w:ascii="Segoe UI" w:hAnsi="Segoe UI" w:cs="Segoe UI"/>
      <w:sz w:val="18"/>
      <w:szCs w:val="18"/>
    </w:rPr>
  </w:style>
  <w:style w:type="character" w:styleId="CommentReference">
    <w:name w:val="annotation reference"/>
    <w:uiPriority w:val="99"/>
    <w:semiHidden/>
    <w:unhideWhenUsed/>
    <w:rsid w:val="00182A2C"/>
    <w:rPr>
      <w:sz w:val="16"/>
      <w:szCs w:val="16"/>
    </w:rPr>
  </w:style>
  <w:style w:type="paragraph" w:styleId="CommentText">
    <w:name w:val="annotation text"/>
    <w:basedOn w:val="Normal"/>
    <w:link w:val="CommentTextChar"/>
    <w:uiPriority w:val="99"/>
    <w:semiHidden/>
    <w:unhideWhenUsed/>
    <w:rsid w:val="00182A2C"/>
    <w:pPr>
      <w:ind w:firstLine="216"/>
    </w:pPr>
    <w:rPr>
      <w:rFonts w:ascii="Calibri" w:hAnsi="Calibri"/>
      <w:sz w:val="24"/>
    </w:rPr>
  </w:style>
  <w:style w:type="character" w:customStyle="1" w:styleId="CommentTextChar">
    <w:name w:val="Comment Text Char"/>
    <w:link w:val="CommentText"/>
    <w:uiPriority w:val="99"/>
    <w:semiHidden/>
    <w:rsid w:val="00182A2C"/>
    <w:rPr>
      <w:rFonts w:ascii="Calibri" w:hAnsi="Calibri"/>
      <w:sz w:val="24"/>
    </w:rPr>
  </w:style>
  <w:style w:type="paragraph" w:styleId="CommentSubject">
    <w:name w:val="annotation subject"/>
    <w:basedOn w:val="CommentText"/>
    <w:next w:val="CommentText"/>
    <w:link w:val="CommentSubjectChar"/>
    <w:uiPriority w:val="99"/>
    <w:semiHidden/>
    <w:unhideWhenUsed/>
    <w:rsid w:val="00182A2C"/>
    <w:rPr>
      <w:b/>
      <w:bCs/>
    </w:rPr>
  </w:style>
  <w:style w:type="character" w:customStyle="1" w:styleId="CommentSubjectChar">
    <w:name w:val="Comment Subject Char"/>
    <w:link w:val="CommentSubject"/>
    <w:uiPriority w:val="99"/>
    <w:semiHidden/>
    <w:rsid w:val="00182A2C"/>
    <w:rPr>
      <w:rFonts w:ascii="Calibri" w:hAnsi="Calibri"/>
      <w:b/>
      <w:bCs/>
      <w:sz w:val="24"/>
    </w:rPr>
  </w:style>
  <w:style w:type="paragraph" w:styleId="Revision">
    <w:name w:val="Revision"/>
    <w:hidden/>
    <w:uiPriority w:val="99"/>
    <w:semiHidden/>
    <w:rsid w:val="00182A2C"/>
    <w:rPr>
      <w:sz w:val="26"/>
    </w:rPr>
  </w:style>
  <w:style w:type="character" w:styleId="UnresolvedMention">
    <w:name w:val="Unresolved Mention"/>
    <w:uiPriority w:val="99"/>
    <w:semiHidden/>
    <w:unhideWhenUsed/>
    <w:rsid w:val="0050223A"/>
    <w:rPr>
      <w:color w:val="808080"/>
      <w:shd w:val="clear" w:color="auto" w:fill="E6E6E6"/>
    </w:rPr>
  </w:style>
  <w:style w:type="paragraph" w:styleId="BodyText">
    <w:name w:val="Body Text"/>
    <w:basedOn w:val="Normal"/>
    <w:link w:val="BodyTextChar"/>
    <w:qFormat/>
    <w:rsid w:val="00AF57BF"/>
  </w:style>
  <w:style w:type="character" w:customStyle="1" w:styleId="BodyTextChar">
    <w:name w:val="Body Text Char"/>
    <w:link w:val="BodyText"/>
    <w:rsid w:val="00AF57BF"/>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5580">
      <w:bodyDiv w:val="1"/>
      <w:marLeft w:val="0"/>
      <w:marRight w:val="0"/>
      <w:marTop w:val="0"/>
      <w:marBottom w:val="0"/>
      <w:divBdr>
        <w:top w:val="none" w:sz="0" w:space="0" w:color="auto"/>
        <w:left w:val="none" w:sz="0" w:space="0" w:color="auto"/>
        <w:bottom w:val="none" w:sz="0" w:space="0" w:color="auto"/>
        <w:right w:val="none" w:sz="0" w:space="0" w:color="auto"/>
      </w:divBdr>
      <w:divsChild>
        <w:div w:id="158934809">
          <w:marLeft w:val="0"/>
          <w:marRight w:val="0"/>
          <w:marTop w:val="0"/>
          <w:marBottom w:val="0"/>
          <w:divBdr>
            <w:top w:val="none" w:sz="0" w:space="0" w:color="auto"/>
            <w:left w:val="none" w:sz="0" w:space="0" w:color="auto"/>
            <w:bottom w:val="none" w:sz="0" w:space="0" w:color="auto"/>
            <w:right w:val="none" w:sz="0" w:space="0" w:color="auto"/>
          </w:divBdr>
        </w:div>
      </w:divsChild>
    </w:div>
    <w:div w:id="944925205">
      <w:bodyDiv w:val="1"/>
      <w:marLeft w:val="0"/>
      <w:marRight w:val="0"/>
      <w:marTop w:val="0"/>
      <w:marBottom w:val="0"/>
      <w:divBdr>
        <w:top w:val="none" w:sz="0" w:space="0" w:color="auto"/>
        <w:left w:val="none" w:sz="0" w:space="0" w:color="auto"/>
        <w:bottom w:val="none" w:sz="0" w:space="0" w:color="auto"/>
        <w:right w:val="none" w:sz="0" w:space="0" w:color="auto"/>
      </w:divBdr>
    </w:div>
    <w:div w:id="1172332905">
      <w:bodyDiv w:val="1"/>
      <w:marLeft w:val="0"/>
      <w:marRight w:val="0"/>
      <w:marTop w:val="0"/>
      <w:marBottom w:val="0"/>
      <w:divBdr>
        <w:top w:val="none" w:sz="0" w:space="0" w:color="auto"/>
        <w:left w:val="none" w:sz="0" w:space="0" w:color="auto"/>
        <w:bottom w:val="none" w:sz="0" w:space="0" w:color="auto"/>
        <w:right w:val="none" w:sz="0" w:space="0" w:color="auto"/>
      </w:divBdr>
      <w:divsChild>
        <w:div w:id="1730765639">
          <w:marLeft w:val="0"/>
          <w:marRight w:val="0"/>
          <w:marTop w:val="0"/>
          <w:marBottom w:val="0"/>
          <w:divBdr>
            <w:top w:val="none" w:sz="0" w:space="0" w:color="auto"/>
            <w:left w:val="none" w:sz="0" w:space="0" w:color="auto"/>
            <w:bottom w:val="none" w:sz="0" w:space="0" w:color="auto"/>
            <w:right w:val="none" w:sz="0" w:space="0" w:color="auto"/>
          </w:divBdr>
        </w:div>
      </w:divsChild>
    </w:div>
    <w:div w:id="1861315257">
      <w:bodyDiv w:val="1"/>
      <w:marLeft w:val="0"/>
      <w:marRight w:val="0"/>
      <w:marTop w:val="0"/>
      <w:marBottom w:val="0"/>
      <w:divBdr>
        <w:top w:val="none" w:sz="0" w:space="0" w:color="auto"/>
        <w:left w:val="none" w:sz="0" w:space="0" w:color="auto"/>
        <w:bottom w:val="none" w:sz="0" w:space="0" w:color="auto"/>
        <w:right w:val="none" w:sz="0" w:space="0" w:color="auto"/>
      </w:divBdr>
      <w:divsChild>
        <w:div w:id="8411735">
          <w:marLeft w:val="0"/>
          <w:marRight w:val="0"/>
          <w:marTop w:val="0"/>
          <w:marBottom w:val="0"/>
          <w:divBdr>
            <w:top w:val="none" w:sz="0" w:space="0" w:color="auto"/>
            <w:left w:val="none" w:sz="0" w:space="0" w:color="auto"/>
            <w:bottom w:val="none" w:sz="0" w:space="0" w:color="auto"/>
            <w:right w:val="none" w:sz="0" w:space="0" w:color="auto"/>
          </w:divBdr>
        </w:div>
      </w:divsChild>
    </w:div>
    <w:div w:id="1873304478">
      <w:bodyDiv w:val="1"/>
      <w:marLeft w:val="0"/>
      <w:marRight w:val="0"/>
      <w:marTop w:val="0"/>
      <w:marBottom w:val="0"/>
      <w:divBdr>
        <w:top w:val="none" w:sz="0" w:space="0" w:color="auto"/>
        <w:left w:val="none" w:sz="0" w:space="0" w:color="auto"/>
        <w:bottom w:val="none" w:sz="0" w:space="0" w:color="auto"/>
        <w:right w:val="none" w:sz="0" w:space="0" w:color="auto"/>
      </w:divBdr>
      <w:divsChild>
        <w:div w:id="11950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16896</Words>
  <Characters>85853</Characters>
  <Application>Microsoft Office Word</Application>
  <DocSecurity>0</DocSecurity>
  <Lines>715</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2019-02-27T19:39:00Z</cp:lastPrinted>
  <dcterms:created xsi:type="dcterms:W3CDTF">2019-02-27T19:41:00Z</dcterms:created>
  <dcterms:modified xsi:type="dcterms:W3CDTF">2019-02-27T19:44:00Z</dcterms:modified>
</cp:coreProperties>
</file>