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57C8" w14:textId="77777777" w:rsidR="001B6CCD" w:rsidRDefault="001B6CCD" w:rsidP="001B6CCD">
      <w:pPr>
        <w:tabs>
          <w:tab w:val="left" w:pos="1440"/>
          <w:tab w:val="left" w:pos="4680"/>
          <w:tab w:val="center" w:pos="7200"/>
        </w:tabs>
        <w:spacing w:after="0"/>
        <w:jc w:val="center"/>
        <w:rPr>
          <w:sz w:val="36"/>
        </w:rPr>
      </w:pPr>
      <w:bookmarkStart w:id="0" w:name="_GoBack"/>
      <w:bookmarkEnd w:id="0"/>
      <w:r>
        <w:rPr>
          <w:b/>
          <w:sz w:val="36"/>
        </w:rPr>
        <w:t>IN THE SUPREME COURT OF CALIFORNIA</w:t>
      </w:r>
    </w:p>
    <w:p w14:paraId="31547BE2" w14:textId="77777777" w:rsidR="001B6CCD" w:rsidRDefault="001B6CCD" w:rsidP="001B6CCD">
      <w:pPr>
        <w:tabs>
          <w:tab w:val="left" w:pos="1440"/>
          <w:tab w:val="left" w:pos="4680"/>
          <w:tab w:val="center" w:pos="7200"/>
        </w:tabs>
        <w:spacing w:after="0"/>
        <w:jc w:val="center"/>
      </w:pPr>
    </w:p>
    <w:p w14:paraId="112159FB" w14:textId="77777777" w:rsidR="001B6CCD" w:rsidRDefault="001B6CCD" w:rsidP="001B6CCD">
      <w:pPr>
        <w:tabs>
          <w:tab w:val="left" w:pos="1440"/>
          <w:tab w:val="left" w:pos="4680"/>
          <w:tab w:val="center" w:pos="7200"/>
        </w:tabs>
        <w:spacing w:after="0"/>
        <w:jc w:val="center"/>
      </w:pPr>
      <w:r>
        <w:t>THE PEOPLE,</w:t>
      </w:r>
    </w:p>
    <w:p w14:paraId="4785B399" w14:textId="77777777" w:rsidR="001B6CCD" w:rsidRDefault="001B6CCD" w:rsidP="001B6CCD">
      <w:pPr>
        <w:tabs>
          <w:tab w:val="left" w:pos="1440"/>
          <w:tab w:val="left" w:pos="4680"/>
          <w:tab w:val="center" w:pos="7200"/>
        </w:tabs>
        <w:spacing w:after="0"/>
        <w:jc w:val="center"/>
      </w:pPr>
      <w:r>
        <w:t>Plaintiff and Respondent,</w:t>
      </w:r>
    </w:p>
    <w:p w14:paraId="6F47BE02" w14:textId="77777777" w:rsidR="001B6CCD" w:rsidRDefault="001B6CCD" w:rsidP="001B6CCD">
      <w:pPr>
        <w:tabs>
          <w:tab w:val="left" w:pos="1440"/>
          <w:tab w:val="left" w:pos="4680"/>
          <w:tab w:val="center" w:pos="7200"/>
        </w:tabs>
        <w:spacing w:after="0"/>
        <w:jc w:val="center"/>
      </w:pPr>
      <w:r>
        <w:t>v.</w:t>
      </w:r>
    </w:p>
    <w:p w14:paraId="2E51533B" w14:textId="71B0A019" w:rsidR="001B6CCD" w:rsidRDefault="00F026FE" w:rsidP="001B6CCD">
      <w:pPr>
        <w:tabs>
          <w:tab w:val="left" w:pos="1440"/>
          <w:tab w:val="left" w:pos="4680"/>
          <w:tab w:val="center" w:pos="7200"/>
        </w:tabs>
        <w:spacing w:after="0"/>
        <w:jc w:val="center"/>
      </w:pPr>
      <w:r>
        <w:t>ALFONSO IGNACIO MORALES</w:t>
      </w:r>
      <w:r w:rsidR="001B6CCD">
        <w:t>,</w:t>
      </w:r>
    </w:p>
    <w:p w14:paraId="00F2C5B2" w14:textId="77777777" w:rsidR="001B6CCD" w:rsidRDefault="001B6CCD" w:rsidP="001B6CCD">
      <w:pPr>
        <w:tabs>
          <w:tab w:val="left" w:pos="1440"/>
          <w:tab w:val="left" w:pos="4680"/>
          <w:tab w:val="center" w:pos="7200"/>
        </w:tabs>
        <w:spacing w:after="0"/>
        <w:jc w:val="center"/>
      </w:pPr>
      <w:r>
        <w:t>Defendant and Appellant.</w:t>
      </w:r>
    </w:p>
    <w:p w14:paraId="7C96E72C" w14:textId="77777777" w:rsidR="001B6CCD" w:rsidRDefault="001B6CCD" w:rsidP="001B6CCD">
      <w:pPr>
        <w:tabs>
          <w:tab w:val="left" w:pos="1440"/>
          <w:tab w:val="left" w:pos="4680"/>
          <w:tab w:val="center" w:pos="7200"/>
        </w:tabs>
        <w:spacing w:after="0"/>
        <w:jc w:val="center"/>
      </w:pPr>
    </w:p>
    <w:p w14:paraId="442F74F4" w14:textId="08ABC978" w:rsidR="001B6CCD" w:rsidRDefault="001B6CCD" w:rsidP="001B6CCD">
      <w:pPr>
        <w:tabs>
          <w:tab w:val="left" w:pos="1440"/>
          <w:tab w:val="left" w:pos="4680"/>
          <w:tab w:val="center" w:pos="7200"/>
        </w:tabs>
        <w:spacing w:after="0"/>
        <w:jc w:val="center"/>
      </w:pPr>
      <w:r>
        <w:t>S</w:t>
      </w:r>
      <w:r w:rsidR="00F026FE">
        <w:t>136800</w:t>
      </w:r>
    </w:p>
    <w:p w14:paraId="6BA67E4B" w14:textId="77777777" w:rsidR="001B6CCD" w:rsidRDefault="001B6CCD" w:rsidP="001B6CCD">
      <w:pPr>
        <w:tabs>
          <w:tab w:val="left" w:pos="1440"/>
          <w:tab w:val="left" w:pos="4680"/>
          <w:tab w:val="center" w:pos="7200"/>
        </w:tabs>
        <w:spacing w:after="0"/>
        <w:jc w:val="center"/>
      </w:pPr>
    </w:p>
    <w:p w14:paraId="6D47F24A" w14:textId="23BFC093" w:rsidR="001B6CCD" w:rsidRDefault="00F026FE" w:rsidP="001B6CCD">
      <w:pPr>
        <w:tabs>
          <w:tab w:val="left" w:pos="1440"/>
          <w:tab w:val="left" w:pos="4680"/>
          <w:tab w:val="center" w:pos="7200"/>
        </w:tabs>
        <w:spacing w:after="0"/>
        <w:jc w:val="center"/>
      </w:pPr>
      <w:r>
        <w:t>Los Angeles County</w:t>
      </w:r>
      <w:r w:rsidR="001B6CCD">
        <w:t xml:space="preserve"> Superior Court</w:t>
      </w:r>
    </w:p>
    <w:p w14:paraId="7C26E236" w14:textId="686D59DF" w:rsidR="001B6CCD" w:rsidRDefault="00F026FE" w:rsidP="001B6CCD">
      <w:pPr>
        <w:tabs>
          <w:tab w:val="left" w:pos="1440"/>
          <w:tab w:val="left" w:pos="4680"/>
          <w:tab w:val="center" w:pos="7200"/>
        </w:tabs>
        <w:spacing w:after="0"/>
        <w:jc w:val="center"/>
      </w:pPr>
      <w:r>
        <w:t>VA-071974</w:t>
      </w:r>
    </w:p>
    <w:p w14:paraId="7AC13005" w14:textId="77777777" w:rsidR="001B6CCD" w:rsidRDefault="001B6CCD" w:rsidP="001B6CCD">
      <w:pPr>
        <w:pBdr>
          <w:bottom w:val="single" w:sz="4" w:space="1" w:color="auto"/>
        </w:pBdr>
        <w:tabs>
          <w:tab w:val="left" w:pos="1440"/>
          <w:tab w:val="left" w:pos="4680"/>
          <w:tab w:val="center" w:pos="7200"/>
        </w:tabs>
        <w:spacing w:after="0"/>
        <w:jc w:val="center"/>
      </w:pPr>
    </w:p>
    <w:p w14:paraId="605C1A23" w14:textId="77777777" w:rsidR="001B6CCD" w:rsidRDefault="001B6CCD" w:rsidP="001B6CCD">
      <w:pPr>
        <w:tabs>
          <w:tab w:val="left" w:pos="1440"/>
          <w:tab w:val="left" w:pos="4680"/>
          <w:tab w:val="center" w:pos="7200"/>
        </w:tabs>
        <w:spacing w:after="0"/>
        <w:jc w:val="center"/>
      </w:pPr>
    </w:p>
    <w:p w14:paraId="4863A753" w14:textId="72CB1799" w:rsidR="001B6CCD" w:rsidRDefault="00B202C3" w:rsidP="001B6CCD">
      <w:pPr>
        <w:tabs>
          <w:tab w:val="left" w:pos="1440"/>
          <w:tab w:val="left" w:pos="4680"/>
          <w:tab w:val="center" w:pos="7200"/>
        </w:tabs>
        <w:spacing w:after="0"/>
        <w:jc w:val="center"/>
      </w:pPr>
      <w:r>
        <w:t xml:space="preserve">August </w:t>
      </w:r>
      <w:r w:rsidR="008139B8">
        <w:t>10</w:t>
      </w:r>
      <w:r w:rsidR="001B6CCD">
        <w:t>, 2020</w:t>
      </w:r>
    </w:p>
    <w:p w14:paraId="32170999" w14:textId="77777777" w:rsidR="001B6CCD" w:rsidRDefault="001B6CCD" w:rsidP="001B6CCD">
      <w:pPr>
        <w:tabs>
          <w:tab w:val="left" w:pos="1440"/>
          <w:tab w:val="left" w:pos="4680"/>
          <w:tab w:val="center" w:pos="7200"/>
        </w:tabs>
        <w:spacing w:after="0"/>
        <w:jc w:val="center"/>
      </w:pPr>
    </w:p>
    <w:p w14:paraId="38D80262" w14:textId="0D4AC119" w:rsidR="001B6CCD" w:rsidRDefault="001B6CCD" w:rsidP="001B6CCD">
      <w:pPr>
        <w:tabs>
          <w:tab w:val="left" w:pos="1440"/>
          <w:tab w:val="left" w:pos="4680"/>
          <w:tab w:val="center" w:pos="7200"/>
        </w:tabs>
        <w:spacing w:after="0"/>
        <w:jc w:val="left"/>
      </w:pPr>
      <w:r>
        <w:t xml:space="preserve">Justice </w:t>
      </w:r>
      <w:r w:rsidR="00F026FE">
        <w:t>Kruger</w:t>
      </w:r>
      <w:r>
        <w:t xml:space="preserve"> authored the opinion of the Court, in which </w:t>
      </w:r>
      <w:r w:rsidR="008139B8">
        <w:t>Chief Justice Cantil-Sakauye and Justices Chin, Corrigan, Liu, Cuéllar, and Groban</w:t>
      </w:r>
      <w:r>
        <w:t xml:space="preserve"> concurred.</w:t>
      </w:r>
    </w:p>
    <w:p w14:paraId="205A9C53" w14:textId="77777777" w:rsidR="001B6CCD" w:rsidRPr="0033529D" w:rsidRDefault="001B6CCD" w:rsidP="001B6CCD">
      <w:pPr>
        <w:pBdr>
          <w:bottom w:val="single" w:sz="4" w:space="1" w:color="auto"/>
        </w:pBdr>
        <w:tabs>
          <w:tab w:val="left" w:pos="1440"/>
          <w:tab w:val="left" w:pos="4680"/>
          <w:tab w:val="center" w:pos="7200"/>
        </w:tabs>
        <w:spacing w:line="480" w:lineRule="atLeast"/>
        <w:jc w:val="left"/>
      </w:pPr>
      <w:bookmarkStart w:id="1" w:name="Return"/>
      <w:bookmarkEnd w:id="1"/>
    </w:p>
    <w:p w14:paraId="4F2BDE8A" w14:textId="77777777" w:rsidR="001B6CCD" w:rsidRDefault="001B6CCD" w:rsidP="001B6CCD">
      <w:pPr>
        <w:tabs>
          <w:tab w:val="left" w:pos="1440"/>
          <w:tab w:val="left" w:pos="4680"/>
          <w:tab w:val="center" w:pos="7200"/>
        </w:tabs>
        <w:spacing w:line="480" w:lineRule="atLeast"/>
        <w:sectPr w:rsidR="001B6CCD" w:rsidSect="00DD7E6A">
          <w:headerReference w:type="default" r:id="rId8"/>
          <w:footerReference w:type="even" r:id="rId9"/>
          <w:footerReference w:type="default" r:id="rId10"/>
          <w:pgSz w:w="12240" w:h="15840"/>
          <w:pgMar w:top="1800" w:right="2160" w:bottom="1440" w:left="2160" w:header="720" w:footer="720" w:gutter="0"/>
          <w:pgNumType w:start="0"/>
          <w:cols w:space="720"/>
          <w:titlePg/>
          <w:docGrid w:linePitch="367"/>
        </w:sectPr>
      </w:pPr>
    </w:p>
    <w:p w14:paraId="61052B6C" w14:textId="24F37EDA" w:rsidR="001B6CCD" w:rsidRDefault="001B6CCD" w:rsidP="001B6CCD">
      <w:pPr>
        <w:tabs>
          <w:tab w:val="left" w:pos="1440"/>
          <w:tab w:val="left" w:pos="4680"/>
          <w:tab w:val="center" w:pos="7200"/>
        </w:tabs>
        <w:jc w:val="center"/>
      </w:pPr>
      <w:r>
        <w:lastRenderedPageBreak/>
        <w:t xml:space="preserve">PEOPLE v. </w:t>
      </w:r>
      <w:r w:rsidR="00F026FE">
        <w:t>MORALES</w:t>
      </w:r>
    </w:p>
    <w:p w14:paraId="1E5FBF87" w14:textId="3AAD295D" w:rsidR="001B6CCD" w:rsidRDefault="001B6CCD" w:rsidP="001B6CCD">
      <w:pPr>
        <w:tabs>
          <w:tab w:val="left" w:pos="1440"/>
          <w:tab w:val="left" w:pos="4680"/>
          <w:tab w:val="center" w:pos="7200"/>
        </w:tabs>
        <w:jc w:val="center"/>
      </w:pPr>
      <w:r>
        <w:t>S</w:t>
      </w:r>
      <w:r w:rsidR="00E071FD">
        <w:t>1</w:t>
      </w:r>
      <w:r w:rsidR="00F026FE">
        <w:t>36800</w:t>
      </w:r>
    </w:p>
    <w:p w14:paraId="5A436A18" w14:textId="77777777" w:rsidR="001B6CCD" w:rsidRDefault="001B6CCD" w:rsidP="001B6CCD">
      <w:pPr>
        <w:tabs>
          <w:tab w:val="left" w:pos="1440"/>
          <w:tab w:val="left" w:pos="4680"/>
          <w:tab w:val="center" w:pos="7200"/>
        </w:tabs>
        <w:jc w:val="center"/>
      </w:pPr>
    </w:p>
    <w:p w14:paraId="674A0291" w14:textId="37FF60D6" w:rsidR="001B6CCD" w:rsidRDefault="001B6CCD" w:rsidP="001B6CCD">
      <w:pPr>
        <w:tabs>
          <w:tab w:val="left" w:pos="1440"/>
          <w:tab w:val="left" w:pos="4680"/>
          <w:tab w:val="center" w:pos="7200"/>
        </w:tabs>
        <w:jc w:val="center"/>
      </w:pPr>
      <w:r>
        <w:t xml:space="preserve">Opinion of the Court by </w:t>
      </w:r>
      <w:r w:rsidR="00F026FE">
        <w:t>Kruger</w:t>
      </w:r>
      <w:r>
        <w:t>, J.</w:t>
      </w:r>
    </w:p>
    <w:p w14:paraId="1BCEEB0F" w14:textId="77777777" w:rsidR="00BE07EC" w:rsidRPr="005A0AEB" w:rsidRDefault="00BE07EC" w:rsidP="00AA6CA5">
      <w:pPr>
        <w:tabs>
          <w:tab w:val="left" w:pos="1440"/>
        </w:tabs>
      </w:pPr>
    </w:p>
    <w:p w14:paraId="6C1C5F09" w14:textId="32F2E388" w:rsidR="00BE07EC" w:rsidRPr="005A0AEB" w:rsidRDefault="00F026FE" w:rsidP="00F026FE">
      <w:pPr>
        <w:tabs>
          <w:tab w:val="left" w:pos="720"/>
        </w:tabs>
        <w:ind w:firstLine="720"/>
      </w:pPr>
      <w:r w:rsidRPr="00D63571">
        <w:t xml:space="preserve">A jury convicted defendant Alfonso Ignacio Morales of four counts of </w:t>
      </w:r>
      <w:proofErr w:type="gramStart"/>
      <w:r w:rsidRPr="00D63571">
        <w:t>first degree</w:t>
      </w:r>
      <w:proofErr w:type="gramEnd"/>
      <w:r w:rsidRPr="00D63571">
        <w:t xml:space="preserve"> murder (Pen. Code, § 187) and other crimes.  For each murder, it found true the </w:t>
      </w:r>
      <w:proofErr w:type="gramStart"/>
      <w:r w:rsidRPr="00D63571">
        <w:t>special circumstance</w:t>
      </w:r>
      <w:r w:rsidR="00571538">
        <w:t>s</w:t>
      </w:r>
      <w:proofErr w:type="gramEnd"/>
      <w:r w:rsidRPr="00D63571">
        <w:t xml:space="preserve"> that </w:t>
      </w:r>
      <w:r w:rsidR="00F6225E">
        <w:t>Morales</w:t>
      </w:r>
      <w:r w:rsidR="00F6225E" w:rsidRPr="00D63571">
        <w:t xml:space="preserve"> </w:t>
      </w:r>
      <w:r w:rsidRPr="00D63571">
        <w:t>committed multiple murders and murder in the commission of a burglary.  (</w:t>
      </w:r>
      <w:r w:rsidRPr="00D63571">
        <w:rPr>
          <w:i/>
        </w:rPr>
        <w:t>Id.</w:t>
      </w:r>
      <w:r w:rsidRPr="00D63571">
        <w:t xml:space="preserve">, § 190.2, </w:t>
      </w:r>
      <w:proofErr w:type="spellStart"/>
      <w:r w:rsidRPr="00D63571">
        <w:t>subd</w:t>
      </w:r>
      <w:proofErr w:type="spellEnd"/>
      <w:r w:rsidRPr="00D63571">
        <w:t>. (a)(3), (17).)</w:t>
      </w:r>
      <w:r w:rsidRPr="00D63571">
        <w:rPr>
          <w:rStyle w:val="FootnoteReference"/>
        </w:rPr>
        <w:footnoteReference w:id="2"/>
      </w:r>
      <w:r w:rsidRPr="00D63571">
        <w:t xml:space="preserve">  </w:t>
      </w:r>
      <w:r>
        <w:t>T</w:t>
      </w:r>
      <w:r w:rsidRPr="00D63571">
        <w:t>he jury returned a verdict of death.  This appeal is automatic.  (</w:t>
      </w:r>
      <w:r w:rsidR="00626A55" w:rsidRPr="00626A55">
        <w:rPr>
          <w:i/>
        </w:rPr>
        <w:t>Id.</w:t>
      </w:r>
      <w:r w:rsidR="00626A55">
        <w:t>,</w:t>
      </w:r>
      <w:r w:rsidRPr="00D63571">
        <w:t xml:space="preserve"> § 1239, </w:t>
      </w:r>
      <w:proofErr w:type="spellStart"/>
      <w:r w:rsidRPr="00D63571">
        <w:t>subd</w:t>
      </w:r>
      <w:proofErr w:type="spellEnd"/>
      <w:r w:rsidRPr="00D63571">
        <w:t xml:space="preserve">. (b).)  </w:t>
      </w:r>
      <w:r>
        <w:t>W</w:t>
      </w:r>
      <w:r w:rsidRPr="00D63571">
        <w:t>e affirm</w:t>
      </w:r>
      <w:r w:rsidR="004420F1">
        <w:t>.</w:t>
      </w:r>
    </w:p>
    <w:p w14:paraId="1776CC24" w14:textId="7CEAFD3A" w:rsidR="00BE07EC" w:rsidRDefault="00BE07EC" w:rsidP="007F4896">
      <w:pPr>
        <w:keepNext/>
        <w:jc w:val="center"/>
        <w:outlineLvl w:val="0"/>
        <w:rPr>
          <w:b/>
          <w:smallCaps/>
        </w:rPr>
      </w:pPr>
      <w:bookmarkStart w:id="2" w:name="_Toc37394345"/>
      <w:bookmarkStart w:id="3" w:name="_Toc21438441"/>
      <w:bookmarkStart w:id="4" w:name="_Toc31888603"/>
      <w:bookmarkStart w:id="5" w:name="_Toc34223159"/>
      <w:bookmarkStart w:id="6" w:name="_Toc37394360"/>
      <w:bookmarkStart w:id="7" w:name="_Toc21438458"/>
      <w:r w:rsidRPr="005A0AEB">
        <w:rPr>
          <w:b/>
          <w:smallCaps/>
        </w:rPr>
        <w:t>I.  Fact</w:t>
      </w:r>
      <w:bookmarkEnd w:id="2"/>
      <w:r w:rsidRPr="005A0AEB">
        <w:rPr>
          <w:b/>
          <w:smallCaps/>
        </w:rPr>
        <w:t xml:space="preserve">ual </w:t>
      </w:r>
      <w:r w:rsidR="00F026FE">
        <w:rPr>
          <w:b/>
          <w:smallCaps/>
        </w:rPr>
        <w:t xml:space="preserve">and Procedural </w:t>
      </w:r>
      <w:r w:rsidRPr="005A0AEB">
        <w:rPr>
          <w:b/>
          <w:smallCaps/>
        </w:rPr>
        <w:t>Background</w:t>
      </w:r>
      <w:bookmarkStart w:id="8" w:name="_Toc37394347"/>
      <w:bookmarkEnd w:id="3"/>
      <w:bookmarkEnd w:id="4"/>
      <w:bookmarkEnd w:id="5"/>
    </w:p>
    <w:p w14:paraId="24A98383" w14:textId="3F2AACA7" w:rsidR="00F026FE" w:rsidRPr="00D63571" w:rsidRDefault="00F026FE" w:rsidP="00F026FE">
      <w:pPr>
        <w:tabs>
          <w:tab w:val="left" w:pos="720"/>
        </w:tabs>
        <w:ind w:firstLine="720"/>
        <w:rPr>
          <w:szCs w:val="26"/>
        </w:rPr>
      </w:pPr>
      <w:r w:rsidRPr="00D63571">
        <w:rPr>
          <w:szCs w:val="26"/>
        </w:rPr>
        <w:t>On July 1</w:t>
      </w:r>
      <w:r w:rsidR="00F370D2">
        <w:rPr>
          <w:szCs w:val="26"/>
        </w:rPr>
        <w:t>3</w:t>
      </w:r>
      <w:r w:rsidRPr="00D63571">
        <w:rPr>
          <w:szCs w:val="26"/>
        </w:rPr>
        <w:t xml:space="preserve">, 2002, </w:t>
      </w:r>
      <w:r w:rsidR="00F370D2">
        <w:rPr>
          <w:szCs w:val="26"/>
        </w:rPr>
        <w:t xml:space="preserve">the bodies of </w:t>
      </w:r>
      <w:r w:rsidRPr="00D63571">
        <w:rPr>
          <w:szCs w:val="26"/>
        </w:rPr>
        <w:t xml:space="preserve">Miguel Ruiz </w:t>
      </w:r>
      <w:r>
        <w:rPr>
          <w:szCs w:val="26"/>
        </w:rPr>
        <w:t>(</w:t>
      </w:r>
      <w:r w:rsidR="006E5534">
        <w:rPr>
          <w:szCs w:val="26"/>
        </w:rPr>
        <w:t xml:space="preserve">who was known as </w:t>
      </w:r>
      <w:r>
        <w:rPr>
          <w:szCs w:val="26"/>
        </w:rPr>
        <w:t>Mike)</w:t>
      </w:r>
      <w:r w:rsidR="00F370D2">
        <w:rPr>
          <w:szCs w:val="26"/>
        </w:rPr>
        <w:t xml:space="preserve">, </w:t>
      </w:r>
      <w:r w:rsidRPr="00D63571">
        <w:rPr>
          <w:szCs w:val="26"/>
        </w:rPr>
        <w:t>Maritza Trejo</w:t>
      </w:r>
      <w:r w:rsidR="00F370D2">
        <w:rPr>
          <w:szCs w:val="26"/>
        </w:rPr>
        <w:t xml:space="preserve">, </w:t>
      </w:r>
      <w:r w:rsidRPr="00D63571">
        <w:rPr>
          <w:szCs w:val="26"/>
        </w:rPr>
        <w:t>Ana Martinez</w:t>
      </w:r>
      <w:r w:rsidR="00F370D2">
        <w:rPr>
          <w:szCs w:val="26"/>
        </w:rPr>
        <w:t xml:space="preserve">, and </w:t>
      </w:r>
      <w:r w:rsidRPr="00D63571">
        <w:rPr>
          <w:szCs w:val="26"/>
        </w:rPr>
        <w:t>Jasmine Ruiz</w:t>
      </w:r>
      <w:r w:rsidR="00F370D2">
        <w:rPr>
          <w:szCs w:val="26"/>
        </w:rPr>
        <w:t xml:space="preserve"> were </w:t>
      </w:r>
      <w:r w:rsidR="0040519D">
        <w:rPr>
          <w:szCs w:val="26"/>
        </w:rPr>
        <w:t xml:space="preserve">discovered </w:t>
      </w:r>
      <w:r w:rsidR="00F370D2">
        <w:rPr>
          <w:szCs w:val="26"/>
        </w:rPr>
        <w:t>in the home they shared</w:t>
      </w:r>
      <w:r w:rsidRPr="00D63571">
        <w:rPr>
          <w:szCs w:val="26"/>
        </w:rPr>
        <w:t>.</w:t>
      </w:r>
      <w:r w:rsidR="00F370D2">
        <w:rPr>
          <w:rStyle w:val="FootnoteReference"/>
          <w:szCs w:val="26"/>
        </w:rPr>
        <w:footnoteReference w:id="3"/>
      </w:r>
      <w:r w:rsidRPr="00D63571">
        <w:rPr>
          <w:szCs w:val="26"/>
        </w:rPr>
        <w:t xml:space="preserve">  </w:t>
      </w:r>
      <w:r w:rsidR="00F370D2">
        <w:rPr>
          <w:szCs w:val="26"/>
        </w:rPr>
        <w:t>Mike, Maritza, and Ana had been fatally stabbed.  Jasmine</w:t>
      </w:r>
      <w:r w:rsidR="00C27DD4">
        <w:rPr>
          <w:szCs w:val="26"/>
        </w:rPr>
        <w:t xml:space="preserve">, who was then eight years old, </w:t>
      </w:r>
      <w:r w:rsidR="00F370D2">
        <w:rPr>
          <w:szCs w:val="26"/>
        </w:rPr>
        <w:t xml:space="preserve">had been sexually assaulted and died from asphyxiation.  </w:t>
      </w:r>
      <w:r w:rsidR="00F6225E">
        <w:rPr>
          <w:szCs w:val="26"/>
        </w:rPr>
        <w:t xml:space="preserve">Morales </w:t>
      </w:r>
      <w:r w:rsidRPr="00D63571">
        <w:rPr>
          <w:szCs w:val="26"/>
        </w:rPr>
        <w:t xml:space="preserve">was linked to the murders through physical evidence, including shoe prints and a palm print found at the home, fingerprints found on goods stolen from the home, </w:t>
      </w:r>
      <w:r w:rsidRPr="00D63571">
        <w:rPr>
          <w:szCs w:val="26"/>
        </w:rPr>
        <w:lastRenderedPageBreak/>
        <w:t xml:space="preserve">DNA found on Jasmine’s body, and bloody clothes and knives located on </w:t>
      </w:r>
      <w:r w:rsidR="00000A06">
        <w:rPr>
          <w:szCs w:val="26"/>
        </w:rPr>
        <w:t>Morales</w:t>
      </w:r>
      <w:r w:rsidR="00000A06" w:rsidRPr="00D63571">
        <w:rPr>
          <w:szCs w:val="26"/>
        </w:rPr>
        <w:t xml:space="preserve">’s </w:t>
      </w:r>
      <w:r w:rsidRPr="00D63571">
        <w:rPr>
          <w:szCs w:val="26"/>
        </w:rPr>
        <w:t xml:space="preserve">property.  </w:t>
      </w:r>
      <w:r w:rsidR="00F6225E">
        <w:rPr>
          <w:szCs w:val="26"/>
        </w:rPr>
        <w:t>Morales</w:t>
      </w:r>
      <w:r w:rsidR="00F6225E" w:rsidRPr="00D63571">
        <w:rPr>
          <w:szCs w:val="26"/>
        </w:rPr>
        <w:t xml:space="preserve"> </w:t>
      </w:r>
      <w:r w:rsidRPr="00D63571">
        <w:rPr>
          <w:szCs w:val="26"/>
        </w:rPr>
        <w:t>also admitted to law enforcement officers that he had been in the house at the time of the murders, though he denied committing them.</w:t>
      </w:r>
    </w:p>
    <w:p w14:paraId="1626EE17" w14:textId="64EFE6BF" w:rsidR="00F026FE" w:rsidRPr="00D63571" w:rsidRDefault="00F6225E" w:rsidP="00AC1E4C">
      <w:pPr>
        <w:tabs>
          <w:tab w:val="left" w:pos="720"/>
        </w:tabs>
        <w:ind w:firstLine="720"/>
        <w:rPr>
          <w:szCs w:val="26"/>
        </w:rPr>
      </w:pPr>
      <w:r>
        <w:rPr>
          <w:szCs w:val="26"/>
        </w:rPr>
        <w:t>Morales</w:t>
      </w:r>
      <w:r w:rsidRPr="00D63571">
        <w:rPr>
          <w:szCs w:val="26"/>
        </w:rPr>
        <w:t xml:space="preserve"> </w:t>
      </w:r>
      <w:r w:rsidR="00F026FE" w:rsidRPr="00D63571">
        <w:rPr>
          <w:szCs w:val="26"/>
        </w:rPr>
        <w:t xml:space="preserve">was charged with four counts of </w:t>
      </w:r>
      <w:proofErr w:type="gramStart"/>
      <w:r w:rsidR="00F026FE" w:rsidRPr="00D63571">
        <w:rPr>
          <w:szCs w:val="26"/>
        </w:rPr>
        <w:t>first degree</w:t>
      </w:r>
      <w:proofErr w:type="gramEnd"/>
      <w:r w:rsidR="00F026FE" w:rsidRPr="00D63571">
        <w:rPr>
          <w:szCs w:val="26"/>
        </w:rPr>
        <w:t xml:space="preserve"> murder (counts 1–4; Pen. Code, §</w:t>
      </w:r>
      <w:r w:rsidR="00F026FE">
        <w:rPr>
          <w:szCs w:val="26"/>
        </w:rPr>
        <w:t> </w:t>
      </w:r>
      <w:r w:rsidR="00F026FE" w:rsidRPr="00D63571">
        <w:rPr>
          <w:szCs w:val="26"/>
        </w:rPr>
        <w:t xml:space="preserve">187, </w:t>
      </w:r>
      <w:proofErr w:type="spellStart"/>
      <w:r w:rsidR="00F026FE" w:rsidRPr="00D63571">
        <w:rPr>
          <w:szCs w:val="26"/>
        </w:rPr>
        <w:t>subd</w:t>
      </w:r>
      <w:proofErr w:type="spellEnd"/>
      <w:r w:rsidR="00F026FE" w:rsidRPr="00D63571">
        <w:rPr>
          <w:szCs w:val="26"/>
        </w:rPr>
        <w:t>.</w:t>
      </w:r>
      <w:r w:rsidR="00F026FE">
        <w:rPr>
          <w:szCs w:val="26"/>
        </w:rPr>
        <w:t xml:space="preserve"> </w:t>
      </w:r>
      <w:r w:rsidR="00F026FE" w:rsidRPr="00D63571">
        <w:rPr>
          <w:szCs w:val="26"/>
        </w:rPr>
        <w:t xml:space="preserve">(a)); one count of first degree robbery (count 5; </w:t>
      </w:r>
      <w:r w:rsidR="00F026FE" w:rsidRPr="00D63571">
        <w:rPr>
          <w:i/>
          <w:szCs w:val="26"/>
        </w:rPr>
        <w:t>id.</w:t>
      </w:r>
      <w:r w:rsidR="00F026FE" w:rsidRPr="00D63571">
        <w:rPr>
          <w:szCs w:val="26"/>
        </w:rPr>
        <w:t>, §</w:t>
      </w:r>
      <w:r w:rsidR="00F026FE">
        <w:rPr>
          <w:szCs w:val="26"/>
        </w:rPr>
        <w:t> </w:t>
      </w:r>
      <w:r w:rsidR="00F026FE" w:rsidRPr="00D63571">
        <w:rPr>
          <w:szCs w:val="26"/>
        </w:rPr>
        <w:t xml:space="preserve">211); one count of first degree burglary (count 6; </w:t>
      </w:r>
      <w:r w:rsidR="00F026FE" w:rsidRPr="00D63571">
        <w:rPr>
          <w:i/>
          <w:szCs w:val="26"/>
        </w:rPr>
        <w:t>id.</w:t>
      </w:r>
      <w:r w:rsidR="00F026FE" w:rsidRPr="00D63571">
        <w:rPr>
          <w:szCs w:val="26"/>
        </w:rPr>
        <w:t>, §</w:t>
      </w:r>
      <w:r w:rsidR="00F026FE">
        <w:rPr>
          <w:szCs w:val="26"/>
        </w:rPr>
        <w:t> </w:t>
      </w:r>
      <w:r w:rsidR="00F026FE" w:rsidRPr="00D63571">
        <w:rPr>
          <w:szCs w:val="26"/>
        </w:rPr>
        <w:t xml:space="preserve">459); one count of a forcible lewd act upon a child (count 7; </w:t>
      </w:r>
      <w:r w:rsidR="00F026FE" w:rsidRPr="00D63571">
        <w:rPr>
          <w:i/>
          <w:szCs w:val="26"/>
        </w:rPr>
        <w:t>id.</w:t>
      </w:r>
      <w:r w:rsidR="00F026FE" w:rsidRPr="00D63571">
        <w:rPr>
          <w:szCs w:val="26"/>
        </w:rPr>
        <w:t>, §</w:t>
      </w:r>
      <w:r w:rsidR="00F026FE">
        <w:rPr>
          <w:szCs w:val="26"/>
        </w:rPr>
        <w:t> </w:t>
      </w:r>
      <w:r w:rsidR="00F026FE" w:rsidRPr="00D63571">
        <w:rPr>
          <w:szCs w:val="26"/>
        </w:rPr>
        <w:t xml:space="preserve">288, </w:t>
      </w:r>
      <w:proofErr w:type="spellStart"/>
      <w:r w:rsidR="00F026FE" w:rsidRPr="00D63571">
        <w:rPr>
          <w:szCs w:val="26"/>
        </w:rPr>
        <w:t>subd</w:t>
      </w:r>
      <w:proofErr w:type="spellEnd"/>
      <w:r w:rsidR="00F026FE" w:rsidRPr="00D63571">
        <w:rPr>
          <w:szCs w:val="26"/>
        </w:rPr>
        <w:t xml:space="preserve">. (b)(1)); and one count of sexual penetration by a foreign object (count 8; </w:t>
      </w:r>
      <w:r w:rsidR="00F026FE" w:rsidRPr="00D63571">
        <w:rPr>
          <w:i/>
          <w:szCs w:val="26"/>
        </w:rPr>
        <w:t>id.</w:t>
      </w:r>
      <w:r w:rsidR="00F026FE" w:rsidRPr="00D63571">
        <w:rPr>
          <w:szCs w:val="26"/>
        </w:rPr>
        <w:t>, §</w:t>
      </w:r>
      <w:r w:rsidR="00F026FE">
        <w:rPr>
          <w:szCs w:val="26"/>
        </w:rPr>
        <w:t> </w:t>
      </w:r>
      <w:r w:rsidR="00F026FE" w:rsidRPr="00D63571">
        <w:rPr>
          <w:szCs w:val="26"/>
        </w:rPr>
        <w:t xml:space="preserve">289, </w:t>
      </w:r>
      <w:proofErr w:type="spellStart"/>
      <w:r w:rsidR="00F026FE" w:rsidRPr="00D63571">
        <w:rPr>
          <w:szCs w:val="26"/>
        </w:rPr>
        <w:t>subd</w:t>
      </w:r>
      <w:proofErr w:type="spellEnd"/>
      <w:r w:rsidR="00F026FE" w:rsidRPr="00D63571">
        <w:rPr>
          <w:szCs w:val="26"/>
        </w:rPr>
        <w:t xml:space="preserve">. (a)(1)).  </w:t>
      </w:r>
      <w:r>
        <w:rPr>
          <w:szCs w:val="26"/>
        </w:rPr>
        <w:t>Morales</w:t>
      </w:r>
      <w:r w:rsidR="00F026FE" w:rsidRPr="00D63571">
        <w:rPr>
          <w:szCs w:val="26"/>
        </w:rPr>
        <w:t xml:space="preserve"> was also charged with the following </w:t>
      </w:r>
      <w:proofErr w:type="gramStart"/>
      <w:r w:rsidR="00F026FE" w:rsidRPr="00D63571">
        <w:rPr>
          <w:szCs w:val="26"/>
        </w:rPr>
        <w:t>special circumstances</w:t>
      </w:r>
      <w:proofErr w:type="gramEnd"/>
      <w:r w:rsidR="00F026FE" w:rsidRPr="00D63571">
        <w:rPr>
          <w:szCs w:val="26"/>
        </w:rPr>
        <w:t xml:space="preserve">:  multiple murders (counts 1–4; </w:t>
      </w:r>
      <w:r w:rsidR="00F026FE" w:rsidRPr="00D63571">
        <w:rPr>
          <w:i/>
          <w:szCs w:val="26"/>
        </w:rPr>
        <w:t>id.</w:t>
      </w:r>
      <w:r w:rsidR="00F026FE" w:rsidRPr="00D63571">
        <w:rPr>
          <w:szCs w:val="26"/>
        </w:rPr>
        <w:t>, §</w:t>
      </w:r>
      <w:r w:rsidR="00F026FE">
        <w:rPr>
          <w:szCs w:val="26"/>
        </w:rPr>
        <w:t> </w:t>
      </w:r>
      <w:r w:rsidR="00F026FE" w:rsidRPr="00D63571">
        <w:rPr>
          <w:szCs w:val="26"/>
        </w:rPr>
        <w:t xml:space="preserve">190.2, </w:t>
      </w:r>
      <w:proofErr w:type="spellStart"/>
      <w:r w:rsidR="00F026FE" w:rsidRPr="00D63571">
        <w:rPr>
          <w:szCs w:val="26"/>
        </w:rPr>
        <w:t>subd</w:t>
      </w:r>
      <w:proofErr w:type="spellEnd"/>
      <w:r w:rsidR="00F026FE" w:rsidRPr="00D63571">
        <w:rPr>
          <w:szCs w:val="26"/>
        </w:rPr>
        <w:t xml:space="preserve">. (a)(3)); murder in the commission of a robbery (counts 1–4; </w:t>
      </w:r>
      <w:r w:rsidR="00F026FE" w:rsidRPr="00D63571">
        <w:rPr>
          <w:i/>
          <w:szCs w:val="26"/>
        </w:rPr>
        <w:t>id.</w:t>
      </w:r>
      <w:r w:rsidR="00F026FE" w:rsidRPr="00D63571">
        <w:rPr>
          <w:szCs w:val="26"/>
        </w:rPr>
        <w:t>, §</w:t>
      </w:r>
      <w:r w:rsidR="00F026FE">
        <w:rPr>
          <w:szCs w:val="26"/>
        </w:rPr>
        <w:t> </w:t>
      </w:r>
      <w:r w:rsidR="00F026FE" w:rsidRPr="00D63571">
        <w:rPr>
          <w:szCs w:val="26"/>
        </w:rPr>
        <w:t xml:space="preserve">190.2, </w:t>
      </w:r>
      <w:proofErr w:type="spellStart"/>
      <w:r w:rsidR="00F026FE" w:rsidRPr="00D63571">
        <w:rPr>
          <w:szCs w:val="26"/>
        </w:rPr>
        <w:t>subd</w:t>
      </w:r>
      <w:proofErr w:type="spellEnd"/>
      <w:r w:rsidR="00F026FE" w:rsidRPr="00D63571">
        <w:rPr>
          <w:szCs w:val="26"/>
        </w:rPr>
        <w:t>. (a)(17)(A)</w:t>
      </w:r>
      <w:r w:rsidR="00F026FE">
        <w:rPr>
          <w:szCs w:val="26"/>
        </w:rPr>
        <w:t>)</w:t>
      </w:r>
      <w:r w:rsidR="00F026FE" w:rsidRPr="00D63571">
        <w:rPr>
          <w:szCs w:val="26"/>
        </w:rPr>
        <w:t xml:space="preserve">; murder in the commission of a burglary (counts 1–4; </w:t>
      </w:r>
      <w:r w:rsidR="00F026FE" w:rsidRPr="00D63571">
        <w:rPr>
          <w:i/>
          <w:szCs w:val="26"/>
        </w:rPr>
        <w:t>id.</w:t>
      </w:r>
      <w:r w:rsidR="00F026FE" w:rsidRPr="00D63571">
        <w:rPr>
          <w:szCs w:val="26"/>
        </w:rPr>
        <w:t>, §</w:t>
      </w:r>
      <w:r w:rsidR="00F026FE">
        <w:rPr>
          <w:szCs w:val="26"/>
        </w:rPr>
        <w:t> </w:t>
      </w:r>
      <w:r w:rsidR="00F026FE" w:rsidRPr="00D63571">
        <w:rPr>
          <w:szCs w:val="26"/>
        </w:rPr>
        <w:t xml:space="preserve">190.2, </w:t>
      </w:r>
      <w:proofErr w:type="spellStart"/>
      <w:r w:rsidR="00F026FE" w:rsidRPr="00D63571">
        <w:rPr>
          <w:szCs w:val="26"/>
        </w:rPr>
        <w:t>subd</w:t>
      </w:r>
      <w:proofErr w:type="spellEnd"/>
      <w:r w:rsidR="00F026FE" w:rsidRPr="00D63571">
        <w:rPr>
          <w:szCs w:val="26"/>
        </w:rPr>
        <w:t xml:space="preserve">. (a)(17)(G)); murder by torture (count 4; </w:t>
      </w:r>
      <w:r w:rsidR="00F026FE" w:rsidRPr="00D63571">
        <w:rPr>
          <w:i/>
          <w:szCs w:val="26"/>
        </w:rPr>
        <w:t>id.</w:t>
      </w:r>
      <w:r w:rsidR="00F026FE" w:rsidRPr="00D63571">
        <w:rPr>
          <w:szCs w:val="26"/>
        </w:rPr>
        <w:t>, §</w:t>
      </w:r>
      <w:r w:rsidR="00F026FE">
        <w:rPr>
          <w:szCs w:val="26"/>
        </w:rPr>
        <w:t> </w:t>
      </w:r>
      <w:r w:rsidR="00F026FE" w:rsidRPr="00D63571">
        <w:rPr>
          <w:szCs w:val="26"/>
        </w:rPr>
        <w:t xml:space="preserve">190.2, </w:t>
      </w:r>
      <w:proofErr w:type="spellStart"/>
      <w:r w:rsidR="00F026FE" w:rsidRPr="00D63571">
        <w:rPr>
          <w:szCs w:val="26"/>
        </w:rPr>
        <w:t>subd</w:t>
      </w:r>
      <w:proofErr w:type="spellEnd"/>
      <w:r w:rsidR="00F026FE" w:rsidRPr="00D63571">
        <w:rPr>
          <w:szCs w:val="26"/>
        </w:rPr>
        <w:t xml:space="preserve">. (a)(18)); murder in the commission of a lewd act upon a child under the age of 14 (count 4; </w:t>
      </w:r>
      <w:r w:rsidR="00F026FE" w:rsidRPr="00D63571">
        <w:rPr>
          <w:i/>
          <w:szCs w:val="26"/>
        </w:rPr>
        <w:t>id.</w:t>
      </w:r>
      <w:r w:rsidR="00F026FE" w:rsidRPr="00D63571">
        <w:rPr>
          <w:szCs w:val="26"/>
        </w:rPr>
        <w:t>, §</w:t>
      </w:r>
      <w:r w:rsidR="00F026FE">
        <w:rPr>
          <w:szCs w:val="26"/>
        </w:rPr>
        <w:t> </w:t>
      </w:r>
      <w:r w:rsidR="00F026FE" w:rsidRPr="00D63571">
        <w:rPr>
          <w:szCs w:val="26"/>
        </w:rPr>
        <w:t xml:space="preserve">190.2, </w:t>
      </w:r>
      <w:proofErr w:type="spellStart"/>
      <w:r w:rsidR="00F026FE" w:rsidRPr="00D63571">
        <w:rPr>
          <w:szCs w:val="26"/>
        </w:rPr>
        <w:t>subd</w:t>
      </w:r>
      <w:proofErr w:type="spellEnd"/>
      <w:r w:rsidR="00F026FE" w:rsidRPr="00D63571">
        <w:rPr>
          <w:szCs w:val="26"/>
        </w:rPr>
        <w:t xml:space="preserve">. (a)(17)(E)); and murder in the commission of sexual penetration by a foreign object, force, and violence (count 4; </w:t>
      </w:r>
      <w:r w:rsidR="00F026FE" w:rsidRPr="00D63571">
        <w:rPr>
          <w:i/>
          <w:szCs w:val="26"/>
        </w:rPr>
        <w:t>id.</w:t>
      </w:r>
      <w:r w:rsidR="00F026FE" w:rsidRPr="00D63571">
        <w:rPr>
          <w:szCs w:val="26"/>
        </w:rPr>
        <w:t>, §</w:t>
      </w:r>
      <w:r w:rsidR="00F026FE">
        <w:rPr>
          <w:szCs w:val="26"/>
        </w:rPr>
        <w:t> </w:t>
      </w:r>
      <w:r w:rsidR="00F026FE" w:rsidRPr="00D63571">
        <w:rPr>
          <w:szCs w:val="26"/>
        </w:rPr>
        <w:t xml:space="preserve">190.2, </w:t>
      </w:r>
      <w:proofErr w:type="spellStart"/>
      <w:r w:rsidR="00F026FE" w:rsidRPr="00D63571">
        <w:rPr>
          <w:szCs w:val="26"/>
        </w:rPr>
        <w:t>subd</w:t>
      </w:r>
      <w:proofErr w:type="spellEnd"/>
      <w:r w:rsidR="00F026FE" w:rsidRPr="00D63571">
        <w:rPr>
          <w:szCs w:val="26"/>
        </w:rPr>
        <w:t xml:space="preserve">. (a)(17)(K)).  Finally, </w:t>
      </w:r>
      <w:r>
        <w:rPr>
          <w:szCs w:val="26"/>
        </w:rPr>
        <w:t>Morales</w:t>
      </w:r>
      <w:r w:rsidR="00F026FE" w:rsidRPr="00D63571">
        <w:rPr>
          <w:szCs w:val="26"/>
        </w:rPr>
        <w:t xml:space="preserve"> was charged with the following enhancements:  personal use of a deadly and dangerous weapon in commission of a felony (counts 1</w:t>
      </w:r>
      <w:r w:rsidR="00AC1E4C">
        <w:rPr>
          <w:szCs w:val="26"/>
        </w:rPr>
        <w:t>–</w:t>
      </w:r>
      <w:r w:rsidR="00F026FE" w:rsidRPr="00D63571">
        <w:rPr>
          <w:szCs w:val="26"/>
        </w:rPr>
        <w:t xml:space="preserve">3, 5, and 6; </w:t>
      </w:r>
      <w:r w:rsidR="00F026FE" w:rsidRPr="00D63571">
        <w:rPr>
          <w:i/>
          <w:szCs w:val="26"/>
        </w:rPr>
        <w:t>id.</w:t>
      </w:r>
      <w:r w:rsidR="00F026FE" w:rsidRPr="00D63571">
        <w:rPr>
          <w:szCs w:val="26"/>
        </w:rPr>
        <w:t>, §</w:t>
      </w:r>
      <w:r w:rsidR="00F026FE">
        <w:rPr>
          <w:szCs w:val="26"/>
        </w:rPr>
        <w:t> </w:t>
      </w:r>
      <w:r w:rsidR="00F026FE" w:rsidRPr="00D63571">
        <w:rPr>
          <w:szCs w:val="26"/>
        </w:rPr>
        <w:t xml:space="preserve">12022, </w:t>
      </w:r>
      <w:proofErr w:type="spellStart"/>
      <w:r w:rsidR="00F026FE" w:rsidRPr="00D63571">
        <w:rPr>
          <w:szCs w:val="26"/>
        </w:rPr>
        <w:t>subd</w:t>
      </w:r>
      <w:proofErr w:type="spellEnd"/>
      <w:r w:rsidR="00F026FE" w:rsidRPr="00D63571">
        <w:rPr>
          <w:szCs w:val="26"/>
        </w:rPr>
        <w:t xml:space="preserve">. (b)(1)); great bodily injury on a person 70 years of age or older (count 3; </w:t>
      </w:r>
      <w:r w:rsidR="00F026FE" w:rsidRPr="00D63571">
        <w:rPr>
          <w:i/>
          <w:szCs w:val="26"/>
        </w:rPr>
        <w:t>id.</w:t>
      </w:r>
      <w:r w:rsidR="00F026FE" w:rsidRPr="00D63571">
        <w:rPr>
          <w:szCs w:val="26"/>
        </w:rPr>
        <w:t>, §</w:t>
      </w:r>
      <w:r w:rsidR="00F026FE">
        <w:rPr>
          <w:szCs w:val="26"/>
        </w:rPr>
        <w:t> </w:t>
      </w:r>
      <w:r w:rsidR="00F026FE" w:rsidRPr="00D63571">
        <w:rPr>
          <w:szCs w:val="26"/>
        </w:rPr>
        <w:t xml:space="preserve">12022.7, </w:t>
      </w:r>
      <w:proofErr w:type="spellStart"/>
      <w:r w:rsidR="00F026FE" w:rsidRPr="00D63571">
        <w:rPr>
          <w:szCs w:val="26"/>
        </w:rPr>
        <w:t>subd</w:t>
      </w:r>
      <w:proofErr w:type="spellEnd"/>
      <w:r w:rsidR="00F026FE" w:rsidRPr="00D63571">
        <w:rPr>
          <w:szCs w:val="26"/>
        </w:rPr>
        <w:t xml:space="preserve">. (c)); use of force, violence, duress, menace, and fear of immediate and unlawful bodily injury (count 7; </w:t>
      </w:r>
      <w:r w:rsidR="00F026FE" w:rsidRPr="00D63571">
        <w:rPr>
          <w:i/>
          <w:szCs w:val="26"/>
        </w:rPr>
        <w:t>id.</w:t>
      </w:r>
      <w:r w:rsidR="00F026FE" w:rsidRPr="00D63571">
        <w:rPr>
          <w:szCs w:val="26"/>
        </w:rPr>
        <w:t>, §</w:t>
      </w:r>
      <w:r w:rsidR="00F026FE">
        <w:rPr>
          <w:szCs w:val="26"/>
        </w:rPr>
        <w:t> </w:t>
      </w:r>
      <w:r w:rsidR="00F026FE" w:rsidRPr="00D63571">
        <w:rPr>
          <w:szCs w:val="26"/>
        </w:rPr>
        <w:t xml:space="preserve">1203.066, </w:t>
      </w:r>
      <w:proofErr w:type="spellStart"/>
      <w:r w:rsidR="00F026FE" w:rsidRPr="00D63571">
        <w:rPr>
          <w:szCs w:val="26"/>
        </w:rPr>
        <w:t>subd</w:t>
      </w:r>
      <w:proofErr w:type="spellEnd"/>
      <w:r w:rsidR="00F026FE" w:rsidRPr="00D63571">
        <w:rPr>
          <w:szCs w:val="26"/>
        </w:rPr>
        <w:t xml:space="preserve">. (a)(1)); substantial sexual contact with a victim who is under 14 years of age (count 7; </w:t>
      </w:r>
      <w:r w:rsidR="00F026FE" w:rsidRPr="00D63571">
        <w:rPr>
          <w:i/>
          <w:szCs w:val="26"/>
        </w:rPr>
        <w:t>id.</w:t>
      </w:r>
      <w:r w:rsidR="00F026FE" w:rsidRPr="00D63571">
        <w:rPr>
          <w:szCs w:val="26"/>
        </w:rPr>
        <w:t>, §</w:t>
      </w:r>
      <w:r w:rsidR="00F026FE">
        <w:rPr>
          <w:szCs w:val="26"/>
        </w:rPr>
        <w:t> </w:t>
      </w:r>
      <w:r w:rsidR="00F026FE" w:rsidRPr="00D63571">
        <w:rPr>
          <w:szCs w:val="26"/>
        </w:rPr>
        <w:t xml:space="preserve">1203.066, </w:t>
      </w:r>
      <w:proofErr w:type="spellStart"/>
      <w:r w:rsidR="00F026FE" w:rsidRPr="00D63571">
        <w:rPr>
          <w:szCs w:val="26"/>
        </w:rPr>
        <w:t>subd</w:t>
      </w:r>
      <w:proofErr w:type="spellEnd"/>
      <w:r w:rsidR="00F026FE" w:rsidRPr="00D63571">
        <w:rPr>
          <w:szCs w:val="26"/>
        </w:rPr>
        <w:t xml:space="preserve">. (a)(8)); and great bodily injury (counts 7–8; </w:t>
      </w:r>
      <w:r w:rsidR="00F026FE" w:rsidRPr="00D63571">
        <w:rPr>
          <w:i/>
          <w:szCs w:val="26"/>
        </w:rPr>
        <w:t>id.</w:t>
      </w:r>
      <w:r w:rsidR="00F026FE" w:rsidRPr="00D63571">
        <w:rPr>
          <w:szCs w:val="26"/>
        </w:rPr>
        <w:t>, §</w:t>
      </w:r>
      <w:r w:rsidR="00F026FE">
        <w:rPr>
          <w:szCs w:val="26"/>
        </w:rPr>
        <w:t> </w:t>
      </w:r>
      <w:r w:rsidR="00F026FE" w:rsidRPr="00D63571">
        <w:rPr>
          <w:szCs w:val="26"/>
        </w:rPr>
        <w:t>12022.8).</w:t>
      </w:r>
    </w:p>
    <w:p w14:paraId="5E019EFE" w14:textId="6177ECE8" w:rsidR="00F026FE" w:rsidRPr="005A0AEB" w:rsidRDefault="00F026FE" w:rsidP="002B3EE2">
      <w:pPr>
        <w:tabs>
          <w:tab w:val="left" w:pos="720"/>
        </w:tabs>
        <w:ind w:firstLine="720"/>
        <w:rPr>
          <w:b/>
          <w:smallCaps/>
        </w:rPr>
      </w:pPr>
      <w:r w:rsidRPr="00D63571">
        <w:rPr>
          <w:szCs w:val="26"/>
        </w:rPr>
        <w:t xml:space="preserve">The jury convicted on all counts and found true the </w:t>
      </w:r>
      <w:proofErr w:type="gramStart"/>
      <w:r w:rsidRPr="00D63571">
        <w:rPr>
          <w:szCs w:val="26"/>
        </w:rPr>
        <w:t>special circumstances</w:t>
      </w:r>
      <w:proofErr w:type="gramEnd"/>
      <w:r w:rsidRPr="00D63571">
        <w:rPr>
          <w:szCs w:val="26"/>
        </w:rPr>
        <w:t xml:space="preserve"> of multiple murders</w:t>
      </w:r>
      <w:r w:rsidR="004934DA">
        <w:rPr>
          <w:szCs w:val="26"/>
        </w:rPr>
        <w:t xml:space="preserve"> and</w:t>
      </w:r>
      <w:r w:rsidRPr="00D63571">
        <w:rPr>
          <w:szCs w:val="26"/>
        </w:rPr>
        <w:t xml:space="preserve"> murder in the </w:t>
      </w:r>
      <w:r w:rsidRPr="00D63571">
        <w:rPr>
          <w:szCs w:val="26"/>
        </w:rPr>
        <w:lastRenderedPageBreak/>
        <w:t>commission of a burglary</w:t>
      </w:r>
      <w:r w:rsidR="004934DA">
        <w:rPr>
          <w:szCs w:val="26"/>
        </w:rPr>
        <w:t xml:space="preserve"> on </w:t>
      </w:r>
      <w:r w:rsidR="00D03450">
        <w:rPr>
          <w:szCs w:val="26"/>
        </w:rPr>
        <w:t xml:space="preserve">all four murder counts.  With respect to </w:t>
      </w:r>
      <w:r w:rsidR="0050678E">
        <w:rPr>
          <w:szCs w:val="26"/>
        </w:rPr>
        <w:t xml:space="preserve">count 4, concerning Jasmine’s murder, </w:t>
      </w:r>
      <w:r w:rsidR="00D03450">
        <w:rPr>
          <w:szCs w:val="26"/>
        </w:rPr>
        <w:t xml:space="preserve">the jury also found true the special circumstances of </w:t>
      </w:r>
      <w:r w:rsidRPr="00D63571">
        <w:rPr>
          <w:szCs w:val="26"/>
        </w:rPr>
        <w:t xml:space="preserve">murder by torture, murder in the commission of a lewd act upon a child under the age of 14, and murder in the commission of sexual penetration by a foreign object, force, and violence.  </w:t>
      </w:r>
      <w:r w:rsidR="002B3EE2">
        <w:rPr>
          <w:szCs w:val="26"/>
        </w:rPr>
        <w:t>In addition, t</w:t>
      </w:r>
      <w:r w:rsidRPr="00D63571">
        <w:rPr>
          <w:szCs w:val="26"/>
        </w:rPr>
        <w:t xml:space="preserve">he jury found true </w:t>
      </w:r>
      <w:r w:rsidR="0050678E">
        <w:rPr>
          <w:szCs w:val="26"/>
        </w:rPr>
        <w:t>several</w:t>
      </w:r>
      <w:r w:rsidR="0050678E" w:rsidRPr="00D63571">
        <w:rPr>
          <w:szCs w:val="26"/>
        </w:rPr>
        <w:t xml:space="preserve"> </w:t>
      </w:r>
      <w:r w:rsidRPr="00D63571">
        <w:rPr>
          <w:szCs w:val="26"/>
        </w:rPr>
        <w:t>enhancement</w:t>
      </w:r>
      <w:r w:rsidR="0050678E">
        <w:rPr>
          <w:szCs w:val="26"/>
        </w:rPr>
        <w:t xml:space="preserve"> allegations:</w:t>
      </w:r>
      <w:r w:rsidR="004E36EF">
        <w:rPr>
          <w:szCs w:val="26"/>
        </w:rPr>
        <w:t xml:space="preserve"> </w:t>
      </w:r>
      <w:r w:rsidRPr="00D63571">
        <w:rPr>
          <w:szCs w:val="26"/>
        </w:rPr>
        <w:t xml:space="preserve"> personal use of a deadly and dangerous weapon in commission of a felony (on counts 1, 2, 3, and 6); use of force, violence, duress, menace, and fear of immediate and unlawful bodily injury (count 7); substantial sexual contact with a victim who is under 14 years of age (count 7); and great bodily injury (counts 7 and 8).</w:t>
      </w:r>
      <w:r w:rsidR="001D3F4A">
        <w:rPr>
          <w:szCs w:val="26"/>
        </w:rPr>
        <w:t xml:space="preserve">  At the penalty phase, the jury returned a verdict of death.  The superior court sentenced </w:t>
      </w:r>
      <w:r w:rsidR="00F6225E">
        <w:rPr>
          <w:szCs w:val="26"/>
        </w:rPr>
        <w:t>Morales</w:t>
      </w:r>
      <w:r w:rsidR="001D3F4A">
        <w:rPr>
          <w:szCs w:val="26"/>
        </w:rPr>
        <w:t xml:space="preserve"> to death.</w:t>
      </w:r>
    </w:p>
    <w:p w14:paraId="43823BE6" w14:textId="56602CA1" w:rsidR="00BE07EC" w:rsidRPr="005A0AEB" w:rsidRDefault="00BE07EC" w:rsidP="006C0ADE">
      <w:pPr>
        <w:keepNext/>
        <w:numPr>
          <w:ilvl w:val="0"/>
          <w:numId w:val="13"/>
        </w:numPr>
        <w:tabs>
          <w:tab w:val="left" w:pos="1152"/>
        </w:tabs>
        <w:spacing w:before="240"/>
        <w:ind w:left="1152" w:hanging="432"/>
        <w:outlineLvl w:val="1"/>
        <w:rPr>
          <w:b/>
        </w:rPr>
      </w:pPr>
      <w:bookmarkStart w:id="9" w:name="_Toc21438442"/>
      <w:bookmarkStart w:id="10" w:name="_Toc31888604"/>
      <w:bookmarkStart w:id="11" w:name="_Toc34223160"/>
      <w:r w:rsidRPr="005A0AEB">
        <w:rPr>
          <w:b/>
        </w:rPr>
        <w:t>Guilt Phase</w:t>
      </w:r>
      <w:bookmarkEnd w:id="8"/>
      <w:bookmarkEnd w:id="9"/>
      <w:bookmarkEnd w:id="10"/>
      <w:bookmarkEnd w:id="11"/>
      <w:r w:rsidR="00F026FE">
        <w:rPr>
          <w:b/>
        </w:rPr>
        <w:t xml:space="preserve"> Evidence</w:t>
      </w:r>
    </w:p>
    <w:p w14:paraId="4F167095" w14:textId="3B97AAE1" w:rsidR="00F026FE" w:rsidRPr="006D34D5" w:rsidRDefault="00F026FE" w:rsidP="00F026FE">
      <w:pPr>
        <w:ind w:firstLine="720"/>
      </w:pPr>
      <w:r w:rsidRPr="00D63571">
        <w:t xml:space="preserve">In 2002, </w:t>
      </w:r>
      <w:r w:rsidRPr="00D63571">
        <w:rPr>
          <w:szCs w:val="26"/>
        </w:rPr>
        <w:t>Mike lived with his common law wife Maritza, his grandmother Ana, his stepdaughter Maritza Raquel Trejo (</w:t>
      </w:r>
      <w:r w:rsidR="00C01A65">
        <w:rPr>
          <w:szCs w:val="26"/>
        </w:rPr>
        <w:t xml:space="preserve">who was known as </w:t>
      </w:r>
      <w:r w:rsidRPr="00D63571">
        <w:rPr>
          <w:szCs w:val="26"/>
        </w:rPr>
        <w:t xml:space="preserve">Raquel), and his and Maritza’s eight-year-old daughter </w:t>
      </w:r>
      <w:r w:rsidR="00DC2A0D">
        <w:rPr>
          <w:szCs w:val="26"/>
        </w:rPr>
        <w:t xml:space="preserve">Jasmine </w:t>
      </w:r>
      <w:r w:rsidRPr="00D63571">
        <w:t xml:space="preserve">in a three-bedroom home in Whittier.  Jasmine and Raquel shared a bedroom. </w:t>
      </w:r>
      <w:r w:rsidR="00173666">
        <w:t xml:space="preserve"> </w:t>
      </w:r>
      <w:r w:rsidR="00F6225E">
        <w:t>Morales</w:t>
      </w:r>
      <w:r w:rsidRPr="00D63571">
        <w:t>, who was in his mid-</w:t>
      </w:r>
      <w:r>
        <w:t>20’s</w:t>
      </w:r>
      <w:r w:rsidRPr="00D63571">
        <w:t xml:space="preserve"> at the time, lived around the corner</w:t>
      </w:r>
      <w:r w:rsidR="005473BA">
        <w:t xml:space="preserve"> from the family</w:t>
      </w:r>
      <w:r w:rsidRPr="00D63571">
        <w:t xml:space="preserve">.  </w:t>
      </w:r>
      <w:r w:rsidR="00F6225E">
        <w:t>Morales</w:t>
      </w:r>
      <w:r w:rsidRPr="00D63571">
        <w:t xml:space="preserve"> and Mike were friends; </w:t>
      </w:r>
      <w:r w:rsidR="00F6225E">
        <w:t>Morales</w:t>
      </w:r>
      <w:r w:rsidRPr="00D63571">
        <w:t xml:space="preserve"> would visit the </w:t>
      </w:r>
      <w:r w:rsidR="0001302F">
        <w:t>family’s</w:t>
      </w:r>
      <w:r w:rsidR="0001302F" w:rsidRPr="00D63571">
        <w:t xml:space="preserve"> </w:t>
      </w:r>
      <w:r w:rsidRPr="00D63571">
        <w:t xml:space="preserve">home </w:t>
      </w:r>
      <w:proofErr w:type="gramStart"/>
      <w:r w:rsidRPr="00D63571">
        <w:t>almost every</w:t>
      </w:r>
      <w:proofErr w:type="gramEnd"/>
      <w:r w:rsidRPr="00D63571">
        <w:t xml:space="preserve"> day to hang out with Mike.</w:t>
      </w:r>
    </w:p>
    <w:p w14:paraId="2AE9E516" w14:textId="603087AA" w:rsidR="00F026FE" w:rsidRPr="00D63571" w:rsidRDefault="00F026FE" w:rsidP="00F026FE">
      <w:pPr>
        <w:ind w:firstLine="720"/>
      </w:pPr>
      <w:r w:rsidRPr="00D63571">
        <w:t xml:space="preserve">On his visits, </w:t>
      </w:r>
      <w:r w:rsidR="00F6225E">
        <w:t>Morales</w:t>
      </w:r>
      <w:r w:rsidRPr="00D63571">
        <w:t xml:space="preserve"> sometimes</w:t>
      </w:r>
      <w:r w:rsidR="00D67DA3">
        <w:t xml:space="preserve"> briefly</w:t>
      </w:r>
      <w:r w:rsidRPr="00D63571">
        <w:t xml:space="preserve"> interacted with Raquel and Jasmine</w:t>
      </w:r>
      <w:r w:rsidR="00D67DA3">
        <w:t>, us</w:t>
      </w:r>
      <w:r w:rsidR="0051736E">
        <w:t>u</w:t>
      </w:r>
      <w:r w:rsidR="00D67DA3">
        <w:t>ally sharing just quick hellos</w:t>
      </w:r>
      <w:r w:rsidRPr="00D63571">
        <w:t xml:space="preserve">.  But on one occasion </w:t>
      </w:r>
      <w:r w:rsidR="00F6225E">
        <w:t>Morales</w:t>
      </w:r>
      <w:r w:rsidRPr="00D63571">
        <w:t xml:space="preserve"> made Raquel uncomfortable</w:t>
      </w:r>
      <w:r>
        <w:t xml:space="preserve"> by standing</w:t>
      </w:r>
      <w:r w:rsidRPr="00D63571">
        <w:t xml:space="preserve"> in </w:t>
      </w:r>
      <w:r w:rsidR="00580FB9">
        <w:t>the</w:t>
      </w:r>
      <w:r w:rsidRPr="00D63571">
        <w:t xml:space="preserve"> backyard</w:t>
      </w:r>
      <w:r>
        <w:t xml:space="preserve">, </w:t>
      </w:r>
      <w:r w:rsidRPr="00D63571">
        <w:t>star</w:t>
      </w:r>
      <w:r>
        <w:t xml:space="preserve">ing </w:t>
      </w:r>
      <w:r w:rsidRPr="00D63571">
        <w:t>at her through her bedroom window</w:t>
      </w:r>
      <w:r>
        <w:t>,</w:t>
      </w:r>
      <w:r w:rsidRPr="00D63571">
        <w:t xml:space="preserve"> and ask</w:t>
      </w:r>
      <w:r>
        <w:t>ing</w:t>
      </w:r>
      <w:r w:rsidRPr="00D63571">
        <w:t xml:space="preserve"> her to come outside.  </w:t>
      </w:r>
      <w:r w:rsidR="002E0AB0">
        <w:t xml:space="preserve">After the encounter, </w:t>
      </w:r>
      <w:r w:rsidR="00F6225E">
        <w:t>Morales</w:t>
      </w:r>
      <w:r w:rsidRPr="00D63571">
        <w:t xml:space="preserve"> apologized to Mike and Maritza and bought the whole family dinner.  </w:t>
      </w:r>
      <w:r w:rsidR="00F6225E">
        <w:t>Morales</w:t>
      </w:r>
      <w:r w:rsidRPr="00D63571">
        <w:t xml:space="preserve"> also once asked Raquel on a date, and she said </w:t>
      </w:r>
      <w:r w:rsidRPr="00D63571">
        <w:lastRenderedPageBreak/>
        <w:t xml:space="preserve">“maybe,” though she did not want to go out with him, so she avoided him on the night of their date.  Thereafter, she felt uncomfortable around him and began staying in her room whenever he came over to the </w:t>
      </w:r>
      <w:r w:rsidR="00580FB9">
        <w:t>family’s</w:t>
      </w:r>
      <w:r w:rsidR="00580FB9" w:rsidRPr="00D63571">
        <w:t xml:space="preserve"> </w:t>
      </w:r>
      <w:r w:rsidRPr="00D63571">
        <w:t>house.</w:t>
      </w:r>
    </w:p>
    <w:p w14:paraId="6A06587A" w14:textId="04302567" w:rsidR="00F026FE" w:rsidRPr="00D63571" w:rsidRDefault="00F026FE" w:rsidP="00F026FE">
      <w:pPr>
        <w:ind w:firstLine="720"/>
      </w:pPr>
      <w:r w:rsidRPr="00D63571">
        <w:t xml:space="preserve">Sometimes when </w:t>
      </w:r>
      <w:r w:rsidR="00F6225E">
        <w:t>Morales</w:t>
      </w:r>
      <w:r w:rsidRPr="00D63571">
        <w:t xml:space="preserve"> visited Mike at home, he would drive his car (a green </w:t>
      </w:r>
      <w:r>
        <w:t>M</w:t>
      </w:r>
      <w:r w:rsidRPr="00D63571">
        <w:t xml:space="preserve">ustang), though he lived just down the street.  Hector Alvarez, </w:t>
      </w:r>
      <w:r w:rsidR="00BD3F53">
        <w:t>a</w:t>
      </w:r>
      <w:r w:rsidRPr="00D63571">
        <w:t xml:space="preserve"> neighbor</w:t>
      </w:r>
      <w:r w:rsidR="00BD3F53">
        <w:t xml:space="preserve"> of the family</w:t>
      </w:r>
      <w:r w:rsidRPr="00D63571">
        <w:t xml:space="preserve">, would see </w:t>
      </w:r>
      <w:r w:rsidR="00F6225E">
        <w:t>Morales</w:t>
      </w:r>
      <w:r w:rsidRPr="00D63571">
        <w:t xml:space="preserve">’s </w:t>
      </w:r>
      <w:r w:rsidR="00F9767D">
        <w:t xml:space="preserve">Mustang </w:t>
      </w:r>
      <w:r w:rsidRPr="00D63571">
        <w:t xml:space="preserve">at the house </w:t>
      </w:r>
      <w:proofErr w:type="gramStart"/>
      <w:r>
        <w:t>approximately</w:t>
      </w:r>
      <w:r w:rsidRPr="00D63571">
        <w:t xml:space="preserve"> four</w:t>
      </w:r>
      <w:proofErr w:type="gramEnd"/>
      <w:r w:rsidRPr="00D63571">
        <w:t xml:space="preserve"> days a week.  About two months before the murders, Alvarez stopped seeing </w:t>
      </w:r>
      <w:r w:rsidR="00F6225E">
        <w:t>Morales</w:t>
      </w:r>
      <w:r w:rsidRPr="00D63571">
        <w:t xml:space="preserve">’s car in front of </w:t>
      </w:r>
      <w:r w:rsidR="001E44A2">
        <w:t>the family’s</w:t>
      </w:r>
      <w:r w:rsidR="001E44A2" w:rsidRPr="00D63571">
        <w:t xml:space="preserve"> </w:t>
      </w:r>
      <w:r w:rsidRPr="00D63571">
        <w:t xml:space="preserve">house, and about a month before the murders, he stopped seeing </w:t>
      </w:r>
      <w:r w:rsidR="00F6225E">
        <w:t>Morales</w:t>
      </w:r>
      <w:r w:rsidRPr="00D63571">
        <w:t xml:space="preserve"> at the house.  Raquel also </w:t>
      </w:r>
      <w:r w:rsidR="00081A2A">
        <w:t xml:space="preserve">realized </w:t>
      </w:r>
      <w:r w:rsidRPr="00D63571">
        <w:t xml:space="preserve">about a week before the murders that </w:t>
      </w:r>
      <w:r w:rsidR="00F6225E">
        <w:t>Morales</w:t>
      </w:r>
      <w:r w:rsidRPr="00D63571">
        <w:t xml:space="preserve"> had stopped coming to the house.</w:t>
      </w:r>
    </w:p>
    <w:p w14:paraId="2EE214B5" w14:textId="35021F99" w:rsidR="00F026FE" w:rsidRPr="00D63571" w:rsidRDefault="00F026FE" w:rsidP="00877BD0">
      <w:pPr>
        <w:ind w:firstLine="720"/>
        <w:rPr>
          <w:highlight w:val="yellow"/>
        </w:rPr>
      </w:pPr>
      <w:r w:rsidRPr="00D63571">
        <w:t xml:space="preserve">The murders occurred sometime after 9:00 p.m. </w:t>
      </w:r>
      <w:r>
        <w:t xml:space="preserve">on </w:t>
      </w:r>
      <w:r w:rsidRPr="00D63571">
        <w:t>Thursday, July 11, 2002</w:t>
      </w:r>
      <w:r w:rsidR="000727C4">
        <w:t>,</w:t>
      </w:r>
      <w:r w:rsidRPr="00D63571">
        <w:t xml:space="preserve"> and before 8:30 a.m. </w:t>
      </w:r>
      <w:r>
        <w:t xml:space="preserve">on </w:t>
      </w:r>
      <w:r w:rsidRPr="00D63571">
        <w:t xml:space="preserve">Friday, July 12, 2002.  </w:t>
      </w:r>
      <w:r w:rsidR="00877BD0">
        <w:t>Mike and Maritza were last seen alive b</w:t>
      </w:r>
      <w:r w:rsidRPr="00D63571">
        <w:t>etween 8:30 and 9:30 p.m.</w:t>
      </w:r>
      <w:r w:rsidR="00877BD0">
        <w:t xml:space="preserve"> </w:t>
      </w:r>
      <w:r w:rsidR="000727C4">
        <w:t xml:space="preserve">on </w:t>
      </w:r>
      <w:r w:rsidR="00877BD0">
        <w:t>Thursday night</w:t>
      </w:r>
      <w:r w:rsidRPr="00D63571">
        <w:t xml:space="preserve">, </w:t>
      </w:r>
      <w:r w:rsidR="00877BD0">
        <w:t xml:space="preserve">when </w:t>
      </w:r>
      <w:r w:rsidRPr="00D63571">
        <w:t xml:space="preserve">one of Mike’s friends visited </w:t>
      </w:r>
      <w:r w:rsidR="00877BD0">
        <w:t xml:space="preserve">them </w:t>
      </w:r>
      <w:r w:rsidRPr="00D63571">
        <w:t xml:space="preserve">at </w:t>
      </w:r>
      <w:r w:rsidRPr="00877BD0">
        <w:t xml:space="preserve">their home for 15 to 30 minutes.  Raquel </w:t>
      </w:r>
      <w:r w:rsidR="00141824">
        <w:t>spent the night</w:t>
      </w:r>
      <w:r w:rsidRPr="00877BD0">
        <w:t xml:space="preserve"> at her uncle’s house that night.</w:t>
      </w:r>
      <w:r w:rsidR="00877BD0" w:rsidRPr="00877BD0">
        <w:t xml:space="preserve">  </w:t>
      </w:r>
      <w:r w:rsidR="000727C4">
        <w:t>T</w:t>
      </w:r>
      <w:r w:rsidRPr="00D63571">
        <w:t xml:space="preserve">he </w:t>
      </w:r>
      <w:r w:rsidR="00671E12">
        <w:t>family’s</w:t>
      </w:r>
      <w:r w:rsidR="00671E12" w:rsidRPr="00D63571">
        <w:t xml:space="preserve"> </w:t>
      </w:r>
      <w:r w:rsidRPr="00D63571">
        <w:t xml:space="preserve">back-door neighbor, Doris Morris, saw a step stool against </w:t>
      </w:r>
      <w:r>
        <w:t>the wall of her property</w:t>
      </w:r>
      <w:r w:rsidRPr="00D63571">
        <w:t xml:space="preserve"> </w:t>
      </w:r>
      <w:r>
        <w:t xml:space="preserve">that </w:t>
      </w:r>
      <w:r w:rsidRPr="00D63571">
        <w:t xml:space="preserve">abutted the </w:t>
      </w:r>
      <w:r w:rsidR="00671E12">
        <w:t>family’s</w:t>
      </w:r>
      <w:r w:rsidR="00671E12" w:rsidRPr="00D63571">
        <w:t xml:space="preserve"> </w:t>
      </w:r>
      <w:r w:rsidRPr="00D63571">
        <w:t>property</w:t>
      </w:r>
      <w:r w:rsidR="000727C4">
        <w:t xml:space="preserve"> on either Thursday or Friday morning:  </w:t>
      </w:r>
      <w:r w:rsidRPr="00D63571">
        <w:t>At trial in 2005, Morris testified she saw the stool on Thursday morning at around 8:00 a.m. and moved it at about noon</w:t>
      </w:r>
      <w:r w:rsidR="000727C4">
        <w:t>, b</w:t>
      </w:r>
      <w:r w:rsidRPr="00D63571">
        <w:t xml:space="preserve">ut in an interview with </w:t>
      </w:r>
      <w:r>
        <w:t xml:space="preserve">law enforcement </w:t>
      </w:r>
      <w:r w:rsidRPr="00D63571">
        <w:t xml:space="preserve">officers on </w:t>
      </w:r>
      <w:r w:rsidR="00E14988">
        <w:t xml:space="preserve">Saturday, </w:t>
      </w:r>
      <w:r w:rsidRPr="00D63571">
        <w:t xml:space="preserve">July 13, 2002, </w:t>
      </w:r>
      <w:r w:rsidR="000727C4">
        <w:t xml:space="preserve">Morris said she </w:t>
      </w:r>
      <w:r w:rsidRPr="00D63571">
        <w:t>had seen the stool on Friday morning at around 6:00</w:t>
      </w:r>
      <w:r>
        <w:t> </w:t>
      </w:r>
      <w:r w:rsidRPr="00D63571">
        <w:t xml:space="preserve">a.m. and moved it at about 11:00 a.m.  Morris’s backyard was not enclosed, so someone could walk directly from Morris’s backyard to </w:t>
      </w:r>
      <w:r w:rsidR="00F6225E">
        <w:t>Morales</w:t>
      </w:r>
      <w:r w:rsidRPr="00D63571">
        <w:t>’s house down the street.</w:t>
      </w:r>
    </w:p>
    <w:p w14:paraId="32413A39" w14:textId="3082A0BC" w:rsidR="00F026FE" w:rsidRPr="00D63571" w:rsidRDefault="00F026FE" w:rsidP="00F026FE">
      <w:pPr>
        <w:ind w:firstLine="720"/>
        <w:rPr>
          <w:highlight w:val="yellow"/>
        </w:rPr>
      </w:pPr>
      <w:r w:rsidRPr="00D63571">
        <w:lastRenderedPageBreak/>
        <w:t xml:space="preserve">Between </w:t>
      </w:r>
      <w:r w:rsidRPr="004D7955">
        <w:t xml:space="preserve">8:00 and 8:30 a.m. on Friday, Mike’s father and his </w:t>
      </w:r>
      <w:r w:rsidR="00F54D1A">
        <w:t>father’s wife</w:t>
      </w:r>
      <w:r w:rsidR="00F54D1A" w:rsidRPr="004D7955">
        <w:t xml:space="preserve"> </w:t>
      </w:r>
      <w:r w:rsidRPr="004D7955">
        <w:t>stopped</w:t>
      </w:r>
      <w:r w:rsidRPr="00D63571">
        <w:t xml:space="preserve"> by the </w:t>
      </w:r>
      <w:r w:rsidR="00671E12">
        <w:t>family’s</w:t>
      </w:r>
      <w:r w:rsidR="00671E12" w:rsidRPr="00D63571">
        <w:t xml:space="preserve"> </w:t>
      </w:r>
      <w:r w:rsidRPr="00D63571">
        <w:t xml:space="preserve">house.  They knocked on the </w:t>
      </w:r>
      <w:r w:rsidR="004D7955">
        <w:t xml:space="preserve">front </w:t>
      </w:r>
      <w:r w:rsidRPr="00D63571">
        <w:t xml:space="preserve">door and </w:t>
      </w:r>
      <w:r w:rsidR="003809D3">
        <w:t xml:space="preserve">on </w:t>
      </w:r>
      <w:r w:rsidRPr="00D63571">
        <w:t>Ana’s bedroom window, but no one answered, so they left after about</w:t>
      </w:r>
      <w:r w:rsidR="003809D3">
        <w:t xml:space="preserve"> </w:t>
      </w:r>
      <w:r w:rsidR="0033035E">
        <w:t xml:space="preserve">five </w:t>
      </w:r>
      <w:r w:rsidRPr="00D63571">
        <w:t xml:space="preserve">to </w:t>
      </w:r>
      <w:r>
        <w:t>10</w:t>
      </w:r>
      <w:r w:rsidRPr="00D63571">
        <w:t xml:space="preserve"> minutes.  It was unusual for </w:t>
      </w:r>
      <w:r w:rsidR="00BC07CD">
        <w:t>everyone</w:t>
      </w:r>
      <w:r w:rsidRPr="00D63571">
        <w:t xml:space="preserve"> to be asleep so late.  Mike did not show up to work at 9:00 a.m., </w:t>
      </w:r>
      <w:r>
        <w:t xml:space="preserve">even </w:t>
      </w:r>
      <w:r w:rsidRPr="00D63571">
        <w:t xml:space="preserve">though he had a </w:t>
      </w:r>
      <w:r w:rsidR="003809D3">
        <w:t xml:space="preserve">scheduled </w:t>
      </w:r>
      <w:r w:rsidRPr="00D63571">
        <w:t xml:space="preserve">meeting </w:t>
      </w:r>
      <w:r w:rsidR="004D7955">
        <w:t xml:space="preserve">at that time </w:t>
      </w:r>
      <w:r w:rsidRPr="00D63571">
        <w:t>with Harold Suarez</w:t>
      </w:r>
      <w:r>
        <w:t>, a distant relative and customer</w:t>
      </w:r>
      <w:r w:rsidR="004D7955">
        <w:t>,</w:t>
      </w:r>
      <w:r w:rsidR="003809D3">
        <w:t xml:space="preserve"> and </w:t>
      </w:r>
      <w:r w:rsidRPr="00D63571">
        <w:t xml:space="preserve">was usually very punctual.  At around 9:15 a.m., Suarez called Mike’s cell phone; someone answered the phone, waited for </w:t>
      </w:r>
      <w:proofErr w:type="gramStart"/>
      <w:r w:rsidRPr="00D63571">
        <w:t>a few</w:t>
      </w:r>
      <w:proofErr w:type="gramEnd"/>
      <w:r w:rsidRPr="00D63571">
        <w:t xml:space="preserve"> seconds without speaking, and then hung up.  </w:t>
      </w:r>
      <w:r>
        <w:t>Suarez</w:t>
      </w:r>
      <w:r w:rsidRPr="00D63571">
        <w:t xml:space="preserve"> called again five to </w:t>
      </w:r>
      <w:r>
        <w:t>10</w:t>
      </w:r>
      <w:r w:rsidRPr="00D63571">
        <w:t xml:space="preserve"> minutes later and the same thing happened.  At various times throughout the rest of the day, </w:t>
      </w:r>
      <w:proofErr w:type="gramStart"/>
      <w:r w:rsidRPr="00D63571">
        <w:t>Raquel</w:t>
      </w:r>
      <w:proofErr w:type="gramEnd"/>
      <w:r w:rsidRPr="00D63571">
        <w:t xml:space="preserve"> and Mike’s sister-in-law, </w:t>
      </w:r>
      <w:proofErr w:type="spellStart"/>
      <w:r w:rsidRPr="00D63571">
        <w:t>Kenelly</w:t>
      </w:r>
      <w:proofErr w:type="spellEnd"/>
      <w:r w:rsidRPr="00D63571">
        <w:t xml:space="preserve"> </w:t>
      </w:r>
      <w:proofErr w:type="spellStart"/>
      <w:r w:rsidRPr="00D63571">
        <w:t>Zeledon</w:t>
      </w:r>
      <w:proofErr w:type="spellEnd"/>
      <w:r w:rsidRPr="00D63571">
        <w:t xml:space="preserve">, attempted to call Mike, but they could not reach him.  At about 9:00 p.m., Raquel went to her house with her uncle.  Her parents’ cars were in the driveway, but </w:t>
      </w:r>
      <w:proofErr w:type="gramStart"/>
      <w:r w:rsidRPr="00D63571">
        <w:t>all of</w:t>
      </w:r>
      <w:proofErr w:type="gramEnd"/>
      <w:r w:rsidRPr="00D63571">
        <w:t xml:space="preserve"> the house doors were closed</w:t>
      </w:r>
      <w:r w:rsidR="00820DE4">
        <w:t>,</w:t>
      </w:r>
      <w:r w:rsidRPr="00D63571">
        <w:t xml:space="preserve"> and the curtains were shut.  She knocked on the doors, but no one answered.  She left the home between 10:00 and 10:30 p.m. to stay at </w:t>
      </w:r>
      <w:proofErr w:type="spellStart"/>
      <w:r>
        <w:t>Zeledon</w:t>
      </w:r>
      <w:r w:rsidRPr="00D63571">
        <w:t>’s</w:t>
      </w:r>
      <w:proofErr w:type="spellEnd"/>
      <w:r w:rsidRPr="00D63571">
        <w:t xml:space="preserve"> house.</w:t>
      </w:r>
    </w:p>
    <w:p w14:paraId="0B6367B7" w14:textId="1C6A856C" w:rsidR="00F026FE" w:rsidRPr="00D63571" w:rsidRDefault="00F026FE" w:rsidP="00F026FE">
      <w:pPr>
        <w:ind w:firstLine="720"/>
      </w:pPr>
      <w:r w:rsidRPr="00D63571">
        <w:t xml:space="preserve">At 11:00 p.m. on Friday, Leopoldo Salgado, a local bar manager, saw </w:t>
      </w:r>
      <w:r w:rsidR="00F6225E">
        <w:t>Morales</w:t>
      </w:r>
      <w:r w:rsidRPr="00D63571">
        <w:t xml:space="preserve"> at </w:t>
      </w:r>
      <w:r>
        <w:t>the</w:t>
      </w:r>
      <w:r w:rsidRPr="00D63571">
        <w:t xml:space="preserve"> bar.  </w:t>
      </w:r>
      <w:r w:rsidR="00F6225E">
        <w:t>Morales</w:t>
      </w:r>
      <w:r w:rsidRPr="00D63571">
        <w:t xml:space="preserve">, who visited the bar frequently but did not drink, asked to talk to Salgado.  Salgado asked </w:t>
      </w:r>
      <w:r w:rsidR="00F6225E">
        <w:t>Morales</w:t>
      </w:r>
      <w:r w:rsidRPr="00D63571">
        <w:t xml:space="preserve"> to wait until closing, after which </w:t>
      </w:r>
      <w:r w:rsidR="00F6225E">
        <w:t>Morales</w:t>
      </w:r>
      <w:r w:rsidRPr="00D63571">
        <w:t xml:space="preserve"> left the bar.  At around 2:00 a.m., Salgado saw </w:t>
      </w:r>
      <w:r w:rsidR="00F6225E">
        <w:t>Morales</w:t>
      </w:r>
      <w:r w:rsidRPr="00D63571">
        <w:t xml:space="preserve"> sitting in his car in the bar parking lot, but Salgado did not have time to talk at length with </w:t>
      </w:r>
      <w:r w:rsidR="00F6225E">
        <w:t>Morales</w:t>
      </w:r>
      <w:r w:rsidRPr="00D63571">
        <w:t>.</w:t>
      </w:r>
    </w:p>
    <w:p w14:paraId="7F8E8422" w14:textId="3D8D4D09" w:rsidR="00F026FE" w:rsidRPr="00D63571" w:rsidRDefault="00F026FE" w:rsidP="00F026FE">
      <w:pPr>
        <w:ind w:firstLine="720"/>
      </w:pPr>
      <w:r w:rsidRPr="00D63571">
        <w:t xml:space="preserve">On Saturday, July 13, 2002, at around 6:00 a.m., Doris Morris saw a large trash barrel and step stool against </w:t>
      </w:r>
      <w:r>
        <w:t xml:space="preserve">her wall abutting the </w:t>
      </w:r>
      <w:r w:rsidR="00E46692">
        <w:t xml:space="preserve">family’s </w:t>
      </w:r>
      <w:r>
        <w:t>property</w:t>
      </w:r>
      <w:r w:rsidRPr="00D63571">
        <w:t>.  The step stool was different than the one she</w:t>
      </w:r>
      <w:r>
        <w:t xml:space="preserve"> ha</w:t>
      </w:r>
      <w:r w:rsidRPr="00D63571">
        <w:t xml:space="preserve">d seen previously.  When she went outside at 6:15 a.m., both the stool and the </w:t>
      </w:r>
      <w:r>
        <w:t>barrel</w:t>
      </w:r>
      <w:r w:rsidRPr="00D63571">
        <w:t xml:space="preserve"> were gone.</w:t>
      </w:r>
    </w:p>
    <w:p w14:paraId="19701672" w14:textId="41F2AD87" w:rsidR="00F026FE" w:rsidRPr="00D63571" w:rsidRDefault="00F026FE" w:rsidP="00F026FE">
      <w:pPr>
        <w:ind w:firstLine="720"/>
        <w:rPr>
          <w:szCs w:val="24"/>
        </w:rPr>
      </w:pPr>
      <w:r w:rsidRPr="00D63571">
        <w:rPr>
          <w:szCs w:val="24"/>
        </w:rPr>
        <w:lastRenderedPageBreak/>
        <w:t>On Saturday morning, around 1</w:t>
      </w:r>
      <w:r>
        <w:rPr>
          <w:szCs w:val="24"/>
        </w:rPr>
        <w:t>1:00 a.m.</w:t>
      </w:r>
      <w:r w:rsidRPr="00D63571">
        <w:rPr>
          <w:szCs w:val="24"/>
        </w:rPr>
        <w:t xml:space="preserve">, after failing to reach Maritza by phone, Raquel and </w:t>
      </w:r>
      <w:proofErr w:type="spellStart"/>
      <w:r w:rsidRPr="00D63571">
        <w:rPr>
          <w:szCs w:val="24"/>
        </w:rPr>
        <w:t>Zeledon</w:t>
      </w:r>
      <w:proofErr w:type="spellEnd"/>
      <w:r w:rsidRPr="00D63571">
        <w:rPr>
          <w:szCs w:val="24"/>
        </w:rPr>
        <w:t xml:space="preserve"> returned to </w:t>
      </w:r>
      <w:r w:rsidR="00E46692">
        <w:rPr>
          <w:szCs w:val="24"/>
        </w:rPr>
        <w:t>Raquel’s</w:t>
      </w:r>
      <w:r w:rsidR="00E46692" w:rsidRPr="00D63571">
        <w:rPr>
          <w:szCs w:val="24"/>
        </w:rPr>
        <w:t xml:space="preserve"> </w:t>
      </w:r>
      <w:r w:rsidRPr="00D63571">
        <w:rPr>
          <w:szCs w:val="24"/>
        </w:rPr>
        <w:t xml:space="preserve">house.  No one responded when Raquel knocked, so she jumped over the fence and entered the home through the unlocked kitchen door at the back of the house. </w:t>
      </w:r>
      <w:r>
        <w:rPr>
          <w:szCs w:val="24"/>
        </w:rPr>
        <w:t xml:space="preserve"> </w:t>
      </w:r>
      <w:r w:rsidRPr="00D63571">
        <w:rPr>
          <w:szCs w:val="24"/>
        </w:rPr>
        <w:t xml:space="preserve">She found the house in complete disarray, with blood and food items on the walls and floors, towels on the floors, furniture moved, and items missing from Mike’s office.  Raquel went outside and told her aunt about the state of the home.  </w:t>
      </w:r>
      <w:proofErr w:type="spellStart"/>
      <w:r w:rsidRPr="00D63571">
        <w:rPr>
          <w:szCs w:val="24"/>
        </w:rPr>
        <w:t>Zeledon</w:t>
      </w:r>
      <w:proofErr w:type="spellEnd"/>
      <w:r w:rsidRPr="00D63571">
        <w:rPr>
          <w:szCs w:val="24"/>
        </w:rPr>
        <w:t xml:space="preserve"> entered the home and noted the disorder.  In Mike’s office, she found blood all over, items moved around, and a pair of pants on the floor, which was strange because Mike was usually tidy.  In the master bedroom, she noticed furniture had been moved.  </w:t>
      </w:r>
      <w:r>
        <w:rPr>
          <w:szCs w:val="24"/>
        </w:rPr>
        <w:t>And i</w:t>
      </w:r>
      <w:r w:rsidRPr="00D63571">
        <w:rPr>
          <w:szCs w:val="24"/>
        </w:rPr>
        <w:t xml:space="preserve">n Jasmine and Raquel’s room, there was honey all over the furniture.  She then walked into Raquel and Jasmine’s bathroom and saw Jasmine’s lifeless body in the bathtub.  </w:t>
      </w:r>
      <w:r w:rsidR="00184FFC">
        <w:rPr>
          <w:szCs w:val="24"/>
        </w:rPr>
        <w:t xml:space="preserve">On top of Jasmine was a large statue that covered </w:t>
      </w:r>
      <w:proofErr w:type="gramStart"/>
      <w:r w:rsidR="00184FFC">
        <w:rPr>
          <w:szCs w:val="24"/>
        </w:rPr>
        <w:t>almost the</w:t>
      </w:r>
      <w:proofErr w:type="gramEnd"/>
      <w:r w:rsidR="00184FFC">
        <w:rPr>
          <w:szCs w:val="24"/>
        </w:rPr>
        <w:t xml:space="preserve"> entire length of her body.  She also had</w:t>
      </w:r>
      <w:r w:rsidRPr="00D63571">
        <w:rPr>
          <w:szCs w:val="24"/>
        </w:rPr>
        <w:t xml:space="preserve"> blood running down her leg.  </w:t>
      </w:r>
      <w:proofErr w:type="spellStart"/>
      <w:r w:rsidRPr="00D63571">
        <w:rPr>
          <w:szCs w:val="24"/>
        </w:rPr>
        <w:t>Zeledon</w:t>
      </w:r>
      <w:proofErr w:type="spellEnd"/>
      <w:r w:rsidRPr="00D63571">
        <w:rPr>
          <w:szCs w:val="24"/>
        </w:rPr>
        <w:t xml:space="preserve"> then entered Ana’s bedroom, where she found the bodies of Mike, Maritza, and Ana.  </w:t>
      </w:r>
      <w:r>
        <w:rPr>
          <w:szCs w:val="24"/>
        </w:rPr>
        <w:t>Mike</w:t>
      </w:r>
      <w:r w:rsidRPr="00D63571">
        <w:rPr>
          <w:szCs w:val="24"/>
        </w:rPr>
        <w:t xml:space="preserve"> was wearing only underwear</w:t>
      </w:r>
      <w:r w:rsidR="006E4EF8">
        <w:rPr>
          <w:szCs w:val="24"/>
        </w:rPr>
        <w:t xml:space="preserve"> (</w:t>
      </w:r>
      <w:r w:rsidR="001876B7">
        <w:rPr>
          <w:szCs w:val="24"/>
        </w:rPr>
        <w:t xml:space="preserve">which </w:t>
      </w:r>
      <w:r w:rsidR="006E4EF8">
        <w:rPr>
          <w:szCs w:val="24"/>
        </w:rPr>
        <w:t xml:space="preserve">Raquel </w:t>
      </w:r>
      <w:r w:rsidR="001876B7">
        <w:rPr>
          <w:szCs w:val="24"/>
        </w:rPr>
        <w:t>testified was unusual</w:t>
      </w:r>
      <w:r w:rsidR="006E4EF8">
        <w:rPr>
          <w:szCs w:val="24"/>
        </w:rPr>
        <w:t>)</w:t>
      </w:r>
      <w:r w:rsidR="001876B7">
        <w:rPr>
          <w:szCs w:val="24"/>
        </w:rPr>
        <w:t xml:space="preserve">, </w:t>
      </w:r>
      <w:r w:rsidRPr="00D63571">
        <w:rPr>
          <w:szCs w:val="24"/>
        </w:rPr>
        <w:t xml:space="preserve">Maritza </w:t>
      </w:r>
      <w:r w:rsidR="00F46B06">
        <w:rPr>
          <w:szCs w:val="24"/>
        </w:rPr>
        <w:t xml:space="preserve">was wearing </w:t>
      </w:r>
      <w:r w:rsidRPr="00D63571">
        <w:rPr>
          <w:szCs w:val="24"/>
        </w:rPr>
        <w:t xml:space="preserve">a tank top and shorts, and Ana was wearing a nightgown.  </w:t>
      </w:r>
      <w:proofErr w:type="spellStart"/>
      <w:r w:rsidRPr="00D63571">
        <w:rPr>
          <w:szCs w:val="24"/>
        </w:rPr>
        <w:t>Zeledon</w:t>
      </w:r>
      <w:proofErr w:type="spellEnd"/>
      <w:r w:rsidRPr="00D63571">
        <w:rPr>
          <w:szCs w:val="24"/>
        </w:rPr>
        <w:t xml:space="preserve"> </w:t>
      </w:r>
      <w:r>
        <w:rPr>
          <w:szCs w:val="24"/>
        </w:rPr>
        <w:t>exited</w:t>
      </w:r>
      <w:r w:rsidRPr="00D63571">
        <w:rPr>
          <w:szCs w:val="24"/>
        </w:rPr>
        <w:t xml:space="preserve"> the house, told Raquel what she had found, and asked a neighbor to call 911.</w:t>
      </w:r>
    </w:p>
    <w:p w14:paraId="0856B7CF" w14:textId="3DFA2377" w:rsidR="00F026FE" w:rsidRPr="00D63571" w:rsidRDefault="00F026FE" w:rsidP="00ED094C">
      <w:pPr>
        <w:ind w:firstLine="720"/>
        <w:rPr>
          <w:szCs w:val="24"/>
          <w:highlight w:val="yellow"/>
        </w:rPr>
      </w:pPr>
      <w:r w:rsidRPr="00D63571">
        <w:rPr>
          <w:szCs w:val="24"/>
        </w:rPr>
        <w:t xml:space="preserve">The police arrived and began documenting and collecting evidence.  They </w:t>
      </w:r>
      <w:r>
        <w:rPr>
          <w:szCs w:val="24"/>
        </w:rPr>
        <w:t xml:space="preserve">found </w:t>
      </w:r>
      <w:r w:rsidRPr="00D63571">
        <w:rPr>
          <w:szCs w:val="24"/>
        </w:rPr>
        <w:t>blood all over the house</w:t>
      </w:r>
      <w:r w:rsidR="007654B7">
        <w:rPr>
          <w:szCs w:val="24"/>
        </w:rPr>
        <w:t>.</w:t>
      </w:r>
      <w:r w:rsidRPr="00D63571">
        <w:rPr>
          <w:szCs w:val="24"/>
        </w:rPr>
        <w:t xml:space="preserve">  In the entryway, the walls and door had blood spatter and smears.  In the living room, they found blood spatter and pooled blood on the floor, as well as potential handprints on the sofa, which was smeared with blood.  There also was a trail of blood with drag marks leading out of the living room toward the bedrooms.  </w:t>
      </w:r>
      <w:r w:rsidR="00ED094C">
        <w:rPr>
          <w:szCs w:val="24"/>
        </w:rPr>
        <w:t>It</w:t>
      </w:r>
      <w:r w:rsidRPr="00D63571">
        <w:rPr>
          <w:szCs w:val="24"/>
        </w:rPr>
        <w:t xml:space="preserve"> appeared </w:t>
      </w:r>
      <w:r w:rsidRPr="00D63571">
        <w:rPr>
          <w:szCs w:val="24"/>
        </w:rPr>
        <w:lastRenderedPageBreak/>
        <w:t xml:space="preserve">as if someone had tried to clean up </w:t>
      </w:r>
      <w:proofErr w:type="gramStart"/>
      <w:r w:rsidRPr="00D63571">
        <w:rPr>
          <w:szCs w:val="24"/>
        </w:rPr>
        <w:t>some of</w:t>
      </w:r>
      <w:proofErr w:type="gramEnd"/>
      <w:r w:rsidRPr="00D63571">
        <w:rPr>
          <w:szCs w:val="24"/>
        </w:rPr>
        <w:t xml:space="preserve"> the blood; there were </w:t>
      </w:r>
      <w:r w:rsidRPr="00ED094C">
        <w:rPr>
          <w:szCs w:val="24"/>
        </w:rPr>
        <w:t>diluted blood smears, towels on the floor, and a bucket of liquid and a mop.</w:t>
      </w:r>
      <w:r w:rsidR="00ED094C" w:rsidRPr="00ED094C">
        <w:rPr>
          <w:szCs w:val="24"/>
        </w:rPr>
        <w:t xml:space="preserve">  </w:t>
      </w:r>
      <w:r w:rsidRPr="00ED094C">
        <w:rPr>
          <w:szCs w:val="24"/>
        </w:rPr>
        <w:t>In the office, there were multiple blood stains on the walls</w:t>
      </w:r>
      <w:r w:rsidR="00301816">
        <w:rPr>
          <w:szCs w:val="24"/>
        </w:rPr>
        <w:t>.</w:t>
      </w:r>
      <w:r w:rsidRPr="00ED094C">
        <w:rPr>
          <w:szCs w:val="24"/>
        </w:rPr>
        <w:t xml:space="preserve"> </w:t>
      </w:r>
      <w:r w:rsidR="005F1578">
        <w:rPr>
          <w:szCs w:val="24"/>
        </w:rPr>
        <w:t xml:space="preserve"> </w:t>
      </w:r>
      <w:r w:rsidR="00301816">
        <w:rPr>
          <w:szCs w:val="24"/>
        </w:rPr>
        <w:t>P</w:t>
      </w:r>
      <w:r w:rsidRPr="00ED094C">
        <w:rPr>
          <w:szCs w:val="24"/>
        </w:rPr>
        <w:t>olice found</w:t>
      </w:r>
      <w:r w:rsidRPr="00D63571">
        <w:rPr>
          <w:szCs w:val="24"/>
        </w:rPr>
        <w:t xml:space="preserve"> a bloody hoop </w:t>
      </w:r>
      <w:r w:rsidRPr="00A125EC">
        <w:rPr>
          <w:szCs w:val="24"/>
        </w:rPr>
        <w:t xml:space="preserve">earring under the desk, which matched an earring Maritza was found wearing.  </w:t>
      </w:r>
      <w:r w:rsidR="00A125EC" w:rsidRPr="00A125EC">
        <w:rPr>
          <w:szCs w:val="24"/>
        </w:rPr>
        <w:t xml:space="preserve">In a hamper in the </w:t>
      </w:r>
      <w:r w:rsidRPr="00A125EC">
        <w:rPr>
          <w:szCs w:val="24"/>
        </w:rPr>
        <w:t xml:space="preserve">bathroom by the office, </w:t>
      </w:r>
      <w:r w:rsidR="00A125EC" w:rsidRPr="00A125EC">
        <w:rPr>
          <w:szCs w:val="24"/>
        </w:rPr>
        <w:t xml:space="preserve">the police found </w:t>
      </w:r>
      <w:r w:rsidRPr="00A125EC">
        <w:rPr>
          <w:szCs w:val="24"/>
        </w:rPr>
        <w:t>a shirt and shorts</w:t>
      </w:r>
      <w:r w:rsidR="00A125EC" w:rsidRPr="00A125EC">
        <w:rPr>
          <w:szCs w:val="24"/>
        </w:rPr>
        <w:t xml:space="preserve"> with blood stains</w:t>
      </w:r>
      <w:r w:rsidRPr="00A125EC">
        <w:rPr>
          <w:szCs w:val="24"/>
        </w:rPr>
        <w:t>.  In the</w:t>
      </w:r>
      <w:r w:rsidRPr="00D63571">
        <w:rPr>
          <w:szCs w:val="24"/>
        </w:rPr>
        <w:t xml:space="preserve"> bathroom where Jasmine’s body was found, there were bloodstains on the floor and sink and in the bathtub</w:t>
      </w:r>
      <w:r w:rsidR="00301816">
        <w:rPr>
          <w:szCs w:val="24"/>
        </w:rPr>
        <w:t>.  The tub also</w:t>
      </w:r>
      <w:r w:rsidRPr="00D63571">
        <w:rPr>
          <w:szCs w:val="24"/>
        </w:rPr>
        <w:t xml:space="preserve"> had a soap scum ring around its interior, indicating </w:t>
      </w:r>
      <w:r w:rsidR="00301816">
        <w:rPr>
          <w:szCs w:val="24"/>
        </w:rPr>
        <w:t xml:space="preserve">it </w:t>
      </w:r>
      <w:r w:rsidRPr="00D63571">
        <w:rPr>
          <w:szCs w:val="24"/>
        </w:rPr>
        <w:t>had been drained.</w:t>
      </w:r>
    </w:p>
    <w:p w14:paraId="01D62F2F" w14:textId="13E8342D" w:rsidR="00F026FE" w:rsidRPr="00D63571" w:rsidRDefault="00F026FE" w:rsidP="00F026FE">
      <w:pPr>
        <w:ind w:firstLine="720"/>
      </w:pPr>
      <w:r w:rsidRPr="00D63571">
        <w:t xml:space="preserve">The police also documented </w:t>
      </w:r>
      <w:proofErr w:type="gramStart"/>
      <w:r w:rsidRPr="00D63571">
        <w:t>several</w:t>
      </w:r>
      <w:proofErr w:type="gramEnd"/>
      <w:r w:rsidRPr="00D63571">
        <w:t xml:space="preserve"> pieces of physical evidence.  </w:t>
      </w:r>
      <w:r w:rsidR="007654B7">
        <w:t>T</w:t>
      </w:r>
      <w:r w:rsidRPr="00D63571">
        <w:t xml:space="preserve">omato paste, barbeque sauce, and honey had been poured all over the walls and on the bed linens.  </w:t>
      </w:r>
      <w:r w:rsidR="007654B7">
        <w:t xml:space="preserve">The police </w:t>
      </w:r>
      <w:r w:rsidRPr="00D63571">
        <w:t xml:space="preserve">discovered a six-to-eight-inch-long purple sex toy </w:t>
      </w:r>
      <w:r w:rsidR="007654B7">
        <w:t xml:space="preserve">in the bathtub, </w:t>
      </w:r>
      <w:r w:rsidRPr="00D63571">
        <w:t xml:space="preserve">between Jasmine’s legs.  In the closet of Mike’s office, </w:t>
      </w:r>
      <w:r w:rsidR="007654B7">
        <w:t>the police</w:t>
      </w:r>
      <w:r w:rsidR="007654B7" w:rsidRPr="00D63571">
        <w:t xml:space="preserve"> </w:t>
      </w:r>
      <w:r w:rsidRPr="00D63571">
        <w:t xml:space="preserve">found an empty package that might have </w:t>
      </w:r>
      <w:r w:rsidR="001354F1">
        <w:t xml:space="preserve">contained </w:t>
      </w:r>
      <w:r w:rsidRPr="00D63571">
        <w:t>the sex toy.  They found pieces of orange cord on the bathroom floor, on the bed in the master bedroom, and underneath Ana’s body.  On the bodies of Mike and Maritza, they found a bottle and cleaner-like substance.  The police also took shoe impressions from multiple locations in the home, including from a wooden chair found in the girls’ bedroom</w:t>
      </w:r>
      <w:r w:rsidR="00EA7941">
        <w:t>.</w:t>
      </w:r>
    </w:p>
    <w:p w14:paraId="10DCCD48" w14:textId="6D5F5D62" w:rsidR="00F026FE" w:rsidRPr="00D63571" w:rsidRDefault="00F026FE" w:rsidP="00F026FE">
      <w:pPr>
        <w:ind w:firstLine="720"/>
      </w:pPr>
      <w:r w:rsidRPr="00D63571">
        <w:rPr>
          <w:szCs w:val="24"/>
        </w:rPr>
        <w:t xml:space="preserve">In addition to documenting and collecting evidence at the scene, officers began investigating potential leads.  </w:t>
      </w:r>
      <w:r w:rsidRPr="00D63571">
        <w:t xml:space="preserve">This effort led them to </w:t>
      </w:r>
      <w:r w:rsidR="00F6225E">
        <w:t>Morales</w:t>
      </w:r>
      <w:r w:rsidRPr="00D63571">
        <w:t>’s home.  One officer noticed shoe</w:t>
      </w:r>
      <w:r>
        <w:t xml:space="preserve"> </w:t>
      </w:r>
      <w:r w:rsidRPr="00D63571">
        <w:t xml:space="preserve">prints near </w:t>
      </w:r>
      <w:r w:rsidR="00F6225E">
        <w:t>Morales</w:t>
      </w:r>
      <w:r>
        <w:t xml:space="preserve">’s </w:t>
      </w:r>
      <w:r w:rsidRPr="00D63571">
        <w:t xml:space="preserve">front door that appeared </w:t>
      </w:r>
      <w:proofErr w:type="gramStart"/>
      <w:r w:rsidRPr="00D63571">
        <w:t>similar to</w:t>
      </w:r>
      <w:proofErr w:type="gramEnd"/>
      <w:r w:rsidRPr="00D63571">
        <w:t xml:space="preserve"> the impression discovered on the wooden chair in </w:t>
      </w:r>
      <w:r>
        <w:t>the girls’</w:t>
      </w:r>
      <w:r w:rsidRPr="00D63571">
        <w:t xml:space="preserve"> </w:t>
      </w:r>
      <w:r>
        <w:t>bed</w:t>
      </w:r>
      <w:r w:rsidRPr="00D63571">
        <w:t xml:space="preserve">room.  During their conversation with </w:t>
      </w:r>
      <w:r w:rsidR="00F6225E">
        <w:t>Morales</w:t>
      </w:r>
      <w:r w:rsidRPr="00D63571">
        <w:t xml:space="preserve">, the officers asked to see the bottom of </w:t>
      </w:r>
      <w:r w:rsidR="00F6225E">
        <w:t>Morales</w:t>
      </w:r>
      <w:r w:rsidRPr="00D63571">
        <w:t xml:space="preserve">’s boots.  Believing the shoes might match the impression from the chair, the officers asked </w:t>
      </w:r>
      <w:r w:rsidR="00F6225E">
        <w:t>Morales</w:t>
      </w:r>
      <w:r w:rsidRPr="00D63571">
        <w:t xml:space="preserve"> to come to </w:t>
      </w:r>
      <w:r w:rsidRPr="00D63571">
        <w:lastRenderedPageBreak/>
        <w:t xml:space="preserve">the station for an interview.  </w:t>
      </w:r>
      <w:r w:rsidR="00F6225E">
        <w:t>Morales</w:t>
      </w:r>
      <w:r w:rsidRPr="00D63571">
        <w:t xml:space="preserve"> agreed.  This interview was the first of three interviews of </w:t>
      </w:r>
      <w:r w:rsidR="00F6225E">
        <w:t>Morales</w:t>
      </w:r>
      <w:r w:rsidRPr="00D63571">
        <w:t>.</w:t>
      </w:r>
    </w:p>
    <w:p w14:paraId="01BC0746" w14:textId="750C1E73" w:rsidR="00F026FE" w:rsidRDefault="00F026FE" w:rsidP="00F026FE">
      <w:pPr>
        <w:ind w:firstLine="720"/>
        <w:rPr>
          <w:szCs w:val="24"/>
        </w:rPr>
      </w:pPr>
      <w:r w:rsidRPr="00D63571">
        <w:rPr>
          <w:szCs w:val="24"/>
        </w:rPr>
        <w:t xml:space="preserve">In this first interview, </w:t>
      </w:r>
      <w:r w:rsidR="00F6225E">
        <w:rPr>
          <w:szCs w:val="24"/>
        </w:rPr>
        <w:t>Morales</w:t>
      </w:r>
      <w:r w:rsidRPr="00D63571">
        <w:rPr>
          <w:szCs w:val="24"/>
        </w:rPr>
        <w:t xml:space="preserve"> denied knowing anything about the murders.  </w:t>
      </w:r>
      <w:proofErr w:type="gramStart"/>
      <w:r w:rsidRPr="00D63571">
        <w:rPr>
          <w:szCs w:val="24"/>
        </w:rPr>
        <w:t>During the course of</w:t>
      </w:r>
      <w:proofErr w:type="gramEnd"/>
      <w:r w:rsidRPr="00D63571">
        <w:rPr>
          <w:szCs w:val="24"/>
        </w:rPr>
        <w:t xml:space="preserve"> the interview, he mentioned that he was not allowed in the girls’ bedroom.  He agreed to give the officers his boots and consented to a search of his house.  After the interview, while officers transported him to a different police station, </w:t>
      </w:r>
      <w:r w:rsidR="00F6225E">
        <w:rPr>
          <w:szCs w:val="24"/>
        </w:rPr>
        <w:t>Morales</w:t>
      </w:r>
      <w:r w:rsidRPr="00D63571">
        <w:rPr>
          <w:szCs w:val="24"/>
        </w:rPr>
        <w:t xml:space="preserve"> admitted that he was in the </w:t>
      </w:r>
      <w:r w:rsidR="00E46692">
        <w:rPr>
          <w:szCs w:val="24"/>
        </w:rPr>
        <w:t>victims</w:t>
      </w:r>
      <w:r w:rsidR="00E46692" w:rsidRPr="00D63571">
        <w:rPr>
          <w:szCs w:val="24"/>
        </w:rPr>
        <w:t xml:space="preserve">’ </w:t>
      </w:r>
      <w:r w:rsidRPr="00D63571">
        <w:rPr>
          <w:szCs w:val="24"/>
        </w:rPr>
        <w:t>house when they were murdered.</w:t>
      </w:r>
    </w:p>
    <w:p w14:paraId="48DF1818" w14:textId="49B5BDF0" w:rsidR="00F026FE" w:rsidRDefault="00F6225E" w:rsidP="00296EAE">
      <w:pPr>
        <w:ind w:firstLine="720"/>
        <w:rPr>
          <w:szCs w:val="24"/>
        </w:rPr>
      </w:pPr>
      <w:r>
        <w:rPr>
          <w:szCs w:val="24"/>
        </w:rPr>
        <w:t>Morales</w:t>
      </w:r>
      <w:r w:rsidR="00F026FE" w:rsidRPr="00D63571">
        <w:rPr>
          <w:szCs w:val="24"/>
        </w:rPr>
        <w:t xml:space="preserve"> was then interviewed a second time.  He told the officers he went to </w:t>
      </w:r>
      <w:r w:rsidR="00E46692">
        <w:rPr>
          <w:szCs w:val="24"/>
        </w:rPr>
        <w:t>the family’s house</w:t>
      </w:r>
      <w:r w:rsidR="00F026FE" w:rsidRPr="00D63571">
        <w:rPr>
          <w:szCs w:val="24"/>
        </w:rPr>
        <w:t xml:space="preserve"> on Wednesday night (later, he said he was not sure of the day) around 8:00 p.m. and saw through the office window two men with guns talking to Mike.  The men called </w:t>
      </w:r>
      <w:r>
        <w:rPr>
          <w:szCs w:val="24"/>
        </w:rPr>
        <w:t>Morales</w:t>
      </w:r>
      <w:r w:rsidR="00F026FE" w:rsidRPr="00D63571">
        <w:rPr>
          <w:szCs w:val="24"/>
        </w:rPr>
        <w:t xml:space="preserve"> inside</w:t>
      </w:r>
      <w:r w:rsidR="00F2181F">
        <w:rPr>
          <w:szCs w:val="24"/>
        </w:rPr>
        <w:t>,</w:t>
      </w:r>
      <w:r w:rsidR="00F026FE" w:rsidRPr="00D63571">
        <w:rPr>
          <w:szCs w:val="24"/>
        </w:rPr>
        <w:t xml:space="preserve"> taped </w:t>
      </w:r>
      <w:r w:rsidR="00F2181F">
        <w:rPr>
          <w:szCs w:val="24"/>
        </w:rPr>
        <w:t xml:space="preserve">his </w:t>
      </w:r>
      <w:r w:rsidR="00F026FE" w:rsidRPr="00D63571">
        <w:rPr>
          <w:szCs w:val="24"/>
        </w:rPr>
        <w:t>hands</w:t>
      </w:r>
      <w:r w:rsidR="00F2181F">
        <w:rPr>
          <w:szCs w:val="24"/>
        </w:rPr>
        <w:t>,</w:t>
      </w:r>
      <w:r w:rsidR="00F026FE" w:rsidRPr="00D63571">
        <w:rPr>
          <w:szCs w:val="24"/>
        </w:rPr>
        <w:t xml:space="preserve"> and put him in the living room.  </w:t>
      </w:r>
      <w:r w:rsidR="00F026FE">
        <w:rPr>
          <w:szCs w:val="24"/>
        </w:rPr>
        <w:t>Then t</w:t>
      </w:r>
      <w:r w:rsidR="00F026FE" w:rsidRPr="00D63571">
        <w:rPr>
          <w:szCs w:val="24"/>
        </w:rPr>
        <w:t>hey began killing the family.</w:t>
      </w:r>
      <w:r w:rsidR="00296EAE">
        <w:rPr>
          <w:szCs w:val="24"/>
        </w:rPr>
        <w:t xml:space="preserve">  </w:t>
      </w:r>
      <w:r w:rsidR="00F026FE" w:rsidRPr="00D63571">
        <w:rPr>
          <w:szCs w:val="24"/>
        </w:rPr>
        <w:t>The</w:t>
      </w:r>
      <w:r w:rsidR="00F026FE">
        <w:rPr>
          <w:szCs w:val="24"/>
        </w:rPr>
        <w:t xml:space="preserve"> men</w:t>
      </w:r>
      <w:r w:rsidR="00F026FE" w:rsidRPr="00D63571">
        <w:rPr>
          <w:szCs w:val="24"/>
        </w:rPr>
        <w:t xml:space="preserve"> started in the office with Mike, who then came into the living room with his throat bleeding.  They then attacked Maritza, who had been in the kitchen making coffee, and she died in the living room.  They then killed Ana, who had been in her bedroom.  And they finished by assaulting and killing Jasmine in the back of the house.  The men directed </w:t>
      </w:r>
      <w:r>
        <w:rPr>
          <w:szCs w:val="24"/>
        </w:rPr>
        <w:t>Morales</w:t>
      </w:r>
      <w:r w:rsidR="00F026FE" w:rsidRPr="00D63571">
        <w:rPr>
          <w:szCs w:val="24"/>
        </w:rPr>
        <w:t xml:space="preserve"> to make a mess in the house and told him to take Mike’s computer equipment.  </w:t>
      </w:r>
      <w:r>
        <w:rPr>
          <w:szCs w:val="24"/>
        </w:rPr>
        <w:t>Morales</w:t>
      </w:r>
      <w:r w:rsidR="00F026FE" w:rsidRPr="00D63571">
        <w:rPr>
          <w:szCs w:val="24"/>
        </w:rPr>
        <w:t xml:space="preserve"> put the stolen items into a large trash </w:t>
      </w:r>
      <w:r w:rsidR="00296EAE">
        <w:rPr>
          <w:szCs w:val="24"/>
        </w:rPr>
        <w:t>barrel</w:t>
      </w:r>
      <w:r w:rsidR="00F026FE" w:rsidRPr="00D63571">
        <w:rPr>
          <w:szCs w:val="24"/>
        </w:rPr>
        <w:t xml:space="preserve"> and dragged it to his house.</w:t>
      </w:r>
    </w:p>
    <w:p w14:paraId="31AC3D37" w14:textId="0A0C299B" w:rsidR="00F026FE" w:rsidRPr="00D63571" w:rsidRDefault="00F026FE" w:rsidP="00F026FE">
      <w:pPr>
        <w:ind w:firstLine="720"/>
        <w:rPr>
          <w:szCs w:val="24"/>
        </w:rPr>
      </w:pPr>
      <w:r w:rsidRPr="00D63571">
        <w:rPr>
          <w:szCs w:val="24"/>
        </w:rPr>
        <w:t xml:space="preserve">In his third interview, </w:t>
      </w:r>
      <w:r w:rsidR="00F6225E">
        <w:rPr>
          <w:szCs w:val="24"/>
        </w:rPr>
        <w:t>Morales</w:t>
      </w:r>
      <w:r w:rsidRPr="00D63571">
        <w:rPr>
          <w:szCs w:val="24"/>
        </w:rPr>
        <w:t xml:space="preserve"> mostly repeated the same story, but this time he stated that the events took place on Thursday night at 8:00 p.m</w:t>
      </w:r>
      <w:r>
        <w:rPr>
          <w:szCs w:val="24"/>
        </w:rPr>
        <w:t>.</w:t>
      </w:r>
      <w:r w:rsidRPr="00D63571">
        <w:rPr>
          <w:szCs w:val="24"/>
        </w:rPr>
        <w:t>, and he said Ana was in the living room when the men killed her and that they dragged her, Mike, and Maritza to the back of the house.</w:t>
      </w:r>
      <w:r>
        <w:rPr>
          <w:szCs w:val="24"/>
        </w:rPr>
        <w:t xml:space="preserve">  </w:t>
      </w:r>
      <w:r w:rsidRPr="00D63571">
        <w:rPr>
          <w:szCs w:val="24"/>
        </w:rPr>
        <w:t xml:space="preserve">He also told officers that he went to Mike’s home that night to repay him $50 of a $100 </w:t>
      </w:r>
      <w:r w:rsidRPr="00D63571">
        <w:rPr>
          <w:szCs w:val="24"/>
        </w:rPr>
        <w:lastRenderedPageBreak/>
        <w:t xml:space="preserve">debt.  </w:t>
      </w:r>
      <w:r w:rsidR="005A0255">
        <w:rPr>
          <w:szCs w:val="24"/>
        </w:rPr>
        <w:t>H</w:t>
      </w:r>
      <w:r w:rsidRPr="00D63571">
        <w:rPr>
          <w:szCs w:val="24"/>
        </w:rPr>
        <w:t xml:space="preserve">e mentioned that Mike had asked him not to ask Raquel </w:t>
      </w:r>
      <w:r w:rsidR="00C371A2">
        <w:rPr>
          <w:szCs w:val="24"/>
        </w:rPr>
        <w:t>on a date</w:t>
      </w:r>
      <w:r w:rsidRPr="00D63571">
        <w:rPr>
          <w:szCs w:val="24"/>
        </w:rPr>
        <w:t xml:space="preserve"> again after the window incident and that </w:t>
      </w:r>
      <w:r w:rsidR="005A0255">
        <w:rPr>
          <w:szCs w:val="24"/>
        </w:rPr>
        <w:t>he</w:t>
      </w:r>
      <w:r w:rsidR="005A0255" w:rsidRPr="00D63571">
        <w:rPr>
          <w:szCs w:val="24"/>
        </w:rPr>
        <w:t xml:space="preserve"> </w:t>
      </w:r>
      <w:r w:rsidRPr="00D63571">
        <w:rPr>
          <w:szCs w:val="24"/>
        </w:rPr>
        <w:t xml:space="preserve">complied with this request.  </w:t>
      </w:r>
      <w:r w:rsidR="00F6225E">
        <w:rPr>
          <w:szCs w:val="24"/>
        </w:rPr>
        <w:t>Morales</w:t>
      </w:r>
      <w:r w:rsidRPr="00D63571">
        <w:rPr>
          <w:szCs w:val="24"/>
        </w:rPr>
        <w:t xml:space="preserve"> said </w:t>
      </w:r>
      <w:r>
        <w:rPr>
          <w:szCs w:val="24"/>
        </w:rPr>
        <w:t xml:space="preserve">that </w:t>
      </w:r>
      <w:r w:rsidRPr="00D63571">
        <w:rPr>
          <w:szCs w:val="24"/>
        </w:rPr>
        <w:t xml:space="preserve">after the men finished killing the </w:t>
      </w:r>
      <w:r w:rsidR="00E46692">
        <w:rPr>
          <w:szCs w:val="24"/>
        </w:rPr>
        <w:t>victims</w:t>
      </w:r>
      <w:r w:rsidRPr="00D63571">
        <w:rPr>
          <w:szCs w:val="24"/>
        </w:rPr>
        <w:t xml:space="preserve">, they threatened to kill him if </w:t>
      </w:r>
      <w:r>
        <w:rPr>
          <w:szCs w:val="24"/>
        </w:rPr>
        <w:t xml:space="preserve">he </w:t>
      </w:r>
      <w:r w:rsidRPr="00D63571">
        <w:rPr>
          <w:szCs w:val="24"/>
        </w:rPr>
        <w:t xml:space="preserve">told anyone what had happened, but they allowed him to leave.  </w:t>
      </w:r>
      <w:r w:rsidR="00F6225E">
        <w:rPr>
          <w:szCs w:val="24"/>
        </w:rPr>
        <w:t>Morales</w:t>
      </w:r>
      <w:r w:rsidRPr="00D63571">
        <w:rPr>
          <w:szCs w:val="24"/>
        </w:rPr>
        <w:t xml:space="preserve"> continued to deny having participated in the killings.</w:t>
      </w:r>
    </w:p>
    <w:p w14:paraId="3F9B88ED" w14:textId="5C447336" w:rsidR="00F026FE" w:rsidRDefault="00E00D3A" w:rsidP="007D18A7">
      <w:pPr>
        <w:ind w:firstLine="720"/>
        <w:rPr>
          <w:szCs w:val="24"/>
        </w:rPr>
      </w:pPr>
      <w:r>
        <w:rPr>
          <w:szCs w:val="24"/>
        </w:rPr>
        <w:t>S</w:t>
      </w:r>
      <w:r w:rsidR="00F026FE" w:rsidRPr="00D63571">
        <w:rPr>
          <w:szCs w:val="24"/>
        </w:rPr>
        <w:t xml:space="preserve">ignificant physical evidence connected </w:t>
      </w:r>
      <w:r w:rsidR="00F6225E">
        <w:rPr>
          <w:szCs w:val="24"/>
        </w:rPr>
        <w:t>Morales</w:t>
      </w:r>
      <w:r w:rsidR="00F026FE" w:rsidRPr="00D63571">
        <w:rPr>
          <w:szCs w:val="24"/>
        </w:rPr>
        <w:t xml:space="preserve"> to the crime.  The police conducted a sexual assault examination of Jasmine, and sperm found in Jasmine’s anus conclusively matched </w:t>
      </w:r>
      <w:r w:rsidR="00F6225E">
        <w:rPr>
          <w:szCs w:val="24"/>
        </w:rPr>
        <w:t>Morales</w:t>
      </w:r>
      <w:r w:rsidR="00F026FE" w:rsidRPr="00D63571">
        <w:rPr>
          <w:szCs w:val="24"/>
        </w:rPr>
        <w:t>’s DNA profile</w:t>
      </w:r>
      <w:r w:rsidR="00F026FE">
        <w:rPr>
          <w:szCs w:val="24"/>
        </w:rPr>
        <w:t xml:space="preserve">; </w:t>
      </w:r>
      <w:r w:rsidR="00F026FE" w:rsidRPr="00D63571">
        <w:rPr>
          <w:szCs w:val="24"/>
        </w:rPr>
        <w:t xml:space="preserve">sperm found in her vagina was consistent with </w:t>
      </w:r>
      <w:r w:rsidR="00F6225E">
        <w:rPr>
          <w:szCs w:val="24"/>
        </w:rPr>
        <w:t>Morales</w:t>
      </w:r>
      <w:r w:rsidR="00F026FE" w:rsidRPr="00D63571">
        <w:rPr>
          <w:szCs w:val="24"/>
        </w:rPr>
        <w:t>’s DNA.</w:t>
      </w:r>
      <w:r w:rsidR="00F026FE">
        <w:rPr>
          <w:szCs w:val="24"/>
        </w:rPr>
        <w:t xml:space="preserve">  </w:t>
      </w:r>
      <w:r w:rsidR="00F6225E">
        <w:t>Morales</w:t>
      </w:r>
      <w:r w:rsidR="00F026FE" w:rsidRPr="00D63571">
        <w:t xml:space="preserve">’s palm print was found on the handle of the mop located in the entryway.  </w:t>
      </w:r>
      <w:r w:rsidR="00F6225E">
        <w:t>Morales</w:t>
      </w:r>
      <w:r w:rsidR="00F026FE" w:rsidRPr="00D63571">
        <w:t xml:space="preserve">’s shoe matched the impression found on the wooden chair in </w:t>
      </w:r>
      <w:r w:rsidR="007D18A7">
        <w:t>the girls’</w:t>
      </w:r>
      <w:r w:rsidR="007D18A7" w:rsidRPr="00D63571">
        <w:t xml:space="preserve"> </w:t>
      </w:r>
      <w:r w:rsidR="00F026FE" w:rsidRPr="00D63571">
        <w:t xml:space="preserve">bedroom.  Blood from the tip of </w:t>
      </w:r>
      <w:r w:rsidR="00F6225E">
        <w:t>Morales</w:t>
      </w:r>
      <w:r w:rsidR="00F026FE" w:rsidRPr="00D63571">
        <w:t>’s shoelace matched Maritza’s profile</w:t>
      </w:r>
      <w:r w:rsidR="00F026FE">
        <w:t>,</w:t>
      </w:r>
      <w:r w:rsidR="00F026FE" w:rsidRPr="00D63571">
        <w:t xml:space="preserve"> and Mike was a </w:t>
      </w:r>
      <w:proofErr w:type="gramStart"/>
      <w:r w:rsidR="00F026FE" w:rsidRPr="00D63571">
        <w:t>possible contributor</w:t>
      </w:r>
      <w:proofErr w:type="gramEnd"/>
      <w:r w:rsidR="00F026FE" w:rsidRPr="00D63571">
        <w:t>.</w:t>
      </w:r>
      <w:r w:rsidR="007D18A7">
        <w:t xml:space="preserve">  </w:t>
      </w:r>
      <w:r w:rsidR="00F026FE" w:rsidRPr="00D63571">
        <w:rPr>
          <w:szCs w:val="24"/>
        </w:rPr>
        <w:t xml:space="preserve">In </w:t>
      </w:r>
      <w:r w:rsidR="00F6225E">
        <w:rPr>
          <w:szCs w:val="24"/>
        </w:rPr>
        <w:t>Morales</w:t>
      </w:r>
      <w:r w:rsidR="00F026FE" w:rsidRPr="00D63571">
        <w:rPr>
          <w:szCs w:val="24"/>
        </w:rPr>
        <w:t xml:space="preserve">’s shed, they found the </w:t>
      </w:r>
      <w:r w:rsidR="00F026FE">
        <w:rPr>
          <w:szCs w:val="24"/>
        </w:rPr>
        <w:t>trash</w:t>
      </w:r>
      <w:r w:rsidR="00F026FE" w:rsidRPr="00D63571">
        <w:rPr>
          <w:szCs w:val="24"/>
        </w:rPr>
        <w:t xml:space="preserve"> barrel with electronics from </w:t>
      </w:r>
      <w:r w:rsidR="00213644">
        <w:rPr>
          <w:szCs w:val="24"/>
        </w:rPr>
        <w:t>the family’s</w:t>
      </w:r>
      <w:r w:rsidR="00213644" w:rsidRPr="00D63571">
        <w:rPr>
          <w:szCs w:val="24"/>
        </w:rPr>
        <w:t xml:space="preserve"> </w:t>
      </w:r>
      <w:r w:rsidR="00F026FE" w:rsidRPr="00D63571">
        <w:rPr>
          <w:szCs w:val="24"/>
        </w:rPr>
        <w:t xml:space="preserve">home. </w:t>
      </w:r>
      <w:r w:rsidR="00F026FE">
        <w:rPr>
          <w:szCs w:val="24"/>
        </w:rPr>
        <w:t xml:space="preserve"> </w:t>
      </w:r>
      <w:r w:rsidR="00F6225E">
        <w:rPr>
          <w:szCs w:val="24"/>
        </w:rPr>
        <w:t>Morales</w:t>
      </w:r>
      <w:r w:rsidR="00F026FE" w:rsidRPr="00D63571">
        <w:rPr>
          <w:szCs w:val="24"/>
        </w:rPr>
        <w:t xml:space="preserve">’s fingerprints were on </w:t>
      </w:r>
      <w:proofErr w:type="gramStart"/>
      <w:r w:rsidR="00F026FE" w:rsidRPr="00D63571">
        <w:rPr>
          <w:szCs w:val="24"/>
        </w:rPr>
        <w:t>many</w:t>
      </w:r>
      <w:proofErr w:type="gramEnd"/>
      <w:r w:rsidR="00F026FE" w:rsidRPr="00D63571">
        <w:rPr>
          <w:szCs w:val="24"/>
        </w:rPr>
        <w:t xml:space="preserve"> of the items in the </w:t>
      </w:r>
      <w:r w:rsidR="00F026FE">
        <w:rPr>
          <w:szCs w:val="24"/>
        </w:rPr>
        <w:t>barrel</w:t>
      </w:r>
      <w:r w:rsidR="00F026FE" w:rsidRPr="00D63571">
        <w:rPr>
          <w:szCs w:val="24"/>
        </w:rPr>
        <w:t xml:space="preserve">. </w:t>
      </w:r>
      <w:r w:rsidR="00F026FE" w:rsidRPr="00D63571">
        <w:t xml:space="preserve"> </w:t>
      </w:r>
      <w:r w:rsidR="007D18A7">
        <w:rPr>
          <w:szCs w:val="24"/>
        </w:rPr>
        <w:t>And i</w:t>
      </w:r>
      <w:r w:rsidR="00F026FE" w:rsidRPr="00D63571">
        <w:rPr>
          <w:szCs w:val="24"/>
        </w:rPr>
        <w:t xml:space="preserve">n </w:t>
      </w:r>
      <w:r w:rsidR="00F6225E">
        <w:rPr>
          <w:szCs w:val="24"/>
        </w:rPr>
        <w:t>Morales</w:t>
      </w:r>
      <w:r w:rsidR="00F026FE" w:rsidRPr="00D63571">
        <w:rPr>
          <w:szCs w:val="24"/>
        </w:rPr>
        <w:t>’s bedroom, officers found a model car and watches that belonged to Mike, jewelry, and a little girl’s wristwatch.</w:t>
      </w:r>
    </w:p>
    <w:p w14:paraId="4CE0CAE2" w14:textId="0FA4D26A" w:rsidR="00F026FE" w:rsidRPr="00D63571" w:rsidRDefault="00F026FE" w:rsidP="00F026FE">
      <w:pPr>
        <w:ind w:firstLine="720"/>
        <w:rPr>
          <w:szCs w:val="24"/>
          <w:highlight w:val="yellow"/>
        </w:rPr>
      </w:pPr>
      <w:r>
        <w:rPr>
          <w:szCs w:val="24"/>
        </w:rPr>
        <w:t xml:space="preserve">Later that year, </w:t>
      </w:r>
      <w:r w:rsidRPr="00D63571">
        <w:t xml:space="preserve">in October 2002, </w:t>
      </w:r>
      <w:r w:rsidR="00F6225E">
        <w:t>Morales</w:t>
      </w:r>
      <w:r w:rsidRPr="00D63571">
        <w:t>’s stepfather found two ammunition boxes underneath a woodpile</w:t>
      </w:r>
      <w:r>
        <w:t xml:space="preserve"> </w:t>
      </w:r>
      <w:r w:rsidRPr="00D63571">
        <w:t xml:space="preserve">in </w:t>
      </w:r>
      <w:r w:rsidR="00F6225E">
        <w:t>Morales</w:t>
      </w:r>
      <w:r w:rsidRPr="00D63571">
        <w:t>’s backyard.</w:t>
      </w:r>
      <w:r>
        <w:t xml:space="preserve">  </w:t>
      </w:r>
      <w:r w:rsidRPr="00D63571">
        <w:t>One of the boxes contained</w:t>
      </w:r>
      <w:r w:rsidR="00C371A2">
        <w:t>, among other things,</w:t>
      </w:r>
      <w:r w:rsidRPr="00D63571">
        <w:t xml:space="preserve"> </w:t>
      </w:r>
      <w:r w:rsidR="00C371A2">
        <w:t>bloody clothes</w:t>
      </w:r>
      <w:r w:rsidR="000F616B">
        <w:t>, including boxers,</w:t>
      </w:r>
      <w:r w:rsidR="00C371A2">
        <w:t xml:space="preserve"> and a </w:t>
      </w:r>
      <w:r w:rsidRPr="00D63571">
        <w:t>six-inch Vaquero folding knife.  The other box contained</w:t>
      </w:r>
      <w:r w:rsidR="00C371A2">
        <w:t xml:space="preserve"> </w:t>
      </w:r>
      <w:proofErr w:type="gramStart"/>
      <w:r w:rsidR="00C371A2">
        <w:t>similar items</w:t>
      </w:r>
      <w:proofErr w:type="gramEnd"/>
      <w:r w:rsidR="00C371A2">
        <w:t xml:space="preserve">, including </w:t>
      </w:r>
      <w:r w:rsidRPr="00D63571">
        <w:t xml:space="preserve">a </w:t>
      </w:r>
      <w:r w:rsidR="00756119">
        <w:t xml:space="preserve">black jacket, a </w:t>
      </w:r>
      <w:r w:rsidRPr="00D63571">
        <w:t xml:space="preserve">dagger in a sheath, a five-inch United knife in a sheath, </w:t>
      </w:r>
      <w:r w:rsidR="00C371A2">
        <w:t xml:space="preserve">and </w:t>
      </w:r>
      <w:r w:rsidRPr="00D63571">
        <w:t xml:space="preserve">two </w:t>
      </w:r>
      <w:r w:rsidR="00F967B3">
        <w:t xml:space="preserve">bloody </w:t>
      </w:r>
      <w:r w:rsidRPr="00D63571">
        <w:t xml:space="preserve">fingerless gloves.  </w:t>
      </w:r>
      <w:r w:rsidR="00F6225E">
        <w:t>Morales</w:t>
      </w:r>
      <w:r w:rsidRPr="00D63571">
        <w:t xml:space="preserve">’s stepfather identified </w:t>
      </w:r>
      <w:proofErr w:type="gramStart"/>
      <w:r w:rsidRPr="00D63571">
        <w:t>several of</w:t>
      </w:r>
      <w:proofErr w:type="gramEnd"/>
      <w:r w:rsidRPr="00D63571">
        <w:t xml:space="preserve"> these items </w:t>
      </w:r>
      <w:r w:rsidR="00213644">
        <w:t xml:space="preserve">(but not the knives) </w:t>
      </w:r>
      <w:r w:rsidRPr="00D63571">
        <w:t xml:space="preserve">as belonging to </w:t>
      </w:r>
      <w:r w:rsidR="00F6225E">
        <w:t>Morales</w:t>
      </w:r>
      <w:r w:rsidRPr="00D63571">
        <w:t>.</w:t>
      </w:r>
      <w:r w:rsidR="00C371A2">
        <w:t xml:space="preserve"> </w:t>
      </w:r>
      <w:r w:rsidRPr="00D63571">
        <w:t xml:space="preserve"> </w:t>
      </w:r>
      <w:r w:rsidR="009864ED">
        <w:t>B</w:t>
      </w:r>
      <w:r w:rsidRPr="00D63571">
        <w:t xml:space="preserve">lood on the United knife handle matched Maritza’s DNA profile, with </w:t>
      </w:r>
      <w:r w:rsidR="00F6225E">
        <w:t>Morales</w:t>
      </w:r>
      <w:r w:rsidRPr="00D63571">
        <w:t xml:space="preserve"> as a </w:t>
      </w:r>
      <w:proofErr w:type="gramStart"/>
      <w:r w:rsidRPr="00D63571">
        <w:t>possible contributor</w:t>
      </w:r>
      <w:proofErr w:type="gramEnd"/>
      <w:r w:rsidR="00E00D3A">
        <w:t xml:space="preserve">; </w:t>
      </w:r>
      <w:r w:rsidRPr="00D63571">
        <w:t xml:space="preserve">blood on the Vaquero knife matched Mike’s profile, </w:t>
      </w:r>
      <w:r w:rsidRPr="00D63571">
        <w:lastRenderedPageBreak/>
        <w:t>with Maritza as a possible contributor.  The base of the third knife tested negative for blood, but the wooden handle yielded weak positive results.  Blood on the jacket matched Maritza</w:t>
      </w:r>
      <w:r w:rsidR="009864ED">
        <w:t>’s profile</w:t>
      </w:r>
      <w:r w:rsidRPr="00D63571">
        <w:t xml:space="preserve">, with </w:t>
      </w:r>
      <w:r w:rsidR="00F6225E">
        <w:t>Morales</w:t>
      </w:r>
      <w:r w:rsidRPr="00D63571">
        <w:t xml:space="preserve"> as a </w:t>
      </w:r>
      <w:proofErr w:type="gramStart"/>
      <w:r w:rsidRPr="00D63571">
        <w:t>possible contributor</w:t>
      </w:r>
      <w:proofErr w:type="gramEnd"/>
      <w:r w:rsidRPr="00D63571">
        <w:t xml:space="preserve">.  </w:t>
      </w:r>
      <w:r w:rsidR="00CE3C85">
        <w:t>S</w:t>
      </w:r>
      <w:r w:rsidRPr="00D63571">
        <w:t xml:space="preserve">perm cells </w:t>
      </w:r>
      <w:r w:rsidR="00CE3C85">
        <w:t xml:space="preserve">on the boxers </w:t>
      </w:r>
      <w:r w:rsidRPr="00D63571">
        <w:t xml:space="preserve">matched </w:t>
      </w:r>
      <w:r w:rsidR="00F6225E">
        <w:t>Morales</w:t>
      </w:r>
      <w:r w:rsidR="00B0356D">
        <w:t>’s profile</w:t>
      </w:r>
      <w:r w:rsidRPr="00D63571">
        <w:t xml:space="preserve">, </w:t>
      </w:r>
      <w:r w:rsidR="00B0356D">
        <w:t xml:space="preserve">while </w:t>
      </w:r>
      <w:r w:rsidRPr="00D63571">
        <w:t>blood and an epithelial cell were consistent with both Jasmine</w:t>
      </w:r>
      <w:r w:rsidR="000F616B">
        <w:t>’s</w:t>
      </w:r>
      <w:r w:rsidRPr="00D63571">
        <w:t xml:space="preserve"> and </w:t>
      </w:r>
      <w:r w:rsidR="00F6225E">
        <w:t>Morales</w:t>
      </w:r>
      <w:r w:rsidR="000F616B">
        <w:t>’s profiles.</w:t>
      </w:r>
    </w:p>
    <w:p w14:paraId="66D41152" w14:textId="77777777" w:rsidR="00F026FE" w:rsidRPr="00D63571" w:rsidRDefault="00F026FE" w:rsidP="00F026FE">
      <w:pPr>
        <w:ind w:firstLine="720"/>
      </w:pPr>
      <w:bookmarkStart w:id="12" w:name="_Hlk31806743"/>
      <w:r w:rsidRPr="00D63571">
        <w:t xml:space="preserve">Medical examiners conducted autopsies of each of the four victims.  Mike had multiple sharp-force injuries on his body, including on his neck and back.  The cause of death was a slicing wound to the front of his neck, which severed his jugular veins.  Such a wound is not immediately fatal and could have given Mike time to stagger </w:t>
      </w:r>
      <w:proofErr w:type="gramStart"/>
      <w:r w:rsidRPr="00D63571">
        <w:t>a few</w:t>
      </w:r>
      <w:proofErr w:type="gramEnd"/>
      <w:r w:rsidRPr="00D63571">
        <w:t xml:space="preserve"> feet before collapsing.  The wound to his neck was consistent with an attack from behind.  One of his wounds was consistent with a double-edged knife and another was consistent with a single-edged knife, indicating that the attacker </w:t>
      </w:r>
      <w:r>
        <w:t xml:space="preserve">had </w:t>
      </w:r>
      <w:r w:rsidRPr="00D63571">
        <w:t xml:space="preserve">used two different knives.  Mike had no defensive wounds.  A postmortem injury to his right wrist was consistent with being dragged with a cord after death. </w:t>
      </w:r>
    </w:p>
    <w:bookmarkEnd w:id="12"/>
    <w:p w14:paraId="70A97318" w14:textId="03C360E2" w:rsidR="00F026FE" w:rsidRPr="00D63571" w:rsidRDefault="00F026FE" w:rsidP="00F026FE">
      <w:pPr>
        <w:ind w:firstLine="720"/>
      </w:pPr>
      <w:r w:rsidRPr="00D63571">
        <w:t xml:space="preserve">Maritza was stabbed </w:t>
      </w:r>
      <w:r>
        <w:t>31</w:t>
      </w:r>
      <w:r w:rsidRPr="00D63571">
        <w:t xml:space="preserve"> times and cut </w:t>
      </w:r>
      <w:r>
        <w:t>14</w:t>
      </w:r>
      <w:r w:rsidRPr="00D63571">
        <w:t xml:space="preserve"> times; </w:t>
      </w:r>
      <w:proofErr w:type="gramStart"/>
      <w:r w:rsidRPr="00D63571">
        <w:t>some</w:t>
      </w:r>
      <w:proofErr w:type="gramEnd"/>
      <w:r w:rsidRPr="00D63571">
        <w:t xml:space="preserve"> injuries were consistent with a single-edged knife while others were consistent with a double-edged knife.  She had at least five fatal wounds</w:t>
      </w:r>
      <w:r w:rsidR="00C84CB5">
        <w:t> </w:t>
      </w:r>
      <w:r>
        <w:t>—</w:t>
      </w:r>
      <w:r w:rsidR="00C84CB5">
        <w:t xml:space="preserve"> </w:t>
      </w:r>
      <w:r w:rsidRPr="00D63571">
        <w:t>on her neck, chest, and back</w:t>
      </w:r>
      <w:r w:rsidR="00C84CB5">
        <w:t> </w:t>
      </w:r>
      <w:r>
        <w:t>—</w:t>
      </w:r>
      <w:r w:rsidR="00C84CB5">
        <w:t xml:space="preserve"> </w:t>
      </w:r>
      <w:r w:rsidRPr="00D63571">
        <w:t xml:space="preserve">and the injuries were consistent with someone who had struggled with and fled her attacker.  </w:t>
      </w:r>
      <w:proofErr w:type="gramStart"/>
      <w:r>
        <w:t>Some of</w:t>
      </w:r>
      <w:proofErr w:type="gramEnd"/>
      <w:r>
        <w:t xml:space="preserve"> the wounds were clustered on various parts of her body, including her neck and back.</w:t>
      </w:r>
    </w:p>
    <w:p w14:paraId="2FB146AC" w14:textId="77777777" w:rsidR="00F026FE" w:rsidRPr="00D63571" w:rsidRDefault="00F026FE" w:rsidP="00F026FE">
      <w:pPr>
        <w:ind w:firstLine="720"/>
      </w:pPr>
      <w:r w:rsidRPr="00D63571">
        <w:t>Ana suffered two fatal sharp-force wounds to her neck; the wounds were consistent with an attacker holding two different weapons.  Ana also had a blunt-force injury to her scalp and other minor injuries, but no defensive wounds.</w:t>
      </w:r>
    </w:p>
    <w:p w14:paraId="3EF0FE24" w14:textId="5D8D9126" w:rsidR="00F026FE" w:rsidRPr="00D63571" w:rsidRDefault="00F026FE" w:rsidP="00F026FE">
      <w:pPr>
        <w:ind w:firstLine="720"/>
      </w:pPr>
      <w:r w:rsidRPr="00D63571">
        <w:lastRenderedPageBreak/>
        <w:t xml:space="preserve">Jasmine died from asphyxiation, either by body compression or drowning.  </w:t>
      </w:r>
      <w:r w:rsidR="00213644">
        <w:t>D</w:t>
      </w:r>
      <w:r w:rsidRPr="00D63571">
        <w:t xml:space="preserve">ried foam </w:t>
      </w:r>
      <w:r w:rsidR="00213644">
        <w:t xml:space="preserve">found </w:t>
      </w:r>
      <w:r w:rsidRPr="00D63571">
        <w:t>around her nose and mouth</w:t>
      </w:r>
      <w:r w:rsidR="00213644">
        <w:t xml:space="preserve"> </w:t>
      </w:r>
      <w:r w:rsidRPr="00D63571">
        <w:t>sugges</w:t>
      </w:r>
      <w:r w:rsidR="00213644">
        <w:t xml:space="preserve">ted </w:t>
      </w:r>
      <w:r w:rsidRPr="00D63571">
        <w:t xml:space="preserve">she had been drowned.  She also had small petechiae (tiny hemorrhages on the skin) all over her neck and face, suggesting body compression on the upper chest.  </w:t>
      </w:r>
      <w:r w:rsidR="00C01A65">
        <w:t>E</w:t>
      </w:r>
      <w:r w:rsidRPr="00D63571">
        <w:t>xtensive injuries to her genitalia and anus, including severe tearing, stretching of the skin, hemorrhaging, and bruising, suggest</w:t>
      </w:r>
      <w:r w:rsidR="00C01A65">
        <w:t>ed</w:t>
      </w:r>
      <w:r w:rsidRPr="00D63571">
        <w:t xml:space="preserve"> the use of extreme force by a blunt object.  She also </w:t>
      </w:r>
      <w:r>
        <w:t>suffered</w:t>
      </w:r>
      <w:r w:rsidRPr="00D63571">
        <w:t xml:space="preserve"> other minor injuries, including fingernail marks on her ankle and </w:t>
      </w:r>
      <w:r>
        <w:t>genitals</w:t>
      </w:r>
      <w:r w:rsidRPr="00D63571">
        <w:t xml:space="preserve">, scratches on her thighs, and small abrasions on her left buttock and foot.  She </w:t>
      </w:r>
      <w:proofErr w:type="gramStart"/>
      <w:r w:rsidRPr="00D63571">
        <w:t>likely suffered</w:t>
      </w:r>
      <w:proofErr w:type="gramEnd"/>
      <w:r w:rsidRPr="00D63571">
        <w:t xml:space="preserve"> these injuries while alive, but she may or may not have been conscious.</w:t>
      </w:r>
    </w:p>
    <w:p w14:paraId="3E5273C2" w14:textId="1BE8DF48" w:rsidR="00F026FE" w:rsidRDefault="00F026FE" w:rsidP="00F026FE">
      <w:pPr>
        <w:ind w:firstLine="720"/>
      </w:pPr>
      <w:r w:rsidRPr="00D63571">
        <w:t xml:space="preserve">The prosecution called Sheriff’s Deputy Paul </w:t>
      </w:r>
      <w:proofErr w:type="spellStart"/>
      <w:r w:rsidRPr="00D63571">
        <w:t>Delhauer</w:t>
      </w:r>
      <w:proofErr w:type="spellEnd"/>
      <w:r>
        <w:t xml:space="preserve"> to testify as </w:t>
      </w:r>
      <w:r w:rsidRPr="00D63571">
        <w:t xml:space="preserve">a crime scene reconstruction expert.  </w:t>
      </w:r>
      <w:proofErr w:type="spellStart"/>
      <w:r w:rsidRPr="00D63571">
        <w:t>Delhauer</w:t>
      </w:r>
      <w:proofErr w:type="spellEnd"/>
      <w:r w:rsidRPr="00D63571">
        <w:t xml:space="preserve"> had examined between 800 and 900 cases in his career and had frequently analyzed blood spatter, knife wounds, and blood stains.</w:t>
      </w:r>
      <w:r>
        <w:t xml:space="preserve"> </w:t>
      </w:r>
      <w:r w:rsidRPr="00D63571">
        <w:t xml:space="preserve"> </w:t>
      </w:r>
      <w:proofErr w:type="spellStart"/>
      <w:r w:rsidRPr="00D63571">
        <w:t>Delhauer</w:t>
      </w:r>
      <w:proofErr w:type="spellEnd"/>
      <w:r w:rsidRPr="00D63571">
        <w:t xml:space="preserve"> testified to the potential </w:t>
      </w:r>
      <w:r>
        <w:t xml:space="preserve">relative locations and </w:t>
      </w:r>
      <w:r w:rsidRPr="00D63571">
        <w:t>sequence of the murders</w:t>
      </w:r>
      <w:r w:rsidR="000A6921">
        <w:t>, as well as the manner of the killings,</w:t>
      </w:r>
      <w:r w:rsidRPr="00D63571">
        <w:t xml:space="preserve"> based on his analysis of the reports and documents in the case, personal observations made at the scene, blood stains and spatter in the home, the autopsy reports, other physical evidence found in the home, and his own experiments.</w:t>
      </w:r>
      <w:r>
        <w:t xml:space="preserve">  </w:t>
      </w:r>
      <w:r w:rsidRPr="00D63571">
        <w:t>He also testified that the crime scene appeared to have been staged to mislead investigators about what had occurred.</w:t>
      </w:r>
    </w:p>
    <w:p w14:paraId="38998951" w14:textId="74FD8E01" w:rsidR="00BE07EC" w:rsidRPr="00F026FE" w:rsidRDefault="00F026FE" w:rsidP="00F026FE">
      <w:pPr>
        <w:ind w:firstLine="720"/>
      </w:pPr>
      <w:r>
        <w:t xml:space="preserve">The defense presented one guilt phase witness, investigator Richard Salazar.  Salazar testified that an object </w:t>
      </w:r>
      <w:proofErr w:type="spellStart"/>
      <w:r>
        <w:t>Delhauer</w:t>
      </w:r>
      <w:proofErr w:type="spellEnd"/>
      <w:r>
        <w:t xml:space="preserve"> had identified as a bidet hose, which </w:t>
      </w:r>
      <w:proofErr w:type="spellStart"/>
      <w:r>
        <w:t>Delhauer</w:t>
      </w:r>
      <w:proofErr w:type="spellEnd"/>
      <w:r>
        <w:t xml:space="preserve"> suggested might have been used to cleanse Jasmine’s vaginal and rectal areas, was actually a hose that attached to a hookah pipe, </w:t>
      </w:r>
      <w:r w:rsidR="00C01A65">
        <w:t xml:space="preserve">which was </w:t>
      </w:r>
      <w:r>
        <w:t>used for smoking tobacco and other substances.</w:t>
      </w:r>
    </w:p>
    <w:p w14:paraId="7535C662" w14:textId="77777777" w:rsidR="00BE07EC" w:rsidRPr="005A0AEB" w:rsidRDefault="00BE07EC" w:rsidP="006C0ADE">
      <w:pPr>
        <w:keepNext/>
        <w:tabs>
          <w:tab w:val="left" w:pos="1152"/>
        </w:tabs>
        <w:spacing w:before="240"/>
        <w:ind w:left="1152" w:hanging="432"/>
        <w:outlineLvl w:val="1"/>
        <w:rPr>
          <w:b/>
        </w:rPr>
      </w:pPr>
      <w:bookmarkStart w:id="13" w:name="_Toc37394351"/>
      <w:bookmarkStart w:id="14" w:name="_Toc21438451"/>
      <w:bookmarkStart w:id="15" w:name="_Toc31888608"/>
      <w:bookmarkStart w:id="16" w:name="_Toc34223164"/>
      <w:r w:rsidRPr="005A0AEB">
        <w:rPr>
          <w:b/>
        </w:rPr>
        <w:lastRenderedPageBreak/>
        <w:t>B.  Penalty Phase</w:t>
      </w:r>
      <w:bookmarkEnd w:id="13"/>
      <w:bookmarkEnd w:id="14"/>
      <w:bookmarkEnd w:id="15"/>
      <w:bookmarkEnd w:id="16"/>
      <w:r w:rsidR="00F026FE">
        <w:rPr>
          <w:b/>
        </w:rPr>
        <w:t xml:space="preserve"> Evidence</w:t>
      </w:r>
    </w:p>
    <w:p w14:paraId="2D578C66" w14:textId="54E028C1" w:rsidR="006C0ADE" w:rsidRPr="00D63571" w:rsidRDefault="006C0ADE" w:rsidP="006C0ADE">
      <w:pPr>
        <w:ind w:firstLine="720"/>
      </w:pPr>
      <w:r w:rsidRPr="00D63571">
        <w:t>During the penalty phase, the People called several family members of the victims to provide victim impact evidence:  Raquel</w:t>
      </w:r>
      <w:r w:rsidR="00E81FB0">
        <w:t>,</w:t>
      </w:r>
      <w:r w:rsidRPr="00D63571">
        <w:t xml:space="preserve"> </w:t>
      </w:r>
      <w:proofErr w:type="spellStart"/>
      <w:r w:rsidRPr="00D63571">
        <w:t>Zeledon</w:t>
      </w:r>
      <w:proofErr w:type="spellEnd"/>
      <w:r w:rsidR="00E81FB0">
        <w:t>,</w:t>
      </w:r>
      <w:r w:rsidRPr="00D63571">
        <w:t xml:space="preserve"> Mike Rodriguez, Sr. (Mike’s father and Ana’s son)</w:t>
      </w:r>
      <w:r w:rsidR="00E81FB0">
        <w:t>,</w:t>
      </w:r>
      <w:r w:rsidRPr="00D63571">
        <w:t xml:space="preserve"> Luz Ruiz (</w:t>
      </w:r>
      <w:r w:rsidR="00E46692">
        <w:t>Rodriguez’s wife</w:t>
      </w:r>
      <w:r w:rsidRPr="00D63571">
        <w:t>)</w:t>
      </w:r>
      <w:r w:rsidR="00E81FB0">
        <w:t>,</w:t>
      </w:r>
      <w:r w:rsidRPr="00D63571">
        <w:t xml:space="preserve"> </w:t>
      </w:r>
      <w:r w:rsidRPr="00B24544">
        <w:t xml:space="preserve">and Olga </w:t>
      </w:r>
      <w:r w:rsidR="001812DE" w:rsidRPr="00B24544">
        <w:t xml:space="preserve">Lizzette </w:t>
      </w:r>
      <w:r w:rsidRPr="00B24544">
        <w:t>Ruiz (Mike’s</w:t>
      </w:r>
      <w:r w:rsidRPr="00D63571">
        <w:t xml:space="preserve"> sister).  </w:t>
      </w:r>
      <w:r w:rsidR="00E81FB0">
        <w:t>These</w:t>
      </w:r>
      <w:r w:rsidR="00E81FB0" w:rsidRPr="00D63571">
        <w:t xml:space="preserve"> </w:t>
      </w:r>
      <w:r w:rsidRPr="00D63571">
        <w:t>family member</w:t>
      </w:r>
      <w:r w:rsidR="006731A9">
        <w:t>s</w:t>
      </w:r>
      <w:r w:rsidRPr="00D63571">
        <w:t xml:space="preserve"> testified about </w:t>
      </w:r>
      <w:r w:rsidR="00E81FB0">
        <w:t xml:space="preserve">their </w:t>
      </w:r>
      <w:r w:rsidRPr="00D63571">
        <w:t>previous relationship</w:t>
      </w:r>
      <w:r w:rsidR="00E55183">
        <w:t>s</w:t>
      </w:r>
      <w:r w:rsidRPr="00D63571">
        <w:t xml:space="preserve"> with the victims, the personalities of the victims, and the impact of the murders on </w:t>
      </w:r>
      <w:r w:rsidR="00E81FB0">
        <w:t xml:space="preserve">their </w:t>
      </w:r>
      <w:r w:rsidRPr="00D63571">
        <w:t>l</w:t>
      </w:r>
      <w:r w:rsidR="00E81FB0">
        <w:t>iv</w:t>
      </w:r>
      <w:r>
        <w:t>e</w:t>
      </w:r>
      <w:r w:rsidR="00E81FB0">
        <w:t>s</w:t>
      </w:r>
      <w:r w:rsidRPr="00D63571">
        <w:t xml:space="preserve">.  The People also introduced </w:t>
      </w:r>
      <w:proofErr w:type="gramStart"/>
      <w:r w:rsidRPr="00D63571">
        <w:t>several</w:t>
      </w:r>
      <w:proofErr w:type="gramEnd"/>
      <w:r w:rsidRPr="00D63571">
        <w:t xml:space="preserve"> pictures of the victims and a one-minute video of Jasmine.</w:t>
      </w:r>
    </w:p>
    <w:p w14:paraId="12B1F754" w14:textId="276A1EB4" w:rsidR="006C0ADE" w:rsidRPr="00D63571" w:rsidRDefault="006C0ADE" w:rsidP="006C0ADE">
      <w:pPr>
        <w:ind w:firstLine="720"/>
      </w:pPr>
      <w:r w:rsidRPr="00D63571">
        <w:t xml:space="preserve">The People introduced two prior criminal act allegations against </w:t>
      </w:r>
      <w:r w:rsidR="00F6225E">
        <w:t>Morales</w:t>
      </w:r>
      <w:r w:rsidRPr="00D63571">
        <w:t xml:space="preserve">.  A law enforcement officer testified that while </w:t>
      </w:r>
      <w:r w:rsidR="00F6225E">
        <w:t>Morales</w:t>
      </w:r>
      <w:r w:rsidRPr="00D63571">
        <w:t xml:space="preserve"> was in jail in December 2002, </w:t>
      </w:r>
      <w:r>
        <w:t>the officer</w:t>
      </w:r>
      <w:r w:rsidRPr="00D63571">
        <w:t xml:space="preserve"> discovered in </w:t>
      </w:r>
      <w:r w:rsidR="00F6225E">
        <w:t>Morales</w:t>
      </w:r>
      <w:r w:rsidRPr="00D63571">
        <w:t xml:space="preserve">’s cell a plastic spoon with one side sharpened and a thread wrapped around the handle.  The officer believed this item was a shank, though </w:t>
      </w:r>
      <w:r w:rsidR="00F6225E">
        <w:t>Morales</w:t>
      </w:r>
      <w:r w:rsidRPr="00D63571">
        <w:t xml:space="preserve"> </w:t>
      </w:r>
      <w:r w:rsidR="0041573D">
        <w:t xml:space="preserve">had </w:t>
      </w:r>
      <w:r w:rsidRPr="00D63571">
        <w:t>claimed he used it to transport written messages to other prisoners (</w:t>
      </w:r>
      <w:r w:rsidRPr="008B7290">
        <w:t>i.e.</w:t>
      </w:r>
      <w:r w:rsidRPr="00D63571">
        <w:t xml:space="preserve">, as a “fishing line”). </w:t>
      </w:r>
      <w:r>
        <w:t xml:space="preserve"> </w:t>
      </w:r>
      <w:r w:rsidRPr="00D63571">
        <w:t>Another officer testified that in February 2003, he found a contraband razor blade and what he believed to be a homemade handcuff key</w:t>
      </w:r>
      <w:r w:rsidR="00560418">
        <w:t xml:space="preserve"> </w:t>
      </w:r>
      <w:r w:rsidR="00560418" w:rsidRPr="00D63571">
        <w:t xml:space="preserve">in </w:t>
      </w:r>
      <w:r w:rsidR="00F6225E">
        <w:t>Morales</w:t>
      </w:r>
      <w:r w:rsidR="00560418" w:rsidRPr="00D63571">
        <w:t>’s cell</w:t>
      </w:r>
      <w:r w:rsidRPr="00D63571">
        <w:t>.</w:t>
      </w:r>
    </w:p>
    <w:p w14:paraId="506A15ED" w14:textId="3E3DB646" w:rsidR="006C0ADE" w:rsidRPr="00D63571" w:rsidRDefault="00F6225E" w:rsidP="006C0ADE">
      <w:pPr>
        <w:ind w:firstLine="720"/>
      </w:pPr>
      <w:r>
        <w:t>Morales</w:t>
      </w:r>
      <w:r w:rsidR="00017063">
        <w:t>’s witnesses</w:t>
      </w:r>
      <w:r w:rsidR="006C0ADE" w:rsidRPr="00D63571">
        <w:t xml:space="preserve"> </w:t>
      </w:r>
      <w:r w:rsidR="00C01A65">
        <w:t>testified about his</w:t>
      </w:r>
      <w:r w:rsidR="006C0ADE" w:rsidRPr="00D63571">
        <w:t xml:space="preserve"> upbringing, his learning disability, and his record in school and at work.  </w:t>
      </w:r>
      <w:r>
        <w:t>Morales</w:t>
      </w:r>
      <w:r w:rsidR="006C0ADE" w:rsidRPr="00D63571">
        <w:t xml:space="preserve"> grew up with his mother, his sister Yvonne, and his brother Emi.  When </w:t>
      </w:r>
      <w:r>
        <w:t>Morales</w:t>
      </w:r>
      <w:r w:rsidR="006C0ADE" w:rsidRPr="00D63571">
        <w:t xml:space="preserve"> was young, his father left the family.  After that, </w:t>
      </w:r>
      <w:proofErr w:type="gramStart"/>
      <w:r w:rsidR="006C0ADE" w:rsidRPr="00D63571">
        <w:t>many</w:t>
      </w:r>
      <w:proofErr w:type="gramEnd"/>
      <w:r w:rsidR="006C0ADE" w:rsidRPr="00D63571">
        <w:t xml:space="preserve"> of his mother’s subsequent partners were abusive toward </w:t>
      </w:r>
      <w:r>
        <w:t>Morales</w:t>
      </w:r>
      <w:r w:rsidR="006C0ADE" w:rsidRPr="00D63571">
        <w:t xml:space="preserve">.  One partner physically abused </w:t>
      </w:r>
      <w:r>
        <w:t>Morales</w:t>
      </w:r>
      <w:r w:rsidR="00431EAD">
        <w:t>.</w:t>
      </w:r>
      <w:r w:rsidR="006C0ADE" w:rsidRPr="00D63571">
        <w:t xml:space="preserve"> </w:t>
      </w:r>
      <w:r w:rsidR="00431EAD">
        <w:t xml:space="preserve"> A</w:t>
      </w:r>
      <w:r w:rsidR="00431EAD" w:rsidRPr="00D63571">
        <w:t xml:space="preserve">nother </w:t>
      </w:r>
      <w:r w:rsidR="006C0ADE" w:rsidRPr="00D63571">
        <w:t xml:space="preserve">partner, who was an alcoholic, verbally abused </w:t>
      </w:r>
      <w:r>
        <w:t>Morales</w:t>
      </w:r>
      <w:r w:rsidR="006C0ADE" w:rsidRPr="00D63571">
        <w:t xml:space="preserve"> </w:t>
      </w:r>
      <w:r w:rsidR="00644067">
        <w:t>starting at</w:t>
      </w:r>
      <w:r w:rsidR="00644067" w:rsidRPr="00D63571">
        <w:t xml:space="preserve"> </w:t>
      </w:r>
      <w:r w:rsidR="006C0ADE" w:rsidRPr="00D63571">
        <w:t xml:space="preserve">the age of </w:t>
      </w:r>
      <w:r w:rsidR="006C0ADE">
        <w:t>10</w:t>
      </w:r>
      <w:r w:rsidR="006C0ADE" w:rsidRPr="00D63571">
        <w:t xml:space="preserve">, mostly about </w:t>
      </w:r>
      <w:r>
        <w:t>Morales</w:t>
      </w:r>
      <w:r w:rsidR="006C0ADE" w:rsidRPr="00D63571">
        <w:t xml:space="preserve">’s apparent lack of intelligence.  When </w:t>
      </w:r>
      <w:r>
        <w:t>Morales</w:t>
      </w:r>
      <w:r w:rsidR="006C0ADE" w:rsidRPr="00D63571">
        <w:t xml:space="preserve"> was in his teens, Emi died unexpectedly in a rockslide in Yosemite.  </w:t>
      </w:r>
      <w:r>
        <w:t>Morales</w:t>
      </w:r>
      <w:r w:rsidR="006C0ADE" w:rsidRPr="00D63571">
        <w:t xml:space="preserve"> was </w:t>
      </w:r>
      <w:r w:rsidR="006C0ADE" w:rsidRPr="00D63571">
        <w:lastRenderedPageBreak/>
        <w:t xml:space="preserve">devastated and became isolated after Emi’s death.  </w:t>
      </w:r>
      <w:r w:rsidR="00560418">
        <w:t>Yvonne</w:t>
      </w:r>
      <w:r w:rsidR="006C0ADE" w:rsidRPr="00D63571">
        <w:t xml:space="preserve"> said she would not wish </w:t>
      </w:r>
      <w:r>
        <w:t>Morales</w:t>
      </w:r>
      <w:r w:rsidR="006C0ADE" w:rsidRPr="00D63571">
        <w:t xml:space="preserve">’s childhood on anyone.  </w:t>
      </w:r>
      <w:r>
        <w:t>Morales</w:t>
      </w:r>
      <w:r w:rsidR="006C0ADE" w:rsidRPr="00D63571">
        <w:t xml:space="preserve">’s mother described him as a child in a man’s body.  He often needed </w:t>
      </w:r>
      <w:r w:rsidR="006C0ADE">
        <w:t>his mother’s</w:t>
      </w:r>
      <w:r w:rsidR="006C0ADE" w:rsidRPr="00D63571">
        <w:t xml:space="preserve"> help doing a variety of tasks, like filling out paperwork.</w:t>
      </w:r>
    </w:p>
    <w:p w14:paraId="10D7F8B9" w14:textId="28AE79D2" w:rsidR="006C0ADE" w:rsidRPr="00D63571" w:rsidRDefault="00F6225E" w:rsidP="006C0ADE">
      <w:pPr>
        <w:ind w:firstLine="720"/>
      </w:pPr>
      <w:r>
        <w:t>Morales</w:t>
      </w:r>
      <w:r w:rsidR="006C0ADE" w:rsidRPr="00D63571">
        <w:t xml:space="preserve"> </w:t>
      </w:r>
      <w:r w:rsidR="006C0ADE">
        <w:t xml:space="preserve">also </w:t>
      </w:r>
      <w:r w:rsidR="006C0ADE" w:rsidRPr="00D63571">
        <w:t xml:space="preserve">struggled in school.  As early as the first grade, he was at the bottom of the class.  Throughout </w:t>
      </w:r>
      <w:proofErr w:type="gramStart"/>
      <w:r w:rsidR="006C0ADE" w:rsidRPr="00D63571">
        <w:t>most of</w:t>
      </w:r>
      <w:proofErr w:type="gramEnd"/>
      <w:r w:rsidR="006C0ADE" w:rsidRPr="00D63571">
        <w:t xml:space="preserve"> his education, he attended special education classes.  His fourth through sixth grade teacher testified that </w:t>
      </w:r>
      <w:r>
        <w:t>Morales</w:t>
      </w:r>
      <w:r w:rsidR="006C0ADE" w:rsidRPr="00D63571">
        <w:t xml:space="preserve"> seemed depressed and was not very social.  By the eighth grade, </w:t>
      </w:r>
      <w:r>
        <w:t>Morales</w:t>
      </w:r>
      <w:r w:rsidR="006C0ADE" w:rsidRPr="00D63571">
        <w:t xml:space="preserve"> was reading at only a </w:t>
      </w:r>
      <w:proofErr w:type="gramStart"/>
      <w:r w:rsidR="006C0ADE" w:rsidRPr="00D63571">
        <w:t>first grade</w:t>
      </w:r>
      <w:proofErr w:type="gramEnd"/>
      <w:r w:rsidR="006C0ADE" w:rsidRPr="00D63571">
        <w:t xml:space="preserve"> level, with a very limited vocabulary.  He was withdrawn and dejected and often picked on by other kids.  These trends continued in high school.</w:t>
      </w:r>
    </w:p>
    <w:p w14:paraId="486D7998" w14:textId="478E03BA" w:rsidR="006C0ADE" w:rsidRPr="00D63571" w:rsidRDefault="006C0ADE" w:rsidP="006C0ADE">
      <w:pPr>
        <w:ind w:firstLine="720"/>
        <w:rPr>
          <w:highlight w:val="yellow"/>
        </w:rPr>
      </w:pPr>
      <w:r w:rsidRPr="00D63571">
        <w:t xml:space="preserve">Two experts testified that </w:t>
      </w:r>
      <w:r w:rsidR="00F6225E">
        <w:t>Morales</w:t>
      </w:r>
      <w:r w:rsidRPr="00D63571">
        <w:t xml:space="preserve"> had a severe learning disability.  While </w:t>
      </w:r>
      <w:r w:rsidR="00F6225E">
        <w:t>Morales</w:t>
      </w:r>
      <w:r w:rsidRPr="00D63571">
        <w:t>’s IQ was average or just below average in certain subjects, he struggled in subjects that required him to express himself.</w:t>
      </w:r>
      <w:r>
        <w:t xml:space="preserve">  </w:t>
      </w:r>
      <w:r w:rsidRPr="00D63571">
        <w:t xml:space="preserve">This discrepancy was consistent with someone with a learning disability, as opposed to someone with </w:t>
      </w:r>
      <w:r>
        <w:t>an intellectual disability</w:t>
      </w:r>
      <w:r w:rsidRPr="00D63571">
        <w:t xml:space="preserve">.  </w:t>
      </w:r>
      <w:r w:rsidR="00017063">
        <w:t>One</w:t>
      </w:r>
      <w:r w:rsidRPr="00D63571">
        <w:t xml:space="preserve"> expert testified that </w:t>
      </w:r>
      <w:r w:rsidR="00F6225E">
        <w:t>Morales</w:t>
      </w:r>
      <w:r w:rsidRPr="00D63571">
        <w:t xml:space="preserve">’s truancy was </w:t>
      </w:r>
      <w:proofErr w:type="gramStart"/>
      <w:r w:rsidRPr="00D63571">
        <w:t>likely tied</w:t>
      </w:r>
      <w:proofErr w:type="gramEnd"/>
      <w:r w:rsidRPr="00D63571">
        <w:t xml:space="preserve"> to his learning disability.  The second expert confirmed these findings.  He concluded that </w:t>
      </w:r>
      <w:r w:rsidR="00F6225E">
        <w:t>Morales</w:t>
      </w:r>
      <w:r w:rsidRPr="00D63571">
        <w:t xml:space="preserve"> had suffered from long</w:t>
      </w:r>
      <w:r>
        <w:t>-</w:t>
      </w:r>
      <w:r w:rsidRPr="00D63571">
        <w:t xml:space="preserve">standing brain damage and learning disabilities.  While </w:t>
      </w:r>
      <w:r w:rsidR="00F6225E">
        <w:t>Morales</w:t>
      </w:r>
      <w:r w:rsidRPr="00D63571">
        <w:t xml:space="preserve"> had an average IQ, he struggled expressing his thoughts.  </w:t>
      </w:r>
      <w:r w:rsidR="00F6225E">
        <w:t>Morales</w:t>
      </w:r>
      <w:r w:rsidRPr="00D63571">
        <w:t xml:space="preserve"> also tended to react impulsively, rather than after considered thought.</w:t>
      </w:r>
    </w:p>
    <w:p w14:paraId="598751F0" w14:textId="488538C6" w:rsidR="00BE07EC" w:rsidRPr="005A0AEB" w:rsidRDefault="006C0ADE" w:rsidP="006C0ADE">
      <w:pPr>
        <w:tabs>
          <w:tab w:val="left" w:pos="720"/>
          <w:tab w:val="left" w:pos="1170"/>
        </w:tabs>
        <w:ind w:firstLine="720"/>
        <w:rPr>
          <w:szCs w:val="24"/>
        </w:rPr>
      </w:pPr>
      <w:r w:rsidRPr="00D63571">
        <w:t xml:space="preserve">On rebuttal, the People introduced evidence that </w:t>
      </w:r>
      <w:r w:rsidR="00F6225E">
        <w:t>Morales</w:t>
      </w:r>
      <w:r w:rsidRPr="00D63571">
        <w:t xml:space="preserve"> had been dismissed from a vocational program during high school.  As part of the program, </w:t>
      </w:r>
      <w:r w:rsidR="00F6225E">
        <w:t>Morales</w:t>
      </w:r>
      <w:r w:rsidRPr="00D63571">
        <w:t xml:space="preserve"> </w:t>
      </w:r>
      <w:r>
        <w:t xml:space="preserve">had </w:t>
      </w:r>
      <w:r w:rsidRPr="00D63571">
        <w:t xml:space="preserve">tried various jobs and a remedial program.  He was fired from his job as a summer camp counselor because he dunked a seven-year-old camper’s </w:t>
      </w:r>
      <w:r w:rsidRPr="00D63571">
        <w:lastRenderedPageBreak/>
        <w:t xml:space="preserve">head in the toilet.  And he was dismissed from the remedial program because he was not attending </w:t>
      </w:r>
      <w:proofErr w:type="gramStart"/>
      <w:r w:rsidRPr="00D63571">
        <w:t>all of</w:t>
      </w:r>
      <w:proofErr w:type="gramEnd"/>
      <w:r w:rsidRPr="00D63571">
        <w:t xml:space="preserve"> his classes.  Because of these incidents and his refusal to abide by the vocational program’s requirements, he was eventually dismissed from the program.</w:t>
      </w:r>
    </w:p>
    <w:p w14:paraId="375F5D0C" w14:textId="6D27FC1A" w:rsidR="00BE07EC" w:rsidRPr="005A0AEB" w:rsidRDefault="00BE07EC" w:rsidP="006731A9">
      <w:pPr>
        <w:keepNext/>
        <w:jc w:val="center"/>
        <w:outlineLvl w:val="0"/>
        <w:rPr>
          <w:b/>
          <w:smallCaps/>
        </w:rPr>
      </w:pPr>
      <w:bookmarkStart w:id="17" w:name="_Toc21438454"/>
      <w:bookmarkStart w:id="18" w:name="_Toc31888611"/>
      <w:bookmarkStart w:id="19" w:name="_Toc34223167"/>
      <w:bookmarkStart w:id="20" w:name="_Toc37394357"/>
      <w:r w:rsidRPr="005A0AEB">
        <w:rPr>
          <w:b/>
          <w:smallCaps/>
        </w:rPr>
        <w:t xml:space="preserve">II.  </w:t>
      </w:r>
      <w:bookmarkEnd w:id="17"/>
      <w:bookmarkEnd w:id="18"/>
      <w:bookmarkEnd w:id="19"/>
      <w:r w:rsidR="006C0ADE">
        <w:rPr>
          <w:b/>
          <w:smallCaps/>
        </w:rPr>
        <w:t>Discussion</w:t>
      </w:r>
    </w:p>
    <w:p w14:paraId="607FAA1A" w14:textId="79CBD41E" w:rsidR="00BE07EC" w:rsidRPr="006C0ADE" w:rsidRDefault="00BE07EC" w:rsidP="006C0ADE">
      <w:pPr>
        <w:keepNext/>
        <w:tabs>
          <w:tab w:val="left" w:pos="1170"/>
        </w:tabs>
        <w:spacing w:before="240"/>
        <w:ind w:left="1152" w:hanging="432"/>
        <w:outlineLvl w:val="1"/>
        <w:rPr>
          <w:b/>
        </w:rPr>
      </w:pPr>
      <w:bookmarkStart w:id="21" w:name="_Toc21438455"/>
      <w:bookmarkStart w:id="22" w:name="_Toc31888612"/>
      <w:bookmarkStart w:id="23" w:name="_Toc34223168"/>
      <w:r w:rsidRPr="005A0AEB">
        <w:rPr>
          <w:b/>
        </w:rPr>
        <w:t xml:space="preserve">A.  </w:t>
      </w:r>
      <w:bookmarkEnd w:id="20"/>
      <w:r w:rsidR="006C0ADE">
        <w:rPr>
          <w:b/>
          <w:noProof/>
        </w:rPr>
        <w:t>Guilt Phase Issues</w:t>
      </w:r>
      <w:r w:rsidRPr="005A0AEB">
        <w:rPr>
          <w:b/>
          <w:noProof/>
        </w:rPr>
        <w:t xml:space="preserve"> </w:t>
      </w:r>
      <w:bookmarkEnd w:id="21"/>
      <w:bookmarkEnd w:id="22"/>
      <w:bookmarkEnd w:id="23"/>
      <w:r w:rsidRPr="005A0AEB">
        <w:rPr>
          <w:szCs w:val="26"/>
        </w:rPr>
        <w:t xml:space="preserve"> </w:t>
      </w:r>
    </w:p>
    <w:p w14:paraId="1CAD9DAF" w14:textId="0A492F63" w:rsidR="00BE07EC" w:rsidRPr="005A0AEB" w:rsidRDefault="00BE07EC" w:rsidP="007253AE">
      <w:pPr>
        <w:keepNext/>
        <w:tabs>
          <w:tab w:val="left" w:pos="1584"/>
        </w:tabs>
        <w:spacing w:before="240"/>
        <w:ind w:left="1512" w:hanging="360"/>
        <w:outlineLvl w:val="2"/>
        <w:rPr>
          <w:i/>
        </w:rPr>
      </w:pPr>
      <w:bookmarkStart w:id="24" w:name="_Toc21438456"/>
      <w:bookmarkStart w:id="25" w:name="_Toc31888613"/>
      <w:bookmarkStart w:id="26" w:name="_Toc34223169"/>
      <w:r w:rsidRPr="005A0AEB">
        <w:rPr>
          <w:i/>
        </w:rPr>
        <w:t>1.</w:t>
      </w:r>
      <w:r w:rsidRPr="005A0AEB">
        <w:rPr>
          <w:i/>
        </w:rPr>
        <w:tab/>
      </w:r>
      <w:bookmarkEnd w:id="24"/>
      <w:bookmarkEnd w:id="25"/>
      <w:bookmarkEnd w:id="26"/>
      <w:r w:rsidR="006C0ADE" w:rsidRPr="006C0ADE">
        <w:rPr>
          <w:i/>
        </w:rPr>
        <w:t>Sufficiency of the Evidence of Premeditation and Deliberation</w:t>
      </w:r>
    </w:p>
    <w:p w14:paraId="083C5C25" w14:textId="60866349" w:rsidR="006C0ADE" w:rsidRPr="00D63571" w:rsidRDefault="00F6225E" w:rsidP="006C0ADE">
      <w:pPr>
        <w:ind w:firstLine="720"/>
      </w:pPr>
      <w:r>
        <w:t>Morales</w:t>
      </w:r>
      <w:r w:rsidR="006C0ADE" w:rsidRPr="00D63571">
        <w:t xml:space="preserve"> </w:t>
      </w:r>
      <w:r w:rsidR="00DC4BB6">
        <w:t xml:space="preserve">challenges his </w:t>
      </w:r>
      <w:proofErr w:type="gramStart"/>
      <w:r w:rsidR="006C0ADE" w:rsidRPr="00D63571">
        <w:t>first degree</w:t>
      </w:r>
      <w:proofErr w:type="gramEnd"/>
      <w:r w:rsidR="006C0ADE" w:rsidRPr="00D63571">
        <w:t xml:space="preserve"> murder convictions </w:t>
      </w:r>
      <w:r w:rsidR="00DC4BB6">
        <w:t xml:space="preserve">on </w:t>
      </w:r>
      <w:r w:rsidR="001A35BB">
        <w:t xml:space="preserve">the </w:t>
      </w:r>
      <w:r w:rsidR="00DC4BB6">
        <w:t xml:space="preserve">ground that </w:t>
      </w:r>
      <w:r w:rsidR="001A35BB">
        <w:t xml:space="preserve">the </w:t>
      </w:r>
      <w:r w:rsidR="006C0ADE" w:rsidRPr="00D63571">
        <w:t xml:space="preserve">evidence </w:t>
      </w:r>
      <w:r w:rsidR="00C01A65">
        <w:t>wa</w:t>
      </w:r>
      <w:r w:rsidR="006C0ADE" w:rsidRPr="00D63571">
        <w:t xml:space="preserve">s insufficient to show he committed the murders with premeditation and deliberation.  </w:t>
      </w:r>
      <w:r w:rsidR="00803997">
        <w:t xml:space="preserve">We reject the </w:t>
      </w:r>
      <w:r w:rsidR="001A35BB">
        <w:t>challenge</w:t>
      </w:r>
      <w:r w:rsidR="006C0ADE">
        <w:t>.</w:t>
      </w:r>
    </w:p>
    <w:p w14:paraId="0EA7BBEE" w14:textId="10572E84" w:rsidR="006C0ADE" w:rsidRPr="00D63571" w:rsidRDefault="006C0ADE" w:rsidP="006C0ADE">
      <w:pPr>
        <w:ind w:firstLine="720"/>
      </w:pPr>
      <w:r w:rsidRPr="00D63571">
        <w:t>“When considering a challenge to the sufficiency of the evidence to support a conviction, we review the entire record in the light most favorable to the judgment to determine whether it contains substantial evidence</w:t>
      </w:r>
      <w:r w:rsidR="00C84CB5">
        <w:t> </w:t>
      </w:r>
      <w:r w:rsidRPr="00D63571">
        <w:t>—</w:t>
      </w:r>
      <w:r w:rsidR="00C84CB5">
        <w:t xml:space="preserve"> </w:t>
      </w:r>
      <w:r w:rsidRPr="00D63571">
        <w:t>that is, evidence that is reasonable, credible, and of solid value</w:t>
      </w:r>
      <w:r w:rsidR="00C84CB5">
        <w:t> </w:t>
      </w:r>
      <w:r w:rsidRPr="00D63571">
        <w:t>—</w:t>
      </w:r>
      <w:r w:rsidR="00C84CB5">
        <w:t xml:space="preserve"> </w:t>
      </w:r>
      <w:r w:rsidRPr="00D63571">
        <w:t>from which a reasonable trier of fact could find the defendant guilty beyond a reasonable doubt.”  (</w:t>
      </w:r>
      <w:r w:rsidRPr="00D63571">
        <w:rPr>
          <w:i/>
        </w:rPr>
        <w:t>People v. Lindberg</w:t>
      </w:r>
      <w:r w:rsidRPr="00D63571">
        <w:t xml:space="preserve"> (2008) 45 Cal.4th 1, 27.)  We determine “whether, after viewing the evidence in the light most favorable to the prosecution, </w:t>
      </w:r>
      <w:r w:rsidRPr="008A10E5">
        <w:rPr>
          <w:i/>
        </w:rPr>
        <w:t>any</w:t>
      </w:r>
      <w:r w:rsidRPr="00D63571">
        <w:t xml:space="preserve"> rational trier of fact could have found the essential elements of the crime beyond a reasonable doubt.”  (</w:t>
      </w:r>
      <w:r w:rsidRPr="00D63571">
        <w:rPr>
          <w:i/>
        </w:rPr>
        <w:t>Jackson v. Virginia</w:t>
      </w:r>
      <w:r w:rsidRPr="00D63571">
        <w:t xml:space="preserve"> (1979) 443 U.S. 307, 319.)  In so doing, a reviewing court “</w:t>
      </w:r>
      <w:r w:rsidR="00727524">
        <w:t> </w:t>
      </w:r>
      <w:r w:rsidR="00820DE4">
        <w:t>‘</w:t>
      </w:r>
      <w:r w:rsidR="00727524">
        <w:t> </w:t>
      </w:r>
      <w:r w:rsidR="00820DE4">
        <w:t>“</w:t>
      </w:r>
      <w:r w:rsidRPr="00D63571">
        <w:t>presumes in support of the judgment the existence of every fact the trier could reasonably deduce from the evidence.”</w:t>
      </w:r>
      <w:r>
        <w:t> </w:t>
      </w:r>
      <w:r w:rsidRPr="00D63571">
        <w:t>’  (</w:t>
      </w:r>
      <w:r w:rsidRPr="00D63571">
        <w:rPr>
          <w:i/>
        </w:rPr>
        <w:t>People v. Edwards</w:t>
      </w:r>
      <w:r w:rsidRPr="00D63571">
        <w:t xml:space="preserve"> (2013) 57 Cal.4th 658, 715</w:t>
      </w:r>
      <w:r w:rsidR="00820DE4">
        <w:t xml:space="preserve"> [161 Cal.Rptr.3d 191, 306 P.3d 1049]</w:t>
      </w:r>
      <w:r w:rsidRPr="00D63571">
        <w:t>.)”  (</w:t>
      </w:r>
      <w:r w:rsidRPr="00D63571">
        <w:rPr>
          <w:i/>
        </w:rPr>
        <w:t>People v. Beck and Cruz</w:t>
      </w:r>
      <w:r w:rsidRPr="00D63571">
        <w:t xml:space="preserve"> (2019) 8 Cal.5th 548, 626.)</w:t>
      </w:r>
    </w:p>
    <w:p w14:paraId="53E14DAF" w14:textId="6C5BE6DB" w:rsidR="006C0ADE" w:rsidRPr="00D63571" w:rsidRDefault="006C0ADE" w:rsidP="006C0ADE">
      <w:pPr>
        <w:ind w:firstLine="720"/>
      </w:pPr>
      <w:r w:rsidRPr="00D63571">
        <w:lastRenderedPageBreak/>
        <w:t xml:space="preserve">“Murder is the unlawful killing of a </w:t>
      </w:r>
      <w:r>
        <w:t xml:space="preserve">human being, or a fetus, </w:t>
      </w:r>
      <w:r w:rsidRPr="00D63571">
        <w:t>with malice aforethought</w:t>
      </w:r>
      <w:r w:rsidR="00431EAD">
        <w:t>.</w:t>
      </w:r>
      <w:r>
        <w:t>”</w:t>
      </w:r>
      <w:r w:rsidRPr="00D63571">
        <w:t xml:space="preserve"> </w:t>
      </w:r>
      <w:r w:rsidR="00C1665D">
        <w:t xml:space="preserve"> </w:t>
      </w:r>
      <w:r w:rsidRPr="00D63571">
        <w:t>(Pen. Code</w:t>
      </w:r>
      <w:r>
        <w:t>,</w:t>
      </w:r>
      <w:r w:rsidRPr="00D63571">
        <w:t xml:space="preserve"> §</w:t>
      </w:r>
      <w:r>
        <w:t> </w:t>
      </w:r>
      <w:r w:rsidRPr="00D63571">
        <w:t>187</w:t>
      </w:r>
      <w:r>
        <w:t xml:space="preserve">, </w:t>
      </w:r>
      <w:proofErr w:type="spellStart"/>
      <w:r>
        <w:t>subd</w:t>
      </w:r>
      <w:proofErr w:type="spellEnd"/>
      <w:r>
        <w:t>. (a)</w:t>
      </w:r>
      <w:r w:rsidR="00C1665D">
        <w:t>.</w:t>
      </w:r>
      <w:r w:rsidRPr="00D63571">
        <w:t>)</w:t>
      </w:r>
      <w:r w:rsidR="00431EAD">
        <w:t xml:space="preserve"> </w:t>
      </w:r>
      <w:r w:rsidRPr="00D63571">
        <w:t xml:space="preserve"> If the murder is “willful, deliberate, and premeditated,” it is first degree murder.  (</w:t>
      </w:r>
      <w:r w:rsidRPr="00D63571">
        <w:rPr>
          <w:i/>
        </w:rPr>
        <w:t>Id.</w:t>
      </w:r>
      <w:r w:rsidRPr="00D63571">
        <w:t>, §</w:t>
      </w:r>
      <w:r>
        <w:t> </w:t>
      </w:r>
      <w:r w:rsidRPr="00D63571">
        <w:t xml:space="preserve">189, </w:t>
      </w:r>
      <w:proofErr w:type="spellStart"/>
      <w:r w:rsidRPr="00D63571">
        <w:t>subd</w:t>
      </w:r>
      <w:proofErr w:type="spellEnd"/>
      <w:r w:rsidRPr="00D63571">
        <w:t>. (a).)  “</w:t>
      </w:r>
      <w:r>
        <w:t> </w:t>
      </w:r>
      <w:r w:rsidRPr="00D63571">
        <w:t>‘</w:t>
      </w:r>
      <w:r>
        <w:t> </w:t>
      </w:r>
      <w:r w:rsidRPr="00D63571">
        <w:t>“In this context, ‘premeditated’ means ‘considered beforehand,’ and ‘deliberate’ means ‘formed or arrived at or determined upon as a result of careful thought and weighing of considerations for and against the proposed course of action.’</w:t>
      </w:r>
      <w:r>
        <w:t> </w:t>
      </w:r>
      <w:r w:rsidRPr="00D63571">
        <w:t>”</w:t>
      </w:r>
      <w:r>
        <w:t> </w:t>
      </w:r>
      <w:r w:rsidRPr="00D63571">
        <w:t xml:space="preserve">’ </w:t>
      </w:r>
      <w:r>
        <w:t xml:space="preserve"> </w:t>
      </w:r>
      <w:r w:rsidRPr="00D63571">
        <w:t>([</w:t>
      </w:r>
      <w:r w:rsidRPr="00D63571">
        <w:rPr>
          <w:i/>
        </w:rPr>
        <w:t>People v. Jurado</w:t>
      </w:r>
      <w:r w:rsidRPr="00D63571">
        <w:t xml:space="preserve"> (2006) 38</w:t>
      </w:r>
      <w:r w:rsidR="00AD5E33">
        <w:t> </w:t>
      </w:r>
      <w:r w:rsidRPr="00D63571">
        <w:t>Cal.4th 72, 118]</w:t>
      </w:r>
      <w:r>
        <w:t>.</w:t>
      </w:r>
      <w:r w:rsidRPr="00D63571">
        <w:t>)</w:t>
      </w:r>
      <w:r>
        <w:t xml:space="preserve"> </w:t>
      </w:r>
      <w:r w:rsidRPr="00D63571">
        <w:t xml:space="preserve"> ‘ “An intentional killing is premeditated and deliberate if it occurred as the result of preexisting thought and reflection rather than unconsidered or rash impulse.”</w:t>
      </w:r>
      <w:r>
        <w:t> </w:t>
      </w:r>
      <w:r w:rsidRPr="00D63571">
        <w:t>’  (</w:t>
      </w:r>
      <w:r w:rsidRPr="00D63571">
        <w:rPr>
          <w:i/>
        </w:rPr>
        <w:t>Ibid.</w:t>
      </w:r>
      <w:r w:rsidRPr="00D63571">
        <w:t xml:space="preserve">; see also </w:t>
      </w:r>
      <w:r w:rsidRPr="00D63571">
        <w:rPr>
          <w:i/>
        </w:rPr>
        <w:t>People v. Anderson</w:t>
      </w:r>
      <w:r w:rsidRPr="00D63571">
        <w:t xml:space="preserve"> (1968) 70 Cal.2d 15</w:t>
      </w:r>
      <w:r>
        <w:t>, 24–34 []</w:t>
      </w:r>
      <w:r w:rsidRPr="00D63571">
        <w:t>.)  ‘The true test is not the duration of time as much as it is the extent of the reflection.  Thoughts may follow each other with great rapidity and cold, calculated judgment may be arrived at quickly</w:t>
      </w:r>
      <w:r>
        <w:t xml:space="preserve"> </w:t>
      </w:r>
      <w:r w:rsidRPr="00D63571">
        <w:t>.</w:t>
      </w:r>
      <w:r>
        <w:t> </w:t>
      </w:r>
      <w:r w:rsidRPr="00D63571">
        <w:t>.</w:t>
      </w:r>
      <w:r>
        <w:t> </w:t>
      </w:r>
      <w:r w:rsidRPr="00D63571">
        <w:t>.</w:t>
      </w:r>
      <w:r>
        <w:t> </w:t>
      </w:r>
      <w:r w:rsidRPr="00D63571">
        <w:t>.’  (</w:t>
      </w:r>
      <w:r w:rsidRPr="00D63571">
        <w:rPr>
          <w:i/>
        </w:rPr>
        <w:t>People v. Thomas</w:t>
      </w:r>
      <w:r w:rsidRPr="00D63571">
        <w:t xml:space="preserve"> (1945) 25 Cal.2d 880, 900</w:t>
      </w:r>
      <w:r w:rsidR="00820DE4">
        <w:t xml:space="preserve"> [156</w:t>
      </w:r>
      <w:r w:rsidR="00AD5E33">
        <w:t> </w:t>
      </w:r>
      <w:r w:rsidR="00820DE4">
        <w:t>P.2d 7]</w:t>
      </w:r>
      <w:r w:rsidRPr="00D63571">
        <w:t xml:space="preserve">.)”  </w:t>
      </w:r>
      <w:r>
        <w:t>(</w:t>
      </w:r>
      <w:r w:rsidRPr="00D63571">
        <w:rPr>
          <w:i/>
        </w:rPr>
        <w:t>People v. Potts</w:t>
      </w:r>
      <w:r w:rsidRPr="00D63571">
        <w:t xml:space="preserve"> (2019) 6 Cal.5th 1012, 1027</w:t>
      </w:r>
      <w:r>
        <w:t>.)</w:t>
      </w:r>
    </w:p>
    <w:p w14:paraId="056E2392" w14:textId="2012B80A" w:rsidR="006C0ADE" w:rsidRPr="00D63571" w:rsidRDefault="006C0ADE" w:rsidP="006C0ADE">
      <w:pPr>
        <w:ind w:firstLine="720"/>
      </w:pPr>
      <w:r>
        <w:t>I</w:t>
      </w:r>
      <w:r w:rsidRPr="00D63571">
        <w:t xml:space="preserve">n </w:t>
      </w:r>
      <w:r>
        <w:rPr>
          <w:i/>
        </w:rPr>
        <w:t xml:space="preserve">People v. </w:t>
      </w:r>
      <w:r w:rsidRPr="00D63571">
        <w:rPr>
          <w:i/>
        </w:rPr>
        <w:t>Anderson</w:t>
      </w:r>
      <w:r w:rsidR="006731A9" w:rsidRPr="006731A9">
        <w:t>,</w:t>
      </w:r>
      <w:r w:rsidR="006731A9">
        <w:rPr>
          <w:i/>
        </w:rPr>
        <w:t xml:space="preserve"> supra</w:t>
      </w:r>
      <w:r w:rsidR="006731A9" w:rsidRPr="006731A9">
        <w:t>,</w:t>
      </w:r>
      <w:r w:rsidR="006731A9">
        <w:rPr>
          <w:i/>
        </w:rPr>
        <w:t xml:space="preserve"> </w:t>
      </w:r>
      <w:r w:rsidRPr="00D63571">
        <w:t xml:space="preserve">70 Cal.2d </w:t>
      </w:r>
      <w:r w:rsidR="006731A9">
        <w:t>at p</w:t>
      </w:r>
      <w:r w:rsidR="00675204">
        <w:t>age</w:t>
      </w:r>
      <w:r w:rsidR="006731A9">
        <w:t> </w:t>
      </w:r>
      <w:r>
        <w:t>26</w:t>
      </w:r>
      <w:r w:rsidRPr="00D63571">
        <w:t xml:space="preserve"> (</w:t>
      </w:r>
      <w:r w:rsidRPr="00D63571">
        <w:rPr>
          <w:i/>
        </w:rPr>
        <w:t>Anderson</w:t>
      </w:r>
      <w:r w:rsidRPr="00D63571">
        <w:t>)</w:t>
      </w:r>
      <w:r>
        <w:t xml:space="preserve">, </w:t>
      </w:r>
      <w:r w:rsidRPr="00D63571">
        <w:t xml:space="preserve">we </w:t>
      </w:r>
      <w:r w:rsidR="00D06F0D">
        <w:t xml:space="preserve">identified “three basic categories” </w:t>
      </w:r>
      <w:r w:rsidR="001A35BB">
        <w:t xml:space="preserve">of evidence this court has generally found sufficient to sustain </w:t>
      </w:r>
      <w:r w:rsidRPr="00D63571">
        <w:t xml:space="preserve">a finding of premeditation and deliberation:  (1) planning activity, or “facts about how and what defendant did </w:t>
      </w:r>
      <w:r w:rsidRPr="004C4A24">
        <w:rPr>
          <w:i/>
        </w:rPr>
        <w:t>prior</w:t>
      </w:r>
      <w:r w:rsidRPr="00D63571">
        <w:t xml:space="preserve"> to the actual killing which show that the defendant was engaged in activity directed toward, and explicable as intended to result in, the killing”; (2)</w:t>
      </w:r>
      <w:r w:rsidR="00B207DE">
        <w:t> </w:t>
      </w:r>
      <w:r w:rsidRPr="00D63571">
        <w:t xml:space="preserve">motive, or “facts about the defendant’s </w:t>
      </w:r>
      <w:r w:rsidRPr="004C4A24">
        <w:rPr>
          <w:i/>
        </w:rPr>
        <w:t>prior</w:t>
      </w:r>
      <w:r w:rsidRPr="00D63571">
        <w:t xml:space="preserve"> relationship and/or conduct with the victim from which the jury could reasonably infer a ‘motive’ to kill the victim”; and (3)</w:t>
      </w:r>
      <w:r>
        <w:t> </w:t>
      </w:r>
      <w:r w:rsidRPr="00D63571">
        <w:t xml:space="preserve">manner of killing, or “facts about the nature of the killing from which the jury could infer that the </w:t>
      </w:r>
      <w:r w:rsidRPr="004C4A24">
        <w:rPr>
          <w:i/>
        </w:rPr>
        <w:t>manner</w:t>
      </w:r>
      <w:r w:rsidRPr="00D63571">
        <w:t xml:space="preserve"> of killing was so particular and exacting that the defendant must have intentionally killed </w:t>
      </w:r>
      <w:r w:rsidRPr="00D63571">
        <w:lastRenderedPageBreak/>
        <w:t>according to a ‘preconceived design’ to take his victim’s life in a particular way for a ‘reason’ .</w:t>
      </w:r>
      <w:r>
        <w:t> </w:t>
      </w:r>
      <w:r w:rsidRPr="00D63571">
        <w:t>.</w:t>
      </w:r>
      <w:r>
        <w:t> </w:t>
      </w:r>
      <w:r w:rsidRPr="00D63571">
        <w:t>.</w:t>
      </w:r>
      <w:r>
        <w:t> </w:t>
      </w:r>
      <w:r w:rsidRPr="00D63571">
        <w:t>.”  (</w:t>
      </w:r>
      <w:r w:rsidRPr="00D63571">
        <w:rPr>
          <w:i/>
        </w:rPr>
        <w:t>Id.</w:t>
      </w:r>
      <w:r w:rsidRPr="00D63571">
        <w:t xml:space="preserve"> at pp.</w:t>
      </w:r>
      <w:r>
        <w:t> </w:t>
      </w:r>
      <w:r w:rsidRPr="00D63571">
        <w:t>26–27.)</w:t>
      </w:r>
      <w:r w:rsidR="00BF2181">
        <w:t xml:space="preserve">  </w:t>
      </w:r>
    </w:p>
    <w:p w14:paraId="6D574837" w14:textId="37E8AB5B" w:rsidR="006C0ADE" w:rsidRPr="00D63571" w:rsidRDefault="0025186C" w:rsidP="006C0ADE">
      <w:pPr>
        <w:ind w:firstLine="720"/>
      </w:pPr>
      <w:r>
        <w:t>I</w:t>
      </w:r>
      <w:r w:rsidRPr="00D63571">
        <w:t xml:space="preserve">n the years since </w:t>
      </w:r>
      <w:r w:rsidRPr="00D63571">
        <w:rPr>
          <w:i/>
        </w:rPr>
        <w:t>Anderson</w:t>
      </w:r>
      <w:r w:rsidRPr="00D63571">
        <w:t>, “</w:t>
      </w:r>
      <w:r>
        <w:t> ‘</w:t>
      </w:r>
      <w:r w:rsidRPr="00D63571">
        <w:t>we have emphasized that its guidelines are descriptive and neither normative nor exhaustive, and that reviewing courts need not accord them any particular weight.’</w:t>
      </w:r>
      <w:r w:rsidR="006731A9">
        <w:t> </w:t>
      </w:r>
      <w:r w:rsidRPr="00D63571">
        <w:t xml:space="preserve">”  </w:t>
      </w:r>
      <w:r>
        <w:t>(</w:t>
      </w:r>
      <w:r w:rsidRPr="00D63571">
        <w:rPr>
          <w:i/>
        </w:rPr>
        <w:t>People v. Rivera</w:t>
      </w:r>
      <w:r w:rsidRPr="00D63571">
        <w:t xml:space="preserve"> (2019) 7 Cal.5th 306, 324.)</w:t>
      </w:r>
      <w:r>
        <w:t xml:space="preserve">  </w:t>
      </w:r>
      <w:r w:rsidR="006C0ADE" w:rsidRPr="00D63571">
        <w:rPr>
          <w:i/>
        </w:rPr>
        <w:t>Anderson</w:t>
      </w:r>
      <w:r w:rsidR="006C0ADE" w:rsidRPr="00D63571">
        <w:t xml:space="preserve"> provides “a framework to aid in appellate review,” </w:t>
      </w:r>
      <w:r>
        <w:t xml:space="preserve">but </w:t>
      </w:r>
      <w:r w:rsidR="006C0ADE" w:rsidRPr="00D63571">
        <w:t xml:space="preserve">it does not “define the elements of </w:t>
      </w:r>
      <w:proofErr w:type="gramStart"/>
      <w:r w:rsidR="006C0ADE" w:rsidRPr="00D63571">
        <w:t>first degree</w:t>
      </w:r>
      <w:proofErr w:type="gramEnd"/>
      <w:r w:rsidR="006C0ADE" w:rsidRPr="00D63571">
        <w:t xml:space="preserve"> murder or alter the substantive law of murder in any way.”  (</w:t>
      </w:r>
      <w:r w:rsidR="006C0ADE" w:rsidRPr="00D63571">
        <w:rPr>
          <w:i/>
        </w:rPr>
        <w:t>People v. Perez</w:t>
      </w:r>
      <w:r w:rsidR="006C0ADE" w:rsidRPr="00D63571">
        <w:t xml:space="preserve"> (1992) 2 Cal.4th 1117, 1125.)  </w:t>
      </w:r>
    </w:p>
    <w:p w14:paraId="487A5E51" w14:textId="7DFA82CF" w:rsidR="006C0ADE" w:rsidRPr="00D63571" w:rsidRDefault="006C0ADE" w:rsidP="006C0ADE">
      <w:pPr>
        <w:ind w:firstLine="720"/>
      </w:pPr>
      <w:r>
        <w:t>Here</w:t>
      </w:r>
      <w:r w:rsidR="00D66EB5">
        <w:t xml:space="preserve">, </w:t>
      </w:r>
      <w:r w:rsidR="003A6415">
        <w:t xml:space="preserve">focusing on the </w:t>
      </w:r>
      <w:r w:rsidR="00A724A7">
        <w:t xml:space="preserve">three </w:t>
      </w:r>
      <w:r w:rsidR="003A6415">
        <w:rPr>
          <w:i/>
          <w:iCs/>
        </w:rPr>
        <w:t xml:space="preserve">Anderson </w:t>
      </w:r>
      <w:r w:rsidR="00A724A7">
        <w:t>categories</w:t>
      </w:r>
      <w:r w:rsidR="003A6415">
        <w:t>,</w:t>
      </w:r>
      <w:r>
        <w:t xml:space="preserve"> </w:t>
      </w:r>
      <w:r w:rsidR="00F6225E">
        <w:t>Morales</w:t>
      </w:r>
      <w:r w:rsidRPr="00D63571">
        <w:t xml:space="preserve"> argues that the prosecution failed to </w:t>
      </w:r>
      <w:r>
        <w:t xml:space="preserve">introduce evidence of </w:t>
      </w:r>
      <w:r w:rsidRPr="00D63571">
        <w:t xml:space="preserve">planning activity, motive, or a manner of killing sufficient to find </w:t>
      </w:r>
      <w:r w:rsidR="009443F2">
        <w:t xml:space="preserve">he </w:t>
      </w:r>
      <w:r w:rsidRPr="00D63571">
        <w:t>committed the murders with premeditation and deliberation</w:t>
      </w:r>
      <w:r>
        <w:t>, as opposed to rash impulse</w:t>
      </w:r>
      <w:r w:rsidRPr="00D63571">
        <w:t xml:space="preserve">.  </w:t>
      </w:r>
      <w:r w:rsidR="00DB5062">
        <w:t>We</w:t>
      </w:r>
      <w:r w:rsidRPr="00D63571">
        <w:t xml:space="preserve"> disagree</w:t>
      </w:r>
      <w:r>
        <w:t xml:space="preserve">; </w:t>
      </w:r>
      <w:proofErr w:type="gramStart"/>
      <w:r w:rsidRPr="00D63571">
        <w:t>sufficient</w:t>
      </w:r>
      <w:proofErr w:type="gramEnd"/>
      <w:r w:rsidRPr="00D63571">
        <w:t xml:space="preserve"> evidence supported a finding of premeditation and deliberation.</w:t>
      </w:r>
    </w:p>
    <w:p w14:paraId="1981187A" w14:textId="4E527B14" w:rsidR="006C0ADE" w:rsidRPr="00D63571" w:rsidRDefault="006C0ADE" w:rsidP="006C0ADE">
      <w:pPr>
        <w:tabs>
          <w:tab w:val="left" w:pos="5760"/>
        </w:tabs>
        <w:ind w:firstLine="720"/>
      </w:pPr>
      <w:bookmarkStart w:id="27" w:name="_Hlk32576752"/>
      <w:r>
        <w:t xml:space="preserve">As for planning activity, the People presented evidence that </w:t>
      </w:r>
      <w:r w:rsidR="00F6225E">
        <w:t>Morales</w:t>
      </w:r>
      <w:r>
        <w:t xml:space="preserve"> </w:t>
      </w:r>
      <w:r w:rsidRPr="00D63571">
        <w:t xml:space="preserve">surreptitiously entered the </w:t>
      </w:r>
      <w:r w:rsidR="00E46692">
        <w:t>victims’</w:t>
      </w:r>
      <w:r w:rsidR="00E46692" w:rsidRPr="00D63571">
        <w:t xml:space="preserve"> </w:t>
      </w:r>
      <w:r w:rsidRPr="00D63571">
        <w:t>home and attacked Mike by surprise</w:t>
      </w:r>
      <w:r>
        <w:t xml:space="preserve"> before killing the other victims</w:t>
      </w:r>
      <w:r w:rsidRPr="00D63571">
        <w:t xml:space="preserve">.  </w:t>
      </w:r>
      <w:r>
        <w:t>Specifically, a</w:t>
      </w:r>
      <w:r w:rsidRPr="00D63571">
        <w:t xml:space="preserve"> law enforcement officer testified that the </w:t>
      </w:r>
      <w:r w:rsidR="00E46692">
        <w:t>family’s</w:t>
      </w:r>
      <w:r w:rsidR="00E46692" w:rsidRPr="00D63571">
        <w:t xml:space="preserve"> </w:t>
      </w:r>
      <w:r w:rsidRPr="00D63571">
        <w:t>back</w:t>
      </w:r>
      <w:r>
        <w:t>-</w:t>
      </w:r>
      <w:r w:rsidRPr="00D63571">
        <w:t>door neighbor, Doris Morris</w:t>
      </w:r>
      <w:r>
        <w:t>,</w:t>
      </w:r>
      <w:r w:rsidRPr="00D63571">
        <w:t xml:space="preserve"> had told him on Saturday, July 13, 2002, that she had seen a step stool by her back wall on Friday morning at around 6:00 a.m. </w:t>
      </w:r>
      <w:r>
        <w:t xml:space="preserve"> </w:t>
      </w:r>
      <w:r w:rsidR="00724FF8">
        <w:t>(</w:t>
      </w:r>
      <w:r w:rsidRPr="00D63571">
        <w:t xml:space="preserve">Though Morris testified at trial that she saw the stool at 8:00 a.m. on </w:t>
      </w:r>
      <w:r w:rsidRPr="00B00862">
        <w:t>Thursday</w:t>
      </w:r>
      <w:r w:rsidRPr="00D63571">
        <w:t xml:space="preserve">, the jury could have </w:t>
      </w:r>
      <w:r>
        <w:t xml:space="preserve">believed Morris’s contemporaneous statement to be more </w:t>
      </w:r>
      <w:proofErr w:type="gramStart"/>
      <w:r>
        <w:t>reliable</w:t>
      </w:r>
      <w:proofErr w:type="gramEnd"/>
      <w:r>
        <w:t xml:space="preserve"> than her testimony </w:t>
      </w:r>
      <w:r w:rsidRPr="00D63571">
        <w:t>in court several years later.</w:t>
      </w:r>
      <w:r w:rsidR="00724FF8">
        <w:t>)</w:t>
      </w:r>
      <w:r w:rsidRPr="00D63571">
        <w:t xml:space="preserve">  </w:t>
      </w:r>
      <w:r w:rsidR="00724FF8">
        <w:t xml:space="preserve">Further, </w:t>
      </w:r>
      <w:r w:rsidRPr="00D63571">
        <w:t>Mike was wearing only his underwear when he was attacked</w:t>
      </w:r>
      <w:r w:rsidR="00596818">
        <w:t xml:space="preserve">; Raquel </w:t>
      </w:r>
      <w:r>
        <w:t xml:space="preserve">testified that </w:t>
      </w:r>
      <w:r w:rsidRPr="00D63571">
        <w:t xml:space="preserve">Mike </w:t>
      </w:r>
      <w:r w:rsidR="00007936">
        <w:t>did not</w:t>
      </w:r>
      <w:r w:rsidR="00007936" w:rsidRPr="00D63571">
        <w:t xml:space="preserve"> </w:t>
      </w:r>
      <w:r w:rsidRPr="00D63571">
        <w:t xml:space="preserve">walk around the home in his underwear.  </w:t>
      </w:r>
      <w:r w:rsidR="00724FF8">
        <w:t>T</w:t>
      </w:r>
      <w:r w:rsidRPr="00D63571">
        <w:t xml:space="preserve">he fatal slicing wound to Mike’s neck was consistent with an attack from behind, and Mike did not </w:t>
      </w:r>
      <w:r w:rsidRPr="00D63571">
        <w:lastRenderedPageBreak/>
        <w:t xml:space="preserve">have any defensive wounds.  </w:t>
      </w:r>
      <w:r w:rsidR="00724FF8">
        <w:t>And finally, t</w:t>
      </w:r>
      <w:r>
        <w:t>he evidence showed that Mike was the first victim</w:t>
      </w:r>
      <w:r w:rsidR="00C84CB5">
        <w:t> </w:t>
      </w:r>
      <w:r>
        <w:t>—</w:t>
      </w:r>
      <w:r w:rsidR="00C84CB5">
        <w:t xml:space="preserve"> </w:t>
      </w:r>
      <w:r>
        <w:t xml:space="preserve">indeed, </w:t>
      </w:r>
      <w:r w:rsidR="00F6225E">
        <w:t>Morales</w:t>
      </w:r>
      <w:r>
        <w:t xml:space="preserve"> himself told officers as much in his own</w:t>
      </w:r>
      <w:r w:rsidR="003A4599">
        <w:t xml:space="preserve"> </w:t>
      </w:r>
      <w:r>
        <w:t xml:space="preserve">recounting of the sequence of the murders by unknown third parties.  </w:t>
      </w:r>
      <w:r w:rsidRPr="003B5E81">
        <w:t xml:space="preserve">Based on all this evidence, the jury could have inferred that </w:t>
      </w:r>
      <w:r w:rsidR="00F6225E">
        <w:t>Morales</w:t>
      </w:r>
      <w:r w:rsidRPr="003B5E81">
        <w:t xml:space="preserve"> covertly entered the </w:t>
      </w:r>
      <w:r w:rsidR="00E46692">
        <w:t>victims</w:t>
      </w:r>
      <w:r w:rsidR="00E46692" w:rsidRPr="003B5E81">
        <w:t xml:space="preserve">’ </w:t>
      </w:r>
      <w:r w:rsidRPr="003B5E81">
        <w:t>home with a plan to kill Mike before moving on to the other</w:t>
      </w:r>
      <w:r w:rsidR="00173666">
        <w:t xml:space="preserve"> </w:t>
      </w:r>
      <w:r w:rsidRPr="003B5E81">
        <w:t>victims.</w:t>
      </w:r>
    </w:p>
    <w:p w14:paraId="0894CC00" w14:textId="2CBF7D83" w:rsidR="006C0ADE" w:rsidRDefault="00F6225E" w:rsidP="006C0ADE">
      <w:pPr>
        <w:tabs>
          <w:tab w:val="left" w:pos="5760"/>
        </w:tabs>
        <w:ind w:firstLine="720"/>
      </w:pPr>
      <w:r>
        <w:t>Morales</w:t>
      </w:r>
      <w:r w:rsidR="006C0ADE">
        <w:t xml:space="preserve"> suggests that the evidence of planning activity </w:t>
      </w:r>
      <w:r w:rsidR="00CE3C85">
        <w:t>wa</w:t>
      </w:r>
      <w:r w:rsidR="006C0ADE">
        <w:t>s undermined by the fact that no evidence definitively show</w:t>
      </w:r>
      <w:r w:rsidR="00CE3C85">
        <w:t>ed</w:t>
      </w:r>
      <w:r w:rsidR="006C0ADE">
        <w:t xml:space="preserve"> he was armed when he entered the </w:t>
      </w:r>
      <w:r w:rsidR="00E46692">
        <w:t xml:space="preserve">victims’ </w:t>
      </w:r>
      <w:r w:rsidR="006C0ADE">
        <w:t>home</w:t>
      </w:r>
      <w:r w:rsidR="000D4E98">
        <w:t>.</w:t>
      </w:r>
      <w:r w:rsidR="006C0ADE">
        <w:t xml:space="preserve"> </w:t>
      </w:r>
      <w:r w:rsidR="000D4E98">
        <w:t xml:space="preserve"> A</w:t>
      </w:r>
      <w:r w:rsidR="006C0ADE">
        <w:t xml:space="preserve">lthough knives used to commit the murders were later found in </w:t>
      </w:r>
      <w:r>
        <w:t>Morales</w:t>
      </w:r>
      <w:r w:rsidR="006C0ADE">
        <w:t xml:space="preserve">’s backyard, no evidence established that the knives belonged to </w:t>
      </w:r>
      <w:r>
        <w:t>Morales</w:t>
      </w:r>
      <w:r w:rsidR="006C0ADE">
        <w:t xml:space="preserve">, as opposed to the </w:t>
      </w:r>
      <w:r w:rsidR="00E46692">
        <w:t>victims</w:t>
      </w:r>
      <w:r w:rsidR="006C0ADE">
        <w:t xml:space="preserve">.  The same is true of the bloody fingerless gloves that were found along with the knives in </w:t>
      </w:r>
      <w:r>
        <w:t>Morales</w:t>
      </w:r>
      <w:r w:rsidR="006C0ADE">
        <w:t>’s backyard.  But</w:t>
      </w:r>
      <w:r w:rsidR="005F621D">
        <w:t xml:space="preserve"> </w:t>
      </w:r>
      <w:r w:rsidR="006C0ADE">
        <w:t xml:space="preserve">a jury might well consider the </w:t>
      </w:r>
      <w:r w:rsidR="00501DFF">
        <w:t xml:space="preserve">very </w:t>
      </w:r>
      <w:r w:rsidR="006C0ADE">
        <w:t xml:space="preserve">fact that </w:t>
      </w:r>
      <w:r>
        <w:t>Morales</w:t>
      </w:r>
      <w:r w:rsidR="006C0ADE">
        <w:t xml:space="preserve"> used</w:t>
      </w:r>
      <w:r w:rsidR="00724FF8">
        <w:t xml:space="preserve"> gloves and three different </w:t>
      </w:r>
      <w:r w:rsidR="00E80669">
        <w:t>knives</w:t>
      </w:r>
      <w:r w:rsidR="00833F83">
        <w:t xml:space="preserve"> </w:t>
      </w:r>
      <w:r w:rsidR="006C0ADE">
        <w:t xml:space="preserve">as supporting an inference that </w:t>
      </w:r>
      <w:r>
        <w:t>Morales</w:t>
      </w:r>
      <w:r w:rsidR="006C0ADE">
        <w:t xml:space="preserve"> did not spontaneously pick up these tools once inside the home, but instead arrived prepared to </w:t>
      </w:r>
      <w:r w:rsidR="00D64C57">
        <w:t>attack</w:t>
      </w:r>
      <w:r w:rsidR="006C0ADE">
        <w:t xml:space="preserve">.  In any event, even assuming </w:t>
      </w:r>
      <w:r>
        <w:t>Morales</w:t>
      </w:r>
      <w:r w:rsidR="006C0ADE">
        <w:t xml:space="preserve"> found the knives in the residence rather than arming himself before entry, the evidence of the surprise attack on Mike makes it reasonable to infer that </w:t>
      </w:r>
      <w:r>
        <w:t>Morales</w:t>
      </w:r>
      <w:r w:rsidR="006C0ADE">
        <w:t xml:space="preserve"> sought out the knives to effectuate that surprise, and did not pick up </w:t>
      </w:r>
      <w:r w:rsidR="00586E44">
        <w:t>the three</w:t>
      </w:r>
      <w:r w:rsidR="006C0ADE">
        <w:t xml:space="preserve"> knives out of spur-of-the-moment impulse.  </w:t>
      </w:r>
      <w:r w:rsidR="006C0ADE" w:rsidRPr="00D63571">
        <w:t xml:space="preserve">(See </w:t>
      </w:r>
      <w:r w:rsidR="006C0ADE">
        <w:rPr>
          <w:i/>
        </w:rPr>
        <w:t xml:space="preserve">People v. </w:t>
      </w:r>
      <w:r w:rsidR="006C0ADE" w:rsidRPr="00D63571">
        <w:rPr>
          <w:i/>
        </w:rPr>
        <w:t>Perez</w:t>
      </w:r>
      <w:r w:rsidR="006C0ADE" w:rsidRPr="00D63571">
        <w:t xml:space="preserve">, </w:t>
      </w:r>
      <w:r w:rsidR="006C0ADE" w:rsidRPr="00D63571">
        <w:rPr>
          <w:i/>
        </w:rPr>
        <w:t>supra</w:t>
      </w:r>
      <w:r w:rsidR="006C0ADE" w:rsidRPr="00D63571">
        <w:t>, 2</w:t>
      </w:r>
      <w:r w:rsidR="00AD5E33">
        <w:t> </w:t>
      </w:r>
      <w:r w:rsidR="006C0ADE" w:rsidRPr="00D63571">
        <w:t>Cal.4th at p.</w:t>
      </w:r>
      <w:r w:rsidR="007F4896">
        <w:t> </w:t>
      </w:r>
      <w:r w:rsidR="006C0ADE" w:rsidRPr="00D63571">
        <w:t xml:space="preserve">1126; </w:t>
      </w:r>
      <w:r w:rsidR="006C0ADE" w:rsidRPr="00D63571">
        <w:rPr>
          <w:i/>
        </w:rPr>
        <w:t>People v. Wharton</w:t>
      </w:r>
      <w:r w:rsidR="006C0ADE" w:rsidRPr="00D63571">
        <w:t xml:space="preserve"> (1991) 53 Cal.3d 522, 547.)</w:t>
      </w:r>
    </w:p>
    <w:p w14:paraId="4F62E102" w14:textId="75C8E6D7" w:rsidR="006C0ADE" w:rsidRDefault="006C0ADE" w:rsidP="006C0ADE">
      <w:pPr>
        <w:ind w:firstLine="720"/>
        <w:rPr>
          <w:szCs w:val="26"/>
        </w:rPr>
      </w:pPr>
      <w:r>
        <w:t>The People</w:t>
      </w:r>
      <w:r w:rsidR="00221D57">
        <w:t xml:space="preserve"> </w:t>
      </w:r>
      <w:r>
        <w:t xml:space="preserve">also supplied evidence of a </w:t>
      </w:r>
      <w:proofErr w:type="gramStart"/>
      <w:r>
        <w:t>possible motive</w:t>
      </w:r>
      <w:proofErr w:type="gramEnd"/>
      <w:r>
        <w:t xml:space="preserve">.  </w:t>
      </w:r>
      <w:r w:rsidRPr="00D63571">
        <w:t xml:space="preserve">The evidence </w:t>
      </w:r>
      <w:r w:rsidR="00EC45B9">
        <w:t>suggested</w:t>
      </w:r>
      <w:r w:rsidRPr="00D63571">
        <w:t xml:space="preserve"> </w:t>
      </w:r>
      <w:r>
        <w:t xml:space="preserve">that a rift had grown between </w:t>
      </w:r>
      <w:r w:rsidR="00F6225E">
        <w:t>Morales</w:t>
      </w:r>
      <w:r>
        <w:t xml:space="preserve"> and the</w:t>
      </w:r>
      <w:r w:rsidR="00E46692">
        <w:t xml:space="preserve"> </w:t>
      </w:r>
      <w:r w:rsidR="007628F9">
        <w:t>victims</w:t>
      </w:r>
      <w:r>
        <w:t xml:space="preserve">.  </w:t>
      </w:r>
      <w:r w:rsidR="00F6225E">
        <w:t>Morales</w:t>
      </w:r>
      <w:r w:rsidRPr="00D63571">
        <w:t xml:space="preserve"> had previously made Raquel uncomfortable by standing at her window and staring at her.  He also </w:t>
      </w:r>
      <w:r>
        <w:t xml:space="preserve">had </w:t>
      </w:r>
      <w:r w:rsidRPr="00D63571">
        <w:t xml:space="preserve">asked her out, but she avoided him on the night of </w:t>
      </w:r>
      <w:r w:rsidRPr="00D63571">
        <w:lastRenderedPageBreak/>
        <w:t xml:space="preserve">their date and then began avoiding him whenever he came over.  During his interviews with the police, </w:t>
      </w:r>
      <w:r w:rsidR="00F6225E">
        <w:t>Morales</w:t>
      </w:r>
      <w:r w:rsidRPr="00D63571">
        <w:t xml:space="preserve"> told them he was not allowed in </w:t>
      </w:r>
      <w:r>
        <w:t>Raquel</w:t>
      </w:r>
      <w:r w:rsidRPr="00D63571">
        <w:t xml:space="preserve"> and Jasmine’s bedroom, and he said that Mike had asked him not to ask Raquel out again after the window incident</w:t>
      </w:r>
      <w:r>
        <w:rPr>
          <w:szCs w:val="26"/>
        </w:rPr>
        <w:t>.</w:t>
      </w:r>
      <w:r w:rsidRPr="00D63571">
        <w:rPr>
          <w:szCs w:val="26"/>
        </w:rPr>
        <w:t xml:space="preserve">  Sometime thereafter, about a month before the murders, the </w:t>
      </w:r>
      <w:r w:rsidR="00E46692">
        <w:rPr>
          <w:szCs w:val="26"/>
        </w:rPr>
        <w:t>family</w:t>
      </w:r>
      <w:r w:rsidR="00E46692" w:rsidRPr="00D63571">
        <w:rPr>
          <w:szCs w:val="26"/>
        </w:rPr>
        <w:t>’</w:t>
      </w:r>
      <w:r w:rsidR="00E46692">
        <w:rPr>
          <w:szCs w:val="26"/>
        </w:rPr>
        <w:t>s</w:t>
      </w:r>
      <w:r w:rsidR="00E46692" w:rsidRPr="00D63571">
        <w:rPr>
          <w:szCs w:val="26"/>
        </w:rPr>
        <w:t xml:space="preserve"> </w:t>
      </w:r>
      <w:r w:rsidRPr="00D63571">
        <w:rPr>
          <w:szCs w:val="26"/>
        </w:rPr>
        <w:t xml:space="preserve">neighbor, Hector Alvarez, stopped seeing </w:t>
      </w:r>
      <w:r w:rsidR="00F6225E">
        <w:rPr>
          <w:szCs w:val="26"/>
        </w:rPr>
        <w:t>Morales</w:t>
      </w:r>
      <w:r w:rsidRPr="00D63571">
        <w:rPr>
          <w:szCs w:val="26"/>
        </w:rPr>
        <w:t xml:space="preserve"> at </w:t>
      </w:r>
      <w:r w:rsidR="00E46692">
        <w:rPr>
          <w:szCs w:val="26"/>
        </w:rPr>
        <w:t>their home</w:t>
      </w:r>
      <w:r w:rsidRPr="00D63571">
        <w:rPr>
          <w:szCs w:val="26"/>
        </w:rPr>
        <w:t xml:space="preserve">, even though Alvarez had previously seen </w:t>
      </w:r>
      <w:r w:rsidR="00F6225E">
        <w:rPr>
          <w:szCs w:val="26"/>
        </w:rPr>
        <w:t>Morales</w:t>
      </w:r>
      <w:r w:rsidRPr="00D63571">
        <w:rPr>
          <w:szCs w:val="26"/>
        </w:rPr>
        <w:t xml:space="preserve"> there about four times a week.  Raquel confirmed that about a week before the murders she realized </w:t>
      </w:r>
      <w:r w:rsidR="00F6225E">
        <w:rPr>
          <w:szCs w:val="26"/>
        </w:rPr>
        <w:t>Morales</w:t>
      </w:r>
      <w:r w:rsidRPr="00D63571">
        <w:rPr>
          <w:szCs w:val="26"/>
        </w:rPr>
        <w:t xml:space="preserve"> had stopped coming over.  </w:t>
      </w:r>
      <w:bookmarkStart w:id="28" w:name="_Hlk31809011"/>
      <w:r w:rsidR="00F6225E">
        <w:rPr>
          <w:szCs w:val="26"/>
        </w:rPr>
        <w:t>Morales</w:t>
      </w:r>
      <w:r w:rsidRPr="00D63571">
        <w:rPr>
          <w:szCs w:val="26"/>
        </w:rPr>
        <w:t xml:space="preserve"> also admitted to owing Mike a small sum of money, which he said was the reason he went to the </w:t>
      </w:r>
      <w:r w:rsidR="00E46692">
        <w:rPr>
          <w:szCs w:val="26"/>
        </w:rPr>
        <w:t>family’s</w:t>
      </w:r>
      <w:r w:rsidR="00E46692" w:rsidRPr="00D63571">
        <w:rPr>
          <w:szCs w:val="26"/>
        </w:rPr>
        <w:t xml:space="preserve"> </w:t>
      </w:r>
      <w:r w:rsidRPr="00D63571">
        <w:rPr>
          <w:szCs w:val="26"/>
        </w:rPr>
        <w:t xml:space="preserve">house on the morning of the murders.  Though there was evidence </w:t>
      </w:r>
      <w:r w:rsidR="00F6225E">
        <w:rPr>
          <w:szCs w:val="26"/>
        </w:rPr>
        <w:t>Morales</w:t>
      </w:r>
      <w:r w:rsidRPr="00D63571">
        <w:rPr>
          <w:szCs w:val="26"/>
        </w:rPr>
        <w:t xml:space="preserve"> had apologized for the window incident and had complied with Mike’s request to stop seeking to date Raquel, the jury could have inferred from this evidence that </w:t>
      </w:r>
      <w:r w:rsidR="00F6225E">
        <w:rPr>
          <w:szCs w:val="26"/>
        </w:rPr>
        <w:t>Morales</w:t>
      </w:r>
      <w:r w:rsidRPr="00D63571">
        <w:rPr>
          <w:szCs w:val="26"/>
        </w:rPr>
        <w:t xml:space="preserve"> and Mike had a falling out regarding Raquel or the money </w:t>
      </w:r>
      <w:r w:rsidR="00F6225E">
        <w:rPr>
          <w:szCs w:val="26"/>
        </w:rPr>
        <w:t>Morales</w:t>
      </w:r>
      <w:r w:rsidRPr="00D63571">
        <w:rPr>
          <w:szCs w:val="26"/>
        </w:rPr>
        <w:t xml:space="preserve"> owed Mike, such that </w:t>
      </w:r>
      <w:r w:rsidR="00F6225E">
        <w:rPr>
          <w:szCs w:val="26"/>
        </w:rPr>
        <w:t>Morales</w:t>
      </w:r>
      <w:r w:rsidRPr="00D63571">
        <w:rPr>
          <w:szCs w:val="26"/>
        </w:rPr>
        <w:t xml:space="preserve"> was no longer welcome at </w:t>
      </w:r>
      <w:r w:rsidR="00E46692">
        <w:rPr>
          <w:szCs w:val="26"/>
        </w:rPr>
        <w:t xml:space="preserve">Mike’s </w:t>
      </w:r>
      <w:r w:rsidRPr="00D63571">
        <w:rPr>
          <w:szCs w:val="26"/>
        </w:rPr>
        <w:t xml:space="preserve">home.  </w:t>
      </w:r>
      <w:r>
        <w:rPr>
          <w:szCs w:val="26"/>
        </w:rPr>
        <w:t xml:space="preserve">Based on this evidence, the jury could have determined that </w:t>
      </w:r>
      <w:r w:rsidR="00F6225E">
        <w:rPr>
          <w:szCs w:val="26"/>
        </w:rPr>
        <w:t>Morales</w:t>
      </w:r>
      <w:r>
        <w:rPr>
          <w:szCs w:val="26"/>
        </w:rPr>
        <w:t xml:space="preserve"> had a motive for </w:t>
      </w:r>
      <w:r w:rsidRPr="00D63571">
        <w:rPr>
          <w:szCs w:val="26"/>
        </w:rPr>
        <w:t>the murders.</w:t>
      </w:r>
    </w:p>
    <w:p w14:paraId="1F5EEEBB" w14:textId="59724B4A" w:rsidR="006C0ADE" w:rsidRPr="00D63571" w:rsidRDefault="006C0ADE" w:rsidP="006C0ADE">
      <w:pPr>
        <w:ind w:firstLine="720"/>
      </w:pPr>
      <w:r w:rsidRPr="00D63571">
        <w:rPr>
          <w:szCs w:val="26"/>
        </w:rPr>
        <w:t xml:space="preserve">The jury might also have </w:t>
      </w:r>
      <w:r>
        <w:rPr>
          <w:szCs w:val="26"/>
        </w:rPr>
        <w:t xml:space="preserve">inferred from the evidence </w:t>
      </w:r>
      <w:r w:rsidRPr="00D63571">
        <w:rPr>
          <w:szCs w:val="26"/>
        </w:rPr>
        <w:t xml:space="preserve">that </w:t>
      </w:r>
      <w:r w:rsidR="00F6225E">
        <w:rPr>
          <w:szCs w:val="26"/>
        </w:rPr>
        <w:t>Morales</w:t>
      </w:r>
      <w:r w:rsidRPr="00D63571">
        <w:rPr>
          <w:szCs w:val="26"/>
        </w:rPr>
        <w:t xml:space="preserve"> was motivated to kill Maritz</w:t>
      </w:r>
      <w:r w:rsidRPr="00D63571">
        <w:t xml:space="preserve">a, Ana, and Jasmine to “silence </w:t>
      </w:r>
      <w:r>
        <w:t>[</w:t>
      </w:r>
      <w:r w:rsidRPr="00D63571">
        <w:t>them</w:t>
      </w:r>
      <w:r>
        <w:t>]</w:t>
      </w:r>
      <w:r w:rsidRPr="00D63571">
        <w:t xml:space="preserve"> as [] possible witness[es]” to the murder of Mike, and in Jasmine’s case “to silence her as a possible witness” to her own assault.  (</w:t>
      </w:r>
      <w:r w:rsidRPr="00D63571">
        <w:rPr>
          <w:i/>
        </w:rPr>
        <w:t>People v. Pride</w:t>
      </w:r>
      <w:r w:rsidRPr="00D63571">
        <w:t xml:space="preserve"> (1992) 3 Cal.4th 195, 248.)  And lastly, </w:t>
      </w:r>
      <w:r w:rsidR="00F6225E">
        <w:t>Morales</w:t>
      </w:r>
      <w:r w:rsidRPr="00D63571">
        <w:t xml:space="preserve"> stole </w:t>
      </w:r>
      <w:proofErr w:type="gramStart"/>
      <w:r w:rsidRPr="00D63571">
        <w:t>several</w:t>
      </w:r>
      <w:proofErr w:type="gramEnd"/>
      <w:r w:rsidRPr="00D63571">
        <w:t xml:space="preserve"> expensive items, including watches and computer equipment, from the home, suggesting a</w:t>
      </w:r>
      <w:r w:rsidR="004C3CFD">
        <w:t>n additional</w:t>
      </w:r>
      <w:r w:rsidR="005F621D">
        <w:t xml:space="preserve"> </w:t>
      </w:r>
      <w:r w:rsidRPr="00D63571">
        <w:t>motive</w:t>
      </w:r>
      <w:r w:rsidR="004C3CFD">
        <w:t xml:space="preserve">:  </w:t>
      </w:r>
      <w:r w:rsidRPr="00D63571">
        <w:t xml:space="preserve">to steal from the </w:t>
      </w:r>
      <w:r w:rsidR="00E46692">
        <w:t>family</w:t>
      </w:r>
      <w:r w:rsidR="00E46692" w:rsidRPr="00D63571">
        <w:t xml:space="preserve"> </w:t>
      </w:r>
      <w:r w:rsidRPr="00D63571">
        <w:t>and then kill them to avoid identification.</w:t>
      </w:r>
      <w:r w:rsidR="00BE550A">
        <w:t xml:space="preserve"> </w:t>
      </w:r>
      <w:r w:rsidRPr="00D63571">
        <w:t xml:space="preserve"> (See </w:t>
      </w:r>
      <w:r>
        <w:rPr>
          <w:i/>
        </w:rPr>
        <w:t xml:space="preserve">People v. </w:t>
      </w:r>
      <w:r w:rsidRPr="00D63571">
        <w:rPr>
          <w:i/>
        </w:rPr>
        <w:t>Perez</w:t>
      </w:r>
      <w:r w:rsidRPr="00D63571">
        <w:t xml:space="preserve">, </w:t>
      </w:r>
      <w:r w:rsidRPr="00D63571">
        <w:rPr>
          <w:i/>
        </w:rPr>
        <w:t>supra</w:t>
      </w:r>
      <w:r w:rsidRPr="00D63571">
        <w:t>, 2 Cal.4th at pp.</w:t>
      </w:r>
      <w:r w:rsidR="00BE550A">
        <w:t> </w:t>
      </w:r>
      <w:r w:rsidRPr="00D63571">
        <w:t>1126–1127.)</w:t>
      </w:r>
    </w:p>
    <w:bookmarkEnd w:id="28"/>
    <w:p w14:paraId="17F95015" w14:textId="03CAE57F" w:rsidR="006C0ADE" w:rsidRPr="00D63571" w:rsidRDefault="005C6877" w:rsidP="006C0ADE">
      <w:pPr>
        <w:ind w:firstLine="720"/>
      </w:pPr>
      <w:r>
        <w:lastRenderedPageBreak/>
        <w:t>The</w:t>
      </w:r>
      <w:r w:rsidR="006C0ADE" w:rsidRPr="00D63571">
        <w:t xml:space="preserve"> manner of killing</w:t>
      </w:r>
      <w:r w:rsidR="006C0ADE">
        <w:t xml:space="preserve"> </w:t>
      </w:r>
      <w:r>
        <w:t xml:space="preserve">also </w:t>
      </w:r>
      <w:r w:rsidR="006C0ADE">
        <w:t>supports the jury’s finding of premeditation and deliberation</w:t>
      </w:r>
      <w:r w:rsidR="006C0ADE" w:rsidRPr="00D63571">
        <w:t xml:space="preserve">.  Evidence showed that Mike suffered a fatal slicing wound to his neck from behind, which severed both of his jugular veins.  The nature of this injury suggests that it was designed to kill Mike.  (See </w:t>
      </w:r>
      <w:r w:rsidR="006C0ADE" w:rsidRPr="00D63571">
        <w:rPr>
          <w:i/>
        </w:rPr>
        <w:t>People v. Booker</w:t>
      </w:r>
      <w:r w:rsidR="006C0ADE" w:rsidRPr="00D63571">
        <w:t xml:space="preserve"> (2011) 51 Cal.4th 141, 152, 173 [multiple stab and cut wounds to the neck that severed right carotid artery and jugular vein indicated victim was killed deliberately]; see also </w:t>
      </w:r>
      <w:r w:rsidR="006C0ADE" w:rsidRPr="00D63571">
        <w:rPr>
          <w:i/>
        </w:rPr>
        <w:t>Anderson</w:t>
      </w:r>
      <w:r w:rsidR="006C0ADE" w:rsidRPr="00D63571">
        <w:t xml:space="preserve">, </w:t>
      </w:r>
      <w:r w:rsidR="006C0ADE" w:rsidRPr="00D63571">
        <w:rPr>
          <w:i/>
        </w:rPr>
        <w:t>supra</w:t>
      </w:r>
      <w:r w:rsidR="006C0ADE" w:rsidRPr="00D63571">
        <w:t>, 70 Cal.2d at p.</w:t>
      </w:r>
      <w:r w:rsidR="006C0ADE">
        <w:t> </w:t>
      </w:r>
      <w:r w:rsidR="006C0ADE" w:rsidRPr="00D63571">
        <w:t>27 [“[D]</w:t>
      </w:r>
      <w:proofErr w:type="spellStart"/>
      <w:r w:rsidR="006C0ADE" w:rsidRPr="00D63571">
        <w:t>irectly</w:t>
      </w:r>
      <w:proofErr w:type="spellEnd"/>
      <w:r w:rsidR="006C0ADE" w:rsidRPr="00D63571">
        <w:t xml:space="preserve"> plunging a lethal weapon into the chest evidences a deliberate intention to kill .</w:t>
      </w:r>
      <w:r w:rsidR="006C0ADE">
        <w:t> </w:t>
      </w:r>
      <w:r w:rsidR="006C0ADE" w:rsidRPr="00D63571">
        <w:t>.</w:t>
      </w:r>
      <w:r w:rsidR="006C0ADE">
        <w:t> </w:t>
      </w:r>
      <w:r w:rsidR="006C0ADE" w:rsidRPr="00D63571">
        <w:t>.</w:t>
      </w:r>
      <w:r w:rsidR="006C0ADE">
        <w:t> </w:t>
      </w:r>
      <w:r w:rsidR="006C0ADE" w:rsidRPr="00D63571">
        <w:t xml:space="preserve">.”]; </w:t>
      </w:r>
      <w:r w:rsidR="006C0ADE">
        <w:rPr>
          <w:i/>
        </w:rPr>
        <w:t xml:space="preserve">People v. </w:t>
      </w:r>
      <w:r w:rsidR="006C0ADE" w:rsidRPr="00D63571">
        <w:rPr>
          <w:i/>
        </w:rPr>
        <w:t>Potts</w:t>
      </w:r>
      <w:r w:rsidR="006C0ADE" w:rsidRPr="00D63571">
        <w:t xml:space="preserve">, </w:t>
      </w:r>
      <w:r w:rsidR="006C0ADE" w:rsidRPr="00D63571">
        <w:rPr>
          <w:i/>
        </w:rPr>
        <w:t>supra</w:t>
      </w:r>
      <w:r w:rsidR="006C0ADE" w:rsidRPr="00D63571">
        <w:t>, 6 Cal.5th at p.</w:t>
      </w:r>
      <w:r w:rsidR="006C0ADE">
        <w:t> </w:t>
      </w:r>
      <w:r w:rsidR="006C0ADE" w:rsidRPr="00D63571">
        <w:t>1028 [multiple stab wounds to chest suggested killing was premeditated and deliberate].)  Likewise</w:t>
      </w:r>
      <w:r w:rsidR="00820DE4">
        <w:t>,</w:t>
      </w:r>
      <w:r w:rsidR="006C0ADE" w:rsidRPr="00D63571">
        <w:t xml:space="preserve"> the injuries to Ana and Maritza suggested </w:t>
      </w:r>
      <w:r w:rsidR="001E4E6F">
        <w:t xml:space="preserve">a </w:t>
      </w:r>
      <w:r w:rsidR="006C0ADE" w:rsidRPr="00D63571">
        <w:t xml:space="preserve">deliberate intent to kill.  Ana suffered two fatal wounds to her neck, and Maritza </w:t>
      </w:r>
      <w:r w:rsidR="006C0ADE">
        <w:t xml:space="preserve">suffered 45 stab and cut wounds, some of which were clustered on her neck and back, and at least five of which were </w:t>
      </w:r>
      <w:r w:rsidR="006C0ADE" w:rsidRPr="00D63571">
        <w:t xml:space="preserve">fatal wounds </w:t>
      </w:r>
      <w:r w:rsidR="006C0ADE">
        <w:t xml:space="preserve">delivered </w:t>
      </w:r>
      <w:r w:rsidR="006C0ADE" w:rsidRPr="00D63571">
        <w:t>to her neck, chest, and back</w:t>
      </w:r>
      <w:r w:rsidR="006C0ADE">
        <w:t>, respectively</w:t>
      </w:r>
      <w:r w:rsidR="006C0ADE" w:rsidRPr="00D63571">
        <w:t>.  (</w:t>
      </w:r>
      <w:r w:rsidR="00715F8A">
        <w:t xml:space="preserve">Cf. </w:t>
      </w:r>
      <w:r w:rsidR="006C0ADE" w:rsidRPr="00D63571">
        <w:rPr>
          <w:i/>
        </w:rPr>
        <w:t>People v. San Nicolas</w:t>
      </w:r>
      <w:r w:rsidR="006C0ADE" w:rsidRPr="00D63571">
        <w:t xml:space="preserve"> (2004) 34 Cal.4th 614, 658 [“The jury also fairly could have concluded that defendant was intent upon killing April due to the sheer number of wounds on April’s body, many of which individually would have been fatal.”]; </w:t>
      </w:r>
      <w:r w:rsidR="006C0ADE">
        <w:rPr>
          <w:i/>
        </w:rPr>
        <w:t xml:space="preserve">People v. </w:t>
      </w:r>
      <w:r w:rsidR="006C0ADE" w:rsidRPr="00D63571">
        <w:rPr>
          <w:i/>
        </w:rPr>
        <w:t>Pride</w:t>
      </w:r>
      <w:r w:rsidR="006C0ADE" w:rsidRPr="00D63571">
        <w:t xml:space="preserve">, </w:t>
      </w:r>
      <w:r w:rsidR="006C0ADE" w:rsidRPr="00D63571">
        <w:rPr>
          <w:i/>
        </w:rPr>
        <w:t>supra</w:t>
      </w:r>
      <w:r w:rsidR="006C0ADE" w:rsidRPr="00D63571">
        <w:t>, 3 Cal.4th at p.</w:t>
      </w:r>
      <w:r w:rsidR="006C0ADE">
        <w:t> </w:t>
      </w:r>
      <w:r w:rsidR="006C0ADE" w:rsidRPr="00D63571">
        <w:t xml:space="preserve">248 [“Over 40 of the 69 stab wounds were located on [the victim’s] chest and back.  They were </w:t>
      </w:r>
      <w:r w:rsidR="006C0ADE">
        <w:t>‘</w:t>
      </w:r>
      <w:r w:rsidR="006C0ADE" w:rsidRPr="00D63571">
        <w:t>clustered</w:t>
      </w:r>
      <w:r w:rsidR="006C0ADE">
        <w:t>’</w:t>
      </w:r>
      <w:r w:rsidR="00C84CB5">
        <w:t> </w:t>
      </w:r>
      <w:r w:rsidR="006C0ADE" w:rsidRPr="00D63571">
        <w:t>—</w:t>
      </w:r>
      <w:r w:rsidR="00C84CB5">
        <w:t xml:space="preserve"> </w:t>
      </w:r>
      <w:r w:rsidR="006C0ADE" w:rsidRPr="00D63571">
        <w:t xml:space="preserve">in </w:t>
      </w:r>
      <w:proofErr w:type="gramStart"/>
      <w:r w:rsidR="006C0ADE" w:rsidRPr="00D63571">
        <w:t>some</w:t>
      </w:r>
      <w:proofErr w:type="gramEnd"/>
      <w:r w:rsidR="006C0ADE" w:rsidRPr="00D63571">
        <w:t xml:space="preserve"> cases </w:t>
      </w:r>
      <w:r w:rsidR="006C0ADE">
        <w:t>‘</w:t>
      </w:r>
      <w:r w:rsidR="006C0ADE" w:rsidRPr="00D63571">
        <w:t>symmetrically</w:t>
      </w:r>
      <w:r w:rsidR="006C0ADE">
        <w:t>’</w:t>
      </w:r>
      <w:r w:rsidR="00C84CB5">
        <w:t> </w:t>
      </w:r>
      <w:r w:rsidR="006C0ADE" w:rsidRPr="00D63571">
        <w:t>—</w:t>
      </w:r>
      <w:r w:rsidR="00C84CB5">
        <w:t xml:space="preserve"> </w:t>
      </w:r>
      <w:r w:rsidR="006C0ADE" w:rsidRPr="00D63571">
        <w:t xml:space="preserve">on the left side, near the heart.  Based on the number and placement of the wounds and the apparent fact that [she] was the second victim, the jury could infer her death was calculated and was not the product of an unconsidered explosion of violence.”].)  As to Jasmine, there was evidence that she died either from body compression or drowning.  From the evidence, the jury could have concluded that </w:t>
      </w:r>
      <w:r w:rsidR="00F6225E">
        <w:t>Morales</w:t>
      </w:r>
      <w:r w:rsidR="006C0ADE" w:rsidRPr="00D63571">
        <w:t xml:space="preserve"> put </w:t>
      </w:r>
      <w:r w:rsidR="0024645F">
        <w:t>the large</w:t>
      </w:r>
      <w:r w:rsidR="006C0ADE" w:rsidRPr="00D63571">
        <w:t xml:space="preserve"> statue </w:t>
      </w:r>
      <w:r w:rsidR="006C0ADE" w:rsidRPr="00D63571">
        <w:lastRenderedPageBreak/>
        <w:t>on Jasmine’s unconscious body</w:t>
      </w:r>
      <w:r w:rsidR="006C0ADE">
        <w:t xml:space="preserve"> in a filled bathtub </w:t>
      </w:r>
      <w:proofErr w:type="gramStart"/>
      <w:r w:rsidR="006C0ADE" w:rsidRPr="00D63571">
        <w:t>in order to</w:t>
      </w:r>
      <w:proofErr w:type="gramEnd"/>
      <w:r w:rsidR="006C0ADE" w:rsidRPr="00D63571">
        <w:t xml:space="preserve"> </w:t>
      </w:r>
      <w:r w:rsidR="006C0ADE">
        <w:t xml:space="preserve">be certain she would </w:t>
      </w:r>
      <w:r w:rsidR="003F0608">
        <w:t>drown</w:t>
      </w:r>
      <w:r w:rsidR="006C0ADE" w:rsidRPr="00D63571">
        <w:t>, demonstrating a deliberate intent to kill.</w:t>
      </w:r>
    </w:p>
    <w:p w14:paraId="5281E86E" w14:textId="0D3A2744" w:rsidR="006C0ADE" w:rsidRPr="00D63571" w:rsidRDefault="007C2396" w:rsidP="006C0ADE">
      <w:pPr>
        <w:ind w:firstLine="720"/>
      </w:pPr>
      <w:r>
        <w:t>The</w:t>
      </w:r>
      <w:r w:rsidR="006C0ADE">
        <w:t xml:space="preserve"> killing of the victims was </w:t>
      </w:r>
      <w:r w:rsidR="008F17A5">
        <w:t xml:space="preserve">also </w:t>
      </w:r>
      <w:r w:rsidR="006C0ADE">
        <w:t>prolonged, a fact that “</w:t>
      </w:r>
      <w:r w:rsidR="006C0ADE" w:rsidRPr="00D63571">
        <w:t>supports an inference of deliberation.”  (</w:t>
      </w:r>
      <w:r w:rsidR="006C0ADE" w:rsidRPr="00D63571">
        <w:rPr>
          <w:i/>
        </w:rPr>
        <w:t>People v. Sandoval</w:t>
      </w:r>
      <w:r w:rsidR="006C0ADE" w:rsidRPr="00D63571">
        <w:t xml:space="preserve"> (2015) 62 Cal.4th 394, 425.)  </w:t>
      </w:r>
      <w:r w:rsidR="00F6225E">
        <w:t>Morales</w:t>
      </w:r>
      <w:r w:rsidR="006C0ADE" w:rsidRPr="00D63571">
        <w:t xml:space="preserve">’s attacks on both Maritza and Ana involved “multiple weapons” and “numerous stabs and slashes” suggesting the attacks were </w:t>
      </w:r>
      <w:r w:rsidR="006C0ADE">
        <w:t>extended</w:t>
      </w:r>
      <w:r w:rsidR="006C0ADE" w:rsidRPr="00D63571">
        <w:t>.  (</w:t>
      </w:r>
      <w:r w:rsidR="006C0ADE">
        <w:rPr>
          <w:i/>
        </w:rPr>
        <w:t xml:space="preserve">People v. </w:t>
      </w:r>
      <w:r w:rsidR="006C0ADE" w:rsidRPr="00D63571">
        <w:rPr>
          <w:i/>
        </w:rPr>
        <w:t>Potts</w:t>
      </w:r>
      <w:r w:rsidR="006C0ADE" w:rsidRPr="00D63571">
        <w:t xml:space="preserve">, </w:t>
      </w:r>
      <w:r w:rsidR="006C0ADE" w:rsidRPr="00D63571">
        <w:rPr>
          <w:i/>
        </w:rPr>
        <w:t>supra</w:t>
      </w:r>
      <w:r w:rsidR="006C0ADE" w:rsidRPr="00D63571">
        <w:t xml:space="preserve">, 6 Cal.5th at </w:t>
      </w:r>
      <w:r w:rsidR="006C0ADE">
        <w:t>p. </w:t>
      </w:r>
      <w:r w:rsidR="006C0ADE" w:rsidRPr="00D63571">
        <w:t xml:space="preserve">1028.)  So too with </w:t>
      </w:r>
      <w:r w:rsidR="00715F8A">
        <w:t xml:space="preserve">the attack on </w:t>
      </w:r>
      <w:r w:rsidR="006C0ADE" w:rsidRPr="00D63571">
        <w:t>Jasmine</w:t>
      </w:r>
      <w:r w:rsidR="001410F9">
        <w:t xml:space="preserve">; the evidence </w:t>
      </w:r>
      <w:r w:rsidR="00AD2242">
        <w:t>tended to show</w:t>
      </w:r>
      <w:r w:rsidR="00092671">
        <w:t xml:space="preserve"> she</w:t>
      </w:r>
      <w:r w:rsidR="006C0ADE" w:rsidRPr="00D63571">
        <w:t xml:space="preserve"> was assaulted while alive and then killed.  Moreover, the evidence showed the attacks “</w:t>
      </w:r>
      <w:r w:rsidR="00BE550A">
        <w:t> </w:t>
      </w:r>
      <w:r w:rsidR="006C0ADE" w:rsidRPr="00D63571">
        <w:t>‘occurred in stages</w:t>
      </w:r>
      <w:r w:rsidR="006C0ADE">
        <w:t>,</w:t>
      </w:r>
      <w:r w:rsidR="006C0ADE" w:rsidRPr="00D63571">
        <w:t xml:space="preserve">’ ” as </w:t>
      </w:r>
      <w:r w:rsidR="006C0ADE">
        <w:t xml:space="preserve">reflected </w:t>
      </w:r>
      <w:r w:rsidR="006C0ADE" w:rsidRPr="00D63571">
        <w:t xml:space="preserve">by </w:t>
      </w:r>
      <w:r w:rsidR="00F6225E">
        <w:t>Morales</w:t>
      </w:r>
      <w:r w:rsidR="006C0ADE" w:rsidRPr="00D63571">
        <w:t>’s own description of the events and</w:t>
      </w:r>
      <w:r w:rsidR="006C0ADE">
        <w:t xml:space="preserve"> demonstrated by</w:t>
      </w:r>
      <w:r w:rsidR="006C0ADE" w:rsidRPr="00D63571">
        <w:t xml:space="preserve"> the</w:t>
      </w:r>
      <w:r w:rsidR="006C0ADE">
        <w:t xml:space="preserve"> evidence that, after Mike was attacked, Maritza then struggled with his attacker before she, too, was killed</w:t>
      </w:r>
      <w:r w:rsidR="006C0ADE" w:rsidRPr="00D63571">
        <w:t>.  (</w:t>
      </w:r>
      <w:r w:rsidR="006C0ADE" w:rsidRPr="00D63571">
        <w:rPr>
          <w:i/>
        </w:rPr>
        <w:t>Ibid.</w:t>
      </w:r>
      <w:r w:rsidR="006C0ADE" w:rsidRPr="00D63571">
        <w:t xml:space="preserve">, quoting </w:t>
      </w:r>
      <w:r w:rsidR="006C0ADE" w:rsidRPr="00D63571">
        <w:rPr>
          <w:i/>
        </w:rPr>
        <w:t>People v. Streeter</w:t>
      </w:r>
      <w:r w:rsidR="006C0ADE" w:rsidRPr="00D63571">
        <w:t xml:space="preserve"> (2012) 54</w:t>
      </w:r>
      <w:r w:rsidR="000A103F">
        <w:t> </w:t>
      </w:r>
      <w:r w:rsidR="006C0ADE" w:rsidRPr="00D63571">
        <w:t xml:space="preserve">Cal.4th 205, 244.)  </w:t>
      </w:r>
      <w:r w:rsidR="00F20E9A">
        <w:t xml:space="preserve">And the jury could have interpreted the evidence as showing that </w:t>
      </w:r>
      <w:r w:rsidR="00F6225E">
        <w:t>Morales</w:t>
      </w:r>
      <w:r w:rsidR="00F20E9A">
        <w:t xml:space="preserve"> had to “travel through the house” to kill the victims.  </w:t>
      </w:r>
      <w:r w:rsidR="00F20E9A" w:rsidRPr="00D63571">
        <w:t>(</w:t>
      </w:r>
      <w:r w:rsidR="00F20E9A" w:rsidRPr="00D63571">
        <w:rPr>
          <w:i/>
        </w:rPr>
        <w:t>Potts</w:t>
      </w:r>
      <w:r w:rsidR="00F20E9A" w:rsidRPr="00D63571">
        <w:t>, at p.</w:t>
      </w:r>
      <w:r w:rsidR="00F20E9A">
        <w:t> </w:t>
      </w:r>
      <w:r w:rsidR="00F20E9A" w:rsidRPr="00D63571">
        <w:t xml:space="preserve">1028.)  </w:t>
      </w:r>
      <w:r w:rsidR="00F20E9A">
        <w:t>Significant amounts of blood in the office, entryway, and living room suggested attacks occurred in each of those locations.</w:t>
      </w:r>
      <w:r w:rsidR="00F545F5">
        <w:t xml:space="preserve"> </w:t>
      </w:r>
      <w:r w:rsidR="00F20E9A">
        <w:t xml:space="preserve"> Moreover, </w:t>
      </w:r>
      <w:r w:rsidR="00F6225E">
        <w:t>Morales</w:t>
      </w:r>
      <w:r w:rsidR="00F20E9A">
        <w:t>’s story to the police as well as the location of Jasmine’s body suggested Jasmine was killed in the back of the home, as opposed to in the front of the home where the evidence showed the other attacks occurred.</w:t>
      </w:r>
    </w:p>
    <w:p w14:paraId="5CBEA3A5" w14:textId="3AAC68F7" w:rsidR="006C0ADE" w:rsidRPr="006A0E69" w:rsidRDefault="006C0ADE" w:rsidP="006A0E69">
      <w:pPr>
        <w:ind w:firstLine="720"/>
        <w:rPr>
          <w:szCs w:val="27"/>
        </w:rPr>
      </w:pPr>
      <w:r w:rsidRPr="00D63571">
        <w:t>F</w:t>
      </w:r>
      <w:bookmarkStart w:id="29" w:name="_Hlk32576229"/>
      <w:r w:rsidRPr="00D63571">
        <w:t xml:space="preserve">inally, </w:t>
      </w:r>
      <w:r w:rsidR="00F6225E">
        <w:t>Morales</w:t>
      </w:r>
      <w:r w:rsidRPr="00D63571">
        <w:t xml:space="preserve">’s actions after </w:t>
      </w:r>
      <w:r>
        <w:t xml:space="preserve">the </w:t>
      </w:r>
      <w:r w:rsidRPr="00D63571">
        <w:t xml:space="preserve">murder </w:t>
      </w:r>
      <w:r>
        <w:t xml:space="preserve">could have </w:t>
      </w:r>
      <w:proofErr w:type="gramStart"/>
      <w:r>
        <w:t xml:space="preserve">reasonably </w:t>
      </w:r>
      <w:r w:rsidRPr="00D63571">
        <w:t>contribute</w:t>
      </w:r>
      <w:r>
        <w:t>d</w:t>
      </w:r>
      <w:proofErr w:type="gramEnd"/>
      <w:r w:rsidRPr="00D63571">
        <w:t xml:space="preserve"> to </w:t>
      </w:r>
      <w:r>
        <w:t xml:space="preserve">the jury’s </w:t>
      </w:r>
      <w:r w:rsidRPr="00D63571">
        <w:t>finding that he committed the murders with premeditation</w:t>
      </w:r>
      <w:r>
        <w:t xml:space="preserve"> and deliberation</w:t>
      </w:r>
      <w:r w:rsidRPr="00D63571">
        <w:t xml:space="preserve">.  </w:t>
      </w:r>
      <w:bookmarkEnd w:id="29"/>
      <w:r w:rsidR="00CE3C85">
        <w:t>T</w:t>
      </w:r>
      <w:r>
        <w:t xml:space="preserve">he jury could have reasonably inferred from the evidence </w:t>
      </w:r>
      <w:r w:rsidRPr="00D63571">
        <w:t xml:space="preserve">that </w:t>
      </w:r>
      <w:r w:rsidR="00F6225E">
        <w:t>Morales</w:t>
      </w:r>
      <w:r w:rsidRPr="00D63571">
        <w:t xml:space="preserve"> stayed at the home after he murdered Mike to kill the other members of the family, and</w:t>
      </w:r>
      <w:r>
        <w:t xml:space="preserve"> that, </w:t>
      </w:r>
      <w:r w:rsidRPr="00D63571">
        <w:t xml:space="preserve">after </w:t>
      </w:r>
      <w:r>
        <w:t xml:space="preserve">killing the remaining family members, he stayed </w:t>
      </w:r>
      <w:r w:rsidRPr="00D63571">
        <w:t xml:space="preserve">to steal items </w:t>
      </w:r>
      <w:r>
        <w:t xml:space="preserve">and to “stage” the </w:t>
      </w:r>
      <w:r>
        <w:lastRenderedPageBreak/>
        <w:t xml:space="preserve">crime scene by </w:t>
      </w:r>
      <w:r w:rsidRPr="00D63571">
        <w:t>clean</w:t>
      </w:r>
      <w:r>
        <w:t>ing</w:t>
      </w:r>
      <w:r w:rsidRPr="00D63571">
        <w:t xml:space="preserve"> up some of the blood and</w:t>
      </w:r>
      <w:r>
        <w:t xml:space="preserve"> </w:t>
      </w:r>
      <w:r w:rsidRPr="00D63571">
        <w:t>mak</w:t>
      </w:r>
      <w:r>
        <w:t>ing</w:t>
      </w:r>
      <w:r w:rsidRPr="00D63571">
        <w:t xml:space="preserve"> a mess.  </w:t>
      </w:r>
      <w:r w:rsidR="002A7DF8">
        <w:t>He also took the time to hide his bloody clothes, the bloody gloves, and the murder weapons in his backyard</w:t>
      </w:r>
      <w:r w:rsidR="006A0E69">
        <w:rPr>
          <w:szCs w:val="27"/>
        </w:rPr>
        <w:t xml:space="preserve">.  </w:t>
      </w:r>
      <w:r w:rsidRPr="00676838">
        <w:rPr>
          <w:szCs w:val="27"/>
        </w:rPr>
        <w:t xml:space="preserve">The jury </w:t>
      </w:r>
      <w:proofErr w:type="gramStart"/>
      <w:r w:rsidRPr="00676838">
        <w:rPr>
          <w:szCs w:val="27"/>
        </w:rPr>
        <w:t>reasonably could</w:t>
      </w:r>
      <w:proofErr w:type="gramEnd"/>
      <w:r w:rsidRPr="00676838">
        <w:rPr>
          <w:szCs w:val="27"/>
        </w:rPr>
        <w:t xml:space="preserve"> conclude the</w:t>
      </w:r>
      <w:r w:rsidRPr="00D63571">
        <w:t xml:space="preserve">se actions were inconsistent with </w:t>
      </w:r>
      <w:r>
        <w:t>impulsive and rash behavior</w:t>
      </w:r>
      <w:r w:rsidRPr="00D63571">
        <w:t>.</w:t>
      </w:r>
      <w:r w:rsidR="001D2BBB">
        <w:t xml:space="preserve">  </w:t>
      </w:r>
      <w:r w:rsidR="001D2BBB" w:rsidRPr="00D63571">
        <w:t xml:space="preserve">(See </w:t>
      </w:r>
      <w:r w:rsidR="001D2BBB">
        <w:rPr>
          <w:i/>
        </w:rPr>
        <w:t xml:space="preserve">People v. </w:t>
      </w:r>
      <w:r w:rsidR="001D2BBB" w:rsidRPr="00D63571">
        <w:rPr>
          <w:i/>
        </w:rPr>
        <w:t>Perez</w:t>
      </w:r>
      <w:r w:rsidR="001D2BBB" w:rsidRPr="00D63571">
        <w:t xml:space="preserve">, </w:t>
      </w:r>
      <w:r w:rsidR="001D2BBB" w:rsidRPr="00D63571">
        <w:rPr>
          <w:i/>
        </w:rPr>
        <w:t>supra</w:t>
      </w:r>
      <w:r w:rsidR="001D2BBB" w:rsidRPr="00D63571">
        <w:t>, 2</w:t>
      </w:r>
      <w:r w:rsidR="00477DBB">
        <w:t> </w:t>
      </w:r>
      <w:r w:rsidR="001D2BBB" w:rsidRPr="00D63571">
        <w:t>Cal.4th at p.</w:t>
      </w:r>
      <w:r w:rsidR="001D2BBB">
        <w:t> </w:t>
      </w:r>
      <w:r w:rsidR="001D2BBB" w:rsidRPr="00D63571">
        <w:t>1128 [“</w:t>
      </w:r>
      <w:r w:rsidR="001D2BBB">
        <w:t>[T]</w:t>
      </w:r>
      <w:r w:rsidR="001D2BBB" w:rsidRPr="00D63571">
        <w:t xml:space="preserve">he conduct of defendant </w:t>
      </w:r>
      <w:r w:rsidR="001D2BBB" w:rsidRPr="009E10BA">
        <w:rPr>
          <w:i/>
        </w:rPr>
        <w:t>after</w:t>
      </w:r>
      <w:r w:rsidR="001D2BBB" w:rsidRPr="00D63571">
        <w:t xml:space="preserve"> the stabbing, such as the search of dresser drawers, jewelry boxes, kitchen drawers and the changing of a Band-Aid on his bloody hand, would appear to be inconsistent with a state of mind that would have produced a rash, impulsive killing.  Here, defendant did not immediately flee the scene.”]; </w:t>
      </w:r>
      <w:r w:rsidR="001D2BBB">
        <w:rPr>
          <w:i/>
        </w:rPr>
        <w:t xml:space="preserve">People v. </w:t>
      </w:r>
      <w:r w:rsidR="001D2BBB" w:rsidRPr="00D63571">
        <w:rPr>
          <w:i/>
        </w:rPr>
        <w:t>Potts</w:t>
      </w:r>
      <w:r w:rsidR="001D2BBB" w:rsidRPr="00D63571">
        <w:t xml:space="preserve">, </w:t>
      </w:r>
      <w:r w:rsidR="001D2BBB" w:rsidRPr="00D63571">
        <w:rPr>
          <w:i/>
        </w:rPr>
        <w:t>supra</w:t>
      </w:r>
      <w:r w:rsidR="001D2BBB" w:rsidRPr="00D63571">
        <w:t>, 6</w:t>
      </w:r>
      <w:r w:rsidR="00AD5E33">
        <w:t> </w:t>
      </w:r>
      <w:r w:rsidR="001D2BBB" w:rsidRPr="00D63571">
        <w:t>Cal.5th at p.</w:t>
      </w:r>
      <w:r w:rsidR="001D2BBB">
        <w:t> </w:t>
      </w:r>
      <w:r w:rsidR="001D2BBB" w:rsidRPr="00D63571">
        <w:t xml:space="preserve">1028 [“Further, a jury could quite reasonably infer that a person who followed a horrific double homicide by opening a package of cookies was not surprised and dismayed by what he had done, as one who acted impulsively might </w:t>
      </w:r>
      <w:r w:rsidR="001D2BBB" w:rsidRPr="00EF7622">
        <w:t xml:space="preserve">be.”]; cf. </w:t>
      </w:r>
      <w:r w:rsidR="001D2BBB" w:rsidRPr="00EF7622">
        <w:rPr>
          <w:i/>
          <w:iCs/>
          <w:szCs w:val="27"/>
        </w:rPr>
        <w:t xml:space="preserve">People v. </w:t>
      </w:r>
      <w:proofErr w:type="spellStart"/>
      <w:r w:rsidR="001D2BBB" w:rsidRPr="00EF7622">
        <w:rPr>
          <w:i/>
          <w:iCs/>
          <w:szCs w:val="27"/>
        </w:rPr>
        <w:t>Famalaro</w:t>
      </w:r>
      <w:proofErr w:type="spellEnd"/>
      <w:r w:rsidR="001D2BBB" w:rsidRPr="00EF7622">
        <w:rPr>
          <w:i/>
          <w:iCs/>
          <w:szCs w:val="27"/>
        </w:rPr>
        <w:t xml:space="preserve"> </w:t>
      </w:r>
      <w:r w:rsidR="001D2BBB" w:rsidRPr="00EF7622">
        <w:rPr>
          <w:szCs w:val="27"/>
        </w:rPr>
        <w:t>(2011) 52 Cal.4th 1, 36 [holding that defendant’s choice to hide bloody gloves and murder weapons was an attempt to conceal evidence relevant to premeditation and deliberation of the killing]</w:t>
      </w:r>
      <w:r w:rsidR="001D2BBB" w:rsidRPr="00EF7622">
        <w:t>.)</w:t>
      </w:r>
    </w:p>
    <w:bookmarkEnd w:id="27"/>
    <w:p w14:paraId="5D421C7B" w14:textId="5148356B" w:rsidR="006C0ADE" w:rsidRPr="005A0AEB" w:rsidRDefault="006C0ADE" w:rsidP="006C0ADE">
      <w:pPr>
        <w:tabs>
          <w:tab w:val="left" w:pos="720"/>
          <w:tab w:val="left" w:pos="1170"/>
        </w:tabs>
        <w:ind w:firstLine="720"/>
        <w:rPr>
          <w:szCs w:val="26"/>
        </w:rPr>
      </w:pPr>
      <w:r>
        <w:t>In sum, t</w:t>
      </w:r>
      <w:r w:rsidRPr="00D63571">
        <w:t>h</w:t>
      </w:r>
      <w:r>
        <w:t>e</w:t>
      </w:r>
      <w:r w:rsidRPr="00D63571">
        <w:t xml:space="preserve"> evidence of planning, motive, manner of killing,</w:t>
      </w:r>
      <w:r w:rsidR="000240DF">
        <w:t xml:space="preserve"> and </w:t>
      </w:r>
      <w:r w:rsidR="00F6225E">
        <w:t>Morales</w:t>
      </w:r>
      <w:r w:rsidR="000240DF">
        <w:t>’s actions after the murder,</w:t>
      </w:r>
      <w:r w:rsidRPr="00D63571">
        <w:t xml:space="preserve"> </w:t>
      </w:r>
      <w:r>
        <w:t>taken together</w:t>
      </w:r>
      <w:r w:rsidRPr="00D63571">
        <w:t xml:space="preserve">, </w:t>
      </w:r>
      <w:r w:rsidR="00CE3C85">
        <w:t>wa</w:t>
      </w:r>
      <w:r w:rsidRPr="00D63571">
        <w:t xml:space="preserve">s </w:t>
      </w:r>
      <w:proofErr w:type="gramStart"/>
      <w:r w:rsidRPr="00D63571">
        <w:t>sufficient</w:t>
      </w:r>
      <w:proofErr w:type="gramEnd"/>
      <w:r w:rsidRPr="00D63571">
        <w:t xml:space="preserve"> to </w:t>
      </w:r>
      <w:r>
        <w:t xml:space="preserve">support the jury’s </w:t>
      </w:r>
      <w:r w:rsidRPr="00D63571">
        <w:t>find</w:t>
      </w:r>
      <w:r>
        <w:t>ing that the murders were premeditated and deliberate.</w:t>
      </w:r>
    </w:p>
    <w:p w14:paraId="6CF14F20" w14:textId="09DD55C5" w:rsidR="00BE07EC" w:rsidRPr="005A0AEB" w:rsidRDefault="00BE07EC" w:rsidP="007253AE">
      <w:pPr>
        <w:keepNext/>
        <w:tabs>
          <w:tab w:val="left" w:pos="1584"/>
        </w:tabs>
        <w:spacing w:before="240"/>
        <w:ind w:left="1512" w:hanging="360"/>
        <w:outlineLvl w:val="2"/>
        <w:rPr>
          <w:i/>
        </w:rPr>
      </w:pPr>
      <w:bookmarkStart w:id="30" w:name="_Toc21438457"/>
      <w:bookmarkStart w:id="31" w:name="_Toc31888614"/>
      <w:bookmarkStart w:id="32" w:name="_Toc34223170"/>
      <w:r w:rsidRPr="005A0AEB">
        <w:rPr>
          <w:i/>
        </w:rPr>
        <w:t>2.</w:t>
      </w:r>
      <w:r w:rsidRPr="005A0AEB">
        <w:rPr>
          <w:i/>
        </w:rPr>
        <w:tab/>
      </w:r>
      <w:bookmarkEnd w:id="30"/>
      <w:bookmarkEnd w:id="31"/>
      <w:bookmarkEnd w:id="32"/>
      <w:r w:rsidR="006C0ADE" w:rsidRPr="006C0ADE">
        <w:rPr>
          <w:i/>
        </w:rPr>
        <w:t>Admission of Crime Scene Reconstruction Expert Testimony</w:t>
      </w:r>
    </w:p>
    <w:p w14:paraId="7C0B78F4" w14:textId="31EE7510" w:rsidR="006C0ADE" w:rsidRPr="006C0ADE" w:rsidRDefault="00F6225E" w:rsidP="006C0ADE">
      <w:pPr>
        <w:tabs>
          <w:tab w:val="left" w:pos="1440"/>
        </w:tabs>
        <w:ind w:firstLine="720"/>
        <w:rPr>
          <w:szCs w:val="26"/>
        </w:rPr>
      </w:pPr>
      <w:r>
        <w:t>Morales</w:t>
      </w:r>
      <w:r w:rsidR="006C0ADE" w:rsidRPr="00D63571">
        <w:t xml:space="preserve"> argues that the trial court viol</w:t>
      </w:r>
      <w:r w:rsidR="006C0ADE" w:rsidRPr="00D63571">
        <w:rPr>
          <w:szCs w:val="26"/>
        </w:rPr>
        <w:t xml:space="preserve">ated </w:t>
      </w:r>
      <w:r w:rsidR="00A64245">
        <w:rPr>
          <w:szCs w:val="26"/>
        </w:rPr>
        <w:t xml:space="preserve">both state evidence law and </w:t>
      </w:r>
      <w:r w:rsidR="006C0ADE" w:rsidRPr="00D63571">
        <w:rPr>
          <w:szCs w:val="26"/>
        </w:rPr>
        <w:t xml:space="preserve">his Fifth, Sixth, Eighth, and Fourteenth Amendment rights by </w:t>
      </w:r>
      <w:r w:rsidR="00A64245">
        <w:rPr>
          <w:szCs w:val="26"/>
        </w:rPr>
        <w:t xml:space="preserve">admitting testimony of </w:t>
      </w:r>
      <w:r w:rsidR="006C0ADE" w:rsidRPr="00D63571">
        <w:rPr>
          <w:szCs w:val="26"/>
        </w:rPr>
        <w:t>the People’s crime scene reconstruction expert</w:t>
      </w:r>
      <w:r w:rsidR="00353E55">
        <w:rPr>
          <w:szCs w:val="26"/>
        </w:rPr>
        <w:t>.  We reject the argument.</w:t>
      </w:r>
    </w:p>
    <w:p w14:paraId="5F2C1A9B" w14:textId="255254E5" w:rsidR="006C0ADE" w:rsidRPr="005A0AEB" w:rsidRDefault="006C0ADE" w:rsidP="006C0ADE">
      <w:pPr>
        <w:keepNext/>
        <w:tabs>
          <w:tab w:val="left" w:pos="2016"/>
        </w:tabs>
        <w:spacing w:before="240"/>
        <w:ind w:left="2016" w:hanging="432"/>
        <w:outlineLvl w:val="3"/>
        <w:rPr>
          <w:i/>
        </w:rPr>
      </w:pPr>
      <w:r w:rsidRPr="005A0AEB">
        <w:rPr>
          <w:i/>
        </w:rPr>
        <w:lastRenderedPageBreak/>
        <w:t>a.</w:t>
      </w:r>
      <w:r w:rsidRPr="005A0AEB">
        <w:rPr>
          <w:i/>
        </w:rPr>
        <w:tab/>
      </w:r>
      <w:r>
        <w:rPr>
          <w:i/>
        </w:rPr>
        <w:t>Background</w:t>
      </w:r>
    </w:p>
    <w:p w14:paraId="7AAAED9D" w14:textId="1A4AA388" w:rsidR="006C0ADE" w:rsidRPr="00D63571" w:rsidRDefault="006C0ADE" w:rsidP="006C0ADE">
      <w:pPr>
        <w:ind w:firstLine="720"/>
      </w:pPr>
      <w:r w:rsidRPr="00D63571">
        <w:t>A</w:t>
      </w:r>
      <w:r>
        <w:t>s noted, at</w:t>
      </w:r>
      <w:r w:rsidRPr="00D63571">
        <w:t xml:space="preserve"> trial, the </w:t>
      </w:r>
      <w:r>
        <w:t>P</w:t>
      </w:r>
      <w:r w:rsidRPr="00D63571">
        <w:t xml:space="preserve">eople called Sheriff’s Deputy Paul </w:t>
      </w:r>
      <w:proofErr w:type="spellStart"/>
      <w:r w:rsidRPr="00D63571">
        <w:t>Delhauer</w:t>
      </w:r>
      <w:proofErr w:type="spellEnd"/>
      <w:r w:rsidRPr="00D63571">
        <w:t xml:space="preserve"> as a crime scene reconstruction expert. </w:t>
      </w:r>
      <w:r>
        <w:t xml:space="preserve"> At a pretrial hearing</w:t>
      </w:r>
      <w:r w:rsidRPr="00D63571">
        <w:t xml:space="preserve">, defense counsel sought to exclude certain opinions included in </w:t>
      </w:r>
      <w:proofErr w:type="spellStart"/>
      <w:r w:rsidRPr="00D63571">
        <w:t>Delhauer’s</w:t>
      </w:r>
      <w:proofErr w:type="spellEnd"/>
      <w:r w:rsidRPr="00D63571">
        <w:t xml:space="preserve"> expert report.  In response, the prosecution signaled it did not intend to solicit </w:t>
      </w:r>
      <w:proofErr w:type="spellStart"/>
      <w:r w:rsidRPr="00D63571">
        <w:t>Delhauer’s</w:t>
      </w:r>
      <w:proofErr w:type="spellEnd"/>
      <w:r w:rsidRPr="00D63571">
        <w:t xml:space="preserve"> opinion</w:t>
      </w:r>
      <w:r w:rsidR="00512A3D">
        <w:t>s</w:t>
      </w:r>
      <w:r w:rsidRPr="00D63571">
        <w:t xml:space="preserve"> on the</w:t>
      </w:r>
      <w:r w:rsidR="00E23E34">
        <w:t xml:space="preserve"> challenged</w:t>
      </w:r>
      <w:r w:rsidRPr="00D63571">
        <w:t xml:space="preserve"> issues:  </w:t>
      </w:r>
      <w:proofErr w:type="spellStart"/>
      <w:r w:rsidRPr="00D63571">
        <w:t>Delhauer</w:t>
      </w:r>
      <w:proofErr w:type="spellEnd"/>
      <w:r w:rsidRPr="00D63571">
        <w:t xml:space="preserve"> would only testify about crime scene staging, as well as physical items at the scene and evidence of the manner and method of death.  Defense counsel noted he had not challenged the portions of the report regarding staging, subject to the prosecution setting a proper foundation for </w:t>
      </w:r>
      <w:proofErr w:type="spellStart"/>
      <w:r w:rsidRPr="00D63571">
        <w:t>Delhauer’s</w:t>
      </w:r>
      <w:proofErr w:type="spellEnd"/>
      <w:r w:rsidRPr="00D63571">
        <w:t xml:space="preserve"> training and experience.  The court agreed </w:t>
      </w:r>
      <w:proofErr w:type="spellStart"/>
      <w:r>
        <w:t>Delhauer</w:t>
      </w:r>
      <w:proofErr w:type="spellEnd"/>
      <w:r>
        <w:t xml:space="preserve"> would not be permitted to testify beyond his expertise but </w:t>
      </w:r>
      <w:r w:rsidRPr="00D63571">
        <w:t xml:space="preserve">stated it would not exclude </w:t>
      </w:r>
      <w:proofErr w:type="spellStart"/>
      <w:r w:rsidRPr="00D63571">
        <w:t>Delhauer’s</w:t>
      </w:r>
      <w:proofErr w:type="spellEnd"/>
      <w:r w:rsidRPr="00D63571">
        <w:t xml:space="preserve"> observations about the crime scene.</w:t>
      </w:r>
    </w:p>
    <w:p w14:paraId="0A6AA077" w14:textId="19750567" w:rsidR="006C0ADE" w:rsidRPr="00D63571" w:rsidRDefault="006C0ADE" w:rsidP="006C0ADE">
      <w:pPr>
        <w:ind w:firstLine="720"/>
      </w:pPr>
      <w:r>
        <w:t xml:space="preserve">The People called </w:t>
      </w:r>
      <w:proofErr w:type="spellStart"/>
      <w:r>
        <w:t>Delhauer</w:t>
      </w:r>
      <w:proofErr w:type="spellEnd"/>
      <w:r>
        <w:t xml:space="preserve"> as their final witness at trial.  </w:t>
      </w:r>
      <w:proofErr w:type="spellStart"/>
      <w:r w:rsidRPr="00D63571">
        <w:t>Delhauer</w:t>
      </w:r>
      <w:proofErr w:type="spellEnd"/>
      <w:r w:rsidRPr="00D63571">
        <w:t xml:space="preserve"> had been a criminal profiler and crime scene analyst (</w:t>
      </w:r>
      <w:r w:rsidR="006E5534">
        <w:t xml:space="preserve">otherwise known as </w:t>
      </w:r>
      <w:r w:rsidRPr="00D63571">
        <w:t xml:space="preserve">a crime reconstructionist) since 1999.  He had a </w:t>
      </w:r>
      <w:proofErr w:type="gramStart"/>
      <w:r w:rsidRPr="00D63571">
        <w:t>bachelor of arts</w:t>
      </w:r>
      <w:proofErr w:type="gramEnd"/>
      <w:r w:rsidRPr="00D63571">
        <w:t xml:space="preserve"> degree and had taken a college-level physics for health sciences course, but most of his training and experience had come through work.  He had worked in various departments of the </w:t>
      </w:r>
      <w:r>
        <w:t>s</w:t>
      </w:r>
      <w:r w:rsidRPr="00D63571">
        <w:t>heriff’s office</w:t>
      </w:r>
      <w:r w:rsidR="004E10A0">
        <w:t xml:space="preserve">.  In 1995, he spent </w:t>
      </w:r>
      <w:r w:rsidRPr="00D63571">
        <w:t xml:space="preserve">six months in the coroner’s office, where he conducted </w:t>
      </w:r>
      <w:r w:rsidR="004E10A0">
        <w:t xml:space="preserve">more than </w:t>
      </w:r>
      <w:r w:rsidRPr="00D63571">
        <w:t xml:space="preserve">200 death investigations and saw between 300 and 400 stab wounds.  He eventually landed in the homicide bureau, where he was trained in, among other topics, homicides, sexual assault investigations, blood spatter analysis, and crime scene reconstruction.  </w:t>
      </w:r>
      <w:proofErr w:type="spellStart"/>
      <w:r w:rsidRPr="00D63571">
        <w:t>Delhauer</w:t>
      </w:r>
      <w:proofErr w:type="spellEnd"/>
      <w:r w:rsidRPr="00D63571">
        <w:t xml:space="preserve"> examined between 800 and 900 cases</w:t>
      </w:r>
      <w:r w:rsidR="004E10A0">
        <w:t>, including 70 murder investigations,</w:t>
      </w:r>
      <w:r w:rsidRPr="00D63571">
        <w:t xml:space="preserve"> </w:t>
      </w:r>
      <w:r>
        <w:t xml:space="preserve">while </w:t>
      </w:r>
      <w:r w:rsidRPr="00D63571">
        <w:t>in the homicide bureau</w:t>
      </w:r>
      <w:r w:rsidR="004E10A0">
        <w:t xml:space="preserve">.  Over </w:t>
      </w:r>
      <w:r w:rsidRPr="00D63571">
        <w:t xml:space="preserve">the course of his career, </w:t>
      </w:r>
      <w:r w:rsidR="004E10A0">
        <w:t xml:space="preserve">he </w:t>
      </w:r>
      <w:r w:rsidRPr="00D63571">
        <w:t xml:space="preserve">had been directly involved </w:t>
      </w:r>
      <w:r w:rsidR="007F079F">
        <w:t xml:space="preserve">in </w:t>
      </w:r>
      <w:r w:rsidRPr="00D63571">
        <w:t xml:space="preserve">or assisted </w:t>
      </w:r>
      <w:r w:rsidRPr="00D63571">
        <w:lastRenderedPageBreak/>
        <w:t xml:space="preserve">in </w:t>
      </w:r>
      <w:r>
        <w:t xml:space="preserve">more than </w:t>
      </w:r>
      <w:r w:rsidRPr="00D63571">
        <w:t xml:space="preserve">6,000 criminal cases.  Since becoming a reconstructionist, he had consulted on </w:t>
      </w:r>
      <w:r>
        <w:t xml:space="preserve">more than </w:t>
      </w:r>
      <w:r w:rsidRPr="00D63571">
        <w:t>300 cases.</w:t>
      </w:r>
    </w:p>
    <w:p w14:paraId="379AB598" w14:textId="74D7609E" w:rsidR="006C0ADE" w:rsidRPr="00D63571" w:rsidRDefault="006C0ADE" w:rsidP="006C0ADE">
      <w:pPr>
        <w:ind w:firstLine="720"/>
      </w:pPr>
      <w:proofErr w:type="spellStart"/>
      <w:r w:rsidRPr="00D63571">
        <w:t>Delhauer</w:t>
      </w:r>
      <w:proofErr w:type="spellEnd"/>
      <w:r w:rsidRPr="00D63571">
        <w:t xml:space="preserve"> had also received specific training relevant to crime scene reconstruction, including blood spatter analysis.  In addition to training he received through his department, </w:t>
      </w:r>
      <w:proofErr w:type="spellStart"/>
      <w:r w:rsidRPr="00D63571">
        <w:t>Delhauer</w:t>
      </w:r>
      <w:proofErr w:type="spellEnd"/>
      <w:r w:rsidRPr="00D63571">
        <w:t xml:space="preserve"> took a 40-hour class in which he learned about the dynamics and composition of blood and conducted around 40 experiments aimed at reproducing bloodshed.  In his trainings, he also learned about different blood stains and pattern stains.  He had conducted </w:t>
      </w:r>
      <w:proofErr w:type="gramStart"/>
      <w:r w:rsidRPr="00D63571">
        <w:t>nearly 200</w:t>
      </w:r>
      <w:proofErr w:type="gramEnd"/>
      <w:r w:rsidRPr="00D63571">
        <w:t xml:space="preserve"> of his own reconstruction experiments for his cases, which included experiments on bloodshed, blunt force trauma, and sharp force and stab wounds.  Specifically as to knife wounds, he had conducted relevant examinations at the coroner’s office, interviewed the surviving victims of knife attacks, and conducted between 40 and 50 of his own experiments with various media, </w:t>
      </w:r>
      <w:r w:rsidR="004E10A0">
        <w:t xml:space="preserve">including </w:t>
      </w:r>
      <w:r w:rsidRPr="00D63571">
        <w:t xml:space="preserve">meat </w:t>
      </w:r>
      <w:r w:rsidR="00E30B5D">
        <w:t>and</w:t>
      </w:r>
      <w:r w:rsidRPr="00D63571">
        <w:t xml:space="preserve"> modeling clay, to reproduce knife wounds.  He also continually maintain</w:t>
      </w:r>
      <w:r w:rsidR="004E10A0">
        <w:t>ed</w:t>
      </w:r>
      <w:r w:rsidRPr="00D63571">
        <w:t xml:space="preserve"> his education on these issues.  He had previously qualified as an expert in Los Angeles County Superior Court eight or nine times</w:t>
      </w:r>
      <w:r>
        <w:t>.</w:t>
      </w:r>
    </w:p>
    <w:p w14:paraId="4535632F" w14:textId="4880DA4B" w:rsidR="006C0ADE" w:rsidRPr="00D63571" w:rsidRDefault="006C0ADE" w:rsidP="006C0ADE">
      <w:pPr>
        <w:ind w:firstLine="720"/>
      </w:pPr>
      <w:r w:rsidRPr="00D63571">
        <w:t xml:space="preserve">After </w:t>
      </w:r>
      <w:r w:rsidR="004E10A0">
        <w:t xml:space="preserve">describing </w:t>
      </w:r>
      <w:r w:rsidRPr="00D63571">
        <w:t xml:space="preserve">his experience and training, </w:t>
      </w:r>
      <w:proofErr w:type="spellStart"/>
      <w:r w:rsidRPr="00D63571">
        <w:t>Delhauer</w:t>
      </w:r>
      <w:proofErr w:type="spellEnd"/>
      <w:r w:rsidRPr="00D63571">
        <w:t xml:space="preserve"> </w:t>
      </w:r>
      <w:r w:rsidR="004E10A0">
        <w:t xml:space="preserve">explained </w:t>
      </w:r>
      <w:r>
        <w:t xml:space="preserve">how he had prepared to testify </w:t>
      </w:r>
      <w:r w:rsidRPr="00D63571">
        <w:t>as an expert in the case.  Before testifying, he had been to the crime scene for an hour and a half on the morning of Saturday, July 13, 2002; read all of the crime reports, interviews, forensic reports, and autopsy reports in the case; examined all of the photographs taken by law enforcement officers and the coroners; and conducted his own experiments.</w:t>
      </w:r>
    </w:p>
    <w:p w14:paraId="2C2AC92F" w14:textId="185AF06B" w:rsidR="006C0ADE" w:rsidRPr="00D63571" w:rsidRDefault="006C0ADE" w:rsidP="006C0ADE">
      <w:pPr>
        <w:ind w:firstLine="720"/>
      </w:pPr>
      <w:proofErr w:type="spellStart"/>
      <w:r w:rsidRPr="00D63571">
        <w:t>Delhauer</w:t>
      </w:r>
      <w:proofErr w:type="spellEnd"/>
      <w:r w:rsidRPr="00D63571">
        <w:t xml:space="preserve"> then briefly shared his overarching conclusions about how he believed the murders had been committed.  He </w:t>
      </w:r>
      <w:r w:rsidRPr="00D63571">
        <w:lastRenderedPageBreak/>
        <w:t xml:space="preserve">believed the victims were killed in the following order:  Mike, Maritza, Ana, then Jasmine.  </w:t>
      </w:r>
      <w:bookmarkStart w:id="33" w:name="_Hlk33539804"/>
      <w:r w:rsidRPr="00D63571">
        <w:t xml:space="preserve">Mike had been killed from behind, </w:t>
      </w:r>
      <w:proofErr w:type="gramStart"/>
      <w:r w:rsidRPr="00D63571">
        <w:t>likely by</w:t>
      </w:r>
      <w:proofErr w:type="gramEnd"/>
      <w:r w:rsidRPr="00D63571">
        <w:t xml:space="preserve"> surprise, as indicated by Mike’s lack of defensive wounds and the debilitating slice wound to the front of </w:t>
      </w:r>
      <w:r w:rsidR="0087071E">
        <w:t>his</w:t>
      </w:r>
      <w:r w:rsidRPr="00D63571">
        <w:t xml:space="preserve"> neck, which </w:t>
      </w:r>
      <w:proofErr w:type="spellStart"/>
      <w:r w:rsidR="009F33D5">
        <w:t>Delhauer</w:t>
      </w:r>
      <w:proofErr w:type="spellEnd"/>
      <w:r w:rsidRPr="00D63571">
        <w:t xml:space="preserve"> believed was Mike’s first injury.</w:t>
      </w:r>
      <w:r>
        <w:t xml:space="preserve">  </w:t>
      </w:r>
      <w:bookmarkEnd w:id="33"/>
      <w:r w:rsidRPr="00D63571">
        <w:t xml:space="preserve">He believed Mike was </w:t>
      </w:r>
      <w:r w:rsidR="00882DF2">
        <w:t>attacked</w:t>
      </w:r>
      <w:r w:rsidRPr="00D63571">
        <w:t xml:space="preserve"> in the office</w:t>
      </w:r>
      <w:r>
        <w:t xml:space="preserve">. </w:t>
      </w:r>
      <w:r w:rsidRPr="00D63571">
        <w:t xml:space="preserve"> Maritza </w:t>
      </w:r>
      <w:proofErr w:type="gramStart"/>
      <w:r w:rsidRPr="00D63571">
        <w:t>likely entered</w:t>
      </w:r>
      <w:proofErr w:type="gramEnd"/>
      <w:r w:rsidRPr="00D63571">
        <w:t xml:space="preserve"> Mike’s office while or just after Mike was attacked.</w:t>
      </w:r>
      <w:r w:rsidR="00BE550A">
        <w:t xml:space="preserve">  </w:t>
      </w:r>
      <w:r w:rsidRPr="00D63571">
        <w:t xml:space="preserve">She was attacked in the office and then chased to the house’s entryway, where she was eventually killed.  There was less evidence as to how Ana had been killed, but he believed she was the third person murdered.  She </w:t>
      </w:r>
      <w:proofErr w:type="gramStart"/>
      <w:r w:rsidRPr="00D63571">
        <w:t>likely was</w:t>
      </w:r>
      <w:proofErr w:type="gramEnd"/>
      <w:r w:rsidRPr="00D63571">
        <w:t xml:space="preserve"> in the back of the house when she heard sounds and came into the living room.  In the living room, blood stains close to a broken statue suggested the assailant might have used the statue to create the blunt force trauma on Ana’s head.  Finally, he testified that he believed Jasmine had been sexually assaulted and then drowned</w:t>
      </w:r>
      <w:r>
        <w:t xml:space="preserve"> while unconscious</w:t>
      </w:r>
      <w:r w:rsidRPr="00D63571">
        <w:t xml:space="preserve">.  He based this conclusion on the lack of indicators of strangulation and the lack of evidence of splashing or attempts to escape from under the </w:t>
      </w:r>
      <w:r w:rsidR="00FC3E7A">
        <w:t xml:space="preserve">large </w:t>
      </w:r>
      <w:r w:rsidRPr="00D63571">
        <w:t>statue</w:t>
      </w:r>
      <w:r>
        <w:t xml:space="preserve"> that had been placed on top of her body in the bathtub</w:t>
      </w:r>
      <w:r w:rsidRPr="00D63571">
        <w:t>.</w:t>
      </w:r>
    </w:p>
    <w:p w14:paraId="0074D204" w14:textId="3D516065" w:rsidR="006C0ADE" w:rsidRPr="00D63571" w:rsidRDefault="006C0ADE" w:rsidP="006C0ADE">
      <w:pPr>
        <w:ind w:firstLine="720"/>
        <w:rPr>
          <w:highlight w:val="yellow"/>
        </w:rPr>
      </w:pPr>
      <w:r w:rsidRPr="00D63571">
        <w:t xml:space="preserve">The rest of </w:t>
      </w:r>
      <w:proofErr w:type="spellStart"/>
      <w:r w:rsidR="004E10A0">
        <w:t>Delhauer’s</w:t>
      </w:r>
      <w:proofErr w:type="spellEnd"/>
      <w:r w:rsidR="004E10A0">
        <w:t xml:space="preserve"> </w:t>
      </w:r>
      <w:r w:rsidRPr="00D63571">
        <w:t xml:space="preserve">testimony was aimed at supporting these conclusions. </w:t>
      </w:r>
      <w:r>
        <w:t xml:space="preserve"> </w:t>
      </w:r>
      <w:proofErr w:type="spellStart"/>
      <w:r w:rsidRPr="00D63571">
        <w:t>Delhauer</w:t>
      </w:r>
      <w:proofErr w:type="spellEnd"/>
      <w:r w:rsidRPr="00D63571">
        <w:t xml:space="preserve"> testified about the evidence in the house room by room, beginning with the house’s entryway.  He first described the blood spatter patterns in the entryway.  Defense counsel objected </w:t>
      </w:r>
      <w:r>
        <w:t xml:space="preserve">on the grounds of </w:t>
      </w:r>
      <w:r w:rsidRPr="00D63571">
        <w:t xml:space="preserve">speculation and lack of foundation, but the court overruled the objection.  </w:t>
      </w:r>
      <w:proofErr w:type="spellStart"/>
      <w:r>
        <w:t>Delhauer</w:t>
      </w:r>
      <w:proofErr w:type="spellEnd"/>
      <w:r w:rsidRPr="00D63571">
        <w:t xml:space="preserve"> testified that the spatter showed that someone had been moving toward the front door and had attempted to open it, at which point </w:t>
      </w:r>
      <w:r>
        <w:t>the person was</w:t>
      </w:r>
      <w:r w:rsidRPr="00D63571">
        <w:t xml:space="preserve"> attacked and then fell to the ground.  Defense counsel again objected, and the parties had a side bar with the court</w:t>
      </w:r>
      <w:r>
        <w:t>.</w:t>
      </w:r>
      <w:r w:rsidRPr="00D63571">
        <w:t xml:space="preserve">  The court found that </w:t>
      </w:r>
      <w:proofErr w:type="spellStart"/>
      <w:r w:rsidRPr="00D63571">
        <w:t>Delhauer</w:t>
      </w:r>
      <w:proofErr w:type="spellEnd"/>
      <w:r w:rsidRPr="00D63571">
        <w:t xml:space="preserve"> qualified </w:t>
      </w:r>
      <w:r>
        <w:t xml:space="preserve">as </w:t>
      </w:r>
      <w:r w:rsidRPr="00D63571">
        <w:t xml:space="preserve">an </w:t>
      </w:r>
      <w:r w:rsidRPr="00D63571">
        <w:lastRenderedPageBreak/>
        <w:t xml:space="preserve">expert witness, and </w:t>
      </w:r>
      <w:r>
        <w:t xml:space="preserve">that </w:t>
      </w:r>
      <w:r w:rsidRPr="00D63571">
        <w:t>he could testify about what he believed had happened, as long as it was based on the evidence</w:t>
      </w:r>
      <w:r>
        <w:t xml:space="preserve"> (</w:t>
      </w:r>
      <w:r w:rsidRPr="00D63571">
        <w:t>like the blood stains</w:t>
      </w:r>
      <w:r>
        <w:t>)</w:t>
      </w:r>
      <w:r w:rsidRPr="00D63571">
        <w:t xml:space="preserve"> and </w:t>
      </w:r>
      <w:r>
        <w:t xml:space="preserve">it </w:t>
      </w:r>
      <w:r w:rsidRPr="00D63571">
        <w:t xml:space="preserve">was within his expertise.  </w:t>
      </w:r>
      <w:r>
        <w:t>At that point, t</w:t>
      </w:r>
      <w:r w:rsidRPr="00D63571">
        <w:t xml:space="preserve">he defense lodged a continuing objection for lack of foundation.  </w:t>
      </w:r>
      <w:proofErr w:type="spellStart"/>
      <w:r w:rsidRPr="00D63571">
        <w:t>Delhauer</w:t>
      </w:r>
      <w:proofErr w:type="spellEnd"/>
      <w:r w:rsidRPr="00D63571">
        <w:t xml:space="preserve"> then continued with his analysis of the entryway blood spatter.  He concluded by saying he believed the murders had not started in the entryway.  He believed the blood was </w:t>
      </w:r>
      <w:bookmarkStart w:id="34" w:name="_Hlk33539864"/>
      <w:r w:rsidRPr="00D63571">
        <w:t>Maritza’s</w:t>
      </w:r>
      <w:r w:rsidR="004E10A0">
        <w:t>.  He opined that Maritza</w:t>
      </w:r>
      <w:r w:rsidRPr="00D63571">
        <w:t xml:space="preserve"> had entered the entryway already wounded, tried to open the front door, suffered a continued attack, and </w:t>
      </w:r>
      <w:proofErr w:type="gramStart"/>
      <w:r w:rsidRPr="00D63571">
        <w:t>fell down</w:t>
      </w:r>
      <w:proofErr w:type="gramEnd"/>
      <w:r w:rsidRPr="00D63571">
        <w:t xml:space="preserve"> to the floor, where she was continually stabbed.  She was then dragged away to the back rooms, as indicated by drag marks on the floors</w:t>
      </w:r>
      <w:bookmarkEnd w:id="34"/>
      <w:r>
        <w:t>.</w:t>
      </w:r>
    </w:p>
    <w:p w14:paraId="1CA990F0" w14:textId="5A362728" w:rsidR="006C0ADE" w:rsidRPr="00D63571" w:rsidRDefault="006C0ADE" w:rsidP="006C0ADE">
      <w:pPr>
        <w:ind w:firstLine="720"/>
      </w:pPr>
      <w:proofErr w:type="spellStart"/>
      <w:r w:rsidRPr="00D63571">
        <w:t>Delhauer</w:t>
      </w:r>
      <w:proofErr w:type="spellEnd"/>
      <w:r w:rsidRPr="00D63571">
        <w:t xml:space="preserve"> next testified about evidence in Mike’s office.  Based on blood spatter on clothes on the floor of the office, </w:t>
      </w:r>
      <w:proofErr w:type="spellStart"/>
      <w:r w:rsidRPr="00D63571">
        <w:t>Delhauer</w:t>
      </w:r>
      <w:proofErr w:type="spellEnd"/>
      <w:r w:rsidRPr="00D63571">
        <w:t xml:space="preserve"> testified</w:t>
      </w:r>
      <w:bookmarkStart w:id="35" w:name="_Hlk33539826"/>
      <w:r w:rsidRPr="00D63571">
        <w:t xml:space="preserve"> Mike </w:t>
      </w:r>
      <w:r>
        <w:t xml:space="preserve">had not been </w:t>
      </w:r>
      <w:r w:rsidRPr="00D63571">
        <w:t xml:space="preserve">wearing the clothes when he was killed.  </w:t>
      </w:r>
      <w:bookmarkEnd w:id="35"/>
      <w:r w:rsidRPr="00D63571">
        <w:t xml:space="preserve">Over a defense objection, </w:t>
      </w:r>
      <w:proofErr w:type="spellStart"/>
      <w:r w:rsidR="004E10A0">
        <w:t>Delhauer</w:t>
      </w:r>
      <w:proofErr w:type="spellEnd"/>
      <w:r w:rsidRPr="00D63571">
        <w:t xml:space="preserve"> testified that the blood spatter in the office showed that someone who was bleeding had moved from the office to the living room; he later testified that some of the spatter was consistent with Mike moving out of the room.  </w:t>
      </w:r>
      <w:bookmarkStart w:id="36" w:name="_Hlk33539836"/>
      <w:r w:rsidR="00CE3C85">
        <w:t>H</w:t>
      </w:r>
      <w:r w:rsidRPr="00D63571">
        <w:t xml:space="preserve">e concluded that </w:t>
      </w:r>
      <w:proofErr w:type="gramStart"/>
      <w:r w:rsidRPr="00D63571">
        <w:t>some of</w:t>
      </w:r>
      <w:proofErr w:type="gramEnd"/>
      <w:r w:rsidRPr="00D63571">
        <w:t xml:space="preserve"> the blood spatter in the office was consistent with Mike’s fatal neck injury, which he believed had been inflicted from behind.  </w:t>
      </w:r>
      <w:bookmarkEnd w:id="36"/>
      <w:r w:rsidRPr="00D63571">
        <w:t xml:space="preserve">He </w:t>
      </w:r>
      <w:r w:rsidR="00335597">
        <w:t xml:space="preserve">also </w:t>
      </w:r>
      <w:r w:rsidRPr="00D63571">
        <w:t xml:space="preserve">testified that one of </w:t>
      </w:r>
      <w:r w:rsidR="00F6225E">
        <w:t>Morales</w:t>
      </w:r>
      <w:r w:rsidRPr="00D63571">
        <w:t>’s knives was consistent with Mike’s neck wound</w:t>
      </w:r>
      <w:r w:rsidR="00335597">
        <w:t xml:space="preserve">.  </w:t>
      </w:r>
      <w:r w:rsidRPr="00D63571">
        <w:t xml:space="preserve">Bloody clothes were found in a hamper in the office bathroom, along with a rubber hose.  </w:t>
      </w:r>
      <w:proofErr w:type="spellStart"/>
      <w:r w:rsidRPr="00D63571">
        <w:t>Delhauer</w:t>
      </w:r>
      <w:proofErr w:type="spellEnd"/>
      <w:r w:rsidRPr="00D63571">
        <w:t xml:space="preserve"> believed the hose was for use with a bidet, </w:t>
      </w:r>
      <w:r>
        <w:t xml:space="preserve">which is </w:t>
      </w:r>
      <w:r w:rsidRPr="00D63571">
        <w:t xml:space="preserve">used to clean the vagina and anus, and that it had been wiped clean of blood.  </w:t>
      </w:r>
      <w:r>
        <w:t xml:space="preserve">He opined on cross-examination that the hose may have been used to clean Jasmine’s vaginal and rectal areas.  </w:t>
      </w:r>
      <w:bookmarkStart w:id="37" w:name="_Hlk33539850"/>
      <w:r w:rsidRPr="00D63571">
        <w:t xml:space="preserve">Maritza’s earring was also discovered under the office desk.  From this and </w:t>
      </w:r>
      <w:proofErr w:type="gramStart"/>
      <w:r>
        <w:t>some</w:t>
      </w:r>
      <w:proofErr w:type="gramEnd"/>
      <w:r>
        <w:t xml:space="preserve"> </w:t>
      </w:r>
      <w:r w:rsidRPr="00D63571">
        <w:t xml:space="preserve">blood </w:t>
      </w:r>
      <w:r w:rsidRPr="00D63571">
        <w:lastRenderedPageBreak/>
        <w:t xml:space="preserve">spatter on one of the walls, </w:t>
      </w:r>
      <w:proofErr w:type="spellStart"/>
      <w:r w:rsidRPr="00D63571">
        <w:t>Delhauer</w:t>
      </w:r>
      <w:proofErr w:type="spellEnd"/>
      <w:r w:rsidRPr="00D63571">
        <w:t xml:space="preserve"> concluded Maritza suffered the stab wound to her ear in the office.</w:t>
      </w:r>
      <w:bookmarkEnd w:id="37"/>
    </w:p>
    <w:p w14:paraId="302A047B" w14:textId="35E9C485" w:rsidR="006C0ADE" w:rsidRPr="00D63571" w:rsidRDefault="004E10A0" w:rsidP="006C0ADE">
      <w:pPr>
        <w:ind w:firstLine="720"/>
      </w:pPr>
      <w:r>
        <w:t xml:space="preserve">Turning to </w:t>
      </w:r>
      <w:r w:rsidR="006C0ADE" w:rsidRPr="00D63571">
        <w:t xml:space="preserve">the living room, </w:t>
      </w:r>
      <w:proofErr w:type="spellStart"/>
      <w:r>
        <w:t>Delhauer</w:t>
      </w:r>
      <w:proofErr w:type="spellEnd"/>
      <w:r w:rsidR="006C0ADE" w:rsidRPr="00D63571">
        <w:t xml:space="preserve"> identified certain blood stains as drag marks, which he concluded were made when the assailant dragged the bodies of Maritza and Mike to the back of the house, as also evidenced by the ligature marks on Mike’s arm.  He also identified one large blood stain and one smaller stain</w:t>
      </w:r>
      <w:r w:rsidR="006C0ADE">
        <w:t xml:space="preserve"> in that room</w:t>
      </w:r>
      <w:r w:rsidR="006C0ADE" w:rsidRPr="00D63571">
        <w:t xml:space="preserve">.  The larger stain near the couch was consistent with Mike’s injury, while the smaller stain may have been </w:t>
      </w:r>
      <w:r w:rsidR="006C0ADE">
        <w:t xml:space="preserve">made when </w:t>
      </w:r>
      <w:r w:rsidR="006C0ADE" w:rsidRPr="00D63571">
        <w:t>Ana was killed or when Mike or Maritza was dragged through the area.  He testified that the elbow of a human</w:t>
      </w:r>
      <w:r w:rsidR="005B7F60">
        <w:t>-shaped</w:t>
      </w:r>
      <w:r w:rsidR="006C0ADE" w:rsidRPr="00D63571">
        <w:t xml:space="preserve"> statue in the living room was consistent with the pattern injury on Ana’s head.  </w:t>
      </w:r>
      <w:proofErr w:type="spellStart"/>
      <w:r w:rsidR="006C0ADE" w:rsidRPr="00D63571">
        <w:t>Delhauer</w:t>
      </w:r>
      <w:proofErr w:type="spellEnd"/>
      <w:r w:rsidR="006C0ADE" w:rsidRPr="00D63571">
        <w:t xml:space="preserve"> </w:t>
      </w:r>
      <w:r w:rsidR="00087548">
        <w:t xml:space="preserve">also </w:t>
      </w:r>
      <w:r w:rsidR="006C0ADE" w:rsidRPr="00D63571">
        <w:t>described how the food items and other random objects strewn about the house</w:t>
      </w:r>
      <w:r w:rsidR="003A6C2E">
        <w:rPr>
          <w:szCs w:val="26"/>
        </w:rPr>
        <w:t xml:space="preserve"> </w:t>
      </w:r>
      <w:r w:rsidR="006C0ADE" w:rsidRPr="00D63571">
        <w:t xml:space="preserve">suggested someone had staged the crime scene to </w:t>
      </w:r>
      <w:r w:rsidR="006C0ADE">
        <w:t xml:space="preserve">create a false narrative about what had </w:t>
      </w:r>
      <w:r w:rsidR="006C0ADE" w:rsidRPr="00D63571">
        <w:t>happened at the scene.</w:t>
      </w:r>
    </w:p>
    <w:p w14:paraId="6B714A2C" w14:textId="6424E886" w:rsidR="006C0ADE" w:rsidRPr="00D63571" w:rsidRDefault="00810F93" w:rsidP="00C24292">
      <w:pPr>
        <w:ind w:firstLine="720"/>
      </w:pPr>
      <w:r>
        <w:t>After discussing</w:t>
      </w:r>
      <w:r w:rsidR="006C0ADE" w:rsidRPr="00D63571">
        <w:t xml:space="preserve"> pictures of Ana’s bedroom, where Mike’s, Maritza’s, and Ana’s bodies were discovered</w:t>
      </w:r>
      <w:r>
        <w:t xml:space="preserve">, </w:t>
      </w:r>
      <w:proofErr w:type="spellStart"/>
      <w:r w:rsidR="00AF1DBA">
        <w:t>Delhauer</w:t>
      </w:r>
      <w:proofErr w:type="spellEnd"/>
      <w:r>
        <w:t xml:space="preserve"> </w:t>
      </w:r>
      <w:r w:rsidR="004F1D98">
        <w:t xml:space="preserve">discussed </w:t>
      </w:r>
      <w:r w:rsidR="006C0ADE" w:rsidRPr="00D63571">
        <w:t>pictures of Jasmine in the bathtub and her injuries</w:t>
      </w:r>
      <w:r w:rsidR="004F1D98">
        <w:t xml:space="preserve">, </w:t>
      </w:r>
      <w:r w:rsidR="00A23E76">
        <w:t xml:space="preserve">and then </w:t>
      </w:r>
      <w:r w:rsidR="004F1D98">
        <w:t xml:space="preserve">turned to pictures of </w:t>
      </w:r>
      <w:r w:rsidR="006C0ADE" w:rsidRPr="00D63571">
        <w:t>Jasmine’s bedroom</w:t>
      </w:r>
      <w:r w:rsidR="004F1D98">
        <w:t>.  H</w:t>
      </w:r>
      <w:r w:rsidR="006C0ADE" w:rsidRPr="00D63571">
        <w:t>e opined that a</w:t>
      </w:r>
      <w:r w:rsidR="006C0ADE">
        <w:t>n</w:t>
      </w:r>
      <w:r w:rsidR="006C0ADE" w:rsidRPr="00D63571">
        <w:t xml:space="preserve"> herbal salad dressing stain on Jasmine’s bed was consistent in shape with the purple sex toy found </w:t>
      </w:r>
      <w:r w:rsidR="00C24292">
        <w:t xml:space="preserve">in the bathtub </w:t>
      </w:r>
      <w:r w:rsidR="006C0ADE" w:rsidRPr="00D63571">
        <w:t>between Jasmine’s legs.</w:t>
      </w:r>
      <w:r w:rsidR="00C24292">
        <w:t xml:space="preserve">  </w:t>
      </w:r>
      <w:r w:rsidR="006C0ADE" w:rsidRPr="00D63571">
        <w:t xml:space="preserve">Finally, </w:t>
      </w:r>
      <w:proofErr w:type="spellStart"/>
      <w:r w:rsidR="006C0ADE" w:rsidRPr="00D63571">
        <w:t>Delhauer</w:t>
      </w:r>
      <w:proofErr w:type="spellEnd"/>
      <w:r w:rsidR="006C0ADE" w:rsidRPr="00D63571">
        <w:t xml:space="preserve"> testified about </w:t>
      </w:r>
      <w:proofErr w:type="gramStart"/>
      <w:r w:rsidR="006C0ADE" w:rsidRPr="00D63571">
        <w:t>some of</w:t>
      </w:r>
      <w:proofErr w:type="gramEnd"/>
      <w:r w:rsidR="006C0ADE" w:rsidRPr="00D63571">
        <w:t xml:space="preserve"> the items found in </w:t>
      </w:r>
      <w:r w:rsidR="009C1808">
        <w:t xml:space="preserve">the </w:t>
      </w:r>
      <w:r w:rsidR="006C0ADE" w:rsidRPr="00D63571">
        <w:t>ammunition boxes</w:t>
      </w:r>
      <w:r w:rsidR="009C1808">
        <w:t xml:space="preserve"> in </w:t>
      </w:r>
      <w:r w:rsidR="00F6225E">
        <w:t>Morales</w:t>
      </w:r>
      <w:r w:rsidR="009C1808">
        <w:t>’s backyard</w:t>
      </w:r>
      <w:r w:rsidR="006C0ADE" w:rsidRPr="00D63571">
        <w:t xml:space="preserve">.  </w:t>
      </w:r>
      <w:proofErr w:type="spellStart"/>
      <w:r w:rsidR="006C0ADE" w:rsidRPr="00D63571">
        <w:t>Delhauer</w:t>
      </w:r>
      <w:proofErr w:type="spellEnd"/>
      <w:r w:rsidR="006C0ADE" w:rsidRPr="00D63571">
        <w:t xml:space="preserve"> concluded that two of the three knives found in the boxes </w:t>
      </w:r>
      <w:r w:rsidR="00E02C5B">
        <w:t>had been</w:t>
      </w:r>
      <w:r w:rsidR="00E02C5B" w:rsidRPr="00D63571">
        <w:t xml:space="preserve"> </w:t>
      </w:r>
      <w:r w:rsidR="006C0ADE" w:rsidRPr="00D63571">
        <w:t>used in the attack</w:t>
      </w:r>
      <w:r w:rsidR="00C24292">
        <w:t>.</w:t>
      </w:r>
    </w:p>
    <w:p w14:paraId="743779A9" w14:textId="6D27CFE2" w:rsidR="006C0ADE" w:rsidRPr="00D63571" w:rsidRDefault="00AF1DBA" w:rsidP="006C0ADE">
      <w:pPr>
        <w:ind w:firstLine="720"/>
      </w:pPr>
      <w:r>
        <w:t>On cross-examination, defense counsel elicited the following facts</w:t>
      </w:r>
      <w:r w:rsidR="006E5534">
        <w:t>:</w:t>
      </w:r>
      <w:r w:rsidR="006C0ADE" w:rsidRPr="00D63571">
        <w:t xml:space="preserve">  </w:t>
      </w:r>
      <w:proofErr w:type="spellStart"/>
      <w:r w:rsidR="006C0ADE" w:rsidRPr="00D63571">
        <w:t>Delhauer</w:t>
      </w:r>
      <w:proofErr w:type="spellEnd"/>
      <w:r w:rsidR="006C0ADE" w:rsidRPr="00D63571">
        <w:t xml:space="preserve"> had a liberal arts degree in communications, with no master’s degree and no degrees in criminal forensics or science.  He believed he had first received </w:t>
      </w:r>
      <w:r w:rsidR="006C0ADE" w:rsidRPr="00D63571">
        <w:lastRenderedPageBreak/>
        <w:t>relevant training for his expert testimony in grammar school math and science class</w:t>
      </w:r>
      <w:r w:rsidR="00E2766B">
        <w:t>es</w:t>
      </w:r>
      <w:r w:rsidR="006C0ADE" w:rsidRPr="00D63571">
        <w:t xml:space="preserve">, and then in high school.  He had only taken one college-level science course, in physics for health sciences.  And he never conducted any autopsies while working at the coroner’s office.  In preparing to be an expert for this case, he had not viewed the bodies firsthand, spoken to any medical examiners, or looked at any physical evidence other than during his single trip to the </w:t>
      </w:r>
      <w:r w:rsidR="00E46692">
        <w:t xml:space="preserve">victims’ </w:t>
      </w:r>
      <w:r w:rsidR="006C0ADE" w:rsidRPr="00D63571">
        <w:t xml:space="preserve">home right after the murders.  </w:t>
      </w:r>
      <w:r w:rsidR="006C0ADE">
        <w:t>Bu</w:t>
      </w:r>
      <w:r w:rsidR="006C0ADE" w:rsidRPr="00D63571">
        <w:t xml:space="preserve">t </w:t>
      </w:r>
      <w:r w:rsidR="006C0ADE">
        <w:t xml:space="preserve">at </w:t>
      </w:r>
      <w:r w:rsidR="006C0ADE" w:rsidRPr="00D63571">
        <w:t xml:space="preserve">the time he visited the house, he was not there </w:t>
      </w:r>
      <w:r w:rsidR="006C0ADE">
        <w:t>in his role as a</w:t>
      </w:r>
      <w:r w:rsidR="006C0ADE" w:rsidRPr="00D63571">
        <w:t xml:space="preserve"> reconstruction expert, and he did not take any notes.</w:t>
      </w:r>
    </w:p>
    <w:p w14:paraId="0F433605" w14:textId="21C8B245" w:rsidR="006C0ADE" w:rsidRPr="00D63571" w:rsidRDefault="0093660A" w:rsidP="006C0ADE">
      <w:pPr>
        <w:ind w:firstLine="720"/>
      </w:pPr>
      <w:proofErr w:type="spellStart"/>
      <w:r>
        <w:t>Delhauer</w:t>
      </w:r>
      <w:proofErr w:type="spellEnd"/>
      <w:r>
        <w:t xml:space="preserve"> </w:t>
      </w:r>
      <w:r w:rsidR="006C0ADE" w:rsidRPr="00D63571">
        <w:t xml:space="preserve">also disagreed with </w:t>
      </w:r>
      <w:proofErr w:type="gramStart"/>
      <w:r w:rsidR="006C0ADE" w:rsidRPr="00D63571">
        <w:t>several of</w:t>
      </w:r>
      <w:proofErr w:type="gramEnd"/>
      <w:r w:rsidR="006C0ADE" w:rsidRPr="00D63571">
        <w:t xml:space="preserve"> the People’s medical examiner and criminalist witnesses on a few points.  Contrary to the medical examiner’s testimony, he believed the attacker had cut Mike’s throat with his right hand, not his left.  And he believed the wound margins of Mike’s wound were serrated, while the medical examiner </w:t>
      </w:r>
      <w:proofErr w:type="gramStart"/>
      <w:r w:rsidR="006C0ADE" w:rsidRPr="00D63571">
        <w:t>testified</w:t>
      </w:r>
      <w:proofErr w:type="gramEnd"/>
      <w:r w:rsidR="006C0ADE" w:rsidRPr="00D63571">
        <w:t xml:space="preserve"> they were clean.  His initial conclusions were also contrary to </w:t>
      </w:r>
      <w:proofErr w:type="gramStart"/>
      <w:r w:rsidR="006C0ADE" w:rsidRPr="00D63571">
        <w:t>several of</w:t>
      </w:r>
      <w:proofErr w:type="gramEnd"/>
      <w:r w:rsidR="006C0ADE" w:rsidRPr="00D63571">
        <w:t xml:space="preserve"> the criminalists’ testimony, but he said he would be willing to change his opinion on those issues.  For example, though he believed there were blood stains in the girls’ bedroom and on the bed in the master bedroom, the criminalists testified otherwise.</w:t>
      </w:r>
    </w:p>
    <w:p w14:paraId="207C0767" w14:textId="617DC1B0" w:rsidR="006C0ADE" w:rsidRDefault="006C0ADE" w:rsidP="006C0ADE">
      <w:pPr>
        <w:ind w:firstLine="720"/>
      </w:pPr>
      <w:r w:rsidRPr="00D63571">
        <w:t xml:space="preserve">Finally, defense counsel challenged the bases of </w:t>
      </w:r>
      <w:proofErr w:type="gramStart"/>
      <w:r w:rsidRPr="00D63571">
        <w:t>some of</w:t>
      </w:r>
      <w:proofErr w:type="gramEnd"/>
      <w:r w:rsidRPr="00D63571">
        <w:t xml:space="preserve"> </w:t>
      </w:r>
      <w:proofErr w:type="spellStart"/>
      <w:r w:rsidRPr="00D63571">
        <w:t>Delhauer’s</w:t>
      </w:r>
      <w:proofErr w:type="spellEnd"/>
      <w:r w:rsidRPr="00D63571">
        <w:t xml:space="preserve"> conclusions.  Defense counsel questioned </w:t>
      </w:r>
      <w:proofErr w:type="spellStart"/>
      <w:r w:rsidRPr="00D63571">
        <w:t>Delhauer’s</w:t>
      </w:r>
      <w:proofErr w:type="spellEnd"/>
      <w:r w:rsidRPr="00D63571">
        <w:t xml:space="preserve"> conclusion that the </w:t>
      </w:r>
      <w:r w:rsidR="00391695">
        <w:t xml:space="preserve">salad </w:t>
      </w:r>
      <w:r w:rsidRPr="00D63571">
        <w:t xml:space="preserve">dressing stain on Jasmine’s bed was made by the sex toy, asking whether the stain was not also consistent with a bottle of dressing found </w:t>
      </w:r>
      <w:r w:rsidR="00AD5CDA">
        <w:t>at</w:t>
      </w:r>
      <w:r w:rsidRPr="00D63571">
        <w:t xml:space="preserve"> the scene and exposing that </w:t>
      </w:r>
      <w:proofErr w:type="spellStart"/>
      <w:r w:rsidRPr="00D63571">
        <w:t>Delhauer</w:t>
      </w:r>
      <w:proofErr w:type="spellEnd"/>
      <w:r w:rsidRPr="00D63571">
        <w:t xml:space="preserve"> had no evidence that the sex toy had ever been placed in dressing.</w:t>
      </w:r>
      <w:r>
        <w:t xml:space="preserve">  </w:t>
      </w:r>
      <w:proofErr w:type="spellStart"/>
      <w:r w:rsidRPr="00D63571">
        <w:t>Delhauer</w:t>
      </w:r>
      <w:proofErr w:type="spellEnd"/>
      <w:r w:rsidRPr="00D63571">
        <w:t xml:space="preserve"> also admitted that the blood in the entryway</w:t>
      </w:r>
      <w:r w:rsidR="00087A24">
        <w:t xml:space="preserve"> </w:t>
      </w:r>
      <w:r w:rsidRPr="00D63571">
        <w:t xml:space="preserve">had not been typed, so he could not say it was from only a single person.  As to </w:t>
      </w:r>
      <w:proofErr w:type="spellStart"/>
      <w:r w:rsidRPr="00D63571">
        <w:t>Delhauer’s</w:t>
      </w:r>
      <w:proofErr w:type="spellEnd"/>
      <w:r w:rsidRPr="00D63571">
        <w:t xml:space="preserve"> experiments, he had not used the knives in evidence, and he </w:t>
      </w:r>
      <w:r w:rsidR="0093660A">
        <w:t xml:space="preserve">acknowledged </w:t>
      </w:r>
      <w:r w:rsidRPr="00D63571">
        <w:t xml:space="preserve">that </w:t>
      </w:r>
      <w:r w:rsidRPr="00D63571">
        <w:lastRenderedPageBreak/>
        <w:t>clay is different than skin and</w:t>
      </w:r>
      <w:r>
        <w:t xml:space="preserve"> that</w:t>
      </w:r>
      <w:r w:rsidRPr="00D63571">
        <w:t xml:space="preserve"> motion changes the size and shape of wounds, such that he could not perfectly replicate the injuries.  Finally, defense counsel asked </w:t>
      </w:r>
      <w:proofErr w:type="gramStart"/>
      <w:r w:rsidRPr="00D63571">
        <w:t>many</w:t>
      </w:r>
      <w:proofErr w:type="gramEnd"/>
      <w:r w:rsidRPr="00D63571">
        <w:t xml:space="preserve"> questions about </w:t>
      </w:r>
      <w:proofErr w:type="spellStart"/>
      <w:r w:rsidRPr="00D63571">
        <w:t>Delhauer’s</w:t>
      </w:r>
      <w:proofErr w:type="spellEnd"/>
      <w:r w:rsidRPr="00D63571">
        <w:t xml:space="preserve"> conclusion that the hose found in the office bathroom was a bidet hose.  </w:t>
      </w:r>
      <w:proofErr w:type="spellStart"/>
      <w:r w:rsidRPr="00D63571">
        <w:t>Delhauer</w:t>
      </w:r>
      <w:proofErr w:type="spellEnd"/>
      <w:r w:rsidRPr="00D63571">
        <w:t xml:space="preserve"> </w:t>
      </w:r>
      <w:r w:rsidR="0093660A">
        <w:t xml:space="preserve">acknowledged </w:t>
      </w:r>
      <w:r w:rsidRPr="00D63571">
        <w:t>there was no accompanying bidet bag found in the home, no other</w:t>
      </w:r>
      <w:r>
        <w:t xml:space="preserve"> apparent</w:t>
      </w:r>
      <w:r w:rsidRPr="00D63571">
        <w:t xml:space="preserve"> means of using the hose, and no direct photographs of the item.  After the prosecution rested, defense counsel called a single witness, who had spent 13 years in the Los Angeles Police Department’s narcotics unit, to testify that tubes like the one found in the house are used </w:t>
      </w:r>
      <w:r>
        <w:t xml:space="preserve">with a </w:t>
      </w:r>
      <w:r w:rsidRPr="00D63571">
        <w:t>hookah</w:t>
      </w:r>
      <w:r>
        <w:t>, a device for smoking tobacco and other substances.</w:t>
      </w:r>
    </w:p>
    <w:p w14:paraId="72FA0129" w14:textId="5642EB33" w:rsidR="006C0ADE" w:rsidRPr="005A0AEB" w:rsidRDefault="006C0ADE" w:rsidP="006C0ADE">
      <w:pPr>
        <w:tabs>
          <w:tab w:val="left" w:pos="720"/>
          <w:tab w:val="left" w:pos="1170"/>
        </w:tabs>
        <w:ind w:firstLine="720"/>
        <w:rPr>
          <w:szCs w:val="24"/>
        </w:rPr>
      </w:pPr>
      <w:r>
        <w:t xml:space="preserve">After both sides rested, the parties and the court further discussed </w:t>
      </w:r>
      <w:proofErr w:type="spellStart"/>
      <w:r>
        <w:t>Delhauer’s</w:t>
      </w:r>
      <w:proofErr w:type="spellEnd"/>
      <w:r>
        <w:t xml:space="preserve"> testimony.  The court again confirmed that </w:t>
      </w:r>
      <w:proofErr w:type="spellStart"/>
      <w:r>
        <w:t>Delhauer’s</w:t>
      </w:r>
      <w:proofErr w:type="spellEnd"/>
      <w:r>
        <w:t xml:space="preserve"> blood spatter testimony was probably “appropriate and accurate” and that </w:t>
      </w:r>
      <w:proofErr w:type="spellStart"/>
      <w:r>
        <w:t>Delhauer</w:t>
      </w:r>
      <w:proofErr w:type="spellEnd"/>
      <w:r>
        <w:t xml:space="preserve"> had “an awful lot of on-the-job training.”  The court noted, however, that </w:t>
      </w:r>
      <w:proofErr w:type="spellStart"/>
      <w:r>
        <w:t>Delhauer</w:t>
      </w:r>
      <w:proofErr w:type="spellEnd"/>
      <w:r>
        <w:t xml:space="preserve"> had “tended to overextend himself” when giving </w:t>
      </w:r>
      <w:proofErr w:type="gramStart"/>
      <w:r>
        <w:t>some of</w:t>
      </w:r>
      <w:proofErr w:type="gramEnd"/>
      <w:r>
        <w:t xml:space="preserve"> his opinions and had “basically [given] an overview of the entire case.”  But defense counsel had also “</w:t>
      </w:r>
      <w:r w:rsidRPr="00D63571">
        <w:t>done a very effective job of discrediting</w:t>
      </w:r>
      <w:r>
        <w:t xml:space="preserve">” </w:t>
      </w:r>
      <w:proofErr w:type="spellStart"/>
      <w:r w:rsidRPr="00D63571">
        <w:t>Delhauer</w:t>
      </w:r>
      <w:proofErr w:type="spellEnd"/>
      <w:r>
        <w:t xml:space="preserve">, and the court told </w:t>
      </w:r>
      <w:r w:rsidR="00F6225E">
        <w:t>Morales</w:t>
      </w:r>
      <w:r>
        <w:t xml:space="preserve"> he </w:t>
      </w:r>
      <w:r w:rsidRPr="00D63571">
        <w:t xml:space="preserve">could </w:t>
      </w:r>
      <w:r>
        <w:t xml:space="preserve">argue as </w:t>
      </w:r>
      <w:proofErr w:type="gramStart"/>
      <w:r>
        <w:t>much</w:t>
      </w:r>
      <w:proofErr w:type="gramEnd"/>
      <w:r>
        <w:t xml:space="preserve"> in closing.  The court also believed that </w:t>
      </w:r>
      <w:proofErr w:type="spellStart"/>
      <w:r>
        <w:t>Delhauer’s</w:t>
      </w:r>
      <w:proofErr w:type="spellEnd"/>
      <w:r>
        <w:t xml:space="preserve"> testimony was “largely cumulative.”  For these reasons, the court admitted </w:t>
      </w:r>
      <w:proofErr w:type="spellStart"/>
      <w:r>
        <w:t>Delhauer’s</w:t>
      </w:r>
      <w:proofErr w:type="spellEnd"/>
      <w:r>
        <w:t xml:space="preserve"> testimony over </w:t>
      </w:r>
      <w:r w:rsidR="00F6225E">
        <w:t>Morales</w:t>
      </w:r>
      <w:r>
        <w:t xml:space="preserve">’s </w:t>
      </w:r>
      <w:r w:rsidRPr="0075450E">
        <w:t>renewed objection for lack of foundation and speculation on state and federal constitutional grounds</w:t>
      </w:r>
      <w:r>
        <w:t>.</w:t>
      </w:r>
    </w:p>
    <w:p w14:paraId="3BB3A92B" w14:textId="1390337D" w:rsidR="006C0ADE" w:rsidRPr="005A0AEB" w:rsidRDefault="006C0ADE" w:rsidP="006C0ADE">
      <w:pPr>
        <w:keepNext/>
        <w:tabs>
          <w:tab w:val="left" w:pos="2016"/>
        </w:tabs>
        <w:spacing w:before="240"/>
        <w:ind w:left="2016" w:hanging="432"/>
        <w:outlineLvl w:val="3"/>
        <w:rPr>
          <w:i/>
        </w:rPr>
      </w:pPr>
      <w:r>
        <w:rPr>
          <w:i/>
        </w:rPr>
        <w:t>b</w:t>
      </w:r>
      <w:r w:rsidRPr="005A0AEB">
        <w:rPr>
          <w:i/>
        </w:rPr>
        <w:t>.</w:t>
      </w:r>
      <w:r w:rsidRPr="005A0AEB">
        <w:rPr>
          <w:i/>
        </w:rPr>
        <w:tab/>
      </w:r>
      <w:r>
        <w:rPr>
          <w:i/>
        </w:rPr>
        <w:t>Discussion</w:t>
      </w:r>
    </w:p>
    <w:p w14:paraId="1B0F3375" w14:textId="1A01CB6D" w:rsidR="006C0ADE" w:rsidRPr="00D63571" w:rsidRDefault="006C0ADE" w:rsidP="006C0ADE">
      <w:pPr>
        <w:ind w:firstLine="720"/>
      </w:pPr>
      <w:r w:rsidRPr="00D63571">
        <w:t>Evidence Code section 720</w:t>
      </w:r>
      <w:r>
        <w:t>, subdivision (a)</w:t>
      </w:r>
      <w:r w:rsidRPr="00D63571">
        <w:t xml:space="preserve"> provides that a “person is qualified to testify as an expert if he has special knowledge, skill, experience, training, or education sufficient to </w:t>
      </w:r>
      <w:r w:rsidRPr="00D63571">
        <w:lastRenderedPageBreak/>
        <w:t xml:space="preserve">qualify him as an expert on the subject to which his testimony relates. </w:t>
      </w:r>
      <w:r w:rsidR="008902AF">
        <w:t xml:space="preserve"> </w:t>
      </w:r>
      <w:r w:rsidRPr="00D63571">
        <w:t xml:space="preserve">Against the objection of a party, such special knowledge, skill, experience, training, or education must be shown before the witness may testify as an expert.”  The witness’s expertise </w:t>
      </w:r>
      <w:r>
        <w:t>“</w:t>
      </w:r>
      <w:r w:rsidRPr="00D63571">
        <w:t>may be shown by any otherwise admissible evidence, including his own testimony.”  (</w:t>
      </w:r>
      <w:r w:rsidRPr="00F70BA7">
        <w:rPr>
          <w:i/>
        </w:rPr>
        <w:t>Id.</w:t>
      </w:r>
      <w:r>
        <w:t xml:space="preserve">, § 720, </w:t>
      </w:r>
      <w:proofErr w:type="spellStart"/>
      <w:r w:rsidRPr="00D63571">
        <w:t>subd</w:t>
      </w:r>
      <w:proofErr w:type="spellEnd"/>
      <w:r w:rsidRPr="00D63571">
        <w:t>. (b).)  Evidence Code section 801 provides that “[</w:t>
      </w:r>
      <w:proofErr w:type="spellStart"/>
      <w:r w:rsidRPr="00D63571">
        <w:t>i</w:t>
      </w:r>
      <w:proofErr w:type="spellEnd"/>
      <w:r w:rsidRPr="00D63571">
        <w:t xml:space="preserve">]f a witness is testifying as an expert, his testimony in the form of an opinion is limited to such an opinion as is: </w:t>
      </w:r>
      <w:r>
        <w:t xml:space="preserve"> </w:t>
      </w:r>
      <w:r w:rsidRPr="00D63571">
        <w:t xml:space="preserve">[¶] </w:t>
      </w:r>
      <w:r>
        <w:t xml:space="preserve"> </w:t>
      </w:r>
      <w:r w:rsidRPr="00D63571">
        <w:t xml:space="preserve">(a) Related to a subject that is sufficiently beyond common experience that the opinion of an expert would assist the trier of fact; and </w:t>
      </w:r>
      <w:r>
        <w:t xml:space="preserve"> </w:t>
      </w:r>
      <w:r w:rsidRPr="00D63571">
        <w:t>[¶]</w:t>
      </w:r>
      <w:r>
        <w:t xml:space="preserve"> </w:t>
      </w:r>
      <w:r w:rsidRPr="00D63571">
        <w:t xml:space="preserve"> (b) Based on matter (including his special knowledge, skill, experience, training, and education) perceived by or personally known to the witness or made known to him at or before the hearing, whether or not admissible, that is of a type that reasonably may be relied upon by an expert in forming an opinion upon the subject to which his testimony relates, unless an expert is precluded by law from using such matter as a basis for his opinion.”</w:t>
      </w:r>
    </w:p>
    <w:p w14:paraId="3135D603" w14:textId="573D80F6" w:rsidR="006C0ADE" w:rsidRPr="00D63571" w:rsidRDefault="006C0ADE" w:rsidP="00C14837">
      <w:pPr>
        <w:ind w:firstLine="720"/>
      </w:pPr>
      <w:r w:rsidRPr="00D63571">
        <w:t>“</w:t>
      </w:r>
      <w:r>
        <w:t> </w:t>
      </w:r>
      <w:r w:rsidRPr="00D63571">
        <w:t>‘The trial court’s determination of whether a witness qualifies as an expert is a matter of discretion and will not be disturbed absent a showing of manifest abuse.</w:t>
      </w:r>
      <w:r>
        <w:t>’</w:t>
      </w:r>
      <w:r w:rsidR="006731A9">
        <w:t> </w:t>
      </w:r>
      <w:r>
        <w:t>”</w:t>
      </w:r>
      <w:r w:rsidRPr="00D63571">
        <w:t xml:space="preserve">  (</w:t>
      </w:r>
      <w:r w:rsidRPr="00D63571">
        <w:rPr>
          <w:i/>
        </w:rPr>
        <w:t>People v. Nelson</w:t>
      </w:r>
      <w:r w:rsidRPr="00D63571">
        <w:t xml:space="preserve"> (2016) 1 Cal.5th 513, 536.)  We find such abuse only where “ ‘</w:t>
      </w:r>
      <w:r w:rsidR="0011015D">
        <w:t> “ ‘</w:t>
      </w:r>
      <w:r w:rsidRPr="00D63571">
        <w:t xml:space="preserve">the evidence shows that a witness </w:t>
      </w:r>
      <w:r w:rsidRPr="00D63571">
        <w:rPr>
          <w:i/>
        </w:rPr>
        <w:t>clearly lacks</w:t>
      </w:r>
      <w:r w:rsidRPr="00D63571">
        <w:t xml:space="preserve"> qualification as an expert.</w:t>
      </w:r>
      <w:r w:rsidR="0011015D">
        <w:t>’ ” </w:t>
      </w:r>
      <w:r w:rsidRPr="00D63571">
        <w:t>’</w:t>
      </w:r>
      <w:r w:rsidR="006731A9">
        <w:t> </w:t>
      </w:r>
      <w:r w:rsidRPr="00D63571">
        <w:t>”  (</w:t>
      </w:r>
      <w:r w:rsidRPr="00D63571">
        <w:rPr>
          <w:i/>
        </w:rPr>
        <w:t>People v. Wallace</w:t>
      </w:r>
      <w:r w:rsidRPr="00D63571">
        <w:t xml:space="preserve"> (2008) 44</w:t>
      </w:r>
      <w:r w:rsidR="00CD4C41">
        <w:t> </w:t>
      </w:r>
      <w:r w:rsidRPr="00D63571">
        <w:t>Cal.4th 1032, 1063.)  “</w:t>
      </w:r>
      <w:r>
        <w:t> ‘ “ ‘</w:t>
      </w:r>
      <w:r w:rsidRPr="00D63571">
        <w:t>Where a witness has disclosed sufficient knowledge of the subject to entitle his opinion to go to the jury, the question of the degree of his knowledge goes more to the weight of the evidence than to its admissibility.</w:t>
      </w:r>
      <w:r>
        <w:t>’ ”</w:t>
      </w:r>
      <w:r w:rsidR="006731A9">
        <w:t> </w:t>
      </w:r>
      <w:r>
        <w:t>’ </w:t>
      </w:r>
      <w:r w:rsidRPr="00D63571">
        <w:t>”  (</w:t>
      </w:r>
      <w:r w:rsidRPr="00D63571">
        <w:rPr>
          <w:i/>
        </w:rPr>
        <w:t>Nelson</w:t>
      </w:r>
      <w:r w:rsidRPr="00D63571">
        <w:t>, at p.</w:t>
      </w:r>
      <w:r>
        <w:t> </w:t>
      </w:r>
      <w:r w:rsidRPr="00D63571">
        <w:t xml:space="preserve">536, quoting </w:t>
      </w:r>
      <w:r w:rsidRPr="00D63571">
        <w:rPr>
          <w:i/>
        </w:rPr>
        <w:t>People v. Bolin</w:t>
      </w:r>
      <w:r w:rsidRPr="00D63571">
        <w:t xml:space="preserve"> (1998) 18 Cal.4th 297, 321–322.)</w:t>
      </w:r>
      <w:r w:rsidR="00C14837">
        <w:t xml:space="preserve">  As with expert qualificat</w:t>
      </w:r>
      <w:r w:rsidR="00082DA0">
        <w:t>i</w:t>
      </w:r>
      <w:r w:rsidR="00C14837">
        <w:t xml:space="preserve">ons, we review trial court decisions about the admissibility of evidence for abuse of </w:t>
      </w:r>
      <w:r w:rsidR="00C14837">
        <w:lastRenderedPageBreak/>
        <w:t>discretion.  Specifically, we will not disturb a trial court’s admissibility ruling “</w:t>
      </w:r>
      <w:r w:rsidR="008902AF">
        <w:t> </w:t>
      </w:r>
      <w:r w:rsidR="00C14837">
        <w:t>‘except on a showing the trial court exercised its discretion in an arbitrary, capricious, or patently absurd manner that resulted in a manifest miscarriage of justice.’  (</w:t>
      </w:r>
      <w:r w:rsidR="00C14837" w:rsidRPr="00C14837">
        <w:rPr>
          <w:i/>
        </w:rPr>
        <w:t>People v. Rodriguez</w:t>
      </w:r>
      <w:r w:rsidR="00C14837">
        <w:t xml:space="preserve"> (1999) 20 Cal.4th 1, 9–10</w:t>
      </w:r>
      <w:r w:rsidR="00820DE4">
        <w:t xml:space="preserve"> [82</w:t>
      </w:r>
      <w:r w:rsidR="00F51445">
        <w:t> </w:t>
      </w:r>
      <w:r w:rsidR="00820DE4">
        <w:t>Cal.Rptr.2d 413, 971 P.2d 618]</w:t>
      </w:r>
      <w:r w:rsidR="00C14837">
        <w:t xml:space="preserve">.)” </w:t>
      </w:r>
      <w:r w:rsidR="00727524">
        <w:t xml:space="preserve"> </w:t>
      </w:r>
      <w:r w:rsidR="00C14837">
        <w:t>(</w:t>
      </w:r>
      <w:r w:rsidR="00C14837" w:rsidRPr="00C14837">
        <w:rPr>
          <w:i/>
        </w:rPr>
        <w:t>People v. Goldsmith</w:t>
      </w:r>
      <w:r w:rsidR="00C14837">
        <w:t xml:space="preserve"> (2014) 59 Cal.4th 258, 266.)</w:t>
      </w:r>
    </w:p>
    <w:p w14:paraId="79600801" w14:textId="6004A821" w:rsidR="006C0ADE" w:rsidRPr="000C5D41" w:rsidRDefault="00F6225E" w:rsidP="006C0ADE">
      <w:pPr>
        <w:ind w:firstLine="720"/>
      </w:pPr>
      <w:r>
        <w:t>Morales</w:t>
      </w:r>
      <w:r w:rsidR="006C0ADE" w:rsidRPr="00D63571">
        <w:t xml:space="preserve"> </w:t>
      </w:r>
      <w:r w:rsidR="00CD25FD">
        <w:t xml:space="preserve">seeks to </w:t>
      </w:r>
      <w:r w:rsidR="006C0ADE" w:rsidRPr="00D63571">
        <w:t xml:space="preserve">challenge the admissibility of </w:t>
      </w:r>
      <w:proofErr w:type="spellStart"/>
      <w:r w:rsidR="006C0ADE" w:rsidRPr="00D63571">
        <w:t>Delhauer’s</w:t>
      </w:r>
      <w:proofErr w:type="spellEnd"/>
      <w:r w:rsidR="006C0ADE" w:rsidRPr="00D63571">
        <w:t xml:space="preserve"> testimony on two grounds</w:t>
      </w:r>
      <w:r w:rsidR="006C0ADE">
        <w:t xml:space="preserve">.  First, he argues that </w:t>
      </w:r>
      <w:proofErr w:type="spellStart"/>
      <w:r w:rsidR="006C0ADE">
        <w:t>Delhauer’s</w:t>
      </w:r>
      <w:proofErr w:type="spellEnd"/>
      <w:r w:rsidR="006C0ADE">
        <w:t xml:space="preserve"> </w:t>
      </w:r>
      <w:r w:rsidR="006C0ADE" w:rsidRPr="00D63571">
        <w:t>testimony regarding the sequence of the crimes was speculative and lacked foundation.</w:t>
      </w:r>
      <w:r w:rsidR="006C0ADE">
        <w:t xml:space="preserve">  Second, he argues for the first time </w:t>
      </w:r>
      <w:r w:rsidR="00CD25FD">
        <w:t xml:space="preserve">in his reply brief </w:t>
      </w:r>
      <w:r w:rsidR="006C0ADE">
        <w:t xml:space="preserve">that </w:t>
      </w:r>
      <w:proofErr w:type="spellStart"/>
      <w:r w:rsidR="006C0ADE">
        <w:t>Delhauer</w:t>
      </w:r>
      <w:proofErr w:type="spellEnd"/>
      <w:r w:rsidR="006C0ADE" w:rsidRPr="00D63571">
        <w:t xml:space="preserve"> was not qualified to interpret blood spatter</w:t>
      </w:r>
      <w:r w:rsidR="006C0ADE">
        <w:t xml:space="preserve"> and that </w:t>
      </w:r>
      <w:proofErr w:type="spellStart"/>
      <w:r w:rsidR="003E3E27">
        <w:t>Delhauer’s</w:t>
      </w:r>
      <w:proofErr w:type="spellEnd"/>
      <w:r w:rsidR="003E3E27">
        <w:t xml:space="preserve"> </w:t>
      </w:r>
      <w:r w:rsidR="006C0ADE">
        <w:t xml:space="preserve">testimony should </w:t>
      </w:r>
      <w:r w:rsidR="006C0ADE" w:rsidRPr="000C5D41">
        <w:t>have been excluded for that reason as well.</w:t>
      </w:r>
    </w:p>
    <w:p w14:paraId="7420032C" w14:textId="25A9AE3C" w:rsidR="006C0ADE" w:rsidRDefault="006C0ADE" w:rsidP="006C0ADE">
      <w:pPr>
        <w:ind w:firstLine="720"/>
      </w:pPr>
      <w:r w:rsidRPr="000C5D41">
        <w:t>As to the second argument, although</w:t>
      </w:r>
      <w:r>
        <w:t xml:space="preserve"> </w:t>
      </w:r>
      <w:r w:rsidR="00F6225E">
        <w:t>Morales</w:t>
      </w:r>
      <w:r w:rsidRPr="00D63571">
        <w:t xml:space="preserve"> </w:t>
      </w:r>
      <w:r>
        <w:t xml:space="preserve">raised other objections to </w:t>
      </w:r>
      <w:proofErr w:type="spellStart"/>
      <w:r>
        <w:t>Delhauer’s</w:t>
      </w:r>
      <w:proofErr w:type="spellEnd"/>
      <w:r>
        <w:t xml:space="preserve"> testimony in the trial court, he did not object </w:t>
      </w:r>
      <w:proofErr w:type="gramStart"/>
      <w:r>
        <w:t>on the basis of</w:t>
      </w:r>
      <w:proofErr w:type="gramEnd"/>
      <w:r>
        <w:t xml:space="preserve"> </w:t>
      </w:r>
      <w:proofErr w:type="spellStart"/>
      <w:r>
        <w:t>Delhauer’s</w:t>
      </w:r>
      <w:proofErr w:type="spellEnd"/>
      <w:r>
        <w:t xml:space="preserve"> qualifications.  We have held that failure to specifically </w:t>
      </w:r>
      <w:r w:rsidRPr="00D63571">
        <w:t>object to an expert’s qualifications forfeits the objection.  (See</w:t>
      </w:r>
      <w:r>
        <w:t xml:space="preserve"> </w:t>
      </w:r>
      <w:r w:rsidRPr="00D63571">
        <w:rPr>
          <w:i/>
        </w:rPr>
        <w:t>People v. Townsel</w:t>
      </w:r>
      <w:r w:rsidRPr="00D63571">
        <w:t xml:space="preserve"> (2016) 63 Cal.4th 25, 45–46; </w:t>
      </w:r>
      <w:r w:rsidRPr="00D63571">
        <w:rPr>
          <w:i/>
        </w:rPr>
        <w:t xml:space="preserve">People v. </w:t>
      </w:r>
      <w:proofErr w:type="spellStart"/>
      <w:r w:rsidRPr="00D63571">
        <w:rPr>
          <w:i/>
        </w:rPr>
        <w:t>Panah</w:t>
      </w:r>
      <w:proofErr w:type="spellEnd"/>
      <w:r w:rsidRPr="00D63571">
        <w:t xml:space="preserve"> (2005) 35 Cal.4th 395, 478</w:t>
      </w:r>
      <w:r>
        <w:t xml:space="preserve">.)  </w:t>
      </w:r>
      <w:r w:rsidR="00F6225E">
        <w:t>Morales</w:t>
      </w:r>
      <w:r>
        <w:t xml:space="preserve"> has now doubly forfeited the objection by waiting until his reply brief to raise the issue.  (</w:t>
      </w:r>
      <w:r w:rsidRPr="00D63571">
        <w:rPr>
          <w:i/>
        </w:rPr>
        <w:t xml:space="preserve">People v. Bryant, </w:t>
      </w:r>
      <w:proofErr w:type="gramStart"/>
      <w:r w:rsidRPr="00D63571">
        <w:rPr>
          <w:i/>
        </w:rPr>
        <w:t>Smith</w:t>
      </w:r>
      <w:proofErr w:type="gramEnd"/>
      <w:r w:rsidRPr="00D63571">
        <w:rPr>
          <w:i/>
        </w:rPr>
        <w:t xml:space="preserve"> and Wheeler</w:t>
      </w:r>
      <w:r w:rsidRPr="00D63571">
        <w:t xml:space="preserve"> (2014) 60 Cal.4th 335, 408.)</w:t>
      </w:r>
    </w:p>
    <w:p w14:paraId="0B26B615" w14:textId="7F12F7CA" w:rsidR="006C0ADE" w:rsidRPr="00D63571" w:rsidRDefault="006C0ADE" w:rsidP="00C737B4">
      <w:pPr>
        <w:ind w:firstLine="720"/>
      </w:pPr>
      <w:r w:rsidRPr="00D63571">
        <w:t>But</w:t>
      </w:r>
      <w:r>
        <w:t xml:space="preserve"> even had </w:t>
      </w:r>
      <w:r w:rsidR="00F6225E">
        <w:t>Morales</w:t>
      </w:r>
      <w:r>
        <w:t xml:space="preserve"> not forfeited the claim, the </w:t>
      </w:r>
      <w:r w:rsidRPr="00D63571">
        <w:t xml:space="preserve">claim </w:t>
      </w:r>
      <w:r w:rsidR="00CD25FD">
        <w:t xml:space="preserve">would </w:t>
      </w:r>
      <w:r w:rsidRPr="00D63571">
        <w:t xml:space="preserve">fail </w:t>
      </w:r>
      <w:r w:rsidR="00685DAA">
        <w:t>under the deferential abuse of discretion standard</w:t>
      </w:r>
      <w:r w:rsidRPr="00D63571">
        <w:t xml:space="preserve">.  Before becoming a crime scene analyst, </w:t>
      </w:r>
      <w:proofErr w:type="spellStart"/>
      <w:r w:rsidRPr="00D63571">
        <w:t>Delhauer</w:t>
      </w:r>
      <w:proofErr w:type="spellEnd"/>
      <w:r w:rsidRPr="00D63571">
        <w:t xml:space="preserve"> was trained on blood spatter and crime scene reconstruction in the homicide bureau and </w:t>
      </w:r>
      <w:r>
        <w:t xml:space="preserve">had </w:t>
      </w:r>
      <w:r w:rsidRPr="00D63571">
        <w:t xml:space="preserve">examined between 800 and 900 cases.  He also trained for six months in the coroner’s office, where he examined hundreds of knife wounds.  And he had taken a college-level </w:t>
      </w:r>
      <w:r w:rsidRPr="00D63571">
        <w:lastRenderedPageBreak/>
        <w:t xml:space="preserve">course in physics for health sciences.  At the time of trial, </w:t>
      </w:r>
      <w:proofErr w:type="spellStart"/>
      <w:r w:rsidRPr="00D63571">
        <w:t>Delhauer</w:t>
      </w:r>
      <w:proofErr w:type="spellEnd"/>
      <w:r w:rsidRPr="00D63571">
        <w:t xml:space="preserve"> had been working as a crime scene analyst for </w:t>
      </w:r>
      <w:proofErr w:type="gramStart"/>
      <w:r w:rsidRPr="00D63571">
        <w:t>approximately six</w:t>
      </w:r>
      <w:proofErr w:type="gramEnd"/>
      <w:r w:rsidRPr="00D63571">
        <w:t xml:space="preserve"> years.  In that role, he took a 40-hour course on blood spatter, </w:t>
      </w:r>
      <w:r w:rsidR="0043219F">
        <w:t>during</w:t>
      </w:r>
      <w:r w:rsidRPr="00D63571">
        <w:t xml:space="preserve"> which he learned about blood stains and patterns and conducted around 40 bloodshed experiments.  Since then, he had conducted over 200 of his own reconstruction experiments and consulted in over 300 cases.  </w:t>
      </w:r>
      <w:r w:rsidR="00C22A8F">
        <w:t xml:space="preserve">This </w:t>
      </w:r>
      <w:r>
        <w:t xml:space="preserve">training and experience </w:t>
      </w:r>
      <w:proofErr w:type="gramStart"/>
      <w:r>
        <w:t>is</w:t>
      </w:r>
      <w:proofErr w:type="gramEnd"/>
      <w:r>
        <w:t xml:space="preserve"> comparable to that of blood spatter experts who have been found qualified to testify in other cases.  </w:t>
      </w:r>
      <w:r w:rsidRPr="00D63571">
        <w:t xml:space="preserve">(See </w:t>
      </w:r>
      <w:r w:rsidRPr="00D63571">
        <w:rPr>
          <w:i/>
        </w:rPr>
        <w:t xml:space="preserve">People v. </w:t>
      </w:r>
      <w:proofErr w:type="spellStart"/>
      <w:r w:rsidRPr="00D63571">
        <w:rPr>
          <w:i/>
        </w:rPr>
        <w:t>Hoyos</w:t>
      </w:r>
      <w:proofErr w:type="spellEnd"/>
      <w:r w:rsidRPr="00D63571">
        <w:t xml:space="preserve"> (2007) 41 Cal.4th 872, 910 [qualified expert had a bachelor’s degree in police science and management, and had taken courses in crime scene reconstruction and bloodstain patterns, given lectures on blood evidence, previously testified on blood spatter evidence, conducted blood spatter analysis, and visited homicide scenes]</w:t>
      </w:r>
      <w:r>
        <w:t>,</w:t>
      </w:r>
      <w:r w:rsidRPr="00D63571">
        <w:t xml:space="preserve"> abrogated on other grounds </w:t>
      </w:r>
      <w:r w:rsidR="00820DE4">
        <w:t>in</w:t>
      </w:r>
      <w:r w:rsidRPr="00D63571">
        <w:t xml:space="preserve"> </w:t>
      </w:r>
      <w:r w:rsidRPr="00D63571">
        <w:rPr>
          <w:i/>
        </w:rPr>
        <w:t>People v. McKinnon</w:t>
      </w:r>
      <w:r w:rsidRPr="00D63571">
        <w:t xml:space="preserve"> (2011) 52 Cal.4th 610; </w:t>
      </w:r>
      <w:r w:rsidRPr="00D63571">
        <w:rPr>
          <w:i/>
        </w:rPr>
        <w:t>People v. Wallace</w:t>
      </w:r>
      <w:r>
        <w:t xml:space="preserve">, </w:t>
      </w:r>
      <w:r>
        <w:rPr>
          <w:i/>
        </w:rPr>
        <w:t>supra</w:t>
      </w:r>
      <w:r>
        <w:t>,</w:t>
      </w:r>
      <w:r w:rsidRPr="00D63571">
        <w:t xml:space="preserve"> 44</w:t>
      </w:r>
      <w:r w:rsidR="00CD4C41">
        <w:t> </w:t>
      </w:r>
      <w:r w:rsidRPr="00D63571">
        <w:t>Cal.4th at p.</w:t>
      </w:r>
      <w:r>
        <w:t> </w:t>
      </w:r>
      <w:r w:rsidRPr="00D63571">
        <w:t xml:space="preserve">1062 [qualified expert had six years’ experience as a criminalist and a degree in biology, and had trained at a criminalists institute, received 40 hours of education on blood stains, read books and articles on the subject, and analyzed over 20 crime scenes, but had never qualified as an expert on bloodstain interpretation]; </w:t>
      </w:r>
      <w:r w:rsidRPr="00D63571">
        <w:rPr>
          <w:i/>
        </w:rPr>
        <w:t>People v. Clark</w:t>
      </w:r>
      <w:r w:rsidRPr="00D63571">
        <w:t xml:space="preserve"> (1993) 5 Cal.4th 950, 1018–1019 [“witness had:</w:t>
      </w:r>
      <w:r>
        <w:t xml:space="preserve"> </w:t>
      </w:r>
      <w:r w:rsidRPr="00D63571">
        <w:t xml:space="preserve"> (1) attended lectures and training seminars on the subject of blood dynamics</w:t>
      </w:r>
      <w:r>
        <w:t xml:space="preserve"> . . .</w:t>
      </w:r>
      <w:r w:rsidR="008902AF">
        <w:t> </w:t>
      </w:r>
      <w:r w:rsidRPr="00D63571">
        <w:t>; (2) read relevant literature; (3)</w:t>
      </w:r>
      <w:r>
        <w:t> </w:t>
      </w:r>
      <w:r w:rsidRPr="00D63571">
        <w:t>conducted relevant experiments; and (4) visited crime scenes where ‘blood-spatter’ tests were conducted”</w:t>
      </w:r>
      <w:r>
        <w:t xml:space="preserve"> (fn. omitted)</w:t>
      </w:r>
      <w:r w:rsidRPr="00D63571">
        <w:t xml:space="preserve">], disapproved on other grounds </w:t>
      </w:r>
      <w:r w:rsidR="00820DE4">
        <w:t>in</w:t>
      </w:r>
      <w:r w:rsidRPr="00D63571">
        <w:t xml:space="preserve"> </w:t>
      </w:r>
      <w:r w:rsidRPr="00D63571">
        <w:rPr>
          <w:i/>
        </w:rPr>
        <w:t>People v. Doolin</w:t>
      </w:r>
      <w:r w:rsidRPr="00D63571">
        <w:t xml:space="preserve"> (2009) 45 Cal.4th 390.)</w:t>
      </w:r>
      <w:r w:rsidR="002E26DF">
        <w:t xml:space="preserve">  </w:t>
      </w:r>
      <w:r w:rsidR="00217304">
        <w:t xml:space="preserve">It is true </w:t>
      </w:r>
      <w:r w:rsidR="002E26DF">
        <w:t>that</w:t>
      </w:r>
      <w:r w:rsidR="00223DE5">
        <w:t xml:space="preserve"> </w:t>
      </w:r>
      <w:proofErr w:type="spellStart"/>
      <w:r w:rsidR="00223DE5">
        <w:t>Delhauer’s</w:t>
      </w:r>
      <w:proofErr w:type="spellEnd"/>
      <w:r w:rsidR="00223DE5">
        <w:t xml:space="preserve"> qualifications were in </w:t>
      </w:r>
      <w:proofErr w:type="gramStart"/>
      <w:r w:rsidR="00223DE5">
        <w:t>some</w:t>
      </w:r>
      <w:proofErr w:type="gramEnd"/>
      <w:r w:rsidR="00223DE5">
        <w:t xml:space="preserve"> ways less extensive than </w:t>
      </w:r>
      <w:r w:rsidR="00447536">
        <w:t xml:space="preserve">comparable </w:t>
      </w:r>
      <w:r w:rsidR="00223DE5">
        <w:t>experts</w:t>
      </w:r>
      <w:r w:rsidR="00B0703B">
        <w:t xml:space="preserve">:  </w:t>
      </w:r>
      <w:proofErr w:type="spellStart"/>
      <w:r w:rsidR="00B0703B">
        <w:t>Delhauer</w:t>
      </w:r>
      <w:proofErr w:type="spellEnd"/>
      <w:r w:rsidR="00B0703B">
        <w:t xml:space="preserve"> </w:t>
      </w:r>
      <w:r w:rsidR="00217304">
        <w:t>had no</w:t>
      </w:r>
      <w:r w:rsidR="002E26DF">
        <w:t xml:space="preserve"> </w:t>
      </w:r>
      <w:r w:rsidR="002E26DF" w:rsidRPr="002E26DF">
        <w:t>degree in criminal forensics or science</w:t>
      </w:r>
      <w:r w:rsidR="00C22A8F">
        <w:t>, had taken only one college-level science course,</w:t>
      </w:r>
      <w:r w:rsidR="002E26DF">
        <w:t xml:space="preserve"> and </w:t>
      </w:r>
      <w:r w:rsidR="002E26DF" w:rsidRPr="002E26DF">
        <w:t xml:space="preserve">had never </w:t>
      </w:r>
      <w:r w:rsidR="002E26DF" w:rsidRPr="002E26DF">
        <w:lastRenderedPageBreak/>
        <w:t>conducted an autopsy</w:t>
      </w:r>
      <w:r w:rsidR="00C22A8F">
        <w:t>.</w:t>
      </w:r>
      <w:r w:rsidR="002E26DF">
        <w:t xml:space="preserve">  But g</w:t>
      </w:r>
      <w:r>
        <w:t>iven his</w:t>
      </w:r>
      <w:r w:rsidR="00447536">
        <w:t xml:space="preserve"> relevant</w:t>
      </w:r>
      <w:r>
        <w:t xml:space="preserve"> </w:t>
      </w:r>
      <w:r w:rsidR="00223DE5">
        <w:t xml:space="preserve">on-the-job </w:t>
      </w:r>
      <w:r>
        <w:t xml:space="preserve">training and experience, </w:t>
      </w:r>
      <w:r w:rsidRPr="00D63571">
        <w:t xml:space="preserve">we cannot say </w:t>
      </w:r>
      <w:proofErr w:type="spellStart"/>
      <w:r w:rsidRPr="00D63571">
        <w:t>Delhauer</w:t>
      </w:r>
      <w:proofErr w:type="spellEnd"/>
      <w:r w:rsidRPr="00D63571">
        <w:t xml:space="preserve"> “</w:t>
      </w:r>
      <w:r>
        <w:t> ‘ “</w:t>
      </w:r>
      <w:r w:rsidR="006731A9">
        <w:t> ‘</w:t>
      </w:r>
      <w:r w:rsidRPr="00D63571">
        <w:t>clearly lack[ed]</w:t>
      </w:r>
      <w:r w:rsidR="006731A9">
        <w:t>’ </w:t>
      </w:r>
      <w:r w:rsidRPr="00D63571">
        <w:t>”</w:t>
      </w:r>
      <w:r>
        <w:t> ’ ”</w:t>
      </w:r>
      <w:r w:rsidRPr="00D63571">
        <w:t xml:space="preserve"> the necessary qualifications</w:t>
      </w:r>
      <w:r>
        <w:t>, such that the trial court abused its discretion in finding him qualified to testify as an expert</w:t>
      </w:r>
      <w:r w:rsidR="000F4A00">
        <w:t xml:space="preserve"> on blood spatter</w:t>
      </w:r>
      <w:r w:rsidRPr="00D63571">
        <w:t>.  (</w:t>
      </w:r>
      <w:r w:rsidRPr="00D63571">
        <w:rPr>
          <w:i/>
        </w:rPr>
        <w:t>Wallace</w:t>
      </w:r>
      <w:r w:rsidRPr="00D63571">
        <w:t>, at p.</w:t>
      </w:r>
      <w:r>
        <w:t> </w:t>
      </w:r>
      <w:r w:rsidRPr="00D63571">
        <w:t>1063</w:t>
      </w:r>
      <w:r>
        <w:t>, italics omitted</w:t>
      </w:r>
      <w:r w:rsidRPr="00D63571">
        <w:t>.)</w:t>
      </w:r>
      <w:r w:rsidRPr="00D63571">
        <w:rPr>
          <w:rStyle w:val="FootnoteReference"/>
        </w:rPr>
        <w:footnoteReference w:id="4"/>
      </w:r>
    </w:p>
    <w:p w14:paraId="472A5AA9" w14:textId="3F9DEBEF" w:rsidR="003B4DF6" w:rsidRDefault="006C0ADE" w:rsidP="00D92559">
      <w:pPr>
        <w:ind w:firstLine="720"/>
      </w:pPr>
      <w:r>
        <w:t xml:space="preserve">We turn, then, to </w:t>
      </w:r>
      <w:r w:rsidR="00F6225E">
        <w:t>Morales</w:t>
      </w:r>
      <w:r>
        <w:t xml:space="preserve">’s primary argument, that </w:t>
      </w:r>
      <w:proofErr w:type="spellStart"/>
      <w:r>
        <w:t>Delhauer’s</w:t>
      </w:r>
      <w:proofErr w:type="spellEnd"/>
      <w:r>
        <w:t xml:space="preserve"> </w:t>
      </w:r>
      <w:r w:rsidRPr="00D63571">
        <w:t xml:space="preserve">testimony as to the sequence of the murders </w:t>
      </w:r>
      <w:r>
        <w:t xml:space="preserve">should have been excluded as </w:t>
      </w:r>
      <w:r w:rsidRPr="00D63571">
        <w:t>speculative and lack</w:t>
      </w:r>
      <w:r>
        <w:t xml:space="preserve">ing in </w:t>
      </w:r>
      <w:r w:rsidRPr="00D63571">
        <w:t xml:space="preserve">foundation.  (See </w:t>
      </w:r>
      <w:proofErr w:type="spellStart"/>
      <w:r w:rsidRPr="00D63571">
        <w:t>Evid</w:t>
      </w:r>
      <w:proofErr w:type="spellEnd"/>
      <w:r w:rsidRPr="00D63571">
        <w:t>. Code, §</w:t>
      </w:r>
      <w:r>
        <w:t> </w:t>
      </w:r>
      <w:r w:rsidRPr="00D63571">
        <w:t xml:space="preserve">801, </w:t>
      </w:r>
      <w:proofErr w:type="spellStart"/>
      <w:r w:rsidRPr="00D63571">
        <w:t>subd</w:t>
      </w:r>
      <w:proofErr w:type="spellEnd"/>
      <w:r w:rsidRPr="00D63571">
        <w:t xml:space="preserve">. (b).) </w:t>
      </w:r>
      <w:r>
        <w:t xml:space="preserve"> </w:t>
      </w:r>
      <w:r w:rsidR="00FC1274">
        <w:t xml:space="preserve">Here again, we cannot say the trial court abused its substantial discretion in allowing the testimony.  </w:t>
      </w:r>
      <w:r w:rsidR="00BE7BE4">
        <w:t>(</w:t>
      </w:r>
      <w:r w:rsidR="00D92559">
        <w:t xml:space="preserve">See </w:t>
      </w:r>
      <w:r w:rsidR="00BE7BE4" w:rsidRPr="00C14837">
        <w:rPr>
          <w:i/>
        </w:rPr>
        <w:t>People v. Goldsmith</w:t>
      </w:r>
      <w:r w:rsidR="00BE7BE4">
        <w:t xml:space="preserve">, </w:t>
      </w:r>
      <w:r w:rsidR="00BE7BE4" w:rsidRPr="00BE7BE4">
        <w:rPr>
          <w:i/>
        </w:rPr>
        <w:t>supra</w:t>
      </w:r>
      <w:r w:rsidR="00BE7BE4">
        <w:t xml:space="preserve">, </w:t>
      </w:r>
      <w:r w:rsidR="00BE7BE4" w:rsidRPr="00BE7BE4">
        <w:t>59</w:t>
      </w:r>
      <w:r w:rsidR="00BE7BE4">
        <w:t xml:space="preserve"> Cal.4th at p.</w:t>
      </w:r>
      <w:r w:rsidR="008902AF">
        <w:t> </w:t>
      </w:r>
      <w:r w:rsidR="00BE7BE4">
        <w:t>266</w:t>
      </w:r>
      <w:r w:rsidR="00D92559">
        <w:t xml:space="preserve"> [“[W]e will not disturb the trial court’s ruling ‘except on a showing the trial court exercised its discretion in an arbitrary, capricious, or patently absurd manner</w:t>
      </w:r>
      <w:r w:rsidR="007839BF">
        <w:t> . . . .’</w:t>
      </w:r>
      <w:r w:rsidR="008902AF">
        <w:t> </w:t>
      </w:r>
      <w:r w:rsidR="00D92559">
        <w:t>”]</w:t>
      </w:r>
      <w:r w:rsidR="00BE7BE4">
        <w:t xml:space="preserve">.)  </w:t>
      </w:r>
      <w:r w:rsidR="00AA0EF3">
        <w:t xml:space="preserve">Though </w:t>
      </w:r>
      <w:proofErr w:type="spellStart"/>
      <w:r w:rsidR="00AA0EF3">
        <w:t>Delhauer’s</w:t>
      </w:r>
      <w:proofErr w:type="spellEnd"/>
      <w:r w:rsidR="00AA0EF3">
        <w:t xml:space="preserve"> initial overview of the sequence </w:t>
      </w:r>
      <w:r w:rsidR="00D81F2F">
        <w:t xml:space="preserve">of events </w:t>
      </w:r>
      <w:r w:rsidR="003B4DF6">
        <w:t>offered little in the way of specific evidence for his conclusions</w:t>
      </w:r>
      <w:r w:rsidR="00470795">
        <w:t>, particularly with respect to</w:t>
      </w:r>
      <w:r w:rsidR="00EA2203">
        <w:t xml:space="preserve"> the sequence of</w:t>
      </w:r>
      <w:r w:rsidR="00470795">
        <w:t xml:space="preserve"> Ana’s and Jasmine’s deaths</w:t>
      </w:r>
      <w:r w:rsidR="00E451FE">
        <w:t xml:space="preserve">, </w:t>
      </w:r>
      <w:r w:rsidR="003B4DF6">
        <w:t xml:space="preserve">over the course of the rest of his testimony, </w:t>
      </w:r>
      <w:r w:rsidR="00E451FE">
        <w:t>he</w:t>
      </w:r>
      <w:r w:rsidR="00470795">
        <w:t xml:space="preserve"> </w:t>
      </w:r>
      <w:r w:rsidR="00E451FE">
        <w:t xml:space="preserve">presented </w:t>
      </w:r>
      <w:r w:rsidR="003B4DF6">
        <w:t xml:space="preserve">evidence </w:t>
      </w:r>
      <w:r w:rsidR="00E451FE">
        <w:t xml:space="preserve">that </w:t>
      </w:r>
      <w:r w:rsidR="00F647CC">
        <w:t xml:space="preserve">the trial court reasonably believed </w:t>
      </w:r>
      <w:r w:rsidR="00E451FE">
        <w:t>support</w:t>
      </w:r>
      <w:r w:rsidR="007839BF">
        <w:t>ed</w:t>
      </w:r>
      <w:r w:rsidR="00E451FE">
        <w:t xml:space="preserve"> his conclusions</w:t>
      </w:r>
      <w:r w:rsidR="003B4DF6">
        <w:t xml:space="preserve">.  Though </w:t>
      </w:r>
      <w:proofErr w:type="spellStart"/>
      <w:r w:rsidR="007D63F8">
        <w:t>Delhauer</w:t>
      </w:r>
      <w:proofErr w:type="spellEnd"/>
      <w:r w:rsidR="007D63F8">
        <w:t xml:space="preserve"> </w:t>
      </w:r>
      <w:r w:rsidR="003B4DF6">
        <w:t>did not always tie th</w:t>
      </w:r>
      <w:r w:rsidR="00DA326B">
        <w:t>is</w:t>
      </w:r>
      <w:r w:rsidR="003B4DF6">
        <w:t xml:space="preserve"> evidence </w:t>
      </w:r>
      <w:r w:rsidR="00E451FE">
        <w:t xml:space="preserve">directly </w:t>
      </w:r>
      <w:r w:rsidR="003B4DF6">
        <w:t>to his sequenc</w:t>
      </w:r>
      <w:r w:rsidR="00D81F2F">
        <w:t>ing</w:t>
      </w:r>
      <w:r w:rsidR="003B4DF6">
        <w:t xml:space="preserve"> conclusions, </w:t>
      </w:r>
      <w:r w:rsidR="000B211C">
        <w:t xml:space="preserve">we cannot say </w:t>
      </w:r>
      <w:r w:rsidR="003B4DF6">
        <w:t xml:space="preserve">the </w:t>
      </w:r>
      <w:r w:rsidR="003B4DF6">
        <w:lastRenderedPageBreak/>
        <w:t xml:space="preserve">evidence laid </w:t>
      </w:r>
      <w:r w:rsidR="000B211C">
        <w:t xml:space="preserve">no </w:t>
      </w:r>
      <w:r w:rsidR="003B4DF6">
        <w:t>foundation for those conclusions.</w:t>
      </w:r>
      <w:r w:rsidR="00D81F2F">
        <w:t xml:space="preserve">  And, in any event, even if the trial court erred in admitting the testimony, we conclude that any such error was harmless.</w:t>
      </w:r>
    </w:p>
    <w:p w14:paraId="7313EFBE" w14:textId="792B2CDD" w:rsidR="008543F3" w:rsidRDefault="006C0ADE" w:rsidP="0078480C">
      <w:pPr>
        <w:ind w:firstLine="720"/>
      </w:pPr>
      <w:proofErr w:type="spellStart"/>
      <w:r>
        <w:t>Delhauer</w:t>
      </w:r>
      <w:proofErr w:type="spellEnd"/>
      <w:r>
        <w:t xml:space="preserve"> </w:t>
      </w:r>
      <w:r w:rsidR="00D81F2F">
        <w:t>testified that</w:t>
      </w:r>
      <w:r w:rsidRPr="00D63571">
        <w:t xml:space="preserve"> </w:t>
      </w:r>
      <w:r>
        <w:t xml:space="preserve">the murderer first attacked </w:t>
      </w:r>
      <w:r w:rsidRPr="00D63571">
        <w:t>Mike in the office</w:t>
      </w:r>
      <w:r>
        <w:t xml:space="preserve"> by surprise.  To support this conclusion, </w:t>
      </w:r>
      <w:proofErr w:type="spellStart"/>
      <w:r>
        <w:t>Delhauer</w:t>
      </w:r>
      <w:proofErr w:type="spellEnd"/>
      <w:r>
        <w:t xml:space="preserve"> </w:t>
      </w:r>
      <w:r w:rsidR="001F641B">
        <w:t>noted</w:t>
      </w:r>
      <w:r>
        <w:t xml:space="preserve"> Mike was not wearing clothes when he was killed and that he was attacked from behind.  </w:t>
      </w:r>
      <w:proofErr w:type="spellStart"/>
      <w:r>
        <w:t>Delhauer</w:t>
      </w:r>
      <w:proofErr w:type="spellEnd"/>
      <w:r>
        <w:t xml:space="preserve"> </w:t>
      </w:r>
      <w:r w:rsidRPr="00D63571">
        <w:t xml:space="preserve">concluded Maritza was attacked in the office </w:t>
      </w:r>
      <w:r w:rsidR="00F13625">
        <w:t xml:space="preserve">just after Mike was attacked </w:t>
      </w:r>
      <w:r w:rsidRPr="00D63571">
        <w:t xml:space="preserve">based on blood spatter on the office wall and the location of her earring under the office desk.  </w:t>
      </w:r>
      <w:r>
        <w:t xml:space="preserve">He testified </w:t>
      </w:r>
      <w:r w:rsidRPr="00D63571">
        <w:t xml:space="preserve">she </w:t>
      </w:r>
      <w:r>
        <w:t xml:space="preserve">then ran </w:t>
      </w:r>
      <w:r w:rsidRPr="00D63571">
        <w:t>to the entryway</w:t>
      </w:r>
      <w:r>
        <w:t>, where the murderer continued to attack her,</w:t>
      </w:r>
      <w:r w:rsidRPr="00D63571">
        <w:t xml:space="preserve"> based on the consistency between the spatter in the entryway and the </w:t>
      </w:r>
      <w:proofErr w:type="gramStart"/>
      <w:r w:rsidRPr="00D63571">
        <w:t>numerous</w:t>
      </w:r>
      <w:proofErr w:type="gramEnd"/>
      <w:r w:rsidRPr="00D63571">
        <w:t xml:space="preserve"> wounds she had suffered.  </w:t>
      </w:r>
      <w:r w:rsidR="008543F3">
        <w:t xml:space="preserve">The evidence that Maritza exited the office and was attacked continuously in the entryway </w:t>
      </w:r>
      <w:r w:rsidR="00CD40BD">
        <w:t>supports a conclusion that</w:t>
      </w:r>
      <w:r w:rsidR="008543F3">
        <w:t xml:space="preserve"> her attack did not occur before Mike was surprised.  And given that </w:t>
      </w:r>
      <w:r w:rsidR="000A3A2D">
        <w:t xml:space="preserve">the evidence showed </w:t>
      </w:r>
      <w:r w:rsidR="008543F3">
        <w:t>she was first attacked in the room in which Mike was attacked, it is at least consistent with the evidence to say she was attacked just after Mike.</w:t>
      </w:r>
    </w:p>
    <w:p w14:paraId="79C2A976" w14:textId="68EC5980" w:rsidR="00CE4E1E" w:rsidRDefault="000874D2" w:rsidP="000874D2">
      <w:pPr>
        <w:ind w:firstLine="720"/>
      </w:pPr>
      <w:r>
        <w:t xml:space="preserve">The evidence </w:t>
      </w:r>
      <w:proofErr w:type="spellStart"/>
      <w:r>
        <w:t>Delhauer</w:t>
      </w:r>
      <w:proofErr w:type="spellEnd"/>
      <w:r>
        <w:t xml:space="preserve"> offered to support the sequence of Ana’s and Jasmine’s killings is less substantial, but at least </w:t>
      </w:r>
      <w:proofErr w:type="gramStart"/>
      <w:r>
        <w:t>some</w:t>
      </w:r>
      <w:proofErr w:type="gramEnd"/>
      <w:r>
        <w:t xml:space="preserve"> evidence supported his conclusion</w:t>
      </w:r>
      <w:r w:rsidR="00C21156">
        <w:t>s</w:t>
      </w:r>
      <w:r>
        <w:t>.</w:t>
      </w:r>
      <w:r w:rsidR="006C0ADE" w:rsidRPr="00D63571">
        <w:t xml:space="preserve"> </w:t>
      </w:r>
      <w:r>
        <w:t xml:space="preserve"> H</w:t>
      </w:r>
      <w:r w:rsidR="006C0ADE" w:rsidRPr="00D63571">
        <w:t xml:space="preserve">e opined </w:t>
      </w:r>
      <w:r>
        <w:t>Ana</w:t>
      </w:r>
      <w:r w:rsidR="006C0ADE" w:rsidRPr="00D63571">
        <w:t xml:space="preserve"> had died in the living room based on the consistency between her head wound and a statue</w:t>
      </w:r>
      <w:r>
        <w:t xml:space="preserve"> found</w:t>
      </w:r>
      <w:r w:rsidR="006C0ADE" w:rsidRPr="00D63571">
        <w:t xml:space="preserve"> </w:t>
      </w:r>
      <w:r w:rsidR="00CA009E">
        <w:t>o</w:t>
      </w:r>
      <w:r w:rsidR="006C0ADE" w:rsidRPr="00D63571">
        <w:t>n the living room</w:t>
      </w:r>
      <w:r w:rsidR="00CA009E">
        <w:t xml:space="preserve"> floor</w:t>
      </w:r>
      <w:r w:rsidR="006C0ADE" w:rsidRPr="00D63571">
        <w:t xml:space="preserve">, as well as the small blood stain found in the room.  </w:t>
      </w:r>
      <w:r>
        <w:t>The entryway where Maritza died was connected to the living room, so evidence that Ana died in that room could suggest she was killed just after Maritza</w:t>
      </w:r>
      <w:r w:rsidR="00CA009E">
        <w:t xml:space="preserve"> was killed</w:t>
      </w:r>
      <w:r>
        <w:t xml:space="preserve"> nearby.  </w:t>
      </w:r>
      <w:r w:rsidR="006C0ADE" w:rsidRPr="00D63571">
        <w:t>And he concluded Jasmine had</w:t>
      </w:r>
      <w:r w:rsidR="006C0ADE">
        <w:t xml:space="preserve"> died last by being </w:t>
      </w:r>
      <w:r w:rsidR="006C0ADE" w:rsidRPr="00D63571">
        <w:t>drowned in the bathtub</w:t>
      </w:r>
      <w:r w:rsidR="006C0ADE">
        <w:t>,</w:t>
      </w:r>
      <w:r w:rsidR="006C0ADE" w:rsidRPr="00D63571">
        <w:t xml:space="preserve"> based on the location of her body, the foam around her mouth, and the lack of evidence of strangulation.  </w:t>
      </w:r>
      <w:r w:rsidR="00716934">
        <w:t xml:space="preserve">The evidence that Jasmine was first assaulted </w:t>
      </w:r>
      <w:r w:rsidR="00716934">
        <w:lastRenderedPageBreak/>
        <w:t>and then drowned in a different room of the house is consistent with an opinion that she died last, when no adults remained alive to help.</w:t>
      </w:r>
    </w:p>
    <w:p w14:paraId="6CAB775F" w14:textId="0E783BCA" w:rsidR="006C0ADE" w:rsidRDefault="000C3A1C" w:rsidP="000C3A1C">
      <w:pPr>
        <w:ind w:firstLine="720"/>
      </w:pPr>
      <w:proofErr w:type="gramStart"/>
      <w:r>
        <w:t>In light of</w:t>
      </w:r>
      <w:proofErr w:type="gramEnd"/>
      <w:r>
        <w:t xml:space="preserve"> the evidence </w:t>
      </w:r>
      <w:r w:rsidR="009E4A72">
        <w:t xml:space="preserve">supporting </w:t>
      </w:r>
      <w:proofErr w:type="spellStart"/>
      <w:r w:rsidR="009E4A72">
        <w:t>Delhauer’s</w:t>
      </w:r>
      <w:proofErr w:type="spellEnd"/>
      <w:r w:rsidR="009E4A72">
        <w:t xml:space="preserve"> </w:t>
      </w:r>
      <w:r>
        <w:t xml:space="preserve">sequence conclusions, we conclude that the trial court </w:t>
      </w:r>
      <w:r w:rsidR="0093660A">
        <w:t xml:space="preserve">did not </w:t>
      </w:r>
      <w:r w:rsidR="00DB768E">
        <w:t xml:space="preserve">abuse its discretion </w:t>
      </w:r>
      <w:r>
        <w:t xml:space="preserve">by allowing </w:t>
      </w:r>
      <w:proofErr w:type="spellStart"/>
      <w:r>
        <w:t>Delhauer</w:t>
      </w:r>
      <w:proofErr w:type="spellEnd"/>
      <w:r>
        <w:t xml:space="preserve"> to testify as to this sequence.  </w:t>
      </w:r>
      <w:r w:rsidR="002E3042">
        <w:t xml:space="preserve">It was </w:t>
      </w:r>
      <w:proofErr w:type="gramStart"/>
      <w:r w:rsidR="002E3042">
        <w:t>not unreasonable</w:t>
      </w:r>
      <w:proofErr w:type="gramEnd"/>
      <w:r w:rsidR="002E3042">
        <w:t xml:space="preserve"> to </w:t>
      </w:r>
      <w:r w:rsidR="00346CBA">
        <w:t xml:space="preserve">conclude that </w:t>
      </w:r>
      <w:proofErr w:type="spellStart"/>
      <w:r w:rsidR="00346CBA">
        <w:t>Delhauer’s</w:t>
      </w:r>
      <w:proofErr w:type="spellEnd"/>
      <w:r w:rsidR="00346CBA">
        <w:t xml:space="preserve"> opinions</w:t>
      </w:r>
      <w:r>
        <w:t xml:space="preserve"> </w:t>
      </w:r>
      <w:r w:rsidR="006C0ADE" w:rsidRPr="00D63571">
        <w:t xml:space="preserve">had </w:t>
      </w:r>
      <w:r w:rsidR="006C0ADE">
        <w:t xml:space="preserve">an adequate </w:t>
      </w:r>
      <w:r w:rsidR="006C0ADE" w:rsidRPr="00D63571">
        <w:t xml:space="preserve">foundation </w:t>
      </w:r>
      <w:r w:rsidR="006C0ADE">
        <w:t xml:space="preserve">in the trial evidence </w:t>
      </w:r>
      <w:r w:rsidR="006C0ADE" w:rsidRPr="00D63571">
        <w:t xml:space="preserve">and </w:t>
      </w:r>
      <w:r>
        <w:t>were</w:t>
      </w:r>
      <w:r w:rsidR="006C0ADE" w:rsidRPr="00D63571">
        <w:t xml:space="preserve"> based on </w:t>
      </w:r>
      <w:r>
        <w:t>his</w:t>
      </w:r>
      <w:r w:rsidR="006C0ADE" w:rsidRPr="00D63571">
        <w:t xml:space="preserve"> </w:t>
      </w:r>
      <w:r w:rsidR="006C0ADE">
        <w:t xml:space="preserve">training and </w:t>
      </w:r>
      <w:r w:rsidR="006C0ADE" w:rsidRPr="00D63571">
        <w:t>experience in crime scene reconstruction.  (</w:t>
      </w:r>
      <w:r w:rsidR="00B9461A">
        <w:t>Cf.</w:t>
      </w:r>
      <w:r w:rsidR="00B9461A" w:rsidRPr="00D63571">
        <w:t xml:space="preserve"> </w:t>
      </w:r>
      <w:r w:rsidR="006C0ADE" w:rsidRPr="00D63571">
        <w:rPr>
          <w:i/>
        </w:rPr>
        <w:t>People v. Robinson</w:t>
      </w:r>
      <w:r w:rsidR="006C0ADE" w:rsidRPr="00D63571">
        <w:t xml:space="preserve"> (2005) 37 Cal.4th 592, 631–632 [expert testimony concerning the relative positions of the shooter and the victims had adequate foundation where expert testified that other possible positions would have been awkward]; </w:t>
      </w:r>
      <w:r w:rsidR="006C0ADE" w:rsidRPr="00D63571">
        <w:rPr>
          <w:i/>
        </w:rPr>
        <w:t>People v. Eubanks</w:t>
      </w:r>
      <w:r w:rsidR="006C0ADE" w:rsidRPr="00D63571">
        <w:t xml:space="preserve"> (2011) 53 Cal.4th 110, 148 [expert testimony at penalty phase was not speculative because, “[b]</w:t>
      </w:r>
      <w:proofErr w:type="spellStart"/>
      <w:r w:rsidR="006C0ADE" w:rsidRPr="00D63571">
        <w:t>ased</w:t>
      </w:r>
      <w:proofErr w:type="spellEnd"/>
      <w:r w:rsidR="006C0ADE" w:rsidRPr="00D63571">
        <w:t xml:space="preserve"> on his extensive training and experience, as well as on an examination of the premises and a thorough review of the police and medical reports in this case, [the expert] presented testimony regarding bullet trajectories, stippling, and the relative positions of the multiple victims and the shooter that was ‘sufficiently beyond common experience that the opinion of an expert would assist the trier of fact.’</w:t>
      </w:r>
      <w:r w:rsidR="006C0ADE">
        <w:t xml:space="preserve"> </w:t>
      </w:r>
      <w:r w:rsidR="006C0ADE" w:rsidRPr="00D63571">
        <w:t xml:space="preserve"> (</w:t>
      </w:r>
      <w:proofErr w:type="spellStart"/>
      <w:r w:rsidR="006C0ADE" w:rsidRPr="00D63571">
        <w:t>Evid</w:t>
      </w:r>
      <w:proofErr w:type="spellEnd"/>
      <w:r w:rsidR="006C0ADE" w:rsidRPr="00D63571">
        <w:t>. Code, §</w:t>
      </w:r>
      <w:r w:rsidR="006C0ADE">
        <w:t> </w:t>
      </w:r>
      <w:r w:rsidR="006C0ADE" w:rsidRPr="00D63571">
        <w:t xml:space="preserve">801.)”]; </w:t>
      </w:r>
      <w:r w:rsidR="006C0ADE" w:rsidRPr="00BE6B5C">
        <w:rPr>
          <w:i/>
        </w:rPr>
        <w:t xml:space="preserve">People v. </w:t>
      </w:r>
      <w:r w:rsidR="006C0ADE" w:rsidRPr="00D63571">
        <w:rPr>
          <w:i/>
        </w:rPr>
        <w:t>Nelson</w:t>
      </w:r>
      <w:r w:rsidR="006C0ADE" w:rsidRPr="00D63571">
        <w:t xml:space="preserve">, </w:t>
      </w:r>
      <w:r w:rsidR="006C0ADE" w:rsidRPr="00D63571">
        <w:rPr>
          <w:i/>
        </w:rPr>
        <w:t>supra</w:t>
      </w:r>
      <w:r w:rsidR="006C0ADE" w:rsidRPr="00D63571">
        <w:t>, 1 Cal.5th at p.</w:t>
      </w:r>
      <w:r w:rsidR="001165A0">
        <w:t> </w:t>
      </w:r>
      <w:r w:rsidR="006C0ADE" w:rsidRPr="00D63571">
        <w:t xml:space="preserve">537 [expert testimony about which victim was shot first was admissible because expert relied on evidence in the record]; </w:t>
      </w:r>
      <w:r w:rsidR="006C0ADE" w:rsidRPr="00D63571">
        <w:rPr>
          <w:i/>
        </w:rPr>
        <w:t>People v. Prince</w:t>
      </w:r>
      <w:r w:rsidR="006C0ADE" w:rsidRPr="00D63571">
        <w:t xml:space="preserve"> (2007) 40 Cal.4th 1179, 1223 [“Experts on the subject of crime scene reconstruction, for example, ordinarily may be permitted to give opinion testimony</w:t>
      </w:r>
      <w:r w:rsidR="006C0ADE">
        <w:t xml:space="preserve"> </w:t>
      </w:r>
      <w:r w:rsidR="006C0ADE" w:rsidRPr="00D63571">
        <w:lastRenderedPageBreak/>
        <w:t>concerning such matters as the probable location where the crime occurred</w:t>
      </w:r>
      <w:r w:rsidR="00E66F6C">
        <w:t> </w:t>
      </w:r>
      <w:r w:rsidR="006C0ADE" w:rsidRPr="00D63571">
        <w:t>.</w:t>
      </w:r>
      <w:r w:rsidR="006C0ADE">
        <w:t> </w:t>
      </w:r>
      <w:r w:rsidR="006C0ADE" w:rsidRPr="00D63571">
        <w:t>.</w:t>
      </w:r>
      <w:r w:rsidR="006C0ADE">
        <w:t> </w:t>
      </w:r>
      <w:r w:rsidR="006C0ADE" w:rsidRPr="00D63571">
        <w:t>.</w:t>
      </w:r>
      <w:r w:rsidR="006C0ADE">
        <w:t> </w:t>
      </w:r>
      <w:r w:rsidR="006C0ADE" w:rsidRPr="00D63571">
        <w:t>.”].)</w:t>
      </w:r>
      <w:r w:rsidR="006C0ADE">
        <w:rPr>
          <w:rStyle w:val="FootnoteReference"/>
        </w:rPr>
        <w:footnoteReference w:id="5"/>
      </w:r>
    </w:p>
    <w:p w14:paraId="090F6416" w14:textId="0D2AD424" w:rsidR="006C0ADE" w:rsidRPr="00D63571" w:rsidRDefault="00F6225E" w:rsidP="006C0ADE">
      <w:pPr>
        <w:ind w:firstLine="720"/>
      </w:pPr>
      <w:r>
        <w:t>Morales</w:t>
      </w:r>
      <w:r w:rsidR="006C0ADE">
        <w:t xml:space="preserve"> argues that </w:t>
      </w:r>
      <w:proofErr w:type="spellStart"/>
      <w:r w:rsidR="006C0ADE">
        <w:t>Delhauer’s</w:t>
      </w:r>
      <w:proofErr w:type="spellEnd"/>
      <w:r w:rsidR="006C0ADE">
        <w:t xml:space="preserve"> opinions were undermined by law enforcement’s failure to type the blood at each location in the home.  But c</w:t>
      </w:r>
      <w:r w:rsidR="006C0ADE" w:rsidRPr="00D63571">
        <w:t xml:space="preserve">ontrary to </w:t>
      </w:r>
      <w:r>
        <w:t>Morales</w:t>
      </w:r>
      <w:r w:rsidR="006C0ADE" w:rsidRPr="00D63571">
        <w:t xml:space="preserve">’s argument, the blood at each location need not have been typed for </w:t>
      </w:r>
      <w:proofErr w:type="spellStart"/>
      <w:r w:rsidR="006C0ADE" w:rsidRPr="00D63571">
        <w:t>Delhauer</w:t>
      </w:r>
      <w:proofErr w:type="spellEnd"/>
      <w:r w:rsidR="006C0ADE" w:rsidRPr="00D63571">
        <w:t xml:space="preserve"> to draw conclusions about the source of the blood; </w:t>
      </w:r>
      <w:proofErr w:type="spellStart"/>
      <w:r w:rsidR="006C0ADE">
        <w:t>Delhauer</w:t>
      </w:r>
      <w:proofErr w:type="spellEnd"/>
      <w:r w:rsidR="006C0ADE">
        <w:t xml:space="preserve"> testified that he reached his conclusions by </w:t>
      </w:r>
      <w:r w:rsidR="006C0ADE" w:rsidRPr="00D63571">
        <w:t xml:space="preserve">comparing the spatter </w:t>
      </w:r>
      <w:r w:rsidR="006C0ADE">
        <w:t xml:space="preserve">patterns </w:t>
      </w:r>
      <w:r w:rsidR="006C0ADE" w:rsidRPr="00D63571">
        <w:t xml:space="preserve">to </w:t>
      </w:r>
      <w:r w:rsidR="006C0ADE">
        <w:t xml:space="preserve">each victim’s wounds </w:t>
      </w:r>
      <w:r w:rsidR="006C0ADE" w:rsidRPr="00D63571">
        <w:t xml:space="preserve">and </w:t>
      </w:r>
      <w:r w:rsidR="006C0ADE">
        <w:t xml:space="preserve">by analyzing </w:t>
      </w:r>
      <w:r w:rsidR="006C0ADE" w:rsidRPr="00D63571">
        <w:t>other physical evidence in the home, such as the location of Maritza’s earring.</w:t>
      </w:r>
      <w:r w:rsidR="006C0ADE">
        <w:t xml:space="preserve">  </w:t>
      </w:r>
      <w:r w:rsidR="000A19F4">
        <w:t xml:space="preserve">Given his qualifications, he was permitted to interpret this evidence as he did.  </w:t>
      </w:r>
      <w:proofErr w:type="spellStart"/>
      <w:r w:rsidR="006C0ADE">
        <w:t>Delhauer’s</w:t>
      </w:r>
      <w:proofErr w:type="spellEnd"/>
      <w:r w:rsidR="006C0ADE">
        <w:t xml:space="preserve"> testimony </w:t>
      </w:r>
      <w:r w:rsidR="0052433B">
        <w:t xml:space="preserve">certainly would have </w:t>
      </w:r>
      <w:r w:rsidR="006C0ADE">
        <w:t xml:space="preserve">been strengthened by blood-typing evidence, </w:t>
      </w:r>
      <w:r w:rsidR="0052433B">
        <w:t xml:space="preserve">but </w:t>
      </w:r>
      <w:r w:rsidR="006C0ADE">
        <w:t>the absence of such evidence did not render his opinions impermissibly speculative</w:t>
      </w:r>
      <w:r w:rsidR="003E12A1">
        <w:t xml:space="preserve"> and thus inadmissible</w:t>
      </w:r>
      <w:r w:rsidR="006C0ADE">
        <w:t>.</w:t>
      </w:r>
    </w:p>
    <w:p w14:paraId="2E7F5B1D" w14:textId="3F191F8D" w:rsidR="006C0ADE" w:rsidRPr="003C3DA9" w:rsidRDefault="006C0ADE" w:rsidP="00654E2F">
      <w:pPr>
        <w:ind w:firstLine="720"/>
      </w:pPr>
      <w:r>
        <w:t xml:space="preserve">As </w:t>
      </w:r>
      <w:r w:rsidR="00F6225E">
        <w:t>Morales</w:t>
      </w:r>
      <w:r>
        <w:t xml:space="preserve"> notes, cross-examination exposed several other weaknesses in </w:t>
      </w:r>
      <w:proofErr w:type="spellStart"/>
      <w:r>
        <w:t>Delhauer’s</w:t>
      </w:r>
      <w:proofErr w:type="spellEnd"/>
      <w:r>
        <w:t xml:space="preserve"> testimony, including </w:t>
      </w:r>
      <w:r w:rsidR="006A5EBF">
        <w:t xml:space="preserve">that he expressly disagreed </w:t>
      </w:r>
      <w:r>
        <w:t>with some of the coroners</w:t>
      </w:r>
      <w:r w:rsidR="006517D8">
        <w:t>;</w:t>
      </w:r>
      <w:r w:rsidR="006A5EBF">
        <w:t xml:space="preserve"> he never viewed the bodies of the victims </w:t>
      </w:r>
      <w:r w:rsidR="006A5EBF" w:rsidRPr="006A5EBF">
        <w:t>firsthand</w:t>
      </w:r>
      <w:r w:rsidR="006517D8">
        <w:t>;</w:t>
      </w:r>
      <w:r w:rsidR="006A5EBF" w:rsidRPr="006A5EBF">
        <w:t xml:space="preserve"> </w:t>
      </w:r>
      <w:r w:rsidR="002E65AC" w:rsidRPr="006A5EBF">
        <w:t>he conducted his testing without using the actual knives in evidence</w:t>
      </w:r>
      <w:r w:rsidR="006517D8">
        <w:t>;</w:t>
      </w:r>
      <w:r w:rsidR="002E65AC" w:rsidRPr="006A5EBF">
        <w:t xml:space="preserve"> </w:t>
      </w:r>
      <w:r w:rsidR="006A5EBF" w:rsidRPr="006A5EBF">
        <w:t xml:space="preserve">he did not </w:t>
      </w:r>
      <w:r w:rsidR="00AE05F9">
        <w:t>re</w:t>
      </w:r>
      <w:r w:rsidR="006A5EBF" w:rsidRPr="006A5EBF">
        <w:t>view any physical evidence</w:t>
      </w:r>
      <w:r w:rsidR="00FC6E19">
        <w:t>;</w:t>
      </w:r>
      <w:r w:rsidR="006A5EBF" w:rsidRPr="006A5EBF">
        <w:t xml:space="preserve"> and he potentially misidentified the </w:t>
      </w:r>
      <w:r w:rsidR="006A5EBF" w:rsidRPr="00AE05F9">
        <w:t>hookah hose.</w:t>
      </w:r>
      <w:r w:rsidR="00AE05F9" w:rsidRPr="00AE05F9">
        <w:t xml:space="preserve">  </w:t>
      </w:r>
      <w:r w:rsidRPr="00AE05F9">
        <w:t>But these</w:t>
      </w:r>
      <w:r>
        <w:t xml:space="preserve"> weaknesses go to the weight to be given the evidence, not its admissibility. </w:t>
      </w:r>
      <w:r w:rsidR="003C3DA9">
        <w:t xml:space="preserve"> </w:t>
      </w:r>
      <w:r>
        <w:t xml:space="preserve">What we have said in previous cases applies equally here:  </w:t>
      </w:r>
      <w:r w:rsidRPr="00D63571">
        <w:t>“</w:t>
      </w:r>
      <w:r>
        <w:t>D</w:t>
      </w:r>
      <w:r w:rsidRPr="00D63571">
        <w:t xml:space="preserve">efense counsel was </w:t>
      </w:r>
      <w:r w:rsidRPr="00D63571">
        <w:lastRenderedPageBreak/>
        <w:t>entitled to present his own expert as a defense witness on the issue of [crime scene reconstruction] but did not do so.  Defense counsel also was entitled to challenge the persuasive value of [the expert’s</w:t>
      </w:r>
      <w:r>
        <w:t>]</w:t>
      </w:r>
      <w:r w:rsidRPr="00D63571">
        <w:t xml:space="preserve"> opinion on [crime scene reconstruction] through cross</w:t>
      </w:r>
      <w:r>
        <w:t>-</w:t>
      </w:r>
      <w:r w:rsidRPr="00D63571">
        <w:t>examination, which he did. . . .</w:t>
      </w:r>
      <w:r>
        <w:t xml:space="preserve">  </w:t>
      </w:r>
      <w:r w:rsidRPr="00D63571">
        <w:t>[Q]</w:t>
      </w:r>
      <w:proofErr w:type="spellStart"/>
      <w:r w:rsidRPr="00D63571">
        <w:t>uestions</w:t>
      </w:r>
      <w:proofErr w:type="spellEnd"/>
      <w:r w:rsidRPr="00D63571">
        <w:t xml:space="preserve"> regarding the validity or the credibility of an expert’s knowledge are matters for the jury to decide [citation] but do not provide a basis for excluding the expert’s testimony in the first instance and did not do so in this case.”  (</w:t>
      </w:r>
      <w:r>
        <w:rPr>
          <w:i/>
        </w:rPr>
        <w:t xml:space="preserve">People v. </w:t>
      </w:r>
      <w:r w:rsidRPr="00D63571">
        <w:rPr>
          <w:i/>
        </w:rPr>
        <w:t>Nelson</w:t>
      </w:r>
      <w:r w:rsidRPr="00D63571">
        <w:t xml:space="preserve">, </w:t>
      </w:r>
      <w:r w:rsidRPr="00D63571">
        <w:rPr>
          <w:i/>
        </w:rPr>
        <w:t>supra</w:t>
      </w:r>
      <w:r w:rsidRPr="00D63571">
        <w:t>, 1 Cal.5th at p.</w:t>
      </w:r>
      <w:r>
        <w:t> </w:t>
      </w:r>
      <w:r w:rsidRPr="00D63571">
        <w:t>537; accord</w:t>
      </w:r>
      <w:r>
        <w:t>,</w:t>
      </w:r>
      <w:r w:rsidRPr="00D63571">
        <w:t xml:space="preserve"> </w:t>
      </w:r>
      <w:r w:rsidRPr="00D63571">
        <w:rPr>
          <w:i/>
        </w:rPr>
        <w:t>People v. Rodriguez</w:t>
      </w:r>
      <w:r w:rsidRPr="00D63571">
        <w:t xml:space="preserve"> (2014) 58 Cal.4th 587, 638.)</w:t>
      </w:r>
    </w:p>
    <w:p w14:paraId="66D72713" w14:textId="35D655B6" w:rsidR="006C0ADE" w:rsidRDefault="00B05516" w:rsidP="006C0ADE">
      <w:pPr>
        <w:ind w:firstLine="720"/>
      </w:pPr>
      <w:r>
        <w:t>In any event, even i</w:t>
      </w:r>
      <w:r w:rsidR="006C0ADE">
        <w:t xml:space="preserve">f the trial court erred in allowing </w:t>
      </w:r>
      <w:proofErr w:type="spellStart"/>
      <w:r w:rsidR="006C0ADE" w:rsidRPr="00D63571">
        <w:t>Delhauer</w:t>
      </w:r>
      <w:proofErr w:type="spellEnd"/>
      <w:r w:rsidR="006C0ADE" w:rsidRPr="00D63571">
        <w:t xml:space="preserve"> to opine on the sequence and </w:t>
      </w:r>
      <w:r w:rsidR="006C0ADE" w:rsidRPr="00A77A38">
        <w:t xml:space="preserve">locations of the murders, </w:t>
      </w:r>
      <w:r w:rsidR="00482178">
        <w:t>the</w:t>
      </w:r>
      <w:r w:rsidR="00482178" w:rsidRPr="00A77A38">
        <w:t xml:space="preserve"> </w:t>
      </w:r>
      <w:r w:rsidR="006C0ADE" w:rsidRPr="00A77A38">
        <w:t xml:space="preserve">error </w:t>
      </w:r>
      <w:r w:rsidR="000E5166">
        <w:t>was</w:t>
      </w:r>
      <w:r w:rsidR="00A77A38" w:rsidRPr="00A77A38">
        <w:t xml:space="preserve"> </w:t>
      </w:r>
      <w:r w:rsidR="006C0ADE" w:rsidRPr="00A77A38">
        <w:t xml:space="preserve">harmless under any </w:t>
      </w:r>
      <w:proofErr w:type="gramStart"/>
      <w:r w:rsidR="006C0ADE" w:rsidRPr="00A77A38">
        <w:t>possible standard</w:t>
      </w:r>
      <w:proofErr w:type="gramEnd"/>
      <w:r w:rsidR="006C0ADE" w:rsidRPr="00A77A38">
        <w:t>.  (</w:t>
      </w:r>
      <w:r w:rsidR="006C0ADE" w:rsidRPr="00D63571">
        <w:rPr>
          <w:i/>
        </w:rPr>
        <w:t>People v. Watson</w:t>
      </w:r>
      <w:r w:rsidR="006C0ADE" w:rsidRPr="00D63571">
        <w:t xml:space="preserve"> (1956) 46 Cal.2d 818, 836; </w:t>
      </w:r>
      <w:r w:rsidR="006C0ADE" w:rsidRPr="00D63571">
        <w:rPr>
          <w:i/>
        </w:rPr>
        <w:t>Chapman v. California</w:t>
      </w:r>
      <w:r w:rsidR="006C0ADE" w:rsidRPr="00D63571">
        <w:t xml:space="preserve"> (1967) 386 U.S. 18, 24.)</w:t>
      </w:r>
    </w:p>
    <w:p w14:paraId="6702DEF0" w14:textId="4C58EE5F" w:rsidR="006C0ADE" w:rsidRDefault="00F6225E" w:rsidP="006C0ADE">
      <w:pPr>
        <w:ind w:firstLine="720"/>
      </w:pPr>
      <w:r>
        <w:t>Morales</w:t>
      </w:r>
      <w:r w:rsidR="006C0ADE">
        <w:t xml:space="preserve"> argues that </w:t>
      </w:r>
      <w:proofErr w:type="spellStart"/>
      <w:r w:rsidR="006C0ADE" w:rsidRPr="00D63571">
        <w:t>Delhauer’s</w:t>
      </w:r>
      <w:proofErr w:type="spellEnd"/>
      <w:r w:rsidR="006C0ADE" w:rsidRPr="00D63571">
        <w:t xml:space="preserve"> </w:t>
      </w:r>
      <w:r w:rsidR="006C0ADE">
        <w:t xml:space="preserve">sequence </w:t>
      </w:r>
      <w:r w:rsidR="006C0ADE" w:rsidRPr="00D63571">
        <w:t xml:space="preserve">testimony </w:t>
      </w:r>
      <w:proofErr w:type="gramStart"/>
      <w:r w:rsidR="006C0ADE">
        <w:t>likely influenced</w:t>
      </w:r>
      <w:proofErr w:type="gramEnd"/>
      <w:r w:rsidR="006C0ADE">
        <w:t xml:space="preserve"> the jury’s finding of premeditation and deliberation, because it imposed “reason, organization and order” on a “frenzied and chaotic” crime scene.  This argument gives </w:t>
      </w:r>
      <w:proofErr w:type="spellStart"/>
      <w:r w:rsidR="006C0ADE" w:rsidRPr="00D63571">
        <w:t>Delhauer’s</w:t>
      </w:r>
      <w:proofErr w:type="spellEnd"/>
      <w:r w:rsidR="006C0ADE" w:rsidRPr="00D63571">
        <w:t xml:space="preserve"> </w:t>
      </w:r>
      <w:r w:rsidR="00E565FA">
        <w:t xml:space="preserve">sequencing </w:t>
      </w:r>
      <w:r w:rsidR="006C0ADE" w:rsidRPr="00D63571">
        <w:t>testimony too much credit.</w:t>
      </w:r>
      <w:r w:rsidR="006C0ADE">
        <w:t xml:space="preserve">  </w:t>
      </w:r>
      <w:proofErr w:type="spellStart"/>
      <w:r w:rsidR="00E565FA">
        <w:t>Delhauer’s</w:t>
      </w:r>
      <w:proofErr w:type="spellEnd"/>
      <w:r w:rsidR="00E565FA">
        <w:t xml:space="preserve"> conclusions about the sequence of the murders formed only a small part of his testimony</w:t>
      </w:r>
      <w:r w:rsidR="003423BE">
        <w:t>.</w:t>
      </w:r>
      <w:r w:rsidR="00E565FA">
        <w:t xml:space="preserve">  </w:t>
      </w:r>
      <w:r w:rsidR="006C0ADE" w:rsidRPr="00D63571">
        <w:t xml:space="preserve">Though </w:t>
      </w:r>
      <w:proofErr w:type="spellStart"/>
      <w:r w:rsidR="006C0ADE" w:rsidRPr="00D63571">
        <w:t>Delhauer</w:t>
      </w:r>
      <w:proofErr w:type="spellEnd"/>
      <w:r w:rsidR="006C0ADE" w:rsidRPr="00D63571">
        <w:t xml:space="preserve"> gave </w:t>
      </w:r>
      <w:proofErr w:type="gramStart"/>
      <w:r w:rsidR="006C0ADE" w:rsidRPr="00D63571">
        <w:t>a brief summary</w:t>
      </w:r>
      <w:proofErr w:type="gramEnd"/>
      <w:r w:rsidR="006C0ADE" w:rsidRPr="00D63571">
        <w:t xml:space="preserve"> of his sequencing conclusions at the beginning of his testimony, </w:t>
      </w:r>
      <w:r w:rsidR="00551721">
        <w:t xml:space="preserve">his testimony mainly </w:t>
      </w:r>
      <w:r w:rsidR="006C0ADE">
        <w:t>focused on an analysis of where and how each of the victims was killed</w:t>
      </w:r>
      <w:r w:rsidR="006C0ADE" w:rsidRPr="00D63571">
        <w:t>.</w:t>
      </w:r>
      <w:r w:rsidR="006C0ADE">
        <w:t xml:space="preserve">  Moreover, as the trial court itself noted, </w:t>
      </w:r>
      <w:proofErr w:type="gramStart"/>
      <w:r w:rsidR="006C0ADE">
        <w:t>much</w:t>
      </w:r>
      <w:proofErr w:type="gramEnd"/>
      <w:r w:rsidR="006C0ADE">
        <w:t xml:space="preserve"> of this testimony concerned matters already </w:t>
      </w:r>
      <w:r w:rsidR="006C0ADE" w:rsidRPr="00D63571">
        <w:t>independently established by evidence in the record</w:t>
      </w:r>
      <w:r w:rsidR="006C0ADE">
        <w:t xml:space="preserve">.  Among other things, the trial evidence showed that </w:t>
      </w:r>
      <w:r>
        <w:t>Morales</w:t>
      </w:r>
      <w:r w:rsidR="006C0ADE" w:rsidRPr="00D63571">
        <w:t xml:space="preserve"> used a step stool to sneak into the </w:t>
      </w:r>
      <w:r w:rsidR="00E46692">
        <w:t>victims</w:t>
      </w:r>
      <w:r w:rsidR="00E46692" w:rsidRPr="00D63571">
        <w:t xml:space="preserve">’ </w:t>
      </w:r>
      <w:r w:rsidR="006C0ADE" w:rsidRPr="00D63571">
        <w:t>home</w:t>
      </w:r>
      <w:r w:rsidR="006C0ADE">
        <w:t xml:space="preserve"> and that he attacked Mike in a state of undress, delivering the fatal wound to Mike’s neck from behind, and in a manner that resulted in no </w:t>
      </w:r>
      <w:r w:rsidR="006C0ADE">
        <w:lastRenderedPageBreak/>
        <w:t xml:space="preserve">defensive wounds.  Other evidence also established the </w:t>
      </w:r>
      <w:r w:rsidR="006C0ADE" w:rsidRPr="00D63571">
        <w:t xml:space="preserve">manner </w:t>
      </w:r>
      <w:r w:rsidR="006C0ADE">
        <w:t xml:space="preserve">of </w:t>
      </w:r>
      <w:r w:rsidR="006C0ADE" w:rsidRPr="00D63571">
        <w:t>kill</w:t>
      </w:r>
      <w:r w:rsidR="006C0ADE">
        <w:t>ing</w:t>
      </w:r>
      <w:r w:rsidR="00C84CB5">
        <w:t> </w:t>
      </w:r>
      <w:r w:rsidR="006C0ADE" w:rsidRPr="00D63571">
        <w:t>—</w:t>
      </w:r>
      <w:r w:rsidR="00C84CB5">
        <w:t xml:space="preserve"> </w:t>
      </w:r>
      <w:r w:rsidR="006C0ADE">
        <w:t xml:space="preserve">the adult victims suffered </w:t>
      </w:r>
      <w:r w:rsidR="006C0ADE" w:rsidRPr="00D63571">
        <w:t xml:space="preserve">multiple fatal stab wounds to the neck or chest and </w:t>
      </w:r>
      <w:r w:rsidR="006C0ADE">
        <w:t xml:space="preserve">Jasmine was </w:t>
      </w:r>
      <w:r w:rsidR="006C0ADE" w:rsidRPr="00D63571">
        <w:t>drown</w:t>
      </w:r>
      <w:r w:rsidR="006C0ADE">
        <w:t>ed</w:t>
      </w:r>
      <w:r w:rsidR="006C0ADE" w:rsidRPr="00D63571">
        <w:t xml:space="preserve">.  (See </w:t>
      </w:r>
      <w:r w:rsidR="006C0ADE" w:rsidRPr="00D63571">
        <w:rPr>
          <w:i/>
        </w:rPr>
        <w:t>People v. Booker</w:t>
      </w:r>
      <w:r w:rsidR="006C0ADE" w:rsidRPr="00D63571">
        <w:t xml:space="preserve">, </w:t>
      </w:r>
      <w:r w:rsidR="006C0ADE" w:rsidRPr="00D63571">
        <w:rPr>
          <w:i/>
        </w:rPr>
        <w:t>su</w:t>
      </w:r>
      <w:r w:rsidR="006C0ADE">
        <w:rPr>
          <w:i/>
        </w:rPr>
        <w:t>pr</w:t>
      </w:r>
      <w:r w:rsidR="006C0ADE" w:rsidRPr="00D63571">
        <w:rPr>
          <w:i/>
        </w:rPr>
        <w:t>a</w:t>
      </w:r>
      <w:r w:rsidR="006C0ADE" w:rsidRPr="00D63571">
        <w:t>, 51 Cal.4th at pp.</w:t>
      </w:r>
      <w:r w:rsidR="006C0ADE">
        <w:t> </w:t>
      </w:r>
      <w:r w:rsidR="006C0ADE" w:rsidRPr="00D63571">
        <w:t>152, 173.)</w:t>
      </w:r>
      <w:r w:rsidR="006C0ADE">
        <w:t xml:space="preserve">  These were the facts that bore most directly on whether </w:t>
      </w:r>
      <w:r>
        <w:t>Morales</w:t>
      </w:r>
      <w:r w:rsidR="006C0ADE">
        <w:t xml:space="preserve"> acted with premeditation and deliberation.  And even absent </w:t>
      </w:r>
      <w:proofErr w:type="spellStart"/>
      <w:r w:rsidR="006C0ADE">
        <w:t>Delhauer’s</w:t>
      </w:r>
      <w:proofErr w:type="spellEnd"/>
      <w:r w:rsidR="006C0ADE">
        <w:t xml:space="preserve"> testimony, it was readily inferable that the victims were likely killed sequentially, so it is unlikely that </w:t>
      </w:r>
      <w:proofErr w:type="spellStart"/>
      <w:r w:rsidR="006C0ADE">
        <w:t>Delhauer’s</w:t>
      </w:r>
      <w:proofErr w:type="spellEnd"/>
      <w:r w:rsidR="006C0ADE">
        <w:t xml:space="preserve"> opinion as to the precise sequence of the murders had any effect on the jury’s evaluation of that question.  </w:t>
      </w:r>
      <w:r w:rsidR="00B75471">
        <w:t>The jury did not need to know the exact sequence of the murders to conclude that the victims were killed one at a time</w:t>
      </w:r>
      <w:r w:rsidR="003423BE">
        <w:t xml:space="preserve">, in a manner suggestive of </w:t>
      </w:r>
      <w:r w:rsidR="002D4FCC">
        <w:t>premeditation and deliberation</w:t>
      </w:r>
      <w:r w:rsidR="00B75471">
        <w:t xml:space="preserve">.  </w:t>
      </w:r>
      <w:r w:rsidR="002D4FCC">
        <w:t>Finally, and i</w:t>
      </w:r>
      <w:r w:rsidR="006C0ADE">
        <w:t xml:space="preserve">n any event, </w:t>
      </w:r>
      <w:proofErr w:type="spellStart"/>
      <w:r w:rsidR="006C0ADE">
        <w:t>Delhauer’s</w:t>
      </w:r>
      <w:proofErr w:type="spellEnd"/>
      <w:r w:rsidR="006C0ADE">
        <w:t xml:space="preserve"> testimony was not the only source of sequencing information</w:t>
      </w:r>
      <w:r w:rsidR="00F95F9D">
        <w:t xml:space="preserve">: </w:t>
      </w:r>
      <w:r w:rsidR="006C0ADE">
        <w:t xml:space="preserve"> </w:t>
      </w:r>
      <w:r>
        <w:t>Morales</w:t>
      </w:r>
      <w:r w:rsidR="006C0ADE" w:rsidRPr="00D63571">
        <w:t xml:space="preserve"> </w:t>
      </w:r>
      <w:r w:rsidR="006C0ADE">
        <w:t xml:space="preserve">himself had told </w:t>
      </w:r>
      <w:r w:rsidR="006C0ADE" w:rsidRPr="00D63571">
        <w:t xml:space="preserve">law enforcement officers that the victims were killed in </w:t>
      </w:r>
      <w:r w:rsidR="00CE4B61">
        <w:t>the very same sequence.</w:t>
      </w:r>
    </w:p>
    <w:p w14:paraId="742F91A0" w14:textId="7EC8D42D" w:rsidR="006C0ADE" w:rsidRPr="00D63571" w:rsidRDefault="006C0ADE" w:rsidP="006C0ADE">
      <w:pPr>
        <w:ind w:firstLine="720"/>
      </w:pPr>
      <w:r>
        <w:t xml:space="preserve">In sum, </w:t>
      </w:r>
      <w:proofErr w:type="spellStart"/>
      <w:r>
        <w:t>Delhauer’s</w:t>
      </w:r>
      <w:proofErr w:type="spellEnd"/>
      <w:r>
        <w:t xml:space="preserve"> </w:t>
      </w:r>
      <w:r w:rsidR="00182BA0">
        <w:t xml:space="preserve">sequencing </w:t>
      </w:r>
      <w:r>
        <w:t>testimony did not add meaningfully to the picture already before the jury.  A</w:t>
      </w:r>
      <w:r w:rsidRPr="00D63571">
        <w:t xml:space="preserve">ny error in admitting </w:t>
      </w:r>
      <w:r w:rsidR="00182BA0">
        <w:t xml:space="preserve">the </w:t>
      </w:r>
      <w:r w:rsidRPr="00D63571">
        <w:t xml:space="preserve">testimony </w:t>
      </w:r>
      <w:r>
        <w:t xml:space="preserve">was </w:t>
      </w:r>
      <w:r w:rsidRPr="00D63571">
        <w:t xml:space="preserve">harmless beyond a reasonable doubt.  (See </w:t>
      </w:r>
      <w:r w:rsidRPr="00D63571">
        <w:rPr>
          <w:i/>
        </w:rPr>
        <w:t>People v. Gomez</w:t>
      </w:r>
      <w:r w:rsidRPr="00D63571">
        <w:t xml:space="preserve"> (2018) 6 Cal.5th 243, 296 [finding error admitting expert testimony harmless under both </w:t>
      </w:r>
      <w:r w:rsidRPr="00D63571">
        <w:rPr>
          <w:i/>
        </w:rPr>
        <w:t xml:space="preserve">Chapman </w:t>
      </w:r>
      <w:r w:rsidRPr="00D63571">
        <w:t xml:space="preserve">and </w:t>
      </w:r>
      <w:r w:rsidRPr="00D63571">
        <w:rPr>
          <w:i/>
        </w:rPr>
        <w:t>Watson</w:t>
      </w:r>
      <w:r w:rsidRPr="00D63571">
        <w:t>].)</w:t>
      </w:r>
      <w:r w:rsidR="002D0AFA">
        <w:rPr>
          <w:rStyle w:val="FootnoteReference"/>
        </w:rPr>
        <w:footnoteReference w:id="6"/>
      </w:r>
      <w:r w:rsidRPr="00D63571">
        <w:t xml:space="preserve"> </w:t>
      </w:r>
    </w:p>
    <w:p w14:paraId="42DDED71" w14:textId="3185AF77" w:rsidR="0058259B" w:rsidRPr="005A0AEB" w:rsidRDefault="0058259B" w:rsidP="0058259B">
      <w:pPr>
        <w:keepNext/>
        <w:tabs>
          <w:tab w:val="left" w:pos="1584"/>
        </w:tabs>
        <w:spacing w:before="240"/>
        <w:ind w:left="1512" w:hanging="360"/>
        <w:outlineLvl w:val="2"/>
        <w:rPr>
          <w:i/>
        </w:rPr>
      </w:pPr>
      <w:r>
        <w:rPr>
          <w:i/>
        </w:rPr>
        <w:lastRenderedPageBreak/>
        <w:t>3</w:t>
      </w:r>
      <w:r w:rsidRPr="005A0AEB">
        <w:rPr>
          <w:i/>
        </w:rPr>
        <w:t>.</w:t>
      </w:r>
      <w:r w:rsidRPr="005A0AEB">
        <w:rPr>
          <w:i/>
        </w:rPr>
        <w:tab/>
      </w:r>
      <w:r w:rsidRPr="0058259B">
        <w:rPr>
          <w:i/>
        </w:rPr>
        <w:t>Admission of Crime Scene and Autopsy Photographs</w:t>
      </w:r>
    </w:p>
    <w:p w14:paraId="1B29FD23" w14:textId="21924CB6" w:rsidR="0058259B" w:rsidRPr="00A46A91" w:rsidRDefault="00F6225E" w:rsidP="0058259B">
      <w:pPr>
        <w:tabs>
          <w:tab w:val="left" w:pos="1440"/>
        </w:tabs>
        <w:ind w:firstLine="720"/>
        <w:rPr>
          <w:szCs w:val="26"/>
        </w:rPr>
      </w:pPr>
      <w:r>
        <w:rPr>
          <w:szCs w:val="26"/>
        </w:rPr>
        <w:t>Morales</w:t>
      </w:r>
      <w:r w:rsidR="0058259B" w:rsidRPr="00D63571">
        <w:rPr>
          <w:szCs w:val="26"/>
        </w:rPr>
        <w:t xml:space="preserve"> argues that the trial court abused its discretion and violated his constitutional rights to a fair trial and due process when it admitted </w:t>
      </w:r>
      <w:r w:rsidR="0058259B">
        <w:rPr>
          <w:szCs w:val="26"/>
        </w:rPr>
        <w:t xml:space="preserve">certain </w:t>
      </w:r>
      <w:r w:rsidR="0058259B" w:rsidRPr="00D63571">
        <w:rPr>
          <w:szCs w:val="26"/>
        </w:rPr>
        <w:t xml:space="preserve">crime scene and autopsy </w:t>
      </w:r>
      <w:r w:rsidR="0058259B">
        <w:rPr>
          <w:szCs w:val="26"/>
        </w:rPr>
        <w:t>photographs</w:t>
      </w:r>
      <w:r w:rsidR="0058259B" w:rsidRPr="00D63571">
        <w:rPr>
          <w:szCs w:val="26"/>
        </w:rPr>
        <w:t xml:space="preserve"> of the victims.</w:t>
      </w:r>
      <w:r w:rsidR="001938EF">
        <w:rPr>
          <w:szCs w:val="26"/>
        </w:rPr>
        <w:t xml:space="preserve">  </w:t>
      </w:r>
      <w:r w:rsidR="00B815DD">
        <w:rPr>
          <w:szCs w:val="26"/>
        </w:rPr>
        <w:t>We find no error</w:t>
      </w:r>
      <w:r w:rsidR="001938EF">
        <w:rPr>
          <w:szCs w:val="26"/>
        </w:rPr>
        <w:t>.</w:t>
      </w:r>
    </w:p>
    <w:p w14:paraId="6BFFF507" w14:textId="175F255F" w:rsidR="0058259B" w:rsidRDefault="0058259B" w:rsidP="003F03E3">
      <w:pPr>
        <w:tabs>
          <w:tab w:val="left" w:pos="1440"/>
        </w:tabs>
        <w:ind w:firstLine="720"/>
        <w:rPr>
          <w:szCs w:val="26"/>
        </w:rPr>
      </w:pPr>
      <w:r w:rsidRPr="00D63571">
        <w:rPr>
          <w:szCs w:val="26"/>
        </w:rPr>
        <w:t xml:space="preserve">In a pretrial hearing, the trial court and the parties discussed the admissibility of color photographs of the victims.  The trial judge first noted that </w:t>
      </w:r>
      <w:r>
        <w:rPr>
          <w:szCs w:val="26"/>
        </w:rPr>
        <w:t>the</w:t>
      </w:r>
      <w:r w:rsidRPr="00D63571">
        <w:rPr>
          <w:szCs w:val="26"/>
        </w:rPr>
        <w:t xml:space="preserve"> “primary concern has to be probative value versus prejudicial effect.”  He recognized that the </w:t>
      </w:r>
      <w:r>
        <w:rPr>
          <w:szCs w:val="26"/>
        </w:rPr>
        <w:t>photographs</w:t>
      </w:r>
      <w:r w:rsidRPr="00D63571">
        <w:rPr>
          <w:szCs w:val="26"/>
        </w:rPr>
        <w:t xml:space="preserve"> might be gruesome, but he signaled his intent to allow the People significant leeway to introduce </w:t>
      </w:r>
      <w:r>
        <w:rPr>
          <w:szCs w:val="26"/>
        </w:rPr>
        <w:t>photographs</w:t>
      </w:r>
      <w:r w:rsidRPr="00D63571">
        <w:rPr>
          <w:szCs w:val="26"/>
        </w:rPr>
        <w:t xml:space="preserve"> given the “incredible complexity of this case.”  Over the course of the hearing, </w:t>
      </w:r>
      <w:r w:rsidR="00F6225E">
        <w:rPr>
          <w:szCs w:val="26"/>
        </w:rPr>
        <w:t>Morales</w:t>
      </w:r>
      <w:r w:rsidRPr="00D63571">
        <w:rPr>
          <w:szCs w:val="26"/>
        </w:rPr>
        <w:t xml:space="preserve"> challenged the admissibility of many photographs, including pictures of the four victims’ faces from the autopsy table, which the People intended to use for identification purposes, though defense counsel offered to stipulate to the identities; a series of </w:t>
      </w:r>
      <w:r>
        <w:rPr>
          <w:szCs w:val="26"/>
        </w:rPr>
        <w:t>photographs</w:t>
      </w:r>
      <w:r w:rsidRPr="00D63571">
        <w:rPr>
          <w:szCs w:val="26"/>
        </w:rPr>
        <w:t xml:space="preserve"> of Jasmine’s body in the bathtub, with and without the </w:t>
      </w:r>
      <w:r w:rsidR="0053455D">
        <w:rPr>
          <w:szCs w:val="26"/>
        </w:rPr>
        <w:t xml:space="preserve">large </w:t>
      </w:r>
      <w:r w:rsidRPr="00D63571">
        <w:rPr>
          <w:szCs w:val="26"/>
        </w:rPr>
        <w:t xml:space="preserve">statue on top of her; photographs of Jasmine’s vaginal and anal injuries; photographs of Mike’s wounds, including severe injuries to his </w:t>
      </w:r>
      <w:r w:rsidRPr="00D63571">
        <w:rPr>
          <w:szCs w:val="26"/>
        </w:rPr>
        <w:lastRenderedPageBreak/>
        <w:t>neck; and photographs of Ana’s injuries</w:t>
      </w:r>
      <w:r>
        <w:rPr>
          <w:szCs w:val="26"/>
        </w:rPr>
        <w:t>.</w:t>
      </w:r>
      <w:r w:rsidR="003F03E3">
        <w:rPr>
          <w:szCs w:val="26"/>
        </w:rPr>
        <w:t xml:space="preserve">  </w:t>
      </w:r>
      <w:r w:rsidRPr="00D63571">
        <w:rPr>
          <w:szCs w:val="26"/>
        </w:rPr>
        <w:t xml:space="preserve">Defense counsel objected to these photographs on a variety of grounds, including cumulativeness and undue gruesomeness, and argued that </w:t>
      </w:r>
      <w:proofErr w:type="gramStart"/>
      <w:r w:rsidRPr="00D63571">
        <w:rPr>
          <w:szCs w:val="26"/>
        </w:rPr>
        <w:t>some of</w:t>
      </w:r>
      <w:proofErr w:type="gramEnd"/>
      <w:r w:rsidRPr="00D63571">
        <w:rPr>
          <w:szCs w:val="26"/>
        </w:rPr>
        <w:t xml:space="preserve"> the injury photographs should be introduced in black and white.</w:t>
      </w:r>
      <w:r>
        <w:rPr>
          <w:szCs w:val="26"/>
        </w:rPr>
        <w:t xml:space="preserve"> </w:t>
      </w:r>
      <w:r w:rsidRPr="00D63571">
        <w:rPr>
          <w:szCs w:val="26"/>
        </w:rPr>
        <w:t xml:space="preserve"> The trial court </w:t>
      </w:r>
      <w:proofErr w:type="gramStart"/>
      <w:r w:rsidRPr="00D63571">
        <w:rPr>
          <w:szCs w:val="26"/>
        </w:rPr>
        <w:t>ultimately admitted</w:t>
      </w:r>
      <w:proofErr w:type="gramEnd"/>
      <w:r w:rsidRPr="00D63571">
        <w:rPr>
          <w:szCs w:val="26"/>
        </w:rPr>
        <w:t xml:space="preserve"> most of these photographs, but also excluded several</w:t>
      </w:r>
      <w:r w:rsidR="003F03E3">
        <w:rPr>
          <w:szCs w:val="26"/>
        </w:rPr>
        <w:t xml:space="preserve">.  </w:t>
      </w:r>
      <w:r>
        <w:rPr>
          <w:szCs w:val="26"/>
        </w:rPr>
        <w:t>The</w:t>
      </w:r>
      <w:r w:rsidRPr="00D63571">
        <w:rPr>
          <w:szCs w:val="26"/>
        </w:rPr>
        <w:t xml:space="preserve"> trial court also allowed the photographs to be shown in color</w:t>
      </w:r>
      <w:r w:rsidR="0053455D">
        <w:rPr>
          <w:szCs w:val="26"/>
        </w:rPr>
        <w:t>.</w:t>
      </w:r>
    </w:p>
    <w:p w14:paraId="1B12914B" w14:textId="410DC561" w:rsidR="00192297" w:rsidRPr="00D63571" w:rsidRDefault="00192297" w:rsidP="00E300B6">
      <w:pPr>
        <w:tabs>
          <w:tab w:val="left" w:pos="1440"/>
        </w:tabs>
        <w:ind w:firstLine="720"/>
        <w:rPr>
          <w:szCs w:val="26"/>
        </w:rPr>
      </w:pPr>
      <w:r w:rsidRPr="00D63571">
        <w:rPr>
          <w:szCs w:val="26"/>
        </w:rPr>
        <w:t>“Whether the trial court erred in admitting into evidence the challenged photographs of the murder victims depends upon two factors:  (1) whether the photographs were relevant, and (2)</w:t>
      </w:r>
      <w:r w:rsidR="00675204">
        <w:rPr>
          <w:szCs w:val="26"/>
        </w:rPr>
        <w:t> </w:t>
      </w:r>
      <w:r w:rsidRPr="00D63571">
        <w:rPr>
          <w:szCs w:val="26"/>
        </w:rPr>
        <w:t>whether the trial court abused its discretion in determining that the probative value of each photograph outweighed its prejudicial effect.”  (</w:t>
      </w:r>
      <w:r w:rsidRPr="00D63571">
        <w:rPr>
          <w:i/>
          <w:szCs w:val="26"/>
        </w:rPr>
        <w:t>People v. Ramirez</w:t>
      </w:r>
      <w:r w:rsidRPr="00D63571">
        <w:rPr>
          <w:szCs w:val="26"/>
        </w:rPr>
        <w:t xml:space="preserve"> (2006) 39 Cal.4th 398, 453.)  We review the trial court’s decision to admit the phot</w:t>
      </w:r>
      <w:r>
        <w:rPr>
          <w:szCs w:val="26"/>
        </w:rPr>
        <w:t>ograph</w:t>
      </w:r>
      <w:r w:rsidRPr="00D63571">
        <w:rPr>
          <w:szCs w:val="26"/>
        </w:rPr>
        <w:t>s for abuse of discretion.  (</w:t>
      </w:r>
      <w:r w:rsidRPr="00D63571">
        <w:rPr>
          <w:i/>
          <w:szCs w:val="26"/>
        </w:rPr>
        <w:t>People v. Mendez</w:t>
      </w:r>
      <w:r w:rsidRPr="00D63571">
        <w:rPr>
          <w:szCs w:val="26"/>
        </w:rPr>
        <w:t xml:space="preserve"> (2019) 7</w:t>
      </w:r>
      <w:r w:rsidR="00675204">
        <w:rPr>
          <w:szCs w:val="26"/>
        </w:rPr>
        <w:t> </w:t>
      </w:r>
      <w:r w:rsidRPr="00D63571">
        <w:rPr>
          <w:szCs w:val="26"/>
        </w:rPr>
        <w:t>Cal.5th 680, 708.)  “</w:t>
      </w:r>
      <w:r>
        <w:rPr>
          <w:szCs w:val="26"/>
        </w:rPr>
        <w:t> ‘</w:t>
      </w:r>
      <w:r w:rsidRPr="00D63571">
        <w:rPr>
          <w:szCs w:val="26"/>
        </w:rPr>
        <w:t>The court’s exercise of that discretion will not be disturbed on appeal unless the probative value of the photographs clearly is outweighed by their prejudicial effect.</w:t>
      </w:r>
      <w:r>
        <w:rPr>
          <w:szCs w:val="26"/>
        </w:rPr>
        <w:t>’ </w:t>
      </w:r>
      <w:r w:rsidRPr="00D63571">
        <w:rPr>
          <w:szCs w:val="26"/>
        </w:rPr>
        <w:t>”  (</w:t>
      </w:r>
      <w:r w:rsidRPr="00D63571">
        <w:rPr>
          <w:i/>
          <w:szCs w:val="26"/>
        </w:rPr>
        <w:t>People v. Scheid</w:t>
      </w:r>
      <w:r w:rsidRPr="00D63571">
        <w:rPr>
          <w:szCs w:val="26"/>
        </w:rPr>
        <w:t xml:space="preserve"> (1997) 16 Cal.4th 1, 18.)</w:t>
      </w:r>
    </w:p>
    <w:p w14:paraId="5567F013" w14:textId="7327C561" w:rsidR="0058259B" w:rsidRPr="008F00C2" w:rsidRDefault="00F6225E" w:rsidP="00AF47D2">
      <w:pPr>
        <w:tabs>
          <w:tab w:val="left" w:pos="1440"/>
        </w:tabs>
        <w:ind w:firstLine="720"/>
        <w:rPr>
          <w:szCs w:val="26"/>
        </w:rPr>
      </w:pPr>
      <w:r>
        <w:rPr>
          <w:szCs w:val="26"/>
        </w:rPr>
        <w:t>Morales</w:t>
      </w:r>
      <w:r w:rsidR="0058259B" w:rsidRPr="00D63571">
        <w:rPr>
          <w:szCs w:val="26"/>
        </w:rPr>
        <w:t xml:space="preserve"> does not argue that the admitted </w:t>
      </w:r>
      <w:r w:rsidR="0058259B">
        <w:rPr>
          <w:szCs w:val="26"/>
        </w:rPr>
        <w:t>photographs</w:t>
      </w:r>
      <w:r w:rsidR="0058259B" w:rsidRPr="00D63571">
        <w:rPr>
          <w:szCs w:val="26"/>
        </w:rPr>
        <w:t xml:space="preserve"> were irrelevant, nor could he do so successfully.  </w:t>
      </w:r>
      <w:r w:rsidR="00FA6B71">
        <w:rPr>
          <w:szCs w:val="26"/>
        </w:rPr>
        <w:t>“[</w:t>
      </w:r>
      <w:r w:rsidR="0058259B" w:rsidRPr="00D63571">
        <w:rPr>
          <w:szCs w:val="26"/>
        </w:rPr>
        <w:t xml:space="preserve">T]he photographs were highly relevant to show the </w:t>
      </w:r>
      <w:proofErr w:type="gramStart"/>
      <w:r w:rsidR="0058259B" w:rsidRPr="00D63571">
        <w:rPr>
          <w:szCs w:val="26"/>
        </w:rPr>
        <w:t>manner in which</w:t>
      </w:r>
      <w:proofErr w:type="gramEnd"/>
      <w:r w:rsidR="0058259B" w:rsidRPr="00D63571">
        <w:rPr>
          <w:szCs w:val="26"/>
        </w:rPr>
        <w:t xml:space="preserve"> the victims were killed and the severity of their injuries</w:t>
      </w:r>
      <w:r w:rsidR="00FA6B71">
        <w:rPr>
          <w:szCs w:val="26"/>
        </w:rPr>
        <w:t>,” as well as to “</w:t>
      </w:r>
      <w:proofErr w:type="spellStart"/>
      <w:r w:rsidR="00FA6B71">
        <w:rPr>
          <w:szCs w:val="26"/>
        </w:rPr>
        <w:t>clarif</w:t>
      </w:r>
      <w:proofErr w:type="spellEnd"/>
      <w:r w:rsidR="00FA6B71">
        <w:rPr>
          <w:szCs w:val="26"/>
        </w:rPr>
        <w:t>[y]</w:t>
      </w:r>
      <w:r w:rsidR="0058259B" w:rsidRPr="00D63571">
        <w:rPr>
          <w:szCs w:val="26"/>
        </w:rPr>
        <w:t xml:space="preserve"> the coroner’s testimony.</w:t>
      </w:r>
      <w:r w:rsidR="00FA6B71">
        <w:rPr>
          <w:szCs w:val="26"/>
        </w:rPr>
        <w:t xml:space="preserve">” </w:t>
      </w:r>
      <w:r w:rsidR="0058259B" w:rsidRPr="00D63571">
        <w:rPr>
          <w:szCs w:val="26"/>
        </w:rPr>
        <w:t xml:space="preserve"> (</w:t>
      </w:r>
      <w:r w:rsidR="0058259B">
        <w:rPr>
          <w:i/>
          <w:szCs w:val="26"/>
        </w:rPr>
        <w:t xml:space="preserve">People v. </w:t>
      </w:r>
      <w:r w:rsidR="0058259B" w:rsidRPr="00D63571">
        <w:rPr>
          <w:i/>
          <w:szCs w:val="26"/>
        </w:rPr>
        <w:t>Ramirez</w:t>
      </w:r>
      <w:r w:rsidR="0058259B" w:rsidRPr="00D63571">
        <w:rPr>
          <w:szCs w:val="26"/>
        </w:rPr>
        <w:t xml:space="preserve">, </w:t>
      </w:r>
      <w:r w:rsidR="0058259B" w:rsidRPr="00D63571">
        <w:rPr>
          <w:i/>
          <w:szCs w:val="26"/>
        </w:rPr>
        <w:t>supra</w:t>
      </w:r>
      <w:r w:rsidR="0058259B" w:rsidRPr="00D63571">
        <w:rPr>
          <w:szCs w:val="26"/>
        </w:rPr>
        <w:t xml:space="preserve">, 39 Cal.4th at </w:t>
      </w:r>
      <w:r w:rsidR="006731A9">
        <w:rPr>
          <w:szCs w:val="26"/>
        </w:rPr>
        <w:t>p. </w:t>
      </w:r>
      <w:r w:rsidR="0058259B" w:rsidRPr="00D63571">
        <w:rPr>
          <w:szCs w:val="26"/>
        </w:rPr>
        <w:t>453; accord</w:t>
      </w:r>
      <w:r w:rsidR="0058259B">
        <w:rPr>
          <w:szCs w:val="26"/>
        </w:rPr>
        <w:t>,</w:t>
      </w:r>
      <w:r w:rsidR="0058259B" w:rsidRPr="00D63571">
        <w:rPr>
          <w:szCs w:val="26"/>
        </w:rPr>
        <w:t xml:space="preserve"> </w:t>
      </w:r>
      <w:r w:rsidR="0058259B" w:rsidRPr="00D63571">
        <w:rPr>
          <w:i/>
          <w:szCs w:val="26"/>
        </w:rPr>
        <w:t>People v. Box</w:t>
      </w:r>
      <w:r w:rsidR="0058259B" w:rsidRPr="00D63571">
        <w:rPr>
          <w:szCs w:val="26"/>
        </w:rPr>
        <w:t xml:space="preserve"> (2000) 23</w:t>
      </w:r>
      <w:r w:rsidR="00CD4C41">
        <w:rPr>
          <w:szCs w:val="26"/>
        </w:rPr>
        <w:t> </w:t>
      </w:r>
      <w:r w:rsidR="0058259B" w:rsidRPr="00D63571">
        <w:rPr>
          <w:szCs w:val="26"/>
        </w:rPr>
        <w:t xml:space="preserve">Cal.4th 1153, 1199.)  </w:t>
      </w:r>
      <w:r w:rsidR="00A316C5">
        <w:rPr>
          <w:szCs w:val="26"/>
        </w:rPr>
        <w:t xml:space="preserve">For example, </w:t>
      </w:r>
      <w:r w:rsidR="007957DB">
        <w:rPr>
          <w:szCs w:val="26"/>
        </w:rPr>
        <w:t>the autopsy photo</w:t>
      </w:r>
      <w:r w:rsidR="008F00C2">
        <w:rPr>
          <w:szCs w:val="26"/>
        </w:rPr>
        <w:t>graphs</w:t>
      </w:r>
      <w:r w:rsidR="007957DB">
        <w:rPr>
          <w:szCs w:val="26"/>
        </w:rPr>
        <w:t xml:space="preserve"> provided </w:t>
      </w:r>
      <w:r w:rsidR="008F00C2">
        <w:rPr>
          <w:szCs w:val="26"/>
        </w:rPr>
        <w:t>detailed views of the victims’ injuries, including</w:t>
      </w:r>
      <w:r w:rsidR="00FA6B71">
        <w:rPr>
          <w:szCs w:val="26"/>
        </w:rPr>
        <w:t xml:space="preserve"> </w:t>
      </w:r>
      <w:r w:rsidR="008F00C2">
        <w:rPr>
          <w:szCs w:val="26"/>
        </w:rPr>
        <w:t xml:space="preserve">photographs of the </w:t>
      </w:r>
      <w:r w:rsidR="008F00C2" w:rsidRPr="00D63571">
        <w:rPr>
          <w:szCs w:val="26"/>
        </w:rPr>
        <w:t xml:space="preserve">petechiae </w:t>
      </w:r>
      <w:r w:rsidR="008F00C2">
        <w:rPr>
          <w:szCs w:val="26"/>
        </w:rPr>
        <w:t xml:space="preserve">on Jasmine’s hands and </w:t>
      </w:r>
      <w:r w:rsidR="008F00C2" w:rsidRPr="00D63571">
        <w:rPr>
          <w:szCs w:val="26"/>
        </w:rPr>
        <w:t>feet</w:t>
      </w:r>
      <w:r w:rsidR="008F00C2">
        <w:rPr>
          <w:szCs w:val="26"/>
        </w:rPr>
        <w:t xml:space="preserve"> and the stab and slice wounds to various parts of Mike’s, Maritza’s, and Ana’s bodies</w:t>
      </w:r>
      <w:r w:rsidR="008F00C2" w:rsidRPr="00D63571">
        <w:rPr>
          <w:szCs w:val="26"/>
        </w:rPr>
        <w:t>.</w:t>
      </w:r>
      <w:r w:rsidR="008F00C2">
        <w:rPr>
          <w:szCs w:val="26"/>
        </w:rPr>
        <w:t xml:space="preserve">  The photographs</w:t>
      </w:r>
      <w:r w:rsidR="0058259B" w:rsidRPr="00D63571">
        <w:rPr>
          <w:szCs w:val="26"/>
        </w:rPr>
        <w:t xml:space="preserve"> also served to “illustrate and corroborate the testimony given by [witnesses] regarding the </w:t>
      </w:r>
      <w:r w:rsidR="0058259B" w:rsidRPr="00D63571">
        <w:rPr>
          <w:szCs w:val="26"/>
        </w:rPr>
        <w:lastRenderedPageBreak/>
        <w:t>circumstances of the crime” and discovery of the victims.  (</w:t>
      </w:r>
      <w:r w:rsidR="0058259B">
        <w:rPr>
          <w:i/>
          <w:szCs w:val="26"/>
        </w:rPr>
        <w:t xml:space="preserve">People v. </w:t>
      </w:r>
      <w:r w:rsidR="0058259B" w:rsidRPr="00D63571">
        <w:rPr>
          <w:i/>
          <w:szCs w:val="26"/>
        </w:rPr>
        <w:t>Scheid</w:t>
      </w:r>
      <w:r w:rsidR="0058259B" w:rsidRPr="00D63571">
        <w:rPr>
          <w:szCs w:val="26"/>
        </w:rPr>
        <w:t xml:space="preserve">, </w:t>
      </w:r>
      <w:r w:rsidR="0058259B" w:rsidRPr="00D63571">
        <w:rPr>
          <w:i/>
          <w:szCs w:val="26"/>
        </w:rPr>
        <w:t>supra</w:t>
      </w:r>
      <w:r w:rsidR="0058259B" w:rsidRPr="00D63571">
        <w:rPr>
          <w:szCs w:val="26"/>
        </w:rPr>
        <w:t>, 16 Cal.4th at p.</w:t>
      </w:r>
      <w:r w:rsidR="0058259B">
        <w:rPr>
          <w:szCs w:val="26"/>
        </w:rPr>
        <w:t> </w:t>
      </w:r>
      <w:r w:rsidR="0058259B" w:rsidRPr="00D63571">
        <w:rPr>
          <w:szCs w:val="26"/>
        </w:rPr>
        <w:t xml:space="preserve">18.)  </w:t>
      </w:r>
      <w:r w:rsidR="008F00C2">
        <w:rPr>
          <w:szCs w:val="26"/>
        </w:rPr>
        <w:t xml:space="preserve">For example, the </w:t>
      </w:r>
      <w:r w:rsidR="008F00C2" w:rsidRPr="00D63571">
        <w:rPr>
          <w:szCs w:val="26"/>
        </w:rPr>
        <w:t>photograph</w:t>
      </w:r>
      <w:r w:rsidR="008F00C2">
        <w:rPr>
          <w:szCs w:val="26"/>
        </w:rPr>
        <w:t>s</w:t>
      </w:r>
      <w:r w:rsidR="008F00C2" w:rsidRPr="00D63571">
        <w:rPr>
          <w:szCs w:val="26"/>
        </w:rPr>
        <w:t xml:space="preserve"> of </w:t>
      </w:r>
      <w:r w:rsidR="008F00C2">
        <w:rPr>
          <w:szCs w:val="26"/>
        </w:rPr>
        <w:t xml:space="preserve">Jasmine in the bathtub and </w:t>
      </w:r>
      <w:r w:rsidR="008F00C2" w:rsidRPr="00D63571">
        <w:rPr>
          <w:szCs w:val="26"/>
        </w:rPr>
        <w:t xml:space="preserve">Ana, Mike, and Maritza laying prone in Ana’s bedroom </w:t>
      </w:r>
      <w:r w:rsidR="008F00C2">
        <w:rPr>
          <w:szCs w:val="26"/>
        </w:rPr>
        <w:t>displayed the state of the bodies when they were discovered</w:t>
      </w:r>
      <w:r w:rsidR="008F00C2" w:rsidRPr="00D63571">
        <w:rPr>
          <w:szCs w:val="26"/>
        </w:rPr>
        <w:t>.</w:t>
      </w:r>
      <w:r w:rsidR="006937B4">
        <w:rPr>
          <w:szCs w:val="26"/>
        </w:rPr>
        <w:t xml:space="preserve">  </w:t>
      </w:r>
      <w:r w:rsidR="00192297">
        <w:rPr>
          <w:szCs w:val="26"/>
        </w:rPr>
        <w:t>And f</w:t>
      </w:r>
      <w:r w:rsidR="006937B4">
        <w:rPr>
          <w:szCs w:val="26"/>
        </w:rPr>
        <w:t>inally, t</w:t>
      </w:r>
      <w:r w:rsidR="0058259B" w:rsidRPr="00D63571">
        <w:rPr>
          <w:szCs w:val="26"/>
        </w:rPr>
        <w:t xml:space="preserve">he identification </w:t>
      </w:r>
      <w:r w:rsidR="0058259B">
        <w:rPr>
          <w:szCs w:val="26"/>
        </w:rPr>
        <w:t>photographs</w:t>
      </w:r>
      <w:r w:rsidR="0058259B" w:rsidRPr="00D63571">
        <w:rPr>
          <w:szCs w:val="26"/>
        </w:rPr>
        <w:t xml:space="preserve"> were also relevant to identify the victims and provide context to the subsequent photographs of each victim’s body.  Contrary to </w:t>
      </w:r>
      <w:r>
        <w:rPr>
          <w:szCs w:val="26"/>
        </w:rPr>
        <w:t>Morales</w:t>
      </w:r>
      <w:r w:rsidR="0058259B" w:rsidRPr="00D63571">
        <w:rPr>
          <w:szCs w:val="26"/>
        </w:rPr>
        <w:t xml:space="preserve">’s argument, the People were not required to stipulate to the identity of the victims.  </w:t>
      </w:r>
      <w:r w:rsidR="0058259B" w:rsidRPr="00D63571">
        <w:t xml:space="preserve">We have previously rejected the argument that “photographs are irrelevant or inadmissible simply because they duplicate testimony, depict uncontested facts, or trigger an offer to stipulate.”  </w:t>
      </w:r>
      <w:r w:rsidR="0058259B">
        <w:t>(</w:t>
      </w:r>
      <w:r w:rsidR="0058259B" w:rsidRPr="00D63571">
        <w:rPr>
          <w:i/>
        </w:rPr>
        <w:t xml:space="preserve">People v. </w:t>
      </w:r>
      <w:proofErr w:type="spellStart"/>
      <w:r w:rsidR="0058259B" w:rsidRPr="00D63571">
        <w:rPr>
          <w:i/>
        </w:rPr>
        <w:t>Stitely</w:t>
      </w:r>
      <w:proofErr w:type="spellEnd"/>
      <w:r w:rsidR="0058259B" w:rsidRPr="00D63571">
        <w:t xml:space="preserve"> (2005) 35 Cal.4th 514, 545; see also </w:t>
      </w:r>
      <w:r w:rsidR="0058259B">
        <w:rPr>
          <w:i/>
        </w:rPr>
        <w:t xml:space="preserve">People v. </w:t>
      </w:r>
      <w:r w:rsidR="0058259B" w:rsidRPr="00D63571">
        <w:rPr>
          <w:i/>
        </w:rPr>
        <w:t>Pride</w:t>
      </w:r>
      <w:r w:rsidR="0058259B" w:rsidRPr="00D63571">
        <w:t xml:space="preserve">, </w:t>
      </w:r>
      <w:r w:rsidR="0058259B" w:rsidRPr="00D63571">
        <w:rPr>
          <w:i/>
        </w:rPr>
        <w:t>supra</w:t>
      </w:r>
      <w:r w:rsidR="0058259B" w:rsidRPr="00D63571">
        <w:t>, 3 Cal.4th at p.</w:t>
      </w:r>
      <w:r w:rsidR="0058259B">
        <w:t> </w:t>
      </w:r>
      <w:r w:rsidR="0058259B" w:rsidRPr="00D63571">
        <w:t>243 [holding prosecution need not “accept antiseptic stipulations in lieu of photographic evidence”].)</w:t>
      </w:r>
    </w:p>
    <w:p w14:paraId="0F71DD5A" w14:textId="7585FFF2" w:rsidR="0058259B" w:rsidRDefault="00F6225E" w:rsidP="0058259B">
      <w:pPr>
        <w:ind w:firstLine="720"/>
        <w:rPr>
          <w:szCs w:val="26"/>
        </w:rPr>
      </w:pPr>
      <w:r>
        <w:rPr>
          <w:szCs w:val="26"/>
        </w:rPr>
        <w:t>Morales</w:t>
      </w:r>
      <w:r w:rsidR="0058259B" w:rsidRPr="00D63571">
        <w:rPr>
          <w:szCs w:val="26"/>
        </w:rPr>
        <w:t xml:space="preserve"> argues instead that the trial court abused its discretion in admitting </w:t>
      </w:r>
      <w:r w:rsidR="0058259B">
        <w:rPr>
          <w:szCs w:val="26"/>
        </w:rPr>
        <w:t>photographs</w:t>
      </w:r>
      <w:r w:rsidR="0058259B" w:rsidRPr="00D63571">
        <w:rPr>
          <w:szCs w:val="26"/>
        </w:rPr>
        <w:t xml:space="preserve"> because they were overly gruesome.  </w:t>
      </w:r>
      <w:r w:rsidR="0058259B">
        <w:rPr>
          <w:szCs w:val="26"/>
        </w:rPr>
        <w:t>We disagree:  T</w:t>
      </w:r>
      <w:r w:rsidR="0058259B" w:rsidRPr="00D63571">
        <w:rPr>
          <w:szCs w:val="26"/>
        </w:rPr>
        <w:t xml:space="preserve">he trial court did not abuse its discretion when it found that the probative value of each </w:t>
      </w:r>
      <w:r w:rsidR="0058259B">
        <w:rPr>
          <w:szCs w:val="26"/>
        </w:rPr>
        <w:t xml:space="preserve">of the admitted </w:t>
      </w:r>
      <w:r w:rsidR="0058259B" w:rsidRPr="00D63571">
        <w:rPr>
          <w:szCs w:val="26"/>
        </w:rPr>
        <w:t>photograph</w:t>
      </w:r>
      <w:r w:rsidR="0058259B">
        <w:rPr>
          <w:szCs w:val="26"/>
        </w:rPr>
        <w:t>s</w:t>
      </w:r>
      <w:r w:rsidR="0058259B" w:rsidRPr="00D63571">
        <w:rPr>
          <w:szCs w:val="26"/>
        </w:rPr>
        <w:t xml:space="preserve"> outweighed its prejudicial effect</w:t>
      </w:r>
      <w:r w:rsidR="0058259B">
        <w:rPr>
          <w:szCs w:val="26"/>
        </w:rPr>
        <w:t>, while excluding other photo</w:t>
      </w:r>
      <w:r w:rsidR="00830DD2">
        <w:rPr>
          <w:szCs w:val="26"/>
        </w:rPr>
        <w:t>graphs</w:t>
      </w:r>
      <w:r w:rsidR="0058259B">
        <w:rPr>
          <w:szCs w:val="26"/>
        </w:rPr>
        <w:t xml:space="preserve"> for failure to pass this threshold</w:t>
      </w:r>
      <w:r w:rsidR="0058259B" w:rsidRPr="00D63571">
        <w:rPr>
          <w:szCs w:val="26"/>
        </w:rPr>
        <w:t xml:space="preserve">.  (See </w:t>
      </w:r>
      <w:proofErr w:type="spellStart"/>
      <w:r w:rsidR="0058259B" w:rsidRPr="00D63571">
        <w:rPr>
          <w:szCs w:val="26"/>
        </w:rPr>
        <w:t>Evid</w:t>
      </w:r>
      <w:proofErr w:type="spellEnd"/>
      <w:r w:rsidR="0058259B" w:rsidRPr="00D63571">
        <w:rPr>
          <w:szCs w:val="26"/>
        </w:rPr>
        <w:t>. Code, §</w:t>
      </w:r>
      <w:r w:rsidR="0058259B">
        <w:rPr>
          <w:szCs w:val="26"/>
        </w:rPr>
        <w:t> </w:t>
      </w:r>
      <w:r w:rsidR="0058259B" w:rsidRPr="00D63571">
        <w:rPr>
          <w:szCs w:val="26"/>
        </w:rPr>
        <w:t>352.)</w:t>
      </w:r>
    </w:p>
    <w:p w14:paraId="1E456E02" w14:textId="21058E13" w:rsidR="0058259B" w:rsidRDefault="009D22A3" w:rsidP="0058259B">
      <w:pPr>
        <w:ind w:firstLine="720"/>
        <w:rPr>
          <w:szCs w:val="26"/>
        </w:rPr>
      </w:pPr>
      <w:proofErr w:type="gramStart"/>
      <w:r>
        <w:rPr>
          <w:szCs w:val="26"/>
        </w:rPr>
        <w:t>M</w:t>
      </w:r>
      <w:r w:rsidR="0058259B" w:rsidRPr="00D63571">
        <w:rPr>
          <w:szCs w:val="26"/>
        </w:rPr>
        <w:t>any</w:t>
      </w:r>
      <w:proofErr w:type="gramEnd"/>
      <w:r w:rsidR="0058259B" w:rsidRPr="00D63571">
        <w:rPr>
          <w:szCs w:val="26"/>
        </w:rPr>
        <w:t xml:space="preserve"> of the </w:t>
      </w:r>
      <w:r w:rsidR="0058259B">
        <w:rPr>
          <w:szCs w:val="26"/>
        </w:rPr>
        <w:t>photographs</w:t>
      </w:r>
      <w:r w:rsidR="0058259B" w:rsidRPr="00D63571">
        <w:rPr>
          <w:szCs w:val="26"/>
        </w:rPr>
        <w:t xml:space="preserve"> are </w:t>
      </w:r>
      <w:r>
        <w:rPr>
          <w:szCs w:val="26"/>
        </w:rPr>
        <w:t xml:space="preserve">undoubtedly </w:t>
      </w:r>
      <w:r w:rsidR="0058259B" w:rsidRPr="00D63571">
        <w:rPr>
          <w:szCs w:val="26"/>
        </w:rPr>
        <w:t>graphic and disturbing</w:t>
      </w:r>
      <w:r w:rsidR="004A6DB6">
        <w:rPr>
          <w:szCs w:val="26"/>
        </w:rPr>
        <w:t>, especially the photographs of the injuries Jasmine suffered when assaulted</w:t>
      </w:r>
      <w:r w:rsidR="0058259B" w:rsidRPr="00D63571">
        <w:rPr>
          <w:szCs w:val="26"/>
        </w:rPr>
        <w:t>.  But “</w:t>
      </w:r>
      <w:r w:rsidR="0058259B">
        <w:rPr>
          <w:szCs w:val="26"/>
        </w:rPr>
        <w:t> ‘</w:t>
      </w:r>
      <w:r w:rsidR="0058259B" w:rsidRPr="00D63571">
        <w:rPr>
          <w:szCs w:val="26"/>
        </w:rPr>
        <w:t>victim photographs and other graphic items of evidence in murder cases always are disturbing.</w:t>
      </w:r>
      <w:r w:rsidR="0058259B">
        <w:rPr>
          <w:szCs w:val="26"/>
        </w:rPr>
        <w:t>’ </w:t>
      </w:r>
      <w:r w:rsidR="0058259B" w:rsidRPr="00D63571">
        <w:rPr>
          <w:szCs w:val="26"/>
        </w:rPr>
        <w:t>”  (</w:t>
      </w:r>
      <w:r w:rsidR="0058259B">
        <w:rPr>
          <w:i/>
          <w:szCs w:val="26"/>
        </w:rPr>
        <w:t xml:space="preserve">People v. </w:t>
      </w:r>
      <w:r w:rsidR="0058259B" w:rsidRPr="00D63571">
        <w:rPr>
          <w:i/>
          <w:szCs w:val="26"/>
        </w:rPr>
        <w:t>Scheid</w:t>
      </w:r>
      <w:r w:rsidR="0058259B" w:rsidRPr="00D63571">
        <w:rPr>
          <w:szCs w:val="26"/>
        </w:rPr>
        <w:t xml:space="preserve">, </w:t>
      </w:r>
      <w:r w:rsidR="0058259B" w:rsidRPr="00D63571">
        <w:rPr>
          <w:i/>
          <w:szCs w:val="26"/>
        </w:rPr>
        <w:t>supra</w:t>
      </w:r>
      <w:r w:rsidR="0058259B" w:rsidRPr="00D63571">
        <w:rPr>
          <w:szCs w:val="26"/>
        </w:rPr>
        <w:t>, 16 Cal.4th at p.</w:t>
      </w:r>
      <w:r w:rsidR="0058259B">
        <w:rPr>
          <w:szCs w:val="26"/>
        </w:rPr>
        <w:t> </w:t>
      </w:r>
      <w:r w:rsidR="0058259B" w:rsidRPr="00D63571">
        <w:rPr>
          <w:szCs w:val="26"/>
        </w:rPr>
        <w:t xml:space="preserve">19.)  </w:t>
      </w:r>
      <w:r w:rsidR="0058259B">
        <w:rPr>
          <w:szCs w:val="26"/>
        </w:rPr>
        <w:t xml:space="preserve">A </w:t>
      </w:r>
      <w:r w:rsidR="0058259B" w:rsidRPr="00D63571">
        <w:rPr>
          <w:szCs w:val="26"/>
        </w:rPr>
        <w:t>trial court</w:t>
      </w:r>
      <w:r w:rsidR="0058259B">
        <w:rPr>
          <w:szCs w:val="26"/>
        </w:rPr>
        <w:t xml:space="preserve"> may</w:t>
      </w:r>
      <w:r w:rsidR="0058259B" w:rsidRPr="00D63571">
        <w:rPr>
          <w:szCs w:val="26"/>
        </w:rPr>
        <w:t xml:space="preserve"> admit </w:t>
      </w:r>
      <w:r w:rsidR="0058259B">
        <w:rPr>
          <w:szCs w:val="26"/>
        </w:rPr>
        <w:t>photographs</w:t>
      </w:r>
      <w:r w:rsidR="0058259B" w:rsidRPr="00D63571">
        <w:rPr>
          <w:szCs w:val="26"/>
        </w:rPr>
        <w:t xml:space="preserve"> of victims even when the </w:t>
      </w:r>
      <w:r w:rsidR="0058259B">
        <w:rPr>
          <w:szCs w:val="26"/>
        </w:rPr>
        <w:t>photographs</w:t>
      </w:r>
      <w:r w:rsidR="0058259B" w:rsidRPr="00D63571">
        <w:rPr>
          <w:szCs w:val="26"/>
        </w:rPr>
        <w:t xml:space="preserve"> are “gruesome” if “the charged offenses were gruesome” and the </w:t>
      </w:r>
      <w:r w:rsidR="0058259B">
        <w:rPr>
          <w:szCs w:val="26"/>
        </w:rPr>
        <w:t>photographs</w:t>
      </w:r>
      <w:r w:rsidR="0058259B" w:rsidRPr="00D63571">
        <w:rPr>
          <w:szCs w:val="26"/>
        </w:rPr>
        <w:t xml:space="preserve"> “[do] no more than accurately </w:t>
      </w:r>
      <w:r w:rsidR="0058259B" w:rsidRPr="00D63571">
        <w:rPr>
          <w:szCs w:val="26"/>
        </w:rPr>
        <w:lastRenderedPageBreak/>
        <w:t>portray the shocking nature of the crimes.”  (</w:t>
      </w:r>
      <w:r w:rsidR="0058259B">
        <w:rPr>
          <w:i/>
          <w:szCs w:val="26"/>
        </w:rPr>
        <w:t xml:space="preserve">People v. </w:t>
      </w:r>
      <w:r w:rsidR="0058259B" w:rsidRPr="00D63571">
        <w:rPr>
          <w:i/>
          <w:szCs w:val="26"/>
        </w:rPr>
        <w:t>Ramirez</w:t>
      </w:r>
      <w:r w:rsidR="0058259B" w:rsidRPr="00D63571">
        <w:rPr>
          <w:szCs w:val="26"/>
        </w:rPr>
        <w:t xml:space="preserve">, </w:t>
      </w:r>
      <w:r w:rsidR="0058259B" w:rsidRPr="00D63571">
        <w:rPr>
          <w:i/>
          <w:szCs w:val="26"/>
        </w:rPr>
        <w:t>supra</w:t>
      </w:r>
      <w:r w:rsidR="0058259B" w:rsidRPr="00D63571">
        <w:rPr>
          <w:szCs w:val="26"/>
        </w:rPr>
        <w:t>, 39 Cal.4th at p.</w:t>
      </w:r>
      <w:r w:rsidR="0058259B">
        <w:rPr>
          <w:szCs w:val="26"/>
        </w:rPr>
        <w:t> </w:t>
      </w:r>
      <w:r w:rsidR="0058259B" w:rsidRPr="00D63571">
        <w:rPr>
          <w:szCs w:val="26"/>
        </w:rPr>
        <w:t xml:space="preserve">454 [finding picture with victim’s eyeballs removed not overly graphic]; </w:t>
      </w:r>
      <w:r w:rsidR="0058259B" w:rsidRPr="00D63571">
        <w:t xml:space="preserve">see, e.g., </w:t>
      </w:r>
      <w:r w:rsidR="0058259B" w:rsidRPr="00D63571">
        <w:rPr>
          <w:i/>
        </w:rPr>
        <w:t>People v. Allen</w:t>
      </w:r>
      <w:r w:rsidR="0058259B">
        <w:t xml:space="preserve"> (1986)</w:t>
      </w:r>
      <w:r w:rsidR="0058259B" w:rsidRPr="00D63571">
        <w:t xml:space="preserve"> 42 Cal.3d </w:t>
      </w:r>
      <w:r w:rsidR="0058259B">
        <w:t>1222, 1257</w:t>
      </w:r>
      <w:r w:rsidR="0058259B" w:rsidRPr="00D63571">
        <w:rPr>
          <w:szCs w:val="26"/>
        </w:rPr>
        <w:t>–</w:t>
      </w:r>
      <w:r w:rsidR="0058259B" w:rsidRPr="00D63571">
        <w:t xml:space="preserve">1258 [describing autopsy and crime scene </w:t>
      </w:r>
      <w:r w:rsidR="0058259B">
        <w:t>photographs</w:t>
      </w:r>
      <w:r w:rsidR="0058259B" w:rsidRPr="00D63571">
        <w:t xml:space="preserve"> of victims as “not exceptionally gruesome” in part because the victims’ bodies were not depicted “in a badly decomposed condition </w:t>
      </w:r>
      <w:r w:rsidR="00820DE4">
        <w:t xml:space="preserve">[citation] </w:t>
      </w:r>
      <w:r w:rsidR="0058259B" w:rsidRPr="00D63571">
        <w:t>or after they had been grossly disfigured during autopsy”].</w:t>
      </w:r>
      <w:r w:rsidR="0058259B" w:rsidRPr="00D63571">
        <w:rPr>
          <w:szCs w:val="26"/>
        </w:rPr>
        <w:t xml:space="preserve">) </w:t>
      </w:r>
      <w:r w:rsidR="0058259B">
        <w:rPr>
          <w:szCs w:val="26"/>
        </w:rPr>
        <w:t xml:space="preserve"> “The jury can, and must, be shielded from depictions that sensationalize an alleged crime, or are unnecessarily gruesome, but the jury cannot be shielded from an accurate depiction of the charged crimes that does not unnecessarily play upon the emotions of the jurors.”  (</w:t>
      </w:r>
      <w:r w:rsidR="0058259B">
        <w:rPr>
          <w:i/>
          <w:szCs w:val="26"/>
        </w:rPr>
        <w:t>Ramirez</w:t>
      </w:r>
      <w:r w:rsidR="0058259B">
        <w:rPr>
          <w:szCs w:val="26"/>
        </w:rPr>
        <w:t>, at p. 454.)  Here, each of the challenged photographs was highly relevant to the jury’s consideration of the issues, they were not cumulative, and they did not unnecessarily play on the jury’s emotions.</w:t>
      </w:r>
    </w:p>
    <w:p w14:paraId="4AAF95B7" w14:textId="4737BC47" w:rsidR="0058259B" w:rsidRDefault="0058259B" w:rsidP="0058259B">
      <w:pPr>
        <w:tabs>
          <w:tab w:val="left" w:pos="1440"/>
        </w:tabs>
        <w:ind w:firstLine="720"/>
        <w:rPr>
          <w:szCs w:val="26"/>
        </w:rPr>
      </w:pPr>
      <w:r w:rsidRPr="00D63571">
        <w:rPr>
          <w:szCs w:val="26"/>
        </w:rPr>
        <w:t xml:space="preserve">Nor </w:t>
      </w:r>
      <w:r>
        <w:rPr>
          <w:szCs w:val="26"/>
        </w:rPr>
        <w:t xml:space="preserve">did </w:t>
      </w:r>
      <w:r w:rsidRPr="00D63571">
        <w:rPr>
          <w:szCs w:val="26"/>
        </w:rPr>
        <w:t xml:space="preserve">the trial court </w:t>
      </w:r>
      <w:r>
        <w:rPr>
          <w:szCs w:val="26"/>
        </w:rPr>
        <w:t xml:space="preserve">abuse its discretion in refusing the defense’s request to publish the photographs in black and white instead of color.  </w:t>
      </w:r>
      <w:r w:rsidRPr="00D63571">
        <w:rPr>
          <w:szCs w:val="26"/>
        </w:rPr>
        <w:t xml:space="preserve">As the </w:t>
      </w:r>
      <w:r>
        <w:rPr>
          <w:szCs w:val="26"/>
        </w:rPr>
        <w:t xml:space="preserve">trial </w:t>
      </w:r>
      <w:r w:rsidRPr="00D63571">
        <w:rPr>
          <w:szCs w:val="26"/>
        </w:rPr>
        <w:t xml:space="preserve">court </w:t>
      </w:r>
      <w:r>
        <w:rPr>
          <w:szCs w:val="26"/>
        </w:rPr>
        <w:t xml:space="preserve">noted </w:t>
      </w:r>
      <w:r w:rsidRPr="00D63571">
        <w:rPr>
          <w:szCs w:val="26"/>
        </w:rPr>
        <w:t>at the pretrial hearing,</w:t>
      </w:r>
      <w:r>
        <w:rPr>
          <w:szCs w:val="26"/>
        </w:rPr>
        <w:t xml:space="preserve"> color photographs better depict the “reality” of the scene and the injuries to the victim.  The court did not err </w:t>
      </w:r>
      <w:r w:rsidR="00B654FC">
        <w:rPr>
          <w:szCs w:val="26"/>
        </w:rPr>
        <w:t xml:space="preserve">when it </w:t>
      </w:r>
      <w:r>
        <w:rPr>
          <w:szCs w:val="26"/>
        </w:rPr>
        <w:t>refus</w:t>
      </w:r>
      <w:r w:rsidR="00B654FC">
        <w:rPr>
          <w:szCs w:val="26"/>
        </w:rPr>
        <w:t>ed</w:t>
      </w:r>
      <w:r>
        <w:rPr>
          <w:szCs w:val="26"/>
        </w:rPr>
        <w:t xml:space="preserve"> to “</w:t>
      </w:r>
      <w:proofErr w:type="spellStart"/>
      <w:r>
        <w:rPr>
          <w:szCs w:val="26"/>
        </w:rPr>
        <w:t>sanitiz</w:t>
      </w:r>
      <w:proofErr w:type="spellEnd"/>
      <w:r>
        <w:rPr>
          <w:szCs w:val="26"/>
        </w:rPr>
        <w:t>[e] the crime scene by trying to disguise blood” through use of black and white photography.</w:t>
      </w:r>
      <w:r w:rsidR="00947694">
        <w:rPr>
          <w:szCs w:val="26"/>
        </w:rPr>
        <w:t xml:space="preserve">  (See</w:t>
      </w:r>
      <w:r w:rsidR="00947694" w:rsidRPr="00820578">
        <w:rPr>
          <w:szCs w:val="26"/>
        </w:rPr>
        <w:t xml:space="preserve"> </w:t>
      </w:r>
      <w:r w:rsidR="00947694" w:rsidRPr="00820578">
        <w:rPr>
          <w:i/>
          <w:iCs/>
          <w:szCs w:val="26"/>
        </w:rPr>
        <w:t>People v. Mathis</w:t>
      </w:r>
      <w:r w:rsidR="00947694" w:rsidRPr="00820578">
        <w:rPr>
          <w:szCs w:val="26"/>
        </w:rPr>
        <w:t xml:space="preserve"> (1965) 63 Cal.2d 416, 423 [“It is difficult for a reviewing</w:t>
      </w:r>
      <w:r w:rsidR="00947694" w:rsidRPr="00947694">
        <w:rPr>
          <w:szCs w:val="26"/>
        </w:rPr>
        <w:t xml:space="preserve"> court to determine if black-and-white would be less inflammatory than color pictures, but considering the subject matter it appears unlikely that the difference would be significant.  Since the pictures unquestionably did have evidentiary value and since the trial court thoughtfully weighed the alternatives before ruling, we do not find an abuse of discretion in admitting the photographs into evidence.”</w:t>
      </w:r>
      <w:r w:rsidR="00947694">
        <w:rPr>
          <w:szCs w:val="26"/>
        </w:rPr>
        <w:t>].)</w:t>
      </w:r>
    </w:p>
    <w:p w14:paraId="2A69FF69" w14:textId="4BC05724" w:rsidR="00BE07EC" w:rsidRPr="005A0AEB" w:rsidRDefault="0058259B" w:rsidP="0058259B">
      <w:pPr>
        <w:tabs>
          <w:tab w:val="left" w:pos="720"/>
          <w:tab w:val="left" w:pos="1170"/>
        </w:tabs>
        <w:ind w:firstLine="720"/>
        <w:rPr>
          <w:szCs w:val="24"/>
        </w:rPr>
      </w:pPr>
      <w:r>
        <w:rPr>
          <w:szCs w:val="26"/>
        </w:rPr>
        <w:lastRenderedPageBreak/>
        <w:t>In sum</w:t>
      </w:r>
      <w:r w:rsidRPr="00D63571">
        <w:rPr>
          <w:szCs w:val="26"/>
        </w:rPr>
        <w:t xml:space="preserve">, the trial court </w:t>
      </w:r>
      <w:r>
        <w:rPr>
          <w:szCs w:val="26"/>
        </w:rPr>
        <w:t xml:space="preserve">carefully </w:t>
      </w:r>
      <w:r w:rsidRPr="00D63571">
        <w:rPr>
          <w:szCs w:val="26"/>
        </w:rPr>
        <w:t xml:space="preserve">weighed each photograph’s probative value against its prejudicial impact, which led it to exclude </w:t>
      </w:r>
      <w:proofErr w:type="gramStart"/>
      <w:r w:rsidRPr="00D63571">
        <w:rPr>
          <w:szCs w:val="26"/>
        </w:rPr>
        <w:t>several</w:t>
      </w:r>
      <w:proofErr w:type="gramEnd"/>
      <w:r w:rsidRPr="00D63571">
        <w:rPr>
          <w:szCs w:val="26"/>
        </w:rPr>
        <w:t xml:space="preserve"> </w:t>
      </w:r>
      <w:r>
        <w:rPr>
          <w:szCs w:val="26"/>
        </w:rPr>
        <w:t>photographs and admit others</w:t>
      </w:r>
      <w:r w:rsidRPr="00D63571">
        <w:rPr>
          <w:szCs w:val="26"/>
        </w:rPr>
        <w:t xml:space="preserve">.  </w:t>
      </w:r>
      <w:r>
        <w:rPr>
          <w:szCs w:val="26"/>
        </w:rPr>
        <w:t>T</w:t>
      </w:r>
      <w:r w:rsidRPr="00D63571">
        <w:rPr>
          <w:szCs w:val="26"/>
        </w:rPr>
        <w:t xml:space="preserve">he trial court </w:t>
      </w:r>
      <w:r>
        <w:rPr>
          <w:szCs w:val="26"/>
        </w:rPr>
        <w:t xml:space="preserve">did not </w:t>
      </w:r>
      <w:r w:rsidRPr="00D63571">
        <w:rPr>
          <w:szCs w:val="26"/>
        </w:rPr>
        <w:t xml:space="preserve">abuse its discretion </w:t>
      </w:r>
      <w:r>
        <w:rPr>
          <w:szCs w:val="26"/>
        </w:rPr>
        <w:t>in conducting this inquiry</w:t>
      </w:r>
      <w:r w:rsidRPr="00D63571">
        <w:rPr>
          <w:szCs w:val="26"/>
        </w:rPr>
        <w:t xml:space="preserve">. </w:t>
      </w:r>
      <w:r>
        <w:rPr>
          <w:szCs w:val="26"/>
        </w:rPr>
        <w:t xml:space="preserve"> </w:t>
      </w:r>
      <w:r w:rsidR="00F6225E">
        <w:rPr>
          <w:szCs w:val="26"/>
        </w:rPr>
        <w:t>Morales</w:t>
      </w:r>
      <w:r>
        <w:rPr>
          <w:szCs w:val="26"/>
        </w:rPr>
        <w:t xml:space="preserve">’s Evidence Code challenge to the admission of the photographs thus fails, and his constitutional challenge fails for the same reasons.  </w:t>
      </w:r>
      <w:r w:rsidRPr="00D63571">
        <w:t>(See</w:t>
      </w:r>
      <w:r>
        <w:t>, e.g.,</w:t>
      </w:r>
      <w:r w:rsidRPr="00D63571">
        <w:t xml:space="preserve"> </w:t>
      </w:r>
      <w:r w:rsidRPr="00D63571">
        <w:rPr>
          <w:i/>
        </w:rPr>
        <w:t>People v. Prince</w:t>
      </w:r>
      <w:r w:rsidRPr="00D63571">
        <w:t xml:space="preserve">, </w:t>
      </w:r>
      <w:r w:rsidRPr="00D63571">
        <w:rPr>
          <w:i/>
        </w:rPr>
        <w:t>supra</w:t>
      </w:r>
      <w:r w:rsidRPr="00D63571">
        <w:t>, 40</w:t>
      </w:r>
      <w:r w:rsidR="00CD4C41">
        <w:t> </w:t>
      </w:r>
      <w:r w:rsidRPr="00D63571">
        <w:t>Cal.4th at p.</w:t>
      </w:r>
      <w:r>
        <w:t> </w:t>
      </w:r>
      <w:r w:rsidRPr="00D63571">
        <w:t>1230.)</w:t>
      </w:r>
    </w:p>
    <w:p w14:paraId="3F781E9C" w14:textId="5475FF19" w:rsidR="00BE07EC" w:rsidRPr="005A0AEB" w:rsidRDefault="00BE07EC" w:rsidP="003153C6">
      <w:pPr>
        <w:keepNext/>
        <w:tabs>
          <w:tab w:val="left" w:pos="1152"/>
        </w:tabs>
        <w:spacing w:before="240"/>
        <w:ind w:left="1152" w:hanging="432"/>
        <w:outlineLvl w:val="1"/>
        <w:rPr>
          <w:b/>
        </w:rPr>
      </w:pPr>
      <w:bookmarkStart w:id="38" w:name="_Toc31888615"/>
      <w:bookmarkStart w:id="39" w:name="_Toc34223171"/>
      <w:bookmarkStart w:id="40" w:name="_Toc21438477"/>
      <w:bookmarkEnd w:id="6"/>
      <w:bookmarkEnd w:id="7"/>
      <w:r w:rsidRPr="005A0AEB">
        <w:rPr>
          <w:b/>
        </w:rPr>
        <w:t xml:space="preserve">B.  </w:t>
      </w:r>
      <w:bookmarkEnd w:id="38"/>
      <w:bookmarkEnd w:id="39"/>
      <w:r w:rsidR="0058259B" w:rsidRPr="0058259B">
        <w:rPr>
          <w:b/>
          <w:noProof/>
        </w:rPr>
        <w:t>Penalty Phase Issues</w:t>
      </w:r>
    </w:p>
    <w:p w14:paraId="3C7DBD38" w14:textId="0C3763FF" w:rsidR="00BE07EC" w:rsidRPr="005A0AEB" w:rsidRDefault="0058259B" w:rsidP="003153C6">
      <w:pPr>
        <w:keepNext/>
        <w:numPr>
          <w:ilvl w:val="0"/>
          <w:numId w:val="17"/>
        </w:numPr>
        <w:tabs>
          <w:tab w:val="left" w:pos="1584"/>
        </w:tabs>
        <w:spacing w:before="240"/>
        <w:outlineLvl w:val="2"/>
        <w:rPr>
          <w:i/>
        </w:rPr>
      </w:pPr>
      <w:r w:rsidRPr="0058259B">
        <w:rPr>
          <w:i/>
        </w:rPr>
        <w:t>Admission of Victim Impact Evidence</w:t>
      </w:r>
    </w:p>
    <w:p w14:paraId="1FE30F68" w14:textId="2328DC9B" w:rsidR="0058259B" w:rsidRPr="00D63571" w:rsidRDefault="00F6225E" w:rsidP="0058259B">
      <w:pPr>
        <w:tabs>
          <w:tab w:val="left" w:pos="1440"/>
        </w:tabs>
        <w:ind w:firstLine="720"/>
        <w:rPr>
          <w:szCs w:val="26"/>
        </w:rPr>
      </w:pPr>
      <w:r>
        <w:rPr>
          <w:szCs w:val="26"/>
        </w:rPr>
        <w:t>Morales</w:t>
      </w:r>
      <w:r w:rsidR="0058259B" w:rsidRPr="00D63571">
        <w:rPr>
          <w:szCs w:val="26"/>
        </w:rPr>
        <w:t xml:space="preserve"> argues that the victim impact testimony of surviving family members was “so voluminous, inflammatory and unduly prejudicial” that it violated his rights to due process and a fair trial under the Fifth and Fourteenth Amendments</w:t>
      </w:r>
      <w:r w:rsidR="0058259B">
        <w:rPr>
          <w:szCs w:val="26"/>
        </w:rPr>
        <w:t xml:space="preserve"> to the United States Constitution</w:t>
      </w:r>
      <w:r w:rsidR="0058259B" w:rsidRPr="00D63571">
        <w:rPr>
          <w:szCs w:val="26"/>
        </w:rPr>
        <w:t>, and contravened the Eight</w:t>
      </w:r>
      <w:r w:rsidR="007801F0">
        <w:rPr>
          <w:szCs w:val="26"/>
        </w:rPr>
        <w:t>h</w:t>
      </w:r>
      <w:r w:rsidR="0058259B" w:rsidRPr="00D63571">
        <w:rPr>
          <w:szCs w:val="26"/>
        </w:rPr>
        <w:t xml:space="preserve"> Amendment’s mandate that the death penalty be rationally and reliably imposed.</w:t>
      </w:r>
      <w:r w:rsidR="00547B53">
        <w:rPr>
          <w:szCs w:val="26"/>
        </w:rPr>
        <w:t xml:space="preserve"> </w:t>
      </w:r>
      <w:r w:rsidR="0058259B" w:rsidRPr="00D63571">
        <w:rPr>
          <w:szCs w:val="26"/>
        </w:rPr>
        <w:t xml:space="preserve"> </w:t>
      </w:r>
      <w:r>
        <w:rPr>
          <w:szCs w:val="26"/>
        </w:rPr>
        <w:t>Morales</w:t>
      </w:r>
      <w:r w:rsidR="0058259B" w:rsidRPr="00D63571">
        <w:rPr>
          <w:szCs w:val="26"/>
        </w:rPr>
        <w:t xml:space="preserve"> then argues that the trial court “compounded” this error by declining to give </w:t>
      </w:r>
      <w:r>
        <w:rPr>
          <w:szCs w:val="26"/>
        </w:rPr>
        <w:t>Morales</w:t>
      </w:r>
      <w:r w:rsidR="0058259B" w:rsidRPr="00D63571">
        <w:rPr>
          <w:szCs w:val="26"/>
        </w:rPr>
        <w:t>’s proposed instruction on evaluating victim impact evidence</w:t>
      </w:r>
      <w:r w:rsidR="00C84CB5">
        <w:rPr>
          <w:szCs w:val="26"/>
        </w:rPr>
        <w:t> </w:t>
      </w:r>
      <w:r w:rsidR="0058259B" w:rsidRPr="00D63571">
        <w:rPr>
          <w:szCs w:val="26"/>
        </w:rPr>
        <w:t>—</w:t>
      </w:r>
      <w:r w:rsidR="00C84CB5">
        <w:rPr>
          <w:szCs w:val="26"/>
        </w:rPr>
        <w:t xml:space="preserve"> </w:t>
      </w:r>
      <w:r w:rsidR="0058259B" w:rsidRPr="00D63571">
        <w:rPr>
          <w:szCs w:val="26"/>
        </w:rPr>
        <w:t xml:space="preserve">a modified version of </w:t>
      </w:r>
      <w:r w:rsidR="0058259B">
        <w:rPr>
          <w:szCs w:val="26"/>
        </w:rPr>
        <w:t xml:space="preserve">a supplement to </w:t>
      </w:r>
      <w:r w:rsidR="0058259B" w:rsidRPr="00D63571">
        <w:rPr>
          <w:szCs w:val="26"/>
        </w:rPr>
        <w:t>CALJIC</w:t>
      </w:r>
      <w:r w:rsidR="0058259B">
        <w:rPr>
          <w:szCs w:val="26"/>
        </w:rPr>
        <w:t xml:space="preserve"> No. </w:t>
      </w:r>
      <w:r w:rsidR="0058259B" w:rsidRPr="00D63571">
        <w:rPr>
          <w:szCs w:val="26"/>
        </w:rPr>
        <w:t xml:space="preserve">8.85.  </w:t>
      </w:r>
      <w:r w:rsidR="000240DF">
        <w:rPr>
          <w:szCs w:val="26"/>
        </w:rPr>
        <w:t>H</w:t>
      </w:r>
      <w:r w:rsidR="0058259B" w:rsidRPr="00D63571">
        <w:rPr>
          <w:szCs w:val="26"/>
        </w:rPr>
        <w:t>e is wrong on both fronts.</w:t>
      </w:r>
    </w:p>
    <w:p w14:paraId="010B1C2D" w14:textId="7E4A400E" w:rsidR="0058259B" w:rsidRPr="005A0AEB" w:rsidRDefault="0058259B" w:rsidP="0058259B">
      <w:pPr>
        <w:keepNext/>
        <w:tabs>
          <w:tab w:val="left" w:pos="2016"/>
        </w:tabs>
        <w:spacing w:before="240"/>
        <w:ind w:left="2016" w:hanging="432"/>
        <w:outlineLvl w:val="3"/>
        <w:rPr>
          <w:i/>
        </w:rPr>
      </w:pPr>
      <w:r>
        <w:rPr>
          <w:i/>
        </w:rPr>
        <w:t>a</w:t>
      </w:r>
      <w:r w:rsidRPr="005A0AEB">
        <w:rPr>
          <w:i/>
        </w:rPr>
        <w:t>.</w:t>
      </w:r>
      <w:r w:rsidRPr="005A0AEB">
        <w:rPr>
          <w:i/>
        </w:rPr>
        <w:tab/>
      </w:r>
      <w:r>
        <w:rPr>
          <w:i/>
        </w:rPr>
        <w:t>Background</w:t>
      </w:r>
    </w:p>
    <w:p w14:paraId="66AE281F" w14:textId="36AD1CC5" w:rsidR="0058259B" w:rsidRDefault="0058259B" w:rsidP="0058259B">
      <w:pPr>
        <w:ind w:firstLine="720"/>
      </w:pPr>
      <w:r w:rsidRPr="00D63571">
        <w:t>A</w:t>
      </w:r>
      <w:r>
        <w:t>s noted above, a</w:t>
      </w:r>
      <w:r w:rsidRPr="00D63571">
        <w:t xml:space="preserve">t the penalty phase of trial, </w:t>
      </w:r>
      <w:proofErr w:type="gramStart"/>
      <w:r w:rsidRPr="00D63571">
        <w:t>several of</w:t>
      </w:r>
      <w:proofErr w:type="gramEnd"/>
      <w:r w:rsidRPr="00D63571">
        <w:t xml:space="preserve"> the victims’ surviving relatives testified.  Raquel Trejo (Maritza’s daughter, Mike’s stepdaughter, and Jasmine’s sister) testified first.  Raquel detailed the day she found the house in disarray and learned that her family had been killed; she was in shock and disbelief until she finally realized they were </w:t>
      </w:r>
      <w:proofErr w:type="gramStart"/>
      <w:r w:rsidRPr="00D63571">
        <w:t>really dead</w:t>
      </w:r>
      <w:proofErr w:type="gramEnd"/>
      <w:r w:rsidRPr="00D63571">
        <w:t>.</w:t>
      </w:r>
      <w:r>
        <w:t xml:space="preserve">  </w:t>
      </w:r>
      <w:r w:rsidRPr="00D63571">
        <w:t xml:space="preserve">She then described her relationship with each of the victims.  </w:t>
      </w:r>
      <w:r w:rsidRPr="00D63571">
        <w:lastRenderedPageBreak/>
        <w:t xml:space="preserve">She loved Jasmine, her “baby girl,” and she spent </w:t>
      </w:r>
      <w:proofErr w:type="gramStart"/>
      <w:r w:rsidRPr="00D63571">
        <w:t>a lot of</w:t>
      </w:r>
      <w:proofErr w:type="gramEnd"/>
      <w:r w:rsidRPr="00D63571">
        <w:t xml:space="preserve"> time with her.  Raquel, who had immigrated to the United States </w:t>
      </w:r>
      <w:proofErr w:type="gramStart"/>
      <w:r w:rsidRPr="00D63571">
        <w:t>a few</w:t>
      </w:r>
      <w:proofErr w:type="gramEnd"/>
      <w:r w:rsidRPr="00D63571">
        <w:t xml:space="preserve"> years earlier, said Jasmine was the only reason Raquel did not return to El Salvador.  Jasmine was </w:t>
      </w:r>
      <w:proofErr w:type="gramStart"/>
      <w:r w:rsidRPr="00D63571">
        <w:t>very happy</w:t>
      </w:r>
      <w:proofErr w:type="gramEnd"/>
      <w:r w:rsidRPr="00D63571">
        <w:t>, smart, and active, and she used to emulate Raquel</w:t>
      </w:r>
      <w:r w:rsidR="00C84CB5">
        <w:t> </w:t>
      </w:r>
      <w:r>
        <w:t>—</w:t>
      </w:r>
      <w:r w:rsidR="00C84CB5">
        <w:t xml:space="preserve"> </w:t>
      </w:r>
      <w:r>
        <w:t>a quality</w:t>
      </w:r>
      <w:r w:rsidRPr="00D63571">
        <w:t xml:space="preserve"> Raquel now missed.  </w:t>
      </w:r>
      <w:r>
        <w:t xml:space="preserve">Raquel </w:t>
      </w:r>
      <w:r w:rsidRPr="00D63571">
        <w:t>discussed several pictures of Jasmine</w:t>
      </w:r>
      <w:r>
        <w:t>,</w:t>
      </w:r>
      <w:r w:rsidRPr="00D63571">
        <w:t xml:space="preserve"> as well as one of Jasmine’s drawings, on which Jasmine had written “</w:t>
      </w:r>
      <w:r w:rsidRPr="00D63571">
        <w:rPr>
          <w:szCs w:val="26"/>
        </w:rPr>
        <w:t>I love my family.  My mom and dad are the best in the world.  And my sister</w:t>
      </w:r>
      <w:r>
        <w:rPr>
          <w:szCs w:val="26"/>
        </w:rPr>
        <w:t xml:space="preserve"> she</w:t>
      </w:r>
      <w:r w:rsidRPr="00D63571">
        <w:rPr>
          <w:szCs w:val="26"/>
        </w:rPr>
        <w:t xml:space="preserve"> is the best in the world, to</w:t>
      </w:r>
      <w:r>
        <w:rPr>
          <w:szCs w:val="26"/>
        </w:rPr>
        <w:t xml:space="preserve"> [</w:t>
      </w:r>
      <w:r w:rsidRPr="00B2253D">
        <w:rPr>
          <w:i/>
          <w:szCs w:val="26"/>
        </w:rPr>
        <w:t>sic</w:t>
      </w:r>
      <w:r>
        <w:rPr>
          <w:szCs w:val="26"/>
        </w:rPr>
        <w:t>]</w:t>
      </w:r>
      <w:r w:rsidRPr="00D63571">
        <w:rPr>
          <w:szCs w:val="26"/>
        </w:rPr>
        <w:t>.”</w:t>
      </w:r>
    </w:p>
    <w:p w14:paraId="42461CFB" w14:textId="264EDA60" w:rsidR="0058259B" w:rsidRPr="00D63571" w:rsidRDefault="0058259B" w:rsidP="0058259B">
      <w:pPr>
        <w:ind w:firstLine="720"/>
      </w:pPr>
      <w:r w:rsidRPr="00D63571">
        <w:t xml:space="preserve">Raquel was also </w:t>
      </w:r>
      <w:proofErr w:type="gramStart"/>
      <w:r w:rsidRPr="00D63571">
        <w:t>very close</w:t>
      </w:r>
      <w:proofErr w:type="gramEnd"/>
      <w:r w:rsidRPr="00D63571">
        <w:t xml:space="preserve"> to her mother, whom she considered a friend.  Since moving to the United States, Raquel had enjoyed her time with her mother, whom she described as always happy and very hardworking.  She lamented no longer having her mother to confide in.  As </w:t>
      </w:r>
      <w:r w:rsidR="001C7E4A">
        <w:t xml:space="preserve">for </w:t>
      </w:r>
      <w:r w:rsidRPr="00D63571">
        <w:t xml:space="preserve">Mike, </w:t>
      </w:r>
      <w:r w:rsidR="001C7E4A">
        <w:t xml:space="preserve">Raquel testified </w:t>
      </w:r>
      <w:r w:rsidRPr="00D63571">
        <w:t xml:space="preserve">he treated </w:t>
      </w:r>
      <w:r w:rsidR="001C7E4A">
        <w:t xml:space="preserve">her </w:t>
      </w:r>
      <w:r w:rsidRPr="00D63571">
        <w:t xml:space="preserve">like she was his daughter and he was always proud of her.  Now she no longer had his support or her family around to celebrate with her.  </w:t>
      </w:r>
      <w:r>
        <w:t>And</w:t>
      </w:r>
      <w:r w:rsidRPr="00D63571">
        <w:t xml:space="preserve"> Raquel described Ana as </w:t>
      </w:r>
      <w:proofErr w:type="gramStart"/>
      <w:r w:rsidRPr="00D63571">
        <w:t>very sweet</w:t>
      </w:r>
      <w:proofErr w:type="gramEnd"/>
      <w:r w:rsidRPr="00D63571">
        <w:t xml:space="preserve">, someone who always made sure everyone in the family was okay.  Raquel then testified that she participated in therapy for two years before </w:t>
      </w:r>
      <w:r>
        <w:t xml:space="preserve">enrolling in </w:t>
      </w:r>
      <w:r w:rsidRPr="00D63571">
        <w:t xml:space="preserve">college, and that recently she had restarted therapy and was taking medicine to help her concentration.  She testified she sometimes felt guilty for not being present when the murders </w:t>
      </w:r>
      <w:r>
        <w:t>occurred</w:t>
      </w:r>
      <w:r w:rsidRPr="00D63571">
        <w:t xml:space="preserve">.  </w:t>
      </w:r>
      <w:r>
        <w:t>Lastly, s</w:t>
      </w:r>
      <w:r w:rsidRPr="00D63571">
        <w:t>he identified Jasmine in a one-minute video clip</w:t>
      </w:r>
      <w:r w:rsidRPr="00916139">
        <w:t xml:space="preserve"> </w:t>
      </w:r>
      <w:r>
        <w:t>that showed Jasmine playing with a friend</w:t>
      </w:r>
      <w:r w:rsidR="001C7E4A">
        <w:t xml:space="preserve">.  Raquel </w:t>
      </w:r>
      <w:r w:rsidRPr="00D63571">
        <w:t>indicat</w:t>
      </w:r>
      <w:r w:rsidR="001C7E4A">
        <w:t>ed</w:t>
      </w:r>
      <w:r w:rsidRPr="00D63571">
        <w:t xml:space="preserve"> that </w:t>
      </w:r>
      <w:r>
        <w:t xml:space="preserve">the clip </w:t>
      </w:r>
      <w:r w:rsidRPr="00D63571">
        <w:t>reflected Jasmine</w:t>
      </w:r>
      <w:r>
        <w:t>’s happy demeanor</w:t>
      </w:r>
      <w:r w:rsidRPr="00D63571">
        <w:t>.</w:t>
      </w:r>
    </w:p>
    <w:p w14:paraId="16D29C5B" w14:textId="5067C212" w:rsidR="0058259B" w:rsidRPr="00D63571" w:rsidRDefault="0058259B" w:rsidP="0058259B">
      <w:pPr>
        <w:ind w:firstLine="720"/>
        <w:rPr>
          <w:highlight w:val="cyan"/>
        </w:rPr>
      </w:pPr>
      <w:r w:rsidRPr="00D63571">
        <w:t xml:space="preserve">The next witness was </w:t>
      </w:r>
      <w:proofErr w:type="spellStart"/>
      <w:r w:rsidRPr="00D63571">
        <w:t>Kenelly</w:t>
      </w:r>
      <w:proofErr w:type="spellEnd"/>
      <w:r w:rsidRPr="00D63571">
        <w:t xml:space="preserve"> </w:t>
      </w:r>
      <w:proofErr w:type="spellStart"/>
      <w:r w:rsidRPr="00D63571">
        <w:t>Zeledon</w:t>
      </w:r>
      <w:proofErr w:type="spellEnd"/>
      <w:r w:rsidRPr="00D63571">
        <w:t xml:space="preserve">, Maritza’s sister-in-law.  </w:t>
      </w:r>
      <w:proofErr w:type="spellStart"/>
      <w:r w:rsidRPr="00D63571">
        <w:t>Zeledon</w:t>
      </w:r>
      <w:proofErr w:type="spellEnd"/>
      <w:r w:rsidRPr="00D63571">
        <w:t xml:space="preserve"> remembered the nightmare of finding the victims in the home.  She described Mike as a lovely, outgoing, and happy man; Maritza as outgoing, always laughing and joking, and an outstanding salesperson; and Ana as a very caring </w:t>
      </w:r>
      <w:r w:rsidRPr="00D63571">
        <w:lastRenderedPageBreak/>
        <w:t xml:space="preserve">person.  Jasmine was very dear to </w:t>
      </w:r>
      <w:proofErr w:type="spellStart"/>
      <w:r w:rsidRPr="00D63571">
        <w:t>Zeledon</w:t>
      </w:r>
      <w:proofErr w:type="spellEnd"/>
      <w:r w:rsidRPr="00D63571">
        <w:t xml:space="preserve">; Jasmine used to play with </w:t>
      </w:r>
      <w:proofErr w:type="spellStart"/>
      <w:r w:rsidRPr="00D63571">
        <w:t>Zeledon’s</w:t>
      </w:r>
      <w:proofErr w:type="spellEnd"/>
      <w:r w:rsidRPr="00D63571">
        <w:t xml:space="preserve"> son.  Since the murders, </w:t>
      </w:r>
      <w:proofErr w:type="spellStart"/>
      <w:r w:rsidRPr="00D63571">
        <w:t>Zeledon</w:t>
      </w:r>
      <w:proofErr w:type="spellEnd"/>
      <w:r w:rsidRPr="00D63571">
        <w:t xml:space="preserve"> would become anxious at night, always checking the windows and doors to make sure they were locked.  She could not go to the bathroom without checking the bathtub, and she constantly was reminded of Jasmine when she dealt with sexual abuse cases through her job as a social worker.  She would sometimes cry in her car at stoplights and lose track of time.  Because Maritza used to help </w:t>
      </w:r>
      <w:proofErr w:type="spellStart"/>
      <w:r w:rsidRPr="00D63571">
        <w:t>Zeledon’s</w:t>
      </w:r>
      <w:proofErr w:type="spellEnd"/>
      <w:r w:rsidRPr="00D63571">
        <w:t xml:space="preserve"> husband at one of his two stores, after Maritza’s death </w:t>
      </w:r>
      <w:proofErr w:type="spellStart"/>
      <w:r w:rsidRPr="00D63571">
        <w:t>Zeledon’s</w:t>
      </w:r>
      <w:proofErr w:type="spellEnd"/>
      <w:r w:rsidRPr="00D63571">
        <w:t xml:space="preserve"> husband had to close one of the stores.  </w:t>
      </w:r>
      <w:r>
        <w:t xml:space="preserve">For </w:t>
      </w:r>
      <w:proofErr w:type="spellStart"/>
      <w:r>
        <w:t>Zeledon</w:t>
      </w:r>
      <w:proofErr w:type="spellEnd"/>
      <w:r>
        <w:t xml:space="preserve">, </w:t>
      </w:r>
      <w:r w:rsidRPr="00D63571">
        <w:t>Christmas felt empty</w:t>
      </w:r>
      <w:r w:rsidRPr="002F21D5">
        <w:t xml:space="preserve"> </w:t>
      </w:r>
      <w:r w:rsidRPr="00D63571">
        <w:t xml:space="preserve">without </w:t>
      </w:r>
      <w:r w:rsidR="00657071">
        <w:t>Mike, Maritza, Ana, and Jasmine</w:t>
      </w:r>
      <w:r w:rsidRPr="00D63571">
        <w:t xml:space="preserve">.  She also identified a photo of Mike, Jasmine, and Maritza at an amusement park, and one of Maritza and Jasmine at </w:t>
      </w:r>
      <w:proofErr w:type="spellStart"/>
      <w:r w:rsidRPr="00D63571">
        <w:t>Zeledon’s</w:t>
      </w:r>
      <w:proofErr w:type="spellEnd"/>
      <w:r w:rsidRPr="00D63571">
        <w:t xml:space="preserve"> husband’s store.</w:t>
      </w:r>
    </w:p>
    <w:p w14:paraId="28C51A5D" w14:textId="30473943" w:rsidR="0058259B" w:rsidRPr="00D63571" w:rsidRDefault="0058259B" w:rsidP="0058259B">
      <w:pPr>
        <w:ind w:firstLine="720"/>
      </w:pPr>
      <w:r w:rsidRPr="00D63571">
        <w:t xml:space="preserve">Miguel Rodriguez, Sr., also testified.  He was Mike’s father and Ana’s son.  When he found out about the murders, his life turned upside down.  Ana was Rodriguez’s best friend; he was her only son, so they were </w:t>
      </w:r>
      <w:proofErr w:type="gramStart"/>
      <w:r w:rsidRPr="00D63571">
        <w:t>very close</w:t>
      </w:r>
      <w:proofErr w:type="gramEnd"/>
      <w:r w:rsidRPr="00D63571">
        <w:t xml:space="preserve">.  He identified a photo of Ana and himself on Mother’s Day.  He was also </w:t>
      </w:r>
      <w:proofErr w:type="gramStart"/>
      <w:r w:rsidRPr="00D63571">
        <w:t>very close</w:t>
      </w:r>
      <w:proofErr w:type="gramEnd"/>
      <w:r w:rsidRPr="00D63571">
        <w:t xml:space="preserve"> to his son Mike, whom he described as his best friend.  He </w:t>
      </w:r>
      <w:proofErr w:type="gramStart"/>
      <w:r w:rsidRPr="00D63571">
        <w:t>got along</w:t>
      </w:r>
      <w:proofErr w:type="gramEnd"/>
      <w:r w:rsidRPr="00D63571">
        <w:t xml:space="preserve"> with Maritza, who took care of the family, and he really loved Jasmine, whom he described as very intelligent.  After their deaths, everything changed for Rodriguez; he lost his job, he could no longer sleep, and he was nervous.  Rodriguez’s wife</w:t>
      </w:r>
      <w:r w:rsidR="00AD5CDA">
        <w:t>, Luz Ruiz,</w:t>
      </w:r>
      <w:r w:rsidRPr="00D63571">
        <w:t xml:space="preserve"> testified that she saw the family at least three times </w:t>
      </w:r>
      <w:r w:rsidR="00CA15E9">
        <w:t>per</w:t>
      </w:r>
      <w:r w:rsidRPr="00D63571">
        <w:t xml:space="preserve"> week and had relied on Mike when they needed things.  She described Jasmine as a happy child.  She confirmed that the murders had significantly </w:t>
      </w:r>
      <w:r>
        <w:t xml:space="preserve">affected </w:t>
      </w:r>
      <w:r w:rsidRPr="00D63571">
        <w:t>Rodriguez, saying he was no longer the same man and that he was now very depressed.</w:t>
      </w:r>
    </w:p>
    <w:p w14:paraId="68DBA659" w14:textId="3BBB6090" w:rsidR="0058259B" w:rsidRPr="008F0A93" w:rsidRDefault="0058259B" w:rsidP="008F0A93">
      <w:pPr>
        <w:tabs>
          <w:tab w:val="left" w:pos="720"/>
          <w:tab w:val="left" w:pos="1170"/>
        </w:tabs>
        <w:ind w:firstLine="720"/>
      </w:pPr>
      <w:r w:rsidRPr="00D63571">
        <w:t xml:space="preserve">Mike’s younger sister, Olga </w:t>
      </w:r>
      <w:r w:rsidR="00245969">
        <w:t xml:space="preserve">Lizzette </w:t>
      </w:r>
      <w:r w:rsidRPr="00D63571">
        <w:t xml:space="preserve">Ruiz, testified that Mike was her mentor; he was very trusting and friendly, a great </w:t>
      </w:r>
      <w:r w:rsidRPr="00D63571">
        <w:lastRenderedPageBreak/>
        <w:t xml:space="preserve">brother and son, and a </w:t>
      </w:r>
      <w:proofErr w:type="gramStart"/>
      <w:r w:rsidRPr="00D63571">
        <w:t>dedicated</w:t>
      </w:r>
      <w:proofErr w:type="gramEnd"/>
      <w:r w:rsidRPr="00D63571">
        <w:t xml:space="preserve"> father.  She and Mike had always talked about throwing a joint birthday party when they both turned 40, but now the party would never happen.  She said Mike treated </w:t>
      </w:r>
      <w:r w:rsidR="00F6225E">
        <w:t>Morales</w:t>
      </w:r>
      <w:r w:rsidRPr="00D63571">
        <w:t xml:space="preserve"> with open arms.  She described Maritza as very giving and loving; they drank coffee together </w:t>
      </w:r>
      <w:proofErr w:type="gramStart"/>
      <w:r w:rsidRPr="00D63571">
        <w:t>almost every</w:t>
      </w:r>
      <w:proofErr w:type="gramEnd"/>
      <w:r w:rsidRPr="00D63571">
        <w:t xml:space="preserve"> morning.</w:t>
      </w:r>
      <w:r>
        <w:t xml:space="preserve">  </w:t>
      </w:r>
      <w:r w:rsidRPr="00D63571">
        <w:t xml:space="preserve">Ana had helped raise Olga and Mike; she was very nurturing.  At the time she was killed, </w:t>
      </w:r>
      <w:r>
        <w:t>Ana</w:t>
      </w:r>
      <w:r w:rsidRPr="00D63571">
        <w:t xml:space="preserve"> could no longer take care of herself.  </w:t>
      </w:r>
      <w:r>
        <w:t>Olga</w:t>
      </w:r>
      <w:r w:rsidRPr="00D63571">
        <w:t xml:space="preserve"> described Jasmine as her heart; they spoke every day.  Jasmine was intelligent and wanted to become a veterinarian or teacher.  When Olga found out about the murders, she was in total disbelief.  She was asked to identify the bodies at the morgue, and it was the most horrific experience of her life.  She was still waiting for someone to tell her the murders were a nightmare, but she knew the </w:t>
      </w:r>
      <w:r w:rsidR="001F0DB5">
        <w:t xml:space="preserve">victims </w:t>
      </w:r>
      <w:r w:rsidRPr="00D63571">
        <w:t xml:space="preserve">would never return and she missed them.  She had tried therapy because she was </w:t>
      </w:r>
      <w:proofErr w:type="gramStart"/>
      <w:r w:rsidRPr="00D63571">
        <w:t>very angry</w:t>
      </w:r>
      <w:proofErr w:type="gramEnd"/>
      <w:r w:rsidRPr="00D63571">
        <w:t xml:space="preserve">.  For her, the worst part was not knowing how much her family had suffered or why someone would torture a young girl or kill an </w:t>
      </w:r>
      <w:r>
        <w:t>81</w:t>
      </w:r>
      <w:r w:rsidRPr="00D63571">
        <w:t xml:space="preserve">-year-old woman.  She felt helpless.  She identified a photo of Mike and Jasmine with their dog, as well as the family’s funeral invitation, which showed </w:t>
      </w:r>
      <w:proofErr w:type="gramStart"/>
      <w:r w:rsidRPr="00D63571">
        <w:t>a few</w:t>
      </w:r>
      <w:proofErr w:type="gramEnd"/>
      <w:r w:rsidRPr="00D63571">
        <w:t xml:space="preserve"> pictures of the family but did not have much text.</w:t>
      </w:r>
    </w:p>
    <w:p w14:paraId="3B122250" w14:textId="77777777" w:rsidR="0058259B" w:rsidRPr="005A0AEB" w:rsidRDefault="0058259B" w:rsidP="0058259B">
      <w:pPr>
        <w:keepNext/>
        <w:tabs>
          <w:tab w:val="left" w:pos="2016"/>
        </w:tabs>
        <w:spacing w:before="240"/>
        <w:ind w:left="2016" w:hanging="432"/>
        <w:outlineLvl w:val="3"/>
        <w:rPr>
          <w:i/>
        </w:rPr>
      </w:pPr>
      <w:r>
        <w:rPr>
          <w:i/>
        </w:rPr>
        <w:t>b</w:t>
      </w:r>
      <w:r w:rsidRPr="005A0AEB">
        <w:rPr>
          <w:i/>
        </w:rPr>
        <w:t>.</w:t>
      </w:r>
      <w:r w:rsidRPr="005A0AEB">
        <w:rPr>
          <w:i/>
        </w:rPr>
        <w:tab/>
      </w:r>
      <w:r>
        <w:rPr>
          <w:i/>
        </w:rPr>
        <w:t>Discussion</w:t>
      </w:r>
    </w:p>
    <w:p w14:paraId="67CA3C0A" w14:textId="3BA68620" w:rsidR="008F0A93" w:rsidRDefault="00220922" w:rsidP="008F0A93">
      <w:pPr>
        <w:tabs>
          <w:tab w:val="left" w:pos="1440"/>
        </w:tabs>
        <w:ind w:firstLine="720"/>
        <w:rPr>
          <w:szCs w:val="26"/>
        </w:rPr>
      </w:pPr>
      <w:r>
        <w:rPr>
          <w:szCs w:val="26"/>
        </w:rPr>
        <w:t>Morales</w:t>
      </w:r>
      <w:r w:rsidR="008F0A93" w:rsidRPr="00D63571">
        <w:rPr>
          <w:szCs w:val="26"/>
        </w:rPr>
        <w:t xml:space="preserve"> argues that the victim impact evidence in this case was so voluminous and inflammatory that </w:t>
      </w:r>
      <w:r w:rsidR="008F0A93">
        <w:rPr>
          <w:szCs w:val="26"/>
        </w:rPr>
        <w:t xml:space="preserve">it invited </w:t>
      </w:r>
      <w:r w:rsidR="008F0A93" w:rsidRPr="00D63571">
        <w:rPr>
          <w:szCs w:val="26"/>
        </w:rPr>
        <w:t xml:space="preserve">the jury </w:t>
      </w:r>
      <w:r w:rsidR="008F0A93">
        <w:rPr>
          <w:szCs w:val="26"/>
        </w:rPr>
        <w:t xml:space="preserve">to </w:t>
      </w:r>
      <w:r w:rsidR="008F0A93" w:rsidRPr="00D63571">
        <w:rPr>
          <w:szCs w:val="26"/>
        </w:rPr>
        <w:t xml:space="preserve">abandon its role as a neutral arbiter and instead to impose a penalty of death based on its “passionate, irrational, and purely subjective response to the </w:t>
      </w:r>
      <w:r w:rsidR="008F0A93">
        <w:rPr>
          <w:szCs w:val="26"/>
        </w:rPr>
        <w:t>sorrow</w:t>
      </w:r>
      <w:r w:rsidR="008F0A93" w:rsidRPr="00D63571">
        <w:rPr>
          <w:szCs w:val="26"/>
        </w:rPr>
        <w:t xml:space="preserve"> of the surviving Ruiz family members.”</w:t>
      </w:r>
      <w:r w:rsidR="008F0A93">
        <w:rPr>
          <w:szCs w:val="26"/>
        </w:rPr>
        <w:t xml:space="preserve">  </w:t>
      </w:r>
      <w:r>
        <w:rPr>
          <w:szCs w:val="26"/>
        </w:rPr>
        <w:t>Morales</w:t>
      </w:r>
      <w:r w:rsidR="008F0A93">
        <w:rPr>
          <w:szCs w:val="26"/>
        </w:rPr>
        <w:t xml:space="preserve">’s argument does not focus on </w:t>
      </w:r>
      <w:r w:rsidR="008F0A93" w:rsidRPr="00D63571">
        <w:rPr>
          <w:szCs w:val="26"/>
        </w:rPr>
        <w:t>any specific testimony or piece</w:t>
      </w:r>
      <w:r w:rsidR="00EB41AF">
        <w:rPr>
          <w:szCs w:val="26"/>
        </w:rPr>
        <w:t>s</w:t>
      </w:r>
      <w:r w:rsidR="008F0A93" w:rsidRPr="00D63571">
        <w:rPr>
          <w:szCs w:val="26"/>
        </w:rPr>
        <w:t xml:space="preserve"> of evidence; </w:t>
      </w:r>
      <w:r w:rsidR="008F0A93">
        <w:rPr>
          <w:szCs w:val="26"/>
        </w:rPr>
        <w:t xml:space="preserve">his argument </w:t>
      </w:r>
      <w:r w:rsidR="008F0A93">
        <w:rPr>
          <w:szCs w:val="26"/>
        </w:rPr>
        <w:lastRenderedPageBreak/>
        <w:t xml:space="preserve">instead is that admission of the </w:t>
      </w:r>
      <w:r w:rsidR="008F0A93" w:rsidRPr="00D63571">
        <w:rPr>
          <w:szCs w:val="26"/>
        </w:rPr>
        <w:t>victim impact evidence</w:t>
      </w:r>
      <w:r w:rsidR="008F0A93">
        <w:rPr>
          <w:szCs w:val="26"/>
        </w:rPr>
        <w:t>, taken as a whole,</w:t>
      </w:r>
      <w:r w:rsidR="008F0A93" w:rsidRPr="00D63571">
        <w:rPr>
          <w:szCs w:val="26"/>
        </w:rPr>
        <w:t xml:space="preserve"> </w:t>
      </w:r>
      <w:r w:rsidR="008F0A93">
        <w:rPr>
          <w:szCs w:val="26"/>
        </w:rPr>
        <w:t>violated his constitutional rights</w:t>
      </w:r>
      <w:r w:rsidR="008F0A93" w:rsidRPr="00D63571">
        <w:rPr>
          <w:szCs w:val="26"/>
        </w:rPr>
        <w:t>.</w:t>
      </w:r>
    </w:p>
    <w:p w14:paraId="546E2C37" w14:textId="77777777" w:rsidR="008F0A93" w:rsidRPr="00D63571" w:rsidRDefault="008F0A93" w:rsidP="008F0A93">
      <w:pPr>
        <w:tabs>
          <w:tab w:val="left" w:pos="1440"/>
        </w:tabs>
        <w:ind w:firstLine="720"/>
        <w:rPr>
          <w:szCs w:val="26"/>
        </w:rPr>
      </w:pPr>
      <w:r w:rsidRPr="00D63571">
        <w:rPr>
          <w:szCs w:val="26"/>
        </w:rPr>
        <w:t xml:space="preserve">Victim impact evidence is generally relevant and admissible as a circumstance of the crime under Penal Code section 190.3, </w:t>
      </w:r>
      <w:r>
        <w:rPr>
          <w:szCs w:val="26"/>
        </w:rPr>
        <w:t xml:space="preserve">factor </w:t>
      </w:r>
      <w:r w:rsidRPr="00D63571">
        <w:rPr>
          <w:szCs w:val="26"/>
        </w:rPr>
        <w:t>(a)</w:t>
      </w:r>
      <w:r>
        <w:rPr>
          <w:szCs w:val="26"/>
        </w:rPr>
        <w:t>, “so long as it is not ‘so unduly prejudicial’ that it renders the trial ‘fundamentally unfair.’ ”</w:t>
      </w:r>
      <w:r w:rsidRPr="00D63571">
        <w:rPr>
          <w:szCs w:val="26"/>
        </w:rPr>
        <w:t xml:space="preserve"> </w:t>
      </w:r>
      <w:r>
        <w:rPr>
          <w:szCs w:val="26"/>
        </w:rPr>
        <w:t xml:space="preserve"> </w:t>
      </w:r>
      <w:r w:rsidRPr="00D63571">
        <w:rPr>
          <w:szCs w:val="26"/>
        </w:rPr>
        <w:t>(</w:t>
      </w:r>
      <w:r w:rsidRPr="00D63571">
        <w:rPr>
          <w:i/>
          <w:szCs w:val="26"/>
        </w:rPr>
        <w:t>People v. Russell</w:t>
      </w:r>
      <w:r w:rsidRPr="00D63571">
        <w:rPr>
          <w:szCs w:val="26"/>
        </w:rPr>
        <w:t xml:space="preserve"> (2010) 50 Cal.4th 1228, 1264, quoting </w:t>
      </w:r>
      <w:r w:rsidRPr="00D63571">
        <w:rPr>
          <w:i/>
          <w:szCs w:val="26"/>
        </w:rPr>
        <w:t>Payne v. Tennessee</w:t>
      </w:r>
      <w:r w:rsidRPr="00D63571">
        <w:rPr>
          <w:szCs w:val="26"/>
        </w:rPr>
        <w:t xml:space="preserve"> (1991) 501 U.S. 808, 825</w:t>
      </w:r>
      <w:r>
        <w:rPr>
          <w:szCs w:val="26"/>
        </w:rPr>
        <w:t xml:space="preserve">; accord, </w:t>
      </w:r>
      <w:r w:rsidRPr="00D63571">
        <w:rPr>
          <w:i/>
          <w:szCs w:val="26"/>
        </w:rPr>
        <w:t>People v. Lewis and Oliver</w:t>
      </w:r>
      <w:r w:rsidRPr="00D63571">
        <w:rPr>
          <w:szCs w:val="26"/>
        </w:rPr>
        <w:t xml:space="preserve"> (2006) 39 Cal.4th 970, 1056.)</w:t>
      </w:r>
      <w:r>
        <w:rPr>
          <w:szCs w:val="26"/>
        </w:rPr>
        <w:t xml:space="preserve">  This court has </w:t>
      </w:r>
      <w:r w:rsidRPr="00D63571">
        <w:rPr>
          <w:szCs w:val="26"/>
        </w:rPr>
        <w:t>consistently upheld as constitutional “[a]</w:t>
      </w:r>
      <w:proofErr w:type="spellStart"/>
      <w:r w:rsidRPr="00D63571">
        <w:rPr>
          <w:szCs w:val="26"/>
        </w:rPr>
        <w:t>dmission</w:t>
      </w:r>
      <w:proofErr w:type="spellEnd"/>
      <w:r w:rsidRPr="00D63571">
        <w:rPr>
          <w:szCs w:val="26"/>
        </w:rPr>
        <w:t xml:space="preserve"> of testimony presented by a few close friends or relatives of each victim, as well as images of the victim while he or she was alive.” </w:t>
      </w:r>
      <w:r>
        <w:rPr>
          <w:szCs w:val="26"/>
        </w:rPr>
        <w:t xml:space="preserve"> </w:t>
      </w:r>
      <w:r w:rsidRPr="00D63571">
        <w:rPr>
          <w:szCs w:val="26"/>
        </w:rPr>
        <w:t>(</w:t>
      </w:r>
      <w:r w:rsidRPr="00D63571">
        <w:rPr>
          <w:i/>
          <w:szCs w:val="26"/>
        </w:rPr>
        <w:t>Russell</w:t>
      </w:r>
      <w:r w:rsidRPr="00D63571">
        <w:rPr>
          <w:szCs w:val="26"/>
        </w:rPr>
        <w:t>, at p.</w:t>
      </w:r>
      <w:r>
        <w:rPr>
          <w:szCs w:val="26"/>
        </w:rPr>
        <w:t> </w:t>
      </w:r>
      <w:r w:rsidRPr="00D63571">
        <w:rPr>
          <w:szCs w:val="26"/>
        </w:rPr>
        <w:t xml:space="preserve">1265.)  We have also upheld the introduction of videotapes, </w:t>
      </w:r>
      <w:r>
        <w:rPr>
          <w:szCs w:val="26"/>
        </w:rPr>
        <w:t xml:space="preserve">though </w:t>
      </w:r>
      <w:r w:rsidRPr="00D63571">
        <w:rPr>
          <w:szCs w:val="26"/>
        </w:rPr>
        <w:t>we have cautioned trial courts not to admit videotapes that can overly rouse the jurors’ emotions.  (See</w:t>
      </w:r>
      <w:r w:rsidRPr="00D63571">
        <w:rPr>
          <w:i/>
          <w:szCs w:val="26"/>
        </w:rPr>
        <w:t xml:space="preserve"> People v. Bell</w:t>
      </w:r>
      <w:r w:rsidRPr="00D63571">
        <w:rPr>
          <w:szCs w:val="26"/>
        </w:rPr>
        <w:t xml:space="preserve"> (2019) 7 Cal.5th 70, 127–128.)</w:t>
      </w:r>
      <w:r>
        <w:rPr>
          <w:szCs w:val="26"/>
        </w:rPr>
        <w:t xml:space="preserve">  </w:t>
      </w:r>
    </w:p>
    <w:p w14:paraId="21A318FE" w14:textId="376EAD24" w:rsidR="008F0A93" w:rsidRDefault="008F0A93" w:rsidP="008F0A93">
      <w:pPr>
        <w:tabs>
          <w:tab w:val="left" w:pos="1440"/>
        </w:tabs>
        <w:ind w:firstLine="720"/>
        <w:rPr>
          <w:szCs w:val="26"/>
        </w:rPr>
      </w:pPr>
      <w:r>
        <w:rPr>
          <w:szCs w:val="26"/>
        </w:rPr>
        <w:t>T</w:t>
      </w:r>
      <w:r w:rsidRPr="00D63571">
        <w:rPr>
          <w:szCs w:val="26"/>
        </w:rPr>
        <w:t xml:space="preserve">he victim impact evidence </w:t>
      </w:r>
      <w:r>
        <w:rPr>
          <w:szCs w:val="26"/>
        </w:rPr>
        <w:t xml:space="preserve">in this case </w:t>
      </w:r>
      <w:r w:rsidRPr="00D63571">
        <w:rPr>
          <w:szCs w:val="26"/>
        </w:rPr>
        <w:t xml:space="preserve">falls within constitutional bounds.  </w:t>
      </w:r>
      <w:r>
        <w:rPr>
          <w:szCs w:val="26"/>
        </w:rPr>
        <w:t>T</w:t>
      </w:r>
      <w:r w:rsidRPr="00D63571">
        <w:rPr>
          <w:szCs w:val="26"/>
        </w:rPr>
        <w:t xml:space="preserve">he five </w:t>
      </w:r>
      <w:r>
        <w:rPr>
          <w:szCs w:val="26"/>
        </w:rPr>
        <w:t xml:space="preserve">victim impact </w:t>
      </w:r>
      <w:r w:rsidRPr="00D63571">
        <w:rPr>
          <w:szCs w:val="26"/>
        </w:rPr>
        <w:t>witnesses testified “</w:t>
      </w:r>
      <w:r>
        <w:rPr>
          <w:szCs w:val="26"/>
        </w:rPr>
        <w:t> </w:t>
      </w:r>
      <w:r w:rsidRPr="00D63571">
        <w:rPr>
          <w:szCs w:val="26"/>
        </w:rPr>
        <w:t>‘about their relationship with’ the victims, ‘how they learned about’ the victims’ deaths, and how the murders ‘affected their lives.’</w:t>
      </w:r>
      <w:r w:rsidR="006731A9">
        <w:rPr>
          <w:szCs w:val="26"/>
        </w:rPr>
        <w:t> </w:t>
      </w:r>
      <w:r w:rsidRPr="00D63571">
        <w:rPr>
          <w:szCs w:val="26"/>
        </w:rPr>
        <w:t>”  (</w:t>
      </w:r>
      <w:r w:rsidRPr="00D63571">
        <w:rPr>
          <w:i/>
          <w:szCs w:val="26"/>
        </w:rPr>
        <w:t>People v. Mendez</w:t>
      </w:r>
      <w:r w:rsidRPr="00D63571">
        <w:rPr>
          <w:szCs w:val="26"/>
        </w:rPr>
        <w:t xml:space="preserve">, </w:t>
      </w:r>
      <w:r w:rsidRPr="00D63571">
        <w:rPr>
          <w:i/>
          <w:szCs w:val="26"/>
        </w:rPr>
        <w:t>supra</w:t>
      </w:r>
      <w:r w:rsidRPr="00D63571">
        <w:rPr>
          <w:szCs w:val="26"/>
        </w:rPr>
        <w:t>, 7 Cal.5th at p.</w:t>
      </w:r>
      <w:r>
        <w:rPr>
          <w:szCs w:val="26"/>
        </w:rPr>
        <w:t> </w:t>
      </w:r>
      <w:r w:rsidRPr="00D63571">
        <w:rPr>
          <w:szCs w:val="26"/>
        </w:rPr>
        <w:t>712.)  Their testimony “</w:t>
      </w:r>
      <w:r>
        <w:rPr>
          <w:szCs w:val="26"/>
        </w:rPr>
        <w:t> </w:t>
      </w:r>
      <w:r w:rsidRPr="00D63571">
        <w:rPr>
          <w:szCs w:val="26"/>
        </w:rPr>
        <w:t>‘concerned the kinds of loss that loved ones commonly express in capital cases,’</w:t>
      </w:r>
      <w:r>
        <w:rPr>
          <w:szCs w:val="26"/>
        </w:rPr>
        <w:t> </w:t>
      </w:r>
      <w:r w:rsidRPr="00D63571">
        <w:rPr>
          <w:szCs w:val="26"/>
        </w:rPr>
        <w:t>” such as “recounting basic facts about [the victims],” speaking “of their love of [the victims], special moments they shared with [them], their feelings upon learning of [their] death[s]</w:t>
      </w:r>
      <w:r w:rsidR="00A402E2">
        <w:rPr>
          <w:szCs w:val="26"/>
        </w:rPr>
        <w:t> . . . </w:t>
      </w:r>
      <w:r w:rsidRPr="00D63571">
        <w:rPr>
          <w:szCs w:val="26"/>
        </w:rPr>
        <w:t xml:space="preserve">and how the </w:t>
      </w:r>
      <w:proofErr w:type="gramStart"/>
      <w:r w:rsidRPr="00D63571">
        <w:rPr>
          <w:szCs w:val="26"/>
        </w:rPr>
        <w:t>manner in which</w:t>
      </w:r>
      <w:proofErr w:type="gramEnd"/>
      <w:r w:rsidRPr="00D63571">
        <w:rPr>
          <w:szCs w:val="26"/>
        </w:rPr>
        <w:t xml:space="preserve"> [the victims] died affected them and various family members.”  (</w:t>
      </w:r>
      <w:r w:rsidRPr="00D63571">
        <w:rPr>
          <w:i/>
          <w:szCs w:val="26"/>
        </w:rPr>
        <w:t>People v. Jones</w:t>
      </w:r>
      <w:r>
        <w:rPr>
          <w:i/>
          <w:szCs w:val="26"/>
        </w:rPr>
        <w:t xml:space="preserve"> </w:t>
      </w:r>
      <w:r>
        <w:rPr>
          <w:szCs w:val="26"/>
        </w:rPr>
        <w:t>(2012)</w:t>
      </w:r>
      <w:r w:rsidRPr="00D63571">
        <w:rPr>
          <w:szCs w:val="26"/>
        </w:rPr>
        <w:t xml:space="preserve"> 54 Cal.4th </w:t>
      </w:r>
      <w:r>
        <w:rPr>
          <w:szCs w:val="26"/>
        </w:rPr>
        <w:t xml:space="preserve">1, </w:t>
      </w:r>
      <w:r w:rsidRPr="00D63571">
        <w:rPr>
          <w:szCs w:val="26"/>
        </w:rPr>
        <w:t xml:space="preserve">70; see also </w:t>
      </w:r>
      <w:r w:rsidRPr="00D63571">
        <w:rPr>
          <w:i/>
          <w:szCs w:val="26"/>
        </w:rPr>
        <w:t>People v. Dykes</w:t>
      </w:r>
      <w:r w:rsidRPr="00D63571">
        <w:rPr>
          <w:szCs w:val="26"/>
        </w:rPr>
        <w:t xml:space="preserve"> (2009) 46 Cal.4th </w:t>
      </w:r>
      <w:r>
        <w:rPr>
          <w:szCs w:val="26"/>
        </w:rPr>
        <w:t xml:space="preserve">731, </w:t>
      </w:r>
      <w:r w:rsidRPr="00D63571">
        <w:rPr>
          <w:szCs w:val="26"/>
        </w:rPr>
        <w:t xml:space="preserve">783 [finding permissible testimony </w:t>
      </w:r>
      <w:r>
        <w:rPr>
          <w:szCs w:val="26"/>
        </w:rPr>
        <w:t>“</w:t>
      </w:r>
      <w:r w:rsidRPr="00D63571">
        <w:rPr>
          <w:szCs w:val="26"/>
        </w:rPr>
        <w:t xml:space="preserve">concerning the victim’s character”].)  And “[t]he details of that testimony were not materially more </w:t>
      </w:r>
      <w:r w:rsidRPr="00D63571">
        <w:rPr>
          <w:szCs w:val="26"/>
        </w:rPr>
        <w:lastRenderedPageBreak/>
        <w:t>emotionally inflammatory than that approved by our precedents.”  (</w:t>
      </w:r>
      <w:r w:rsidRPr="00D63571">
        <w:rPr>
          <w:i/>
          <w:szCs w:val="26"/>
        </w:rPr>
        <w:t>Mendez</w:t>
      </w:r>
      <w:r w:rsidRPr="00D63571">
        <w:rPr>
          <w:szCs w:val="26"/>
        </w:rPr>
        <w:t>, at p.</w:t>
      </w:r>
      <w:r>
        <w:rPr>
          <w:szCs w:val="26"/>
        </w:rPr>
        <w:t> </w:t>
      </w:r>
      <w:r w:rsidRPr="00D63571">
        <w:rPr>
          <w:szCs w:val="26"/>
        </w:rPr>
        <w:t xml:space="preserve">712; see </w:t>
      </w:r>
      <w:r w:rsidRPr="00D63571">
        <w:rPr>
          <w:i/>
          <w:szCs w:val="26"/>
        </w:rPr>
        <w:t>Dykes</w:t>
      </w:r>
      <w:r w:rsidRPr="00D63571">
        <w:rPr>
          <w:szCs w:val="26"/>
        </w:rPr>
        <w:t>, at p.</w:t>
      </w:r>
      <w:r>
        <w:rPr>
          <w:szCs w:val="26"/>
        </w:rPr>
        <w:t> </w:t>
      </w:r>
      <w:r w:rsidRPr="00D63571">
        <w:rPr>
          <w:szCs w:val="26"/>
        </w:rPr>
        <w:t>782.)</w:t>
      </w:r>
    </w:p>
    <w:p w14:paraId="0902880B" w14:textId="7C7688D5" w:rsidR="008F0A93" w:rsidRPr="00D63571" w:rsidRDefault="008F0A93" w:rsidP="008F0A93">
      <w:pPr>
        <w:tabs>
          <w:tab w:val="left" w:pos="1440"/>
        </w:tabs>
        <w:ind w:firstLine="720"/>
        <w:rPr>
          <w:szCs w:val="26"/>
        </w:rPr>
      </w:pPr>
      <w:r w:rsidRPr="00D63571">
        <w:rPr>
          <w:szCs w:val="26"/>
        </w:rPr>
        <w:t>Nor was the testimony excessive.  The prosecution called five witnesses to testify about four victims.  (</w:t>
      </w:r>
      <w:r>
        <w:rPr>
          <w:szCs w:val="26"/>
        </w:rPr>
        <w:t>Cf.</w:t>
      </w:r>
      <w:r w:rsidRPr="00D63571">
        <w:rPr>
          <w:szCs w:val="26"/>
        </w:rPr>
        <w:t xml:space="preserve"> </w:t>
      </w:r>
      <w:r w:rsidRPr="00D63571">
        <w:rPr>
          <w:i/>
          <w:szCs w:val="26"/>
        </w:rPr>
        <w:t>People v. Mendez</w:t>
      </w:r>
      <w:r w:rsidRPr="00D63571">
        <w:rPr>
          <w:szCs w:val="26"/>
        </w:rPr>
        <w:t xml:space="preserve">, </w:t>
      </w:r>
      <w:r w:rsidRPr="00D63571">
        <w:rPr>
          <w:i/>
          <w:szCs w:val="26"/>
        </w:rPr>
        <w:t>supra</w:t>
      </w:r>
      <w:r w:rsidRPr="00D63571">
        <w:rPr>
          <w:szCs w:val="26"/>
        </w:rPr>
        <w:t>, 7 Cal.5th at p.</w:t>
      </w:r>
      <w:r>
        <w:rPr>
          <w:szCs w:val="26"/>
        </w:rPr>
        <w:t> </w:t>
      </w:r>
      <w:r w:rsidRPr="00D63571">
        <w:rPr>
          <w:szCs w:val="26"/>
        </w:rPr>
        <w:t>712 [“</w:t>
      </w:r>
      <w:r>
        <w:rPr>
          <w:szCs w:val="26"/>
        </w:rPr>
        <w:t>[P]</w:t>
      </w:r>
      <w:proofErr w:type="spellStart"/>
      <w:r w:rsidRPr="00D63571">
        <w:rPr>
          <w:szCs w:val="26"/>
        </w:rPr>
        <w:t>ermitting</w:t>
      </w:r>
      <w:proofErr w:type="spellEnd"/>
      <w:r w:rsidRPr="00D63571">
        <w:rPr>
          <w:szCs w:val="26"/>
        </w:rPr>
        <w:t xml:space="preserve"> victim impact testimony from six witnesses regarding two victims</w:t>
      </w:r>
      <w:r w:rsidR="00C84CB5">
        <w:rPr>
          <w:szCs w:val="26"/>
        </w:rPr>
        <w:t> </w:t>
      </w:r>
      <w:r w:rsidRPr="00D63571">
        <w:rPr>
          <w:szCs w:val="26"/>
        </w:rPr>
        <w:t>—</w:t>
      </w:r>
      <w:r w:rsidR="00C84CB5">
        <w:rPr>
          <w:szCs w:val="26"/>
        </w:rPr>
        <w:t xml:space="preserve"> </w:t>
      </w:r>
      <w:r w:rsidRPr="00D63571">
        <w:rPr>
          <w:szCs w:val="26"/>
        </w:rPr>
        <w:t>that is, three per victim</w:t>
      </w:r>
      <w:r w:rsidR="00C84CB5">
        <w:rPr>
          <w:szCs w:val="26"/>
        </w:rPr>
        <w:t> </w:t>
      </w:r>
      <w:r w:rsidRPr="00D63571">
        <w:rPr>
          <w:szCs w:val="26"/>
        </w:rPr>
        <w:t>—</w:t>
      </w:r>
      <w:r w:rsidR="00C84CB5">
        <w:rPr>
          <w:szCs w:val="26"/>
        </w:rPr>
        <w:t xml:space="preserve"> </w:t>
      </w:r>
      <w:r w:rsidRPr="00D63571">
        <w:rPr>
          <w:szCs w:val="26"/>
        </w:rPr>
        <w:t xml:space="preserve">is comparable to what we have permitted in other cases.”].)  And each witness’s testimony was </w:t>
      </w:r>
      <w:proofErr w:type="gramStart"/>
      <w:r w:rsidRPr="00D63571">
        <w:rPr>
          <w:szCs w:val="26"/>
        </w:rPr>
        <w:t>relatively brief</w:t>
      </w:r>
      <w:proofErr w:type="gramEnd"/>
      <w:r w:rsidRPr="00D63571">
        <w:rPr>
          <w:szCs w:val="26"/>
        </w:rPr>
        <w:t xml:space="preserve">, with the testimony of all five witnesses spanning </w:t>
      </w:r>
      <w:r>
        <w:rPr>
          <w:szCs w:val="26"/>
        </w:rPr>
        <w:t xml:space="preserve">just </w:t>
      </w:r>
      <w:r w:rsidRPr="00D63571">
        <w:rPr>
          <w:szCs w:val="26"/>
        </w:rPr>
        <w:t xml:space="preserve">52 </w:t>
      </w:r>
      <w:r>
        <w:rPr>
          <w:szCs w:val="26"/>
        </w:rPr>
        <w:t xml:space="preserve">total </w:t>
      </w:r>
      <w:r w:rsidRPr="00D63571">
        <w:rPr>
          <w:szCs w:val="26"/>
        </w:rPr>
        <w:t xml:space="preserve">pages of transcript.  (See </w:t>
      </w:r>
      <w:r w:rsidR="003A1753" w:rsidRPr="003A1753">
        <w:rPr>
          <w:i/>
          <w:szCs w:val="26"/>
        </w:rPr>
        <w:t xml:space="preserve">People v. </w:t>
      </w:r>
      <w:r w:rsidRPr="00D63571">
        <w:rPr>
          <w:i/>
          <w:szCs w:val="26"/>
        </w:rPr>
        <w:t>Dykes</w:t>
      </w:r>
      <w:r w:rsidRPr="00D63571">
        <w:rPr>
          <w:szCs w:val="26"/>
        </w:rPr>
        <w:t xml:space="preserve">, </w:t>
      </w:r>
      <w:r w:rsidRPr="002B7C84">
        <w:rPr>
          <w:i/>
          <w:szCs w:val="26"/>
        </w:rPr>
        <w:t>supra</w:t>
      </w:r>
      <w:r>
        <w:rPr>
          <w:szCs w:val="26"/>
        </w:rPr>
        <w:t xml:space="preserve">, 46 Cal.4th </w:t>
      </w:r>
      <w:r w:rsidRPr="00D63571">
        <w:rPr>
          <w:szCs w:val="26"/>
        </w:rPr>
        <w:t>at p.</w:t>
      </w:r>
      <w:r>
        <w:rPr>
          <w:szCs w:val="26"/>
        </w:rPr>
        <w:t> </w:t>
      </w:r>
      <w:r w:rsidRPr="00D63571">
        <w:rPr>
          <w:szCs w:val="26"/>
        </w:rPr>
        <w:t>782 [testimony not “too extensive” where it spanned 32 pages of transcript for a single victim].)</w:t>
      </w:r>
    </w:p>
    <w:p w14:paraId="4129B136" w14:textId="6363927E" w:rsidR="008F0A93" w:rsidRPr="00D63571" w:rsidRDefault="008F0A93" w:rsidP="008F0A93">
      <w:pPr>
        <w:tabs>
          <w:tab w:val="left" w:pos="1440"/>
        </w:tabs>
        <w:ind w:firstLine="720"/>
        <w:rPr>
          <w:szCs w:val="26"/>
        </w:rPr>
      </w:pPr>
      <w:r>
        <w:rPr>
          <w:szCs w:val="26"/>
        </w:rPr>
        <w:t>A</w:t>
      </w:r>
      <w:r w:rsidRPr="00D63571">
        <w:rPr>
          <w:szCs w:val="26"/>
        </w:rPr>
        <w:t xml:space="preserve">dmission of the eight </w:t>
      </w:r>
      <w:r>
        <w:rPr>
          <w:szCs w:val="26"/>
        </w:rPr>
        <w:t xml:space="preserve">photographs depicting the four victims likewise </w:t>
      </w:r>
      <w:r w:rsidR="00BF2B3F">
        <w:rPr>
          <w:szCs w:val="26"/>
        </w:rPr>
        <w:t>was constitutional</w:t>
      </w:r>
      <w:r>
        <w:rPr>
          <w:szCs w:val="26"/>
        </w:rPr>
        <w:t>.  A set of eight photographs depicting everyday events in the li</w:t>
      </w:r>
      <w:r w:rsidR="00A343B2">
        <w:rPr>
          <w:szCs w:val="26"/>
        </w:rPr>
        <w:t>v</w:t>
      </w:r>
      <w:r>
        <w:rPr>
          <w:szCs w:val="26"/>
        </w:rPr>
        <w:t>e</w:t>
      </w:r>
      <w:r w:rsidR="00A343B2">
        <w:rPr>
          <w:szCs w:val="26"/>
        </w:rPr>
        <w:t>s</w:t>
      </w:r>
      <w:r>
        <w:rPr>
          <w:szCs w:val="26"/>
        </w:rPr>
        <w:t xml:space="preserve"> of the victims is not excessive.  (See </w:t>
      </w:r>
      <w:r w:rsidRPr="00D63571">
        <w:rPr>
          <w:i/>
          <w:szCs w:val="26"/>
        </w:rPr>
        <w:t>People v. Mendez</w:t>
      </w:r>
      <w:r w:rsidRPr="00D63571">
        <w:rPr>
          <w:szCs w:val="26"/>
        </w:rPr>
        <w:t xml:space="preserve">, </w:t>
      </w:r>
      <w:r w:rsidRPr="00D63571">
        <w:rPr>
          <w:i/>
          <w:szCs w:val="26"/>
        </w:rPr>
        <w:t>supra</w:t>
      </w:r>
      <w:r w:rsidRPr="00D63571">
        <w:rPr>
          <w:szCs w:val="26"/>
        </w:rPr>
        <w:t>, 7 Cal.5th at p.</w:t>
      </w:r>
      <w:r>
        <w:rPr>
          <w:szCs w:val="26"/>
        </w:rPr>
        <w:t> </w:t>
      </w:r>
      <w:r w:rsidRPr="00D63571">
        <w:rPr>
          <w:szCs w:val="26"/>
        </w:rPr>
        <w:t xml:space="preserve">712 [“Admitting some 13 </w:t>
      </w:r>
      <w:r>
        <w:rPr>
          <w:szCs w:val="26"/>
        </w:rPr>
        <w:t>photos</w:t>
      </w:r>
      <w:r w:rsidRPr="00D63571">
        <w:rPr>
          <w:szCs w:val="26"/>
        </w:rPr>
        <w:t xml:space="preserve"> of [the first victim] and fewer of [the second victim] likewise was not excessive under our cases.”]; </w:t>
      </w:r>
      <w:r w:rsidRPr="00D63571">
        <w:rPr>
          <w:i/>
          <w:szCs w:val="26"/>
        </w:rPr>
        <w:t>People v. Jones</w:t>
      </w:r>
      <w:r w:rsidRPr="00D63571">
        <w:rPr>
          <w:szCs w:val="26"/>
        </w:rPr>
        <w:t xml:space="preserve">, </w:t>
      </w:r>
      <w:r w:rsidRPr="00D63571">
        <w:rPr>
          <w:i/>
          <w:szCs w:val="26"/>
        </w:rPr>
        <w:t>supra</w:t>
      </w:r>
      <w:r w:rsidRPr="00D63571">
        <w:rPr>
          <w:szCs w:val="26"/>
        </w:rPr>
        <w:t>, 54 Cal.4th at pp.</w:t>
      </w:r>
      <w:r>
        <w:rPr>
          <w:szCs w:val="26"/>
        </w:rPr>
        <w:t> </w:t>
      </w:r>
      <w:r w:rsidRPr="00D63571">
        <w:rPr>
          <w:szCs w:val="26"/>
        </w:rPr>
        <w:t xml:space="preserve">69–70 [32 photographs for single victim not improper].)  </w:t>
      </w:r>
      <w:r>
        <w:rPr>
          <w:szCs w:val="26"/>
        </w:rPr>
        <w:t>T</w:t>
      </w:r>
      <w:r w:rsidRPr="00D63571">
        <w:rPr>
          <w:szCs w:val="26"/>
        </w:rPr>
        <w:t xml:space="preserve">he photographs here “of ordinary family events were factual, relevant, and not unduly emotional or sentimental.” </w:t>
      </w:r>
      <w:r w:rsidR="008B4955">
        <w:rPr>
          <w:szCs w:val="26"/>
        </w:rPr>
        <w:t xml:space="preserve"> </w:t>
      </w:r>
      <w:r w:rsidRPr="00D63571">
        <w:rPr>
          <w:szCs w:val="26"/>
        </w:rPr>
        <w:t>(</w:t>
      </w:r>
      <w:r w:rsidRPr="00D63571">
        <w:rPr>
          <w:i/>
          <w:szCs w:val="26"/>
        </w:rPr>
        <w:t>Jones</w:t>
      </w:r>
      <w:r w:rsidRPr="00D63571">
        <w:rPr>
          <w:szCs w:val="26"/>
        </w:rPr>
        <w:t>, at p.</w:t>
      </w:r>
      <w:r>
        <w:rPr>
          <w:szCs w:val="26"/>
        </w:rPr>
        <w:t> </w:t>
      </w:r>
      <w:r w:rsidRPr="00D63571">
        <w:rPr>
          <w:szCs w:val="26"/>
        </w:rPr>
        <w:t xml:space="preserve">71.)  The same is true of Jasmine’s drawing, in which she said she loved her family and her sister.  The drawing provided relevant information about the relationship between Jasmine and Raquel and did not invite the jury to rule based on emotion.  (Cf. </w:t>
      </w:r>
      <w:r w:rsidRPr="00D63571">
        <w:rPr>
          <w:i/>
          <w:szCs w:val="26"/>
        </w:rPr>
        <w:t>Mendez</w:t>
      </w:r>
      <w:r w:rsidRPr="00D63571">
        <w:rPr>
          <w:szCs w:val="26"/>
        </w:rPr>
        <w:t>, at pp.</w:t>
      </w:r>
      <w:r>
        <w:rPr>
          <w:szCs w:val="26"/>
        </w:rPr>
        <w:t> </w:t>
      </w:r>
      <w:r w:rsidRPr="00D63571">
        <w:rPr>
          <w:szCs w:val="26"/>
        </w:rPr>
        <w:t xml:space="preserve">713–714 [finding victim’s poem bemoaning gang violence admissible].)  We have also previously allowed trial courts to admit pictures of the victims as children where the victims were still young when they were killed.  (See </w:t>
      </w:r>
      <w:r w:rsidRPr="00D63571">
        <w:rPr>
          <w:i/>
          <w:szCs w:val="26"/>
        </w:rPr>
        <w:t>id.</w:t>
      </w:r>
      <w:r w:rsidRPr="00D63571">
        <w:rPr>
          <w:szCs w:val="26"/>
        </w:rPr>
        <w:t>, at p.</w:t>
      </w:r>
      <w:r>
        <w:rPr>
          <w:szCs w:val="26"/>
        </w:rPr>
        <w:t> </w:t>
      </w:r>
      <w:r w:rsidRPr="00D63571">
        <w:rPr>
          <w:szCs w:val="26"/>
        </w:rPr>
        <w:t>712, fn.</w:t>
      </w:r>
      <w:r>
        <w:rPr>
          <w:szCs w:val="26"/>
        </w:rPr>
        <w:t> </w:t>
      </w:r>
      <w:r w:rsidRPr="00D63571">
        <w:rPr>
          <w:szCs w:val="26"/>
        </w:rPr>
        <w:t xml:space="preserve">3.)  Here, the </w:t>
      </w:r>
      <w:r>
        <w:rPr>
          <w:szCs w:val="26"/>
        </w:rPr>
        <w:lastRenderedPageBreak/>
        <w:t>photographs</w:t>
      </w:r>
      <w:r w:rsidRPr="00D63571">
        <w:rPr>
          <w:szCs w:val="26"/>
        </w:rPr>
        <w:t xml:space="preserve"> of Jasmine showed her close in age to her age at death</w:t>
      </w:r>
      <w:r>
        <w:rPr>
          <w:szCs w:val="26"/>
        </w:rPr>
        <w:t xml:space="preserve"> and were not improper</w:t>
      </w:r>
      <w:r w:rsidRPr="00D63571">
        <w:rPr>
          <w:szCs w:val="26"/>
        </w:rPr>
        <w:t>.</w:t>
      </w:r>
    </w:p>
    <w:p w14:paraId="77804CB1" w14:textId="55B5FC1C" w:rsidR="008F0A93" w:rsidRPr="00D63571" w:rsidRDefault="008F0A93" w:rsidP="008F0A93">
      <w:pPr>
        <w:tabs>
          <w:tab w:val="left" w:pos="1440"/>
        </w:tabs>
        <w:ind w:firstLine="720"/>
        <w:rPr>
          <w:szCs w:val="26"/>
        </w:rPr>
      </w:pPr>
      <w:r w:rsidRPr="00D63571">
        <w:rPr>
          <w:szCs w:val="26"/>
        </w:rPr>
        <w:t xml:space="preserve">Finally, </w:t>
      </w:r>
      <w:r>
        <w:rPr>
          <w:szCs w:val="26"/>
        </w:rPr>
        <w:t xml:space="preserve">we see no error in permitting the prosecution to introduce the </w:t>
      </w:r>
      <w:r w:rsidRPr="00D63571">
        <w:rPr>
          <w:szCs w:val="26"/>
        </w:rPr>
        <w:t>minute-long video</w:t>
      </w:r>
      <w:r>
        <w:rPr>
          <w:szCs w:val="26"/>
        </w:rPr>
        <w:t xml:space="preserve"> clip of Jasmine</w:t>
      </w:r>
      <w:r w:rsidR="00E5760B">
        <w:rPr>
          <w:szCs w:val="26"/>
        </w:rPr>
        <w:t xml:space="preserve"> playing with a friend</w:t>
      </w:r>
      <w:r w:rsidRPr="00D63571">
        <w:rPr>
          <w:szCs w:val="26"/>
        </w:rPr>
        <w:t>.</w:t>
      </w:r>
      <w:r w:rsidR="00AD5CDA">
        <w:rPr>
          <w:szCs w:val="26"/>
        </w:rPr>
        <w:t xml:space="preserve"> </w:t>
      </w:r>
      <w:r w:rsidRPr="00D63571">
        <w:rPr>
          <w:szCs w:val="26"/>
        </w:rPr>
        <w:t xml:space="preserve"> We have previously found </w:t>
      </w:r>
      <w:proofErr w:type="gramStart"/>
      <w:r w:rsidRPr="00D63571">
        <w:rPr>
          <w:szCs w:val="26"/>
        </w:rPr>
        <w:t>relatively short</w:t>
      </w:r>
      <w:proofErr w:type="gramEnd"/>
      <w:r w:rsidRPr="00D63571">
        <w:rPr>
          <w:szCs w:val="26"/>
        </w:rPr>
        <w:t xml:space="preserve"> home videos to be admissible victim impact evidence.  In </w:t>
      </w:r>
      <w:r w:rsidRPr="00D63571">
        <w:rPr>
          <w:i/>
          <w:szCs w:val="26"/>
        </w:rPr>
        <w:t>People v. Dykes</w:t>
      </w:r>
      <w:r w:rsidRPr="00D63571">
        <w:rPr>
          <w:szCs w:val="26"/>
        </w:rPr>
        <w:t xml:space="preserve">, </w:t>
      </w:r>
      <w:r w:rsidRPr="00D63571">
        <w:rPr>
          <w:i/>
          <w:szCs w:val="26"/>
        </w:rPr>
        <w:t>supra</w:t>
      </w:r>
      <w:r w:rsidRPr="00D63571">
        <w:rPr>
          <w:szCs w:val="26"/>
        </w:rPr>
        <w:t xml:space="preserve">, 46 Cal.4th </w:t>
      </w:r>
      <w:r w:rsidR="00A53D82">
        <w:rPr>
          <w:szCs w:val="26"/>
        </w:rPr>
        <w:t>731</w:t>
      </w:r>
      <w:r w:rsidRPr="00D63571">
        <w:rPr>
          <w:szCs w:val="26"/>
        </w:rPr>
        <w:t xml:space="preserve">, for example, we upheld the admissibility of an eight-minute videotape (without audio) that showed the child victim preparing for and taking a trip to Disneyland with his family. </w:t>
      </w:r>
      <w:r w:rsidR="00A53D82">
        <w:rPr>
          <w:szCs w:val="26"/>
        </w:rPr>
        <w:t xml:space="preserve"> (</w:t>
      </w:r>
      <w:r w:rsidR="00A53D82">
        <w:rPr>
          <w:i/>
          <w:szCs w:val="26"/>
        </w:rPr>
        <w:t>Id.</w:t>
      </w:r>
      <w:r w:rsidR="00A53D82">
        <w:rPr>
          <w:szCs w:val="26"/>
        </w:rPr>
        <w:t xml:space="preserve"> at pp.</w:t>
      </w:r>
      <w:r w:rsidR="008B4955">
        <w:rPr>
          <w:szCs w:val="26"/>
        </w:rPr>
        <w:t> </w:t>
      </w:r>
      <w:r w:rsidR="00A53D82">
        <w:rPr>
          <w:szCs w:val="26"/>
        </w:rPr>
        <w:t>784–785.)</w:t>
      </w:r>
      <w:r w:rsidRPr="00D63571">
        <w:rPr>
          <w:szCs w:val="26"/>
        </w:rPr>
        <w:t xml:space="preserve"> </w:t>
      </w:r>
      <w:r w:rsidR="00A53D82">
        <w:rPr>
          <w:szCs w:val="26"/>
        </w:rPr>
        <w:t xml:space="preserve"> </w:t>
      </w:r>
      <w:r w:rsidRPr="00D63571">
        <w:rPr>
          <w:szCs w:val="26"/>
        </w:rPr>
        <w:t>We found that “the material, which merely depicts ordinary activities and interactions between [the victim] and his family, was relevant to humanize the victim and provide some sense of the loss suffered by his family and society.”  (</w:t>
      </w:r>
      <w:r w:rsidRPr="00D63571">
        <w:rPr>
          <w:i/>
          <w:szCs w:val="26"/>
        </w:rPr>
        <w:t>Id.</w:t>
      </w:r>
      <w:r w:rsidRPr="00D63571">
        <w:rPr>
          <w:szCs w:val="26"/>
        </w:rPr>
        <w:t xml:space="preserve"> at p.</w:t>
      </w:r>
      <w:r>
        <w:rPr>
          <w:szCs w:val="26"/>
        </w:rPr>
        <w:t> </w:t>
      </w:r>
      <w:r w:rsidRPr="00D63571">
        <w:rPr>
          <w:szCs w:val="26"/>
        </w:rPr>
        <w:t xml:space="preserve">785.)  And we noted that “[t]he </w:t>
      </w:r>
      <w:proofErr w:type="gramStart"/>
      <w:r w:rsidRPr="00D63571">
        <w:rPr>
          <w:szCs w:val="26"/>
        </w:rPr>
        <w:t>videotape</w:t>
      </w:r>
      <w:proofErr w:type="gramEnd"/>
      <w:r w:rsidRPr="00D63571">
        <w:rPr>
          <w:szCs w:val="26"/>
        </w:rPr>
        <w:t xml:space="preserve"> </w:t>
      </w:r>
      <w:r>
        <w:rPr>
          <w:szCs w:val="26"/>
        </w:rPr>
        <w:t>[was]</w:t>
      </w:r>
      <w:r w:rsidRPr="00D63571">
        <w:rPr>
          <w:szCs w:val="26"/>
        </w:rPr>
        <w:t xml:space="preserve"> an awkwardly shot ‘home movie.’</w:t>
      </w:r>
      <w:r w:rsidR="008B4955">
        <w:rPr>
          <w:szCs w:val="26"/>
        </w:rPr>
        <w:t> </w:t>
      </w:r>
      <w:r w:rsidRPr="00D63571">
        <w:rPr>
          <w:szCs w:val="26"/>
        </w:rPr>
        <w:t>”  (</w:t>
      </w:r>
      <w:r w:rsidRPr="00D63571">
        <w:rPr>
          <w:i/>
          <w:szCs w:val="26"/>
        </w:rPr>
        <w:t>Ibid.</w:t>
      </w:r>
      <w:r w:rsidRPr="00D63571">
        <w:rPr>
          <w:szCs w:val="26"/>
        </w:rPr>
        <w:t>)  It was not “a memorial, tribute, or eulogy”; it did not “contain staged or contrived elements, music, visual techniques designed to generate emotion, or background narration” or “convey any sense of outrage or call for vengeance or sympathy,” and it “last[ed] only eight minutes and [was] entirely devoid of drama”</w:t>
      </w:r>
      <w:r w:rsidR="00C84CB5">
        <w:rPr>
          <w:szCs w:val="26"/>
        </w:rPr>
        <w:t> </w:t>
      </w:r>
      <w:r w:rsidRPr="00D63571">
        <w:rPr>
          <w:szCs w:val="26"/>
        </w:rPr>
        <w:t>—</w:t>
      </w:r>
      <w:r w:rsidR="00C84CB5">
        <w:rPr>
          <w:szCs w:val="26"/>
        </w:rPr>
        <w:t xml:space="preserve"> </w:t>
      </w:r>
      <w:r w:rsidRPr="00D63571">
        <w:rPr>
          <w:szCs w:val="26"/>
        </w:rPr>
        <w:t>it was merely “factual” and depicted “real events.”  (</w:t>
      </w:r>
      <w:r w:rsidRPr="00D63571">
        <w:rPr>
          <w:i/>
          <w:szCs w:val="26"/>
        </w:rPr>
        <w:t>Ibid.</w:t>
      </w:r>
      <w:r w:rsidRPr="00D63571">
        <w:rPr>
          <w:szCs w:val="26"/>
        </w:rPr>
        <w:t>)  For these reasons, and because the evidence “supplemented but did not duplicate” the witness’s testimony, we held it admissible.  (</w:t>
      </w:r>
      <w:r w:rsidRPr="00D63571">
        <w:rPr>
          <w:i/>
          <w:szCs w:val="26"/>
        </w:rPr>
        <w:t>Ibid.</w:t>
      </w:r>
      <w:r w:rsidRPr="00D63571">
        <w:rPr>
          <w:szCs w:val="26"/>
        </w:rPr>
        <w:t xml:space="preserve">; see also </w:t>
      </w:r>
      <w:r w:rsidRPr="00D63571">
        <w:rPr>
          <w:i/>
          <w:szCs w:val="26"/>
        </w:rPr>
        <w:t>People v. Bell</w:t>
      </w:r>
      <w:r w:rsidRPr="00D63571">
        <w:rPr>
          <w:szCs w:val="26"/>
        </w:rPr>
        <w:t xml:space="preserve">, </w:t>
      </w:r>
      <w:r w:rsidRPr="00D63571">
        <w:rPr>
          <w:i/>
          <w:szCs w:val="26"/>
        </w:rPr>
        <w:t>supra</w:t>
      </w:r>
      <w:r w:rsidRPr="00D63571">
        <w:rPr>
          <w:szCs w:val="26"/>
        </w:rPr>
        <w:t>, 7</w:t>
      </w:r>
      <w:r w:rsidR="000C7093">
        <w:rPr>
          <w:szCs w:val="26"/>
        </w:rPr>
        <w:t> </w:t>
      </w:r>
      <w:r w:rsidRPr="00D63571">
        <w:rPr>
          <w:szCs w:val="26"/>
        </w:rPr>
        <w:t>Cal.5th at p.</w:t>
      </w:r>
      <w:r>
        <w:rPr>
          <w:szCs w:val="26"/>
        </w:rPr>
        <w:t> </w:t>
      </w:r>
      <w:r w:rsidRPr="00D63571">
        <w:rPr>
          <w:szCs w:val="26"/>
        </w:rPr>
        <w:t>128 [upholding admission of four-minute wedding video that resembled a home movie and was not enhanced in any way because it depicted “</w:t>
      </w:r>
      <w:r>
        <w:rPr>
          <w:szCs w:val="26"/>
        </w:rPr>
        <w:t xml:space="preserve">a </w:t>
      </w:r>
      <w:r w:rsidRPr="00D63571">
        <w:rPr>
          <w:szCs w:val="26"/>
        </w:rPr>
        <w:t xml:space="preserve">real event in the victim’s life, shortly before his murder”]; </w:t>
      </w:r>
      <w:r w:rsidRPr="00D63571">
        <w:rPr>
          <w:i/>
          <w:szCs w:val="26"/>
        </w:rPr>
        <w:t>People v. Mendez</w:t>
      </w:r>
      <w:r w:rsidRPr="00D63571">
        <w:rPr>
          <w:szCs w:val="26"/>
        </w:rPr>
        <w:t xml:space="preserve">, </w:t>
      </w:r>
      <w:r w:rsidRPr="00D63571">
        <w:rPr>
          <w:i/>
          <w:szCs w:val="26"/>
        </w:rPr>
        <w:t>supra</w:t>
      </w:r>
      <w:r w:rsidRPr="00D63571">
        <w:rPr>
          <w:szCs w:val="26"/>
        </w:rPr>
        <w:t>, 7 Cal.5th at p.</w:t>
      </w:r>
      <w:r>
        <w:rPr>
          <w:szCs w:val="26"/>
        </w:rPr>
        <w:t> </w:t>
      </w:r>
      <w:r w:rsidRPr="00D63571">
        <w:rPr>
          <w:szCs w:val="26"/>
        </w:rPr>
        <w:t xml:space="preserve">713 [upholding admission of portions of home video showing young victim’s sixth grade graduation].)  Like the video in </w:t>
      </w:r>
      <w:r w:rsidRPr="00D63571">
        <w:rPr>
          <w:i/>
          <w:szCs w:val="26"/>
        </w:rPr>
        <w:t>People v. Dykes</w:t>
      </w:r>
      <w:r w:rsidRPr="00D63571">
        <w:rPr>
          <w:szCs w:val="26"/>
        </w:rPr>
        <w:t xml:space="preserve">, the video of Jasmine </w:t>
      </w:r>
      <w:r>
        <w:rPr>
          <w:szCs w:val="26"/>
        </w:rPr>
        <w:t xml:space="preserve">was </w:t>
      </w:r>
      <w:r w:rsidRPr="00D63571">
        <w:rPr>
          <w:szCs w:val="26"/>
        </w:rPr>
        <w:t xml:space="preserve">a </w:t>
      </w:r>
      <w:r w:rsidRPr="00D63571">
        <w:rPr>
          <w:szCs w:val="26"/>
        </w:rPr>
        <w:lastRenderedPageBreak/>
        <w:t>short home movie that depic</w:t>
      </w:r>
      <w:r>
        <w:rPr>
          <w:szCs w:val="26"/>
        </w:rPr>
        <w:t>ted</w:t>
      </w:r>
      <w:r w:rsidRPr="00D63571">
        <w:rPr>
          <w:szCs w:val="26"/>
        </w:rPr>
        <w:t xml:space="preserve"> real life events.  It </w:t>
      </w:r>
      <w:r>
        <w:rPr>
          <w:szCs w:val="26"/>
        </w:rPr>
        <w:t xml:space="preserve">was </w:t>
      </w:r>
      <w:r w:rsidRPr="00D63571">
        <w:rPr>
          <w:szCs w:val="26"/>
        </w:rPr>
        <w:t xml:space="preserve">not enhanced in any way, and it </w:t>
      </w:r>
      <w:r>
        <w:rPr>
          <w:szCs w:val="26"/>
        </w:rPr>
        <w:t xml:space="preserve">did not </w:t>
      </w:r>
      <w:r w:rsidRPr="00D63571">
        <w:rPr>
          <w:szCs w:val="26"/>
        </w:rPr>
        <w:t>invite vengeance or undue sympathy.  It simply “humanize[d]” Jasmine in a way that supplemented the testimony of the witnesses.  (</w:t>
      </w:r>
      <w:r w:rsidRPr="00D63571">
        <w:rPr>
          <w:i/>
          <w:szCs w:val="26"/>
        </w:rPr>
        <w:t>Dykes</w:t>
      </w:r>
      <w:r w:rsidRPr="00D63571">
        <w:rPr>
          <w:szCs w:val="26"/>
        </w:rPr>
        <w:t>, at p.</w:t>
      </w:r>
      <w:r>
        <w:rPr>
          <w:szCs w:val="26"/>
        </w:rPr>
        <w:t> </w:t>
      </w:r>
      <w:r w:rsidRPr="00D63571">
        <w:rPr>
          <w:szCs w:val="26"/>
        </w:rPr>
        <w:t>785.)</w:t>
      </w:r>
      <w:r>
        <w:rPr>
          <w:szCs w:val="26"/>
        </w:rPr>
        <w:t xml:space="preserve">  In sum, t</w:t>
      </w:r>
      <w:r w:rsidRPr="00D63571">
        <w:rPr>
          <w:szCs w:val="26"/>
        </w:rPr>
        <w:t xml:space="preserve">he admission of the victim impact evidence did not violate </w:t>
      </w:r>
      <w:r w:rsidR="00220922">
        <w:rPr>
          <w:szCs w:val="26"/>
        </w:rPr>
        <w:t>Morales</w:t>
      </w:r>
      <w:r w:rsidRPr="00D63571">
        <w:rPr>
          <w:szCs w:val="26"/>
        </w:rPr>
        <w:t>’s constitutional rights.</w:t>
      </w:r>
    </w:p>
    <w:p w14:paraId="100B079B" w14:textId="25F79A1E" w:rsidR="008F0A93" w:rsidRPr="00D63571" w:rsidRDefault="00220922" w:rsidP="008F0A93">
      <w:pPr>
        <w:tabs>
          <w:tab w:val="left" w:pos="1440"/>
        </w:tabs>
        <w:ind w:firstLine="720"/>
        <w:rPr>
          <w:szCs w:val="26"/>
        </w:rPr>
      </w:pPr>
      <w:r>
        <w:rPr>
          <w:szCs w:val="26"/>
        </w:rPr>
        <w:t>Morales</w:t>
      </w:r>
      <w:r w:rsidR="008F0A93" w:rsidRPr="00D63571">
        <w:rPr>
          <w:szCs w:val="26"/>
        </w:rPr>
        <w:t xml:space="preserve"> </w:t>
      </w:r>
      <w:r w:rsidR="008F0A93">
        <w:rPr>
          <w:szCs w:val="26"/>
        </w:rPr>
        <w:t xml:space="preserve">also </w:t>
      </w:r>
      <w:r w:rsidR="008F0A93" w:rsidRPr="00D63571">
        <w:rPr>
          <w:szCs w:val="26"/>
        </w:rPr>
        <w:t xml:space="preserve">argues the trial court erred by failing to give </w:t>
      </w:r>
      <w:r w:rsidR="008F0A93">
        <w:rPr>
          <w:szCs w:val="26"/>
        </w:rPr>
        <w:t xml:space="preserve">his </w:t>
      </w:r>
      <w:r w:rsidR="008F0A93" w:rsidRPr="00D63571">
        <w:rPr>
          <w:szCs w:val="26"/>
        </w:rPr>
        <w:t xml:space="preserve">proposed victim impact instruction.  </w:t>
      </w:r>
      <w:proofErr w:type="gramStart"/>
      <w:r w:rsidR="008F0A93">
        <w:rPr>
          <w:szCs w:val="26"/>
        </w:rPr>
        <w:t>In particular, a</w:t>
      </w:r>
      <w:r w:rsidR="008F0A93" w:rsidRPr="00D63571">
        <w:rPr>
          <w:szCs w:val="26"/>
        </w:rPr>
        <w:t>fter</w:t>
      </w:r>
      <w:proofErr w:type="gramEnd"/>
      <w:r w:rsidR="008F0A93" w:rsidRPr="00D63571">
        <w:rPr>
          <w:szCs w:val="26"/>
        </w:rPr>
        <w:t xml:space="preserve"> the conclusion of penalty phase testimony, the defense requested the trial court instruct the jury with a modified version of </w:t>
      </w:r>
      <w:r w:rsidR="008F0A93">
        <w:rPr>
          <w:szCs w:val="26"/>
        </w:rPr>
        <w:t xml:space="preserve">a supplemental instruction to </w:t>
      </w:r>
      <w:r w:rsidR="008F0A93" w:rsidRPr="00D63571">
        <w:rPr>
          <w:szCs w:val="26"/>
        </w:rPr>
        <w:t>CALJIC No.</w:t>
      </w:r>
      <w:r w:rsidR="008F0A93">
        <w:rPr>
          <w:szCs w:val="26"/>
        </w:rPr>
        <w:t> </w:t>
      </w:r>
      <w:r w:rsidR="008F0A93" w:rsidRPr="00D63571">
        <w:rPr>
          <w:szCs w:val="26"/>
        </w:rPr>
        <w:t>8.85.  The unmodified instruction states</w:t>
      </w:r>
      <w:r w:rsidR="008F0A93">
        <w:rPr>
          <w:szCs w:val="26"/>
        </w:rPr>
        <w:t>:</w:t>
      </w:r>
      <w:r w:rsidR="008F0A93" w:rsidRPr="00D63571">
        <w:rPr>
          <w:szCs w:val="26"/>
        </w:rPr>
        <w:t xml:space="preserve"> </w:t>
      </w:r>
      <w:r w:rsidR="008F0A93">
        <w:rPr>
          <w:szCs w:val="26"/>
        </w:rPr>
        <w:t xml:space="preserve"> </w:t>
      </w:r>
      <w:r w:rsidR="008F0A93" w:rsidRPr="00D63571">
        <w:rPr>
          <w:szCs w:val="26"/>
        </w:rPr>
        <w:t xml:space="preserve">“Evidence has been introduced for the purpose of showing the specific harm caused by the defendant’s crime.  Such evidence, if believed, was not </w:t>
      </w:r>
      <w:proofErr w:type="gramStart"/>
      <w:r w:rsidR="008F0A93" w:rsidRPr="00D63571">
        <w:rPr>
          <w:szCs w:val="26"/>
        </w:rPr>
        <w:t>received</w:t>
      </w:r>
      <w:proofErr w:type="gramEnd"/>
      <w:r w:rsidR="008F0A93" w:rsidRPr="00D63571">
        <w:rPr>
          <w:szCs w:val="26"/>
        </w:rPr>
        <w:t xml:space="preserve"> and may not be considered by you to divert your attention from your proper role of deciding whether defendant should live or die.  You must face this obligation soberly and rationally, and you may not impose the ultimate sanction </w:t>
      </w:r>
      <w:proofErr w:type="gramStart"/>
      <w:r w:rsidR="008F0A93" w:rsidRPr="00D63571">
        <w:rPr>
          <w:szCs w:val="26"/>
        </w:rPr>
        <w:t>as a result of</w:t>
      </w:r>
      <w:proofErr w:type="gramEnd"/>
      <w:r w:rsidR="008F0A93" w:rsidRPr="00D63571">
        <w:rPr>
          <w:szCs w:val="26"/>
        </w:rPr>
        <w:t xml:space="preserve"> an irrational, purely subjective response to emotional evidence and argument.  On the other hand, evidence and argument on emotion</w:t>
      </w:r>
      <w:r w:rsidR="001F247F">
        <w:rPr>
          <w:szCs w:val="26"/>
        </w:rPr>
        <w:t>al</w:t>
      </w:r>
      <w:r w:rsidR="008F0A93" w:rsidRPr="00D63571">
        <w:rPr>
          <w:szCs w:val="26"/>
        </w:rPr>
        <w:t xml:space="preserve"> though relevant subjects may provide legitimate reasons to sway the jury to show mer</w:t>
      </w:r>
      <w:r w:rsidR="008F0A93" w:rsidRPr="00DB3313">
        <w:rPr>
          <w:szCs w:val="26"/>
        </w:rPr>
        <w:t>cy.”</w:t>
      </w:r>
      <w:r w:rsidR="008F0A93" w:rsidRPr="00D63571">
        <w:rPr>
          <w:szCs w:val="26"/>
        </w:rPr>
        <w:t xml:space="preserve">  Defense counsel requested the court</w:t>
      </w:r>
      <w:r w:rsidR="008F0A93">
        <w:rPr>
          <w:szCs w:val="26"/>
        </w:rPr>
        <w:t xml:space="preserve"> give this instruction but</w:t>
      </w:r>
      <w:r w:rsidR="008F0A93" w:rsidRPr="00D63571">
        <w:rPr>
          <w:szCs w:val="26"/>
        </w:rPr>
        <w:t xml:space="preserve"> delete the final sentence.  </w:t>
      </w:r>
      <w:r w:rsidR="008F0A93">
        <w:rPr>
          <w:szCs w:val="26"/>
        </w:rPr>
        <w:t>The</w:t>
      </w:r>
      <w:r w:rsidR="008F0A93" w:rsidRPr="00D63571">
        <w:rPr>
          <w:szCs w:val="26"/>
        </w:rPr>
        <w:t xml:space="preserve"> court declined, </w:t>
      </w:r>
      <w:r w:rsidR="008F0A93">
        <w:rPr>
          <w:szCs w:val="26"/>
        </w:rPr>
        <w:t xml:space="preserve">explaining the final </w:t>
      </w:r>
      <w:r w:rsidR="008F0A93" w:rsidRPr="00D63571">
        <w:rPr>
          <w:szCs w:val="26"/>
        </w:rPr>
        <w:t xml:space="preserve">sentence </w:t>
      </w:r>
      <w:r w:rsidR="008F0A93">
        <w:rPr>
          <w:szCs w:val="26"/>
        </w:rPr>
        <w:t xml:space="preserve">was </w:t>
      </w:r>
      <w:r w:rsidR="008F0A93" w:rsidRPr="00D63571">
        <w:rPr>
          <w:szCs w:val="26"/>
        </w:rPr>
        <w:t>necessary to inform the jury that it could</w:t>
      </w:r>
      <w:r w:rsidR="008F0A93" w:rsidRPr="00D63571">
        <w:t xml:space="preserve"> consider</w:t>
      </w:r>
      <w:r w:rsidR="008F0A93">
        <w:t xml:space="preserve"> evidence on</w:t>
      </w:r>
      <w:r w:rsidR="008F0A93" w:rsidRPr="00D63571">
        <w:t xml:space="preserve"> emotional </w:t>
      </w:r>
      <w:r w:rsidR="008F0A93">
        <w:t xml:space="preserve">subjects </w:t>
      </w:r>
      <w:r w:rsidR="008F0A93" w:rsidRPr="00D63571">
        <w:t>in making its final decision</w:t>
      </w:r>
      <w:r w:rsidR="008F0A93">
        <w:t xml:space="preserve">.  </w:t>
      </w:r>
      <w:r w:rsidR="008F0A93" w:rsidRPr="00D63571">
        <w:rPr>
          <w:szCs w:val="26"/>
        </w:rPr>
        <w:t>As a result, defense counsel withdrew the proposal, and the instruction was not given.  The trial court did, however, give CALJIC No.</w:t>
      </w:r>
      <w:r w:rsidR="008F0A93">
        <w:rPr>
          <w:szCs w:val="26"/>
        </w:rPr>
        <w:t> </w:t>
      </w:r>
      <w:r w:rsidR="008F0A93" w:rsidRPr="00D63571">
        <w:rPr>
          <w:szCs w:val="26"/>
        </w:rPr>
        <w:t>8.85, which lists the factors the jury must consider in determining whether it should impose a penalty of death, and CALJIC No.</w:t>
      </w:r>
      <w:r w:rsidR="008F0A93">
        <w:rPr>
          <w:szCs w:val="26"/>
        </w:rPr>
        <w:t> </w:t>
      </w:r>
      <w:r w:rsidR="008F0A93" w:rsidRPr="00D63571">
        <w:rPr>
          <w:szCs w:val="26"/>
        </w:rPr>
        <w:t>8.84.1, which tells the jury, in relevant part</w:t>
      </w:r>
      <w:r w:rsidR="008F0A93">
        <w:rPr>
          <w:szCs w:val="26"/>
        </w:rPr>
        <w:t>:</w:t>
      </w:r>
      <w:r w:rsidR="008F0A93" w:rsidRPr="00D63571">
        <w:rPr>
          <w:szCs w:val="26"/>
        </w:rPr>
        <w:t xml:space="preserve"> </w:t>
      </w:r>
      <w:r w:rsidR="008F0A93">
        <w:rPr>
          <w:szCs w:val="26"/>
        </w:rPr>
        <w:t xml:space="preserve"> </w:t>
      </w:r>
      <w:r w:rsidR="008F0A93" w:rsidRPr="00D63571">
        <w:rPr>
          <w:szCs w:val="26"/>
        </w:rPr>
        <w:t>“</w:t>
      </w:r>
      <w:r w:rsidR="008F0A93">
        <w:rPr>
          <w:szCs w:val="26"/>
        </w:rPr>
        <w:t>Y</w:t>
      </w:r>
      <w:r w:rsidR="008F0A93" w:rsidRPr="00D63571">
        <w:rPr>
          <w:szCs w:val="26"/>
        </w:rPr>
        <w:t xml:space="preserve">ou must neither be influenced by bias </w:t>
      </w:r>
      <w:r w:rsidR="008F0A93">
        <w:rPr>
          <w:szCs w:val="26"/>
        </w:rPr>
        <w:t>n</w:t>
      </w:r>
      <w:r w:rsidR="008F0A93" w:rsidRPr="00D63571">
        <w:rPr>
          <w:szCs w:val="26"/>
        </w:rPr>
        <w:t xml:space="preserve">or </w:t>
      </w:r>
      <w:r w:rsidR="008F0A93" w:rsidRPr="00D63571">
        <w:rPr>
          <w:szCs w:val="26"/>
        </w:rPr>
        <w:lastRenderedPageBreak/>
        <w:t>prejudice against the defendant, nor swayed by public opinion or public feelings.  Both the People and the defendant have a right to expect</w:t>
      </w:r>
      <w:r w:rsidR="008F0A93">
        <w:rPr>
          <w:szCs w:val="26"/>
        </w:rPr>
        <w:t xml:space="preserve"> . . .</w:t>
      </w:r>
      <w:r w:rsidR="008F0A93" w:rsidRPr="00D63571">
        <w:rPr>
          <w:szCs w:val="26"/>
        </w:rPr>
        <w:t xml:space="preserve"> that you will consider </w:t>
      </w:r>
      <w:proofErr w:type="gramStart"/>
      <w:r w:rsidR="008F0A93" w:rsidRPr="00D63571">
        <w:rPr>
          <w:szCs w:val="26"/>
        </w:rPr>
        <w:t>all of</w:t>
      </w:r>
      <w:proofErr w:type="gramEnd"/>
      <w:r w:rsidR="008F0A93" w:rsidRPr="00D63571">
        <w:rPr>
          <w:szCs w:val="26"/>
        </w:rPr>
        <w:t xml:space="preserve"> the evidence, follow the law, exercise your discretion conscientiously, and reach a just verdict.”</w:t>
      </w:r>
    </w:p>
    <w:p w14:paraId="122F8EF7" w14:textId="21C1EA9A" w:rsidR="008F0A93" w:rsidRPr="006B04C1" w:rsidRDefault="00220922">
      <w:pPr>
        <w:tabs>
          <w:tab w:val="left" w:pos="1440"/>
        </w:tabs>
        <w:ind w:firstLine="720"/>
        <w:rPr>
          <w:szCs w:val="26"/>
        </w:rPr>
      </w:pPr>
      <w:r>
        <w:rPr>
          <w:szCs w:val="26"/>
        </w:rPr>
        <w:t>Morales</w:t>
      </w:r>
      <w:r w:rsidR="008F0A93">
        <w:rPr>
          <w:szCs w:val="26"/>
        </w:rPr>
        <w:t xml:space="preserve"> argues it was error to refuse to give the modified version of the supplemental instruction to CALJIC No. 8.85.  </w:t>
      </w:r>
      <w:r w:rsidR="00E70DA3">
        <w:rPr>
          <w:szCs w:val="26"/>
        </w:rPr>
        <w:t xml:space="preserve">We have </w:t>
      </w:r>
      <w:r w:rsidR="00554B6A">
        <w:rPr>
          <w:szCs w:val="26"/>
        </w:rPr>
        <w:t xml:space="preserve">previously </w:t>
      </w:r>
      <w:r w:rsidR="00E70DA3">
        <w:rPr>
          <w:szCs w:val="26"/>
        </w:rPr>
        <w:t xml:space="preserve">rejected </w:t>
      </w:r>
      <w:r w:rsidR="00FD7006">
        <w:rPr>
          <w:szCs w:val="26"/>
        </w:rPr>
        <w:t xml:space="preserve">this </w:t>
      </w:r>
      <w:r w:rsidR="00554B6A">
        <w:rPr>
          <w:szCs w:val="26"/>
        </w:rPr>
        <w:t xml:space="preserve">same </w:t>
      </w:r>
      <w:r w:rsidR="00FD7006">
        <w:rPr>
          <w:szCs w:val="26"/>
        </w:rPr>
        <w:t xml:space="preserve">argument </w:t>
      </w:r>
      <w:r w:rsidR="00E70DA3">
        <w:rPr>
          <w:szCs w:val="26"/>
        </w:rPr>
        <w:t>about this exact modified instruction.  (</w:t>
      </w:r>
      <w:r w:rsidR="00E70DA3" w:rsidRPr="00E70DA3">
        <w:rPr>
          <w:szCs w:val="26"/>
        </w:rPr>
        <w:t xml:space="preserve">See </w:t>
      </w:r>
      <w:r w:rsidR="00E70DA3" w:rsidRPr="00E70DA3">
        <w:rPr>
          <w:i/>
        </w:rPr>
        <w:t>People v. Mora</w:t>
      </w:r>
      <w:r w:rsidR="00E70DA3" w:rsidRPr="00E70DA3">
        <w:t xml:space="preserve"> </w:t>
      </w:r>
      <w:r w:rsidR="00E70DA3" w:rsidRPr="00E70DA3">
        <w:rPr>
          <w:i/>
        </w:rPr>
        <w:t>and Rangel</w:t>
      </w:r>
      <w:r w:rsidR="00E70DA3" w:rsidRPr="00E70DA3">
        <w:t xml:space="preserve"> (2018) 5</w:t>
      </w:r>
      <w:r w:rsidR="00CD4C41">
        <w:t> </w:t>
      </w:r>
      <w:r w:rsidR="00E70DA3" w:rsidRPr="00E70DA3">
        <w:t>Cal.5th 442, 506–507, fn.</w:t>
      </w:r>
      <w:r w:rsidR="00C9254A">
        <w:t> </w:t>
      </w:r>
      <w:r w:rsidR="00E70DA3" w:rsidRPr="00E70DA3">
        <w:t xml:space="preserve">22.)  </w:t>
      </w:r>
      <w:r w:rsidR="005139F4">
        <w:t>W</w:t>
      </w:r>
      <w:r w:rsidR="005673EE" w:rsidRPr="00E70DA3">
        <w:rPr>
          <w:szCs w:val="26"/>
        </w:rPr>
        <w:t>e</w:t>
      </w:r>
      <w:r w:rsidR="008F0A93" w:rsidRPr="00E70DA3">
        <w:rPr>
          <w:szCs w:val="26"/>
        </w:rPr>
        <w:t xml:space="preserve"> have </w:t>
      </w:r>
      <w:r w:rsidR="005139F4">
        <w:rPr>
          <w:szCs w:val="26"/>
        </w:rPr>
        <w:t xml:space="preserve">also </w:t>
      </w:r>
      <w:r w:rsidR="008F0A93" w:rsidRPr="00E70DA3">
        <w:rPr>
          <w:szCs w:val="26"/>
        </w:rPr>
        <w:t>repeatedly rejected similar arguments concerning</w:t>
      </w:r>
      <w:r w:rsidR="008F0A93">
        <w:rPr>
          <w:szCs w:val="26"/>
        </w:rPr>
        <w:t xml:space="preserve"> proposed instructions </w:t>
      </w:r>
      <w:proofErr w:type="gramStart"/>
      <w:r w:rsidR="008F0A93">
        <w:rPr>
          <w:szCs w:val="26"/>
        </w:rPr>
        <w:t>similar to</w:t>
      </w:r>
      <w:proofErr w:type="gramEnd"/>
      <w:r w:rsidR="008F0A93">
        <w:rPr>
          <w:szCs w:val="26"/>
        </w:rPr>
        <w:t xml:space="preserve"> the full, unmodified supplemental instruction proposed in this case.  (</w:t>
      </w:r>
      <w:r w:rsidR="008F0A93">
        <w:rPr>
          <w:i/>
          <w:szCs w:val="26"/>
        </w:rPr>
        <w:t>People v. Thomas</w:t>
      </w:r>
      <w:r w:rsidR="008F0A93">
        <w:rPr>
          <w:szCs w:val="26"/>
        </w:rPr>
        <w:t xml:space="preserve"> (2012) 53 Cal.4th 771, 825 [collecting cases].)  We have explained that the instruction is duplicative of CALJIC No. 8.84.1 and thus “ ‘would not have provided the jury with any information it had not otherwise learned.’ ”  (</w:t>
      </w:r>
      <w:r w:rsidR="00B654FC">
        <w:rPr>
          <w:i/>
          <w:szCs w:val="26"/>
        </w:rPr>
        <w:t>Thomas</w:t>
      </w:r>
      <w:r w:rsidR="00B654FC">
        <w:rPr>
          <w:szCs w:val="26"/>
        </w:rPr>
        <w:t>, at p.</w:t>
      </w:r>
      <w:r w:rsidR="00D45C1E">
        <w:rPr>
          <w:szCs w:val="26"/>
        </w:rPr>
        <w:t> </w:t>
      </w:r>
      <w:r w:rsidR="00B654FC">
        <w:rPr>
          <w:szCs w:val="26"/>
        </w:rPr>
        <w:t>825</w:t>
      </w:r>
      <w:r w:rsidR="008F0A93">
        <w:rPr>
          <w:szCs w:val="26"/>
        </w:rPr>
        <w:t xml:space="preserve">, quoting </w:t>
      </w:r>
      <w:r w:rsidR="008F0A93">
        <w:rPr>
          <w:i/>
          <w:szCs w:val="26"/>
        </w:rPr>
        <w:t>People v. Ochoa</w:t>
      </w:r>
      <w:r w:rsidR="008F0A93">
        <w:rPr>
          <w:szCs w:val="26"/>
        </w:rPr>
        <w:t xml:space="preserve"> (2001) 26 Cal.4th 398, 455.)  Further, we have noted the instruction is both confusing and “</w:t>
      </w:r>
      <w:r w:rsidR="008F0A93" w:rsidRPr="00D63571">
        <w:rPr>
          <w:szCs w:val="26"/>
        </w:rPr>
        <w:t>misleading</w:t>
      </w:r>
      <w:r w:rsidR="008F0A93">
        <w:rPr>
          <w:szCs w:val="26"/>
        </w:rPr>
        <w:t xml:space="preserve"> to the extent it indicates that </w:t>
      </w:r>
      <w:r w:rsidR="008F0A93" w:rsidRPr="00D63571">
        <w:rPr>
          <w:szCs w:val="26"/>
        </w:rPr>
        <w:t>emotions may play no part in a juror’s decision to opt for the death penalty.”  (</w:t>
      </w:r>
      <w:r w:rsidR="008F0A93" w:rsidRPr="00D63571">
        <w:rPr>
          <w:i/>
          <w:szCs w:val="26"/>
        </w:rPr>
        <w:t>People v. Zamudio</w:t>
      </w:r>
      <w:r w:rsidR="008F0A93" w:rsidRPr="00D63571">
        <w:rPr>
          <w:szCs w:val="26"/>
        </w:rPr>
        <w:t xml:space="preserve"> (2008) 43 Cal.4th 327, 368, citing </w:t>
      </w:r>
      <w:r w:rsidR="008F0A93" w:rsidRPr="00D63571">
        <w:rPr>
          <w:i/>
          <w:szCs w:val="26"/>
        </w:rPr>
        <w:t>People v. Poll</w:t>
      </w:r>
      <w:r w:rsidR="008F0A93">
        <w:rPr>
          <w:i/>
          <w:szCs w:val="26"/>
        </w:rPr>
        <w:t>o</w:t>
      </w:r>
      <w:r w:rsidR="008F0A93" w:rsidRPr="00D63571">
        <w:rPr>
          <w:i/>
          <w:szCs w:val="26"/>
        </w:rPr>
        <w:t>ck</w:t>
      </w:r>
      <w:r w:rsidR="008F0A93" w:rsidRPr="00D63571">
        <w:rPr>
          <w:szCs w:val="26"/>
        </w:rPr>
        <w:t xml:space="preserve"> (2004) 32 Cal.4th 1153, 1195;</w:t>
      </w:r>
      <w:r w:rsidR="00A276A6">
        <w:rPr>
          <w:szCs w:val="26"/>
        </w:rPr>
        <w:t xml:space="preserve"> </w:t>
      </w:r>
      <w:r w:rsidR="008F0A93" w:rsidRPr="00D63571">
        <w:rPr>
          <w:szCs w:val="26"/>
        </w:rPr>
        <w:t xml:space="preserve">see </w:t>
      </w:r>
      <w:r w:rsidR="00A276A6" w:rsidRPr="00A276A6">
        <w:rPr>
          <w:i/>
          <w:szCs w:val="26"/>
        </w:rPr>
        <w:t>Zamudio</w:t>
      </w:r>
      <w:r w:rsidR="00A276A6">
        <w:rPr>
          <w:szCs w:val="26"/>
        </w:rPr>
        <w:t xml:space="preserve">, at pp. 368–369; </w:t>
      </w:r>
      <w:r w:rsidR="008F0A93" w:rsidRPr="000E686C">
        <w:rPr>
          <w:i/>
          <w:szCs w:val="26"/>
        </w:rPr>
        <w:t>People</w:t>
      </w:r>
      <w:r w:rsidR="008F0A93" w:rsidRPr="00D63571">
        <w:rPr>
          <w:i/>
          <w:szCs w:val="26"/>
        </w:rPr>
        <w:t xml:space="preserve"> v. Harris</w:t>
      </w:r>
      <w:r w:rsidR="008F0A93" w:rsidRPr="00D63571">
        <w:rPr>
          <w:szCs w:val="26"/>
        </w:rPr>
        <w:t xml:space="preserve"> (2005) 37 Cal.4th 310, 359 [finding proposed instruction “confusing” and “unclear as to whose emotional reaction it directed the jurors to consider with caution</w:t>
      </w:r>
      <w:r w:rsidR="00C84CB5">
        <w:rPr>
          <w:szCs w:val="26"/>
        </w:rPr>
        <w:t> </w:t>
      </w:r>
      <w:r w:rsidR="008F0A93" w:rsidRPr="00D63571">
        <w:rPr>
          <w:szCs w:val="26"/>
        </w:rPr>
        <w:t>—</w:t>
      </w:r>
      <w:r w:rsidR="00C84CB5">
        <w:rPr>
          <w:szCs w:val="26"/>
        </w:rPr>
        <w:t xml:space="preserve"> </w:t>
      </w:r>
      <w:r w:rsidR="008F0A93" w:rsidRPr="00D63571">
        <w:rPr>
          <w:szCs w:val="26"/>
        </w:rPr>
        <w:t>that of the victim’s family or the jurors’ own”]</w:t>
      </w:r>
      <w:r w:rsidR="008F0A93">
        <w:rPr>
          <w:szCs w:val="26"/>
        </w:rPr>
        <w:t>.)</w:t>
      </w:r>
      <w:r w:rsidR="005139F4">
        <w:rPr>
          <w:szCs w:val="26"/>
        </w:rPr>
        <w:t xml:space="preserve"> </w:t>
      </w:r>
      <w:r w:rsidR="008F0A93">
        <w:rPr>
          <w:szCs w:val="26"/>
        </w:rPr>
        <w:t xml:space="preserve"> </w:t>
      </w:r>
      <w:r w:rsidR="005139F4">
        <w:rPr>
          <w:szCs w:val="26"/>
        </w:rPr>
        <w:t xml:space="preserve">As we have previously said, </w:t>
      </w:r>
      <w:r w:rsidR="00732FD5">
        <w:rPr>
          <w:szCs w:val="26"/>
        </w:rPr>
        <w:t>“</w:t>
      </w:r>
      <w:r w:rsidR="005139F4">
        <w:rPr>
          <w:szCs w:val="26"/>
        </w:rPr>
        <w:t>[a]</w:t>
      </w:r>
      <w:proofErr w:type="spellStart"/>
      <w:r w:rsidR="00732FD5" w:rsidRPr="00732FD5">
        <w:rPr>
          <w:szCs w:val="26"/>
        </w:rPr>
        <w:t>lthough</w:t>
      </w:r>
      <w:proofErr w:type="spellEnd"/>
      <w:r w:rsidR="00732FD5" w:rsidRPr="00732FD5">
        <w:rPr>
          <w:szCs w:val="26"/>
        </w:rPr>
        <w:t xml:space="preserve"> jurors must never be influenced by passion or prejudice, at the penalty phase, they ‘may properly consider in aggravation, as a circumstance of the crime, the impact of a capital defendant</w:t>
      </w:r>
      <w:r w:rsidR="00732FD5">
        <w:rPr>
          <w:szCs w:val="26"/>
        </w:rPr>
        <w:t>’</w:t>
      </w:r>
      <w:r w:rsidR="00732FD5" w:rsidRPr="00732FD5">
        <w:rPr>
          <w:szCs w:val="26"/>
        </w:rPr>
        <w:t>s crimes on the victim</w:t>
      </w:r>
      <w:r w:rsidR="00732FD5">
        <w:rPr>
          <w:szCs w:val="26"/>
        </w:rPr>
        <w:t>’</w:t>
      </w:r>
      <w:r w:rsidR="00732FD5" w:rsidRPr="00732FD5">
        <w:rPr>
          <w:szCs w:val="26"/>
        </w:rPr>
        <w:t xml:space="preserve">s family, and in so doing [they] </w:t>
      </w:r>
      <w:r w:rsidR="00732FD5" w:rsidRPr="005139F4">
        <w:rPr>
          <w:szCs w:val="26"/>
        </w:rPr>
        <w:t xml:space="preserve">may exercise sympathy for the </w:t>
      </w:r>
      <w:r w:rsidR="00732FD5" w:rsidRPr="005139F4">
        <w:rPr>
          <w:szCs w:val="26"/>
        </w:rPr>
        <w:lastRenderedPageBreak/>
        <w:t>defendant’s murder victims and .</w:t>
      </w:r>
      <w:r w:rsidR="003D2678">
        <w:rPr>
          <w:szCs w:val="26"/>
        </w:rPr>
        <w:t> </w:t>
      </w:r>
      <w:r w:rsidR="00732FD5" w:rsidRPr="005139F4">
        <w:rPr>
          <w:szCs w:val="26"/>
        </w:rPr>
        <w:t>.</w:t>
      </w:r>
      <w:r w:rsidR="003D2678">
        <w:rPr>
          <w:szCs w:val="26"/>
        </w:rPr>
        <w:t> </w:t>
      </w:r>
      <w:r w:rsidR="00732FD5" w:rsidRPr="005139F4">
        <w:rPr>
          <w:szCs w:val="26"/>
        </w:rPr>
        <w:t>. their bereaved family members</w:t>
      </w:r>
      <w:r w:rsidR="00732FD5" w:rsidRPr="00732FD5">
        <w:rPr>
          <w:szCs w:val="26"/>
        </w:rPr>
        <w:t>.’</w:t>
      </w:r>
      <w:r w:rsidR="00C9254A">
        <w:rPr>
          <w:szCs w:val="26"/>
        </w:rPr>
        <w:t> </w:t>
      </w:r>
      <w:r w:rsidR="00732FD5" w:rsidRPr="00732FD5">
        <w:rPr>
          <w:szCs w:val="26"/>
        </w:rPr>
        <w:t>”  (</w:t>
      </w:r>
      <w:r w:rsidR="00732FD5" w:rsidRPr="00732FD5">
        <w:rPr>
          <w:i/>
          <w:szCs w:val="26"/>
        </w:rPr>
        <w:t>Zamudio</w:t>
      </w:r>
      <w:r w:rsidR="00732FD5" w:rsidRPr="00732FD5">
        <w:rPr>
          <w:szCs w:val="26"/>
        </w:rPr>
        <w:t>, at pp.</w:t>
      </w:r>
      <w:r w:rsidR="00C9254A">
        <w:rPr>
          <w:szCs w:val="26"/>
        </w:rPr>
        <w:t> </w:t>
      </w:r>
      <w:r w:rsidR="00732FD5" w:rsidRPr="00732FD5">
        <w:rPr>
          <w:szCs w:val="26"/>
        </w:rPr>
        <w:t>368–369</w:t>
      </w:r>
      <w:r w:rsidR="00732FD5">
        <w:rPr>
          <w:szCs w:val="26"/>
        </w:rPr>
        <w:t xml:space="preserve">, quoting </w:t>
      </w:r>
      <w:r w:rsidR="00732FD5">
        <w:rPr>
          <w:i/>
          <w:szCs w:val="26"/>
        </w:rPr>
        <w:t>Pollock</w:t>
      </w:r>
      <w:r w:rsidR="00732FD5">
        <w:rPr>
          <w:szCs w:val="26"/>
        </w:rPr>
        <w:t>, at p.</w:t>
      </w:r>
      <w:r w:rsidR="00C9254A">
        <w:rPr>
          <w:szCs w:val="26"/>
        </w:rPr>
        <w:t> </w:t>
      </w:r>
      <w:r w:rsidR="00732FD5">
        <w:rPr>
          <w:szCs w:val="26"/>
        </w:rPr>
        <w:t>1195</w:t>
      </w:r>
      <w:r w:rsidR="00C84F3D">
        <w:rPr>
          <w:szCs w:val="26"/>
        </w:rPr>
        <w:t xml:space="preserve">, italics omitted, </w:t>
      </w:r>
      <w:r w:rsidR="00795651">
        <w:rPr>
          <w:szCs w:val="26"/>
        </w:rPr>
        <w:t>second bracket</w:t>
      </w:r>
      <w:r w:rsidR="000E686C">
        <w:rPr>
          <w:szCs w:val="26"/>
        </w:rPr>
        <w:t>s</w:t>
      </w:r>
      <w:r w:rsidR="00795651">
        <w:rPr>
          <w:szCs w:val="26"/>
        </w:rPr>
        <w:t xml:space="preserve"> in original</w:t>
      </w:r>
      <w:r w:rsidR="00732FD5" w:rsidRPr="00732FD5">
        <w:rPr>
          <w:szCs w:val="26"/>
        </w:rPr>
        <w:t xml:space="preserve">.)  </w:t>
      </w:r>
    </w:p>
    <w:p w14:paraId="3ED0F139" w14:textId="065B008F" w:rsidR="00BE07EC" w:rsidRPr="005A0AEB" w:rsidRDefault="008F0A93" w:rsidP="008F0A93">
      <w:pPr>
        <w:tabs>
          <w:tab w:val="left" w:pos="720"/>
          <w:tab w:val="left" w:pos="1170"/>
        </w:tabs>
        <w:ind w:firstLine="720"/>
        <w:rPr>
          <w:szCs w:val="24"/>
        </w:rPr>
      </w:pPr>
      <w:r>
        <w:rPr>
          <w:szCs w:val="26"/>
        </w:rPr>
        <w:t xml:space="preserve">This reasoning applies with equal if not greater force </w:t>
      </w:r>
      <w:r w:rsidRPr="00D63571">
        <w:rPr>
          <w:szCs w:val="26"/>
        </w:rPr>
        <w:t xml:space="preserve">to </w:t>
      </w:r>
      <w:r w:rsidR="00220922">
        <w:rPr>
          <w:szCs w:val="26"/>
        </w:rPr>
        <w:t>Morales</w:t>
      </w:r>
      <w:r w:rsidRPr="00D63571">
        <w:rPr>
          <w:szCs w:val="26"/>
        </w:rPr>
        <w:t xml:space="preserve">’s </w:t>
      </w:r>
      <w:r>
        <w:rPr>
          <w:szCs w:val="26"/>
        </w:rPr>
        <w:t xml:space="preserve">request to instruct the jury with a modified version of the instruction that omitted its last sentence.  </w:t>
      </w:r>
      <w:r w:rsidRPr="00D63571">
        <w:rPr>
          <w:szCs w:val="26"/>
        </w:rPr>
        <w:t>Deleting the instruction’s final sentence removes its only suggestion that jurors can consider emotions in reaching their decision.  Without that sentence, the instruction becomes even more misleading to the extent it more strongly suggests that “emotions may play no part in a juror’s decision to opt for the death penalty.”  (</w:t>
      </w:r>
      <w:r w:rsidRPr="00D63571">
        <w:rPr>
          <w:i/>
          <w:szCs w:val="26"/>
        </w:rPr>
        <w:t>People v. Zamudio</w:t>
      </w:r>
      <w:r w:rsidRPr="00D63571">
        <w:rPr>
          <w:szCs w:val="26"/>
        </w:rPr>
        <w:t xml:space="preserve">, </w:t>
      </w:r>
      <w:r w:rsidRPr="00D63571">
        <w:rPr>
          <w:i/>
          <w:szCs w:val="26"/>
        </w:rPr>
        <w:t>supra</w:t>
      </w:r>
      <w:r w:rsidRPr="00D63571">
        <w:rPr>
          <w:szCs w:val="26"/>
        </w:rPr>
        <w:t>, 43 Cal.4th at p.</w:t>
      </w:r>
      <w:r>
        <w:rPr>
          <w:szCs w:val="26"/>
        </w:rPr>
        <w:t> </w:t>
      </w:r>
      <w:r w:rsidRPr="00D63571">
        <w:rPr>
          <w:szCs w:val="26"/>
        </w:rPr>
        <w:t>368.)</w:t>
      </w:r>
      <w:r>
        <w:rPr>
          <w:szCs w:val="26"/>
        </w:rPr>
        <w:t xml:space="preserve">  </w:t>
      </w:r>
      <w:r w:rsidRPr="00D63571">
        <w:rPr>
          <w:szCs w:val="26"/>
        </w:rPr>
        <w:t>Because the proposed instruction would have been both duplicative and misleading, the trial court properly refused to give it.</w:t>
      </w:r>
    </w:p>
    <w:p w14:paraId="70C2F66A" w14:textId="30EB92D1" w:rsidR="00BE07EC" w:rsidRPr="005A0AEB" w:rsidRDefault="008F0A93" w:rsidP="003153C6">
      <w:pPr>
        <w:keepNext/>
        <w:numPr>
          <w:ilvl w:val="0"/>
          <w:numId w:val="17"/>
        </w:numPr>
        <w:tabs>
          <w:tab w:val="left" w:pos="1584"/>
        </w:tabs>
        <w:spacing w:before="240"/>
        <w:outlineLvl w:val="2"/>
        <w:rPr>
          <w:i/>
        </w:rPr>
      </w:pPr>
      <w:r w:rsidRPr="008F0A93">
        <w:rPr>
          <w:i/>
        </w:rPr>
        <w:t>Instruction with CALJIC No. 8.88</w:t>
      </w:r>
    </w:p>
    <w:p w14:paraId="7486B433" w14:textId="37E0BDA9" w:rsidR="008F0A93" w:rsidRPr="00D63571" w:rsidRDefault="008F0A93" w:rsidP="008F0A93">
      <w:pPr>
        <w:tabs>
          <w:tab w:val="left" w:pos="1440"/>
        </w:tabs>
        <w:ind w:firstLine="720"/>
        <w:rPr>
          <w:szCs w:val="26"/>
          <w:highlight w:val="yellow"/>
        </w:rPr>
      </w:pPr>
      <w:r w:rsidRPr="00D63571">
        <w:rPr>
          <w:szCs w:val="26"/>
        </w:rPr>
        <w:t>The court instructed the jury with CALJIC No.</w:t>
      </w:r>
      <w:r w:rsidR="000C7093">
        <w:rPr>
          <w:szCs w:val="26"/>
        </w:rPr>
        <w:t> </w:t>
      </w:r>
      <w:r w:rsidRPr="00D63571">
        <w:rPr>
          <w:szCs w:val="26"/>
        </w:rPr>
        <w:t>8.88, subject to minor modifications requested by the defense</w:t>
      </w:r>
      <w:r>
        <w:rPr>
          <w:szCs w:val="26"/>
        </w:rPr>
        <w:t xml:space="preserve"> and not at issue here</w:t>
      </w:r>
      <w:r w:rsidRPr="00D63571">
        <w:rPr>
          <w:szCs w:val="26"/>
        </w:rPr>
        <w:t>.</w:t>
      </w:r>
      <w:r>
        <w:rPr>
          <w:szCs w:val="26"/>
        </w:rPr>
        <w:t xml:space="preserve">  </w:t>
      </w:r>
      <w:r w:rsidRPr="00D63571">
        <w:rPr>
          <w:szCs w:val="26"/>
        </w:rPr>
        <w:t>Th</w:t>
      </w:r>
      <w:r>
        <w:rPr>
          <w:szCs w:val="26"/>
        </w:rPr>
        <w:t>at</w:t>
      </w:r>
      <w:r w:rsidRPr="00D63571">
        <w:rPr>
          <w:szCs w:val="26"/>
        </w:rPr>
        <w:t xml:space="preserve"> instruction guides jurors in using aggravating and mitigating circumstances to arrive at a verdict.</w:t>
      </w:r>
      <w:r w:rsidRPr="00D63571">
        <w:rPr>
          <w:rStyle w:val="FootnoteReference"/>
          <w:szCs w:val="26"/>
        </w:rPr>
        <w:footnoteReference w:id="7"/>
      </w:r>
      <w:r w:rsidRPr="00D63571">
        <w:rPr>
          <w:szCs w:val="26"/>
        </w:rPr>
        <w:t xml:space="preserve">  </w:t>
      </w:r>
      <w:r w:rsidR="00220922">
        <w:rPr>
          <w:szCs w:val="26"/>
        </w:rPr>
        <w:t>Morales</w:t>
      </w:r>
      <w:r>
        <w:rPr>
          <w:szCs w:val="26"/>
        </w:rPr>
        <w:t xml:space="preserve"> </w:t>
      </w:r>
      <w:r w:rsidRPr="00D63571">
        <w:rPr>
          <w:szCs w:val="26"/>
        </w:rPr>
        <w:t xml:space="preserve">objects to </w:t>
      </w:r>
      <w:proofErr w:type="gramStart"/>
      <w:r>
        <w:rPr>
          <w:szCs w:val="26"/>
        </w:rPr>
        <w:t>several</w:t>
      </w:r>
      <w:proofErr w:type="gramEnd"/>
      <w:r>
        <w:rPr>
          <w:szCs w:val="26"/>
        </w:rPr>
        <w:t xml:space="preserve"> </w:t>
      </w:r>
      <w:r w:rsidRPr="00D63571">
        <w:rPr>
          <w:szCs w:val="26"/>
        </w:rPr>
        <w:t>aspects of the instruction.</w:t>
      </w:r>
      <w:r>
        <w:rPr>
          <w:szCs w:val="26"/>
        </w:rPr>
        <w:t xml:space="preserve">  </w:t>
      </w:r>
      <w:r>
        <w:rPr>
          <w:szCs w:val="26"/>
        </w:rPr>
        <w:lastRenderedPageBreak/>
        <w:t xml:space="preserve">As </w:t>
      </w:r>
      <w:r w:rsidR="00220922">
        <w:rPr>
          <w:szCs w:val="26"/>
        </w:rPr>
        <w:t>Morales</w:t>
      </w:r>
      <w:r>
        <w:rPr>
          <w:szCs w:val="26"/>
        </w:rPr>
        <w:t xml:space="preserve"> acknowledges, we have previously rejected each of the arguments he now raises.  He offers no persuasive reason for us to reconsider our prior cases.</w:t>
      </w:r>
    </w:p>
    <w:p w14:paraId="6EBC1012" w14:textId="269228DC" w:rsidR="008F0A93" w:rsidRPr="00D63571" w:rsidRDefault="008F0A93" w:rsidP="008F0A93">
      <w:pPr>
        <w:tabs>
          <w:tab w:val="left" w:pos="1440"/>
        </w:tabs>
        <w:ind w:firstLine="720"/>
        <w:rPr>
          <w:szCs w:val="26"/>
        </w:rPr>
      </w:pPr>
      <w:r w:rsidRPr="00D63571">
        <w:rPr>
          <w:szCs w:val="26"/>
        </w:rPr>
        <w:t xml:space="preserve">First, </w:t>
      </w:r>
      <w:r w:rsidR="00220922">
        <w:rPr>
          <w:szCs w:val="26"/>
        </w:rPr>
        <w:t>Morales</w:t>
      </w:r>
      <w:r w:rsidRPr="00D63571">
        <w:rPr>
          <w:szCs w:val="26"/>
        </w:rPr>
        <w:t xml:space="preserve"> takes issue with the portion of the instruction that provides, “To return a judgment of death, each of you must be persuaded that the aggravating circumstances are so substantial in comparison with the mitigating circumstances that it warrants death instead of life without parole</w:t>
      </w:r>
      <w:r>
        <w:rPr>
          <w:szCs w:val="26"/>
        </w:rPr>
        <w:t>.”</w:t>
      </w:r>
      <w:r w:rsidRPr="00D63571">
        <w:rPr>
          <w:szCs w:val="26"/>
        </w:rPr>
        <w:t xml:space="preserve">  </w:t>
      </w:r>
      <w:r w:rsidR="000E686C">
        <w:rPr>
          <w:szCs w:val="26"/>
        </w:rPr>
        <w:t>(CALJIC No.</w:t>
      </w:r>
      <w:r w:rsidR="005538F6">
        <w:rPr>
          <w:szCs w:val="26"/>
        </w:rPr>
        <w:t> </w:t>
      </w:r>
      <w:r w:rsidR="000E686C">
        <w:rPr>
          <w:szCs w:val="26"/>
        </w:rPr>
        <w:t xml:space="preserve">8.88.)  </w:t>
      </w:r>
      <w:r w:rsidRPr="00D63571">
        <w:rPr>
          <w:szCs w:val="26"/>
        </w:rPr>
        <w:t xml:space="preserve">He argues that this direction would permit a death sentence even if the </w:t>
      </w:r>
      <w:r>
        <w:rPr>
          <w:szCs w:val="26"/>
        </w:rPr>
        <w:t xml:space="preserve">jury determined that </w:t>
      </w:r>
      <w:r w:rsidRPr="00D63571">
        <w:rPr>
          <w:szCs w:val="26"/>
        </w:rPr>
        <w:t xml:space="preserve">mitigating circumstances outweighed the aggravating circumstances.  </w:t>
      </w:r>
      <w:r>
        <w:rPr>
          <w:szCs w:val="26"/>
        </w:rPr>
        <w:t>But as we have previously explained, the instruction, taken as a whole, “clearly stated that the death penalty could be imposed only if the jury found that the aggravating circumstances outweighed mitigating.  There was no need to additionally advise the jury of the converse (</w:t>
      </w:r>
      <w:r w:rsidRPr="007630B2">
        <w:rPr>
          <w:szCs w:val="26"/>
        </w:rPr>
        <w:t>i.e.</w:t>
      </w:r>
      <w:r>
        <w:rPr>
          <w:szCs w:val="26"/>
        </w:rPr>
        <w:t xml:space="preserve">, that if mitigating circumstances outweighed aggravating, then life </w:t>
      </w:r>
      <w:r>
        <w:rPr>
          <w:szCs w:val="26"/>
        </w:rPr>
        <w:lastRenderedPageBreak/>
        <w:t>without parole was the appropriate penalty).”  (</w:t>
      </w:r>
      <w:r>
        <w:rPr>
          <w:i/>
          <w:szCs w:val="26"/>
        </w:rPr>
        <w:t>People v. Duncan</w:t>
      </w:r>
      <w:r>
        <w:rPr>
          <w:szCs w:val="26"/>
        </w:rPr>
        <w:t xml:space="preserve"> (1991) 53 Cal.3d 955, 978; see </w:t>
      </w:r>
      <w:r w:rsidRPr="00D63571">
        <w:rPr>
          <w:i/>
          <w:iCs/>
          <w:szCs w:val="26"/>
        </w:rPr>
        <w:t>People v. Landry</w:t>
      </w:r>
      <w:r w:rsidRPr="00D63571">
        <w:rPr>
          <w:szCs w:val="26"/>
        </w:rPr>
        <w:t xml:space="preserve"> (2016) 2 Cal.5th 52, 122; </w:t>
      </w:r>
      <w:r w:rsidRPr="00D63571">
        <w:rPr>
          <w:i/>
          <w:szCs w:val="26"/>
        </w:rPr>
        <w:t>People v. Bryant, Smith and Wheeler</w:t>
      </w:r>
      <w:r w:rsidRPr="00D63571">
        <w:rPr>
          <w:szCs w:val="26"/>
        </w:rPr>
        <w:t xml:space="preserve">, </w:t>
      </w:r>
      <w:r w:rsidRPr="00D63571">
        <w:rPr>
          <w:i/>
          <w:szCs w:val="26"/>
        </w:rPr>
        <w:t>supra</w:t>
      </w:r>
      <w:r w:rsidRPr="00D63571">
        <w:rPr>
          <w:szCs w:val="26"/>
        </w:rPr>
        <w:t>, 60 Cal.4th at p.</w:t>
      </w:r>
      <w:r w:rsidR="0051736E">
        <w:rPr>
          <w:szCs w:val="26"/>
        </w:rPr>
        <w:t> </w:t>
      </w:r>
      <w:r w:rsidRPr="00D63571">
        <w:rPr>
          <w:szCs w:val="26"/>
        </w:rPr>
        <w:t xml:space="preserve">457; </w:t>
      </w:r>
      <w:r w:rsidRPr="00D63571">
        <w:rPr>
          <w:i/>
          <w:szCs w:val="26"/>
        </w:rPr>
        <w:t>People v. Linton</w:t>
      </w:r>
      <w:r w:rsidRPr="00D63571">
        <w:rPr>
          <w:szCs w:val="26"/>
        </w:rPr>
        <w:t xml:space="preserve"> (2013) 56 Cal.4th 1146, 1211;</w:t>
      </w:r>
      <w:r w:rsidRPr="00D63571">
        <w:rPr>
          <w:i/>
          <w:szCs w:val="26"/>
        </w:rPr>
        <w:t xml:space="preserve"> People v. Whalen</w:t>
      </w:r>
      <w:r w:rsidRPr="00D63571">
        <w:rPr>
          <w:szCs w:val="26"/>
        </w:rPr>
        <w:t xml:space="preserve"> (2013) 56 Cal.4th 1, 89.)</w:t>
      </w:r>
    </w:p>
    <w:p w14:paraId="3FC17302" w14:textId="255A04DB" w:rsidR="008F0A93" w:rsidRPr="00D63571" w:rsidRDefault="008F0A93" w:rsidP="008F0A93">
      <w:pPr>
        <w:tabs>
          <w:tab w:val="left" w:pos="1440"/>
        </w:tabs>
        <w:ind w:firstLine="720"/>
        <w:rPr>
          <w:szCs w:val="26"/>
        </w:rPr>
      </w:pPr>
      <w:r w:rsidRPr="00D63571">
        <w:rPr>
          <w:szCs w:val="26"/>
        </w:rPr>
        <w:t xml:space="preserve">Second, </w:t>
      </w:r>
      <w:r w:rsidR="00220922">
        <w:rPr>
          <w:szCs w:val="26"/>
        </w:rPr>
        <w:t>Morales</w:t>
      </w:r>
      <w:r w:rsidRPr="00D63571">
        <w:rPr>
          <w:szCs w:val="26"/>
        </w:rPr>
        <w:t xml:space="preserve"> argues the instruction is incomplete because it fails to advise the jurors that they could opt for a life sentence even in the absence of mitigati</w:t>
      </w:r>
      <w:r>
        <w:rPr>
          <w:szCs w:val="26"/>
        </w:rPr>
        <w:t>ng evidence</w:t>
      </w:r>
      <w:r w:rsidRPr="00D63571">
        <w:rPr>
          <w:szCs w:val="26"/>
        </w:rPr>
        <w:t xml:space="preserve">.  (See </w:t>
      </w:r>
      <w:r w:rsidRPr="00D63571">
        <w:rPr>
          <w:i/>
          <w:szCs w:val="26"/>
        </w:rPr>
        <w:t>People v. Duncan</w:t>
      </w:r>
      <w:r>
        <w:rPr>
          <w:szCs w:val="26"/>
        </w:rPr>
        <w:t xml:space="preserve">, </w:t>
      </w:r>
      <w:r>
        <w:rPr>
          <w:i/>
          <w:szCs w:val="26"/>
        </w:rPr>
        <w:t>supra</w:t>
      </w:r>
      <w:r>
        <w:rPr>
          <w:szCs w:val="26"/>
        </w:rPr>
        <w:t xml:space="preserve">, </w:t>
      </w:r>
      <w:r w:rsidRPr="00D63571">
        <w:rPr>
          <w:szCs w:val="26"/>
        </w:rPr>
        <w:t xml:space="preserve">53 Cal.3d </w:t>
      </w:r>
      <w:r>
        <w:rPr>
          <w:szCs w:val="26"/>
        </w:rPr>
        <w:t>at p. </w:t>
      </w:r>
      <w:r w:rsidRPr="00D63571">
        <w:rPr>
          <w:szCs w:val="26"/>
        </w:rPr>
        <w:t>979 [“The jury may decide, even in the absence of mitigating evidence, that the aggravating evidence is not comparatively substantial enough to warrant death.”].)  We have repeatedly rejected this</w:t>
      </w:r>
      <w:r w:rsidR="00761447">
        <w:rPr>
          <w:szCs w:val="26"/>
        </w:rPr>
        <w:t xml:space="preserve"> </w:t>
      </w:r>
      <w:r w:rsidRPr="00D63571">
        <w:rPr>
          <w:szCs w:val="26"/>
        </w:rPr>
        <w:t>claim</w:t>
      </w:r>
      <w:r>
        <w:rPr>
          <w:szCs w:val="26"/>
        </w:rPr>
        <w:t>, explaining the instruction already adequately conveys th</w:t>
      </w:r>
      <w:r w:rsidR="0096038D">
        <w:rPr>
          <w:szCs w:val="26"/>
        </w:rPr>
        <w:t>e</w:t>
      </w:r>
      <w:r>
        <w:rPr>
          <w:szCs w:val="26"/>
        </w:rPr>
        <w:t xml:space="preserve"> point.  </w:t>
      </w:r>
      <w:r w:rsidRPr="00D63571">
        <w:rPr>
          <w:szCs w:val="26"/>
        </w:rPr>
        <w:t xml:space="preserve">(E.g., </w:t>
      </w:r>
      <w:r w:rsidRPr="00D63571">
        <w:rPr>
          <w:i/>
          <w:szCs w:val="26"/>
        </w:rPr>
        <w:t>People v. Anderson</w:t>
      </w:r>
      <w:r w:rsidRPr="00D63571">
        <w:rPr>
          <w:szCs w:val="26"/>
        </w:rPr>
        <w:t xml:space="preserve"> (2018) 5 Cal.5th 372, 424–425; </w:t>
      </w:r>
      <w:r w:rsidRPr="00D63571">
        <w:rPr>
          <w:i/>
          <w:szCs w:val="26"/>
        </w:rPr>
        <w:t xml:space="preserve">People v. </w:t>
      </w:r>
      <w:r>
        <w:rPr>
          <w:i/>
          <w:szCs w:val="26"/>
        </w:rPr>
        <w:t xml:space="preserve">Bryant, Smith and </w:t>
      </w:r>
      <w:r w:rsidRPr="00D63571">
        <w:rPr>
          <w:i/>
          <w:szCs w:val="26"/>
        </w:rPr>
        <w:t>Wheeler</w:t>
      </w:r>
      <w:r w:rsidRPr="00D63571">
        <w:rPr>
          <w:szCs w:val="26"/>
        </w:rPr>
        <w:t xml:space="preserve">, </w:t>
      </w:r>
      <w:r w:rsidRPr="00D63571">
        <w:rPr>
          <w:i/>
          <w:szCs w:val="26"/>
        </w:rPr>
        <w:t>supra</w:t>
      </w:r>
      <w:r w:rsidRPr="00D63571">
        <w:rPr>
          <w:szCs w:val="26"/>
        </w:rPr>
        <w:t>, 60</w:t>
      </w:r>
      <w:r w:rsidR="00CD4C41">
        <w:rPr>
          <w:szCs w:val="26"/>
        </w:rPr>
        <w:t> </w:t>
      </w:r>
      <w:r w:rsidRPr="00D63571">
        <w:rPr>
          <w:szCs w:val="26"/>
        </w:rPr>
        <w:t>Cal.4th at p.</w:t>
      </w:r>
      <w:r>
        <w:rPr>
          <w:szCs w:val="26"/>
        </w:rPr>
        <w:t> </w:t>
      </w:r>
      <w:r w:rsidRPr="00D63571">
        <w:rPr>
          <w:szCs w:val="26"/>
        </w:rPr>
        <w:t xml:space="preserve">457; </w:t>
      </w:r>
      <w:r w:rsidRPr="00D63571">
        <w:rPr>
          <w:i/>
          <w:szCs w:val="26"/>
        </w:rPr>
        <w:t>People v. Linton</w:t>
      </w:r>
      <w:r w:rsidRPr="00D63571">
        <w:rPr>
          <w:szCs w:val="26"/>
        </w:rPr>
        <w:t xml:space="preserve">, </w:t>
      </w:r>
      <w:r w:rsidRPr="00D63571">
        <w:rPr>
          <w:i/>
          <w:szCs w:val="26"/>
        </w:rPr>
        <w:t>supra</w:t>
      </w:r>
      <w:r w:rsidRPr="00D63571">
        <w:rPr>
          <w:szCs w:val="26"/>
        </w:rPr>
        <w:t>,</w:t>
      </w:r>
      <w:r w:rsidRPr="00D63571">
        <w:rPr>
          <w:i/>
          <w:szCs w:val="26"/>
        </w:rPr>
        <w:t xml:space="preserve"> </w:t>
      </w:r>
      <w:r w:rsidRPr="00D63571">
        <w:rPr>
          <w:szCs w:val="26"/>
        </w:rPr>
        <w:t>56 Cal.4th at p.</w:t>
      </w:r>
      <w:r>
        <w:rPr>
          <w:szCs w:val="26"/>
        </w:rPr>
        <w:t> </w:t>
      </w:r>
      <w:r w:rsidRPr="00D63571">
        <w:rPr>
          <w:szCs w:val="26"/>
        </w:rPr>
        <w:t xml:space="preserve">1211.) </w:t>
      </w:r>
      <w:r w:rsidRPr="00D63571">
        <w:t xml:space="preserve"> </w:t>
      </w:r>
    </w:p>
    <w:p w14:paraId="7B65DFED" w14:textId="76F2629C" w:rsidR="008F0A93" w:rsidRPr="00D63571" w:rsidRDefault="008F0A93" w:rsidP="008F0A93">
      <w:pPr>
        <w:tabs>
          <w:tab w:val="left" w:pos="1440"/>
        </w:tabs>
        <w:ind w:firstLine="720"/>
        <w:rPr>
          <w:szCs w:val="26"/>
        </w:rPr>
      </w:pPr>
      <w:r w:rsidRPr="00D63571">
        <w:rPr>
          <w:szCs w:val="26"/>
        </w:rPr>
        <w:t xml:space="preserve">Third, </w:t>
      </w:r>
      <w:r w:rsidR="00220922">
        <w:rPr>
          <w:szCs w:val="26"/>
        </w:rPr>
        <w:t>Morales</w:t>
      </w:r>
      <w:r w:rsidRPr="00D63571">
        <w:rPr>
          <w:szCs w:val="26"/>
        </w:rPr>
        <w:t xml:space="preserve"> argues that the use of “so substantial” to describe the necessary relationship between aggravation and mitigation is unconstitutionally vague.  This language did not render the instruction vague.  (</w:t>
      </w:r>
      <w:r w:rsidRPr="00D63571">
        <w:rPr>
          <w:i/>
          <w:szCs w:val="26"/>
        </w:rPr>
        <w:t xml:space="preserve">People v. </w:t>
      </w:r>
      <w:r w:rsidRPr="00D63571">
        <w:rPr>
          <w:i/>
          <w:iCs/>
          <w:szCs w:val="26"/>
        </w:rPr>
        <w:t>Landry</w:t>
      </w:r>
      <w:r w:rsidRPr="00D63571">
        <w:rPr>
          <w:szCs w:val="26"/>
        </w:rPr>
        <w:t xml:space="preserve">, </w:t>
      </w:r>
      <w:r w:rsidRPr="00D63571">
        <w:rPr>
          <w:i/>
          <w:szCs w:val="26"/>
        </w:rPr>
        <w:t>supra</w:t>
      </w:r>
      <w:r w:rsidRPr="00D63571">
        <w:rPr>
          <w:szCs w:val="26"/>
        </w:rPr>
        <w:t>, 2</w:t>
      </w:r>
      <w:r w:rsidR="00AD5E33">
        <w:rPr>
          <w:szCs w:val="26"/>
        </w:rPr>
        <w:t> </w:t>
      </w:r>
      <w:r w:rsidRPr="00D63571">
        <w:rPr>
          <w:szCs w:val="26"/>
        </w:rPr>
        <w:t>Cal.5th at p.</w:t>
      </w:r>
      <w:r>
        <w:rPr>
          <w:szCs w:val="26"/>
        </w:rPr>
        <w:t> </w:t>
      </w:r>
      <w:r w:rsidRPr="00D63571">
        <w:rPr>
          <w:szCs w:val="26"/>
        </w:rPr>
        <w:t xml:space="preserve">123; </w:t>
      </w:r>
      <w:r w:rsidRPr="00D63571">
        <w:rPr>
          <w:i/>
          <w:iCs/>
          <w:szCs w:val="26"/>
        </w:rPr>
        <w:t>People v. Thompson</w:t>
      </w:r>
      <w:r w:rsidRPr="00D63571">
        <w:rPr>
          <w:szCs w:val="26"/>
        </w:rPr>
        <w:t xml:space="preserve"> (2016) 1 Cal.5th 1043, 1128; </w:t>
      </w:r>
      <w:r w:rsidRPr="00D63571">
        <w:rPr>
          <w:i/>
          <w:szCs w:val="26"/>
        </w:rPr>
        <w:t>People v. Linton</w:t>
      </w:r>
      <w:r w:rsidRPr="00D63571">
        <w:rPr>
          <w:szCs w:val="26"/>
        </w:rPr>
        <w:t xml:space="preserve">, </w:t>
      </w:r>
      <w:r w:rsidRPr="00D63571">
        <w:rPr>
          <w:i/>
          <w:szCs w:val="26"/>
        </w:rPr>
        <w:t>supra</w:t>
      </w:r>
      <w:r w:rsidRPr="00D63571">
        <w:rPr>
          <w:szCs w:val="26"/>
        </w:rPr>
        <w:t>, 56 Cal.4th at p.</w:t>
      </w:r>
      <w:r w:rsidR="0051736E">
        <w:rPr>
          <w:szCs w:val="26"/>
        </w:rPr>
        <w:t> </w:t>
      </w:r>
      <w:r w:rsidRPr="00D63571">
        <w:rPr>
          <w:szCs w:val="26"/>
        </w:rPr>
        <w:t>1211;</w:t>
      </w:r>
      <w:r w:rsidRPr="00D63571">
        <w:rPr>
          <w:i/>
          <w:szCs w:val="26"/>
        </w:rPr>
        <w:t xml:space="preserve"> People v. Whalen</w:t>
      </w:r>
      <w:r w:rsidRPr="00D63571">
        <w:rPr>
          <w:szCs w:val="26"/>
        </w:rPr>
        <w:t xml:space="preserve">, </w:t>
      </w:r>
      <w:r w:rsidRPr="00D63571">
        <w:rPr>
          <w:i/>
          <w:szCs w:val="26"/>
        </w:rPr>
        <w:t>supra</w:t>
      </w:r>
      <w:r w:rsidRPr="00D63571">
        <w:rPr>
          <w:szCs w:val="26"/>
        </w:rPr>
        <w:t>, 56 Cal.4th at p.</w:t>
      </w:r>
      <w:r>
        <w:rPr>
          <w:szCs w:val="26"/>
        </w:rPr>
        <w:t> </w:t>
      </w:r>
      <w:r w:rsidRPr="00D63571">
        <w:rPr>
          <w:szCs w:val="26"/>
        </w:rPr>
        <w:t>89.)</w:t>
      </w:r>
    </w:p>
    <w:p w14:paraId="02743121" w14:textId="68C78DBB" w:rsidR="008F0A93" w:rsidRPr="005A0AEB" w:rsidRDefault="008F0A93" w:rsidP="008F0A93">
      <w:pPr>
        <w:tabs>
          <w:tab w:val="left" w:pos="720"/>
          <w:tab w:val="left" w:pos="1170"/>
        </w:tabs>
        <w:ind w:firstLine="720"/>
      </w:pPr>
      <w:r>
        <w:rPr>
          <w:szCs w:val="26"/>
        </w:rPr>
        <w:t>Finally</w:t>
      </w:r>
      <w:r w:rsidRPr="00D63571">
        <w:rPr>
          <w:szCs w:val="26"/>
        </w:rPr>
        <w:t xml:space="preserve">, </w:t>
      </w:r>
      <w:r w:rsidR="00220922">
        <w:rPr>
          <w:szCs w:val="26"/>
        </w:rPr>
        <w:t>Morales</w:t>
      </w:r>
      <w:r w:rsidRPr="00D63571">
        <w:rPr>
          <w:szCs w:val="26"/>
        </w:rPr>
        <w:t xml:space="preserve"> complains that the jury was not told to determine whether death was the appropriate punishment, but </w:t>
      </w:r>
      <w:proofErr w:type="gramStart"/>
      <w:r w:rsidRPr="00D63571">
        <w:rPr>
          <w:szCs w:val="26"/>
        </w:rPr>
        <w:t>rather to</w:t>
      </w:r>
      <w:proofErr w:type="gramEnd"/>
      <w:r w:rsidRPr="00D63571">
        <w:rPr>
          <w:szCs w:val="26"/>
        </w:rPr>
        <w:t xml:space="preserve"> decide whether</w:t>
      </w:r>
      <w:r>
        <w:rPr>
          <w:szCs w:val="26"/>
        </w:rPr>
        <w:t xml:space="preserve"> death was </w:t>
      </w:r>
      <w:r w:rsidRPr="00D63571">
        <w:rPr>
          <w:szCs w:val="26"/>
        </w:rPr>
        <w:t xml:space="preserve">“warrant[ed].”  </w:t>
      </w:r>
      <w:r>
        <w:rPr>
          <w:szCs w:val="26"/>
        </w:rPr>
        <w:t xml:space="preserve">This is a distinction without a difference.  </w:t>
      </w:r>
      <w:r w:rsidRPr="00D63571">
        <w:rPr>
          <w:szCs w:val="26"/>
        </w:rPr>
        <w:t>The entirety of the instruction left no doubt that the jury “could return a death verdict only if aggravating circumstances predominated and death is the appropriate verdict.”  (</w:t>
      </w:r>
      <w:r w:rsidRPr="00D63571">
        <w:rPr>
          <w:i/>
          <w:szCs w:val="26"/>
        </w:rPr>
        <w:t>People v. Breaux</w:t>
      </w:r>
      <w:r w:rsidRPr="00D63571">
        <w:rPr>
          <w:szCs w:val="26"/>
        </w:rPr>
        <w:t xml:space="preserve"> (1991) 1 Cal.4th 281, </w:t>
      </w:r>
      <w:r w:rsidRPr="00D63571">
        <w:rPr>
          <w:szCs w:val="26"/>
        </w:rPr>
        <w:lastRenderedPageBreak/>
        <w:t>316.)</w:t>
      </w:r>
      <w:r w:rsidR="001E6C29">
        <w:rPr>
          <w:szCs w:val="26"/>
        </w:rPr>
        <w:t xml:space="preserve"> </w:t>
      </w:r>
      <w:r w:rsidRPr="00D63571">
        <w:rPr>
          <w:szCs w:val="26"/>
        </w:rPr>
        <w:t xml:space="preserve"> The use of “warrants” in place of “appropriate” does not undermine this message.  (</w:t>
      </w:r>
      <w:r w:rsidRPr="00D63571">
        <w:rPr>
          <w:i/>
          <w:szCs w:val="26"/>
        </w:rPr>
        <w:t xml:space="preserve">People v. </w:t>
      </w:r>
      <w:r w:rsidRPr="00D63571">
        <w:rPr>
          <w:i/>
          <w:iCs/>
          <w:szCs w:val="26"/>
        </w:rPr>
        <w:t>Landry</w:t>
      </w:r>
      <w:r w:rsidRPr="00D63571">
        <w:rPr>
          <w:szCs w:val="26"/>
        </w:rPr>
        <w:t xml:space="preserve">, </w:t>
      </w:r>
      <w:r w:rsidRPr="00D63571">
        <w:rPr>
          <w:i/>
          <w:szCs w:val="26"/>
        </w:rPr>
        <w:t>supra</w:t>
      </w:r>
      <w:r w:rsidRPr="00D63571">
        <w:rPr>
          <w:szCs w:val="26"/>
        </w:rPr>
        <w:t>, 2 Cal.5th at p.</w:t>
      </w:r>
      <w:r>
        <w:rPr>
          <w:szCs w:val="26"/>
        </w:rPr>
        <w:t> </w:t>
      </w:r>
      <w:r w:rsidRPr="00D63571">
        <w:rPr>
          <w:szCs w:val="26"/>
        </w:rPr>
        <w:t>122;</w:t>
      </w:r>
      <w:r w:rsidRPr="00D63571">
        <w:rPr>
          <w:i/>
          <w:szCs w:val="26"/>
        </w:rPr>
        <w:t xml:space="preserve"> People v. Linton</w:t>
      </w:r>
      <w:r w:rsidRPr="00D63571">
        <w:rPr>
          <w:szCs w:val="26"/>
        </w:rPr>
        <w:t xml:space="preserve">, </w:t>
      </w:r>
      <w:r w:rsidRPr="00D63571">
        <w:rPr>
          <w:i/>
          <w:szCs w:val="26"/>
        </w:rPr>
        <w:t>supra</w:t>
      </w:r>
      <w:r w:rsidRPr="00D63571">
        <w:rPr>
          <w:szCs w:val="26"/>
        </w:rPr>
        <w:t>, 56 Cal.4th at p.</w:t>
      </w:r>
      <w:r>
        <w:rPr>
          <w:szCs w:val="26"/>
        </w:rPr>
        <w:t> </w:t>
      </w:r>
      <w:r w:rsidRPr="00D63571">
        <w:rPr>
          <w:szCs w:val="26"/>
        </w:rPr>
        <w:t xml:space="preserve">1211; </w:t>
      </w:r>
      <w:r w:rsidRPr="00D63571">
        <w:rPr>
          <w:i/>
          <w:szCs w:val="26"/>
        </w:rPr>
        <w:t>Breaux</w:t>
      </w:r>
      <w:r w:rsidRPr="00D63571">
        <w:rPr>
          <w:szCs w:val="26"/>
        </w:rPr>
        <w:t>, at p. 316.)  To the contrary, “ ‘[b]</w:t>
      </w:r>
      <w:r w:rsidRPr="00D63571">
        <w:rPr>
          <w:szCs w:val="26"/>
          <w:lang w:val="en"/>
        </w:rPr>
        <w:t>y advising that a death verdict should be returned only if aggravation is “so substantial in comparison with” mitigation that death is “warranted,” the instruction clearly admonishes the jury to determine whether the balance of aggravation and mitigation makes death the appropriate penalty.’ ”  (</w:t>
      </w:r>
      <w:r w:rsidRPr="00D63571">
        <w:rPr>
          <w:i/>
          <w:szCs w:val="26"/>
          <w:lang w:val="en"/>
        </w:rPr>
        <w:t>People v. Perry</w:t>
      </w:r>
      <w:r w:rsidRPr="00D63571">
        <w:rPr>
          <w:szCs w:val="26"/>
          <w:lang w:val="en"/>
        </w:rPr>
        <w:t xml:space="preserve"> (2006) 38 Cal.4th 302, 320, quoting </w:t>
      </w:r>
      <w:r w:rsidRPr="00D63571">
        <w:rPr>
          <w:i/>
          <w:szCs w:val="26"/>
          <w:lang w:val="en"/>
        </w:rPr>
        <w:t>People v. Arias</w:t>
      </w:r>
      <w:r w:rsidRPr="00D63571">
        <w:rPr>
          <w:szCs w:val="26"/>
          <w:lang w:val="en"/>
        </w:rPr>
        <w:t xml:space="preserve"> (1996) 13 Cal.</w:t>
      </w:r>
      <w:r>
        <w:rPr>
          <w:szCs w:val="26"/>
          <w:lang w:val="en"/>
        </w:rPr>
        <w:t xml:space="preserve">4th </w:t>
      </w:r>
      <w:r w:rsidRPr="00D63571">
        <w:rPr>
          <w:szCs w:val="26"/>
          <w:lang w:val="en"/>
        </w:rPr>
        <w:t>92, 171.)</w:t>
      </w:r>
    </w:p>
    <w:p w14:paraId="59BE20E8" w14:textId="059C72B7" w:rsidR="0022781E" w:rsidRPr="005A0AEB" w:rsidRDefault="0022781E" w:rsidP="0022781E">
      <w:pPr>
        <w:keepNext/>
        <w:numPr>
          <w:ilvl w:val="0"/>
          <w:numId w:val="17"/>
        </w:numPr>
        <w:tabs>
          <w:tab w:val="left" w:pos="1584"/>
        </w:tabs>
        <w:spacing w:before="240"/>
        <w:outlineLvl w:val="2"/>
        <w:rPr>
          <w:i/>
        </w:rPr>
      </w:pPr>
      <w:r w:rsidRPr="0022781E">
        <w:rPr>
          <w:i/>
        </w:rPr>
        <w:t>Challenges to California’s Death Penalty Scheme</w:t>
      </w:r>
    </w:p>
    <w:p w14:paraId="3F48DF85" w14:textId="56E6BE73" w:rsidR="0022781E" w:rsidRPr="00D63571" w:rsidRDefault="00220922" w:rsidP="0022781E">
      <w:pPr>
        <w:tabs>
          <w:tab w:val="left" w:pos="1440"/>
        </w:tabs>
        <w:ind w:firstLine="720"/>
      </w:pPr>
      <w:r>
        <w:t>Morales</w:t>
      </w:r>
      <w:r w:rsidR="0022781E">
        <w:t xml:space="preserve"> </w:t>
      </w:r>
      <w:r w:rsidR="0022781E" w:rsidRPr="00D63571">
        <w:t xml:space="preserve">raises a series of challenges to the constitutionality of California’s death penalty.  We have considered and rejected each before.  Because </w:t>
      </w:r>
      <w:r>
        <w:t>Morales</w:t>
      </w:r>
      <w:r w:rsidR="0022781E">
        <w:t xml:space="preserve"> </w:t>
      </w:r>
      <w:r w:rsidR="0022781E" w:rsidRPr="00D63571">
        <w:t xml:space="preserve">offers no compelling arguments in favor of reconsidering these rulings, we </w:t>
      </w:r>
      <w:r w:rsidR="0022781E">
        <w:t>again reject these arguments.</w:t>
      </w:r>
    </w:p>
    <w:p w14:paraId="69B3BB45" w14:textId="108394AC" w:rsidR="0022781E" w:rsidRPr="00D63571" w:rsidRDefault="0022781E" w:rsidP="0022781E">
      <w:pPr>
        <w:tabs>
          <w:tab w:val="left" w:pos="1440"/>
        </w:tabs>
        <w:ind w:firstLine="720"/>
      </w:pPr>
      <w:r w:rsidRPr="00D63571">
        <w:t xml:space="preserve">California’s </w:t>
      </w:r>
      <w:proofErr w:type="gramStart"/>
      <w:r w:rsidRPr="00D63571">
        <w:t>special circumstances</w:t>
      </w:r>
      <w:proofErr w:type="gramEnd"/>
      <w:r w:rsidRPr="00D63571">
        <w:t xml:space="preserve"> (see Pen</w:t>
      </w:r>
      <w:r>
        <w:t>.</w:t>
      </w:r>
      <w:r w:rsidRPr="00D63571">
        <w:t xml:space="preserve"> Code</w:t>
      </w:r>
      <w:r>
        <w:t>,</w:t>
      </w:r>
      <w:r w:rsidRPr="00D63571">
        <w:t xml:space="preserve"> § 190.2) supply rational and objective criteria that </w:t>
      </w:r>
      <w:proofErr w:type="gramStart"/>
      <w:r w:rsidRPr="00D63571">
        <w:t>adequately narrow</w:t>
      </w:r>
      <w:proofErr w:type="gramEnd"/>
      <w:r w:rsidRPr="00D63571">
        <w:t xml:space="preserve"> the class of murderers eligible for the death penalty.  (</w:t>
      </w:r>
      <w:r w:rsidRPr="00D63571">
        <w:rPr>
          <w:i/>
        </w:rPr>
        <w:t>People v. Brooks</w:t>
      </w:r>
      <w:r w:rsidRPr="00D63571">
        <w:t xml:space="preserve"> (2017) 3 Cal.5th 1, 114–115; </w:t>
      </w:r>
      <w:r w:rsidRPr="00D63571">
        <w:rPr>
          <w:i/>
          <w:iCs/>
          <w:szCs w:val="26"/>
        </w:rPr>
        <w:t>People v. Delgado</w:t>
      </w:r>
      <w:r w:rsidRPr="00D63571">
        <w:rPr>
          <w:szCs w:val="26"/>
        </w:rPr>
        <w:t xml:space="preserve"> (2017)</w:t>
      </w:r>
      <w:r w:rsidRPr="00D63571">
        <w:rPr>
          <w:i/>
          <w:szCs w:val="26"/>
        </w:rPr>
        <w:t xml:space="preserve"> </w:t>
      </w:r>
      <w:r w:rsidRPr="00D63571">
        <w:rPr>
          <w:szCs w:val="26"/>
        </w:rPr>
        <w:t>2</w:t>
      </w:r>
      <w:r w:rsidR="00CD4C41">
        <w:rPr>
          <w:szCs w:val="26"/>
        </w:rPr>
        <w:t> </w:t>
      </w:r>
      <w:r w:rsidRPr="00D63571">
        <w:rPr>
          <w:szCs w:val="26"/>
        </w:rPr>
        <w:t xml:space="preserve">Cal.5th 544, 591; </w:t>
      </w:r>
      <w:r w:rsidRPr="00D63571">
        <w:rPr>
          <w:i/>
          <w:iCs/>
          <w:szCs w:val="26"/>
        </w:rPr>
        <w:t xml:space="preserve">People v. </w:t>
      </w:r>
      <w:proofErr w:type="spellStart"/>
      <w:r w:rsidRPr="00D63571">
        <w:rPr>
          <w:i/>
          <w:iCs/>
          <w:szCs w:val="26"/>
        </w:rPr>
        <w:t>Winbush</w:t>
      </w:r>
      <w:proofErr w:type="spellEnd"/>
      <w:r w:rsidRPr="00D63571">
        <w:rPr>
          <w:szCs w:val="26"/>
        </w:rPr>
        <w:t xml:space="preserve"> (2017) 2 Cal.5th 402, 488.)</w:t>
      </w:r>
    </w:p>
    <w:p w14:paraId="2F242A9F" w14:textId="5719B80E" w:rsidR="0022781E" w:rsidRPr="00DB198E" w:rsidRDefault="0022781E" w:rsidP="0022781E">
      <w:pPr>
        <w:tabs>
          <w:tab w:val="left" w:pos="1440"/>
        </w:tabs>
        <w:ind w:firstLine="720"/>
      </w:pPr>
      <w:r>
        <w:t>Penal Code s</w:t>
      </w:r>
      <w:r w:rsidRPr="00D63571">
        <w:t xml:space="preserve">ection 190.3, factor (a), which permits the jury to consider the circumstances of the crime in deciding the appropriate punishment, does not license the arbitrary and capricious imposition of the death penalty. </w:t>
      </w:r>
      <w:r w:rsidR="0051736E">
        <w:t xml:space="preserve"> </w:t>
      </w:r>
      <w:r w:rsidRPr="00D63571">
        <w:t>(</w:t>
      </w:r>
      <w:r w:rsidRPr="00D63571">
        <w:rPr>
          <w:i/>
        </w:rPr>
        <w:t>Tuilaepa v. California</w:t>
      </w:r>
      <w:r w:rsidRPr="00D63571">
        <w:t xml:space="preserve"> (1994) 512 U.S. 967, 975–</w:t>
      </w:r>
      <w:r w:rsidRPr="00DB198E">
        <w:t xml:space="preserve">976; </w:t>
      </w:r>
      <w:r w:rsidRPr="00DB198E">
        <w:rPr>
          <w:i/>
        </w:rPr>
        <w:t>People v. Henriquez</w:t>
      </w:r>
      <w:r w:rsidRPr="00DB198E">
        <w:t xml:space="preserve"> (2017) 4 Cal.5th 1, 45; </w:t>
      </w:r>
      <w:r w:rsidRPr="00DB198E">
        <w:rPr>
          <w:i/>
        </w:rPr>
        <w:t xml:space="preserve">People v. </w:t>
      </w:r>
      <w:proofErr w:type="spellStart"/>
      <w:r w:rsidRPr="00DB198E">
        <w:rPr>
          <w:i/>
          <w:iCs/>
          <w:szCs w:val="26"/>
        </w:rPr>
        <w:t>Winbush</w:t>
      </w:r>
      <w:proofErr w:type="spellEnd"/>
      <w:r w:rsidRPr="00DB198E">
        <w:rPr>
          <w:szCs w:val="26"/>
        </w:rPr>
        <w:t xml:space="preserve">, </w:t>
      </w:r>
      <w:r w:rsidRPr="00DB198E">
        <w:rPr>
          <w:i/>
          <w:szCs w:val="26"/>
        </w:rPr>
        <w:t>supra</w:t>
      </w:r>
      <w:r w:rsidRPr="00DB198E">
        <w:rPr>
          <w:szCs w:val="26"/>
        </w:rPr>
        <w:t>, 2 Cal.5th at p. 489;</w:t>
      </w:r>
      <w:r w:rsidRPr="00DB198E">
        <w:t xml:space="preserve"> </w:t>
      </w:r>
      <w:r w:rsidRPr="00DB198E">
        <w:rPr>
          <w:i/>
        </w:rPr>
        <w:t>People v. Simon</w:t>
      </w:r>
      <w:r w:rsidRPr="00DB198E">
        <w:t xml:space="preserve"> (2016) 1 Cal.5th 98, 149.)</w:t>
      </w:r>
    </w:p>
    <w:p w14:paraId="1983E676" w14:textId="1D070170" w:rsidR="0022781E" w:rsidRPr="00D63571" w:rsidRDefault="00DB198E" w:rsidP="000240DF">
      <w:pPr>
        <w:tabs>
          <w:tab w:val="left" w:pos="1440"/>
        </w:tabs>
        <w:ind w:firstLine="720"/>
      </w:pPr>
      <w:r w:rsidRPr="00DB198E">
        <w:lastRenderedPageBreak/>
        <w:t>The</w:t>
      </w:r>
      <w:r w:rsidR="000240DF" w:rsidRPr="00DB198E">
        <w:t xml:space="preserve"> death penalty statute</w:t>
      </w:r>
      <w:r w:rsidRPr="00DB198E">
        <w:t xml:space="preserve"> is not</w:t>
      </w:r>
      <w:r w:rsidR="000240DF" w:rsidRPr="00DB198E">
        <w:t xml:space="preserve"> unconstitutional for </w:t>
      </w:r>
      <w:r w:rsidRPr="00DB198E">
        <w:t xml:space="preserve">not </w:t>
      </w:r>
      <w:r w:rsidR="000240DF" w:rsidRPr="00DB198E">
        <w:t xml:space="preserve">requiring </w:t>
      </w:r>
      <w:r w:rsidR="006731A9">
        <w:t>“</w:t>
      </w:r>
      <w:r w:rsidR="000240DF" w:rsidRPr="00DB198E">
        <w:t>findings beyond a reasonable doubt that an aggravating circumstance (other than Pen. Code, §</w:t>
      </w:r>
      <w:r w:rsidR="0051736E">
        <w:t> </w:t>
      </w:r>
      <w:r w:rsidR="000240DF" w:rsidRPr="00DB198E">
        <w:t xml:space="preserve">190.3, factor (b) or </w:t>
      </w:r>
      <w:r w:rsidR="006731A9">
        <w:t xml:space="preserve">factor </w:t>
      </w:r>
      <w:r w:rsidR="000240DF" w:rsidRPr="00DB198E">
        <w:t xml:space="preserve">(c) evidence) has been proved, that the aggravating factors outweighed the mitigating factors, or that death is the appropriate sentence.” </w:t>
      </w:r>
      <w:r w:rsidR="00675204">
        <w:t xml:space="preserve"> </w:t>
      </w:r>
      <w:r w:rsidR="000240DF" w:rsidRPr="00DB198E">
        <w:t>(</w:t>
      </w:r>
      <w:r w:rsidR="000240DF" w:rsidRPr="00DB198E">
        <w:rPr>
          <w:i/>
        </w:rPr>
        <w:t>People v. Rangel</w:t>
      </w:r>
      <w:r w:rsidR="000240DF" w:rsidRPr="00DB198E">
        <w:t xml:space="preserve"> (2016) 62 Cal.4th 1192, 1235.)</w:t>
      </w:r>
      <w:r w:rsidR="000240DF">
        <w:t xml:space="preserve">  </w:t>
      </w:r>
      <w:r w:rsidR="0022781E" w:rsidRPr="00D63571">
        <w:t xml:space="preserve">Nor </w:t>
      </w:r>
      <w:r w:rsidR="00B62E13">
        <w:t xml:space="preserve">does the federal </w:t>
      </w:r>
      <w:r w:rsidR="00730362">
        <w:t>C</w:t>
      </w:r>
      <w:r w:rsidR="00B62E13">
        <w:t>onstitution require the</w:t>
      </w:r>
      <w:r w:rsidR="0022781E" w:rsidRPr="00D63571">
        <w:t xml:space="preserve"> jury </w:t>
      </w:r>
      <w:r w:rsidR="00B62E13">
        <w:t xml:space="preserve">to </w:t>
      </w:r>
      <w:r w:rsidR="0022781E" w:rsidRPr="00D63571">
        <w:t xml:space="preserve">agree unanimously on any </w:t>
      </w:r>
      <w:proofErr w:type="gramStart"/>
      <w:r w:rsidR="0022781E" w:rsidRPr="00D63571">
        <w:t>particular aggravating</w:t>
      </w:r>
      <w:proofErr w:type="gramEnd"/>
      <w:r w:rsidR="0022781E" w:rsidRPr="00D63571">
        <w:t xml:space="preserve"> factor.  (</w:t>
      </w:r>
      <w:r w:rsidR="00E16F7D" w:rsidRPr="00D63571">
        <w:rPr>
          <w:i/>
        </w:rPr>
        <w:t>People v. Henriquez</w:t>
      </w:r>
      <w:r w:rsidR="00E16F7D" w:rsidRPr="00D63571">
        <w:t xml:space="preserve">, </w:t>
      </w:r>
      <w:r w:rsidR="00E16F7D" w:rsidRPr="00D63571">
        <w:rPr>
          <w:i/>
        </w:rPr>
        <w:t>supra</w:t>
      </w:r>
      <w:r w:rsidR="00E16F7D" w:rsidRPr="00D63571">
        <w:t xml:space="preserve">, 4 Cal.5th at p. 45; </w:t>
      </w:r>
      <w:r w:rsidR="00E16F7D" w:rsidRPr="00D63571">
        <w:rPr>
          <w:i/>
          <w:iCs/>
          <w:szCs w:val="26"/>
        </w:rPr>
        <w:t xml:space="preserve">People v. </w:t>
      </w:r>
      <w:proofErr w:type="spellStart"/>
      <w:r w:rsidR="00E16F7D" w:rsidRPr="00D63571">
        <w:rPr>
          <w:i/>
          <w:iCs/>
          <w:szCs w:val="26"/>
        </w:rPr>
        <w:t>Winbush</w:t>
      </w:r>
      <w:proofErr w:type="spellEnd"/>
      <w:r w:rsidR="00E16F7D" w:rsidRPr="00D63571">
        <w:rPr>
          <w:szCs w:val="26"/>
        </w:rPr>
        <w:t xml:space="preserve">, </w:t>
      </w:r>
      <w:r w:rsidR="00E16F7D" w:rsidRPr="00D63571">
        <w:rPr>
          <w:i/>
          <w:szCs w:val="26"/>
        </w:rPr>
        <w:t>supra</w:t>
      </w:r>
      <w:r w:rsidR="00E16F7D" w:rsidRPr="00D63571">
        <w:rPr>
          <w:szCs w:val="26"/>
        </w:rPr>
        <w:t>, 2 Cal.5th at p. 489</w:t>
      </w:r>
      <w:r w:rsidR="0022781E" w:rsidRPr="00D63571">
        <w:t xml:space="preserve">.) </w:t>
      </w:r>
      <w:r w:rsidR="0022781E" w:rsidRPr="00D63571">
        <w:rPr>
          <w:szCs w:val="26"/>
        </w:rPr>
        <w:t xml:space="preserve"> </w:t>
      </w:r>
      <w:proofErr w:type="spellStart"/>
      <w:r w:rsidR="0022781E" w:rsidRPr="00D63571">
        <w:rPr>
          <w:i/>
        </w:rPr>
        <w:t>Apprendi</w:t>
      </w:r>
      <w:proofErr w:type="spellEnd"/>
      <w:r w:rsidR="0022781E" w:rsidRPr="00D63571">
        <w:rPr>
          <w:i/>
        </w:rPr>
        <w:t xml:space="preserve"> v. New Jersey</w:t>
      </w:r>
      <w:r w:rsidR="0022781E" w:rsidRPr="00D63571">
        <w:t xml:space="preserve"> (2000) 530 U.S. 466, </w:t>
      </w:r>
      <w:r w:rsidR="0022781E" w:rsidRPr="00D63571">
        <w:rPr>
          <w:i/>
        </w:rPr>
        <w:t>Ring v. Arizona</w:t>
      </w:r>
      <w:r w:rsidR="0022781E" w:rsidRPr="00D63571">
        <w:t xml:space="preserve"> (2002) 536</w:t>
      </w:r>
      <w:r w:rsidR="000C7093">
        <w:t> </w:t>
      </w:r>
      <w:r w:rsidR="0022781E" w:rsidRPr="00D63571">
        <w:t>U.S. 584, and their progeny do not require reconsideration of these conclusions.  (</w:t>
      </w:r>
      <w:r w:rsidR="0022781E" w:rsidRPr="00D63571">
        <w:rPr>
          <w:i/>
        </w:rPr>
        <w:t>Henriquez</w:t>
      </w:r>
      <w:r w:rsidR="0022781E" w:rsidRPr="00D63571">
        <w:t xml:space="preserve">, at p. 45; </w:t>
      </w:r>
      <w:proofErr w:type="spellStart"/>
      <w:r w:rsidR="0022781E" w:rsidRPr="00D63571">
        <w:rPr>
          <w:i/>
        </w:rPr>
        <w:t>Winbush</w:t>
      </w:r>
      <w:proofErr w:type="spellEnd"/>
      <w:r w:rsidR="0022781E" w:rsidRPr="00D63571">
        <w:t>, at p.</w:t>
      </w:r>
      <w:r w:rsidR="0022781E">
        <w:t> </w:t>
      </w:r>
      <w:r w:rsidR="0022781E" w:rsidRPr="00D63571">
        <w:t xml:space="preserve">489; </w:t>
      </w:r>
      <w:r w:rsidR="0022781E" w:rsidRPr="00D63571">
        <w:rPr>
          <w:i/>
          <w:iCs/>
          <w:szCs w:val="26"/>
        </w:rPr>
        <w:t>People v. Delgado</w:t>
      </w:r>
      <w:r w:rsidR="0022781E" w:rsidRPr="00D63571">
        <w:rPr>
          <w:szCs w:val="26"/>
        </w:rPr>
        <w:t xml:space="preserve">, </w:t>
      </w:r>
      <w:r w:rsidR="0022781E" w:rsidRPr="00D63571">
        <w:rPr>
          <w:i/>
          <w:szCs w:val="26"/>
        </w:rPr>
        <w:t>supra</w:t>
      </w:r>
      <w:r w:rsidR="0022781E" w:rsidRPr="00D63571">
        <w:rPr>
          <w:szCs w:val="26"/>
        </w:rPr>
        <w:t>, 2 Cal.5th at p. 591</w:t>
      </w:r>
      <w:r w:rsidR="0022781E" w:rsidRPr="00D63571">
        <w:t xml:space="preserve">; </w:t>
      </w:r>
      <w:r w:rsidR="003743B3" w:rsidRPr="00D63571">
        <w:rPr>
          <w:i/>
        </w:rPr>
        <w:t>People v. Simon</w:t>
      </w:r>
      <w:r w:rsidR="003743B3" w:rsidRPr="00D63571">
        <w:t xml:space="preserve">, </w:t>
      </w:r>
      <w:r w:rsidR="003743B3" w:rsidRPr="00D63571">
        <w:rPr>
          <w:i/>
        </w:rPr>
        <w:t>supra</w:t>
      </w:r>
      <w:r w:rsidR="003743B3" w:rsidRPr="00D63571">
        <w:t>, 1 Cal.5th at p. 149</w:t>
      </w:r>
      <w:r w:rsidR="0022781E" w:rsidRPr="00D63571">
        <w:t>.)</w:t>
      </w:r>
    </w:p>
    <w:p w14:paraId="742D0864" w14:textId="77777777" w:rsidR="0022781E" w:rsidRPr="00D63571" w:rsidRDefault="0022781E" w:rsidP="0022781E">
      <w:pPr>
        <w:tabs>
          <w:tab w:val="left" w:pos="1440"/>
        </w:tabs>
        <w:ind w:firstLine="720"/>
      </w:pPr>
      <w:r w:rsidRPr="00D63571">
        <w:t xml:space="preserve">The failure to impose a specific burden of proof on the ultimate question of life or death is </w:t>
      </w:r>
      <w:proofErr w:type="gramStart"/>
      <w:r w:rsidRPr="00D63571">
        <w:t>not unconstitutional</w:t>
      </w:r>
      <w:proofErr w:type="gramEnd"/>
      <w:r w:rsidRPr="00D63571">
        <w:t>.  (</w:t>
      </w:r>
      <w:r w:rsidRPr="00D63571">
        <w:rPr>
          <w:i/>
        </w:rPr>
        <w:t>People v. Henriquez</w:t>
      </w:r>
      <w:r w:rsidRPr="00D63571">
        <w:t xml:space="preserve">, </w:t>
      </w:r>
      <w:r w:rsidRPr="00D63571">
        <w:rPr>
          <w:i/>
        </w:rPr>
        <w:t>supra</w:t>
      </w:r>
      <w:r w:rsidRPr="00D63571">
        <w:t xml:space="preserve">, 4 Cal.5th at p. 45; </w:t>
      </w:r>
      <w:r w:rsidRPr="00D63571">
        <w:rPr>
          <w:i/>
          <w:iCs/>
          <w:szCs w:val="26"/>
        </w:rPr>
        <w:t>People v. Parker</w:t>
      </w:r>
      <w:r w:rsidRPr="00D63571">
        <w:rPr>
          <w:szCs w:val="26"/>
        </w:rPr>
        <w:t xml:space="preserve"> (2017) 2 Cal.5th </w:t>
      </w:r>
      <w:r>
        <w:rPr>
          <w:szCs w:val="26"/>
        </w:rPr>
        <w:t xml:space="preserve">1184, </w:t>
      </w:r>
      <w:r w:rsidRPr="00D63571">
        <w:rPr>
          <w:szCs w:val="26"/>
        </w:rPr>
        <w:t xml:space="preserve">1232; </w:t>
      </w:r>
      <w:r w:rsidRPr="00D63571">
        <w:rPr>
          <w:i/>
          <w:iCs/>
          <w:szCs w:val="26"/>
        </w:rPr>
        <w:t xml:space="preserve">People v. </w:t>
      </w:r>
      <w:proofErr w:type="spellStart"/>
      <w:r w:rsidRPr="00D63571">
        <w:rPr>
          <w:i/>
          <w:iCs/>
          <w:szCs w:val="26"/>
        </w:rPr>
        <w:t>Winbush</w:t>
      </w:r>
      <w:proofErr w:type="spellEnd"/>
      <w:r w:rsidRPr="00D63571">
        <w:rPr>
          <w:szCs w:val="26"/>
        </w:rPr>
        <w:t xml:space="preserve">, </w:t>
      </w:r>
      <w:r w:rsidRPr="00D63571">
        <w:rPr>
          <w:i/>
          <w:szCs w:val="26"/>
        </w:rPr>
        <w:t>supra</w:t>
      </w:r>
      <w:r w:rsidRPr="00D63571">
        <w:rPr>
          <w:szCs w:val="26"/>
        </w:rPr>
        <w:t>, 2 Cal.5th at pp. 489–490.)</w:t>
      </w:r>
    </w:p>
    <w:p w14:paraId="7EA7E820" w14:textId="6DD3CDAB" w:rsidR="0022781E" w:rsidRPr="00D63571" w:rsidRDefault="0022781E" w:rsidP="0022781E">
      <w:pPr>
        <w:tabs>
          <w:tab w:val="left" w:pos="1440"/>
        </w:tabs>
        <w:ind w:firstLine="720"/>
      </w:pPr>
      <w:r w:rsidRPr="00D63571">
        <w:t>The federal Constitution does not require that the penalty jury issue written findings.  (</w:t>
      </w:r>
      <w:r w:rsidRPr="00D63571">
        <w:rPr>
          <w:i/>
        </w:rPr>
        <w:t>People v. Henriquez</w:t>
      </w:r>
      <w:r w:rsidRPr="00D63571">
        <w:t xml:space="preserve">, </w:t>
      </w:r>
      <w:r w:rsidRPr="00D63571">
        <w:rPr>
          <w:i/>
        </w:rPr>
        <w:t>supra</w:t>
      </w:r>
      <w:r w:rsidRPr="00D63571">
        <w:t>, 4</w:t>
      </w:r>
      <w:r w:rsidR="000C7093">
        <w:t> </w:t>
      </w:r>
      <w:r w:rsidRPr="00D63571">
        <w:t xml:space="preserve">Cal.5th at p. 46; </w:t>
      </w:r>
      <w:r w:rsidRPr="00D63571">
        <w:rPr>
          <w:i/>
          <w:iCs/>
          <w:szCs w:val="26"/>
        </w:rPr>
        <w:t xml:space="preserve">People v. </w:t>
      </w:r>
      <w:proofErr w:type="spellStart"/>
      <w:r w:rsidRPr="00D63571">
        <w:rPr>
          <w:i/>
          <w:iCs/>
          <w:szCs w:val="26"/>
        </w:rPr>
        <w:t>Winbush</w:t>
      </w:r>
      <w:proofErr w:type="spellEnd"/>
      <w:r w:rsidRPr="00D63571">
        <w:rPr>
          <w:szCs w:val="26"/>
        </w:rPr>
        <w:t xml:space="preserve">, </w:t>
      </w:r>
      <w:r w:rsidRPr="00D63571">
        <w:rPr>
          <w:i/>
          <w:szCs w:val="26"/>
        </w:rPr>
        <w:t>supra</w:t>
      </w:r>
      <w:r w:rsidRPr="00D63571">
        <w:rPr>
          <w:szCs w:val="26"/>
        </w:rPr>
        <w:t xml:space="preserve">, 2 Cal.5th at p. 490; </w:t>
      </w:r>
      <w:r w:rsidRPr="00D63571">
        <w:rPr>
          <w:i/>
        </w:rPr>
        <w:t>People v. Thompson</w:t>
      </w:r>
      <w:r w:rsidRPr="00D63571">
        <w:t xml:space="preserve">, </w:t>
      </w:r>
      <w:r w:rsidRPr="00D63571">
        <w:rPr>
          <w:i/>
        </w:rPr>
        <w:t>supra</w:t>
      </w:r>
      <w:r w:rsidRPr="00D63571">
        <w:t xml:space="preserve">, 1 Cal.5th at p. 1130.)  Nor does it require </w:t>
      </w:r>
      <w:proofErr w:type="spellStart"/>
      <w:r w:rsidRPr="00D63571">
        <w:t>intercase</w:t>
      </w:r>
      <w:proofErr w:type="spellEnd"/>
      <w:r w:rsidRPr="00D63571">
        <w:t xml:space="preserve"> proportionality review.  (</w:t>
      </w:r>
      <w:r w:rsidRPr="00D63571">
        <w:rPr>
          <w:i/>
        </w:rPr>
        <w:t>Henriquez</w:t>
      </w:r>
      <w:r w:rsidRPr="00D63571">
        <w:t xml:space="preserve">, at p. 46; </w:t>
      </w:r>
      <w:proofErr w:type="spellStart"/>
      <w:r w:rsidRPr="00D63571">
        <w:rPr>
          <w:i/>
          <w:iCs/>
          <w:szCs w:val="26"/>
        </w:rPr>
        <w:t>Winbush</w:t>
      </w:r>
      <w:proofErr w:type="spellEnd"/>
      <w:r w:rsidRPr="00D63571">
        <w:rPr>
          <w:szCs w:val="26"/>
        </w:rPr>
        <w:t xml:space="preserve">, at p. 490; </w:t>
      </w:r>
      <w:r w:rsidRPr="00D63571">
        <w:rPr>
          <w:i/>
        </w:rPr>
        <w:t>Thompson</w:t>
      </w:r>
      <w:r w:rsidRPr="00D63571">
        <w:t xml:space="preserve">, at p. 1130; </w:t>
      </w:r>
      <w:r w:rsidRPr="00D63571">
        <w:rPr>
          <w:i/>
        </w:rPr>
        <w:t>People v. Simon</w:t>
      </w:r>
      <w:r w:rsidRPr="00D63571">
        <w:t xml:space="preserve">, </w:t>
      </w:r>
      <w:r w:rsidRPr="00D63571">
        <w:rPr>
          <w:i/>
        </w:rPr>
        <w:t>supra</w:t>
      </w:r>
      <w:r w:rsidRPr="00D63571">
        <w:t>, 1 Cal.5th at p. 149.)</w:t>
      </w:r>
    </w:p>
    <w:p w14:paraId="0A8100F3" w14:textId="77777777" w:rsidR="0022781E" w:rsidRPr="00D63571" w:rsidRDefault="0022781E" w:rsidP="0022781E">
      <w:pPr>
        <w:tabs>
          <w:tab w:val="left" w:pos="1440"/>
        </w:tabs>
        <w:ind w:firstLine="720"/>
      </w:pPr>
      <w:r w:rsidRPr="00D63571">
        <w:t xml:space="preserve">The federal Constitution does not prohibit the use of prior unadjudicated criminal activity as an aggravating factor, nor does it require that such activity be found unanimously beyond </w:t>
      </w:r>
      <w:r w:rsidRPr="00D63571">
        <w:lastRenderedPageBreak/>
        <w:t>a reasonable doubt.  (</w:t>
      </w:r>
      <w:r w:rsidRPr="00D63571">
        <w:rPr>
          <w:i/>
        </w:rPr>
        <w:t>People v. Brooks</w:t>
      </w:r>
      <w:r w:rsidRPr="00D63571">
        <w:t xml:space="preserve">, </w:t>
      </w:r>
      <w:r w:rsidRPr="00D63571">
        <w:rPr>
          <w:i/>
        </w:rPr>
        <w:t>supra</w:t>
      </w:r>
      <w:r w:rsidRPr="00D63571">
        <w:t xml:space="preserve">, 3 Cal.5th at p. 115; </w:t>
      </w:r>
      <w:r w:rsidRPr="00D63571">
        <w:rPr>
          <w:i/>
        </w:rPr>
        <w:t>People v. Thompson</w:t>
      </w:r>
      <w:r w:rsidRPr="00D63571">
        <w:t xml:space="preserve">, </w:t>
      </w:r>
      <w:r w:rsidRPr="00D63571">
        <w:rPr>
          <w:i/>
        </w:rPr>
        <w:t>supra</w:t>
      </w:r>
      <w:r w:rsidRPr="00D63571">
        <w:t>, 1 Cal.5th at p. 11</w:t>
      </w:r>
      <w:r>
        <w:t>30</w:t>
      </w:r>
      <w:r w:rsidRPr="00D63571">
        <w:t xml:space="preserve">; </w:t>
      </w:r>
      <w:r w:rsidRPr="00D63571">
        <w:rPr>
          <w:i/>
        </w:rPr>
        <w:t>People v. Simon</w:t>
      </w:r>
      <w:r w:rsidRPr="00D63571">
        <w:t xml:space="preserve">, </w:t>
      </w:r>
      <w:r w:rsidRPr="00D63571">
        <w:rPr>
          <w:i/>
        </w:rPr>
        <w:t>supra</w:t>
      </w:r>
      <w:r w:rsidRPr="00D63571">
        <w:t xml:space="preserve">, 1 Cal.5th at p. 150.)  Neither </w:t>
      </w:r>
      <w:proofErr w:type="spellStart"/>
      <w:r w:rsidRPr="00D63571">
        <w:rPr>
          <w:i/>
        </w:rPr>
        <w:t>Apprendi</w:t>
      </w:r>
      <w:proofErr w:type="spellEnd"/>
      <w:r w:rsidRPr="00D63571">
        <w:rPr>
          <w:i/>
        </w:rPr>
        <w:t xml:space="preserve"> v. New Jersey</w:t>
      </w:r>
      <w:r w:rsidRPr="00D63571">
        <w:t xml:space="preserve">, </w:t>
      </w:r>
      <w:r w:rsidRPr="00D63571">
        <w:rPr>
          <w:i/>
        </w:rPr>
        <w:t>supra</w:t>
      </w:r>
      <w:r w:rsidRPr="00D63571">
        <w:t xml:space="preserve">, 530 U.S. 466, nor </w:t>
      </w:r>
      <w:r w:rsidRPr="00D63571">
        <w:rPr>
          <w:i/>
        </w:rPr>
        <w:t>Ring v. Arizona</w:t>
      </w:r>
      <w:r w:rsidRPr="00D63571">
        <w:t xml:space="preserve">, </w:t>
      </w:r>
      <w:r w:rsidRPr="00D63571">
        <w:rPr>
          <w:i/>
        </w:rPr>
        <w:t>supra</w:t>
      </w:r>
      <w:r w:rsidRPr="00D63571">
        <w:t>, 536 U.S. 584, requires reappraisal of that conclusion.  (</w:t>
      </w:r>
      <w:r w:rsidRPr="00D63571">
        <w:rPr>
          <w:i/>
        </w:rPr>
        <w:t>People v. Jones</w:t>
      </w:r>
      <w:r w:rsidRPr="00D63571">
        <w:t xml:space="preserve"> (2017) 3 Cal.5th 583, 619.)</w:t>
      </w:r>
    </w:p>
    <w:p w14:paraId="120E1E5B" w14:textId="77777777" w:rsidR="0022781E" w:rsidRPr="00D63571" w:rsidRDefault="0022781E" w:rsidP="0022781E">
      <w:pPr>
        <w:tabs>
          <w:tab w:val="left" w:pos="1440"/>
        </w:tabs>
        <w:ind w:firstLine="720"/>
        <w:rPr>
          <w:b/>
        </w:rPr>
      </w:pPr>
      <w:r w:rsidRPr="00D63571">
        <w:t xml:space="preserve">The use of the adjectives “extreme” and “substantial” in </w:t>
      </w:r>
      <w:r>
        <w:t xml:space="preserve">Penal Code </w:t>
      </w:r>
      <w:r w:rsidRPr="00D63571">
        <w:t>section 190.3’s list of mitigating factors does not prevent the jury from giving full consideration to a defendant’s mitigating evidence.  (</w:t>
      </w:r>
      <w:r w:rsidRPr="00D63571">
        <w:rPr>
          <w:i/>
        </w:rPr>
        <w:t>People v. Brooks</w:t>
      </w:r>
      <w:r w:rsidRPr="00D63571">
        <w:t xml:space="preserve">, </w:t>
      </w:r>
      <w:r w:rsidRPr="00D63571">
        <w:rPr>
          <w:i/>
        </w:rPr>
        <w:t>supra</w:t>
      </w:r>
      <w:r w:rsidRPr="00D63571">
        <w:t xml:space="preserve">, 3 Cal.5th at p. 115; </w:t>
      </w:r>
      <w:r w:rsidRPr="00D63571">
        <w:rPr>
          <w:i/>
        </w:rPr>
        <w:t>People v. Landry</w:t>
      </w:r>
      <w:r w:rsidRPr="00D63571">
        <w:t xml:space="preserve">, </w:t>
      </w:r>
      <w:r w:rsidRPr="00D63571">
        <w:rPr>
          <w:i/>
        </w:rPr>
        <w:t>supra</w:t>
      </w:r>
      <w:r w:rsidRPr="00D63571">
        <w:t>, 2 Cal.5th at p.</w:t>
      </w:r>
      <w:r>
        <w:t> </w:t>
      </w:r>
      <w:r w:rsidRPr="00D63571">
        <w:t xml:space="preserve">122; </w:t>
      </w:r>
      <w:r w:rsidRPr="00D63571">
        <w:rPr>
          <w:i/>
        </w:rPr>
        <w:t>People v. Simon</w:t>
      </w:r>
      <w:r w:rsidRPr="00D63571">
        <w:t xml:space="preserve">, </w:t>
      </w:r>
      <w:r w:rsidRPr="00D63571">
        <w:rPr>
          <w:i/>
        </w:rPr>
        <w:t>supra</w:t>
      </w:r>
      <w:r w:rsidRPr="00D63571">
        <w:t>, 1 Cal.5th at p. 150.)</w:t>
      </w:r>
    </w:p>
    <w:p w14:paraId="42AF45C0" w14:textId="1FD54F8B" w:rsidR="0022781E" w:rsidRPr="00D63571" w:rsidRDefault="0022781E" w:rsidP="0022781E">
      <w:pPr>
        <w:tabs>
          <w:tab w:val="left" w:pos="1440"/>
        </w:tabs>
        <w:ind w:firstLine="720"/>
      </w:pPr>
      <w:r w:rsidRPr="00D63571">
        <w:t>The jury need not be instructed that potential mitigating factors may be considered only as mitigation and their absence may not be treated as a factor in aggravation.  (</w:t>
      </w:r>
      <w:r w:rsidRPr="00D63571">
        <w:rPr>
          <w:i/>
          <w:iCs/>
          <w:szCs w:val="26"/>
        </w:rPr>
        <w:t xml:space="preserve">People v. </w:t>
      </w:r>
      <w:proofErr w:type="spellStart"/>
      <w:r w:rsidRPr="00D63571">
        <w:rPr>
          <w:i/>
          <w:iCs/>
          <w:szCs w:val="26"/>
        </w:rPr>
        <w:t>Winbush</w:t>
      </w:r>
      <w:proofErr w:type="spellEnd"/>
      <w:r w:rsidRPr="00D63571">
        <w:rPr>
          <w:szCs w:val="26"/>
        </w:rPr>
        <w:t xml:space="preserve">, </w:t>
      </w:r>
      <w:r w:rsidRPr="00D63571">
        <w:rPr>
          <w:i/>
          <w:szCs w:val="26"/>
        </w:rPr>
        <w:t>supra</w:t>
      </w:r>
      <w:r w:rsidRPr="00D63571">
        <w:rPr>
          <w:szCs w:val="26"/>
        </w:rPr>
        <w:t>, 2 Cal.5th at p. 490;</w:t>
      </w:r>
      <w:r w:rsidRPr="00D63571">
        <w:t xml:space="preserve"> </w:t>
      </w:r>
      <w:r w:rsidRPr="00D63571">
        <w:rPr>
          <w:i/>
          <w:szCs w:val="26"/>
        </w:rPr>
        <w:t xml:space="preserve">People v. Contreras </w:t>
      </w:r>
      <w:r w:rsidRPr="00D63571">
        <w:rPr>
          <w:szCs w:val="26"/>
        </w:rPr>
        <w:t>(2013) 58 Cal.4th 123, 173.</w:t>
      </w:r>
      <w:r w:rsidRPr="00D63571">
        <w:t>)</w:t>
      </w:r>
    </w:p>
    <w:p w14:paraId="5913B588" w14:textId="06008493" w:rsidR="0022781E" w:rsidRPr="00D63571" w:rsidRDefault="0022781E" w:rsidP="0022781E">
      <w:pPr>
        <w:tabs>
          <w:tab w:val="left" w:pos="1440"/>
        </w:tabs>
        <w:ind w:firstLine="720"/>
      </w:pPr>
      <w:r w:rsidRPr="00D63571">
        <w:t xml:space="preserve">The equal protection clause does not require California to include in its capital sentencing scheme every procedural protection provided </w:t>
      </w:r>
      <w:r w:rsidR="00130907">
        <w:t xml:space="preserve">to </w:t>
      </w:r>
      <w:r w:rsidRPr="00D63571">
        <w:t>noncapital defendants.  The two groups are not similarly situated.  (</w:t>
      </w:r>
      <w:r w:rsidRPr="00D63571">
        <w:rPr>
          <w:i/>
        </w:rPr>
        <w:t>People v. Henriquez</w:t>
      </w:r>
      <w:r w:rsidRPr="00D63571">
        <w:t xml:space="preserve">, </w:t>
      </w:r>
      <w:r w:rsidRPr="00D63571">
        <w:rPr>
          <w:i/>
        </w:rPr>
        <w:t>supra</w:t>
      </w:r>
      <w:r w:rsidRPr="00D63571">
        <w:t xml:space="preserve">, 4 Cal.5th at p. 45; </w:t>
      </w:r>
      <w:r w:rsidRPr="00D63571">
        <w:rPr>
          <w:i/>
          <w:iCs/>
          <w:szCs w:val="26"/>
        </w:rPr>
        <w:t xml:space="preserve">People v. </w:t>
      </w:r>
      <w:proofErr w:type="spellStart"/>
      <w:r w:rsidRPr="00D63571">
        <w:rPr>
          <w:i/>
          <w:iCs/>
          <w:szCs w:val="26"/>
        </w:rPr>
        <w:t>Winbush</w:t>
      </w:r>
      <w:proofErr w:type="spellEnd"/>
      <w:r w:rsidRPr="00D63571">
        <w:rPr>
          <w:szCs w:val="26"/>
        </w:rPr>
        <w:t xml:space="preserve">, </w:t>
      </w:r>
      <w:r w:rsidRPr="00D63571">
        <w:rPr>
          <w:i/>
          <w:szCs w:val="26"/>
        </w:rPr>
        <w:t>supra</w:t>
      </w:r>
      <w:r w:rsidRPr="00D63571">
        <w:rPr>
          <w:szCs w:val="26"/>
        </w:rPr>
        <w:t>, 2 Cal.5th at p. 490</w:t>
      </w:r>
      <w:r w:rsidRPr="00D63571">
        <w:t xml:space="preserve">; </w:t>
      </w:r>
      <w:r w:rsidRPr="00D63571">
        <w:rPr>
          <w:i/>
        </w:rPr>
        <w:t>People v. Parker</w:t>
      </w:r>
      <w:r w:rsidRPr="00D63571">
        <w:t xml:space="preserve">, </w:t>
      </w:r>
      <w:r w:rsidRPr="00D63571">
        <w:rPr>
          <w:i/>
        </w:rPr>
        <w:t>supra</w:t>
      </w:r>
      <w:r w:rsidRPr="00D63571">
        <w:t>, 2 Cal.5th at p.</w:t>
      </w:r>
      <w:r w:rsidR="005538F6">
        <w:t> </w:t>
      </w:r>
      <w:r w:rsidRPr="00D63571">
        <w:t xml:space="preserve">1234; </w:t>
      </w:r>
      <w:r w:rsidRPr="00D63571">
        <w:rPr>
          <w:i/>
        </w:rPr>
        <w:t>People v. Williams</w:t>
      </w:r>
      <w:r w:rsidRPr="00D63571">
        <w:t xml:space="preserve"> (2013) 58</w:t>
      </w:r>
      <w:r w:rsidR="00474251">
        <w:t> </w:t>
      </w:r>
      <w:r w:rsidRPr="00D63571">
        <w:t>Cal.4th 197, 295</w:t>
      </w:r>
      <w:r w:rsidRPr="00D63571">
        <w:rPr>
          <w:szCs w:val="26"/>
        </w:rPr>
        <w:t>.)</w:t>
      </w:r>
    </w:p>
    <w:p w14:paraId="642819FD" w14:textId="6D2538C3" w:rsidR="0022781E" w:rsidRPr="00D63571" w:rsidRDefault="00220922" w:rsidP="0022781E">
      <w:pPr>
        <w:tabs>
          <w:tab w:val="left" w:pos="1440"/>
        </w:tabs>
        <w:ind w:firstLine="720"/>
      </w:pPr>
      <w:r>
        <w:t>Morales</w:t>
      </w:r>
      <w:r w:rsidR="0022781E" w:rsidRPr="00D63571">
        <w:t xml:space="preserve"> contends California’s regular use of capital punishment violates international norms of human decency and thus the Eighth and Fourteenth Amendments to the United States Constitution.  </w:t>
      </w:r>
      <w:r w:rsidR="0022781E">
        <w:t xml:space="preserve">But </w:t>
      </w:r>
      <w:r w:rsidR="0022781E" w:rsidRPr="00D63571">
        <w:t xml:space="preserve">“ ‘California does not employ capital punishment in such a manner.  The death penalty is available only for the crime of first degree murder, and only when a special </w:t>
      </w:r>
      <w:r w:rsidR="0022781E" w:rsidRPr="00D63571">
        <w:lastRenderedPageBreak/>
        <w:t>circumstance is found true; furthermore, administration of the penalty is governed by constitutional and statutory provisions different from those applying to “regular punishment” for felonies.  (E.g., Cal. Const., art. VI, § 11; [Pen</w:t>
      </w:r>
      <w:r w:rsidR="0022781E">
        <w:t>.</w:t>
      </w:r>
      <w:r w:rsidR="0022781E" w:rsidRPr="00D63571">
        <w:t xml:space="preserve"> Code</w:t>
      </w:r>
      <w:r w:rsidR="0022781E">
        <w:t>,</w:t>
      </w:r>
      <w:r w:rsidR="0022781E" w:rsidRPr="00D63571">
        <w:t xml:space="preserve">] §§ 190.1–190.9, 1239, </w:t>
      </w:r>
      <w:proofErr w:type="spellStart"/>
      <w:r w:rsidR="0022781E" w:rsidRPr="00D63571">
        <w:t>subd</w:t>
      </w:r>
      <w:proofErr w:type="spellEnd"/>
      <w:r w:rsidR="0022781E" w:rsidRPr="00D63571">
        <w:t>. (b).)’ ”  (</w:t>
      </w:r>
      <w:r w:rsidR="0022781E" w:rsidRPr="00D63571">
        <w:rPr>
          <w:i/>
        </w:rPr>
        <w:t>People v. Trinh</w:t>
      </w:r>
      <w:r w:rsidR="0022781E">
        <w:rPr>
          <w:i/>
        </w:rPr>
        <w:t xml:space="preserve"> </w:t>
      </w:r>
      <w:r w:rsidR="0022781E" w:rsidRPr="00474A49">
        <w:t>(2014)</w:t>
      </w:r>
      <w:r w:rsidR="0022781E" w:rsidRPr="00D63571">
        <w:t xml:space="preserve"> 59 Cal.4th 216, 255, quoting </w:t>
      </w:r>
      <w:r w:rsidR="0022781E" w:rsidRPr="00D63571">
        <w:rPr>
          <w:i/>
        </w:rPr>
        <w:t xml:space="preserve">People v. </w:t>
      </w:r>
      <w:proofErr w:type="spellStart"/>
      <w:r w:rsidR="0022781E" w:rsidRPr="00D63571">
        <w:rPr>
          <w:i/>
        </w:rPr>
        <w:t>Demetrulias</w:t>
      </w:r>
      <w:proofErr w:type="spellEnd"/>
      <w:r w:rsidR="0022781E" w:rsidRPr="00D63571">
        <w:rPr>
          <w:i/>
        </w:rPr>
        <w:t xml:space="preserve"> </w:t>
      </w:r>
      <w:r w:rsidR="0022781E" w:rsidRPr="00D63571">
        <w:t>(2006) 39 C</w:t>
      </w:r>
      <w:r w:rsidR="0022781E">
        <w:t>al.4th</w:t>
      </w:r>
      <w:r w:rsidR="0022781E" w:rsidRPr="00D63571">
        <w:t xml:space="preserve"> 1, 43–44; see </w:t>
      </w:r>
      <w:r w:rsidR="0022781E" w:rsidRPr="00D63571">
        <w:rPr>
          <w:i/>
          <w:iCs/>
          <w:szCs w:val="26"/>
        </w:rPr>
        <w:t xml:space="preserve">People v. </w:t>
      </w:r>
      <w:proofErr w:type="spellStart"/>
      <w:r w:rsidR="0022781E" w:rsidRPr="00D63571">
        <w:rPr>
          <w:i/>
          <w:iCs/>
          <w:szCs w:val="26"/>
        </w:rPr>
        <w:t>Winbush</w:t>
      </w:r>
      <w:proofErr w:type="spellEnd"/>
      <w:r w:rsidR="0022781E" w:rsidRPr="00D63571">
        <w:rPr>
          <w:szCs w:val="26"/>
        </w:rPr>
        <w:t xml:space="preserve">, </w:t>
      </w:r>
      <w:r w:rsidR="0022781E" w:rsidRPr="00D63571">
        <w:rPr>
          <w:i/>
          <w:szCs w:val="26"/>
        </w:rPr>
        <w:t>supra</w:t>
      </w:r>
      <w:r w:rsidR="0022781E" w:rsidRPr="00D63571">
        <w:rPr>
          <w:szCs w:val="26"/>
        </w:rPr>
        <w:t>, 2 Cal.5th at p. 490</w:t>
      </w:r>
      <w:r w:rsidR="0022781E" w:rsidRPr="00D63571">
        <w:t>.)</w:t>
      </w:r>
    </w:p>
    <w:p w14:paraId="64D933C8" w14:textId="2F3BC979" w:rsidR="008F0A93" w:rsidRPr="005A0AEB" w:rsidRDefault="0022781E" w:rsidP="0022781E">
      <w:pPr>
        <w:tabs>
          <w:tab w:val="left" w:pos="720"/>
          <w:tab w:val="left" w:pos="1170"/>
        </w:tabs>
        <w:ind w:firstLine="720"/>
      </w:pPr>
      <w:r w:rsidRPr="00D63571">
        <w:t xml:space="preserve">Finally, </w:t>
      </w:r>
      <w:r w:rsidR="00220922">
        <w:t>Morales</w:t>
      </w:r>
      <w:r w:rsidRPr="00D63571">
        <w:t xml:space="preserve"> argues these individual defects must be considered for their cumulative impact, rather than in isolation.  He has identified no defects.  Moreover, even when considered in combination, the aspects of California’s scheme </w:t>
      </w:r>
      <w:r w:rsidR="00220922">
        <w:t>Morales</w:t>
      </w:r>
      <w:r w:rsidRPr="00D63571">
        <w:t xml:space="preserve"> highlights do not persuade us that California imposes capital punishment in a manner that violates the United States Constitution.</w:t>
      </w:r>
    </w:p>
    <w:p w14:paraId="6F238A3B" w14:textId="11376C17" w:rsidR="00BE07EC" w:rsidRPr="0022781E" w:rsidRDefault="00BE07EC" w:rsidP="0051736E">
      <w:pPr>
        <w:keepNext/>
        <w:jc w:val="center"/>
        <w:outlineLvl w:val="0"/>
        <w:rPr>
          <w:b/>
          <w:smallCaps/>
        </w:rPr>
      </w:pPr>
      <w:bookmarkStart w:id="41" w:name="_Toc21438461"/>
      <w:bookmarkStart w:id="42" w:name="_Toc31888618"/>
      <w:bookmarkStart w:id="43" w:name="_Toc34223174"/>
      <w:r w:rsidRPr="005A0AEB">
        <w:rPr>
          <w:b/>
          <w:smallCaps/>
        </w:rPr>
        <w:t xml:space="preserve">III.  </w:t>
      </w:r>
      <w:bookmarkEnd w:id="41"/>
      <w:bookmarkEnd w:id="42"/>
      <w:bookmarkEnd w:id="43"/>
      <w:r w:rsidR="0022781E">
        <w:rPr>
          <w:b/>
          <w:smallCaps/>
        </w:rPr>
        <w:t>Disposition</w:t>
      </w:r>
    </w:p>
    <w:p w14:paraId="4A88567F" w14:textId="56A21D82" w:rsidR="0022781E" w:rsidRDefault="00BE07EC" w:rsidP="00E3032F">
      <w:pPr>
        <w:tabs>
          <w:tab w:val="left" w:pos="720"/>
          <w:tab w:val="left" w:pos="1170"/>
        </w:tabs>
        <w:rPr>
          <w:szCs w:val="26"/>
        </w:rPr>
      </w:pPr>
      <w:r w:rsidRPr="005A0AEB">
        <w:rPr>
          <w:szCs w:val="26"/>
        </w:rPr>
        <w:tab/>
      </w:r>
      <w:r w:rsidR="0022781E">
        <w:rPr>
          <w:szCs w:val="26"/>
        </w:rPr>
        <w:t>We affirm the judgment.</w:t>
      </w:r>
    </w:p>
    <w:bookmarkEnd w:id="40"/>
    <w:p w14:paraId="58843875" w14:textId="12FC0F2B" w:rsidR="00BE07EC" w:rsidRDefault="00523BD9" w:rsidP="006220B4">
      <w:pPr>
        <w:tabs>
          <w:tab w:val="left" w:pos="720"/>
          <w:tab w:val="left" w:pos="1170"/>
        </w:tabs>
        <w:rPr>
          <w:b/>
        </w:rPr>
      </w:pPr>
      <w:r>
        <w:rPr>
          <w:b/>
        </w:rPr>
        <w:tab/>
      </w:r>
      <w:r>
        <w:rPr>
          <w:b/>
        </w:rPr>
        <w:tab/>
      </w:r>
      <w:r>
        <w:rPr>
          <w:b/>
        </w:rPr>
        <w:tab/>
      </w:r>
      <w:r>
        <w:rPr>
          <w:b/>
        </w:rPr>
        <w:tab/>
      </w:r>
      <w:r>
        <w:rPr>
          <w:b/>
        </w:rPr>
        <w:tab/>
      </w:r>
      <w:r>
        <w:rPr>
          <w:b/>
        </w:rPr>
        <w:tab/>
      </w:r>
      <w:r>
        <w:rPr>
          <w:b/>
        </w:rPr>
        <w:tab/>
      </w:r>
      <w:r>
        <w:rPr>
          <w:b/>
        </w:rPr>
        <w:tab/>
      </w:r>
      <w:r>
        <w:rPr>
          <w:b/>
        </w:rPr>
        <w:tab/>
      </w:r>
      <w:r w:rsidR="00502FD3">
        <w:rPr>
          <w:b/>
        </w:rPr>
        <w:t xml:space="preserve">    </w:t>
      </w:r>
      <w:r w:rsidR="00F026FE">
        <w:rPr>
          <w:b/>
        </w:rPr>
        <w:t>K</w:t>
      </w:r>
      <w:r w:rsidR="0051736E">
        <w:rPr>
          <w:b/>
        </w:rPr>
        <w:t>RUGER</w:t>
      </w:r>
      <w:r w:rsidRPr="001C049E">
        <w:rPr>
          <w:b/>
        </w:rPr>
        <w:t>, J.</w:t>
      </w:r>
    </w:p>
    <w:p w14:paraId="19868DF6" w14:textId="77777777" w:rsidR="0051736E" w:rsidRDefault="0051736E" w:rsidP="006220B4">
      <w:pPr>
        <w:tabs>
          <w:tab w:val="left" w:pos="720"/>
          <w:tab w:val="left" w:pos="1170"/>
        </w:tabs>
        <w:rPr>
          <w:szCs w:val="26"/>
        </w:rPr>
      </w:pPr>
    </w:p>
    <w:p w14:paraId="77B40E5F" w14:textId="1F0A0396" w:rsidR="000D5A48" w:rsidRDefault="008C085A" w:rsidP="008310EC">
      <w:pPr>
        <w:jc w:val="left"/>
        <w:rPr>
          <w:b/>
          <w:szCs w:val="24"/>
        </w:rPr>
      </w:pPr>
      <w:r w:rsidRPr="005A0AEB">
        <w:rPr>
          <w:b/>
          <w:szCs w:val="24"/>
        </w:rPr>
        <w:t xml:space="preserve">We Concur: </w:t>
      </w:r>
      <w:bookmarkStart w:id="44" w:name="due"/>
      <w:bookmarkStart w:id="45" w:name="calendar"/>
      <w:bookmarkStart w:id="46" w:name="plaintiff"/>
      <w:bookmarkEnd w:id="44"/>
      <w:bookmarkEnd w:id="45"/>
      <w:bookmarkEnd w:id="46"/>
    </w:p>
    <w:p w14:paraId="31062DF8" w14:textId="2CDC884E" w:rsidR="008139B8" w:rsidRDefault="008139B8">
      <w:pPr>
        <w:spacing w:after="0" w:line="240" w:lineRule="auto"/>
        <w:jc w:val="left"/>
        <w:rPr>
          <w:b/>
          <w:szCs w:val="24"/>
        </w:rPr>
      </w:pPr>
      <w:r>
        <w:rPr>
          <w:b/>
          <w:szCs w:val="24"/>
        </w:rPr>
        <w:t>CANTIL-SAKAUYE, C. J.</w:t>
      </w:r>
    </w:p>
    <w:p w14:paraId="2365D7BA" w14:textId="1E96A909" w:rsidR="008139B8" w:rsidRDefault="008139B8">
      <w:pPr>
        <w:spacing w:after="0" w:line="240" w:lineRule="auto"/>
        <w:jc w:val="left"/>
        <w:rPr>
          <w:b/>
          <w:szCs w:val="24"/>
        </w:rPr>
      </w:pPr>
      <w:r>
        <w:rPr>
          <w:b/>
          <w:szCs w:val="24"/>
        </w:rPr>
        <w:t>CHIN, J.</w:t>
      </w:r>
    </w:p>
    <w:p w14:paraId="14DF8980" w14:textId="16338F80" w:rsidR="008139B8" w:rsidRDefault="008139B8">
      <w:pPr>
        <w:spacing w:after="0" w:line="240" w:lineRule="auto"/>
        <w:jc w:val="left"/>
        <w:rPr>
          <w:b/>
          <w:szCs w:val="24"/>
        </w:rPr>
      </w:pPr>
      <w:r>
        <w:rPr>
          <w:b/>
          <w:szCs w:val="24"/>
        </w:rPr>
        <w:t>CORRIGAN, J.</w:t>
      </w:r>
    </w:p>
    <w:p w14:paraId="5314D187" w14:textId="32105B1A" w:rsidR="008139B8" w:rsidRDefault="008139B8">
      <w:pPr>
        <w:spacing w:after="0" w:line="240" w:lineRule="auto"/>
        <w:jc w:val="left"/>
        <w:rPr>
          <w:b/>
          <w:szCs w:val="24"/>
        </w:rPr>
      </w:pPr>
      <w:r>
        <w:rPr>
          <w:b/>
          <w:szCs w:val="24"/>
        </w:rPr>
        <w:t>LIU, J.</w:t>
      </w:r>
    </w:p>
    <w:p w14:paraId="3883C49F" w14:textId="0DCD161C" w:rsidR="008139B8" w:rsidRDefault="008139B8">
      <w:pPr>
        <w:spacing w:after="0" w:line="240" w:lineRule="auto"/>
        <w:jc w:val="left"/>
        <w:rPr>
          <w:b/>
          <w:szCs w:val="24"/>
        </w:rPr>
      </w:pPr>
      <w:r>
        <w:rPr>
          <w:b/>
          <w:szCs w:val="24"/>
        </w:rPr>
        <w:t>CUÉLLAR, J.</w:t>
      </w:r>
    </w:p>
    <w:p w14:paraId="69FEB783" w14:textId="416D5497" w:rsidR="008139B8" w:rsidRDefault="008139B8">
      <w:pPr>
        <w:spacing w:after="0" w:line="240" w:lineRule="auto"/>
        <w:jc w:val="left"/>
        <w:rPr>
          <w:b/>
          <w:szCs w:val="24"/>
        </w:rPr>
      </w:pPr>
      <w:r>
        <w:rPr>
          <w:b/>
          <w:szCs w:val="24"/>
        </w:rPr>
        <w:t>GROBAN, J.</w:t>
      </w:r>
    </w:p>
    <w:p w14:paraId="091BEDB5" w14:textId="77777777" w:rsidR="00D71751" w:rsidRDefault="00D71751">
      <w:pPr>
        <w:spacing w:after="0" w:line="240" w:lineRule="auto"/>
        <w:jc w:val="left"/>
        <w:rPr>
          <w:b/>
          <w:szCs w:val="24"/>
        </w:rPr>
        <w:sectPr w:rsidR="00D71751" w:rsidSect="00502FD3">
          <w:footerReference w:type="default" r:id="rId11"/>
          <w:pgSz w:w="12240" w:h="15840"/>
          <w:pgMar w:top="1800" w:right="2160" w:bottom="1440" w:left="2160" w:header="720" w:footer="720" w:gutter="0"/>
          <w:pgNumType w:start="1"/>
          <w:cols w:space="720"/>
          <w:titlePg/>
          <w:docGrid w:linePitch="367"/>
        </w:sectPr>
      </w:pPr>
    </w:p>
    <w:p w14:paraId="10A84193" w14:textId="77777777" w:rsidR="00D71751" w:rsidRPr="00D71751" w:rsidRDefault="00D71751" w:rsidP="00D71751">
      <w:pPr>
        <w:spacing w:after="0" w:line="240" w:lineRule="auto"/>
        <w:jc w:val="left"/>
        <w:rPr>
          <w:rFonts w:ascii="Times New Roman" w:hAnsi="Times New Roman"/>
          <w:i/>
          <w:sz w:val="20"/>
        </w:rPr>
      </w:pPr>
      <w:r w:rsidRPr="00D71751">
        <w:rPr>
          <w:rFonts w:ascii="Times New Roman" w:hAnsi="Times New Roman"/>
          <w:i/>
          <w:sz w:val="20"/>
        </w:rPr>
        <w:lastRenderedPageBreak/>
        <w:t>See next page for addresses and telephone numbers for counsel who argued in Supreme Court.</w:t>
      </w:r>
    </w:p>
    <w:p w14:paraId="21E85B41" w14:textId="77777777" w:rsidR="00D71751" w:rsidRPr="00D71751" w:rsidRDefault="00D71751" w:rsidP="00D71751">
      <w:pPr>
        <w:spacing w:after="0" w:line="240" w:lineRule="auto"/>
        <w:jc w:val="left"/>
        <w:rPr>
          <w:rFonts w:ascii="Times New Roman" w:hAnsi="Times New Roman"/>
          <w:i/>
          <w:sz w:val="20"/>
        </w:rPr>
      </w:pPr>
    </w:p>
    <w:p w14:paraId="6A017E97" w14:textId="67709696"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t xml:space="preserve">Name of Opinion </w:t>
      </w:r>
      <w:r w:rsidR="008310EC">
        <w:rPr>
          <w:rFonts w:ascii="Times New Roman" w:hAnsi="Times New Roman"/>
          <w:b/>
          <w:sz w:val="20"/>
        </w:rPr>
        <w:t xml:space="preserve"> </w:t>
      </w:r>
      <w:r w:rsidRPr="00D71751">
        <w:rPr>
          <w:rFonts w:ascii="Times New Roman" w:hAnsi="Times New Roman"/>
          <w:bCs/>
          <w:sz w:val="20"/>
        </w:rPr>
        <w:t>People v. Morales</w:t>
      </w:r>
      <w:r w:rsidRPr="00D71751">
        <w:rPr>
          <w:rFonts w:ascii="Times New Roman" w:hAnsi="Times New Roman"/>
          <w:b/>
          <w:sz w:val="20"/>
        </w:rPr>
        <w:t xml:space="preserve"> </w:t>
      </w:r>
      <w:r w:rsidRPr="00D71751">
        <w:rPr>
          <w:rFonts w:ascii="Times New Roman" w:hAnsi="Times New Roman"/>
          <w:bCs/>
          <w:sz w:val="20"/>
        </w:rPr>
        <w:t xml:space="preserve"> </w:t>
      </w:r>
      <w:r w:rsidRPr="00D71751">
        <w:rPr>
          <w:rFonts w:ascii="Times New Roman" w:hAnsi="Times New Roman"/>
          <w:sz w:val="20"/>
        </w:rPr>
        <w:t xml:space="preserve"> </w:t>
      </w:r>
      <w:r w:rsidRPr="00D71751">
        <w:rPr>
          <w:rFonts w:ascii="Times New Roman" w:hAnsi="Times New Roman"/>
          <w:b/>
          <w:sz w:val="20"/>
        </w:rPr>
        <w:t>__________________________________________________________________________________</w:t>
      </w:r>
    </w:p>
    <w:p w14:paraId="5662469D" w14:textId="77777777" w:rsidR="00D71751" w:rsidRPr="00D71751" w:rsidRDefault="00D71751" w:rsidP="00D71751">
      <w:pPr>
        <w:spacing w:after="0" w:line="240" w:lineRule="auto"/>
        <w:jc w:val="left"/>
        <w:rPr>
          <w:rFonts w:ascii="Times New Roman" w:hAnsi="Times New Roman"/>
          <w:b/>
          <w:sz w:val="20"/>
        </w:rPr>
      </w:pPr>
    </w:p>
    <w:p w14:paraId="133BD41F" w14:textId="77777777" w:rsidR="00D71751" w:rsidRPr="00D71751" w:rsidRDefault="00D71751" w:rsidP="00D71751">
      <w:pPr>
        <w:spacing w:after="0" w:line="240" w:lineRule="auto"/>
        <w:jc w:val="left"/>
        <w:rPr>
          <w:rFonts w:ascii="Times New Roman" w:hAnsi="Times New Roman"/>
          <w:bCs/>
          <w:sz w:val="20"/>
        </w:rPr>
      </w:pPr>
      <w:r w:rsidRPr="00D71751">
        <w:rPr>
          <w:rFonts w:ascii="Times New Roman" w:hAnsi="Times New Roman"/>
          <w:b/>
          <w:sz w:val="20"/>
        </w:rPr>
        <w:t>Unpublished Opinion</w:t>
      </w:r>
    </w:p>
    <w:p w14:paraId="79456FFE"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b/>
          <w:sz w:val="20"/>
        </w:rPr>
        <w:t xml:space="preserve">Original Appeal </w:t>
      </w:r>
      <w:r w:rsidRPr="00D71751">
        <w:rPr>
          <w:rFonts w:ascii="Times New Roman" w:hAnsi="Times New Roman"/>
          <w:bCs/>
          <w:sz w:val="20"/>
        </w:rPr>
        <w:t>XXX</w:t>
      </w:r>
    </w:p>
    <w:p w14:paraId="77E64F18" w14:textId="77777777"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t xml:space="preserve">Original Proceeding </w:t>
      </w:r>
    </w:p>
    <w:p w14:paraId="5975343E" w14:textId="77777777" w:rsidR="00D71751" w:rsidRPr="00D71751" w:rsidRDefault="00D71751" w:rsidP="00D71751">
      <w:pPr>
        <w:spacing w:after="0" w:line="240" w:lineRule="auto"/>
        <w:jc w:val="left"/>
        <w:rPr>
          <w:rFonts w:ascii="Times New Roman" w:hAnsi="Times New Roman"/>
          <w:bCs/>
          <w:sz w:val="20"/>
        </w:rPr>
      </w:pPr>
      <w:r w:rsidRPr="00D71751">
        <w:rPr>
          <w:rFonts w:ascii="Times New Roman" w:hAnsi="Times New Roman"/>
          <w:b/>
          <w:sz w:val="20"/>
        </w:rPr>
        <w:t xml:space="preserve">Review Granted </w:t>
      </w:r>
    </w:p>
    <w:p w14:paraId="0062175A" w14:textId="77777777"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t>Rehearing Granted</w:t>
      </w:r>
    </w:p>
    <w:p w14:paraId="4E268F97" w14:textId="77777777" w:rsidR="00D71751" w:rsidRPr="00D71751" w:rsidRDefault="00D71751" w:rsidP="00D71751">
      <w:pPr>
        <w:spacing w:after="0" w:line="240" w:lineRule="auto"/>
        <w:jc w:val="left"/>
        <w:rPr>
          <w:rFonts w:ascii="Times New Roman" w:hAnsi="Times New Roman"/>
          <w:b/>
          <w:sz w:val="20"/>
        </w:rPr>
      </w:pPr>
    </w:p>
    <w:p w14:paraId="385F8107" w14:textId="77777777"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t>__________________________________________________________________________________</w:t>
      </w:r>
    </w:p>
    <w:p w14:paraId="42E5C45B" w14:textId="77777777" w:rsidR="00D71751" w:rsidRPr="00D71751" w:rsidRDefault="00D71751" w:rsidP="00D71751">
      <w:pPr>
        <w:spacing w:after="0" w:line="240" w:lineRule="auto"/>
        <w:jc w:val="left"/>
        <w:rPr>
          <w:rFonts w:ascii="Times New Roman" w:hAnsi="Times New Roman"/>
          <w:b/>
          <w:sz w:val="20"/>
        </w:rPr>
      </w:pPr>
    </w:p>
    <w:p w14:paraId="03AAB699" w14:textId="77777777" w:rsidR="00D71751" w:rsidRPr="00D71751" w:rsidRDefault="00D71751" w:rsidP="00D71751">
      <w:pPr>
        <w:spacing w:after="0" w:line="240" w:lineRule="auto"/>
        <w:jc w:val="left"/>
        <w:rPr>
          <w:rFonts w:ascii="Times New Roman" w:hAnsi="Times New Roman"/>
          <w:bCs/>
          <w:sz w:val="20"/>
        </w:rPr>
      </w:pPr>
      <w:r w:rsidRPr="00D71751">
        <w:rPr>
          <w:rFonts w:ascii="Times New Roman" w:hAnsi="Times New Roman"/>
          <w:b/>
          <w:sz w:val="20"/>
        </w:rPr>
        <w:t>Opinion No.</w:t>
      </w:r>
      <w:r w:rsidRPr="00D71751">
        <w:rPr>
          <w:rFonts w:ascii="Times New Roman" w:hAnsi="Times New Roman"/>
          <w:sz w:val="20"/>
        </w:rPr>
        <w:t xml:space="preserve"> S136800</w:t>
      </w:r>
    </w:p>
    <w:p w14:paraId="472BAF66" w14:textId="77777777" w:rsidR="00D71751" w:rsidRPr="00D71751" w:rsidRDefault="00D71751" w:rsidP="00D71751">
      <w:pPr>
        <w:spacing w:after="0" w:line="240" w:lineRule="auto"/>
        <w:jc w:val="left"/>
        <w:rPr>
          <w:rFonts w:ascii="Times New Roman" w:hAnsi="Times New Roman"/>
          <w:bCs/>
          <w:sz w:val="20"/>
        </w:rPr>
      </w:pPr>
      <w:r w:rsidRPr="00D71751">
        <w:rPr>
          <w:rFonts w:ascii="Times New Roman" w:hAnsi="Times New Roman"/>
          <w:b/>
          <w:sz w:val="20"/>
        </w:rPr>
        <w:t>Date Filed:</w:t>
      </w:r>
      <w:r w:rsidRPr="00D71751">
        <w:rPr>
          <w:rFonts w:ascii="Times New Roman" w:hAnsi="Times New Roman"/>
          <w:sz w:val="20"/>
        </w:rPr>
        <w:t xml:space="preserve">  August 10, 2020</w:t>
      </w:r>
    </w:p>
    <w:p w14:paraId="71F4AF26" w14:textId="77777777"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t>__________________________________________________________________________________</w:t>
      </w:r>
    </w:p>
    <w:p w14:paraId="52F02F80" w14:textId="77777777" w:rsidR="00D71751" w:rsidRPr="00D71751" w:rsidRDefault="00D71751" w:rsidP="00D71751">
      <w:pPr>
        <w:spacing w:after="0" w:line="240" w:lineRule="auto"/>
        <w:jc w:val="left"/>
        <w:rPr>
          <w:rFonts w:ascii="Times New Roman" w:hAnsi="Times New Roman"/>
          <w:b/>
          <w:sz w:val="20"/>
        </w:rPr>
      </w:pPr>
    </w:p>
    <w:p w14:paraId="635B3483" w14:textId="77777777" w:rsidR="00D71751" w:rsidRPr="00D71751" w:rsidRDefault="00D71751" w:rsidP="00D71751">
      <w:pPr>
        <w:spacing w:after="0" w:line="240" w:lineRule="auto"/>
        <w:jc w:val="left"/>
        <w:rPr>
          <w:rFonts w:ascii="Times New Roman" w:hAnsi="Times New Roman"/>
          <w:bCs/>
          <w:sz w:val="20"/>
        </w:rPr>
      </w:pPr>
      <w:r w:rsidRPr="00D71751">
        <w:rPr>
          <w:rFonts w:ascii="Times New Roman" w:hAnsi="Times New Roman"/>
          <w:b/>
          <w:sz w:val="20"/>
        </w:rPr>
        <w:t>Court:</w:t>
      </w:r>
      <w:r w:rsidRPr="00D71751">
        <w:rPr>
          <w:rFonts w:ascii="Times New Roman" w:hAnsi="Times New Roman"/>
          <w:bCs/>
          <w:sz w:val="20"/>
        </w:rPr>
        <w:t xml:space="preserve">  Superior</w:t>
      </w:r>
      <w:r w:rsidRPr="00D71751">
        <w:rPr>
          <w:rFonts w:ascii="Times New Roman" w:hAnsi="Times New Roman"/>
          <w:b/>
          <w:sz w:val="20"/>
        </w:rPr>
        <w:t xml:space="preserve">   </w:t>
      </w:r>
    </w:p>
    <w:p w14:paraId="3CFA7ED3" w14:textId="77777777" w:rsidR="00D71751" w:rsidRPr="00D71751" w:rsidRDefault="00D71751" w:rsidP="00D71751">
      <w:pPr>
        <w:spacing w:after="0" w:line="240" w:lineRule="auto"/>
        <w:jc w:val="left"/>
        <w:rPr>
          <w:rFonts w:ascii="Times New Roman" w:hAnsi="Times New Roman"/>
          <w:bCs/>
          <w:sz w:val="20"/>
        </w:rPr>
      </w:pPr>
      <w:r w:rsidRPr="00D71751">
        <w:rPr>
          <w:rFonts w:ascii="Times New Roman" w:hAnsi="Times New Roman"/>
          <w:b/>
          <w:sz w:val="20"/>
        </w:rPr>
        <w:t xml:space="preserve">County:  </w:t>
      </w:r>
      <w:r w:rsidRPr="00D71751">
        <w:rPr>
          <w:rFonts w:ascii="Times New Roman" w:hAnsi="Times New Roman"/>
          <w:bCs/>
          <w:sz w:val="20"/>
        </w:rPr>
        <w:t>Los Angeles</w:t>
      </w:r>
      <w:r w:rsidRPr="00D71751">
        <w:rPr>
          <w:rFonts w:ascii="Times New Roman" w:hAnsi="Times New Roman"/>
          <w:b/>
          <w:sz w:val="20"/>
        </w:rPr>
        <w:t xml:space="preserve">  </w:t>
      </w:r>
      <w:r w:rsidRPr="00D71751">
        <w:rPr>
          <w:rFonts w:ascii="Times New Roman" w:hAnsi="Times New Roman"/>
          <w:bCs/>
          <w:sz w:val="20"/>
        </w:rPr>
        <w:t xml:space="preserve"> </w:t>
      </w:r>
    </w:p>
    <w:p w14:paraId="70E03A71" w14:textId="77777777" w:rsidR="00D71751" w:rsidRPr="00D71751" w:rsidRDefault="00D71751" w:rsidP="00D71751">
      <w:pPr>
        <w:spacing w:after="0" w:line="240" w:lineRule="auto"/>
        <w:ind w:left="720" w:hanging="720"/>
        <w:jc w:val="left"/>
        <w:rPr>
          <w:rFonts w:ascii="Times New Roman" w:hAnsi="Times New Roman"/>
          <w:bCs/>
          <w:sz w:val="20"/>
        </w:rPr>
      </w:pPr>
      <w:r w:rsidRPr="00D71751">
        <w:rPr>
          <w:rFonts w:ascii="Times New Roman" w:hAnsi="Times New Roman"/>
          <w:b/>
          <w:sz w:val="20"/>
        </w:rPr>
        <w:t xml:space="preserve">Judge:  </w:t>
      </w:r>
      <w:r w:rsidRPr="00D71751">
        <w:rPr>
          <w:rFonts w:ascii="Times New Roman" w:hAnsi="Times New Roman"/>
          <w:bCs/>
          <w:sz w:val="20"/>
        </w:rPr>
        <w:t>Michael A. Cowell</w:t>
      </w:r>
      <w:r w:rsidRPr="00D71751">
        <w:rPr>
          <w:rFonts w:ascii="Times New Roman" w:hAnsi="Times New Roman"/>
          <w:b/>
          <w:sz w:val="20"/>
        </w:rPr>
        <w:t xml:space="preserve">  </w:t>
      </w:r>
      <w:r w:rsidRPr="00D71751">
        <w:rPr>
          <w:rFonts w:ascii="Times New Roman" w:hAnsi="Times New Roman"/>
          <w:bCs/>
          <w:sz w:val="20"/>
        </w:rPr>
        <w:t xml:space="preserve"> </w:t>
      </w:r>
    </w:p>
    <w:p w14:paraId="652F006D" w14:textId="77777777" w:rsidR="00D71751" w:rsidRPr="00D71751" w:rsidRDefault="00D71751" w:rsidP="00D71751">
      <w:pPr>
        <w:spacing w:after="0" w:line="240" w:lineRule="auto"/>
        <w:jc w:val="left"/>
        <w:rPr>
          <w:rFonts w:ascii="Times New Roman" w:hAnsi="Times New Roman"/>
          <w:b/>
          <w:sz w:val="20"/>
        </w:rPr>
      </w:pPr>
    </w:p>
    <w:p w14:paraId="57304DB5" w14:textId="77777777"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t>__________________________________________________________________________________</w:t>
      </w:r>
    </w:p>
    <w:p w14:paraId="7321F91C" w14:textId="77777777" w:rsidR="00D71751" w:rsidRPr="00D71751" w:rsidRDefault="00D71751" w:rsidP="00D71751">
      <w:pPr>
        <w:spacing w:after="0" w:line="240" w:lineRule="auto"/>
        <w:jc w:val="left"/>
        <w:rPr>
          <w:rFonts w:ascii="Times New Roman" w:hAnsi="Times New Roman"/>
          <w:b/>
          <w:sz w:val="20"/>
        </w:rPr>
      </w:pPr>
    </w:p>
    <w:p w14:paraId="795E97A3" w14:textId="77777777"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t>Counsel:</w:t>
      </w:r>
    </w:p>
    <w:p w14:paraId="3CEC3AC8" w14:textId="77777777" w:rsidR="00D71751" w:rsidRPr="00D71751" w:rsidRDefault="00D71751" w:rsidP="00D71751">
      <w:pPr>
        <w:spacing w:after="0" w:line="240" w:lineRule="auto"/>
        <w:jc w:val="left"/>
        <w:rPr>
          <w:rFonts w:ascii="Times New Roman" w:hAnsi="Times New Roman"/>
          <w:b/>
          <w:sz w:val="20"/>
        </w:rPr>
      </w:pPr>
    </w:p>
    <w:p w14:paraId="4D97DA28" w14:textId="77777777" w:rsidR="00D71751" w:rsidRPr="00D71751" w:rsidRDefault="00D71751" w:rsidP="00D71751">
      <w:pPr>
        <w:spacing w:after="0" w:line="240" w:lineRule="auto"/>
        <w:jc w:val="left"/>
        <w:rPr>
          <w:rFonts w:ascii="Times New Roman" w:hAnsi="Times New Roman"/>
          <w:bCs/>
          <w:sz w:val="20"/>
        </w:rPr>
      </w:pPr>
      <w:r w:rsidRPr="00D71751">
        <w:rPr>
          <w:rFonts w:ascii="Times New Roman" w:hAnsi="Times New Roman"/>
          <w:bCs/>
          <w:sz w:val="20"/>
        </w:rPr>
        <w:t xml:space="preserve">Diane E. </w:t>
      </w:r>
      <w:proofErr w:type="spellStart"/>
      <w:r w:rsidRPr="00D71751">
        <w:rPr>
          <w:rFonts w:ascii="Times New Roman" w:hAnsi="Times New Roman"/>
          <w:bCs/>
          <w:sz w:val="20"/>
        </w:rPr>
        <w:t>Berley</w:t>
      </w:r>
      <w:proofErr w:type="spellEnd"/>
      <w:r w:rsidRPr="00D71751">
        <w:rPr>
          <w:rFonts w:ascii="Times New Roman" w:hAnsi="Times New Roman"/>
          <w:bCs/>
          <w:sz w:val="20"/>
        </w:rPr>
        <w:t>, under appointment by the Supreme Court, for Defendant and Appellant.</w:t>
      </w:r>
    </w:p>
    <w:p w14:paraId="5598FFA8" w14:textId="77777777" w:rsidR="00D71751" w:rsidRPr="00D71751" w:rsidRDefault="00D71751" w:rsidP="00D71751">
      <w:pPr>
        <w:spacing w:after="0" w:line="240" w:lineRule="auto"/>
        <w:jc w:val="left"/>
        <w:rPr>
          <w:rFonts w:ascii="Times New Roman" w:hAnsi="Times New Roman"/>
          <w:bCs/>
          <w:sz w:val="20"/>
        </w:rPr>
      </w:pPr>
    </w:p>
    <w:p w14:paraId="6994A2AD" w14:textId="77777777" w:rsidR="00D71751" w:rsidRPr="00D71751" w:rsidRDefault="00D71751" w:rsidP="00D71751">
      <w:pPr>
        <w:spacing w:after="0" w:line="240" w:lineRule="auto"/>
        <w:jc w:val="left"/>
        <w:rPr>
          <w:rFonts w:ascii="Times New Roman" w:hAnsi="Times New Roman"/>
          <w:bCs/>
          <w:sz w:val="20"/>
        </w:rPr>
      </w:pPr>
      <w:r w:rsidRPr="00D71751">
        <w:rPr>
          <w:rFonts w:ascii="Times New Roman" w:hAnsi="Times New Roman"/>
          <w:bCs/>
          <w:sz w:val="20"/>
        </w:rPr>
        <w:t xml:space="preserve">Kamala Harris and Xavier Becerra, Attorneys General, Lance E. Winters, Assistant Attorney General, Keith H. </w:t>
      </w:r>
      <w:proofErr w:type="spellStart"/>
      <w:r w:rsidRPr="00D71751">
        <w:rPr>
          <w:rFonts w:ascii="Times New Roman" w:hAnsi="Times New Roman"/>
          <w:bCs/>
          <w:sz w:val="20"/>
        </w:rPr>
        <w:t>Borjon</w:t>
      </w:r>
      <w:proofErr w:type="spellEnd"/>
      <w:r w:rsidRPr="00D71751">
        <w:rPr>
          <w:rFonts w:ascii="Times New Roman" w:hAnsi="Times New Roman"/>
          <w:bCs/>
          <w:sz w:val="20"/>
        </w:rPr>
        <w:t xml:space="preserve">, Joseph P. Lee and </w:t>
      </w:r>
      <w:proofErr w:type="spellStart"/>
      <w:r w:rsidRPr="00D71751">
        <w:rPr>
          <w:rFonts w:ascii="Times New Roman" w:hAnsi="Times New Roman"/>
          <w:bCs/>
          <w:sz w:val="20"/>
        </w:rPr>
        <w:t>Nima</w:t>
      </w:r>
      <w:proofErr w:type="spellEnd"/>
      <w:r w:rsidRPr="00D71751">
        <w:rPr>
          <w:rFonts w:ascii="Times New Roman" w:hAnsi="Times New Roman"/>
          <w:bCs/>
          <w:sz w:val="20"/>
        </w:rPr>
        <w:t xml:space="preserve"> </w:t>
      </w:r>
      <w:proofErr w:type="spellStart"/>
      <w:r w:rsidRPr="00D71751">
        <w:rPr>
          <w:rFonts w:ascii="Times New Roman" w:hAnsi="Times New Roman"/>
          <w:bCs/>
          <w:sz w:val="20"/>
        </w:rPr>
        <w:t>Razfar</w:t>
      </w:r>
      <w:proofErr w:type="spellEnd"/>
      <w:r w:rsidRPr="00D71751">
        <w:rPr>
          <w:rFonts w:ascii="Times New Roman" w:hAnsi="Times New Roman"/>
          <w:bCs/>
          <w:sz w:val="20"/>
        </w:rPr>
        <w:t>, Deputy Attorneys General, for Plaintiff and Respondent.</w:t>
      </w:r>
    </w:p>
    <w:p w14:paraId="0631AE1A" w14:textId="77777777"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br w:type="page"/>
      </w:r>
    </w:p>
    <w:p w14:paraId="3AF0DA76" w14:textId="77777777" w:rsidR="00D71751" w:rsidRPr="00D71751" w:rsidRDefault="00D71751" w:rsidP="00D71751">
      <w:pPr>
        <w:spacing w:after="0" w:line="240" w:lineRule="auto"/>
        <w:jc w:val="left"/>
        <w:rPr>
          <w:rFonts w:ascii="Times New Roman" w:hAnsi="Times New Roman"/>
          <w:b/>
          <w:sz w:val="20"/>
        </w:rPr>
      </w:pPr>
    </w:p>
    <w:p w14:paraId="44F9B17D" w14:textId="77777777" w:rsidR="00D71751" w:rsidRPr="00D71751" w:rsidRDefault="00D71751" w:rsidP="00D71751">
      <w:pPr>
        <w:spacing w:after="0" w:line="240" w:lineRule="auto"/>
        <w:jc w:val="left"/>
        <w:rPr>
          <w:rFonts w:ascii="Times New Roman" w:hAnsi="Times New Roman"/>
          <w:b/>
          <w:sz w:val="20"/>
        </w:rPr>
      </w:pPr>
    </w:p>
    <w:p w14:paraId="3A1AF355" w14:textId="77777777" w:rsidR="00D71751" w:rsidRPr="00D71751" w:rsidRDefault="00D71751" w:rsidP="00D71751">
      <w:pPr>
        <w:spacing w:after="0" w:line="240" w:lineRule="auto"/>
        <w:jc w:val="left"/>
        <w:rPr>
          <w:rFonts w:ascii="Times New Roman" w:hAnsi="Times New Roman"/>
          <w:b/>
          <w:sz w:val="20"/>
        </w:rPr>
      </w:pPr>
    </w:p>
    <w:p w14:paraId="36F5E570" w14:textId="77777777" w:rsidR="00D71751" w:rsidRPr="00D71751" w:rsidRDefault="00D71751" w:rsidP="00D71751">
      <w:pPr>
        <w:spacing w:after="0" w:line="240" w:lineRule="auto"/>
        <w:jc w:val="left"/>
        <w:rPr>
          <w:rFonts w:ascii="Times New Roman" w:hAnsi="Times New Roman"/>
          <w:b/>
          <w:sz w:val="20"/>
        </w:rPr>
      </w:pPr>
      <w:r w:rsidRPr="00D71751">
        <w:rPr>
          <w:rFonts w:ascii="Times New Roman" w:hAnsi="Times New Roman"/>
          <w:b/>
          <w:sz w:val="20"/>
        </w:rPr>
        <w:t>Counsel who argued in Supreme Court (not intended for publication with opinion):</w:t>
      </w:r>
    </w:p>
    <w:p w14:paraId="126FC033" w14:textId="77777777" w:rsidR="00D71751" w:rsidRPr="00D71751" w:rsidRDefault="00D71751" w:rsidP="00D71751">
      <w:pPr>
        <w:spacing w:after="0" w:line="240" w:lineRule="auto"/>
        <w:jc w:val="left"/>
        <w:rPr>
          <w:rFonts w:ascii="Times New Roman" w:hAnsi="Times New Roman"/>
          <w:b/>
          <w:sz w:val="20"/>
        </w:rPr>
      </w:pPr>
    </w:p>
    <w:p w14:paraId="642D1514"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 xml:space="preserve">Diane E. </w:t>
      </w:r>
      <w:proofErr w:type="spellStart"/>
      <w:r w:rsidRPr="00D71751">
        <w:rPr>
          <w:rFonts w:ascii="Times New Roman" w:hAnsi="Times New Roman"/>
          <w:sz w:val="20"/>
        </w:rPr>
        <w:t>Berley</w:t>
      </w:r>
      <w:proofErr w:type="spellEnd"/>
    </w:p>
    <w:p w14:paraId="308E9515"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Attorney at Law</w:t>
      </w:r>
    </w:p>
    <w:p w14:paraId="68FA00EC"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 xml:space="preserve">1440 Beaumont Avenue, </w:t>
      </w:r>
      <w:proofErr w:type="spellStart"/>
      <w:r w:rsidRPr="00D71751">
        <w:rPr>
          <w:rFonts w:ascii="Times New Roman" w:hAnsi="Times New Roman"/>
          <w:sz w:val="20"/>
        </w:rPr>
        <w:t>Sutie</w:t>
      </w:r>
      <w:proofErr w:type="spellEnd"/>
      <w:r w:rsidRPr="00D71751">
        <w:rPr>
          <w:rFonts w:ascii="Times New Roman" w:hAnsi="Times New Roman"/>
          <w:sz w:val="20"/>
        </w:rPr>
        <w:t xml:space="preserve"> A2-307</w:t>
      </w:r>
    </w:p>
    <w:p w14:paraId="5A0243B6"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Beaumont, CA 92223</w:t>
      </w:r>
    </w:p>
    <w:p w14:paraId="23EC7F20"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(818) 943-6457</w:t>
      </w:r>
    </w:p>
    <w:p w14:paraId="42D5B894" w14:textId="77777777" w:rsidR="00D71751" w:rsidRPr="00D71751" w:rsidRDefault="00D71751" w:rsidP="00D71751">
      <w:pPr>
        <w:spacing w:after="0" w:line="240" w:lineRule="auto"/>
        <w:jc w:val="left"/>
        <w:rPr>
          <w:rFonts w:ascii="Times New Roman" w:hAnsi="Times New Roman"/>
          <w:sz w:val="20"/>
        </w:rPr>
      </w:pPr>
    </w:p>
    <w:p w14:paraId="1C16EA52" w14:textId="77777777" w:rsidR="00D71751" w:rsidRPr="00D71751" w:rsidRDefault="00D71751" w:rsidP="00D71751">
      <w:pPr>
        <w:spacing w:after="0" w:line="240" w:lineRule="auto"/>
        <w:jc w:val="left"/>
        <w:rPr>
          <w:rFonts w:ascii="Times New Roman" w:hAnsi="Times New Roman"/>
          <w:sz w:val="20"/>
        </w:rPr>
      </w:pPr>
      <w:proofErr w:type="spellStart"/>
      <w:r w:rsidRPr="00D71751">
        <w:rPr>
          <w:rFonts w:ascii="Times New Roman" w:hAnsi="Times New Roman"/>
          <w:sz w:val="20"/>
        </w:rPr>
        <w:t>Nima</w:t>
      </w:r>
      <w:proofErr w:type="spellEnd"/>
      <w:r w:rsidRPr="00D71751">
        <w:rPr>
          <w:rFonts w:ascii="Times New Roman" w:hAnsi="Times New Roman"/>
          <w:sz w:val="20"/>
        </w:rPr>
        <w:t xml:space="preserve"> </w:t>
      </w:r>
      <w:proofErr w:type="spellStart"/>
      <w:r w:rsidRPr="00D71751">
        <w:rPr>
          <w:rFonts w:ascii="Times New Roman" w:hAnsi="Times New Roman"/>
          <w:sz w:val="20"/>
        </w:rPr>
        <w:t>Razfar</w:t>
      </w:r>
      <w:proofErr w:type="spellEnd"/>
    </w:p>
    <w:p w14:paraId="36281C7D"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Deputy Attorney General</w:t>
      </w:r>
    </w:p>
    <w:p w14:paraId="3BD9B2F0"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300 South Spring Street, Suite 1702</w:t>
      </w:r>
    </w:p>
    <w:p w14:paraId="29B27EA0"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Los Angeles, CA 90013</w:t>
      </w:r>
    </w:p>
    <w:p w14:paraId="3FB08702" w14:textId="77777777" w:rsidR="00D71751" w:rsidRPr="00D71751" w:rsidRDefault="00D71751" w:rsidP="00D71751">
      <w:pPr>
        <w:spacing w:after="0" w:line="240" w:lineRule="auto"/>
        <w:jc w:val="left"/>
        <w:rPr>
          <w:rFonts w:ascii="Times New Roman" w:hAnsi="Times New Roman"/>
          <w:sz w:val="20"/>
        </w:rPr>
      </w:pPr>
      <w:r w:rsidRPr="00D71751">
        <w:rPr>
          <w:rFonts w:ascii="Times New Roman" w:hAnsi="Times New Roman"/>
          <w:sz w:val="20"/>
        </w:rPr>
        <w:t>(213) 269-6188</w:t>
      </w:r>
    </w:p>
    <w:p w14:paraId="1A530DAF" w14:textId="6ED8AAC3" w:rsidR="00D71751" w:rsidRDefault="00D71751" w:rsidP="00D71751">
      <w:pPr>
        <w:spacing w:after="0" w:line="240" w:lineRule="auto"/>
        <w:jc w:val="left"/>
        <w:rPr>
          <w:b/>
          <w:szCs w:val="24"/>
        </w:rPr>
      </w:pPr>
    </w:p>
    <w:sectPr w:rsidR="00D7175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5F9A" w16cex:dateUtc="2020-06-04T00:42:00Z"/>
  <w16cex:commentExtensible w16cex:durableId="227A3853" w16cex:dateUtc="2020-05-28T20:17:00Z"/>
  <w16cex:commentExtensible w16cex:durableId="227A38CA" w16cex:dateUtc="2020-05-28T20:19:00Z"/>
  <w16cex:commentExtensible w16cex:durableId="22821AB3" w16cex:dateUtc="2020-06-03T19:48:00Z"/>
  <w16cex:commentExtensible w16cex:durableId="22821B60" w16cex:dateUtc="2020-06-03T19:51:00Z"/>
  <w16cex:commentExtensible w16cex:durableId="22821C1B" w16cex:dateUtc="2020-06-03T19:54:00Z"/>
  <w16cex:commentExtensible w16cex:durableId="22822250" w16cex:dateUtc="2020-06-03T20:21:00Z"/>
  <w16cex:commentExtensible w16cex:durableId="228223EA" w16cex:dateUtc="2020-06-03T20:28:00Z"/>
  <w16cex:commentExtensible w16cex:durableId="228224D6" w16cex:dateUtc="2020-06-03T20:32:00Z"/>
  <w16cex:commentExtensible w16cex:durableId="228225E6" w16cex:dateUtc="2020-06-03T20:36:00Z"/>
  <w16cex:commentExtensible w16cex:durableId="22824328" w16cex:dateUtc="2020-06-03T22:41:00Z"/>
  <w16cex:commentExtensible w16cex:durableId="228243A9" w16cex:dateUtc="2020-06-03T22:43:00Z"/>
  <w16cex:commentExtensible w16cex:durableId="228244AE" w16cex:dateUtc="2020-06-03T22:47:00Z"/>
  <w16cex:commentExtensible w16cex:durableId="228246C4" w16cex:dateUtc="2020-06-03T22:56:00Z"/>
  <w16cex:commentExtensible w16cex:durableId="227BA5D2" w16cex:dateUtc="2020-05-29T22:16:00Z"/>
  <w16cex:commentExtensible w16cex:durableId="227F8B3E" w16cex:dateUtc="2020-06-01T21:12:00Z"/>
  <w16cex:commentExtensible w16cex:durableId="227F8ECE" w16cex:dateUtc="2020-06-01T21:27:00Z"/>
  <w16cex:commentExtensible w16cex:durableId="227F8F77" w16cex:dateUtc="2020-06-01T21:30:00Z"/>
  <w16cex:commentExtensible w16cex:durableId="22824C66" w16cex:dateUtc="2020-06-03T23:20:00Z"/>
  <w16cex:commentExtensible w16cex:durableId="227BA651" w16cex:dateUtc="2020-05-29T22:18:00Z"/>
  <w16cex:commentExtensible w16cex:durableId="2280C7D9" w16cex:dateUtc="2020-06-02T19:43:00Z"/>
  <w16cex:commentExtensible w16cex:durableId="227F9094" w16cex:dateUtc="2020-06-01T21:35:00Z"/>
  <w16cex:commentExtensible w16cex:durableId="2280C9B4" w16cex:dateUtc="2020-06-02T19:51:00Z"/>
  <w16cex:commentExtensible w16cex:durableId="2280CD5B" w16cex:dateUtc="2020-06-02T20:06:00Z"/>
  <w16cex:commentExtensible w16cex:durableId="22824E08" w16cex:dateUtc="2020-06-03T23:27:00Z"/>
  <w16cex:commentExtensible w16cex:durableId="2280CF44" w16cex:dateUtc="2020-06-02T20:14:00Z"/>
  <w16cex:commentExtensible w16cex:durableId="22824EC9" w16cex:dateUtc="2020-06-03T23:31:00Z"/>
  <w16cex:commentExtensible w16cex:durableId="2280D5C4" w16cex:dateUtc="2020-06-02T20:42:00Z"/>
  <w16cex:commentExtensible w16cex:durableId="22824F5E" w16cex:dateUtc="2020-06-03T23:33:00Z"/>
  <w16cex:commentExtensible w16cex:durableId="228250B4" w16cex:dateUtc="2020-06-03T23:39:00Z"/>
  <w16cex:commentExtensible w16cex:durableId="2282512C" w16cex:dateUtc="2020-06-03T23:41:00Z"/>
  <w16cex:commentExtensible w16cex:durableId="2280E3AF" w16cex:dateUtc="2020-06-02T21:41:00Z"/>
  <w16cex:commentExtensible w16cex:durableId="2280E859" w16cex:dateUtc="2020-06-02T22:01:00Z"/>
  <w16cex:commentExtensible w16cex:durableId="2280EB41" w16cex:dateUtc="2020-06-02T22:14:00Z"/>
  <w16cex:commentExtensible w16cex:durableId="2280EBBA" w16cex:dateUtc="2020-06-02T22:16:00Z"/>
  <w16cex:commentExtensible w16cex:durableId="22825483" w16cex:dateUtc="2020-06-03T23:55:00Z"/>
  <w16cex:commentExtensible w16cex:durableId="2280FC7C" w16cex:dateUtc="2020-06-02T23:27:00Z"/>
  <w16cex:commentExtensible w16cex:durableId="2281027A" w16cex:dateUtc="2020-06-02T23:53:00Z"/>
  <w16cex:commentExtensible w16cex:durableId="22810903" w16cex:dateUtc="2020-06-03T00:21:00Z"/>
  <w16cex:commentExtensible w16cex:durableId="228259B2" w16cex:dateUtc="2020-06-04T00:17:00Z"/>
  <w16cex:commentExtensible w16cex:durableId="22825A9C" w16cex:dateUtc="2020-06-04T00:21:00Z"/>
  <w16cex:commentExtensible w16cex:durableId="228107B1" w16cex:dateUtc="2020-06-03T00:15:00Z"/>
  <w16cex:commentExtensible w16cex:durableId="22810E49" w16cex:dateUtc="2020-06-03T00:43:00Z"/>
  <w16cex:commentExtensible w16cex:durableId="2281115F" w16cex:dateUtc="2020-06-03T00:56:00Z"/>
  <w16cex:commentExtensible w16cex:durableId="228114D3" w16cex:dateUtc="2020-06-03T01:11:00Z"/>
  <w16cex:commentExtensible w16cex:durableId="22811867" w16cex:dateUtc="2020-06-03T01:26:00Z"/>
  <w16cex:commentExtensible w16cex:durableId="228118AC" w16cex:dateUtc="2020-06-03T01:27:00Z"/>
  <w16cex:commentExtensible w16cex:durableId="2281195F" w16cex:dateUtc="2020-06-03T01:30:00Z"/>
  <w16cex:commentExtensible w16cex:durableId="228259FF" w16cex:dateUtc="2020-06-04T00:18:00Z"/>
  <w16cex:commentExtensible w16cex:durableId="227F870D" w16cex:dateUtc="2020-06-01T20:54:00Z"/>
  <w16cex:commentExtensible w16cex:durableId="227F868D" w16cex:dateUtc="2020-06-01T20:52:00Z"/>
  <w16cex:commentExtensible w16cex:durableId="227F8649" w16cex:dateUtc="2020-06-01T20:51:00Z"/>
  <w16cex:commentExtensible w16cex:durableId="227F853E" w16cex:dateUtc="2020-06-01T20:46:00Z"/>
  <w16cex:commentExtensible w16cex:durableId="22811B1B" w16cex:dateUtc="2020-06-03T01:38:00Z"/>
  <w16cex:commentExtensible w16cex:durableId="227BA664" w16cex:dateUtc="2020-05-29T22:19:00Z"/>
  <w16cex:commentExtensible w16cex:durableId="227B9614" w16cex:dateUtc="2020-05-29T21:09:00Z"/>
  <w16cex:commentExtensible w16cex:durableId="227B93AE" w16cex:dateUtc="2020-05-29T20:59:00Z"/>
  <w16cex:commentExtensible w16cex:durableId="227B97C3" w16cex:dateUtc="2020-05-29T21:16:00Z"/>
  <w16cex:commentExtensible w16cex:durableId="22825E67" w16cex:dateUtc="2020-06-04T00:37:00Z"/>
  <w16cex:commentExtensible w16cex:durableId="227B9324" w16cex:dateUtc="2020-05-29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B982" w14:textId="77777777" w:rsidR="00CA2160" w:rsidRDefault="00CA2160">
      <w:r>
        <w:separator/>
      </w:r>
    </w:p>
  </w:endnote>
  <w:endnote w:type="continuationSeparator" w:id="0">
    <w:p w14:paraId="40E83B56" w14:textId="77777777" w:rsidR="00CA2160" w:rsidRDefault="00CA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7718" w14:textId="77777777" w:rsidR="00E46692" w:rsidRDefault="00E46692" w:rsidP="00DD7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CAEC2" w14:textId="77777777" w:rsidR="00E46692" w:rsidRDefault="00E46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0366" w14:textId="77777777" w:rsidR="00E46692" w:rsidRDefault="00E46692" w:rsidP="00DD7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7D865AB5" w14:textId="77777777" w:rsidR="00E46692" w:rsidRDefault="00E46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D62" w14:textId="77777777" w:rsidR="00E46692" w:rsidRDefault="00E46692">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A336" w14:textId="77777777" w:rsidR="00837851" w:rsidRDefault="00F94C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8953" w14:textId="77777777" w:rsidR="00837851" w:rsidRDefault="00F94C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915" w14:textId="77777777" w:rsidR="00837851" w:rsidRDefault="00F9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233E" w14:textId="77777777" w:rsidR="00CA2160" w:rsidRPr="006952F5" w:rsidRDefault="00CA2160" w:rsidP="00990658">
      <w:pPr>
        <w:pStyle w:val="Footer"/>
        <w:jc w:val="both"/>
      </w:pPr>
      <w:r>
        <w:separator/>
      </w:r>
    </w:p>
  </w:footnote>
  <w:footnote w:type="continuationSeparator" w:id="0">
    <w:p w14:paraId="5EADA883" w14:textId="77777777" w:rsidR="00CA2160" w:rsidRPr="006952F5" w:rsidRDefault="00CA2160" w:rsidP="006952F5">
      <w:pPr>
        <w:pStyle w:val="Footer"/>
      </w:pPr>
    </w:p>
  </w:footnote>
  <w:footnote w:type="continuationNotice" w:id="1">
    <w:p w14:paraId="2B5EE6B4" w14:textId="77777777" w:rsidR="00CA2160" w:rsidRPr="006952F5" w:rsidRDefault="00CA2160" w:rsidP="006952F5">
      <w:pPr>
        <w:pStyle w:val="Footer"/>
      </w:pPr>
    </w:p>
  </w:footnote>
  <w:footnote w:id="2">
    <w:p w14:paraId="5F4FDCEE" w14:textId="2879F50B" w:rsidR="00E46692" w:rsidRPr="00D63571" w:rsidRDefault="00E46692" w:rsidP="00F026FE">
      <w:pPr>
        <w:pStyle w:val="FootnoteText"/>
        <w:spacing w:line="240" w:lineRule="auto"/>
      </w:pPr>
      <w:r w:rsidRPr="00D63571">
        <w:rPr>
          <w:rStyle w:val="FootnoteReference"/>
        </w:rPr>
        <w:footnoteRef/>
      </w:r>
      <w:r w:rsidRPr="00D63571">
        <w:t xml:space="preserve"> </w:t>
      </w:r>
      <w:r w:rsidRPr="00D63571">
        <w:tab/>
        <w:t xml:space="preserve">For one of the four murders, the jury also found true the </w:t>
      </w:r>
      <w:proofErr w:type="gramStart"/>
      <w:r w:rsidRPr="00D63571">
        <w:t>special circumstances</w:t>
      </w:r>
      <w:proofErr w:type="gramEnd"/>
      <w:r w:rsidRPr="00D63571">
        <w:t xml:space="preserve"> of murder involving torture, a lewd act on a child under the age of 14, and sexual penetration by force.  (Pen. Code, § 190.2, </w:t>
      </w:r>
      <w:proofErr w:type="spellStart"/>
      <w:r w:rsidRPr="00D63571">
        <w:t>subd</w:t>
      </w:r>
      <w:proofErr w:type="spellEnd"/>
      <w:r w:rsidRPr="00D63571">
        <w:t>. (a)(17), (18).)</w:t>
      </w:r>
    </w:p>
  </w:footnote>
  <w:footnote w:id="3">
    <w:p w14:paraId="6996C58D" w14:textId="3776BA6C" w:rsidR="00E46692" w:rsidRDefault="00E46692" w:rsidP="00F370D2">
      <w:pPr>
        <w:pStyle w:val="FootnoteText"/>
        <w:spacing w:line="240" w:lineRule="auto"/>
      </w:pPr>
      <w:r>
        <w:rPr>
          <w:rStyle w:val="FootnoteReference"/>
        </w:rPr>
        <w:footnoteRef/>
      </w:r>
      <w:r>
        <w:t xml:space="preserve"> </w:t>
      </w:r>
      <w:r>
        <w:tab/>
        <w:t xml:space="preserve">Because </w:t>
      </w:r>
      <w:proofErr w:type="gramStart"/>
      <w:r>
        <w:t>several of</w:t>
      </w:r>
      <w:proofErr w:type="gramEnd"/>
      <w:r>
        <w:t xml:space="preserve"> the victims and witnesses shared the same last names, we will occasionally refer to them by their first names.  We intend no disrespect to any of the individuals in question.</w:t>
      </w:r>
    </w:p>
  </w:footnote>
  <w:footnote w:id="4">
    <w:p w14:paraId="5FF28B4D" w14:textId="35B9395D" w:rsidR="00E46692" w:rsidRPr="00D63571" w:rsidRDefault="00E46692" w:rsidP="006C0ADE">
      <w:pPr>
        <w:spacing w:line="240" w:lineRule="auto"/>
      </w:pPr>
      <w:r w:rsidRPr="00D63571">
        <w:rPr>
          <w:rStyle w:val="FootnoteReference"/>
        </w:rPr>
        <w:footnoteRef/>
      </w:r>
      <w:r w:rsidRPr="00D63571">
        <w:t xml:space="preserve"> </w:t>
      </w:r>
      <w:r w:rsidRPr="00D63571">
        <w:tab/>
        <w:t xml:space="preserve">We decline </w:t>
      </w:r>
      <w:r>
        <w:t>Morales</w:t>
      </w:r>
      <w:r w:rsidRPr="00D63571">
        <w:t>’s invitation to reach a different conclusion based on a 2009 National Research Council Report</w:t>
      </w:r>
      <w:r>
        <w:t xml:space="preserve"> suggesting that formal scientific training, as well as experience and experimentation, are important in conducting bloodstain pattern analysis.  </w:t>
      </w:r>
      <w:r w:rsidRPr="00D63571">
        <w:t>This report</w:t>
      </w:r>
      <w:r>
        <w:t>, which</w:t>
      </w:r>
      <w:r w:rsidRPr="00D63571">
        <w:t xml:space="preserve"> was published long after the trial in this case, does not change our conclusion that the trial court </w:t>
      </w:r>
      <w:r>
        <w:t xml:space="preserve">acted within its discretion in finding </w:t>
      </w:r>
      <w:proofErr w:type="spellStart"/>
      <w:r w:rsidRPr="00D63571">
        <w:t>Delhauer</w:t>
      </w:r>
      <w:proofErr w:type="spellEnd"/>
      <w:r w:rsidRPr="00D63571">
        <w:t xml:space="preserve"> qualified</w:t>
      </w:r>
      <w:r>
        <w:t xml:space="preserve"> to testify as an expert based on his training and experience</w:t>
      </w:r>
      <w:r w:rsidRPr="00D63571">
        <w:t>.</w:t>
      </w:r>
    </w:p>
  </w:footnote>
  <w:footnote w:id="5">
    <w:p w14:paraId="76D703A1" w14:textId="02114BE2" w:rsidR="00E46692" w:rsidRDefault="00E46692" w:rsidP="006C0ADE">
      <w:pPr>
        <w:spacing w:line="240" w:lineRule="auto"/>
      </w:pPr>
      <w:r>
        <w:rPr>
          <w:rStyle w:val="FootnoteReference"/>
        </w:rPr>
        <w:footnoteRef/>
      </w:r>
      <w:r>
        <w:tab/>
      </w:r>
      <w:proofErr w:type="spellStart"/>
      <w:r>
        <w:t>Delhauer</w:t>
      </w:r>
      <w:proofErr w:type="spellEnd"/>
      <w:r>
        <w:t xml:space="preserve"> did veer into unsupported speculation at various points during his testimony</w:t>
      </w:r>
      <w:r w:rsidR="00C84CB5">
        <w:t> </w:t>
      </w:r>
      <w:r>
        <w:t>—</w:t>
      </w:r>
      <w:r w:rsidR="00C84CB5">
        <w:t xml:space="preserve"> </w:t>
      </w:r>
      <w:r>
        <w:t xml:space="preserve">for example, when he opined that </w:t>
      </w:r>
      <w:r w:rsidRPr="00D63571">
        <w:t xml:space="preserve">Ana </w:t>
      </w:r>
      <w:proofErr w:type="gramStart"/>
      <w:r w:rsidRPr="00D63571">
        <w:t>likely came</w:t>
      </w:r>
      <w:proofErr w:type="gramEnd"/>
      <w:r w:rsidRPr="00D63571">
        <w:t xml:space="preserve"> out of the back of the house after hearing noises</w:t>
      </w:r>
      <w:r>
        <w:t xml:space="preserve">.  But </w:t>
      </w:r>
      <w:proofErr w:type="spellStart"/>
      <w:r>
        <w:t>Delhauer’s</w:t>
      </w:r>
      <w:proofErr w:type="spellEnd"/>
      <w:r>
        <w:t xml:space="preserve"> opinions about the locations and sequence of the murders</w:t>
      </w:r>
      <w:r w:rsidR="00C84CB5">
        <w:t> </w:t>
      </w:r>
      <w:r>
        <w:t>—</w:t>
      </w:r>
      <w:r w:rsidR="00C84CB5">
        <w:t xml:space="preserve"> </w:t>
      </w:r>
      <w:r>
        <w:t>which is the focus of Morales’s claim</w:t>
      </w:r>
      <w:r w:rsidR="00C84CB5">
        <w:t> </w:t>
      </w:r>
      <w:r>
        <w:t>—</w:t>
      </w:r>
      <w:r w:rsidR="00C84CB5">
        <w:t xml:space="preserve"> </w:t>
      </w:r>
      <w:r>
        <w:t>did not depend on these embellishments.</w:t>
      </w:r>
      <w:r w:rsidR="00944CEA">
        <w:t xml:space="preserve">  Any error in admitting </w:t>
      </w:r>
      <w:r w:rsidR="00AC6F03">
        <w:t>the</w:t>
      </w:r>
      <w:r w:rsidR="00E16285">
        <w:t>se</w:t>
      </w:r>
      <w:r w:rsidR="00AC6F03">
        <w:t xml:space="preserve"> minor embellishments </w:t>
      </w:r>
      <w:r w:rsidR="00944CEA">
        <w:t>was harmless.</w:t>
      </w:r>
    </w:p>
  </w:footnote>
  <w:footnote w:id="6">
    <w:p w14:paraId="665EA38D" w14:textId="5DFA02AE" w:rsidR="00E46692" w:rsidRDefault="00E46692" w:rsidP="002D0AFA">
      <w:pPr>
        <w:pStyle w:val="FootnoteText"/>
      </w:pPr>
      <w:r>
        <w:rPr>
          <w:rStyle w:val="FootnoteReference"/>
        </w:rPr>
        <w:footnoteRef/>
      </w:r>
      <w:r>
        <w:t xml:space="preserve"> </w:t>
      </w:r>
      <w:r>
        <w:tab/>
        <w:t xml:space="preserve">At oral argument, defense counsel argued that </w:t>
      </w:r>
      <w:proofErr w:type="spellStart"/>
      <w:r>
        <w:t>Delhauer’s</w:t>
      </w:r>
      <w:proofErr w:type="spellEnd"/>
      <w:r>
        <w:t xml:space="preserve"> sequencing testimony prejudiced him at the penalty phase as well as the guilt phase.  Specifically, counsel argued that </w:t>
      </w:r>
      <w:proofErr w:type="spellStart"/>
      <w:r>
        <w:t>Delhauer’s</w:t>
      </w:r>
      <w:proofErr w:type="spellEnd"/>
      <w:r>
        <w:t xml:space="preserve"> sequencing testimony overshadowed the psychiatric expert testimony presented at the penalty phase, which showed that Morales had a severe learning disability, was not malingering, and tended to react impulsively, instead of methodically.  Counsel argued that, absent </w:t>
      </w:r>
      <w:proofErr w:type="spellStart"/>
      <w:r>
        <w:t>Delhauer’s</w:t>
      </w:r>
      <w:proofErr w:type="spellEnd"/>
      <w:r>
        <w:t xml:space="preserve"> sequencing testimony, the jury would have more strongly weighed this psychiatric testimony as a “circumstance which extenuate[d] the gravity of the crime” under Penal Code section 190.3, factor (k).</w:t>
      </w:r>
    </w:p>
    <w:p w14:paraId="57B54026" w14:textId="432A0DD8" w:rsidR="00E46692" w:rsidRDefault="00E46692" w:rsidP="00293C02">
      <w:pPr>
        <w:pStyle w:val="FootnoteText"/>
      </w:pPr>
      <w:r>
        <w:tab/>
        <w:t xml:space="preserve">Again assuming, for the sake of argument, that the trial court erred in allowing </w:t>
      </w:r>
      <w:proofErr w:type="spellStart"/>
      <w:r>
        <w:t>Delhauer’s</w:t>
      </w:r>
      <w:proofErr w:type="spellEnd"/>
      <w:r>
        <w:t xml:space="preserve"> sequencing testimony, we are not persuaded that Morales has established penalty-phase prejudice.  </w:t>
      </w:r>
      <w:proofErr w:type="spellStart"/>
      <w:r>
        <w:t>Delhauer’s</w:t>
      </w:r>
      <w:proofErr w:type="spellEnd"/>
      <w:r>
        <w:t xml:space="preserve"> sequencing conclusions were </w:t>
      </w:r>
      <w:proofErr w:type="gramStart"/>
      <w:r>
        <w:t>relatively insignificant</w:t>
      </w:r>
      <w:proofErr w:type="gramEnd"/>
      <w:r>
        <w:t xml:space="preserve"> in the context of the case, and his testimony largely duplicated other evidence, including Morales’s own report to police about the order of the murders.  We see no reasonable possibility that exclusion of </w:t>
      </w:r>
      <w:proofErr w:type="spellStart"/>
      <w:r>
        <w:t>Delhauer’s</w:t>
      </w:r>
      <w:proofErr w:type="spellEnd"/>
      <w:r>
        <w:t xml:space="preserve"> sequencing testimony would have altered the jury’s consideration of whether Morales’s psychiatric evidence sufficiently extenuated the gravity of the crime.</w:t>
      </w:r>
    </w:p>
  </w:footnote>
  <w:footnote w:id="7">
    <w:p w14:paraId="275FD89F" w14:textId="77777777" w:rsidR="00E46692" w:rsidRDefault="00E46692" w:rsidP="008F0A93">
      <w:pPr>
        <w:pStyle w:val="FootnoteText"/>
        <w:spacing w:line="240" w:lineRule="auto"/>
      </w:pPr>
      <w:r w:rsidRPr="00D63571">
        <w:rPr>
          <w:rStyle w:val="FootnoteReference"/>
        </w:rPr>
        <w:footnoteRef/>
      </w:r>
      <w:r w:rsidRPr="00D63571">
        <w:t xml:space="preserve"> </w:t>
      </w:r>
      <w:r w:rsidRPr="00D63571">
        <w:tab/>
        <w:t xml:space="preserve">In relevant part, the jury was instructed </w:t>
      </w:r>
      <w:r>
        <w:t xml:space="preserve">with CALJIC No. 8.88 </w:t>
      </w:r>
      <w:r w:rsidRPr="00D63571">
        <w:t xml:space="preserve">as follows:  </w:t>
      </w:r>
    </w:p>
    <w:p w14:paraId="23062288" w14:textId="77777777" w:rsidR="00E46692" w:rsidRDefault="00E46692" w:rsidP="008F0A93">
      <w:pPr>
        <w:pStyle w:val="FootnoteText"/>
        <w:spacing w:line="240" w:lineRule="auto"/>
      </w:pPr>
      <w:r>
        <w:tab/>
      </w:r>
      <w:r w:rsidRPr="00D63571">
        <w:t>“</w:t>
      </w:r>
      <w:r w:rsidRPr="00DB3313">
        <w:t xml:space="preserve">It is now your duty to determine which of the two penalties, death or </w:t>
      </w:r>
      <w:r>
        <w:t>imprisonment</w:t>
      </w:r>
      <w:r w:rsidRPr="00DB3313">
        <w:t xml:space="preserve"> in the state prison for life without possibility of parole, shall be imposed on </w:t>
      </w:r>
      <w:r>
        <w:t xml:space="preserve">. . . </w:t>
      </w:r>
      <w:r w:rsidRPr="00DB3313">
        <w:t>defendant.</w:t>
      </w:r>
    </w:p>
    <w:p w14:paraId="3D677BEC" w14:textId="5645F731" w:rsidR="00E46692" w:rsidRDefault="00E46692" w:rsidP="008F0A93">
      <w:pPr>
        <w:pStyle w:val="FootnoteText"/>
        <w:spacing w:line="240" w:lineRule="auto"/>
      </w:pPr>
      <w:r>
        <w:tab/>
        <w:t>“</w:t>
      </w:r>
      <w:r w:rsidRPr="00DB3313">
        <w:t>After having heard</w:t>
      </w:r>
      <w:r>
        <w:t xml:space="preserve"> all of the evidence</w:t>
      </w:r>
      <w:r w:rsidR="000E686C">
        <w:t>,</w:t>
      </w:r>
      <w:r>
        <w:t xml:space="preserve"> and after having heard</w:t>
      </w:r>
      <w:r w:rsidRPr="00DB3313">
        <w:t xml:space="preserve"> </w:t>
      </w:r>
      <w:r>
        <w:t xml:space="preserve">and </w:t>
      </w:r>
      <w:r w:rsidRPr="00DB3313">
        <w:t>considered the arguments of counsel, you shall consider, take into account and be guided by the applicable factors of aggravating and mitigating circumstances upon which you have been instructed.</w:t>
      </w:r>
      <w:r>
        <w:t xml:space="preserve"> </w:t>
      </w:r>
    </w:p>
    <w:p w14:paraId="4609CF45" w14:textId="78BC35D8" w:rsidR="00E46692" w:rsidRDefault="00E46692" w:rsidP="008F0A93">
      <w:pPr>
        <w:pStyle w:val="FootnoteText"/>
        <w:spacing w:line="240" w:lineRule="auto"/>
      </w:pPr>
      <w:r>
        <w:tab/>
        <w:t>“. . .</w:t>
      </w:r>
      <w:r w:rsidR="003A1753">
        <w:t> .</w:t>
      </w:r>
    </w:p>
    <w:p w14:paraId="01616F4C" w14:textId="2BBFA7ED" w:rsidR="00E46692" w:rsidRPr="00D63571" w:rsidRDefault="00E46692" w:rsidP="008F0A93">
      <w:pPr>
        <w:pStyle w:val="FootnoteText"/>
        <w:spacing w:line="240" w:lineRule="auto"/>
        <w:rPr>
          <w:szCs w:val="26"/>
        </w:rPr>
      </w:pPr>
      <w:r>
        <w:rPr>
          <w:szCs w:val="26"/>
        </w:rPr>
        <w:tab/>
        <w:t>“</w:t>
      </w:r>
      <w:r w:rsidRPr="00D63571">
        <w:rPr>
          <w:szCs w:val="26"/>
        </w:rPr>
        <w:t xml:space="preserve">The weighing of aggravating and mitigating circumstances does not mean a mere mechanical counting of factors on each side of an imaginary scale, or the arbitrary assignment of weights to any of them.  You are free to assign whatever moral or sympathetic value you deem appropriate to each and </w:t>
      </w:r>
      <w:proofErr w:type="gramStart"/>
      <w:r w:rsidRPr="00D63571">
        <w:rPr>
          <w:szCs w:val="26"/>
        </w:rPr>
        <w:t>all of</w:t>
      </w:r>
      <w:proofErr w:type="gramEnd"/>
      <w:r w:rsidRPr="00D63571">
        <w:rPr>
          <w:szCs w:val="26"/>
        </w:rPr>
        <w:t xml:space="preserve"> the various factors you are permitted to consider.  In weighing the various </w:t>
      </w:r>
      <w:proofErr w:type="gramStart"/>
      <w:r w:rsidRPr="00D63571">
        <w:rPr>
          <w:szCs w:val="26"/>
        </w:rPr>
        <w:t>circumstances</w:t>
      </w:r>
      <w:proofErr w:type="gramEnd"/>
      <w:r w:rsidRPr="00D63571">
        <w:rPr>
          <w:szCs w:val="26"/>
        </w:rPr>
        <w:t xml:space="preserve"> you determine under the relevant evidence which penalty is justified and appropriate by considering the totality of the aggravating circumstances with the totality of the mitigating circumstances.  To return a judgment of death, each of you must be persuaded that the aggravating circumstances are so substantial in comparison with the mitigating circumstances that it warrants death instead of life without parole.”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7DB4" w14:textId="6D158F7F" w:rsidR="00E46692" w:rsidRDefault="00E46692">
    <w:pPr>
      <w:pStyle w:val="Header"/>
    </w:pPr>
    <w:r>
      <w:t>PEOPLE v. MORALES</w:t>
    </w:r>
  </w:p>
  <w:p w14:paraId="504A504F" w14:textId="2968D563" w:rsidR="00E46692" w:rsidRDefault="00E46692">
    <w:pPr>
      <w:pStyle w:val="Header"/>
    </w:pPr>
    <w:r>
      <w:t>Opinion of the Court by Kruger, J.</w:t>
    </w:r>
  </w:p>
  <w:p w14:paraId="4DF7D272" w14:textId="77777777" w:rsidR="00E46692" w:rsidRDefault="00E46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2B1E" w14:textId="77777777" w:rsidR="00837851" w:rsidRDefault="00F94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F220" w14:textId="77777777" w:rsidR="00837851" w:rsidRDefault="00F94C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354A" w14:textId="77777777" w:rsidR="00837851" w:rsidRDefault="00F94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CCF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5C2C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B7081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848C6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AA4F3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792E1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0EFD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3E09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B24EE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06AD7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A7B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84E1B"/>
    <w:multiLevelType w:val="hybridMultilevel"/>
    <w:tmpl w:val="C4D49844"/>
    <w:lvl w:ilvl="0" w:tplc="4F5CE60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063A7E6A"/>
    <w:multiLevelType w:val="hybridMultilevel"/>
    <w:tmpl w:val="C21653E2"/>
    <w:lvl w:ilvl="0" w:tplc="87BEFDC2">
      <w:start w:val="1"/>
      <w:numFmt w:val="upperLetter"/>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E277D2"/>
    <w:multiLevelType w:val="hybridMultilevel"/>
    <w:tmpl w:val="FD78A4B0"/>
    <w:lvl w:ilvl="0" w:tplc="2E7CB9C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175C6328"/>
    <w:multiLevelType w:val="hybridMultilevel"/>
    <w:tmpl w:val="0FA8ECB6"/>
    <w:lvl w:ilvl="0" w:tplc="1A2E98EC">
      <w:start w:val="2"/>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199644B5"/>
    <w:multiLevelType w:val="hybridMultilevel"/>
    <w:tmpl w:val="9EEC3710"/>
    <w:lvl w:ilvl="0" w:tplc="6706E83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38205694"/>
    <w:multiLevelType w:val="hybridMultilevel"/>
    <w:tmpl w:val="17C4FFC6"/>
    <w:lvl w:ilvl="0" w:tplc="2AAEB354">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4610177"/>
    <w:multiLevelType w:val="hybridMultilevel"/>
    <w:tmpl w:val="1D1AAEDE"/>
    <w:lvl w:ilvl="0" w:tplc="6706E83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658D1BD1"/>
    <w:multiLevelType w:val="hybridMultilevel"/>
    <w:tmpl w:val="9C6EA8F0"/>
    <w:lvl w:ilvl="0" w:tplc="D442966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15:restartNumberingAfterBreak="0">
    <w:nsid w:val="689B610B"/>
    <w:multiLevelType w:val="hybridMultilevel"/>
    <w:tmpl w:val="A4FE4F48"/>
    <w:lvl w:ilvl="0" w:tplc="F836C26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7798525D"/>
    <w:multiLevelType w:val="hybridMultilevel"/>
    <w:tmpl w:val="C986ABCE"/>
    <w:lvl w:ilvl="0" w:tplc="4736394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9"/>
  </w:num>
  <w:num w:numId="15">
    <w:abstractNumId w:val="14"/>
  </w:num>
  <w:num w:numId="16">
    <w:abstractNumId w:val="20"/>
  </w:num>
  <w:num w:numId="17">
    <w:abstractNumId w:val="15"/>
  </w:num>
  <w:num w:numId="18">
    <w:abstractNumId w:val="11"/>
  </w:num>
  <w:num w:numId="19">
    <w:abstractNumId w:val="13"/>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removePersonalInformation/>
  <w:removeDateAndTime/>
  <w:printFractionalCharacterWidth/>
  <w:hideSpellingErrors/>
  <w:hideGrammaticalErrors/>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EC"/>
    <w:rsid w:val="00000A06"/>
    <w:rsid w:val="000028A1"/>
    <w:rsid w:val="00006FF4"/>
    <w:rsid w:val="00007936"/>
    <w:rsid w:val="000125BF"/>
    <w:rsid w:val="0001302F"/>
    <w:rsid w:val="00016F71"/>
    <w:rsid w:val="00017063"/>
    <w:rsid w:val="000175FE"/>
    <w:rsid w:val="000179B6"/>
    <w:rsid w:val="00017E50"/>
    <w:rsid w:val="0002080F"/>
    <w:rsid w:val="000208F7"/>
    <w:rsid w:val="000219AA"/>
    <w:rsid w:val="000240DF"/>
    <w:rsid w:val="00026E53"/>
    <w:rsid w:val="00030C82"/>
    <w:rsid w:val="00035636"/>
    <w:rsid w:val="000429A6"/>
    <w:rsid w:val="00045E73"/>
    <w:rsid w:val="00046208"/>
    <w:rsid w:val="00046893"/>
    <w:rsid w:val="00062B8F"/>
    <w:rsid w:val="00064135"/>
    <w:rsid w:val="00066FDD"/>
    <w:rsid w:val="000727C4"/>
    <w:rsid w:val="00080EA7"/>
    <w:rsid w:val="00081A2A"/>
    <w:rsid w:val="00081E23"/>
    <w:rsid w:val="00082DA0"/>
    <w:rsid w:val="000838FF"/>
    <w:rsid w:val="000874D2"/>
    <w:rsid w:val="00087548"/>
    <w:rsid w:val="00087A24"/>
    <w:rsid w:val="00092671"/>
    <w:rsid w:val="00093722"/>
    <w:rsid w:val="000A08A5"/>
    <w:rsid w:val="000A0B6A"/>
    <w:rsid w:val="000A103F"/>
    <w:rsid w:val="000A19F4"/>
    <w:rsid w:val="000A3A2D"/>
    <w:rsid w:val="000A6921"/>
    <w:rsid w:val="000B1281"/>
    <w:rsid w:val="000B211C"/>
    <w:rsid w:val="000B23C1"/>
    <w:rsid w:val="000B3829"/>
    <w:rsid w:val="000C250D"/>
    <w:rsid w:val="000C2B0B"/>
    <w:rsid w:val="000C3A1C"/>
    <w:rsid w:val="000C7093"/>
    <w:rsid w:val="000D3101"/>
    <w:rsid w:val="000D4E98"/>
    <w:rsid w:val="000D4FC0"/>
    <w:rsid w:val="000D56FA"/>
    <w:rsid w:val="000D5A48"/>
    <w:rsid w:val="000E2B27"/>
    <w:rsid w:val="000E50DA"/>
    <w:rsid w:val="000E5166"/>
    <w:rsid w:val="000E686C"/>
    <w:rsid w:val="000F4A00"/>
    <w:rsid w:val="000F4F69"/>
    <w:rsid w:val="000F616B"/>
    <w:rsid w:val="000F71C3"/>
    <w:rsid w:val="000F7A90"/>
    <w:rsid w:val="000F7EB3"/>
    <w:rsid w:val="00100826"/>
    <w:rsid w:val="0010185D"/>
    <w:rsid w:val="0010593D"/>
    <w:rsid w:val="0011015D"/>
    <w:rsid w:val="0011051D"/>
    <w:rsid w:val="00110A8E"/>
    <w:rsid w:val="00112301"/>
    <w:rsid w:val="00113B2B"/>
    <w:rsid w:val="00113E16"/>
    <w:rsid w:val="00115457"/>
    <w:rsid w:val="001165A0"/>
    <w:rsid w:val="00116964"/>
    <w:rsid w:val="00127C55"/>
    <w:rsid w:val="00130907"/>
    <w:rsid w:val="00130A84"/>
    <w:rsid w:val="001354F1"/>
    <w:rsid w:val="001357D1"/>
    <w:rsid w:val="001410F9"/>
    <w:rsid w:val="00141824"/>
    <w:rsid w:val="00142B0B"/>
    <w:rsid w:val="00146EAD"/>
    <w:rsid w:val="0014729E"/>
    <w:rsid w:val="00155C8A"/>
    <w:rsid w:val="00164978"/>
    <w:rsid w:val="00166987"/>
    <w:rsid w:val="001719E4"/>
    <w:rsid w:val="00173666"/>
    <w:rsid w:val="00180ED1"/>
    <w:rsid w:val="001812DE"/>
    <w:rsid w:val="00181742"/>
    <w:rsid w:val="001824D7"/>
    <w:rsid w:val="00182BA0"/>
    <w:rsid w:val="00183925"/>
    <w:rsid w:val="00184FFC"/>
    <w:rsid w:val="00185FF0"/>
    <w:rsid w:val="001876B7"/>
    <w:rsid w:val="00192297"/>
    <w:rsid w:val="001938EF"/>
    <w:rsid w:val="001A35BB"/>
    <w:rsid w:val="001B0571"/>
    <w:rsid w:val="001B4A61"/>
    <w:rsid w:val="001B4E59"/>
    <w:rsid w:val="001B6CCD"/>
    <w:rsid w:val="001C447B"/>
    <w:rsid w:val="001C7E4A"/>
    <w:rsid w:val="001D2BBB"/>
    <w:rsid w:val="001D3F4A"/>
    <w:rsid w:val="001D4EB9"/>
    <w:rsid w:val="001E44A2"/>
    <w:rsid w:val="001E4E6F"/>
    <w:rsid w:val="001E5B82"/>
    <w:rsid w:val="001E6C29"/>
    <w:rsid w:val="001F0DB5"/>
    <w:rsid w:val="001F247F"/>
    <w:rsid w:val="001F5955"/>
    <w:rsid w:val="001F641B"/>
    <w:rsid w:val="00202EF3"/>
    <w:rsid w:val="0020395C"/>
    <w:rsid w:val="00210965"/>
    <w:rsid w:val="00213644"/>
    <w:rsid w:val="00214610"/>
    <w:rsid w:val="0021471F"/>
    <w:rsid w:val="00214D48"/>
    <w:rsid w:val="00215738"/>
    <w:rsid w:val="002163E6"/>
    <w:rsid w:val="00217304"/>
    <w:rsid w:val="00220922"/>
    <w:rsid w:val="00221D57"/>
    <w:rsid w:val="00223DE5"/>
    <w:rsid w:val="002250EB"/>
    <w:rsid w:val="0022781E"/>
    <w:rsid w:val="002341CB"/>
    <w:rsid w:val="0023666D"/>
    <w:rsid w:val="00236DC0"/>
    <w:rsid w:val="00243BCA"/>
    <w:rsid w:val="00244518"/>
    <w:rsid w:val="00245969"/>
    <w:rsid w:val="0024645F"/>
    <w:rsid w:val="00250F85"/>
    <w:rsid w:val="0025186C"/>
    <w:rsid w:val="002520B6"/>
    <w:rsid w:val="0025637D"/>
    <w:rsid w:val="002573A0"/>
    <w:rsid w:val="00260FEE"/>
    <w:rsid w:val="00266F4E"/>
    <w:rsid w:val="00285A78"/>
    <w:rsid w:val="00293C02"/>
    <w:rsid w:val="00296EAE"/>
    <w:rsid w:val="002A0AEC"/>
    <w:rsid w:val="002A2118"/>
    <w:rsid w:val="002A30BB"/>
    <w:rsid w:val="002A5267"/>
    <w:rsid w:val="002A7DF8"/>
    <w:rsid w:val="002B0EBA"/>
    <w:rsid w:val="002B1DFC"/>
    <w:rsid w:val="002B3EE2"/>
    <w:rsid w:val="002C14F1"/>
    <w:rsid w:val="002C68EA"/>
    <w:rsid w:val="002D0AFA"/>
    <w:rsid w:val="002D387E"/>
    <w:rsid w:val="002D4FCC"/>
    <w:rsid w:val="002E0AB0"/>
    <w:rsid w:val="002E1A8C"/>
    <w:rsid w:val="002E26DF"/>
    <w:rsid w:val="002E2C16"/>
    <w:rsid w:val="002E3042"/>
    <w:rsid w:val="002E39C8"/>
    <w:rsid w:val="002E65AC"/>
    <w:rsid w:val="002E703A"/>
    <w:rsid w:val="002F01FF"/>
    <w:rsid w:val="002F3548"/>
    <w:rsid w:val="00301816"/>
    <w:rsid w:val="00301D91"/>
    <w:rsid w:val="00305886"/>
    <w:rsid w:val="003062D1"/>
    <w:rsid w:val="00307188"/>
    <w:rsid w:val="003101B6"/>
    <w:rsid w:val="00310232"/>
    <w:rsid w:val="0031325D"/>
    <w:rsid w:val="00314749"/>
    <w:rsid w:val="003153C6"/>
    <w:rsid w:val="00315BA5"/>
    <w:rsid w:val="0033035E"/>
    <w:rsid w:val="003311E4"/>
    <w:rsid w:val="00335597"/>
    <w:rsid w:val="00340297"/>
    <w:rsid w:val="00340D95"/>
    <w:rsid w:val="003423BE"/>
    <w:rsid w:val="003423E8"/>
    <w:rsid w:val="00342794"/>
    <w:rsid w:val="00343096"/>
    <w:rsid w:val="0034425C"/>
    <w:rsid w:val="00346CBA"/>
    <w:rsid w:val="003525F7"/>
    <w:rsid w:val="00353B69"/>
    <w:rsid w:val="00353E55"/>
    <w:rsid w:val="00357BC6"/>
    <w:rsid w:val="00362795"/>
    <w:rsid w:val="00364F36"/>
    <w:rsid w:val="00372F0F"/>
    <w:rsid w:val="00373922"/>
    <w:rsid w:val="003743B3"/>
    <w:rsid w:val="00374F39"/>
    <w:rsid w:val="00377310"/>
    <w:rsid w:val="003809D3"/>
    <w:rsid w:val="0038115A"/>
    <w:rsid w:val="00385DD5"/>
    <w:rsid w:val="00391523"/>
    <w:rsid w:val="00391695"/>
    <w:rsid w:val="00393DDC"/>
    <w:rsid w:val="003955D9"/>
    <w:rsid w:val="003A1753"/>
    <w:rsid w:val="003A1CE2"/>
    <w:rsid w:val="003A1D96"/>
    <w:rsid w:val="003A4599"/>
    <w:rsid w:val="003A54BC"/>
    <w:rsid w:val="003A6415"/>
    <w:rsid w:val="003A6C2E"/>
    <w:rsid w:val="003B2256"/>
    <w:rsid w:val="003B350E"/>
    <w:rsid w:val="003B482E"/>
    <w:rsid w:val="003B4A5B"/>
    <w:rsid w:val="003B4DF6"/>
    <w:rsid w:val="003B5D40"/>
    <w:rsid w:val="003C365D"/>
    <w:rsid w:val="003C3DA9"/>
    <w:rsid w:val="003C4D3B"/>
    <w:rsid w:val="003D1331"/>
    <w:rsid w:val="003D2678"/>
    <w:rsid w:val="003D489B"/>
    <w:rsid w:val="003D6840"/>
    <w:rsid w:val="003E12A1"/>
    <w:rsid w:val="003E263A"/>
    <w:rsid w:val="003E3D29"/>
    <w:rsid w:val="003E3E27"/>
    <w:rsid w:val="003E63BB"/>
    <w:rsid w:val="003E63E5"/>
    <w:rsid w:val="003F03E3"/>
    <w:rsid w:val="003F0608"/>
    <w:rsid w:val="003F2B3C"/>
    <w:rsid w:val="003F2F8C"/>
    <w:rsid w:val="003F4AFC"/>
    <w:rsid w:val="003F663A"/>
    <w:rsid w:val="0040231C"/>
    <w:rsid w:val="0040519D"/>
    <w:rsid w:val="00413197"/>
    <w:rsid w:val="004148B2"/>
    <w:rsid w:val="0041573D"/>
    <w:rsid w:val="0041776F"/>
    <w:rsid w:val="004223BA"/>
    <w:rsid w:val="0042452F"/>
    <w:rsid w:val="00424D1A"/>
    <w:rsid w:val="00424EF9"/>
    <w:rsid w:val="00426C2C"/>
    <w:rsid w:val="004311E5"/>
    <w:rsid w:val="00431EAD"/>
    <w:rsid w:val="0043219F"/>
    <w:rsid w:val="00433769"/>
    <w:rsid w:val="00435089"/>
    <w:rsid w:val="00435B06"/>
    <w:rsid w:val="00435DAA"/>
    <w:rsid w:val="00437287"/>
    <w:rsid w:val="00440E23"/>
    <w:rsid w:val="004412AD"/>
    <w:rsid w:val="004420F1"/>
    <w:rsid w:val="004428F3"/>
    <w:rsid w:val="00447536"/>
    <w:rsid w:val="00453C33"/>
    <w:rsid w:val="004555B2"/>
    <w:rsid w:val="00455CED"/>
    <w:rsid w:val="00470795"/>
    <w:rsid w:val="004708B8"/>
    <w:rsid w:val="00471A8D"/>
    <w:rsid w:val="00474251"/>
    <w:rsid w:val="00474A07"/>
    <w:rsid w:val="00474F8C"/>
    <w:rsid w:val="0047614F"/>
    <w:rsid w:val="00477DBB"/>
    <w:rsid w:val="00482178"/>
    <w:rsid w:val="004823BB"/>
    <w:rsid w:val="004823C5"/>
    <w:rsid w:val="00483AB3"/>
    <w:rsid w:val="004934DA"/>
    <w:rsid w:val="00496C12"/>
    <w:rsid w:val="004A5F64"/>
    <w:rsid w:val="004A6DB6"/>
    <w:rsid w:val="004B14A7"/>
    <w:rsid w:val="004C3CFD"/>
    <w:rsid w:val="004D0CC4"/>
    <w:rsid w:val="004D6430"/>
    <w:rsid w:val="004D7955"/>
    <w:rsid w:val="004E10A0"/>
    <w:rsid w:val="004E1570"/>
    <w:rsid w:val="004E173D"/>
    <w:rsid w:val="004E36EF"/>
    <w:rsid w:val="004E43A9"/>
    <w:rsid w:val="004E4423"/>
    <w:rsid w:val="004F00B2"/>
    <w:rsid w:val="004F1D98"/>
    <w:rsid w:val="00501094"/>
    <w:rsid w:val="00501DFF"/>
    <w:rsid w:val="00502FD3"/>
    <w:rsid w:val="0050678E"/>
    <w:rsid w:val="00507425"/>
    <w:rsid w:val="0051137A"/>
    <w:rsid w:val="00512A3D"/>
    <w:rsid w:val="00512EA1"/>
    <w:rsid w:val="005139F4"/>
    <w:rsid w:val="0051736E"/>
    <w:rsid w:val="00520393"/>
    <w:rsid w:val="00522EBF"/>
    <w:rsid w:val="00523BD9"/>
    <w:rsid w:val="0052433B"/>
    <w:rsid w:val="00524E4F"/>
    <w:rsid w:val="0052637E"/>
    <w:rsid w:val="00526855"/>
    <w:rsid w:val="00526D1A"/>
    <w:rsid w:val="00530DF4"/>
    <w:rsid w:val="005310FA"/>
    <w:rsid w:val="0053455D"/>
    <w:rsid w:val="00536C7D"/>
    <w:rsid w:val="00545EF1"/>
    <w:rsid w:val="0054672F"/>
    <w:rsid w:val="005473BA"/>
    <w:rsid w:val="00547B53"/>
    <w:rsid w:val="00551721"/>
    <w:rsid w:val="005538F6"/>
    <w:rsid w:val="00553F12"/>
    <w:rsid w:val="00554B6A"/>
    <w:rsid w:val="00556A42"/>
    <w:rsid w:val="0055746F"/>
    <w:rsid w:val="00560418"/>
    <w:rsid w:val="0056076A"/>
    <w:rsid w:val="005673EE"/>
    <w:rsid w:val="00570A49"/>
    <w:rsid w:val="00571538"/>
    <w:rsid w:val="00573929"/>
    <w:rsid w:val="00580FB9"/>
    <w:rsid w:val="00581C38"/>
    <w:rsid w:val="0058259B"/>
    <w:rsid w:val="005827BA"/>
    <w:rsid w:val="00585FEB"/>
    <w:rsid w:val="00586E44"/>
    <w:rsid w:val="00591F52"/>
    <w:rsid w:val="00596818"/>
    <w:rsid w:val="005A0255"/>
    <w:rsid w:val="005A0AEB"/>
    <w:rsid w:val="005A277B"/>
    <w:rsid w:val="005A29DA"/>
    <w:rsid w:val="005A312C"/>
    <w:rsid w:val="005A4663"/>
    <w:rsid w:val="005A76E6"/>
    <w:rsid w:val="005B2C45"/>
    <w:rsid w:val="005B2D45"/>
    <w:rsid w:val="005B2E67"/>
    <w:rsid w:val="005B3CA3"/>
    <w:rsid w:val="005B522B"/>
    <w:rsid w:val="005B7F60"/>
    <w:rsid w:val="005C4F1B"/>
    <w:rsid w:val="005C6877"/>
    <w:rsid w:val="005D2EBE"/>
    <w:rsid w:val="005D5882"/>
    <w:rsid w:val="005D7C25"/>
    <w:rsid w:val="005E453B"/>
    <w:rsid w:val="005E5C82"/>
    <w:rsid w:val="005E7F50"/>
    <w:rsid w:val="005F1578"/>
    <w:rsid w:val="005F23D4"/>
    <w:rsid w:val="005F30A6"/>
    <w:rsid w:val="005F621D"/>
    <w:rsid w:val="00600038"/>
    <w:rsid w:val="006078C6"/>
    <w:rsid w:val="00613095"/>
    <w:rsid w:val="006136F2"/>
    <w:rsid w:val="0061427A"/>
    <w:rsid w:val="006220B4"/>
    <w:rsid w:val="006253C6"/>
    <w:rsid w:val="00625895"/>
    <w:rsid w:val="00626A55"/>
    <w:rsid w:val="006301CC"/>
    <w:rsid w:val="00630DEA"/>
    <w:rsid w:val="00633267"/>
    <w:rsid w:val="00635980"/>
    <w:rsid w:val="00640123"/>
    <w:rsid w:val="006427AA"/>
    <w:rsid w:val="00644067"/>
    <w:rsid w:val="006517D8"/>
    <w:rsid w:val="00651DBF"/>
    <w:rsid w:val="006539E0"/>
    <w:rsid w:val="00654AFD"/>
    <w:rsid w:val="00654E2F"/>
    <w:rsid w:val="00657071"/>
    <w:rsid w:val="006576B3"/>
    <w:rsid w:val="00660410"/>
    <w:rsid w:val="006641C3"/>
    <w:rsid w:val="00671284"/>
    <w:rsid w:val="00671E12"/>
    <w:rsid w:val="0067298F"/>
    <w:rsid w:val="006731A9"/>
    <w:rsid w:val="00675204"/>
    <w:rsid w:val="00675E07"/>
    <w:rsid w:val="00676838"/>
    <w:rsid w:val="00677E24"/>
    <w:rsid w:val="006822D7"/>
    <w:rsid w:val="0068262E"/>
    <w:rsid w:val="00685DAA"/>
    <w:rsid w:val="00686C2F"/>
    <w:rsid w:val="00686E2D"/>
    <w:rsid w:val="00690EF8"/>
    <w:rsid w:val="006935DB"/>
    <w:rsid w:val="006937B4"/>
    <w:rsid w:val="00693889"/>
    <w:rsid w:val="006952F5"/>
    <w:rsid w:val="006A0E69"/>
    <w:rsid w:val="006A35C0"/>
    <w:rsid w:val="006A505A"/>
    <w:rsid w:val="006A5EBF"/>
    <w:rsid w:val="006A6827"/>
    <w:rsid w:val="006A6E1F"/>
    <w:rsid w:val="006B04C1"/>
    <w:rsid w:val="006B25BC"/>
    <w:rsid w:val="006B2E60"/>
    <w:rsid w:val="006B35F1"/>
    <w:rsid w:val="006B405F"/>
    <w:rsid w:val="006B7DEE"/>
    <w:rsid w:val="006C0ADE"/>
    <w:rsid w:val="006C29F8"/>
    <w:rsid w:val="006C2D5D"/>
    <w:rsid w:val="006C34F8"/>
    <w:rsid w:val="006C695F"/>
    <w:rsid w:val="006D34D5"/>
    <w:rsid w:val="006D4144"/>
    <w:rsid w:val="006E461D"/>
    <w:rsid w:val="006E4EF8"/>
    <w:rsid w:val="006E5534"/>
    <w:rsid w:val="006E748F"/>
    <w:rsid w:val="006E7DC6"/>
    <w:rsid w:val="006F4BA8"/>
    <w:rsid w:val="006F75A5"/>
    <w:rsid w:val="006F7681"/>
    <w:rsid w:val="00701B16"/>
    <w:rsid w:val="007068AE"/>
    <w:rsid w:val="00713B3D"/>
    <w:rsid w:val="00715C77"/>
    <w:rsid w:val="00715F8A"/>
    <w:rsid w:val="00716934"/>
    <w:rsid w:val="0072079C"/>
    <w:rsid w:val="00721629"/>
    <w:rsid w:val="007222A3"/>
    <w:rsid w:val="007227B2"/>
    <w:rsid w:val="00723593"/>
    <w:rsid w:val="00724FF8"/>
    <w:rsid w:val="007253AE"/>
    <w:rsid w:val="00727524"/>
    <w:rsid w:val="00730362"/>
    <w:rsid w:val="00731710"/>
    <w:rsid w:val="00732FD5"/>
    <w:rsid w:val="00741F73"/>
    <w:rsid w:val="00742975"/>
    <w:rsid w:val="007464CB"/>
    <w:rsid w:val="007510EE"/>
    <w:rsid w:val="00752CAD"/>
    <w:rsid w:val="00752EA9"/>
    <w:rsid w:val="00755014"/>
    <w:rsid w:val="00756119"/>
    <w:rsid w:val="007563F4"/>
    <w:rsid w:val="007565C8"/>
    <w:rsid w:val="00756D4F"/>
    <w:rsid w:val="00760E76"/>
    <w:rsid w:val="00761447"/>
    <w:rsid w:val="007628F9"/>
    <w:rsid w:val="007654B7"/>
    <w:rsid w:val="00767ECA"/>
    <w:rsid w:val="00772715"/>
    <w:rsid w:val="0077580D"/>
    <w:rsid w:val="00777912"/>
    <w:rsid w:val="007801F0"/>
    <w:rsid w:val="00783230"/>
    <w:rsid w:val="007839BF"/>
    <w:rsid w:val="0078480C"/>
    <w:rsid w:val="00784AAE"/>
    <w:rsid w:val="007874BD"/>
    <w:rsid w:val="00795651"/>
    <w:rsid w:val="007957DB"/>
    <w:rsid w:val="00795D4D"/>
    <w:rsid w:val="007A2CD1"/>
    <w:rsid w:val="007A59F0"/>
    <w:rsid w:val="007B2E5D"/>
    <w:rsid w:val="007B3D44"/>
    <w:rsid w:val="007B7006"/>
    <w:rsid w:val="007C2396"/>
    <w:rsid w:val="007C286C"/>
    <w:rsid w:val="007C2D5F"/>
    <w:rsid w:val="007C3925"/>
    <w:rsid w:val="007C5718"/>
    <w:rsid w:val="007C670B"/>
    <w:rsid w:val="007D0E5D"/>
    <w:rsid w:val="007D18A7"/>
    <w:rsid w:val="007D63F8"/>
    <w:rsid w:val="007E2DE2"/>
    <w:rsid w:val="007E3817"/>
    <w:rsid w:val="007E3FAA"/>
    <w:rsid w:val="007E5688"/>
    <w:rsid w:val="007E621B"/>
    <w:rsid w:val="007F079F"/>
    <w:rsid w:val="007F2473"/>
    <w:rsid w:val="007F4896"/>
    <w:rsid w:val="007F5B83"/>
    <w:rsid w:val="00803997"/>
    <w:rsid w:val="00806903"/>
    <w:rsid w:val="00806B0C"/>
    <w:rsid w:val="00810F93"/>
    <w:rsid w:val="008139B8"/>
    <w:rsid w:val="008144D7"/>
    <w:rsid w:val="00817254"/>
    <w:rsid w:val="00820578"/>
    <w:rsid w:val="00820DE4"/>
    <w:rsid w:val="00822E5E"/>
    <w:rsid w:val="0082435E"/>
    <w:rsid w:val="008277C1"/>
    <w:rsid w:val="00830DD2"/>
    <w:rsid w:val="008310EC"/>
    <w:rsid w:val="0083254E"/>
    <w:rsid w:val="00833F83"/>
    <w:rsid w:val="00834FF7"/>
    <w:rsid w:val="0083666F"/>
    <w:rsid w:val="008418B6"/>
    <w:rsid w:val="00841F6D"/>
    <w:rsid w:val="008476A4"/>
    <w:rsid w:val="008509C0"/>
    <w:rsid w:val="00852276"/>
    <w:rsid w:val="008543F3"/>
    <w:rsid w:val="00855717"/>
    <w:rsid w:val="0085673D"/>
    <w:rsid w:val="008570E3"/>
    <w:rsid w:val="0085774D"/>
    <w:rsid w:val="00860BB6"/>
    <w:rsid w:val="00862627"/>
    <w:rsid w:val="00864780"/>
    <w:rsid w:val="0087013C"/>
    <w:rsid w:val="0087071E"/>
    <w:rsid w:val="0087241E"/>
    <w:rsid w:val="008733AD"/>
    <w:rsid w:val="00877BD0"/>
    <w:rsid w:val="00881DDE"/>
    <w:rsid w:val="00882DF2"/>
    <w:rsid w:val="00885F0D"/>
    <w:rsid w:val="008902AF"/>
    <w:rsid w:val="008913E3"/>
    <w:rsid w:val="008971C6"/>
    <w:rsid w:val="008972E4"/>
    <w:rsid w:val="008A0143"/>
    <w:rsid w:val="008A02E2"/>
    <w:rsid w:val="008A10E5"/>
    <w:rsid w:val="008A4434"/>
    <w:rsid w:val="008B4955"/>
    <w:rsid w:val="008B599E"/>
    <w:rsid w:val="008C085A"/>
    <w:rsid w:val="008C5358"/>
    <w:rsid w:val="008C5ADE"/>
    <w:rsid w:val="008C6A75"/>
    <w:rsid w:val="008D1873"/>
    <w:rsid w:val="008D3F01"/>
    <w:rsid w:val="008D7F09"/>
    <w:rsid w:val="008E12E9"/>
    <w:rsid w:val="008E176F"/>
    <w:rsid w:val="008E1E36"/>
    <w:rsid w:val="008E5496"/>
    <w:rsid w:val="008E5E44"/>
    <w:rsid w:val="008F00C2"/>
    <w:rsid w:val="008F0A93"/>
    <w:rsid w:val="008F17A5"/>
    <w:rsid w:val="008F21A7"/>
    <w:rsid w:val="00900FFC"/>
    <w:rsid w:val="00903336"/>
    <w:rsid w:val="00904428"/>
    <w:rsid w:val="00906B54"/>
    <w:rsid w:val="00911030"/>
    <w:rsid w:val="00911162"/>
    <w:rsid w:val="00913E2D"/>
    <w:rsid w:val="00914C1D"/>
    <w:rsid w:val="00914FD3"/>
    <w:rsid w:val="009162B4"/>
    <w:rsid w:val="00922080"/>
    <w:rsid w:val="009245A3"/>
    <w:rsid w:val="00924CA4"/>
    <w:rsid w:val="0092544B"/>
    <w:rsid w:val="0092764D"/>
    <w:rsid w:val="0093660A"/>
    <w:rsid w:val="00943297"/>
    <w:rsid w:val="009443F2"/>
    <w:rsid w:val="00944CEA"/>
    <w:rsid w:val="00945AEA"/>
    <w:rsid w:val="00945DF6"/>
    <w:rsid w:val="009462A9"/>
    <w:rsid w:val="00947694"/>
    <w:rsid w:val="00954A3B"/>
    <w:rsid w:val="0095503B"/>
    <w:rsid w:val="009555D2"/>
    <w:rsid w:val="0096038D"/>
    <w:rsid w:val="00962FD0"/>
    <w:rsid w:val="00963DE2"/>
    <w:rsid w:val="00964273"/>
    <w:rsid w:val="00965997"/>
    <w:rsid w:val="00971CE4"/>
    <w:rsid w:val="00973315"/>
    <w:rsid w:val="00974C44"/>
    <w:rsid w:val="00977F00"/>
    <w:rsid w:val="00980050"/>
    <w:rsid w:val="009805FB"/>
    <w:rsid w:val="0098344D"/>
    <w:rsid w:val="0098542A"/>
    <w:rsid w:val="00985CE3"/>
    <w:rsid w:val="009864ED"/>
    <w:rsid w:val="00990658"/>
    <w:rsid w:val="0099170D"/>
    <w:rsid w:val="009924C0"/>
    <w:rsid w:val="009A4F00"/>
    <w:rsid w:val="009A6D4E"/>
    <w:rsid w:val="009B401E"/>
    <w:rsid w:val="009B55DC"/>
    <w:rsid w:val="009B7632"/>
    <w:rsid w:val="009C025A"/>
    <w:rsid w:val="009C1808"/>
    <w:rsid w:val="009C6D5C"/>
    <w:rsid w:val="009D22A3"/>
    <w:rsid w:val="009E2E27"/>
    <w:rsid w:val="009E3333"/>
    <w:rsid w:val="009E4A72"/>
    <w:rsid w:val="009F33D5"/>
    <w:rsid w:val="009F3AD9"/>
    <w:rsid w:val="009F7F10"/>
    <w:rsid w:val="00A01077"/>
    <w:rsid w:val="00A05411"/>
    <w:rsid w:val="00A10877"/>
    <w:rsid w:val="00A125EC"/>
    <w:rsid w:val="00A20ACC"/>
    <w:rsid w:val="00A21043"/>
    <w:rsid w:val="00A23E76"/>
    <w:rsid w:val="00A26C27"/>
    <w:rsid w:val="00A27351"/>
    <w:rsid w:val="00A276A6"/>
    <w:rsid w:val="00A306B2"/>
    <w:rsid w:val="00A30EEE"/>
    <w:rsid w:val="00A316C5"/>
    <w:rsid w:val="00A3281C"/>
    <w:rsid w:val="00A343B2"/>
    <w:rsid w:val="00A37473"/>
    <w:rsid w:val="00A37721"/>
    <w:rsid w:val="00A402E2"/>
    <w:rsid w:val="00A439E5"/>
    <w:rsid w:val="00A43F83"/>
    <w:rsid w:val="00A44D74"/>
    <w:rsid w:val="00A47690"/>
    <w:rsid w:val="00A47FC0"/>
    <w:rsid w:val="00A525B8"/>
    <w:rsid w:val="00A53D82"/>
    <w:rsid w:val="00A557BA"/>
    <w:rsid w:val="00A64245"/>
    <w:rsid w:val="00A724A7"/>
    <w:rsid w:val="00A77835"/>
    <w:rsid w:val="00A77A38"/>
    <w:rsid w:val="00A82D78"/>
    <w:rsid w:val="00A879E3"/>
    <w:rsid w:val="00A908A7"/>
    <w:rsid w:val="00A97DCA"/>
    <w:rsid w:val="00AA0BB9"/>
    <w:rsid w:val="00AA0EF3"/>
    <w:rsid w:val="00AA179E"/>
    <w:rsid w:val="00AA2BFB"/>
    <w:rsid w:val="00AA3F04"/>
    <w:rsid w:val="00AA6858"/>
    <w:rsid w:val="00AA6CA5"/>
    <w:rsid w:val="00AB0FCD"/>
    <w:rsid w:val="00AB5A68"/>
    <w:rsid w:val="00AB6913"/>
    <w:rsid w:val="00AC1E4C"/>
    <w:rsid w:val="00AC2392"/>
    <w:rsid w:val="00AC34B4"/>
    <w:rsid w:val="00AC6F03"/>
    <w:rsid w:val="00AD2242"/>
    <w:rsid w:val="00AD5CDA"/>
    <w:rsid w:val="00AD5E33"/>
    <w:rsid w:val="00AD7AB2"/>
    <w:rsid w:val="00AE05F9"/>
    <w:rsid w:val="00AE6F44"/>
    <w:rsid w:val="00AF002D"/>
    <w:rsid w:val="00AF1DBA"/>
    <w:rsid w:val="00AF47D2"/>
    <w:rsid w:val="00AF4ED7"/>
    <w:rsid w:val="00AF6E94"/>
    <w:rsid w:val="00B00E0A"/>
    <w:rsid w:val="00B01373"/>
    <w:rsid w:val="00B029E8"/>
    <w:rsid w:val="00B0356D"/>
    <w:rsid w:val="00B03714"/>
    <w:rsid w:val="00B04A3B"/>
    <w:rsid w:val="00B05516"/>
    <w:rsid w:val="00B06914"/>
    <w:rsid w:val="00B0703B"/>
    <w:rsid w:val="00B1070F"/>
    <w:rsid w:val="00B11613"/>
    <w:rsid w:val="00B13158"/>
    <w:rsid w:val="00B202C3"/>
    <w:rsid w:val="00B207DE"/>
    <w:rsid w:val="00B23CA1"/>
    <w:rsid w:val="00B24544"/>
    <w:rsid w:val="00B319F7"/>
    <w:rsid w:val="00B32C3B"/>
    <w:rsid w:val="00B332C3"/>
    <w:rsid w:val="00B357A0"/>
    <w:rsid w:val="00B369C7"/>
    <w:rsid w:val="00B415ED"/>
    <w:rsid w:val="00B448E4"/>
    <w:rsid w:val="00B50F28"/>
    <w:rsid w:val="00B517BC"/>
    <w:rsid w:val="00B55C10"/>
    <w:rsid w:val="00B62E13"/>
    <w:rsid w:val="00B631B9"/>
    <w:rsid w:val="00B63297"/>
    <w:rsid w:val="00B6421E"/>
    <w:rsid w:val="00B64F4B"/>
    <w:rsid w:val="00B654FC"/>
    <w:rsid w:val="00B6628A"/>
    <w:rsid w:val="00B72BDF"/>
    <w:rsid w:val="00B75471"/>
    <w:rsid w:val="00B77EA9"/>
    <w:rsid w:val="00B815DD"/>
    <w:rsid w:val="00B86A2F"/>
    <w:rsid w:val="00B9461A"/>
    <w:rsid w:val="00BA32C0"/>
    <w:rsid w:val="00BA77EB"/>
    <w:rsid w:val="00BB0015"/>
    <w:rsid w:val="00BB70D2"/>
    <w:rsid w:val="00BB7F41"/>
    <w:rsid w:val="00BC07CD"/>
    <w:rsid w:val="00BC28DE"/>
    <w:rsid w:val="00BC3940"/>
    <w:rsid w:val="00BC6DF6"/>
    <w:rsid w:val="00BC732D"/>
    <w:rsid w:val="00BD0804"/>
    <w:rsid w:val="00BD148E"/>
    <w:rsid w:val="00BD2212"/>
    <w:rsid w:val="00BD3F53"/>
    <w:rsid w:val="00BD5472"/>
    <w:rsid w:val="00BE07EC"/>
    <w:rsid w:val="00BE2E58"/>
    <w:rsid w:val="00BE550A"/>
    <w:rsid w:val="00BE7BE4"/>
    <w:rsid w:val="00BF1926"/>
    <w:rsid w:val="00BF206C"/>
    <w:rsid w:val="00BF2181"/>
    <w:rsid w:val="00BF2B3F"/>
    <w:rsid w:val="00BF487E"/>
    <w:rsid w:val="00C01A65"/>
    <w:rsid w:val="00C0210C"/>
    <w:rsid w:val="00C03C25"/>
    <w:rsid w:val="00C14837"/>
    <w:rsid w:val="00C1665D"/>
    <w:rsid w:val="00C167DF"/>
    <w:rsid w:val="00C20E68"/>
    <w:rsid w:val="00C21156"/>
    <w:rsid w:val="00C211B7"/>
    <w:rsid w:val="00C21A5D"/>
    <w:rsid w:val="00C22A8F"/>
    <w:rsid w:val="00C22F85"/>
    <w:rsid w:val="00C24292"/>
    <w:rsid w:val="00C25643"/>
    <w:rsid w:val="00C268A5"/>
    <w:rsid w:val="00C27DD4"/>
    <w:rsid w:val="00C30F20"/>
    <w:rsid w:val="00C33179"/>
    <w:rsid w:val="00C371A2"/>
    <w:rsid w:val="00C46F96"/>
    <w:rsid w:val="00C47DC7"/>
    <w:rsid w:val="00C50227"/>
    <w:rsid w:val="00C517FE"/>
    <w:rsid w:val="00C562C8"/>
    <w:rsid w:val="00C56A7F"/>
    <w:rsid w:val="00C609E9"/>
    <w:rsid w:val="00C62F21"/>
    <w:rsid w:val="00C63C20"/>
    <w:rsid w:val="00C66050"/>
    <w:rsid w:val="00C66ADF"/>
    <w:rsid w:val="00C718D1"/>
    <w:rsid w:val="00C737B4"/>
    <w:rsid w:val="00C77D09"/>
    <w:rsid w:val="00C80436"/>
    <w:rsid w:val="00C80A4E"/>
    <w:rsid w:val="00C80AB2"/>
    <w:rsid w:val="00C83F42"/>
    <w:rsid w:val="00C84CB5"/>
    <w:rsid w:val="00C84DB2"/>
    <w:rsid w:val="00C84F3D"/>
    <w:rsid w:val="00C85BF7"/>
    <w:rsid w:val="00C8701F"/>
    <w:rsid w:val="00C90406"/>
    <w:rsid w:val="00C9254A"/>
    <w:rsid w:val="00CA009E"/>
    <w:rsid w:val="00CA15E9"/>
    <w:rsid w:val="00CA2160"/>
    <w:rsid w:val="00CA28BA"/>
    <w:rsid w:val="00CA5EB3"/>
    <w:rsid w:val="00CB29EB"/>
    <w:rsid w:val="00CC6633"/>
    <w:rsid w:val="00CD25FD"/>
    <w:rsid w:val="00CD31A3"/>
    <w:rsid w:val="00CD40BD"/>
    <w:rsid w:val="00CD4C41"/>
    <w:rsid w:val="00CE084A"/>
    <w:rsid w:val="00CE175C"/>
    <w:rsid w:val="00CE3C85"/>
    <w:rsid w:val="00CE4282"/>
    <w:rsid w:val="00CE4B61"/>
    <w:rsid w:val="00CE4E1E"/>
    <w:rsid w:val="00CE5E57"/>
    <w:rsid w:val="00CE66C6"/>
    <w:rsid w:val="00CF01F4"/>
    <w:rsid w:val="00CF1EBF"/>
    <w:rsid w:val="00CF2D5B"/>
    <w:rsid w:val="00D00B3A"/>
    <w:rsid w:val="00D00F41"/>
    <w:rsid w:val="00D03450"/>
    <w:rsid w:val="00D06F0D"/>
    <w:rsid w:val="00D13D47"/>
    <w:rsid w:val="00D13D5C"/>
    <w:rsid w:val="00D24C2F"/>
    <w:rsid w:val="00D30D2F"/>
    <w:rsid w:val="00D32F18"/>
    <w:rsid w:val="00D33B8E"/>
    <w:rsid w:val="00D35A4D"/>
    <w:rsid w:val="00D35F6A"/>
    <w:rsid w:val="00D3722D"/>
    <w:rsid w:val="00D45C1E"/>
    <w:rsid w:val="00D45D82"/>
    <w:rsid w:val="00D5044B"/>
    <w:rsid w:val="00D51166"/>
    <w:rsid w:val="00D6350E"/>
    <w:rsid w:val="00D64C57"/>
    <w:rsid w:val="00D66EB5"/>
    <w:rsid w:val="00D67DA3"/>
    <w:rsid w:val="00D7135A"/>
    <w:rsid w:val="00D71751"/>
    <w:rsid w:val="00D71ABE"/>
    <w:rsid w:val="00D7322F"/>
    <w:rsid w:val="00D76633"/>
    <w:rsid w:val="00D76B96"/>
    <w:rsid w:val="00D77A23"/>
    <w:rsid w:val="00D77FE4"/>
    <w:rsid w:val="00D81F2F"/>
    <w:rsid w:val="00D85CFC"/>
    <w:rsid w:val="00D86C8F"/>
    <w:rsid w:val="00D86E7A"/>
    <w:rsid w:val="00D91E83"/>
    <w:rsid w:val="00D92559"/>
    <w:rsid w:val="00D934D6"/>
    <w:rsid w:val="00D94FFC"/>
    <w:rsid w:val="00DA02BC"/>
    <w:rsid w:val="00DA326B"/>
    <w:rsid w:val="00DA60CF"/>
    <w:rsid w:val="00DA6898"/>
    <w:rsid w:val="00DB198E"/>
    <w:rsid w:val="00DB5062"/>
    <w:rsid w:val="00DB768E"/>
    <w:rsid w:val="00DC2A0D"/>
    <w:rsid w:val="00DC48CB"/>
    <w:rsid w:val="00DC4BB6"/>
    <w:rsid w:val="00DC5BE6"/>
    <w:rsid w:val="00DD2F33"/>
    <w:rsid w:val="00DD41A7"/>
    <w:rsid w:val="00DD7BC2"/>
    <w:rsid w:val="00DD7E6A"/>
    <w:rsid w:val="00DE1FE0"/>
    <w:rsid w:val="00DE49D7"/>
    <w:rsid w:val="00DF0EC4"/>
    <w:rsid w:val="00DF52DF"/>
    <w:rsid w:val="00E00D3A"/>
    <w:rsid w:val="00E02C5B"/>
    <w:rsid w:val="00E071FD"/>
    <w:rsid w:val="00E07522"/>
    <w:rsid w:val="00E110CA"/>
    <w:rsid w:val="00E11B00"/>
    <w:rsid w:val="00E12CA9"/>
    <w:rsid w:val="00E12EFC"/>
    <w:rsid w:val="00E14988"/>
    <w:rsid w:val="00E16285"/>
    <w:rsid w:val="00E16F7D"/>
    <w:rsid w:val="00E17174"/>
    <w:rsid w:val="00E208A5"/>
    <w:rsid w:val="00E20B96"/>
    <w:rsid w:val="00E23E34"/>
    <w:rsid w:val="00E2533A"/>
    <w:rsid w:val="00E272D8"/>
    <w:rsid w:val="00E2766B"/>
    <w:rsid w:val="00E300B6"/>
    <w:rsid w:val="00E3032F"/>
    <w:rsid w:val="00E307E2"/>
    <w:rsid w:val="00E30B5D"/>
    <w:rsid w:val="00E31135"/>
    <w:rsid w:val="00E40147"/>
    <w:rsid w:val="00E42B9A"/>
    <w:rsid w:val="00E451FE"/>
    <w:rsid w:val="00E46692"/>
    <w:rsid w:val="00E47871"/>
    <w:rsid w:val="00E47B37"/>
    <w:rsid w:val="00E50412"/>
    <w:rsid w:val="00E53E97"/>
    <w:rsid w:val="00E55183"/>
    <w:rsid w:val="00E55F3D"/>
    <w:rsid w:val="00E565FA"/>
    <w:rsid w:val="00E5760B"/>
    <w:rsid w:val="00E6277F"/>
    <w:rsid w:val="00E644A3"/>
    <w:rsid w:val="00E66F6C"/>
    <w:rsid w:val="00E7028C"/>
    <w:rsid w:val="00E7083E"/>
    <w:rsid w:val="00E70CFF"/>
    <w:rsid w:val="00E70DA3"/>
    <w:rsid w:val="00E717E3"/>
    <w:rsid w:val="00E74472"/>
    <w:rsid w:val="00E80669"/>
    <w:rsid w:val="00E808F2"/>
    <w:rsid w:val="00E81C73"/>
    <w:rsid w:val="00E81FB0"/>
    <w:rsid w:val="00E82DA1"/>
    <w:rsid w:val="00E8685E"/>
    <w:rsid w:val="00E91E2F"/>
    <w:rsid w:val="00E969D1"/>
    <w:rsid w:val="00EA02D7"/>
    <w:rsid w:val="00EA1D82"/>
    <w:rsid w:val="00EA2203"/>
    <w:rsid w:val="00EA3DE3"/>
    <w:rsid w:val="00EA783F"/>
    <w:rsid w:val="00EA7941"/>
    <w:rsid w:val="00EB2FBA"/>
    <w:rsid w:val="00EB41AF"/>
    <w:rsid w:val="00EB4C94"/>
    <w:rsid w:val="00EC3CE9"/>
    <w:rsid w:val="00EC45B9"/>
    <w:rsid w:val="00EC61E5"/>
    <w:rsid w:val="00EC7647"/>
    <w:rsid w:val="00EC7E03"/>
    <w:rsid w:val="00ED094C"/>
    <w:rsid w:val="00ED577A"/>
    <w:rsid w:val="00ED62E5"/>
    <w:rsid w:val="00ED6EEA"/>
    <w:rsid w:val="00ED75BB"/>
    <w:rsid w:val="00EE739B"/>
    <w:rsid w:val="00EF2375"/>
    <w:rsid w:val="00EF7622"/>
    <w:rsid w:val="00F026FE"/>
    <w:rsid w:val="00F03E13"/>
    <w:rsid w:val="00F046FD"/>
    <w:rsid w:val="00F07FA5"/>
    <w:rsid w:val="00F107F4"/>
    <w:rsid w:val="00F10B3A"/>
    <w:rsid w:val="00F114F4"/>
    <w:rsid w:val="00F13625"/>
    <w:rsid w:val="00F17625"/>
    <w:rsid w:val="00F20E9A"/>
    <w:rsid w:val="00F2181F"/>
    <w:rsid w:val="00F23326"/>
    <w:rsid w:val="00F264D6"/>
    <w:rsid w:val="00F2660C"/>
    <w:rsid w:val="00F31F5E"/>
    <w:rsid w:val="00F33CED"/>
    <w:rsid w:val="00F370D2"/>
    <w:rsid w:val="00F461EE"/>
    <w:rsid w:val="00F46B06"/>
    <w:rsid w:val="00F50329"/>
    <w:rsid w:val="00F51445"/>
    <w:rsid w:val="00F533BA"/>
    <w:rsid w:val="00F545F5"/>
    <w:rsid w:val="00F54D1A"/>
    <w:rsid w:val="00F56F84"/>
    <w:rsid w:val="00F6225E"/>
    <w:rsid w:val="00F643CF"/>
    <w:rsid w:val="00F647CC"/>
    <w:rsid w:val="00F71DB1"/>
    <w:rsid w:val="00F72590"/>
    <w:rsid w:val="00F7551B"/>
    <w:rsid w:val="00F75CCF"/>
    <w:rsid w:val="00F75EAC"/>
    <w:rsid w:val="00F81CD4"/>
    <w:rsid w:val="00F81DE8"/>
    <w:rsid w:val="00F862FE"/>
    <w:rsid w:val="00F91974"/>
    <w:rsid w:val="00F951AC"/>
    <w:rsid w:val="00F95F9D"/>
    <w:rsid w:val="00F967B3"/>
    <w:rsid w:val="00F9767D"/>
    <w:rsid w:val="00FA0979"/>
    <w:rsid w:val="00FA26D5"/>
    <w:rsid w:val="00FA6B71"/>
    <w:rsid w:val="00FB2D25"/>
    <w:rsid w:val="00FB7078"/>
    <w:rsid w:val="00FC0F1E"/>
    <w:rsid w:val="00FC1274"/>
    <w:rsid w:val="00FC139D"/>
    <w:rsid w:val="00FC22AA"/>
    <w:rsid w:val="00FC255C"/>
    <w:rsid w:val="00FC2A83"/>
    <w:rsid w:val="00FC3459"/>
    <w:rsid w:val="00FC3CD7"/>
    <w:rsid w:val="00FC3E7A"/>
    <w:rsid w:val="00FC6B44"/>
    <w:rsid w:val="00FC6E19"/>
    <w:rsid w:val="00FD491F"/>
    <w:rsid w:val="00FD7006"/>
    <w:rsid w:val="00FE229C"/>
    <w:rsid w:val="00FE34EF"/>
    <w:rsid w:val="00FF3B3D"/>
    <w:rsid w:val="00FF3D34"/>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3E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AEB"/>
    <w:pPr>
      <w:spacing w:after="100" w:line="400" w:lineRule="exact"/>
      <w:jc w:val="both"/>
    </w:pPr>
    <w:rPr>
      <w:rFonts w:ascii="Century Schoolbook" w:hAnsi="Century Schoolbook"/>
      <w:sz w:val="27"/>
    </w:rPr>
  </w:style>
  <w:style w:type="paragraph" w:styleId="Heading1">
    <w:name w:val="heading 1"/>
    <w:basedOn w:val="Normal"/>
    <w:next w:val="Normal"/>
    <w:qFormat/>
    <w:rsid w:val="005A0AEB"/>
    <w:pPr>
      <w:keepNext/>
      <w:spacing w:before="140" w:line="240" w:lineRule="atLeast"/>
      <w:jc w:val="center"/>
      <w:outlineLvl w:val="0"/>
    </w:pPr>
    <w:rPr>
      <w:b/>
      <w:smallCaps/>
    </w:rPr>
  </w:style>
  <w:style w:type="paragraph" w:styleId="Heading2">
    <w:name w:val="heading 2"/>
    <w:basedOn w:val="Normal"/>
    <w:next w:val="Normal"/>
    <w:qFormat/>
    <w:rsid w:val="005A0AE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5A0AEB"/>
    <w:pPr>
      <w:keepNext/>
      <w:tabs>
        <w:tab w:val="left" w:pos="1584"/>
      </w:tabs>
      <w:spacing w:before="140" w:line="240" w:lineRule="atLeast"/>
      <w:ind w:left="1584" w:hanging="432"/>
      <w:jc w:val="left"/>
      <w:outlineLvl w:val="2"/>
    </w:pPr>
    <w:rPr>
      <w:i/>
    </w:rPr>
  </w:style>
  <w:style w:type="paragraph" w:styleId="Heading4">
    <w:name w:val="heading 4"/>
    <w:basedOn w:val="Normal"/>
    <w:rsid w:val="005A0AEB"/>
    <w:pPr>
      <w:keepNext/>
      <w:tabs>
        <w:tab w:val="left" w:pos="2016"/>
      </w:tabs>
      <w:spacing w:before="140" w:line="240" w:lineRule="atLeast"/>
      <w:ind w:left="2016" w:hanging="432"/>
      <w:jc w:val="left"/>
      <w:outlineLvl w:val="3"/>
    </w:pPr>
    <w:rPr>
      <w:i/>
    </w:rPr>
  </w:style>
  <w:style w:type="paragraph" w:styleId="Heading5">
    <w:name w:val="heading 5"/>
    <w:basedOn w:val="Normal"/>
    <w:rsid w:val="005A0AE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A0AEB"/>
    <w:pPr>
      <w:ind w:left="720"/>
    </w:pPr>
  </w:style>
  <w:style w:type="paragraph" w:styleId="Footer">
    <w:name w:val="footer"/>
    <w:basedOn w:val="Normal"/>
    <w:qFormat/>
    <w:rsid w:val="005A0AEB"/>
    <w:pPr>
      <w:tabs>
        <w:tab w:val="center" w:pos="3960"/>
        <w:tab w:val="right" w:pos="10080"/>
      </w:tabs>
      <w:spacing w:after="0" w:line="240" w:lineRule="auto"/>
      <w:jc w:val="center"/>
    </w:pPr>
    <w:rPr>
      <w:sz w:val="22"/>
    </w:rPr>
  </w:style>
  <w:style w:type="paragraph" w:styleId="Header">
    <w:name w:val="header"/>
    <w:basedOn w:val="Normal"/>
    <w:qFormat/>
    <w:rsid w:val="005A0AEB"/>
    <w:pPr>
      <w:tabs>
        <w:tab w:val="center" w:pos="3960"/>
        <w:tab w:val="right" w:pos="10080"/>
      </w:tabs>
      <w:spacing w:after="80" w:line="240" w:lineRule="auto"/>
      <w:jc w:val="center"/>
    </w:pPr>
    <w:rPr>
      <w:sz w:val="22"/>
    </w:rPr>
  </w:style>
  <w:style w:type="character" w:styleId="FootnoteReference">
    <w:name w:val="footnote reference"/>
    <w:aliases w:val=" Char Char1"/>
    <w:basedOn w:val="DefaultParagraphFont"/>
    <w:uiPriority w:val="99"/>
    <w:rsid w:val="005A0AEB"/>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5A0AEB"/>
    <w:pPr>
      <w:spacing w:line="300" w:lineRule="exact"/>
    </w:pPr>
  </w:style>
  <w:style w:type="paragraph" w:customStyle="1" w:styleId="Title1">
    <w:name w:val="Title1"/>
    <w:basedOn w:val="Normal"/>
    <w:rsid w:val="005A0AEB"/>
    <w:pPr>
      <w:tabs>
        <w:tab w:val="left" w:pos="5760"/>
        <w:tab w:val="left" w:pos="6480"/>
      </w:tabs>
      <w:spacing w:line="240" w:lineRule="atLeast"/>
    </w:pPr>
  </w:style>
  <w:style w:type="paragraph" w:customStyle="1" w:styleId="Recommend">
    <w:name w:val="Recommend"/>
    <w:basedOn w:val="Normal"/>
    <w:rsid w:val="005A0AEB"/>
  </w:style>
  <w:style w:type="paragraph" w:customStyle="1" w:styleId="Summary">
    <w:name w:val="Summary"/>
    <w:basedOn w:val="Normal"/>
    <w:rsid w:val="005A0AEB"/>
    <w:pPr>
      <w:ind w:left="2160" w:hanging="2160"/>
    </w:pPr>
  </w:style>
  <w:style w:type="paragraph" w:customStyle="1" w:styleId="Text">
    <w:name w:val="Text"/>
    <w:basedOn w:val="Normal"/>
    <w:rsid w:val="005A0AEB"/>
    <w:pPr>
      <w:tabs>
        <w:tab w:val="left" w:pos="720"/>
        <w:tab w:val="left" w:pos="1440"/>
        <w:tab w:val="left" w:pos="2160"/>
        <w:tab w:val="center" w:pos="4320"/>
      </w:tabs>
      <w:spacing w:line="480" w:lineRule="atLeast"/>
      <w:ind w:firstLine="540"/>
    </w:pPr>
  </w:style>
  <w:style w:type="paragraph" w:styleId="Date">
    <w:name w:val="Date"/>
    <w:basedOn w:val="Normal"/>
    <w:rsid w:val="005A0AEB"/>
    <w:pPr>
      <w:jc w:val="right"/>
    </w:pPr>
  </w:style>
  <w:style w:type="character" w:styleId="PageNumber">
    <w:name w:val="page number"/>
    <w:basedOn w:val="DefaultParagraphFont"/>
    <w:rsid w:val="005A0AEB"/>
  </w:style>
  <w:style w:type="paragraph" w:customStyle="1" w:styleId="subject">
    <w:name w:val="subject"/>
    <w:basedOn w:val="Normal"/>
    <w:rsid w:val="005A0AEB"/>
    <w:pPr>
      <w:tabs>
        <w:tab w:val="left" w:pos="1008"/>
      </w:tabs>
      <w:ind w:left="990" w:hanging="990"/>
    </w:pPr>
    <w:rPr>
      <w:b/>
    </w:rPr>
  </w:style>
  <w:style w:type="paragraph" w:customStyle="1" w:styleId="Titles">
    <w:name w:val="Titles"/>
    <w:basedOn w:val="Normal"/>
    <w:rsid w:val="005A0AEB"/>
    <w:pPr>
      <w:tabs>
        <w:tab w:val="left" w:pos="2160"/>
      </w:tabs>
      <w:ind w:left="2160" w:hanging="2160"/>
    </w:pPr>
    <w:rPr>
      <w:b/>
    </w:rPr>
  </w:style>
  <w:style w:type="paragraph" w:styleId="TOAHeading">
    <w:name w:val="toa heading"/>
    <w:basedOn w:val="Normal"/>
    <w:next w:val="Normal"/>
    <w:semiHidden/>
    <w:rsid w:val="005A0AEB"/>
    <w:pPr>
      <w:spacing w:before="120"/>
    </w:pPr>
    <w:rPr>
      <w:b/>
    </w:rPr>
  </w:style>
  <w:style w:type="paragraph" w:styleId="TOC1">
    <w:name w:val="toc 1"/>
    <w:basedOn w:val="Normal"/>
    <w:next w:val="Normal"/>
    <w:autoRedefine/>
    <w:rsid w:val="005A0AEB"/>
  </w:style>
  <w:style w:type="paragraph" w:styleId="TOC2">
    <w:name w:val="toc 2"/>
    <w:basedOn w:val="Normal"/>
    <w:next w:val="Normal"/>
    <w:autoRedefine/>
    <w:rsid w:val="005A0AEB"/>
    <w:pPr>
      <w:ind w:left="259"/>
    </w:pPr>
  </w:style>
  <w:style w:type="paragraph" w:styleId="TOC3">
    <w:name w:val="toc 3"/>
    <w:basedOn w:val="Normal"/>
    <w:next w:val="Normal"/>
    <w:autoRedefine/>
    <w:rsid w:val="005A0AEB"/>
    <w:pPr>
      <w:ind w:left="520"/>
    </w:pPr>
  </w:style>
  <w:style w:type="paragraph" w:styleId="TOC4">
    <w:name w:val="toc 4"/>
    <w:basedOn w:val="Normal"/>
    <w:next w:val="Normal"/>
    <w:autoRedefine/>
    <w:rsid w:val="005A0AEB"/>
    <w:pPr>
      <w:ind w:left="780"/>
    </w:pPr>
  </w:style>
  <w:style w:type="paragraph" w:styleId="TOC5">
    <w:name w:val="toc 5"/>
    <w:basedOn w:val="Normal"/>
    <w:next w:val="Normal"/>
    <w:autoRedefine/>
    <w:semiHidden/>
    <w:rsid w:val="005A0AEB"/>
    <w:pPr>
      <w:ind w:left="1040"/>
    </w:pPr>
  </w:style>
  <w:style w:type="paragraph" w:styleId="TOC6">
    <w:name w:val="toc 6"/>
    <w:basedOn w:val="Normal"/>
    <w:next w:val="Normal"/>
    <w:autoRedefine/>
    <w:semiHidden/>
    <w:rsid w:val="005A0AEB"/>
    <w:pPr>
      <w:ind w:left="1300"/>
    </w:pPr>
  </w:style>
  <w:style w:type="paragraph" w:styleId="TOC7">
    <w:name w:val="toc 7"/>
    <w:basedOn w:val="Normal"/>
    <w:next w:val="Normal"/>
    <w:autoRedefine/>
    <w:semiHidden/>
    <w:rsid w:val="005A0AEB"/>
    <w:pPr>
      <w:ind w:left="1560"/>
    </w:pPr>
  </w:style>
  <w:style w:type="paragraph" w:styleId="TOC8">
    <w:name w:val="toc 8"/>
    <w:basedOn w:val="Normal"/>
    <w:next w:val="Normal"/>
    <w:autoRedefine/>
    <w:semiHidden/>
    <w:rsid w:val="005A0AEB"/>
    <w:pPr>
      <w:ind w:left="1820"/>
    </w:pPr>
  </w:style>
  <w:style w:type="paragraph" w:styleId="TOC9">
    <w:name w:val="toc 9"/>
    <w:basedOn w:val="Normal"/>
    <w:next w:val="Normal"/>
    <w:autoRedefine/>
    <w:semiHidden/>
    <w:rsid w:val="005A0AEB"/>
    <w:pPr>
      <w:ind w:left="2080"/>
    </w:pPr>
  </w:style>
  <w:style w:type="paragraph" w:customStyle="1" w:styleId="Contents">
    <w:name w:val="Contents"/>
    <w:basedOn w:val="Normal"/>
    <w:rsid w:val="005A0AEB"/>
    <w:pPr>
      <w:jc w:val="center"/>
    </w:pPr>
    <w:rPr>
      <w:b/>
      <w:spacing w:val="100"/>
    </w:rPr>
  </w:style>
  <w:style w:type="character" w:customStyle="1" w:styleId="documentbody">
    <w:name w:val="documentbody"/>
    <w:basedOn w:val="DefaultParagraphFont"/>
    <w:rsid w:val="00BE07EC"/>
  </w:style>
  <w:style w:type="character" w:styleId="Hyperlink">
    <w:name w:val="Hyperlink"/>
    <w:basedOn w:val="DefaultParagraphFont"/>
    <w:uiPriority w:val="99"/>
    <w:rsid w:val="00BE07EC"/>
    <w:rPr>
      <w:color w:val="0000FF"/>
      <w:u w:val="single"/>
    </w:rPr>
  </w:style>
  <w:style w:type="paragraph" w:styleId="BodyText">
    <w:name w:val="Body Text"/>
    <w:basedOn w:val="Normal"/>
    <w:link w:val="BodyTextChar"/>
    <w:qFormat/>
    <w:rsid w:val="005A0AEB"/>
  </w:style>
  <w:style w:type="character" w:customStyle="1" w:styleId="BodyTextChar">
    <w:name w:val="Body Text Char"/>
    <w:basedOn w:val="DefaultParagraphFont"/>
    <w:link w:val="BodyText"/>
    <w:rsid w:val="005A0AEB"/>
    <w:rPr>
      <w:rFonts w:ascii="Century Schoolbook" w:hAnsi="Century Schoolbook"/>
      <w:sz w:val="27"/>
    </w:rPr>
  </w:style>
  <w:style w:type="character" w:customStyle="1" w:styleId="searchterm1">
    <w:name w:val="searchterm1"/>
    <w:basedOn w:val="DefaultParagraphFont"/>
    <w:rsid w:val="00BE07EC"/>
    <w:rPr>
      <w:b/>
      <w:bCs/>
      <w:shd w:val="clear" w:color="auto" w:fill="FFFF00"/>
    </w:rPr>
  </w:style>
  <w:style w:type="character" w:customStyle="1" w:styleId="groupheading1">
    <w:name w:val="groupheading1"/>
    <w:basedOn w:val="DefaultParagraphFont"/>
    <w:rsid w:val="00BE07EC"/>
    <w:rPr>
      <w:rFonts w:ascii="Verdana" w:hAnsi="Verdana" w:hint="default"/>
      <w:b/>
      <w:bCs/>
      <w:sz w:val="19"/>
      <w:szCs w:val="19"/>
    </w:rPr>
  </w:style>
  <w:style w:type="character" w:customStyle="1" w:styleId="informationalsmall1">
    <w:name w:val="informationalsmall1"/>
    <w:basedOn w:val="DefaultParagraphFont"/>
    <w:rsid w:val="00BE07EC"/>
    <w:rPr>
      <w:rFonts w:ascii="Verdana" w:hAnsi="Verdana" w:hint="default"/>
      <w:sz w:val="14"/>
      <w:szCs w:val="14"/>
    </w:rPr>
  </w:style>
  <w:style w:type="character" w:styleId="Emphasis">
    <w:name w:val="Emphasis"/>
    <w:basedOn w:val="DefaultParagraphFont"/>
    <w:rsid w:val="00BE07EC"/>
    <w:rPr>
      <w:i/>
      <w:iCs/>
    </w:rPr>
  </w:style>
  <w:style w:type="character" w:customStyle="1" w:styleId="Heading3Char">
    <w:name w:val="Heading 3 Char"/>
    <w:basedOn w:val="DefaultParagraphFont"/>
    <w:link w:val="Heading3"/>
    <w:rsid w:val="00BE07EC"/>
    <w:rPr>
      <w:rFonts w:ascii="Century Schoolbook" w:hAnsi="Century Schoolbook"/>
      <w:i/>
      <w:sz w:val="27"/>
    </w:rPr>
  </w:style>
  <w:style w:type="paragraph" w:styleId="EndnoteText">
    <w:name w:val="endnote text"/>
    <w:basedOn w:val="Normal"/>
    <w:link w:val="EndnoteTextChar"/>
    <w:semiHidden/>
    <w:rsid w:val="00BE07EC"/>
    <w:rPr>
      <w:sz w:val="20"/>
      <w:szCs w:val="24"/>
    </w:rPr>
  </w:style>
  <w:style w:type="character" w:customStyle="1" w:styleId="EndnoteTextChar">
    <w:name w:val="Endnote Text Char"/>
    <w:basedOn w:val="DefaultParagraphFont"/>
    <w:link w:val="EndnoteText"/>
    <w:semiHidden/>
    <w:rsid w:val="00BE07EC"/>
    <w:rPr>
      <w:szCs w:val="24"/>
    </w:rPr>
  </w:style>
  <w:style w:type="character" w:styleId="EndnoteReference">
    <w:name w:val="endnote reference"/>
    <w:basedOn w:val="DefaultParagraphFont"/>
    <w:semiHidden/>
    <w:rsid w:val="00BE07EC"/>
    <w:rPr>
      <w:vertAlign w:val="superscript"/>
    </w:rPr>
  </w:style>
  <w:style w:type="paragraph" w:styleId="BodyTextFirstIndent">
    <w:name w:val="Body Text First Indent"/>
    <w:basedOn w:val="BodyText"/>
    <w:link w:val="BodyTextFirstIndentChar"/>
    <w:rsid w:val="00BE07EC"/>
    <w:pPr>
      <w:spacing w:after="120" w:line="240" w:lineRule="auto"/>
      <w:ind w:firstLine="210"/>
    </w:pPr>
  </w:style>
  <w:style w:type="character" w:customStyle="1" w:styleId="BodyTextFirstIndentChar">
    <w:name w:val="Body Text First Indent Char"/>
    <w:basedOn w:val="BodyTextChar"/>
    <w:link w:val="BodyTextFirstIndent"/>
    <w:rsid w:val="00BE07EC"/>
    <w:rPr>
      <w:rFonts w:ascii="Century Schoolbook" w:hAnsi="Century Schoolbook"/>
      <w:sz w:val="26"/>
      <w:szCs w:val="24"/>
    </w:rPr>
  </w:style>
  <w:style w:type="character" w:customStyle="1" w:styleId="searchterm">
    <w:name w:val="searchterm"/>
    <w:basedOn w:val="DefaultParagraphFont"/>
    <w:rsid w:val="00BE07EC"/>
  </w:style>
  <w:style w:type="paragraph" w:styleId="BalloonText">
    <w:name w:val="Balloon Text"/>
    <w:basedOn w:val="Normal"/>
    <w:link w:val="BalloonTextChar"/>
    <w:rsid w:val="00BE07EC"/>
    <w:rPr>
      <w:rFonts w:ascii="Tahoma" w:hAnsi="Tahoma" w:cs="Tahoma"/>
      <w:sz w:val="16"/>
      <w:szCs w:val="16"/>
    </w:rPr>
  </w:style>
  <w:style w:type="character" w:customStyle="1" w:styleId="BalloonTextChar">
    <w:name w:val="Balloon Text Char"/>
    <w:basedOn w:val="DefaultParagraphFont"/>
    <w:link w:val="BalloonText"/>
    <w:rsid w:val="00BE07EC"/>
    <w:rPr>
      <w:rFonts w:ascii="Tahoma" w:hAnsi="Tahoma" w:cs="Tahoma"/>
      <w:sz w:val="16"/>
      <w:szCs w:val="16"/>
    </w:rPr>
  </w:style>
  <w:style w:type="character" w:customStyle="1" w:styleId="FootnoteTextChar">
    <w:name w:val="Footnote Text Char"/>
    <w:basedOn w:val="DefaultParagraphFont"/>
    <w:link w:val="FootnoteText"/>
    <w:uiPriority w:val="99"/>
    <w:rsid w:val="00BE07EC"/>
    <w:rPr>
      <w:rFonts w:ascii="Century Schoolbook" w:hAnsi="Century Schoolbook"/>
      <w:sz w:val="27"/>
    </w:rPr>
  </w:style>
  <w:style w:type="character" w:styleId="CommentReference">
    <w:name w:val="annotation reference"/>
    <w:basedOn w:val="DefaultParagraphFont"/>
    <w:semiHidden/>
    <w:unhideWhenUsed/>
    <w:rsid w:val="00BE07EC"/>
    <w:rPr>
      <w:sz w:val="16"/>
      <w:szCs w:val="16"/>
    </w:rPr>
  </w:style>
  <w:style w:type="paragraph" w:styleId="CommentText">
    <w:name w:val="annotation text"/>
    <w:basedOn w:val="Normal"/>
    <w:link w:val="CommentTextChar"/>
    <w:unhideWhenUsed/>
    <w:rsid w:val="00BE07EC"/>
    <w:rPr>
      <w:rFonts w:ascii="Calibri" w:hAnsi="Calibri"/>
      <w:sz w:val="24"/>
    </w:rPr>
  </w:style>
  <w:style w:type="character" w:customStyle="1" w:styleId="CommentTextChar">
    <w:name w:val="Comment Text Char"/>
    <w:basedOn w:val="DefaultParagraphFont"/>
    <w:link w:val="CommentText"/>
    <w:rsid w:val="00BE07EC"/>
    <w:rPr>
      <w:rFonts w:ascii="Calibri" w:hAnsi="Calibri"/>
      <w:sz w:val="24"/>
    </w:rPr>
  </w:style>
  <w:style w:type="paragraph" w:styleId="CommentSubject">
    <w:name w:val="annotation subject"/>
    <w:basedOn w:val="CommentText"/>
    <w:next w:val="CommentText"/>
    <w:link w:val="CommentSubjectChar"/>
    <w:semiHidden/>
    <w:unhideWhenUsed/>
    <w:rsid w:val="00BE07EC"/>
    <w:rPr>
      <w:b/>
      <w:bCs/>
    </w:rPr>
  </w:style>
  <w:style w:type="character" w:customStyle="1" w:styleId="CommentSubjectChar">
    <w:name w:val="Comment Subject Char"/>
    <w:basedOn w:val="CommentTextChar"/>
    <w:link w:val="CommentSubject"/>
    <w:semiHidden/>
    <w:rsid w:val="00BE07EC"/>
    <w:rPr>
      <w:rFonts w:ascii="Calibri" w:hAnsi="Calibri"/>
      <w:b/>
      <w:bCs/>
      <w:sz w:val="24"/>
    </w:rPr>
  </w:style>
  <w:style w:type="paragraph" w:styleId="Revision">
    <w:name w:val="Revision"/>
    <w:hidden/>
    <w:semiHidden/>
    <w:rsid w:val="00BE07EC"/>
    <w:rPr>
      <w:sz w:val="26"/>
      <w:szCs w:val="24"/>
    </w:rPr>
  </w:style>
  <w:style w:type="paragraph" w:styleId="ListParagraph">
    <w:name w:val="List Paragraph"/>
    <w:basedOn w:val="Normal"/>
    <w:rsid w:val="00BE07EC"/>
    <w:pPr>
      <w:ind w:left="720"/>
      <w:contextualSpacing/>
    </w:pPr>
    <w:rPr>
      <w:szCs w:val="24"/>
    </w:rPr>
  </w:style>
  <w:style w:type="paragraph" w:styleId="TOCHeading">
    <w:name w:val="TOC Heading"/>
    <w:basedOn w:val="Heading1"/>
    <w:next w:val="Normal"/>
    <w:uiPriority w:val="39"/>
    <w:unhideWhenUsed/>
    <w:qFormat/>
    <w:rsid w:val="00BE07EC"/>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UnresolvedMention">
    <w:name w:val="Unresolved Mention"/>
    <w:basedOn w:val="DefaultParagraphFont"/>
    <w:uiPriority w:val="99"/>
    <w:semiHidden/>
    <w:unhideWhenUsed/>
    <w:rsid w:val="00BE07EC"/>
    <w:rPr>
      <w:color w:val="605E5C"/>
      <w:shd w:val="clear" w:color="auto" w:fill="E1DFDD"/>
    </w:rPr>
  </w:style>
  <w:style w:type="paragraph" w:styleId="NormalWeb">
    <w:name w:val="Normal (Web)"/>
    <w:basedOn w:val="Normal"/>
    <w:uiPriority w:val="99"/>
    <w:unhideWhenUsed/>
    <w:rsid w:val="00DE49D7"/>
    <w:pPr>
      <w:spacing w:before="100" w:beforeAutospacing="1"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0569">
      <w:bodyDiv w:val="1"/>
      <w:marLeft w:val="0"/>
      <w:marRight w:val="0"/>
      <w:marTop w:val="0"/>
      <w:marBottom w:val="0"/>
      <w:divBdr>
        <w:top w:val="none" w:sz="0" w:space="0" w:color="auto"/>
        <w:left w:val="none" w:sz="0" w:space="0" w:color="auto"/>
        <w:bottom w:val="none" w:sz="0" w:space="0" w:color="auto"/>
        <w:right w:val="none" w:sz="0" w:space="0" w:color="auto"/>
      </w:divBdr>
      <w:divsChild>
        <w:div w:id="17397595">
          <w:marLeft w:val="0"/>
          <w:marRight w:val="0"/>
          <w:marTop w:val="0"/>
          <w:marBottom w:val="0"/>
          <w:divBdr>
            <w:top w:val="none" w:sz="0" w:space="0" w:color="auto"/>
            <w:left w:val="none" w:sz="0" w:space="0" w:color="auto"/>
            <w:bottom w:val="none" w:sz="0" w:space="0" w:color="auto"/>
            <w:right w:val="none" w:sz="0" w:space="0" w:color="auto"/>
          </w:divBdr>
          <w:divsChild>
            <w:div w:id="1446658336">
              <w:marLeft w:val="0"/>
              <w:marRight w:val="0"/>
              <w:marTop w:val="0"/>
              <w:marBottom w:val="0"/>
              <w:divBdr>
                <w:top w:val="none" w:sz="0" w:space="0" w:color="auto"/>
                <w:left w:val="none" w:sz="0" w:space="0" w:color="auto"/>
                <w:bottom w:val="none" w:sz="0" w:space="0" w:color="auto"/>
                <w:right w:val="none" w:sz="0" w:space="0" w:color="auto"/>
              </w:divBdr>
              <w:divsChild>
                <w:div w:id="1105223228">
                  <w:marLeft w:val="0"/>
                  <w:marRight w:val="0"/>
                  <w:marTop w:val="0"/>
                  <w:marBottom w:val="0"/>
                  <w:divBdr>
                    <w:top w:val="none" w:sz="0" w:space="0" w:color="auto"/>
                    <w:left w:val="none" w:sz="0" w:space="0" w:color="auto"/>
                    <w:bottom w:val="none" w:sz="0" w:space="0" w:color="auto"/>
                    <w:right w:val="none" w:sz="0" w:space="0" w:color="auto"/>
                  </w:divBdr>
                  <w:divsChild>
                    <w:div w:id="2197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388">
      <w:bodyDiv w:val="1"/>
      <w:marLeft w:val="0"/>
      <w:marRight w:val="0"/>
      <w:marTop w:val="0"/>
      <w:marBottom w:val="0"/>
      <w:divBdr>
        <w:top w:val="none" w:sz="0" w:space="0" w:color="auto"/>
        <w:left w:val="none" w:sz="0" w:space="0" w:color="auto"/>
        <w:bottom w:val="none" w:sz="0" w:space="0" w:color="auto"/>
        <w:right w:val="none" w:sz="0" w:space="0" w:color="auto"/>
      </w:divBdr>
    </w:div>
    <w:div w:id="241068556">
      <w:bodyDiv w:val="1"/>
      <w:marLeft w:val="0"/>
      <w:marRight w:val="0"/>
      <w:marTop w:val="0"/>
      <w:marBottom w:val="0"/>
      <w:divBdr>
        <w:top w:val="none" w:sz="0" w:space="0" w:color="auto"/>
        <w:left w:val="none" w:sz="0" w:space="0" w:color="auto"/>
        <w:bottom w:val="none" w:sz="0" w:space="0" w:color="auto"/>
        <w:right w:val="none" w:sz="0" w:space="0" w:color="auto"/>
      </w:divBdr>
    </w:div>
    <w:div w:id="452333880">
      <w:bodyDiv w:val="1"/>
      <w:marLeft w:val="0"/>
      <w:marRight w:val="0"/>
      <w:marTop w:val="0"/>
      <w:marBottom w:val="0"/>
      <w:divBdr>
        <w:top w:val="none" w:sz="0" w:space="0" w:color="auto"/>
        <w:left w:val="none" w:sz="0" w:space="0" w:color="auto"/>
        <w:bottom w:val="none" w:sz="0" w:space="0" w:color="auto"/>
        <w:right w:val="none" w:sz="0" w:space="0" w:color="auto"/>
      </w:divBdr>
      <w:divsChild>
        <w:div w:id="1140732735">
          <w:marLeft w:val="0"/>
          <w:marRight w:val="0"/>
          <w:marTop w:val="0"/>
          <w:marBottom w:val="0"/>
          <w:divBdr>
            <w:top w:val="none" w:sz="0" w:space="0" w:color="auto"/>
            <w:left w:val="none" w:sz="0" w:space="0" w:color="auto"/>
            <w:bottom w:val="none" w:sz="0" w:space="0" w:color="auto"/>
            <w:right w:val="none" w:sz="0" w:space="0" w:color="auto"/>
          </w:divBdr>
          <w:divsChild>
            <w:div w:id="453981143">
              <w:marLeft w:val="0"/>
              <w:marRight w:val="0"/>
              <w:marTop w:val="0"/>
              <w:marBottom w:val="0"/>
              <w:divBdr>
                <w:top w:val="none" w:sz="0" w:space="0" w:color="auto"/>
                <w:left w:val="none" w:sz="0" w:space="0" w:color="auto"/>
                <w:bottom w:val="none" w:sz="0" w:space="0" w:color="auto"/>
                <w:right w:val="none" w:sz="0" w:space="0" w:color="auto"/>
              </w:divBdr>
              <w:divsChild>
                <w:div w:id="4098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8686">
      <w:bodyDiv w:val="1"/>
      <w:marLeft w:val="0"/>
      <w:marRight w:val="0"/>
      <w:marTop w:val="0"/>
      <w:marBottom w:val="0"/>
      <w:divBdr>
        <w:top w:val="none" w:sz="0" w:space="0" w:color="auto"/>
        <w:left w:val="none" w:sz="0" w:space="0" w:color="auto"/>
        <w:bottom w:val="none" w:sz="0" w:space="0" w:color="auto"/>
        <w:right w:val="none" w:sz="0" w:space="0" w:color="auto"/>
      </w:divBdr>
    </w:div>
    <w:div w:id="664632276">
      <w:bodyDiv w:val="1"/>
      <w:marLeft w:val="0"/>
      <w:marRight w:val="0"/>
      <w:marTop w:val="0"/>
      <w:marBottom w:val="0"/>
      <w:divBdr>
        <w:top w:val="none" w:sz="0" w:space="0" w:color="auto"/>
        <w:left w:val="none" w:sz="0" w:space="0" w:color="auto"/>
        <w:bottom w:val="none" w:sz="0" w:space="0" w:color="auto"/>
        <w:right w:val="none" w:sz="0" w:space="0" w:color="auto"/>
      </w:divBdr>
      <w:divsChild>
        <w:div w:id="1470591068">
          <w:marLeft w:val="0"/>
          <w:marRight w:val="0"/>
          <w:marTop w:val="0"/>
          <w:marBottom w:val="0"/>
          <w:divBdr>
            <w:top w:val="none" w:sz="0" w:space="0" w:color="auto"/>
            <w:left w:val="none" w:sz="0" w:space="0" w:color="auto"/>
            <w:bottom w:val="none" w:sz="0" w:space="0" w:color="auto"/>
            <w:right w:val="none" w:sz="0" w:space="0" w:color="auto"/>
          </w:divBdr>
        </w:div>
      </w:divsChild>
    </w:div>
    <w:div w:id="689065713">
      <w:bodyDiv w:val="1"/>
      <w:marLeft w:val="0"/>
      <w:marRight w:val="0"/>
      <w:marTop w:val="0"/>
      <w:marBottom w:val="0"/>
      <w:divBdr>
        <w:top w:val="none" w:sz="0" w:space="0" w:color="auto"/>
        <w:left w:val="none" w:sz="0" w:space="0" w:color="auto"/>
        <w:bottom w:val="none" w:sz="0" w:space="0" w:color="auto"/>
        <w:right w:val="none" w:sz="0" w:space="0" w:color="auto"/>
      </w:divBdr>
      <w:divsChild>
        <w:div w:id="1134057322">
          <w:marLeft w:val="0"/>
          <w:marRight w:val="0"/>
          <w:marTop w:val="0"/>
          <w:marBottom w:val="0"/>
          <w:divBdr>
            <w:top w:val="none" w:sz="0" w:space="0" w:color="auto"/>
            <w:left w:val="none" w:sz="0" w:space="0" w:color="auto"/>
            <w:bottom w:val="none" w:sz="0" w:space="0" w:color="auto"/>
            <w:right w:val="none" w:sz="0" w:space="0" w:color="auto"/>
          </w:divBdr>
          <w:divsChild>
            <w:div w:id="1285304642">
              <w:marLeft w:val="0"/>
              <w:marRight w:val="0"/>
              <w:marTop w:val="0"/>
              <w:marBottom w:val="0"/>
              <w:divBdr>
                <w:top w:val="none" w:sz="0" w:space="0" w:color="auto"/>
                <w:left w:val="none" w:sz="0" w:space="0" w:color="auto"/>
                <w:bottom w:val="none" w:sz="0" w:space="0" w:color="auto"/>
                <w:right w:val="none" w:sz="0" w:space="0" w:color="auto"/>
              </w:divBdr>
              <w:divsChild>
                <w:div w:id="21208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1077">
      <w:bodyDiv w:val="1"/>
      <w:marLeft w:val="0"/>
      <w:marRight w:val="0"/>
      <w:marTop w:val="0"/>
      <w:marBottom w:val="0"/>
      <w:divBdr>
        <w:top w:val="none" w:sz="0" w:space="0" w:color="auto"/>
        <w:left w:val="none" w:sz="0" w:space="0" w:color="auto"/>
        <w:bottom w:val="none" w:sz="0" w:space="0" w:color="auto"/>
        <w:right w:val="none" w:sz="0" w:space="0" w:color="auto"/>
      </w:divBdr>
      <w:divsChild>
        <w:div w:id="220989312">
          <w:marLeft w:val="0"/>
          <w:marRight w:val="0"/>
          <w:marTop w:val="0"/>
          <w:marBottom w:val="0"/>
          <w:divBdr>
            <w:top w:val="none" w:sz="0" w:space="0" w:color="auto"/>
            <w:left w:val="none" w:sz="0" w:space="0" w:color="auto"/>
            <w:bottom w:val="none" w:sz="0" w:space="0" w:color="auto"/>
            <w:right w:val="none" w:sz="0" w:space="0" w:color="auto"/>
          </w:divBdr>
          <w:divsChild>
            <w:div w:id="559749779">
              <w:marLeft w:val="0"/>
              <w:marRight w:val="0"/>
              <w:marTop w:val="0"/>
              <w:marBottom w:val="0"/>
              <w:divBdr>
                <w:top w:val="none" w:sz="0" w:space="0" w:color="auto"/>
                <w:left w:val="none" w:sz="0" w:space="0" w:color="auto"/>
                <w:bottom w:val="none" w:sz="0" w:space="0" w:color="auto"/>
                <w:right w:val="none" w:sz="0" w:space="0" w:color="auto"/>
              </w:divBdr>
              <w:divsChild>
                <w:div w:id="988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7694">
      <w:bodyDiv w:val="1"/>
      <w:marLeft w:val="0"/>
      <w:marRight w:val="0"/>
      <w:marTop w:val="0"/>
      <w:marBottom w:val="0"/>
      <w:divBdr>
        <w:top w:val="none" w:sz="0" w:space="0" w:color="auto"/>
        <w:left w:val="none" w:sz="0" w:space="0" w:color="auto"/>
        <w:bottom w:val="none" w:sz="0" w:space="0" w:color="auto"/>
        <w:right w:val="none" w:sz="0" w:space="0" w:color="auto"/>
      </w:divBdr>
    </w:div>
    <w:div w:id="1184130433">
      <w:bodyDiv w:val="1"/>
      <w:marLeft w:val="0"/>
      <w:marRight w:val="0"/>
      <w:marTop w:val="0"/>
      <w:marBottom w:val="0"/>
      <w:divBdr>
        <w:top w:val="none" w:sz="0" w:space="0" w:color="auto"/>
        <w:left w:val="none" w:sz="0" w:space="0" w:color="auto"/>
        <w:bottom w:val="none" w:sz="0" w:space="0" w:color="auto"/>
        <w:right w:val="none" w:sz="0" w:space="0" w:color="auto"/>
      </w:divBdr>
    </w:div>
    <w:div w:id="1196699825">
      <w:bodyDiv w:val="1"/>
      <w:marLeft w:val="0"/>
      <w:marRight w:val="0"/>
      <w:marTop w:val="0"/>
      <w:marBottom w:val="0"/>
      <w:divBdr>
        <w:top w:val="none" w:sz="0" w:space="0" w:color="auto"/>
        <w:left w:val="none" w:sz="0" w:space="0" w:color="auto"/>
        <w:bottom w:val="none" w:sz="0" w:space="0" w:color="auto"/>
        <w:right w:val="none" w:sz="0" w:space="0" w:color="auto"/>
      </w:divBdr>
    </w:div>
    <w:div w:id="12744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3A4F-8E82-4E85-8C1F-BB3F3B47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16203</Words>
  <Characters>83241</Characters>
  <Application>Microsoft Office Word</Application>
  <DocSecurity>0</DocSecurity>
  <Lines>693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2020-08-07T19:07:00Z</dcterms:created>
  <dcterms:modified xsi:type="dcterms:W3CDTF">2020-08-07T19:07:00Z</dcterms:modified>
</cp:coreProperties>
</file>