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63" w:rsidRPr="00D42173" w:rsidRDefault="00551017" w:rsidP="00551017">
      <w:pPr>
        <w:tabs>
          <w:tab w:val="left" w:pos="1440"/>
        </w:tabs>
        <w:spacing w:line="480" w:lineRule="atLeast"/>
        <w:rPr>
          <w:b/>
          <w:caps/>
          <w:sz w:val="20"/>
        </w:rPr>
      </w:pPr>
      <w:bookmarkStart w:id="0" w:name="_GoBack"/>
      <w:bookmarkEnd w:id="0"/>
      <w:r>
        <w:rPr>
          <w:sz w:val="20"/>
        </w:rPr>
        <w:t>Filed 8/13/18</w:t>
      </w:r>
    </w:p>
    <w:p w:rsidR="00A83E63" w:rsidRPr="00D42173" w:rsidRDefault="00A83E63" w:rsidP="00A83E63">
      <w:pPr>
        <w:rPr>
          <w:sz w:val="20"/>
        </w:rPr>
      </w:pPr>
    </w:p>
    <w:p w:rsidR="00A83E63" w:rsidRDefault="00A83E63" w:rsidP="00A83E63">
      <w:pPr>
        <w:jc w:val="center"/>
      </w:pPr>
    </w:p>
    <w:p w:rsidR="00A83E63" w:rsidRDefault="00A83E63" w:rsidP="00A83E63">
      <w:pPr>
        <w:jc w:val="center"/>
      </w:pPr>
    </w:p>
    <w:p w:rsidR="00A83E63" w:rsidRDefault="00A83E63" w:rsidP="00A83E63">
      <w:pPr>
        <w:jc w:val="center"/>
      </w:pPr>
    </w:p>
    <w:p w:rsidR="00A83E63" w:rsidRDefault="00A83E63" w:rsidP="00A83E63">
      <w:pPr>
        <w:jc w:val="center"/>
        <w:rPr>
          <w:sz w:val="36"/>
        </w:rPr>
      </w:pPr>
      <w:r>
        <w:rPr>
          <w:b/>
          <w:sz w:val="36"/>
        </w:rPr>
        <w:t>IN THE SUPREME COURT OF CALIFORNIA</w:t>
      </w:r>
    </w:p>
    <w:p w:rsidR="00A83E63" w:rsidRDefault="00A83E63" w:rsidP="00A83E63">
      <w:pPr>
        <w:jc w:val="center"/>
      </w:pPr>
    </w:p>
    <w:p w:rsidR="00A83E63" w:rsidRDefault="00A83E63" w:rsidP="00A83E63">
      <w:pPr>
        <w:jc w:val="center"/>
      </w:pPr>
    </w:p>
    <w:p w:rsidR="00A83E63" w:rsidRDefault="00A83E63" w:rsidP="00A83E63">
      <w:pPr>
        <w:jc w:val="center"/>
      </w:pPr>
    </w:p>
    <w:p w:rsidR="00A83E63" w:rsidRDefault="00A83E63" w:rsidP="00A83E63">
      <w:pPr>
        <w:tabs>
          <w:tab w:val="left" w:pos="4680"/>
          <w:tab w:val="center" w:pos="7200"/>
        </w:tabs>
        <w:spacing w:line="240" w:lineRule="atLeast"/>
      </w:pPr>
      <w:r>
        <w:t>THE PEOPLE,</w:t>
      </w:r>
      <w:r>
        <w:tab/>
        <w:t>)</w:t>
      </w:r>
    </w:p>
    <w:p w:rsidR="00A83E63" w:rsidRDefault="00A83E63" w:rsidP="00A83E63">
      <w:pPr>
        <w:tabs>
          <w:tab w:val="left" w:pos="1440"/>
          <w:tab w:val="left" w:pos="4680"/>
          <w:tab w:val="center" w:pos="7200"/>
        </w:tabs>
        <w:spacing w:line="240" w:lineRule="atLeast"/>
      </w:pPr>
      <w:r>
        <w:tab/>
      </w:r>
      <w:r>
        <w:tab/>
        <w:t>)</w:t>
      </w:r>
    </w:p>
    <w:p w:rsidR="00A83E63" w:rsidRDefault="00A83E63" w:rsidP="00A83E63">
      <w:pPr>
        <w:tabs>
          <w:tab w:val="left" w:pos="1440"/>
          <w:tab w:val="left" w:pos="4680"/>
          <w:tab w:val="center" w:pos="7200"/>
        </w:tabs>
        <w:spacing w:line="240" w:lineRule="atLeast"/>
      </w:pPr>
      <w:r>
        <w:tab/>
        <w:t>Plaintiff and Respondent,</w:t>
      </w:r>
      <w:r>
        <w:tab/>
        <w:t>)</w:t>
      </w:r>
    </w:p>
    <w:p w:rsidR="00A83E63" w:rsidRDefault="00A83E63" w:rsidP="00A83E63">
      <w:pPr>
        <w:tabs>
          <w:tab w:val="left" w:pos="1440"/>
          <w:tab w:val="left" w:pos="4680"/>
          <w:tab w:val="center" w:pos="7200"/>
        </w:tabs>
        <w:spacing w:line="240" w:lineRule="atLeast"/>
      </w:pPr>
      <w:r>
        <w:tab/>
      </w:r>
      <w:r>
        <w:tab/>
        <w:t>)</w:t>
      </w:r>
      <w:r>
        <w:tab/>
        <w:t>S137730</w:t>
      </w:r>
    </w:p>
    <w:p w:rsidR="00A83E63" w:rsidRDefault="00A83E63" w:rsidP="00A83E63">
      <w:pPr>
        <w:tabs>
          <w:tab w:val="left" w:pos="1440"/>
          <w:tab w:val="left" w:pos="4680"/>
          <w:tab w:val="center" w:pos="7200"/>
        </w:tabs>
        <w:spacing w:line="240" w:lineRule="atLeast"/>
      </w:pPr>
      <w:r>
        <w:tab/>
        <w:t>v.</w:t>
      </w:r>
      <w:r>
        <w:tab/>
        <w:t>)</w:t>
      </w:r>
    </w:p>
    <w:p w:rsidR="00A83E63" w:rsidRDefault="00A83E63" w:rsidP="00A83E63">
      <w:pPr>
        <w:tabs>
          <w:tab w:val="left" w:pos="1440"/>
          <w:tab w:val="left" w:pos="4680"/>
          <w:tab w:val="center" w:pos="7200"/>
        </w:tabs>
        <w:spacing w:line="240" w:lineRule="atLeast"/>
      </w:pPr>
      <w:r>
        <w:tab/>
      </w:r>
      <w:r>
        <w:tab/>
        <w:t>)</w:t>
      </w:r>
      <w:r>
        <w:tab/>
        <w:t xml:space="preserve">  </w:t>
      </w:r>
    </w:p>
    <w:p w:rsidR="00A83E63" w:rsidRDefault="00A83E63" w:rsidP="00A83E63">
      <w:pPr>
        <w:tabs>
          <w:tab w:val="left" w:pos="4680"/>
          <w:tab w:val="center" w:pos="7200"/>
        </w:tabs>
        <w:spacing w:line="240" w:lineRule="atLeast"/>
      </w:pPr>
      <w:r>
        <w:t>TROY LINCOLN POWELL,</w:t>
      </w:r>
      <w:r>
        <w:tab/>
        <w:t>)</w:t>
      </w:r>
    </w:p>
    <w:p w:rsidR="00A83E63" w:rsidRDefault="00A83E63" w:rsidP="00A83E63">
      <w:pPr>
        <w:tabs>
          <w:tab w:val="left" w:pos="4680"/>
          <w:tab w:val="center" w:pos="7200"/>
        </w:tabs>
        <w:spacing w:line="240" w:lineRule="atLeast"/>
      </w:pPr>
      <w:r>
        <w:tab/>
        <w:t>)</w:t>
      </w:r>
      <w:r>
        <w:tab/>
        <w:t>Los Angeles County</w:t>
      </w:r>
    </w:p>
    <w:p w:rsidR="00A83E63" w:rsidRDefault="00A83E63" w:rsidP="00A83E63">
      <w:pPr>
        <w:tabs>
          <w:tab w:val="left" w:pos="1440"/>
          <w:tab w:val="left" w:pos="4680"/>
          <w:tab w:val="center" w:pos="7200"/>
        </w:tabs>
        <w:spacing w:line="240" w:lineRule="atLeast"/>
      </w:pPr>
      <w:r>
        <w:tab/>
        <w:t>Defendant and Appellant.</w:t>
      </w:r>
      <w:r>
        <w:tab/>
        <w:t>)</w:t>
      </w:r>
      <w:r>
        <w:tab/>
        <w:t xml:space="preserve">           Super. Ct. No. BA240299-01</w:t>
      </w:r>
    </w:p>
    <w:p w:rsidR="00A83E63" w:rsidRDefault="00A83E63" w:rsidP="00A83E63">
      <w:pPr>
        <w:tabs>
          <w:tab w:val="left" w:leader="underscore" w:pos="4680"/>
        </w:tabs>
        <w:spacing w:line="240" w:lineRule="atLeast"/>
        <w:rPr>
          <w:u w:val="single"/>
        </w:rPr>
      </w:pPr>
      <w:r>
        <w:tab/>
        <w:t>)</w:t>
      </w:r>
    </w:p>
    <w:p w:rsidR="00A83E63" w:rsidRDefault="00A83E63" w:rsidP="00A83E63">
      <w:pPr>
        <w:tabs>
          <w:tab w:val="left" w:pos="1440"/>
          <w:tab w:val="left" w:pos="4680"/>
          <w:tab w:val="center" w:pos="7200"/>
        </w:tabs>
        <w:spacing w:line="480" w:lineRule="atLeast"/>
      </w:pPr>
    </w:p>
    <w:p w:rsidR="00AF513B" w:rsidRDefault="00C446C1" w:rsidP="00CC14A8">
      <w:pPr>
        <w:spacing w:line="480" w:lineRule="atLeast"/>
        <w:ind w:firstLine="720"/>
      </w:pPr>
      <w:r>
        <w:t xml:space="preserve">A jury convicted defendant </w:t>
      </w:r>
      <w:r w:rsidR="00FA3E35">
        <w:t>Troy</w:t>
      </w:r>
      <w:r w:rsidR="005A24BC">
        <w:t xml:space="preserve"> Lincoln</w:t>
      </w:r>
      <w:r w:rsidR="00FA3E35">
        <w:t xml:space="preserve"> Powell </w:t>
      </w:r>
      <w:r>
        <w:t xml:space="preserve">of </w:t>
      </w:r>
      <w:r w:rsidR="00FA3E35">
        <w:t>the first degree murder of Tammy Epperson (Pen. Code, § 187, subd. (a))</w:t>
      </w:r>
      <w:r w:rsidR="00FA3E35">
        <w:rPr>
          <w:rStyle w:val="FootnoteReference"/>
        </w:rPr>
        <w:footnoteReference w:id="2"/>
      </w:r>
      <w:r w:rsidR="00FA3E35">
        <w:t xml:space="preserve"> and found true three special circumstance allegations</w:t>
      </w:r>
      <w:r w:rsidR="00CC14A8">
        <w:t xml:space="preserve">:  </w:t>
      </w:r>
      <w:r w:rsidR="00FA3E35">
        <w:t>that the murder was committed while defendant was engaged in the commission of</w:t>
      </w:r>
      <w:r w:rsidR="0089025D">
        <w:t xml:space="preserve"> </w:t>
      </w:r>
      <w:r w:rsidR="00FA3E35">
        <w:t>rape (§ 190.2, subd. (a)(17)(C)) and mayhem (§ 190.2, subd. (a)(17)(J))</w:t>
      </w:r>
      <w:r w:rsidR="005A24BC">
        <w:t>,</w:t>
      </w:r>
      <w:r w:rsidR="00FA3E35">
        <w:t xml:space="preserve"> and </w:t>
      </w:r>
      <w:r w:rsidR="0089025D">
        <w:t xml:space="preserve">the murder </w:t>
      </w:r>
      <w:r w:rsidR="00FA3E35">
        <w:t>involved the infliction of torture (§ 190.2, subd. (a)(1</w:t>
      </w:r>
      <w:r w:rsidR="004D1F4F">
        <w:t>8</w:t>
      </w:r>
      <w:r w:rsidR="00FA3E35">
        <w:t>))</w:t>
      </w:r>
      <w:r w:rsidR="0089025D">
        <w:t>.</w:t>
      </w:r>
      <w:r w:rsidR="00FA3E35">
        <w:t xml:space="preserve"> </w:t>
      </w:r>
      <w:r w:rsidR="00330294">
        <w:t xml:space="preserve"> </w:t>
      </w:r>
      <w:r w:rsidR="004D1F4F">
        <w:t>The jury also convicted defendant of forcible rape (§ 261, subd. (a)(2)), mayhem (§ 203), and torture (§ 206)</w:t>
      </w:r>
      <w:r w:rsidR="0024115B">
        <w:t>.</w:t>
      </w:r>
      <w:r w:rsidR="004D1F4F">
        <w:t xml:space="preserve"> </w:t>
      </w:r>
      <w:r w:rsidR="00330294">
        <w:t xml:space="preserve"> </w:t>
      </w:r>
      <w:r w:rsidR="00FD5ECF">
        <w:t>In a separate proceeding</w:t>
      </w:r>
      <w:r w:rsidR="00DE636D">
        <w:t xml:space="preserve">, </w:t>
      </w:r>
      <w:r w:rsidR="00FD5ECF">
        <w:t xml:space="preserve">the jury </w:t>
      </w:r>
      <w:r w:rsidR="004D1F4F">
        <w:t xml:space="preserve">found that </w:t>
      </w:r>
      <w:r w:rsidR="00FD5ECF">
        <w:t>defendant</w:t>
      </w:r>
      <w:r w:rsidR="004D1F4F">
        <w:t xml:space="preserve"> was sane </w:t>
      </w:r>
      <w:r w:rsidR="0089025D">
        <w:t xml:space="preserve">when he committed </w:t>
      </w:r>
      <w:r w:rsidR="004D1F4F">
        <w:t>the crimes</w:t>
      </w:r>
      <w:r w:rsidR="002E6843">
        <w:t xml:space="preserve"> of which he was convicted</w:t>
      </w:r>
      <w:r w:rsidR="004D1F4F">
        <w:t xml:space="preserve">. </w:t>
      </w:r>
    </w:p>
    <w:p w:rsidR="00B9487D" w:rsidRDefault="004D1F4F" w:rsidP="00CC14A8">
      <w:pPr>
        <w:spacing w:line="480" w:lineRule="atLeast"/>
        <w:ind w:firstLine="720"/>
      </w:pPr>
      <w:r>
        <w:lastRenderedPageBreak/>
        <w:t>T</w:t>
      </w:r>
      <w:r w:rsidR="00C446C1">
        <w:t>he</w:t>
      </w:r>
      <w:r w:rsidR="0018268A">
        <w:t xml:space="preserve"> original</w:t>
      </w:r>
      <w:r w:rsidR="00C446C1">
        <w:t xml:space="preserve"> </w:t>
      </w:r>
      <w:r w:rsidR="00CC14A8">
        <w:t xml:space="preserve">jury </w:t>
      </w:r>
      <w:r w:rsidR="008D0EAA">
        <w:t>was unable to reach a verdict</w:t>
      </w:r>
      <w:r w:rsidR="00CC14A8">
        <w:t xml:space="preserve"> in the penalty phase</w:t>
      </w:r>
      <w:r w:rsidR="008D0EAA">
        <w:t xml:space="preserve">, </w:t>
      </w:r>
      <w:r>
        <w:t xml:space="preserve">but </w:t>
      </w:r>
      <w:r w:rsidR="008D0EAA">
        <w:t xml:space="preserve">a </w:t>
      </w:r>
      <w:r w:rsidR="002E6843">
        <w:t xml:space="preserve">newly-selected </w:t>
      </w:r>
      <w:r w:rsidR="008D0EAA">
        <w:t xml:space="preserve">jury </w:t>
      </w:r>
      <w:r w:rsidR="00C446C1">
        <w:t xml:space="preserve">returned </w:t>
      </w:r>
      <w:r>
        <w:t xml:space="preserve">a verdict of </w:t>
      </w:r>
      <w:r w:rsidR="00C446C1">
        <w:t>death</w:t>
      </w:r>
      <w:r>
        <w:t xml:space="preserve"> after a s</w:t>
      </w:r>
      <w:r w:rsidR="00DE636D">
        <w:t>econd</w:t>
      </w:r>
      <w:r>
        <w:t xml:space="preserve"> penalty </w:t>
      </w:r>
      <w:r w:rsidR="00CC14A8">
        <w:t>proceeding</w:t>
      </w:r>
      <w:r w:rsidR="00C446C1">
        <w:t>.</w:t>
      </w:r>
      <w:r>
        <w:t xml:space="preserve"> </w:t>
      </w:r>
      <w:r w:rsidR="00330294">
        <w:t xml:space="preserve"> </w:t>
      </w:r>
      <w:r w:rsidR="00C446C1">
        <w:t xml:space="preserve">Defendant moved for </w:t>
      </w:r>
      <w:r w:rsidR="005960FE">
        <w:t xml:space="preserve">a </w:t>
      </w:r>
      <w:r w:rsidR="00C446C1">
        <w:t xml:space="preserve">new trial and for modification of his sentence to life without the possibility of parole. </w:t>
      </w:r>
      <w:r w:rsidR="00B9487D">
        <w:t xml:space="preserve"> </w:t>
      </w:r>
      <w:r w:rsidR="00C446C1">
        <w:t xml:space="preserve">The trial court denied those motions and sentenced </w:t>
      </w:r>
      <w:r w:rsidR="00B9487D">
        <w:t>d</w:t>
      </w:r>
      <w:r w:rsidR="00C446C1">
        <w:t>efendant to death.</w:t>
      </w:r>
      <w:r w:rsidR="00B9487D">
        <w:rPr>
          <w:rStyle w:val="FootnoteReference"/>
        </w:rPr>
        <w:footnoteReference w:id="3"/>
      </w:r>
      <w:r w:rsidR="00B9487D">
        <w:t xml:space="preserve"> </w:t>
      </w:r>
      <w:r w:rsidR="00330294">
        <w:t xml:space="preserve"> </w:t>
      </w:r>
      <w:r w:rsidR="00C446C1">
        <w:t xml:space="preserve">This </w:t>
      </w:r>
      <w:r w:rsidR="00C446C1">
        <w:rPr>
          <w:rStyle w:val="term"/>
        </w:rPr>
        <w:t>appeal</w:t>
      </w:r>
      <w:r w:rsidR="00C446C1">
        <w:t xml:space="preserve"> is </w:t>
      </w:r>
      <w:r w:rsidR="00C446C1">
        <w:rPr>
          <w:rStyle w:val="term"/>
        </w:rPr>
        <w:t>automatic.</w:t>
      </w:r>
      <w:r w:rsidR="00C446C1">
        <w:t xml:space="preserve"> (</w:t>
      </w:r>
      <w:r w:rsidR="00B9487D">
        <w:t>§ 1239, su</w:t>
      </w:r>
      <w:r w:rsidR="00CE21E9">
        <w:t>b</w:t>
      </w:r>
      <w:r w:rsidR="00B9487D">
        <w:t>d. (b).</w:t>
      </w:r>
      <w:r w:rsidR="00C446C1">
        <w:t>)</w:t>
      </w:r>
      <w:r w:rsidR="00B9487D">
        <w:t xml:space="preserve">  For the reasons that follow, we </w:t>
      </w:r>
      <w:r w:rsidR="005960FE">
        <w:t>affirm</w:t>
      </w:r>
      <w:r w:rsidR="00B9487D">
        <w:t xml:space="preserve"> the judgment.</w:t>
      </w:r>
    </w:p>
    <w:p w:rsidR="00FB5CF4" w:rsidRDefault="0018268A" w:rsidP="00FB5CF4">
      <w:pPr>
        <w:pStyle w:val="Heading1"/>
      </w:pPr>
      <w:bookmarkStart w:id="1" w:name="_Toc508625864"/>
      <w:r>
        <w:t>I.  Facts</w:t>
      </w:r>
      <w:bookmarkEnd w:id="1"/>
    </w:p>
    <w:p w:rsidR="00E457FC" w:rsidRDefault="00FB5CF4" w:rsidP="00FB5CF4">
      <w:pPr>
        <w:pStyle w:val="Heading2"/>
      </w:pPr>
      <w:bookmarkStart w:id="2" w:name="_Toc508625865"/>
      <w:r>
        <w:t xml:space="preserve">A. </w:t>
      </w:r>
      <w:r w:rsidR="00E457FC">
        <w:t xml:space="preserve"> Guilt Phase Evidence</w:t>
      </w:r>
      <w:bookmarkEnd w:id="2"/>
    </w:p>
    <w:p w:rsidR="00E457FC" w:rsidRDefault="00E457FC" w:rsidP="00482F02">
      <w:pPr>
        <w:pStyle w:val="Heading3"/>
        <w:numPr>
          <w:ilvl w:val="0"/>
          <w:numId w:val="10"/>
        </w:numPr>
      </w:pPr>
      <w:bookmarkStart w:id="3" w:name="_Toc508625866"/>
      <w:r>
        <w:t>Prosecution evidence</w:t>
      </w:r>
      <w:bookmarkEnd w:id="3"/>
    </w:p>
    <w:p w:rsidR="00E457FC" w:rsidRDefault="00D75568" w:rsidP="00D75568">
      <w:pPr>
        <w:spacing w:line="480" w:lineRule="atLeast"/>
        <w:ind w:firstLine="720"/>
      </w:pPr>
      <w:r>
        <w:t xml:space="preserve">Tammy Epperson was </w:t>
      </w:r>
      <w:r w:rsidR="00C77511">
        <w:t xml:space="preserve">a recovering heroin addict who had recently completed a 12-step </w:t>
      </w:r>
      <w:r w:rsidR="00CC14A8">
        <w:t xml:space="preserve">treatment </w:t>
      </w:r>
      <w:r w:rsidR="00C77511">
        <w:t>program</w:t>
      </w:r>
      <w:r w:rsidR="00DE636D">
        <w:t xml:space="preserve"> </w:t>
      </w:r>
      <w:r w:rsidR="00EA3950">
        <w:t>and h</w:t>
      </w:r>
      <w:r w:rsidR="005960FE">
        <w:t>e</w:t>
      </w:r>
      <w:r w:rsidR="00EA3950">
        <w:t>ld</w:t>
      </w:r>
      <w:r w:rsidR="005960FE">
        <w:t xml:space="preserve"> </w:t>
      </w:r>
      <w:r w:rsidR="00EA3950">
        <w:t>a responsible job</w:t>
      </w:r>
      <w:r w:rsidR="00C77511">
        <w:t xml:space="preserve">. </w:t>
      </w:r>
      <w:r w:rsidR="00330294">
        <w:t xml:space="preserve"> </w:t>
      </w:r>
      <w:r w:rsidR="00CC14A8">
        <w:t xml:space="preserve">Epperson lived on her own at Ballington Plaza, an apartment complex that accepted referrals from substance abuse recovery and inmate rehabilitation programs.  </w:t>
      </w:r>
      <w:r w:rsidR="00133458">
        <w:t xml:space="preserve">The property manager </w:t>
      </w:r>
      <w:r w:rsidR="00CC14A8">
        <w:t>t</w:t>
      </w:r>
      <w:r w:rsidR="00DE636D">
        <w:t>he</w:t>
      </w:r>
      <w:r w:rsidR="005960FE">
        <w:t>r</w:t>
      </w:r>
      <w:r w:rsidR="00CC14A8">
        <w:t>e</w:t>
      </w:r>
      <w:r w:rsidR="00133458">
        <w:t xml:space="preserve"> described </w:t>
      </w:r>
      <w:r w:rsidR="00DE636D">
        <w:t>Epperson</w:t>
      </w:r>
      <w:r w:rsidR="00133458">
        <w:t xml:space="preserve"> as “</w:t>
      </w:r>
      <w:r w:rsidR="00924C48">
        <w:t>a very good tenant.</w:t>
      </w:r>
      <w:r w:rsidR="00133458">
        <w:t xml:space="preserve"> . . . </w:t>
      </w:r>
      <w:r w:rsidR="0018268A">
        <w:t xml:space="preserve"> </w:t>
      </w:r>
      <w:r w:rsidR="00924C48">
        <w:t>[S]</w:t>
      </w:r>
      <w:r w:rsidR="00133458">
        <w:t>he took car</w:t>
      </w:r>
      <w:r w:rsidR="00924C48">
        <w:t>e</w:t>
      </w:r>
      <w:r w:rsidR="00133458">
        <w:t xml:space="preserve"> of herself.</w:t>
      </w:r>
      <w:r w:rsidR="00924C48">
        <w:t xml:space="preserve">  She spoke well, she was very </w:t>
      </w:r>
      <w:r w:rsidR="00133458">
        <w:t>p</w:t>
      </w:r>
      <w:r w:rsidR="00924C48">
        <w:t>r</w:t>
      </w:r>
      <w:r w:rsidR="00133458">
        <w:t>oud of what she was doing</w:t>
      </w:r>
      <w:r w:rsidR="00924C48">
        <w:t xml:space="preserve"> </w:t>
      </w:r>
      <w:r w:rsidR="00133458">
        <w:t>.</w:t>
      </w:r>
      <w:r w:rsidR="00924C48">
        <w:t xml:space="preserve"> . . </w:t>
      </w:r>
      <w:r w:rsidR="00133458">
        <w:t>, and she paid rent on time.</w:t>
      </w:r>
      <w:r w:rsidR="005960FE">
        <w:t>”</w:t>
      </w:r>
      <w:r w:rsidR="00924C48">
        <w:t xml:space="preserve">  Her apartment was “very neat, e</w:t>
      </w:r>
      <w:r w:rsidR="00AF513B">
        <w:t>verything in the right places.”</w:t>
      </w:r>
      <w:r w:rsidR="00924C48">
        <w:t xml:space="preserve"> </w:t>
      </w:r>
    </w:p>
    <w:p w:rsidR="00482F02" w:rsidRDefault="00482F02" w:rsidP="00D75568">
      <w:pPr>
        <w:spacing w:line="480" w:lineRule="atLeast"/>
        <w:ind w:firstLine="720"/>
      </w:pPr>
      <w:r>
        <w:t xml:space="preserve">Defendant met Epperson in the summer of 2000, while he </w:t>
      </w:r>
      <w:r w:rsidR="00EC58CE">
        <w:t>was residing at Weingart Center</w:t>
      </w:r>
      <w:r w:rsidR="00EC58CE" w:rsidRPr="00EC58CE">
        <w:t xml:space="preserve"> </w:t>
      </w:r>
      <w:r w:rsidR="00EC58CE">
        <w:t>in Los Angeles, which provided short-term housing and programs for persons recovering from substance abuse.</w:t>
      </w:r>
      <w:r w:rsidR="003C7FCE">
        <w:t xml:space="preserve">  Defendant had recently </w:t>
      </w:r>
      <w:r w:rsidR="00737137">
        <w:t>been released from</w:t>
      </w:r>
      <w:r w:rsidR="003C7FCE">
        <w:t xml:space="preserve"> prison.</w:t>
      </w:r>
      <w:r w:rsidR="00EC58CE">
        <w:t xml:space="preserve"> </w:t>
      </w:r>
      <w:r w:rsidR="00330294">
        <w:t xml:space="preserve"> </w:t>
      </w:r>
      <w:r>
        <w:t xml:space="preserve">Epperson had gone to Weingart Center to visit Timothy Todd, a mutual friend of </w:t>
      </w:r>
      <w:r w:rsidR="00DE636D">
        <w:t>d</w:t>
      </w:r>
      <w:r>
        <w:t>efendant and Epperson who was working ther</w:t>
      </w:r>
      <w:r w:rsidR="00263340">
        <w:t>e</w:t>
      </w:r>
      <w:r>
        <w:t xml:space="preserve">. </w:t>
      </w:r>
      <w:r w:rsidR="00330294">
        <w:t xml:space="preserve"> </w:t>
      </w:r>
      <w:r>
        <w:t xml:space="preserve">Defendant </w:t>
      </w:r>
      <w:r w:rsidR="0011128A">
        <w:t>noticed</w:t>
      </w:r>
      <w:r>
        <w:t xml:space="preserve"> Epperson and later asked Todd to introduce him to her. </w:t>
      </w:r>
      <w:r w:rsidR="00330294">
        <w:t xml:space="preserve"> </w:t>
      </w:r>
      <w:r w:rsidR="0011128A">
        <w:t xml:space="preserve">Epperson was “hesitant” to meet defendant because “she didn’t want a </w:t>
      </w:r>
      <w:r w:rsidR="0011128A">
        <w:lastRenderedPageBreak/>
        <w:t xml:space="preserve">relationship” at that time. </w:t>
      </w:r>
      <w:r w:rsidR="00330294">
        <w:t xml:space="preserve"> </w:t>
      </w:r>
      <w:r w:rsidR="00CC14A8">
        <w:t>Not long before, Epperson had broken off a romantic relatio</w:t>
      </w:r>
      <w:r w:rsidR="001870AB">
        <w:t xml:space="preserve">nship when she discovered that </w:t>
      </w:r>
      <w:r w:rsidR="00CC14A8">
        <w:t>he</w:t>
      </w:r>
      <w:r w:rsidR="001870AB">
        <w:t>r</w:t>
      </w:r>
      <w:r w:rsidR="00CC14A8">
        <w:t xml:space="preserve"> boyfriend</w:t>
      </w:r>
      <w:r w:rsidR="003C7FCE">
        <w:t>, Ronald Sims,</w:t>
      </w:r>
      <w:r w:rsidR="00CC14A8">
        <w:t xml:space="preserve"> had lapsed back into substance abuse.</w:t>
      </w:r>
      <w:r w:rsidR="00737137">
        <w:t xml:space="preserve">  </w:t>
      </w:r>
      <w:r w:rsidR="0011128A">
        <w:t xml:space="preserve">Todd persisted, however, </w:t>
      </w:r>
      <w:r w:rsidR="00924C48">
        <w:t xml:space="preserve">and </w:t>
      </w:r>
      <w:r w:rsidR="0011128A">
        <w:t>Epperson eventually relented</w:t>
      </w:r>
      <w:r w:rsidR="00924C48">
        <w:t>.  D</w:t>
      </w:r>
      <w:r w:rsidR="0011128A">
        <w:t>efendant, Epperson, and Todd</w:t>
      </w:r>
      <w:r w:rsidR="00CC14A8">
        <w:t xml:space="preserve"> soon</w:t>
      </w:r>
      <w:r w:rsidR="0011128A">
        <w:t xml:space="preserve"> began spending time together</w:t>
      </w:r>
      <w:r w:rsidR="00924C48">
        <w:t xml:space="preserve">, </w:t>
      </w:r>
      <w:r w:rsidR="0011128A">
        <w:t>attend</w:t>
      </w:r>
      <w:r w:rsidR="00924C48">
        <w:t>ing</w:t>
      </w:r>
      <w:r w:rsidR="0011128A">
        <w:t xml:space="preserve"> movies, eat</w:t>
      </w:r>
      <w:r w:rsidR="00924C48">
        <w:t>ing out, and dri</w:t>
      </w:r>
      <w:r w:rsidR="0011128A">
        <w:t>v</w:t>
      </w:r>
      <w:r w:rsidR="00924C48">
        <w:t>ing</w:t>
      </w:r>
      <w:r w:rsidR="00AF513B">
        <w:t xml:space="preserve"> together in defendant’s truck.</w:t>
      </w:r>
    </w:p>
    <w:p w:rsidR="00AF513B" w:rsidRDefault="00EC58CE" w:rsidP="002C291A">
      <w:pPr>
        <w:spacing w:line="480" w:lineRule="atLeast"/>
        <w:ind w:firstLine="720"/>
      </w:pPr>
      <w:r>
        <w:t xml:space="preserve">The nature of defendant’s relationship with Epperson was </w:t>
      </w:r>
      <w:r w:rsidR="005960FE">
        <w:t>the subject of conflicting testimony</w:t>
      </w:r>
      <w:r>
        <w:t xml:space="preserve">.  </w:t>
      </w:r>
      <w:r w:rsidR="00F21BAC">
        <w:t xml:space="preserve">Todd, who </w:t>
      </w:r>
      <w:r w:rsidR="001870AB">
        <w:t xml:space="preserve">was employed </w:t>
      </w:r>
      <w:r w:rsidR="00F21BAC">
        <w:t xml:space="preserve">as Epperson’s </w:t>
      </w:r>
      <w:r w:rsidR="001870AB">
        <w:t>assistant</w:t>
      </w:r>
      <w:r w:rsidR="00F21BAC">
        <w:t xml:space="preserve"> and </w:t>
      </w:r>
      <w:r w:rsidR="001870AB">
        <w:t xml:space="preserve">claimed to be </w:t>
      </w:r>
      <w:r w:rsidR="00F21BAC">
        <w:t xml:space="preserve">her confidant, did not believe she and defendant </w:t>
      </w:r>
      <w:r>
        <w:t>were ever romantically involved</w:t>
      </w:r>
      <w:r w:rsidR="001870AB">
        <w:t>.</w:t>
      </w:r>
      <w:r w:rsidR="00F21BAC">
        <w:t xml:space="preserve"> </w:t>
      </w:r>
      <w:r w:rsidR="00330294">
        <w:t xml:space="preserve"> </w:t>
      </w:r>
      <w:r w:rsidR="001870AB">
        <w:t xml:space="preserve">Photographs and other </w:t>
      </w:r>
      <w:r>
        <w:t>evidence</w:t>
      </w:r>
      <w:r w:rsidR="001870AB">
        <w:t>, however,</w:t>
      </w:r>
      <w:r>
        <w:t xml:space="preserve"> suggest</w:t>
      </w:r>
      <w:r w:rsidR="001870AB">
        <w:t>ed</w:t>
      </w:r>
      <w:r>
        <w:t xml:space="preserve"> that Epperson and defendant </w:t>
      </w:r>
      <w:r w:rsidR="00DE636D">
        <w:t xml:space="preserve">eventually </w:t>
      </w:r>
      <w:r>
        <w:t>spen</w:t>
      </w:r>
      <w:r w:rsidR="00924C48">
        <w:t>t</w:t>
      </w:r>
      <w:r>
        <w:t xml:space="preserve"> </w:t>
      </w:r>
      <w:r w:rsidR="00924C48">
        <w:t>t</w:t>
      </w:r>
      <w:r>
        <w:t xml:space="preserve">ime together </w:t>
      </w:r>
      <w:r w:rsidR="00D321B8">
        <w:t xml:space="preserve">in </w:t>
      </w:r>
      <w:r>
        <w:t xml:space="preserve">Todd’s </w:t>
      </w:r>
      <w:r w:rsidR="00D321B8">
        <w:t>absence</w:t>
      </w:r>
      <w:r>
        <w:t xml:space="preserve">. </w:t>
      </w:r>
      <w:r w:rsidR="00330294">
        <w:t xml:space="preserve"> </w:t>
      </w:r>
      <w:r w:rsidR="00CC14A8">
        <w:t xml:space="preserve">Without </w:t>
      </w:r>
      <w:r>
        <w:t>question</w:t>
      </w:r>
      <w:r w:rsidR="00CC14A8">
        <w:t>,</w:t>
      </w:r>
      <w:r>
        <w:t xml:space="preserve"> d</w:t>
      </w:r>
      <w:r w:rsidR="00F21BAC">
        <w:t xml:space="preserve">efendant became </w:t>
      </w:r>
      <w:r w:rsidR="00270ED7">
        <w:t>obsessed</w:t>
      </w:r>
      <w:r w:rsidR="001870AB">
        <w:t xml:space="preserve"> with</w:t>
      </w:r>
      <w:r w:rsidR="00FF48AE">
        <w:t xml:space="preserve"> </w:t>
      </w:r>
      <w:r w:rsidR="00F21BAC">
        <w:t>Epperson, declaring to Todd that he loved her and saying, “I</w:t>
      </w:r>
      <w:r w:rsidR="0000454F">
        <w:t>f I can’t have her, nobody will.</w:t>
      </w:r>
      <w:r w:rsidR="00F21BAC">
        <w:t xml:space="preserve"> </w:t>
      </w:r>
      <w:r w:rsidR="0000454F">
        <w:t xml:space="preserve"> </w:t>
      </w:r>
      <w:r w:rsidR="00F21BAC">
        <w:t xml:space="preserve">I’ll kill her and myself.” </w:t>
      </w:r>
      <w:r w:rsidR="00330294">
        <w:t xml:space="preserve"> </w:t>
      </w:r>
      <w:r w:rsidR="00CC14A8">
        <w:t>At some point, h</w:t>
      </w:r>
      <w:r w:rsidR="00FF48AE">
        <w:t xml:space="preserve">e </w:t>
      </w:r>
      <w:r w:rsidR="00924C48">
        <w:t>became</w:t>
      </w:r>
      <w:r w:rsidR="00363595">
        <w:t xml:space="preserve"> </w:t>
      </w:r>
      <w:r w:rsidR="00FF48AE">
        <w:t xml:space="preserve">upset that </w:t>
      </w:r>
      <w:r w:rsidR="00363595">
        <w:t>she</w:t>
      </w:r>
      <w:r w:rsidR="00FF48AE">
        <w:t xml:space="preserve"> was “hanging around with other men.”</w:t>
      </w:r>
      <w:r w:rsidR="00F21BAC">
        <w:t xml:space="preserve"> </w:t>
      </w:r>
      <w:r w:rsidR="00330294">
        <w:t xml:space="preserve"> </w:t>
      </w:r>
      <w:r w:rsidR="00F21BAC">
        <w:t xml:space="preserve">Defendant </w:t>
      </w:r>
      <w:r w:rsidR="005960FE">
        <w:t>began to</w:t>
      </w:r>
      <w:r w:rsidR="00924C48">
        <w:t xml:space="preserve"> </w:t>
      </w:r>
      <w:r w:rsidR="00F21BAC">
        <w:t xml:space="preserve">appear uninvited at Epperson’s workplace and </w:t>
      </w:r>
      <w:r w:rsidR="001870AB">
        <w:t xml:space="preserve">to </w:t>
      </w:r>
      <w:r w:rsidR="00F21BAC">
        <w:t xml:space="preserve">call her repeatedly.  His behavior eventually became distressing to Epperson. </w:t>
      </w:r>
      <w:r w:rsidR="00330294">
        <w:t xml:space="preserve"> </w:t>
      </w:r>
      <w:r w:rsidR="001870AB">
        <w:t>In</w:t>
      </w:r>
      <w:r w:rsidR="00FF48AE">
        <w:t xml:space="preserve"> late October 2000, </w:t>
      </w:r>
      <w:r w:rsidR="001870AB">
        <w:t xml:space="preserve">Todd testified, </w:t>
      </w:r>
      <w:r w:rsidR="00FF48AE">
        <w:t>Epperson broke off relations with defendant</w:t>
      </w:r>
      <w:r w:rsidR="00363595">
        <w:t>, but he continued to call her “constantly” at work</w:t>
      </w:r>
      <w:r w:rsidR="00AF513B">
        <w:t>.</w:t>
      </w:r>
    </w:p>
    <w:p w:rsidR="00737137" w:rsidRDefault="00363595" w:rsidP="002C291A">
      <w:pPr>
        <w:spacing w:line="480" w:lineRule="atLeast"/>
        <w:ind w:firstLine="720"/>
      </w:pPr>
      <w:r>
        <w:t xml:space="preserve">On </w:t>
      </w:r>
      <w:r w:rsidR="001870AB">
        <w:t xml:space="preserve">a </w:t>
      </w:r>
      <w:r w:rsidR="002C291A">
        <w:t>Sunday</w:t>
      </w:r>
      <w:r w:rsidR="001870AB">
        <w:t xml:space="preserve"> in early </w:t>
      </w:r>
      <w:r>
        <w:t>November</w:t>
      </w:r>
      <w:r w:rsidR="002C291A">
        <w:t xml:space="preserve">, </w:t>
      </w:r>
      <w:r w:rsidR="00EC58CE">
        <w:t xml:space="preserve">defendant </w:t>
      </w:r>
      <w:r w:rsidR="00123569">
        <w:t xml:space="preserve">was loitering </w:t>
      </w:r>
      <w:r w:rsidR="005A24BC">
        <w:t xml:space="preserve">across the street from </w:t>
      </w:r>
      <w:r w:rsidR="002C291A">
        <w:t>Epperson</w:t>
      </w:r>
      <w:r w:rsidR="00EC58CE">
        <w:t xml:space="preserve">’s church </w:t>
      </w:r>
      <w:r w:rsidR="00EA3950">
        <w:t>after services ended</w:t>
      </w:r>
      <w:r w:rsidR="005A24BC">
        <w:t>.  S</w:t>
      </w:r>
      <w:r w:rsidR="00123569">
        <w:t>he</w:t>
      </w:r>
      <w:r w:rsidR="009D0E24">
        <w:t xml:space="preserve"> spotted him while she was standing o</w:t>
      </w:r>
      <w:r w:rsidR="005A24BC">
        <w:t xml:space="preserve">utside the church, </w:t>
      </w:r>
      <w:r w:rsidR="009D0E24">
        <w:t xml:space="preserve">talking with </w:t>
      </w:r>
      <w:r w:rsidR="003C7FCE">
        <w:t>Sims</w:t>
      </w:r>
      <w:r w:rsidR="005D4140">
        <w:t xml:space="preserve">.  </w:t>
      </w:r>
      <w:r w:rsidR="005A24BC">
        <w:t xml:space="preserve">Epperson and defendant were both </w:t>
      </w:r>
      <w:r w:rsidR="004C40FE">
        <w:t>Caucasian</w:t>
      </w:r>
      <w:r w:rsidR="005A24BC">
        <w:t xml:space="preserve">, while Sims was African-American.  </w:t>
      </w:r>
      <w:r w:rsidR="00737137">
        <w:t xml:space="preserve">As will be discussed below, </w:t>
      </w:r>
      <w:r w:rsidR="005A24BC">
        <w:t xml:space="preserve">the inter-racial character of </w:t>
      </w:r>
      <w:r w:rsidR="00737137">
        <w:t>Epperson’s relationship with Sims may have been an irritant to defendant, who was affiliated with a white supremacist gang while in prison.</w:t>
      </w:r>
    </w:p>
    <w:p w:rsidR="00123569" w:rsidRDefault="005A24BC" w:rsidP="00737137">
      <w:pPr>
        <w:spacing w:line="480" w:lineRule="atLeast"/>
        <w:ind w:firstLine="720"/>
      </w:pPr>
      <w:r>
        <w:t xml:space="preserve">Epperson told Sims she had to “deal with this matter now,” referring to defendant, </w:t>
      </w:r>
      <w:r w:rsidR="00F468F0">
        <w:t xml:space="preserve">and crossed the street to talk to </w:t>
      </w:r>
      <w:r w:rsidR="009D0E24">
        <w:t>defendant.</w:t>
      </w:r>
      <w:r w:rsidR="002C291A">
        <w:t xml:space="preserve"> </w:t>
      </w:r>
      <w:r w:rsidR="00330294">
        <w:t xml:space="preserve"> </w:t>
      </w:r>
      <w:r w:rsidR="00123569">
        <w:t>According to t</w:t>
      </w:r>
      <w:r w:rsidR="002C291A">
        <w:t>he visitors’ log at Ballington Plaza</w:t>
      </w:r>
      <w:r w:rsidR="00123569">
        <w:t>,</w:t>
      </w:r>
      <w:r w:rsidR="002C291A">
        <w:t xml:space="preserve"> defendant and Epperson entered the building </w:t>
      </w:r>
      <w:r w:rsidR="009A4B0E">
        <w:t>that morning</w:t>
      </w:r>
      <w:r w:rsidR="004E5840">
        <w:t xml:space="preserve"> </w:t>
      </w:r>
      <w:r w:rsidR="004E5840">
        <w:lastRenderedPageBreak/>
        <w:t>at 10:45 a.m.,</w:t>
      </w:r>
      <w:r w:rsidR="009A4B0E">
        <w:t xml:space="preserve"> and defendant left at 1:26 p.m. </w:t>
      </w:r>
      <w:r w:rsidR="00330294">
        <w:t xml:space="preserve"> </w:t>
      </w:r>
      <w:r w:rsidR="009A4B0E">
        <w:t>The afternoon security guard, however, saw defendant walk through the lobby toward the exit doors between 2:00 and 3:00 that afternoon.  Because the building required all guests to be escorted, the guard, who was familiar with Epperson and defendant, stopped defendant and asked him where Epperson was.  Defendant replied that she was “</w:t>
      </w:r>
      <w:r>
        <w:t> </w:t>
      </w:r>
      <w:r w:rsidR="009A4B0E">
        <w:t xml:space="preserve">‘in her unit resting.’ ” </w:t>
      </w:r>
      <w:r w:rsidR="00330294">
        <w:t xml:space="preserve"> </w:t>
      </w:r>
      <w:r w:rsidR="00123569">
        <w:t xml:space="preserve">Later that day, defendant twice called Todd to </w:t>
      </w:r>
      <w:r w:rsidR="00924C48">
        <w:t xml:space="preserve">ask </w:t>
      </w:r>
      <w:r w:rsidR="00123569">
        <w:t xml:space="preserve">him </w:t>
      </w:r>
      <w:r w:rsidR="00924C48">
        <w:t>to</w:t>
      </w:r>
      <w:r w:rsidR="00123569">
        <w:t xml:space="preserve"> check on Epperson</w:t>
      </w:r>
      <w:r w:rsidR="004E5840">
        <w:t xml:space="preserve">, saying he </w:t>
      </w:r>
      <w:r w:rsidR="00123569">
        <w:t>had killed her</w:t>
      </w:r>
      <w:r w:rsidR="004E5840">
        <w:t>, but Todd did not take defendant seriously</w:t>
      </w:r>
      <w:r w:rsidR="00123569">
        <w:t>.</w:t>
      </w:r>
    </w:p>
    <w:p w:rsidR="002C291A" w:rsidRDefault="0000454F" w:rsidP="002C291A">
      <w:pPr>
        <w:spacing w:line="480" w:lineRule="atLeast"/>
        <w:ind w:firstLine="720"/>
      </w:pPr>
      <w:r>
        <w:t>The p</w:t>
      </w:r>
      <w:r w:rsidR="00123569">
        <w:t>olice did not enter Epperson’s apartment until the next day, after she failed to appear for work.</w:t>
      </w:r>
      <w:r w:rsidR="00330294">
        <w:t xml:space="preserve"> </w:t>
      </w:r>
      <w:r w:rsidR="00123569">
        <w:t xml:space="preserve"> Epperson</w:t>
      </w:r>
      <w:r w:rsidR="00FC0C4B">
        <w:t>’s bo</w:t>
      </w:r>
      <w:r>
        <w:t xml:space="preserve">dy was lying on the floor, and </w:t>
      </w:r>
      <w:r w:rsidR="00FC0C4B">
        <w:t>he</w:t>
      </w:r>
      <w:r>
        <w:t>r</w:t>
      </w:r>
      <w:r w:rsidR="00FC0C4B">
        <w:t xml:space="preserve"> apartment appeared to have been ransacked. </w:t>
      </w:r>
      <w:r w:rsidR="00330294">
        <w:t xml:space="preserve"> </w:t>
      </w:r>
      <w:r w:rsidR="00DE636D">
        <w:t>Two days later, d</w:t>
      </w:r>
      <w:r w:rsidR="00FC0C4B">
        <w:t>efendant was</w:t>
      </w:r>
      <w:r w:rsidR="00123569">
        <w:t xml:space="preserve"> </w:t>
      </w:r>
      <w:r w:rsidR="00DE636D">
        <w:t>arrested</w:t>
      </w:r>
      <w:r w:rsidR="004E5840">
        <w:t xml:space="preserve"> at a local motel</w:t>
      </w:r>
      <w:r w:rsidR="00FC0C4B">
        <w:t xml:space="preserve">.  Epperson’s keys were found on a table next to </w:t>
      </w:r>
      <w:r w:rsidR="004E5840">
        <w:t>the</w:t>
      </w:r>
      <w:r w:rsidR="00FC0C4B">
        <w:t xml:space="preserve"> bed </w:t>
      </w:r>
      <w:r w:rsidR="004E5840">
        <w:t>i</w:t>
      </w:r>
      <w:r w:rsidR="00FC0C4B">
        <w:t xml:space="preserve">n </w:t>
      </w:r>
      <w:r w:rsidR="004E5840">
        <w:t>the motel room</w:t>
      </w:r>
      <w:r w:rsidR="00AF513B">
        <w:t>.</w:t>
      </w:r>
    </w:p>
    <w:p w:rsidR="00FC0644" w:rsidRDefault="00EA3950" w:rsidP="00C66DF5">
      <w:pPr>
        <w:spacing w:line="480" w:lineRule="atLeast"/>
        <w:ind w:firstLine="720"/>
      </w:pPr>
      <w:r>
        <w:t xml:space="preserve">Conclusions about the manner of Epperson’s death </w:t>
      </w:r>
      <w:r w:rsidR="00EC1C52">
        <w:t>wer</w:t>
      </w:r>
      <w:r w:rsidR="00924C48">
        <w:t>e</w:t>
      </w:r>
      <w:r>
        <w:t xml:space="preserve"> based </w:t>
      </w:r>
      <w:r w:rsidR="002C6D25">
        <w:t xml:space="preserve">largely </w:t>
      </w:r>
      <w:r>
        <w:t xml:space="preserve">on forensic evidence </w:t>
      </w:r>
      <w:r w:rsidR="00EC1C52">
        <w:t>regarding</w:t>
      </w:r>
      <w:r>
        <w:t xml:space="preserve"> the condition of her apartment and </w:t>
      </w:r>
      <w:r w:rsidR="003A523E">
        <w:t xml:space="preserve">her </w:t>
      </w:r>
      <w:r>
        <w:t xml:space="preserve">body.  </w:t>
      </w:r>
      <w:r w:rsidR="00C66DF5">
        <w:t xml:space="preserve">Officer Ronald Raquel, a criminalist who specialized in blood spatter and sexual assault analysis, examined Epperson’s apartment on the day following the killing. </w:t>
      </w:r>
      <w:r w:rsidR="00330294">
        <w:t xml:space="preserve"> </w:t>
      </w:r>
      <w:r w:rsidR="00C66DF5">
        <w:t xml:space="preserve">Raquel said Epperson’s body was located in the center of the apartment’s living quarters, between the bed and a chest of drawers. </w:t>
      </w:r>
      <w:r w:rsidR="00330294">
        <w:t xml:space="preserve"> </w:t>
      </w:r>
      <w:r w:rsidR="0076557D">
        <w:t>She was wearing a blouse and hooded sweatshirt on the upper portion of her body, but she</w:t>
      </w:r>
      <w:r w:rsidR="00C66DF5">
        <w:t xml:space="preserve"> was nude from the waist down, with a towel covering her lower body. </w:t>
      </w:r>
      <w:r w:rsidR="00330294">
        <w:t xml:space="preserve"> </w:t>
      </w:r>
      <w:r w:rsidR="00340967">
        <w:t xml:space="preserve">Her brassiere, underneath the clothing, had been pushed up above the nipples of her breasts. </w:t>
      </w:r>
      <w:r w:rsidR="00330294">
        <w:t xml:space="preserve"> </w:t>
      </w:r>
      <w:r w:rsidR="00DE636D">
        <w:t>The condition of her</w:t>
      </w:r>
      <w:r w:rsidR="00C66DF5">
        <w:t xml:space="preserve"> blood-soaked </w:t>
      </w:r>
      <w:r w:rsidR="00DE636D">
        <w:t>sweatshirt</w:t>
      </w:r>
      <w:r w:rsidR="00C66DF5">
        <w:t xml:space="preserve"> suggest</w:t>
      </w:r>
      <w:r w:rsidR="00DE636D">
        <w:t>ed</w:t>
      </w:r>
      <w:r w:rsidR="00C66DF5">
        <w:t xml:space="preserve"> that her head had </w:t>
      </w:r>
      <w:r w:rsidR="00DE636D">
        <w:t xml:space="preserve">been </w:t>
      </w:r>
      <w:r w:rsidR="00EC1C52">
        <w:t>ly</w:t>
      </w:r>
      <w:r w:rsidR="00DE636D">
        <w:t>ing</w:t>
      </w:r>
      <w:r w:rsidR="00C66DF5">
        <w:t xml:space="preserve"> on top</w:t>
      </w:r>
      <w:r w:rsidR="00DE636D">
        <w:t xml:space="preserve"> of it</w:t>
      </w:r>
      <w:r w:rsidR="00C66DF5">
        <w:t xml:space="preserve"> for some time without mov</w:t>
      </w:r>
      <w:r w:rsidR="0000454F">
        <w:t>ing</w:t>
      </w:r>
      <w:r w:rsidR="00C66DF5">
        <w:t xml:space="preserve">. </w:t>
      </w:r>
      <w:r w:rsidR="00330294">
        <w:t xml:space="preserve"> </w:t>
      </w:r>
      <w:r w:rsidR="002C6D25">
        <w:t>A pair of jeans and women’s panties were pile</w:t>
      </w:r>
      <w:r w:rsidR="0000454F">
        <w:t>d</w:t>
      </w:r>
      <w:r w:rsidR="002C6D25">
        <w:t xml:space="preserve"> at her feet. </w:t>
      </w:r>
      <w:r w:rsidR="00330294">
        <w:t xml:space="preserve"> </w:t>
      </w:r>
      <w:r w:rsidR="002C6D25">
        <w:t xml:space="preserve">Blood stains </w:t>
      </w:r>
      <w:r w:rsidR="002E0A4C">
        <w:t xml:space="preserve">and spatters </w:t>
      </w:r>
      <w:r w:rsidR="002C6D25">
        <w:t xml:space="preserve">were found </w:t>
      </w:r>
      <w:r w:rsidR="00E01B15">
        <w:t xml:space="preserve">throughout the living quarters and </w:t>
      </w:r>
      <w:r w:rsidR="002C6D25">
        <w:t>bathroom</w:t>
      </w:r>
      <w:r w:rsidR="00E01B15">
        <w:t xml:space="preserve"> of the apartment</w:t>
      </w:r>
      <w:r w:rsidR="00FC0644">
        <w:t>.</w:t>
      </w:r>
    </w:p>
    <w:p w:rsidR="00C66DF5" w:rsidRDefault="00933525" w:rsidP="00C66DF5">
      <w:pPr>
        <w:spacing w:line="480" w:lineRule="atLeast"/>
        <w:ind w:firstLine="720"/>
      </w:pPr>
      <w:r>
        <w:t>Using a large number of photographs, Raquel described the pattern</w:t>
      </w:r>
      <w:r w:rsidR="002E0A4C">
        <w:t xml:space="preserve"> of</w:t>
      </w:r>
      <w:r>
        <w:t xml:space="preserve"> </w:t>
      </w:r>
      <w:r w:rsidR="00E01B15">
        <w:t xml:space="preserve">blood </w:t>
      </w:r>
      <w:r w:rsidR="002E0A4C">
        <w:t xml:space="preserve">residue </w:t>
      </w:r>
      <w:r w:rsidR="00E01B15">
        <w:t>in the apartment,</w:t>
      </w:r>
      <w:r>
        <w:t xml:space="preserve"> explaining the inferences that could be drawn from the size, shape, and location of the </w:t>
      </w:r>
      <w:r w:rsidR="002E0A4C">
        <w:t>stains and spatters</w:t>
      </w:r>
      <w:r>
        <w:t xml:space="preserve">.  Based on his observations, </w:t>
      </w:r>
      <w:r w:rsidR="00E01B15">
        <w:t xml:space="preserve">Raquel inferred that </w:t>
      </w:r>
      <w:r>
        <w:t xml:space="preserve">the assault began in the bathroom, where </w:t>
      </w:r>
      <w:r w:rsidR="00A2607B">
        <w:t>Epperson’s</w:t>
      </w:r>
      <w:r w:rsidR="002C0172">
        <w:t xml:space="preserve"> head </w:t>
      </w:r>
      <w:r>
        <w:t>was</w:t>
      </w:r>
      <w:r w:rsidR="002C0172">
        <w:t xml:space="preserve"> slammed against the wall at least six times as he</w:t>
      </w:r>
      <w:r w:rsidR="00A2607B">
        <w:t>r</w:t>
      </w:r>
      <w:r w:rsidR="002C0172">
        <w:t xml:space="preserve"> knees gave out, resulting in a descending pattern</w:t>
      </w:r>
      <w:r>
        <w:t xml:space="preserve"> of s</w:t>
      </w:r>
      <w:r w:rsidR="002E0A4C">
        <w:t>mears</w:t>
      </w:r>
      <w:r w:rsidR="002C0172">
        <w:t xml:space="preserve">. </w:t>
      </w:r>
      <w:r w:rsidR="00330294">
        <w:t xml:space="preserve"> </w:t>
      </w:r>
      <w:r>
        <w:t>She was then carried into the living quarters</w:t>
      </w:r>
      <w:r w:rsidR="009443F1">
        <w:t xml:space="preserve"> and placed near the bed </w:t>
      </w:r>
      <w:r w:rsidR="002E0A4C">
        <w:t xml:space="preserve">in the spot </w:t>
      </w:r>
      <w:r w:rsidR="009443F1">
        <w:t xml:space="preserve">where her body was found.  There </w:t>
      </w:r>
      <w:r w:rsidR="002C0172">
        <w:t>t</w:t>
      </w:r>
      <w:r w:rsidR="00A2607B">
        <w:t>he attack</w:t>
      </w:r>
      <w:r w:rsidR="00AF513B">
        <w:t xml:space="preserve"> continued.</w:t>
      </w:r>
    </w:p>
    <w:p w:rsidR="002C40EA" w:rsidRDefault="00933525" w:rsidP="00933525">
      <w:pPr>
        <w:spacing w:line="480" w:lineRule="atLeast"/>
        <w:ind w:firstLine="720"/>
      </w:pPr>
      <w:r>
        <w:t>Large p</w:t>
      </w:r>
      <w:r w:rsidR="00A2607B">
        <w:t xml:space="preserve">ieces of a plaster flower vase </w:t>
      </w:r>
      <w:r>
        <w:t xml:space="preserve">and a hard lamp, </w:t>
      </w:r>
      <w:r w:rsidR="0000454F">
        <w:t>both</w:t>
      </w:r>
      <w:r>
        <w:t xml:space="preserve"> </w:t>
      </w:r>
      <w:r w:rsidR="00A2607B">
        <w:t>weighing at least ten pounds</w:t>
      </w:r>
      <w:r>
        <w:t xml:space="preserve"> prior to breaking apart, </w:t>
      </w:r>
      <w:r w:rsidR="00A2607B">
        <w:t xml:space="preserve">were strewn about.  </w:t>
      </w:r>
      <w:r>
        <w:t xml:space="preserve">Portions of each had been used to strike </w:t>
      </w:r>
      <w:r w:rsidR="0089482E">
        <w:t>Epperson’s head</w:t>
      </w:r>
      <w:r>
        <w:t xml:space="preserve"> repeatedly</w:t>
      </w:r>
      <w:r w:rsidR="00A2607B">
        <w:t xml:space="preserve">. </w:t>
      </w:r>
      <w:r w:rsidR="00330294">
        <w:t xml:space="preserve"> </w:t>
      </w:r>
      <w:r>
        <w:t xml:space="preserve">She had also been struck with a wooden footstool and, </w:t>
      </w:r>
      <w:r w:rsidR="00EC1C52">
        <w:t>after</w:t>
      </w:r>
      <w:r>
        <w:t xml:space="preserve"> the footstool broke apart</w:t>
      </w:r>
      <w:r w:rsidR="0000454F">
        <w:t>, its individual pieces</w:t>
      </w:r>
      <w:r>
        <w:t>.</w:t>
      </w:r>
      <w:r w:rsidR="00330294">
        <w:t xml:space="preserve"> </w:t>
      </w:r>
      <w:r>
        <w:t xml:space="preserve"> </w:t>
      </w:r>
      <w:r w:rsidR="005E1049">
        <w:t xml:space="preserve">The cord of the lamp had been wrapped around her head. </w:t>
      </w:r>
      <w:r w:rsidR="00330294">
        <w:t xml:space="preserve"> </w:t>
      </w:r>
      <w:r w:rsidR="00B94525">
        <w:t xml:space="preserve">Blood stains on the </w:t>
      </w:r>
      <w:r w:rsidR="003A523E">
        <w:t>jean</w:t>
      </w:r>
      <w:r w:rsidR="00B94525">
        <w:t xml:space="preserve">s at her feet were consistent with a pair of bloody hands unfastening the </w:t>
      </w:r>
      <w:r w:rsidR="003A523E">
        <w:t>jean</w:t>
      </w:r>
      <w:r w:rsidR="00B94525">
        <w:t xml:space="preserve">s and </w:t>
      </w:r>
      <w:r w:rsidR="009C0928">
        <w:t>forc</w:t>
      </w:r>
      <w:r w:rsidR="00B94525">
        <w:t xml:space="preserve">ing them down. </w:t>
      </w:r>
      <w:r w:rsidR="00330294">
        <w:t xml:space="preserve"> </w:t>
      </w:r>
      <w:r w:rsidR="009C5F13">
        <w:t xml:space="preserve">The inner surface of her thighs contained residues consistent with “a bloody object [making] contact with the victim’s thighs after the . . . blue jeans were removed.” </w:t>
      </w:r>
      <w:r w:rsidR="00330294">
        <w:t xml:space="preserve"> </w:t>
      </w:r>
      <w:r w:rsidR="00B94525">
        <w:t>A screwdriver found under Epperson’s arm had blood on the tip</w:t>
      </w:r>
      <w:r w:rsidR="009C0928">
        <w:t xml:space="preserve"> and could have been used to</w:t>
      </w:r>
      <w:r w:rsidR="00AF513B">
        <w:t xml:space="preserve"> inflict a wound below her eye.</w:t>
      </w:r>
    </w:p>
    <w:p w:rsidR="009443F1" w:rsidRDefault="00933525" w:rsidP="007D4793">
      <w:pPr>
        <w:spacing w:line="480" w:lineRule="atLeast"/>
        <w:ind w:firstLine="720"/>
      </w:pPr>
      <w:r>
        <w:t>Following the assault, the assailant ransacked the apartment, going through Epperson’s</w:t>
      </w:r>
      <w:r w:rsidR="00C1486A">
        <w:t xml:space="preserve"> closet, drawers, and</w:t>
      </w:r>
      <w:r>
        <w:t xml:space="preserve"> </w:t>
      </w:r>
      <w:r w:rsidR="00C1486A">
        <w:t xml:space="preserve">other </w:t>
      </w:r>
      <w:r>
        <w:t>property.</w:t>
      </w:r>
      <w:r w:rsidR="00330294">
        <w:t xml:space="preserve"> </w:t>
      </w:r>
      <w:r>
        <w:t xml:space="preserve"> Paper towels thrown into the toilet had been used to clean a bloody object, </w:t>
      </w:r>
      <w:r w:rsidR="002E0A4C">
        <w:t>possibly</w:t>
      </w:r>
      <w:r>
        <w:t xml:space="preserve"> a pair of hands.</w:t>
      </w:r>
    </w:p>
    <w:p w:rsidR="005E1049" w:rsidRDefault="005E1049" w:rsidP="00933525">
      <w:pPr>
        <w:spacing w:line="480" w:lineRule="atLeast"/>
        <w:ind w:firstLine="720"/>
      </w:pPr>
      <w:r>
        <w:t xml:space="preserve">Yulai Wang, </w:t>
      </w:r>
      <w:r w:rsidR="00EC1C52">
        <w:t xml:space="preserve">M.D., </w:t>
      </w:r>
      <w:r>
        <w:t>a deputy medical examiner who performed an autopsy on Epperson, testified about the condition of her body.</w:t>
      </w:r>
      <w:r w:rsidRPr="005E1049">
        <w:t xml:space="preserve"> </w:t>
      </w:r>
      <w:r w:rsidR="00330294">
        <w:t xml:space="preserve"> </w:t>
      </w:r>
      <w:r w:rsidR="00EC1C52">
        <w:t xml:space="preserve">Dr. </w:t>
      </w:r>
      <w:r w:rsidR="004B4874">
        <w:t xml:space="preserve">Wang concluded that Epperson died from multiple blunt force </w:t>
      </w:r>
      <w:r w:rsidR="00EC35E1">
        <w:t>injurie</w:t>
      </w:r>
      <w:r w:rsidR="004B4874">
        <w:t xml:space="preserve">s. </w:t>
      </w:r>
      <w:r w:rsidR="00330294">
        <w:t xml:space="preserve"> </w:t>
      </w:r>
      <w:r w:rsidR="00EC35E1">
        <w:t xml:space="preserve">Epperson had bruises and </w:t>
      </w:r>
      <w:r w:rsidR="003811FE">
        <w:t>abrasions</w:t>
      </w:r>
      <w:r w:rsidR="00EC35E1">
        <w:t xml:space="preserve"> on the back of her arm, hands, and her </w:t>
      </w:r>
      <w:r w:rsidR="003219F4">
        <w:t>rig</w:t>
      </w:r>
      <w:r w:rsidR="00EC35E1">
        <w:t xml:space="preserve">ht leg that Wang characterized as “defensive wounds,” </w:t>
      </w:r>
      <w:r w:rsidR="00F468F0">
        <w:t xml:space="preserve">presumably </w:t>
      </w:r>
      <w:r w:rsidR="00EC35E1">
        <w:t>suffered as Epperson sought to protect herself.</w:t>
      </w:r>
      <w:r w:rsidR="00330294">
        <w:t xml:space="preserve"> </w:t>
      </w:r>
      <w:r w:rsidR="00EC35E1">
        <w:t xml:space="preserve"> Blows to her head had caused a large laceration on her fore</w:t>
      </w:r>
      <w:r w:rsidR="00AD7E00">
        <w:t>h</w:t>
      </w:r>
      <w:r w:rsidR="00EC35E1">
        <w:t xml:space="preserve">ead, with an underlying open skull fracture, and </w:t>
      </w:r>
      <w:r w:rsidR="00EC1C52">
        <w:t xml:space="preserve">there were </w:t>
      </w:r>
      <w:r w:rsidR="00EC35E1">
        <w:t>multiple lacerations on her forehead, both eyes, nose, cheeks, and upper and lower lips, both inside and outside.  The wound to her lower lip went “through and through</w:t>
      </w:r>
      <w:r w:rsidR="00EF6D34">
        <w:t>,</w:t>
      </w:r>
      <w:r w:rsidR="00EC35E1">
        <w:t xml:space="preserve">” </w:t>
      </w:r>
      <w:r w:rsidR="00EF6D34">
        <w:t xml:space="preserve">and the </w:t>
      </w:r>
      <w:r w:rsidR="00EC35E1">
        <w:t xml:space="preserve">open skull fracture was “deep in through the inside of her head.” </w:t>
      </w:r>
      <w:r w:rsidR="00330294">
        <w:t xml:space="preserve"> </w:t>
      </w:r>
      <w:r w:rsidR="00032419">
        <w:t xml:space="preserve">She also had a </w:t>
      </w:r>
      <w:r w:rsidR="00EC1C52">
        <w:t>seven</w:t>
      </w:r>
      <w:r w:rsidR="00EF6D34">
        <w:t>-inch</w:t>
      </w:r>
      <w:r w:rsidR="00032419">
        <w:t xml:space="preserve"> </w:t>
      </w:r>
      <w:r w:rsidR="00EF6D34">
        <w:t xml:space="preserve">gaping </w:t>
      </w:r>
      <w:r w:rsidR="00032419">
        <w:t>skull fracture on the left side that</w:t>
      </w:r>
      <w:r w:rsidR="00EF6D34">
        <w:t xml:space="preserve"> ran from the front to the back of her head and extensive fractures to the front and base</w:t>
      </w:r>
      <w:r w:rsidR="001C4684">
        <w:t xml:space="preserve"> of he</w:t>
      </w:r>
      <w:r w:rsidR="003219F4">
        <w:t>r</w:t>
      </w:r>
      <w:r w:rsidR="001C4684">
        <w:t xml:space="preserve"> skull</w:t>
      </w:r>
      <w:r w:rsidR="00EC1C52">
        <w:t>.  H</w:t>
      </w:r>
      <w:r w:rsidR="00EF6D34">
        <w:t>er nose and both cheekbones were</w:t>
      </w:r>
      <w:r w:rsidR="00EC1C52">
        <w:t xml:space="preserve"> </w:t>
      </w:r>
      <w:r w:rsidR="00EF6D34">
        <w:t>fractured</w:t>
      </w:r>
      <w:r w:rsidR="003721F7">
        <w:t xml:space="preserve">, and her </w:t>
      </w:r>
      <w:r w:rsidR="003219F4">
        <w:t xml:space="preserve">face had been flattened by fractures of the underlying facial bones. </w:t>
      </w:r>
      <w:r w:rsidR="00330294">
        <w:t xml:space="preserve"> </w:t>
      </w:r>
      <w:r w:rsidR="00032419">
        <w:t>Thre</w:t>
      </w:r>
      <w:r w:rsidR="003219F4">
        <w:t>e</w:t>
      </w:r>
      <w:r w:rsidR="00032419">
        <w:t xml:space="preserve"> separate </w:t>
      </w:r>
      <w:r w:rsidR="00393E3C">
        <w:t>wounds had been cut into the left side of her neck and head,</w:t>
      </w:r>
      <w:r w:rsidR="00EC1C52">
        <w:t xml:space="preserve"> </w:t>
      </w:r>
      <w:r w:rsidR="00032419">
        <w:t>three-quarters of an inch</w:t>
      </w:r>
      <w:r w:rsidR="00393E3C">
        <w:t xml:space="preserve">, one and one-half inch, and </w:t>
      </w:r>
      <w:r w:rsidR="00032419">
        <w:t xml:space="preserve">two and one-half inches long. </w:t>
      </w:r>
      <w:r w:rsidR="00330294">
        <w:t xml:space="preserve"> </w:t>
      </w:r>
      <w:r w:rsidR="00393E3C">
        <w:t>A similar wound was on the right side of her neck.</w:t>
      </w:r>
      <w:r w:rsidR="00330294">
        <w:t xml:space="preserve"> </w:t>
      </w:r>
      <w:r w:rsidR="00393E3C">
        <w:t xml:space="preserve"> These </w:t>
      </w:r>
      <w:r w:rsidR="00EC1C52">
        <w:t xml:space="preserve">wounds </w:t>
      </w:r>
      <w:r w:rsidR="00393E3C">
        <w:t>had been inflicted by a sharp, irregular object, such as broken glass, rather than a knife.</w:t>
      </w:r>
      <w:r w:rsidR="00330294">
        <w:t xml:space="preserve"> </w:t>
      </w:r>
      <w:r w:rsidR="00393E3C">
        <w:t xml:space="preserve"> None of these cuts</w:t>
      </w:r>
      <w:r w:rsidR="00EC1C52">
        <w:t xml:space="preserve"> had</w:t>
      </w:r>
      <w:r w:rsidR="00393E3C">
        <w:t xml:space="preserve"> severed the carotid artery, an injury that would have been </w:t>
      </w:r>
      <w:r w:rsidR="005A24BC">
        <w:t xml:space="preserve">promptly </w:t>
      </w:r>
      <w:r w:rsidR="00393E3C">
        <w:t xml:space="preserve">fatal. </w:t>
      </w:r>
      <w:r w:rsidR="00330294">
        <w:t xml:space="preserve"> </w:t>
      </w:r>
      <w:r w:rsidR="00032419">
        <w:t xml:space="preserve">Hemorrhaging in her eyes and bruises on her neck suggested strangulation. </w:t>
      </w:r>
      <w:r w:rsidR="00330294">
        <w:t xml:space="preserve"> </w:t>
      </w:r>
      <w:r w:rsidR="00032419">
        <w:t>Her brain showed bruising and bleeding in several different places</w:t>
      </w:r>
      <w:r w:rsidR="003219F4">
        <w:t>, and a</w:t>
      </w:r>
      <w:r w:rsidR="00EF6D34">
        <w:t>n area of bleeding beneath her scalp “almost cover[ed]</w:t>
      </w:r>
      <w:r w:rsidR="00EC1C52">
        <w:t>”</w:t>
      </w:r>
      <w:r w:rsidR="00EF6D34">
        <w:t xml:space="preserve"> the right side of he</w:t>
      </w:r>
      <w:r w:rsidR="00EC1C52">
        <w:t>r</w:t>
      </w:r>
      <w:r w:rsidR="00EF6D34">
        <w:t xml:space="preserve"> head. </w:t>
      </w:r>
      <w:r w:rsidR="00330294">
        <w:t xml:space="preserve"> </w:t>
      </w:r>
      <w:r w:rsidR="001C4684">
        <w:t xml:space="preserve">Pieces of glass of different colors were removed from her body, clothing, head, and hair. </w:t>
      </w:r>
      <w:r w:rsidR="00330294">
        <w:t xml:space="preserve"> </w:t>
      </w:r>
      <w:r w:rsidR="00EF6D34">
        <w:t xml:space="preserve">In a career </w:t>
      </w:r>
      <w:r w:rsidR="00EC1C52">
        <w:t>involv</w:t>
      </w:r>
      <w:r w:rsidR="00EF6D34">
        <w:t xml:space="preserve">ing over 2000 autopsies, </w:t>
      </w:r>
      <w:r w:rsidR="00EC1C52">
        <w:t xml:space="preserve">Dr. </w:t>
      </w:r>
      <w:r w:rsidR="00EF6D34">
        <w:t>Wang had seen only a “very small number” of beatings this</w:t>
      </w:r>
      <w:r w:rsidR="001C4684">
        <w:t xml:space="preserve"> </w:t>
      </w:r>
      <w:r w:rsidR="00EF6D34">
        <w:t>sever</w:t>
      </w:r>
      <w:r w:rsidR="003219F4">
        <w:t>e</w:t>
      </w:r>
      <w:r w:rsidR="003721F7">
        <w:t>.</w:t>
      </w:r>
    </w:p>
    <w:p w:rsidR="001C4684" w:rsidRDefault="00EC1C52" w:rsidP="00933525">
      <w:pPr>
        <w:spacing w:line="480" w:lineRule="atLeast"/>
        <w:ind w:firstLine="720"/>
      </w:pPr>
      <w:r>
        <w:t>Epperson also suffered injuries suggestive of sexual abuse.  She</w:t>
      </w:r>
      <w:r w:rsidR="001C4684">
        <w:t xml:space="preserve"> had bruises and abrasions in the back and both sides of her vaginal area, with hemorrhaging under the skin. </w:t>
      </w:r>
      <w:r w:rsidR="00330294">
        <w:t xml:space="preserve"> </w:t>
      </w:r>
      <w:r>
        <w:t>Dr. Wang</w:t>
      </w:r>
      <w:r w:rsidR="00DD622F">
        <w:t xml:space="preserve"> concluded these injuries had been caused by “the blunt force penetration either by a penis with a lot of force or other kind of object of similar shape and size.”  She found t</w:t>
      </w:r>
      <w:r w:rsidR="001C4684">
        <w:t xml:space="preserve">he </w:t>
      </w:r>
      <w:r w:rsidR="00DD622F">
        <w:t xml:space="preserve">extent </w:t>
      </w:r>
      <w:r w:rsidR="001C4684">
        <w:t xml:space="preserve">of trauma suffered by Epperson </w:t>
      </w:r>
      <w:r w:rsidR="00DD622F">
        <w:t>to</w:t>
      </w:r>
      <w:r w:rsidR="001C4684">
        <w:t xml:space="preserve"> this part of</w:t>
      </w:r>
      <w:r w:rsidR="00DD622F">
        <w:t xml:space="preserve"> her body to be “very rare[].</w:t>
      </w:r>
      <w:r w:rsidR="001C4684">
        <w:t>”</w:t>
      </w:r>
    </w:p>
    <w:p w:rsidR="001C4684" w:rsidRDefault="00DC0923" w:rsidP="00933525">
      <w:pPr>
        <w:spacing w:line="480" w:lineRule="atLeast"/>
        <w:ind w:firstLine="720"/>
      </w:pPr>
      <w:r>
        <w:t xml:space="preserve">Because death causes a loss of blood pressure, </w:t>
      </w:r>
      <w:r w:rsidR="00DD622F">
        <w:t xml:space="preserve">Dr. </w:t>
      </w:r>
      <w:r>
        <w:t xml:space="preserve">Wang testified, injuries inflicted after death do not cause bruising and bleeding.  Accordingly, </w:t>
      </w:r>
      <w:r w:rsidR="003219F4">
        <w:t xml:space="preserve">she concluded that </w:t>
      </w:r>
      <w:r w:rsidR="001C4684">
        <w:t xml:space="preserve">the “majority” of </w:t>
      </w:r>
      <w:r w:rsidR="003A523E">
        <w:t>Epperson’s</w:t>
      </w:r>
      <w:r w:rsidR="001C4684">
        <w:t xml:space="preserve"> injuries</w:t>
      </w:r>
      <w:r w:rsidR="003A523E">
        <w:t>,</w:t>
      </w:r>
      <w:r>
        <w:t xml:space="preserve"> perhaps as much as 95</w:t>
      </w:r>
      <w:r w:rsidR="00DD622F">
        <w:t xml:space="preserve"> percent</w:t>
      </w:r>
      <w:r>
        <w:t xml:space="preserve">, </w:t>
      </w:r>
      <w:r w:rsidR="001C4684">
        <w:t>were inflicted while she was still alive</w:t>
      </w:r>
      <w:r>
        <w:t xml:space="preserve">, including </w:t>
      </w:r>
      <w:r w:rsidR="001C4684">
        <w:t xml:space="preserve">the </w:t>
      </w:r>
      <w:r w:rsidR="00DD622F">
        <w:t xml:space="preserve">extensive </w:t>
      </w:r>
      <w:r w:rsidR="001C4684">
        <w:t>injuries to her vaginal area, face, and neck</w:t>
      </w:r>
      <w:r>
        <w:t>.</w:t>
      </w:r>
    </w:p>
    <w:p w:rsidR="007D4793" w:rsidRDefault="007D4793" w:rsidP="00933525">
      <w:pPr>
        <w:spacing w:line="480" w:lineRule="atLeast"/>
        <w:ind w:firstLine="720"/>
      </w:pPr>
      <w:r>
        <w:t>The parties stipulated that DNA analysis identified defendant’s blood on Epperson’s jeans and panties, her inner thighs, and a washcloth and plastic water bottle found in the sink.  In some of these areas, Epperson’s blood was mixed with that of defendant, and her blood was identified in samples collected around the living quarters.  Defendant’s DNA was found in a vaginal swab, and his sperm was found in and outside her vagina.</w:t>
      </w:r>
    </w:p>
    <w:p w:rsidR="004057A0" w:rsidRDefault="00570C0D" w:rsidP="004057A0">
      <w:pPr>
        <w:spacing w:line="480" w:lineRule="atLeast"/>
        <w:ind w:firstLine="720"/>
      </w:pPr>
      <w:r>
        <w:t>The prosecution also p</w:t>
      </w:r>
      <w:r w:rsidR="00DD622F">
        <w:t>resent</w:t>
      </w:r>
      <w:r>
        <w:t>ed evidence of two prior assaults by defendant.  A former girlfriend testified that</w:t>
      </w:r>
      <w:r w:rsidR="00520BFD">
        <w:t>, in 1992,</w:t>
      </w:r>
      <w:r w:rsidR="00DD622F">
        <w:t xml:space="preserve"> she attempted to end their three</w:t>
      </w:r>
      <w:r>
        <w:t>-year relationship</w:t>
      </w:r>
      <w:r w:rsidR="00520BFD">
        <w:t>.</w:t>
      </w:r>
      <w:r>
        <w:t xml:space="preserve"> </w:t>
      </w:r>
      <w:r w:rsidR="00330294">
        <w:t xml:space="preserve"> </w:t>
      </w:r>
      <w:r>
        <w:t xml:space="preserve">Defendant responded that he would kill her.  He grabbed her by the throat, dragged her to the ground and down the driveway, and kicked her twice in the head and neck. </w:t>
      </w:r>
      <w:r w:rsidR="00330294">
        <w:t xml:space="preserve"> </w:t>
      </w:r>
      <w:r>
        <w:t xml:space="preserve">As he dragged her, he told her, “You’re going to die.” </w:t>
      </w:r>
      <w:r w:rsidR="00330294">
        <w:t xml:space="preserve"> </w:t>
      </w:r>
      <w:r>
        <w:t xml:space="preserve">Neighbors </w:t>
      </w:r>
      <w:r w:rsidR="00E65EBC">
        <w:t xml:space="preserve">prevented any further injury, but </w:t>
      </w:r>
      <w:r w:rsidR="003219F4">
        <w:t>t</w:t>
      </w:r>
      <w:r w:rsidR="00E65EBC">
        <w:t>he</w:t>
      </w:r>
      <w:r w:rsidR="003219F4">
        <w:t xml:space="preserve"> woman</w:t>
      </w:r>
      <w:r w:rsidR="00E65EBC">
        <w:t xml:space="preserve"> has had lingering</w:t>
      </w:r>
      <w:r w:rsidR="00520BFD">
        <w:t xml:space="preserve"> neck</w:t>
      </w:r>
      <w:r w:rsidR="00E65EBC">
        <w:t xml:space="preserve"> </w:t>
      </w:r>
      <w:r w:rsidR="00520BFD">
        <w:t>pain</w:t>
      </w:r>
      <w:r w:rsidR="00E65EBC">
        <w:t xml:space="preserve">. </w:t>
      </w:r>
      <w:r w:rsidR="00330294">
        <w:t xml:space="preserve"> </w:t>
      </w:r>
      <w:r w:rsidR="00E65EBC">
        <w:t xml:space="preserve">The second </w:t>
      </w:r>
      <w:r w:rsidR="00DD622F">
        <w:t>assault victim</w:t>
      </w:r>
      <w:r w:rsidR="00E65EBC">
        <w:t xml:space="preserve"> met defendant in January 1999 and had a few dates with him. </w:t>
      </w:r>
      <w:r w:rsidR="00330294">
        <w:t xml:space="preserve"> </w:t>
      </w:r>
      <w:r w:rsidR="003219F4">
        <w:t xml:space="preserve">Two months </w:t>
      </w:r>
      <w:r w:rsidR="00520BFD">
        <w:t>after they met</w:t>
      </w:r>
      <w:r w:rsidR="00E65EBC">
        <w:t xml:space="preserve">, she told him to stay away from her.  </w:t>
      </w:r>
      <w:r w:rsidR="003219F4">
        <w:t>Soon after</w:t>
      </w:r>
      <w:r w:rsidR="00E65EBC">
        <w:t xml:space="preserve">, </w:t>
      </w:r>
      <w:r w:rsidR="003219F4">
        <w:t>d</w:t>
      </w:r>
      <w:r w:rsidR="00E65EBC">
        <w:t>e</w:t>
      </w:r>
      <w:r w:rsidR="003219F4">
        <w:t>fendant</w:t>
      </w:r>
      <w:r w:rsidR="00E65EBC">
        <w:t xml:space="preserve"> lured</w:t>
      </w:r>
      <w:r w:rsidR="003A523E">
        <w:t xml:space="preserve"> her</w:t>
      </w:r>
      <w:r w:rsidR="00E65EBC">
        <w:t xml:space="preserve"> to his apartment, where he blocked the door with a chair and began yelling at her.  When she </w:t>
      </w:r>
      <w:r w:rsidR="009D0E24">
        <w:t>responded</w:t>
      </w:r>
      <w:r w:rsidR="00E65EBC">
        <w:t xml:space="preserve">, he hit her in the face, knocking her to the ground, climbed on top of her, and choked her </w:t>
      </w:r>
      <w:r w:rsidR="009D0E24">
        <w:t>in</w:t>
      </w:r>
      <w:r w:rsidR="00E65EBC">
        <w:t xml:space="preserve">to unconsciousness. </w:t>
      </w:r>
      <w:r w:rsidR="00330294">
        <w:t xml:space="preserve"> </w:t>
      </w:r>
      <w:r w:rsidR="00E65EBC">
        <w:t xml:space="preserve">When she recovered, defendant ordered her at knife-point to take off her clothes, tearing at them in </w:t>
      </w:r>
      <w:r w:rsidR="00B46BF7">
        <w:t xml:space="preserve">his </w:t>
      </w:r>
      <w:r w:rsidR="00E65EBC">
        <w:t xml:space="preserve">impatience.  Eventually, defendant forced her, still at knife-point, to take him with her </w:t>
      </w:r>
      <w:r w:rsidR="00520BFD">
        <w:t>wh</w:t>
      </w:r>
      <w:r w:rsidR="00B46BF7">
        <w:t>ile</w:t>
      </w:r>
      <w:r w:rsidR="00520BFD">
        <w:t xml:space="preserve"> she </w:t>
      </w:r>
      <w:r w:rsidR="00E65EBC">
        <w:t>pick</w:t>
      </w:r>
      <w:r w:rsidR="00520BFD">
        <w:t>ed</w:t>
      </w:r>
      <w:r w:rsidR="00E65EBC">
        <w:t xml:space="preserve"> up her children from day care</w:t>
      </w:r>
      <w:r w:rsidR="00F468F0">
        <w:t xml:space="preserve"> and then </w:t>
      </w:r>
      <w:r w:rsidR="009D0E24">
        <w:t xml:space="preserve">to </w:t>
      </w:r>
      <w:r w:rsidR="003219F4">
        <w:t xml:space="preserve">drive him home.  Defendant continued harassing </w:t>
      </w:r>
      <w:r w:rsidR="00520BFD">
        <w:t>t</w:t>
      </w:r>
      <w:r w:rsidR="003219F4">
        <w:t>he</w:t>
      </w:r>
      <w:r w:rsidR="00520BFD">
        <w:t xml:space="preserve"> woman</w:t>
      </w:r>
      <w:r w:rsidR="004D6CFA">
        <w:t xml:space="preserve"> with telephone calls</w:t>
      </w:r>
      <w:r w:rsidR="003219F4">
        <w:t xml:space="preserve"> until </w:t>
      </w:r>
      <w:r w:rsidR="003721F7">
        <w:t>she reported him to the police.</w:t>
      </w:r>
    </w:p>
    <w:p w:rsidR="003219F4" w:rsidRDefault="003219F4" w:rsidP="004057A0">
      <w:pPr>
        <w:pStyle w:val="Heading3"/>
        <w:numPr>
          <w:ilvl w:val="0"/>
          <w:numId w:val="10"/>
        </w:numPr>
      </w:pPr>
      <w:bookmarkStart w:id="4" w:name="_Toc508625867"/>
      <w:r>
        <w:t xml:space="preserve">Defense </w:t>
      </w:r>
      <w:r w:rsidR="00F80372">
        <w:t>e</w:t>
      </w:r>
      <w:r>
        <w:t>vidence</w:t>
      </w:r>
      <w:bookmarkEnd w:id="4"/>
    </w:p>
    <w:p w:rsidR="004D6CFA" w:rsidRDefault="009D0E24" w:rsidP="004D6CFA">
      <w:pPr>
        <w:pStyle w:val="NormalIndent"/>
        <w:spacing w:line="480" w:lineRule="atLeast"/>
        <w:ind w:left="0" w:firstLine="720"/>
      </w:pPr>
      <w:r>
        <w:t xml:space="preserve">Testifying in his </w:t>
      </w:r>
      <w:r w:rsidR="00DD622F">
        <w:t xml:space="preserve">own </w:t>
      </w:r>
      <w:r>
        <w:t>defense, d</w:t>
      </w:r>
      <w:r w:rsidR="004D6CFA">
        <w:t xml:space="preserve">efendant </w:t>
      </w:r>
      <w:r w:rsidR="00860BAF">
        <w:t xml:space="preserve">confirmed that he met Epperson in June 2000, while he was </w:t>
      </w:r>
      <w:r w:rsidR="00907E75">
        <w:t>living at</w:t>
      </w:r>
      <w:r w:rsidR="00CE21E9">
        <w:t xml:space="preserve"> the</w:t>
      </w:r>
      <w:r w:rsidR="00907E75">
        <w:t xml:space="preserve"> Weingart </w:t>
      </w:r>
      <w:r w:rsidR="00CE21E9">
        <w:t xml:space="preserve">Center </w:t>
      </w:r>
      <w:r w:rsidR="00907E75">
        <w:t xml:space="preserve">and </w:t>
      </w:r>
      <w:r w:rsidR="00860BAF">
        <w:t xml:space="preserve">working as a tutor in </w:t>
      </w:r>
      <w:r w:rsidR="00907E75">
        <w:t>its</w:t>
      </w:r>
      <w:r w:rsidR="00860BAF">
        <w:t xml:space="preserve"> computer lab. </w:t>
      </w:r>
      <w:r w:rsidR="00330294">
        <w:t xml:space="preserve"> </w:t>
      </w:r>
      <w:r w:rsidR="00860BAF">
        <w:t xml:space="preserve">At the time, he was </w:t>
      </w:r>
      <w:r w:rsidR="00DD622F">
        <w:t xml:space="preserve">being </w:t>
      </w:r>
      <w:r w:rsidR="00860BAF">
        <w:t>medicated with</w:t>
      </w:r>
      <w:r w:rsidR="004D6CFA">
        <w:t xml:space="preserve"> Sinequan, a sedative that helps control paranoid feelings, as well as Depakote and Paxil.</w:t>
      </w:r>
      <w:r w:rsidR="00860BAF">
        <w:t xml:space="preserve">  Without the medications, defendant suffered from paranoid anxiety.</w:t>
      </w:r>
      <w:r w:rsidR="00330294">
        <w:t xml:space="preserve"> </w:t>
      </w:r>
      <w:r w:rsidR="003721F7">
        <w:t xml:space="preserve"> </w:t>
      </w:r>
      <w:r w:rsidR="00860BAF">
        <w:t xml:space="preserve">Through the end of July, defendant </w:t>
      </w:r>
      <w:r w:rsidR="00621FB4">
        <w:t>saw</w:t>
      </w:r>
      <w:r w:rsidR="00860BAF">
        <w:t xml:space="preserve"> Epperson</w:t>
      </w:r>
      <w:r w:rsidR="00DD622F">
        <w:t xml:space="preserve"> while</w:t>
      </w:r>
      <w:r w:rsidR="00860BAF">
        <w:t xml:space="preserve"> in the company of Todd, but </w:t>
      </w:r>
      <w:r w:rsidR="00621FB4">
        <w:t xml:space="preserve">later </w:t>
      </w:r>
      <w:r w:rsidR="00860BAF">
        <w:t xml:space="preserve">Todd “no longer was basically in the picture anymore.” </w:t>
      </w:r>
      <w:r w:rsidR="00330294">
        <w:t xml:space="preserve"> </w:t>
      </w:r>
      <w:r w:rsidR="00860BAF">
        <w:t xml:space="preserve">Epperson began to call defendant and invite him </w:t>
      </w:r>
      <w:r w:rsidR="00621FB4">
        <w:t>to visit her</w:t>
      </w:r>
      <w:r w:rsidR="00860BAF">
        <w:t xml:space="preserve">.  By mid-August, he had a “standing invitation” to go to Epperson’s apartment. </w:t>
      </w:r>
      <w:r w:rsidR="00330294">
        <w:t xml:space="preserve"> </w:t>
      </w:r>
      <w:r w:rsidR="00860BAF">
        <w:t xml:space="preserve">On Fridays, defendant would escort Epperson from her place of employment to the bank to deposit cash generated at the business, and during a transit strike in September he drove her to and from work. </w:t>
      </w:r>
      <w:r w:rsidR="00330294">
        <w:t xml:space="preserve"> </w:t>
      </w:r>
      <w:r w:rsidR="00E74568">
        <w:t>In late September, they began having sexual relations.</w:t>
      </w:r>
      <w:r w:rsidR="00330294">
        <w:t xml:space="preserve"> </w:t>
      </w:r>
      <w:r w:rsidR="00E74568">
        <w:t xml:space="preserve"> </w:t>
      </w:r>
      <w:r w:rsidR="000F7D4B">
        <w:t>Around that time, defendant stopped taking his medication, believing the medications made it difficult</w:t>
      </w:r>
      <w:r w:rsidR="000446F4">
        <w:t xml:space="preserve"> for him</w:t>
      </w:r>
      <w:r w:rsidR="000F7D4B">
        <w:t xml:space="preserve"> to maintain an erection. </w:t>
      </w:r>
      <w:r w:rsidR="00330294">
        <w:t xml:space="preserve"> </w:t>
      </w:r>
      <w:r w:rsidR="005B12F6">
        <w:t>P</w:t>
      </w:r>
      <w:r w:rsidR="00E74568">
        <w:t>hotograph</w:t>
      </w:r>
      <w:r w:rsidR="005B12F6">
        <w:t>s of Epperson’s apartment taken by defendant displayed a variety of small gifts he had given her, and he identified a series of fu</w:t>
      </w:r>
      <w:r w:rsidR="003721F7">
        <w:t>rnishings he helped to install.</w:t>
      </w:r>
    </w:p>
    <w:p w:rsidR="005B12F6" w:rsidRDefault="00907E75" w:rsidP="004D6CFA">
      <w:pPr>
        <w:pStyle w:val="NormalIndent"/>
        <w:spacing w:line="480" w:lineRule="atLeast"/>
        <w:ind w:left="0" w:firstLine="720"/>
      </w:pPr>
      <w:r>
        <w:t>On</w:t>
      </w:r>
      <w:r w:rsidR="00DD622F">
        <w:t>e week before the killing</w:t>
      </w:r>
      <w:r w:rsidR="005B12F6">
        <w:t xml:space="preserve">, defendant </w:t>
      </w:r>
      <w:r w:rsidR="00DD622F">
        <w:t xml:space="preserve">said, he </w:t>
      </w:r>
      <w:r>
        <w:t xml:space="preserve">called Epperson to tell her he was leaving Los Angeles for a period of time because he “needed some time away.”  During the conversion, he </w:t>
      </w:r>
      <w:r w:rsidR="005B12F6">
        <w:t>told Epperson he “expected to be put No. 1” among her male friends.</w:t>
      </w:r>
      <w:r>
        <w:t xml:space="preserve"> </w:t>
      </w:r>
      <w:r w:rsidR="00330294">
        <w:t xml:space="preserve"> </w:t>
      </w:r>
      <w:r>
        <w:t xml:space="preserve">When they spoke the next day, Epperson was angry because defendant had not consulted her about his decision to leave.  They exchanged repeated calls that day, and Epperson eventually pleaded for defendant to return to her.  He agreed that they would “call a truce and try and work this out.” </w:t>
      </w:r>
      <w:r w:rsidR="00330294">
        <w:t xml:space="preserve"> </w:t>
      </w:r>
      <w:r w:rsidR="00DD622F">
        <w:t>The day before the killing, t</w:t>
      </w:r>
      <w:r>
        <w:t xml:space="preserve">hey spent most of </w:t>
      </w:r>
      <w:r w:rsidR="00DD622F">
        <w:t>the day</w:t>
      </w:r>
      <w:r>
        <w:t xml:space="preserve"> together, shopping and visiting Epperson’s son.  In the even</w:t>
      </w:r>
      <w:r w:rsidR="003721F7">
        <w:t>ing, they had sexual relations.</w:t>
      </w:r>
    </w:p>
    <w:p w:rsidR="00621FB4" w:rsidRDefault="00621FB4" w:rsidP="005966A9">
      <w:pPr>
        <w:pStyle w:val="NormalIndent"/>
        <w:spacing w:line="480" w:lineRule="atLeast"/>
        <w:ind w:left="0" w:firstLine="720"/>
      </w:pPr>
      <w:r>
        <w:t>Epperson’s church was located across the street from the Weingart</w:t>
      </w:r>
      <w:r w:rsidR="00CE21E9">
        <w:t xml:space="preserve"> Center</w:t>
      </w:r>
      <w:r w:rsidR="00DD622F">
        <w:t>, where defendant resided</w:t>
      </w:r>
      <w:r>
        <w:t xml:space="preserve">. </w:t>
      </w:r>
      <w:r w:rsidR="00330294">
        <w:t xml:space="preserve"> </w:t>
      </w:r>
      <w:r>
        <w:t xml:space="preserve">On the morning of the killing, defendant </w:t>
      </w:r>
      <w:r w:rsidR="00DD622F">
        <w:t xml:space="preserve">testified, he </w:t>
      </w:r>
      <w:r>
        <w:t xml:space="preserve">saw Epperson standing outside the church, while he was standing </w:t>
      </w:r>
      <w:r w:rsidR="00DD622F">
        <w:t>o</w:t>
      </w:r>
      <w:r>
        <w:t xml:space="preserve">utside the </w:t>
      </w:r>
      <w:r w:rsidR="00CE21E9">
        <w:t>Center</w:t>
      </w:r>
      <w:r>
        <w:t xml:space="preserve">.  </w:t>
      </w:r>
      <w:r w:rsidR="000446F4">
        <w:t>As</w:t>
      </w:r>
      <w:r>
        <w:t xml:space="preserve"> he watched, </w:t>
      </w:r>
      <w:r w:rsidR="003C7FCE">
        <w:t>Sims</w:t>
      </w:r>
      <w:r>
        <w:t xml:space="preserve"> approached her.  She</w:t>
      </w:r>
      <w:r w:rsidR="00A349BA">
        <w:t xml:space="preserve"> then</w:t>
      </w:r>
      <w:r>
        <w:t xml:space="preserve"> crossed the street to where defendant was standing and asked him to walk her home.  When they arrived, she asked him to come in. </w:t>
      </w:r>
      <w:r w:rsidR="00330294">
        <w:t xml:space="preserve"> </w:t>
      </w:r>
      <w:r w:rsidR="000F7D4B">
        <w:t>They later drove to a Christian book store</w:t>
      </w:r>
      <w:r w:rsidR="005966A9">
        <w:t xml:space="preserve">, returned to the apartment, </w:t>
      </w:r>
      <w:r w:rsidR="000F7D4B">
        <w:t xml:space="preserve">and </w:t>
      </w:r>
      <w:r w:rsidR="005966A9">
        <w:t>had consensual sexual relations</w:t>
      </w:r>
      <w:r w:rsidR="000F7D4B">
        <w:t xml:space="preserve">.  After they finished, Epperson went to the bathroom and took a telephone call.  From Epperson’s side of the conversation, defendant </w:t>
      </w:r>
      <w:r w:rsidR="00DD622F">
        <w:t xml:space="preserve">said, he </w:t>
      </w:r>
      <w:r w:rsidR="000F7D4B">
        <w:t>could tell she was making social plans with someone.  When defendant asked her what the call concerned, she told him he did not “run her life” and refused to tell him who had called, other than it was a person from her church.</w:t>
      </w:r>
      <w:r w:rsidR="006665B6">
        <w:t xml:space="preserve"> </w:t>
      </w:r>
      <w:r w:rsidR="000F7D4B">
        <w:t xml:space="preserve"> An argument ensued, during which Epperson, standing in the bathroom, told him they were “done.”  Defendant, feeling “crushed,” </w:t>
      </w:r>
      <w:r w:rsidR="00DD622F">
        <w:t>struck</w:t>
      </w:r>
      <w:r w:rsidR="000F7D4B">
        <w:t xml:space="preserve"> her. </w:t>
      </w:r>
      <w:r w:rsidR="006665B6">
        <w:t xml:space="preserve"> </w:t>
      </w:r>
      <w:r w:rsidR="00927727">
        <w:t xml:space="preserve">He </w:t>
      </w:r>
      <w:r w:rsidR="009D0E24">
        <w:t xml:space="preserve">had no memory of </w:t>
      </w:r>
      <w:r w:rsidR="00927727">
        <w:t>what happened after that, although he remembered seeing her on the floor</w:t>
      </w:r>
      <w:r w:rsidR="005966A9">
        <w:t>.  H</w:t>
      </w:r>
      <w:r w:rsidR="00D80A3A">
        <w:t xml:space="preserve">e </w:t>
      </w:r>
      <w:r w:rsidR="00DD622F">
        <w:t xml:space="preserve">said he </w:t>
      </w:r>
      <w:r w:rsidR="00D80A3A">
        <w:t>had “blanked out”</w:t>
      </w:r>
      <w:r w:rsidR="005966A9">
        <w:t xml:space="preserve"> like this</w:t>
      </w:r>
      <w:r w:rsidR="00D80A3A">
        <w:t xml:space="preserve"> a few times before</w:t>
      </w:r>
      <w:r w:rsidR="00927727">
        <w:t xml:space="preserve">. </w:t>
      </w:r>
      <w:r w:rsidR="003721F7">
        <w:t xml:space="preserve"> </w:t>
      </w:r>
      <w:r w:rsidR="00927727">
        <w:t xml:space="preserve">Defendant </w:t>
      </w:r>
      <w:r w:rsidR="0018268A">
        <w:t xml:space="preserve">testified that he </w:t>
      </w:r>
      <w:r w:rsidR="00927727">
        <w:t xml:space="preserve">neither planned nor intended to kill Epperson. </w:t>
      </w:r>
      <w:r w:rsidR="000F7D4B">
        <w:t xml:space="preserve"> </w:t>
      </w:r>
    </w:p>
    <w:p w:rsidR="005966A9" w:rsidRDefault="00DD622F" w:rsidP="005966A9">
      <w:pPr>
        <w:pStyle w:val="FootnoteText"/>
        <w:spacing w:line="480" w:lineRule="atLeast"/>
        <w:ind w:firstLine="720"/>
      </w:pPr>
      <w:r>
        <w:t>The defense</w:t>
      </w:r>
      <w:r w:rsidR="005966A9">
        <w:t xml:space="preserve"> also presented testimony from an expert witness regarding the biological materials found on the panties lying at Epperson’s feet, suggesting they had been worn, if at all, for a short time before being removed.</w:t>
      </w:r>
    </w:p>
    <w:p w:rsidR="004D6CFA" w:rsidRDefault="001D4CDB" w:rsidP="001D4CDB">
      <w:pPr>
        <w:pStyle w:val="Heading3"/>
        <w:numPr>
          <w:ilvl w:val="0"/>
          <w:numId w:val="10"/>
        </w:numPr>
      </w:pPr>
      <w:bookmarkStart w:id="5" w:name="_Toc508625868"/>
      <w:r>
        <w:t xml:space="preserve">Prosecution </w:t>
      </w:r>
      <w:r w:rsidR="00F80372">
        <w:t>rebuttal e</w:t>
      </w:r>
      <w:r>
        <w:t>vidence</w:t>
      </w:r>
      <w:bookmarkEnd w:id="5"/>
    </w:p>
    <w:p w:rsidR="005966A9" w:rsidRDefault="004057A0" w:rsidP="009D0E24">
      <w:pPr>
        <w:spacing w:line="480" w:lineRule="atLeast"/>
        <w:ind w:firstLine="720"/>
      </w:pPr>
      <w:r>
        <w:t>Charles Vannoy</w:t>
      </w:r>
      <w:r w:rsidR="0018268A">
        <w:t>, who</w:t>
      </w:r>
      <w:r w:rsidR="00C868F5">
        <w:t xml:space="preserve"> acknowledged knowing defendant “[a] little bit, vaguely” from prison, repeatedly denied remembering the </w:t>
      </w:r>
      <w:r w:rsidR="000F2CDA">
        <w:t>substance</w:t>
      </w:r>
      <w:r w:rsidR="00C868F5">
        <w:t xml:space="preserve"> of an interview</w:t>
      </w:r>
      <w:r w:rsidR="0060265D">
        <w:t xml:space="preserve"> he had</w:t>
      </w:r>
      <w:r w:rsidR="00C868F5">
        <w:t xml:space="preserve"> with police following Epperson’s killing. </w:t>
      </w:r>
      <w:r w:rsidR="006665B6">
        <w:t xml:space="preserve"> </w:t>
      </w:r>
      <w:r w:rsidR="00E276F3">
        <w:t xml:space="preserve">Over </w:t>
      </w:r>
      <w:r w:rsidR="000F2CDA">
        <w:t>defense</w:t>
      </w:r>
      <w:r w:rsidR="00E276F3">
        <w:t xml:space="preserve"> objection, the prosecution was permitted to play a redacted videotape</w:t>
      </w:r>
      <w:r w:rsidR="005966A9">
        <w:t xml:space="preserve"> of</w:t>
      </w:r>
      <w:r w:rsidR="00E276F3">
        <w:t xml:space="preserve"> </w:t>
      </w:r>
      <w:r w:rsidR="0060265D">
        <w:t>the</w:t>
      </w:r>
      <w:r w:rsidR="00E276F3">
        <w:t xml:space="preserve"> interview, which occurr</w:t>
      </w:r>
      <w:r w:rsidR="0018268A">
        <w:t>ed three days after the killing and</w:t>
      </w:r>
      <w:r w:rsidR="00E276F3">
        <w:t xml:space="preserve"> </w:t>
      </w:r>
      <w:r w:rsidR="003721F7">
        <w:t>prior to defendant’s arrest.</w:t>
      </w:r>
    </w:p>
    <w:p w:rsidR="00401328" w:rsidRDefault="00E276F3" w:rsidP="00401328">
      <w:pPr>
        <w:spacing w:line="480" w:lineRule="atLeast"/>
        <w:ind w:firstLine="720"/>
      </w:pPr>
      <w:r>
        <w:t xml:space="preserve">During the interview, Vannoy </w:t>
      </w:r>
      <w:r w:rsidR="00644F48">
        <w:t>tol</w:t>
      </w:r>
      <w:r>
        <w:t>d</w:t>
      </w:r>
      <w:r w:rsidR="00644F48">
        <w:t xml:space="preserve"> police</w:t>
      </w:r>
      <w:r>
        <w:t xml:space="preserve"> he </w:t>
      </w:r>
      <w:r w:rsidR="009D0E24">
        <w:t xml:space="preserve">first </w:t>
      </w:r>
      <w:r w:rsidR="00644F48">
        <w:t>met</w:t>
      </w:r>
      <w:r>
        <w:t xml:space="preserve"> defendant in prison in December 1999</w:t>
      </w:r>
      <w:r w:rsidR="00644F48">
        <w:t>, and they became friends</w:t>
      </w:r>
      <w:r>
        <w:t>.</w:t>
      </w:r>
      <w:r w:rsidR="00401328">
        <w:t xml:space="preserve"> </w:t>
      </w:r>
      <w:r w:rsidR="006665B6">
        <w:t xml:space="preserve"> </w:t>
      </w:r>
      <w:r w:rsidR="0060265D">
        <w:t xml:space="preserve">After their release, </w:t>
      </w:r>
      <w:r w:rsidR="009D0E24">
        <w:t>Vannoy</w:t>
      </w:r>
      <w:r w:rsidR="00401328">
        <w:t xml:space="preserve"> saw defendant at the Weingart</w:t>
      </w:r>
      <w:r w:rsidR="00CE21E9">
        <w:t xml:space="preserve"> Center</w:t>
      </w:r>
      <w:r w:rsidR="00401328">
        <w:t xml:space="preserve">, and defendant helped </w:t>
      </w:r>
      <w:r w:rsidR="009D0E24">
        <w:t>him</w:t>
      </w:r>
      <w:r w:rsidR="00401328">
        <w:t xml:space="preserve"> move into an apartment</w:t>
      </w:r>
      <w:r w:rsidR="0060265D">
        <w:t xml:space="preserve"> </w:t>
      </w:r>
      <w:r w:rsidR="003721F7">
        <w:t>three days before the killing.</w:t>
      </w:r>
    </w:p>
    <w:p w:rsidR="0065130C" w:rsidRDefault="00401328" w:rsidP="0065130C">
      <w:pPr>
        <w:spacing w:line="480" w:lineRule="atLeast"/>
        <w:ind w:firstLine="720"/>
      </w:pPr>
      <w:r>
        <w:t xml:space="preserve">Late in the afternoon on the day </w:t>
      </w:r>
      <w:r w:rsidR="005966A9">
        <w:t xml:space="preserve">Epperson was </w:t>
      </w:r>
      <w:r>
        <w:t>kill</w:t>
      </w:r>
      <w:r w:rsidR="005966A9">
        <w:t>ed</w:t>
      </w:r>
      <w:r>
        <w:t xml:space="preserve">, </w:t>
      </w:r>
      <w:r w:rsidR="0060265D">
        <w:t xml:space="preserve">Vannoy told the police, </w:t>
      </w:r>
      <w:r>
        <w:t xml:space="preserve">defendant called </w:t>
      </w:r>
      <w:r w:rsidR="0060265D">
        <w:t>him</w:t>
      </w:r>
      <w:r>
        <w:t xml:space="preserve"> and asked to come </w:t>
      </w:r>
      <w:r w:rsidR="005966A9">
        <w:t xml:space="preserve">to </w:t>
      </w:r>
      <w:r w:rsidR="005A24BC">
        <w:t>Vannoy’s</w:t>
      </w:r>
      <w:r w:rsidR="005966A9">
        <w:t xml:space="preserve"> apartment</w:t>
      </w:r>
      <w:r>
        <w:t xml:space="preserve">.  </w:t>
      </w:r>
      <w:r w:rsidR="0060265D">
        <w:t xml:space="preserve">When </w:t>
      </w:r>
      <w:r w:rsidR="009D0E24">
        <w:t>defendant</w:t>
      </w:r>
      <w:r w:rsidR="0060265D">
        <w:t xml:space="preserve"> </w:t>
      </w:r>
      <w:r w:rsidR="003811FE">
        <w:t>arrived</w:t>
      </w:r>
      <w:r w:rsidR="0060265D">
        <w:t xml:space="preserve">, </w:t>
      </w:r>
      <w:r w:rsidR="009D0E24">
        <w:t>h</w:t>
      </w:r>
      <w:r>
        <w:t>e</w:t>
      </w:r>
      <w:r w:rsidR="009D0E24">
        <w:t xml:space="preserve"> </w:t>
      </w:r>
      <w:r>
        <w:t xml:space="preserve">was anxious and did not want to talk about what had happened.  Instead, he made phone calls to family members and others. </w:t>
      </w:r>
      <w:r w:rsidR="006665B6">
        <w:t xml:space="preserve"> </w:t>
      </w:r>
      <w:r w:rsidR="009D0E24">
        <w:t xml:space="preserve">Very </w:t>
      </w:r>
      <w:r w:rsidR="005966A9">
        <w:t>e</w:t>
      </w:r>
      <w:r>
        <w:t>arly</w:t>
      </w:r>
      <w:r w:rsidR="005966A9">
        <w:t xml:space="preserve"> </w:t>
      </w:r>
      <w:r>
        <w:t xml:space="preserve">the </w:t>
      </w:r>
      <w:r w:rsidR="00862C64">
        <w:t xml:space="preserve">next </w:t>
      </w:r>
      <w:r>
        <w:t>morning, defendant told Vannoy he had beat Epperson to death because she</w:t>
      </w:r>
      <w:r w:rsidR="000F2CDA">
        <w:t xml:space="preserve"> had</w:t>
      </w:r>
      <w:r>
        <w:t xml:space="preserve"> </w:t>
      </w:r>
      <w:r w:rsidR="00862C64">
        <w:t xml:space="preserve">“rejected him” and </w:t>
      </w:r>
      <w:r w:rsidR="00472D2C">
        <w:t>“was seeing somebody</w:t>
      </w:r>
      <w:r>
        <w:t xml:space="preserve"> else.</w:t>
      </w:r>
      <w:r w:rsidR="00472D2C">
        <w:t>”</w:t>
      </w:r>
      <w:r>
        <w:t xml:space="preserve"> </w:t>
      </w:r>
      <w:r w:rsidR="006665B6">
        <w:t xml:space="preserve"> </w:t>
      </w:r>
      <w:r w:rsidR="0060265D">
        <w:t xml:space="preserve">Defendant said he had been having sexual relations </w:t>
      </w:r>
      <w:r w:rsidR="00472D2C">
        <w:t xml:space="preserve">regularly </w:t>
      </w:r>
      <w:r w:rsidR="0060265D">
        <w:t>with Epperson for two weeks to a month prior to her killing.</w:t>
      </w:r>
      <w:r w:rsidR="006665B6">
        <w:t xml:space="preserve"> </w:t>
      </w:r>
      <w:r w:rsidR="0060265D">
        <w:t xml:space="preserve"> </w:t>
      </w:r>
      <w:r w:rsidR="00324738">
        <w:t xml:space="preserve">On the day of the killing, a man phoned Epperson shortly after she and defendant </w:t>
      </w:r>
      <w:r w:rsidR="00644F48">
        <w:t xml:space="preserve">finished having </w:t>
      </w:r>
      <w:r w:rsidR="000F2CDA">
        <w:t>intercourse</w:t>
      </w:r>
      <w:r w:rsidR="00324738">
        <w:t>, and s</w:t>
      </w:r>
      <w:r w:rsidR="00644F48">
        <w:t>he appeared to make plans to see</w:t>
      </w:r>
      <w:r w:rsidR="000F2CDA">
        <w:t xml:space="preserve"> the man</w:t>
      </w:r>
      <w:r>
        <w:t xml:space="preserve">.  During </w:t>
      </w:r>
      <w:r w:rsidR="0065130C">
        <w:t>an</w:t>
      </w:r>
      <w:r>
        <w:t xml:space="preserve"> ensuing argument, Epperson </w:t>
      </w:r>
      <w:r w:rsidR="00F66A39">
        <w:t>insisted</w:t>
      </w:r>
      <w:r>
        <w:t xml:space="preserve"> defendant </w:t>
      </w:r>
      <w:r w:rsidR="00F66A39">
        <w:t xml:space="preserve">did not “own” her and </w:t>
      </w:r>
      <w:r w:rsidR="000F2CDA">
        <w:t xml:space="preserve">that </w:t>
      </w:r>
      <w:r w:rsidR="005A24BC">
        <w:t>she would see “</w:t>
      </w:r>
      <w:r w:rsidR="00F66A39">
        <w:t xml:space="preserve">who I want, when I want.”  </w:t>
      </w:r>
      <w:r w:rsidR="0065130C">
        <w:t xml:space="preserve">He </w:t>
      </w:r>
      <w:r w:rsidR="0060265D">
        <w:t xml:space="preserve">then </w:t>
      </w:r>
      <w:r w:rsidR="0065130C">
        <w:t>followed her into the bathroom</w:t>
      </w:r>
      <w:r w:rsidR="0060265D">
        <w:t>,</w:t>
      </w:r>
      <w:r w:rsidR="0065130C">
        <w:t xml:space="preserve"> told her to sit on the toilet</w:t>
      </w:r>
      <w:r w:rsidR="0060265D">
        <w:t xml:space="preserve">, and </w:t>
      </w:r>
      <w:r w:rsidR="0065130C">
        <w:t xml:space="preserve">hit her with a candle holder.  As defendant </w:t>
      </w:r>
      <w:r w:rsidR="00880EAA">
        <w:t xml:space="preserve">was </w:t>
      </w:r>
      <w:r w:rsidR="0065130C">
        <w:t>beating her, Epperson asked why he was doing it.  He told her, “All I wanted you to do was to love me, you kno</w:t>
      </w:r>
      <w:r w:rsidR="0060265D">
        <w:t>w</w:t>
      </w:r>
      <w:r w:rsidR="0065130C">
        <w:t xml:space="preserve">, and you wouldn’t do that.” </w:t>
      </w:r>
      <w:r w:rsidR="006665B6">
        <w:t xml:space="preserve"> </w:t>
      </w:r>
      <w:r w:rsidR="00F66A39">
        <w:t>At some point</w:t>
      </w:r>
      <w:r w:rsidR="0065130C">
        <w:t xml:space="preserve"> </w:t>
      </w:r>
      <w:r w:rsidR="000F2CDA">
        <w:t xml:space="preserve">during the beating </w:t>
      </w:r>
      <w:r w:rsidR="0065130C">
        <w:t>she asked, “Are you going to kill me, Troy</w:t>
      </w:r>
      <w:r w:rsidR="0060265D">
        <w:t>?</w:t>
      </w:r>
      <w:r w:rsidR="0065130C">
        <w:t xml:space="preserve">” and he responded, “Yes, Tammy, I am.  I am going to kill you.” </w:t>
      </w:r>
      <w:r w:rsidR="006665B6">
        <w:t xml:space="preserve"> </w:t>
      </w:r>
      <w:r w:rsidR="00324738">
        <w:t>D</w:t>
      </w:r>
      <w:r w:rsidR="0065130C">
        <w:t xml:space="preserve">efendant </w:t>
      </w:r>
      <w:r w:rsidR="005966A9">
        <w:t>tol</w:t>
      </w:r>
      <w:r w:rsidR="0065130C">
        <w:t>d</w:t>
      </w:r>
      <w:r w:rsidR="005966A9">
        <w:t xml:space="preserve"> Vannoy</w:t>
      </w:r>
      <w:r w:rsidR="0065130C">
        <w:t xml:space="preserve"> he cut both sides of Epperson’s neck with glass, hit her on the head with a woode</w:t>
      </w:r>
      <w:r w:rsidR="0060265D">
        <w:t>n</w:t>
      </w:r>
      <w:r w:rsidR="0065130C">
        <w:t xml:space="preserve"> stool and a big lamp, and </w:t>
      </w:r>
      <w:r w:rsidR="00F66A39">
        <w:t>drove</w:t>
      </w:r>
      <w:r w:rsidR="0065130C">
        <w:t xml:space="preserve"> a screwdriver or ice pick </w:t>
      </w:r>
      <w:r w:rsidR="00F66A39">
        <w:t xml:space="preserve">into her </w:t>
      </w:r>
      <w:r w:rsidR="0065130C">
        <w:t>head, leaving a</w:t>
      </w:r>
      <w:r w:rsidR="00F66A39">
        <w:t xml:space="preserve"> “big </w:t>
      </w:r>
      <w:r w:rsidR="0065130C">
        <w:t>hole</w:t>
      </w:r>
      <w:r w:rsidR="00F66A39">
        <w:t>”</w:t>
      </w:r>
      <w:r w:rsidR="0065130C">
        <w:t xml:space="preserve"> in her forehead.</w:t>
      </w:r>
    </w:p>
    <w:p w:rsidR="00A44BD5" w:rsidRDefault="0065130C" w:rsidP="00A44BD5">
      <w:pPr>
        <w:spacing w:line="480" w:lineRule="atLeast"/>
        <w:ind w:firstLine="720"/>
      </w:pPr>
      <w:r>
        <w:t xml:space="preserve">After some sleep, defendant </w:t>
      </w:r>
      <w:r w:rsidR="000F2CDA">
        <w:t xml:space="preserve">signed over ownership of his truck to Vannoy and then </w:t>
      </w:r>
      <w:r>
        <w:t xml:space="preserve">asked Vannoy to take him to Hollywood.  </w:t>
      </w:r>
      <w:r w:rsidR="00880EAA">
        <w:t>When Vannoy dropped him off, d</w:t>
      </w:r>
      <w:r w:rsidR="0060265D">
        <w:t xml:space="preserve">efendant </w:t>
      </w:r>
      <w:r w:rsidR="00880EAA">
        <w:t>said</w:t>
      </w:r>
      <w:r>
        <w:t xml:space="preserve"> he was going </w:t>
      </w:r>
      <w:r w:rsidR="00880EAA">
        <w:t>“</w:t>
      </w:r>
      <w:r>
        <w:t>to have fun for a couple days</w:t>
      </w:r>
      <w:r w:rsidR="00880EAA">
        <w:t>”</w:t>
      </w:r>
      <w:r>
        <w:t xml:space="preserve"> and then turn himself in.</w:t>
      </w:r>
      <w:r w:rsidR="00A44BD5">
        <w:t xml:space="preserve">  He</w:t>
      </w:r>
      <w:r w:rsidR="000F2CDA">
        <w:t xml:space="preserve"> said he</w:t>
      </w:r>
      <w:r w:rsidR="00A44BD5">
        <w:t xml:space="preserve"> </w:t>
      </w:r>
      <w:r w:rsidR="00324738">
        <w:t xml:space="preserve">first </w:t>
      </w:r>
      <w:r w:rsidR="00A44BD5">
        <w:t xml:space="preserve">intended to </w:t>
      </w:r>
      <w:r w:rsidR="00E37755">
        <w:t xml:space="preserve">steal money from </w:t>
      </w:r>
      <w:r w:rsidR="00A44BD5">
        <w:t>Epperson’s place of employment, us</w:t>
      </w:r>
      <w:r w:rsidR="003721F7">
        <w:t>ing keys he had taken from her.</w:t>
      </w:r>
    </w:p>
    <w:p w:rsidR="00FB5CF4" w:rsidRDefault="00A44BD5" w:rsidP="00FB5CF4">
      <w:pPr>
        <w:spacing w:line="480" w:lineRule="atLeast"/>
        <w:ind w:firstLine="720"/>
      </w:pPr>
      <w:r>
        <w:t xml:space="preserve">The prosecution </w:t>
      </w:r>
      <w:r w:rsidR="00324738">
        <w:t>also</w:t>
      </w:r>
      <w:r>
        <w:t xml:space="preserve"> called a detective who had </w:t>
      </w:r>
      <w:r w:rsidR="005966A9">
        <w:t>search</w:t>
      </w:r>
      <w:r>
        <w:t xml:space="preserve">ed Epperson’s apartment.  The detective stated that </w:t>
      </w:r>
      <w:r w:rsidR="00B13F3A">
        <w:t xml:space="preserve">he found </w:t>
      </w:r>
      <w:r w:rsidR="00750CBB">
        <w:t>a broken candle holder in the bathroom a</w:t>
      </w:r>
      <w:r w:rsidR="00B13F3A">
        <w:t>nd</w:t>
      </w:r>
      <w:r w:rsidR="00750CBB">
        <w:t xml:space="preserve"> a broken stool and lamp</w:t>
      </w:r>
      <w:r w:rsidR="0060265D">
        <w:t xml:space="preserve"> elsewhere</w:t>
      </w:r>
      <w:r w:rsidR="00750CBB">
        <w:t xml:space="preserve">.  The officer had also seen “a hole to the middle of [Epperson’s] head” when he observed the body. </w:t>
      </w:r>
      <w:r w:rsidR="006665B6">
        <w:t xml:space="preserve"> </w:t>
      </w:r>
      <w:r w:rsidR="00750CBB">
        <w:t xml:space="preserve">The detective later went to Epperson’s place of employment and confirmed that the keys found </w:t>
      </w:r>
      <w:r w:rsidR="00B13F3A">
        <w:t>in defendant’s possession</w:t>
      </w:r>
      <w:r w:rsidR="00750CBB">
        <w:t xml:space="preserve"> at the time of his arrest fit the locks on its doors.  </w:t>
      </w:r>
      <w:r w:rsidR="00B13F3A">
        <w:t>Finally, the detective</w:t>
      </w:r>
      <w:r w:rsidR="00750CBB">
        <w:t xml:space="preserve"> describe</w:t>
      </w:r>
      <w:r w:rsidR="0060265D">
        <w:t>d</w:t>
      </w:r>
      <w:r w:rsidR="00750CBB">
        <w:t xml:space="preserve"> various wounds on defendant’s body at the time of his arrest, including cuts and bruising on his hands, a small cut on his forehead, </w:t>
      </w:r>
      <w:r w:rsidR="003721F7">
        <w:t>and a one-inch cut on his calf.</w:t>
      </w:r>
    </w:p>
    <w:p w:rsidR="00B13F3A" w:rsidRDefault="00FB5CF4" w:rsidP="00FB5CF4">
      <w:pPr>
        <w:pStyle w:val="Heading2"/>
      </w:pPr>
      <w:bookmarkStart w:id="6" w:name="_Toc508625869"/>
      <w:r>
        <w:t xml:space="preserve">B.  </w:t>
      </w:r>
      <w:r w:rsidR="0018268A">
        <w:t>Sanity Phase Evidence</w:t>
      </w:r>
      <w:bookmarkEnd w:id="6"/>
    </w:p>
    <w:p w:rsidR="00FB5CF4" w:rsidRDefault="00B13F3A" w:rsidP="00FB5CF4">
      <w:pPr>
        <w:spacing w:line="480" w:lineRule="atLeast"/>
        <w:ind w:firstLine="720"/>
      </w:pPr>
      <w:r>
        <w:t>Following defendant’s conviction in the guilt phase, the same jury heard the trial of defendant’s insanity defense.</w:t>
      </w:r>
    </w:p>
    <w:p w:rsidR="005B0346" w:rsidRDefault="00FB5CF4" w:rsidP="00FB5CF4">
      <w:pPr>
        <w:pStyle w:val="Heading3"/>
      </w:pPr>
      <w:bookmarkStart w:id="7" w:name="_Toc508625870"/>
      <w:r>
        <w:t xml:space="preserve">1.  </w:t>
      </w:r>
      <w:r w:rsidR="005B0346">
        <w:t xml:space="preserve">Defense </w:t>
      </w:r>
      <w:r w:rsidR="00F80372">
        <w:t>e</w:t>
      </w:r>
      <w:r w:rsidR="005B0346">
        <w:t>vidence</w:t>
      </w:r>
      <w:bookmarkEnd w:id="7"/>
    </w:p>
    <w:p w:rsidR="00FC7E9F" w:rsidRDefault="00EC33B1" w:rsidP="005966A9">
      <w:pPr>
        <w:pStyle w:val="NormalIndent"/>
        <w:spacing w:line="480" w:lineRule="atLeast"/>
        <w:ind w:left="0" w:firstLine="720"/>
      </w:pPr>
      <w:r>
        <w:t xml:space="preserve">Kyle Boone, </w:t>
      </w:r>
      <w:r w:rsidR="00B13F3A">
        <w:t xml:space="preserve">Ph.D., </w:t>
      </w:r>
      <w:r>
        <w:t>a clinical neuropsychologist, administered</w:t>
      </w:r>
      <w:r w:rsidR="005966A9">
        <w:t xml:space="preserve"> to defendant</w:t>
      </w:r>
      <w:r>
        <w:t xml:space="preserve"> a series of “objective</w:t>
      </w:r>
      <w:r w:rsidR="00B13F3A">
        <w:t>”</w:t>
      </w:r>
      <w:r>
        <w:t xml:space="preserve"> standardized tests designed to detect brain abnormalities. </w:t>
      </w:r>
      <w:r w:rsidR="006665B6">
        <w:t xml:space="preserve"> </w:t>
      </w:r>
      <w:r>
        <w:t>Dr. Boo</w:t>
      </w:r>
      <w:r w:rsidR="00AD7E00">
        <w:t>ne found defendant’s intelligence</w:t>
      </w:r>
      <w:r>
        <w:t xml:space="preserve"> to be at the low end of the average range. </w:t>
      </w:r>
      <w:r w:rsidR="006665B6">
        <w:t xml:space="preserve"> </w:t>
      </w:r>
      <w:r w:rsidR="00BE2543">
        <w:t>Defendant did “well” on most of the characteristics measured</w:t>
      </w:r>
      <w:r w:rsidR="00324738">
        <w:t>,</w:t>
      </w:r>
      <w:r w:rsidR="00BE2543">
        <w:t xml:space="preserve"> but his problem solving skills, involving reasoning and logic, were “very low, very impaired.” </w:t>
      </w:r>
      <w:r w:rsidR="006665B6">
        <w:t xml:space="preserve"> </w:t>
      </w:r>
      <w:r w:rsidR="00BE2543">
        <w:t>The tests on which defendant performed poorly measure</w:t>
      </w:r>
      <w:r w:rsidR="00B13F3A">
        <w:t>d</w:t>
      </w:r>
      <w:r w:rsidR="00BE2543">
        <w:t xml:space="preserve"> the ability to think creatively to solve problems, evalu</w:t>
      </w:r>
      <w:r w:rsidR="00AD7E00">
        <w:t>a</w:t>
      </w:r>
      <w:r w:rsidR="00BE2543">
        <w:t>te the consequences of behavior, and cease behavior that is not appropriate to a situation.</w:t>
      </w:r>
      <w:r w:rsidR="006665B6">
        <w:t xml:space="preserve"> </w:t>
      </w:r>
      <w:r w:rsidR="00BE2543">
        <w:t xml:space="preserve"> </w:t>
      </w:r>
      <w:r w:rsidR="00160197">
        <w:t>On a test that measur</w:t>
      </w:r>
      <w:r w:rsidR="00B13F3A">
        <w:t>ed</w:t>
      </w:r>
      <w:r w:rsidR="00160197">
        <w:t xml:space="preserve"> the “ability to inhibit,” or to stop behavior that is inappropriate or incorrect, defendant scored in the </w:t>
      </w:r>
      <w:r w:rsidR="00B93EC2">
        <w:t>second</w:t>
      </w:r>
      <w:r w:rsidR="00160197">
        <w:t xml:space="preserve"> percentile, suggesting “that in his daily life he would have a great deal of </w:t>
      </w:r>
      <w:r w:rsidR="00EC7A92">
        <w:t xml:space="preserve">difficulty stopping a </w:t>
      </w:r>
      <w:r w:rsidR="00160197">
        <w:t xml:space="preserve">behavior that was not appropriate to the situation.” </w:t>
      </w:r>
    </w:p>
    <w:p w:rsidR="00EC7A92" w:rsidRPr="005B0346" w:rsidRDefault="00EC7A92" w:rsidP="00EC33B1">
      <w:pPr>
        <w:pStyle w:val="NormalIndent"/>
        <w:spacing w:line="480" w:lineRule="atLeast"/>
        <w:ind w:left="0" w:firstLine="720"/>
      </w:pPr>
      <w:r>
        <w:t>Dr. Boone concluded that defendant’s poor performance on these particular tests demonstrated that the frontal lobes of his brain, which enable problem solving, emotional expression, and empathy, were “not working correctly” due to “brain damage or brain dysfunction.”</w:t>
      </w:r>
      <w:r w:rsidR="006665B6">
        <w:t xml:space="preserve"> </w:t>
      </w:r>
      <w:r w:rsidR="003721F7">
        <w:t xml:space="preserve"> </w:t>
      </w:r>
      <w:r>
        <w:t xml:space="preserve">The dysfunction would cause defendant to make bad decisions and lose control of his behavior.  Stressful circumstances and alcohol would worsen this effect. </w:t>
      </w:r>
      <w:r w:rsidR="006665B6">
        <w:t xml:space="preserve"> </w:t>
      </w:r>
      <w:r w:rsidR="00F221DC">
        <w:t>According to Dr. Boone, a person who performed like defendant</w:t>
      </w:r>
      <w:r w:rsidR="005A24BC">
        <w:t xml:space="preserve"> did</w:t>
      </w:r>
      <w:r w:rsidR="00F221DC">
        <w:t xml:space="preserve"> on the tests “really doesn’t have t</w:t>
      </w:r>
      <w:r w:rsidR="00AD7E00">
        <w:t>he brain equipment, the hardware, so to spea</w:t>
      </w:r>
      <w:r w:rsidR="00F221DC">
        <w:t>k, to control their behavior.  They simply don’t have the apparatus to make reasoned decision</w:t>
      </w:r>
      <w:r w:rsidR="00324738">
        <w:t>s</w:t>
      </w:r>
      <w:r w:rsidR="00F221DC">
        <w:t xml:space="preserve"> abou</w:t>
      </w:r>
      <w:r w:rsidR="00324738">
        <w:t>t their behavior.”</w:t>
      </w:r>
    </w:p>
    <w:p w:rsidR="005B0346" w:rsidRDefault="00F221DC" w:rsidP="00F221DC">
      <w:pPr>
        <w:pStyle w:val="NormalIndent"/>
        <w:spacing w:line="480" w:lineRule="atLeast"/>
        <w:ind w:left="0" w:firstLine="720"/>
      </w:pPr>
      <w:r>
        <w:t xml:space="preserve">Part of </w:t>
      </w:r>
      <w:r w:rsidR="00B13F3A">
        <w:t>Dr. Boone’s</w:t>
      </w:r>
      <w:r>
        <w:t xml:space="preserve"> testing involved an evaluation of </w:t>
      </w:r>
      <w:r w:rsidR="001C6BA2">
        <w:t>defendant</w:t>
      </w:r>
      <w:r>
        <w:t>’s good faith in participating in the tests, and Dr. Boone</w:t>
      </w:r>
      <w:r w:rsidR="001C6BA2">
        <w:t>, a specialist in detecting malingering,</w:t>
      </w:r>
      <w:r>
        <w:t xml:space="preserve"> concluded </w:t>
      </w:r>
      <w:r w:rsidR="00EF3536">
        <w:t>defendant</w:t>
      </w:r>
      <w:r>
        <w:t xml:space="preserve"> was “doing his best on the testing,” rather than faking symptoms. </w:t>
      </w:r>
      <w:r w:rsidR="006665B6">
        <w:t xml:space="preserve"> </w:t>
      </w:r>
      <w:r>
        <w:t xml:space="preserve">In addition, </w:t>
      </w:r>
      <w:r w:rsidR="001C6BA2">
        <w:t xml:space="preserve">as she pointed out, </w:t>
      </w:r>
      <w:r>
        <w:t xml:space="preserve">defendant’s normal </w:t>
      </w:r>
      <w:r w:rsidR="00FC7E9F">
        <w:t xml:space="preserve">to excellent </w:t>
      </w:r>
      <w:r>
        <w:t xml:space="preserve">performance on many of the tests </w:t>
      </w:r>
      <w:r w:rsidR="00FC7E9F">
        <w:t xml:space="preserve">and consistently poor performance on others </w:t>
      </w:r>
      <w:r w:rsidR="001C6BA2">
        <w:t>was inconsistent with</w:t>
      </w:r>
      <w:r w:rsidR="00FC7E9F">
        <w:t xml:space="preserve"> malingering, since he would have had to know </w:t>
      </w:r>
      <w:r w:rsidR="00EF3536">
        <w:t xml:space="preserve">on </w:t>
      </w:r>
      <w:r w:rsidR="00FC7E9F">
        <w:t>whi</w:t>
      </w:r>
      <w:r w:rsidR="003721F7">
        <w:t>ch tests to do well and poorly.</w:t>
      </w:r>
    </w:p>
    <w:p w:rsidR="001C6BA2" w:rsidRDefault="001C6BA2" w:rsidP="00F221DC">
      <w:pPr>
        <w:pStyle w:val="NormalIndent"/>
        <w:spacing w:line="480" w:lineRule="atLeast"/>
        <w:ind w:left="0" w:firstLine="720"/>
      </w:pPr>
      <w:r>
        <w:t xml:space="preserve">Roger Bertoldi, </w:t>
      </w:r>
      <w:r w:rsidR="00A80C88">
        <w:t xml:space="preserve">M.D., </w:t>
      </w:r>
      <w:r>
        <w:t xml:space="preserve">a neurophysiologist, </w:t>
      </w:r>
      <w:r w:rsidR="008F7387">
        <w:t xml:space="preserve">testified regarding the occurrence and effect of brain seizures, generically referred to as epilepsy. </w:t>
      </w:r>
      <w:r w:rsidR="006665B6">
        <w:t xml:space="preserve"> </w:t>
      </w:r>
      <w:r w:rsidR="008F7387">
        <w:t xml:space="preserve">Some types of epilepsy, in particular temporal lobe epilepsy, can result in a loss of control, leading to acts of violence.  A seizure of this type can result in uncontrollable rage. </w:t>
      </w:r>
      <w:r w:rsidR="006665B6">
        <w:t xml:space="preserve"> </w:t>
      </w:r>
      <w:r w:rsidR="008F7387">
        <w:t xml:space="preserve">Defendant began suffering seizures before he was three years old. </w:t>
      </w:r>
      <w:r w:rsidR="006665B6">
        <w:t xml:space="preserve"> </w:t>
      </w:r>
      <w:r w:rsidR="00EF3536">
        <w:t>His s</w:t>
      </w:r>
      <w:r w:rsidR="000727D9">
        <w:t>eizure</w:t>
      </w:r>
      <w:r w:rsidR="00EF3536">
        <w:t>s continued periodically during</w:t>
      </w:r>
      <w:r w:rsidR="000727D9">
        <w:t xml:space="preserve"> childhood, leading Dr. Bertoldi to conclude defendant suffered from “true epilepsy,” caused by abnormal brain activity.</w:t>
      </w:r>
      <w:r w:rsidR="006665B6">
        <w:t xml:space="preserve"> </w:t>
      </w:r>
      <w:r w:rsidR="000727D9">
        <w:t xml:space="preserve"> As an adult, </w:t>
      </w:r>
      <w:r w:rsidR="00A80C88">
        <w:t xml:space="preserve">Dr. Bertoldi testified, </w:t>
      </w:r>
      <w:r w:rsidR="000727D9">
        <w:t>defendant continues to exhibit symptoms of nocturnal seizu</w:t>
      </w:r>
      <w:r w:rsidR="00AD7E00">
        <w:t>r</w:t>
      </w:r>
      <w:r w:rsidR="000727D9">
        <w:t xml:space="preserve">es. </w:t>
      </w:r>
      <w:r w:rsidR="006665B6">
        <w:t xml:space="preserve"> </w:t>
      </w:r>
      <w:r w:rsidR="000727D9">
        <w:t xml:space="preserve">An electroencephalogram (EEG) performed on defendant demonstrated two abnormalities.  First, the frontal portion of his brain had “too much slow activity,” </w:t>
      </w:r>
      <w:r w:rsidR="00A80C88">
        <w:t>which showed</w:t>
      </w:r>
      <w:r w:rsidR="000727D9">
        <w:t xml:space="preserve"> that</w:t>
      </w:r>
      <w:r w:rsidR="00EF3536">
        <w:t xml:space="preserve"> this</w:t>
      </w:r>
      <w:r w:rsidR="000727D9">
        <w:t xml:space="preserve"> portion of his brain “is not functioning correctly.” </w:t>
      </w:r>
      <w:r w:rsidR="006665B6">
        <w:t xml:space="preserve"> </w:t>
      </w:r>
      <w:r w:rsidR="00EF3536">
        <w:t>To this extent</w:t>
      </w:r>
      <w:r w:rsidR="00291B31">
        <w:t>, Dr. Bertoldi</w:t>
      </w:r>
      <w:r w:rsidR="00324738">
        <w:t xml:space="preserve"> said, hi</w:t>
      </w:r>
      <w:r w:rsidR="00291B31">
        <w:t xml:space="preserve">s findings were consistent with those of Dr. Boone. </w:t>
      </w:r>
      <w:r w:rsidR="006665B6">
        <w:t xml:space="preserve"> </w:t>
      </w:r>
      <w:r w:rsidR="00291B31">
        <w:t xml:space="preserve">Second, defendant’s EEG </w:t>
      </w:r>
      <w:r w:rsidR="00A80C88">
        <w:t>indicat</w:t>
      </w:r>
      <w:r w:rsidR="00291B31">
        <w:t xml:space="preserve">ed “paroxysmal activity,” periodic spikes of activity that arose and receded, which is also “consistent with underlying brain dysfunction.” </w:t>
      </w:r>
      <w:r w:rsidR="006665B6">
        <w:t xml:space="preserve"> </w:t>
      </w:r>
      <w:r w:rsidR="00291B31">
        <w:t>A computer analysis confirmed the abnormal slow function in the</w:t>
      </w:r>
      <w:r w:rsidR="00AD7E00">
        <w:t xml:space="preserve"> front of defendant’s brain, de</w:t>
      </w:r>
      <w:r w:rsidR="00291B31">
        <w:t>tected in fewer than 1</w:t>
      </w:r>
      <w:r w:rsidR="00A80C88">
        <w:t xml:space="preserve"> percent</w:t>
      </w:r>
      <w:r w:rsidR="00291B31">
        <w:t xml:space="preserve"> of </w:t>
      </w:r>
      <w:r w:rsidR="00A80C88">
        <w:t xml:space="preserve">the population </w:t>
      </w:r>
      <w:r w:rsidR="00C20C4C">
        <w:t>and suggesting defendant suffered from epilepsy</w:t>
      </w:r>
      <w:r w:rsidR="00291B31">
        <w:t xml:space="preserve">. </w:t>
      </w:r>
      <w:r w:rsidR="006665B6">
        <w:t xml:space="preserve"> </w:t>
      </w:r>
      <w:r w:rsidR="00C20C4C">
        <w:t>Defendant was prescribed Depakote to control the seizures by limiting the penetration of abnormal activity into his brain.  Defendant</w:t>
      </w:r>
      <w:r w:rsidR="00A80C88">
        <w:t xml:space="preserve"> had</w:t>
      </w:r>
      <w:r w:rsidR="00C20C4C">
        <w:t xml:space="preserve"> told Dr. Bertoldi that prior to the various violent episodes in his life, he had ceased taking the </w:t>
      </w:r>
      <w:r w:rsidR="00A80C88">
        <w:t>drug.  This coincidence, in Dr. Bertoldi’s view,</w:t>
      </w:r>
      <w:r w:rsidR="00C20C4C">
        <w:t xml:space="preserve"> connect</w:t>
      </w:r>
      <w:r w:rsidR="00A80C88">
        <w:t>ed</w:t>
      </w:r>
      <w:r w:rsidR="00C20C4C">
        <w:t xml:space="preserve"> the violent episodes to an underlying epileptic disorder. </w:t>
      </w:r>
      <w:r w:rsidR="006665B6">
        <w:t xml:space="preserve"> </w:t>
      </w:r>
      <w:r w:rsidR="00A80C88">
        <w:t>In Dr. Bertoldi’s experience, e</w:t>
      </w:r>
      <w:r w:rsidR="00C20C4C">
        <w:t xml:space="preserve">pileptic patients commonly describe a sense of disassociation from their conduct at the time of a seizure. </w:t>
      </w:r>
      <w:r w:rsidR="006665B6">
        <w:t xml:space="preserve"> </w:t>
      </w:r>
      <w:r w:rsidR="00A80C88">
        <w:t>He explained that t</w:t>
      </w:r>
      <w:r w:rsidR="00C20C4C">
        <w:t xml:space="preserve">he type of </w:t>
      </w:r>
      <w:r w:rsidR="00A80C88">
        <w:t xml:space="preserve">brain </w:t>
      </w:r>
      <w:r w:rsidR="00C20C4C">
        <w:t xml:space="preserve">dysfunction </w:t>
      </w:r>
      <w:r w:rsidR="00A80C88">
        <w:t xml:space="preserve">he </w:t>
      </w:r>
      <w:r w:rsidR="00C20C4C">
        <w:t>observed in defendant can result in “extraordinary rage like a primitive, very primitive rage.”</w:t>
      </w:r>
    </w:p>
    <w:p w:rsidR="00160B22" w:rsidRDefault="00160B22" w:rsidP="00F221DC">
      <w:pPr>
        <w:pStyle w:val="NormalIndent"/>
        <w:spacing w:line="480" w:lineRule="atLeast"/>
        <w:ind w:left="0" w:firstLine="720"/>
      </w:pPr>
      <w:r>
        <w:t>Saul Niedorf</w:t>
      </w:r>
      <w:r w:rsidR="00A80C88">
        <w:t>, M.D.,</w:t>
      </w:r>
      <w:r>
        <w:t xml:space="preserve"> is a psychiatrist who often work</w:t>
      </w:r>
      <w:r w:rsidR="00A80C88">
        <w:t>ed</w:t>
      </w:r>
      <w:r>
        <w:t xml:space="preserve"> with the victims and perpetrators of domestic violence. </w:t>
      </w:r>
      <w:r w:rsidR="006665B6">
        <w:t xml:space="preserve"> </w:t>
      </w:r>
      <w:r>
        <w:t xml:space="preserve">Based on three interviews with defendant during his incarceration and </w:t>
      </w:r>
      <w:r w:rsidR="00DB7D33">
        <w:t>Dr. Nied</w:t>
      </w:r>
      <w:r w:rsidR="00A80C88">
        <w:t xml:space="preserve">orf’s </w:t>
      </w:r>
      <w:r>
        <w:t xml:space="preserve">review of </w:t>
      </w:r>
      <w:r w:rsidR="003C2ED5">
        <w:t>“a dozen” reports</w:t>
      </w:r>
      <w:r w:rsidR="00CE4321">
        <w:t xml:space="preserve"> on defendant</w:t>
      </w:r>
      <w:r>
        <w:t xml:space="preserve">, </w:t>
      </w:r>
      <w:r w:rsidR="00A80C88">
        <w:t>he</w:t>
      </w:r>
      <w:r>
        <w:t xml:space="preserve"> concluded </w:t>
      </w:r>
      <w:r w:rsidR="00A80C88">
        <w:t>d</w:t>
      </w:r>
      <w:r w:rsidR="00CE4321">
        <w:t>e</w:t>
      </w:r>
      <w:r w:rsidR="00A80C88">
        <w:t>fendant</w:t>
      </w:r>
      <w:r>
        <w:t xml:space="preserve"> suffer</w:t>
      </w:r>
      <w:r w:rsidR="00CE4321">
        <w:t>s</w:t>
      </w:r>
      <w:r>
        <w:t xml:space="preserve"> from</w:t>
      </w:r>
      <w:r w:rsidR="00CE4321">
        <w:t xml:space="preserve"> a mental condition known as</w:t>
      </w:r>
      <w:r>
        <w:t xml:space="preserve"> </w:t>
      </w:r>
      <w:r w:rsidR="00CE4321">
        <w:t>“</w:t>
      </w:r>
      <w:r>
        <w:t>intermittent explosive disorder</w:t>
      </w:r>
      <w:r w:rsidR="00CE4321">
        <w:t>,”</w:t>
      </w:r>
      <w:r>
        <w:t xml:space="preserve"> </w:t>
      </w:r>
      <w:r w:rsidR="00A80C88">
        <w:t xml:space="preserve">which is </w:t>
      </w:r>
      <w:r>
        <w:t>characterized by destructive or violent actions that occur suddenly and lack a “cutoff</w:t>
      </w:r>
      <w:r w:rsidR="00066653">
        <w:t>.</w:t>
      </w:r>
      <w:r>
        <w:t xml:space="preserve">” </w:t>
      </w:r>
      <w:r w:rsidR="006665B6">
        <w:t xml:space="preserve"> </w:t>
      </w:r>
      <w:r w:rsidR="00CE4321">
        <w:t>Dr. Niedorf based his diagnosis on</w:t>
      </w:r>
      <w:r w:rsidR="00A80C88">
        <w:t xml:space="preserve"> a number of factors, including (1)</w:t>
      </w:r>
      <w:r w:rsidR="00CE4321">
        <w:t xml:space="preserve"> defendant’s history of neurological abnormalities from an early age,</w:t>
      </w:r>
      <w:r w:rsidR="00A80C88">
        <w:t xml:space="preserve"> (2)</w:t>
      </w:r>
      <w:r w:rsidR="00CE4321">
        <w:t xml:space="preserve"> the continued presence of slow brain waves in his recent EEG, which indicate</w:t>
      </w:r>
      <w:r w:rsidR="00324738">
        <w:t>d</w:t>
      </w:r>
      <w:r w:rsidR="00CE4321">
        <w:t xml:space="preserve"> a “failure of development,” </w:t>
      </w:r>
      <w:r w:rsidR="00A80C88">
        <w:t xml:space="preserve">(3) </w:t>
      </w:r>
      <w:r w:rsidR="00CE4321">
        <w:t>Dr. Boone’s testing, which indicate</w:t>
      </w:r>
      <w:r w:rsidR="00324738">
        <w:t>d</w:t>
      </w:r>
      <w:r w:rsidR="00CE4321">
        <w:t xml:space="preserve"> “the absence of a certain kind of function,” </w:t>
      </w:r>
      <w:r w:rsidR="00A85556">
        <w:t xml:space="preserve">and </w:t>
      </w:r>
      <w:r w:rsidR="00A80C88">
        <w:t xml:space="preserve">(4) </w:t>
      </w:r>
      <w:r w:rsidR="00CE4321">
        <w:t xml:space="preserve">a recent </w:t>
      </w:r>
      <w:r w:rsidR="00211160">
        <w:t>positron emission tomography (</w:t>
      </w:r>
      <w:r w:rsidR="00CE4321">
        <w:t>PET</w:t>
      </w:r>
      <w:r w:rsidR="00E62D94">
        <w:t>)</w:t>
      </w:r>
      <w:r w:rsidR="00CE4321">
        <w:t xml:space="preserve"> scan showing areas of abnormally low activity in defendant’s brain,</w:t>
      </w:r>
      <w:r w:rsidR="00324738">
        <w:t xml:space="preserve"> which</w:t>
      </w:r>
      <w:r w:rsidR="00CE4321">
        <w:t xml:space="preserve"> </w:t>
      </w:r>
      <w:r w:rsidR="00A85556">
        <w:t>suggest</w:t>
      </w:r>
      <w:r w:rsidR="00324738">
        <w:t>ed</w:t>
      </w:r>
      <w:r w:rsidR="00A85556">
        <w:t xml:space="preserve"> that his brain lacked the capacity to inhibit his rage once it start</w:t>
      </w:r>
      <w:r w:rsidR="00E62D94">
        <w:t>ed</w:t>
      </w:r>
      <w:r w:rsidR="00A85556">
        <w:t>.</w:t>
      </w:r>
      <w:r w:rsidR="00CE4321">
        <w:t xml:space="preserve"> </w:t>
      </w:r>
      <w:r w:rsidR="006665B6">
        <w:t xml:space="preserve"> </w:t>
      </w:r>
      <w:r w:rsidR="00A85556">
        <w:t>In addition,</w:t>
      </w:r>
      <w:r w:rsidR="00E62D94">
        <w:t xml:space="preserve"> Dr. Niedorf observed,</w:t>
      </w:r>
      <w:r w:rsidR="00A85556">
        <w:t xml:space="preserve"> the harsh facts of defendant’s </w:t>
      </w:r>
      <w:r w:rsidR="00E62D94">
        <w:t>upbringing</w:t>
      </w:r>
      <w:r w:rsidR="00A85556">
        <w:t xml:space="preserve"> demonstrate</w:t>
      </w:r>
      <w:r w:rsidR="00E62D94">
        <w:t>d</w:t>
      </w:r>
      <w:r w:rsidR="00A85556">
        <w:t xml:space="preserve"> that he was “programmed for violence” by the brutal conduct of </w:t>
      </w:r>
      <w:r w:rsidR="00EF3536">
        <w:t>an</w:t>
      </w:r>
      <w:r w:rsidR="00A85556">
        <w:t xml:space="preserve"> abusive father toward his family members, </w:t>
      </w:r>
      <w:r w:rsidR="00E62D94">
        <w:t>conduct that</w:t>
      </w:r>
      <w:r w:rsidR="00A85556">
        <w:t xml:space="preserve"> </w:t>
      </w:r>
      <w:r w:rsidR="00EF3536">
        <w:t>defendant</w:t>
      </w:r>
      <w:r w:rsidR="00E62D94">
        <w:t xml:space="preserve"> internalized. </w:t>
      </w:r>
      <w:r w:rsidR="006665B6">
        <w:t xml:space="preserve"> </w:t>
      </w:r>
      <w:r w:rsidR="00E62D94">
        <w:t>Dr. Niedorf noted that d</w:t>
      </w:r>
      <w:r w:rsidR="00A85556">
        <w:t>efendant</w:t>
      </w:r>
      <w:r w:rsidR="00832E44">
        <w:t xml:space="preserve"> also had a </w:t>
      </w:r>
      <w:r w:rsidR="00A85556">
        <w:t>history of suicide attempts</w:t>
      </w:r>
      <w:r w:rsidR="00832E44">
        <w:t>, beginning in childhood and continuing through his then-current incarceration, w</w:t>
      </w:r>
      <w:r w:rsidR="00E62D94">
        <w:t>hich wa</w:t>
      </w:r>
      <w:r w:rsidR="00832E44">
        <w:t>s</w:t>
      </w:r>
      <w:r w:rsidR="00E62D94">
        <w:t xml:space="preserve"> consistent with </w:t>
      </w:r>
      <w:r w:rsidR="00A85556">
        <w:t>his diagnosis</w:t>
      </w:r>
      <w:r w:rsidR="00832E44">
        <w:t xml:space="preserve">. </w:t>
      </w:r>
      <w:r w:rsidR="006665B6">
        <w:t xml:space="preserve"> </w:t>
      </w:r>
      <w:r w:rsidR="00E62D94">
        <w:t>Further corroborating his diagnosis was d</w:t>
      </w:r>
      <w:r w:rsidR="00832E44">
        <w:t xml:space="preserve">efendant’s positive response to mood stabilizing medications, which reduce a person’s arousal level and prevent excessive agitation. </w:t>
      </w:r>
      <w:r w:rsidR="006665B6">
        <w:t xml:space="preserve"> </w:t>
      </w:r>
      <w:r w:rsidR="00E62D94">
        <w:t>Dr. Niedorf also observed that, beginning in 1993 and continuing to the time of the killing, d</w:t>
      </w:r>
      <w:r w:rsidR="009320B5">
        <w:t xml:space="preserve">efendant had </w:t>
      </w:r>
      <w:r w:rsidR="00E62D94">
        <w:t>been diagnosed repeatedly</w:t>
      </w:r>
      <w:r w:rsidR="009320B5">
        <w:t xml:space="preserve"> with a variety of mental disorders, largely depression, bipolar disorder, and schizophrenia</w:t>
      </w:r>
      <w:r w:rsidR="00E62D94">
        <w:t>.</w:t>
      </w:r>
    </w:p>
    <w:p w:rsidR="008E27DD" w:rsidRDefault="008E27DD" w:rsidP="00F221DC">
      <w:pPr>
        <w:pStyle w:val="NormalIndent"/>
        <w:spacing w:line="480" w:lineRule="atLeast"/>
        <w:ind w:left="0" w:firstLine="720"/>
      </w:pPr>
      <w:r>
        <w:t xml:space="preserve">In Dr. Niedorf’s view, defendant </w:t>
      </w:r>
      <w:r w:rsidR="00AE4FDB">
        <w:t xml:space="preserve">met the legal definition of insanity at the time he committed the killing. </w:t>
      </w:r>
      <w:r w:rsidR="006665B6">
        <w:t xml:space="preserve"> </w:t>
      </w:r>
      <w:r w:rsidR="00AE4FDB">
        <w:t xml:space="preserve">He </w:t>
      </w:r>
      <w:r w:rsidR="00117836">
        <w:t>ne</w:t>
      </w:r>
      <w:r w:rsidR="00AD7E00">
        <w:t>i</w:t>
      </w:r>
      <w:r w:rsidR="00117836">
        <w:t xml:space="preserve">ther knew nor understood </w:t>
      </w:r>
      <w:r>
        <w:t>the nature and quality of his actions at the time he was beating Epperson</w:t>
      </w:r>
      <w:r w:rsidR="00AE4FDB">
        <w:t>, existing instead</w:t>
      </w:r>
      <w:r>
        <w:t xml:space="preserve"> in an altered state of consciousness in which he failed to feel empathy or recognize the significance of his actions. </w:t>
      </w:r>
      <w:r w:rsidR="006665B6">
        <w:t xml:space="preserve"> </w:t>
      </w:r>
      <w:r>
        <w:t xml:space="preserve">He may have been aware, at the time, of the events occurring, but he was unable to register the emotions associated with the events until later. </w:t>
      </w:r>
      <w:r w:rsidR="006665B6">
        <w:t xml:space="preserve"> </w:t>
      </w:r>
      <w:r>
        <w:t xml:space="preserve">Nor </w:t>
      </w:r>
      <w:r w:rsidR="00000A75">
        <w:t>coul</w:t>
      </w:r>
      <w:r>
        <w:t xml:space="preserve">d defendant distinguish right from wrong because, at the time, the parts of his brain that initiate good behaviors and stop bad behaviors, his frontal and temporal lobes, were not </w:t>
      </w:r>
      <w:r w:rsidR="00E62D94">
        <w:t>function</w:t>
      </w:r>
      <w:r>
        <w:t xml:space="preserve">ing. </w:t>
      </w:r>
      <w:r w:rsidR="006665B6">
        <w:t xml:space="preserve"> </w:t>
      </w:r>
      <w:r w:rsidR="00AE4FDB">
        <w:t>Given the “practiced” nature of the behaviors, he neither voluntarily initiated them nor had the ability to stop</w:t>
      </w:r>
      <w:r w:rsidR="00E62D94">
        <w:t xml:space="preserve"> them</w:t>
      </w:r>
      <w:r w:rsidR="00AE4FDB">
        <w:t xml:space="preserve"> once they had begun</w:t>
      </w:r>
      <w:r w:rsidR="00E62D94">
        <w:t>, and h</w:t>
      </w:r>
      <w:r w:rsidR="00AE4FDB">
        <w:t>e was not conscious of his c</w:t>
      </w:r>
      <w:r w:rsidR="003721F7">
        <w:t>onduct at the time it occurred.</w:t>
      </w:r>
    </w:p>
    <w:p w:rsidR="00D233A0" w:rsidRDefault="00D233A0" w:rsidP="00F221DC">
      <w:pPr>
        <w:pStyle w:val="NormalIndent"/>
        <w:spacing w:line="480" w:lineRule="atLeast"/>
        <w:ind w:left="0" w:firstLine="720"/>
      </w:pPr>
      <w:r>
        <w:t>William Vicary</w:t>
      </w:r>
      <w:r w:rsidR="00177E2D">
        <w:t xml:space="preserve">, </w:t>
      </w:r>
      <w:r w:rsidR="00E62D94">
        <w:t xml:space="preserve">M.D., </w:t>
      </w:r>
      <w:r w:rsidR="00177E2D">
        <w:t>a psychiatrist, first evaluated defendant in 1993 and</w:t>
      </w:r>
      <w:r w:rsidR="00E62D94">
        <w:t xml:space="preserve"> 1994, when he was retained by the</w:t>
      </w:r>
      <w:r w:rsidR="00177E2D">
        <w:t xml:space="preserve"> court to evaluate defendant’s mental competence to stand trial.</w:t>
      </w:r>
      <w:r>
        <w:t xml:space="preserve"> </w:t>
      </w:r>
      <w:r w:rsidR="006665B6">
        <w:t xml:space="preserve"> </w:t>
      </w:r>
      <w:r w:rsidR="00177E2D">
        <w:t xml:space="preserve">In connection with the present proceedings, Dr. Vicary had interviewed defendant on five or six occasions, for a total of </w:t>
      </w:r>
      <w:r w:rsidR="00E62D94">
        <w:t>ten</w:t>
      </w:r>
      <w:r w:rsidR="00177E2D">
        <w:t xml:space="preserve"> hours. </w:t>
      </w:r>
      <w:r w:rsidR="006665B6">
        <w:t xml:space="preserve"> </w:t>
      </w:r>
      <w:r w:rsidR="00E62D94">
        <w:t>B</w:t>
      </w:r>
      <w:r w:rsidR="00177E2D">
        <w:t>as</w:t>
      </w:r>
      <w:r w:rsidR="00E62D94">
        <w:t xml:space="preserve">ed on </w:t>
      </w:r>
      <w:r w:rsidR="00177E2D">
        <w:t xml:space="preserve">that investigation, he concluded defendant suffered from a “major mental disorder,” primarily bipolar disorder. </w:t>
      </w:r>
      <w:r w:rsidR="006665B6">
        <w:t xml:space="preserve"> </w:t>
      </w:r>
      <w:r w:rsidR="00684E01">
        <w:t>Dr. Vicary</w:t>
      </w:r>
      <w:r w:rsidR="00E62D94">
        <w:t xml:space="preserve"> believed his conclusion was supported by</w:t>
      </w:r>
      <w:r w:rsidR="00684E01">
        <w:t xml:space="preserve"> defendant’s psychoactive medication schedule</w:t>
      </w:r>
      <w:r w:rsidR="00E62D94">
        <w:t>.  He said that the medications prescribed for defendant,</w:t>
      </w:r>
      <w:r w:rsidR="00684E01">
        <w:t xml:space="preserve"> if given to a normal person, would place him or her in “a semi-coma for a period of three days.” </w:t>
      </w:r>
      <w:r w:rsidR="006665B6">
        <w:t xml:space="preserve"> </w:t>
      </w:r>
      <w:r w:rsidR="00684E01">
        <w:t>That defendant could take the various medications at high dose</w:t>
      </w:r>
      <w:r w:rsidR="00E62D94">
        <w:t>s and remain alert and rational</w:t>
      </w:r>
      <w:r w:rsidR="00684E01">
        <w:t xml:space="preserve"> at the time of his testimony demonstrate</w:t>
      </w:r>
      <w:r w:rsidR="00E62D94">
        <w:t>d</w:t>
      </w:r>
      <w:r w:rsidR="00684E01">
        <w:t xml:space="preserve"> “that these medications are fitting in with his illnesses and helping him.”  If defendant were faking his disorder, “he would have been under the influence and barely able to speak.” </w:t>
      </w:r>
      <w:r w:rsidR="006665B6">
        <w:t xml:space="preserve"> </w:t>
      </w:r>
      <w:r w:rsidR="00E62D94">
        <w:t>Dr. Vicary explained that b</w:t>
      </w:r>
      <w:r w:rsidR="00684E01">
        <w:t xml:space="preserve">ipolar disorder is characterized by alternating periods of moody, irritable, and frenetic activity and periods of depression and inactivity, including attempted suicide. </w:t>
      </w:r>
      <w:r w:rsidR="006665B6">
        <w:t xml:space="preserve"> </w:t>
      </w:r>
      <w:r w:rsidR="00684E01">
        <w:t>Depression and bipolar disorder had featured in defendant’s diagnoses since he was a teenager</w:t>
      </w:r>
      <w:r w:rsidR="00725C62">
        <w:t>,</w:t>
      </w:r>
      <w:r w:rsidR="00684E01">
        <w:t xml:space="preserve"> </w:t>
      </w:r>
      <w:r w:rsidR="00725C62">
        <w:t xml:space="preserve">and Dr. Vicary found that defendant’s conduct displayed the diagnostic </w:t>
      </w:r>
      <w:r w:rsidR="003721F7">
        <w:t>behaviors for bipolar disorder.</w:t>
      </w:r>
    </w:p>
    <w:p w:rsidR="00FB5CF4" w:rsidRDefault="00725C62" w:rsidP="00FB5CF4">
      <w:pPr>
        <w:pStyle w:val="NormalIndent"/>
        <w:spacing w:line="480" w:lineRule="atLeast"/>
        <w:ind w:left="0" w:firstLine="720"/>
      </w:pPr>
      <w:r>
        <w:t>Based on defendant’s account of the Epperson killing, Dr. Vi</w:t>
      </w:r>
      <w:r w:rsidR="008F62BD">
        <w:t xml:space="preserve">cary believed defendant understood the nature and quality of his acts at the time. </w:t>
      </w:r>
      <w:r w:rsidR="006665B6">
        <w:t xml:space="preserve"> </w:t>
      </w:r>
      <w:r w:rsidR="008F62BD">
        <w:t xml:space="preserve">He did not believe, however, that defendant could distinguish right from wrong. </w:t>
      </w:r>
      <w:r w:rsidR="006665B6">
        <w:t xml:space="preserve"> </w:t>
      </w:r>
      <w:r w:rsidR="007875EF">
        <w:t>One</w:t>
      </w:r>
      <w:r w:rsidR="008F62BD">
        <w:t xml:space="preserve"> feature of bipolar disorder </w:t>
      </w:r>
      <w:r w:rsidR="007875EF">
        <w:t>is</w:t>
      </w:r>
      <w:r w:rsidR="008F62BD">
        <w:t xml:space="preserve"> “explosive outbursts,” in which the person is “not thinking, . . . just acting, and . . . there is no rationality, no restraint, there’s nothing that can stop the explosion.” </w:t>
      </w:r>
      <w:r w:rsidR="006665B6">
        <w:t xml:space="preserve"> </w:t>
      </w:r>
      <w:r w:rsidR="008F62BD">
        <w:t>Although defendant had some understanding of what he was doing, he was unable to stop himself.</w:t>
      </w:r>
      <w:r w:rsidR="006665B6">
        <w:t xml:space="preserve"> </w:t>
      </w:r>
      <w:r w:rsidR="008F62BD">
        <w:t xml:space="preserve"> </w:t>
      </w:r>
      <w:r w:rsidR="007875EF">
        <w:t>In Dr. Vicary’s view, d</w:t>
      </w:r>
      <w:r w:rsidR="00CC4AC6">
        <w:t>efendant likely recognized to some degree the wrongfulness of his conduct once he had finished and regained his composure, but during the event he h</w:t>
      </w:r>
      <w:r w:rsidR="003721F7">
        <w:t>ad no grasp of right and wrong.</w:t>
      </w:r>
    </w:p>
    <w:p w:rsidR="005B0346" w:rsidRDefault="00FB5CF4" w:rsidP="00FB5CF4">
      <w:pPr>
        <w:pStyle w:val="Heading3"/>
      </w:pPr>
      <w:bookmarkStart w:id="8" w:name="_Toc508625871"/>
      <w:r>
        <w:t xml:space="preserve">2.  </w:t>
      </w:r>
      <w:r w:rsidR="00066653">
        <w:t xml:space="preserve">Prosecution </w:t>
      </w:r>
      <w:r w:rsidR="00F80372">
        <w:t>e</w:t>
      </w:r>
      <w:r w:rsidR="00066653">
        <w:t>vidence</w:t>
      </w:r>
      <w:bookmarkEnd w:id="8"/>
    </w:p>
    <w:p w:rsidR="00611B31" w:rsidRDefault="00263F74" w:rsidP="00263F74">
      <w:pPr>
        <w:pStyle w:val="NormalIndent"/>
        <w:spacing w:line="480" w:lineRule="atLeast"/>
        <w:ind w:left="0" w:firstLine="720"/>
      </w:pPr>
      <w:r>
        <w:t>David Griesemer is a clinical neurophysiologist who studies epilepsy and EEG</w:t>
      </w:r>
      <w:r w:rsidR="00211160">
        <w:t>’</w:t>
      </w:r>
      <w:r>
        <w:t xml:space="preserve">s. </w:t>
      </w:r>
      <w:r w:rsidR="006665B6">
        <w:t xml:space="preserve"> </w:t>
      </w:r>
      <w:r>
        <w:t>Prior to his testimony, he ex</w:t>
      </w:r>
      <w:r w:rsidR="00066653">
        <w:t xml:space="preserve">amined defendant and found his </w:t>
      </w:r>
      <w:r>
        <w:t>functi</w:t>
      </w:r>
      <w:r w:rsidR="007875EF">
        <w:t>oning</w:t>
      </w:r>
      <w:r w:rsidR="00066653">
        <w:t xml:space="preserve"> normal.</w:t>
      </w:r>
      <w:r w:rsidR="007875EF">
        <w:t xml:space="preserve"> </w:t>
      </w:r>
      <w:r w:rsidR="006665B6">
        <w:t xml:space="preserve"> </w:t>
      </w:r>
      <w:r w:rsidR="007875EF">
        <w:t>According to Dr. Griesemer, d</w:t>
      </w:r>
      <w:r>
        <w:t xml:space="preserve">efendant had no memory of suffering seizures after childhood, and about half of persons with childhood seizures “outgrow” them. </w:t>
      </w:r>
      <w:r w:rsidR="006665B6">
        <w:t xml:space="preserve"> </w:t>
      </w:r>
      <w:r>
        <w:t>Defendant’s childhood EEG was interesting because, although the EEG was abnormal, he was not suffering symptoms, a finding “not inconsiste</w:t>
      </w:r>
      <w:r w:rsidR="00AD7E00">
        <w:t xml:space="preserve">nt with some of the benign </w:t>
      </w:r>
      <w:r w:rsidR="003811FE">
        <w:t>epilepsies</w:t>
      </w:r>
      <w:r>
        <w:t xml:space="preserve">.” </w:t>
      </w:r>
      <w:r w:rsidR="006665B6">
        <w:t xml:space="preserve"> </w:t>
      </w:r>
      <w:r w:rsidR="00C86596">
        <w:t xml:space="preserve">In reviewing defendant’s most recent EEG, Dr. Griesemer found “some subtle abnormal findings,” but “they were not epileptic findings.” </w:t>
      </w:r>
      <w:r w:rsidR="006665B6">
        <w:t xml:space="preserve"> </w:t>
      </w:r>
      <w:r w:rsidR="00C86596">
        <w:t xml:space="preserve">In other words, although Dr. </w:t>
      </w:r>
      <w:r w:rsidR="00C32218">
        <w:t>G</w:t>
      </w:r>
      <w:r w:rsidR="00C86596">
        <w:t>riesemer acknowledged the slowing in defendant’s EEG, he did not believe it indicated a “tendency to have epilepsy.”  Further, he did not believe it suggested “significant” frontal lobe slowing</w:t>
      </w:r>
      <w:r w:rsidR="003721F7">
        <w:t>.</w:t>
      </w:r>
    </w:p>
    <w:p w:rsidR="00D002D4" w:rsidRDefault="00117836" w:rsidP="00263F74">
      <w:pPr>
        <w:pStyle w:val="NormalIndent"/>
        <w:spacing w:line="480" w:lineRule="atLeast"/>
        <w:ind w:left="0" w:firstLine="720"/>
      </w:pPr>
      <w:r>
        <w:t xml:space="preserve">Kris Mohandie, </w:t>
      </w:r>
      <w:r w:rsidR="007875EF">
        <w:t xml:space="preserve">Ph.D., </w:t>
      </w:r>
      <w:r>
        <w:t xml:space="preserve">a psychologist, </w:t>
      </w:r>
      <w:r w:rsidR="001F015C">
        <w:t xml:space="preserve">interviewed defendant on three occasions, reviewed his medical and psychiatric records, and administered two </w:t>
      </w:r>
      <w:r w:rsidR="007875EF">
        <w:t>“</w:t>
      </w:r>
      <w:r w:rsidR="001F015C">
        <w:t>objective</w:t>
      </w:r>
      <w:r w:rsidR="007875EF">
        <w:t>”</w:t>
      </w:r>
      <w:r w:rsidR="001F015C">
        <w:t xml:space="preserve"> psychological tests. </w:t>
      </w:r>
      <w:r w:rsidR="006665B6">
        <w:t xml:space="preserve"> </w:t>
      </w:r>
      <w:r w:rsidR="001F015C">
        <w:t xml:space="preserve">The results of the tests, in particular, suggested to Dr. Mohandie that defendant was faking at least some of his psychiatric symptoms.  On both tests, defendant claimed to have more problems than most psychiatric patients claim, suggesting his responses were a “fake bad response.”  One test indicated probable feigning, while the other indicated feigning. </w:t>
      </w:r>
      <w:r w:rsidR="006665B6">
        <w:t xml:space="preserve"> </w:t>
      </w:r>
      <w:r w:rsidR="00D002D4">
        <w:t>Given defendant’s “tendency to exaggerate his symptoms,” Dr. Mohandie was unabl</w:t>
      </w:r>
      <w:r w:rsidR="00AD7E00">
        <w:t>e</w:t>
      </w:r>
      <w:r w:rsidR="00D002D4">
        <w:t xml:space="preserve"> to find reliable evidence to diagnose defendant with a major mental disorder. </w:t>
      </w:r>
      <w:r w:rsidR="006665B6">
        <w:t xml:space="preserve"> </w:t>
      </w:r>
      <w:r w:rsidR="00D002D4">
        <w:t xml:space="preserve">When he interviewed defendant, </w:t>
      </w:r>
      <w:r w:rsidR="007875EF">
        <w:t>Dr. Mohandie</w:t>
      </w:r>
      <w:r w:rsidR="00D002D4">
        <w:t xml:space="preserve"> found no evidence of bipolar disorder, although such symptoms would have been expected despite his medication</w:t>
      </w:r>
      <w:r w:rsidR="007875EF">
        <w:t>.  N</w:t>
      </w:r>
      <w:r w:rsidR="00D002D4">
        <w:t xml:space="preserve">or did he see any indication of such symptoms on the videotape of defendant’s police interview, which occurred after he had </w:t>
      </w:r>
      <w:r w:rsidR="007875EF">
        <w:t>stoppe</w:t>
      </w:r>
      <w:r w:rsidR="00D002D4">
        <w:t xml:space="preserve">d using medication. </w:t>
      </w:r>
    </w:p>
    <w:p w:rsidR="00FB5CF4" w:rsidRDefault="00D002D4" w:rsidP="00FB5CF4">
      <w:pPr>
        <w:pStyle w:val="NormalIndent"/>
        <w:spacing w:line="480" w:lineRule="atLeast"/>
        <w:ind w:left="0" w:firstLine="720"/>
      </w:pPr>
      <w:r>
        <w:t xml:space="preserve">Accordingly, Dr. Mohandie believed defendant was legally sane at the time of the killing. </w:t>
      </w:r>
      <w:r w:rsidR="006665B6">
        <w:t xml:space="preserve"> </w:t>
      </w:r>
      <w:r>
        <w:t xml:space="preserve">As he explained, </w:t>
      </w:r>
      <w:r w:rsidR="00570D50">
        <w:t>in defendant’</w:t>
      </w:r>
      <w:r w:rsidR="000824D7">
        <w:t xml:space="preserve">s interviews with </w:t>
      </w:r>
      <w:r w:rsidR="00B603D5">
        <w:t>him</w:t>
      </w:r>
      <w:r w:rsidR="000824D7">
        <w:t xml:space="preserve">, </w:t>
      </w:r>
      <w:r w:rsidR="00B603D5">
        <w:t>defendant</w:t>
      </w:r>
      <w:r w:rsidR="00570D50">
        <w:t xml:space="preserve"> d</w:t>
      </w:r>
      <w:r>
        <w:t>isclaim</w:t>
      </w:r>
      <w:r w:rsidR="000824D7">
        <w:t>ed</w:t>
      </w:r>
      <w:r>
        <w:t xml:space="preserve"> any overt symptoms of mental illness, such as voices, delusions, or hallucinations.  He had a very specific memory of all events leading up to the killing, and his behavior after the killing, which involved some cleaning up and </w:t>
      </w:r>
      <w:r w:rsidR="00A75139">
        <w:t xml:space="preserve">avoiding detection, was inconsistent with a failure to recognize his conduct was wrongful.  His </w:t>
      </w:r>
      <w:r w:rsidR="007875EF">
        <w:t xml:space="preserve">claim of </w:t>
      </w:r>
      <w:r w:rsidR="00A75139">
        <w:t>amnesia surroundi</w:t>
      </w:r>
      <w:r w:rsidR="000824D7">
        <w:t>n</w:t>
      </w:r>
      <w:r w:rsidR="00A75139">
        <w:t xml:space="preserve">g the moment of the killing seemed “unlikely” to Dr. Mohandie. </w:t>
      </w:r>
      <w:r w:rsidR="006665B6">
        <w:t xml:space="preserve"> </w:t>
      </w:r>
      <w:r w:rsidR="00A75139">
        <w:t xml:space="preserve">Instead, </w:t>
      </w:r>
      <w:r w:rsidR="007875EF">
        <w:t xml:space="preserve">Dr. </w:t>
      </w:r>
      <w:r w:rsidR="00AD7E00">
        <w:t>Mo</w:t>
      </w:r>
      <w:r w:rsidR="000824D7">
        <w:t xml:space="preserve">handie believed, </w:t>
      </w:r>
      <w:r w:rsidR="00A75139">
        <w:t xml:space="preserve">defendant </w:t>
      </w:r>
      <w:r w:rsidR="007875EF">
        <w:t>suffered from</w:t>
      </w:r>
      <w:r w:rsidR="00A75139">
        <w:t xml:space="preserve"> an antisocial personality with narcissistic traits</w:t>
      </w:r>
      <w:r w:rsidR="007875EF">
        <w:t>, which</w:t>
      </w:r>
      <w:r w:rsidR="00A75139">
        <w:t xml:space="preserve"> caused him to commit the “garden variety violence” of killing a woman who he believed had treated him poorly. </w:t>
      </w:r>
      <w:r w:rsidR="006665B6">
        <w:t xml:space="preserve"> </w:t>
      </w:r>
      <w:r w:rsidR="007875EF">
        <w:t>Dr. Mohandie</w:t>
      </w:r>
      <w:r w:rsidR="00071217">
        <w:t xml:space="preserve"> also rejected the diagnosis of intermittent explo</w:t>
      </w:r>
      <w:r w:rsidR="007875EF">
        <w:t xml:space="preserve">sive </w:t>
      </w:r>
      <w:r w:rsidR="00FE3254">
        <w:t>disorder</w:t>
      </w:r>
      <w:r w:rsidR="007875EF">
        <w:t>, which h</w:t>
      </w:r>
      <w:r w:rsidR="00071217">
        <w:t>e found inconsistent with the purposeful, motivated behavior displayed in the killing.</w:t>
      </w:r>
    </w:p>
    <w:p w:rsidR="00FB5CF4" w:rsidRDefault="00FB5CF4" w:rsidP="00FB5CF4">
      <w:pPr>
        <w:pStyle w:val="Heading2"/>
      </w:pPr>
      <w:bookmarkStart w:id="9" w:name="_Toc508625872"/>
      <w:r>
        <w:t xml:space="preserve">C.  </w:t>
      </w:r>
      <w:r w:rsidR="00AE14AB">
        <w:t>Penalty Phase Evidence</w:t>
      </w:r>
      <w:bookmarkEnd w:id="9"/>
    </w:p>
    <w:p w:rsidR="00AE14AB" w:rsidRDefault="00FB5CF4" w:rsidP="00FB5CF4">
      <w:pPr>
        <w:pStyle w:val="Heading3"/>
      </w:pPr>
      <w:bookmarkStart w:id="10" w:name="_Toc508625873"/>
      <w:r>
        <w:t xml:space="preserve">1.  </w:t>
      </w:r>
      <w:r w:rsidR="00AE14AB">
        <w:t>Prosecution</w:t>
      </w:r>
      <w:r w:rsidR="00735E1D">
        <w:t xml:space="preserve"> case in aggravation</w:t>
      </w:r>
      <w:bookmarkEnd w:id="10"/>
    </w:p>
    <w:p w:rsidR="00AE14AB" w:rsidRDefault="007875EF" w:rsidP="007875EF">
      <w:pPr>
        <w:pStyle w:val="NormalIndent"/>
        <w:spacing w:line="480" w:lineRule="atLeast"/>
        <w:ind w:left="0" w:firstLine="720"/>
      </w:pPr>
      <w:r>
        <w:t xml:space="preserve">Because the </w:t>
      </w:r>
      <w:r w:rsidR="00066653">
        <w:t>original</w:t>
      </w:r>
      <w:r>
        <w:t xml:space="preserve"> jury deadlocked during the</w:t>
      </w:r>
      <w:r w:rsidR="00066653">
        <w:t xml:space="preserve"> initial</w:t>
      </w:r>
      <w:r>
        <w:t xml:space="preserve"> penalty phase, this proceeding was tried to a newly-selected jury.  Given the new jury</w:t>
      </w:r>
      <w:r w:rsidR="00AE14AB">
        <w:t xml:space="preserve">, the prosecution presented </w:t>
      </w:r>
      <w:r w:rsidR="00EB4612">
        <w:t xml:space="preserve">essentially </w:t>
      </w:r>
      <w:r w:rsidR="00AE14AB">
        <w:t>the same evidence regarding Epperson’s killing</w:t>
      </w:r>
      <w:r w:rsidR="00570D50">
        <w:t xml:space="preserve"> that was presented during the guilt phase</w:t>
      </w:r>
      <w:r w:rsidR="00EB4612">
        <w:t>, including testimony by</w:t>
      </w:r>
      <w:r>
        <w:t xml:space="preserve"> the same</w:t>
      </w:r>
      <w:r w:rsidR="00570D50">
        <w:t xml:space="preserve"> percipient</w:t>
      </w:r>
      <w:r w:rsidR="00EB4612">
        <w:t xml:space="preserve"> witnesses about the circumstances leading to the killing, the blood spatter, autopsy, and DNA evidence, </w:t>
      </w:r>
      <w:r w:rsidR="00047F4E">
        <w:t xml:space="preserve">Charles </w:t>
      </w:r>
      <w:r w:rsidR="00EB4612">
        <w:t xml:space="preserve">Vannoy’s </w:t>
      </w:r>
      <w:r>
        <w:t>interview with</w:t>
      </w:r>
      <w:r w:rsidR="00EB4612">
        <w:t xml:space="preserve"> police about defendant’s </w:t>
      </w:r>
      <w:r>
        <w:t xml:space="preserve">statements and </w:t>
      </w:r>
      <w:r w:rsidR="00EB4612">
        <w:t xml:space="preserve">conduct afterward, and </w:t>
      </w:r>
      <w:r w:rsidR="00066653">
        <w:t xml:space="preserve">the </w:t>
      </w:r>
      <w:r>
        <w:t>t</w:t>
      </w:r>
      <w:r w:rsidR="005C0DF1">
        <w:t>wo prior</w:t>
      </w:r>
      <w:r w:rsidR="00EB4612">
        <w:t xml:space="preserve"> assault victims</w:t>
      </w:r>
      <w:r w:rsidR="00110C78">
        <w:t>.</w:t>
      </w:r>
    </w:p>
    <w:p w:rsidR="00AE14AB" w:rsidRDefault="009372A6" w:rsidP="00487BF4">
      <w:pPr>
        <w:pStyle w:val="NormalIndent"/>
        <w:spacing w:line="480" w:lineRule="atLeast"/>
        <w:ind w:left="0" w:firstLine="720"/>
      </w:pPr>
      <w:r>
        <w:t xml:space="preserve">In addition, the prosecution presented two witnesses familiar with Epperson’s life prior to meeting defendant.  Bette Ruiz de Esparza </w:t>
      </w:r>
      <w:r w:rsidR="00487BF4">
        <w:t>i</w:t>
      </w:r>
      <w:r>
        <w:t xml:space="preserve">s the </w:t>
      </w:r>
      <w:r w:rsidR="00415CE2">
        <w:t>mo</w:t>
      </w:r>
      <w:r>
        <w:t xml:space="preserve">ther of </w:t>
      </w:r>
      <w:r w:rsidR="00415CE2">
        <w:t xml:space="preserve">Paul Grano, who was married to </w:t>
      </w:r>
      <w:r>
        <w:t xml:space="preserve">Epperson. </w:t>
      </w:r>
      <w:r w:rsidR="006665B6">
        <w:t xml:space="preserve"> </w:t>
      </w:r>
      <w:r w:rsidR="00487BF4">
        <w:t xml:space="preserve">She testified that Epperson’s mother, apparently an alcoholic, abandoned her when Epperson was a teenager. </w:t>
      </w:r>
      <w:r w:rsidR="006665B6">
        <w:t xml:space="preserve"> </w:t>
      </w:r>
      <w:r w:rsidR="00487BF4">
        <w:t xml:space="preserve">Ruiz de Esparza and her son took Epperson in, looked after her, and treated her like family.  Grano, eight years older than Epperson, </w:t>
      </w:r>
      <w:r w:rsidR="009C2813">
        <w:t>e</w:t>
      </w:r>
      <w:r w:rsidR="00487BF4">
        <w:t>ventually</w:t>
      </w:r>
      <w:r w:rsidR="00831138">
        <w:t xml:space="preserve"> married </w:t>
      </w:r>
      <w:r w:rsidR="00487BF4">
        <w:t>her</w:t>
      </w:r>
      <w:r w:rsidR="00831138">
        <w:t>, and they had a child together</w:t>
      </w:r>
      <w:r w:rsidR="00487BF4">
        <w:t xml:space="preserve">. </w:t>
      </w:r>
      <w:r w:rsidR="006665B6">
        <w:t xml:space="preserve"> </w:t>
      </w:r>
      <w:r w:rsidR="00487BF4">
        <w:t xml:space="preserve">Both </w:t>
      </w:r>
      <w:r w:rsidR="00831138">
        <w:t xml:space="preserve">Grano and Epperson struggled with drug abuse, and Epperson was in and out of treatment and jail for a significant period. </w:t>
      </w:r>
      <w:r w:rsidR="006665B6">
        <w:t xml:space="preserve"> </w:t>
      </w:r>
      <w:r w:rsidR="00831138">
        <w:t xml:space="preserve">In the year or two before her death, however, Epperson “sounded real positive, and her life was going good.” </w:t>
      </w:r>
      <w:r w:rsidR="006665B6">
        <w:t xml:space="preserve"> </w:t>
      </w:r>
      <w:r w:rsidR="00570D50">
        <w:t xml:space="preserve">Although </w:t>
      </w:r>
      <w:r w:rsidR="00831138">
        <w:t>Epperson and Grano had separated at some earlier time, “</w:t>
      </w:r>
      <w:r w:rsidR="00724995">
        <w:t>they were getting back together</w:t>
      </w:r>
      <w:r w:rsidR="00831138">
        <w:t>”</w:t>
      </w:r>
      <w:r w:rsidR="00724995">
        <w:t xml:space="preserve"> at the time of her death.  During the separation, they had remained good friends</w:t>
      </w:r>
      <w:r w:rsidR="00415CE2">
        <w:t>,</w:t>
      </w:r>
      <w:r w:rsidR="00831138">
        <w:t xml:space="preserve"> </w:t>
      </w:r>
      <w:r w:rsidR="00415CE2">
        <w:t>and Grano was “broken-h</w:t>
      </w:r>
      <w:r w:rsidR="00110C78">
        <w:t>earted” by her death.</w:t>
      </w:r>
    </w:p>
    <w:p w:rsidR="00FB5CF4" w:rsidRDefault="00724995" w:rsidP="00FB5CF4">
      <w:pPr>
        <w:pStyle w:val="NormalIndent"/>
        <w:spacing w:line="480" w:lineRule="atLeast"/>
        <w:ind w:left="0" w:firstLine="720"/>
      </w:pPr>
      <w:r>
        <w:t>Ruth S</w:t>
      </w:r>
      <w:r w:rsidR="009C2813">
        <w:t>t</w:t>
      </w:r>
      <w:r>
        <w:t xml:space="preserve">eward was </w:t>
      </w:r>
      <w:r w:rsidR="009C2813">
        <w:t xml:space="preserve">a lay minister at Epperson’s Church, which was located on “skid row,” across the street from Weingart Center. </w:t>
      </w:r>
      <w:r w:rsidR="006665B6">
        <w:t xml:space="preserve"> </w:t>
      </w:r>
      <w:r w:rsidR="009C2813">
        <w:t xml:space="preserve">She </w:t>
      </w:r>
      <w:r w:rsidR="00415CE2">
        <w:t xml:space="preserve">had </w:t>
      </w:r>
      <w:r w:rsidR="009C2813">
        <w:t>kn</w:t>
      </w:r>
      <w:r w:rsidR="00415CE2">
        <w:t>o</w:t>
      </w:r>
      <w:r w:rsidR="009C2813">
        <w:t>w</w:t>
      </w:r>
      <w:r w:rsidR="00415CE2">
        <w:t>n</w:t>
      </w:r>
      <w:r w:rsidR="009C2813">
        <w:t xml:space="preserve"> Epperson for about a year prior to her death and was proud of Epperson’s strength, positive attitude, and determination. </w:t>
      </w:r>
      <w:r w:rsidR="006665B6">
        <w:t xml:space="preserve"> </w:t>
      </w:r>
      <w:r w:rsidR="00E7023E">
        <w:t>During the year Steward knew her, Epperson</w:t>
      </w:r>
      <w:r w:rsidR="00415CE2">
        <w:t xml:space="preserve"> was</w:t>
      </w:r>
      <w:r w:rsidR="00E7023E">
        <w:t xml:space="preserve"> drug-free. </w:t>
      </w:r>
      <w:r w:rsidR="006665B6">
        <w:t xml:space="preserve"> </w:t>
      </w:r>
      <w:r w:rsidR="009C2813">
        <w:t>Steward was deeply affected by her “s</w:t>
      </w:r>
      <w:r w:rsidR="00110C78">
        <w:t>enseless” death.</w:t>
      </w:r>
    </w:p>
    <w:p w:rsidR="008546BB" w:rsidRDefault="00FB5CF4" w:rsidP="00FB5CF4">
      <w:pPr>
        <w:pStyle w:val="Heading3"/>
      </w:pPr>
      <w:bookmarkStart w:id="11" w:name="_Toc508625874"/>
      <w:r>
        <w:t xml:space="preserve">2.  </w:t>
      </w:r>
      <w:r w:rsidR="008546BB">
        <w:t xml:space="preserve">Defense </w:t>
      </w:r>
      <w:r w:rsidR="00735E1D">
        <w:t>case in mitigation</w:t>
      </w:r>
      <w:bookmarkEnd w:id="11"/>
    </w:p>
    <w:p w:rsidR="008546BB" w:rsidRPr="008546BB" w:rsidRDefault="00415CE2" w:rsidP="00C9392C">
      <w:pPr>
        <w:pStyle w:val="NormalIndent"/>
        <w:spacing w:line="480" w:lineRule="atLeast"/>
        <w:ind w:left="0" w:firstLine="720"/>
      </w:pPr>
      <w:r>
        <w:t>Through the testimony of defendant’s mother and two sisters, the defense provided evidence of defendant’s difficult family life</w:t>
      </w:r>
      <w:r w:rsidR="003B07A8">
        <w:t xml:space="preserve"> and history of violence</w:t>
      </w:r>
      <w:r>
        <w:t>.  B</w:t>
      </w:r>
      <w:r w:rsidR="00C9392C">
        <w:t xml:space="preserve">oth of </w:t>
      </w:r>
      <w:r w:rsidR="00657012">
        <w:t>defendant’</w:t>
      </w:r>
      <w:r w:rsidR="00C9392C">
        <w:t xml:space="preserve">s parents, Joyce and Joe Powell, came from homes marked by alcohol abuse.  Joyce’s parents were alcoholics, and her father sexually abused her before she was ten years old. </w:t>
      </w:r>
      <w:r w:rsidR="006665B6">
        <w:t xml:space="preserve"> </w:t>
      </w:r>
      <w:r w:rsidR="00C9392C">
        <w:t xml:space="preserve">Joe’s mother also </w:t>
      </w:r>
      <w:r>
        <w:t>drank heavily</w:t>
      </w:r>
      <w:r w:rsidR="00C9392C">
        <w:t xml:space="preserve">, and he was raised largely in a variety of foster homes. </w:t>
      </w:r>
      <w:r w:rsidR="006665B6">
        <w:t xml:space="preserve"> </w:t>
      </w:r>
      <w:r w:rsidR="00C9392C">
        <w:t>The coupl</w:t>
      </w:r>
      <w:r w:rsidR="00110C78">
        <w:t>e married young.</w:t>
      </w:r>
    </w:p>
    <w:p w:rsidR="00657012" w:rsidRDefault="00D43C68" w:rsidP="003916E4">
      <w:pPr>
        <w:pStyle w:val="NormalIndent"/>
        <w:spacing w:line="480" w:lineRule="atLeast"/>
        <w:ind w:left="0" w:firstLine="720"/>
      </w:pPr>
      <w:r>
        <w:t>Defendant’s younger sister</w:t>
      </w:r>
      <w:r w:rsidR="002B3CD8">
        <w:t>, Montana,</w:t>
      </w:r>
      <w:r>
        <w:t xml:space="preserve"> characterized Joe as a “monster.” </w:t>
      </w:r>
      <w:r w:rsidR="006665B6">
        <w:t xml:space="preserve"> </w:t>
      </w:r>
      <w:r w:rsidR="0033730F">
        <w:t xml:space="preserve">He was emotionally </w:t>
      </w:r>
      <w:r w:rsidR="002B3CD8">
        <w:t xml:space="preserve">and physically </w:t>
      </w:r>
      <w:r w:rsidR="0033730F">
        <w:t>abusive to</w:t>
      </w:r>
      <w:r w:rsidR="002B3CD8">
        <w:t xml:space="preserve"> Joyce and</w:t>
      </w:r>
      <w:r w:rsidR="0033730F">
        <w:t xml:space="preserve"> all </w:t>
      </w:r>
      <w:r w:rsidR="002B3CD8">
        <w:t>four</w:t>
      </w:r>
      <w:r w:rsidR="0033730F">
        <w:t xml:space="preserve"> children. </w:t>
      </w:r>
      <w:r w:rsidR="006665B6">
        <w:t xml:space="preserve"> </w:t>
      </w:r>
      <w:r w:rsidR="002B3CD8">
        <w:t xml:space="preserve">As Montana said, “If we went to Disneyland or something, he still would find a way to make us feel bad.” </w:t>
      </w:r>
      <w:r w:rsidR="006665B6">
        <w:t xml:space="preserve"> </w:t>
      </w:r>
      <w:r w:rsidR="00106A9B">
        <w:t>When defendant was two years old and threw an older boy to the ground, Joe picked</w:t>
      </w:r>
      <w:r w:rsidR="0033730F">
        <w:t xml:space="preserve"> defendant</w:t>
      </w:r>
      <w:r w:rsidR="00106A9B">
        <w:t xml:space="preserve"> up and threw him into a pole. </w:t>
      </w:r>
      <w:r w:rsidR="006665B6">
        <w:t xml:space="preserve"> </w:t>
      </w:r>
      <w:r w:rsidR="00106A9B">
        <w:t xml:space="preserve">Six months later, defendant began having violent seizures. </w:t>
      </w:r>
      <w:r w:rsidR="006665B6">
        <w:t xml:space="preserve"> </w:t>
      </w:r>
      <w:r w:rsidR="00106A9B">
        <w:t xml:space="preserve">For seven years, he was given medication to control the seizures. </w:t>
      </w:r>
      <w:r w:rsidR="006665B6">
        <w:t xml:space="preserve"> </w:t>
      </w:r>
      <w:r w:rsidR="00106A9B">
        <w:t>O</w:t>
      </w:r>
      <w:r w:rsidR="00FD3462">
        <w:t xml:space="preserve">ver the years, defendant’s behavior would occasionally trigger </w:t>
      </w:r>
      <w:r w:rsidR="0033730F">
        <w:t>other</w:t>
      </w:r>
      <w:r w:rsidR="00FD3462">
        <w:t xml:space="preserve"> angry response</w:t>
      </w:r>
      <w:r w:rsidR="0033730F">
        <w:t>s</w:t>
      </w:r>
      <w:r w:rsidR="00FD3462">
        <w:t xml:space="preserve"> from Joe, </w:t>
      </w:r>
      <w:r w:rsidR="00106A9B">
        <w:t xml:space="preserve">one time causing neighbors to </w:t>
      </w:r>
      <w:r w:rsidR="00FD3462">
        <w:t xml:space="preserve">call the police.  </w:t>
      </w:r>
      <w:r w:rsidR="00415CE2">
        <w:t>According to Joyce, s</w:t>
      </w:r>
      <w:r w:rsidR="0033730F">
        <w:t xml:space="preserve">imilar </w:t>
      </w:r>
      <w:r w:rsidR="00FD3462">
        <w:t xml:space="preserve">incidents occurred “every time [Joe] came home and was angry.” </w:t>
      </w:r>
      <w:r w:rsidR="006665B6">
        <w:t xml:space="preserve"> </w:t>
      </w:r>
      <w:r w:rsidR="0033730F">
        <w:t>If</w:t>
      </w:r>
      <w:r w:rsidR="00FD3462">
        <w:t xml:space="preserve"> Joyce attempted to intervene, Joe turned his a</w:t>
      </w:r>
      <w:r w:rsidR="0033730F">
        <w:t>nger</w:t>
      </w:r>
      <w:r w:rsidR="00110C78">
        <w:t xml:space="preserve"> on her.</w:t>
      </w:r>
    </w:p>
    <w:p w:rsidR="0033730F" w:rsidRDefault="00FD3462" w:rsidP="005D0092">
      <w:pPr>
        <w:pStyle w:val="NormalIndent"/>
        <w:spacing w:line="480" w:lineRule="atLeast"/>
        <w:ind w:left="0" w:firstLine="720"/>
      </w:pPr>
      <w:r>
        <w:t xml:space="preserve">The family </w:t>
      </w:r>
      <w:r w:rsidR="005D0092">
        <w:t xml:space="preserve">lived in fear of </w:t>
      </w:r>
      <w:r w:rsidR="0033730F">
        <w:t>Joe</w:t>
      </w:r>
      <w:r>
        <w:t xml:space="preserve">. </w:t>
      </w:r>
      <w:r w:rsidR="006665B6">
        <w:t xml:space="preserve"> </w:t>
      </w:r>
      <w:r w:rsidR="0033730F">
        <w:t>Defendant’s older brother became so angry</w:t>
      </w:r>
      <w:r w:rsidR="00415CE2">
        <w:t xml:space="preserve"> with Joe</w:t>
      </w:r>
      <w:r w:rsidR="0033730F">
        <w:t xml:space="preserve"> that he once waited with a gun for hi</w:t>
      </w:r>
      <w:r w:rsidR="003B07A8">
        <w:t>m</w:t>
      </w:r>
      <w:r w:rsidR="0033730F">
        <w:t xml:space="preserve"> to return home, planning to kill </w:t>
      </w:r>
      <w:r w:rsidR="003B07A8">
        <w:t>Joe</w:t>
      </w:r>
      <w:r w:rsidR="0033730F">
        <w:t xml:space="preserve">.  Only </w:t>
      </w:r>
      <w:r w:rsidR="00D43C68">
        <w:t>his older</w:t>
      </w:r>
      <w:r w:rsidR="0033730F">
        <w:t xml:space="preserve"> sister’s intervention prevented the</w:t>
      </w:r>
      <w:r w:rsidR="00600D2D">
        <w:t xml:space="preserve"> confrontation</w:t>
      </w:r>
      <w:r w:rsidR="00110C78">
        <w:t>.</w:t>
      </w:r>
    </w:p>
    <w:p w:rsidR="0033730F" w:rsidRDefault="00FD3462" w:rsidP="0033730F">
      <w:pPr>
        <w:pStyle w:val="NormalIndent"/>
        <w:spacing w:line="480" w:lineRule="atLeast"/>
        <w:ind w:left="0" w:firstLine="720"/>
      </w:pPr>
      <w:r>
        <w:t xml:space="preserve">Defendant’s first suicide threat occurred when he was thirteen years old. </w:t>
      </w:r>
      <w:r w:rsidR="006665B6">
        <w:t xml:space="preserve"> </w:t>
      </w:r>
      <w:r w:rsidR="0033730F">
        <w:t>Around this time,</w:t>
      </w:r>
      <w:r w:rsidR="00415CE2">
        <w:t xml:space="preserve"> Joyce said,</w:t>
      </w:r>
      <w:r w:rsidR="0033730F">
        <w:t xml:space="preserve"> “he was never actually really happy.” </w:t>
      </w:r>
      <w:r w:rsidR="0025353C">
        <w:t xml:space="preserve"> </w:t>
      </w:r>
      <w:r w:rsidR="0033730F">
        <w:t xml:space="preserve">His older sister recalled discovering him carrying a gun in a duffel bag, planning to harm either himself or Joe. </w:t>
      </w:r>
      <w:r w:rsidR="00110C78">
        <w:t xml:space="preserve"> She talked him out of it.</w:t>
      </w:r>
    </w:p>
    <w:p w:rsidR="0025353C" w:rsidRDefault="0033730F" w:rsidP="0033730F">
      <w:pPr>
        <w:pStyle w:val="NormalIndent"/>
        <w:spacing w:line="480" w:lineRule="atLeast"/>
        <w:ind w:left="0" w:firstLine="720"/>
      </w:pPr>
      <w:r>
        <w:t>Defendant’s</w:t>
      </w:r>
      <w:r w:rsidR="00AF1DBD">
        <w:t xml:space="preserve"> </w:t>
      </w:r>
      <w:r>
        <w:t xml:space="preserve">first </w:t>
      </w:r>
      <w:r w:rsidR="00AF1DBD">
        <w:t>violent outburst</w:t>
      </w:r>
      <w:r>
        <w:t xml:space="preserve"> occurred</w:t>
      </w:r>
      <w:r w:rsidR="00AF1DBD">
        <w:t xml:space="preserve"> before his eighteenth birthday</w:t>
      </w:r>
      <w:r>
        <w:t xml:space="preserve"> when, </w:t>
      </w:r>
      <w:r w:rsidR="00AF1DBD">
        <w:t>in anger over a girlfriend, he</w:t>
      </w:r>
      <w:r w:rsidR="005D0092">
        <w:t xml:space="preserve"> attacked </w:t>
      </w:r>
      <w:r w:rsidR="003B07A8">
        <w:t>Montana</w:t>
      </w:r>
      <w:r w:rsidR="005D0092">
        <w:t xml:space="preserve"> with a lead </w:t>
      </w:r>
      <w:r w:rsidR="00AF1DBD">
        <w:t>pipe</w:t>
      </w:r>
      <w:r w:rsidR="00776124">
        <w:t xml:space="preserve"> while she was sleeping</w:t>
      </w:r>
      <w:r w:rsidR="00AF1DBD">
        <w:t xml:space="preserve">. </w:t>
      </w:r>
      <w:r w:rsidR="00776124">
        <w:t xml:space="preserve"> Afterwards, defendant had no memory of the incident. </w:t>
      </w:r>
      <w:r w:rsidR="006665B6">
        <w:t xml:space="preserve"> </w:t>
      </w:r>
      <w:r w:rsidR="00AF1DBD">
        <w:t xml:space="preserve">Although Joyce attempted to get him counseling, Joe refused to pay for it. </w:t>
      </w:r>
      <w:r w:rsidR="006665B6">
        <w:t xml:space="preserve"> </w:t>
      </w:r>
      <w:r w:rsidR="003B07A8">
        <w:t>After a bout of drinking w</w:t>
      </w:r>
      <w:r w:rsidR="00610706">
        <w:t xml:space="preserve">hen </w:t>
      </w:r>
      <w:r w:rsidR="003B07A8">
        <w:t>defendant</w:t>
      </w:r>
      <w:r w:rsidR="00610706">
        <w:t xml:space="preserve"> was 22</w:t>
      </w:r>
      <w:r w:rsidR="003B07A8">
        <w:t>-</w:t>
      </w:r>
      <w:r w:rsidR="00610706">
        <w:t xml:space="preserve">years old, </w:t>
      </w:r>
      <w:r w:rsidR="003B07A8">
        <w:t>he</w:t>
      </w:r>
      <w:r w:rsidR="00610706">
        <w:t xml:space="preserve"> became enraged when Joyce told him she had no money to give him</w:t>
      </w:r>
      <w:r w:rsidR="003B07A8">
        <w:t>,</w:t>
      </w:r>
      <w:r w:rsidR="00610706">
        <w:t xml:space="preserve"> and</w:t>
      </w:r>
      <w:r w:rsidR="003B07A8">
        <w:t xml:space="preserve"> he</w:t>
      </w:r>
      <w:r w:rsidR="00610706">
        <w:t xml:space="preserve"> threw her across the room, breaking a vertebrae in her back. </w:t>
      </w:r>
      <w:r w:rsidR="006665B6">
        <w:t xml:space="preserve"> </w:t>
      </w:r>
      <w:r w:rsidR="0025353C">
        <w:t>At some point he also assaulted his older sister</w:t>
      </w:r>
      <w:r w:rsidR="00570D50">
        <w:t xml:space="preserve"> when she attempted to rou</w:t>
      </w:r>
      <w:r w:rsidR="0025353C">
        <w:t xml:space="preserve">se him from a drunken stupor, pushing her down the stairs and ripping a mirror from her car. </w:t>
      </w:r>
      <w:r w:rsidR="006665B6">
        <w:t xml:space="preserve"> </w:t>
      </w:r>
      <w:r w:rsidR="0025353C">
        <w:t xml:space="preserve">Both Joyce and </w:t>
      </w:r>
      <w:r w:rsidR="00776124">
        <w:t>his sisters</w:t>
      </w:r>
      <w:r w:rsidR="0025353C">
        <w:t xml:space="preserve"> testified that defendant would at times go into a state of vacant, uncontrolled rage. </w:t>
      </w:r>
      <w:r w:rsidR="006665B6">
        <w:t xml:space="preserve"> </w:t>
      </w:r>
      <w:r w:rsidR="0025353C">
        <w:t>As his</w:t>
      </w:r>
      <w:r w:rsidR="00776124">
        <w:t xml:space="preserve"> older</w:t>
      </w:r>
      <w:r w:rsidR="0025353C">
        <w:t xml:space="preserve"> sister testified, “It’s </w:t>
      </w:r>
      <w:r w:rsidR="006E7807">
        <w:t>like he’s doing things but he doesn’t know he’s do</w:t>
      </w:r>
      <w:r w:rsidR="00110C78">
        <w:t>ing them, but he’s doing them.”</w:t>
      </w:r>
    </w:p>
    <w:p w:rsidR="00610706" w:rsidRDefault="00610706" w:rsidP="0025353C">
      <w:pPr>
        <w:pStyle w:val="NormalIndent"/>
        <w:spacing w:line="480" w:lineRule="atLeast"/>
        <w:ind w:left="0" w:firstLine="720"/>
      </w:pPr>
      <w:r>
        <w:t>Joyce viewed such conduct as uncharacteristic, testifying that defendant was a “caring and loving person” who was protective of others.  They are very close</w:t>
      </w:r>
      <w:r w:rsidR="00C43550">
        <w:t>, and she does not fear him</w:t>
      </w:r>
      <w:r>
        <w:t xml:space="preserve">. </w:t>
      </w:r>
      <w:r w:rsidR="006665B6">
        <w:t xml:space="preserve"> </w:t>
      </w:r>
      <w:r w:rsidR="006E7807">
        <w:t xml:space="preserve">Defendant’s older sister also </w:t>
      </w:r>
      <w:r w:rsidR="003B07A8">
        <w:t xml:space="preserve">testified that she </w:t>
      </w:r>
      <w:r w:rsidR="006E7807">
        <w:t>was close to him and believed he “had a big heart,” despite his anger</w:t>
      </w:r>
      <w:r w:rsidR="00110C78">
        <w:t xml:space="preserve">. </w:t>
      </w:r>
    </w:p>
    <w:p w:rsidR="00FB5CF4" w:rsidRDefault="000745D6" w:rsidP="00FB5CF4">
      <w:pPr>
        <w:pStyle w:val="NormalIndent"/>
        <w:spacing w:line="480" w:lineRule="atLeast"/>
        <w:ind w:left="0" w:firstLine="720"/>
      </w:pPr>
      <w:r>
        <w:t>In addition to testimony by defendant’s family and friends, both childhood and adult, defendant presented the testimony of the same</w:t>
      </w:r>
      <w:r w:rsidR="004C7566">
        <w:t xml:space="preserve"> four</w:t>
      </w:r>
      <w:r>
        <w:t xml:space="preserve"> psychiatric experts who testif</w:t>
      </w:r>
      <w:r w:rsidR="00AD7E00">
        <w:t>i</w:t>
      </w:r>
      <w:r>
        <w:t>ed during the sanity phase.</w:t>
      </w:r>
      <w:r w:rsidR="004C7566">
        <w:t xml:space="preserve">  Although different in </w:t>
      </w:r>
      <w:r w:rsidR="003B07A8">
        <w:t xml:space="preserve">some </w:t>
      </w:r>
      <w:r w:rsidR="004C7566">
        <w:t>detail</w:t>
      </w:r>
      <w:r w:rsidR="003B07A8">
        <w:t>s</w:t>
      </w:r>
      <w:r w:rsidR="004C7566">
        <w:t>, the testimony was materially the same.</w:t>
      </w:r>
    </w:p>
    <w:p w:rsidR="00415CE2" w:rsidRDefault="00FB5CF4" w:rsidP="00FB5CF4">
      <w:pPr>
        <w:pStyle w:val="Heading3"/>
      </w:pPr>
      <w:bookmarkStart w:id="12" w:name="_Toc508625875"/>
      <w:r>
        <w:t xml:space="preserve">3.  </w:t>
      </w:r>
      <w:r w:rsidR="00415CE2">
        <w:t xml:space="preserve">Prosecution </w:t>
      </w:r>
      <w:r w:rsidR="00F80372">
        <w:t>r</w:t>
      </w:r>
      <w:r w:rsidR="00415CE2">
        <w:t>ebuttal</w:t>
      </w:r>
      <w:r w:rsidR="003B07A8">
        <w:t xml:space="preserve"> </w:t>
      </w:r>
      <w:r w:rsidR="00F80372">
        <w:t>c</w:t>
      </w:r>
      <w:r w:rsidR="003B07A8">
        <w:t>ase</w:t>
      </w:r>
      <w:bookmarkEnd w:id="12"/>
    </w:p>
    <w:p w:rsidR="00FB5CF4" w:rsidRDefault="00415CE2" w:rsidP="00FB5CF4">
      <w:pPr>
        <w:pStyle w:val="NormalIndent"/>
        <w:spacing w:line="480" w:lineRule="atLeast"/>
        <w:ind w:left="0" w:firstLine="720"/>
      </w:pPr>
      <w:r>
        <w:t>In rebuttal, the prosecution also presented the testimony of Drs. Griesemer and Mohandie, which was materially the same as their testimony from the sanity phase.</w:t>
      </w:r>
    </w:p>
    <w:p w:rsidR="00415CE2" w:rsidRDefault="00FB5CF4" w:rsidP="00FB5CF4">
      <w:pPr>
        <w:pStyle w:val="Heading3"/>
      </w:pPr>
      <w:bookmarkStart w:id="13" w:name="_Toc508625876"/>
      <w:r>
        <w:t xml:space="preserve">4.  </w:t>
      </w:r>
      <w:r w:rsidR="00415CE2">
        <w:t>Defens</w:t>
      </w:r>
      <w:r w:rsidR="00F80372">
        <w:t>e</w:t>
      </w:r>
      <w:r w:rsidR="00415CE2">
        <w:t xml:space="preserve"> </w:t>
      </w:r>
      <w:r w:rsidR="00F80372">
        <w:t>s</w:t>
      </w:r>
      <w:r w:rsidR="00415CE2">
        <w:t>urrebuttal</w:t>
      </w:r>
      <w:bookmarkEnd w:id="13"/>
    </w:p>
    <w:p w:rsidR="006175E6" w:rsidRDefault="006175E6" w:rsidP="00570D50">
      <w:pPr>
        <w:pStyle w:val="NormalIndent"/>
        <w:spacing w:line="480" w:lineRule="atLeast"/>
        <w:ind w:left="0" w:firstLine="720"/>
      </w:pPr>
      <w:r>
        <w:t>In surrebuttal, the defense presented Richard Romanoff,</w:t>
      </w:r>
      <w:r w:rsidR="003B07A8">
        <w:t xml:space="preserve"> Ph.D.,</w:t>
      </w:r>
      <w:r>
        <w:t xml:space="preserve"> a clinical and forensic psychologist who had met with defendant for thirteen or fourteen hours. </w:t>
      </w:r>
      <w:r w:rsidR="006665B6">
        <w:t xml:space="preserve"> </w:t>
      </w:r>
      <w:r>
        <w:t xml:space="preserve">Dr. Romanoff believed defendant suffers from a “complex set of mental disorders,” beginning with “organic impairment,” or abnormal brain function. </w:t>
      </w:r>
      <w:r w:rsidR="006665B6">
        <w:t xml:space="preserve"> </w:t>
      </w:r>
      <w:r w:rsidR="003B07A8">
        <w:t xml:space="preserve">This was compounded by the </w:t>
      </w:r>
      <w:r w:rsidR="00615D79">
        <w:t xml:space="preserve">dysfunctional family circumstances during his youth, in which his “whole world [was] organized around fear of aggression and seeing people being victims of aggression.” </w:t>
      </w:r>
      <w:r w:rsidR="006665B6">
        <w:t xml:space="preserve"> </w:t>
      </w:r>
      <w:r w:rsidR="00615D79">
        <w:t>Dr. Romanoff agree</w:t>
      </w:r>
      <w:r w:rsidR="00570D50">
        <w:t>d</w:t>
      </w:r>
      <w:r w:rsidR="00615D79">
        <w:t xml:space="preserve"> with the diagnosis of intermittent explosive disorder and criticized Dr. Mohandie’s</w:t>
      </w:r>
      <w:r w:rsidR="00110C78">
        <w:t xml:space="preserve"> contrary view as “incomplete.”</w:t>
      </w:r>
    </w:p>
    <w:p w:rsidR="00066653" w:rsidRDefault="00066653" w:rsidP="00066653">
      <w:pPr>
        <w:pStyle w:val="Heading1"/>
      </w:pPr>
      <w:bookmarkStart w:id="14" w:name="_Toc508625877"/>
      <w:r>
        <w:t>II.  Discussion</w:t>
      </w:r>
      <w:bookmarkEnd w:id="14"/>
    </w:p>
    <w:p w:rsidR="00066653" w:rsidRDefault="00066653" w:rsidP="00066653">
      <w:pPr>
        <w:pStyle w:val="Heading2"/>
      </w:pPr>
      <w:bookmarkStart w:id="15" w:name="_Toc508625878"/>
      <w:r>
        <w:t xml:space="preserve">A.  </w:t>
      </w:r>
      <w:r w:rsidR="00735E1D">
        <w:t xml:space="preserve">Guilt Phase </w:t>
      </w:r>
      <w:r w:rsidR="00CB45D4">
        <w:t>Claims</w:t>
      </w:r>
      <w:bookmarkEnd w:id="15"/>
    </w:p>
    <w:p w:rsidR="00735E1D" w:rsidRDefault="00066653" w:rsidP="00066653">
      <w:pPr>
        <w:pStyle w:val="Heading3"/>
      </w:pPr>
      <w:bookmarkStart w:id="16" w:name="_Toc508625879"/>
      <w:r>
        <w:t xml:space="preserve">1.  </w:t>
      </w:r>
      <w:r w:rsidR="008F3E54">
        <w:t xml:space="preserve">The </w:t>
      </w:r>
      <w:r w:rsidR="0024115B" w:rsidRPr="00FB5CF4">
        <w:rPr>
          <w:i w:val="0"/>
        </w:rPr>
        <w:t>Ireland</w:t>
      </w:r>
      <w:r w:rsidR="0024115B">
        <w:t xml:space="preserve"> </w:t>
      </w:r>
      <w:r w:rsidR="008F3E54">
        <w:t>m</w:t>
      </w:r>
      <w:r w:rsidR="0024115B">
        <w:t xml:space="preserve">erger </w:t>
      </w:r>
      <w:r w:rsidR="008F3E54">
        <w:t>d</w:t>
      </w:r>
      <w:r w:rsidR="0024115B">
        <w:t>octrine</w:t>
      </w:r>
      <w:r w:rsidR="008F3E54">
        <w:t xml:space="preserve"> does not bar defendant’s convictions for torture-murder and mayhem-murder</w:t>
      </w:r>
      <w:bookmarkEnd w:id="16"/>
    </w:p>
    <w:p w:rsidR="0024115B" w:rsidRDefault="0024115B" w:rsidP="00570D50">
      <w:pPr>
        <w:pStyle w:val="NormalIndent"/>
        <w:spacing w:line="480" w:lineRule="atLeast"/>
        <w:ind w:left="0" w:firstLine="720"/>
      </w:pPr>
      <w:r>
        <w:t xml:space="preserve">The trial court instructed the jury that it could convict defendant of first degree murder either by finding that </w:t>
      </w:r>
      <w:r w:rsidR="004D312F">
        <w:t>Epperson’s</w:t>
      </w:r>
      <w:r>
        <w:t xml:space="preserve"> killing was done </w:t>
      </w:r>
      <w:r w:rsidR="003B07A8">
        <w:t xml:space="preserve">intentionally </w:t>
      </w:r>
      <w:r>
        <w:t xml:space="preserve">with premeditation and </w:t>
      </w:r>
      <w:r w:rsidR="003B07A8">
        <w:t>deliberation</w:t>
      </w:r>
      <w:r>
        <w:t xml:space="preserve"> or that it occurred during the commission or attempted commission of</w:t>
      </w:r>
      <w:r w:rsidR="00D63150">
        <w:t>, among other charged felonies,</w:t>
      </w:r>
      <w:r>
        <w:t xml:space="preserve"> mayhem or torture. </w:t>
      </w:r>
      <w:r w:rsidR="006665B6">
        <w:t xml:space="preserve"> </w:t>
      </w:r>
      <w:r w:rsidR="002A445F">
        <w:t>I</w:t>
      </w:r>
      <w:r w:rsidR="00F362E0">
        <w:t xml:space="preserve">n </w:t>
      </w:r>
      <w:r w:rsidR="00F362E0">
        <w:rPr>
          <w:i/>
        </w:rPr>
        <w:t xml:space="preserve">People v. Ireland </w:t>
      </w:r>
      <w:r w:rsidR="00F362E0">
        <w:t>(</w:t>
      </w:r>
      <w:r w:rsidR="009D0996">
        <w:t>1969</w:t>
      </w:r>
      <w:r w:rsidR="00F362E0">
        <w:t>)</w:t>
      </w:r>
      <w:r w:rsidR="009D0996">
        <w:t xml:space="preserve"> 70 Cal.2d 522</w:t>
      </w:r>
      <w:r w:rsidR="00C3533D">
        <w:t xml:space="preserve"> (</w:t>
      </w:r>
      <w:r w:rsidR="00C3533D">
        <w:rPr>
          <w:i/>
        </w:rPr>
        <w:t>Ireland</w:t>
      </w:r>
      <w:r w:rsidR="00C3533D">
        <w:t>)</w:t>
      </w:r>
      <w:r w:rsidR="009D0996">
        <w:t>,</w:t>
      </w:r>
      <w:r w:rsidR="00F362E0">
        <w:t xml:space="preserve"> we held that </w:t>
      </w:r>
      <w:r w:rsidR="009D0996">
        <w:t>the crime of assault with a deadly weapon c</w:t>
      </w:r>
      <w:r w:rsidR="002A445F">
        <w:t>an</w:t>
      </w:r>
      <w:r w:rsidR="009D0996">
        <w:t xml:space="preserve">not be used as the </w:t>
      </w:r>
      <w:r w:rsidR="004D312F">
        <w:t>sole predicate</w:t>
      </w:r>
      <w:r w:rsidR="009D0996">
        <w:t xml:space="preserve"> crime for a</w:t>
      </w:r>
      <w:r w:rsidR="00C21BDB">
        <w:t xml:space="preserve"> second degree</w:t>
      </w:r>
      <w:r w:rsidR="009D0996">
        <w:t xml:space="preserve"> felony-murder conviction because, </w:t>
      </w:r>
      <w:r w:rsidR="004D312F">
        <w:t xml:space="preserve">when a </w:t>
      </w:r>
      <w:r w:rsidR="00570D50">
        <w:t xml:space="preserve">firearm is used in a </w:t>
      </w:r>
      <w:r w:rsidR="004D312F">
        <w:t xml:space="preserve">killing, such an </w:t>
      </w:r>
      <w:r w:rsidR="009D0996">
        <w:t xml:space="preserve">assault </w:t>
      </w:r>
      <w:r w:rsidR="004D312F">
        <w:t>i</w:t>
      </w:r>
      <w:r w:rsidR="009D0996">
        <w:t>s “an integral part of the hom</w:t>
      </w:r>
      <w:r w:rsidR="00AD7E00">
        <w:t>i</w:t>
      </w:r>
      <w:r w:rsidR="009D0996">
        <w:t>cide.”  (</w:t>
      </w:r>
      <w:r w:rsidR="009D0996">
        <w:rPr>
          <w:i/>
        </w:rPr>
        <w:t>Id.</w:t>
      </w:r>
      <w:r w:rsidR="009D0996">
        <w:t xml:space="preserve">, at p. 539.) </w:t>
      </w:r>
      <w:r w:rsidR="009D0996">
        <w:rPr>
          <w:i/>
        </w:rPr>
        <w:t xml:space="preserve"> </w:t>
      </w:r>
      <w:r w:rsidR="00F362E0">
        <w:t xml:space="preserve">Defendant contends </w:t>
      </w:r>
      <w:r w:rsidR="0040677B">
        <w:t xml:space="preserve">that </w:t>
      </w:r>
      <w:r w:rsidR="00F362E0">
        <w:t xml:space="preserve">the </w:t>
      </w:r>
      <w:r w:rsidR="00F362E0">
        <w:rPr>
          <w:i/>
        </w:rPr>
        <w:t>Ireland</w:t>
      </w:r>
      <w:r w:rsidR="00F362E0">
        <w:t xml:space="preserve"> </w:t>
      </w:r>
      <w:r w:rsidR="00BE50CE">
        <w:t>holding</w:t>
      </w:r>
      <w:r w:rsidR="0016279F">
        <w:t>, which has come to be known as the “</w:t>
      </w:r>
      <w:r w:rsidR="00211160">
        <w:t xml:space="preserve"> ‘</w:t>
      </w:r>
      <w:r w:rsidR="0016279F">
        <w:t>merger</w:t>
      </w:r>
      <w:r w:rsidR="00211160">
        <w:t>’</w:t>
      </w:r>
      <w:r w:rsidR="0016279F">
        <w:t xml:space="preserve"> doctrine”</w:t>
      </w:r>
      <w:r w:rsidR="00211160">
        <w:t xml:space="preserve"> (</w:t>
      </w:r>
      <w:r w:rsidR="00211160">
        <w:rPr>
          <w:i/>
        </w:rPr>
        <w:t>id.</w:t>
      </w:r>
      <w:r w:rsidR="00211160">
        <w:t>, at p. 540),</w:t>
      </w:r>
      <w:r w:rsidR="00F362E0">
        <w:t xml:space="preserve"> should</w:t>
      </w:r>
      <w:r w:rsidR="004D312F">
        <w:t xml:space="preserve"> be applied</w:t>
      </w:r>
      <w:r w:rsidR="00F362E0">
        <w:t xml:space="preserve"> here to preclude a </w:t>
      </w:r>
      <w:r w:rsidR="004D312F">
        <w:t>verdict</w:t>
      </w:r>
      <w:r w:rsidR="00F362E0">
        <w:t xml:space="preserve"> of first degree murder in the course of the crimes of mayhem or torture</w:t>
      </w:r>
      <w:r w:rsidR="0016279F">
        <w:t xml:space="preserve"> because the commission of these crimes was</w:t>
      </w:r>
      <w:r w:rsidR="00F362E0">
        <w:t xml:space="preserve">, </w:t>
      </w:r>
      <w:r w:rsidR="0016279F">
        <w:t xml:space="preserve">in </w:t>
      </w:r>
      <w:r w:rsidR="00F362E0">
        <w:t>defendant</w:t>
      </w:r>
      <w:r w:rsidR="0016279F">
        <w:t>’s</w:t>
      </w:r>
      <w:r w:rsidR="00F362E0">
        <w:t xml:space="preserve"> characteriz</w:t>
      </w:r>
      <w:r w:rsidR="0016279F">
        <w:t>ation,</w:t>
      </w:r>
      <w:r w:rsidR="00F362E0">
        <w:t xml:space="preserve"> </w:t>
      </w:r>
      <w:r w:rsidR="004D312F">
        <w:t xml:space="preserve">an integral part of </w:t>
      </w:r>
      <w:r w:rsidR="0016279F">
        <w:t>hi</w:t>
      </w:r>
      <w:r w:rsidR="004D312F">
        <w:t xml:space="preserve">s brutal </w:t>
      </w:r>
      <w:r w:rsidR="00F362E0">
        <w:t>heat of passion killing.</w:t>
      </w:r>
      <w:r w:rsidR="004D312F">
        <w:t xml:space="preserve">  </w:t>
      </w:r>
      <w:r w:rsidR="00BE50CE">
        <w:t>W</w:t>
      </w:r>
      <w:r w:rsidR="004D312F">
        <w:t>e find the a</w:t>
      </w:r>
      <w:r w:rsidR="0016279F">
        <w:t>rgument</w:t>
      </w:r>
      <w:r w:rsidR="004D312F">
        <w:t xml:space="preserve"> un</w:t>
      </w:r>
      <w:r w:rsidR="00600D2D">
        <w:t>persuasive</w:t>
      </w:r>
      <w:r w:rsidR="004D312F">
        <w:t>.</w:t>
      </w:r>
    </w:p>
    <w:p w:rsidR="0016279F" w:rsidRPr="006357D5" w:rsidRDefault="0016279F" w:rsidP="00BB2315">
      <w:pPr>
        <w:pStyle w:val="NormalIndent"/>
        <w:spacing w:line="480" w:lineRule="atLeast"/>
        <w:ind w:left="0" w:firstLine="720"/>
      </w:pPr>
      <w:r>
        <w:t xml:space="preserve">“ ‘The </w:t>
      </w:r>
      <w:r>
        <w:rPr>
          <w:rStyle w:val="term"/>
        </w:rPr>
        <w:t>felony-murder</w:t>
      </w:r>
      <w:r>
        <w:t xml:space="preserve"> rule makes a killing while committing certain </w:t>
      </w:r>
      <w:r>
        <w:rPr>
          <w:rStyle w:val="term"/>
        </w:rPr>
        <w:t>felonies murder</w:t>
      </w:r>
      <w:r>
        <w:t xml:space="preserve"> without the necessity of further examining the defendant’s mental state.’  [Citation.]  ‘Under the </w:t>
      </w:r>
      <w:r>
        <w:rPr>
          <w:rStyle w:val="term"/>
        </w:rPr>
        <w:t>felony-murder</w:t>
      </w:r>
      <w:r>
        <w:t xml:space="preserve"> doctrine, when the defendant or an accomplice kills someone during the commission, or attempted commission, of an inherently dangerous felony, the defendant is liable for either first or second degree murder, depending on the felony committed.  If the felony is listed in section 189, the murder is of the first degree; if not, the murder is of the second degree.’ ”  (</w:t>
      </w:r>
      <w:r>
        <w:rPr>
          <w:i/>
        </w:rPr>
        <w:t xml:space="preserve">People v. Bryant </w:t>
      </w:r>
      <w:r>
        <w:t xml:space="preserve">(2013) </w:t>
      </w:r>
      <w:r w:rsidRPr="007608B6">
        <w:t>56 Cal.4th 959, 965</w:t>
      </w:r>
      <w:r>
        <w:t>.)</w:t>
      </w:r>
    </w:p>
    <w:p w:rsidR="00C21BDB" w:rsidRDefault="00BB2315" w:rsidP="00BB2315">
      <w:pPr>
        <w:pStyle w:val="NormalIndent"/>
        <w:spacing w:line="480" w:lineRule="atLeast"/>
        <w:ind w:left="0" w:firstLine="720"/>
      </w:pPr>
      <w:r>
        <w:t xml:space="preserve">The defendant in </w:t>
      </w:r>
      <w:r>
        <w:rPr>
          <w:i/>
        </w:rPr>
        <w:t xml:space="preserve">Ireland </w:t>
      </w:r>
      <w:r>
        <w:t>was convicted of second degree murder after he shot his wife in the course of an argument in their home.  (</w:t>
      </w:r>
      <w:r>
        <w:rPr>
          <w:i/>
        </w:rPr>
        <w:t>I</w:t>
      </w:r>
      <w:r w:rsidR="00211160">
        <w:rPr>
          <w:i/>
        </w:rPr>
        <w:t>reland</w:t>
      </w:r>
      <w:r w:rsidR="00211160">
        <w:t xml:space="preserve">, </w:t>
      </w:r>
      <w:r w:rsidR="00211160">
        <w:rPr>
          <w:i/>
        </w:rPr>
        <w:t>supra</w:t>
      </w:r>
      <w:r w:rsidR="00211160">
        <w:t>, 70 Cal.2d at</w:t>
      </w:r>
      <w:r>
        <w:t xml:space="preserve"> p. 528.)  The jury had been instructed that it could convict the defendant of second degree murder if the killing occurred during the commission of a felony inherently dangerous to human life, expressly including assault with a deadly weapon.  (</w:t>
      </w:r>
      <w:r>
        <w:rPr>
          <w:i/>
        </w:rPr>
        <w:t>Id</w:t>
      </w:r>
      <w:r>
        <w:t xml:space="preserve">., p. 538.)  </w:t>
      </w:r>
      <w:r w:rsidR="00BE50CE">
        <w:t>In reversing, w</w:t>
      </w:r>
      <w:r>
        <w:t>e concluded</w:t>
      </w:r>
      <w:r w:rsidR="00F968E9">
        <w:t>, “[t]</w:t>
      </w:r>
      <w:r>
        <w:t>o allow such use of the felony-murder rule would effectively preclude the jury from considering the issue of malice aforethought in all cases wherein homicide has been committed as a result of a felonious assault</w:t>
      </w:r>
      <w:r w:rsidR="007F38B8">
        <w:t xml:space="preserve"> </w:t>
      </w:r>
      <w:r>
        <w:t>—</w:t>
      </w:r>
      <w:r w:rsidR="007F38B8">
        <w:t xml:space="preserve"> </w:t>
      </w:r>
      <w:r>
        <w:t>a category which includes the great majority of all homicides.</w:t>
      </w:r>
      <w:r w:rsidR="00211160">
        <w:t xml:space="preserve"> </w:t>
      </w:r>
      <w:r>
        <w:t xml:space="preserve"> . . .  We therefore hold that</w:t>
      </w:r>
      <w:bookmarkStart w:id="17" w:name="clsccl10"/>
      <w:bookmarkEnd w:id="17"/>
      <w:r>
        <w:t xml:space="preserve"> a second degree felony-murder instruction may not properly be given when it is based upon a felony which is </w:t>
      </w:r>
      <w:r w:rsidRPr="00BB2315">
        <w:rPr>
          <w:i/>
        </w:rPr>
        <w:t xml:space="preserve">an integral part of the homicide </w:t>
      </w:r>
      <w:r>
        <w:t xml:space="preserve">and which the evidence produced by the prosecution shows to be an offense included </w:t>
      </w:r>
      <w:r>
        <w:rPr>
          <w:i/>
          <w:iCs/>
        </w:rPr>
        <w:t>in fact</w:t>
      </w:r>
      <w:r>
        <w:t xml:space="preserve"> within the offense charged.”  (</w:t>
      </w:r>
      <w:r>
        <w:rPr>
          <w:i/>
        </w:rPr>
        <w:t>Id</w:t>
      </w:r>
      <w:r>
        <w:t xml:space="preserve">., </w:t>
      </w:r>
      <w:r w:rsidR="00211160">
        <w:t xml:space="preserve">at </w:t>
      </w:r>
      <w:r>
        <w:t>p. 539 [</w:t>
      </w:r>
      <w:r w:rsidR="00211160">
        <w:t>first</w:t>
      </w:r>
      <w:r>
        <w:t xml:space="preserve"> </w:t>
      </w:r>
      <w:r w:rsidR="003B07A8">
        <w:t>italics</w:t>
      </w:r>
      <w:r w:rsidR="00211160">
        <w:t xml:space="preserve"> added,</w:t>
      </w:r>
      <w:r>
        <w:t xml:space="preserve"> </w:t>
      </w:r>
      <w:r w:rsidR="00211160">
        <w:t>second</w:t>
      </w:r>
      <w:r>
        <w:t xml:space="preserve"> </w:t>
      </w:r>
      <w:r w:rsidR="003B07A8">
        <w:t>italics</w:t>
      </w:r>
      <w:r>
        <w:t xml:space="preserve"> in original</w:t>
      </w:r>
      <w:r w:rsidR="00211160">
        <w:t>, footnote omitted].)</w:t>
      </w:r>
      <w:r>
        <w:t xml:space="preserve"> </w:t>
      </w:r>
    </w:p>
    <w:p w:rsidR="00C21BDB" w:rsidRDefault="00C21BDB" w:rsidP="00BB2315">
      <w:pPr>
        <w:pStyle w:val="NormalIndent"/>
        <w:spacing w:line="480" w:lineRule="atLeast"/>
        <w:ind w:left="0" w:firstLine="720"/>
      </w:pPr>
      <w:r>
        <w:t>In two subsequent decisions, we extended this doctrine to preclude convictions for first degree felony murder premised on a killing during the course of a burglary when the intended felony underlying the burglary was the assault that led to the homicide.  (</w:t>
      </w:r>
      <w:r>
        <w:rPr>
          <w:i/>
        </w:rPr>
        <w:t xml:space="preserve">People v. Sears </w:t>
      </w:r>
      <w:r>
        <w:t>(1970) 2 Cal.3d 180, 188-189 (</w:t>
      </w:r>
      <w:r>
        <w:rPr>
          <w:i/>
        </w:rPr>
        <w:t>Sears</w:t>
      </w:r>
      <w:r>
        <w:t xml:space="preserve">); </w:t>
      </w:r>
      <w:r>
        <w:rPr>
          <w:i/>
        </w:rPr>
        <w:t>People v. Wilson</w:t>
      </w:r>
      <w:r>
        <w:t xml:space="preserve"> (1969) 1 Cal.3d 431, 440 (</w:t>
      </w:r>
      <w:r>
        <w:rPr>
          <w:i/>
        </w:rPr>
        <w:t>Wilson</w:t>
      </w:r>
      <w:r>
        <w:t>) [precluding application of the felony-murder rule when “the entry would be nonfelonious but for the intent to commit the assault, and the assault is an integral part of the homicide”].)</w:t>
      </w:r>
    </w:p>
    <w:p w:rsidR="00BB2315" w:rsidRDefault="00C21BDB" w:rsidP="00BB2315">
      <w:pPr>
        <w:pStyle w:val="NormalIndent"/>
        <w:spacing w:line="480" w:lineRule="atLeast"/>
        <w:ind w:left="0" w:firstLine="720"/>
      </w:pPr>
      <w:r>
        <w:t xml:space="preserve">Although second degree felony murder is grounded in an interpretation of section 188, no statute </w:t>
      </w:r>
      <w:r w:rsidR="002A547A">
        <w:t>specifically</w:t>
      </w:r>
      <w:r>
        <w:t xml:space="preserve"> addresses second degree felony murder.  (</w:t>
      </w:r>
      <w:r>
        <w:rPr>
          <w:i/>
        </w:rPr>
        <w:t xml:space="preserve">People v. Chun </w:t>
      </w:r>
      <w:r>
        <w:t xml:space="preserve">(2009) 45 Cal.4th 1172, 1182-1183.)  In contrast, first degree felony murder, </w:t>
      </w:r>
      <w:r w:rsidR="00941DFB">
        <w:t xml:space="preserve">along with </w:t>
      </w:r>
      <w:r>
        <w:t>the pr</w:t>
      </w:r>
      <w:r w:rsidR="00941DFB">
        <w:t xml:space="preserve">edicate crimes underlying it, is expressly described in section 189.  Citing this distinction in </w:t>
      </w:r>
      <w:r w:rsidR="00941DFB">
        <w:rPr>
          <w:i/>
        </w:rPr>
        <w:t xml:space="preserve">People v. Farley </w:t>
      </w:r>
      <w:r w:rsidR="00941DFB">
        <w:t>(2009) 46 Cal.4th 1053 (</w:t>
      </w:r>
      <w:r w:rsidR="00941DFB">
        <w:rPr>
          <w:i/>
        </w:rPr>
        <w:t>Farley</w:t>
      </w:r>
      <w:r w:rsidR="00941DFB">
        <w:t xml:space="preserve">), we reconsidered and disapproved the extension of the merger doctrine to first degree felony murder.  As </w:t>
      </w:r>
      <w:r w:rsidR="00941DFB">
        <w:rPr>
          <w:i/>
        </w:rPr>
        <w:t xml:space="preserve">Farley </w:t>
      </w:r>
      <w:r w:rsidR="00941DFB">
        <w:t xml:space="preserve">reasoned, </w:t>
      </w:r>
      <w:r w:rsidR="00941DFB" w:rsidRPr="00941DFB">
        <w:rPr>
          <w:rStyle w:val="sscrbhighlight"/>
          <w:szCs w:val="26"/>
          <w:bdr w:val="none" w:sz="0" w:space="0" w:color="auto" w:frame="1"/>
          <w:shd w:val="clear" w:color="auto" w:fill="FFFFFF"/>
        </w:rPr>
        <w:t>“ ‘ “</w:t>
      </w:r>
      <w:r w:rsidR="00941DFB">
        <w:rPr>
          <w:rStyle w:val="sscrbhighlight"/>
          <w:szCs w:val="26"/>
          <w:bdr w:val="none" w:sz="0" w:space="0" w:color="auto" w:frame="1"/>
          <w:shd w:val="clear" w:color="auto" w:fill="FFFFFF"/>
        </w:rPr>
        <w:t xml:space="preserve"> ‘</w:t>
      </w:r>
      <w:r w:rsidR="00941DFB" w:rsidRPr="00941DFB">
        <w:rPr>
          <w:rStyle w:val="sscrbhighlight"/>
          <w:szCs w:val="26"/>
          <w:bdr w:val="none" w:sz="0" w:space="0" w:color="auto" w:frame="1"/>
          <w:shd w:val="clear" w:color="auto" w:fill="FFFFFF"/>
        </w:rPr>
        <w:t>the power to define crimes and fix penalties is vested exclusively in the legislative branch.</w:t>
      </w:r>
      <w:r w:rsidR="00941DFB">
        <w:rPr>
          <w:rStyle w:val="sscrbhighlight"/>
          <w:szCs w:val="26"/>
          <w:bdr w:val="none" w:sz="0" w:space="0" w:color="auto" w:frame="1"/>
          <w:shd w:val="clear" w:color="auto" w:fill="FFFFFF"/>
        </w:rPr>
        <w:t>’  [Citation.]</w:t>
      </w:r>
      <w:r w:rsidR="00941DFB" w:rsidRPr="00941DFB">
        <w:rPr>
          <w:rStyle w:val="sscrbhighlight"/>
          <w:szCs w:val="26"/>
          <w:bdr w:val="none" w:sz="0" w:space="0" w:color="auto" w:frame="1"/>
          <w:shd w:val="clear" w:color="auto" w:fill="FFFFFF"/>
        </w:rPr>
        <w:t>”</w:t>
      </w:r>
      <w:r w:rsidR="00941DFB">
        <w:rPr>
          <w:rStyle w:val="sscrbhighlight"/>
          <w:szCs w:val="26"/>
          <w:bdr w:val="none" w:sz="0" w:space="0" w:color="auto" w:frame="1"/>
          <w:shd w:val="clear" w:color="auto" w:fill="FFFFFF"/>
        </w:rPr>
        <w:t xml:space="preserve"> ’ [Citation.]</w:t>
      </w:r>
      <w:r w:rsidR="00941DFB" w:rsidRPr="00941DFB">
        <w:rPr>
          <w:rStyle w:val="sscrbhighlight"/>
          <w:szCs w:val="26"/>
          <w:bdr w:val="none" w:sz="0" w:space="0" w:color="auto" w:frame="1"/>
          <w:shd w:val="clear" w:color="auto" w:fill="FFFFFF"/>
        </w:rPr>
        <w:t xml:space="preserve"> </w:t>
      </w:r>
      <w:r w:rsidR="00941DFB">
        <w:rPr>
          <w:rStyle w:val="sscrbhighlight"/>
          <w:szCs w:val="26"/>
          <w:bdr w:val="none" w:sz="0" w:space="0" w:color="auto" w:frame="1"/>
          <w:shd w:val="clear" w:color="auto" w:fill="FFFFFF"/>
        </w:rPr>
        <w:t xml:space="preserve"> </w:t>
      </w:r>
      <w:r w:rsidR="00941DFB" w:rsidRPr="00941DFB">
        <w:rPr>
          <w:rStyle w:val="sscrbhighlight"/>
          <w:szCs w:val="26"/>
          <w:bdr w:val="none" w:sz="0" w:space="0" w:color="auto" w:frame="1"/>
          <w:shd w:val="clear" w:color="auto" w:fill="FFFFFF"/>
        </w:rPr>
        <w:t>The courts may not </w:t>
      </w:r>
      <w:r w:rsidR="00941DFB" w:rsidRPr="00941DFB">
        <w:rPr>
          <w:rStyle w:val="ssit"/>
          <w:i/>
          <w:iCs/>
          <w:szCs w:val="26"/>
          <w:bdr w:val="none" w:sz="0" w:space="0" w:color="auto" w:frame="1"/>
          <w:shd w:val="clear" w:color="auto" w:fill="FFFFFF"/>
        </w:rPr>
        <w:t>expand</w:t>
      </w:r>
      <w:r w:rsidR="00941DFB">
        <w:rPr>
          <w:rStyle w:val="sscrbhighlight"/>
          <w:szCs w:val="26"/>
          <w:bdr w:val="none" w:sz="0" w:space="0" w:color="auto" w:frame="1"/>
          <w:shd w:val="clear" w:color="auto" w:fill="FFFFFF"/>
        </w:rPr>
        <w:t> the Legislature’</w:t>
      </w:r>
      <w:r w:rsidR="00941DFB" w:rsidRPr="00941DFB">
        <w:rPr>
          <w:rStyle w:val="sscrbhighlight"/>
          <w:szCs w:val="26"/>
          <w:bdr w:val="none" w:sz="0" w:space="0" w:color="auto" w:frame="1"/>
          <w:shd w:val="clear" w:color="auto" w:fill="FFFFFF"/>
        </w:rPr>
        <w:t>s definition of a crime</w:t>
      </w:r>
      <w:r w:rsidR="00941DFB">
        <w:rPr>
          <w:rStyle w:val="sscrbhighlight"/>
          <w:szCs w:val="26"/>
          <w:bdr w:val="none" w:sz="0" w:space="0" w:color="auto" w:frame="1"/>
          <w:shd w:val="clear" w:color="auto" w:fill="FFFFFF"/>
        </w:rPr>
        <w:t xml:space="preserve"> [citation]</w:t>
      </w:r>
      <w:r w:rsidR="00941DFB" w:rsidRPr="00941DFB">
        <w:rPr>
          <w:rStyle w:val="sscrbhighlight"/>
          <w:szCs w:val="26"/>
          <w:bdr w:val="none" w:sz="0" w:space="0" w:color="auto" w:frame="1"/>
          <w:shd w:val="clear" w:color="auto" w:fill="FFFFFF"/>
        </w:rPr>
        <w:t>, nor may they </w:t>
      </w:r>
      <w:r w:rsidR="00941DFB" w:rsidRPr="00941DFB">
        <w:rPr>
          <w:rStyle w:val="ssit"/>
          <w:i/>
          <w:iCs/>
          <w:szCs w:val="26"/>
          <w:bdr w:val="none" w:sz="0" w:space="0" w:color="auto" w:frame="1"/>
          <w:shd w:val="clear" w:color="auto" w:fill="FFFFFF"/>
        </w:rPr>
        <w:t>narrow</w:t>
      </w:r>
      <w:r w:rsidR="00941DFB" w:rsidRPr="00941DFB">
        <w:rPr>
          <w:rStyle w:val="sscrbhighlight"/>
          <w:szCs w:val="26"/>
          <w:bdr w:val="none" w:sz="0" w:space="0" w:color="auto" w:frame="1"/>
          <w:shd w:val="clear" w:color="auto" w:fill="FFFFFF"/>
        </w:rPr>
        <w:t> a clear and specific definition.</w:t>
      </w:r>
      <w:r w:rsidR="00941DFB" w:rsidRPr="00941DFB">
        <w:rPr>
          <w:rStyle w:val="ssbf"/>
          <w:b/>
          <w:bCs/>
          <w:szCs w:val="26"/>
          <w:bdr w:val="none" w:sz="0" w:space="0" w:color="auto" w:frame="1"/>
          <w:shd w:val="clear" w:color="auto" w:fill="FFFFFF"/>
        </w:rPr>
        <w:t> </w:t>
      </w:r>
      <w:r w:rsidR="00941DFB">
        <w:rPr>
          <w:rStyle w:val="ssbf"/>
          <w:b/>
          <w:bCs/>
          <w:szCs w:val="26"/>
          <w:bdr w:val="none" w:sz="0" w:space="0" w:color="auto" w:frame="1"/>
          <w:shd w:val="clear" w:color="auto" w:fill="FFFFFF"/>
        </w:rPr>
        <w:t xml:space="preserve"> </w:t>
      </w:r>
      <w:r w:rsidR="00941DFB" w:rsidRPr="00941DFB">
        <w:rPr>
          <w:rStyle w:val="sscrbhighlight"/>
          <w:szCs w:val="26"/>
          <w:bdr w:val="none" w:sz="0" w:space="0" w:color="auto" w:frame="1"/>
          <w:shd w:val="clear" w:color="auto" w:fill="FFFFFF"/>
        </w:rPr>
        <w:t>In the context of second degree felony murder, courts must interpret</w:t>
      </w:r>
      <w:r w:rsidR="00941DFB">
        <w:rPr>
          <w:rStyle w:val="sscrbhighlight"/>
          <w:szCs w:val="26"/>
          <w:bdr w:val="none" w:sz="0" w:space="0" w:color="auto" w:frame="1"/>
          <w:shd w:val="clear" w:color="auto" w:fill="FFFFFF"/>
        </w:rPr>
        <w:t xml:space="preserve"> section 188’s</w:t>
      </w:r>
      <w:r w:rsidR="00941DFB" w:rsidRPr="00941DFB">
        <w:rPr>
          <w:rStyle w:val="sscrbhighlight"/>
          <w:szCs w:val="26"/>
          <w:bdr w:val="none" w:sz="0" w:space="0" w:color="auto" w:frame="1"/>
          <w:shd w:val="clear" w:color="auto" w:fill="FFFFFF"/>
        </w:rPr>
        <w:t> reference to an ‘</w:t>
      </w:r>
      <w:r w:rsidR="00941DFB">
        <w:rPr>
          <w:rStyle w:val="sscrbhighlight"/>
          <w:szCs w:val="26"/>
          <w:bdr w:val="none" w:sz="0" w:space="0" w:color="auto" w:frame="1"/>
          <w:shd w:val="clear" w:color="auto" w:fill="FFFFFF"/>
        </w:rPr>
        <w:t xml:space="preserve"> “</w:t>
      </w:r>
      <w:r w:rsidR="00941DFB" w:rsidRPr="00941DFB">
        <w:rPr>
          <w:rStyle w:val="sscrbhighlight"/>
          <w:szCs w:val="26"/>
          <w:bdr w:val="none" w:sz="0" w:space="0" w:color="auto" w:frame="1"/>
          <w:shd w:val="clear" w:color="auto" w:fill="FFFFFF"/>
        </w:rPr>
        <w:t>abandoned and malignant heart.”</w:t>
      </w:r>
      <w:r w:rsidR="00941DFB">
        <w:rPr>
          <w:rStyle w:val="sscrbhighlight"/>
          <w:szCs w:val="26"/>
          <w:bdr w:val="none" w:sz="0" w:space="0" w:color="auto" w:frame="1"/>
          <w:shd w:val="clear" w:color="auto" w:fill="FFFFFF"/>
        </w:rPr>
        <w:t xml:space="preserve"> ’  [Citation.]</w:t>
      </w:r>
      <w:r w:rsidR="00941DFB" w:rsidRPr="00941DFB">
        <w:rPr>
          <w:szCs w:val="26"/>
          <w:shd w:val="clear" w:color="auto" w:fill="FFFFFF"/>
        </w:rPr>
        <w:t xml:space="preserve"> </w:t>
      </w:r>
      <w:r w:rsidR="00941DFB">
        <w:rPr>
          <w:szCs w:val="26"/>
          <w:shd w:val="clear" w:color="auto" w:fill="FFFFFF"/>
        </w:rPr>
        <w:t xml:space="preserve"> </w:t>
      </w:r>
      <w:r w:rsidR="00941DFB" w:rsidRPr="00941DFB">
        <w:rPr>
          <w:szCs w:val="26"/>
          <w:shd w:val="clear" w:color="auto" w:fill="FFFFFF"/>
        </w:rPr>
        <w:t>In the context of first degree felony murder, however, there is no need for interpretation of the Legislature</w:t>
      </w:r>
      <w:r w:rsidR="00941DFB">
        <w:rPr>
          <w:szCs w:val="26"/>
          <w:shd w:val="clear" w:color="auto" w:fill="FFFFFF"/>
        </w:rPr>
        <w:t>’</w:t>
      </w:r>
      <w:r w:rsidR="00941DFB" w:rsidRPr="00941DFB">
        <w:rPr>
          <w:szCs w:val="26"/>
          <w:shd w:val="clear" w:color="auto" w:fill="FFFFFF"/>
        </w:rPr>
        <w:t>s clear language.</w:t>
      </w:r>
      <w:r w:rsidR="00941DFB">
        <w:rPr>
          <w:szCs w:val="26"/>
          <w:shd w:val="clear" w:color="auto" w:fill="FFFFFF"/>
        </w:rPr>
        <w:t xml:space="preserve"> </w:t>
      </w:r>
      <w:r w:rsidR="00941DFB" w:rsidRPr="00941DFB">
        <w:rPr>
          <w:szCs w:val="26"/>
          <w:shd w:val="clear" w:color="auto" w:fill="FFFFFF"/>
        </w:rPr>
        <w:t xml:space="preserve"> Thus, the differences between the statutory bases for first and second degree felony murder support the conclusion that although this court properly may limit</w:t>
      </w:r>
      <w:r w:rsidR="008337A9">
        <w:rPr>
          <w:szCs w:val="26"/>
          <w:shd w:val="clear" w:color="auto" w:fill="FFFFFF"/>
        </w:rPr>
        <w:t xml:space="preserve"> </w:t>
      </w:r>
      <w:r w:rsidR="00941DFB" w:rsidRPr="00941DFB">
        <w:rPr>
          <w:szCs w:val="26"/>
          <w:shd w:val="clear" w:color="auto" w:fill="FFFFFF"/>
        </w:rPr>
        <w:t>the breadth of second degree felony murder in a manner consistent with its in</w:t>
      </w:r>
      <w:r w:rsidR="008337A9">
        <w:rPr>
          <w:szCs w:val="26"/>
          <w:shd w:val="clear" w:color="auto" w:fill="FFFFFF"/>
        </w:rPr>
        <w:t>terpretation of the Legislature’</w:t>
      </w:r>
      <w:r w:rsidR="00941DFB" w:rsidRPr="00941DFB">
        <w:rPr>
          <w:szCs w:val="26"/>
          <w:shd w:val="clear" w:color="auto" w:fill="FFFFFF"/>
        </w:rPr>
        <w:t xml:space="preserve">s intent, there is no room for interpretation when the Legislature has defined first degree felony murder to include any killing </w:t>
      </w:r>
      <w:r w:rsidR="008337A9">
        <w:rPr>
          <w:szCs w:val="26"/>
          <w:shd w:val="clear" w:color="auto" w:fill="FFFFFF"/>
        </w:rPr>
        <w:t>‘</w:t>
      </w:r>
      <w:r w:rsidR="00941DFB" w:rsidRPr="00941DFB">
        <w:rPr>
          <w:szCs w:val="26"/>
          <w:shd w:val="clear" w:color="auto" w:fill="FFFFFF"/>
        </w:rPr>
        <w:t xml:space="preserve">committed in the perpetration of, or attempt to perpetrate, </w:t>
      </w:r>
      <w:r w:rsidR="00211160">
        <w:rPr>
          <w:szCs w:val="26"/>
          <w:shd w:val="clear" w:color="auto" w:fill="FFFFFF"/>
        </w:rPr>
        <w:t xml:space="preserve"> . . . </w:t>
      </w:r>
      <w:r w:rsidR="00941DFB" w:rsidRPr="00941DFB">
        <w:rPr>
          <w:szCs w:val="26"/>
          <w:shd w:val="clear" w:color="auto" w:fill="FFFFFF"/>
        </w:rPr>
        <w:t>burglary.</w:t>
      </w:r>
      <w:r w:rsidR="008337A9">
        <w:rPr>
          <w:szCs w:val="26"/>
          <w:shd w:val="clear" w:color="auto" w:fill="FFFFFF"/>
        </w:rPr>
        <w:t xml:space="preserve">’ </w:t>
      </w:r>
      <w:r w:rsidR="00941DFB" w:rsidRPr="00941DFB">
        <w:rPr>
          <w:szCs w:val="26"/>
          <w:shd w:val="clear" w:color="auto" w:fill="FFFFFF"/>
        </w:rPr>
        <w:t>”</w:t>
      </w:r>
      <w:r w:rsidR="003831DF">
        <w:rPr>
          <w:szCs w:val="26"/>
          <w:shd w:val="clear" w:color="auto" w:fill="FFFFFF"/>
        </w:rPr>
        <w:t xml:space="preserve">  (</w:t>
      </w:r>
      <w:r w:rsidR="003831DF">
        <w:rPr>
          <w:i/>
          <w:szCs w:val="26"/>
          <w:shd w:val="clear" w:color="auto" w:fill="FFFFFF"/>
        </w:rPr>
        <w:t>Id.</w:t>
      </w:r>
      <w:r w:rsidR="003831DF">
        <w:rPr>
          <w:szCs w:val="26"/>
          <w:shd w:val="clear" w:color="auto" w:fill="FFFFFF"/>
        </w:rPr>
        <w:t xml:space="preserve">, at p. 1119.) </w:t>
      </w:r>
      <w:r w:rsidR="008337A9">
        <w:rPr>
          <w:szCs w:val="26"/>
          <w:shd w:val="clear" w:color="auto" w:fill="FFFFFF"/>
        </w:rPr>
        <w:t xml:space="preserve">  </w:t>
      </w:r>
    </w:p>
    <w:p w:rsidR="00C66652" w:rsidRPr="00482C2C" w:rsidRDefault="001A013E" w:rsidP="008337A9">
      <w:pPr>
        <w:pStyle w:val="NormalIndent"/>
        <w:spacing w:line="480" w:lineRule="atLeast"/>
        <w:ind w:left="0" w:firstLine="720"/>
        <w:rPr>
          <w:szCs w:val="26"/>
        </w:rPr>
      </w:pPr>
      <w:r>
        <w:t xml:space="preserve">The rationale of </w:t>
      </w:r>
      <w:r>
        <w:rPr>
          <w:i/>
        </w:rPr>
        <w:t xml:space="preserve">Farley </w:t>
      </w:r>
      <w:r>
        <w:t xml:space="preserve">requires us to reject defendant’s argument.  </w:t>
      </w:r>
      <w:r>
        <w:rPr>
          <w:szCs w:val="26"/>
          <w:shd w:val="clear" w:color="auto" w:fill="FFFFFF"/>
        </w:rPr>
        <w:t xml:space="preserve">Although </w:t>
      </w:r>
      <w:r>
        <w:rPr>
          <w:i/>
          <w:szCs w:val="26"/>
          <w:shd w:val="clear" w:color="auto" w:fill="FFFFFF"/>
        </w:rPr>
        <w:t xml:space="preserve">Farley </w:t>
      </w:r>
      <w:r>
        <w:rPr>
          <w:szCs w:val="26"/>
          <w:shd w:val="clear" w:color="auto" w:fill="FFFFFF"/>
        </w:rPr>
        <w:t xml:space="preserve">was concerned with felony murder based on burglary, its rationale applies equally to all of the predicate felonies expressly listed in section 189.  </w:t>
      </w:r>
      <w:r w:rsidR="008337A9">
        <w:t xml:space="preserve">Even prior to </w:t>
      </w:r>
      <w:r w:rsidR="008337A9">
        <w:rPr>
          <w:i/>
        </w:rPr>
        <w:t>Farley</w:t>
      </w:r>
      <w:r w:rsidR="008337A9">
        <w:t>,</w:t>
      </w:r>
      <w:r w:rsidR="0040677B">
        <w:t xml:space="preserve"> we ha</w:t>
      </w:r>
      <w:r w:rsidR="008337A9">
        <w:t>d</w:t>
      </w:r>
      <w:r w:rsidR="0040677B">
        <w:t xml:space="preserve"> never applied the</w:t>
      </w:r>
      <w:r w:rsidR="008337A9">
        <w:t xml:space="preserve"> merger</w:t>
      </w:r>
      <w:r w:rsidR="0040677B">
        <w:t xml:space="preserve"> doctrine to first degree felony murder premised on a predic</w:t>
      </w:r>
      <w:r w:rsidR="00FB1F0F">
        <w:t>a</w:t>
      </w:r>
      <w:r w:rsidR="0040677B">
        <w:t>te crime other than burglary</w:t>
      </w:r>
      <w:r w:rsidR="0040677B">
        <w:rPr>
          <w:i/>
        </w:rPr>
        <w:t>.</w:t>
      </w:r>
      <w:r w:rsidR="0040677B">
        <w:t xml:space="preserve">  </w:t>
      </w:r>
      <w:r w:rsidR="00FB1F0F">
        <w:t>(</w:t>
      </w:r>
      <w:r w:rsidR="00F23F34">
        <w:t xml:space="preserve">See </w:t>
      </w:r>
      <w:r w:rsidR="00FB1F0F">
        <w:rPr>
          <w:i/>
        </w:rPr>
        <w:t xml:space="preserve">People v. </w:t>
      </w:r>
      <w:r w:rsidR="00FB1F0F" w:rsidRPr="004647F7">
        <w:rPr>
          <w:i/>
        </w:rPr>
        <w:t>Gonzales</w:t>
      </w:r>
      <w:r w:rsidR="00FB1F0F">
        <w:rPr>
          <w:i/>
        </w:rPr>
        <w:t xml:space="preserve"> </w:t>
      </w:r>
      <w:r w:rsidR="00FB1F0F">
        <w:t>(2011) 51 Cal.4th 894, 94</w:t>
      </w:r>
      <w:r w:rsidR="00211160">
        <w:t>2</w:t>
      </w:r>
      <w:r w:rsidR="00FB1F0F">
        <w:t xml:space="preserve"> </w:t>
      </w:r>
      <w:r w:rsidR="00FB1F0F" w:rsidRPr="00F23F34">
        <w:t>[</w:t>
      </w:r>
      <w:r w:rsidR="00FB1F0F" w:rsidRPr="00F23F34">
        <w:rPr>
          <w:szCs w:val="26"/>
        </w:rPr>
        <w:t>“</w:t>
      </w:r>
      <w:r w:rsidR="00FB1F0F" w:rsidRPr="00F23F34">
        <w:rPr>
          <w:rStyle w:val="sscrbhighlight"/>
          <w:szCs w:val="26"/>
          <w:bdr w:val="none" w:sz="0" w:space="0" w:color="auto" w:frame="1"/>
          <w:shd w:val="clear" w:color="auto" w:fill="FFFFFF"/>
        </w:rPr>
        <w:t xml:space="preserve">our preexisting jurisprudence had limited </w:t>
      </w:r>
      <w:r w:rsidR="00FB1F0F" w:rsidRPr="00F23F34">
        <w:rPr>
          <w:rStyle w:val="sscrbhighlight"/>
          <w:i/>
          <w:szCs w:val="26"/>
          <w:bdr w:val="none" w:sz="0" w:space="0" w:color="auto" w:frame="1"/>
          <w:shd w:val="clear" w:color="auto" w:fill="FFFFFF"/>
        </w:rPr>
        <w:t xml:space="preserve">Wilson </w:t>
      </w:r>
      <w:r w:rsidR="00FB1F0F" w:rsidRPr="00F23F34">
        <w:rPr>
          <w:rStyle w:val="sscrbhighlight"/>
          <w:szCs w:val="26"/>
          <w:bdr w:val="none" w:sz="0" w:space="0" w:color="auto" w:frame="1"/>
          <w:shd w:val="clear" w:color="auto" w:fill="FFFFFF"/>
        </w:rPr>
        <w:t>t</w:t>
      </w:r>
      <w:r w:rsidR="00FB1F0F" w:rsidRPr="00F23F34">
        <w:rPr>
          <w:rStyle w:val="ssrfcpassagedeactivated"/>
          <w:szCs w:val="26"/>
          <w:bdr w:val="none" w:sz="0" w:space="0" w:color="auto" w:frame="1"/>
          <w:shd w:val="clear" w:color="auto" w:fill="FFFFFF"/>
        </w:rPr>
        <w:t>o cases of burglary felony murder where the defendant’s only felonious purpose was to assault or kill the victim</w:t>
      </w:r>
      <w:r w:rsidR="00F23F34">
        <w:rPr>
          <w:rStyle w:val="ssrfcpassagedeactivated"/>
          <w:szCs w:val="26"/>
          <w:bdr w:val="none" w:sz="0" w:space="0" w:color="auto" w:frame="1"/>
          <w:shd w:val="clear" w:color="auto" w:fill="FFFFFF"/>
        </w:rPr>
        <w:t>”</w:t>
      </w:r>
      <w:r w:rsidR="00FB1F0F" w:rsidRPr="00F23F34">
        <w:rPr>
          <w:rStyle w:val="ssrfcpassagedeactivated"/>
          <w:szCs w:val="26"/>
          <w:bdr w:val="none" w:sz="0" w:space="0" w:color="auto" w:frame="1"/>
          <w:shd w:val="clear" w:color="auto" w:fill="FFFFFF"/>
        </w:rPr>
        <w:t xml:space="preserve">].)  </w:t>
      </w:r>
      <w:r>
        <w:rPr>
          <w:rStyle w:val="ssrfcpassagedeactivated"/>
          <w:szCs w:val="26"/>
          <w:bdr w:val="none" w:sz="0" w:space="0" w:color="auto" w:frame="1"/>
          <w:shd w:val="clear" w:color="auto" w:fill="FFFFFF"/>
        </w:rPr>
        <w:t>W</w:t>
      </w:r>
      <w:r w:rsidR="00DB50DC">
        <w:t>e have declined to apply</w:t>
      </w:r>
      <w:r w:rsidR="008D56BE">
        <w:t xml:space="preserve"> </w:t>
      </w:r>
      <w:r w:rsidR="00DB50DC">
        <w:rPr>
          <w:i/>
        </w:rPr>
        <w:t xml:space="preserve">Farley </w:t>
      </w:r>
      <w:r w:rsidR="00DB50DC">
        <w:t xml:space="preserve">to </w:t>
      </w:r>
      <w:r w:rsidR="008337A9">
        <w:t xml:space="preserve">cases </w:t>
      </w:r>
      <w:r w:rsidR="000313FD">
        <w:t>involving</w:t>
      </w:r>
      <w:r w:rsidR="00211160">
        <w:t xml:space="preserve"> convictions for</w:t>
      </w:r>
      <w:r w:rsidR="008337A9">
        <w:t xml:space="preserve"> first degree felony murder premised on burglary </w:t>
      </w:r>
      <w:r w:rsidR="00DB50DC">
        <w:t>that</w:t>
      </w:r>
      <w:r w:rsidR="00867E81">
        <w:t xml:space="preserve"> were committed prior to </w:t>
      </w:r>
      <w:r w:rsidR="000313FD">
        <w:t>the</w:t>
      </w:r>
      <w:r w:rsidR="00DB50DC">
        <w:t xml:space="preserve"> issuance</w:t>
      </w:r>
      <w:r w:rsidR="000313FD">
        <w:t xml:space="preserve"> of that decision</w:t>
      </w:r>
      <w:r w:rsidR="008337A9">
        <w:t xml:space="preserve"> in order to avoid retroactivity concerns</w:t>
      </w:r>
      <w:r w:rsidR="00DB50DC">
        <w:t xml:space="preserve"> (</w:t>
      </w:r>
      <w:r w:rsidR="00DB50DC">
        <w:rPr>
          <w:i/>
        </w:rPr>
        <w:t xml:space="preserve">People v. Covarrubias </w:t>
      </w:r>
      <w:r w:rsidR="00DB50DC">
        <w:t>(2016) 1 Cal.5th 838, 882</w:t>
      </w:r>
      <w:r w:rsidR="00523281">
        <w:t xml:space="preserve">; </w:t>
      </w:r>
      <w:r w:rsidR="00523281">
        <w:rPr>
          <w:i/>
        </w:rPr>
        <w:t>Farley</w:t>
      </w:r>
      <w:r w:rsidR="00523281">
        <w:t xml:space="preserve">, </w:t>
      </w:r>
      <w:r w:rsidR="00523281">
        <w:rPr>
          <w:i/>
        </w:rPr>
        <w:t>supra</w:t>
      </w:r>
      <w:r w:rsidR="00523281">
        <w:t>, 46 Cal.4th at p. 1121</w:t>
      </w:r>
      <w:r w:rsidR="00F23F34">
        <w:t>)</w:t>
      </w:r>
      <w:r w:rsidR="008540EE">
        <w:t>,</w:t>
      </w:r>
      <w:r>
        <w:t xml:space="preserve"> but</w:t>
      </w:r>
      <w:r w:rsidR="008540EE">
        <w:t xml:space="preserve"> </w:t>
      </w:r>
      <w:r w:rsidR="00A330FA">
        <w:t>there is no</w:t>
      </w:r>
      <w:r w:rsidR="003831DF">
        <w:t xml:space="preserve"> </w:t>
      </w:r>
      <w:r w:rsidR="00A330FA">
        <w:t>risk of an ex post facto violation in the</w:t>
      </w:r>
      <w:r w:rsidR="008337A9">
        <w:t xml:space="preserve"> circumstances</w:t>
      </w:r>
      <w:r w:rsidR="000313FD">
        <w:t xml:space="preserve"> presented here</w:t>
      </w:r>
      <w:r w:rsidR="008337A9">
        <w:t xml:space="preserve">.  </w:t>
      </w:r>
      <w:r>
        <w:t>Because w</w:t>
      </w:r>
      <w:r w:rsidR="008337A9">
        <w:t xml:space="preserve">e have never suggested that the merger doctrine applies to murders premised on torture and mayhem, </w:t>
      </w:r>
      <w:r>
        <w:t>preclud</w:t>
      </w:r>
      <w:r w:rsidR="008337A9">
        <w:t xml:space="preserve">ing that application on the rationale of </w:t>
      </w:r>
      <w:r w:rsidR="008337A9">
        <w:rPr>
          <w:i/>
        </w:rPr>
        <w:t xml:space="preserve">Farley </w:t>
      </w:r>
      <w:r w:rsidR="008337A9">
        <w:t xml:space="preserve">does not </w:t>
      </w:r>
      <w:r w:rsidR="00A330FA">
        <w:t>constitute “</w:t>
      </w:r>
      <w:r w:rsidR="00A330FA" w:rsidRPr="00A330FA">
        <w:rPr>
          <w:szCs w:val="26"/>
          <w:shd w:val="clear" w:color="auto" w:fill="FFFFFF"/>
        </w:rPr>
        <w:t>an unforeseeable judicial enlargement of a criminal statute</w:t>
      </w:r>
      <w:r w:rsidR="00A330FA">
        <w:rPr>
          <w:szCs w:val="26"/>
          <w:shd w:val="clear" w:color="auto" w:fill="FFFFFF"/>
        </w:rPr>
        <w:t>.”  (</w:t>
      </w:r>
      <w:r w:rsidR="00A330FA">
        <w:rPr>
          <w:i/>
          <w:szCs w:val="26"/>
          <w:shd w:val="clear" w:color="auto" w:fill="FFFFFF"/>
        </w:rPr>
        <w:t>Farley</w:t>
      </w:r>
      <w:r w:rsidR="00A330FA">
        <w:rPr>
          <w:szCs w:val="26"/>
          <w:shd w:val="clear" w:color="auto" w:fill="FFFFFF"/>
        </w:rPr>
        <w:t xml:space="preserve">, at p. 1121; </w:t>
      </w:r>
      <w:r w:rsidR="00A330FA">
        <w:rPr>
          <w:i/>
          <w:szCs w:val="26"/>
          <w:shd w:val="clear" w:color="auto" w:fill="FFFFFF"/>
        </w:rPr>
        <w:t xml:space="preserve">People v. Blakely </w:t>
      </w:r>
      <w:r w:rsidR="00A330FA">
        <w:rPr>
          <w:szCs w:val="26"/>
          <w:shd w:val="clear" w:color="auto" w:fill="FFFFFF"/>
        </w:rPr>
        <w:t>(2000) 23 Cal.4th 82, 91 [“</w:t>
      </w:r>
      <w:r w:rsidR="00A330FA" w:rsidRPr="00A330FA">
        <w:rPr>
          <w:szCs w:val="26"/>
          <w:shd w:val="clear" w:color="auto" w:fill="FFFFFF"/>
        </w:rPr>
        <w:t>an unforseeable judicial enlargement of a criminal statute, applied</w:t>
      </w:r>
      <w:r w:rsidR="00A330FA">
        <w:rPr>
          <w:szCs w:val="26"/>
          <w:shd w:val="clear" w:color="auto" w:fill="FFFFFF"/>
        </w:rPr>
        <w:t xml:space="preserve"> retroactively</w:t>
      </w:r>
      <w:r w:rsidR="00A330FA" w:rsidRPr="00A330FA">
        <w:rPr>
          <w:szCs w:val="26"/>
          <w:shd w:val="clear" w:color="auto" w:fill="FFFFFF"/>
        </w:rPr>
        <w:t>, operates in the same manner as an ex post facto law</w:t>
      </w:r>
      <w:r w:rsidR="00A330FA">
        <w:rPr>
          <w:szCs w:val="26"/>
          <w:shd w:val="clear" w:color="auto" w:fill="FFFFFF"/>
        </w:rPr>
        <w:t>”].)</w:t>
      </w:r>
      <w:r w:rsidR="008337A9" w:rsidRPr="00A330FA">
        <w:rPr>
          <w:szCs w:val="26"/>
        </w:rPr>
        <w:t xml:space="preserve">  </w:t>
      </w:r>
      <w:r w:rsidR="00A330FA">
        <w:rPr>
          <w:szCs w:val="26"/>
        </w:rPr>
        <w:t xml:space="preserve">Given the </w:t>
      </w:r>
      <w:r w:rsidR="00482C2C">
        <w:rPr>
          <w:szCs w:val="26"/>
        </w:rPr>
        <w:t>absence</w:t>
      </w:r>
      <w:r w:rsidR="00A330FA">
        <w:rPr>
          <w:szCs w:val="26"/>
        </w:rPr>
        <w:t xml:space="preserve"> of any </w:t>
      </w:r>
      <w:r w:rsidR="00B93116">
        <w:rPr>
          <w:szCs w:val="26"/>
        </w:rPr>
        <w:t>indicat</w:t>
      </w:r>
      <w:r w:rsidR="00A330FA">
        <w:rPr>
          <w:szCs w:val="26"/>
        </w:rPr>
        <w:t xml:space="preserve">ion in our prior decisions that </w:t>
      </w:r>
      <w:r w:rsidR="00482C2C">
        <w:rPr>
          <w:szCs w:val="26"/>
        </w:rPr>
        <w:t>first degree murder premised on torture or mayhem is subject to the merger doctrine, and given our failure to extend the doctrine</w:t>
      </w:r>
      <w:r w:rsidR="003831DF">
        <w:rPr>
          <w:szCs w:val="26"/>
        </w:rPr>
        <w:t>,</w:t>
      </w:r>
      <w:r w:rsidR="00482C2C">
        <w:rPr>
          <w:szCs w:val="26"/>
        </w:rPr>
        <w:t xml:space="preserve"> over the course of thirty years at the time of defendant’s crimes, to any first degree felony murder other than one premised on the type of burglary </w:t>
      </w:r>
      <w:r w:rsidR="000313FD">
        <w:rPr>
          <w:szCs w:val="26"/>
        </w:rPr>
        <w:t>involve</w:t>
      </w:r>
      <w:r w:rsidR="00482C2C">
        <w:rPr>
          <w:szCs w:val="26"/>
        </w:rPr>
        <w:t xml:space="preserve">d in </w:t>
      </w:r>
      <w:r w:rsidR="00482C2C">
        <w:rPr>
          <w:i/>
          <w:szCs w:val="26"/>
        </w:rPr>
        <w:t xml:space="preserve">Sears </w:t>
      </w:r>
      <w:r w:rsidR="00482C2C">
        <w:rPr>
          <w:szCs w:val="26"/>
        </w:rPr>
        <w:t xml:space="preserve">and </w:t>
      </w:r>
      <w:r w:rsidR="00482C2C">
        <w:rPr>
          <w:i/>
          <w:szCs w:val="26"/>
        </w:rPr>
        <w:t>Wilson</w:t>
      </w:r>
      <w:r w:rsidR="00482C2C">
        <w:rPr>
          <w:szCs w:val="26"/>
        </w:rPr>
        <w:t>,</w:t>
      </w:r>
      <w:r w:rsidR="00482C2C">
        <w:rPr>
          <w:i/>
          <w:szCs w:val="26"/>
        </w:rPr>
        <w:t xml:space="preserve"> </w:t>
      </w:r>
      <w:r w:rsidR="00482C2C">
        <w:rPr>
          <w:szCs w:val="26"/>
        </w:rPr>
        <w:t xml:space="preserve">our refusal to extend the doctrine to torture and mayhem is not a legal result </w:t>
      </w:r>
      <w:r w:rsidR="00482C2C" w:rsidRPr="00482C2C">
        <w:rPr>
          <w:szCs w:val="26"/>
          <w:shd w:val="clear" w:color="auto" w:fill="FFFFFF"/>
        </w:rPr>
        <w:t>“</w:t>
      </w:r>
      <w:r w:rsidR="00482C2C">
        <w:rPr>
          <w:szCs w:val="26"/>
          <w:shd w:val="clear" w:color="auto" w:fill="FFFFFF"/>
        </w:rPr>
        <w:t xml:space="preserve"> ‘</w:t>
      </w:r>
      <w:r w:rsidR="00482C2C" w:rsidRPr="00482C2C">
        <w:rPr>
          <w:szCs w:val="26"/>
          <w:shd w:val="clear" w:color="auto" w:fill="FFFFFF"/>
        </w:rPr>
        <w:t>that the accused could not have foreseen at the time of the alleged criminal conduct.</w:t>
      </w:r>
      <w:r w:rsidR="00482C2C">
        <w:rPr>
          <w:szCs w:val="26"/>
          <w:shd w:val="clear" w:color="auto" w:fill="FFFFFF"/>
        </w:rPr>
        <w:t xml:space="preserve">’ </w:t>
      </w:r>
      <w:r w:rsidR="00482C2C" w:rsidRPr="00482C2C">
        <w:rPr>
          <w:szCs w:val="26"/>
          <w:shd w:val="clear" w:color="auto" w:fill="FFFFFF"/>
        </w:rPr>
        <w:t>”</w:t>
      </w:r>
      <w:r w:rsidR="00482C2C">
        <w:rPr>
          <w:szCs w:val="26"/>
          <w:shd w:val="clear" w:color="auto" w:fill="FFFFFF"/>
        </w:rPr>
        <w:t xml:space="preserve">  (</w:t>
      </w:r>
      <w:r w:rsidR="00482C2C">
        <w:rPr>
          <w:i/>
          <w:szCs w:val="26"/>
          <w:shd w:val="clear" w:color="auto" w:fill="FFFFFF"/>
        </w:rPr>
        <w:t xml:space="preserve">People v. Whitmer </w:t>
      </w:r>
      <w:r w:rsidR="00482C2C">
        <w:rPr>
          <w:szCs w:val="26"/>
          <w:shd w:val="clear" w:color="auto" w:fill="FFFFFF"/>
        </w:rPr>
        <w:t xml:space="preserve">(2014) 59 Cal.4th 733, 742.)  Accordingly, </w:t>
      </w:r>
      <w:r>
        <w:rPr>
          <w:szCs w:val="26"/>
          <w:shd w:val="clear" w:color="auto" w:fill="FFFFFF"/>
        </w:rPr>
        <w:t xml:space="preserve">we hold that </w:t>
      </w:r>
      <w:r w:rsidR="00482C2C">
        <w:rPr>
          <w:szCs w:val="26"/>
          <w:shd w:val="clear" w:color="auto" w:fill="FFFFFF"/>
        </w:rPr>
        <w:t>defendant’s argument fails because the merger doctrine is inapplicable</w:t>
      </w:r>
      <w:r>
        <w:rPr>
          <w:szCs w:val="26"/>
          <w:shd w:val="clear" w:color="auto" w:fill="FFFFFF"/>
        </w:rPr>
        <w:t xml:space="preserve"> to first degree felony murder.</w:t>
      </w:r>
    </w:p>
    <w:p w:rsidR="00206473" w:rsidRPr="00A67F36" w:rsidRDefault="00C66652" w:rsidP="00C66652">
      <w:pPr>
        <w:pStyle w:val="Heading3"/>
      </w:pPr>
      <w:bookmarkStart w:id="18" w:name="_Toc508625880"/>
      <w:r>
        <w:t xml:space="preserve">2.  </w:t>
      </w:r>
      <w:r w:rsidR="003A1A66">
        <w:t>The evidence wa</w:t>
      </w:r>
      <w:r w:rsidR="008F3E54">
        <w:t>s sufficient to support defendant’s conviction for t</w:t>
      </w:r>
      <w:r w:rsidR="00211160">
        <w:t xml:space="preserve">orture </w:t>
      </w:r>
      <w:r w:rsidR="008F3E54">
        <w:t>m</w:t>
      </w:r>
      <w:r w:rsidR="002054BF">
        <w:t>urder</w:t>
      </w:r>
      <w:bookmarkEnd w:id="18"/>
    </w:p>
    <w:p w:rsidR="00206473" w:rsidRPr="00206473" w:rsidRDefault="00206473" w:rsidP="004647F7">
      <w:pPr>
        <w:pStyle w:val="NormalIndent"/>
        <w:spacing w:line="480" w:lineRule="atLeast"/>
        <w:ind w:left="0" w:firstLine="720"/>
      </w:pPr>
      <w:r>
        <w:t>Defendant contends there was insufficient evidence before the jury to suppor</w:t>
      </w:r>
      <w:r w:rsidR="004647F7">
        <w:t>t the torture conviction, the</w:t>
      </w:r>
      <w:r w:rsidR="001144D8">
        <w:t xml:space="preserve"> first degree</w:t>
      </w:r>
      <w:r w:rsidR="004647F7">
        <w:t xml:space="preserve"> </w:t>
      </w:r>
      <w:r w:rsidR="00FA6BDC">
        <w:t>torture-</w:t>
      </w:r>
      <w:r w:rsidR="004647F7">
        <w:t xml:space="preserve">murder conviction, and the special circumstance </w:t>
      </w:r>
      <w:r w:rsidR="001144D8">
        <w:t>finding</w:t>
      </w:r>
      <w:r w:rsidR="004647F7">
        <w:t xml:space="preserve"> based on that theory.</w:t>
      </w:r>
    </w:p>
    <w:p w:rsidR="00206473" w:rsidRDefault="00FA6BDC" w:rsidP="00206473">
      <w:pPr>
        <w:pStyle w:val="NormalIndent"/>
        <w:spacing w:line="480" w:lineRule="atLeast"/>
        <w:ind w:left="0" w:firstLine="720"/>
      </w:pPr>
      <w:r>
        <w:t>“When considering a challenge to the sufficiency of the evidence to support a conviction, we review the entire record in the light most favorable to the judgment to determine whether it contains substantial evidence</w:t>
      </w:r>
      <w:r w:rsidR="00C66652">
        <w:t xml:space="preserve"> </w:t>
      </w:r>
      <w:r>
        <w:t>—</w:t>
      </w:r>
      <w:r w:rsidR="00C66652">
        <w:t xml:space="preserve"> </w:t>
      </w:r>
      <w:r>
        <w:t>that is, evidence that is reasonable, credible, and of solid value</w:t>
      </w:r>
      <w:r w:rsidR="00C66652">
        <w:t xml:space="preserve"> </w:t>
      </w:r>
      <w:r>
        <w:t>—</w:t>
      </w:r>
      <w:r w:rsidR="00C66652">
        <w:t xml:space="preserve"> </w:t>
      </w:r>
      <w:r>
        <w:t>from which a reasonable trier of fact could find the defendant guilty beyond a reasonable doubt.”  (</w:t>
      </w:r>
      <w:r>
        <w:rPr>
          <w:i/>
        </w:rPr>
        <w:t>People v</w:t>
      </w:r>
      <w:r w:rsidR="0076557D">
        <w:rPr>
          <w:i/>
        </w:rPr>
        <w:t>.</w:t>
      </w:r>
      <w:r>
        <w:rPr>
          <w:i/>
        </w:rPr>
        <w:t xml:space="preserve"> Lindberg </w:t>
      </w:r>
      <w:r>
        <w:t>(2008) 45 Cal.4th 1, 27</w:t>
      </w:r>
      <w:r w:rsidR="0076557D">
        <w:t xml:space="preserve"> (</w:t>
      </w:r>
      <w:r w:rsidR="0076557D">
        <w:rPr>
          <w:i/>
        </w:rPr>
        <w:t>Lindberg</w:t>
      </w:r>
      <w:r w:rsidR="0076557D">
        <w:t>)</w:t>
      </w:r>
      <w:r>
        <w:t>.)  In so doing, a reviewing court “presumes in support of the judgment the existence of every fact the trier could reasonably deduce from the evidence.”  (</w:t>
      </w:r>
      <w:r>
        <w:rPr>
          <w:i/>
        </w:rPr>
        <w:t xml:space="preserve">People v. Kraft </w:t>
      </w:r>
      <w:r>
        <w:t>(2000) 23 Cal.4th 978, 1053.)  The same standard of review applies to the sufficiency of the evidence supporting special circumstance findings.  (</w:t>
      </w:r>
      <w:r>
        <w:rPr>
          <w:i/>
        </w:rPr>
        <w:t xml:space="preserve">People v. Chatman </w:t>
      </w:r>
      <w:r>
        <w:t>(2006) 38 Cal.4th 344, 389.)</w:t>
      </w:r>
    </w:p>
    <w:p w:rsidR="00FA6BDC" w:rsidRPr="00CB69FF" w:rsidRDefault="009B3B22" w:rsidP="00206473">
      <w:pPr>
        <w:pStyle w:val="NormalIndent"/>
        <w:spacing w:line="480" w:lineRule="atLeast"/>
        <w:ind w:left="0" w:firstLine="720"/>
        <w:rPr>
          <w:szCs w:val="26"/>
        </w:rPr>
      </w:pPr>
      <w:r>
        <w:t xml:space="preserve">“ ‘All murder which is perpetrated by means of </w:t>
      </w:r>
      <w:r w:rsidR="00C66652">
        <w:t xml:space="preserve">. . . </w:t>
      </w:r>
      <w:r>
        <w:rPr>
          <w:rStyle w:val="term"/>
        </w:rPr>
        <w:t>torture</w:t>
      </w:r>
      <w:r>
        <w:t xml:space="preserve"> </w:t>
      </w:r>
      <w:r w:rsidR="00C66652">
        <w:t>. . .</w:t>
      </w:r>
      <w:r>
        <w:t xml:space="preserve"> is murder of the first degree.’  (§ 189.)  Murder by </w:t>
      </w:r>
      <w:r>
        <w:rPr>
          <w:rStyle w:val="term"/>
        </w:rPr>
        <w:t>torture</w:t>
      </w:r>
      <w:r>
        <w:t xml:space="preserve"> requires (1) an act or acts causing death that involve a high degree of probability of death, (2) a causal relationship between the torturous act and death, (3) a willful, deliberate, and premeditated intent to inflict extreme and prolonged pain on a person for the purpose of revenge, extortion, persuasion, or for any other sadistic purpose, and (4) commission of the act or acts with such intent.”</w:t>
      </w:r>
      <w:r w:rsidR="002A789E">
        <w:t xml:space="preserve">  (</w:t>
      </w:r>
      <w:r w:rsidR="002A789E">
        <w:rPr>
          <w:i/>
        </w:rPr>
        <w:t xml:space="preserve">People v. </w:t>
      </w:r>
      <w:r>
        <w:rPr>
          <w:i/>
        </w:rPr>
        <w:t>Edwards</w:t>
      </w:r>
      <w:r w:rsidR="002A789E">
        <w:rPr>
          <w:i/>
        </w:rPr>
        <w:t xml:space="preserve"> </w:t>
      </w:r>
      <w:r w:rsidR="002A789E">
        <w:t>(201</w:t>
      </w:r>
      <w:r>
        <w:t>3</w:t>
      </w:r>
      <w:r w:rsidR="002A789E">
        <w:t xml:space="preserve">) </w:t>
      </w:r>
      <w:r>
        <w:t>57</w:t>
      </w:r>
      <w:r w:rsidR="002A789E">
        <w:t xml:space="preserve"> Cal.</w:t>
      </w:r>
      <w:r>
        <w:t>4</w:t>
      </w:r>
      <w:r w:rsidR="002A789E">
        <w:t xml:space="preserve">th </w:t>
      </w:r>
      <w:r>
        <w:t>658</w:t>
      </w:r>
      <w:r w:rsidR="002A789E">
        <w:t xml:space="preserve">, </w:t>
      </w:r>
      <w:r>
        <w:t>715-716</w:t>
      </w:r>
      <w:r w:rsidR="002A789E">
        <w:t xml:space="preserve"> (</w:t>
      </w:r>
      <w:r>
        <w:rPr>
          <w:i/>
        </w:rPr>
        <w:t>Edward</w:t>
      </w:r>
      <w:r w:rsidR="002A789E">
        <w:rPr>
          <w:i/>
        </w:rPr>
        <w:t>s</w:t>
      </w:r>
      <w:r w:rsidR="002A789E">
        <w:t xml:space="preserve">).)  The elements of a torture-murder special circumstance (§ 190.2, subd. (a)(18)) are similar but not identical.  “To prove that special circumstance allegation, the prosecution had to establish that ‘defendant intended to kill and had a torturous intent, i.e., an intent to cause extreme pain or suffering for the purpose of revenge, extortion, persuasion, or another sadistic purpose.’ ”  </w:t>
      </w:r>
      <w:r>
        <w:t>(</w:t>
      </w:r>
      <w:r>
        <w:rPr>
          <w:i/>
        </w:rPr>
        <w:t xml:space="preserve">People v. Brooks </w:t>
      </w:r>
      <w:r>
        <w:t>(2017) 3 Cal.5th 1, 65 (</w:t>
      </w:r>
      <w:r>
        <w:rPr>
          <w:i/>
        </w:rPr>
        <w:t>Brooks</w:t>
      </w:r>
      <w:r w:rsidRPr="00110182">
        <w:rPr>
          <w:szCs w:val="26"/>
        </w:rPr>
        <w:t>).)</w:t>
      </w:r>
    </w:p>
    <w:p w:rsidR="002A789E" w:rsidRDefault="002A789E" w:rsidP="00206473">
      <w:pPr>
        <w:pStyle w:val="NormalIndent"/>
        <w:spacing w:line="480" w:lineRule="atLeast"/>
        <w:ind w:left="0" w:firstLine="720"/>
      </w:pPr>
      <w:r>
        <w:t xml:space="preserve">In a sufficiency </w:t>
      </w:r>
      <w:r w:rsidR="00682B97">
        <w:t>of the evidence challenge to a torture-murder conviction or special circumstance finding, the focus is</w:t>
      </w:r>
      <w:r w:rsidR="009B3B22">
        <w:t xml:space="preserve"> generally on</w:t>
      </w:r>
      <w:r w:rsidR="00682B97">
        <w:t xml:space="preserve"> “defendant’s torturous intent.”  (</w:t>
      </w:r>
      <w:r w:rsidR="00682B97">
        <w:rPr>
          <w:i/>
        </w:rPr>
        <w:t>Brooks</w:t>
      </w:r>
      <w:r w:rsidR="00682B97">
        <w:t xml:space="preserve">, </w:t>
      </w:r>
      <w:r w:rsidR="00682B97">
        <w:rPr>
          <w:i/>
        </w:rPr>
        <w:t>supra</w:t>
      </w:r>
      <w:r w:rsidR="00682B97">
        <w:t xml:space="preserve">, 3 Cal.5th at p. 65.)  The perpetrator </w:t>
      </w:r>
      <w:r w:rsidR="00E427AF">
        <w:t>must intend</w:t>
      </w:r>
      <w:r w:rsidR="00682B97">
        <w:t xml:space="preserve"> to “</w:t>
      </w:r>
      <w:r w:rsidR="001144D8">
        <w:t> </w:t>
      </w:r>
      <w:r w:rsidR="00682B97">
        <w:t>‘</w:t>
      </w:r>
      <w:r w:rsidR="001144D8">
        <w:t> </w:t>
      </w:r>
      <w:r w:rsidR="00682B97">
        <w:t>“cause pain and suf</w:t>
      </w:r>
      <w:r w:rsidR="00CB69FF">
        <w:t xml:space="preserve">fering in addition to death.” ’ ”  </w:t>
      </w:r>
      <w:r w:rsidR="00682B97">
        <w:t>(</w:t>
      </w:r>
      <w:r w:rsidR="00682B97">
        <w:rPr>
          <w:i/>
        </w:rPr>
        <w:t>Edwards</w:t>
      </w:r>
      <w:r w:rsidR="009B3B22">
        <w:t>,</w:t>
      </w:r>
      <w:r w:rsidR="009B3B22">
        <w:rPr>
          <w:i/>
        </w:rPr>
        <w:t xml:space="preserve"> supra</w:t>
      </w:r>
      <w:r w:rsidR="009B3B22">
        <w:t>,</w:t>
      </w:r>
      <w:r w:rsidR="00682B97">
        <w:rPr>
          <w:i/>
        </w:rPr>
        <w:t xml:space="preserve"> </w:t>
      </w:r>
      <w:r w:rsidR="00682B97">
        <w:t xml:space="preserve">57 Cal. 4th </w:t>
      </w:r>
      <w:r w:rsidR="009B3B22">
        <w:t>at p.</w:t>
      </w:r>
      <w:r w:rsidR="00682B97">
        <w:t xml:space="preserve"> 716.)  Torturous intent “ ‘is a state of mind which, unless established by the defendant’s own statements (or by another witness’s description of a defendant’s behavior in committing the offenses), must be proved by the circumstances surrounding the commission of the offense [citations], which include the nature and severity of the victim’s wounds.’ ”  (</w:t>
      </w:r>
      <w:r w:rsidR="00682B97">
        <w:rPr>
          <w:i/>
        </w:rPr>
        <w:t xml:space="preserve">People v. Smith </w:t>
      </w:r>
      <w:r w:rsidR="00682B97">
        <w:t>(2015) 61 Cal.4th 18, 52.)  In this regard, “evidence that the defendant intentionally inflicted nonlethal wounds on the victim may demonstrate the requisite ‘ “sadistic intent to cause the victim to suffer pain in addition to the pain of death.” ’ ”  (</w:t>
      </w:r>
      <w:r w:rsidR="00682B97">
        <w:rPr>
          <w:i/>
        </w:rPr>
        <w:t>Hajek and Vo</w:t>
      </w:r>
      <w:r w:rsidR="001144D8">
        <w:t xml:space="preserve">, </w:t>
      </w:r>
      <w:r w:rsidR="001144D8">
        <w:rPr>
          <w:i/>
        </w:rPr>
        <w:t>supra</w:t>
      </w:r>
      <w:r w:rsidR="001144D8">
        <w:t>,</w:t>
      </w:r>
      <w:r w:rsidR="00682B97">
        <w:rPr>
          <w:i/>
        </w:rPr>
        <w:t xml:space="preserve"> </w:t>
      </w:r>
      <w:r w:rsidR="00682B97">
        <w:t xml:space="preserve">58 Cal.4th </w:t>
      </w:r>
      <w:r w:rsidR="001144D8">
        <w:t xml:space="preserve">at p. </w:t>
      </w:r>
      <w:r w:rsidR="00682B97">
        <w:t>118</w:t>
      </w:r>
      <w:r w:rsidR="00211160">
        <w:t>8</w:t>
      </w:r>
      <w:r w:rsidR="00682B97">
        <w:t>.)</w:t>
      </w:r>
      <w:r w:rsidR="00C32C85">
        <w:t xml:space="preserve">  </w:t>
      </w:r>
      <w:r w:rsidR="009B3B22">
        <w:t>Such wounds support a finding of intent because they “evidence[] deliberate and gratuitous violence beyond that which was necessary to kill the victim.”  (</w:t>
      </w:r>
      <w:r w:rsidR="009B3B22">
        <w:rPr>
          <w:i/>
        </w:rPr>
        <w:t>Ibid</w:t>
      </w:r>
      <w:r w:rsidR="009B3B22">
        <w:t xml:space="preserve">.)  </w:t>
      </w:r>
      <w:r w:rsidR="00C32C85">
        <w:t xml:space="preserve">The focus, as noted, is on defendant’s </w:t>
      </w:r>
      <w:r w:rsidR="00C32C85" w:rsidRPr="009B3B22">
        <w:rPr>
          <w:i/>
        </w:rPr>
        <w:t>intent</w:t>
      </w:r>
      <w:r w:rsidR="00C32C85">
        <w:t xml:space="preserve"> to inflict pain and suffering</w:t>
      </w:r>
      <w:r w:rsidR="00AE5D4B">
        <w:t>, which is “at the heart of” tortur</w:t>
      </w:r>
      <w:r w:rsidR="00211160">
        <w:t xml:space="preserve">e </w:t>
      </w:r>
      <w:r w:rsidR="00AE5D4B">
        <w:t>murder</w:t>
      </w:r>
      <w:r w:rsidR="00C32C85">
        <w:t>.</w:t>
      </w:r>
      <w:r w:rsidR="00AE5D4B">
        <w:t xml:space="preserve">  (</w:t>
      </w:r>
      <w:r w:rsidR="00AE5D4B">
        <w:rPr>
          <w:i/>
        </w:rPr>
        <w:t xml:space="preserve">People v. Davenport </w:t>
      </w:r>
      <w:r w:rsidR="00AE5D4B">
        <w:t>(1985) 41 Cal.3d 247, 268</w:t>
      </w:r>
      <w:r w:rsidR="00AA42E8">
        <w:t xml:space="preserve"> (</w:t>
      </w:r>
      <w:r w:rsidR="00AA42E8">
        <w:rPr>
          <w:i/>
        </w:rPr>
        <w:t>Davenport</w:t>
      </w:r>
      <w:r w:rsidR="00AA42E8">
        <w:t>)</w:t>
      </w:r>
      <w:r w:rsidR="00AE5D4B">
        <w:t>.)</w:t>
      </w:r>
      <w:r w:rsidR="00C32C85">
        <w:t xml:space="preserve">  It need not be demonstrated that that the victim was actually conscious and suffered pain at the time otherwise painful injuries </w:t>
      </w:r>
      <w:r w:rsidR="00AE5D4B">
        <w:t>we</w:t>
      </w:r>
      <w:r w:rsidR="00C32C85">
        <w:t>re inflicted.  (</w:t>
      </w:r>
      <w:r w:rsidR="00C32C85">
        <w:rPr>
          <w:i/>
        </w:rPr>
        <w:t>Brooks</w:t>
      </w:r>
      <w:r w:rsidR="00C32C85">
        <w:t xml:space="preserve">, </w:t>
      </w:r>
      <w:r w:rsidR="00C66652">
        <w:rPr>
          <w:i/>
        </w:rPr>
        <w:t>supra</w:t>
      </w:r>
      <w:r w:rsidR="00C66652">
        <w:t>, 3 Cal.5th</w:t>
      </w:r>
      <w:r w:rsidR="00C66652">
        <w:rPr>
          <w:i/>
        </w:rPr>
        <w:t xml:space="preserve"> </w:t>
      </w:r>
      <w:r w:rsidR="00C32C85">
        <w:t>at p. 67.)</w:t>
      </w:r>
    </w:p>
    <w:p w:rsidR="009B3B22" w:rsidRDefault="00352039" w:rsidP="00206473">
      <w:pPr>
        <w:pStyle w:val="NormalIndent"/>
        <w:spacing w:line="480" w:lineRule="atLeast"/>
        <w:ind w:left="0" w:firstLine="720"/>
      </w:pPr>
      <w:r>
        <w:t xml:space="preserve">Our most recent decision addressing the </w:t>
      </w:r>
      <w:r w:rsidR="00B3301A">
        <w:t>evidence</w:t>
      </w:r>
      <w:r>
        <w:t xml:space="preserve"> necessary to</w:t>
      </w:r>
      <w:r w:rsidR="00B3301A">
        <w:t xml:space="preserve"> support </w:t>
      </w:r>
      <w:r>
        <w:t>a</w:t>
      </w:r>
      <w:r w:rsidR="00B3301A">
        <w:t xml:space="preserve"> torture-</w:t>
      </w:r>
      <w:r w:rsidR="001144D8">
        <w:t>murder</w:t>
      </w:r>
      <w:r w:rsidR="00B3301A">
        <w:t xml:space="preserve"> conviction</w:t>
      </w:r>
      <w:r>
        <w:t xml:space="preserve"> is </w:t>
      </w:r>
      <w:r w:rsidR="009B3B22">
        <w:rPr>
          <w:i/>
        </w:rPr>
        <w:t>Brooks</w:t>
      </w:r>
      <w:r w:rsidR="009B3B22">
        <w:t xml:space="preserve">, </w:t>
      </w:r>
      <w:r w:rsidR="00C66652">
        <w:t xml:space="preserve">in </w:t>
      </w:r>
      <w:r w:rsidR="009B3B22">
        <w:t>which</w:t>
      </w:r>
      <w:r w:rsidR="00C66652">
        <w:t xml:space="preserve"> we</w:t>
      </w:r>
      <w:r w:rsidR="009B3B22">
        <w:t xml:space="preserve"> affirmed both a torture-murder conviction and special circumstance finding.  The defendant in </w:t>
      </w:r>
      <w:r w:rsidR="009B3B22">
        <w:rPr>
          <w:i/>
        </w:rPr>
        <w:t xml:space="preserve">Brooks </w:t>
      </w:r>
      <w:r w:rsidR="009B3B22">
        <w:t>developed a jealous, possessive attitude toward the victim, with whom he was having a romantic affair.</w:t>
      </w:r>
      <w:r w:rsidR="00776FFE">
        <w:t xml:space="preserve">  (</w:t>
      </w:r>
      <w:r w:rsidR="001144D8">
        <w:rPr>
          <w:i/>
        </w:rPr>
        <w:t>Brooks</w:t>
      </w:r>
      <w:r w:rsidR="00776FFE">
        <w:t>,</w:t>
      </w:r>
      <w:r w:rsidR="001144D8">
        <w:t xml:space="preserve"> </w:t>
      </w:r>
      <w:r w:rsidR="001144D8">
        <w:rPr>
          <w:i/>
        </w:rPr>
        <w:t>supra</w:t>
      </w:r>
      <w:r w:rsidR="001144D8">
        <w:t>,</w:t>
      </w:r>
      <w:r w:rsidR="00776FFE">
        <w:t xml:space="preserve"> </w:t>
      </w:r>
      <w:r w:rsidR="00C66652">
        <w:t xml:space="preserve">3 </w:t>
      </w:r>
      <w:r w:rsidR="001144D8">
        <w:t xml:space="preserve">Cal.5th at </w:t>
      </w:r>
      <w:r w:rsidR="00776FFE">
        <w:t xml:space="preserve">pp. 17, 66.)  He came </w:t>
      </w:r>
      <w:r w:rsidR="00B3301A">
        <w:t>to</w:t>
      </w:r>
      <w:r w:rsidR="00776FFE">
        <w:t xml:space="preserve"> believ</w:t>
      </w:r>
      <w:r w:rsidR="00B3301A">
        <w:t>e</w:t>
      </w:r>
      <w:r w:rsidR="00776FFE">
        <w:t xml:space="preserve"> she was having a sexual relationship with another man and began spying on her.  One day after she left that man’s home, the defendant confronted her, strangled her into unconsciousness, placed her in her car, and, aware</w:t>
      </w:r>
      <w:r w:rsidR="00B3301A">
        <w:t xml:space="preserve"> that</w:t>
      </w:r>
      <w:r w:rsidR="00776FFE">
        <w:t xml:space="preserve"> she was still alive, set her and the car on fire.  (</w:t>
      </w:r>
      <w:r w:rsidR="00776FFE">
        <w:rPr>
          <w:i/>
        </w:rPr>
        <w:t>Id</w:t>
      </w:r>
      <w:r w:rsidR="00776FFE">
        <w:t xml:space="preserve">., </w:t>
      </w:r>
      <w:r w:rsidR="00211160">
        <w:t xml:space="preserve">at </w:t>
      </w:r>
      <w:r w:rsidR="00776FFE">
        <w:t xml:space="preserve">p. 66.)  We concluded that “a reasonable jury could infer from evidence of defendant’s intense possessiveness and all-consuming suspicions . . . , coupled with his dousing her and her car with accelerant and lighting them on fire, that defendant intended to inflict severe pain on </w:t>
      </w:r>
      <w:r w:rsidR="008C2743">
        <w:t>[the victim]</w:t>
      </w:r>
      <w:r w:rsidR="00776FFE">
        <w:t xml:space="preserve"> for the purpose of revenge.”  (</w:t>
      </w:r>
      <w:r w:rsidR="00776FFE">
        <w:rPr>
          <w:i/>
        </w:rPr>
        <w:t>Id</w:t>
      </w:r>
      <w:r>
        <w:t xml:space="preserve">., </w:t>
      </w:r>
      <w:r w:rsidR="00211160">
        <w:t xml:space="preserve">at </w:t>
      </w:r>
      <w:r>
        <w:t>pp. 66-67.)</w:t>
      </w:r>
    </w:p>
    <w:p w:rsidR="007F72CD" w:rsidRDefault="00776FFE" w:rsidP="00D85103">
      <w:pPr>
        <w:spacing w:line="480" w:lineRule="atLeast"/>
        <w:ind w:firstLine="720"/>
      </w:pPr>
      <w:r>
        <w:t>In this case, the jury could have concluded that defendant became similarly obsessed with Epperson</w:t>
      </w:r>
      <w:r w:rsidR="00641F40">
        <w:t>, thereby satisfying the “purpose” element of torture</w:t>
      </w:r>
      <w:r w:rsidR="00211160">
        <w:t xml:space="preserve"> </w:t>
      </w:r>
      <w:r w:rsidR="00641F40">
        <w:t>murder</w:t>
      </w:r>
      <w:r>
        <w:t xml:space="preserve">.  </w:t>
      </w:r>
      <w:r w:rsidR="00A349BA">
        <w:t xml:space="preserve">He told </w:t>
      </w:r>
      <w:r>
        <w:t>Todd that he loved her and sa</w:t>
      </w:r>
      <w:r w:rsidR="00A349BA">
        <w:t xml:space="preserve">id </w:t>
      </w:r>
      <w:r>
        <w:t xml:space="preserve">“If I can’t have her, nobody will, I’ll kill her and myself.” </w:t>
      </w:r>
      <w:r w:rsidR="006665B6">
        <w:t xml:space="preserve"> </w:t>
      </w:r>
      <w:r w:rsidR="00A349BA">
        <w:t xml:space="preserve">He was concerned that she might be seeing other men, began to </w:t>
      </w:r>
      <w:r w:rsidR="00C66652">
        <w:t>a</w:t>
      </w:r>
      <w:r w:rsidR="001144D8">
        <w:t>p</w:t>
      </w:r>
      <w:r w:rsidR="00C66652">
        <w:t>pear</w:t>
      </w:r>
      <w:r w:rsidR="00A349BA">
        <w:t xml:space="preserve"> uninvited at her place of work, and telephoned her persistently. </w:t>
      </w:r>
      <w:r w:rsidR="006665B6">
        <w:t xml:space="preserve"> </w:t>
      </w:r>
      <w:r w:rsidR="00A349BA">
        <w:t xml:space="preserve">By defendant’s own </w:t>
      </w:r>
      <w:r w:rsidR="00786213">
        <w:t>testimony</w:t>
      </w:r>
      <w:r w:rsidR="00B3301A">
        <w:t xml:space="preserve">, the immediate cause of </w:t>
      </w:r>
      <w:r w:rsidR="00D85103">
        <w:t>the</w:t>
      </w:r>
      <w:r w:rsidR="00A349BA">
        <w:t xml:space="preserve"> assault </w:t>
      </w:r>
      <w:r w:rsidR="00D85103">
        <w:t xml:space="preserve">on Epperson </w:t>
      </w:r>
      <w:r w:rsidR="00A349BA">
        <w:t xml:space="preserve">was a phone call that </w:t>
      </w:r>
      <w:r w:rsidR="00D85103">
        <w:t>she</w:t>
      </w:r>
      <w:r w:rsidR="00A349BA">
        <w:t xml:space="preserve"> took from another </w:t>
      </w:r>
      <w:r w:rsidR="007F72CD">
        <w:t>man</w:t>
      </w:r>
      <w:r w:rsidR="00A349BA">
        <w:t xml:space="preserve">, </w:t>
      </w:r>
      <w:r w:rsidR="007F72CD">
        <w:t xml:space="preserve">whom she refused to identify, </w:t>
      </w:r>
      <w:r w:rsidR="00A349BA">
        <w:t xml:space="preserve">during which </w:t>
      </w:r>
      <w:r w:rsidR="007F72CD">
        <w:t xml:space="preserve">she </w:t>
      </w:r>
      <w:r w:rsidR="00A349BA">
        <w:t xml:space="preserve">made social plans. </w:t>
      </w:r>
      <w:r w:rsidR="006665B6">
        <w:t xml:space="preserve"> </w:t>
      </w:r>
      <w:r w:rsidR="00A349BA">
        <w:t xml:space="preserve">When this caused an argument, Epperson told </w:t>
      </w:r>
      <w:r w:rsidR="00D85103">
        <w:t xml:space="preserve">defendant </w:t>
      </w:r>
      <w:r w:rsidR="00A349BA">
        <w:t>they were “done</w:t>
      </w:r>
      <w:r w:rsidR="00211160">
        <w:t>.</w:t>
      </w:r>
      <w:r w:rsidR="00A349BA">
        <w:t xml:space="preserve">”  </w:t>
      </w:r>
      <w:r w:rsidR="00B148F1">
        <w:t>F</w:t>
      </w:r>
      <w:r w:rsidR="00A349BA">
        <w:t xml:space="preserve">eeling “crushed,” </w:t>
      </w:r>
      <w:r w:rsidR="00B148F1">
        <w:t xml:space="preserve">he </w:t>
      </w:r>
      <w:r w:rsidR="00A349BA">
        <w:t xml:space="preserve">hit her. </w:t>
      </w:r>
      <w:r w:rsidR="006665B6">
        <w:t xml:space="preserve"> </w:t>
      </w:r>
      <w:r w:rsidR="007F72CD">
        <w:t xml:space="preserve">As </w:t>
      </w:r>
      <w:r w:rsidR="00C66652">
        <w:t xml:space="preserve">related earlier, </w:t>
      </w:r>
      <w:r w:rsidR="007F72CD">
        <w:t xml:space="preserve">defendant </w:t>
      </w:r>
      <w:r w:rsidR="00C66652">
        <w:t xml:space="preserve">told </w:t>
      </w:r>
      <w:r w:rsidR="00047F4E">
        <w:t xml:space="preserve">Charles </w:t>
      </w:r>
      <w:r w:rsidR="007F72CD">
        <w:t>Van</w:t>
      </w:r>
      <w:r w:rsidR="00C66652">
        <w:t>noy that</w:t>
      </w:r>
      <w:r w:rsidR="007F72CD">
        <w:t xml:space="preserve"> he </w:t>
      </w:r>
      <w:r w:rsidR="008C2743">
        <w:t>instruc</w:t>
      </w:r>
      <w:r w:rsidR="007F72CD">
        <w:t>t</w:t>
      </w:r>
      <w:r w:rsidR="008C2743">
        <w:t>e</w:t>
      </w:r>
      <w:r w:rsidR="007F72CD">
        <w:t>d Epperson to sit on the toilet and</w:t>
      </w:r>
      <w:r w:rsidR="008C2743">
        <w:t xml:space="preserve"> then</w:t>
      </w:r>
      <w:r w:rsidR="007F72CD">
        <w:t xml:space="preserve"> hit her with a candle holder.  As he began beating her, Epperson asked why he was doing it.  He told her, “All I wanted you to do was to love me, you k</w:t>
      </w:r>
      <w:r w:rsidR="00110C78">
        <w:t>now, and you wouldn’t do that.”</w:t>
      </w:r>
      <w:r w:rsidR="00D85103">
        <w:t xml:space="preserve">  Accordingly, d</w:t>
      </w:r>
      <w:r w:rsidR="007B03ED">
        <w:t>efendant’s own account of the killing, as well as the circumstances</w:t>
      </w:r>
      <w:r w:rsidR="00C13CBF">
        <w:t xml:space="preserve"> surrounding the crime</w:t>
      </w:r>
      <w:r w:rsidR="007B03ED">
        <w:t>, provide substantial evidence to su</w:t>
      </w:r>
      <w:r w:rsidR="00B3301A">
        <w:t>pport a finding</w:t>
      </w:r>
      <w:r w:rsidR="007B03ED">
        <w:t xml:space="preserve"> that his </w:t>
      </w:r>
      <w:r w:rsidR="00D85103">
        <w:t xml:space="preserve">purpose in assaulting her </w:t>
      </w:r>
      <w:r w:rsidR="007B03ED">
        <w:t>was revenge for</w:t>
      </w:r>
      <w:r w:rsidR="00C13CBF">
        <w:t xml:space="preserve"> Epperson’s</w:t>
      </w:r>
      <w:r w:rsidR="007B03ED">
        <w:t xml:space="preserve"> </w:t>
      </w:r>
      <w:r w:rsidR="00B3301A">
        <w:t>romantic rejection</w:t>
      </w:r>
      <w:r w:rsidR="007B03ED">
        <w:t>.</w:t>
      </w:r>
    </w:p>
    <w:p w:rsidR="00734C5C" w:rsidRDefault="00FB09A8" w:rsidP="007F72CD">
      <w:pPr>
        <w:spacing w:line="480" w:lineRule="atLeast"/>
        <w:ind w:firstLine="720"/>
      </w:pPr>
      <w:r>
        <w:t>The testimony and for</w:t>
      </w:r>
      <w:r w:rsidR="008C2743">
        <w:t>ensic evidence</w:t>
      </w:r>
      <w:r w:rsidR="00B148F1">
        <w:t xml:space="preserve"> further</w:t>
      </w:r>
      <w:r w:rsidR="00B3301A">
        <w:t xml:space="preserve"> </w:t>
      </w:r>
      <w:r w:rsidR="008C2743">
        <w:t>demonstrate</w:t>
      </w:r>
      <w:r w:rsidR="000848B6">
        <w:t>d</w:t>
      </w:r>
      <w:r w:rsidR="007F72CD">
        <w:t xml:space="preserve"> </w:t>
      </w:r>
      <w:r w:rsidR="00581EFC">
        <w:t xml:space="preserve">that </w:t>
      </w:r>
      <w:r>
        <w:t>defendant</w:t>
      </w:r>
      <w:r w:rsidR="00581EFC">
        <w:t xml:space="preserve"> engaged in </w:t>
      </w:r>
      <w:r w:rsidR="007F72CD">
        <w:t xml:space="preserve">far more violence than that necessary to kill Epperson, </w:t>
      </w:r>
      <w:r w:rsidR="00C13CBF">
        <w:t>some</w:t>
      </w:r>
      <w:r w:rsidR="007F72CD">
        <w:t xml:space="preserve"> of it unrelated to an</w:t>
      </w:r>
      <w:r>
        <w:t>y</w:t>
      </w:r>
      <w:r w:rsidR="007F72CD">
        <w:t xml:space="preserve"> attempt to kill</w:t>
      </w:r>
      <w:r w:rsidR="009F69FA">
        <w:t xml:space="preserve">, </w:t>
      </w:r>
      <w:r w:rsidR="00B148F1">
        <w:t xml:space="preserve">which </w:t>
      </w:r>
      <w:r w:rsidR="009F69FA">
        <w:t>provid</w:t>
      </w:r>
      <w:r w:rsidR="00B148F1">
        <w:t>ed</w:t>
      </w:r>
      <w:r w:rsidR="009F69FA">
        <w:t xml:space="preserve"> substantial evidence to support a finding that he intended to inflict extreme and prolonged pain</w:t>
      </w:r>
      <w:r w:rsidR="007F72CD">
        <w:t xml:space="preserve">.  </w:t>
      </w:r>
      <w:r w:rsidR="008C2743">
        <w:t xml:space="preserve">The </w:t>
      </w:r>
      <w:r w:rsidR="007F72CD">
        <w:t>beating alone was savage</w:t>
      </w:r>
      <w:r w:rsidR="00B148F1">
        <w:t xml:space="preserve"> and</w:t>
      </w:r>
      <w:r w:rsidR="007F72CD">
        <w:t xml:space="preserve"> beyond </w:t>
      </w:r>
      <w:r w:rsidR="00D20A78">
        <w:t>that</w:t>
      </w:r>
      <w:r w:rsidR="007F72CD">
        <w:t xml:space="preserve"> necessary to </w:t>
      </w:r>
      <w:r w:rsidR="00786213">
        <w:t>cause</w:t>
      </w:r>
      <w:r w:rsidR="007F72CD">
        <w:t xml:space="preserve"> death.  Defendant struck Epperson repeatedly in the bathroom, carried her into the living room, and then beat her with </w:t>
      </w:r>
      <w:r w:rsidR="00B3301A">
        <w:t>several different objects</w:t>
      </w:r>
      <w:r w:rsidR="007F72CD">
        <w:t>, striking with such force that each</w:t>
      </w:r>
      <w:r w:rsidR="00581EFC">
        <w:t xml:space="preserve"> item</w:t>
      </w:r>
      <w:r w:rsidR="007F72CD">
        <w:t xml:space="preserve"> was broken into pieces</w:t>
      </w:r>
      <w:r w:rsidR="00786213">
        <w:t xml:space="preserve"> and </w:t>
      </w:r>
      <w:r w:rsidR="00B148F1">
        <w:t xml:space="preserve">flattening </w:t>
      </w:r>
      <w:r w:rsidR="00786213">
        <w:t>the features of her face</w:t>
      </w:r>
      <w:r w:rsidR="007F72CD">
        <w:t xml:space="preserve">.  </w:t>
      </w:r>
      <w:r w:rsidR="00786213">
        <w:t>In addition</w:t>
      </w:r>
      <w:r w:rsidR="00B3301A">
        <w:t xml:space="preserve">, </w:t>
      </w:r>
      <w:r w:rsidR="008C2743">
        <w:t>he</w:t>
      </w:r>
      <w:r>
        <w:t xml:space="preserve"> used broken glass to</w:t>
      </w:r>
      <w:r w:rsidR="008C2743">
        <w:t xml:space="preserve"> </w:t>
      </w:r>
      <w:r>
        <w:t>inscribe</w:t>
      </w:r>
      <w:r w:rsidR="007F72CD">
        <w:t xml:space="preserve"> </w:t>
      </w:r>
      <w:r w:rsidR="00393E3C">
        <w:t>cuts into both sides of her neck</w:t>
      </w:r>
      <w:r w:rsidR="00734C5C">
        <w:t xml:space="preserve"> </w:t>
      </w:r>
      <w:r w:rsidR="00393E3C">
        <w:t xml:space="preserve">and the left side of her face </w:t>
      </w:r>
      <w:r w:rsidR="007F72CD">
        <w:t>and drove</w:t>
      </w:r>
      <w:r w:rsidR="007550D8">
        <w:t xml:space="preserve"> a </w:t>
      </w:r>
      <w:r>
        <w:t xml:space="preserve">screwdriver or ice pick </w:t>
      </w:r>
      <w:r w:rsidR="007550D8">
        <w:t xml:space="preserve">into her </w:t>
      </w:r>
      <w:r w:rsidR="00581EFC">
        <w:t>face</w:t>
      </w:r>
      <w:r w:rsidR="007550D8">
        <w:t xml:space="preserve">.  </w:t>
      </w:r>
      <w:r w:rsidR="009F69FA">
        <w:t xml:space="preserve">Finally, defendant inflicted wounds to Epperson’s vaginal area of a severity the coroner found to be “very rare[].”  While some vaginal injury </w:t>
      </w:r>
      <w:r w:rsidR="00680FD2">
        <w:t xml:space="preserve">might be expected from a </w:t>
      </w:r>
      <w:r w:rsidR="009F69FA">
        <w:t xml:space="preserve">rape, the injuries inflicted on Epperson </w:t>
      </w:r>
      <w:r w:rsidR="000848B6">
        <w:t>w</w:t>
      </w:r>
      <w:r w:rsidR="00680FD2">
        <w:t>ere</w:t>
      </w:r>
      <w:r w:rsidR="000848B6">
        <w:t xml:space="preserve"> extreme, suggesting an intent to inflict </w:t>
      </w:r>
      <w:r>
        <w:t>suffering</w:t>
      </w:r>
      <w:r w:rsidR="000848B6">
        <w:t xml:space="preserve"> </w:t>
      </w:r>
      <w:r>
        <w:t>beyond that caused by the violation of rape</w:t>
      </w:r>
      <w:r w:rsidR="000848B6">
        <w:t xml:space="preserve">.  </w:t>
      </w:r>
      <w:r>
        <w:t xml:space="preserve">As the coroner </w:t>
      </w:r>
      <w:r w:rsidR="00680FD2">
        <w:t>testifie</w:t>
      </w:r>
      <w:r>
        <w:t>d, the majority of these injuries, perhaps as much as 95</w:t>
      </w:r>
      <w:r w:rsidR="00B148F1">
        <w:t xml:space="preserve"> percent</w:t>
      </w:r>
      <w:r>
        <w:t>, occurred while Epperson was still alive.</w:t>
      </w:r>
    </w:p>
    <w:p w:rsidR="007550D8" w:rsidRDefault="007550D8" w:rsidP="007F72CD">
      <w:pPr>
        <w:spacing w:line="480" w:lineRule="atLeast"/>
        <w:ind w:firstLine="720"/>
      </w:pPr>
      <w:r>
        <w:t xml:space="preserve">In short, there was </w:t>
      </w:r>
      <w:r w:rsidR="00641F40">
        <w:t xml:space="preserve">substantial </w:t>
      </w:r>
      <w:r>
        <w:t xml:space="preserve">evidence from which a reasonable jury could have concluded that defendant, motivated by revenge for Epperson’s rejection of him as a romantic partner, chose to inflict extreme pain and suffering on her, </w:t>
      </w:r>
      <w:r w:rsidR="00680FD2">
        <w:t>caus</w:t>
      </w:r>
      <w:r>
        <w:t xml:space="preserve">ing </w:t>
      </w:r>
      <w:r w:rsidR="00CB69FF">
        <w:t xml:space="preserve">the </w:t>
      </w:r>
      <w:r w:rsidR="00B148F1">
        <w:t xml:space="preserve">dreadful </w:t>
      </w:r>
      <w:r>
        <w:t xml:space="preserve">injuries from which she </w:t>
      </w:r>
      <w:r w:rsidR="001B3C37">
        <w:t xml:space="preserve">eventually </w:t>
      </w:r>
      <w:r>
        <w:t>died.</w:t>
      </w:r>
      <w:r w:rsidR="00AE5D4B">
        <w:rPr>
          <w:rStyle w:val="FootnoteReference"/>
        </w:rPr>
        <w:footnoteReference w:id="4"/>
      </w:r>
    </w:p>
    <w:p w:rsidR="00122833" w:rsidRDefault="00122833" w:rsidP="007F72CD">
      <w:pPr>
        <w:spacing w:line="480" w:lineRule="atLeast"/>
        <w:ind w:firstLine="720"/>
      </w:pPr>
      <w:r>
        <w:t>The same evidence supports the jury’s true finding of the s</w:t>
      </w:r>
      <w:r w:rsidR="00AE5D4B">
        <w:t>pecial circumstances allegation, which requires an intent to kill and an intent “</w:t>
      </w:r>
      <w:r w:rsidR="00C13CBF">
        <w:t xml:space="preserve"> ‘</w:t>
      </w:r>
      <w:r w:rsidR="00AE5D4B">
        <w:t>to cause extreme pain or suffering for the purpose of rev</w:t>
      </w:r>
      <w:r w:rsidR="00D55A31">
        <w:t xml:space="preserve">enge, extortion, persuasion, or </w:t>
      </w:r>
      <w:r w:rsidR="00AE5D4B">
        <w:t>another sadistic purpose.’ ”  (</w:t>
      </w:r>
      <w:r w:rsidR="00AE5D4B">
        <w:rPr>
          <w:i/>
        </w:rPr>
        <w:t>Brooks</w:t>
      </w:r>
      <w:r w:rsidR="00AE5D4B">
        <w:t xml:space="preserve">, </w:t>
      </w:r>
      <w:r w:rsidR="00AE5D4B">
        <w:rPr>
          <w:i/>
        </w:rPr>
        <w:t>supra</w:t>
      </w:r>
      <w:r w:rsidR="00AE5D4B">
        <w:t>, 3 Cal.5th at p. 65.)  Defendant</w:t>
      </w:r>
      <w:r w:rsidR="00B3301A">
        <w:t>’s</w:t>
      </w:r>
      <w:r w:rsidR="00AE5D4B">
        <w:t xml:space="preserve"> own statements to Vannoy and the extreme nature of the beating provide adequate evidentiary support for </w:t>
      </w:r>
      <w:r w:rsidR="00B3301A">
        <w:t xml:space="preserve">a </w:t>
      </w:r>
      <w:r w:rsidR="00AE5D4B">
        <w:t>finding</w:t>
      </w:r>
      <w:r w:rsidR="00B3301A">
        <w:t xml:space="preserve"> of intent to kill</w:t>
      </w:r>
      <w:r w:rsidR="00AE5D4B">
        <w:t>.</w:t>
      </w:r>
    </w:p>
    <w:p w:rsidR="003A14A2" w:rsidRDefault="007B03ED" w:rsidP="009F69FA">
      <w:pPr>
        <w:spacing w:line="480" w:lineRule="atLeast"/>
        <w:ind w:firstLine="720"/>
      </w:pPr>
      <w:r>
        <w:t xml:space="preserve">Defendant </w:t>
      </w:r>
      <w:r w:rsidR="00C13CBF">
        <w:t xml:space="preserve">properly </w:t>
      </w:r>
      <w:r w:rsidR="00AE5D4B">
        <w:t>argues that the severity of Epperson’s wounds cannot be the sole evidence to support a finding of torturous intent.  (See</w:t>
      </w:r>
      <w:r w:rsidR="00057F7F">
        <w:t>, e.g.,</w:t>
      </w:r>
      <w:r w:rsidR="00AE5D4B">
        <w:t xml:space="preserve"> </w:t>
      </w:r>
      <w:r w:rsidR="00AE5D4B">
        <w:rPr>
          <w:i/>
        </w:rPr>
        <w:t>People v. Gonzales</w:t>
      </w:r>
      <w:r w:rsidR="00AE5D4B">
        <w:t xml:space="preserve"> </w:t>
      </w:r>
      <w:r w:rsidR="00057F7F">
        <w:t xml:space="preserve">(2012) 54 Cal.4th 1234, 1273 [“Horrible wounds may be as consistent with a killing in the heat of passion or an explosion of violence, as with the intent to inflict cruel suffering”].)  </w:t>
      </w:r>
      <w:r w:rsidR="00C13CBF">
        <w:t>But i</w:t>
      </w:r>
      <w:r w:rsidR="00057F7F">
        <w:t xml:space="preserve">t is not so much the </w:t>
      </w:r>
      <w:r w:rsidR="00057F7F" w:rsidRPr="00057F7F">
        <w:rPr>
          <w:i/>
        </w:rPr>
        <w:t>severity</w:t>
      </w:r>
      <w:r w:rsidR="00057F7F">
        <w:t xml:space="preserve"> of Epperson’s wounds, as their </w:t>
      </w:r>
      <w:r w:rsidR="00057F7F" w:rsidRPr="00057F7F">
        <w:rPr>
          <w:i/>
        </w:rPr>
        <w:t>nature</w:t>
      </w:r>
      <w:r w:rsidR="00057F7F">
        <w:t xml:space="preserve">, that supports a finding of intent to inflict pain and suffering here.  Defendant used three separate heavy objects to bludgeon Epperson, </w:t>
      </w:r>
      <w:r w:rsidR="007C0502">
        <w:t xml:space="preserve">discarding each in turn as it broke into pieces, </w:t>
      </w:r>
      <w:r w:rsidR="00057F7F">
        <w:t>and presumably continued the beating long after she was rendered unconscious.</w:t>
      </w:r>
      <w:r w:rsidR="00057F7F">
        <w:rPr>
          <w:rStyle w:val="FootnoteReference"/>
        </w:rPr>
        <w:footnoteReference w:id="5"/>
      </w:r>
      <w:r w:rsidR="00057F7F">
        <w:t xml:space="preserve">  He gratuitously cut both sides of her face and drove a sharp object into </w:t>
      </w:r>
      <w:r w:rsidR="00C13CBF">
        <w:t>it</w:t>
      </w:r>
      <w:r w:rsidR="007C0502">
        <w:t>, and inflicted severe injuries to the area around her vagina</w:t>
      </w:r>
      <w:r w:rsidR="00D55A31">
        <w:t>.  The non</w:t>
      </w:r>
      <w:r w:rsidR="00D85103">
        <w:t>fatal</w:t>
      </w:r>
      <w:r w:rsidR="007C0502">
        <w:t xml:space="preserve"> but </w:t>
      </w:r>
      <w:r w:rsidR="00B148F1">
        <w:t xml:space="preserve">undoubtedly </w:t>
      </w:r>
      <w:r w:rsidR="007C0502">
        <w:t>painful injuries</w:t>
      </w:r>
      <w:r w:rsidR="00D85103">
        <w:t>, particularly</w:t>
      </w:r>
      <w:r w:rsidR="00057F7F">
        <w:t>, evidenc</w:t>
      </w:r>
      <w:r w:rsidR="00B148F1">
        <w:t>ed</w:t>
      </w:r>
      <w:r w:rsidR="00057F7F">
        <w:t xml:space="preserve"> an intent to inflict pain apar</w:t>
      </w:r>
      <w:r w:rsidR="00683F82">
        <w:t xml:space="preserve">t from </w:t>
      </w:r>
      <w:r w:rsidR="00D85103">
        <w:t>an</w:t>
      </w:r>
      <w:r w:rsidR="00E02AD9">
        <w:t xml:space="preserve"> inevitably fatal beating</w:t>
      </w:r>
      <w:r w:rsidR="00683F82">
        <w:t>.</w:t>
      </w:r>
    </w:p>
    <w:p w:rsidR="007550D8" w:rsidRDefault="00806668" w:rsidP="003A14A2">
      <w:pPr>
        <w:spacing w:line="480" w:lineRule="atLeast"/>
        <w:ind w:firstLine="720"/>
      </w:pPr>
      <w:r>
        <w:t>Defendant also argues the evidence was consistent with a killing due to an “</w:t>
      </w:r>
      <w:r w:rsidR="00D55A31">
        <w:t> ‘</w:t>
      </w:r>
      <w:r>
        <w:t>explosion of violence</w:t>
      </w:r>
      <w:r w:rsidR="00D55A31">
        <w:t xml:space="preserve">’ </w:t>
      </w:r>
      <w:r w:rsidR="00AA42E8">
        <w:t>” (</w:t>
      </w:r>
      <w:r w:rsidR="00AA42E8">
        <w:rPr>
          <w:i/>
        </w:rPr>
        <w:t>Davenport</w:t>
      </w:r>
      <w:r w:rsidR="00AA42E8">
        <w:t xml:space="preserve">, </w:t>
      </w:r>
      <w:r w:rsidR="00AA42E8">
        <w:rPr>
          <w:i/>
        </w:rPr>
        <w:t>supra</w:t>
      </w:r>
      <w:r w:rsidR="00AA42E8">
        <w:t>,</w:t>
      </w:r>
      <w:r w:rsidR="00AA42E8">
        <w:rPr>
          <w:i/>
        </w:rPr>
        <w:t xml:space="preserve"> </w:t>
      </w:r>
      <w:r w:rsidR="00AA42E8">
        <w:t>41 Cal.3d at p. 268), rather than an intent to torture</w:t>
      </w:r>
      <w:r w:rsidR="00D227C2">
        <w:t>.  He</w:t>
      </w:r>
      <w:r w:rsidR="00983B3A">
        <w:t xml:space="preserve"> cit</w:t>
      </w:r>
      <w:r w:rsidR="00D227C2">
        <w:t>es</w:t>
      </w:r>
      <w:r w:rsidR="00983B3A">
        <w:t xml:space="preserve"> </w:t>
      </w:r>
      <w:r w:rsidR="009A0390">
        <w:rPr>
          <w:i/>
        </w:rPr>
        <w:t xml:space="preserve">People v. Anderson </w:t>
      </w:r>
      <w:r w:rsidR="009A0390">
        <w:t>(1965) 63 Cal.2d 351</w:t>
      </w:r>
      <w:r w:rsidR="00F02ECC">
        <w:t xml:space="preserve"> (</w:t>
      </w:r>
      <w:r w:rsidR="00F02ECC">
        <w:rPr>
          <w:i/>
        </w:rPr>
        <w:t>Anderson</w:t>
      </w:r>
      <w:r w:rsidR="00F02ECC">
        <w:t>)</w:t>
      </w:r>
      <w:r w:rsidR="00D227C2">
        <w:t>, i</w:t>
      </w:r>
      <w:r w:rsidR="009A0390">
        <w:t xml:space="preserve">n </w:t>
      </w:r>
      <w:r w:rsidR="00D227C2">
        <w:t>which</w:t>
      </w:r>
      <w:r w:rsidR="009A0390">
        <w:t xml:space="preserve"> the defendant killed a young </w:t>
      </w:r>
      <w:r w:rsidR="00392280">
        <w:t>girl</w:t>
      </w:r>
      <w:r w:rsidR="009A0390">
        <w:t xml:space="preserve"> who may have resisted an attempted sexual </w:t>
      </w:r>
      <w:r w:rsidR="003811FE">
        <w:t>assault</w:t>
      </w:r>
      <w:r w:rsidR="00AA42E8">
        <w:t xml:space="preserve">.  </w:t>
      </w:r>
      <w:r w:rsidR="009A0390">
        <w:t xml:space="preserve">The manner of </w:t>
      </w:r>
      <w:r w:rsidR="00683F82">
        <w:t xml:space="preserve">the </w:t>
      </w:r>
      <w:r w:rsidR="009A0390">
        <w:t>homicide</w:t>
      </w:r>
      <w:r w:rsidR="00D227C2">
        <w:t xml:space="preserve"> </w:t>
      </w:r>
      <w:r w:rsidR="009A0390">
        <w:t>—</w:t>
      </w:r>
      <w:r w:rsidR="00D227C2">
        <w:t xml:space="preserve"> </w:t>
      </w:r>
      <w:r w:rsidR="009A0390">
        <w:t xml:space="preserve">the infliction of </w:t>
      </w:r>
      <w:r w:rsidR="00D227C2">
        <w:t>more than</w:t>
      </w:r>
      <w:r w:rsidR="009A0390">
        <w:t xml:space="preserve"> 40 knife wounds</w:t>
      </w:r>
      <w:r w:rsidR="00D227C2">
        <w:t xml:space="preserve"> </w:t>
      </w:r>
      <w:r w:rsidR="009A0390">
        <w:t>—</w:t>
      </w:r>
      <w:r w:rsidR="00D227C2">
        <w:t xml:space="preserve"> </w:t>
      </w:r>
      <w:r w:rsidR="009A0390">
        <w:t>was certainly consistent with an intent to inflict pain and suffering</w:t>
      </w:r>
      <w:r w:rsidR="00F02ECC">
        <w:t xml:space="preserve"> (</w:t>
      </w:r>
      <w:r w:rsidR="00F02ECC">
        <w:rPr>
          <w:i/>
        </w:rPr>
        <w:t>id</w:t>
      </w:r>
      <w:r w:rsidR="00F02ECC">
        <w:t>.</w:t>
      </w:r>
      <w:r w:rsidR="009A0390">
        <w:t>,</w:t>
      </w:r>
      <w:r w:rsidR="00F02ECC">
        <w:t xml:space="preserve"> at p. 355),</w:t>
      </w:r>
      <w:r w:rsidR="009A0390">
        <w:t xml:space="preserve"> but the court found insufficient evidence</w:t>
      </w:r>
      <w:r w:rsidR="00F02ECC">
        <w:t xml:space="preserve"> to support a conviction for torture</w:t>
      </w:r>
      <w:r w:rsidR="00D55A31">
        <w:t xml:space="preserve"> </w:t>
      </w:r>
      <w:r w:rsidR="00F02ECC">
        <w:t xml:space="preserve">murder.  The court </w:t>
      </w:r>
      <w:r w:rsidR="003A14A2">
        <w:t xml:space="preserve">explained that the record lacked </w:t>
      </w:r>
      <w:r w:rsidR="00392280">
        <w:t xml:space="preserve">sufficient evidence of </w:t>
      </w:r>
      <w:r w:rsidR="00F02ECC">
        <w:t xml:space="preserve">“the requisite intent,” but its subsequent discussion </w:t>
      </w:r>
      <w:r w:rsidR="003A14A2">
        <w:t xml:space="preserve">made clear </w:t>
      </w:r>
      <w:r w:rsidR="00F02ECC">
        <w:t>that</w:t>
      </w:r>
      <w:r w:rsidR="003A14A2">
        <w:t xml:space="preserve"> the </w:t>
      </w:r>
      <w:r w:rsidR="00D227C2">
        <w:t>term</w:t>
      </w:r>
      <w:r w:rsidR="00F02ECC">
        <w:t xml:space="preserve"> “intent” in that phrase refer</w:t>
      </w:r>
      <w:r w:rsidR="00D227C2">
        <w:t>s</w:t>
      </w:r>
      <w:r w:rsidR="00F02ECC">
        <w:t xml:space="preserve"> to </w:t>
      </w:r>
      <w:r w:rsidR="003A14A2">
        <w:t>purpose</w:t>
      </w:r>
      <w:r w:rsidR="00F02ECC">
        <w:t xml:space="preserve"> or motive</w:t>
      </w:r>
      <w:r w:rsidR="00D227C2">
        <w:t xml:space="preserve"> </w:t>
      </w:r>
      <w:r w:rsidR="00F02ECC">
        <w:t>—</w:t>
      </w:r>
      <w:r w:rsidR="00D227C2">
        <w:t xml:space="preserve"> </w:t>
      </w:r>
      <w:r w:rsidR="00F02ECC">
        <w:t>that is, the infliction of pain and suffering “for the purpose of revenge, extortion, persuasion, or for any other sadistic purpose.”  (</w:t>
      </w:r>
      <w:r w:rsidR="00F02ECC">
        <w:rPr>
          <w:i/>
        </w:rPr>
        <w:t>Edwards</w:t>
      </w:r>
      <w:r w:rsidR="00F02ECC">
        <w:t xml:space="preserve">, </w:t>
      </w:r>
      <w:r w:rsidR="00F02ECC">
        <w:rPr>
          <w:i/>
        </w:rPr>
        <w:t>supra</w:t>
      </w:r>
      <w:r w:rsidR="00F02ECC">
        <w:t xml:space="preserve">, 57 Cal.4th at </w:t>
      </w:r>
      <w:r w:rsidR="00D55A31">
        <w:t xml:space="preserve">pp. </w:t>
      </w:r>
      <w:r w:rsidR="00F02ECC">
        <w:t>715</w:t>
      </w:r>
      <w:r w:rsidR="00D55A31">
        <w:t>, 723</w:t>
      </w:r>
      <w:r w:rsidR="00F02ECC">
        <w:t xml:space="preserve">.) </w:t>
      </w:r>
      <w:r w:rsidR="009A0390">
        <w:t xml:space="preserve"> </w:t>
      </w:r>
      <w:r w:rsidR="00F02ECC">
        <w:t xml:space="preserve">Because there was no evidence to suggest </w:t>
      </w:r>
      <w:r w:rsidR="00683F82">
        <w:t xml:space="preserve">the </w:t>
      </w:r>
      <w:r w:rsidR="00616833">
        <w:rPr>
          <w:i/>
        </w:rPr>
        <w:t xml:space="preserve">Anderson </w:t>
      </w:r>
      <w:r w:rsidR="00F02ECC">
        <w:t>defendant had a proscribed purpose in inflicting the wounds, the court held, “the instant case shows only an explosion of violence.”  (</w:t>
      </w:r>
      <w:r w:rsidR="00F02ECC">
        <w:rPr>
          <w:i/>
        </w:rPr>
        <w:t>Anderson</w:t>
      </w:r>
      <w:r w:rsidR="00F02ECC">
        <w:t>, at p. 360.)</w:t>
      </w:r>
      <w:r w:rsidR="00392280">
        <w:t xml:space="preserve">  A similar result was reached in </w:t>
      </w:r>
      <w:r w:rsidR="00392280">
        <w:rPr>
          <w:i/>
        </w:rPr>
        <w:t>People v. Mungia</w:t>
      </w:r>
      <w:r w:rsidR="00392280">
        <w:t xml:space="preserve"> (2008) 44 Cal.4th 1101, in which the Attorney General “d</w:t>
      </w:r>
      <w:r w:rsidR="003A14A2">
        <w:t>[id]</w:t>
      </w:r>
      <w:r w:rsidR="00392280">
        <w:t xml:space="preserve"> not contend that defendant was motivated by revenge, extortion, or persuasion” and sought to demonstrate</w:t>
      </w:r>
      <w:r w:rsidR="00E02AD9">
        <w:t xml:space="preserve"> a</w:t>
      </w:r>
      <w:r w:rsidR="00392280">
        <w:t xml:space="preserve"> “</w:t>
      </w:r>
      <w:r w:rsidR="00E02AD9">
        <w:t> </w:t>
      </w:r>
      <w:r w:rsidR="00392280">
        <w:t>‘</w:t>
      </w:r>
      <w:r w:rsidR="00E02AD9">
        <w:t> </w:t>
      </w:r>
      <w:r w:rsidR="00392280">
        <w:t>“sadistic intent to cause the victim to suffer pain in addition to the pain of death”</w:t>
      </w:r>
      <w:r w:rsidR="00E02AD9">
        <w:t> </w:t>
      </w:r>
      <w:r w:rsidR="00392280">
        <w:t>’</w:t>
      </w:r>
      <w:r w:rsidR="00E02AD9">
        <w:t> </w:t>
      </w:r>
      <w:r w:rsidR="00392280">
        <w:t>” merely on the basis of</w:t>
      </w:r>
      <w:r w:rsidR="00E02AD9">
        <w:t xml:space="preserve"> the</w:t>
      </w:r>
      <w:r w:rsidR="00392280">
        <w:t xml:space="preserve"> defendant’s delivery of repeated blows to the </w:t>
      </w:r>
      <w:r w:rsidR="00E02AD9">
        <w:t xml:space="preserve">victim’s </w:t>
      </w:r>
      <w:r w:rsidR="00392280">
        <w:t>head.  (</w:t>
      </w:r>
      <w:r w:rsidR="00392280">
        <w:rPr>
          <w:i/>
        </w:rPr>
        <w:t>Id</w:t>
      </w:r>
      <w:r w:rsidR="00D55A31">
        <w:t>., at p. 1136</w:t>
      </w:r>
      <w:r w:rsidR="00A67F36">
        <w:t>.)  In that case w</w:t>
      </w:r>
      <w:r w:rsidR="00392280">
        <w:t xml:space="preserve">e </w:t>
      </w:r>
      <w:r w:rsidR="003A14A2">
        <w:t xml:space="preserve">found insufficient evidence to support a torture-murder special circumstance, </w:t>
      </w:r>
      <w:r w:rsidR="00392280">
        <w:t xml:space="preserve">concluding “[t]he killing was brutal and savage, but there is nothing in the nature of the injuries to suggest that defendant inflicted any of them in an attempt to </w:t>
      </w:r>
      <w:r w:rsidR="00392280">
        <w:rPr>
          <w:rStyle w:val="term"/>
        </w:rPr>
        <w:t>torture</w:t>
      </w:r>
      <w:r w:rsidR="00392280">
        <w:t xml:space="preserve"> [the victim] rather than to kill her.”  (</w:t>
      </w:r>
      <w:r w:rsidR="00392280">
        <w:rPr>
          <w:i/>
        </w:rPr>
        <w:t>Id.</w:t>
      </w:r>
      <w:r w:rsidR="00D55A31">
        <w:t>, at p. 1137.</w:t>
      </w:r>
      <w:r w:rsidR="00E02AD9">
        <w:t>)</w:t>
      </w:r>
    </w:p>
    <w:p w:rsidR="00A67F36" w:rsidRDefault="00392280" w:rsidP="007C0502">
      <w:pPr>
        <w:spacing w:line="480" w:lineRule="atLeast"/>
        <w:ind w:firstLine="720"/>
      </w:pPr>
      <w:r>
        <w:t xml:space="preserve">That is simply not the case here.  First, there was substantial evidence from which the </w:t>
      </w:r>
      <w:r w:rsidR="00B148F1">
        <w:t xml:space="preserve">jury could reasonably have found that defendant was motivated by revenge, </w:t>
      </w:r>
      <w:r>
        <w:t xml:space="preserve">beginning with </w:t>
      </w:r>
      <w:r w:rsidR="00B148F1">
        <w:t>hi</w:t>
      </w:r>
      <w:r w:rsidR="00EA3FAB">
        <w:t xml:space="preserve">s acknowledgment that he first struck Epperson because she had terminated their relationship.  Second, as discussed above, defendant’s infliction of gratuitous injuries </w:t>
      </w:r>
      <w:r w:rsidR="003A14A2">
        <w:t>in addition</w:t>
      </w:r>
      <w:r w:rsidR="00EA3FAB">
        <w:t xml:space="preserve"> to the fatal beating provided </w:t>
      </w:r>
      <w:r w:rsidR="00683F82">
        <w:t xml:space="preserve">substantial </w:t>
      </w:r>
      <w:r w:rsidR="00EA3FAB">
        <w:t>evidence of an intent to inflict pain and suffering for their own sake.</w:t>
      </w:r>
      <w:r w:rsidR="000A41D1">
        <w:rPr>
          <w:rStyle w:val="FootnoteReference"/>
        </w:rPr>
        <w:footnoteReference w:id="6"/>
      </w:r>
    </w:p>
    <w:p w:rsidR="002054BF" w:rsidRPr="00A67F36" w:rsidRDefault="00A67F36" w:rsidP="00A67F36">
      <w:pPr>
        <w:pStyle w:val="Heading3"/>
      </w:pPr>
      <w:bookmarkStart w:id="19" w:name="_Toc508625881"/>
      <w:r>
        <w:t xml:space="preserve">3.  </w:t>
      </w:r>
      <w:r w:rsidR="003A1A66">
        <w:t>The evidence wa</w:t>
      </w:r>
      <w:r w:rsidR="008F3E54">
        <w:t>s sufficient to support defendant’s conviction for r</w:t>
      </w:r>
      <w:r w:rsidR="002054BF">
        <w:t>ape-</w:t>
      </w:r>
      <w:r w:rsidR="008F3E54">
        <w:t>m</w:t>
      </w:r>
      <w:r w:rsidR="002054BF">
        <w:t>urder</w:t>
      </w:r>
      <w:bookmarkEnd w:id="19"/>
    </w:p>
    <w:p w:rsidR="002054BF" w:rsidRDefault="002054BF" w:rsidP="002054BF">
      <w:pPr>
        <w:pStyle w:val="NormalIndent"/>
        <w:spacing w:line="480" w:lineRule="atLeast"/>
        <w:ind w:left="0" w:firstLine="720"/>
      </w:pPr>
      <w:r>
        <w:t xml:space="preserve">Defendant contends there was insufficient evidence to support the rape conviction, the rape-murder theory of </w:t>
      </w:r>
      <w:r w:rsidR="00E02AD9">
        <w:t xml:space="preserve">first degree </w:t>
      </w:r>
      <w:r>
        <w:t xml:space="preserve">felony murder, and the special circumstance </w:t>
      </w:r>
      <w:r w:rsidR="00E02AD9">
        <w:t>finding</w:t>
      </w:r>
      <w:r>
        <w:t xml:space="preserve"> based on that theory.</w:t>
      </w:r>
    </w:p>
    <w:p w:rsidR="0076557D" w:rsidRDefault="00A67F36" w:rsidP="002054BF">
      <w:pPr>
        <w:pStyle w:val="NormalIndent"/>
        <w:spacing w:line="480" w:lineRule="atLeast"/>
        <w:ind w:left="0" w:firstLine="720"/>
      </w:pPr>
      <w:r>
        <w:rPr>
          <w:szCs w:val="26"/>
          <w:shd w:val="clear" w:color="auto" w:fill="FFFFFF"/>
        </w:rPr>
        <w:t xml:space="preserve">A homicide </w:t>
      </w:r>
      <w:r w:rsidR="002E7A3E">
        <w:rPr>
          <w:szCs w:val="26"/>
          <w:shd w:val="clear" w:color="auto" w:fill="FFFFFF"/>
        </w:rPr>
        <w:t>“</w:t>
      </w:r>
      <w:r w:rsidR="002E7A3E" w:rsidRPr="002E7A3E">
        <w:rPr>
          <w:szCs w:val="26"/>
          <w:shd w:val="clear" w:color="auto" w:fill="FFFFFF"/>
        </w:rPr>
        <w:t>committed in the perpetrati</w:t>
      </w:r>
      <w:r w:rsidR="002E7A3E">
        <w:rPr>
          <w:szCs w:val="26"/>
          <w:shd w:val="clear" w:color="auto" w:fill="FFFFFF"/>
        </w:rPr>
        <w:t xml:space="preserve">on of, or attempt to perpetrate . . . rape” is first degree murder. </w:t>
      </w:r>
      <w:r w:rsidR="002E7A3E" w:rsidRPr="002E7A3E">
        <w:rPr>
          <w:szCs w:val="26"/>
          <w:shd w:val="clear" w:color="auto" w:fill="FFFFFF"/>
        </w:rPr>
        <w:t> </w:t>
      </w:r>
      <w:r w:rsidR="002E7A3E" w:rsidRPr="00D55A31">
        <w:rPr>
          <w:szCs w:val="26"/>
          <w:shd w:val="clear" w:color="auto" w:fill="FFFFFF"/>
        </w:rPr>
        <w:t>(</w:t>
      </w:r>
      <w:r w:rsidR="00D55A31">
        <w:rPr>
          <w:szCs w:val="26"/>
          <w:shd w:val="clear" w:color="auto" w:fill="FFFFFF"/>
        </w:rPr>
        <w:t>§</w:t>
      </w:r>
      <w:r w:rsidR="002E7A3E" w:rsidRPr="00D55A31">
        <w:rPr>
          <w:szCs w:val="26"/>
          <w:shd w:val="clear" w:color="auto" w:fill="FFFFFF"/>
        </w:rPr>
        <w:t xml:space="preserve"> </w:t>
      </w:r>
      <w:r w:rsidR="002E7A3E">
        <w:rPr>
          <w:szCs w:val="26"/>
          <w:shd w:val="clear" w:color="auto" w:fill="FFFFFF"/>
        </w:rPr>
        <w:t xml:space="preserve">189; </w:t>
      </w:r>
      <w:r w:rsidR="002E7A3E">
        <w:rPr>
          <w:i/>
          <w:szCs w:val="26"/>
          <w:shd w:val="clear" w:color="auto" w:fill="FFFFFF"/>
        </w:rPr>
        <w:t xml:space="preserve">People v. Berryman </w:t>
      </w:r>
      <w:r w:rsidR="002E7A3E">
        <w:rPr>
          <w:szCs w:val="26"/>
          <w:shd w:val="clear" w:color="auto" w:fill="FFFFFF"/>
        </w:rPr>
        <w:t>(1993) 6 Cal.4th 1048, 1086.)  F</w:t>
      </w:r>
      <w:r w:rsidR="00E37C42" w:rsidRPr="002E7A3E">
        <w:rPr>
          <w:szCs w:val="26"/>
        </w:rPr>
        <w:t xml:space="preserve">orcible </w:t>
      </w:r>
      <w:r w:rsidR="00E37C42" w:rsidRPr="002E7A3E">
        <w:rPr>
          <w:rStyle w:val="term"/>
          <w:szCs w:val="26"/>
        </w:rPr>
        <w:t>rape</w:t>
      </w:r>
      <w:r w:rsidR="00E37C42" w:rsidRPr="002E7A3E">
        <w:rPr>
          <w:szCs w:val="26"/>
        </w:rPr>
        <w:t xml:space="preserve"> is </w:t>
      </w:r>
      <w:bookmarkStart w:id="20" w:name="clsccl45"/>
      <w:bookmarkEnd w:id="20"/>
      <w:r w:rsidR="00E37C42">
        <w:t xml:space="preserve">“an act of sexual intercourse accomplished </w:t>
      </w:r>
      <w:r>
        <w:t xml:space="preserve"> . . . </w:t>
      </w:r>
      <w:r w:rsidR="00E37C42">
        <w:t xml:space="preserve"> [¶] </w:t>
      </w:r>
      <w:r>
        <w:t xml:space="preserve"> . . . </w:t>
      </w:r>
      <w:r w:rsidR="00E37C42">
        <w:t xml:space="preserve"> [¶] </w:t>
      </w:r>
      <w:r>
        <w:t xml:space="preserve"> . . . </w:t>
      </w:r>
      <w:r w:rsidR="00E37C42">
        <w:t xml:space="preserve"> against a person’s will by means of force, violence, duress, menace, or fear of immediate and unlawful bodily injury on the person or another.”  (</w:t>
      </w:r>
      <w:r w:rsidR="00D55A31">
        <w:t xml:space="preserve">§ </w:t>
      </w:r>
      <w:r w:rsidR="00E37C42">
        <w:t xml:space="preserve">261, subd. (a)(2); </w:t>
      </w:r>
      <w:r w:rsidR="00E37C42">
        <w:rPr>
          <w:i/>
        </w:rPr>
        <w:t xml:space="preserve">People v. Harris </w:t>
      </w:r>
      <w:r w:rsidR="00E37C42">
        <w:t xml:space="preserve">(2013) 57 Cal.4th 804, 850.) </w:t>
      </w:r>
      <w:r w:rsidR="0076557D">
        <w:t xml:space="preserve"> </w:t>
      </w:r>
      <w:r w:rsidR="00D55A31">
        <w:t>A rape-murder special-</w:t>
      </w:r>
      <w:r w:rsidR="00FB142A">
        <w:t xml:space="preserve">circumstance finding requires the </w:t>
      </w:r>
      <w:r>
        <w:t>homicide</w:t>
      </w:r>
      <w:r w:rsidR="00FB142A">
        <w:t xml:space="preserve"> to be committed while the defendant was engaged in the commission of, or attempted commission of, rape.  (§ 190.2, subd. (a)(17)(C); </w:t>
      </w:r>
      <w:r w:rsidR="00FB142A">
        <w:rPr>
          <w:i/>
        </w:rPr>
        <w:t xml:space="preserve">People v. Lewis </w:t>
      </w:r>
      <w:r w:rsidR="00FB142A">
        <w:t>(2009) 46 Cal.4th 1255, 1292 (</w:t>
      </w:r>
      <w:r w:rsidR="00FB142A">
        <w:rPr>
          <w:i/>
        </w:rPr>
        <w:t>Lewis</w:t>
      </w:r>
      <w:r w:rsidR="00FB142A">
        <w:t xml:space="preserve">).)  </w:t>
      </w:r>
      <w:r w:rsidR="0076557D">
        <w:t>As noted above, we review the jury’s verdict for substantial evidence.  (</w:t>
      </w:r>
      <w:r w:rsidR="0076557D">
        <w:rPr>
          <w:i/>
        </w:rPr>
        <w:t>Lindberg</w:t>
      </w:r>
      <w:r w:rsidR="0076557D">
        <w:t xml:space="preserve">, </w:t>
      </w:r>
      <w:r w:rsidR="0076557D">
        <w:rPr>
          <w:i/>
        </w:rPr>
        <w:t>supra</w:t>
      </w:r>
      <w:r w:rsidR="0076557D">
        <w:t>, 45 Cal.4th at p. 27.)</w:t>
      </w:r>
    </w:p>
    <w:p w:rsidR="00E37C42" w:rsidRDefault="0076557D" w:rsidP="002054BF">
      <w:pPr>
        <w:pStyle w:val="NormalIndent"/>
        <w:spacing w:line="480" w:lineRule="atLeast"/>
        <w:ind w:left="0" w:firstLine="720"/>
      </w:pPr>
      <w:r>
        <w:t>There was substantial evidence of forcible rape here.</w:t>
      </w:r>
      <w:r w:rsidR="00FB142A">
        <w:t xml:space="preserve">  Defendant’s DNA was found in a vaginal swab, and his sperm was found in and outside </w:t>
      </w:r>
      <w:r w:rsidR="00683F82">
        <w:t>Epperson’s</w:t>
      </w:r>
      <w:r w:rsidR="00FB142A">
        <w:t xml:space="preserve"> vagina.</w:t>
      </w:r>
      <w:r w:rsidR="006665B6">
        <w:t xml:space="preserve"> </w:t>
      </w:r>
      <w:r w:rsidR="00FB142A">
        <w:t xml:space="preserve"> </w:t>
      </w:r>
      <w:r w:rsidR="009C5F13">
        <w:t xml:space="preserve">When </w:t>
      </w:r>
      <w:r>
        <w:t>he</w:t>
      </w:r>
      <w:r w:rsidR="009C5F13">
        <w:t>r body</w:t>
      </w:r>
      <w:r>
        <w:t xml:space="preserve"> was </w:t>
      </w:r>
      <w:r w:rsidR="001431C6">
        <w:t>discovered</w:t>
      </w:r>
      <w:r>
        <w:t>, Epperson was still wearing a sweatshirt, blouse, and bra on her upper body, but her lower body was nude</w:t>
      </w:r>
      <w:r w:rsidR="00022013">
        <w:t>, a pattern consistent with forced intercourse</w:t>
      </w:r>
      <w:r>
        <w:t>.</w:t>
      </w:r>
      <w:r w:rsidR="00022013">
        <w:t xml:space="preserve">  (</w:t>
      </w:r>
      <w:r w:rsidR="00022013">
        <w:rPr>
          <w:i/>
        </w:rPr>
        <w:t>Lewis</w:t>
      </w:r>
      <w:r w:rsidR="00FB142A">
        <w:t xml:space="preserve">, </w:t>
      </w:r>
      <w:r w:rsidR="00FB142A">
        <w:rPr>
          <w:i/>
        </w:rPr>
        <w:t>supra</w:t>
      </w:r>
      <w:r w:rsidR="00FB142A">
        <w:t>,</w:t>
      </w:r>
      <w:r w:rsidR="00022013">
        <w:rPr>
          <w:i/>
        </w:rPr>
        <w:t xml:space="preserve"> </w:t>
      </w:r>
      <w:r w:rsidR="00022013">
        <w:t xml:space="preserve">46 Cal.4th </w:t>
      </w:r>
      <w:r w:rsidR="00FB142A">
        <w:t>at p.</w:t>
      </w:r>
      <w:r w:rsidR="00022013">
        <w:t xml:space="preserve"> 1290.)</w:t>
      </w:r>
      <w:r>
        <w:t xml:space="preserve">  </w:t>
      </w:r>
      <w:r w:rsidR="003476D7">
        <w:t xml:space="preserve">In addition, her brassiere had been pushed above her nipples.  </w:t>
      </w:r>
      <w:r w:rsidR="00022013">
        <w:t>Blood</w:t>
      </w:r>
      <w:r>
        <w:t xml:space="preserve"> stains on her jean</w:t>
      </w:r>
      <w:r w:rsidR="00683F82">
        <w:t xml:space="preserve">s, which were found lying near </w:t>
      </w:r>
      <w:r>
        <w:t>he</w:t>
      </w:r>
      <w:r w:rsidR="00683F82">
        <w:t>r</w:t>
      </w:r>
      <w:r>
        <w:t xml:space="preserve"> body, suggested that defendant had, with bloody fingers, unbuttoned the pants, put his hands inside the pockets, and pulled the</w:t>
      </w:r>
      <w:r w:rsidR="003A14A2">
        <w:t xml:space="preserve"> pants</w:t>
      </w:r>
      <w:r>
        <w:t xml:space="preserve"> off</w:t>
      </w:r>
      <w:r w:rsidR="00022013">
        <w:t xml:space="preserve">, </w:t>
      </w:r>
      <w:r w:rsidR="009C5F13">
        <w:t xml:space="preserve">and the blood stains on the </w:t>
      </w:r>
      <w:r w:rsidR="003811FE">
        <w:t>inner</w:t>
      </w:r>
      <w:r w:rsidR="009C5F13">
        <w:t xml:space="preserve"> surface of Epperson’s thighs </w:t>
      </w:r>
      <w:r w:rsidR="00683F82">
        <w:t xml:space="preserve">were consistent with the forcing apart of her </w:t>
      </w:r>
      <w:r w:rsidR="009C5F13">
        <w:t>legs</w:t>
      </w:r>
      <w:r w:rsidR="00FB142A">
        <w:t xml:space="preserve">.  </w:t>
      </w:r>
      <w:r w:rsidR="00022013">
        <w:t xml:space="preserve">The medical examiner found the degree of trauma </w:t>
      </w:r>
      <w:r w:rsidR="00FB142A">
        <w:t xml:space="preserve">to Epperson’s vaginal area </w:t>
      </w:r>
      <w:r w:rsidR="00022013">
        <w:t>“very rare[],” caused by “the blunt force penetration either by a penis with a lot of force or other kind of object of similar shape and size.”</w:t>
      </w:r>
      <w:r w:rsidR="006665B6">
        <w:t xml:space="preserve"> </w:t>
      </w:r>
      <w:r w:rsidR="00022013">
        <w:t xml:space="preserve"> </w:t>
      </w:r>
      <w:r w:rsidR="008B152A">
        <w:t>From these facts, the jury readily could have concluded, beyond a reasonable doubt, that Epperson had forced intercourse and that her death occurred while defe</w:t>
      </w:r>
      <w:r w:rsidR="00683F82">
        <w:t>ndant was engaged in this rape.</w:t>
      </w:r>
    </w:p>
    <w:p w:rsidR="008B152A" w:rsidRDefault="008B152A" w:rsidP="002054BF">
      <w:pPr>
        <w:pStyle w:val="NormalIndent"/>
        <w:spacing w:line="480" w:lineRule="atLeast"/>
        <w:ind w:left="0" w:firstLine="720"/>
      </w:pPr>
      <w:r>
        <w:t xml:space="preserve">Defendant’s argument to the contrary focuses on the fact that Epperson’s jeans were found lying on top of </w:t>
      </w:r>
      <w:r w:rsidR="00B86E46">
        <w:t xml:space="preserve">her panties, the reverse of what would be expected if defendant had removed her clothing, </w:t>
      </w:r>
      <w:r w:rsidR="001431C6">
        <w:t>and</w:t>
      </w:r>
      <w:r w:rsidR="00B86E46">
        <w:t xml:space="preserve"> the testimony of a defense forensic expert</w:t>
      </w:r>
      <w:r w:rsidR="00340967">
        <w:t xml:space="preserve"> </w:t>
      </w:r>
      <w:r w:rsidR="00B86E46">
        <w:t xml:space="preserve">who examined a liner in the panties and concluded it was likely she had not worn them.  This evidence, defendant argues, suggests that Epperson was not wearing clothing on her lower body at the time the assault began.  </w:t>
      </w:r>
      <w:r w:rsidR="00683F82">
        <w:t>Defendant’s</w:t>
      </w:r>
      <w:r w:rsidR="00D244AE">
        <w:t xml:space="preserve"> interpretation</w:t>
      </w:r>
      <w:r w:rsidR="00B2752D">
        <w:t xml:space="preserve"> of the forensic evidence</w:t>
      </w:r>
      <w:r w:rsidR="00D244AE">
        <w:t xml:space="preserve">, however, fails to account for the unusual blood stains on her jeans, which suggest </w:t>
      </w:r>
      <w:r w:rsidR="00B86E46">
        <w:t>that they were removed after both Epperson and defendant had been bloodied.</w:t>
      </w:r>
      <w:r w:rsidR="00683F82">
        <w:t xml:space="preserve">  If she were not wearing jeans at the time of the assault, there would be no explanation for the blood stains in her pockets.</w:t>
      </w:r>
      <w:r w:rsidR="00B86E46">
        <w:t xml:space="preserve">  </w:t>
      </w:r>
      <w:r w:rsidR="00002836">
        <w:t xml:space="preserve">It may simply be that </w:t>
      </w:r>
      <w:r w:rsidR="00B86E46">
        <w:t>Epperson w</w:t>
      </w:r>
      <w:r w:rsidR="00002836">
        <w:t>as</w:t>
      </w:r>
      <w:r w:rsidR="00B86E46">
        <w:t xml:space="preserve"> wearing</w:t>
      </w:r>
      <w:r w:rsidR="00002836">
        <w:t xml:space="preserve"> the</w:t>
      </w:r>
      <w:r w:rsidR="00B86E46">
        <w:t xml:space="preserve"> jeans without underwear, </w:t>
      </w:r>
      <w:r w:rsidR="00002836">
        <w:t>a circumstance that</w:t>
      </w:r>
      <w:r w:rsidR="00B86E46">
        <w:t xml:space="preserve"> would also explain how the jeans ended up on top of the panties.  </w:t>
      </w:r>
      <w:r w:rsidR="00683F82">
        <w:t xml:space="preserve">Defendant’s interpretation </w:t>
      </w:r>
      <w:r w:rsidR="003A14A2">
        <w:t xml:space="preserve">also </w:t>
      </w:r>
      <w:r w:rsidR="001431C6">
        <w:t>ignores</w:t>
      </w:r>
      <w:r w:rsidR="003A14A2">
        <w:t xml:space="preserve"> the</w:t>
      </w:r>
      <w:r w:rsidR="00B2752D">
        <w:t xml:space="preserve"> pattern of</w:t>
      </w:r>
      <w:r w:rsidR="003A14A2">
        <w:t xml:space="preserve"> blood</w:t>
      </w:r>
      <w:r w:rsidR="00B2752D">
        <w:t xml:space="preserve"> stains on her thighs</w:t>
      </w:r>
      <w:r w:rsidR="003A14A2">
        <w:t xml:space="preserve"> and </w:t>
      </w:r>
      <w:r w:rsidR="00B2752D">
        <w:t xml:space="preserve">the severe </w:t>
      </w:r>
      <w:r w:rsidR="003A14A2">
        <w:t xml:space="preserve">trauma to her </w:t>
      </w:r>
      <w:r w:rsidR="00B2752D">
        <w:t xml:space="preserve">genitals.  </w:t>
      </w:r>
      <w:r w:rsidR="00B86E46">
        <w:t xml:space="preserve">In any event, </w:t>
      </w:r>
      <w:r w:rsidR="00B2752D">
        <w:t xml:space="preserve">that Epperson might not have been clothed from the waist down </w:t>
      </w:r>
      <w:r w:rsidR="00002836">
        <w:t xml:space="preserve">is not inconsistent with a </w:t>
      </w:r>
      <w:r w:rsidR="00B2752D">
        <w:t>forcible rape.</w:t>
      </w:r>
    </w:p>
    <w:p w:rsidR="00002836" w:rsidRDefault="00D244AE" w:rsidP="002054BF">
      <w:pPr>
        <w:pStyle w:val="NormalIndent"/>
        <w:spacing w:line="480" w:lineRule="atLeast"/>
        <w:ind w:left="0" w:firstLine="720"/>
      </w:pPr>
      <w:r>
        <w:t xml:space="preserve">Noting </w:t>
      </w:r>
      <w:r w:rsidR="00683F82">
        <w:t xml:space="preserve">that he </w:t>
      </w:r>
      <w:r>
        <w:t xml:space="preserve">testified to having </w:t>
      </w:r>
      <w:r w:rsidR="001431C6">
        <w:t xml:space="preserve">had </w:t>
      </w:r>
      <w:r>
        <w:t xml:space="preserve">voluntary intercourse with Epperson prior to the assault, </w:t>
      </w:r>
      <w:r w:rsidR="00683F82">
        <w:t>defendant</w:t>
      </w:r>
      <w:r w:rsidR="00170B08">
        <w:t xml:space="preserve"> </w:t>
      </w:r>
      <w:r w:rsidR="00002836">
        <w:t xml:space="preserve">argues that Epperson’s vaginal trauma could have been the result of </w:t>
      </w:r>
      <w:r>
        <w:t xml:space="preserve">consensual </w:t>
      </w:r>
      <w:r w:rsidR="00002836">
        <w:t>sexual intercourse between a relatively small woman and a very large man.</w:t>
      </w:r>
      <w:r w:rsidR="00ED79E6">
        <w:rPr>
          <w:rStyle w:val="FootnoteReference"/>
        </w:rPr>
        <w:footnoteReference w:id="7"/>
      </w:r>
      <w:r w:rsidR="00002836">
        <w:t xml:space="preserve">  It is unlikely, however, that Epperson would willing</w:t>
      </w:r>
      <w:r w:rsidR="00B2752D">
        <w:t>ly</w:t>
      </w:r>
      <w:r w:rsidR="00002836">
        <w:t xml:space="preserve"> have endured intercourse that caused vaginal injury as severe as that found by the medical examiner.</w:t>
      </w:r>
      <w:r w:rsidR="00B2752D">
        <w:t xml:space="preserve">  In any event, the totality of the evidence provides substantial evidence of rape, notwithstanding the possibility of an alternate explanation.</w:t>
      </w:r>
    </w:p>
    <w:p w:rsidR="00A67F36" w:rsidRDefault="00C62DB5" w:rsidP="00A67F36">
      <w:pPr>
        <w:pStyle w:val="NormalIndent"/>
        <w:spacing w:line="480" w:lineRule="atLeast"/>
        <w:ind w:left="0" w:firstLine="720"/>
      </w:pPr>
      <w:r>
        <w:t xml:space="preserve">Defendant contends these circumstances are comparable to those in </w:t>
      </w:r>
      <w:r>
        <w:rPr>
          <w:i/>
        </w:rPr>
        <w:t xml:space="preserve">People v. Craig </w:t>
      </w:r>
      <w:r>
        <w:t>(1957) 49 Cal.2d 313 (</w:t>
      </w:r>
      <w:r>
        <w:rPr>
          <w:i/>
        </w:rPr>
        <w:t>Craig</w:t>
      </w:r>
      <w:r>
        <w:t xml:space="preserve">), and </w:t>
      </w:r>
      <w:r>
        <w:rPr>
          <w:i/>
        </w:rPr>
        <w:t>Anderson</w:t>
      </w:r>
      <w:r>
        <w:t xml:space="preserve">, </w:t>
      </w:r>
      <w:r>
        <w:rPr>
          <w:i/>
        </w:rPr>
        <w:t>supra</w:t>
      </w:r>
      <w:r>
        <w:t xml:space="preserve">, 70 Cal.2d 15, in which the evidence was found insufficient to support first degree </w:t>
      </w:r>
      <w:r w:rsidR="00D60583">
        <w:t>felony-</w:t>
      </w:r>
      <w:r>
        <w:t>murder convictions</w:t>
      </w:r>
      <w:r w:rsidR="00A52305">
        <w:t xml:space="preserve"> based on rape</w:t>
      </w:r>
      <w:r>
        <w:t xml:space="preserve">.  Both cases are distinguishable.  In </w:t>
      </w:r>
      <w:r w:rsidR="00533819">
        <w:rPr>
          <w:i/>
        </w:rPr>
        <w:t>Craig</w:t>
      </w:r>
      <w:r w:rsidR="00533819">
        <w:t xml:space="preserve">, the victim </w:t>
      </w:r>
      <w:r>
        <w:t>had been beaten to death.  When found, her body was dressed in a slip or nightgown, covered by a raincoat.  Her panties, which had been found underneath the body, were torn open.  (</w:t>
      </w:r>
      <w:r>
        <w:rPr>
          <w:i/>
        </w:rPr>
        <w:t>Id</w:t>
      </w:r>
      <w:r>
        <w:t xml:space="preserve">., at p. 316.)  </w:t>
      </w:r>
      <w:r w:rsidR="00533819">
        <w:t xml:space="preserve">Yet the court in </w:t>
      </w:r>
      <w:r w:rsidR="00533819">
        <w:rPr>
          <w:i/>
        </w:rPr>
        <w:t xml:space="preserve">Craig </w:t>
      </w:r>
      <w:r>
        <w:t xml:space="preserve">found insufficient evidence </w:t>
      </w:r>
      <w:r w:rsidR="00533819">
        <w:t xml:space="preserve">to support a </w:t>
      </w:r>
      <w:r>
        <w:t>rape</w:t>
      </w:r>
      <w:r w:rsidR="00533819">
        <w:t>-murder conviction</w:t>
      </w:r>
      <w:r>
        <w:t xml:space="preserve"> because</w:t>
      </w:r>
      <w:r w:rsidR="00533819">
        <w:t>, notwithstanding the suggestive condition of the victim’s clothing,</w:t>
      </w:r>
      <w:r>
        <w:t xml:space="preserve"> neither the defendant’s nor the victim’s clothing “bore</w:t>
      </w:r>
      <w:r w:rsidR="00533819">
        <w:t xml:space="preserve"> any evidence of the sexual act</w:t>
      </w:r>
      <w:r>
        <w:t>” (</w:t>
      </w:r>
      <w:r w:rsidR="00533819">
        <w:rPr>
          <w:i/>
        </w:rPr>
        <w:t>i</w:t>
      </w:r>
      <w:r>
        <w:rPr>
          <w:i/>
        </w:rPr>
        <w:t>d</w:t>
      </w:r>
      <w:r w:rsidR="00533819">
        <w:t>., at p. 318</w:t>
      </w:r>
      <w:r>
        <w:t>)</w:t>
      </w:r>
      <w:r w:rsidR="00533819">
        <w:t>, and there was no other evidence to suggest sexual intercourse had occurred.  (</w:t>
      </w:r>
      <w:r w:rsidR="00533819">
        <w:rPr>
          <w:i/>
        </w:rPr>
        <w:t>Ibid.</w:t>
      </w:r>
      <w:r w:rsidR="00533819">
        <w:t xml:space="preserve">)  </w:t>
      </w:r>
      <w:r w:rsidR="0043613D">
        <w:t xml:space="preserve">In </w:t>
      </w:r>
      <w:r w:rsidR="0043613D">
        <w:rPr>
          <w:i/>
        </w:rPr>
        <w:t>Anderson</w:t>
      </w:r>
      <w:r w:rsidR="0043613D">
        <w:t>, as noted above, the victim had been stabbed to death.  Her body was nude, and the crotch had been cut from her underwear.  (</w:t>
      </w:r>
      <w:r w:rsidR="0043613D">
        <w:rPr>
          <w:i/>
        </w:rPr>
        <w:t>Id.</w:t>
      </w:r>
      <w:r w:rsidR="0043613D">
        <w:t xml:space="preserve">, at </w:t>
      </w:r>
      <w:r w:rsidR="00A24DC9">
        <w:t>p</w:t>
      </w:r>
      <w:r w:rsidR="0043613D">
        <w:t>p. 20-21.)</w:t>
      </w:r>
      <w:r w:rsidR="0043613D">
        <w:rPr>
          <w:i/>
        </w:rPr>
        <w:t xml:space="preserve"> </w:t>
      </w:r>
      <w:r w:rsidR="0043613D">
        <w:t xml:space="preserve"> Again, t</w:t>
      </w:r>
      <w:r w:rsidR="00533819">
        <w:t xml:space="preserve">he court found insufficient evidence to support a charge under section 288 of lewd and lascivious conduct with a child under the age of 14 years </w:t>
      </w:r>
      <w:r w:rsidR="0043613D">
        <w:t>because there was no</w:t>
      </w:r>
      <w:r w:rsidR="00533819">
        <w:t xml:space="preserve"> physical evidence of sexual contact </w:t>
      </w:r>
      <w:r w:rsidR="0043613D">
        <w:t>or</w:t>
      </w:r>
      <w:r w:rsidR="00533819">
        <w:t xml:space="preserve"> </w:t>
      </w:r>
      <w:r w:rsidR="0043613D">
        <w:t>any evidence that the defendant harbored sexual feelings toward the victim or had ever engaged in lewd conduct with her.  (</w:t>
      </w:r>
      <w:r w:rsidR="0043613D">
        <w:rPr>
          <w:i/>
        </w:rPr>
        <w:t>Id.</w:t>
      </w:r>
      <w:r w:rsidR="0043613D">
        <w:t>, at p</w:t>
      </w:r>
      <w:r w:rsidR="001431C6">
        <w:t>p</w:t>
      </w:r>
      <w:r w:rsidR="0043613D">
        <w:t>. 35-36.)</w:t>
      </w:r>
      <w:r w:rsidR="0043613D">
        <w:rPr>
          <w:i/>
        </w:rPr>
        <w:t xml:space="preserve"> </w:t>
      </w:r>
      <w:r w:rsidR="0043613D">
        <w:t xml:space="preserve"> In contrast with these cases, the state of Epperson’s clothing was not the only evidence supporting the charge of rape.  As discussed above, there was no question defendant had sexual intercourse with Epperson, and there was substantial forensic evidence to support the charge that the intercourse had occurred by force and against her will.</w:t>
      </w:r>
      <w:r w:rsidR="0043613D">
        <w:rPr>
          <w:rStyle w:val="FootnoteReference"/>
        </w:rPr>
        <w:footnoteReference w:id="8"/>
      </w:r>
    </w:p>
    <w:p w:rsidR="004A6341" w:rsidRDefault="00720873" w:rsidP="00A67F36">
      <w:pPr>
        <w:pStyle w:val="Heading3"/>
      </w:pPr>
      <w:bookmarkStart w:id="21" w:name="_Toc508625882"/>
      <w:r>
        <w:t xml:space="preserve">4.  </w:t>
      </w:r>
      <w:r w:rsidR="008F3E54">
        <w:t>The trial court’s a</w:t>
      </w:r>
      <w:r w:rsidR="004A6341">
        <w:t xml:space="preserve">dmission of </w:t>
      </w:r>
      <w:r w:rsidR="008F3E54">
        <w:t>g</w:t>
      </w:r>
      <w:r w:rsidR="004A6341">
        <w:t xml:space="preserve">ang </w:t>
      </w:r>
      <w:r w:rsidR="008F3E54">
        <w:t>a</w:t>
      </w:r>
      <w:r w:rsidR="004A6341">
        <w:t xml:space="preserve">ffiliation </w:t>
      </w:r>
      <w:r w:rsidR="008F3E54">
        <w:t>e</w:t>
      </w:r>
      <w:r w:rsidR="004A6341">
        <w:t>vidence</w:t>
      </w:r>
      <w:r w:rsidR="003A1A66">
        <w:t xml:space="preserve"> </w:t>
      </w:r>
      <w:r w:rsidR="008F3E54">
        <w:t xml:space="preserve">during the guilt phase was </w:t>
      </w:r>
      <w:bookmarkEnd w:id="21"/>
      <w:r w:rsidR="00680FD2">
        <w:t>harmless</w:t>
      </w:r>
    </w:p>
    <w:p w:rsidR="00222004" w:rsidRDefault="00222004" w:rsidP="00222004">
      <w:pPr>
        <w:pStyle w:val="NormalIndent"/>
        <w:spacing w:line="480" w:lineRule="atLeast"/>
        <w:ind w:left="0" w:firstLine="720"/>
      </w:pPr>
      <w:r>
        <w:t>Defendant contends the trial court committed prejudicial error in permitting the introduction of evidence</w:t>
      </w:r>
      <w:r w:rsidR="00115FEC">
        <w:t xml:space="preserve"> during the guilt phase</w:t>
      </w:r>
      <w:r>
        <w:t xml:space="preserve"> that </w:t>
      </w:r>
      <w:r w:rsidR="00A24DC9">
        <w:t>he</w:t>
      </w:r>
      <w:r>
        <w:t xml:space="preserve"> had been affiliated in prison with a white </w:t>
      </w:r>
      <w:r w:rsidR="003811FE">
        <w:t>supremacist</w:t>
      </w:r>
      <w:r>
        <w:t xml:space="preserve"> gang</w:t>
      </w:r>
      <w:r w:rsidR="007B6103">
        <w:t xml:space="preserve"> and that he had </w:t>
      </w:r>
      <w:r w:rsidR="007A125E">
        <w:t>tattoos suggesting racist sympathies</w:t>
      </w:r>
      <w:r w:rsidR="007B6103">
        <w:t xml:space="preserve">.  He also </w:t>
      </w:r>
      <w:r w:rsidR="00B2752D">
        <w:t>argues</w:t>
      </w:r>
      <w:r w:rsidR="007B6103">
        <w:t xml:space="preserve"> that</w:t>
      </w:r>
      <w:r w:rsidR="00C11520">
        <w:t xml:space="preserve"> the prosecutor committed misconduct in eliciting some of this evidence</w:t>
      </w:r>
      <w:r>
        <w:t>.</w:t>
      </w:r>
    </w:p>
    <w:p w:rsidR="00C11520" w:rsidRDefault="00222004" w:rsidP="007A125E">
      <w:pPr>
        <w:pStyle w:val="NormalIndent"/>
        <w:spacing w:line="480" w:lineRule="atLeast"/>
        <w:ind w:left="0" w:firstLine="720"/>
      </w:pPr>
      <w:r>
        <w:t xml:space="preserve">Epperson was Caucasian.  Around the time she met defendant, </w:t>
      </w:r>
      <w:r w:rsidR="000F3365">
        <w:t>Epperson</w:t>
      </w:r>
      <w:r>
        <w:t xml:space="preserve"> </w:t>
      </w:r>
      <w:r w:rsidR="007B6103">
        <w:t xml:space="preserve">had </w:t>
      </w:r>
      <w:r>
        <w:t>broke</w:t>
      </w:r>
      <w:r w:rsidR="007B6103">
        <w:t>n</w:t>
      </w:r>
      <w:r>
        <w:t xml:space="preserve"> off </w:t>
      </w:r>
      <w:r w:rsidR="003C7FCE">
        <w:t>her</w:t>
      </w:r>
      <w:r>
        <w:t xml:space="preserve"> romantic relationship with </w:t>
      </w:r>
      <w:r w:rsidR="003C7FCE">
        <w:t xml:space="preserve">Sims, an </w:t>
      </w:r>
      <w:r>
        <w:t xml:space="preserve">African-American, </w:t>
      </w:r>
      <w:r w:rsidR="000F3365">
        <w:t>but the two remained friends</w:t>
      </w:r>
      <w:r w:rsidR="00C11520">
        <w:t>, and defendant was aware of the</w:t>
      </w:r>
      <w:r w:rsidR="00A52305">
        <w:t>ir</w:t>
      </w:r>
      <w:r w:rsidR="00C11520">
        <w:t xml:space="preserve"> relationship</w:t>
      </w:r>
      <w:r>
        <w:t xml:space="preserve">. </w:t>
      </w:r>
      <w:r w:rsidR="006665B6">
        <w:t xml:space="preserve"> </w:t>
      </w:r>
      <w:r w:rsidR="00C11520">
        <w:t>On the morning of the day Epperson was killed, defendant saw her talk</w:t>
      </w:r>
      <w:r w:rsidR="00110C78">
        <w:t>ing to Sims outside her church.</w:t>
      </w:r>
    </w:p>
    <w:p w:rsidR="00323303" w:rsidRDefault="007A125E" w:rsidP="007A125E">
      <w:pPr>
        <w:pStyle w:val="NormalIndent"/>
        <w:spacing w:line="480" w:lineRule="atLeast"/>
        <w:ind w:left="0" w:firstLine="720"/>
      </w:pPr>
      <w:r>
        <w:t xml:space="preserve">Although </w:t>
      </w:r>
      <w:r w:rsidR="000F3365">
        <w:t xml:space="preserve">Sims </w:t>
      </w:r>
      <w:r>
        <w:t xml:space="preserve">and defendant had lived in </w:t>
      </w:r>
      <w:r w:rsidR="007B6103">
        <w:t xml:space="preserve">the same building during </w:t>
      </w:r>
      <w:r>
        <w:t>two years of rehabilitation</w:t>
      </w:r>
      <w:r w:rsidR="007B6103">
        <w:t>,</w:t>
      </w:r>
      <w:r>
        <w:t xml:space="preserve"> they had never formally met or spoken. </w:t>
      </w:r>
      <w:r w:rsidR="006665B6">
        <w:t xml:space="preserve"> </w:t>
      </w:r>
      <w:r w:rsidR="007B6103">
        <w:t xml:space="preserve">When </w:t>
      </w:r>
      <w:r>
        <w:t xml:space="preserve">Sims </w:t>
      </w:r>
      <w:r w:rsidR="007B6103">
        <w:t>testified</w:t>
      </w:r>
      <w:r w:rsidR="00BF3B52">
        <w:t xml:space="preserve"> </w:t>
      </w:r>
      <w:r>
        <w:t>that he</w:t>
      </w:r>
      <w:r w:rsidR="00BF3B52" w:rsidRPr="00BF3B52">
        <w:t xml:space="preserve"> </w:t>
      </w:r>
      <w:r w:rsidR="00BF3B52">
        <w:t>felt “intimidated” by defendant</w:t>
      </w:r>
      <w:r>
        <w:t xml:space="preserve"> be</w:t>
      </w:r>
      <w:r w:rsidR="00BF3B52">
        <w:t xml:space="preserve">cause </w:t>
      </w:r>
      <w:r>
        <w:t>defendant was a “white supremacist,</w:t>
      </w:r>
      <w:r w:rsidR="000F3365">
        <w:t>”</w:t>
      </w:r>
      <w:r>
        <w:t xml:space="preserve"> t</w:t>
      </w:r>
      <w:r w:rsidR="000F3365">
        <w:t xml:space="preserve">he </w:t>
      </w:r>
      <w:r>
        <w:t>trial court struck this testimony</w:t>
      </w:r>
      <w:r w:rsidR="000F3365">
        <w:t xml:space="preserve"> </w:t>
      </w:r>
      <w:r w:rsidR="00323303">
        <w:t xml:space="preserve">and admonished the jury to disregard it. </w:t>
      </w:r>
      <w:r w:rsidR="006665B6">
        <w:t xml:space="preserve"> </w:t>
      </w:r>
      <w:r w:rsidR="00A67F36">
        <w:t xml:space="preserve">Timothy </w:t>
      </w:r>
      <w:r w:rsidR="00323303">
        <w:t>Todd</w:t>
      </w:r>
      <w:r w:rsidR="00A67F36">
        <w:t>, Epperson’s friend and assistant at her workplace,</w:t>
      </w:r>
      <w:r>
        <w:t xml:space="preserve"> later testified</w:t>
      </w:r>
      <w:r w:rsidR="007B6103">
        <w:t>,</w:t>
      </w:r>
      <w:r>
        <w:t xml:space="preserve"> without objection</w:t>
      </w:r>
      <w:r w:rsidR="007B6103">
        <w:t>,</w:t>
      </w:r>
      <w:r>
        <w:t xml:space="preserve"> that</w:t>
      </w:r>
      <w:r w:rsidR="00323303">
        <w:t xml:space="preserve"> defendant, “on several occasions,” said</w:t>
      </w:r>
      <w:r>
        <w:t xml:space="preserve"> that</w:t>
      </w:r>
      <w:r w:rsidR="00323303">
        <w:t xml:space="preserve"> “he would kill that nigger</w:t>
      </w:r>
      <w:r>
        <w:t xml:space="preserve"> [Sims]</w:t>
      </w:r>
      <w:r w:rsidR="00323303">
        <w:t xml:space="preserve"> if h</w:t>
      </w:r>
      <w:r w:rsidR="00110C78">
        <w:t>e kept trying to see” Epperson.</w:t>
      </w:r>
    </w:p>
    <w:p w:rsidR="00110C78" w:rsidRDefault="00587289" w:rsidP="00222004">
      <w:pPr>
        <w:pStyle w:val="NormalIndent"/>
        <w:spacing w:line="480" w:lineRule="atLeast"/>
        <w:ind w:left="0" w:firstLine="720"/>
      </w:pPr>
      <w:r>
        <w:t xml:space="preserve">During </w:t>
      </w:r>
      <w:r w:rsidR="00BC5BA1">
        <w:t xml:space="preserve">the </w:t>
      </w:r>
      <w:r>
        <w:t>cross-examination</w:t>
      </w:r>
      <w:r w:rsidR="00BC5BA1">
        <w:t xml:space="preserve"> of defendant</w:t>
      </w:r>
      <w:r>
        <w:t xml:space="preserve">, </w:t>
      </w:r>
      <w:r w:rsidR="00BC5BA1">
        <w:t>h</w:t>
      </w:r>
      <w:r>
        <w:t>e acknowledged</w:t>
      </w:r>
      <w:r w:rsidR="007B6103">
        <w:t>, without explanation,</w:t>
      </w:r>
      <w:r>
        <w:t xml:space="preserve"> that he </w:t>
      </w:r>
      <w:r w:rsidR="007A125E">
        <w:t xml:space="preserve">“had a problem” with </w:t>
      </w:r>
      <w:r>
        <w:t xml:space="preserve">Sims because of “what he did to” Epperson. </w:t>
      </w:r>
      <w:r w:rsidR="006665B6">
        <w:t xml:space="preserve"> </w:t>
      </w:r>
      <w:r>
        <w:t>When defendant denied being a “racist” and disliking Sims because he was</w:t>
      </w:r>
      <w:r w:rsidR="003F6E95">
        <w:t xml:space="preserve"> an</w:t>
      </w:r>
      <w:r>
        <w:t xml:space="preserve"> African-American, the prosecutor </w:t>
      </w:r>
      <w:r w:rsidR="007A125E">
        <w:t>was permitted</w:t>
      </w:r>
      <w:r w:rsidR="007B6103">
        <w:t xml:space="preserve"> to introduce</w:t>
      </w:r>
      <w:r w:rsidR="007A125E">
        <w:t xml:space="preserve">, over objection, </w:t>
      </w:r>
      <w:r w:rsidR="006C340D">
        <w:t xml:space="preserve">photographs of defendant’s tattoos, </w:t>
      </w:r>
      <w:r w:rsidR="003F6E95">
        <w:t xml:space="preserve">two of </w:t>
      </w:r>
      <w:r w:rsidR="006C340D">
        <w:t xml:space="preserve">which </w:t>
      </w:r>
      <w:r w:rsidR="003F6E95">
        <w:t>rea</w:t>
      </w:r>
      <w:r w:rsidR="006C340D">
        <w:t xml:space="preserve">d, “White Pride” and “White Anger.”  Defendant said he </w:t>
      </w:r>
      <w:r w:rsidR="007B6103">
        <w:t xml:space="preserve">had </w:t>
      </w:r>
      <w:r w:rsidR="006C340D">
        <w:t>got</w:t>
      </w:r>
      <w:r w:rsidR="007B6103">
        <w:t>ten</w:t>
      </w:r>
      <w:r w:rsidR="006C340D">
        <w:t xml:space="preserve"> the tattoos “years ago” in prison.</w:t>
      </w:r>
      <w:r w:rsidR="006665B6">
        <w:t xml:space="preserve"> </w:t>
      </w:r>
      <w:r w:rsidR="006C340D">
        <w:t xml:space="preserve"> </w:t>
      </w:r>
    </w:p>
    <w:p w:rsidR="00370433" w:rsidRDefault="00115FEC" w:rsidP="00222004">
      <w:pPr>
        <w:pStyle w:val="NormalIndent"/>
        <w:spacing w:line="480" w:lineRule="atLeast"/>
        <w:ind w:left="0" w:firstLine="720"/>
      </w:pPr>
      <w:r>
        <w:t>During</w:t>
      </w:r>
      <w:r w:rsidR="00CF2333">
        <w:t xml:space="preserve"> the </w:t>
      </w:r>
      <w:r w:rsidR="007B6103">
        <w:t xml:space="preserve">prosecution’s </w:t>
      </w:r>
      <w:r w:rsidR="00CF2333">
        <w:t xml:space="preserve">rebuttal case, the trial court permitted the introduction of gang-related statements made by </w:t>
      </w:r>
      <w:r w:rsidR="007B6103">
        <w:t xml:space="preserve">defendant’s friend, </w:t>
      </w:r>
      <w:r w:rsidR="00047F4E">
        <w:t xml:space="preserve">Charles </w:t>
      </w:r>
      <w:r w:rsidR="00CF2333">
        <w:t>Vannoy</w:t>
      </w:r>
      <w:r w:rsidR="007B6103">
        <w:t>,</w:t>
      </w:r>
      <w:r w:rsidR="00CF2333">
        <w:t xml:space="preserve"> during his police interview. </w:t>
      </w:r>
      <w:r w:rsidR="006665B6">
        <w:t xml:space="preserve"> </w:t>
      </w:r>
      <w:r w:rsidR="00CF2333">
        <w:t>The jury therefore heard Vannoy describ</w:t>
      </w:r>
      <w:r w:rsidR="007A125E">
        <w:t>e</w:t>
      </w:r>
      <w:r w:rsidR="00CF2333">
        <w:t xml:space="preserve"> himself </w:t>
      </w:r>
      <w:r w:rsidR="00370433">
        <w:t xml:space="preserve">as a </w:t>
      </w:r>
      <w:r w:rsidR="00A52305">
        <w:t>one-time</w:t>
      </w:r>
      <w:r w:rsidR="00370433">
        <w:t xml:space="preserve"> member of the Aryan Brotherhood, although he had since left the g</w:t>
      </w:r>
      <w:r w:rsidR="007B6103">
        <w:t>roup</w:t>
      </w:r>
      <w:r w:rsidR="00370433">
        <w:t xml:space="preserve">. </w:t>
      </w:r>
      <w:r w:rsidR="006665B6">
        <w:t xml:space="preserve"> </w:t>
      </w:r>
      <w:r w:rsidR="00370433">
        <w:t xml:space="preserve">Vannoy acknowledged </w:t>
      </w:r>
      <w:r w:rsidR="007B6103">
        <w:t>having</w:t>
      </w:r>
      <w:r w:rsidR="00370433">
        <w:t xml:space="preserve"> tattoos, </w:t>
      </w:r>
      <w:r w:rsidR="007B6103">
        <w:t>one of which was</w:t>
      </w:r>
      <w:r w:rsidR="00370433">
        <w:t xml:space="preserve"> a swastika, and said he was aware defendant did not like </w:t>
      </w:r>
      <w:r w:rsidR="00737137">
        <w:t xml:space="preserve">Sims, whom the interviewer had referred to as </w:t>
      </w:r>
      <w:r w:rsidR="00370433">
        <w:t xml:space="preserve">Epperson’s “Black boyfriend.” </w:t>
      </w:r>
      <w:r w:rsidR="006665B6">
        <w:t xml:space="preserve"> </w:t>
      </w:r>
      <w:r w:rsidR="0038368D">
        <w:t>In closing argument, n</w:t>
      </w:r>
      <w:r w:rsidR="00370433">
        <w:t>either attorney mentioned the tattoos</w:t>
      </w:r>
      <w:r w:rsidR="0038368D">
        <w:t xml:space="preserve"> or gang evidence.</w:t>
      </w:r>
    </w:p>
    <w:p w:rsidR="00D45DDC" w:rsidRPr="00D27822" w:rsidRDefault="008B0B94" w:rsidP="00222004">
      <w:pPr>
        <w:pStyle w:val="NormalIndent"/>
        <w:spacing w:line="480" w:lineRule="atLeast"/>
        <w:ind w:left="0" w:firstLine="720"/>
      </w:pPr>
      <w:r>
        <w:t xml:space="preserve">We review a trial court’s decision to </w:t>
      </w:r>
      <w:r>
        <w:rPr>
          <w:rStyle w:val="term"/>
        </w:rPr>
        <w:t>admit</w:t>
      </w:r>
      <w:r>
        <w:t xml:space="preserve"> or exclude </w:t>
      </w:r>
      <w:r>
        <w:rPr>
          <w:rStyle w:val="term"/>
        </w:rPr>
        <w:t>evidence</w:t>
      </w:r>
      <w:r>
        <w:t xml:space="preserve"> “for </w:t>
      </w:r>
      <w:r>
        <w:rPr>
          <w:rStyle w:val="term"/>
        </w:rPr>
        <w:t>abuse</w:t>
      </w:r>
      <w:r>
        <w:t xml:space="preserve"> of </w:t>
      </w:r>
      <w:r>
        <w:rPr>
          <w:rStyle w:val="term"/>
        </w:rPr>
        <w:t>discretion,</w:t>
      </w:r>
      <w:r>
        <w:t xml:space="preserve"> </w:t>
      </w:r>
      <w:r w:rsidR="00720873">
        <w:t>and [the ruling]</w:t>
      </w:r>
      <w:r>
        <w:t xml:space="preserve"> will not be disturbed unless there is a showing that the trial court acted in an arbitrary, capricious, or absurd manner resulting in a miscarriage of justice.”  (</w:t>
      </w:r>
      <w:r>
        <w:rPr>
          <w:i/>
        </w:rPr>
        <w:t xml:space="preserve">People v. Wall </w:t>
      </w:r>
      <w:r>
        <w:t>(2017) 3 Cal.5th 1048, 1069.)  When evidence is erroneously admitted, we do not reverse a conviction unless it is reasonably prob</w:t>
      </w:r>
      <w:r w:rsidR="003F29EC">
        <w:t>able</w:t>
      </w:r>
      <w:r>
        <w:t xml:space="preserve"> that a result more favorable to</w:t>
      </w:r>
      <w:r w:rsidR="003F29EC">
        <w:t xml:space="preserve"> the</w:t>
      </w:r>
      <w:r>
        <w:t xml:space="preserve"> defendant would h</w:t>
      </w:r>
      <w:r w:rsidR="003F29EC">
        <w:t>a</w:t>
      </w:r>
      <w:r>
        <w:t>ve occurred absent the error.  (</w:t>
      </w:r>
      <w:r>
        <w:rPr>
          <w:i/>
        </w:rPr>
        <w:t xml:space="preserve">People v. Watson </w:t>
      </w:r>
      <w:r>
        <w:t xml:space="preserve">(1956) 46 Cal.2d 818, 836; see </w:t>
      </w:r>
      <w:r>
        <w:rPr>
          <w:i/>
        </w:rPr>
        <w:t>People v. Co</w:t>
      </w:r>
      <w:r w:rsidR="00C6599B">
        <w:rPr>
          <w:i/>
        </w:rPr>
        <w:t>v</w:t>
      </w:r>
      <w:r>
        <w:rPr>
          <w:i/>
        </w:rPr>
        <w:t>arrubias</w:t>
      </w:r>
      <w:r w:rsidR="00C6599B">
        <w:rPr>
          <w:i/>
        </w:rPr>
        <w:t xml:space="preserve"> </w:t>
      </w:r>
      <w:r w:rsidR="00C6599B">
        <w:t>(2016) 1 Cal.5th 838, 887-888</w:t>
      </w:r>
      <w:r w:rsidR="00720873">
        <w:t xml:space="preserve"> (</w:t>
      </w:r>
      <w:r w:rsidR="00720873">
        <w:rPr>
          <w:i/>
        </w:rPr>
        <w:t>Covarrubias</w:t>
      </w:r>
      <w:r w:rsidR="00720873">
        <w:t>)</w:t>
      </w:r>
      <w:r w:rsidR="00C6599B">
        <w:t xml:space="preserve"> [</w:t>
      </w:r>
      <w:r w:rsidR="00C6599B">
        <w:rPr>
          <w:i/>
        </w:rPr>
        <w:t xml:space="preserve">Watson </w:t>
      </w:r>
      <w:r w:rsidR="00C6599B">
        <w:t>standard applies in evaluating prejudice from state law error in admitting evidence].)</w:t>
      </w:r>
      <w:r w:rsidR="003F29EC">
        <w:t xml:space="preserve">  </w:t>
      </w:r>
      <w:r w:rsidR="00D27822">
        <w:t xml:space="preserve">We apply a similar standard of prejudice when considering a claim of prosecutorial misconduct.  (E.g., </w:t>
      </w:r>
      <w:r w:rsidR="00D27822">
        <w:rPr>
          <w:i/>
        </w:rPr>
        <w:t xml:space="preserve">People v. Peoples </w:t>
      </w:r>
      <w:r w:rsidR="00D27822">
        <w:t>(2016) 62 Cal.4th 718, 798-799, 804.)</w:t>
      </w:r>
    </w:p>
    <w:p w:rsidR="00720873" w:rsidRDefault="00C6599B" w:rsidP="00D45DDC">
      <w:pPr>
        <w:pStyle w:val="NormalIndent"/>
        <w:spacing w:line="480" w:lineRule="atLeast"/>
        <w:ind w:left="0" w:firstLine="720"/>
      </w:pPr>
      <w:r>
        <w:t xml:space="preserve">We need not address the propriety of the trial court’s admission of this evidence </w:t>
      </w:r>
      <w:r w:rsidR="00BF3B52">
        <w:t>or the prosecutor’s conduct in eliciting it</w:t>
      </w:r>
      <w:r w:rsidR="00680FD2">
        <w:t xml:space="preserve"> during the guilt phase</w:t>
      </w:r>
      <w:r>
        <w:t xml:space="preserve"> because </w:t>
      </w:r>
      <w:r w:rsidR="00680FD2">
        <w:t>any error in its admission was harmless</w:t>
      </w:r>
      <w:r>
        <w:t>.  The evidence of defendant’s guilt was very strong.  There was no question that he was the killer</w:t>
      </w:r>
      <w:r w:rsidR="00702ECA">
        <w:t>.  T</w:t>
      </w:r>
      <w:r>
        <w:t xml:space="preserve">he forensic evidence </w:t>
      </w:r>
      <w:r w:rsidR="00D27822">
        <w:t>powerfully</w:t>
      </w:r>
      <w:r>
        <w:t xml:space="preserve"> revealed the manner of Epperson’s death</w:t>
      </w:r>
      <w:r w:rsidR="003F29EC">
        <w:t>,</w:t>
      </w:r>
      <w:r w:rsidR="00702ECA">
        <w:t xml:space="preserve"> and</w:t>
      </w:r>
      <w:r w:rsidR="003F29EC">
        <w:t xml:space="preserve"> the testimony, including defendant’s own testimony, provided ample evidence of the obsession that appears to have motivated </w:t>
      </w:r>
      <w:r w:rsidR="00720873">
        <w:t>t</w:t>
      </w:r>
      <w:r w:rsidR="003F29EC">
        <w:t>h</w:t>
      </w:r>
      <w:r w:rsidR="00720873">
        <w:t>e</w:t>
      </w:r>
      <w:r w:rsidR="003F29EC">
        <w:t xml:space="preserve"> </w:t>
      </w:r>
      <w:r w:rsidR="00720873">
        <w:t>crime</w:t>
      </w:r>
      <w:r w:rsidR="003F29EC">
        <w:t xml:space="preserve">s.  At most, the evidence of defendant’s possible racist sympathies would have provided an additional reason for the intensity of his anger at the time of the killing.  </w:t>
      </w:r>
      <w:r w:rsidR="00BF3B52">
        <w:t>Defendant’s gang membership was therefore largely irrelevant to the issues before the jury in the guilt phase, and any negative reaction the jur</w:t>
      </w:r>
      <w:r w:rsidR="00720873">
        <w:t>ors</w:t>
      </w:r>
      <w:r w:rsidR="00BF3B52">
        <w:t xml:space="preserve"> might have had to </w:t>
      </w:r>
      <w:r w:rsidR="003F29EC">
        <w:t>the</w:t>
      </w:r>
      <w:r w:rsidR="00720873">
        <w:t xml:space="preserve"> gang</w:t>
      </w:r>
      <w:r w:rsidR="003F29EC">
        <w:t xml:space="preserve"> evidence </w:t>
      </w:r>
      <w:r w:rsidR="00BF3B52">
        <w:t>would not have had a significant influence on t</w:t>
      </w:r>
      <w:r w:rsidR="00720873">
        <w:t>heir</w:t>
      </w:r>
      <w:r w:rsidR="00BF3B52">
        <w:t xml:space="preserve"> evaluation of the evidence.  </w:t>
      </w:r>
    </w:p>
    <w:p w:rsidR="00C6599B" w:rsidRDefault="00D45DDC" w:rsidP="00D45DDC">
      <w:pPr>
        <w:pStyle w:val="NormalIndent"/>
        <w:spacing w:line="480" w:lineRule="atLeast"/>
        <w:ind w:left="0" w:firstLine="720"/>
      </w:pPr>
      <w:r>
        <w:t>Nor do we conclude, for similar reasons, that any misconduct by the prosecutor in eliciting this testimony “infect[ed] the trial with such unfairness as to make the conviction a denial of due process.”  (</w:t>
      </w:r>
      <w:r>
        <w:rPr>
          <w:i/>
        </w:rPr>
        <w:t xml:space="preserve">People v. Seumanu </w:t>
      </w:r>
      <w:r>
        <w:t>(2015) 61 Cal.4th 1293, 1331.)</w:t>
      </w:r>
    </w:p>
    <w:p w:rsidR="00115FEC" w:rsidRDefault="003F29EC" w:rsidP="00115FEC">
      <w:pPr>
        <w:pStyle w:val="NormalIndent"/>
        <w:spacing w:line="480" w:lineRule="atLeast"/>
        <w:ind w:left="0" w:firstLine="720"/>
      </w:pPr>
      <w:r>
        <w:t xml:space="preserve">Defendant argues </w:t>
      </w:r>
      <w:r w:rsidR="00D45DDC">
        <w:t>admission of the evidence was “inherently prejudicial” because it create</w:t>
      </w:r>
      <w:r w:rsidR="00720873">
        <w:t>d</w:t>
      </w:r>
      <w:r w:rsidR="00D45DDC">
        <w:t xml:space="preserve"> a risk the jury w</w:t>
      </w:r>
      <w:r w:rsidR="00720873">
        <w:t>ould</w:t>
      </w:r>
      <w:r w:rsidR="00D45DDC">
        <w:t xml:space="preserve"> improperly infer defendant has a </w:t>
      </w:r>
      <w:r w:rsidR="00D45DDC">
        <w:rPr>
          <w:rStyle w:val="term"/>
        </w:rPr>
        <w:t>criminal disposition</w:t>
      </w:r>
      <w:r w:rsidR="00D45DDC">
        <w:t xml:space="preserve"> and is therefore guilty of the offense charged, citing </w:t>
      </w:r>
      <w:r w:rsidR="00D45DDC">
        <w:rPr>
          <w:i/>
        </w:rPr>
        <w:t xml:space="preserve">People v. Williams </w:t>
      </w:r>
      <w:r w:rsidR="00D45DDC">
        <w:t>(1997) 16 Cal.4th 153, 193</w:t>
      </w:r>
      <w:r w:rsidR="00C11520">
        <w:t xml:space="preserve"> (</w:t>
      </w:r>
      <w:r w:rsidR="00C11520">
        <w:rPr>
          <w:i/>
        </w:rPr>
        <w:t>Williams</w:t>
      </w:r>
      <w:r w:rsidR="00C11520">
        <w:t>)</w:t>
      </w:r>
      <w:r w:rsidR="00D45DDC">
        <w:t>.</w:t>
      </w:r>
      <w:r w:rsidR="006665B6">
        <w:t xml:space="preserve"> </w:t>
      </w:r>
      <w:r w:rsidR="00D45DDC">
        <w:t xml:space="preserve"> </w:t>
      </w:r>
      <w:r w:rsidR="00BF3B52">
        <w:t xml:space="preserve">Whether defendant had a </w:t>
      </w:r>
      <w:r w:rsidR="00025EDC">
        <w:t>“</w:t>
      </w:r>
      <w:r w:rsidR="00BF3B52">
        <w:t xml:space="preserve">criminal </w:t>
      </w:r>
      <w:r w:rsidR="00025EDC">
        <w:t xml:space="preserve">disposition” was rendered moot by the strength of the evidence bearing on his guilt.  </w:t>
      </w:r>
      <w:r w:rsidR="00C11520">
        <w:t>Concerns about the possible “</w:t>
      </w:r>
      <w:r w:rsidR="003811FE">
        <w:t>inflammatory</w:t>
      </w:r>
      <w:r w:rsidR="00C11520">
        <w:t xml:space="preserve"> impact” of this type of evidence (</w:t>
      </w:r>
      <w:r w:rsidR="00115FEC">
        <w:rPr>
          <w:i/>
        </w:rPr>
        <w:t>id</w:t>
      </w:r>
      <w:r w:rsidR="00115FEC">
        <w:t>.</w:t>
      </w:r>
      <w:r w:rsidR="00C11520">
        <w:t>, at p. 193) were similarly alleviated by the nature of the evidence of defendant’s guilt.</w:t>
      </w:r>
      <w:r w:rsidR="00025EDC">
        <w:rPr>
          <w:rStyle w:val="FootnoteReference"/>
        </w:rPr>
        <w:footnoteReference w:id="9"/>
      </w:r>
    </w:p>
    <w:p w:rsidR="00C01B06" w:rsidRPr="00115FEC" w:rsidRDefault="00115FEC" w:rsidP="00115FEC">
      <w:pPr>
        <w:pStyle w:val="Heading3"/>
      </w:pPr>
      <w:bookmarkStart w:id="22" w:name="_Toc508625883"/>
      <w:r>
        <w:t xml:space="preserve">5.  </w:t>
      </w:r>
      <w:r w:rsidR="003A1A66">
        <w:t>The s</w:t>
      </w:r>
      <w:r>
        <w:t xml:space="preserve">pecial </w:t>
      </w:r>
      <w:r w:rsidR="003A1A66">
        <w:t>c</w:t>
      </w:r>
      <w:r>
        <w:t xml:space="preserve">ircumstance </w:t>
      </w:r>
      <w:r w:rsidR="003A1A66">
        <w:t>f</w:t>
      </w:r>
      <w:r>
        <w:t>indings</w:t>
      </w:r>
      <w:r w:rsidR="00C01B06">
        <w:t xml:space="preserve"> </w:t>
      </w:r>
      <w:r w:rsidR="00A24DC9">
        <w:t xml:space="preserve">of torture </w:t>
      </w:r>
      <w:r w:rsidR="003A1A66">
        <w:t>murder and mayhem</w:t>
      </w:r>
      <w:r w:rsidR="00A24DC9">
        <w:t xml:space="preserve"> </w:t>
      </w:r>
      <w:r w:rsidR="003A1A66">
        <w:t xml:space="preserve">murder </w:t>
      </w:r>
      <w:r w:rsidR="00AD2C9B">
        <w:t>a</w:t>
      </w:r>
      <w:r w:rsidR="003A1A66">
        <w:t>re supported by the evidence</w:t>
      </w:r>
      <w:r w:rsidR="006665B6">
        <w:t xml:space="preserve"> </w:t>
      </w:r>
      <w:bookmarkEnd w:id="22"/>
    </w:p>
    <w:p w:rsidR="00C01B06" w:rsidRDefault="00C01B06" w:rsidP="00C01B06">
      <w:pPr>
        <w:pStyle w:val="NormalIndent"/>
        <w:spacing w:line="480" w:lineRule="atLeast"/>
        <w:ind w:left="0" w:firstLine="720"/>
      </w:pPr>
      <w:r>
        <w:t xml:space="preserve">Defendant </w:t>
      </w:r>
      <w:r w:rsidR="00A13669">
        <w:t>argues that</w:t>
      </w:r>
      <w:r>
        <w:t xml:space="preserve"> the jury’s torture-murder and mayhem-murder special</w:t>
      </w:r>
      <w:r w:rsidR="00A24DC9">
        <w:t>-</w:t>
      </w:r>
      <w:r>
        <w:t xml:space="preserve">circumstance findings were not supported by sufficient evidence because he had no “independent felonious purpose” in committing the predicate crimes.  </w:t>
      </w:r>
      <w:r w:rsidR="00A24DC9">
        <w:t>(</w:t>
      </w:r>
      <w:r w:rsidR="00A24DC9">
        <w:rPr>
          <w:i/>
        </w:rPr>
        <w:t xml:space="preserve">People v. Green </w:t>
      </w:r>
      <w:r w:rsidR="00A24DC9">
        <w:t>(1980) 27 Cal.3d 1, 61 (</w:t>
      </w:r>
      <w:r w:rsidR="00A24DC9">
        <w:rPr>
          <w:i/>
        </w:rPr>
        <w:t>Green</w:t>
      </w:r>
      <w:r w:rsidR="00A24DC9">
        <w:t xml:space="preserve">.)  </w:t>
      </w:r>
      <w:r w:rsidR="00B148F1">
        <w:t>According to defendant, the acts of torture and mayhem were, in effect, a</w:t>
      </w:r>
      <w:r>
        <w:t xml:space="preserve"> means to the end of killing </w:t>
      </w:r>
      <w:r w:rsidR="00B148F1">
        <w:t>Epperson</w:t>
      </w:r>
      <w:r>
        <w:t xml:space="preserve">, rather than </w:t>
      </w:r>
      <w:r w:rsidR="00A13669">
        <w:t xml:space="preserve">ends </w:t>
      </w:r>
      <w:r>
        <w:t xml:space="preserve">in </w:t>
      </w:r>
      <w:r w:rsidR="00A13669">
        <w:t>themselves</w:t>
      </w:r>
      <w:r>
        <w:t>.</w:t>
      </w:r>
      <w:r>
        <w:rPr>
          <w:rStyle w:val="FootnoteReference"/>
        </w:rPr>
        <w:footnoteReference w:id="10"/>
      </w:r>
    </w:p>
    <w:p w:rsidR="00C01B06" w:rsidRDefault="00484BBB" w:rsidP="00484BBB">
      <w:pPr>
        <w:pStyle w:val="NormalIndent"/>
        <w:spacing w:line="480" w:lineRule="atLeast"/>
        <w:ind w:left="0" w:firstLine="720"/>
      </w:pPr>
      <w:bookmarkStart w:id="23" w:name="_Hlk517180397"/>
      <w:r>
        <w:rPr>
          <w:szCs w:val="26"/>
          <w:shd w:val="clear" w:color="auto" w:fill="FFFFFF"/>
        </w:rPr>
        <w:t>The requirement of an independent felonious purpose applies to felony-murder special</w:t>
      </w:r>
      <w:r w:rsidR="00B148F1">
        <w:rPr>
          <w:szCs w:val="26"/>
          <w:shd w:val="clear" w:color="auto" w:fill="FFFFFF"/>
        </w:rPr>
        <w:t>-</w:t>
      </w:r>
      <w:r>
        <w:rPr>
          <w:szCs w:val="26"/>
          <w:shd w:val="clear" w:color="auto" w:fill="FFFFFF"/>
        </w:rPr>
        <w:t>circumstance</w:t>
      </w:r>
      <w:r w:rsidR="008C3883">
        <w:rPr>
          <w:szCs w:val="26"/>
          <w:shd w:val="clear" w:color="auto" w:fill="FFFFFF"/>
        </w:rPr>
        <w:t xml:space="preserve"> finding</w:t>
      </w:r>
      <w:r>
        <w:rPr>
          <w:szCs w:val="26"/>
          <w:shd w:val="clear" w:color="auto" w:fill="FFFFFF"/>
        </w:rPr>
        <w:t xml:space="preserve">s </w:t>
      </w:r>
      <w:r w:rsidR="008C3883">
        <w:rPr>
          <w:szCs w:val="26"/>
          <w:shd w:val="clear" w:color="auto" w:fill="FFFFFF"/>
        </w:rPr>
        <w:t xml:space="preserve">under section 190.2, subdivision (a)(17).  </w:t>
      </w:r>
      <w:r w:rsidR="00883BFB">
        <w:rPr>
          <w:szCs w:val="26"/>
          <w:shd w:val="clear" w:color="auto" w:fill="FFFFFF"/>
        </w:rPr>
        <w:t>(</w:t>
      </w:r>
      <w:r w:rsidR="00883BFB">
        <w:rPr>
          <w:i/>
          <w:szCs w:val="26"/>
          <w:shd w:val="clear" w:color="auto" w:fill="FFFFFF"/>
        </w:rPr>
        <w:t xml:space="preserve">People v. Coffman and Marlow </w:t>
      </w:r>
      <w:r w:rsidR="00883BFB">
        <w:rPr>
          <w:szCs w:val="26"/>
          <w:shd w:val="clear" w:color="auto" w:fill="FFFFFF"/>
        </w:rPr>
        <w:t xml:space="preserve">(2004) 34 Cal 4th 1, 87.)  </w:t>
      </w:r>
      <w:r w:rsidR="008C3883">
        <w:rPr>
          <w:szCs w:val="26"/>
          <w:shd w:val="clear" w:color="auto" w:fill="FFFFFF"/>
        </w:rPr>
        <w:t xml:space="preserve">This subdivision </w:t>
      </w:r>
      <w:r w:rsidR="00883BFB">
        <w:rPr>
          <w:szCs w:val="26"/>
          <w:shd w:val="clear" w:color="auto" w:fill="FFFFFF"/>
        </w:rPr>
        <w:t>authorizes</w:t>
      </w:r>
      <w:r w:rsidR="008C3883">
        <w:rPr>
          <w:szCs w:val="26"/>
          <w:shd w:val="clear" w:color="auto" w:fill="FFFFFF"/>
        </w:rPr>
        <w:t xml:space="preserve"> a special circumstance finding when the murder “was </w:t>
      </w:r>
      <w:r w:rsidR="00C01B06" w:rsidRPr="0037182D">
        <w:rPr>
          <w:szCs w:val="26"/>
          <w:shd w:val="clear" w:color="auto" w:fill="FFFFFF"/>
        </w:rPr>
        <w:t xml:space="preserve">committed while the defendant was engaged in </w:t>
      </w:r>
      <w:r w:rsidR="00C01B06">
        <w:rPr>
          <w:szCs w:val="26"/>
          <w:shd w:val="clear" w:color="auto" w:fill="FFFFFF"/>
        </w:rPr>
        <w:t>. . . the commission of [or]</w:t>
      </w:r>
      <w:r w:rsidR="00C01B06" w:rsidRPr="0037182D">
        <w:rPr>
          <w:szCs w:val="26"/>
          <w:shd w:val="clear" w:color="auto" w:fill="FFFFFF"/>
        </w:rPr>
        <w:t xml:space="preserve"> the attempted commission of</w:t>
      </w:r>
      <w:r w:rsidR="008C3883">
        <w:rPr>
          <w:szCs w:val="26"/>
          <w:shd w:val="clear" w:color="auto" w:fill="FFFFFF"/>
        </w:rPr>
        <w:t xml:space="preserve"> ” </w:t>
      </w:r>
      <w:r w:rsidR="00B148F1">
        <w:rPr>
          <w:szCs w:val="26"/>
          <w:shd w:val="clear" w:color="auto" w:fill="FFFFFF"/>
        </w:rPr>
        <w:t>various</w:t>
      </w:r>
      <w:r w:rsidR="008C3883">
        <w:rPr>
          <w:szCs w:val="26"/>
          <w:shd w:val="clear" w:color="auto" w:fill="FFFFFF"/>
        </w:rPr>
        <w:t xml:space="preserve"> </w:t>
      </w:r>
      <w:r w:rsidR="00A24DC9">
        <w:rPr>
          <w:szCs w:val="26"/>
          <w:shd w:val="clear" w:color="auto" w:fill="FFFFFF"/>
        </w:rPr>
        <w:t>other</w:t>
      </w:r>
      <w:r w:rsidR="00883BFB">
        <w:rPr>
          <w:szCs w:val="26"/>
          <w:shd w:val="clear" w:color="auto" w:fill="FFFFFF"/>
        </w:rPr>
        <w:t xml:space="preserve"> </w:t>
      </w:r>
      <w:r w:rsidR="008C3883">
        <w:rPr>
          <w:szCs w:val="26"/>
          <w:shd w:val="clear" w:color="auto" w:fill="FFFFFF"/>
        </w:rPr>
        <w:t>specified</w:t>
      </w:r>
      <w:r w:rsidR="00C01B06" w:rsidRPr="0037182D">
        <w:rPr>
          <w:szCs w:val="26"/>
          <w:shd w:val="clear" w:color="auto" w:fill="FFFFFF"/>
        </w:rPr>
        <w:t xml:space="preserve"> felonies</w:t>
      </w:r>
      <w:r w:rsidR="008C3883">
        <w:rPr>
          <w:szCs w:val="26"/>
          <w:shd w:val="clear" w:color="auto" w:fill="FFFFFF"/>
        </w:rPr>
        <w:t>.</w:t>
      </w:r>
      <w:r w:rsidR="00C01B06">
        <w:rPr>
          <w:szCs w:val="26"/>
          <w:shd w:val="clear" w:color="auto" w:fill="FFFFFF"/>
        </w:rPr>
        <w:t xml:space="preserve">  (</w:t>
      </w:r>
      <w:r w:rsidR="008C3883">
        <w:rPr>
          <w:szCs w:val="26"/>
          <w:shd w:val="clear" w:color="auto" w:fill="FFFFFF"/>
        </w:rPr>
        <w:t>§ 190.2, subd. (a)(17)</w:t>
      </w:r>
      <w:r w:rsidR="00883BFB">
        <w:rPr>
          <w:szCs w:val="26"/>
          <w:shd w:val="clear" w:color="auto" w:fill="FFFFFF"/>
        </w:rPr>
        <w:t>.)</w:t>
      </w:r>
      <w:r w:rsidR="00C01B06">
        <w:rPr>
          <w:szCs w:val="26"/>
          <w:shd w:val="clear" w:color="auto" w:fill="FFFFFF"/>
        </w:rPr>
        <w:t xml:space="preserve"> </w:t>
      </w:r>
      <w:r w:rsidR="00C01B06">
        <w:t xml:space="preserve"> </w:t>
      </w:r>
      <w:r>
        <w:t>Section 190.2 was enacted in response to United States Supreme Court decisions requiring that a jury’s discretion in imposing the death penalty be “suitably directed and limited so as to minimize the risk of wholly arbitrary and capricious action.”  (</w:t>
      </w:r>
      <w:r>
        <w:rPr>
          <w:i/>
        </w:rPr>
        <w:t xml:space="preserve">Gregg v. Georgia </w:t>
      </w:r>
      <w:r>
        <w:t xml:space="preserve">(1976) 428 U.S. 153, 189; </w:t>
      </w:r>
      <w:r>
        <w:rPr>
          <w:i/>
        </w:rPr>
        <w:t>Green</w:t>
      </w:r>
      <w:r w:rsidR="00A24DC9">
        <w:t xml:space="preserve">, </w:t>
      </w:r>
      <w:r w:rsidR="00A24DC9">
        <w:rPr>
          <w:i/>
        </w:rPr>
        <w:t>supra</w:t>
      </w:r>
      <w:r w:rsidR="00A24DC9">
        <w:t>,</w:t>
      </w:r>
      <w:r>
        <w:rPr>
          <w:i/>
        </w:rPr>
        <w:t xml:space="preserve"> </w:t>
      </w:r>
      <w:r>
        <w:t xml:space="preserve">27 Cal.3d </w:t>
      </w:r>
      <w:r w:rsidR="00A24DC9">
        <w:t>at p. 61</w:t>
      </w:r>
      <w:r>
        <w:t xml:space="preserve">.)  </w:t>
      </w:r>
      <w:r w:rsidR="008C3883">
        <w:t>With respect to the felony-murder special circumstance</w:t>
      </w:r>
      <w:r w:rsidR="00A13669">
        <w:t>s</w:t>
      </w:r>
      <w:r w:rsidR="008C3883">
        <w:t xml:space="preserve">, </w:t>
      </w:r>
      <w:r>
        <w:rPr>
          <w:i/>
        </w:rPr>
        <w:t>Green</w:t>
      </w:r>
      <w:r w:rsidR="00C01B06">
        <w:rPr>
          <w:i/>
        </w:rPr>
        <w:t xml:space="preserve"> </w:t>
      </w:r>
      <w:r w:rsidR="00C01B06">
        <w:t>explained that the Legislature found it appropriate for the jury to consider a penalty of death when a defendant “killed in cold blood in order to advance an independent felonious purpose.”  (</w:t>
      </w:r>
      <w:r w:rsidR="00C01B06">
        <w:rPr>
          <w:i/>
        </w:rPr>
        <w:t>Id</w:t>
      </w:r>
      <w:r w:rsidR="00C01B06">
        <w:t xml:space="preserve">., at p. 61.)  </w:t>
      </w:r>
      <w:r w:rsidR="00883BFB">
        <w:t>The Legislature’s goal</w:t>
      </w:r>
      <w:r w:rsidR="00C01B06">
        <w:t xml:space="preserve">, </w:t>
      </w:r>
      <w:r w:rsidR="00065D1A">
        <w:rPr>
          <w:i/>
        </w:rPr>
        <w:t xml:space="preserve">Green </w:t>
      </w:r>
      <w:r w:rsidR="00065D1A">
        <w:t>concluded</w:t>
      </w:r>
      <w:r w:rsidR="00C01B06">
        <w:t>, would not be achieved “</w:t>
      </w:r>
      <w:r w:rsidR="00C01B06" w:rsidRPr="00474BA4">
        <w:rPr>
          <w:szCs w:val="26"/>
          <w:shd w:val="clear" w:color="auto" w:fill="FFFFFF"/>
        </w:rPr>
        <w:t>when the defendant</w:t>
      </w:r>
      <w:r w:rsidR="00C01B06">
        <w:rPr>
          <w:szCs w:val="26"/>
          <w:shd w:val="clear" w:color="auto" w:fill="FFFFFF"/>
        </w:rPr>
        <w:t>’</w:t>
      </w:r>
      <w:r w:rsidR="00C01B06" w:rsidRPr="00474BA4">
        <w:rPr>
          <w:szCs w:val="26"/>
          <w:shd w:val="clear" w:color="auto" w:fill="FFFFFF"/>
        </w:rPr>
        <w:t xml:space="preserve">s intent is not to </w:t>
      </w:r>
      <w:r w:rsidR="00C01B06">
        <w:rPr>
          <w:szCs w:val="26"/>
          <w:shd w:val="clear" w:color="auto" w:fill="FFFFFF"/>
        </w:rPr>
        <w:t xml:space="preserve">[commit the predicate felony] </w:t>
      </w:r>
      <w:r w:rsidR="00C01B06" w:rsidRPr="00474BA4">
        <w:rPr>
          <w:szCs w:val="26"/>
          <w:shd w:val="clear" w:color="auto" w:fill="FFFFFF"/>
        </w:rPr>
        <w:t xml:space="preserve">but to kill and the </w:t>
      </w:r>
      <w:r w:rsidR="00C01B06">
        <w:rPr>
          <w:szCs w:val="26"/>
          <w:shd w:val="clear" w:color="auto" w:fill="FFFFFF"/>
        </w:rPr>
        <w:t>[predicate crime]</w:t>
      </w:r>
      <w:r w:rsidR="00C01B06" w:rsidRPr="00474BA4">
        <w:rPr>
          <w:szCs w:val="26"/>
          <w:shd w:val="clear" w:color="auto" w:fill="FFFFFF"/>
        </w:rPr>
        <w:t xml:space="preserve"> is merely incidental to the murder </w:t>
      </w:r>
      <w:r w:rsidR="00C01B06">
        <w:rPr>
          <w:szCs w:val="26"/>
          <w:shd w:val="clear" w:color="auto" w:fill="FFFFFF"/>
        </w:rPr>
        <w:t>. . .</w:t>
      </w:r>
      <w:r w:rsidR="00C01B06" w:rsidRPr="00474BA4">
        <w:rPr>
          <w:szCs w:val="26"/>
          <w:shd w:val="clear" w:color="auto" w:fill="FFFFFF"/>
        </w:rPr>
        <w:t xml:space="preserve"> because </w:t>
      </w:r>
      <w:r w:rsidR="00065D1A">
        <w:rPr>
          <w:szCs w:val="26"/>
          <w:shd w:val="clear" w:color="auto" w:fill="FFFFFF"/>
        </w:rPr>
        <w:t>[the predicate crime’s]</w:t>
      </w:r>
      <w:r w:rsidR="00C01B06" w:rsidRPr="00474BA4">
        <w:rPr>
          <w:szCs w:val="26"/>
          <w:shd w:val="clear" w:color="auto" w:fill="FFFFFF"/>
        </w:rPr>
        <w:t xml:space="preserve"> sole object is to facilitate or conceal the primary crime</w:t>
      </w:r>
      <w:r w:rsidR="00A24DC9">
        <w:rPr>
          <w:szCs w:val="26"/>
          <w:shd w:val="clear" w:color="auto" w:fill="FFFFFF"/>
        </w:rPr>
        <w:t>,”</w:t>
      </w:r>
      <w:r w:rsidR="00C01B06">
        <w:rPr>
          <w:szCs w:val="26"/>
          <w:shd w:val="clear" w:color="auto" w:fill="FFFFFF"/>
        </w:rPr>
        <w:t xml:space="preserve"> i.e., the murder</w:t>
      </w:r>
      <w:r w:rsidR="00C01B06" w:rsidRPr="00474BA4">
        <w:rPr>
          <w:szCs w:val="26"/>
          <w:shd w:val="clear" w:color="auto" w:fill="FFFFFF"/>
        </w:rPr>
        <w:t>.</w:t>
      </w:r>
      <w:r w:rsidR="00C01B06">
        <w:rPr>
          <w:szCs w:val="26"/>
          <w:shd w:val="clear" w:color="auto" w:fill="FFFFFF"/>
        </w:rPr>
        <w:t xml:space="preserve">  (</w:t>
      </w:r>
      <w:r w:rsidR="00C01B06">
        <w:rPr>
          <w:i/>
          <w:szCs w:val="26"/>
          <w:shd w:val="clear" w:color="auto" w:fill="FFFFFF"/>
        </w:rPr>
        <w:t>Ibid</w:t>
      </w:r>
      <w:r w:rsidR="00C01B06">
        <w:rPr>
          <w:szCs w:val="26"/>
          <w:shd w:val="clear" w:color="auto" w:fill="FFFFFF"/>
        </w:rPr>
        <w:t>.)</w:t>
      </w:r>
      <w:r w:rsidR="00C01B06">
        <w:t xml:space="preserve">  In the intervening years, these phrases from </w:t>
      </w:r>
      <w:r w:rsidR="00C01B06">
        <w:rPr>
          <w:i/>
        </w:rPr>
        <w:t>Green</w:t>
      </w:r>
      <w:r w:rsidR="00C01B06">
        <w:t>, “independent felonious purpose” and “merely incidental,”</w:t>
      </w:r>
      <w:r w:rsidR="00C01B06">
        <w:rPr>
          <w:i/>
        </w:rPr>
        <w:t xml:space="preserve"> </w:t>
      </w:r>
      <w:r w:rsidR="00C01B06">
        <w:t xml:space="preserve">have become talismanic, but they remain </w:t>
      </w:r>
      <w:r w:rsidR="001D6350">
        <w:t xml:space="preserve">useful </w:t>
      </w:r>
      <w:r w:rsidR="00C01B06">
        <w:t>concepts t</w:t>
      </w:r>
      <w:r w:rsidR="001D6350">
        <w:t>hat</w:t>
      </w:r>
      <w:r w:rsidR="00C01B06">
        <w:t xml:space="preserve"> give meaning to the statutory requirement that the murder occur</w:t>
      </w:r>
      <w:r w:rsidR="00883BFB">
        <w:t>red</w:t>
      </w:r>
      <w:r w:rsidR="00C01B06">
        <w:t xml:space="preserve"> “in the commission of” the predicate felony.  They are not separate and independent requirements for a felony-murder special circumstance.  (</w:t>
      </w:r>
      <w:r w:rsidR="00C01B06">
        <w:rPr>
          <w:i/>
        </w:rPr>
        <w:t>Brooks</w:t>
      </w:r>
      <w:r w:rsidR="00C01B06">
        <w:t xml:space="preserve">, </w:t>
      </w:r>
      <w:r w:rsidR="00C01B06">
        <w:rPr>
          <w:i/>
        </w:rPr>
        <w:t>supra</w:t>
      </w:r>
      <w:r w:rsidR="00C01B06">
        <w:t>, 3 Cal.5th at p. 117.)</w:t>
      </w:r>
    </w:p>
    <w:p w:rsidR="00065D1A" w:rsidRPr="00065D1A" w:rsidRDefault="00065D1A" w:rsidP="00C01B06">
      <w:pPr>
        <w:pStyle w:val="NormalIndent"/>
        <w:spacing w:line="480" w:lineRule="atLeast"/>
        <w:ind w:left="0" w:firstLine="720"/>
      </w:pPr>
      <w:r>
        <w:t xml:space="preserve">Although defendant raises this claim with respect to </w:t>
      </w:r>
      <w:r w:rsidR="00ED550C">
        <w:t>both</w:t>
      </w:r>
      <w:r w:rsidR="001D6350">
        <w:t xml:space="preserve"> the</w:t>
      </w:r>
      <w:r w:rsidR="00ED550C">
        <w:t xml:space="preserve"> </w:t>
      </w:r>
      <w:r>
        <w:t>torture-murder</w:t>
      </w:r>
      <w:r w:rsidR="00ED550C">
        <w:t xml:space="preserve"> and mayhem-murder</w:t>
      </w:r>
      <w:r w:rsidR="001D6350">
        <w:t xml:space="preserve"> special</w:t>
      </w:r>
      <w:r w:rsidR="00A24DC9">
        <w:t>-</w:t>
      </w:r>
      <w:r w:rsidR="001D6350">
        <w:t>circumstance findings</w:t>
      </w:r>
      <w:r>
        <w:t>, we have never required an independent felonious purpose to support a special</w:t>
      </w:r>
      <w:r w:rsidR="00A24DC9">
        <w:t>-</w:t>
      </w:r>
      <w:r>
        <w:t>circumstance finding f</w:t>
      </w:r>
      <w:r w:rsidR="001077FA">
        <w:t>or torture</w:t>
      </w:r>
      <w:r w:rsidR="00A24DC9">
        <w:t xml:space="preserve"> </w:t>
      </w:r>
      <w:r w:rsidR="001077FA">
        <w:t xml:space="preserve">murder.  </w:t>
      </w:r>
      <w:r w:rsidR="00F84E4A">
        <w:t>F</w:t>
      </w:r>
      <w:r>
        <w:t xml:space="preserve">rom its inception, </w:t>
      </w:r>
      <w:r w:rsidR="00F84E4A">
        <w:t xml:space="preserve">section 190.2 has </w:t>
      </w:r>
      <w:r>
        <w:t xml:space="preserve">codified </w:t>
      </w:r>
      <w:r w:rsidR="00883BFB">
        <w:t>the special circumstance for a</w:t>
      </w:r>
      <w:r>
        <w:t xml:space="preserve"> murder involving torture separately from </w:t>
      </w:r>
      <w:r w:rsidR="00F84E4A">
        <w:t>the felony-</w:t>
      </w:r>
      <w:r>
        <w:t xml:space="preserve">murder </w:t>
      </w:r>
      <w:r w:rsidR="00F84E4A">
        <w:t>special circumstance</w:t>
      </w:r>
      <w:r w:rsidR="00883BFB">
        <w:t>s</w:t>
      </w:r>
      <w:r>
        <w:t>.</w:t>
      </w:r>
      <w:r w:rsidR="00F84E4A">
        <w:t xml:space="preserve">  (See </w:t>
      </w:r>
      <w:r w:rsidR="00F84E4A">
        <w:rPr>
          <w:i/>
        </w:rPr>
        <w:t>Green</w:t>
      </w:r>
      <w:r w:rsidR="00F84E4A">
        <w:t xml:space="preserve">, </w:t>
      </w:r>
      <w:r w:rsidR="00F84E4A">
        <w:rPr>
          <w:i/>
        </w:rPr>
        <w:t>supra</w:t>
      </w:r>
      <w:r w:rsidR="00F84E4A">
        <w:t xml:space="preserve">, 27 Cal.3d at p. 49.) </w:t>
      </w:r>
      <w:r>
        <w:t xml:space="preserve"> </w:t>
      </w:r>
      <w:r w:rsidR="00ED550C">
        <w:t>At the time of defendant’s crimes, as today, t</w:t>
      </w:r>
      <w:r>
        <w:t xml:space="preserve">he felony-murder special circumstances </w:t>
      </w:r>
      <w:r w:rsidR="00ED550C">
        <w:t>we</w:t>
      </w:r>
      <w:r>
        <w:t>re codified in</w:t>
      </w:r>
      <w:r w:rsidR="001077FA">
        <w:t xml:space="preserve"> section 190.2,</w:t>
      </w:r>
      <w:r>
        <w:t xml:space="preserve"> subdivision (a)(17).  </w:t>
      </w:r>
      <w:r w:rsidR="001D6350">
        <w:t>A different subdivision defines the torture-murder special circumstance, permitting the finding when</w:t>
      </w:r>
      <w:r w:rsidR="001077FA">
        <w:t xml:space="preserve"> “[t]he murder was intentional and involved the infliction of torture.”</w:t>
      </w:r>
      <w:r w:rsidR="001D6350">
        <w:t xml:space="preserve">  (§ 190.2, subd. (a)(18).)</w:t>
      </w:r>
      <w:r w:rsidR="001077FA">
        <w:t xml:space="preserve">  Because subdivision (a)(18) lacks the requirement that the murder be committed while the defendant was “engaged in  . . .  the commission of” torture, the requirement of an independent felonious purpose, which </w:t>
      </w:r>
      <w:r w:rsidR="00F84E4A">
        <w:t>implements</w:t>
      </w:r>
      <w:r w:rsidR="001077FA">
        <w:t xml:space="preserve"> this language, does not apply</w:t>
      </w:r>
      <w:r w:rsidR="006E6EA3">
        <w:t xml:space="preserve"> to a torture-murder special circumstance</w:t>
      </w:r>
      <w:r w:rsidR="001077FA">
        <w:t>.  Defendant provides no reason for questioning this conclusion, which follows directly from the statutory language.</w:t>
      </w:r>
      <w:r w:rsidR="00EA65CA">
        <w:t xml:space="preserve">  H</w:t>
      </w:r>
      <w:r w:rsidR="00F84E4A">
        <w:t>is argument</w:t>
      </w:r>
      <w:r w:rsidR="00EA65CA">
        <w:t xml:space="preserve"> therefore pr</w:t>
      </w:r>
      <w:r w:rsidR="00F84E4A">
        <w:t>ovide</w:t>
      </w:r>
      <w:r w:rsidR="00EA65CA">
        <w:t>s no basis for challenging the sufficiency of the evidence to support the torture-murder special</w:t>
      </w:r>
      <w:r w:rsidR="00A24DC9">
        <w:t>-</w:t>
      </w:r>
      <w:r w:rsidR="00EA65CA">
        <w:t>circumstance</w:t>
      </w:r>
      <w:r w:rsidR="001D6350">
        <w:t xml:space="preserve"> finding</w:t>
      </w:r>
      <w:r w:rsidR="00EA65CA">
        <w:t>.</w:t>
      </w:r>
    </w:p>
    <w:p w:rsidR="00EA65CA" w:rsidRDefault="00074F4A" w:rsidP="00EA65CA">
      <w:pPr>
        <w:pStyle w:val="NormalIndent"/>
        <w:spacing w:line="480" w:lineRule="atLeast"/>
        <w:ind w:left="0" w:firstLine="720"/>
        <w:rPr>
          <w:szCs w:val="26"/>
        </w:rPr>
      </w:pPr>
      <w:r>
        <w:t xml:space="preserve">The jury </w:t>
      </w:r>
      <w:r w:rsidR="006E6EA3">
        <w:t xml:space="preserve">also </w:t>
      </w:r>
      <w:r>
        <w:t xml:space="preserve">found </w:t>
      </w:r>
      <w:r w:rsidR="001D6350">
        <w:t xml:space="preserve">true the </w:t>
      </w:r>
      <w:r>
        <w:t>mayhem</w:t>
      </w:r>
      <w:r w:rsidR="001D6350">
        <w:t>-murder special circumstance allegation</w:t>
      </w:r>
      <w:r>
        <w:t xml:space="preserve">, </w:t>
      </w:r>
      <w:r w:rsidR="00486E22">
        <w:t xml:space="preserve">which is </w:t>
      </w:r>
      <w:r w:rsidR="00D72275">
        <w:t>specified in</w:t>
      </w:r>
      <w:r w:rsidR="00A24DC9">
        <w:t xml:space="preserve"> Section 192,</w:t>
      </w:r>
      <w:r w:rsidR="00D72275">
        <w:t xml:space="preserve"> subdivision (a)(17)</w:t>
      </w:r>
      <w:r w:rsidR="00486E22">
        <w:t>.  Mayhem</w:t>
      </w:r>
      <w:r w:rsidR="00D72275">
        <w:t xml:space="preserve"> </w:t>
      </w:r>
      <w:r>
        <w:t>requires, in</w:t>
      </w:r>
      <w:r w:rsidR="00883BFB">
        <w:t xml:space="preserve"> very</w:t>
      </w:r>
      <w:r>
        <w:t xml:space="preserve"> general terms, the intentional infliction of a maiming or disfiguring injury.  (See </w:t>
      </w:r>
      <w:r>
        <w:rPr>
          <w:i/>
        </w:rPr>
        <w:t xml:space="preserve">People v. Santana </w:t>
      </w:r>
      <w:r>
        <w:t>(2013) 56 Cal.4th 999, 1004-1005; §</w:t>
      </w:r>
      <w:r w:rsidR="00883BFB">
        <w:t>§</w:t>
      </w:r>
      <w:r>
        <w:t xml:space="preserve"> 190.2, subd. (a)(17)(J)</w:t>
      </w:r>
      <w:r w:rsidR="00883BFB">
        <w:t>, 203</w:t>
      </w:r>
      <w:r>
        <w:t xml:space="preserve">.)  </w:t>
      </w:r>
      <w:r w:rsidR="00C01B06">
        <w:t xml:space="preserve">Defendant has not challenged the sufficiency of the evidence </w:t>
      </w:r>
      <w:r w:rsidR="00ED550C">
        <w:t>to support his conviction</w:t>
      </w:r>
      <w:r w:rsidR="001D6350">
        <w:t xml:space="preserve"> for the crime of mayhem</w:t>
      </w:r>
      <w:r>
        <w:t>, and we have no reason to question the jury’s conclusion that</w:t>
      </w:r>
      <w:r w:rsidR="0022526A">
        <w:t xml:space="preserve">, in the course of his assault, defendant </w:t>
      </w:r>
      <w:r w:rsidR="00352039">
        <w:t xml:space="preserve">intentionally </w:t>
      </w:r>
      <w:r w:rsidR="0022526A">
        <w:t xml:space="preserve">inflicted disfiguring injuries on </w:t>
      </w:r>
      <w:r w:rsidR="00C01B06">
        <w:t>Epperson.</w:t>
      </w:r>
      <w:r w:rsidR="006E6EA3">
        <w:rPr>
          <w:rStyle w:val="FootnoteReference"/>
        </w:rPr>
        <w:footnoteReference w:id="11"/>
      </w:r>
      <w:r w:rsidR="00C01B06">
        <w:t xml:space="preserve">  </w:t>
      </w:r>
      <w:r w:rsidR="00EA65CA">
        <w:rPr>
          <w:szCs w:val="26"/>
        </w:rPr>
        <w:t>In convicting defendant of the underlying crime of mayhem, the jury necessarily found that defendant possessed the</w:t>
      </w:r>
      <w:r w:rsidR="00883BFB">
        <w:rPr>
          <w:szCs w:val="26"/>
        </w:rPr>
        <w:t xml:space="preserve"> specific</w:t>
      </w:r>
      <w:r w:rsidR="00EA65CA">
        <w:rPr>
          <w:szCs w:val="26"/>
        </w:rPr>
        <w:t xml:space="preserve"> </w:t>
      </w:r>
      <w:r w:rsidR="00883BFB">
        <w:rPr>
          <w:szCs w:val="26"/>
        </w:rPr>
        <w:t>intent</w:t>
      </w:r>
      <w:r w:rsidR="00EA65CA">
        <w:rPr>
          <w:szCs w:val="26"/>
        </w:rPr>
        <w:t xml:space="preserve"> to disfigure Epperson, </w:t>
      </w:r>
      <w:r w:rsidR="00F84E4A">
        <w:rPr>
          <w:szCs w:val="26"/>
        </w:rPr>
        <w:t xml:space="preserve">which would have been </w:t>
      </w:r>
      <w:r w:rsidR="006E6EA3">
        <w:rPr>
          <w:szCs w:val="26"/>
        </w:rPr>
        <w:t xml:space="preserve">independent of any intent </w:t>
      </w:r>
      <w:r w:rsidR="00EA65CA">
        <w:rPr>
          <w:szCs w:val="26"/>
        </w:rPr>
        <w:t xml:space="preserve">to kill her.  </w:t>
      </w:r>
      <w:r w:rsidR="006E6EA3">
        <w:rPr>
          <w:szCs w:val="26"/>
        </w:rPr>
        <w:t xml:space="preserve">This independent purpose to disfigure provided </w:t>
      </w:r>
      <w:r w:rsidR="00EA65CA">
        <w:rPr>
          <w:szCs w:val="26"/>
        </w:rPr>
        <w:t>adequate evidentiary suppor</w:t>
      </w:r>
      <w:r w:rsidR="00A24DC9">
        <w:rPr>
          <w:szCs w:val="26"/>
        </w:rPr>
        <w:t>t for the mayhem-murder special-</w:t>
      </w:r>
      <w:r w:rsidR="00EA65CA">
        <w:rPr>
          <w:szCs w:val="26"/>
        </w:rPr>
        <w:t>circumstance finding.</w:t>
      </w:r>
    </w:p>
    <w:p w:rsidR="00486E22" w:rsidRDefault="00486E22" w:rsidP="00EA65CA">
      <w:pPr>
        <w:pStyle w:val="NormalIndent"/>
        <w:spacing w:line="480" w:lineRule="atLeast"/>
        <w:ind w:left="0" w:firstLine="720"/>
      </w:pPr>
      <w:r>
        <w:rPr>
          <w:szCs w:val="26"/>
        </w:rPr>
        <w:t>Defendant argues that he elected a particularly brutal method of murdering Epperson and his infliction of disfigurement upon her was an incidental consequence of his chosen manner of killing.  Whether defendant simply used a brutal means to kill Epperson, or whether his brutality was part of an independent design to commit mayhem, was a factual determination for the jury to make.  As discussed above, in convicting defendant of the underlying crime of mayhem, the jury necessarily found that defendant did possess that independent design.</w:t>
      </w:r>
    </w:p>
    <w:p w:rsidR="00B41A4A" w:rsidRPr="00486E22" w:rsidRDefault="0034581F" w:rsidP="00486E22">
      <w:pPr>
        <w:pStyle w:val="NormalIndent"/>
        <w:spacing w:line="480" w:lineRule="atLeast"/>
        <w:ind w:left="0" w:firstLine="720"/>
        <w:rPr>
          <w:szCs w:val="26"/>
          <w:shd w:val="clear" w:color="auto" w:fill="FFFFFF"/>
        </w:rPr>
      </w:pPr>
      <w:r>
        <w:t xml:space="preserve">According to </w:t>
      </w:r>
      <w:r w:rsidR="00047F4E">
        <w:t xml:space="preserve">Charles </w:t>
      </w:r>
      <w:r>
        <w:t xml:space="preserve">Vannoy, at some point during the beating defendant </w:t>
      </w:r>
      <w:r w:rsidR="009A1840">
        <w:t xml:space="preserve">admitted to </w:t>
      </w:r>
      <w:r>
        <w:t xml:space="preserve">Epperson </w:t>
      </w:r>
      <w:r w:rsidR="009A1840">
        <w:t xml:space="preserve">that </w:t>
      </w:r>
      <w:r>
        <w:t xml:space="preserve">he planned to kill her.  </w:t>
      </w:r>
      <w:r w:rsidR="001C3628">
        <w:t>W</w:t>
      </w:r>
      <w:r>
        <w:t xml:space="preserve">e have repeatedly held, </w:t>
      </w:r>
      <w:r w:rsidR="001C3628">
        <w:t xml:space="preserve">however, </w:t>
      </w:r>
      <w:r>
        <w:t>that a defendant</w:t>
      </w:r>
      <w:r w:rsidR="001C3628">
        <w:t>’s</w:t>
      </w:r>
      <w:r>
        <w:t xml:space="preserve"> possess</w:t>
      </w:r>
      <w:r w:rsidR="001C3628">
        <w:t>ion of</w:t>
      </w:r>
      <w:r>
        <w:t xml:space="preserve"> the intent to kill concurrently with the intent necessary to support </w:t>
      </w:r>
      <w:r w:rsidR="00352039">
        <w:t>a predicate</w:t>
      </w:r>
      <w:r>
        <w:t xml:space="preserve"> felony does not</w:t>
      </w:r>
      <w:r w:rsidR="001C3628">
        <w:t xml:space="preserve"> </w:t>
      </w:r>
      <w:r w:rsidR="009A1840">
        <w:t>n</w:t>
      </w:r>
      <w:r w:rsidR="001C3628">
        <w:t>e</w:t>
      </w:r>
      <w:r w:rsidR="009A1840">
        <w:t>cessarily</w:t>
      </w:r>
      <w:r>
        <w:t xml:space="preserve"> render commission of the </w:t>
      </w:r>
      <w:r w:rsidR="00352039">
        <w:t>predicate</w:t>
      </w:r>
      <w:r>
        <w:t xml:space="preserve"> felony incidental to the murder.  </w:t>
      </w:r>
      <w:r w:rsidR="009A1840">
        <w:t xml:space="preserve">As explained in </w:t>
      </w:r>
      <w:r>
        <w:rPr>
          <w:i/>
        </w:rPr>
        <w:t xml:space="preserve">People v. Castaneda </w:t>
      </w:r>
      <w:r>
        <w:t xml:space="preserve">(2011) 51 Cal.4th 1292, </w:t>
      </w:r>
      <w:r w:rsidRPr="004A2FA8">
        <w:rPr>
          <w:szCs w:val="26"/>
        </w:rPr>
        <w:t>“</w:t>
      </w:r>
      <w:r w:rsidRPr="004A2FA8">
        <w:rPr>
          <w:szCs w:val="26"/>
          <w:shd w:val="clear" w:color="auto" w:fill="FFFFFF"/>
        </w:rPr>
        <w:t> ‘</w:t>
      </w:r>
      <w:r w:rsidR="009A1840">
        <w:rPr>
          <w:szCs w:val="26"/>
          <w:shd w:val="clear" w:color="auto" w:fill="FFFFFF"/>
        </w:rPr>
        <w:t>a</w:t>
      </w:r>
      <w:r w:rsidRPr="004A2FA8">
        <w:rPr>
          <w:szCs w:val="26"/>
          <w:shd w:val="clear" w:color="auto" w:fill="FFFFFF"/>
        </w:rPr>
        <w:t xml:space="preserve"> jury deciding the truth of the special circumstance allegation is not required to assign a hierarchy to the defendant</w:t>
      </w:r>
      <w:r>
        <w:rPr>
          <w:szCs w:val="26"/>
          <w:shd w:val="clear" w:color="auto" w:fill="FFFFFF"/>
        </w:rPr>
        <w:t>’</w:t>
      </w:r>
      <w:r w:rsidRPr="004A2FA8">
        <w:rPr>
          <w:szCs w:val="26"/>
          <w:shd w:val="clear" w:color="auto" w:fill="FFFFFF"/>
        </w:rPr>
        <w:t>s motives in order to determine which of multiple </w:t>
      </w:r>
      <w:r>
        <w:rPr>
          <w:szCs w:val="26"/>
          <w:shd w:val="clear" w:color="auto" w:fill="FFFFFF"/>
        </w:rPr>
        <w:t>concurrent intents was “primary,”</w:t>
      </w:r>
      <w:r w:rsidRPr="004A2FA8">
        <w:rPr>
          <w:szCs w:val="26"/>
          <w:shd w:val="clear" w:color="auto" w:fill="FFFFFF"/>
        </w:rPr>
        <w:t xml:space="preserve"> but instead the jury need only determine whether commission of the underlying felony was or was not </w:t>
      </w:r>
      <w:r>
        <w:rPr>
          <w:szCs w:val="26"/>
          <w:shd w:val="clear" w:color="auto" w:fill="FFFFFF"/>
        </w:rPr>
        <w:t>merely incidental to the murder</w:t>
      </w:r>
      <w:r w:rsidR="009A1840">
        <w:rPr>
          <w:szCs w:val="26"/>
          <w:shd w:val="clear" w:color="auto" w:fill="FFFFFF"/>
        </w:rPr>
        <w:t>.</w:t>
      </w:r>
      <w:r>
        <w:rPr>
          <w:szCs w:val="26"/>
          <w:shd w:val="clear" w:color="auto" w:fill="FFFFFF"/>
        </w:rPr>
        <w:t xml:space="preserve">’ </w:t>
      </w:r>
      <w:r w:rsidRPr="004A2FA8">
        <w:rPr>
          <w:szCs w:val="26"/>
          <w:shd w:val="clear" w:color="auto" w:fill="FFFFFF"/>
        </w:rPr>
        <w:t>”</w:t>
      </w:r>
      <w:r w:rsidR="009A1840">
        <w:rPr>
          <w:szCs w:val="26"/>
          <w:shd w:val="clear" w:color="auto" w:fill="FFFFFF"/>
        </w:rPr>
        <w:t xml:space="preserve">  (</w:t>
      </w:r>
      <w:r w:rsidR="009A1840">
        <w:rPr>
          <w:i/>
          <w:szCs w:val="26"/>
          <w:shd w:val="clear" w:color="auto" w:fill="FFFFFF"/>
        </w:rPr>
        <w:t xml:space="preserve">Id., </w:t>
      </w:r>
      <w:r w:rsidR="009A1840">
        <w:rPr>
          <w:szCs w:val="26"/>
          <w:shd w:val="clear" w:color="auto" w:fill="FFFFFF"/>
        </w:rPr>
        <w:t xml:space="preserve">at pp. </w:t>
      </w:r>
      <w:r w:rsidR="009A1840">
        <w:t>1326-1327; see also,</w:t>
      </w:r>
      <w:r>
        <w:rPr>
          <w:szCs w:val="26"/>
          <w:shd w:val="clear" w:color="auto" w:fill="FFFFFF"/>
        </w:rPr>
        <w:t xml:space="preserve"> </w:t>
      </w:r>
      <w:r>
        <w:rPr>
          <w:i/>
          <w:szCs w:val="26"/>
          <w:shd w:val="clear" w:color="auto" w:fill="FFFFFF"/>
        </w:rPr>
        <w:t xml:space="preserve">People v. Davis </w:t>
      </w:r>
      <w:r>
        <w:rPr>
          <w:szCs w:val="26"/>
          <w:shd w:val="clear" w:color="auto" w:fill="FFFFFF"/>
        </w:rPr>
        <w:t>(2009) 46 Cal.4th 539, 609 [“</w:t>
      </w:r>
      <w:r w:rsidRPr="004A2FA8">
        <w:rPr>
          <w:szCs w:val="26"/>
          <w:shd w:val="clear" w:color="auto" w:fill="FFFFFF"/>
        </w:rPr>
        <w:t>even if a defendant harbored the intent to kill at the outset, a</w:t>
      </w:r>
      <w:r>
        <w:rPr>
          <w:szCs w:val="26"/>
          <w:shd w:val="clear" w:color="auto" w:fill="FFFFFF"/>
        </w:rPr>
        <w:t xml:space="preserve"> concurrent</w:t>
      </w:r>
      <w:r w:rsidRPr="004A2FA8">
        <w:rPr>
          <w:szCs w:val="26"/>
          <w:shd w:val="clear" w:color="auto" w:fill="FFFFFF"/>
        </w:rPr>
        <w:t> intent to commit an eligible felony will support the special circumstance allegation</w:t>
      </w:r>
      <w:r w:rsidR="00486E22">
        <w:rPr>
          <w:szCs w:val="26"/>
          <w:shd w:val="clear" w:color="auto" w:fill="FFFFFF"/>
        </w:rPr>
        <w:t xml:space="preserve">”].)  </w:t>
      </w:r>
      <w:r w:rsidR="009A1840">
        <w:rPr>
          <w:szCs w:val="26"/>
          <w:shd w:val="clear" w:color="auto" w:fill="FFFFFF"/>
        </w:rPr>
        <w:t xml:space="preserve">Evidence that defendant intended to </w:t>
      </w:r>
      <w:r w:rsidR="001C3628">
        <w:t xml:space="preserve">kill Epperson at the time he committed mayhem did not preclude the jury from finding </w:t>
      </w:r>
      <w:r w:rsidR="009A1840">
        <w:t xml:space="preserve">true </w:t>
      </w:r>
      <w:r w:rsidR="00A24DC9">
        <w:t>the mayhem-murder special-</w:t>
      </w:r>
      <w:r w:rsidR="001C3628">
        <w:t>circumstance</w:t>
      </w:r>
      <w:r w:rsidR="009A1840">
        <w:t xml:space="preserve"> allegation</w:t>
      </w:r>
      <w:r w:rsidR="001C3628">
        <w:t>.</w:t>
      </w:r>
    </w:p>
    <w:p w:rsidR="00776D75" w:rsidRDefault="00B41A4A" w:rsidP="00B41A4A">
      <w:pPr>
        <w:pStyle w:val="Heading2"/>
      </w:pPr>
      <w:bookmarkStart w:id="24" w:name="_Toc508625884"/>
      <w:bookmarkEnd w:id="23"/>
      <w:r>
        <w:t xml:space="preserve">B.  </w:t>
      </w:r>
      <w:r w:rsidR="00776D75">
        <w:t>Sufficiency of the Evidence Support</w:t>
      </w:r>
      <w:r w:rsidR="00720873">
        <w:t xml:space="preserve">ing the Jury’s Verdict at the </w:t>
      </w:r>
      <w:r w:rsidR="00CB45D4">
        <w:t>Sanity</w:t>
      </w:r>
      <w:r w:rsidR="00720873">
        <w:t xml:space="preserve"> Trial</w:t>
      </w:r>
      <w:r w:rsidR="00776D75">
        <w:t>.</w:t>
      </w:r>
      <w:bookmarkEnd w:id="24"/>
    </w:p>
    <w:p w:rsidR="00C81151" w:rsidRDefault="00776D75" w:rsidP="0034581F">
      <w:pPr>
        <w:pStyle w:val="NormalIndent"/>
        <w:spacing w:line="480" w:lineRule="atLeast"/>
        <w:ind w:left="0" w:firstLine="720"/>
      </w:pPr>
      <w:r>
        <w:t xml:space="preserve">Defendant contends the jury’s finding that he was sane at the time of the killing must be reversed because “the evidence of insanity was of such weight and quality that a jury could not reasonably reject it.” </w:t>
      </w:r>
    </w:p>
    <w:p w:rsidR="00433741" w:rsidRDefault="00433741" w:rsidP="0034581F">
      <w:pPr>
        <w:pStyle w:val="NormalIndent"/>
        <w:spacing w:line="480" w:lineRule="atLeast"/>
        <w:ind w:left="0" w:firstLine="720"/>
      </w:pPr>
      <w:r>
        <w:t xml:space="preserve">“Under California’s statutory scheme, ‘[p]ersons who are mentally incapacitated’ are deemed unable to commit a crime as a matter of law.  (§ 26, par. </w:t>
      </w:r>
      <w:r w:rsidR="00A24DC9">
        <w:t>[</w:t>
      </w:r>
      <w:r w:rsidR="00B41A4A">
        <w:t>2</w:t>
      </w:r>
      <w:r w:rsidR="00A24DC9">
        <w:t>]</w:t>
      </w:r>
      <w:r>
        <w:t xml:space="preserve">.)  Mental </w:t>
      </w:r>
      <w:r>
        <w:rPr>
          <w:rStyle w:val="term"/>
        </w:rPr>
        <w:t>incapacity</w:t>
      </w:r>
      <w:r>
        <w:t xml:space="preserve"> under section 26 is determined by the </w:t>
      </w:r>
      <w:r>
        <w:rPr>
          <w:i/>
          <w:iCs/>
        </w:rPr>
        <w:t>M’Naghten</w:t>
      </w:r>
      <w:r>
        <w:t xml:space="preserve"> test for legal insanity </w:t>
      </w:r>
      <w:r w:rsidR="00A24DC9">
        <w:t>provid</w:t>
      </w:r>
      <w:r w:rsidR="00F644FC">
        <w:t>e</w:t>
      </w:r>
      <w:r>
        <w:t>d in section 25, subdivision (b).  (</w:t>
      </w:r>
      <w:r w:rsidR="00B41A4A">
        <w:rPr>
          <w:i/>
          <w:iCs/>
        </w:rPr>
        <w:t>M’</w:t>
      </w:r>
      <w:r>
        <w:rPr>
          <w:i/>
          <w:iCs/>
        </w:rPr>
        <w:t>Naghten</w:t>
      </w:r>
      <w:r w:rsidR="00DE0AAD">
        <w:rPr>
          <w:i/>
          <w:iCs/>
        </w:rPr>
        <w:t>’</w:t>
      </w:r>
      <w:r>
        <w:rPr>
          <w:i/>
          <w:iCs/>
        </w:rPr>
        <w:t>s Case</w:t>
      </w:r>
      <w:r>
        <w:t xml:space="preserve"> (1843) 8 Eng.Rep. 718, 722; </w:t>
      </w:r>
      <w:r>
        <w:rPr>
          <w:i/>
        </w:rPr>
        <w:t xml:space="preserve">People v. Phillips </w:t>
      </w:r>
      <w:r>
        <w:t xml:space="preserve">(2000) 83 Cal.App.4th 170, 173; see Stats. 2007, ch. 31, § 5, pp. 138–139.) </w:t>
      </w:r>
      <w:r w:rsidR="00EF3536">
        <w:t xml:space="preserve"> </w:t>
      </w:r>
      <w:r>
        <w:t xml:space="preserve">Under </w:t>
      </w:r>
      <w:r w:rsidR="00B41A4A">
        <w:rPr>
          <w:i/>
          <w:iCs/>
        </w:rPr>
        <w:t>M’</w:t>
      </w:r>
      <w:r>
        <w:rPr>
          <w:i/>
          <w:iCs/>
        </w:rPr>
        <w:t>Naghten</w:t>
      </w:r>
      <w:r>
        <w:t>, insanity is established if the defendant was unable either to understand the nature and quality of the criminal act</w:t>
      </w:r>
      <w:r w:rsidR="00A24DC9">
        <w:t>,</w:t>
      </w:r>
      <w:r>
        <w:t xml:space="preserve"> or to distinguish right from wrong when the act was committed.</w:t>
      </w:r>
      <w:r w:rsidR="00A24DC9">
        <w:t>”</w:t>
      </w:r>
      <w:r>
        <w:rPr>
          <w:rStyle w:val="FootnoteReference"/>
        </w:rPr>
        <w:footnoteReference w:id="12"/>
      </w:r>
      <w:r w:rsidR="00A24DC9">
        <w:t xml:space="preserve">  (</w:t>
      </w:r>
      <w:r w:rsidR="00A24DC9">
        <w:rPr>
          <w:i/>
        </w:rPr>
        <w:t xml:space="preserve">People v. Elmore </w:t>
      </w:r>
      <w:r w:rsidR="00A24DC9">
        <w:t>(2014) 59 Cal.4th 121, 140.)</w:t>
      </w:r>
    </w:p>
    <w:p w:rsidR="00B41A4A" w:rsidRDefault="00DE0AAD" w:rsidP="00B41A4A">
      <w:pPr>
        <w:pStyle w:val="NormalIndent"/>
        <w:spacing w:line="480" w:lineRule="atLeast"/>
        <w:ind w:left="0" w:firstLine="720"/>
      </w:pPr>
      <w:r>
        <w:t xml:space="preserve">In a sanity trial, the burden is on the defendant to prove insanity </w:t>
      </w:r>
      <w:r>
        <w:rPr>
          <w:iCs/>
        </w:rPr>
        <w:t>by a preponderance of the evidence.  (</w:t>
      </w:r>
      <w:r>
        <w:t xml:space="preserve">§ 25, subd. (b); </w:t>
      </w:r>
      <w:r>
        <w:rPr>
          <w:i/>
        </w:rPr>
        <w:t xml:space="preserve">People v. Hernandez </w:t>
      </w:r>
      <w:r>
        <w:t xml:space="preserve">(2000) 22 Cal.4th 512, 521.)  A defendant “may </w:t>
      </w:r>
      <w:r>
        <w:rPr>
          <w:rStyle w:val="term"/>
        </w:rPr>
        <w:t>suffer</w:t>
      </w:r>
      <w:r>
        <w:t xml:space="preserve"> from a diagnosable mental illness without being legally insane under the </w:t>
      </w:r>
      <w:r w:rsidR="00B41A4A">
        <w:rPr>
          <w:i/>
          <w:iCs/>
        </w:rPr>
        <w:t>M’</w:t>
      </w:r>
      <w:r>
        <w:rPr>
          <w:i/>
          <w:iCs/>
        </w:rPr>
        <w:t>Naghten</w:t>
      </w:r>
      <w:r>
        <w:t xml:space="preserve"> standard.”  (</w:t>
      </w:r>
      <w:r>
        <w:rPr>
          <w:i/>
        </w:rPr>
        <w:t xml:space="preserve">People v. Mills </w:t>
      </w:r>
      <w:r>
        <w:t>(</w:t>
      </w:r>
      <w:r w:rsidR="00D318D1">
        <w:t>2012) 55 Cal.4th 663, 672.)</w:t>
      </w:r>
    </w:p>
    <w:p w:rsidR="00C81151" w:rsidRDefault="00B41A4A" w:rsidP="00B41A4A">
      <w:pPr>
        <w:pStyle w:val="Heading3"/>
      </w:pPr>
      <w:bookmarkStart w:id="25" w:name="_Toc508625885"/>
      <w:r>
        <w:t xml:space="preserve">1.  </w:t>
      </w:r>
      <w:r w:rsidR="00C64777">
        <w:t xml:space="preserve">A finding of sanity is subject to the substantial evidence standard </w:t>
      </w:r>
      <w:r w:rsidR="00C81151">
        <w:t xml:space="preserve">of </w:t>
      </w:r>
      <w:r w:rsidR="00C64777">
        <w:t>r</w:t>
      </w:r>
      <w:r w:rsidR="00C81151">
        <w:t>eview</w:t>
      </w:r>
      <w:bookmarkEnd w:id="25"/>
    </w:p>
    <w:p w:rsidR="000E3F3A" w:rsidRDefault="00D318D1" w:rsidP="00776D75">
      <w:pPr>
        <w:pStyle w:val="NormalIndent"/>
        <w:spacing w:line="480" w:lineRule="atLeast"/>
        <w:ind w:left="0" w:firstLine="720"/>
      </w:pPr>
      <w:r>
        <w:t xml:space="preserve">Before we address defendant’s sufficiency of the evidence argument on its merits, it is necessary to settle the standard of review.  Defendant’s argument, that the jury’s sanity determination must be reversed because the expert evidence he presented “was of such weight and quality that a jury could not reasonably reject it,” is based on a misreading of </w:t>
      </w:r>
      <w:r>
        <w:rPr>
          <w:i/>
        </w:rPr>
        <w:t xml:space="preserve">People v. Drew </w:t>
      </w:r>
      <w:r>
        <w:t>(1978) 22 Cal.3d 333 (</w:t>
      </w:r>
      <w:r>
        <w:rPr>
          <w:i/>
        </w:rPr>
        <w:t>Drew</w:t>
      </w:r>
      <w:r>
        <w:t xml:space="preserve">).  In that case, we adopted an alternative to the </w:t>
      </w:r>
      <w:r>
        <w:rPr>
          <w:i/>
          <w:iCs/>
        </w:rPr>
        <w:t>M</w:t>
      </w:r>
      <w:r w:rsidR="00A24DC9">
        <w:rPr>
          <w:i/>
          <w:iCs/>
        </w:rPr>
        <w:t>’</w:t>
      </w:r>
      <w:r>
        <w:rPr>
          <w:i/>
          <w:iCs/>
        </w:rPr>
        <w:t xml:space="preserve">Naghten </w:t>
      </w:r>
      <w:r>
        <w:rPr>
          <w:iCs/>
        </w:rPr>
        <w:t xml:space="preserve">sanity test, a </w:t>
      </w:r>
      <w:r w:rsidR="000D49A7">
        <w:rPr>
          <w:iCs/>
        </w:rPr>
        <w:t>decision</w:t>
      </w:r>
      <w:r>
        <w:rPr>
          <w:iCs/>
        </w:rPr>
        <w:t xml:space="preserve"> that was </w:t>
      </w:r>
      <w:r w:rsidR="00691164">
        <w:rPr>
          <w:iCs/>
        </w:rPr>
        <w:t>subsequent</w:t>
      </w:r>
      <w:r w:rsidR="000D49A7">
        <w:rPr>
          <w:iCs/>
        </w:rPr>
        <w:t xml:space="preserve">ly </w:t>
      </w:r>
      <w:r w:rsidR="009A1840">
        <w:rPr>
          <w:iCs/>
        </w:rPr>
        <w:t>abrogat</w:t>
      </w:r>
      <w:r>
        <w:rPr>
          <w:iCs/>
        </w:rPr>
        <w:t>ed by the electorate with the 1982 passage of Proposition 8</w:t>
      </w:r>
      <w:r w:rsidR="000D49A7">
        <w:rPr>
          <w:iCs/>
        </w:rPr>
        <w:t xml:space="preserve">, which re-adopted the </w:t>
      </w:r>
      <w:r w:rsidR="00A24DC9">
        <w:rPr>
          <w:i/>
          <w:iCs/>
        </w:rPr>
        <w:t>M’</w:t>
      </w:r>
      <w:r w:rsidR="000D49A7">
        <w:rPr>
          <w:i/>
          <w:iCs/>
        </w:rPr>
        <w:t xml:space="preserve">Naghten </w:t>
      </w:r>
      <w:r w:rsidR="000D49A7">
        <w:rPr>
          <w:iCs/>
        </w:rPr>
        <w:t>test</w:t>
      </w:r>
      <w:r>
        <w:rPr>
          <w:iCs/>
        </w:rPr>
        <w:t xml:space="preserve">.  (See </w:t>
      </w:r>
      <w:r>
        <w:rPr>
          <w:i/>
          <w:iCs/>
        </w:rPr>
        <w:t xml:space="preserve">People v. Skinner </w:t>
      </w:r>
      <w:r>
        <w:rPr>
          <w:iCs/>
        </w:rPr>
        <w:t xml:space="preserve">(1985) 39 Cal.3d 765, 768-769.)  </w:t>
      </w:r>
      <w:r w:rsidR="000D49A7">
        <w:rPr>
          <w:iCs/>
        </w:rPr>
        <w:t xml:space="preserve">In changing the </w:t>
      </w:r>
      <w:r>
        <w:rPr>
          <w:iCs/>
        </w:rPr>
        <w:t xml:space="preserve">sanity test in </w:t>
      </w:r>
      <w:r>
        <w:rPr>
          <w:i/>
          <w:iCs/>
        </w:rPr>
        <w:t>Drew</w:t>
      </w:r>
      <w:r>
        <w:rPr>
          <w:iCs/>
        </w:rPr>
        <w:t>, we</w:t>
      </w:r>
      <w:r w:rsidR="000D49A7">
        <w:rPr>
          <w:iCs/>
        </w:rPr>
        <w:t xml:space="preserve"> also</w:t>
      </w:r>
      <w:r>
        <w:rPr>
          <w:iCs/>
        </w:rPr>
        <w:t xml:space="preserve"> recognized that the defendant was entitled to review of the jury’s finding that he was sane under </w:t>
      </w:r>
      <w:r w:rsidR="000D49A7">
        <w:rPr>
          <w:iCs/>
        </w:rPr>
        <w:t>the</w:t>
      </w:r>
      <w:r w:rsidR="000D49A7">
        <w:rPr>
          <w:i/>
          <w:iCs/>
        </w:rPr>
        <w:t xml:space="preserve"> </w:t>
      </w:r>
      <w:r w:rsidR="00A24DC9">
        <w:rPr>
          <w:i/>
          <w:iCs/>
        </w:rPr>
        <w:t>M’</w:t>
      </w:r>
      <w:r>
        <w:rPr>
          <w:i/>
          <w:iCs/>
        </w:rPr>
        <w:t xml:space="preserve">Naghten </w:t>
      </w:r>
      <w:r>
        <w:rPr>
          <w:iCs/>
        </w:rPr>
        <w:t>standard</w:t>
      </w:r>
      <w:r w:rsidR="000D49A7">
        <w:rPr>
          <w:iCs/>
        </w:rPr>
        <w:t>, the standard prevailing at the time</w:t>
      </w:r>
      <w:r>
        <w:rPr>
          <w:iCs/>
        </w:rPr>
        <w:t xml:space="preserve">.  </w:t>
      </w:r>
      <w:r w:rsidR="006B0F5A">
        <w:rPr>
          <w:iCs/>
        </w:rPr>
        <w:t>(</w:t>
      </w:r>
      <w:r w:rsidR="005A1D5D">
        <w:rPr>
          <w:i/>
          <w:iCs/>
        </w:rPr>
        <w:t>Drew</w:t>
      </w:r>
      <w:r w:rsidR="006B0F5A">
        <w:rPr>
          <w:iCs/>
        </w:rPr>
        <w:t>, at p. 349.)  As we noted, “</w:t>
      </w:r>
      <w:r w:rsidR="006B0F5A">
        <w:t>Defendant Drew argues that even under the M</w:t>
      </w:r>
      <w:r w:rsidR="005A1D5D">
        <w:t>’</w:t>
      </w:r>
      <w:r w:rsidR="006B0F5A">
        <w:t xml:space="preserve">Naghten test the jury’s finding of </w:t>
      </w:r>
      <w:r w:rsidR="006B0F5A">
        <w:rPr>
          <w:rStyle w:val="term"/>
        </w:rPr>
        <w:t>sanity</w:t>
      </w:r>
      <w:r w:rsidR="006B0F5A">
        <w:t xml:space="preserve"> is not supported by substantial evidence.  If Drew should prevail in this contention, he would be entitled to an order directing the trial court to find him insane, thus avoiding a retrial of the case” under the new</w:t>
      </w:r>
      <w:r w:rsidR="000D49A7">
        <w:t>ly adopted</w:t>
      </w:r>
      <w:r w:rsidR="006B0F5A">
        <w:t xml:space="preserve"> test.  (</w:t>
      </w:r>
      <w:r w:rsidR="006B0F5A">
        <w:rPr>
          <w:i/>
        </w:rPr>
        <w:t>Ibid</w:t>
      </w:r>
      <w:r w:rsidR="006B0F5A">
        <w:t xml:space="preserve">.)  In undertaking a review of the jury’s finding, we confirmed, quoting </w:t>
      </w:r>
      <w:r w:rsidR="006B0F5A">
        <w:rPr>
          <w:i/>
        </w:rPr>
        <w:t xml:space="preserve">People v. Wolff </w:t>
      </w:r>
      <w:r w:rsidR="006B0F5A">
        <w:t>(1964) 61 Cal.2d 795, 804, that the applicable standard of review was substantial evidence.  (</w:t>
      </w:r>
      <w:r w:rsidR="006B0F5A">
        <w:rPr>
          <w:i/>
        </w:rPr>
        <w:t>Drew</w:t>
      </w:r>
      <w:r w:rsidR="000D49A7">
        <w:t>, at p. 350.)</w:t>
      </w:r>
    </w:p>
    <w:p w:rsidR="000E3F3A" w:rsidRDefault="000E3F3A" w:rsidP="000E3F3A">
      <w:pPr>
        <w:pStyle w:val="NormalIndent"/>
        <w:spacing w:line="480" w:lineRule="atLeast"/>
        <w:ind w:left="0" w:firstLine="720"/>
      </w:pPr>
      <w:r>
        <w:t>T</w:t>
      </w:r>
      <w:r w:rsidR="006B0F5A">
        <w:t>he only evidence introduced at the sanity trial</w:t>
      </w:r>
      <w:r>
        <w:t xml:space="preserve"> of </w:t>
      </w:r>
      <w:r>
        <w:rPr>
          <w:i/>
        </w:rPr>
        <w:t>Drew</w:t>
      </w:r>
      <w:r w:rsidR="006B0F5A">
        <w:t xml:space="preserve"> was the testimony of two court-appointed psychiatrists, both of whom </w:t>
      </w:r>
      <w:r>
        <w:t xml:space="preserve">opined that defendant was insane under </w:t>
      </w:r>
      <w:r>
        <w:rPr>
          <w:i/>
        </w:rPr>
        <w:t>M’Naghten</w:t>
      </w:r>
      <w:r>
        <w:t>.  The prosecution presented no evidence at all.  (</w:t>
      </w:r>
      <w:r>
        <w:rPr>
          <w:i/>
        </w:rPr>
        <w:t>Drew</w:t>
      </w:r>
      <w:r>
        <w:t xml:space="preserve">, </w:t>
      </w:r>
      <w:r w:rsidR="005A1D5D">
        <w:rPr>
          <w:i/>
        </w:rPr>
        <w:t>supra</w:t>
      </w:r>
      <w:r w:rsidR="005A1D5D">
        <w:t>,</w:t>
      </w:r>
      <w:r w:rsidR="005A1D5D">
        <w:rPr>
          <w:i/>
        </w:rPr>
        <w:t xml:space="preserve"> </w:t>
      </w:r>
      <w:r w:rsidR="005A1D5D">
        <w:t xml:space="preserve">22 Cal.3d </w:t>
      </w:r>
      <w:r>
        <w:t>at pp. 338-339, 350.)  In arguing for reversal of the finding of sanity, the defendant relied on the unchallenged unanimity of expert opinion.  We explained, however, that a finding of sanity could be upheld</w:t>
      </w:r>
      <w:r w:rsidR="00691164">
        <w:t xml:space="preserve"> even</w:t>
      </w:r>
      <w:r>
        <w:t xml:space="preserve"> “in the face of </w:t>
      </w:r>
      <w:r w:rsidR="005A1D5D">
        <w:t xml:space="preserve">contrary </w:t>
      </w:r>
      <w:r>
        <w:t>unanimous expert opinion.”  (</w:t>
      </w:r>
      <w:r>
        <w:rPr>
          <w:i/>
        </w:rPr>
        <w:t>Id</w:t>
      </w:r>
      <w:r>
        <w:t xml:space="preserve">., at p. 350.)  </w:t>
      </w:r>
      <w:r w:rsidR="00CF5152">
        <w:t>Because the defendant has the burden of proof, “if neither party presents credible evidence on that issue the jury must find him sane.”  (</w:t>
      </w:r>
      <w:r w:rsidR="00CF5152">
        <w:rPr>
          <w:i/>
        </w:rPr>
        <w:t>Id.</w:t>
      </w:r>
      <w:r w:rsidR="00CF5152">
        <w:t xml:space="preserve">, at p. 351.)  </w:t>
      </w:r>
      <w:r w:rsidR="00F644FC">
        <w:t xml:space="preserve">When </w:t>
      </w:r>
      <w:r w:rsidR="000D49A7">
        <w:t>no affirmative evidence of sanity</w:t>
      </w:r>
      <w:r w:rsidR="00F644FC">
        <w:t xml:space="preserve"> has been presented</w:t>
      </w:r>
      <w:r w:rsidR="00CF5152">
        <w:t>, we held, “the question on appeal is not so much the substantiality of the evidence favoring the jury’s finding as whether the evidence contrary to that finding</w:t>
      </w:r>
      <w:r w:rsidR="000D49A7">
        <w:t xml:space="preserve"> [i.e., the unanimous expert opinions]</w:t>
      </w:r>
      <w:r w:rsidR="00CF5152">
        <w:t xml:space="preserve"> is of such weight and character that the jury could not reasonably reject it.”  (</w:t>
      </w:r>
      <w:r w:rsidR="00CF5152">
        <w:rPr>
          <w:i/>
        </w:rPr>
        <w:t>Id.</w:t>
      </w:r>
      <w:r w:rsidR="00CF5152">
        <w:t xml:space="preserve">, at p. 351.)  </w:t>
      </w:r>
      <w:r w:rsidR="000D49A7">
        <w:t xml:space="preserve">For reasons the decision explained, the value of </w:t>
      </w:r>
      <w:r w:rsidR="00C32218">
        <w:t>both</w:t>
      </w:r>
      <w:r w:rsidR="000D49A7">
        <w:t xml:space="preserve"> experts’ evaluations could be questioned</w:t>
      </w:r>
      <w:r w:rsidR="00C32218">
        <w:t xml:space="preserve">, permitting the jury to reasonably </w:t>
      </w:r>
      <w:r w:rsidR="00CF5152">
        <w:t>reject both</w:t>
      </w:r>
      <w:r w:rsidR="00C32218">
        <w:t>.  Accordingly</w:t>
      </w:r>
      <w:r w:rsidR="00CF5152">
        <w:t xml:space="preserve">, </w:t>
      </w:r>
      <w:r w:rsidR="00CF5152">
        <w:rPr>
          <w:i/>
        </w:rPr>
        <w:t xml:space="preserve">Drew </w:t>
      </w:r>
      <w:r w:rsidR="00CF5152">
        <w:t>affirmed the finding of sanity.  (</w:t>
      </w:r>
      <w:r w:rsidR="00CF5152">
        <w:rPr>
          <w:i/>
        </w:rPr>
        <w:t>Ibid.</w:t>
      </w:r>
      <w:r w:rsidR="00CF5152">
        <w:t>)</w:t>
      </w:r>
    </w:p>
    <w:p w:rsidR="00CF5152" w:rsidRDefault="00CF5152" w:rsidP="000E3F3A">
      <w:pPr>
        <w:pStyle w:val="NormalIndent"/>
        <w:spacing w:line="480" w:lineRule="atLeast"/>
        <w:ind w:left="0" w:firstLine="720"/>
      </w:pPr>
      <w:r>
        <w:t xml:space="preserve">As the foregoing suggests, the </w:t>
      </w:r>
      <w:r>
        <w:rPr>
          <w:i/>
        </w:rPr>
        <w:t xml:space="preserve">Drew </w:t>
      </w:r>
      <w:r>
        <w:t xml:space="preserve">standard, focusing the substantial evidence inquiry on the “weight and character” of </w:t>
      </w:r>
      <w:r w:rsidR="00C32218">
        <w:t xml:space="preserve">the </w:t>
      </w:r>
      <w:r>
        <w:t>expert opinion</w:t>
      </w:r>
      <w:r w:rsidR="00C32218">
        <w:t>s of insanity</w:t>
      </w:r>
      <w:r w:rsidR="00AD465C">
        <w:t>,</w:t>
      </w:r>
      <w:r>
        <w:t xml:space="preserve"> arose in the context of a sanity trial in which the expert evidence of insanity was uncontested, and we have applied </w:t>
      </w:r>
      <w:r w:rsidR="00B10137">
        <w:rPr>
          <w:i/>
        </w:rPr>
        <w:t>Drew</w:t>
      </w:r>
      <w:r w:rsidR="00B10137">
        <w:t>’s articulation of the</w:t>
      </w:r>
      <w:r w:rsidR="00B10137">
        <w:rPr>
          <w:i/>
        </w:rPr>
        <w:t xml:space="preserve"> </w:t>
      </w:r>
      <w:r>
        <w:t xml:space="preserve">standard only in that </w:t>
      </w:r>
      <w:r w:rsidR="00D27822">
        <w:t xml:space="preserve">specific </w:t>
      </w:r>
      <w:r>
        <w:t xml:space="preserve">context.  Most recently, in </w:t>
      </w:r>
      <w:r>
        <w:rPr>
          <w:i/>
        </w:rPr>
        <w:t xml:space="preserve">In re R.V. </w:t>
      </w:r>
      <w:r>
        <w:t>(2015) 61 Cal.4th 181, we were required to determine the standard of review f</w:t>
      </w:r>
      <w:r w:rsidR="00AD465C">
        <w:t>or</w:t>
      </w:r>
      <w:r>
        <w:t xml:space="preserve"> a finding</w:t>
      </w:r>
      <w:r w:rsidR="00AD465C">
        <w:t xml:space="preserve"> of </w:t>
      </w:r>
      <w:r w:rsidR="003811FE">
        <w:t>competency</w:t>
      </w:r>
      <w:r w:rsidR="00AD465C">
        <w:t xml:space="preserve"> to stand trial in</w:t>
      </w:r>
      <w:r>
        <w:t xml:space="preserve"> a juvenile wardship proceeding.  (</w:t>
      </w:r>
      <w:r>
        <w:rPr>
          <w:i/>
        </w:rPr>
        <w:t>Id</w:t>
      </w:r>
      <w:r>
        <w:t xml:space="preserve">., </w:t>
      </w:r>
      <w:r w:rsidR="005A1D5D">
        <w:t xml:space="preserve">at p. </w:t>
      </w:r>
      <w:r>
        <w:t>199.)  We determined that the appropriate standard was “the deferential substantial evidence standard” (</w:t>
      </w:r>
      <w:r>
        <w:rPr>
          <w:i/>
        </w:rPr>
        <w:t>id</w:t>
      </w:r>
      <w:r>
        <w:t xml:space="preserve">., at p. 200), but we noted that “[t]here is . . . no single </w:t>
      </w:r>
      <w:r>
        <w:rPr>
          <w:rStyle w:val="term"/>
        </w:rPr>
        <w:t>formulation</w:t>
      </w:r>
      <w:r>
        <w:t xml:space="preserve"> of the substantial evidence test for all its applications.”  (</w:t>
      </w:r>
      <w:r>
        <w:rPr>
          <w:i/>
        </w:rPr>
        <w:t>Ibid</w:t>
      </w:r>
      <w:r>
        <w:t xml:space="preserve">.)  </w:t>
      </w:r>
      <w:r w:rsidR="00AD465C">
        <w:t xml:space="preserve">Because the only evidence bearing on </w:t>
      </w:r>
      <w:r w:rsidR="00C32218">
        <w:t xml:space="preserve">the juvenile’s </w:t>
      </w:r>
      <w:r w:rsidR="00AD465C">
        <w:t>competence was provided by</w:t>
      </w:r>
      <w:r w:rsidR="00DC5D47">
        <w:t xml:space="preserve"> a defense expert, </w:t>
      </w:r>
      <w:r w:rsidR="00C32218">
        <w:t>we</w:t>
      </w:r>
      <w:r w:rsidR="00DC5D47">
        <w:t xml:space="preserve"> applied the </w:t>
      </w:r>
      <w:r w:rsidR="00DC5D47">
        <w:rPr>
          <w:i/>
        </w:rPr>
        <w:t xml:space="preserve">Drew </w:t>
      </w:r>
      <w:r w:rsidR="00DC5D47">
        <w:t>standard</w:t>
      </w:r>
      <w:r w:rsidR="00C32218">
        <w:t xml:space="preserve"> for substantial evidence</w:t>
      </w:r>
      <w:r w:rsidR="00DC5D47">
        <w:t xml:space="preserve">, noting it was the appropriate standard “in a case such as this one, in which </w:t>
      </w:r>
      <w:r w:rsidR="00F937FB">
        <w:t>the evidence before the court consists of the opinion of a qualified expert . . . and the materials on which the expert relied.”  (</w:t>
      </w:r>
      <w:r w:rsidR="00F937FB">
        <w:rPr>
          <w:i/>
        </w:rPr>
        <w:t>Id.</w:t>
      </w:r>
      <w:r w:rsidR="00F937FB">
        <w:t>, at p. 203.)</w:t>
      </w:r>
    </w:p>
    <w:p w:rsidR="00B41A4A" w:rsidRDefault="00F937FB" w:rsidP="00B41A4A">
      <w:pPr>
        <w:pStyle w:val="NormalIndent"/>
        <w:spacing w:line="480" w:lineRule="atLeast"/>
        <w:ind w:left="0" w:firstLine="720"/>
      </w:pPr>
      <w:r>
        <w:t xml:space="preserve">Here, the evidentiary record is considerably more complex, consisting of the testimony of several expert witnesses </w:t>
      </w:r>
      <w:r w:rsidR="0039200B">
        <w:t>for</w:t>
      </w:r>
      <w:r>
        <w:t xml:space="preserve"> each side.  </w:t>
      </w:r>
      <w:r w:rsidR="00A85E2A">
        <w:t>W</w:t>
      </w:r>
      <w:r>
        <w:t xml:space="preserve">e have been provided </w:t>
      </w:r>
      <w:r w:rsidR="00C32218">
        <w:t xml:space="preserve">with </w:t>
      </w:r>
      <w:r>
        <w:t>no justification for departing</w:t>
      </w:r>
      <w:r w:rsidR="00A85E2A">
        <w:t xml:space="preserve">, in these circumstances, </w:t>
      </w:r>
      <w:r>
        <w:t xml:space="preserve">from the most common </w:t>
      </w:r>
      <w:r w:rsidR="00A85E2A">
        <w:t xml:space="preserve">formulation of the </w:t>
      </w:r>
      <w:r>
        <w:t xml:space="preserve">substantial evidence test, </w:t>
      </w:r>
      <w:r w:rsidR="00A85E2A">
        <w:t xml:space="preserve">in </w:t>
      </w:r>
      <w:r>
        <w:t xml:space="preserve">which </w:t>
      </w:r>
      <w:r w:rsidR="00A85E2A">
        <w:t>the appellate court reviews the entire record in the light most favorable to the jury’s determination and affirms that determination if it is supported by evidence that is “reasonable, credible and of solid value.”  (</w:t>
      </w:r>
      <w:r w:rsidR="001F7F71">
        <w:rPr>
          <w:i/>
        </w:rPr>
        <w:t xml:space="preserve">People v. Dunkle </w:t>
      </w:r>
      <w:r w:rsidR="001F7F71">
        <w:t>(2005) 36 Cal.4th 861, 885</w:t>
      </w:r>
      <w:r w:rsidR="00A85E2A">
        <w:t xml:space="preserve">.)  This </w:t>
      </w:r>
      <w:r w:rsidR="0039200B">
        <w:t xml:space="preserve">is the </w:t>
      </w:r>
      <w:r w:rsidR="00A85E2A">
        <w:t xml:space="preserve">standard </w:t>
      </w:r>
      <w:r w:rsidR="0039200B">
        <w:t xml:space="preserve">of review </w:t>
      </w:r>
      <w:r w:rsidR="00A85E2A">
        <w:t>appl</w:t>
      </w:r>
      <w:r w:rsidR="0039200B">
        <w:t>ied</w:t>
      </w:r>
      <w:r w:rsidR="00A85E2A">
        <w:t xml:space="preserve"> </w:t>
      </w:r>
      <w:r w:rsidR="0039200B">
        <w:t>to</w:t>
      </w:r>
      <w:r w:rsidR="00A85E2A">
        <w:t xml:space="preserve"> a jury finding of competency to stand trial, a</w:t>
      </w:r>
      <w:r w:rsidR="0039200B">
        <w:t>n analogous inquiry in which the defendant bears the burden of proof by a</w:t>
      </w:r>
      <w:r w:rsidR="00A85E2A">
        <w:t xml:space="preserve"> preponderance of the evidence.  (</w:t>
      </w:r>
      <w:r w:rsidR="005A1D5D">
        <w:rPr>
          <w:i/>
        </w:rPr>
        <w:t>Ibid</w:t>
      </w:r>
      <w:r w:rsidR="005A1D5D">
        <w:t>.</w:t>
      </w:r>
      <w:r w:rsidR="00A85E2A">
        <w:t xml:space="preserve">; </w:t>
      </w:r>
      <w:r w:rsidR="00A85E2A">
        <w:rPr>
          <w:i/>
        </w:rPr>
        <w:t xml:space="preserve">People v. Marshall </w:t>
      </w:r>
      <w:r w:rsidR="0018154A">
        <w:t>(1997) 15 Cal.4th 1, 31.)</w:t>
      </w:r>
      <w:r w:rsidR="008D4062">
        <w:t xml:space="preserve">  We therefore hold that a jury’s finding </w:t>
      </w:r>
      <w:r w:rsidR="005765CC">
        <w:t xml:space="preserve">of sanity will </w:t>
      </w:r>
      <w:r w:rsidR="008D4062">
        <w:t>be affirmed if it is supported by evidence that is reasonable, credible</w:t>
      </w:r>
      <w:r w:rsidR="005A1D5D">
        <w:t>,</w:t>
      </w:r>
      <w:r w:rsidR="008D4062">
        <w:t xml:space="preserve"> and of solid value, from which a reasonable trier of fact could find the defendant sane by a preponderance of the evidence.</w:t>
      </w:r>
    </w:p>
    <w:p w:rsidR="00C81151" w:rsidRDefault="00B41A4A" w:rsidP="00B41A4A">
      <w:pPr>
        <w:pStyle w:val="Heading3"/>
      </w:pPr>
      <w:bookmarkStart w:id="26" w:name="_Toc508625886"/>
      <w:r>
        <w:t xml:space="preserve">2.  </w:t>
      </w:r>
      <w:r w:rsidR="00C64777">
        <w:t>The evidence was sufficient to support</w:t>
      </w:r>
      <w:r w:rsidR="00AD2C9B">
        <w:t xml:space="preserve"> the jury’s finding that defendant was not insane at the time of the killing</w:t>
      </w:r>
      <w:bookmarkEnd w:id="26"/>
    </w:p>
    <w:p w:rsidR="007F633C" w:rsidRDefault="00C32218" w:rsidP="007F633C">
      <w:pPr>
        <w:pStyle w:val="NormalIndent"/>
        <w:spacing w:line="480" w:lineRule="atLeast"/>
        <w:ind w:left="0" w:firstLine="720"/>
      </w:pPr>
      <w:r>
        <w:t xml:space="preserve">Having </w:t>
      </w:r>
      <w:r w:rsidR="009A1840">
        <w:t xml:space="preserve">determined the appropriate substantial evidence </w:t>
      </w:r>
      <w:r w:rsidR="00FE3254">
        <w:t>test to be applied in these circumstances</w:t>
      </w:r>
      <w:r>
        <w:t>, we have no difficulty in finding substantial evidence to support the jury’s finding that defendant was legally sane at the time he committed the murder.  Although</w:t>
      </w:r>
      <w:r w:rsidR="00FE3254">
        <w:t xml:space="preserve"> one of the prosecution’s experts,</w:t>
      </w:r>
      <w:r>
        <w:t xml:space="preserve"> Dr. Griesemer</w:t>
      </w:r>
      <w:r w:rsidR="00FE3254">
        <w:t>,</w:t>
      </w:r>
      <w:r>
        <w:t xml:space="preserve"> found some slowing in defendant’s EEG test, he did not believe it indicated </w:t>
      </w:r>
      <w:r w:rsidR="007F633C">
        <w:t xml:space="preserve">organic deficiencies and concluded defendant’s </w:t>
      </w:r>
      <w:r>
        <w:t xml:space="preserve">functioning </w:t>
      </w:r>
      <w:r w:rsidR="005A1D5D">
        <w:t>wa</w:t>
      </w:r>
      <w:r>
        <w:t xml:space="preserve">s normal. </w:t>
      </w:r>
      <w:r w:rsidR="006665B6">
        <w:t xml:space="preserve"> </w:t>
      </w:r>
      <w:r w:rsidR="007F633C">
        <w:t>Dr. Mohandie</w:t>
      </w:r>
      <w:r w:rsidR="00FE3254">
        <w:t>, the prosecution’s other expert,</w:t>
      </w:r>
      <w:r w:rsidR="007F633C">
        <w:t xml:space="preserve"> believed defendant was feigning at least some of his psychiatric symptoms.  He </w:t>
      </w:r>
      <w:r w:rsidR="00FE3254">
        <w:t xml:space="preserve">also </w:t>
      </w:r>
      <w:r w:rsidR="007F633C">
        <w:t xml:space="preserve">found no evidence </w:t>
      </w:r>
      <w:r w:rsidR="00FE3254">
        <w:t xml:space="preserve">that defendant suffered from </w:t>
      </w:r>
      <w:r w:rsidR="007F633C">
        <w:t xml:space="preserve">bipolar disorder, </w:t>
      </w:r>
      <w:r w:rsidR="00FE3254">
        <w:t xml:space="preserve">as testified by the defense experts.  In Dr. Mohandie’s view, some </w:t>
      </w:r>
      <w:r w:rsidR="007F633C">
        <w:t xml:space="preserve">symptoms </w:t>
      </w:r>
      <w:r w:rsidR="00FE3254">
        <w:t xml:space="preserve">of the disorder </w:t>
      </w:r>
      <w:r w:rsidR="007F633C">
        <w:t xml:space="preserve">would have been expected despite </w:t>
      </w:r>
      <w:r w:rsidR="00C240B6">
        <w:t>defendant’</w:t>
      </w:r>
      <w:r w:rsidR="007F633C">
        <w:t xml:space="preserve">s medication, </w:t>
      </w:r>
      <w:r w:rsidR="00FE3254">
        <w:t>yet, as</w:t>
      </w:r>
      <w:r w:rsidR="007F633C">
        <w:t xml:space="preserve"> he noted</w:t>
      </w:r>
      <w:r w:rsidR="00FE3254">
        <w:t>,</w:t>
      </w:r>
      <w:r w:rsidR="007F633C">
        <w:t xml:space="preserve"> defendant disclaimed symptoms of mental illnes</w:t>
      </w:r>
      <w:r w:rsidR="00C240B6">
        <w:t>s</w:t>
      </w:r>
      <w:r w:rsidR="00FE3254">
        <w:t>, such</w:t>
      </w:r>
      <w:r w:rsidR="007F633C">
        <w:t xml:space="preserve"> as voices, delusions, or hallucinations.  Dr. Mohandie found the</w:t>
      </w:r>
      <w:r w:rsidR="00FE3254">
        <w:t xml:space="preserve"> defense experts’</w:t>
      </w:r>
      <w:r w:rsidR="007F633C">
        <w:t xml:space="preserve"> diagnosis of intermittent explosive </w:t>
      </w:r>
      <w:r w:rsidR="00FE3254">
        <w:t>disorder</w:t>
      </w:r>
      <w:r w:rsidR="007F633C">
        <w:t xml:space="preserve"> inconsistent with the purposeful behavior displayed in the killing.</w:t>
      </w:r>
      <w:r w:rsidR="00B603D5">
        <w:t xml:space="preserve">  Based on his observations, Dr. Mohandie believed defendant was aware of the nature of his actions at the time of the killing and could distinguish right from wrong.</w:t>
      </w:r>
      <w:r w:rsidR="007F633C">
        <w:t xml:space="preserve">  Th</w:t>
      </w:r>
      <w:r w:rsidR="00FE3254">
        <w:t>e</w:t>
      </w:r>
      <w:r w:rsidR="007F633C">
        <w:t>s</w:t>
      </w:r>
      <w:r w:rsidR="00FE3254">
        <w:t>e experts’</w:t>
      </w:r>
      <w:r w:rsidR="007F633C">
        <w:t xml:space="preserve"> testimony suffices to support the jury’s finding of sanity.</w:t>
      </w:r>
    </w:p>
    <w:p w:rsidR="00EF3536" w:rsidRPr="00611B31" w:rsidRDefault="00EF3536" w:rsidP="007F633C">
      <w:pPr>
        <w:pStyle w:val="NormalIndent"/>
        <w:spacing w:line="480" w:lineRule="atLeast"/>
        <w:ind w:left="0" w:firstLine="720"/>
      </w:pPr>
      <w:r>
        <w:t xml:space="preserve">Further, although the testimony of defendant’s experts </w:t>
      </w:r>
      <w:r w:rsidR="00B10137">
        <w:t xml:space="preserve">provided strong evidence </w:t>
      </w:r>
      <w:r>
        <w:t>that defendant suffered from mental or emotional disabilities,</w:t>
      </w:r>
      <w:r w:rsidR="00B10137">
        <w:t xml:space="preserve"> that is not the same as legal insanity, and </w:t>
      </w:r>
      <w:r>
        <w:t>t</w:t>
      </w:r>
      <w:r w:rsidR="00B603D5">
        <w:t>he</w:t>
      </w:r>
      <w:r w:rsidR="00FE3254">
        <w:t>ir</w:t>
      </w:r>
      <w:r w:rsidR="00B603D5">
        <w:t xml:space="preserve"> testimony</w:t>
      </w:r>
      <w:r>
        <w:t xml:space="preserve"> was less </w:t>
      </w:r>
      <w:r w:rsidR="00F51BDC">
        <w:t xml:space="preserve">clear </w:t>
      </w:r>
      <w:r>
        <w:t xml:space="preserve">in </w:t>
      </w:r>
      <w:r w:rsidR="00F51BDC">
        <w:t xml:space="preserve">demonstrating the </w:t>
      </w:r>
      <w:r w:rsidR="00FE3254">
        <w:t xml:space="preserve">elements of </w:t>
      </w:r>
      <w:r>
        <w:t xml:space="preserve">insanity.  </w:t>
      </w:r>
      <w:r w:rsidR="00B10137">
        <w:t>For example, t</w:t>
      </w:r>
      <w:r>
        <w:t>he</w:t>
      </w:r>
      <w:r w:rsidR="00B10137">
        <w:t xml:space="preserve"> defense</w:t>
      </w:r>
      <w:r>
        <w:t xml:space="preserve"> experts were unified in suggesting that defendant w</w:t>
      </w:r>
      <w:r w:rsidR="009732AB">
        <w:t>as</w:t>
      </w:r>
      <w:r>
        <w:t xml:space="preserve"> unable to control his conduct </w:t>
      </w:r>
      <w:r w:rsidR="009732AB">
        <w:t>as a result of mental defects.  Merely because a person finds it difficult or impossible to control his or her behavior</w:t>
      </w:r>
      <w:r w:rsidR="00F51BDC">
        <w:t>, however,</w:t>
      </w:r>
      <w:r w:rsidR="009732AB">
        <w:t xml:space="preserve"> does not necessarily mean that the person lacks the ability to </w:t>
      </w:r>
      <w:r>
        <w:t xml:space="preserve">understand the nature and quality of </w:t>
      </w:r>
      <w:r w:rsidR="009732AB">
        <w:t xml:space="preserve">that behavior or </w:t>
      </w:r>
      <w:r>
        <w:t>to distinguish right from wrong.</w:t>
      </w:r>
      <w:r w:rsidR="00B10137">
        <w:t xml:space="preserve">  On the latter issues, the defense experts were less unified, and the evidence supporting their conclusions was less compelling.</w:t>
      </w:r>
    </w:p>
    <w:p w:rsidR="00B41A4A" w:rsidRDefault="00BF217B" w:rsidP="00B41A4A">
      <w:pPr>
        <w:pStyle w:val="NormalIndent"/>
        <w:spacing w:line="480" w:lineRule="atLeast"/>
        <w:ind w:left="0" w:firstLine="720"/>
      </w:pPr>
      <w:r>
        <w:t xml:space="preserve">Defendant’s claim of insufficiency of the evidence is based on a detailed comparison of the testimony of his own experts with that of Drs. Griesemer and Mohandie, which, he contends, demonstrates that the prosecution experts failed to account for all of the various factors </w:t>
      </w:r>
      <w:r w:rsidR="00257060">
        <w:t xml:space="preserve">that were </w:t>
      </w:r>
      <w:r>
        <w:t xml:space="preserve">cited by the defense experts.  The issue of </w:t>
      </w:r>
      <w:r w:rsidR="00F51BDC">
        <w:t xml:space="preserve">legal </w:t>
      </w:r>
      <w:r>
        <w:t xml:space="preserve">sanity is, of course, a complex and uncertain one about which fully competent experts can reasonably disagree.  While </w:t>
      </w:r>
      <w:r w:rsidR="00C240B6">
        <w:t xml:space="preserve">their testimony might not have revealed that </w:t>
      </w:r>
      <w:r>
        <w:t xml:space="preserve">Drs. Griesemer and Mohandie </w:t>
      </w:r>
      <w:r w:rsidR="00C240B6">
        <w:t>took</w:t>
      </w:r>
      <w:r>
        <w:t xml:space="preserve"> into account all of the matters raised by the defense, we are satisfied by their qualifications and the nature of their </w:t>
      </w:r>
      <w:r w:rsidR="00257060">
        <w:t>testimony that their opinions were of sufficient quality that the jury could rely on them in finding defendant sane.  Nothing more is required to constitute substantial evidence.</w:t>
      </w:r>
    </w:p>
    <w:p w:rsidR="00A83E63" w:rsidRDefault="00B41A4A" w:rsidP="00A83E63">
      <w:pPr>
        <w:pStyle w:val="Heading2"/>
      </w:pPr>
      <w:bookmarkStart w:id="27" w:name="_Toc508625887"/>
      <w:r>
        <w:t>C.  Penalty Phase Issues</w:t>
      </w:r>
      <w:bookmarkEnd w:id="27"/>
    </w:p>
    <w:p w:rsidR="00025EDC" w:rsidRPr="00B41A4A" w:rsidRDefault="00A83E63" w:rsidP="00A83E63">
      <w:pPr>
        <w:pStyle w:val="Heading3"/>
      </w:pPr>
      <w:bookmarkStart w:id="28" w:name="_Toc508625888"/>
      <w:r>
        <w:t xml:space="preserve">1.  </w:t>
      </w:r>
      <w:r w:rsidR="00AD2C9B">
        <w:t>The trial court did not err in admitting evidence of defendant’s possible g</w:t>
      </w:r>
      <w:r w:rsidR="00025EDC">
        <w:t xml:space="preserve">ang </w:t>
      </w:r>
      <w:r w:rsidR="00AD2C9B">
        <w:t>a</w:t>
      </w:r>
      <w:r w:rsidR="003811FE">
        <w:t>ffiliation</w:t>
      </w:r>
      <w:r w:rsidR="00F80372">
        <w:t xml:space="preserve"> </w:t>
      </w:r>
      <w:r w:rsidR="00AD2C9B">
        <w:t>and racist beliefs</w:t>
      </w:r>
      <w:bookmarkEnd w:id="28"/>
    </w:p>
    <w:p w:rsidR="00551E5A" w:rsidRDefault="00B41A4A" w:rsidP="004A53B8">
      <w:pPr>
        <w:pStyle w:val="NormalIndent"/>
        <w:spacing w:line="480" w:lineRule="atLeast"/>
        <w:ind w:left="0" w:firstLine="720"/>
      </w:pPr>
      <w:r>
        <w:t xml:space="preserve">As noted </w:t>
      </w:r>
      <w:r>
        <w:rPr>
          <w:i/>
        </w:rPr>
        <w:t>ante</w:t>
      </w:r>
      <w:r>
        <w:t>, part A.4,</w:t>
      </w:r>
      <w:r>
        <w:rPr>
          <w:i/>
        </w:rPr>
        <w:t xml:space="preserve"> </w:t>
      </w:r>
      <w:r w:rsidR="00551E5A">
        <w:t xml:space="preserve">defendant argues that the trial court committed prejudicial error in admitting evidence of </w:t>
      </w:r>
      <w:r w:rsidR="006449DC">
        <w:t>hi</w:t>
      </w:r>
      <w:r w:rsidR="00551E5A">
        <w:t>s</w:t>
      </w:r>
      <w:r w:rsidR="005A1D5D">
        <w:t xml:space="preserve"> racist</w:t>
      </w:r>
      <w:r w:rsidR="00551E5A">
        <w:t xml:space="preserve"> tattoos and gang membership.  We discuss the admission of gang-related evidence separately for the guilt and penalty phases because they were tried to different juries and the exact nature of the evidence introduced at the two proceedings differed.  The penalty phase jury was unaware of, and therefore unaffected by, the tattoo and gang membership evidence introduced in the guilt phase.</w:t>
      </w:r>
    </w:p>
    <w:p w:rsidR="00AB770A" w:rsidRDefault="00025EDC" w:rsidP="004A53B8">
      <w:pPr>
        <w:pStyle w:val="NormalIndent"/>
        <w:spacing w:line="480" w:lineRule="atLeast"/>
        <w:ind w:left="0" w:firstLine="720"/>
      </w:pPr>
      <w:r>
        <w:t xml:space="preserve">Prior to the second penalty phase trial, the defense sought to </w:t>
      </w:r>
      <w:r w:rsidR="007835E3">
        <w:t>exclude evidence of defendant’s</w:t>
      </w:r>
      <w:r w:rsidR="0034581F">
        <w:t xml:space="preserve"> </w:t>
      </w:r>
      <w:r w:rsidR="007835E3">
        <w:t xml:space="preserve">tattoos. </w:t>
      </w:r>
      <w:r w:rsidR="006665B6">
        <w:t xml:space="preserve"> </w:t>
      </w:r>
      <w:r w:rsidR="00AB770A">
        <w:t>The court acknowledged that</w:t>
      </w:r>
      <w:r w:rsidR="00551E5A">
        <w:t xml:space="preserve"> the contemplated</w:t>
      </w:r>
      <w:r w:rsidR="00AB770A">
        <w:t xml:space="preserve"> gang-related evidence was “dangerous” and asked the prosecution to justify its admission. </w:t>
      </w:r>
      <w:r w:rsidR="006665B6">
        <w:t xml:space="preserve"> </w:t>
      </w:r>
      <w:r w:rsidR="00AB770A">
        <w:t xml:space="preserve">The prosecutor responded that defendant had seen Sims and Epperson together on the morning of the killing and could have believed they were getting back together.  Racial animus, the prosecutor claimed, could have been “the spur, the additional spur that caused the defendant to murder her and to torture her.  That’s the People’s theory.” </w:t>
      </w:r>
    </w:p>
    <w:p w:rsidR="00AB770A" w:rsidRPr="00533819" w:rsidRDefault="00AB770A" w:rsidP="00AB770A">
      <w:pPr>
        <w:pStyle w:val="NormalIndent"/>
        <w:spacing w:line="480" w:lineRule="atLeast"/>
        <w:ind w:left="0" w:firstLine="720"/>
      </w:pPr>
      <w:r>
        <w:t xml:space="preserve">The court agreed with the prosecutor and declined to exclude the evidence, explaining, </w:t>
      </w:r>
      <w:r w:rsidR="008F2BD1">
        <w:t>with regard</w:t>
      </w:r>
      <w:r>
        <w:t xml:space="preserve"> to the tattoos, “This isn’t somebody else’s opinion that he’s a racist.  He puts this on himself. . . .  [T]hat this white woman, the victim in the case, was interested in an African-American man, would make a racist very angry.” </w:t>
      </w:r>
      <w:r w:rsidR="00FD566D">
        <w:t xml:space="preserve"> </w:t>
      </w:r>
      <w:r w:rsidR="00D5214E">
        <w:t xml:space="preserve">Racial animus, the court believed, might explain the extreme nature of defendant’s rage, expressed in the savage beating of Epperson. </w:t>
      </w:r>
      <w:r w:rsidR="00FD566D">
        <w:t xml:space="preserve"> </w:t>
      </w:r>
      <w:r w:rsidR="00D5214E">
        <w:t xml:space="preserve">As the court summarized its thinking, evidence of the tattoos “goes to the motivation and </w:t>
      </w:r>
      <w:r w:rsidR="003811FE">
        <w:t>explosive</w:t>
      </w:r>
      <w:r w:rsidR="00D5214E">
        <w:t xml:space="preserve"> nature of his conduct at the time of the crime.”</w:t>
      </w:r>
      <w:r w:rsidR="00FD566D">
        <w:t xml:space="preserve"> </w:t>
      </w:r>
    </w:p>
    <w:p w:rsidR="00565690" w:rsidRDefault="008F2BD1" w:rsidP="00565690">
      <w:pPr>
        <w:pStyle w:val="NormalIndent"/>
        <w:spacing w:line="480" w:lineRule="atLeast"/>
        <w:ind w:left="0" w:firstLine="720"/>
      </w:pPr>
      <w:r>
        <w:t>When called to testify</w:t>
      </w:r>
      <w:r w:rsidR="000F3D94">
        <w:t xml:space="preserve">, </w:t>
      </w:r>
      <w:r w:rsidR="00047F4E">
        <w:t xml:space="preserve">Charles </w:t>
      </w:r>
      <w:r w:rsidR="000F3D94">
        <w:t>Vannoy</w:t>
      </w:r>
      <w:r w:rsidR="00047F4E">
        <w:t>, defendant’s friend,</w:t>
      </w:r>
      <w:r w:rsidR="000F3D94">
        <w:t xml:space="preserve"> confirmed that he had both a swastika tattoo and a lightning bolt tattoo and that lightning bolts are a “sign” of the Aryan Brotherhood.  Vannoy, however, denied affiliation with the Aryan Brotherhood.  When the prosecutor asked, “Isn’t it true that you and [defendant] belong to . . . ,” she was stopped in mid-sentence by an objection, which was sustained. </w:t>
      </w:r>
      <w:r w:rsidR="00FD566D">
        <w:t xml:space="preserve"> </w:t>
      </w:r>
      <w:r w:rsidR="00565690">
        <w:t xml:space="preserve">Soon after, </w:t>
      </w:r>
      <w:r w:rsidR="00FF35A0">
        <w:t xml:space="preserve">the prosecutor </w:t>
      </w:r>
      <w:r w:rsidR="00565690">
        <w:t xml:space="preserve">noted that defendant told Vannoy that Epperson’s ex-boyfriend was </w:t>
      </w:r>
      <w:r w:rsidR="000D6C78">
        <w:t>an African-American</w:t>
      </w:r>
      <w:r w:rsidR="00565690">
        <w:t xml:space="preserve"> and asked whether Vannoy saw “any significance to saying that the boyfriend was black.”  Defense counsel objected, and the prosecutor withdrew the question after being persuaded that the </w:t>
      </w:r>
      <w:r w:rsidR="000D6C78">
        <w:t xml:space="preserve">detective </w:t>
      </w:r>
      <w:r w:rsidR="00565690">
        <w:t xml:space="preserve">interviewing </w:t>
      </w:r>
      <w:r w:rsidR="000D6C78">
        <w:t xml:space="preserve">Vannoy, </w:t>
      </w:r>
      <w:r w:rsidR="00565690">
        <w:t xml:space="preserve">rather than </w:t>
      </w:r>
      <w:r w:rsidR="000D6C78">
        <w:t>defendant</w:t>
      </w:r>
      <w:r w:rsidR="00565690">
        <w:t xml:space="preserve">, had </w:t>
      </w:r>
      <w:r w:rsidR="000D6C78">
        <w:t>brought up</w:t>
      </w:r>
      <w:r w:rsidR="00565690">
        <w:t xml:space="preserve"> Sims’s race.  No admon</w:t>
      </w:r>
      <w:r w:rsidR="00110C78">
        <w:t>ishment was requested or given.</w:t>
      </w:r>
    </w:p>
    <w:p w:rsidR="006C27B1" w:rsidRDefault="00C22FE4" w:rsidP="006C27B1">
      <w:pPr>
        <w:pStyle w:val="NormalIndent"/>
        <w:spacing w:line="480" w:lineRule="atLeast"/>
        <w:ind w:left="0" w:firstLine="720"/>
      </w:pPr>
      <w:r>
        <w:t xml:space="preserve">As in the guilt phase, </w:t>
      </w:r>
      <w:r w:rsidR="00047F4E">
        <w:t xml:space="preserve">Timothy </w:t>
      </w:r>
      <w:r w:rsidR="00565690">
        <w:t>Todd</w:t>
      </w:r>
      <w:r w:rsidR="00047F4E">
        <w:t>, Epperson’s friend and assistant,</w:t>
      </w:r>
      <w:r w:rsidR="00565690">
        <w:t xml:space="preserve"> testified that defendant </w:t>
      </w:r>
      <w:r w:rsidR="00205F13">
        <w:t>tol</w:t>
      </w:r>
      <w:r w:rsidR="00565690">
        <w:t>d</w:t>
      </w:r>
      <w:r w:rsidR="00205F13">
        <w:t xml:space="preserve"> him,</w:t>
      </w:r>
      <w:r w:rsidR="00565690">
        <w:t xml:space="preserve"> “if [Sims] kept pu</w:t>
      </w:r>
      <w:r w:rsidR="006C27B1">
        <w:t>r</w:t>
      </w:r>
      <w:r w:rsidR="00565690">
        <w:t>suing [</w:t>
      </w:r>
      <w:r w:rsidR="003811FE">
        <w:t>Epperson</w:t>
      </w:r>
      <w:r w:rsidR="00565690">
        <w:t xml:space="preserve">], he would kill [Sims].”  </w:t>
      </w:r>
      <w:r w:rsidR="006C27B1">
        <w:t xml:space="preserve">An objection was sustained to the prosecutor’s follow-up inquiry whether defendant had used a “racial epithet” when he made the threat, but not before Todd confirmed that an epithet had been used.  Counsel did not request that the answer be stricken. </w:t>
      </w:r>
      <w:r w:rsidR="00FD566D">
        <w:t xml:space="preserve"> </w:t>
      </w:r>
      <w:r w:rsidR="006C27B1">
        <w:t>Todd was thereafter allowed to testify, over objection, that in the year 2000, defendant told Todd he belonged to a “white gang.”  Although Todd did not recall which gang, he said, “Well, I know there’s several white gangs.  There’s the LRL, Aryan Nations, gangs like t</w:t>
      </w:r>
      <w:r w:rsidR="00110C78">
        <w:t>hat.”</w:t>
      </w:r>
    </w:p>
    <w:p w:rsidR="006C27B1" w:rsidRDefault="006C27B1" w:rsidP="006C27B1">
      <w:pPr>
        <w:pStyle w:val="NormalIndent"/>
        <w:spacing w:line="480" w:lineRule="atLeast"/>
        <w:ind w:left="0" w:firstLine="720"/>
      </w:pPr>
      <w:r>
        <w:t xml:space="preserve">Sims </w:t>
      </w:r>
      <w:r w:rsidR="00B2613A">
        <w:t xml:space="preserve">testified that while he was together with defendant in a rehabilitation program, </w:t>
      </w:r>
      <w:r w:rsidR="005A1D5D">
        <w:t>Sims</w:t>
      </w:r>
      <w:r w:rsidR="00B2613A">
        <w:t xml:space="preserve"> did not know </w:t>
      </w:r>
      <w:r w:rsidR="005A1D5D">
        <w:t>defendant</w:t>
      </w:r>
      <w:r w:rsidR="00B2613A">
        <w:t xml:space="preserve"> well and avoided him.  Over objection, Sims was permitted to testify that he avoided defendant because defendant had tattoos on his calves and arms, without describing the tattoos. </w:t>
      </w:r>
      <w:r w:rsidR="00FD566D">
        <w:t xml:space="preserve"> </w:t>
      </w:r>
      <w:r w:rsidR="00B2613A">
        <w:t xml:space="preserve">Sims also testified that on four separate occasions defendant had engaged in intimidating conduct with him, although </w:t>
      </w:r>
      <w:r w:rsidR="000D6C78">
        <w:t xml:space="preserve">he described </w:t>
      </w:r>
      <w:r w:rsidR="00B2613A">
        <w:t>only one incident, when defendant swore at Sims as he was entering the Weingart</w:t>
      </w:r>
      <w:r w:rsidR="00CE21E9">
        <w:t xml:space="preserve"> Center</w:t>
      </w:r>
      <w:r w:rsidR="00110C78">
        <w:t>.</w:t>
      </w:r>
    </w:p>
    <w:p w:rsidR="00B2613A" w:rsidRDefault="00B2613A" w:rsidP="009D4D02">
      <w:pPr>
        <w:pStyle w:val="NormalIndent"/>
        <w:spacing w:line="480" w:lineRule="atLeast"/>
        <w:ind w:left="0"/>
      </w:pPr>
      <w:r>
        <w:tab/>
      </w:r>
      <w:r w:rsidR="009D4D02">
        <w:t>When t</w:t>
      </w:r>
      <w:r>
        <w:t xml:space="preserve">he defense </w:t>
      </w:r>
      <w:r w:rsidR="009D4D02">
        <w:t>presented the testimony of an African-American friend of defendant, whom he had met at the Weingart</w:t>
      </w:r>
      <w:r w:rsidR="003811FE">
        <w:t xml:space="preserve"> Center</w:t>
      </w:r>
      <w:r w:rsidR="009D4D02">
        <w:t xml:space="preserve">, the prosecutor asked </w:t>
      </w:r>
      <w:r w:rsidR="000D6C78">
        <w:t xml:space="preserve">the witness </w:t>
      </w:r>
      <w:r w:rsidR="009D4D02">
        <w:t xml:space="preserve">whether she was aware of </w:t>
      </w:r>
      <w:r w:rsidR="000D6C78">
        <w:t>defendant’</w:t>
      </w:r>
      <w:r w:rsidR="009D4D02">
        <w:t xml:space="preserve">s tattoos, without describing them.  The witness said she had seen the tattoos and was not bothered by them, again without any express indication of their content. </w:t>
      </w:r>
      <w:r w:rsidR="00FD566D">
        <w:t xml:space="preserve"> </w:t>
      </w:r>
      <w:r w:rsidR="009D4D02">
        <w:t>Defendant’s mother</w:t>
      </w:r>
      <w:r w:rsidR="000157DB">
        <w:t>, Joyce,</w:t>
      </w:r>
      <w:r w:rsidR="009D4D02">
        <w:t xml:space="preserve"> testified that defendant’s father was a “bigot, . . . major big time,” but </w:t>
      </w:r>
      <w:r w:rsidR="000D6C78">
        <w:t xml:space="preserve">she </w:t>
      </w:r>
      <w:r w:rsidR="009D4D02">
        <w:t>said that defendant had not “picked up on that.”</w:t>
      </w:r>
      <w:r w:rsidR="000157DB">
        <w:t xml:space="preserve">  Joyce confirmed that she was aware of defendant’s prison tattoos, but when the prosecutor suggested the tattoos were “associated with, for want of a better word white supremacist,” Joyce said she “di</w:t>
      </w:r>
      <w:r w:rsidR="00110C78">
        <w:t>dn’t know that, no, I did not.”</w:t>
      </w:r>
    </w:p>
    <w:p w:rsidR="00741A0F" w:rsidRDefault="000157DB" w:rsidP="009D4D02">
      <w:pPr>
        <w:pStyle w:val="NormalIndent"/>
        <w:spacing w:line="480" w:lineRule="atLeast"/>
        <w:ind w:left="0"/>
      </w:pPr>
      <w:r>
        <w:tab/>
        <w:t>In closing argument, the prosecutor neve</w:t>
      </w:r>
      <w:r w:rsidR="00C240B6">
        <w:t>r</w:t>
      </w:r>
      <w:r>
        <w:t xml:space="preserve"> raised the possibility that Epperson’s killing was related to Sims or his race.</w:t>
      </w:r>
    </w:p>
    <w:p w:rsidR="00FF35A0" w:rsidRDefault="000157DB" w:rsidP="00C240B6">
      <w:pPr>
        <w:pStyle w:val="NormalIndent"/>
        <w:spacing w:line="480" w:lineRule="atLeast"/>
        <w:ind w:left="0"/>
      </w:pPr>
      <w:r>
        <w:tab/>
        <w:t xml:space="preserve">As the foregoing indicates, </w:t>
      </w:r>
      <w:r w:rsidR="00205F13">
        <w:t xml:space="preserve">the evidence of </w:t>
      </w:r>
      <w:r>
        <w:t xml:space="preserve">defendant’s </w:t>
      </w:r>
      <w:r w:rsidR="00205F13">
        <w:t xml:space="preserve">alleged gang membership admitted </w:t>
      </w:r>
      <w:r>
        <w:t>during the penalty</w:t>
      </w:r>
      <w:r w:rsidR="00741A0F">
        <w:t xml:space="preserve"> phase </w:t>
      </w:r>
      <w:r w:rsidR="00205F13">
        <w:t>was limited</w:t>
      </w:r>
      <w:r w:rsidR="00741A0F">
        <w:t>.  Vannoy testified about his tattoos and denied gang membership, but he was prevented from testifying about defendant’s gang membership.  Todd testified that defendant claimed to have belonged to a white gang and had used a racial epithet in speaking about Sims.  Sims confirmed that he felt threatened by defendant,</w:t>
      </w:r>
      <w:r w:rsidR="00FF35A0">
        <w:t xml:space="preserve"> </w:t>
      </w:r>
      <w:r w:rsidR="00205F13">
        <w:t xml:space="preserve">without expressly </w:t>
      </w:r>
      <w:r w:rsidR="00741A0F">
        <w:t xml:space="preserve">attributing his discomfort to perceived racism.  Two African-American witnesses acknowledged </w:t>
      </w:r>
      <w:r w:rsidR="00205F13">
        <w:t xml:space="preserve">an </w:t>
      </w:r>
      <w:r w:rsidR="00741A0F">
        <w:t>awareness of defendant’s tattoos, but neither described them</w:t>
      </w:r>
      <w:r w:rsidR="00205F13">
        <w:t>; o</w:t>
      </w:r>
      <w:r w:rsidR="00741A0F">
        <w:t>nly the fact that the topic arose during the testimony of African-American witnesses hinted at their content.  When the prosecutor eventually attempted to suggest to defendant’s mother that the tattoos related to racist symp</w:t>
      </w:r>
      <w:r w:rsidR="00047F4E">
        <w:t>athies, his mother denied it.  And</w:t>
      </w:r>
      <w:r w:rsidR="005A1D5D">
        <w:t>,</w:t>
      </w:r>
      <w:r w:rsidR="00047F4E">
        <w:t xml:space="preserve"> as noted, n</w:t>
      </w:r>
      <w:r w:rsidR="00741A0F">
        <w:t>one of this featured in the prosecutor’s closing argument.</w:t>
      </w:r>
    </w:p>
    <w:p w:rsidR="00FF35A0" w:rsidRDefault="00FF35A0" w:rsidP="00C240B6">
      <w:pPr>
        <w:pStyle w:val="NormalIndent"/>
        <w:spacing w:line="480" w:lineRule="atLeast"/>
        <w:ind w:left="0"/>
      </w:pPr>
      <w:r>
        <w:tab/>
      </w:r>
      <w:r w:rsidR="00242705">
        <w:t>Evidence of a defendant’s racist beliefs is inadmissible in the penalty phase of a capital trial if it is not relevant to an issue in the case.  (</w:t>
      </w:r>
      <w:r w:rsidR="00242705">
        <w:rPr>
          <w:i/>
        </w:rPr>
        <w:t xml:space="preserve">Dawson v. Delaware </w:t>
      </w:r>
      <w:r w:rsidR="00242705">
        <w:t xml:space="preserve">(1992) 503 U.S. 159, 167; </w:t>
      </w:r>
      <w:r w:rsidR="00242705">
        <w:rPr>
          <w:i/>
        </w:rPr>
        <w:t xml:space="preserve">People v. Merriman </w:t>
      </w:r>
      <w:r w:rsidR="00242705">
        <w:t>(2014) 60 Cal.4th 1, 104 (</w:t>
      </w:r>
      <w:r w:rsidR="00242705">
        <w:rPr>
          <w:i/>
        </w:rPr>
        <w:t>Merriman</w:t>
      </w:r>
      <w:r w:rsidR="00242705">
        <w:t>).)  Whe</w:t>
      </w:r>
      <w:r w:rsidR="00047F4E">
        <w:t>n</w:t>
      </w:r>
      <w:r w:rsidR="00242705">
        <w:t xml:space="preserve"> evidence suggesting racist beliefs by a defendant is probative of an issue raised by the proceedings, however, we have affirmed its admission, notwithstanding </w:t>
      </w:r>
      <w:r w:rsidR="00F476F8">
        <w:t>any</w:t>
      </w:r>
      <w:r w:rsidR="00242705">
        <w:t xml:space="preserve"> risk of prejudice.  (</w:t>
      </w:r>
      <w:r w:rsidR="000D6C78">
        <w:t>See, e</w:t>
      </w:r>
      <w:r w:rsidR="00242705">
        <w:t xml:space="preserve">.g., </w:t>
      </w:r>
      <w:r w:rsidR="00242705">
        <w:rPr>
          <w:i/>
        </w:rPr>
        <w:t xml:space="preserve">People v. Townsel </w:t>
      </w:r>
      <w:r w:rsidR="00242705">
        <w:t xml:space="preserve">(2016) 63 Cal.4th 25, 66-67 [evidence of a racial slur used in the course of making a threat </w:t>
      </w:r>
      <w:r w:rsidR="00CC78E3">
        <w:t xml:space="preserve">held </w:t>
      </w:r>
      <w:r w:rsidR="00242705">
        <w:t xml:space="preserve">admissible when the threat was relevant to the killing]; </w:t>
      </w:r>
      <w:r w:rsidR="00242705">
        <w:rPr>
          <w:i/>
        </w:rPr>
        <w:t>Merriman</w:t>
      </w:r>
      <w:r w:rsidR="00242705">
        <w:t xml:space="preserve">, at pp. 104-105 [evidence of defendant’s racist beliefs admissible to explain defendant’s past attacks and fights]; </w:t>
      </w:r>
      <w:r w:rsidR="00242705">
        <w:rPr>
          <w:i/>
        </w:rPr>
        <w:t xml:space="preserve">People v. Richardson </w:t>
      </w:r>
      <w:r w:rsidR="00242705">
        <w:t>(2008) 43 Cal.4th 959, 1030 [evidence of defendant’s leadership of white prison gang admissible to explain his ability to control others].)</w:t>
      </w:r>
    </w:p>
    <w:p w:rsidR="00242705" w:rsidRDefault="00242705" w:rsidP="00C240B6">
      <w:pPr>
        <w:pStyle w:val="NormalIndent"/>
        <w:spacing w:line="480" w:lineRule="atLeast"/>
        <w:ind w:left="0"/>
      </w:pPr>
      <w:r>
        <w:tab/>
        <w:t xml:space="preserve">We agree with the trial court that evidence of defendant’s tattoos and </w:t>
      </w:r>
      <w:r w:rsidR="006844B8">
        <w:t>racial</w:t>
      </w:r>
      <w:r>
        <w:t xml:space="preserve"> gang membership was relevant to explain the </w:t>
      </w:r>
      <w:r w:rsidR="006844B8">
        <w:t>motivation</w:t>
      </w:r>
      <w:r w:rsidR="00CC78E3">
        <w:t xml:space="preserve"> for</w:t>
      </w:r>
      <w:r w:rsidR="006844B8">
        <w:t xml:space="preserve"> and </w:t>
      </w:r>
      <w:r>
        <w:t>s</w:t>
      </w:r>
      <w:r w:rsidR="006844B8">
        <w:t>avagery</w:t>
      </w:r>
      <w:r w:rsidR="00CC78E3">
        <w:t xml:space="preserve"> of</w:t>
      </w:r>
      <w:r w:rsidR="006844B8">
        <w:t xml:space="preserve"> </w:t>
      </w:r>
      <w:r>
        <w:t>h</w:t>
      </w:r>
      <w:r w:rsidR="006844B8">
        <w:t xml:space="preserve">is attack on Epperson.  Wounded racial pride could have caused him not only to assault Epperson, but to do so in a manner </w:t>
      </w:r>
      <w:r w:rsidR="00CC78E3">
        <w:t>intended to cause</w:t>
      </w:r>
      <w:r w:rsidR="006844B8">
        <w:t xml:space="preserve"> her both great suffering and disfigurement.</w:t>
      </w:r>
    </w:p>
    <w:p w:rsidR="006844B8" w:rsidRDefault="006844B8" w:rsidP="00C240B6">
      <w:pPr>
        <w:pStyle w:val="NormalIndent"/>
        <w:spacing w:line="480" w:lineRule="atLeast"/>
        <w:ind w:left="0"/>
        <w:rPr>
          <w:szCs w:val="26"/>
        </w:rPr>
      </w:pPr>
      <w:r>
        <w:tab/>
        <w:t>Nor do we find error in the trial court’s decision not to exclude the evidence under Evidence Code section 352</w:t>
      </w:r>
      <w:r w:rsidR="00055497">
        <w:t>, which permits the court to exclude otherwise relevant evidence if its probative value is substantially outweighed by the probability that its admission will create a substantial danger of undue prejudice</w:t>
      </w:r>
      <w:r w:rsidRPr="00055497">
        <w:rPr>
          <w:szCs w:val="26"/>
        </w:rPr>
        <w:t>.</w:t>
      </w:r>
      <w:r w:rsidR="00055497" w:rsidRPr="00055497">
        <w:rPr>
          <w:szCs w:val="26"/>
        </w:rPr>
        <w:t xml:space="preserve">  </w:t>
      </w:r>
      <w:r w:rsidR="00055497" w:rsidRPr="00055497">
        <w:rPr>
          <w:szCs w:val="26"/>
          <w:shd w:val="clear" w:color="auto" w:fill="FFFFFF"/>
        </w:rPr>
        <w:t>“</w:t>
      </w:r>
      <w:r w:rsidR="000D6C78">
        <w:rPr>
          <w:szCs w:val="26"/>
          <w:shd w:val="clear" w:color="auto" w:fill="FFFFFF"/>
        </w:rPr>
        <w:t> </w:t>
      </w:r>
      <w:r w:rsidR="00055497">
        <w:rPr>
          <w:szCs w:val="26"/>
          <w:shd w:val="clear" w:color="auto" w:fill="FFFFFF"/>
        </w:rPr>
        <w:t>‘</w:t>
      </w:r>
      <w:r w:rsidR="00055497" w:rsidRPr="00055497">
        <w:rPr>
          <w:szCs w:val="26"/>
          <w:shd w:val="clear" w:color="auto" w:fill="FFFFFF"/>
        </w:rPr>
        <w:t>Evidence is substantially more prejudicial than probative [citation] [only] if, broadly stated, it</w:t>
      </w:r>
      <w:r w:rsidR="00055497">
        <w:rPr>
          <w:szCs w:val="26"/>
          <w:shd w:val="clear" w:color="auto" w:fill="FFFFFF"/>
        </w:rPr>
        <w:t xml:space="preserve"> poses </w:t>
      </w:r>
      <w:r w:rsidR="00055497" w:rsidRPr="00055497">
        <w:rPr>
          <w:szCs w:val="26"/>
          <w:shd w:val="clear" w:color="auto" w:fill="FFFFFF"/>
        </w:rPr>
        <w:t>an</w:t>
      </w:r>
      <w:r w:rsidR="00055497">
        <w:rPr>
          <w:szCs w:val="26"/>
          <w:shd w:val="clear" w:color="auto" w:fill="FFFFFF"/>
        </w:rPr>
        <w:t> intolerable “</w:t>
      </w:r>
      <w:r w:rsidR="00055497" w:rsidRPr="00055497">
        <w:rPr>
          <w:szCs w:val="26"/>
          <w:shd w:val="clear" w:color="auto" w:fill="FFFFFF"/>
        </w:rPr>
        <w:t>risk to the fairness of the proceedings or the reliability of the outcome</w:t>
      </w:r>
      <w:r w:rsidR="000D6C78">
        <w:rPr>
          <w:szCs w:val="26"/>
          <w:shd w:val="clear" w:color="auto" w:fill="FFFFFF"/>
        </w:rPr>
        <w:t>.</w:t>
      </w:r>
      <w:r w:rsidR="00055497">
        <w:rPr>
          <w:szCs w:val="26"/>
          <w:shd w:val="clear" w:color="auto" w:fill="FFFFFF"/>
        </w:rPr>
        <w:t>”</w:t>
      </w:r>
      <w:r w:rsidR="005125E8">
        <w:rPr>
          <w:szCs w:val="26"/>
          <w:shd w:val="clear" w:color="auto" w:fill="FFFFFF"/>
        </w:rPr>
        <w:t xml:space="preserve"> </w:t>
      </w:r>
      <w:r w:rsidR="00055497" w:rsidRPr="00055497">
        <w:rPr>
          <w:szCs w:val="26"/>
          <w:shd w:val="clear" w:color="auto" w:fill="FFFFFF"/>
        </w:rPr>
        <w:t xml:space="preserve">’ ” </w:t>
      </w:r>
      <w:r w:rsidR="005125E8">
        <w:rPr>
          <w:szCs w:val="26"/>
          <w:shd w:val="clear" w:color="auto" w:fill="FFFFFF"/>
        </w:rPr>
        <w:t xml:space="preserve"> </w:t>
      </w:r>
      <w:r w:rsidR="00055497" w:rsidRPr="00055497">
        <w:rPr>
          <w:szCs w:val="26"/>
          <w:shd w:val="clear" w:color="auto" w:fill="FFFFFF"/>
        </w:rPr>
        <w:t>(</w:t>
      </w:r>
      <w:r w:rsidR="005125E8">
        <w:rPr>
          <w:i/>
          <w:szCs w:val="26"/>
          <w:shd w:val="clear" w:color="auto" w:fill="FFFFFF"/>
        </w:rPr>
        <w:t xml:space="preserve">People v. Eubanks </w:t>
      </w:r>
      <w:r w:rsidR="005125E8">
        <w:rPr>
          <w:szCs w:val="26"/>
          <w:shd w:val="clear" w:color="auto" w:fill="FFFFFF"/>
        </w:rPr>
        <w:t>(2011) 53 Cal.4th 1</w:t>
      </w:r>
      <w:r w:rsidR="005A1D5D">
        <w:rPr>
          <w:szCs w:val="26"/>
          <w:shd w:val="clear" w:color="auto" w:fill="FFFFFF"/>
        </w:rPr>
        <w:t>10, 144</w:t>
      </w:r>
      <w:r w:rsidR="00E445D8">
        <w:rPr>
          <w:szCs w:val="26"/>
          <w:shd w:val="clear" w:color="auto" w:fill="FFFFFF"/>
        </w:rPr>
        <w:t xml:space="preserve">; see </w:t>
      </w:r>
      <w:r w:rsidR="00E445D8">
        <w:rPr>
          <w:i/>
          <w:szCs w:val="26"/>
          <w:shd w:val="clear" w:color="auto" w:fill="FFFFFF"/>
        </w:rPr>
        <w:t xml:space="preserve">People v. Booker </w:t>
      </w:r>
      <w:r w:rsidR="00E445D8">
        <w:rPr>
          <w:szCs w:val="26"/>
          <w:shd w:val="clear" w:color="auto" w:fill="FFFFFF"/>
        </w:rPr>
        <w:t>(2011) 51 Cal.4th 141, 188 [</w:t>
      </w:r>
      <w:r w:rsidR="005125E8" w:rsidRPr="005125E8">
        <w:rPr>
          <w:szCs w:val="26"/>
          <w:shd w:val="clear" w:color="auto" w:fill="FFFFFF"/>
        </w:rPr>
        <w:t>“ ‘Prejudice’ in the context of Evidence Code section 352 is not synonymous with ‘damaging’: it refers to evidence that poses an intolerable risk to the fairness of the proceedings or reliability of the outcome</w:t>
      </w:r>
      <w:r w:rsidR="005125E8">
        <w:rPr>
          <w:szCs w:val="26"/>
          <w:shd w:val="clear" w:color="auto" w:fill="FFFFFF"/>
        </w:rPr>
        <w:t>”</w:t>
      </w:r>
      <w:r w:rsidR="00E445D8">
        <w:rPr>
          <w:szCs w:val="26"/>
          <w:shd w:val="clear" w:color="auto" w:fill="FFFFFF"/>
        </w:rPr>
        <w:t>].)</w:t>
      </w:r>
      <w:r w:rsidR="005125E8">
        <w:rPr>
          <w:szCs w:val="26"/>
          <w:shd w:val="clear" w:color="auto" w:fill="FFFFFF"/>
        </w:rPr>
        <w:t xml:space="preserve">  </w:t>
      </w:r>
      <w:r w:rsidR="003739A2">
        <w:t xml:space="preserve">Further, as we have noted in connection with the admission of crime scene photographs during the penalty phase, </w:t>
      </w:r>
      <w:r w:rsidR="003739A2" w:rsidRPr="003739A2">
        <w:rPr>
          <w:szCs w:val="26"/>
        </w:rPr>
        <w:t>“ ‘t</w:t>
      </w:r>
      <w:r w:rsidR="003739A2">
        <w:rPr>
          <w:szCs w:val="26"/>
          <w:shd w:val="clear" w:color="auto" w:fill="FFFFFF"/>
        </w:rPr>
        <w:t>he trial court’</w:t>
      </w:r>
      <w:r w:rsidR="003739A2" w:rsidRPr="003739A2">
        <w:rPr>
          <w:szCs w:val="26"/>
          <w:shd w:val="clear" w:color="auto" w:fill="FFFFFF"/>
        </w:rPr>
        <w:t xml:space="preserve">s discretion [at the penalty phase] to exclude circumstances-of-the-crime evidence as unduly prejudicial is more circumscribed than at the guilt phase. </w:t>
      </w:r>
      <w:r w:rsidR="003739A2">
        <w:rPr>
          <w:szCs w:val="26"/>
          <w:shd w:val="clear" w:color="auto" w:fill="FFFFFF"/>
        </w:rPr>
        <w:t xml:space="preserve"> </w:t>
      </w:r>
      <w:r w:rsidR="003739A2" w:rsidRPr="003739A2">
        <w:rPr>
          <w:szCs w:val="26"/>
          <w:shd w:val="clear" w:color="auto" w:fill="FFFFFF"/>
        </w:rPr>
        <w:t>During the guilt phase, there is a legitimate conce</w:t>
      </w:r>
      <w:r w:rsidR="003739A2">
        <w:rPr>
          <w:szCs w:val="26"/>
          <w:shd w:val="clear" w:color="auto" w:fill="FFFFFF"/>
        </w:rPr>
        <w:t xml:space="preserve">rn that crime scene photographs . . . </w:t>
      </w:r>
      <w:r w:rsidR="003739A2" w:rsidRPr="003739A2">
        <w:rPr>
          <w:szCs w:val="26"/>
          <w:shd w:val="clear" w:color="auto" w:fill="FFFFFF"/>
        </w:rPr>
        <w:t>can produce a visceral response that unfairly tempts jurors to find the defendant guilty of the</w:t>
      </w:r>
      <w:r w:rsidR="003739A2">
        <w:rPr>
          <w:szCs w:val="26"/>
          <w:shd w:val="clear" w:color="auto" w:fill="FFFFFF"/>
        </w:rPr>
        <w:t xml:space="preserve"> </w:t>
      </w:r>
      <w:r w:rsidR="003739A2" w:rsidRPr="003739A2">
        <w:rPr>
          <w:szCs w:val="26"/>
          <w:shd w:val="clear" w:color="auto" w:fill="FFFFFF"/>
        </w:rPr>
        <w:t>charged crimes.</w:t>
      </w:r>
      <w:r w:rsidR="003739A2">
        <w:rPr>
          <w:szCs w:val="26"/>
          <w:shd w:val="clear" w:color="auto" w:fill="FFFFFF"/>
        </w:rPr>
        <w:t xml:space="preserve"> </w:t>
      </w:r>
      <w:r w:rsidR="003739A2" w:rsidRPr="003739A2">
        <w:rPr>
          <w:szCs w:val="26"/>
          <w:shd w:val="clear" w:color="auto" w:fill="FFFFFF"/>
        </w:rPr>
        <w:t> </w:t>
      </w:r>
      <w:r w:rsidR="003739A2" w:rsidRPr="005A1D5D">
        <w:rPr>
          <w:rStyle w:val="ssit"/>
          <w:i/>
          <w:iCs/>
          <w:szCs w:val="26"/>
          <w:bdr w:val="none" w:sz="0" w:space="0" w:color="auto" w:frame="1"/>
          <w:shd w:val="clear" w:color="auto" w:fill="FFFFFF"/>
        </w:rPr>
        <w:t>Such concerns are greatly diminished at the penalty phase</w:t>
      </w:r>
      <w:r w:rsidR="003739A2" w:rsidRPr="003739A2">
        <w:rPr>
          <w:rStyle w:val="ssrfcpassagedeactivated"/>
          <w:szCs w:val="26"/>
          <w:bdr w:val="none" w:sz="0" w:space="0" w:color="auto" w:frame="1"/>
          <w:shd w:val="clear" w:color="auto" w:fill="FFFFFF"/>
        </w:rPr>
        <w:t> because the defendant has been found guilty of the charged crimes, and the jury</w:t>
      </w:r>
      <w:r w:rsidR="003739A2">
        <w:rPr>
          <w:rStyle w:val="ssrfcpassagedeactivated"/>
          <w:szCs w:val="26"/>
          <w:bdr w:val="none" w:sz="0" w:space="0" w:color="auto" w:frame="1"/>
          <w:shd w:val="clear" w:color="auto" w:fill="FFFFFF"/>
        </w:rPr>
        <w:t>’</w:t>
      </w:r>
      <w:r w:rsidR="003739A2" w:rsidRPr="003739A2">
        <w:rPr>
          <w:rStyle w:val="ssrfcpassagedeactivated"/>
          <w:szCs w:val="26"/>
          <w:bdr w:val="none" w:sz="0" w:space="0" w:color="auto" w:frame="1"/>
          <w:shd w:val="clear" w:color="auto" w:fill="FFFFFF"/>
        </w:rPr>
        <w:t>s discretion is focused on the circumstances of those crimes so</w:t>
      </w:r>
      <w:r w:rsidR="003739A2">
        <w:rPr>
          <w:rStyle w:val="ssrfcpassagedeactivated"/>
          <w:szCs w:val="26"/>
          <w:bdr w:val="none" w:sz="0" w:space="0" w:color="auto" w:frame="1"/>
          <w:shd w:val="clear" w:color="auto" w:fill="FFFFFF"/>
        </w:rPr>
        <w:t>lely to determine the defendant’</w:t>
      </w:r>
      <w:r w:rsidR="003739A2" w:rsidRPr="003739A2">
        <w:rPr>
          <w:rStyle w:val="ssrfcpassagedeactivated"/>
          <w:szCs w:val="26"/>
          <w:bdr w:val="none" w:sz="0" w:space="0" w:color="auto" w:frame="1"/>
          <w:shd w:val="clear" w:color="auto" w:fill="FFFFFF"/>
        </w:rPr>
        <w:t xml:space="preserve">s sentence. </w:t>
      </w:r>
      <w:r w:rsidR="003739A2">
        <w:rPr>
          <w:rStyle w:val="ssrfcpassagedeactivated"/>
          <w:szCs w:val="26"/>
          <w:bdr w:val="none" w:sz="0" w:space="0" w:color="auto" w:frame="1"/>
          <w:shd w:val="clear" w:color="auto" w:fill="FFFFFF"/>
        </w:rPr>
        <w:t xml:space="preserve"> </w:t>
      </w:r>
      <w:r w:rsidR="003739A2" w:rsidRPr="003739A2">
        <w:rPr>
          <w:rStyle w:val="ssrfcpassagedeactivated"/>
          <w:szCs w:val="26"/>
          <w:bdr w:val="none" w:sz="0" w:space="0" w:color="auto" w:frame="1"/>
          <w:shd w:val="clear" w:color="auto" w:fill="FFFFFF"/>
        </w:rPr>
        <w:t>Indeed, the sentencer is </w:t>
      </w:r>
      <w:r w:rsidR="003739A2" w:rsidRPr="003739A2">
        <w:rPr>
          <w:rStyle w:val="ssit"/>
          <w:i/>
          <w:iCs/>
          <w:szCs w:val="26"/>
          <w:bdr w:val="none" w:sz="0" w:space="0" w:color="auto" w:frame="1"/>
          <w:shd w:val="clear" w:color="auto" w:fill="FFFFFF"/>
        </w:rPr>
        <w:t>expected</w:t>
      </w:r>
      <w:r w:rsidR="003739A2" w:rsidRPr="003739A2">
        <w:rPr>
          <w:rStyle w:val="ssrfcpassagedeactivated"/>
          <w:szCs w:val="26"/>
          <w:bdr w:val="none" w:sz="0" w:space="0" w:color="auto" w:frame="1"/>
          <w:shd w:val="clear" w:color="auto" w:fill="FFFFFF"/>
        </w:rPr>
        <w:t> to subjectively weigh the evidence, and the prosecution is entitled to place the capital offense and the offender in a morally bad light.</w:t>
      </w:r>
      <w:r w:rsidR="003739A2">
        <w:rPr>
          <w:rStyle w:val="ssrfcpassagedeactivated"/>
          <w:szCs w:val="26"/>
          <w:bdr w:val="none" w:sz="0" w:space="0" w:color="auto" w:frame="1"/>
          <w:shd w:val="clear" w:color="auto" w:fill="FFFFFF"/>
        </w:rPr>
        <w:t xml:space="preserve">’ </w:t>
      </w:r>
      <w:r w:rsidR="003739A2" w:rsidRPr="003739A2">
        <w:rPr>
          <w:rStyle w:val="ssrfcpassagedeactivated"/>
          <w:szCs w:val="26"/>
          <w:bdr w:val="none" w:sz="0" w:space="0" w:color="auto" w:frame="1"/>
          <w:shd w:val="clear" w:color="auto" w:fill="FFFFFF"/>
        </w:rPr>
        <w:t xml:space="preserve">” </w:t>
      </w:r>
      <w:r w:rsidR="003739A2">
        <w:rPr>
          <w:rStyle w:val="ssrfcpassagedeactivated"/>
          <w:szCs w:val="26"/>
          <w:bdr w:val="none" w:sz="0" w:space="0" w:color="auto" w:frame="1"/>
          <w:shd w:val="clear" w:color="auto" w:fill="FFFFFF"/>
        </w:rPr>
        <w:t xml:space="preserve"> </w:t>
      </w:r>
      <w:r w:rsidR="003739A2" w:rsidRPr="003739A2">
        <w:rPr>
          <w:rStyle w:val="ssrfcpassagedeactivated"/>
          <w:szCs w:val="26"/>
          <w:bdr w:val="none" w:sz="0" w:space="0" w:color="auto" w:frame="1"/>
          <w:shd w:val="clear" w:color="auto" w:fill="FFFFFF"/>
        </w:rPr>
        <w:t>(</w:t>
      </w:r>
      <w:r w:rsidR="003739A2">
        <w:rPr>
          <w:rStyle w:val="ssrfcpassagedeactivated"/>
          <w:i/>
          <w:szCs w:val="26"/>
          <w:bdr w:val="none" w:sz="0" w:space="0" w:color="auto" w:frame="1"/>
          <w:shd w:val="clear" w:color="auto" w:fill="FFFFFF"/>
        </w:rPr>
        <w:t xml:space="preserve">People v. Moon </w:t>
      </w:r>
      <w:r w:rsidR="003739A2">
        <w:rPr>
          <w:rStyle w:val="ssrfcpassagedeactivated"/>
          <w:szCs w:val="26"/>
          <w:bdr w:val="none" w:sz="0" w:space="0" w:color="auto" w:frame="1"/>
          <w:shd w:val="clear" w:color="auto" w:fill="FFFFFF"/>
        </w:rPr>
        <w:t>(2005) 37</w:t>
      </w:r>
      <w:r w:rsidR="00F73377">
        <w:rPr>
          <w:rStyle w:val="ssrfcpassagedeactivated"/>
          <w:szCs w:val="26"/>
          <w:bdr w:val="none" w:sz="0" w:space="0" w:color="auto" w:frame="1"/>
          <w:shd w:val="clear" w:color="auto" w:fill="FFFFFF"/>
        </w:rPr>
        <w:t> </w:t>
      </w:r>
      <w:r w:rsidR="003739A2">
        <w:rPr>
          <w:rStyle w:val="ssrfcpassagedeactivated"/>
          <w:szCs w:val="26"/>
          <w:bdr w:val="none" w:sz="0" w:space="0" w:color="auto" w:frame="1"/>
          <w:shd w:val="clear" w:color="auto" w:fill="FFFFFF"/>
        </w:rPr>
        <w:t>Cal.4th 1, 35</w:t>
      </w:r>
      <w:r w:rsidR="003739A2" w:rsidRPr="003739A2">
        <w:rPr>
          <w:rStyle w:val="ssrfcpassagedeactivated"/>
          <w:szCs w:val="26"/>
          <w:bdr w:val="none" w:sz="0" w:space="0" w:color="auto" w:frame="1"/>
          <w:shd w:val="clear" w:color="auto" w:fill="FFFFFF"/>
        </w:rPr>
        <w:t>.)</w:t>
      </w:r>
      <w:r w:rsidR="003739A2">
        <w:rPr>
          <w:rStyle w:val="ssrfcpassagedeactivated"/>
          <w:szCs w:val="26"/>
          <w:bdr w:val="none" w:sz="0" w:space="0" w:color="auto" w:frame="1"/>
          <w:shd w:val="clear" w:color="auto" w:fill="FFFFFF"/>
        </w:rPr>
        <w:t xml:space="preserve">  </w:t>
      </w:r>
      <w:r w:rsidR="005125E8">
        <w:rPr>
          <w:szCs w:val="26"/>
          <w:shd w:val="clear" w:color="auto" w:fill="FFFFFF"/>
        </w:rPr>
        <w:t>We review a trial court’s decision to admit evidence over a</w:t>
      </w:r>
      <w:r w:rsidR="009A1840">
        <w:rPr>
          <w:szCs w:val="26"/>
          <w:shd w:val="clear" w:color="auto" w:fill="FFFFFF"/>
        </w:rPr>
        <w:t>n Evidence Code</w:t>
      </w:r>
      <w:r w:rsidR="005125E8">
        <w:rPr>
          <w:szCs w:val="26"/>
          <w:shd w:val="clear" w:color="auto" w:fill="FFFFFF"/>
        </w:rPr>
        <w:t xml:space="preserve"> section 352 objection for abuse of discretion.  (</w:t>
      </w:r>
      <w:r w:rsidR="005125E8">
        <w:rPr>
          <w:i/>
          <w:szCs w:val="26"/>
          <w:shd w:val="clear" w:color="auto" w:fill="FFFFFF"/>
        </w:rPr>
        <w:t>Eubanks</w:t>
      </w:r>
      <w:r w:rsidR="005125E8">
        <w:rPr>
          <w:szCs w:val="26"/>
          <w:shd w:val="clear" w:color="auto" w:fill="FFFFFF"/>
        </w:rPr>
        <w:t>, at pp.</w:t>
      </w:r>
      <w:r w:rsidR="00F73377">
        <w:rPr>
          <w:szCs w:val="26"/>
          <w:shd w:val="clear" w:color="auto" w:fill="FFFFFF"/>
        </w:rPr>
        <w:t> </w:t>
      </w:r>
      <w:r w:rsidR="005125E8">
        <w:rPr>
          <w:szCs w:val="26"/>
          <w:shd w:val="clear" w:color="auto" w:fill="FFFFFF"/>
        </w:rPr>
        <w:t>144-145.)</w:t>
      </w:r>
      <w:r w:rsidRPr="00055497">
        <w:rPr>
          <w:szCs w:val="26"/>
        </w:rPr>
        <w:t xml:space="preserve"> </w:t>
      </w:r>
      <w:r w:rsidR="003739A2">
        <w:rPr>
          <w:szCs w:val="26"/>
        </w:rPr>
        <w:t xml:space="preserve"> </w:t>
      </w:r>
    </w:p>
    <w:p w:rsidR="00047F4E" w:rsidRDefault="00944CF3" w:rsidP="00047F4E">
      <w:pPr>
        <w:pStyle w:val="NormalIndent"/>
        <w:spacing w:line="480" w:lineRule="atLeast"/>
        <w:ind w:left="0"/>
      </w:pPr>
      <w:r>
        <w:rPr>
          <w:szCs w:val="26"/>
        </w:rPr>
        <w:tab/>
      </w:r>
      <w:r w:rsidR="00CC78E3">
        <w:rPr>
          <w:szCs w:val="26"/>
        </w:rPr>
        <w:t xml:space="preserve">A crime </w:t>
      </w:r>
      <w:r w:rsidR="000D6C78">
        <w:rPr>
          <w:szCs w:val="26"/>
        </w:rPr>
        <w:t>involvin</w:t>
      </w:r>
      <w:r w:rsidR="00CC78E3">
        <w:rPr>
          <w:szCs w:val="26"/>
        </w:rPr>
        <w:t xml:space="preserve">g the degree </w:t>
      </w:r>
      <w:r w:rsidR="000D6C78">
        <w:rPr>
          <w:szCs w:val="26"/>
        </w:rPr>
        <w:t>of violence</w:t>
      </w:r>
      <w:r w:rsidR="00CC78E3">
        <w:rPr>
          <w:szCs w:val="26"/>
        </w:rPr>
        <w:t xml:space="preserve"> demonstrated here is in some manner incomprehensible and inexplicable.  In attempting to </w:t>
      </w:r>
      <w:r w:rsidR="009A1840">
        <w:rPr>
          <w:szCs w:val="26"/>
        </w:rPr>
        <w:t>af</w:t>
      </w:r>
      <w:r w:rsidR="00CC78E3">
        <w:rPr>
          <w:szCs w:val="26"/>
        </w:rPr>
        <w:t>fix the appropriate penalty, t</w:t>
      </w:r>
      <w:r>
        <w:rPr>
          <w:szCs w:val="26"/>
        </w:rPr>
        <w:t xml:space="preserve">he jury was entitled to </w:t>
      </w:r>
      <w:r w:rsidR="00CC78E3">
        <w:rPr>
          <w:szCs w:val="26"/>
        </w:rPr>
        <w:t>hear</w:t>
      </w:r>
      <w:r>
        <w:rPr>
          <w:szCs w:val="26"/>
        </w:rPr>
        <w:t xml:space="preserve"> evidence bearing on the factors that </w:t>
      </w:r>
      <w:r w:rsidR="006E7C39">
        <w:rPr>
          <w:szCs w:val="26"/>
        </w:rPr>
        <w:t xml:space="preserve">possibly </w:t>
      </w:r>
      <w:r>
        <w:rPr>
          <w:szCs w:val="26"/>
        </w:rPr>
        <w:t xml:space="preserve">brought </w:t>
      </w:r>
      <w:r w:rsidR="00E445D8">
        <w:rPr>
          <w:szCs w:val="26"/>
        </w:rPr>
        <w:t>on the violence</w:t>
      </w:r>
      <w:r>
        <w:rPr>
          <w:szCs w:val="26"/>
        </w:rPr>
        <w:t xml:space="preserve">, whether, in the defense’s view, defendant’s mental instability, or otherwise.  </w:t>
      </w:r>
      <w:r w:rsidR="006E7C39">
        <w:rPr>
          <w:szCs w:val="26"/>
        </w:rPr>
        <w:t xml:space="preserve">One of those possible factors was Epperson’s past intimate relationship, and her continued personal relationship, with an African-American man.  </w:t>
      </w:r>
      <w:r w:rsidR="00047F4E">
        <w:rPr>
          <w:szCs w:val="26"/>
        </w:rPr>
        <w:t>Although</w:t>
      </w:r>
      <w:r w:rsidR="00CC78E3">
        <w:rPr>
          <w:szCs w:val="26"/>
        </w:rPr>
        <w:t xml:space="preserve"> we recognize the </w:t>
      </w:r>
      <w:r w:rsidR="003739A2">
        <w:rPr>
          <w:szCs w:val="26"/>
        </w:rPr>
        <w:t xml:space="preserve">potential adverse consequences resulting from </w:t>
      </w:r>
      <w:r w:rsidR="00CC78E3">
        <w:rPr>
          <w:szCs w:val="26"/>
        </w:rPr>
        <w:t xml:space="preserve">the introduction of evidence suggesting defendant held racist beliefs, </w:t>
      </w:r>
      <w:r w:rsidR="003739A2">
        <w:rPr>
          <w:szCs w:val="26"/>
        </w:rPr>
        <w:t xml:space="preserve">those consequences do not constitute </w:t>
      </w:r>
      <w:r w:rsidR="003739A2">
        <w:rPr>
          <w:i/>
          <w:szCs w:val="26"/>
        </w:rPr>
        <w:t xml:space="preserve">undue </w:t>
      </w:r>
      <w:r w:rsidR="003739A2">
        <w:rPr>
          <w:szCs w:val="26"/>
        </w:rPr>
        <w:t xml:space="preserve">prejudice because </w:t>
      </w:r>
      <w:r w:rsidR="00437125">
        <w:rPr>
          <w:szCs w:val="26"/>
        </w:rPr>
        <w:t>his alleged</w:t>
      </w:r>
      <w:r w:rsidR="003739A2">
        <w:rPr>
          <w:szCs w:val="26"/>
        </w:rPr>
        <w:t xml:space="preserve"> beliefs might have contributed to the commission of the crime.  </w:t>
      </w:r>
      <w:r>
        <w:rPr>
          <w:szCs w:val="26"/>
        </w:rPr>
        <w:t>In these circumstances, we find no abuse of discretion in the trial court’s conclusion that the risk of undue prejudice was outweighed by the probative value of the evidence.</w:t>
      </w:r>
      <w:r w:rsidR="00047F4E">
        <w:t xml:space="preserve"> </w:t>
      </w:r>
    </w:p>
    <w:p w:rsidR="002B4279" w:rsidRPr="006E7C39" w:rsidRDefault="00A83E63" w:rsidP="00047F4E">
      <w:pPr>
        <w:pStyle w:val="Heading3"/>
      </w:pPr>
      <w:bookmarkStart w:id="29" w:name="_Toc508625889"/>
      <w:r>
        <w:t xml:space="preserve">2.  </w:t>
      </w:r>
      <w:r w:rsidR="002B4279">
        <w:t xml:space="preserve">Imposition of the </w:t>
      </w:r>
      <w:r w:rsidR="00AD2C9B">
        <w:t>death p</w:t>
      </w:r>
      <w:r w:rsidR="00F86730">
        <w:t xml:space="preserve">enalty on a </w:t>
      </w:r>
      <w:r w:rsidR="00AD2C9B">
        <w:t>mentally i</w:t>
      </w:r>
      <w:r w:rsidR="00F86730">
        <w:t xml:space="preserve">ll </w:t>
      </w:r>
      <w:r w:rsidR="00AD2C9B">
        <w:t>d</w:t>
      </w:r>
      <w:r w:rsidR="00F86730">
        <w:t>efendant</w:t>
      </w:r>
      <w:r w:rsidR="006E7C39">
        <w:t xml:space="preserve"> </w:t>
      </w:r>
      <w:r w:rsidR="00AD2C9B">
        <w:t>does not violate the Eighth Amendment</w:t>
      </w:r>
      <w:bookmarkEnd w:id="29"/>
    </w:p>
    <w:p w:rsidR="002B4279" w:rsidRDefault="002B4279" w:rsidP="00F86730">
      <w:pPr>
        <w:pStyle w:val="NormalIndent"/>
        <w:spacing w:line="480" w:lineRule="atLeast"/>
        <w:ind w:left="0" w:firstLine="720"/>
      </w:pPr>
      <w:r>
        <w:t xml:space="preserve">Defendant contends </w:t>
      </w:r>
      <w:r w:rsidR="00F86730">
        <w:t>that even if he was not</w:t>
      </w:r>
      <w:r w:rsidR="00F460CE">
        <w:t xml:space="preserve"> found to be</w:t>
      </w:r>
      <w:r w:rsidR="00F86730">
        <w:t xml:space="preserve"> legally insane at the time of the killing, the evidence demonstrates that he was </w:t>
      </w:r>
      <w:r w:rsidR="00F460CE">
        <w:t xml:space="preserve">and is </w:t>
      </w:r>
      <w:r w:rsidR="00F86730">
        <w:t xml:space="preserve">mentally ill.  He contends that imposition of the death penalty on a mentally ill </w:t>
      </w:r>
      <w:r w:rsidR="00F547B6">
        <w:t>person violates the Eighth Amendment’s prohibition against cruel and unusual punishment.</w:t>
      </w:r>
    </w:p>
    <w:p w:rsidR="006E7C39" w:rsidRDefault="00F547B6" w:rsidP="00F73377">
      <w:pPr>
        <w:pStyle w:val="NormalIndent"/>
        <w:spacing w:line="480" w:lineRule="atLeast"/>
        <w:ind w:left="0" w:right="-180" w:firstLine="720"/>
        <w:rPr>
          <w:rStyle w:val="ssrfcpassagedeactivated"/>
          <w:szCs w:val="26"/>
          <w:bdr w:val="none" w:sz="0" w:space="0" w:color="auto" w:frame="1"/>
          <w:shd w:val="clear" w:color="auto" w:fill="FFFFFF"/>
        </w:rPr>
      </w:pPr>
      <w:r>
        <w:t xml:space="preserve">We considered the identical argument </w:t>
      </w:r>
      <w:r w:rsidR="006E7C39">
        <w:t>i</w:t>
      </w:r>
      <w:r>
        <w:t xml:space="preserve">n </w:t>
      </w:r>
      <w:r>
        <w:rPr>
          <w:i/>
        </w:rPr>
        <w:t>Hajek and Vo</w:t>
      </w:r>
      <w:r>
        <w:t xml:space="preserve">, </w:t>
      </w:r>
      <w:r>
        <w:rPr>
          <w:i/>
        </w:rPr>
        <w:t>supra</w:t>
      </w:r>
      <w:r>
        <w:t>,</w:t>
      </w:r>
      <w:r>
        <w:rPr>
          <w:i/>
        </w:rPr>
        <w:t xml:space="preserve"> </w:t>
      </w:r>
      <w:r>
        <w:t xml:space="preserve">58 Cal.4th 1144, concluding that </w:t>
      </w:r>
      <w:r w:rsidR="00CE21E9">
        <w:t xml:space="preserve">neither </w:t>
      </w:r>
      <w:r>
        <w:t xml:space="preserve">the Eighth Amendment </w:t>
      </w:r>
      <w:r w:rsidR="00CE21E9">
        <w:t xml:space="preserve">nor </w:t>
      </w:r>
      <w:r w:rsidR="00F460CE">
        <w:t>United States Supreme Court authority preclude</w:t>
      </w:r>
      <w:r w:rsidR="00CE21E9">
        <w:t>s</w:t>
      </w:r>
      <w:r w:rsidR="00F460CE">
        <w:t xml:space="preserve"> imposition of the death penalty on mentally ill persons.  </w:t>
      </w:r>
      <w:r w:rsidR="005210F5" w:rsidRPr="00F547B6">
        <w:rPr>
          <w:rStyle w:val="ssrfcpassagedeactivated"/>
          <w:szCs w:val="26"/>
          <w:bdr w:val="none" w:sz="0" w:space="0" w:color="auto" w:frame="1"/>
          <w:shd w:val="clear" w:color="auto" w:fill="FFFFFF"/>
        </w:rPr>
        <w:t>(</w:t>
      </w:r>
      <w:r w:rsidR="005210F5">
        <w:rPr>
          <w:rStyle w:val="ssrfcpassagedeactivated"/>
          <w:i/>
          <w:szCs w:val="26"/>
          <w:bdr w:val="none" w:sz="0" w:space="0" w:color="auto" w:frame="1"/>
          <w:shd w:val="clear" w:color="auto" w:fill="FFFFFF"/>
        </w:rPr>
        <w:t>Id.</w:t>
      </w:r>
      <w:r w:rsidR="005210F5">
        <w:rPr>
          <w:rStyle w:val="ssrfcpassagedeactivated"/>
          <w:szCs w:val="26"/>
          <w:bdr w:val="none" w:sz="0" w:space="0" w:color="auto" w:frame="1"/>
          <w:shd w:val="clear" w:color="auto" w:fill="FFFFFF"/>
        </w:rPr>
        <w:t xml:space="preserve">, at p. 1251.) </w:t>
      </w:r>
      <w:r w:rsidR="00F460CE">
        <w:t xml:space="preserve"> </w:t>
      </w:r>
      <w:r>
        <w:t xml:space="preserve">As we </w:t>
      </w:r>
      <w:r w:rsidR="005A1D5D">
        <w:t>hel</w:t>
      </w:r>
      <w:r>
        <w:t>d</w:t>
      </w:r>
      <w:r w:rsidRPr="00F547B6">
        <w:rPr>
          <w:szCs w:val="26"/>
        </w:rPr>
        <w:t xml:space="preserve">, </w:t>
      </w:r>
      <w:r w:rsidRPr="00F547B6">
        <w:rPr>
          <w:szCs w:val="26"/>
          <w:shd w:val="clear" w:color="auto" w:fill="FFFFFF"/>
        </w:rPr>
        <w:t>“</w:t>
      </w:r>
      <w:r>
        <w:rPr>
          <w:szCs w:val="26"/>
          <w:shd w:val="clear" w:color="auto" w:fill="FFFFFF"/>
        </w:rPr>
        <w:t>[m]</w:t>
      </w:r>
      <w:r w:rsidRPr="00F547B6">
        <w:rPr>
          <w:szCs w:val="26"/>
          <w:shd w:val="clear" w:color="auto" w:fill="FFFFFF"/>
        </w:rPr>
        <w:t xml:space="preserve">ost significantly, the circumstance that an individual committed murder while suffering from a serious mental illness that impaired his judgment, rationality, and impulse control does not necessarily mean he is not morally responsible for the killing. </w:t>
      </w:r>
      <w:r>
        <w:rPr>
          <w:szCs w:val="26"/>
          <w:shd w:val="clear" w:color="auto" w:fill="FFFFFF"/>
        </w:rPr>
        <w:t xml:space="preserve"> </w:t>
      </w:r>
      <w:r w:rsidRPr="00F547B6">
        <w:rPr>
          <w:szCs w:val="26"/>
          <w:shd w:val="clear" w:color="auto" w:fill="FFFFFF"/>
        </w:rPr>
        <w:t>There are a number of different conditions recognized as mental illnesses, and the degree and manner of impairment in a particular individual is often the subject of expert dispute. </w:t>
      </w:r>
      <w:r>
        <w:rPr>
          <w:szCs w:val="26"/>
          <w:shd w:val="clear" w:color="auto" w:fill="FFFFFF"/>
        </w:rPr>
        <w:t xml:space="preserve"> </w:t>
      </w:r>
      <w:r w:rsidRPr="00F547B6">
        <w:rPr>
          <w:rStyle w:val="ssrfcpassagedeactivated"/>
          <w:szCs w:val="26"/>
          <w:bdr w:val="none" w:sz="0" w:space="0" w:color="auto" w:frame="1"/>
          <w:shd w:val="clear" w:color="auto" w:fill="FFFFFF"/>
        </w:rPr>
        <w:t xml:space="preserve">Thus, while it may be that mentally ill offenders who are utterly unable to control their behavior lack the extreme culpability associated with capital punishment, there is likely little consensus on which individuals fall within that category or precisely where the line of impairment should be drawn. </w:t>
      </w:r>
      <w:r>
        <w:rPr>
          <w:rStyle w:val="ssrfcpassagedeactivated"/>
          <w:szCs w:val="26"/>
          <w:bdr w:val="none" w:sz="0" w:space="0" w:color="auto" w:frame="1"/>
          <w:shd w:val="clear" w:color="auto" w:fill="FFFFFF"/>
        </w:rPr>
        <w:t xml:space="preserve"> </w:t>
      </w:r>
      <w:r w:rsidRPr="00F547B6">
        <w:rPr>
          <w:rStyle w:val="ssrfcpassagedeactivated"/>
          <w:szCs w:val="26"/>
          <w:bdr w:val="none" w:sz="0" w:space="0" w:color="auto" w:frame="1"/>
          <w:shd w:val="clear" w:color="auto" w:fill="FFFFFF"/>
        </w:rPr>
        <w:t xml:space="preserve">Thus, we are not prepared to say that executing a mentally ill murderer would not serve societal goals of retribution and deterrence. </w:t>
      </w:r>
      <w:r>
        <w:rPr>
          <w:rStyle w:val="ssrfcpassagedeactivated"/>
          <w:szCs w:val="26"/>
          <w:bdr w:val="none" w:sz="0" w:space="0" w:color="auto" w:frame="1"/>
          <w:shd w:val="clear" w:color="auto" w:fill="FFFFFF"/>
        </w:rPr>
        <w:t xml:space="preserve"> </w:t>
      </w:r>
      <w:r w:rsidRPr="00F547B6">
        <w:rPr>
          <w:rStyle w:val="ssrfcpassagedeactivated"/>
          <w:szCs w:val="26"/>
          <w:bdr w:val="none" w:sz="0" w:space="0" w:color="auto" w:frame="1"/>
          <w:shd w:val="clear" w:color="auto" w:fill="FFFFFF"/>
        </w:rPr>
        <w:t xml:space="preserve">We leave it to the Legislature, if it chooses, to determine exactly the type and level of mental impairment that must be shown to warrant a categorical exemption from the death penalty.” </w:t>
      </w:r>
      <w:r>
        <w:rPr>
          <w:rStyle w:val="ssrfcpassagedeactivated"/>
          <w:szCs w:val="26"/>
          <w:bdr w:val="none" w:sz="0" w:space="0" w:color="auto" w:frame="1"/>
          <w:shd w:val="clear" w:color="auto" w:fill="FFFFFF"/>
        </w:rPr>
        <w:t xml:space="preserve"> </w:t>
      </w:r>
      <w:r w:rsidRPr="00F547B6">
        <w:rPr>
          <w:rStyle w:val="ssrfcpassagedeactivated"/>
          <w:szCs w:val="26"/>
          <w:bdr w:val="none" w:sz="0" w:space="0" w:color="auto" w:frame="1"/>
          <w:shd w:val="clear" w:color="auto" w:fill="FFFFFF"/>
        </w:rPr>
        <w:t>(</w:t>
      </w:r>
      <w:r>
        <w:rPr>
          <w:rStyle w:val="ssrfcpassagedeactivated"/>
          <w:i/>
          <w:szCs w:val="26"/>
          <w:bdr w:val="none" w:sz="0" w:space="0" w:color="auto" w:frame="1"/>
          <w:shd w:val="clear" w:color="auto" w:fill="FFFFFF"/>
        </w:rPr>
        <w:t>Id.</w:t>
      </w:r>
      <w:r>
        <w:rPr>
          <w:rStyle w:val="ssrfcpassagedeactivated"/>
          <w:szCs w:val="26"/>
          <w:bdr w:val="none" w:sz="0" w:space="0" w:color="auto" w:frame="1"/>
          <w:shd w:val="clear" w:color="auto" w:fill="FFFFFF"/>
        </w:rPr>
        <w:t xml:space="preserve">, at p. 1252.)  </w:t>
      </w:r>
    </w:p>
    <w:p w:rsidR="002B4279" w:rsidRDefault="00F460CE" w:rsidP="00F73377">
      <w:pPr>
        <w:pStyle w:val="NormalIndent"/>
        <w:spacing w:line="480" w:lineRule="atLeast"/>
        <w:ind w:left="0" w:right="-360" w:firstLine="720"/>
        <w:rPr>
          <w:szCs w:val="26"/>
        </w:rPr>
      </w:pPr>
      <w:r>
        <w:rPr>
          <w:rStyle w:val="ssrfcpassagedeactivated"/>
          <w:szCs w:val="26"/>
          <w:bdr w:val="none" w:sz="0" w:space="0" w:color="auto" w:frame="1"/>
          <w:shd w:val="clear" w:color="auto" w:fill="FFFFFF"/>
        </w:rPr>
        <w:t>Soon after</w:t>
      </w:r>
      <w:r w:rsidR="006E7C39">
        <w:rPr>
          <w:rStyle w:val="ssrfcpassagedeactivated"/>
          <w:szCs w:val="26"/>
          <w:bdr w:val="none" w:sz="0" w:space="0" w:color="auto" w:frame="1"/>
          <w:shd w:val="clear" w:color="auto" w:fill="FFFFFF"/>
        </w:rPr>
        <w:t xml:space="preserve"> the issuance of </w:t>
      </w:r>
      <w:r w:rsidR="006E7C39">
        <w:rPr>
          <w:rStyle w:val="ssrfcpassagedeactivated"/>
          <w:i/>
          <w:szCs w:val="26"/>
          <w:bdr w:val="none" w:sz="0" w:space="0" w:color="auto" w:frame="1"/>
          <w:shd w:val="clear" w:color="auto" w:fill="FFFFFF"/>
        </w:rPr>
        <w:t>Hajek and Vo</w:t>
      </w:r>
      <w:r w:rsidR="00F547B6">
        <w:rPr>
          <w:rStyle w:val="ssrfcpassagedeactivated"/>
          <w:szCs w:val="26"/>
          <w:bdr w:val="none" w:sz="0" w:space="0" w:color="auto" w:frame="1"/>
          <w:shd w:val="clear" w:color="auto" w:fill="FFFFFF"/>
        </w:rPr>
        <w:t xml:space="preserve">, </w:t>
      </w:r>
      <w:r w:rsidR="006E7C39">
        <w:rPr>
          <w:rStyle w:val="ssrfcpassagedeactivated"/>
          <w:szCs w:val="26"/>
          <w:bdr w:val="none" w:sz="0" w:space="0" w:color="auto" w:frame="1"/>
          <w:shd w:val="clear" w:color="auto" w:fill="FFFFFF"/>
        </w:rPr>
        <w:t xml:space="preserve">our decision </w:t>
      </w:r>
      <w:r w:rsidR="00F547B6">
        <w:rPr>
          <w:rStyle w:val="ssrfcpassagedeactivated"/>
          <w:szCs w:val="26"/>
          <w:bdr w:val="none" w:sz="0" w:space="0" w:color="auto" w:frame="1"/>
          <w:shd w:val="clear" w:color="auto" w:fill="FFFFFF"/>
        </w:rPr>
        <w:t xml:space="preserve">in </w:t>
      </w:r>
      <w:r w:rsidR="00F547B6">
        <w:rPr>
          <w:rStyle w:val="ssrfcpassagedeactivated"/>
          <w:i/>
          <w:szCs w:val="26"/>
          <w:bdr w:val="none" w:sz="0" w:space="0" w:color="auto" w:frame="1"/>
          <w:shd w:val="clear" w:color="auto" w:fill="FFFFFF"/>
        </w:rPr>
        <w:t xml:space="preserve">People v. Mendoza </w:t>
      </w:r>
      <w:r w:rsidR="00F547B6">
        <w:rPr>
          <w:rStyle w:val="ssrfcpassagedeactivated"/>
          <w:szCs w:val="26"/>
          <w:bdr w:val="none" w:sz="0" w:space="0" w:color="auto" w:frame="1"/>
          <w:shd w:val="clear" w:color="auto" w:fill="FFFFFF"/>
        </w:rPr>
        <w:t xml:space="preserve">(2016) </w:t>
      </w:r>
      <w:r>
        <w:rPr>
          <w:rStyle w:val="ssrfcpassagedeactivated"/>
          <w:szCs w:val="26"/>
          <w:bdr w:val="none" w:sz="0" w:space="0" w:color="auto" w:frame="1"/>
          <w:shd w:val="clear" w:color="auto" w:fill="FFFFFF"/>
        </w:rPr>
        <w:t>62 Cal.4th 856 (</w:t>
      </w:r>
      <w:r>
        <w:rPr>
          <w:rStyle w:val="ssrfcpassagedeactivated"/>
          <w:i/>
          <w:szCs w:val="26"/>
          <w:bdr w:val="none" w:sz="0" w:space="0" w:color="auto" w:frame="1"/>
          <w:shd w:val="clear" w:color="auto" w:fill="FFFFFF"/>
        </w:rPr>
        <w:t>Mendoza</w:t>
      </w:r>
      <w:r>
        <w:rPr>
          <w:rStyle w:val="ssrfcpassagedeactivated"/>
          <w:szCs w:val="26"/>
          <w:bdr w:val="none" w:sz="0" w:space="0" w:color="auto" w:frame="1"/>
          <w:shd w:val="clear" w:color="auto" w:fill="FFFFFF"/>
        </w:rPr>
        <w:t xml:space="preserve">), </w:t>
      </w:r>
      <w:r w:rsidR="005210F5">
        <w:rPr>
          <w:rStyle w:val="ssrfcpassagedeactivated"/>
          <w:szCs w:val="26"/>
          <w:bdr w:val="none" w:sz="0" w:space="0" w:color="auto" w:frame="1"/>
          <w:shd w:val="clear" w:color="auto" w:fill="FFFFFF"/>
        </w:rPr>
        <w:t xml:space="preserve">re-affirmed </w:t>
      </w:r>
      <w:r w:rsidR="006E7C39">
        <w:rPr>
          <w:rStyle w:val="ssrfcpassagedeactivated"/>
          <w:szCs w:val="26"/>
          <w:bdr w:val="none" w:sz="0" w:space="0" w:color="auto" w:frame="1"/>
          <w:shd w:val="clear" w:color="auto" w:fill="FFFFFF"/>
        </w:rPr>
        <w:t>it</w:t>
      </w:r>
      <w:r w:rsidR="005210F5">
        <w:rPr>
          <w:rStyle w:val="ssrfcpassagedeactivated"/>
          <w:szCs w:val="26"/>
          <w:bdr w:val="none" w:sz="0" w:space="0" w:color="auto" w:frame="1"/>
          <w:shd w:val="clear" w:color="auto" w:fill="FFFFFF"/>
        </w:rPr>
        <w:t>s</w:t>
      </w:r>
      <w:r>
        <w:rPr>
          <w:rStyle w:val="ssrfcpassagedeactivated"/>
          <w:szCs w:val="26"/>
          <w:bdr w:val="none" w:sz="0" w:space="0" w:color="auto" w:frame="1"/>
          <w:shd w:val="clear" w:color="auto" w:fill="FFFFFF"/>
        </w:rPr>
        <w:t xml:space="preserve"> holding</w:t>
      </w:r>
      <w:r w:rsidR="00A83E63">
        <w:rPr>
          <w:rStyle w:val="ssrfcpassagedeactivated"/>
          <w:szCs w:val="26"/>
          <w:bdr w:val="none" w:sz="0" w:space="0" w:color="auto" w:frame="1"/>
          <w:shd w:val="clear" w:color="auto" w:fill="FFFFFF"/>
        </w:rPr>
        <w:t>.  We</w:t>
      </w:r>
      <w:r>
        <w:rPr>
          <w:rStyle w:val="ssrfcpassagedeactivated"/>
          <w:szCs w:val="26"/>
          <w:bdr w:val="none" w:sz="0" w:space="0" w:color="auto" w:frame="1"/>
          <w:shd w:val="clear" w:color="auto" w:fill="FFFFFF"/>
        </w:rPr>
        <w:t xml:space="preserve"> not</w:t>
      </w:r>
      <w:r w:rsidR="00A83E63">
        <w:rPr>
          <w:rStyle w:val="ssrfcpassagedeactivated"/>
          <w:szCs w:val="26"/>
          <w:bdr w:val="none" w:sz="0" w:space="0" w:color="auto" w:frame="1"/>
          <w:shd w:val="clear" w:color="auto" w:fill="FFFFFF"/>
        </w:rPr>
        <w:t>ed</w:t>
      </w:r>
      <w:r>
        <w:rPr>
          <w:rStyle w:val="ssrfcpassagedeactivated"/>
          <w:szCs w:val="26"/>
          <w:bdr w:val="none" w:sz="0" w:space="0" w:color="auto" w:frame="1"/>
          <w:shd w:val="clear" w:color="auto" w:fill="FFFFFF"/>
        </w:rPr>
        <w:t xml:space="preserve"> </w:t>
      </w:r>
      <w:r w:rsidR="00A83E63">
        <w:rPr>
          <w:rStyle w:val="ssrfcpassagedeactivated"/>
          <w:szCs w:val="26"/>
          <w:bdr w:val="none" w:sz="0" w:space="0" w:color="auto" w:frame="1"/>
          <w:shd w:val="clear" w:color="auto" w:fill="FFFFFF"/>
        </w:rPr>
        <w:t xml:space="preserve">that </w:t>
      </w:r>
      <w:r w:rsidR="007D28D5">
        <w:rPr>
          <w:rStyle w:val="ssrfcpassagedeactivated"/>
          <w:i/>
          <w:szCs w:val="26"/>
          <w:bdr w:val="none" w:sz="0" w:space="0" w:color="auto" w:frame="1"/>
          <w:shd w:val="clear" w:color="auto" w:fill="FFFFFF"/>
        </w:rPr>
        <w:t>Hajek and Vo</w:t>
      </w:r>
      <w:r w:rsidR="00A83E63">
        <w:rPr>
          <w:rStyle w:val="ssrfcpassagedeactivated"/>
          <w:szCs w:val="26"/>
          <w:bdr w:val="none" w:sz="0" w:space="0" w:color="auto" w:frame="1"/>
          <w:shd w:val="clear" w:color="auto" w:fill="FFFFFF"/>
        </w:rPr>
        <w:t>’s</w:t>
      </w:r>
      <w:r w:rsidR="00A83E63">
        <w:rPr>
          <w:rStyle w:val="ssrfcpassagedeactivated"/>
          <w:i/>
          <w:szCs w:val="26"/>
          <w:bdr w:val="none" w:sz="0" w:space="0" w:color="auto" w:frame="1"/>
          <w:shd w:val="clear" w:color="auto" w:fill="FFFFFF"/>
        </w:rPr>
        <w:t xml:space="preserve"> </w:t>
      </w:r>
      <w:r w:rsidR="00A83E63">
        <w:rPr>
          <w:rStyle w:val="ssrfcpassagedeactivated"/>
          <w:szCs w:val="26"/>
          <w:bdr w:val="none" w:sz="0" w:space="0" w:color="auto" w:frame="1"/>
          <w:shd w:val="clear" w:color="auto" w:fill="FFFFFF"/>
        </w:rPr>
        <w:t>“</w:t>
      </w:r>
      <w:r w:rsidR="00F547B6" w:rsidRPr="00F547B6">
        <w:rPr>
          <w:szCs w:val="26"/>
          <w:shd w:val="clear" w:color="auto" w:fill="FFFFFF"/>
        </w:rPr>
        <w:t>broad holding</w:t>
      </w:r>
      <w:r w:rsidR="005A1D5D">
        <w:rPr>
          <w:szCs w:val="26"/>
          <w:shd w:val="clear" w:color="auto" w:fill="FFFFFF"/>
        </w:rPr>
        <w:t xml:space="preserve"> </w:t>
      </w:r>
      <w:r w:rsidR="00F547B6" w:rsidRPr="00F547B6">
        <w:rPr>
          <w:szCs w:val="26"/>
          <w:shd w:val="clear" w:color="auto" w:fill="FFFFFF"/>
        </w:rPr>
        <w:t>applies in the present case as well</w:t>
      </w:r>
      <w:r w:rsidR="00A83E63">
        <w:rPr>
          <w:szCs w:val="26"/>
          <w:shd w:val="clear" w:color="auto" w:fill="FFFFFF"/>
        </w:rPr>
        <w:t xml:space="preserve"> </w:t>
      </w:r>
      <w:r w:rsidR="00F547B6" w:rsidRPr="00F547B6">
        <w:rPr>
          <w:szCs w:val="26"/>
          <w:shd w:val="clear" w:color="auto" w:fill="FFFFFF"/>
        </w:rPr>
        <w:t>—</w:t>
      </w:r>
      <w:r w:rsidR="00A83E63">
        <w:rPr>
          <w:szCs w:val="26"/>
          <w:shd w:val="clear" w:color="auto" w:fill="FFFFFF"/>
        </w:rPr>
        <w:t xml:space="preserve"> </w:t>
      </w:r>
      <w:r w:rsidR="00F547B6" w:rsidRPr="00F547B6">
        <w:rPr>
          <w:szCs w:val="26"/>
          <w:shd w:val="clear" w:color="auto" w:fill="FFFFFF"/>
        </w:rPr>
        <w:t>especially considering that in this case the jury, after a separate trial involving copious testimony from mental hea</w:t>
      </w:r>
      <w:r>
        <w:rPr>
          <w:szCs w:val="26"/>
          <w:shd w:val="clear" w:color="auto" w:fill="FFFFFF"/>
        </w:rPr>
        <w:t>lth experts, rejected defendant’</w:t>
      </w:r>
      <w:r w:rsidR="00F547B6" w:rsidRPr="00F547B6">
        <w:rPr>
          <w:szCs w:val="26"/>
          <w:shd w:val="clear" w:color="auto" w:fill="FFFFFF"/>
        </w:rPr>
        <w:t>s claim that he was not culpable for the murders on the ground of insanity as defined by our law, and at the penalty phase rejected his argument that because of his mental illness the death penalty was not warranted.</w:t>
      </w:r>
      <w:r>
        <w:rPr>
          <w:szCs w:val="26"/>
          <w:shd w:val="clear" w:color="auto" w:fill="FFFFFF"/>
        </w:rPr>
        <w:t xml:space="preserve">”  </w:t>
      </w:r>
      <w:r>
        <w:rPr>
          <w:szCs w:val="26"/>
        </w:rPr>
        <w:t>(</w:t>
      </w:r>
      <w:r w:rsidR="005A1D5D">
        <w:rPr>
          <w:i/>
          <w:szCs w:val="26"/>
        </w:rPr>
        <w:t>Mendoza</w:t>
      </w:r>
      <w:r>
        <w:rPr>
          <w:szCs w:val="26"/>
        </w:rPr>
        <w:t>, at p. 910.)</w:t>
      </w:r>
      <w:r w:rsidR="00CE21E9">
        <w:rPr>
          <w:szCs w:val="26"/>
        </w:rPr>
        <w:t xml:space="preserve">  </w:t>
      </w:r>
      <w:r w:rsidR="00F73377">
        <w:rPr>
          <w:szCs w:val="26"/>
        </w:rPr>
        <w:t xml:space="preserve">Just as in </w:t>
      </w:r>
      <w:r w:rsidR="00F73377" w:rsidRPr="00F73377">
        <w:rPr>
          <w:i/>
          <w:szCs w:val="26"/>
        </w:rPr>
        <w:t>Mendoza</w:t>
      </w:r>
      <w:r w:rsidR="00F73377">
        <w:rPr>
          <w:szCs w:val="26"/>
        </w:rPr>
        <w:t>, a jury found defendant legally sane after a trial and rejected his argument in the penalty phase that, because of his mental illness, he should not be put to death</w:t>
      </w:r>
      <w:r w:rsidR="00CE21E9">
        <w:rPr>
          <w:szCs w:val="26"/>
        </w:rPr>
        <w:t>.</w:t>
      </w:r>
    </w:p>
    <w:p w:rsidR="00A83E63" w:rsidRDefault="00F460CE" w:rsidP="006B7F3E">
      <w:pPr>
        <w:pStyle w:val="NormalIndent"/>
        <w:spacing w:line="480" w:lineRule="atLeast"/>
        <w:ind w:left="0" w:firstLine="720"/>
      </w:pPr>
      <w:r>
        <w:rPr>
          <w:szCs w:val="26"/>
        </w:rPr>
        <w:t>Defendant has presented no argument that w</w:t>
      </w:r>
      <w:r w:rsidR="00A83E63">
        <w:rPr>
          <w:szCs w:val="26"/>
        </w:rPr>
        <w:t>as</w:t>
      </w:r>
      <w:r>
        <w:rPr>
          <w:szCs w:val="26"/>
        </w:rPr>
        <w:t xml:space="preserve"> not </w:t>
      </w:r>
      <w:r w:rsidR="005210F5">
        <w:rPr>
          <w:szCs w:val="26"/>
        </w:rPr>
        <w:t>considere</w:t>
      </w:r>
      <w:r>
        <w:rPr>
          <w:szCs w:val="26"/>
        </w:rPr>
        <w:t xml:space="preserve">d and rejected in </w:t>
      </w:r>
      <w:r>
        <w:rPr>
          <w:i/>
        </w:rPr>
        <w:t xml:space="preserve">Hajek and Vo </w:t>
      </w:r>
      <w:r>
        <w:t xml:space="preserve">and </w:t>
      </w:r>
      <w:r>
        <w:rPr>
          <w:i/>
        </w:rPr>
        <w:t>Mendoza</w:t>
      </w:r>
      <w:r w:rsidR="005210F5">
        <w:t xml:space="preserve">, and his claimed mental illness is not of a type that is materially different, for purposes of the </w:t>
      </w:r>
      <w:r w:rsidR="005210F5">
        <w:rPr>
          <w:i/>
        </w:rPr>
        <w:t xml:space="preserve">Hajek and Vo </w:t>
      </w:r>
      <w:r w:rsidR="005210F5">
        <w:t xml:space="preserve">analysis, </w:t>
      </w:r>
      <w:r w:rsidR="00A83E63">
        <w:t>from</w:t>
      </w:r>
      <w:r w:rsidR="005210F5">
        <w:t xml:space="preserve"> the impairments suffered by the defendants in those cases.  We therefore decline to hold that the Eighth Amendment precludes defendant’s execution by reason of mental illness.</w:t>
      </w:r>
    </w:p>
    <w:p w:rsidR="005210F5" w:rsidRPr="00A83E63" w:rsidRDefault="00A83E63" w:rsidP="00A83E63">
      <w:pPr>
        <w:pStyle w:val="Heading3"/>
      </w:pPr>
      <w:bookmarkStart w:id="30" w:name="_Toc508625890"/>
      <w:r>
        <w:t xml:space="preserve">3.  </w:t>
      </w:r>
      <w:r w:rsidR="00AD2C9B">
        <w:t>Defendant’s various c</w:t>
      </w:r>
      <w:r w:rsidR="005210F5">
        <w:t xml:space="preserve">onstitutional </w:t>
      </w:r>
      <w:r w:rsidR="00AD2C9B">
        <w:t>c</w:t>
      </w:r>
      <w:r w:rsidR="005210F5">
        <w:t>hallenge</w:t>
      </w:r>
      <w:r>
        <w:t>s</w:t>
      </w:r>
      <w:r w:rsidR="00AD2C9B">
        <w:t xml:space="preserve"> to California’s imposition of the death penalty fail</w:t>
      </w:r>
      <w:r w:rsidR="00FD566D">
        <w:t xml:space="preserve"> </w:t>
      </w:r>
      <w:r w:rsidR="006E7C39">
        <w:t xml:space="preserve"> </w:t>
      </w:r>
      <w:bookmarkEnd w:id="30"/>
    </w:p>
    <w:p w:rsidR="00AF0CDC" w:rsidRDefault="00AF0CDC" w:rsidP="00AF0CDC">
      <w:pPr>
        <w:spacing w:line="480" w:lineRule="atLeast"/>
        <w:ind w:firstLine="720"/>
        <w:rPr>
          <w:szCs w:val="26"/>
        </w:rPr>
      </w:pPr>
      <w:r>
        <w:rPr>
          <w:szCs w:val="26"/>
        </w:rPr>
        <w:t>Defendant raises a series of challenges to California’s death penalty statute</w:t>
      </w:r>
      <w:r w:rsidR="00695BA3">
        <w:rPr>
          <w:szCs w:val="26"/>
        </w:rPr>
        <w:t xml:space="preserve">.  </w:t>
      </w:r>
      <w:r w:rsidR="00631DFD">
        <w:rPr>
          <w:szCs w:val="26"/>
        </w:rPr>
        <w:t xml:space="preserve">As </w:t>
      </w:r>
      <w:r w:rsidR="00A83E63">
        <w:rPr>
          <w:szCs w:val="26"/>
        </w:rPr>
        <w:t>he</w:t>
      </w:r>
      <w:r w:rsidR="00695BA3">
        <w:rPr>
          <w:szCs w:val="26"/>
        </w:rPr>
        <w:t xml:space="preserve"> acknowledges</w:t>
      </w:r>
      <w:r w:rsidR="00631DFD">
        <w:rPr>
          <w:szCs w:val="26"/>
        </w:rPr>
        <w:t>,</w:t>
      </w:r>
      <w:r w:rsidR="006E7C39">
        <w:rPr>
          <w:szCs w:val="26"/>
        </w:rPr>
        <w:t xml:space="preserve"> </w:t>
      </w:r>
      <w:r w:rsidR="00A83E63">
        <w:rPr>
          <w:szCs w:val="26"/>
        </w:rPr>
        <w:t>these</w:t>
      </w:r>
      <w:r w:rsidR="006E7C39">
        <w:rPr>
          <w:szCs w:val="26"/>
        </w:rPr>
        <w:t xml:space="preserve"> arguments have been rejected by this c</w:t>
      </w:r>
      <w:r w:rsidR="00695BA3">
        <w:rPr>
          <w:szCs w:val="26"/>
        </w:rPr>
        <w:t>ourt</w:t>
      </w:r>
      <w:r w:rsidR="00631DFD">
        <w:rPr>
          <w:szCs w:val="26"/>
        </w:rPr>
        <w:t xml:space="preserve"> in past decisions.</w:t>
      </w:r>
      <w:r w:rsidR="00695BA3">
        <w:rPr>
          <w:szCs w:val="26"/>
        </w:rPr>
        <w:t xml:space="preserve"> </w:t>
      </w:r>
      <w:r w:rsidR="00FD566D">
        <w:rPr>
          <w:szCs w:val="26"/>
        </w:rPr>
        <w:t xml:space="preserve"> </w:t>
      </w:r>
      <w:r w:rsidR="00695BA3">
        <w:rPr>
          <w:szCs w:val="26"/>
        </w:rPr>
        <w:t xml:space="preserve">As </w:t>
      </w:r>
      <w:r w:rsidR="00A83E63">
        <w:rPr>
          <w:szCs w:val="26"/>
        </w:rPr>
        <w:t>he</w:t>
      </w:r>
      <w:r w:rsidR="00695BA3">
        <w:rPr>
          <w:szCs w:val="26"/>
        </w:rPr>
        <w:t xml:space="preserve"> anticipate</w:t>
      </w:r>
      <w:r w:rsidR="00631DFD">
        <w:rPr>
          <w:szCs w:val="26"/>
        </w:rPr>
        <w:t>s</w:t>
      </w:r>
      <w:r w:rsidR="00695BA3">
        <w:rPr>
          <w:szCs w:val="26"/>
        </w:rPr>
        <w:t>, w</w:t>
      </w:r>
      <w:r>
        <w:rPr>
          <w:szCs w:val="26"/>
        </w:rPr>
        <w:t>e decline to revisit our prior holdings</w:t>
      </w:r>
      <w:r w:rsidR="00695BA3">
        <w:rPr>
          <w:szCs w:val="26"/>
        </w:rPr>
        <w:t xml:space="preserve"> with respect to these </w:t>
      </w:r>
      <w:r w:rsidR="00CE21E9">
        <w:rPr>
          <w:szCs w:val="26"/>
        </w:rPr>
        <w:t>issues,</w:t>
      </w:r>
      <w:r w:rsidR="00695BA3">
        <w:rPr>
          <w:szCs w:val="26"/>
        </w:rPr>
        <w:t xml:space="preserve"> which are </w:t>
      </w:r>
      <w:r w:rsidR="005877D3">
        <w:rPr>
          <w:szCs w:val="26"/>
        </w:rPr>
        <w:t>listed</w:t>
      </w:r>
      <w:r w:rsidR="00695BA3">
        <w:rPr>
          <w:szCs w:val="26"/>
        </w:rPr>
        <w:t xml:space="preserve"> below</w:t>
      </w:r>
      <w:r>
        <w:rPr>
          <w:szCs w:val="26"/>
        </w:rPr>
        <w:t>.</w:t>
      </w:r>
      <w:r w:rsidR="00DA740D">
        <w:rPr>
          <w:szCs w:val="26"/>
        </w:rPr>
        <w:t xml:space="preserve">  Given the longstanding nature of our rulings, we do not reiterate their rationale.</w:t>
      </w:r>
    </w:p>
    <w:p w:rsidR="000D3812" w:rsidRDefault="005877D3" w:rsidP="00AF0CDC">
      <w:pPr>
        <w:spacing w:line="480" w:lineRule="atLeast"/>
        <w:ind w:firstLine="720"/>
        <w:rPr>
          <w:szCs w:val="26"/>
        </w:rPr>
      </w:pPr>
      <w:r>
        <w:rPr>
          <w:szCs w:val="26"/>
        </w:rPr>
        <w:t>California’s death penalty laws adequately narrow the class of murderers subject to the death penalty.</w:t>
      </w:r>
      <w:r w:rsidR="00AD36F9">
        <w:rPr>
          <w:szCs w:val="26"/>
        </w:rPr>
        <w:t xml:space="preserve">  (</w:t>
      </w:r>
      <w:r w:rsidR="00AD36F9">
        <w:rPr>
          <w:i/>
          <w:szCs w:val="26"/>
        </w:rPr>
        <w:t xml:space="preserve">People v. Henriquez </w:t>
      </w:r>
      <w:r w:rsidR="00AD36F9">
        <w:rPr>
          <w:szCs w:val="26"/>
        </w:rPr>
        <w:t>(2017) 4 Cal.5th 1, 45</w:t>
      </w:r>
      <w:r w:rsidR="000D3812">
        <w:rPr>
          <w:szCs w:val="26"/>
        </w:rPr>
        <w:t xml:space="preserve"> (</w:t>
      </w:r>
      <w:r w:rsidR="000D3812">
        <w:rPr>
          <w:i/>
          <w:szCs w:val="26"/>
        </w:rPr>
        <w:t>Henriquez</w:t>
      </w:r>
      <w:r w:rsidR="000D3812">
        <w:rPr>
          <w:szCs w:val="26"/>
        </w:rPr>
        <w:t>)</w:t>
      </w:r>
      <w:r w:rsidR="00AD36F9">
        <w:rPr>
          <w:szCs w:val="26"/>
        </w:rPr>
        <w:t xml:space="preserve">.)  In particular, the special circumstances </w:t>
      </w:r>
      <w:r w:rsidR="00CE21E9">
        <w:rPr>
          <w:szCs w:val="26"/>
        </w:rPr>
        <w:t xml:space="preserve">of </w:t>
      </w:r>
      <w:r w:rsidR="00631DFD">
        <w:rPr>
          <w:szCs w:val="26"/>
        </w:rPr>
        <w:t>s</w:t>
      </w:r>
      <w:r w:rsidR="00AD36F9">
        <w:rPr>
          <w:szCs w:val="26"/>
        </w:rPr>
        <w:t>ection 190.2, which render a murderer eligible for the death penalty, are not so numerous and broadly interpreted that they fail adequately to narrow the class of persons eligible for death.</w:t>
      </w:r>
      <w:r>
        <w:rPr>
          <w:szCs w:val="26"/>
        </w:rPr>
        <w:t xml:space="preserve">  (</w:t>
      </w:r>
      <w:r>
        <w:rPr>
          <w:i/>
          <w:szCs w:val="26"/>
        </w:rPr>
        <w:t xml:space="preserve">People v. </w:t>
      </w:r>
      <w:r w:rsidR="00AD36F9">
        <w:rPr>
          <w:i/>
          <w:szCs w:val="26"/>
        </w:rPr>
        <w:t>Johnson</w:t>
      </w:r>
      <w:r>
        <w:rPr>
          <w:i/>
          <w:szCs w:val="26"/>
        </w:rPr>
        <w:t xml:space="preserve"> </w:t>
      </w:r>
      <w:r>
        <w:rPr>
          <w:szCs w:val="26"/>
        </w:rPr>
        <w:t>(201</w:t>
      </w:r>
      <w:r w:rsidR="00AD36F9">
        <w:rPr>
          <w:szCs w:val="26"/>
        </w:rPr>
        <w:t>6</w:t>
      </w:r>
      <w:r>
        <w:rPr>
          <w:szCs w:val="26"/>
        </w:rPr>
        <w:t>)</w:t>
      </w:r>
      <w:r w:rsidR="00AD36F9">
        <w:rPr>
          <w:szCs w:val="26"/>
        </w:rPr>
        <w:t xml:space="preserve"> 62 Cal.4th 600, 654-655; </w:t>
      </w:r>
      <w:r w:rsidR="00AD36F9">
        <w:rPr>
          <w:i/>
          <w:szCs w:val="26"/>
        </w:rPr>
        <w:t xml:space="preserve">People v. Myles </w:t>
      </w:r>
      <w:r w:rsidR="00AD36F9">
        <w:rPr>
          <w:szCs w:val="26"/>
        </w:rPr>
        <w:t>(2012) 53 Cal.4th 1181, 1224-1225.)</w:t>
      </w:r>
    </w:p>
    <w:p w:rsidR="005877D3" w:rsidRPr="000D3812" w:rsidRDefault="000D3812" w:rsidP="00AF0CDC">
      <w:pPr>
        <w:spacing w:line="480" w:lineRule="atLeast"/>
        <w:ind w:firstLine="720"/>
        <w:rPr>
          <w:szCs w:val="26"/>
        </w:rPr>
      </w:pPr>
      <w:r>
        <w:rPr>
          <w:szCs w:val="26"/>
        </w:rPr>
        <w:t xml:space="preserve">Section 190.3, </w:t>
      </w:r>
      <w:r w:rsidR="00631DFD">
        <w:rPr>
          <w:szCs w:val="26"/>
        </w:rPr>
        <w:t>factor</w:t>
      </w:r>
      <w:r>
        <w:rPr>
          <w:szCs w:val="26"/>
        </w:rPr>
        <w:t xml:space="preserve"> (a), which </w:t>
      </w:r>
      <w:r w:rsidRPr="000D3812">
        <w:rPr>
          <w:szCs w:val="26"/>
          <w:shd w:val="clear" w:color="auto" w:fill="FFFFFF"/>
        </w:rPr>
        <w:t>permits the jury to consider t</w:t>
      </w:r>
      <w:r>
        <w:rPr>
          <w:szCs w:val="26"/>
          <w:shd w:val="clear" w:color="auto" w:fill="FFFFFF"/>
        </w:rPr>
        <w:t xml:space="preserve">he circumstances of </w:t>
      </w:r>
      <w:r w:rsidR="00631DFD">
        <w:rPr>
          <w:szCs w:val="26"/>
          <w:shd w:val="clear" w:color="auto" w:fill="FFFFFF"/>
        </w:rPr>
        <w:t>the capital</w:t>
      </w:r>
      <w:r w:rsidRPr="000D3812">
        <w:rPr>
          <w:szCs w:val="26"/>
          <w:shd w:val="clear" w:color="auto" w:fill="FFFFFF"/>
        </w:rPr>
        <w:t xml:space="preserve"> crime in </w:t>
      </w:r>
      <w:r w:rsidR="00631DFD">
        <w:rPr>
          <w:szCs w:val="26"/>
          <w:shd w:val="clear" w:color="auto" w:fill="FFFFFF"/>
        </w:rPr>
        <w:t xml:space="preserve">its penalty </w:t>
      </w:r>
      <w:r w:rsidRPr="000D3812">
        <w:rPr>
          <w:szCs w:val="26"/>
          <w:shd w:val="clear" w:color="auto" w:fill="FFFFFF"/>
        </w:rPr>
        <w:t>determin</w:t>
      </w:r>
      <w:r w:rsidR="00631DFD">
        <w:rPr>
          <w:szCs w:val="26"/>
          <w:shd w:val="clear" w:color="auto" w:fill="FFFFFF"/>
        </w:rPr>
        <w:t>ation,</w:t>
      </w:r>
      <w:r w:rsidRPr="000D3812">
        <w:rPr>
          <w:szCs w:val="26"/>
          <w:shd w:val="clear" w:color="auto" w:fill="FFFFFF"/>
        </w:rPr>
        <w:t xml:space="preserve"> does not license the jury to impose death in an arbitrary and capricious manner in violation of the</w:t>
      </w:r>
      <w:r>
        <w:rPr>
          <w:szCs w:val="26"/>
          <w:shd w:val="clear" w:color="auto" w:fill="FFFFFF"/>
        </w:rPr>
        <w:t xml:space="preserve"> United States Constitution.  (</w:t>
      </w:r>
      <w:r>
        <w:rPr>
          <w:i/>
          <w:szCs w:val="26"/>
        </w:rPr>
        <w:t>Henriquez</w:t>
      </w:r>
      <w:r>
        <w:rPr>
          <w:szCs w:val="26"/>
        </w:rPr>
        <w:t xml:space="preserve">, </w:t>
      </w:r>
      <w:r>
        <w:rPr>
          <w:i/>
          <w:szCs w:val="26"/>
        </w:rPr>
        <w:t>supra</w:t>
      </w:r>
      <w:r>
        <w:rPr>
          <w:szCs w:val="26"/>
        </w:rPr>
        <w:t>, at p.</w:t>
      </w:r>
      <w:r w:rsidR="00A83E63">
        <w:rPr>
          <w:szCs w:val="26"/>
        </w:rPr>
        <w:t xml:space="preserve"> </w:t>
      </w:r>
      <w:r>
        <w:rPr>
          <w:szCs w:val="26"/>
        </w:rPr>
        <w:t xml:space="preserve">45; </w:t>
      </w:r>
      <w:r>
        <w:rPr>
          <w:i/>
          <w:szCs w:val="26"/>
        </w:rPr>
        <w:t xml:space="preserve">People v. Brown </w:t>
      </w:r>
      <w:r>
        <w:rPr>
          <w:szCs w:val="26"/>
        </w:rPr>
        <w:t>(2004) 33 Cal.4th 382, 401.)</w:t>
      </w:r>
    </w:p>
    <w:p w:rsidR="00AD36F9" w:rsidRPr="00DA740D" w:rsidRDefault="000D3812" w:rsidP="00AF0CDC">
      <w:pPr>
        <w:spacing w:line="480" w:lineRule="atLeast"/>
        <w:ind w:firstLine="720"/>
        <w:rPr>
          <w:szCs w:val="26"/>
        </w:rPr>
      </w:pPr>
      <w:r w:rsidRPr="004D10B5">
        <w:rPr>
          <w:szCs w:val="26"/>
          <w:shd w:val="clear" w:color="auto" w:fill="FFFFFF"/>
        </w:rPr>
        <w:t>The federal Constitution does not require that the jury agree unanimously on which aggravating factors apply</w:t>
      </w:r>
      <w:r w:rsidR="004D10B5" w:rsidRPr="004D10B5">
        <w:rPr>
          <w:szCs w:val="26"/>
          <w:shd w:val="clear" w:color="auto" w:fill="FFFFFF"/>
        </w:rPr>
        <w:t>.</w:t>
      </w:r>
      <w:r w:rsidR="004D10B5">
        <w:rPr>
          <w:szCs w:val="26"/>
          <w:shd w:val="clear" w:color="auto" w:fill="FFFFFF"/>
        </w:rPr>
        <w:t xml:space="preserve">  (</w:t>
      </w:r>
      <w:r w:rsidR="004D10B5">
        <w:rPr>
          <w:i/>
          <w:szCs w:val="26"/>
          <w:shd w:val="clear" w:color="auto" w:fill="FFFFFF"/>
        </w:rPr>
        <w:t xml:space="preserve">People v. Jackson </w:t>
      </w:r>
      <w:r w:rsidR="004D10B5">
        <w:rPr>
          <w:szCs w:val="26"/>
          <w:shd w:val="clear" w:color="auto" w:fill="FFFFFF"/>
        </w:rPr>
        <w:t>(2016) 1 Cal.5th 269, 372 (</w:t>
      </w:r>
      <w:r w:rsidR="003811FE">
        <w:rPr>
          <w:i/>
          <w:szCs w:val="26"/>
          <w:shd w:val="clear" w:color="auto" w:fill="FFFFFF"/>
        </w:rPr>
        <w:t>Jackson</w:t>
      </w:r>
      <w:r w:rsidR="004D10B5">
        <w:rPr>
          <w:szCs w:val="26"/>
          <w:shd w:val="clear" w:color="auto" w:fill="FFFFFF"/>
        </w:rPr>
        <w:t xml:space="preserve">); </w:t>
      </w:r>
      <w:r w:rsidR="004D10B5">
        <w:rPr>
          <w:i/>
          <w:szCs w:val="26"/>
          <w:shd w:val="clear" w:color="auto" w:fill="FFFFFF"/>
        </w:rPr>
        <w:t xml:space="preserve">People v. Lewis </w:t>
      </w:r>
      <w:r w:rsidR="004D10B5">
        <w:rPr>
          <w:szCs w:val="26"/>
          <w:shd w:val="clear" w:color="auto" w:fill="FFFFFF"/>
        </w:rPr>
        <w:t>(2008) 43 Cal.4th 415, 533.)</w:t>
      </w:r>
      <w:r w:rsidR="004D10B5" w:rsidRPr="004D10B5">
        <w:rPr>
          <w:szCs w:val="26"/>
          <w:shd w:val="clear" w:color="auto" w:fill="FFFFFF"/>
        </w:rPr>
        <w:t xml:space="preserve">  </w:t>
      </w:r>
      <w:r w:rsidR="004D10B5">
        <w:rPr>
          <w:szCs w:val="26"/>
          <w:shd w:val="clear" w:color="auto" w:fill="FFFFFF"/>
        </w:rPr>
        <w:t xml:space="preserve">Nor is the death </w:t>
      </w:r>
      <w:r w:rsidRPr="004D10B5">
        <w:rPr>
          <w:szCs w:val="26"/>
          <w:shd w:val="clear" w:color="auto" w:fill="FFFFFF"/>
        </w:rPr>
        <w:t xml:space="preserve">penalty unconstitutional for failing to require proof beyond a reasonable doubt that </w:t>
      </w:r>
      <w:r w:rsidR="00B276E6">
        <w:rPr>
          <w:szCs w:val="26"/>
          <w:shd w:val="clear" w:color="auto" w:fill="FFFFFF"/>
        </w:rPr>
        <w:t xml:space="preserve">an </w:t>
      </w:r>
      <w:r w:rsidRPr="004D10B5">
        <w:rPr>
          <w:szCs w:val="26"/>
          <w:shd w:val="clear" w:color="auto" w:fill="FFFFFF"/>
        </w:rPr>
        <w:t>aggravating</w:t>
      </w:r>
      <w:r w:rsidR="00B276E6">
        <w:rPr>
          <w:szCs w:val="26"/>
          <w:shd w:val="clear" w:color="auto" w:fill="FFFFFF"/>
        </w:rPr>
        <w:t xml:space="preserve"> circumstance has been proved (other than section 190.3, factor (b) or (c) evidence), that the aggravating factors</w:t>
      </w:r>
      <w:r w:rsidRPr="004D10B5">
        <w:rPr>
          <w:szCs w:val="26"/>
          <w:shd w:val="clear" w:color="auto" w:fill="FFFFFF"/>
        </w:rPr>
        <w:t xml:space="preserve"> outweigh the mitigating factors, </w:t>
      </w:r>
      <w:r w:rsidR="00B276E6">
        <w:rPr>
          <w:szCs w:val="26"/>
          <w:shd w:val="clear" w:color="auto" w:fill="FFFFFF"/>
        </w:rPr>
        <w:t>or that death is the appropriate sentence</w:t>
      </w:r>
      <w:r w:rsidRPr="004D10B5">
        <w:rPr>
          <w:szCs w:val="26"/>
          <w:shd w:val="clear" w:color="auto" w:fill="FFFFFF"/>
        </w:rPr>
        <w:t>.</w:t>
      </w:r>
      <w:r w:rsidR="004D10B5">
        <w:rPr>
          <w:szCs w:val="26"/>
          <w:shd w:val="clear" w:color="auto" w:fill="FFFFFF"/>
        </w:rPr>
        <w:t xml:space="preserve">  (</w:t>
      </w:r>
      <w:r w:rsidR="00705BD1">
        <w:rPr>
          <w:i/>
          <w:szCs w:val="26"/>
          <w:shd w:val="clear" w:color="auto" w:fill="FFFFFF"/>
        </w:rPr>
        <w:t xml:space="preserve">People v. </w:t>
      </w:r>
      <w:r w:rsidR="00B276E6">
        <w:rPr>
          <w:i/>
          <w:szCs w:val="26"/>
          <w:shd w:val="clear" w:color="auto" w:fill="FFFFFF"/>
        </w:rPr>
        <w:t>Rangel</w:t>
      </w:r>
      <w:r w:rsidR="00705BD1">
        <w:rPr>
          <w:i/>
          <w:szCs w:val="26"/>
          <w:shd w:val="clear" w:color="auto" w:fill="FFFFFF"/>
        </w:rPr>
        <w:t xml:space="preserve"> </w:t>
      </w:r>
      <w:r w:rsidR="00705BD1">
        <w:rPr>
          <w:szCs w:val="26"/>
          <w:shd w:val="clear" w:color="auto" w:fill="FFFFFF"/>
        </w:rPr>
        <w:t>(</w:t>
      </w:r>
      <w:r w:rsidR="00A83E63">
        <w:rPr>
          <w:szCs w:val="26"/>
          <w:shd w:val="clear" w:color="auto" w:fill="FFFFFF"/>
        </w:rPr>
        <w:t>201</w:t>
      </w:r>
      <w:r w:rsidR="00B276E6">
        <w:rPr>
          <w:szCs w:val="26"/>
          <w:shd w:val="clear" w:color="auto" w:fill="FFFFFF"/>
        </w:rPr>
        <w:t>6</w:t>
      </w:r>
      <w:r w:rsidR="00A83E63">
        <w:rPr>
          <w:szCs w:val="26"/>
          <w:shd w:val="clear" w:color="auto" w:fill="FFFFFF"/>
        </w:rPr>
        <w:t xml:space="preserve">) </w:t>
      </w:r>
      <w:r w:rsidR="00B276E6">
        <w:rPr>
          <w:szCs w:val="26"/>
          <w:shd w:val="clear" w:color="auto" w:fill="FFFFFF"/>
        </w:rPr>
        <w:t>62</w:t>
      </w:r>
      <w:r w:rsidR="00705BD1">
        <w:rPr>
          <w:szCs w:val="26"/>
          <w:shd w:val="clear" w:color="auto" w:fill="FFFFFF"/>
        </w:rPr>
        <w:t xml:space="preserve"> Cal.4th 1</w:t>
      </w:r>
      <w:r w:rsidR="00B276E6">
        <w:rPr>
          <w:szCs w:val="26"/>
          <w:shd w:val="clear" w:color="auto" w:fill="FFFFFF"/>
        </w:rPr>
        <w:t>192</w:t>
      </w:r>
      <w:r w:rsidR="00705BD1">
        <w:rPr>
          <w:szCs w:val="26"/>
          <w:shd w:val="clear" w:color="auto" w:fill="FFFFFF"/>
        </w:rPr>
        <w:t xml:space="preserve">, </w:t>
      </w:r>
      <w:r w:rsidR="00B276E6">
        <w:rPr>
          <w:szCs w:val="26"/>
          <w:shd w:val="clear" w:color="auto" w:fill="FFFFFF"/>
        </w:rPr>
        <w:t>1235</w:t>
      </w:r>
      <w:r w:rsidR="00705BD1">
        <w:rPr>
          <w:szCs w:val="26"/>
          <w:shd w:val="clear" w:color="auto" w:fill="FFFFFF"/>
        </w:rPr>
        <w:t>.)</w:t>
      </w:r>
      <w:r w:rsidR="00DA740D">
        <w:rPr>
          <w:szCs w:val="26"/>
          <w:shd w:val="clear" w:color="auto" w:fill="FFFFFF"/>
        </w:rPr>
        <w:t xml:space="preserve">  For that reason, </w:t>
      </w:r>
      <w:r w:rsidR="00B276E6">
        <w:rPr>
          <w:szCs w:val="26"/>
          <w:shd w:val="clear" w:color="auto" w:fill="FFFFFF"/>
        </w:rPr>
        <w:t xml:space="preserve">again other than section 190.3, factors (b) and (c), </w:t>
      </w:r>
      <w:r w:rsidR="00DA740D">
        <w:rPr>
          <w:szCs w:val="26"/>
          <w:shd w:val="clear" w:color="auto" w:fill="FFFFFF"/>
        </w:rPr>
        <w:t>the jury need not be instructed that proof beyond a reasonable doubt is required.  (</w:t>
      </w:r>
      <w:r w:rsidR="00DA740D">
        <w:rPr>
          <w:i/>
          <w:szCs w:val="26"/>
          <w:shd w:val="clear" w:color="auto" w:fill="FFFFFF"/>
        </w:rPr>
        <w:t xml:space="preserve">People v. Leonard </w:t>
      </w:r>
      <w:r w:rsidR="00DA740D">
        <w:rPr>
          <w:szCs w:val="26"/>
          <w:shd w:val="clear" w:color="auto" w:fill="FFFFFF"/>
        </w:rPr>
        <w:t>(2007) 40 Cal.4th 1370, 1429.)</w:t>
      </w:r>
      <w:r w:rsidR="00CE21E9">
        <w:rPr>
          <w:szCs w:val="26"/>
          <w:shd w:val="clear" w:color="auto" w:fill="FFFFFF"/>
        </w:rPr>
        <w:t xml:space="preserve">  These </w:t>
      </w:r>
      <w:r w:rsidR="00631DFD">
        <w:rPr>
          <w:szCs w:val="26"/>
          <w:shd w:val="clear" w:color="auto" w:fill="FFFFFF"/>
        </w:rPr>
        <w:t>conclusion</w:t>
      </w:r>
      <w:r w:rsidR="00CE21E9">
        <w:rPr>
          <w:szCs w:val="26"/>
          <w:shd w:val="clear" w:color="auto" w:fill="FFFFFF"/>
        </w:rPr>
        <w:t xml:space="preserve">s are not affected by </w:t>
      </w:r>
      <w:r w:rsidR="00CE21E9">
        <w:rPr>
          <w:i/>
          <w:szCs w:val="26"/>
          <w:shd w:val="clear" w:color="auto" w:fill="FFFFFF"/>
        </w:rPr>
        <w:t xml:space="preserve">Apprendi v. New Jersey </w:t>
      </w:r>
      <w:r w:rsidR="00CE21E9">
        <w:rPr>
          <w:szCs w:val="26"/>
          <w:shd w:val="clear" w:color="auto" w:fill="FFFFFF"/>
        </w:rPr>
        <w:t xml:space="preserve">(2000) 530 U.S. 466 or </w:t>
      </w:r>
      <w:r w:rsidR="00CE21E9">
        <w:rPr>
          <w:i/>
          <w:szCs w:val="26"/>
          <w:shd w:val="clear" w:color="auto" w:fill="FFFFFF"/>
        </w:rPr>
        <w:t xml:space="preserve">Ring v. Arizona </w:t>
      </w:r>
      <w:r w:rsidR="00CE21E9">
        <w:rPr>
          <w:szCs w:val="26"/>
          <w:shd w:val="clear" w:color="auto" w:fill="FFFFFF"/>
        </w:rPr>
        <w:t>(2002) 536 U.S. 584.  (</w:t>
      </w:r>
      <w:r w:rsidR="00CE21E9">
        <w:rPr>
          <w:i/>
          <w:szCs w:val="26"/>
          <w:shd w:val="clear" w:color="auto" w:fill="FFFFFF"/>
        </w:rPr>
        <w:t xml:space="preserve">People v. Fuiava </w:t>
      </w:r>
      <w:r w:rsidR="00CE21E9">
        <w:rPr>
          <w:szCs w:val="26"/>
          <w:shd w:val="clear" w:color="auto" w:fill="FFFFFF"/>
        </w:rPr>
        <w:t>(2012) 53 Cal.4th 622, 732.)</w:t>
      </w:r>
    </w:p>
    <w:p w:rsidR="00AF0CDC" w:rsidRDefault="00DA740D" w:rsidP="00AF0CDC">
      <w:pPr>
        <w:spacing w:line="480" w:lineRule="atLeast"/>
        <w:ind w:firstLine="720"/>
        <w:rPr>
          <w:szCs w:val="26"/>
          <w:shd w:val="clear" w:color="auto" w:fill="FFFFFF"/>
        </w:rPr>
      </w:pPr>
      <w:r w:rsidRPr="00DA740D">
        <w:rPr>
          <w:szCs w:val="26"/>
          <w:shd w:val="clear" w:color="auto" w:fill="FFFFFF"/>
        </w:rPr>
        <w:t>The jury need not make </w:t>
      </w:r>
      <w:r>
        <w:rPr>
          <w:szCs w:val="26"/>
          <w:shd w:val="clear" w:color="auto" w:fill="FFFFFF"/>
        </w:rPr>
        <w:t>written findings</w:t>
      </w:r>
      <w:r w:rsidRPr="00DA740D">
        <w:rPr>
          <w:szCs w:val="26"/>
          <w:shd w:val="clear" w:color="auto" w:fill="FFFFFF"/>
        </w:rPr>
        <w:t> </w:t>
      </w:r>
      <w:r>
        <w:rPr>
          <w:szCs w:val="26"/>
          <w:shd w:val="clear" w:color="auto" w:fill="FFFFFF"/>
        </w:rPr>
        <w:t xml:space="preserve">regarding </w:t>
      </w:r>
      <w:r w:rsidRPr="00DA740D">
        <w:rPr>
          <w:szCs w:val="26"/>
          <w:shd w:val="clear" w:color="auto" w:fill="FFFFFF"/>
        </w:rPr>
        <w:t>the existence of aggravating factors.</w:t>
      </w:r>
      <w:r w:rsidR="007F562B">
        <w:rPr>
          <w:szCs w:val="26"/>
          <w:shd w:val="clear" w:color="auto" w:fill="FFFFFF"/>
        </w:rPr>
        <w:t xml:space="preserve">  (</w:t>
      </w:r>
      <w:r w:rsidR="007F562B">
        <w:rPr>
          <w:i/>
          <w:szCs w:val="26"/>
          <w:shd w:val="clear" w:color="auto" w:fill="FFFFFF"/>
        </w:rPr>
        <w:t>Mendoza</w:t>
      </w:r>
      <w:r w:rsidR="005A1D5D">
        <w:rPr>
          <w:szCs w:val="26"/>
          <w:shd w:val="clear" w:color="auto" w:fill="FFFFFF"/>
        </w:rPr>
        <w:t xml:space="preserve">, </w:t>
      </w:r>
      <w:r w:rsidR="005A1D5D">
        <w:rPr>
          <w:i/>
          <w:szCs w:val="26"/>
          <w:shd w:val="clear" w:color="auto" w:fill="FFFFFF"/>
        </w:rPr>
        <w:t>supra</w:t>
      </w:r>
      <w:r w:rsidR="005A1D5D">
        <w:rPr>
          <w:szCs w:val="26"/>
          <w:shd w:val="clear" w:color="auto" w:fill="FFFFFF"/>
        </w:rPr>
        <w:t>,</w:t>
      </w:r>
      <w:r w:rsidR="007F562B">
        <w:rPr>
          <w:i/>
          <w:szCs w:val="26"/>
          <w:shd w:val="clear" w:color="auto" w:fill="FFFFFF"/>
        </w:rPr>
        <w:t xml:space="preserve"> </w:t>
      </w:r>
      <w:r w:rsidR="007F562B">
        <w:rPr>
          <w:szCs w:val="26"/>
          <w:shd w:val="clear" w:color="auto" w:fill="FFFFFF"/>
        </w:rPr>
        <w:t xml:space="preserve">62 Cal.4th </w:t>
      </w:r>
      <w:r w:rsidR="005A1D5D">
        <w:rPr>
          <w:szCs w:val="26"/>
          <w:shd w:val="clear" w:color="auto" w:fill="FFFFFF"/>
        </w:rPr>
        <w:t>at p.</w:t>
      </w:r>
      <w:r w:rsidR="007F562B">
        <w:rPr>
          <w:szCs w:val="26"/>
          <w:shd w:val="clear" w:color="auto" w:fill="FFFFFF"/>
        </w:rPr>
        <w:t xml:space="preserve"> 916; </w:t>
      </w:r>
      <w:r w:rsidR="007F562B">
        <w:rPr>
          <w:i/>
          <w:szCs w:val="26"/>
          <w:shd w:val="clear" w:color="auto" w:fill="FFFFFF"/>
        </w:rPr>
        <w:t xml:space="preserve">People v. Clark </w:t>
      </w:r>
      <w:r w:rsidR="007F562B">
        <w:rPr>
          <w:szCs w:val="26"/>
          <w:shd w:val="clear" w:color="auto" w:fill="FFFFFF"/>
        </w:rPr>
        <w:t>(2011) 52 Cal.4th 856, 1007.)</w:t>
      </w:r>
    </w:p>
    <w:p w:rsidR="007F562B" w:rsidRDefault="007F562B" w:rsidP="00AF0CDC">
      <w:pPr>
        <w:spacing w:line="480" w:lineRule="atLeast"/>
        <w:ind w:firstLine="720"/>
        <w:rPr>
          <w:szCs w:val="26"/>
          <w:shd w:val="clear" w:color="auto" w:fill="FFFFFF"/>
        </w:rPr>
      </w:pPr>
      <w:r>
        <w:rPr>
          <w:rFonts w:ascii="Verdana" w:hAnsi="Verdana"/>
          <w:color w:val="373739"/>
          <w:sz w:val="18"/>
          <w:szCs w:val="18"/>
          <w:shd w:val="clear" w:color="auto" w:fill="FFFFFF"/>
        </w:rPr>
        <w:t> </w:t>
      </w:r>
      <w:r w:rsidRPr="007F562B">
        <w:rPr>
          <w:szCs w:val="26"/>
          <w:shd w:val="clear" w:color="auto" w:fill="FFFFFF"/>
        </w:rPr>
        <w:t>There is no</w:t>
      </w:r>
      <w:r>
        <w:rPr>
          <w:szCs w:val="26"/>
          <w:shd w:val="clear" w:color="auto" w:fill="FFFFFF"/>
        </w:rPr>
        <w:t xml:space="preserve"> Eighth Amendment</w:t>
      </w:r>
      <w:r w:rsidRPr="007F562B">
        <w:rPr>
          <w:szCs w:val="26"/>
          <w:shd w:val="clear" w:color="auto" w:fill="FFFFFF"/>
        </w:rPr>
        <w:t xml:space="preserve"> requirement that our death penalty procedures provide for intercase proportionality review. </w:t>
      </w:r>
      <w:r>
        <w:rPr>
          <w:szCs w:val="26"/>
          <w:shd w:val="clear" w:color="auto" w:fill="FFFFFF"/>
        </w:rPr>
        <w:t xml:space="preserve"> </w:t>
      </w:r>
      <w:r w:rsidRPr="007F562B">
        <w:rPr>
          <w:szCs w:val="26"/>
          <w:shd w:val="clear" w:color="auto" w:fill="FFFFFF"/>
        </w:rPr>
        <w:t>(</w:t>
      </w:r>
      <w:r>
        <w:rPr>
          <w:i/>
          <w:szCs w:val="26"/>
          <w:shd w:val="clear" w:color="auto" w:fill="FFFFFF"/>
        </w:rPr>
        <w:t>People v. Johnson</w:t>
      </w:r>
      <w:r>
        <w:rPr>
          <w:szCs w:val="26"/>
          <w:shd w:val="clear" w:color="auto" w:fill="FFFFFF"/>
        </w:rPr>
        <w:t xml:space="preserve">, </w:t>
      </w:r>
      <w:r>
        <w:rPr>
          <w:i/>
          <w:szCs w:val="26"/>
          <w:shd w:val="clear" w:color="auto" w:fill="FFFFFF"/>
        </w:rPr>
        <w:t>supra</w:t>
      </w:r>
      <w:r>
        <w:rPr>
          <w:szCs w:val="26"/>
          <w:shd w:val="clear" w:color="auto" w:fill="FFFFFF"/>
        </w:rPr>
        <w:t xml:space="preserve">, 62 Cal.4th at p. 656; </w:t>
      </w:r>
      <w:r>
        <w:rPr>
          <w:i/>
          <w:szCs w:val="26"/>
          <w:shd w:val="clear" w:color="auto" w:fill="FFFFFF"/>
        </w:rPr>
        <w:t xml:space="preserve">People v. Lang </w:t>
      </w:r>
      <w:r>
        <w:rPr>
          <w:szCs w:val="26"/>
          <w:shd w:val="clear" w:color="auto" w:fill="FFFFFF"/>
        </w:rPr>
        <w:t>(1989) 49 Cal.3d 991, 1043.)</w:t>
      </w:r>
    </w:p>
    <w:p w:rsidR="00165E21" w:rsidRDefault="007F562B" w:rsidP="00165E21">
      <w:pPr>
        <w:spacing w:line="480" w:lineRule="atLeast"/>
        <w:ind w:firstLine="720"/>
        <w:rPr>
          <w:szCs w:val="26"/>
          <w:shd w:val="clear" w:color="auto" w:fill="FFFFFF"/>
        </w:rPr>
      </w:pPr>
      <w:r w:rsidRPr="007F562B">
        <w:rPr>
          <w:szCs w:val="26"/>
          <w:shd w:val="clear" w:color="auto" w:fill="FFFFFF"/>
        </w:rPr>
        <w:t>The jury</w:t>
      </w:r>
      <w:r>
        <w:rPr>
          <w:szCs w:val="26"/>
          <w:shd w:val="clear" w:color="auto" w:fill="FFFFFF"/>
        </w:rPr>
        <w:t>’</w:t>
      </w:r>
      <w:r w:rsidRPr="007F562B">
        <w:rPr>
          <w:szCs w:val="26"/>
          <w:shd w:val="clear" w:color="auto" w:fill="FFFFFF"/>
        </w:rPr>
        <w:t>s reliance on unadjudicated criminal activity as a factor in aggravation under</w:t>
      </w:r>
      <w:r>
        <w:rPr>
          <w:szCs w:val="26"/>
          <w:shd w:val="clear" w:color="auto" w:fill="FFFFFF"/>
        </w:rPr>
        <w:t xml:space="preserve"> section 190.3, </w:t>
      </w:r>
      <w:r w:rsidR="00631DFD">
        <w:rPr>
          <w:szCs w:val="26"/>
          <w:shd w:val="clear" w:color="auto" w:fill="FFFFFF"/>
        </w:rPr>
        <w:t>factor</w:t>
      </w:r>
      <w:r>
        <w:rPr>
          <w:szCs w:val="26"/>
          <w:shd w:val="clear" w:color="auto" w:fill="FFFFFF"/>
        </w:rPr>
        <w:t xml:space="preserve"> (b)</w:t>
      </w:r>
      <w:r w:rsidRPr="007F562B">
        <w:rPr>
          <w:szCs w:val="26"/>
          <w:shd w:val="clear" w:color="auto" w:fill="FFFFFF"/>
        </w:rPr>
        <w:t>, without any requirement that the jury unanimously find that the activity was proved beyond a reasonable doubt, does not deprive a defendant of a</w:t>
      </w:r>
      <w:r w:rsidR="00A83E63">
        <w:rPr>
          <w:szCs w:val="26"/>
          <w:shd w:val="clear" w:color="auto" w:fill="FFFFFF"/>
        </w:rPr>
        <w:t>ny federal constitutional right</w:t>
      </w:r>
      <w:r w:rsidRPr="007F562B">
        <w:rPr>
          <w:szCs w:val="26"/>
          <w:shd w:val="clear" w:color="auto" w:fill="FFFFFF"/>
        </w:rPr>
        <w:t>, including the Sixth Amendment right to trial by jury and the Fourteenth Amendment right to due process.  (</w:t>
      </w:r>
      <w:r w:rsidRPr="007F562B">
        <w:rPr>
          <w:i/>
          <w:szCs w:val="26"/>
          <w:shd w:val="clear" w:color="auto" w:fill="FFFFFF"/>
        </w:rPr>
        <w:t>People v. Clark</w:t>
      </w:r>
      <w:r>
        <w:rPr>
          <w:szCs w:val="26"/>
          <w:shd w:val="clear" w:color="auto" w:fill="FFFFFF"/>
        </w:rPr>
        <w:t xml:space="preserve">, </w:t>
      </w:r>
      <w:r>
        <w:rPr>
          <w:i/>
          <w:szCs w:val="26"/>
          <w:shd w:val="clear" w:color="auto" w:fill="FFFFFF"/>
        </w:rPr>
        <w:t>supra</w:t>
      </w:r>
      <w:r>
        <w:rPr>
          <w:szCs w:val="26"/>
          <w:shd w:val="clear" w:color="auto" w:fill="FFFFFF"/>
        </w:rPr>
        <w:t xml:space="preserve">, 52 Cal.4th at p. 1007; </w:t>
      </w:r>
      <w:r>
        <w:rPr>
          <w:i/>
          <w:szCs w:val="26"/>
          <w:shd w:val="clear" w:color="auto" w:fill="FFFFFF"/>
        </w:rPr>
        <w:t xml:space="preserve">People v. Balderas </w:t>
      </w:r>
      <w:r>
        <w:rPr>
          <w:szCs w:val="26"/>
          <w:shd w:val="clear" w:color="auto" w:fill="FFFFFF"/>
        </w:rPr>
        <w:t>(1985) 41 Cal.3d 144, 204-205.</w:t>
      </w:r>
      <w:r w:rsidRPr="007F562B">
        <w:rPr>
          <w:szCs w:val="26"/>
          <w:shd w:val="clear" w:color="auto" w:fill="FFFFFF"/>
        </w:rPr>
        <w:t>)</w:t>
      </w:r>
    </w:p>
    <w:p w:rsidR="00165E21" w:rsidRPr="00165E21" w:rsidRDefault="00165E21" w:rsidP="00165E21">
      <w:pPr>
        <w:spacing w:line="480" w:lineRule="atLeast"/>
        <w:ind w:firstLine="720"/>
        <w:rPr>
          <w:szCs w:val="26"/>
          <w:shd w:val="clear" w:color="auto" w:fill="FFFFFF"/>
        </w:rPr>
      </w:pPr>
      <w:r w:rsidRPr="00165E21">
        <w:rPr>
          <w:szCs w:val="26"/>
          <w:shd w:val="clear" w:color="auto" w:fill="FFFFFF"/>
        </w:rPr>
        <w:t>Nor does</w:t>
      </w:r>
      <w:r>
        <w:rPr>
          <w:szCs w:val="26"/>
          <w:shd w:val="clear" w:color="auto" w:fill="FFFFFF"/>
        </w:rPr>
        <w:t xml:space="preserve"> section 190.3’s use of adjectives such as “</w:t>
      </w:r>
      <w:r w:rsidRPr="00165E21">
        <w:rPr>
          <w:szCs w:val="26"/>
          <w:shd w:val="clear" w:color="auto" w:fill="FFFFFF"/>
        </w:rPr>
        <w:t>extreme” and “substantial” in</w:t>
      </w:r>
      <w:r>
        <w:rPr>
          <w:szCs w:val="26"/>
          <w:shd w:val="clear" w:color="auto" w:fill="FFFFFF"/>
        </w:rPr>
        <w:t xml:space="preserve"> </w:t>
      </w:r>
      <w:r w:rsidR="00631DFD">
        <w:rPr>
          <w:szCs w:val="26"/>
          <w:shd w:val="clear" w:color="auto" w:fill="FFFFFF"/>
        </w:rPr>
        <w:t>factor</w:t>
      </w:r>
      <w:r>
        <w:rPr>
          <w:szCs w:val="26"/>
          <w:shd w:val="clear" w:color="auto" w:fill="FFFFFF"/>
        </w:rPr>
        <w:t>s (d) and (g), r</w:t>
      </w:r>
      <w:r w:rsidRPr="00165E21">
        <w:rPr>
          <w:szCs w:val="26"/>
          <w:shd w:val="clear" w:color="auto" w:fill="FFFFFF"/>
        </w:rPr>
        <w:t>espectively, act as a barrier to the jury</w:t>
      </w:r>
      <w:r>
        <w:rPr>
          <w:szCs w:val="26"/>
          <w:shd w:val="clear" w:color="auto" w:fill="FFFFFF"/>
        </w:rPr>
        <w:t>’</w:t>
      </w:r>
      <w:r w:rsidRPr="00165E21">
        <w:rPr>
          <w:szCs w:val="26"/>
          <w:shd w:val="clear" w:color="auto" w:fill="FFFFFF"/>
        </w:rPr>
        <w:t xml:space="preserve">s consideration of mitigating evidence, in violation of constitutional commands. </w:t>
      </w:r>
      <w:r>
        <w:rPr>
          <w:szCs w:val="26"/>
          <w:shd w:val="clear" w:color="auto" w:fill="FFFFFF"/>
        </w:rPr>
        <w:t xml:space="preserve"> (</w:t>
      </w:r>
      <w:r>
        <w:rPr>
          <w:i/>
          <w:szCs w:val="26"/>
          <w:shd w:val="clear" w:color="auto" w:fill="FFFFFF"/>
        </w:rPr>
        <w:t>People v. Johnson</w:t>
      </w:r>
      <w:r>
        <w:rPr>
          <w:szCs w:val="26"/>
          <w:shd w:val="clear" w:color="auto" w:fill="FFFFFF"/>
        </w:rPr>
        <w:t xml:space="preserve">, </w:t>
      </w:r>
      <w:r>
        <w:rPr>
          <w:i/>
          <w:szCs w:val="26"/>
          <w:shd w:val="clear" w:color="auto" w:fill="FFFFFF"/>
        </w:rPr>
        <w:t>supra</w:t>
      </w:r>
      <w:r>
        <w:rPr>
          <w:szCs w:val="26"/>
          <w:shd w:val="clear" w:color="auto" w:fill="FFFFFF"/>
        </w:rPr>
        <w:t xml:space="preserve">, 62 Cal.4th at p. 656; </w:t>
      </w:r>
      <w:r>
        <w:rPr>
          <w:i/>
          <w:szCs w:val="26"/>
          <w:shd w:val="clear" w:color="auto" w:fill="FFFFFF"/>
        </w:rPr>
        <w:t xml:space="preserve">People v. Adcox </w:t>
      </w:r>
      <w:r w:rsidR="00A83E63">
        <w:rPr>
          <w:szCs w:val="26"/>
          <w:shd w:val="clear" w:color="auto" w:fill="FFFFFF"/>
        </w:rPr>
        <w:t>(1988) 47 Cal.3d 20</w:t>
      </w:r>
      <w:r>
        <w:rPr>
          <w:szCs w:val="26"/>
          <w:shd w:val="clear" w:color="auto" w:fill="FFFFFF"/>
        </w:rPr>
        <w:t>7, 270.)  The court was not required to instruct the jury that the statutory mitigating factors were relevant solely to mitigation, and the court’s instruction directing the jury to consider “whether or not” certain mitigating factors were present did not invite the jury to use</w:t>
      </w:r>
      <w:r w:rsidR="00CE21E9">
        <w:rPr>
          <w:szCs w:val="26"/>
          <w:shd w:val="clear" w:color="auto" w:fill="FFFFFF"/>
        </w:rPr>
        <w:t xml:space="preserve"> the</w:t>
      </w:r>
      <w:r>
        <w:rPr>
          <w:szCs w:val="26"/>
          <w:shd w:val="clear" w:color="auto" w:fill="FFFFFF"/>
        </w:rPr>
        <w:t xml:space="preserve"> absence of such factors as an aggravating circumstance, in violation of state law and the Eighth and Fourteenth Amendments.  (</w:t>
      </w:r>
      <w:r>
        <w:rPr>
          <w:i/>
          <w:szCs w:val="26"/>
          <w:shd w:val="clear" w:color="auto" w:fill="FFFFFF"/>
        </w:rPr>
        <w:t>People v. Johnson</w:t>
      </w:r>
      <w:r>
        <w:rPr>
          <w:szCs w:val="26"/>
          <w:shd w:val="clear" w:color="auto" w:fill="FFFFFF"/>
        </w:rPr>
        <w:t xml:space="preserve">, </w:t>
      </w:r>
      <w:r>
        <w:rPr>
          <w:i/>
          <w:szCs w:val="26"/>
          <w:shd w:val="clear" w:color="auto" w:fill="FFFFFF"/>
        </w:rPr>
        <w:t>supra</w:t>
      </w:r>
      <w:r>
        <w:rPr>
          <w:szCs w:val="26"/>
          <w:shd w:val="clear" w:color="auto" w:fill="FFFFFF"/>
        </w:rPr>
        <w:t>,</w:t>
      </w:r>
      <w:r>
        <w:rPr>
          <w:i/>
          <w:szCs w:val="26"/>
          <w:shd w:val="clear" w:color="auto" w:fill="FFFFFF"/>
        </w:rPr>
        <w:t xml:space="preserve"> </w:t>
      </w:r>
      <w:r>
        <w:rPr>
          <w:szCs w:val="26"/>
          <w:shd w:val="clear" w:color="auto" w:fill="FFFFFF"/>
        </w:rPr>
        <w:t xml:space="preserve">62 Cal.4th at p. 656; </w:t>
      </w:r>
      <w:r>
        <w:rPr>
          <w:i/>
          <w:szCs w:val="26"/>
          <w:shd w:val="clear" w:color="auto" w:fill="FFFFFF"/>
        </w:rPr>
        <w:t xml:space="preserve">People v. Coffman and Marlow </w:t>
      </w:r>
      <w:r>
        <w:rPr>
          <w:szCs w:val="26"/>
          <w:shd w:val="clear" w:color="auto" w:fill="FFFFFF"/>
        </w:rPr>
        <w:t>(2004) 34 Cal.4th 1, 123.)</w:t>
      </w:r>
    </w:p>
    <w:p w:rsidR="00165E21" w:rsidRPr="005561D0" w:rsidRDefault="00165E21" w:rsidP="005561D0">
      <w:pPr>
        <w:spacing w:line="480" w:lineRule="atLeast"/>
        <w:ind w:firstLine="720"/>
        <w:rPr>
          <w:szCs w:val="26"/>
          <w:shd w:val="clear" w:color="auto" w:fill="FFFFFF"/>
        </w:rPr>
      </w:pPr>
      <w:r w:rsidRPr="00165E21">
        <w:rPr>
          <w:szCs w:val="26"/>
          <w:shd w:val="clear" w:color="auto" w:fill="FFFFFF"/>
        </w:rPr>
        <w:t>The failure to afford capital defendants at the penalty phase the same procedural safeguards afforded to noncapital defendants</w:t>
      </w:r>
      <w:r w:rsidR="005561D0">
        <w:rPr>
          <w:szCs w:val="26"/>
          <w:shd w:val="clear" w:color="auto" w:fill="FFFFFF"/>
        </w:rPr>
        <w:t xml:space="preserve"> do</w:t>
      </w:r>
      <w:r w:rsidRPr="00165E21">
        <w:rPr>
          <w:szCs w:val="26"/>
          <w:shd w:val="clear" w:color="auto" w:fill="FFFFFF"/>
        </w:rPr>
        <w:t>es not offend equal protection principles, because the two groups are not similarly situated.</w:t>
      </w:r>
      <w:r w:rsidR="005561D0">
        <w:rPr>
          <w:szCs w:val="26"/>
          <w:shd w:val="clear" w:color="auto" w:fill="FFFFFF"/>
        </w:rPr>
        <w:t xml:space="preserve"> </w:t>
      </w:r>
      <w:r w:rsidRPr="00165E21">
        <w:rPr>
          <w:szCs w:val="26"/>
          <w:shd w:val="clear" w:color="auto" w:fill="FFFFFF"/>
        </w:rPr>
        <w:t xml:space="preserve"> (</w:t>
      </w:r>
      <w:r w:rsidR="005561D0" w:rsidRPr="005561D0">
        <w:rPr>
          <w:i/>
          <w:szCs w:val="26"/>
          <w:shd w:val="clear" w:color="auto" w:fill="FFFFFF"/>
        </w:rPr>
        <w:t>Brooks</w:t>
      </w:r>
      <w:r w:rsidR="00641F40">
        <w:rPr>
          <w:szCs w:val="26"/>
          <w:shd w:val="clear" w:color="auto" w:fill="FFFFFF"/>
        </w:rPr>
        <w:t xml:space="preserve">, </w:t>
      </w:r>
      <w:r w:rsidR="00641F40">
        <w:rPr>
          <w:i/>
          <w:szCs w:val="26"/>
          <w:shd w:val="clear" w:color="auto" w:fill="FFFFFF"/>
        </w:rPr>
        <w:t>supra</w:t>
      </w:r>
      <w:r w:rsidR="00641F40">
        <w:rPr>
          <w:szCs w:val="26"/>
          <w:shd w:val="clear" w:color="auto" w:fill="FFFFFF"/>
        </w:rPr>
        <w:t xml:space="preserve">, </w:t>
      </w:r>
      <w:r w:rsidR="005561D0" w:rsidRPr="005561D0">
        <w:rPr>
          <w:szCs w:val="26"/>
          <w:shd w:val="clear" w:color="auto" w:fill="FFFFFF"/>
        </w:rPr>
        <w:t xml:space="preserve">3 Cal.5th </w:t>
      </w:r>
      <w:r w:rsidR="00641F40">
        <w:rPr>
          <w:szCs w:val="26"/>
          <w:shd w:val="clear" w:color="auto" w:fill="FFFFFF"/>
        </w:rPr>
        <w:t xml:space="preserve">at p. </w:t>
      </w:r>
      <w:r w:rsidR="005561D0" w:rsidRPr="005561D0">
        <w:rPr>
          <w:szCs w:val="26"/>
          <w:shd w:val="clear" w:color="auto" w:fill="FFFFFF"/>
        </w:rPr>
        <w:t xml:space="preserve">116; </w:t>
      </w:r>
      <w:r w:rsidR="005561D0" w:rsidRPr="005561D0">
        <w:rPr>
          <w:i/>
          <w:szCs w:val="26"/>
          <w:shd w:val="clear" w:color="auto" w:fill="FFFFFF"/>
        </w:rPr>
        <w:t xml:space="preserve">People v. Whalen </w:t>
      </w:r>
      <w:r w:rsidR="005561D0" w:rsidRPr="005561D0">
        <w:rPr>
          <w:szCs w:val="26"/>
          <w:shd w:val="clear" w:color="auto" w:fill="FFFFFF"/>
        </w:rPr>
        <w:t>(2013) 56 Cal.4th 1, 91.)</w:t>
      </w:r>
    </w:p>
    <w:p w:rsidR="00A83E63" w:rsidRDefault="005561D0" w:rsidP="00A83E63">
      <w:pPr>
        <w:spacing w:line="480" w:lineRule="atLeast"/>
        <w:ind w:firstLine="720"/>
        <w:rPr>
          <w:rStyle w:val="ssrfcpassagedeactivated"/>
          <w:szCs w:val="26"/>
          <w:bdr w:val="none" w:sz="0" w:space="0" w:color="auto" w:frame="1"/>
        </w:rPr>
      </w:pPr>
      <w:r w:rsidRPr="005561D0">
        <w:rPr>
          <w:rStyle w:val="ssrfcpassagedeactivated"/>
          <w:szCs w:val="26"/>
          <w:bdr w:val="none" w:sz="0" w:space="0" w:color="auto" w:frame="1"/>
        </w:rPr>
        <w:t>California does not regularly use the death penalty as a form of punishment, and “its imposition does not violate international norms of decency or the Eighth Amendment’s prohibition against cruel and unusual punishment.”  (</w:t>
      </w:r>
      <w:r w:rsidRPr="005561D0">
        <w:rPr>
          <w:rStyle w:val="ssrfcpassagedeactivated"/>
          <w:i/>
          <w:szCs w:val="26"/>
          <w:bdr w:val="none" w:sz="0" w:space="0" w:color="auto" w:frame="1"/>
        </w:rPr>
        <w:t>People v. Clark</w:t>
      </w:r>
      <w:r w:rsidRPr="005561D0">
        <w:rPr>
          <w:rStyle w:val="ssrfcpassagedeactivated"/>
          <w:szCs w:val="26"/>
          <w:bdr w:val="none" w:sz="0" w:space="0" w:color="auto" w:frame="1"/>
        </w:rPr>
        <w:t xml:space="preserve">, </w:t>
      </w:r>
      <w:r w:rsidRPr="005561D0">
        <w:rPr>
          <w:rStyle w:val="ssrfcpassagedeactivated"/>
          <w:i/>
          <w:szCs w:val="26"/>
          <w:bdr w:val="none" w:sz="0" w:space="0" w:color="auto" w:frame="1"/>
        </w:rPr>
        <w:t>supra</w:t>
      </w:r>
      <w:r w:rsidRPr="005561D0">
        <w:rPr>
          <w:rStyle w:val="ssrfcpassagedeactivated"/>
          <w:szCs w:val="26"/>
          <w:bdr w:val="none" w:sz="0" w:space="0" w:color="auto" w:frame="1"/>
        </w:rPr>
        <w:t>, 52 Cal.4th at p. 1008.)</w:t>
      </w:r>
    </w:p>
    <w:p w:rsidR="005561D0" w:rsidRPr="00A83E63" w:rsidRDefault="00A83E63" w:rsidP="00A83E63">
      <w:pPr>
        <w:pStyle w:val="Heading2"/>
        <w:rPr>
          <w:szCs w:val="26"/>
          <w:bdr w:val="none" w:sz="0" w:space="0" w:color="auto" w:frame="1"/>
        </w:rPr>
      </w:pPr>
      <w:bookmarkStart w:id="31" w:name="_Toc508625891"/>
      <w:r>
        <w:rPr>
          <w:shd w:val="clear" w:color="auto" w:fill="FFFFFF"/>
        </w:rPr>
        <w:t xml:space="preserve">D.  Alleged </w:t>
      </w:r>
      <w:r w:rsidR="005561D0">
        <w:rPr>
          <w:shd w:val="clear" w:color="auto" w:fill="FFFFFF"/>
        </w:rPr>
        <w:t>Cumulative Effect</w:t>
      </w:r>
      <w:r w:rsidR="005561D0" w:rsidRPr="005561D0">
        <w:rPr>
          <w:rStyle w:val="ssit"/>
          <w:iCs/>
          <w:szCs w:val="26"/>
          <w:bdr w:val="none" w:sz="0" w:space="0" w:color="auto" w:frame="1"/>
          <w:shd w:val="clear" w:color="auto" w:fill="FFFFFF"/>
        </w:rPr>
        <w:t> of Asserted Errors</w:t>
      </w:r>
      <w:bookmarkEnd w:id="31"/>
    </w:p>
    <w:p w:rsidR="00A83E63" w:rsidRDefault="005561D0" w:rsidP="00A83E63">
      <w:pPr>
        <w:pStyle w:val="NormalWeb"/>
        <w:shd w:val="clear" w:color="auto" w:fill="FFFFFF"/>
        <w:spacing w:before="0" w:beforeAutospacing="0" w:after="0" w:afterAutospacing="0" w:line="480" w:lineRule="atLeast"/>
        <w:ind w:firstLine="720"/>
        <w:textAlignment w:val="baseline"/>
        <w:rPr>
          <w:sz w:val="26"/>
          <w:szCs w:val="26"/>
        </w:rPr>
      </w:pPr>
      <w:r w:rsidRPr="005561D0">
        <w:rPr>
          <w:sz w:val="26"/>
          <w:szCs w:val="26"/>
        </w:rPr>
        <w:t>Defendant argues that the cumulative impact of the asserted errors at the</w:t>
      </w:r>
      <w:r>
        <w:rPr>
          <w:sz w:val="26"/>
          <w:szCs w:val="26"/>
        </w:rPr>
        <w:t xml:space="preserve"> </w:t>
      </w:r>
      <w:r w:rsidRPr="005561D0">
        <w:rPr>
          <w:sz w:val="26"/>
          <w:szCs w:val="26"/>
        </w:rPr>
        <w:t xml:space="preserve">guilt and penalty phases rendered his trial fundamentally unfair and deprived him of other constitutional rights. </w:t>
      </w:r>
      <w:r>
        <w:rPr>
          <w:sz w:val="26"/>
          <w:szCs w:val="26"/>
        </w:rPr>
        <w:t xml:space="preserve"> </w:t>
      </w:r>
      <w:r w:rsidRPr="005561D0">
        <w:rPr>
          <w:sz w:val="26"/>
          <w:szCs w:val="26"/>
        </w:rPr>
        <w:t>Because we have concluded there was</w:t>
      </w:r>
      <w:r>
        <w:rPr>
          <w:sz w:val="26"/>
          <w:szCs w:val="26"/>
        </w:rPr>
        <w:t xml:space="preserve"> no error</w:t>
      </w:r>
      <w:r w:rsidRPr="005561D0">
        <w:rPr>
          <w:sz w:val="26"/>
          <w:szCs w:val="26"/>
        </w:rPr>
        <w:t> related to the</w:t>
      </w:r>
      <w:r w:rsidR="00631DFD">
        <w:rPr>
          <w:sz w:val="26"/>
          <w:szCs w:val="26"/>
        </w:rPr>
        <w:t xml:space="preserve"> trial on the</w:t>
      </w:r>
      <w:r w:rsidRPr="005561D0">
        <w:rPr>
          <w:sz w:val="26"/>
          <w:szCs w:val="26"/>
        </w:rPr>
        <w:t xml:space="preserve"> capital offenses or their punishment, there is nothing to cumulate </w:t>
      </w:r>
      <w:r w:rsidR="00A83E63">
        <w:rPr>
          <w:sz w:val="26"/>
          <w:szCs w:val="26"/>
        </w:rPr>
        <w:t>and, in any event, we reject the</w:t>
      </w:r>
      <w:r w:rsidRPr="005561D0">
        <w:rPr>
          <w:sz w:val="26"/>
          <w:szCs w:val="26"/>
        </w:rPr>
        <w:t xml:space="preserve"> claim that any asserted</w:t>
      </w:r>
      <w:r>
        <w:rPr>
          <w:sz w:val="26"/>
          <w:szCs w:val="26"/>
        </w:rPr>
        <w:t xml:space="preserve"> cumulative </w:t>
      </w:r>
      <w:r w:rsidRPr="00F75EE2">
        <w:rPr>
          <w:sz w:val="26"/>
          <w:szCs w:val="26"/>
        </w:rPr>
        <w:t>effect warrants reversal.</w:t>
      </w:r>
    </w:p>
    <w:p w:rsidR="005561D0" w:rsidRPr="00A83E63" w:rsidRDefault="00A83E63" w:rsidP="00A83E63">
      <w:pPr>
        <w:pStyle w:val="Heading1"/>
        <w:rPr>
          <w:szCs w:val="26"/>
        </w:rPr>
      </w:pPr>
      <w:bookmarkStart w:id="32" w:name="_Toc508625892"/>
      <w:r>
        <w:t>III.  Disposition</w:t>
      </w:r>
      <w:bookmarkEnd w:id="32"/>
    </w:p>
    <w:p w:rsidR="00F75EE2" w:rsidRDefault="00F476F8" w:rsidP="00F75EE2">
      <w:pPr>
        <w:spacing w:line="480" w:lineRule="atLeast"/>
        <w:ind w:firstLine="720"/>
        <w:rPr>
          <w:szCs w:val="26"/>
          <w:shd w:val="clear" w:color="auto" w:fill="FFFFFF"/>
        </w:rPr>
      </w:pPr>
      <w:r>
        <w:rPr>
          <w:szCs w:val="26"/>
          <w:shd w:val="clear" w:color="auto" w:fill="FFFFFF"/>
        </w:rPr>
        <w:t>The judgment is affirmed in its entirety.</w:t>
      </w:r>
    </w:p>
    <w:p w:rsidR="00A83E63" w:rsidRDefault="00A83E63" w:rsidP="00F75EE2">
      <w:pPr>
        <w:spacing w:line="480" w:lineRule="atLeast"/>
        <w:ind w:firstLine="720"/>
        <w:rPr>
          <w:szCs w:val="26"/>
          <w:shd w:val="clear" w:color="auto" w:fill="FFFFFF"/>
        </w:rPr>
      </w:pPr>
    </w:p>
    <w:p w:rsidR="00186FD4" w:rsidRPr="003F6C46" w:rsidRDefault="00186FD4" w:rsidP="00186FD4">
      <w:pPr>
        <w:spacing w:line="480" w:lineRule="atLeast"/>
        <w:ind w:firstLine="720"/>
        <w:jc w:val="right"/>
        <w:rPr>
          <w:b/>
          <w:szCs w:val="26"/>
          <w:shd w:val="clear" w:color="auto" w:fill="FFFFFF"/>
        </w:rPr>
      </w:pPr>
      <w:r w:rsidRPr="003F6C46">
        <w:rPr>
          <w:b/>
          <w:szCs w:val="26"/>
          <w:shd w:val="clear" w:color="auto" w:fill="FFFFFF"/>
        </w:rPr>
        <w:t>CANTIL-SAKAUYE, C.</w:t>
      </w:r>
      <w:r w:rsidR="006B7F3E">
        <w:rPr>
          <w:b/>
          <w:szCs w:val="26"/>
          <w:shd w:val="clear" w:color="auto" w:fill="FFFFFF"/>
        </w:rPr>
        <w:t> </w:t>
      </w:r>
      <w:r w:rsidRPr="003F6C46">
        <w:rPr>
          <w:b/>
          <w:szCs w:val="26"/>
          <w:shd w:val="clear" w:color="auto" w:fill="FFFFFF"/>
        </w:rPr>
        <w:t>J.</w:t>
      </w:r>
    </w:p>
    <w:p w:rsidR="00186FD4" w:rsidRDefault="00186FD4" w:rsidP="00F75EE2">
      <w:pPr>
        <w:spacing w:line="480" w:lineRule="atLeast"/>
        <w:ind w:firstLine="720"/>
        <w:rPr>
          <w:szCs w:val="26"/>
          <w:shd w:val="clear" w:color="auto" w:fill="FFFFFF"/>
        </w:rPr>
      </w:pPr>
    </w:p>
    <w:p w:rsidR="00186FD4" w:rsidRPr="003F6C46" w:rsidRDefault="003F6C46" w:rsidP="00A83E63">
      <w:pPr>
        <w:spacing w:line="480" w:lineRule="atLeast"/>
        <w:rPr>
          <w:b/>
          <w:szCs w:val="26"/>
          <w:shd w:val="clear" w:color="auto" w:fill="FFFFFF"/>
        </w:rPr>
      </w:pPr>
      <w:r w:rsidRPr="003F6C46">
        <w:rPr>
          <w:b/>
          <w:szCs w:val="26"/>
          <w:shd w:val="clear" w:color="auto" w:fill="FFFFFF"/>
        </w:rPr>
        <w:t>WE CONCUR:</w:t>
      </w:r>
    </w:p>
    <w:p w:rsidR="00186FD4" w:rsidRDefault="00186FD4" w:rsidP="00841D95">
      <w:pPr>
        <w:rPr>
          <w:szCs w:val="26"/>
          <w:shd w:val="clear" w:color="auto" w:fill="FFFFFF"/>
        </w:rPr>
      </w:pPr>
    </w:p>
    <w:p w:rsidR="00841D95" w:rsidRPr="006074B5" w:rsidRDefault="00841D95" w:rsidP="00841D95">
      <w:pPr>
        <w:rPr>
          <w:b/>
          <w:szCs w:val="26"/>
          <w:shd w:val="clear" w:color="auto" w:fill="FFFFFF"/>
        </w:rPr>
      </w:pPr>
      <w:r w:rsidRPr="006074B5">
        <w:rPr>
          <w:b/>
          <w:szCs w:val="26"/>
          <w:shd w:val="clear" w:color="auto" w:fill="FFFFFF"/>
        </w:rPr>
        <w:t>CHIN, J.</w:t>
      </w:r>
    </w:p>
    <w:p w:rsidR="00841D95" w:rsidRPr="006074B5" w:rsidRDefault="00841D95" w:rsidP="00841D95">
      <w:pPr>
        <w:rPr>
          <w:b/>
          <w:szCs w:val="26"/>
          <w:shd w:val="clear" w:color="auto" w:fill="FFFFFF"/>
        </w:rPr>
      </w:pPr>
      <w:r w:rsidRPr="006074B5">
        <w:rPr>
          <w:b/>
          <w:szCs w:val="26"/>
          <w:shd w:val="clear" w:color="auto" w:fill="FFFFFF"/>
        </w:rPr>
        <w:t>CORRIGAN, J.</w:t>
      </w:r>
    </w:p>
    <w:p w:rsidR="00841D95" w:rsidRPr="006074B5" w:rsidRDefault="00841D95" w:rsidP="00841D95">
      <w:pPr>
        <w:rPr>
          <w:b/>
          <w:szCs w:val="26"/>
          <w:shd w:val="clear" w:color="auto" w:fill="FFFFFF"/>
        </w:rPr>
      </w:pPr>
      <w:r w:rsidRPr="006074B5">
        <w:rPr>
          <w:b/>
          <w:szCs w:val="26"/>
          <w:shd w:val="clear" w:color="auto" w:fill="FFFFFF"/>
        </w:rPr>
        <w:t>LIU, J.</w:t>
      </w:r>
    </w:p>
    <w:p w:rsidR="00A83E63" w:rsidRPr="006074B5" w:rsidRDefault="00841D95" w:rsidP="00841D95">
      <w:pPr>
        <w:rPr>
          <w:b/>
          <w:szCs w:val="26"/>
        </w:rPr>
      </w:pPr>
      <w:r w:rsidRPr="006074B5">
        <w:rPr>
          <w:b/>
          <w:szCs w:val="26"/>
        </w:rPr>
        <w:t>CUÉLLAR, J.</w:t>
      </w:r>
    </w:p>
    <w:p w:rsidR="00841D95" w:rsidRPr="006074B5" w:rsidRDefault="00841D95" w:rsidP="00841D95">
      <w:pPr>
        <w:rPr>
          <w:b/>
          <w:szCs w:val="26"/>
        </w:rPr>
      </w:pPr>
      <w:r w:rsidRPr="006074B5">
        <w:rPr>
          <w:b/>
          <w:szCs w:val="26"/>
        </w:rPr>
        <w:t>KRUGER, J.</w:t>
      </w:r>
    </w:p>
    <w:p w:rsidR="00056FB2" w:rsidRPr="006074B5" w:rsidRDefault="00841D95" w:rsidP="00841D95">
      <w:pPr>
        <w:rPr>
          <w:b/>
          <w:szCs w:val="26"/>
        </w:rPr>
      </w:pPr>
      <w:r w:rsidRPr="006074B5">
        <w:rPr>
          <w:b/>
          <w:szCs w:val="26"/>
        </w:rPr>
        <w:t>JOHNSON, J.</w:t>
      </w:r>
      <w:r w:rsidRPr="006074B5">
        <w:rPr>
          <w:b/>
          <w:sz w:val="24"/>
          <w:szCs w:val="24"/>
        </w:rPr>
        <w:t>*</w:t>
      </w:r>
    </w:p>
    <w:p w:rsidR="00056FB2" w:rsidRDefault="00056FB2"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6074B5" w:rsidRDefault="006074B5" w:rsidP="00841D95">
      <w:pPr>
        <w:rPr>
          <w:szCs w:val="26"/>
        </w:rPr>
      </w:pPr>
    </w:p>
    <w:p w:rsidR="00022734" w:rsidRDefault="00022734" w:rsidP="00841D95">
      <w:pPr>
        <w:rPr>
          <w:szCs w:val="26"/>
        </w:rPr>
      </w:pPr>
    </w:p>
    <w:p w:rsidR="00056FB2" w:rsidRDefault="00056FB2" w:rsidP="00056FB2">
      <w:pPr>
        <w:spacing w:line="480" w:lineRule="atLeast"/>
        <w:rPr>
          <w:szCs w:val="26"/>
        </w:rPr>
      </w:pPr>
    </w:p>
    <w:p w:rsidR="00056FB2" w:rsidRDefault="00056FB2" w:rsidP="00056FB2">
      <w:pPr>
        <w:spacing w:line="480" w:lineRule="atLeast"/>
        <w:rPr>
          <w:szCs w:val="26"/>
        </w:rPr>
        <w:sectPr w:rsidR="00056FB2" w:rsidSect="00056FB2">
          <w:footerReference w:type="default" r:id="rId8"/>
          <w:type w:val="continuous"/>
          <w:pgSz w:w="12240" w:h="15840"/>
          <w:pgMar w:top="1440" w:right="1800" w:bottom="1440" w:left="1800" w:header="720" w:footer="720" w:gutter="0"/>
          <w:pgNumType w:start="1"/>
          <w:cols w:space="720"/>
        </w:sectPr>
      </w:pPr>
    </w:p>
    <w:p w:rsidR="00E473A9" w:rsidRDefault="00056FB2" w:rsidP="00056FB2">
      <w:pPr>
        <w:rPr>
          <w:szCs w:val="26"/>
        </w:rPr>
        <w:sectPr w:rsidR="00E473A9" w:rsidSect="00056FB2">
          <w:footerReference w:type="default" r:id="rId9"/>
          <w:type w:val="continuous"/>
          <w:pgSz w:w="12240" w:h="15840"/>
          <w:pgMar w:top="1440" w:right="1800" w:bottom="1440" w:left="1800" w:header="720" w:footer="720" w:gutter="0"/>
          <w:pgNumType w:start="1"/>
          <w:cols w:space="720"/>
        </w:sectPr>
      </w:pPr>
      <w:r>
        <w:rPr>
          <w:szCs w:val="26"/>
        </w:rPr>
        <w:t>*        Associate Justice of the Court of Appeal, Second Appellate District, Division One, assigned by the Chief Justice pursuant to article VI, section 6 of the California Constitution.</w:t>
      </w:r>
    </w:p>
    <w:p w:rsidR="00E473A9" w:rsidRDefault="00E473A9">
      <w:pPr>
        <w:rPr>
          <w:i/>
          <w:sz w:val="20"/>
        </w:rPr>
      </w:pPr>
      <w:r>
        <w:rPr>
          <w:i/>
          <w:sz w:val="20"/>
        </w:rPr>
        <w:t>See next page for addresses and telephone numbers for counsel who argued in Supreme Court.</w:t>
      </w:r>
    </w:p>
    <w:p w:rsidR="00E473A9" w:rsidRDefault="00E473A9">
      <w:pPr>
        <w:rPr>
          <w:i/>
          <w:sz w:val="20"/>
        </w:rPr>
      </w:pPr>
    </w:p>
    <w:p w:rsidR="00E473A9" w:rsidRPr="00EA01DF" w:rsidRDefault="00E473A9">
      <w:pPr>
        <w:rPr>
          <w:bCs/>
          <w:i/>
          <w:sz w:val="20"/>
        </w:rPr>
      </w:pPr>
      <w:r>
        <w:rPr>
          <w:b/>
          <w:sz w:val="20"/>
        </w:rPr>
        <w:t>Name of Opinion</w:t>
      </w:r>
      <w:r>
        <w:rPr>
          <w:sz w:val="20"/>
        </w:rPr>
        <w:t xml:space="preserve"> People v. Powell</w:t>
      </w:r>
    </w:p>
    <w:p w:rsidR="00E473A9" w:rsidRDefault="00E473A9">
      <w:pPr>
        <w:rPr>
          <w:b/>
          <w:sz w:val="20"/>
        </w:rPr>
      </w:pPr>
      <w:r>
        <w:rPr>
          <w:b/>
          <w:sz w:val="20"/>
        </w:rPr>
        <w:t>__________________________________________________________________________________</w:t>
      </w:r>
    </w:p>
    <w:p w:rsidR="00E473A9" w:rsidRDefault="00E473A9">
      <w:pPr>
        <w:rPr>
          <w:b/>
          <w:sz w:val="20"/>
        </w:rPr>
      </w:pPr>
    </w:p>
    <w:p w:rsidR="00E473A9" w:rsidRDefault="00E473A9">
      <w:pPr>
        <w:rPr>
          <w:bCs/>
          <w:sz w:val="20"/>
        </w:rPr>
      </w:pPr>
      <w:r>
        <w:rPr>
          <w:b/>
          <w:sz w:val="20"/>
        </w:rPr>
        <w:t>Unpublished Opinion</w:t>
      </w:r>
    </w:p>
    <w:p w:rsidR="00E473A9" w:rsidRPr="001D5FC8" w:rsidRDefault="00E473A9">
      <w:pPr>
        <w:rPr>
          <w:sz w:val="20"/>
        </w:rPr>
      </w:pPr>
      <w:r>
        <w:rPr>
          <w:b/>
          <w:sz w:val="20"/>
        </w:rPr>
        <w:t>Original Appeal</w:t>
      </w:r>
      <w:r>
        <w:rPr>
          <w:sz w:val="20"/>
        </w:rPr>
        <w:t xml:space="preserve"> XXX</w:t>
      </w:r>
    </w:p>
    <w:p w:rsidR="00E473A9" w:rsidRDefault="00E473A9">
      <w:pPr>
        <w:rPr>
          <w:b/>
          <w:sz w:val="20"/>
        </w:rPr>
      </w:pPr>
      <w:r>
        <w:rPr>
          <w:b/>
          <w:sz w:val="20"/>
        </w:rPr>
        <w:t>Original Proceeding</w:t>
      </w:r>
    </w:p>
    <w:p w:rsidR="00E473A9" w:rsidRPr="00EA01DF" w:rsidRDefault="00E473A9">
      <w:pPr>
        <w:rPr>
          <w:sz w:val="20"/>
        </w:rPr>
      </w:pPr>
      <w:r>
        <w:rPr>
          <w:b/>
          <w:sz w:val="20"/>
        </w:rPr>
        <w:t>Review Granted</w:t>
      </w:r>
    </w:p>
    <w:p w:rsidR="00E473A9" w:rsidRDefault="00E473A9">
      <w:pPr>
        <w:rPr>
          <w:b/>
          <w:sz w:val="20"/>
        </w:rPr>
      </w:pPr>
      <w:r>
        <w:rPr>
          <w:b/>
          <w:sz w:val="20"/>
        </w:rPr>
        <w:t>Rehearing Granted</w:t>
      </w:r>
    </w:p>
    <w:p w:rsidR="00E473A9" w:rsidRDefault="00E473A9">
      <w:pPr>
        <w:rPr>
          <w:b/>
          <w:sz w:val="20"/>
        </w:rPr>
      </w:pPr>
    </w:p>
    <w:p w:rsidR="00E473A9" w:rsidRDefault="00E473A9">
      <w:pPr>
        <w:rPr>
          <w:b/>
          <w:sz w:val="20"/>
        </w:rPr>
      </w:pPr>
      <w:r>
        <w:rPr>
          <w:b/>
          <w:sz w:val="20"/>
        </w:rPr>
        <w:t>__________________________________________________________________________________</w:t>
      </w:r>
    </w:p>
    <w:p w:rsidR="00E473A9" w:rsidRDefault="00E473A9">
      <w:pPr>
        <w:rPr>
          <w:b/>
          <w:sz w:val="20"/>
        </w:rPr>
      </w:pPr>
    </w:p>
    <w:p w:rsidR="00E473A9" w:rsidRDefault="00E473A9">
      <w:pPr>
        <w:rPr>
          <w:sz w:val="20"/>
        </w:rPr>
      </w:pPr>
      <w:r>
        <w:rPr>
          <w:b/>
          <w:sz w:val="20"/>
        </w:rPr>
        <w:t>Opinion No.</w:t>
      </w:r>
      <w:r>
        <w:rPr>
          <w:sz w:val="20"/>
        </w:rPr>
        <w:t xml:space="preserve"> S137730</w:t>
      </w:r>
    </w:p>
    <w:p w:rsidR="00E473A9" w:rsidRPr="00EA01DF" w:rsidRDefault="00E473A9">
      <w:pPr>
        <w:rPr>
          <w:bCs/>
          <w:sz w:val="20"/>
        </w:rPr>
      </w:pPr>
      <w:r>
        <w:rPr>
          <w:b/>
          <w:sz w:val="20"/>
        </w:rPr>
        <w:t>Date Filed:</w:t>
      </w:r>
      <w:r>
        <w:rPr>
          <w:sz w:val="20"/>
        </w:rPr>
        <w:t xml:space="preserve"> August 13, 2018</w:t>
      </w:r>
    </w:p>
    <w:p w:rsidR="00E473A9" w:rsidRDefault="00E473A9">
      <w:pPr>
        <w:rPr>
          <w:b/>
          <w:sz w:val="20"/>
        </w:rPr>
      </w:pPr>
      <w:r>
        <w:rPr>
          <w:b/>
          <w:sz w:val="20"/>
        </w:rPr>
        <w:t>__________________________________________________________________________________</w:t>
      </w:r>
    </w:p>
    <w:p w:rsidR="00E473A9" w:rsidRDefault="00E473A9">
      <w:pPr>
        <w:rPr>
          <w:b/>
          <w:sz w:val="20"/>
        </w:rPr>
      </w:pPr>
    </w:p>
    <w:p w:rsidR="00E473A9" w:rsidRPr="00EA01DF" w:rsidRDefault="00E473A9">
      <w:pPr>
        <w:rPr>
          <w:bCs/>
          <w:sz w:val="20"/>
        </w:rPr>
      </w:pPr>
      <w:r>
        <w:rPr>
          <w:b/>
          <w:sz w:val="20"/>
        </w:rPr>
        <w:t>Court:</w:t>
      </w:r>
      <w:r>
        <w:rPr>
          <w:sz w:val="20"/>
        </w:rPr>
        <w:t xml:space="preserve"> Superior</w:t>
      </w:r>
    </w:p>
    <w:p w:rsidR="00E473A9" w:rsidRPr="00EA01DF" w:rsidRDefault="00E473A9">
      <w:pPr>
        <w:rPr>
          <w:bCs/>
          <w:sz w:val="20"/>
        </w:rPr>
      </w:pPr>
      <w:r>
        <w:rPr>
          <w:b/>
          <w:sz w:val="20"/>
        </w:rPr>
        <w:t>County:</w:t>
      </w:r>
      <w:r>
        <w:rPr>
          <w:sz w:val="20"/>
        </w:rPr>
        <w:t xml:space="preserve"> Los Angeles</w:t>
      </w:r>
    </w:p>
    <w:p w:rsidR="00E473A9" w:rsidRPr="00F6078C" w:rsidRDefault="00E473A9">
      <w:pPr>
        <w:ind w:left="720" w:hanging="720"/>
        <w:rPr>
          <w:bCs/>
          <w:sz w:val="20"/>
        </w:rPr>
      </w:pPr>
      <w:r>
        <w:rPr>
          <w:b/>
          <w:sz w:val="20"/>
        </w:rPr>
        <w:t>Judge:</w:t>
      </w:r>
      <w:r w:rsidRPr="00D61653">
        <w:rPr>
          <w:sz w:val="20"/>
        </w:rPr>
        <w:t xml:space="preserve"> William Pounders</w:t>
      </w:r>
    </w:p>
    <w:p w:rsidR="00E473A9" w:rsidRDefault="00E473A9">
      <w:pPr>
        <w:rPr>
          <w:b/>
          <w:sz w:val="20"/>
        </w:rPr>
      </w:pPr>
    </w:p>
    <w:p w:rsidR="00E473A9" w:rsidRDefault="00E473A9">
      <w:pPr>
        <w:rPr>
          <w:b/>
          <w:sz w:val="20"/>
        </w:rPr>
      </w:pPr>
      <w:r>
        <w:rPr>
          <w:b/>
          <w:sz w:val="20"/>
        </w:rPr>
        <w:t>__________________________________________________________________________________</w:t>
      </w:r>
    </w:p>
    <w:p w:rsidR="00E473A9" w:rsidRDefault="00E473A9">
      <w:pPr>
        <w:rPr>
          <w:b/>
          <w:sz w:val="20"/>
        </w:rPr>
      </w:pPr>
    </w:p>
    <w:p w:rsidR="00E473A9" w:rsidRDefault="00E473A9">
      <w:pPr>
        <w:rPr>
          <w:b/>
          <w:sz w:val="20"/>
        </w:rPr>
      </w:pPr>
      <w:r>
        <w:rPr>
          <w:b/>
          <w:sz w:val="20"/>
        </w:rPr>
        <w:t>Counsel:</w:t>
      </w:r>
    </w:p>
    <w:p w:rsidR="00E473A9" w:rsidRDefault="00E473A9">
      <w:pPr>
        <w:rPr>
          <w:b/>
          <w:sz w:val="20"/>
        </w:rPr>
      </w:pPr>
    </w:p>
    <w:p w:rsidR="00E473A9" w:rsidRPr="00EA01DF" w:rsidRDefault="00E473A9">
      <w:pPr>
        <w:rPr>
          <w:sz w:val="20"/>
        </w:rPr>
      </w:pPr>
      <w:r>
        <w:rPr>
          <w:sz w:val="20"/>
        </w:rPr>
        <w:t>R. Clayton Seaman, Jr., under appointment by the Supreme Court, for Defendant and Appellant.</w:t>
      </w:r>
    </w:p>
    <w:p w:rsidR="00E473A9" w:rsidRDefault="00E473A9">
      <w:pPr>
        <w:rPr>
          <w:b/>
          <w:sz w:val="20"/>
        </w:rPr>
      </w:pPr>
    </w:p>
    <w:p w:rsidR="00E473A9" w:rsidRPr="00AC1EF1" w:rsidRDefault="00E473A9" w:rsidP="00EA01DF">
      <w:pPr>
        <w:rPr>
          <w:sz w:val="20"/>
        </w:rPr>
      </w:pPr>
      <w:r>
        <w:rPr>
          <w:sz w:val="20"/>
        </w:rPr>
        <w:t>Kamala D. Harris and Xavier Becerra, Attorneys General, Dane R. Gillette, Chief Assistant Attorney General, Lance E. Winters, Assistant Attorney General, Jaime L. Fuster and Pamela C. Hamanaka, Deputy Attorneys General, for Plaintiff and Respondent.</w:t>
      </w:r>
    </w:p>
    <w:p w:rsidR="00E473A9" w:rsidRPr="00EA01DF" w:rsidRDefault="00E473A9">
      <w:pPr>
        <w:rPr>
          <w:sz w:val="20"/>
        </w:rPr>
      </w:pPr>
    </w:p>
    <w:p w:rsidR="00E473A9" w:rsidRDefault="00E473A9">
      <w:pPr>
        <w:rPr>
          <w:b/>
          <w:sz w:val="20"/>
        </w:rPr>
      </w:pPr>
    </w:p>
    <w:p w:rsidR="00E473A9" w:rsidRDefault="00E473A9">
      <w:pPr>
        <w:rPr>
          <w:b/>
          <w:sz w:val="20"/>
        </w:rPr>
        <w:sectPr w:rsidR="00E473A9" w:rsidSect="00E473A9">
          <w:pgSz w:w="12240" w:h="15840"/>
          <w:pgMar w:top="1440" w:right="1800" w:bottom="1440" w:left="1800" w:header="720" w:footer="720" w:gutter="0"/>
          <w:pgNumType w:start="1"/>
          <w:cols w:space="720"/>
          <w:titlePg/>
          <w:docGrid w:linePitch="354"/>
        </w:sectPr>
      </w:pPr>
    </w:p>
    <w:p w:rsidR="00E473A9" w:rsidRDefault="00E473A9">
      <w:pPr>
        <w:rPr>
          <w:b/>
          <w:sz w:val="20"/>
        </w:rPr>
      </w:pPr>
    </w:p>
    <w:p w:rsidR="00E473A9" w:rsidRDefault="00E473A9">
      <w:pPr>
        <w:rPr>
          <w:b/>
          <w:sz w:val="20"/>
        </w:rPr>
      </w:pPr>
    </w:p>
    <w:p w:rsidR="00022734" w:rsidRDefault="00022734">
      <w:pPr>
        <w:rPr>
          <w:b/>
          <w:sz w:val="20"/>
        </w:rPr>
      </w:pPr>
    </w:p>
    <w:p w:rsidR="00E473A9" w:rsidRDefault="00E473A9">
      <w:pPr>
        <w:rPr>
          <w:b/>
          <w:sz w:val="20"/>
        </w:rPr>
      </w:pPr>
    </w:p>
    <w:p w:rsidR="00E473A9" w:rsidRDefault="00E473A9">
      <w:pPr>
        <w:rPr>
          <w:b/>
          <w:sz w:val="20"/>
        </w:rPr>
      </w:pPr>
      <w:r>
        <w:rPr>
          <w:b/>
          <w:sz w:val="20"/>
        </w:rPr>
        <w:t>Counsel who argued in Supreme Court (not intended for publication with opinion):</w:t>
      </w:r>
    </w:p>
    <w:p w:rsidR="00E473A9" w:rsidRDefault="00E473A9">
      <w:pPr>
        <w:rPr>
          <w:b/>
          <w:sz w:val="20"/>
        </w:rPr>
      </w:pPr>
    </w:p>
    <w:p w:rsidR="00E473A9" w:rsidRDefault="00E473A9">
      <w:pPr>
        <w:rPr>
          <w:sz w:val="20"/>
        </w:rPr>
      </w:pPr>
      <w:r>
        <w:rPr>
          <w:sz w:val="20"/>
        </w:rPr>
        <w:t>R. Clayton Seaman, Jr.</w:t>
      </w:r>
    </w:p>
    <w:p w:rsidR="00E473A9" w:rsidRDefault="00E473A9">
      <w:pPr>
        <w:rPr>
          <w:sz w:val="20"/>
        </w:rPr>
      </w:pPr>
      <w:r>
        <w:rPr>
          <w:sz w:val="20"/>
        </w:rPr>
        <w:t>P.O. Box 12008</w:t>
      </w:r>
    </w:p>
    <w:p w:rsidR="00E473A9" w:rsidRDefault="00E473A9">
      <w:pPr>
        <w:rPr>
          <w:sz w:val="20"/>
        </w:rPr>
      </w:pPr>
      <w:r>
        <w:rPr>
          <w:sz w:val="20"/>
        </w:rPr>
        <w:t>Prescott, AZ  86304</w:t>
      </w:r>
    </w:p>
    <w:p w:rsidR="00E473A9" w:rsidRDefault="00E473A9">
      <w:pPr>
        <w:rPr>
          <w:sz w:val="20"/>
        </w:rPr>
      </w:pPr>
      <w:r>
        <w:rPr>
          <w:sz w:val="20"/>
        </w:rPr>
        <w:t>(928) 776-9168</w:t>
      </w:r>
    </w:p>
    <w:p w:rsidR="00E473A9" w:rsidRDefault="00E473A9">
      <w:pPr>
        <w:rPr>
          <w:sz w:val="20"/>
        </w:rPr>
      </w:pPr>
    </w:p>
    <w:p w:rsidR="00E473A9" w:rsidRDefault="00E473A9">
      <w:pPr>
        <w:rPr>
          <w:sz w:val="20"/>
        </w:rPr>
      </w:pPr>
      <w:r>
        <w:rPr>
          <w:sz w:val="20"/>
        </w:rPr>
        <w:t>Pamela C. Hamanaka</w:t>
      </w:r>
    </w:p>
    <w:p w:rsidR="00E473A9" w:rsidRDefault="00E473A9">
      <w:pPr>
        <w:rPr>
          <w:sz w:val="20"/>
        </w:rPr>
      </w:pPr>
      <w:r>
        <w:rPr>
          <w:sz w:val="20"/>
        </w:rPr>
        <w:t>Deputy Attorney General</w:t>
      </w:r>
    </w:p>
    <w:p w:rsidR="00E473A9" w:rsidRDefault="00E473A9">
      <w:pPr>
        <w:rPr>
          <w:sz w:val="20"/>
        </w:rPr>
      </w:pPr>
      <w:r>
        <w:rPr>
          <w:sz w:val="20"/>
        </w:rPr>
        <w:t>300 South Spring Street, Suite 1702</w:t>
      </w:r>
    </w:p>
    <w:p w:rsidR="00E473A9" w:rsidRDefault="00E473A9">
      <w:pPr>
        <w:rPr>
          <w:sz w:val="20"/>
        </w:rPr>
      </w:pPr>
      <w:r>
        <w:rPr>
          <w:sz w:val="20"/>
        </w:rPr>
        <w:t>Los Angeles, CA  90013</w:t>
      </w:r>
    </w:p>
    <w:p w:rsidR="00E473A9" w:rsidRDefault="00E473A9">
      <w:pPr>
        <w:rPr>
          <w:b/>
          <w:sz w:val="20"/>
        </w:rPr>
      </w:pPr>
      <w:r>
        <w:rPr>
          <w:sz w:val="20"/>
        </w:rPr>
        <w:t>(213) 269-6208</w:t>
      </w:r>
    </w:p>
    <w:p w:rsidR="00056FB2" w:rsidRPr="005561D0" w:rsidRDefault="00056FB2" w:rsidP="00056FB2">
      <w:pPr>
        <w:rPr>
          <w:szCs w:val="26"/>
        </w:rPr>
      </w:pPr>
    </w:p>
    <w:sectPr w:rsidR="00056FB2" w:rsidRPr="005561D0" w:rsidSect="00E473A9">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4F" w:rsidRDefault="0000454F">
      <w:r>
        <w:separator/>
      </w:r>
    </w:p>
  </w:endnote>
  <w:endnote w:type="continuationSeparator" w:id="0">
    <w:p w:rsidR="0000454F" w:rsidRDefault="0000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4F" w:rsidRDefault="0000454F">
    <w:pPr>
      <w:pStyle w:val="Footer"/>
      <w:jc w:val="center"/>
    </w:pPr>
    <w:r>
      <w:fldChar w:fldCharType="begin"/>
    </w:r>
    <w:r>
      <w:instrText>PAGE</w:instrText>
    </w:r>
    <w:r>
      <w:fldChar w:fldCharType="separate"/>
    </w:r>
    <w:r w:rsidR="00726AB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4F" w:rsidRDefault="0000454F">
    <w:pPr>
      <w:pStyle w:val="Footer"/>
      <w:jc w:val="center"/>
    </w:pPr>
    <w:r>
      <w:fldChar w:fldCharType="begin"/>
    </w:r>
    <w:r>
      <w:instrText>PAGE</w:instrText>
    </w:r>
    <w:r>
      <w:fldChar w:fldCharType="separate"/>
    </w:r>
    <w:r w:rsidR="00E473A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4F" w:rsidRDefault="0000454F">
      <w:r>
        <w:separator/>
      </w:r>
    </w:p>
  </w:footnote>
  <w:footnote w:type="continuationSeparator" w:id="0">
    <w:p w:rsidR="0000454F" w:rsidRDefault="0000454F">
      <w:pPr>
        <w:rPr>
          <w:sz w:val="22"/>
        </w:rPr>
      </w:pPr>
      <w:r>
        <w:rPr>
          <w:sz w:val="22"/>
        </w:rPr>
        <w:continuationSeparator/>
      </w:r>
    </w:p>
    <w:p w:rsidR="0000454F" w:rsidRDefault="0000454F">
      <w:pPr>
        <w:rPr>
          <w:sz w:val="22"/>
        </w:rPr>
      </w:pPr>
    </w:p>
    <w:p w:rsidR="0000454F" w:rsidRDefault="0000454F">
      <w:pPr>
        <w:rPr>
          <w:i/>
          <w:sz w:val="20"/>
        </w:rPr>
      </w:pPr>
      <w:r>
        <w:rPr>
          <w:i/>
          <w:sz w:val="20"/>
        </w:rPr>
        <w:t>(footnote continued from previous page)</w:t>
      </w:r>
    </w:p>
    <w:p w:rsidR="0000454F" w:rsidRDefault="0000454F">
      <w:pPr>
        <w:rPr>
          <w:sz w:val="22"/>
        </w:rPr>
      </w:pPr>
    </w:p>
  </w:footnote>
  <w:footnote w:type="continuationNotice" w:id="1">
    <w:p w:rsidR="0000454F" w:rsidRDefault="0000454F">
      <w:pPr>
        <w:rPr>
          <w:i/>
          <w:sz w:val="22"/>
        </w:rPr>
      </w:pPr>
    </w:p>
    <w:p w:rsidR="0000454F" w:rsidRDefault="0000454F">
      <w:pPr>
        <w:jc w:val="right"/>
        <w:rPr>
          <w:i/>
          <w:sz w:val="20"/>
        </w:rPr>
      </w:pPr>
      <w:r>
        <w:rPr>
          <w:i/>
          <w:sz w:val="20"/>
        </w:rPr>
        <w:t>(footnote continued on next page)</w:t>
      </w:r>
    </w:p>
  </w:footnote>
  <w:footnote w:id="2">
    <w:p w:rsidR="0000454F" w:rsidRDefault="0000454F">
      <w:pPr>
        <w:pStyle w:val="FootnoteText"/>
      </w:pPr>
      <w:r>
        <w:rPr>
          <w:rStyle w:val="FootnoteReference"/>
        </w:rPr>
        <w:footnoteRef/>
      </w:r>
      <w:r>
        <w:t xml:space="preserve"> </w:t>
      </w:r>
      <w:r>
        <w:tab/>
        <w:t>All further statutory references are to the Penal Code unless otherwise indicated.</w:t>
      </w:r>
    </w:p>
  </w:footnote>
  <w:footnote w:id="3">
    <w:p w:rsidR="0000454F" w:rsidRDefault="0000454F">
      <w:pPr>
        <w:pStyle w:val="FootnoteText"/>
      </w:pPr>
      <w:r>
        <w:rPr>
          <w:rStyle w:val="FootnoteReference"/>
        </w:rPr>
        <w:footnoteRef/>
      </w:r>
      <w:r>
        <w:t xml:space="preserve"> </w:t>
      </w:r>
      <w:r>
        <w:tab/>
        <w:t xml:space="preserve">The court also sentenced defendant to the upper terms of eight years on the convictions for forcible rape and mayhem and to life imprisonment on the torture conviction, all to be served concurrently and stayed pursuant to section 654. </w:t>
      </w:r>
    </w:p>
  </w:footnote>
  <w:footnote w:id="4">
    <w:p w:rsidR="0000454F" w:rsidRDefault="0000454F">
      <w:pPr>
        <w:pStyle w:val="FootnoteText"/>
      </w:pPr>
      <w:r>
        <w:rPr>
          <w:rStyle w:val="FootnoteReference"/>
        </w:rPr>
        <w:footnoteRef/>
      </w:r>
      <w:r>
        <w:t xml:space="preserve"> </w:t>
      </w:r>
      <w:r>
        <w:tab/>
        <w:t>Defendant concedes that i</w:t>
      </w:r>
      <w:r w:rsidR="00D55A31">
        <w:t xml:space="preserve">f the intent element of torture </w:t>
      </w:r>
      <w:r>
        <w:t xml:space="preserve">murder is supported by the evidence, his conviction </w:t>
      </w:r>
      <w:r w:rsidR="00D55A31">
        <w:t xml:space="preserve">for torture, apart from torture </w:t>
      </w:r>
      <w:r>
        <w:t>murder, is supported by the evidence.</w:t>
      </w:r>
    </w:p>
  </w:footnote>
  <w:footnote w:id="5">
    <w:p w:rsidR="0000454F" w:rsidRDefault="0000454F">
      <w:pPr>
        <w:pStyle w:val="FootnoteText"/>
      </w:pPr>
      <w:r>
        <w:rPr>
          <w:rStyle w:val="FootnoteReference"/>
        </w:rPr>
        <w:footnoteRef/>
      </w:r>
      <w:r>
        <w:t xml:space="preserve"> </w:t>
      </w:r>
      <w:r>
        <w:tab/>
        <w:t>Defendant contends there is no reason to believe these objects were used “in so skillful a manner as to deliberately impose pain and suffering — but not death,”</w:t>
      </w:r>
      <w:r w:rsidRPr="00806668">
        <w:t xml:space="preserve"> </w:t>
      </w:r>
      <w:r>
        <w:t>but there is no requirement that a defendant calculate each of his or her blows so as to cause suffering without death.</w:t>
      </w:r>
    </w:p>
  </w:footnote>
  <w:footnote w:id="6">
    <w:p w:rsidR="0000454F" w:rsidRPr="0009778D" w:rsidRDefault="0000454F">
      <w:pPr>
        <w:pStyle w:val="FootnoteText"/>
        <w:rPr>
          <w:u w:val="single"/>
        </w:rPr>
      </w:pPr>
      <w:r>
        <w:rPr>
          <w:rStyle w:val="FootnoteReference"/>
        </w:rPr>
        <w:footnoteRef/>
      </w:r>
      <w:r>
        <w:t xml:space="preserve"> </w:t>
      </w:r>
      <w:r>
        <w:tab/>
        <w:t xml:space="preserve">Defendant also cites </w:t>
      </w:r>
      <w:r>
        <w:rPr>
          <w:i/>
        </w:rPr>
        <w:t>People v. Leach</w:t>
      </w:r>
      <w:r>
        <w:t xml:space="preserve"> (1985) 41 Cal.3d 92, in which we reversed a torture-murder special</w:t>
      </w:r>
      <w:r w:rsidR="00D55A31">
        <w:t>-</w:t>
      </w:r>
      <w:r>
        <w:t>circumstance finding because the jury was not instructed that intent to inflict pain and suffering was an element of the finding.  (</w:t>
      </w:r>
      <w:r>
        <w:rPr>
          <w:i/>
        </w:rPr>
        <w:t>Id.</w:t>
      </w:r>
      <w:r>
        <w:t>, at pp. 109-110.)  We declined to affirm in spite of the error because the evidence did not demonstrate intent to inflict pain “</w:t>
      </w:r>
      <w:r w:rsidR="00D55A31">
        <w:t xml:space="preserve"> ‘</w:t>
      </w:r>
      <w:r>
        <w:t>as a matter of law,</w:t>
      </w:r>
      <w:r w:rsidR="00D55A31">
        <w:t xml:space="preserve">’ </w:t>
      </w:r>
      <w:r>
        <w:t>” noting the “strong evidence of intent to kill militates to some extent against a finding of intent to inflict pain.”  (</w:t>
      </w:r>
      <w:r>
        <w:rPr>
          <w:i/>
        </w:rPr>
        <w:t>Id.</w:t>
      </w:r>
      <w:r>
        <w:t xml:space="preserve">, at p. 110.)  Because the jury was properly instructed here, the evidence need not demonstrate intent to inflict pain as a matter of law.  </w:t>
      </w:r>
      <w:r>
        <w:rPr>
          <w:i/>
        </w:rPr>
        <w:t xml:space="preserve">Leach </w:t>
      </w:r>
      <w:r>
        <w:t>has no application.</w:t>
      </w:r>
    </w:p>
  </w:footnote>
  <w:footnote w:id="7">
    <w:p w:rsidR="0000454F" w:rsidRDefault="0000454F">
      <w:pPr>
        <w:pStyle w:val="FootnoteText"/>
      </w:pPr>
      <w:r>
        <w:rPr>
          <w:rStyle w:val="FootnoteReference"/>
        </w:rPr>
        <w:footnoteRef/>
      </w:r>
      <w:r>
        <w:tab/>
        <w:t>At the time of the killing, defendant was between 6</w:t>
      </w:r>
      <w:r w:rsidR="00D55A31">
        <w:t xml:space="preserve"> feet, three inches</w:t>
      </w:r>
      <w:r>
        <w:t xml:space="preserve"> and 6</w:t>
      </w:r>
      <w:r w:rsidR="00D55A31">
        <w:t xml:space="preserve"> feet, four inches</w:t>
      </w:r>
      <w:r>
        <w:t xml:space="preserve"> tall and weighed about 280 pounds.</w:t>
      </w:r>
    </w:p>
  </w:footnote>
  <w:footnote w:id="8">
    <w:p w:rsidR="0000454F" w:rsidRDefault="0000454F" w:rsidP="00A67F36">
      <w:pPr>
        <w:pStyle w:val="FootnoteText"/>
      </w:pPr>
      <w:r>
        <w:rPr>
          <w:rStyle w:val="FootnoteReference"/>
        </w:rPr>
        <w:footnoteRef/>
      </w:r>
      <w:r>
        <w:t xml:space="preserve"> </w:t>
      </w:r>
      <w:r>
        <w:tab/>
        <w:t>Defendant also contends his conviction for premeditated first degree murder was not supported by substantial evidence.  Because we have concluded that substantial evidence supports defendant’s first degree murder conviction on the theories of torture</w:t>
      </w:r>
      <w:r w:rsidR="00A24DC9">
        <w:t xml:space="preserve"> </w:t>
      </w:r>
      <w:r>
        <w:t>murder and rape</w:t>
      </w:r>
      <w:r w:rsidR="00A24DC9">
        <w:t xml:space="preserve"> </w:t>
      </w:r>
      <w:r>
        <w:t xml:space="preserve">murder, and because defendant has not challenged the sufficiency of the evidence supporting the theory of mayhem-murder, we need not, and do not, address the sufficiency of the evidence supporting the charge of premeditated first degree murder.  (See </w:t>
      </w:r>
      <w:r>
        <w:rPr>
          <w:i/>
        </w:rPr>
        <w:t>Hajek and Vo</w:t>
      </w:r>
      <w:r>
        <w:t xml:space="preserve">, </w:t>
      </w:r>
      <w:r>
        <w:rPr>
          <w:i/>
        </w:rPr>
        <w:t>supra</w:t>
      </w:r>
      <w:r>
        <w:t xml:space="preserve">, 58 Cal.4th at p. 1192, fn. 20.)  </w:t>
      </w:r>
    </w:p>
  </w:footnote>
  <w:footnote w:id="9">
    <w:p w:rsidR="0000454F" w:rsidRPr="00680FD2" w:rsidRDefault="0000454F">
      <w:pPr>
        <w:pStyle w:val="FootnoteText"/>
      </w:pPr>
      <w:r>
        <w:rPr>
          <w:rStyle w:val="FootnoteReference"/>
        </w:rPr>
        <w:footnoteRef/>
      </w:r>
      <w:r>
        <w:t xml:space="preserve"> </w:t>
      </w:r>
      <w:r>
        <w:tab/>
        <w:t>We also reject defendant’s contention that the introduction of this evidence in the guilt phase violated his right to due process</w:t>
      </w:r>
      <w:r w:rsidR="00680FD2">
        <w:t>, since any error in the admission of this evidence was harmless beyond a reasonable doubt</w:t>
      </w:r>
      <w:r>
        <w:t>.</w:t>
      </w:r>
      <w:r w:rsidR="00680FD2">
        <w:t xml:space="preserve">  (</w:t>
      </w:r>
      <w:r w:rsidR="00680FD2">
        <w:rPr>
          <w:i/>
        </w:rPr>
        <w:t xml:space="preserve">Chapman v. California </w:t>
      </w:r>
      <w:r w:rsidR="00680FD2">
        <w:t>(1967) 386 U.S. 18, 24.)</w:t>
      </w:r>
    </w:p>
  </w:footnote>
  <w:footnote w:id="10">
    <w:p w:rsidR="0000454F" w:rsidRDefault="0000454F" w:rsidP="00C01B06">
      <w:pPr>
        <w:pStyle w:val="FootnoteText"/>
      </w:pPr>
      <w:r>
        <w:rPr>
          <w:rStyle w:val="FootnoteReference"/>
        </w:rPr>
        <w:footnoteRef/>
      </w:r>
      <w:r>
        <w:t xml:space="preserve"> </w:t>
      </w:r>
      <w:r>
        <w:tab/>
        <w:t>Although a heading in defendant’s brief asserts that this argument is addressed to “all” of the special circumstance findings, he concedes in a footnote that the argument actually applies only to the torture-murder and mayhem-murder special</w:t>
      </w:r>
      <w:r w:rsidR="00A24DC9">
        <w:t>-</w:t>
      </w:r>
      <w:r>
        <w:t xml:space="preserve">circumstance findings. </w:t>
      </w:r>
    </w:p>
  </w:footnote>
  <w:footnote w:id="11">
    <w:p w:rsidR="0000454F" w:rsidRDefault="0000454F">
      <w:pPr>
        <w:pStyle w:val="FootnoteText"/>
      </w:pPr>
      <w:r>
        <w:rPr>
          <w:rStyle w:val="FootnoteReference"/>
        </w:rPr>
        <w:footnoteRef/>
      </w:r>
      <w:r>
        <w:t xml:space="preserve"> </w:t>
      </w:r>
      <w:r w:rsidR="009A1840">
        <w:t>T</w:t>
      </w:r>
      <w:r>
        <w:t xml:space="preserve">he superfluous ragged gashes in </w:t>
      </w:r>
      <w:r w:rsidR="009A1840">
        <w:t>Epperson’s</w:t>
      </w:r>
      <w:r>
        <w:t xml:space="preserve"> neck, at a minimum, would qualify as intentional disfigurement.  (See </w:t>
      </w:r>
      <w:r>
        <w:rPr>
          <w:i/>
        </w:rPr>
        <w:t xml:space="preserve">People v. Newble </w:t>
      </w:r>
      <w:r>
        <w:t>(1981) 120 Cal.App.3d 444, 447, 449-450 [infliction of three-inch facial laceration likely to leave a permanent scar constitutes mayhem].)</w:t>
      </w:r>
    </w:p>
  </w:footnote>
  <w:footnote w:id="12">
    <w:p w:rsidR="0000454F" w:rsidRPr="00DE0AAD" w:rsidRDefault="0000454F">
      <w:pPr>
        <w:pStyle w:val="FootnoteText"/>
      </w:pPr>
      <w:r>
        <w:rPr>
          <w:rStyle w:val="FootnoteReference"/>
        </w:rPr>
        <w:footnoteRef/>
      </w:r>
      <w:r>
        <w:t xml:space="preserve"> </w:t>
      </w:r>
      <w:r>
        <w:tab/>
        <w:t xml:space="preserve">Section 25, subdivision (b), enacted by Proposition 8 in 1982, actually states that a person can be found insane only if “he or she was incapable of knowing or understanding the nature and quality of his or her act </w:t>
      </w:r>
      <w:r w:rsidRPr="00433741">
        <w:rPr>
          <w:i/>
        </w:rPr>
        <w:t>and</w:t>
      </w:r>
      <w:r>
        <w:t xml:space="preserve"> of distinguishing right from wrong at the time of the commission of the offense.”  (italics added.)  In </w:t>
      </w:r>
      <w:r>
        <w:rPr>
          <w:i/>
        </w:rPr>
        <w:t>People v. Skinner</w:t>
      </w:r>
      <w:r>
        <w:t xml:space="preserve"> (1985) 39 Cal.3d 765, we held that Proposition 8 was intended to embody the traditional </w:t>
      </w:r>
      <w:r>
        <w:rPr>
          <w:i/>
        </w:rPr>
        <w:t xml:space="preserve">M’Naghten </w:t>
      </w:r>
      <w:r>
        <w:t xml:space="preserve">test, which holds that insanity is demonstrated if a defendant was unable to understand the nature and quality of the criminal act </w:t>
      </w:r>
      <w:r w:rsidRPr="00DE0AAD">
        <w:rPr>
          <w:i/>
        </w:rPr>
        <w:t>or</w:t>
      </w:r>
      <w:r>
        <w:t xml:space="preserve"> to distinguish right from wrong when the act was committed.  (</w:t>
      </w:r>
      <w:r>
        <w:rPr>
          <w:i/>
        </w:rPr>
        <w:t>Id</w:t>
      </w:r>
      <w:r>
        <w:t>., at p. 777.)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43A"/>
    <w:multiLevelType w:val="hybridMultilevel"/>
    <w:tmpl w:val="987A0DA0"/>
    <w:lvl w:ilvl="0" w:tplc="FF2AB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534E0"/>
    <w:multiLevelType w:val="hybridMultilevel"/>
    <w:tmpl w:val="1786B856"/>
    <w:lvl w:ilvl="0" w:tplc="B2920E9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12417EC2"/>
    <w:multiLevelType w:val="hybridMultilevel"/>
    <w:tmpl w:val="F350E5D6"/>
    <w:lvl w:ilvl="0" w:tplc="4DFE616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18483A90"/>
    <w:multiLevelType w:val="hybridMultilevel"/>
    <w:tmpl w:val="1598D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376FB"/>
    <w:multiLevelType w:val="hybridMultilevel"/>
    <w:tmpl w:val="68EA6556"/>
    <w:lvl w:ilvl="0" w:tplc="9FEA7FD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21892F6A"/>
    <w:multiLevelType w:val="hybridMultilevel"/>
    <w:tmpl w:val="1BA0429A"/>
    <w:lvl w:ilvl="0" w:tplc="137CD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10C4D"/>
    <w:multiLevelType w:val="hybridMultilevel"/>
    <w:tmpl w:val="CD0003F8"/>
    <w:lvl w:ilvl="0" w:tplc="DAFC7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A13DF"/>
    <w:multiLevelType w:val="hybridMultilevel"/>
    <w:tmpl w:val="4E1293D4"/>
    <w:lvl w:ilvl="0" w:tplc="A6FEDA0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439E4FEA"/>
    <w:multiLevelType w:val="hybridMultilevel"/>
    <w:tmpl w:val="6616DA04"/>
    <w:lvl w:ilvl="0" w:tplc="23106A2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44552D9A"/>
    <w:multiLevelType w:val="hybridMultilevel"/>
    <w:tmpl w:val="D81AF05A"/>
    <w:lvl w:ilvl="0" w:tplc="2E5E2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87D1A"/>
    <w:multiLevelType w:val="hybridMultilevel"/>
    <w:tmpl w:val="FF282D3E"/>
    <w:lvl w:ilvl="0" w:tplc="CD06D70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5B365E83"/>
    <w:multiLevelType w:val="hybridMultilevel"/>
    <w:tmpl w:val="2592CD3C"/>
    <w:lvl w:ilvl="0" w:tplc="569AB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63249"/>
    <w:multiLevelType w:val="hybridMultilevel"/>
    <w:tmpl w:val="F350E5D6"/>
    <w:lvl w:ilvl="0" w:tplc="4DFE616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62D25C05"/>
    <w:multiLevelType w:val="hybridMultilevel"/>
    <w:tmpl w:val="C1603BD2"/>
    <w:lvl w:ilvl="0" w:tplc="D6449AC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65A83B97"/>
    <w:multiLevelType w:val="hybridMultilevel"/>
    <w:tmpl w:val="CD20D898"/>
    <w:lvl w:ilvl="0" w:tplc="1A0EC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164E0"/>
    <w:multiLevelType w:val="hybridMultilevel"/>
    <w:tmpl w:val="36B06546"/>
    <w:lvl w:ilvl="0" w:tplc="96F2456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6F015AAE"/>
    <w:multiLevelType w:val="hybridMultilevel"/>
    <w:tmpl w:val="2D86C4F0"/>
    <w:lvl w:ilvl="0" w:tplc="4F8C261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0320B92"/>
    <w:multiLevelType w:val="hybridMultilevel"/>
    <w:tmpl w:val="1D04AB38"/>
    <w:lvl w:ilvl="0" w:tplc="C0F2A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81FEB"/>
    <w:multiLevelType w:val="hybridMultilevel"/>
    <w:tmpl w:val="6C58F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7"/>
  </w:num>
  <w:num w:numId="5">
    <w:abstractNumId w:val="9"/>
  </w:num>
  <w:num w:numId="6">
    <w:abstractNumId w:val="3"/>
  </w:num>
  <w:num w:numId="7">
    <w:abstractNumId w:val="18"/>
  </w:num>
  <w:num w:numId="8">
    <w:abstractNumId w:val="16"/>
  </w:num>
  <w:num w:numId="9">
    <w:abstractNumId w:val="11"/>
  </w:num>
  <w:num w:numId="10">
    <w:abstractNumId w:val="1"/>
  </w:num>
  <w:num w:numId="11">
    <w:abstractNumId w:val="10"/>
  </w:num>
  <w:num w:numId="12">
    <w:abstractNumId w:val="4"/>
  </w:num>
  <w:num w:numId="13">
    <w:abstractNumId w:val="0"/>
  </w:num>
  <w:num w:numId="14">
    <w:abstractNumId w:val="13"/>
  </w:num>
  <w:num w:numId="15">
    <w:abstractNumId w:val="2"/>
  </w:num>
  <w:num w:numId="16">
    <w:abstractNumId w:val="7"/>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intFractionalCharacterWidth/>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50"/>
    <w:rsid w:val="00000A75"/>
    <w:rsid w:val="00002836"/>
    <w:rsid w:val="0000454F"/>
    <w:rsid w:val="000109B0"/>
    <w:rsid w:val="000157DB"/>
    <w:rsid w:val="00022013"/>
    <w:rsid w:val="00022734"/>
    <w:rsid w:val="00025EDC"/>
    <w:rsid w:val="000313FD"/>
    <w:rsid w:val="00032419"/>
    <w:rsid w:val="000446F4"/>
    <w:rsid w:val="00047F4E"/>
    <w:rsid w:val="00055497"/>
    <w:rsid w:val="00056FB2"/>
    <w:rsid w:val="00057F7F"/>
    <w:rsid w:val="00065D1A"/>
    <w:rsid w:val="00066653"/>
    <w:rsid w:val="00071217"/>
    <w:rsid w:val="00071B32"/>
    <w:rsid w:val="000727D9"/>
    <w:rsid w:val="000745D6"/>
    <w:rsid w:val="00074F4A"/>
    <w:rsid w:val="00075435"/>
    <w:rsid w:val="000824D7"/>
    <w:rsid w:val="000848B6"/>
    <w:rsid w:val="00092F1A"/>
    <w:rsid w:val="00094E78"/>
    <w:rsid w:val="00096578"/>
    <w:rsid w:val="0009778D"/>
    <w:rsid w:val="000A41D1"/>
    <w:rsid w:val="000A68B9"/>
    <w:rsid w:val="000D3812"/>
    <w:rsid w:val="000D49A7"/>
    <w:rsid w:val="000D5875"/>
    <w:rsid w:val="000D6402"/>
    <w:rsid w:val="000D6C78"/>
    <w:rsid w:val="000E2528"/>
    <w:rsid w:val="000E3F3A"/>
    <w:rsid w:val="000F2CDA"/>
    <w:rsid w:val="000F3365"/>
    <w:rsid w:val="000F3D94"/>
    <w:rsid w:val="000F7D4B"/>
    <w:rsid w:val="00105120"/>
    <w:rsid w:val="00106A9B"/>
    <w:rsid w:val="001077FA"/>
    <w:rsid w:val="00110182"/>
    <w:rsid w:val="00110C78"/>
    <w:rsid w:val="0011128A"/>
    <w:rsid w:val="0011385C"/>
    <w:rsid w:val="001144D8"/>
    <w:rsid w:val="00115A73"/>
    <w:rsid w:val="00115FEC"/>
    <w:rsid w:val="00117836"/>
    <w:rsid w:val="00122833"/>
    <w:rsid w:val="00123569"/>
    <w:rsid w:val="00133458"/>
    <w:rsid w:val="0014222E"/>
    <w:rsid w:val="001431C6"/>
    <w:rsid w:val="001553BF"/>
    <w:rsid w:val="00160197"/>
    <w:rsid w:val="00160B22"/>
    <w:rsid w:val="0016279F"/>
    <w:rsid w:val="0016395A"/>
    <w:rsid w:val="00165E21"/>
    <w:rsid w:val="001709E5"/>
    <w:rsid w:val="00170B08"/>
    <w:rsid w:val="00177E2D"/>
    <w:rsid w:val="0018154A"/>
    <w:rsid w:val="0018268A"/>
    <w:rsid w:val="00186FD4"/>
    <w:rsid w:val="001870AB"/>
    <w:rsid w:val="001A013E"/>
    <w:rsid w:val="001A5583"/>
    <w:rsid w:val="001B3C37"/>
    <w:rsid w:val="001C3628"/>
    <w:rsid w:val="001C4684"/>
    <w:rsid w:val="001C6BA2"/>
    <w:rsid w:val="001D1F02"/>
    <w:rsid w:val="001D4CDB"/>
    <w:rsid w:val="001D6350"/>
    <w:rsid w:val="001F015C"/>
    <w:rsid w:val="001F7F71"/>
    <w:rsid w:val="002054BF"/>
    <w:rsid w:val="00205F13"/>
    <w:rsid w:val="00206473"/>
    <w:rsid w:val="00207D4D"/>
    <w:rsid w:val="00211160"/>
    <w:rsid w:val="0021239E"/>
    <w:rsid w:val="00216F6D"/>
    <w:rsid w:val="002211F1"/>
    <w:rsid w:val="00222004"/>
    <w:rsid w:val="00224542"/>
    <w:rsid w:val="0022526A"/>
    <w:rsid w:val="00226D65"/>
    <w:rsid w:val="0024115B"/>
    <w:rsid w:val="00242705"/>
    <w:rsid w:val="0025353C"/>
    <w:rsid w:val="00257060"/>
    <w:rsid w:val="002578FC"/>
    <w:rsid w:val="0026219E"/>
    <w:rsid w:val="00263340"/>
    <w:rsid w:val="00263F74"/>
    <w:rsid w:val="00270ED7"/>
    <w:rsid w:val="00283F1C"/>
    <w:rsid w:val="00291B31"/>
    <w:rsid w:val="002A044A"/>
    <w:rsid w:val="002A445F"/>
    <w:rsid w:val="002A547A"/>
    <w:rsid w:val="002A789E"/>
    <w:rsid w:val="002B3CD8"/>
    <w:rsid w:val="002B4279"/>
    <w:rsid w:val="002C0172"/>
    <w:rsid w:val="002C291A"/>
    <w:rsid w:val="002C40EA"/>
    <w:rsid w:val="002C6D25"/>
    <w:rsid w:val="002E0A4C"/>
    <w:rsid w:val="002E1CA9"/>
    <w:rsid w:val="002E6843"/>
    <w:rsid w:val="002E7A3E"/>
    <w:rsid w:val="003116D3"/>
    <w:rsid w:val="00315331"/>
    <w:rsid w:val="003219F4"/>
    <w:rsid w:val="00323303"/>
    <w:rsid w:val="00324738"/>
    <w:rsid w:val="00324E58"/>
    <w:rsid w:val="00330294"/>
    <w:rsid w:val="0033730F"/>
    <w:rsid w:val="00340967"/>
    <w:rsid w:val="0034581F"/>
    <w:rsid w:val="003476D7"/>
    <w:rsid w:val="00352039"/>
    <w:rsid w:val="00354455"/>
    <w:rsid w:val="00363595"/>
    <w:rsid w:val="003658EB"/>
    <w:rsid w:val="00370433"/>
    <w:rsid w:val="0037182D"/>
    <w:rsid w:val="003721F7"/>
    <w:rsid w:val="003739A2"/>
    <w:rsid w:val="003811FE"/>
    <w:rsid w:val="003831DF"/>
    <w:rsid w:val="0038368D"/>
    <w:rsid w:val="00387B4A"/>
    <w:rsid w:val="003916E4"/>
    <w:rsid w:val="0039200B"/>
    <w:rsid w:val="00392280"/>
    <w:rsid w:val="00393E3C"/>
    <w:rsid w:val="003A14A2"/>
    <w:rsid w:val="003A1A66"/>
    <w:rsid w:val="003A523E"/>
    <w:rsid w:val="003B07A8"/>
    <w:rsid w:val="003C2ED5"/>
    <w:rsid w:val="003C7F3C"/>
    <w:rsid w:val="003C7FCE"/>
    <w:rsid w:val="003D51D7"/>
    <w:rsid w:val="003D665C"/>
    <w:rsid w:val="003F29EC"/>
    <w:rsid w:val="003F6C46"/>
    <w:rsid w:val="003F6E95"/>
    <w:rsid w:val="003F7DCC"/>
    <w:rsid w:val="00401328"/>
    <w:rsid w:val="004057A0"/>
    <w:rsid w:val="0040677B"/>
    <w:rsid w:val="00413422"/>
    <w:rsid w:val="00414F31"/>
    <w:rsid w:val="00415CE2"/>
    <w:rsid w:val="00433741"/>
    <w:rsid w:val="00434CF8"/>
    <w:rsid w:val="0043613D"/>
    <w:rsid w:val="00437125"/>
    <w:rsid w:val="00445EA7"/>
    <w:rsid w:val="004647F7"/>
    <w:rsid w:val="00472D2C"/>
    <w:rsid w:val="00474BA4"/>
    <w:rsid w:val="00482C2C"/>
    <w:rsid w:val="00482F02"/>
    <w:rsid w:val="00484BBB"/>
    <w:rsid w:val="00486234"/>
    <w:rsid w:val="00486E22"/>
    <w:rsid w:val="00487BF4"/>
    <w:rsid w:val="004A044E"/>
    <w:rsid w:val="004A2FA8"/>
    <w:rsid w:val="004A53B8"/>
    <w:rsid w:val="004A6341"/>
    <w:rsid w:val="004B4874"/>
    <w:rsid w:val="004C40FE"/>
    <w:rsid w:val="004C7566"/>
    <w:rsid w:val="004D10B5"/>
    <w:rsid w:val="004D1F4F"/>
    <w:rsid w:val="004D312F"/>
    <w:rsid w:val="004D5A44"/>
    <w:rsid w:val="004D6CFA"/>
    <w:rsid w:val="004E2CC8"/>
    <w:rsid w:val="004E5840"/>
    <w:rsid w:val="004E7323"/>
    <w:rsid w:val="005125E8"/>
    <w:rsid w:val="005169F7"/>
    <w:rsid w:val="00520A73"/>
    <w:rsid w:val="00520BFD"/>
    <w:rsid w:val="005210F5"/>
    <w:rsid w:val="00523281"/>
    <w:rsid w:val="00530696"/>
    <w:rsid w:val="00533819"/>
    <w:rsid w:val="00542010"/>
    <w:rsid w:val="00551017"/>
    <w:rsid w:val="00551E5A"/>
    <w:rsid w:val="005561D0"/>
    <w:rsid w:val="005568A7"/>
    <w:rsid w:val="00565690"/>
    <w:rsid w:val="00570C0D"/>
    <w:rsid w:val="00570D50"/>
    <w:rsid w:val="005765CC"/>
    <w:rsid w:val="00581EFC"/>
    <w:rsid w:val="00587289"/>
    <w:rsid w:val="005877D3"/>
    <w:rsid w:val="005960FE"/>
    <w:rsid w:val="005966A9"/>
    <w:rsid w:val="005A1D5D"/>
    <w:rsid w:val="005A24BC"/>
    <w:rsid w:val="005A330B"/>
    <w:rsid w:val="005B0346"/>
    <w:rsid w:val="005B12F6"/>
    <w:rsid w:val="005C0DC4"/>
    <w:rsid w:val="005C0DF1"/>
    <w:rsid w:val="005D0092"/>
    <w:rsid w:val="005D112E"/>
    <w:rsid w:val="005D1505"/>
    <w:rsid w:val="005D4140"/>
    <w:rsid w:val="005E1049"/>
    <w:rsid w:val="00600D2D"/>
    <w:rsid w:val="0060265D"/>
    <w:rsid w:val="006074B5"/>
    <w:rsid w:val="00610706"/>
    <w:rsid w:val="006108DB"/>
    <w:rsid w:val="00611B31"/>
    <w:rsid w:val="00611F72"/>
    <w:rsid w:val="00615D79"/>
    <w:rsid w:val="00616833"/>
    <w:rsid w:val="006175E6"/>
    <w:rsid w:val="00621FB4"/>
    <w:rsid w:val="006317CC"/>
    <w:rsid w:val="00631DFD"/>
    <w:rsid w:val="00631E85"/>
    <w:rsid w:val="006357D5"/>
    <w:rsid w:val="006403C7"/>
    <w:rsid w:val="00641F40"/>
    <w:rsid w:val="006449DC"/>
    <w:rsid w:val="00644F48"/>
    <w:rsid w:val="0064684D"/>
    <w:rsid w:val="00650419"/>
    <w:rsid w:val="0065130C"/>
    <w:rsid w:val="00657012"/>
    <w:rsid w:val="006665B6"/>
    <w:rsid w:val="00680FD2"/>
    <w:rsid w:val="00682B97"/>
    <w:rsid w:val="00683E1C"/>
    <w:rsid w:val="00683F82"/>
    <w:rsid w:val="006844B8"/>
    <w:rsid w:val="00684E01"/>
    <w:rsid w:val="00691164"/>
    <w:rsid w:val="00695BA3"/>
    <w:rsid w:val="00696387"/>
    <w:rsid w:val="006B0F5A"/>
    <w:rsid w:val="006B7F3E"/>
    <w:rsid w:val="006C27B1"/>
    <w:rsid w:val="006C340D"/>
    <w:rsid w:val="006E6EA3"/>
    <w:rsid w:val="006E7807"/>
    <w:rsid w:val="006E7C39"/>
    <w:rsid w:val="00702ECA"/>
    <w:rsid w:val="0070537A"/>
    <w:rsid w:val="00705BD1"/>
    <w:rsid w:val="00720873"/>
    <w:rsid w:val="00724995"/>
    <w:rsid w:val="00725C62"/>
    <w:rsid w:val="00726157"/>
    <w:rsid w:val="00726AB8"/>
    <w:rsid w:val="00727309"/>
    <w:rsid w:val="00734C5C"/>
    <w:rsid w:val="00735E1D"/>
    <w:rsid w:val="00737137"/>
    <w:rsid w:val="00741A0F"/>
    <w:rsid w:val="00750CBB"/>
    <w:rsid w:val="007550D8"/>
    <w:rsid w:val="007608B6"/>
    <w:rsid w:val="0076557D"/>
    <w:rsid w:val="0076633A"/>
    <w:rsid w:val="00773AB7"/>
    <w:rsid w:val="0077457A"/>
    <w:rsid w:val="00776124"/>
    <w:rsid w:val="00776D75"/>
    <w:rsid w:val="00776FFE"/>
    <w:rsid w:val="007835E3"/>
    <w:rsid w:val="00786213"/>
    <w:rsid w:val="007875EF"/>
    <w:rsid w:val="007A0124"/>
    <w:rsid w:val="007A125E"/>
    <w:rsid w:val="007B03ED"/>
    <w:rsid w:val="007B6103"/>
    <w:rsid w:val="007C0502"/>
    <w:rsid w:val="007D28D5"/>
    <w:rsid w:val="007D4793"/>
    <w:rsid w:val="007F38B8"/>
    <w:rsid w:val="007F562B"/>
    <w:rsid w:val="007F633C"/>
    <w:rsid w:val="007F72CD"/>
    <w:rsid w:val="007F77D8"/>
    <w:rsid w:val="00806668"/>
    <w:rsid w:val="00813CB7"/>
    <w:rsid w:val="00831138"/>
    <w:rsid w:val="00832E44"/>
    <w:rsid w:val="008337A9"/>
    <w:rsid w:val="00840F3B"/>
    <w:rsid w:val="00841B05"/>
    <w:rsid w:val="00841D95"/>
    <w:rsid w:val="008540EE"/>
    <w:rsid w:val="008546BB"/>
    <w:rsid w:val="00854B92"/>
    <w:rsid w:val="00860BAF"/>
    <w:rsid w:val="00862C64"/>
    <w:rsid w:val="00867E81"/>
    <w:rsid w:val="00880EAA"/>
    <w:rsid w:val="00883A59"/>
    <w:rsid w:val="00883BFB"/>
    <w:rsid w:val="0089025D"/>
    <w:rsid w:val="0089482E"/>
    <w:rsid w:val="008B0B94"/>
    <w:rsid w:val="008B152A"/>
    <w:rsid w:val="008C2743"/>
    <w:rsid w:val="008C3883"/>
    <w:rsid w:val="008D0EAA"/>
    <w:rsid w:val="008D4062"/>
    <w:rsid w:val="008D56BE"/>
    <w:rsid w:val="008E27DD"/>
    <w:rsid w:val="008F19F7"/>
    <w:rsid w:val="008F2BD1"/>
    <w:rsid w:val="008F3E54"/>
    <w:rsid w:val="008F62BD"/>
    <w:rsid w:val="008F7387"/>
    <w:rsid w:val="00907E75"/>
    <w:rsid w:val="00924C48"/>
    <w:rsid w:val="00927727"/>
    <w:rsid w:val="009320B5"/>
    <w:rsid w:val="00933525"/>
    <w:rsid w:val="009372A6"/>
    <w:rsid w:val="00941DFB"/>
    <w:rsid w:val="009443F1"/>
    <w:rsid w:val="00944CF3"/>
    <w:rsid w:val="00946A6F"/>
    <w:rsid w:val="00972807"/>
    <w:rsid w:val="00972E55"/>
    <w:rsid w:val="009732AB"/>
    <w:rsid w:val="00983B3A"/>
    <w:rsid w:val="009A0390"/>
    <w:rsid w:val="009A1840"/>
    <w:rsid w:val="009A4B0E"/>
    <w:rsid w:val="009B0E25"/>
    <w:rsid w:val="009B208C"/>
    <w:rsid w:val="009B3B22"/>
    <w:rsid w:val="009C0928"/>
    <w:rsid w:val="009C2813"/>
    <w:rsid w:val="009C5F13"/>
    <w:rsid w:val="009D0996"/>
    <w:rsid w:val="009D0E24"/>
    <w:rsid w:val="009D4D02"/>
    <w:rsid w:val="009E5718"/>
    <w:rsid w:val="009E7133"/>
    <w:rsid w:val="009F69FA"/>
    <w:rsid w:val="00A13669"/>
    <w:rsid w:val="00A138DC"/>
    <w:rsid w:val="00A24DC9"/>
    <w:rsid w:val="00A2607B"/>
    <w:rsid w:val="00A31243"/>
    <w:rsid w:val="00A330FA"/>
    <w:rsid w:val="00A349BA"/>
    <w:rsid w:val="00A370C8"/>
    <w:rsid w:val="00A44BD5"/>
    <w:rsid w:val="00A52305"/>
    <w:rsid w:val="00A67F36"/>
    <w:rsid w:val="00A75139"/>
    <w:rsid w:val="00A80C88"/>
    <w:rsid w:val="00A83E63"/>
    <w:rsid w:val="00A85556"/>
    <w:rsid w:val="00A85E2A"/>
    <w:rsid w:val="00AA42E8"/>
    <w:rsid w:val="00AB3B98"/>
    <w:rsid w:val="00AB770A"/>
    <w:rsid w:val="00AC3A3B"/>
    <w:rsid w:val="00AD219C"/>
    <w:rsid w:val="00AD2C9B"/>
    <w:rsid w:val="00AD36F9"/>
    <w:rsid w:val="00AD465C"/>
    <w:rsid w:val="00AD6503"/>
    <w:rsid w:val="00AD7E00"/>
    <w:rsid w:val="00AE14AB"/>
    <w:rsid w:val="00AE4FDB"/>
    <w:rsid w:val="00AE5D4B"/>
    <w:rsid w:val="00AF0CDC"/>
    <w:rsid w:val="00AF1DBD"/>
    <w:rsid w:val="00AF513B"/>
    <w:rsid w:val="00AF5B50"/>
    <w:rsid w:val="00AF6EC5"/>
    <w:rsid w:val="00B10137"/>
    <w:rsid w:val="00B13F3A"/>
    <w:rsid w:val="00B148F1"/>
    <w:rsid w:val="00B2613A"/>
    <w:rsid w:val="00B2752D"/>
    <w:rsid w:val="00B276E6"/>
    <w:rsid w:val="00B277AF"/>
    <w:rsid w:val="00B3301A"/>
    <w:rsid w:val="00B3414E"/>
    <w:rsid w:val="00B41A4A"/>
    <w:rsid w:val="00B46BF7"/>
    <w:rsid w:val="00B52873"/>
    <w:rsid w:val="00B603D5"/>
    <w:rsid w:val="00B86E46"/>
    <w:rsid w:val="00B93116"/>
    <w:rsid w:val="00B93EC2"/>
    <w:rsid w:val="00B94525"/>
    <w:rsid w:val="00B9487D"/>
    <w:rsid w:val="00BA26B1"/>
    <w:rsid w:val="00BB1B99"/>
    <w:rsid w:val="00BB2315"/>
    <w:rsid w:val="00BB4C8A"/>
    <w:rsid w:val="00BC2BEF"/>
    <w:rsid w:val="00BC5BA1"/>
    <w:rsid w:val="00BC5DC3"/>
    <w:rsid w:val="00BD2FA4"/>
    <w:rsid w:val="00BD7746"/>
    <w:rsid w:val="00BE2543"/>
    <w:rsid w:val="00BE50CE"/>
    <w:rsid w:val="00BF217B"/>
    <w:rsid w:val="00BF3B52"/>
    <w:rsid w:val="00C01B06"/>
    <w:rsid w:val="00C02E1C"/>
    <w:rsid w:val="00C11520"/>
    <w:rsid w:val="00C13CBF"/>
    <w:rsid w:val="00C1486A"/>
    <w:rsid w:val="00C20C4C"/>
    <w:rsid w:val="00C21BDB"/>
    <w:rsid w:val="00C22FE4"/>
    <w:rsid w:val="00C240B6"/>
    <w:rsid w:val="00C32218"/>
    <w:rsid w:val="00C32C85"/>
    <w:rsid w:val="00C3533D"/>
    <w:rsid w:val="00C43550"/>
    <w:rsid w:val="00C446C1"/>
    <w:rsid w:val="00C62DB5"/>
    <w:rsid w:val="00C64777"/>
    <w:rsid w:val="00C6599B"/>
    <w:rsid w:val="00C66652"/>
    <w:rsid w:val="00C66DF5"/>
    <w:rsid w:val="00C77511"/>
    <w:rsid w:val="00C81151"/>
    <w:rsid w:val="00C86596"/>
    <w:rsid w:val="00C868F5"/>
    <w:rsid w:val="00C9392C"/>
    <w:rsid w:val="00CB45D4"/>
    <w:rsid w:val="00CB69FF"/>
    <w:rsid w:val="00CC14A8"/>
    <w:rsid w:val="00CC4AC6"/>
    <w:rsid w:val="00CC71F2"/>
    <w:rsid w:val="00CC78E3"/>
    <w:rsid w:val="00CE21E9"/>
    <w:rsid w:val="00CE4321"/>
    <w:rsid w:val="00CF15F1"/>
    <w:rsid w:val="00CF2333"/>
    <w:rsid w:val="00CF5152"/>
    <w:rsid w:val="00D002D4"/>
    <w:rsid w:val="00D20A78"/>
    <w:rsid w:val="00D227C2"/>
    <w:rsid w:val="00D233A0"/>
    <w:rsid w:val="00D244AE"/>
    <w:rsid w:val="00D27822"/>
    <w:rsid w:val="00D318D1"/>
    <w:rsid w:val="00D321B8"/>
    <w:rsid w:val="00D42173"/>
    <w:rsid w:val="00D43C68"/>
    <w:rsid w:val="00D45DDC"/>
    <w:rsid w:val="00D50C07"/>
    <w:rsid w:val="00D5214E"/>
    <w:rsid w:val="00D55A31"/>
    <w:rsid w:val="00D57023"/>
    <w:rsid w:val="00D57976"/>
    <w:rsid w:val="00D60583"/>
    <w:rsid w:val="00D63150"/>
    <w:rsid w:val="00D72275"/>
    <w:rsid w:val="00D75568"/>
    <w:rsid w:val="00D80A3A"/>
    <w:rsid w:val="00D85103"/>
    <w:rsid w:val="00D867D8"/>
    <w:rsid w:val="00DA740D"/>
    <w:rsid w:val="00DB443D"/>
    <w:rsid w:val="00DB50DC"/>
    <w:rsid w:val="00DB7D33"/>
    <w:rsid w:val="00DC0923"/>
    <w:rsid w:val="00DC15DD"/>
    <w:rsid w:val="00DC1A7F"/>
    <w:rsid w:val="00DC5D47"/>
    <w:rsid w:val="00DD06B2"/>
    <w:rsid w:val="00DD622F"/>
    <w:rsid w:val="00DE0AAD"/>
    <w:rsid w:val="00DE636D"/>
    <w:rsid w:val="00DF42D2"/>
    <w:rsid w:val="00E01B15"/>
    <w:rsid w:val="00E02AD9"/>
    <w:rsid w:val="00E0755F"/>
    <w:rsid w:val="00E111DB"/>
    <w:rsid w:val="00E17A08"/>
    <w:rsid w:val="00E276F3"/>
    <w:rsid w:val="00E37755"/>
    <w:rsid w:val="00E37C42"/>
    <w:rsid w:val="00E40E7D"/>
    <w:rsid w:val="00E427AF"/>
    <w:rsid w:val="00E445D8"/>
    <w:rsid w:val="00E45419"/>
    <w:rsid w:val="00E457FC"/>
    <w:rsid w:val="00E465AB"/>
    <w:rsid w:val="00E473A9"/>
    <w:rsid w:val="00E57FDD"/>
    <w:rsid w:val="00E62D94"/>
    <w:rsid w:val="00E65EBC"/>
    <w:rsid w:val="00E7023E"/>
    <w:rsid w:val="00E74568"/>
    <w:rsid w:val="00E90BB4"/>
    <w:rsid w:val="00EA3950"/>
    <w:rsid w:val="00EA3FAB"/>
    <w:rsid w:val="00EA6271"/>
    <w:rsid w:val="00EA65CA"/>
    <w:rsid w:val="00EB26E3"/>
    <w:rsid w:val="00EB4612"/>
    <w:rsid w:val="00EC1C52"/>
    <w:rsid w:val="00EC33B1"/>
    <w:rsid w:val="00EC35E1"/>
    <w:rsid w:val="00EC58CE"/>
    <w:rsid w:val="00EC7A92"/>
    <w:rsid w:val="00ED550C"/>
    <w:rsid w:val="00ED79E6"/>
    <w:rsid w:val="00EF3536"/>
    <w:rsid w:val="00EF6D34"/>
    <w:rsid w:val="00F01332"/>
    <w:rsid w:val="00F02ECC"/>
    <w:rsid w:val="00F06F12"/>
    <w:rsid w:val="00F172B4"/>
    <w:rsid w:val="00F21BAC"/>
    <w:rsid w:val="00F221DC"/>
    <w:rsid w:val="00F23F34"/>
    <w:rsid w:val="00F33D5A"/>
    <w:rsid w:val="00F34540"/>
    <w:rsid w:val="00F362E0"/>
    <w:rsid w:val="00F45658"/>
    <w:rsid w:val="00F460CE"/>
    <w:rsid w:val="00F468F0"/>
    <w:rsid w:val="00F476F8"/>
    <w:rsid w:val="00F51BDC"/>
    <w:rsid w:val="00F547B6"/>
    <w:rsid w:val="00F54E72"/>
    <w:rsid w:val="00F63BAA"/>
    <w:rsid w:val="00F644FC"/>
    <w:rsid w:val="00F66A39"/>
    <w:rsid w:val="00F73377"/>
    <w:rsid w:val="00F75EE2"/>
    <w:rsid w:val="00F80372"/>
    <w:rsid w:val="00F84E4A"/>
    <w:rsid w:val="00F86606"/>
    <w:rsid w:val="00F86730"/>
    <w:rsid w:val="00F937FB"/>
    <w:rsid w:val="00F968E9"/>
    <w:rsid w:val="00FA3E35"/>
    <w:rsid w:val="00FA6BDC"/>
    <w:rsid w:val="00FB09A8"/>
    <w:rsid w:val="00FB142A"/>
    <w:rsid w:val="00FB1F0F"/>
    <w:rsid w:val="00FB5CF4"/>
    <w:rsid w:val="00FC0644"/>
    <w:rsid w:val="00FC0C4B"/>
    <w:rsid w:val="00FC4A56"/>
    <w:rsid w:val="00FC7E9F"/>
    <w:rsid w:val="00FD3462"/>
    <w:rsid w:val="00FD566D"/>
    <w:rsid w:val="00FD5ECF"/>
    <w:rsid w:val="00FD7F6D"/>
    <w:rsid w:val="00FE3254"/>
    <w:rsid w:val="00FE6965"/>
    <w:rsid w:val="00FF35A0"/>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A31243"/>
    <w:pPr>
      <w:ind w:left="720"/>
      <w:contextualSpacing/>
    </w:pPr>
  </w:style>
  <w:style w:type="character" w:styleId="Hyperlink">
    <w:name w:val="Hyperlink"/>
    <w:basedOn w:val="DefaultParagraphFont"/>
    <w:uiPriority w:val="99"/>
    <w:unhideWhenUsed/>
    <w:rsid w:val="00C446C1"/>
    <w:rPr>
      <w:color w:val="0000FF"/>
      <w:u w:val="single"/>
    </w:rPr>
  </w:style>
  <w:style w:type="character" w:customStyle="1" w:styleId="pmterms2">
    <w:name w:val="pmterms2"/>
    <w:basedOn w:val="DefaultParagraphFont"/>
    <w:rsid w:val="00C446C1"/>
  </w:style>
  <w:style w:type="character" w:customStyle="1" w:styleId="pmtermsel">
    <w:name w:val="pmtermsel"/>
    <w:basedOn w:val="DefaultParagraphFont"/>
    <w:rsid w:val="00C446C1"/>
  </w:style>
  <w:style w:type="character" w:customStyle="1" w:styleId="pmterms3">
    <w:name w:val="pmterms3"/>
    <w:basedOn w:val="DefaultParagraphFont"/>
    <w:rsid w:val="00C446C1"/>
  </w:style>
  <w:style w:type="character" w:customStyle="1" w:styleId="term">
    <w:name w:val="term"/>
    <w:basedOn w:val="DefaultParagraphFont"/>
    <w:rsid w:val="00C446C1"/>
  </w:style>
  <w:style w:type="character" w:styleId="FollowedHyperlink">
    <w:name w:val="FollowedHyperlink"/>
    <w:basedOn w:val="DefaultParagraphFont"/>
    <w:uiPriority w:val="99"/>
    <w:semiHidden/>
    <w:unhideWhenUsed/>
    <w:rsid w:val="00BB2315"/>
    <w:rPr>
      <w:color w:val="800080" w:themeColor="followedHyperlink"/>
      <w:u w:val="single"/>
    </w:rPr>
  </w:style>
  <w:style w:type="character" w:customStyle="1" w:styleId="pmterms1">
    <w:name w:val="pmterms1"/>
    <w:basedOn w:val="DefaultParagraphFont"/>
    <w:rsid w:val="00C3533D"/>
  </w:style>
  <w:style w:type="character" w:styleId="PlaceholderText">
    <w:name w:val="Placeholder Text"/>
    <w:basedOn w:val="DefaultParagraphFont"/>
    <w:uiPriority w:val="99"/>
    <w:semiHidden/>
    <w:rsid w:val="00E37C42"/>
    <w:rPr>
      <w:color w:val="808080"/>
    </w:rPr>
  </w:style>
  <w:style w:type="character" w:customStyle="1" w:styleId="sssh">
    <w:name w:val="ss_sh"/>
    <w:basedOn w:val="DefaultParagraphFont"/>
    <w:rsid w:val="004A2FA8"/>
  </w:style>
  <w:style w:type="character" w:customStyle="1" w:styleId="ssit">
    <w:name w:val="ss_it"/>
    <w:basedOn w:val="DefaultParagraphFont"/>
    <w:rsid w:val="00055497"/>
  </w:style>
  <w:style w:type="character" w:customStyle="1" w:styleId="ssrfcpassagedeactivated">
    <w:name w:val="ss_rfcpassage_deactivated"/>
    <w:basedOn w:val="DefaultParagraphFont"/>
    <w:rsid w:val="005125E8"/>
  </w:style>
  <w:style w:type="character" w:customStyle="1" w:styleId="ssib">
    <w:name w:val="ss_ib"/>
    <w:basedOn w:val="DefaultParagraphFont"/>
    <w:rsid w:val="00F547B6"/>
  </w:style>
  <w:style w:type="paragraph" w:styleId="NormalWeb">
    <w:name w:val="Normal (Web)"/>
    <w:basedOn w:val="Normal"/>
    <w:uiPriority w:val="99"/>
    <w:unhideWhenUsed/>
    <w:rsid w:val="005561D0"/>
    <w:pPr>
      <w:spacing w:before="100" w:beforeAutospacing="1" w:after="100" w:afterAutospacing="1"/>
    </w:pPr>
    <w:rPr>
      <w:sz w:val="24"/>
      <w:szCs w:val="24"/>
    </w:rPr>
  </w:style>
  <w:style w:type="paragraph" w:styleId="TOCHeading">
    <w:name w:val="TOC Heading"/>
    <w:basedOn w:val="Heading1"/>
    <w:next w:val="Normal"/>
    <w:uiPriority w:val="39"/>
    <w:unhideWhenUsed/>
    <w:qFormat/>
    <w:rsid w:val="00047F4E"/>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alloonText">
    <w:name w:val="Balloon Text"/>
    <w:basedOn w:val="Normal"/>
    <w:link w:val="BalloonTextChar"/>
    <w:uiPriority w:val="99"/>
    <w:semiHidden/>
    <w:unhideWhenUsed/>
    <w:rsid w:val="00F80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72"/>
    <w:rPr>
      <w:rFonts w:ascii="Segoe UI" w:hAnsi="Segoe UI" w:cs="Segoe UI"/>
      <w:sz w:val="18"/>
      <w:szCs w:val="18"/>
    </w:rPr>
  </w:style>
  <w:style w:type="character" w:customStyle="1" w:styleId="sscrbhighlight">
    <w:name w:val="ss_crbhighlight"/>
    <w:basedOn w:val="DefaultParagraphFont"/>
    <w:rsid w:val="00D60583"/>
  </w:style>
  <w:style w:type="character" w:customStyle="1" w:styleId="ssbf">
    <w:name w:val="ss_bf"/>
    <w:basedOn w:val="DefaultParagraphFont"/>
    <w:rsid w:val="00D60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A31243"/>
    <w:pPr>
      <w:ind w:left="720"/>
      <w:contextualSpacing/>
    </w:pPr>
  </w:style>
  <w:style w:type="character" w:styleId="Hyperlink">
    <w:name w:val="Hyperlink"/>
    <w:basedOn w:val="DefaultParagraphFont"/>
    <w:uiPriority w:val="99"/>
    <w:unhideWhenUsed/>
    <w:rsid w:val="00C446C1"/>
    <w:rPr>
      <w:color w:val="0000FF"/>
      <w:u w:val="single"/>
    </w:rPr>
  </w:style>
  <w:style w:type="character" w:customStyle="1" w:styleId="pmterms2">
    <w:name w:val="pmterms2"/>
    <w:basedOn w:val="DefaultParagraphFont"/>
    <w:rsid w:val="00C446C1"/>
  </w:style>
  <w:style w:type="character" w:customStyle="1" w:styleId="pmtermsel">
    <w:name w:val="pmtermsel"/>
    <w:basedOn w:val="DefaultParagraphFont"/>
    <w:rsid w:val="00C446C1"/>
  </w:style>
  <w:style w:type="character" w:customStyle="1" w:styleId="pmterms3">
    <w:name w:val="pmterms3"/>
    <w:basedOn w:val="DefaultParagraphFont"/>
    <w:rsid w:val="00C446C1"/>
  </w:style>
  <w:style w:type="character" w:customStyle="1" w:styleId="term">
    <w:name w:val="term"/>
    <w:basedOn w:val="DefaultParagraphFont"/>
    <w:rsid w:val="00C446C1"/>
  </w:style>
  <w:style w:type="character" w:styleId="FollowedHyperlink">
    <w:name w:val="FollowedHyperlink"/>
    <w:basedOn w:val="DefaultParagraphFont"/>
    <w:uiPriority w:val="99"/>
    <w:semiHidden/>
    <w:unhideWhenUsed/>
    <w:rsid w:val="00BB2315"/>
    <w:rPr>
      <w:color w:val="800080" w:themeColor="followedHyperlink"/>
      <w:u w:val="single"/>
    </w:rPr>
  </w:style>
  <w:style w:type="character" w:customStyle="1" w:styleId="pmterms1">
    <w:name w:val="pmterms1"/>
    <w:basedOn w:val="DefaultParagraphFont"/>
    <w:rsid w:val="00C3533D"/>
  </w:style>
  <w:style w:type="character" w:styleId="PlaceholderText">
    <w:name w:val="Placeholder Text"/>
    <w:basedOn w:val="DefaultParagraphFont"/>
    <w:uiPriority w:val="99"/>
    <w:semiHidden/>
    <w:rsid w:val="00E37C42"/>
    <w:rPr>
      <w:color w:val="808080"/>
    </w:rPr>
  </w:style>
  <w:style w:type="character" w:customStyle="1" w:styleId="sssh">
    <w:name w:val="ss_sh"/>
    <w:basedOn w:val="DefaultParagraphFont"/>
    <w:rsid w:val="004A2FA8"/>
  </w:style>
  <w:style w:type="character" w:customStyle="1" w:styleId="ssit">
    <w:name w:val="ss_it"/>
    <w:basedOn w:val="DefaultParagraphFont"/>
    <w:rsid w:val="00055497"/>
  </w:style>
  <w:style w:type="character" w:customStyle="1" w:styleId="ssrfcpassagedeactivated">
    <w:name w:val="ss_rfcpassage_deactivated"/>
    <w:basedOn w:val="DefaultParagraphFont"/>
    <w:rsid w:val="005125E8"/>
  </w:style>
  <w:style w:type="character" w:customStyle="1" w:styleId="ssib">
    <w:name w:val="ss_ib"/>
    <w:basedOn w:val="DefaultParagraphFont"/>
    <w:rsid w:val="00F547B6"/>
  </w:style>
  <w:style w:type="paragraph" w:styleId="NormalWeb">
    <w:name w:val="Normal (Web)"/>
    <w:basedOn w:val="Normal"/>
    <w:uiPriority w:val="99"/>
    <w:unhideWhenUsed/>
    <w:rsid w:val="005561D0"/>
    <w:pPr>
      <w:spacing w:before="100" w:beforeAutospacing="1" w:after="100" w:afterAutospacing="1"/>
    </w:pPr>
    <w:rPr>
      <w:sz w:val="24"/>
      <w:szCs w:val="24"/>
    </w:rPr>
  </w:style>
  <w:style w:type="paragraph" w:styleId="TOCHeading">
    <w:name w:val="TOC Heading"/>
    <w:basedOn w:val="Heading1"/>
    <w:next w:val="Normal"/>
    <w:uiPriority w:val="39"/>
    <w:unhideWhenUsed/>
    <w:qFormat/>
    <w:rsid w:val="00047F4E"/>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alloonText">
    <w:name w:val="Balloon Text"/>
    <w:basedOn w:val="Normal"/>
    <w:link w:val="BalloonTextChar"/>
    <w:uiPriority w:val="99"/>
    <w:semiHidden/>
    <w:unhideWhenUsed/>
    <w:rsid w:val="00F80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72"/>
    <w:rPr>
      <w:rFonts w:ascii="Segoe UI" w:hAnsi="Segoe UI" w:cs="Segoe UI"/>
      <w:sz w:val="18"/>
      <w:szCs w:val="18"/>
    </w:rPr>
  </w:style>
  <w:style w:type="character" w:customStyle="1" w:styleId="sscrbhighlight">
    <w:name w:val="ss_crbhighlight"/>
    <w:basedOn w:val="DefaultParagraphFont"/>
    <w:rsid w:val="00D60583"/>
  </w:style>
  <w:style w:type="character" w:customStyle="1" w:styleId="ssbf">
    <w:name w:val="ss_bf"/>
    <w:basedOn w:val="DefaultParagraphFont"/>
    <w:rsid w:val="00D6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1585">
      <w:bodyDiv w:val="1"/>
      <w:marLeft w:val="0"/>
      <w:marRight w:val="0"/>
      <w:marTop w:val="0"/>
      <w:marBottom w:val="0"/>
      <w:divBdr>
        <w:top w:val="none" w:sz="0" w:space="0" w:color="auto"/>
        <w:left w:val="none" w:sz="0" w:space="0" w:color="auto"/>
        <w:bottom w:val="none" w:sz="0" w:space="0" w:color="auto"/>
        <w:right w:val="none" w:sz="0" w:space="0" w:color="auto"/>
      </w:divBdr>
    </w:div>
    <w:div w:id="15277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15111</Words>
  <Characters>86136</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2018-08-13T16:47:00.3745672Z</cp:lastPrinted>
  <dcterms:created xsi:type="dcterms:W3CDTF">2018-08-13T16:47:00.3745672Z</dcterms:created>
  <dcterms:modified xsi:type="dcterms:W3CDTF">2018-08-13T16:47:00.3745672Z</dcterms:modified>
  <cp:category>
  </cp:category>
</cp:coreProperties>
</file>