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C7C27" w:rsidRPr="00EC7C27" w:rsidP="00EC7C27">
      <w:pPr>
        <w:tabs>
          <w:tab w:val="left" w:pos="1440"/>
          <w:tab w:val="left" w:pos="4680"/>
          <w:tab w:val="center" w:pos="7200"/>
        </w:tabs>
        <w:rPr>
          <w:rFonts w:ascii="Century Schoolbook" w:hAnsi="Century Schoolbook"/>
          <w:sz w:val="20"/>
        </w:rPr>
      </w:pPr>
      <w:bookmarkStart w:id="0" w:name="MarkDocLoc"/>
      <w:bookmarkStart w:id="1" w:name="_GoBack"/>
      <w:bookmarkEnd w:id="0"/>
      <w:bookmarkEnd w:id="1"/>
      <w:r>
        <w:rPr>
          <w:rFonts w:ascii="Century Schoolbook" w:hAnsi="Century Schoolbook"/>
          <w:sz w:val="20"/>
        </w:rPr>
        <w:t>Filed 10/23/19</w:t>
      </w:r>
    </w:p>
    <w:p w:rsidR="00CB32F5" w:rsidP="00483B5A">
      <w:pPr>
        <w:tabs>
          <w:tab w:val="left" w:pos="1440"/>
          <w:tab w:val="left" w:pos="4680"/>
          <w:tab w:val="center" w:pos="7200"/>
        </w:tabs>
        <w:jc w:val="center"/>
        <w:rPr>
          <w:rFonts w:ascii="Century Schoolbook" w:hAnsi="Century Schoolbook"/>
          <w:b/>
          <w:sz w:val="36"/>
          <w:szCs w:val="36"/>
        </w:rPr>
      </w:pPr>
      <w:r w:rsidRPr="008C5ED8">
        <w:rPr>
          <w:rFonts w:ascii="Century Schoolbook" w:hAnsi="Century Schoolbook"/>
          <w:b/>
          <w:sz w:val="36"/>
          <w:szCs w:val="36"/>
        </w:rPr>
        <w:t xml:space="preserve">IN THE SUPREME COURT OF </w:t>
      </w:r>
    </w:p>
    <w:p w:rsidR="00483B5A" w:rsidRPr="008C5ED8" w:rsidP="00483B5A">
      <w:pPr>
        <w:tabs>
          <w:tab w:val="left" w:pos="1440"/>
          <w:tab w:val="left" w:pos="4680"/>
          <w:tab w:val="center" w:pos="7200"/>
        </w:tabs>
        <w:jc w:val="center"/>
        <w:rPr>
          <w:rFonts w:ascii="Century Schoolbook" w:hAnsi="Century Schoolbook"/>
          <w:sz w:val="36"/>
          <w:szCs w:val="36"/>
        </w:rPr>
      </w:pPr>
      <w:r w:rsidRPr="008C5ED8">
        <w:rPr>
          <w:rFonts w:ascii="Century Schoolbook" w:hAnsi="Century Schoolbook"/>
          <w:b/>
          <w:sz w:val="36"/>
          <w:szCs w:val="36"/>
        </w:rPr>
        <w:t>CALIFORNIA</w:t>
      </w:r>
    </w:p>
    <w:p w:rsidR="00483B5A" w:rsidRPr="008C5ED8" w:rsidP="00483B5A">
      <w:pPr>
        <w:tabs>
          <w:tab w:val="left" w:pos="1440"/>
          <w:tab w:val="left" w:pos="4680"/>
          <w:tab w:val="center" w:pos="7200"/>
        </w:tabs>
        <w:jc w:val="center"/>
        <w:rPr>
          <w:rFonts w:ascii="Century Schoolbook" w:hAnsi="Century Schoolbook"/>
        </w:rPr>
      </w:pPr>
    </w:p>
    <w:p w:rsidR="00483B5A" w:rsidRPr="00CB32F5" w:rsidP="00483B5A">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THE PEOPLE,</w:t>
      </w:r>
    </w:p>
    <w:p w:rsidR="00483B5A" w:rsidRPr="00CB32F5" w:rsidP="00483B5A">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Plaintiff and Respondent,</w:t>
      </w:r>
    </w:p>
    <w:p w:rsidR="00483B5A" w:rsidRPr="00CB32F5" w:rsidP="00483B5A">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v.</w:t>
      </w:r>
    </w:p>
    <w:p w:rsidR="00483B5A" w:rsidRPr="00CB32F5" w:rsidP="00483B5A">
      <w:pPr>
        <w:jc w:val="center"/>
        <w:rPr>
          <w:rFonts w:ascii="Century Schoolbook" w:hAnsi="Century Schoolbook"/>
          <w:sz w:val="27"/>
          <w:szCs w:val="27"/>
        </w:rPr>
      </w:pPr>
      <w:r w:rsidRPr="00CB32F5">
        <w:rPr>
          <w:rFonts w:ascii="Century Schoolbook" w:hAnsi="Century Schoolbook"/>
          <w:sz w:val="27"/>
          <w:szCs w:val="27"/>
        </w:rPr>
        <w:t>LEE SAMUEL CAPERS,</w:t>
      </w:r>
    </w:p>
    <w:p w:rsidR="00483B5A" w:rsidRPr="00CB32F5" w:rsidP="00483B5A">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Defendant and Appellant.</w:t>
      </w:r>
    </w:p>
    <w:p w:rsidR="00483B5A" w:rsidRPr="00CB32F5" w:rsidP="00483B5A">
      <w:pPr>
        <w:tabs>
          <w:tab w:val="left" w:pos="1440"/>
          <w:tab w:val="left" w:pos="4680"/>
          <w:tab w:val="center" w:pos="7200"/>
        </w:tabs>
        <w:jc w:val="center"/>
        <w:rPr>
          <w:rFonts w:ascii="Century Schoolbook" w:hAnsi="Century Schoolbook"/>
          <w:sz w:val="27"/>
          <w:szCs w:val="27"/>
        </w:rPr>
      </w:pPr>
    </w:p>
    <w:p w:rsidR="00483B5A" w:rsidRPr="00CB32F5" w:rsidP="00483B5A">
      <w:pPr>
        <w:jc w:val="center"/>
        <w:rPr>
          <w:rFonts w:ascii="Century Schoolbook" w:hAnsi="Century Schoolbook"/>
          <w:sz w:val="27"/>
          <w:szCs w:val="27"/>
        </w:rPr>
      </w:pPr>
      <w:r w:rsidRPr="00CB32F5">
        <w:rPr>
          <w:rFonts w:ascii="Century Schoolbook" w:hAnsi="Century Schoolbook"/>
          <w:sz w:val="27"/>
          <w:szCs w:val="27"/>
        </w:rPr>
        <w:t>S146939</w:t>
      </w:r>
    </w:p>
    <w:p w:rsidR="00483B5A" w:rsidRPr="00CB32F5" w:rsidP="00483B5A">
      <w:pPr>
        <w:jc w:val="center"/>
        <w:rPr>
          <w:rFonts w:ascii="Century Schoolbook" w:hAnsi="Century Schoolbook"/>
          <w:sz w:val="27"/>
          <w:szCs w:val="27"/>
        </w:rPr>
      </w:pPr>
    </w:p>
    <w:p w:rsidR="00483B5A" w:rsidRPr="00CB32F5" w:rsidP="00483B5A">
      <w:pPr>
        <w:tabs>
          <w:tab w:val="left" w:pos="1440"/>
          <w:tab w:val="left" w:pos="4680"/>
          <w:tab w:val="center" w:pos="7200"/>
        </w:tabs>
        <w:jc w:val="center"/>
        <w:rPr>
          <w:rFonts w:ascii="Century Schoolbook" w:hAnsi="Century Schoolbook"/>
          <w:sz w:val="27"/>
          <w:szCs w:val="27"/>
        </w:rPr>
      </w:pPr>
      <w:r w:rsidRPr="00CB32F5">
        <w:rPr>
          <w:rFonts w:ascii="Century Schoolbook" w:hAnsi="Century Schoolbook"/>
          <w:sz w:val="27"/>
          <w:szCs w:val="27"/>
        </w:rPr>
        <w:t>San Bernardino County Superior Court</w:t>
      </w:r>
    </w:p>
    <w:p w:rsidR="00483B5A" w:rsidRPr="00CB32F5" w:rsidP="00483B5A">
      <w:pPr>
        <w:pBdr>
          <w:bottom w:val="single" w:sz="4" w:space="1" w:color="auto"/>
        </w:pBdr>
        <w:jc w:val="center"/>
        <w:rPr>
          <w:rFonts w:ascii="Century Schoolbook" w:hAnsi="Century Schoolbook"/>
          <w:sz w:val="27"/>
          <w:szCs w:val="27"/>
        </w:rPr>
      </w:pPr>
      <w:r w:rsidRPr="00CB32F5">
        <w:rPr>
          <w:rFonts w:ascii="Century Schoolbook" w:hAnsi="Century Schoolbook"/>
          <w:sz w:val="27"/>
          <w:szCs w:val="27"/>
        </w:rPr>
        <w:t>FBA06284</w:t>
      </w:r>
    </w:p>
    <w:p w:rsidR="00483B5A" w:rsidRPr="008C5ED8" w:rsidP="00483B5A">
      <w:pPr>
        <w:pBdr>
          <w:bottom w:val="single" w:sz="4" w:space="1" w:color="auto"/>
        </w:pBdr>
        <w:tabs>
          <w:tab w:val="left" w:pos="1440"/>
          <w:tab w:val="left" w:pos="4680"/>
          <w:tab w:val="center" w:pos="7200"/>
        </w:tabs>
        <w:jc w:val="center"/>
        <w:rPr>
          <w:rFonts w:ascii="Century Schoolbook" w:hAnsi="Century Schoolbook"/>
        </w:rPr>
      </w:pPr>
    </w:p>
    <w:p w:rsidR="00CD4866" w:rsidRPr="005161D8" w:rsidP="00CD4866">
      <w:pPr>
        <w:pStyle w:val="Text"/>
        <w:spacing w:before="360" w:after="240" w:line="240" w:lineRule="auto"/>
        <w:ind w:firstLine="0"/>
        <w:jc w:val="center"/>
        <w:rPr>
          <w:rFonts w:ascii="Century Schoolbook" w:hAnsi="Century Schoolbook"/>
          <w:b/>
          <w:sz w:val="27"/>
          <w:szCs w:val="27"/>
        </w:rPr>
      </w:pPr>
      <w:bookmarkStart w:id="2" w:name="plaintiff"/>
      <w:bookmarkStart w:id="3" w:name="appealnum"/>
      <w:bookmarkEnd w:id="2"/>
      <w:bookmarkEnd w:id="3"/>
      <w:r w:rsidRPr="005161D8">
        <w:rPr>
          <w:rFonts w:ascii="Century Schoolbook" w:hAnsi="Century Schoolbook"/>
          <w:b/>
          <w:sz w:val="27"/>
          <w:szCs w:val="27"/>
        </w:rPr>
        <w:t xml:space="preserve">ORDER </w:t>
      </w:r>
      <w:r w:rsidRPr="005161D8">
        <w:rPr>
          <w:rFonts w:ascii="Century Schoolbook" w:hAnsi="Century Schoolbook"/>
          <w:b/>
          <w:sz w:val="27"/>
          <w:szCs w:val="27"/>
        </w:rPr>
        <w:t>MODIF</w:t>
      </w:r>
      <w:r w:rsidRPr="005161D8">
        <w:rPr>
          <w:rFonts w:ascii="Century Schoolbook" w:hAnsi="Century Schoolbook"/>
          <w:b/>
          <w:sz w:val="27"/>
          <w:szCs w:val="27"/>
        </w:rPr>
        <w:t>YING</w:t>
      </w:r>
      <w:r w:rsidRPr="005161D8">
        <w:rPr>
          <w:rFonts w:ascii="Century Schoolbook" w:hAnsi="Century Schoolbook"/>
          <w:b/>
          <w:sz w:val="27"/>
          <w:szCs w:val="27"/>
        </w:rPr>
        <w:t xml:space="preserve"> OPINION</w:t>
      </w:r>
      <w:r w:rsidRPr="005161D8">
        <w:rPr>
          <w:rFonts w:ascii="Century Schoolbook" w:hAnsi="Century Schoolbook"/>
          <w:b/>
          <w:sz w:val="27"/>
          <w:szCs w:val="27"/>
        </w:rPr>
        <w:t xml:space="preserve"> AND DENYING PETITION FOR REHEARING</w:t>
      </w:r>
    </w:p>
    <w:p w:rsidR="00CD4866" w:rsidRPr="005161D8" w:rsidP="00CD4866">
      <w:pPr>
        <w:pStyle w:val="Text"/>
        <w:spacing w:line="240" w:lineRule="auto"/>
        <w:ind w:firstLine="0"/>
        <w:rPr>
          <w:rFonts w:ascii="Century Schoolbook" w:hAnsi="Century Schoolbook"/>
          <w:sz w:val="27"/>
          <w:szCs w:val="27"/>
        </w:rPr>
      </w:pPr>
      <w:r w:rsidRPr="005161D8">
        <w:rPr>
          <w:rFonts w:ascii="Century Schoolbook" w:hAnsi="Century Schoolbook"/>
          <w:sz w:val="27"/>
          <w:szCs w:val="27"/>
        </w:rPr>
        <w:t>THE COURT:</w:t>
      </w:r>
    </w:p>
    <w:p w:rsidR="0097492F" w:rsidRPr="005161D8" w:rsidP="0097492F">
      <w:pPr>
        <w:pStyle w:val="Text"/>
        <w:ind w:firstLine="720"/>
        <w:rPr>
          <w:rFonts w:ascii="Century Schoolbook" w:hAnsi="Century Schoolbook"/>
          <w:sz w:val="27"/>
          <w:szCs w:val="27"/>
        </w:rPr>
      </w:pPr>
      <w:r w:rsidRPr="005161D8">
        <w:rPr>
          <w:rFonts w:ascii="Century Schoolbook" w:hAnsi="Century Schoolbook"/>
          <w:sz w:val="27"/>
          <w:szCs w:val="27"/>
        </w:rPr>
        <w:t xml:space="preserve">The opinion </w:t>
      </w:r>
      <w:r w:rsidRPr="005161D8" w:rsidR="00DF31C1">
        <w:rPr>
          <w:rFonts w:ascii="Century Schoolbook" w:hAnsi="Century Schoolbook"/>
          <w:sz w:val="27"/>
          <w:szCs w:val="27"/>
        </w:rPr>
        <w:t>in this matter filed on August, 8, 2019 and</w:t>
      </w:r>
      <w:r w:rsidRPr="005161D8">
        <w:rPr>
          <w:rFonts w:ascii="Century Schoolbook" w:hAnsi="Century Schoolbook"/>
          <w:sz w:val="27"/>
          <w:szCs w:val="27"/>
        </w:rPr>
        <w:t xml:space="preserve"> appearing at </w:t>
      </w:r>
      <w:r w:rsidRPr="005161D8" w:rsidR="00FB3F7D">
        <w:rPr>
          <w:rFonts w:ascii="Century Schoolbook" w:hAnsi="Century Schoolbook"/>
          <w:sz w:val="27"/>
          <w:szCs w:val="27"/>
        </w:rPr>
        <w:t>7</w:t>
      </w:r>
      <w:r w:rsidRPr="005161D8" w:rsidR="00DF31C1">
        <w:rPr>
          <w:rFonts w:ascii="Century Schoolbook" w:hAnsi="Century Schoolbook"/>
          <w:sz w:val="27"/>
          <w:szCs w:val="27"/>
        </w:rPr>
        <w:t> </w:t>
      </w:r>
      <w:r w:rsidRPr="005161D8" w:rsidR="00FB3F7D">
        <w:rPr>
          <w:rFonts w:ascii="Century Schoolbook" w:hAnsi="Century Schoolbook"/>
          <w:sz w:val="27"/>
          <w:szCs w:val="27"/>
        </w:rPr>
        <w:t xml:space="preserve">Cal.5th </w:t>
      </w:r>
      <w:r w:rsidRPr="005161D8" w:rsidR="00DF31C1">
        <w:rPr>
          <w:rFonts w:ascii="Century Schoolbook" w:hAnsi="Century Schoolbook"/>
          <w:sz w:val="27"/>
          <w:szCs w:val="27"/>
        </w:rPr>
        <w:t>989</w:t>
      </w:r>
      <w:r w:rsidRPr="005161D8">
        <w:rPr>
          <w:rFonts w:ascii="Century Schoolbook" w:hAnsi="Century Schoolbook"/>
          <w:sz w:val="27"/>
          <w:szCs w:val="27"/>
        </w:rPr>
        <w:t>, is modified as follows:</w:t>
      </w:r>
    </w:p>
    <w:p w:rsidR="005161D8" w:rsidP="0097492F">
      <w:pPr>
        <w:pStyle w:val="Text"/>
        <w:ind w:firstLine="720"/>
        <w:rPr>
          <w:rFonts w:ascii="Century Schoolbook" w:hAnsi="Century Schoolbook"/>
          <w:sz w:val="27"/>
          <w:szCs w:val="27"/>
        </w:rPr>
      </w:pPr>
      <w:r w:rsidRPr="005161D8">
        <w:rPr>
          <w:rFonts w:ascii="Century Schoolbook" w:hAnsi="Century Schoolbook"/>
          <w:sz w:val="27"/>
          <w:szCs w:val="27"/>
        </w:rPr>
        <w:t>1.</w:t>
      </w:r>
      <w:r w:rsidRPr="005161D8">
        <w:rPr>
          <w:rFonts w:ascii="Century Schoolbook" w:hAnsi="Century Schoolbook"/>
          <w:sz w:val="27"/>
          <w:szCs w:val="27"/>
        </w:rPr>
        <w:tab/>
      </w:r>
      <w:r w:rsidRPr="005161D8" w:rsidR="0097492F">
        <w:rPr>
          <w:rFonts w:ascii="Century Schoolbook" w:hAnsi="Century Schoolbook"/>
          <w:sz w:val="27"/>
          <w:szCs w:val="27"/>
        </w:rPr>
        <w:t xml:space="preserve">In </w:t>
      </w:r>
      <w:r w:rsidRPr="005161D8">
        <w:rPr>
          <w:rFonts w:ascii="Century Schoolbook" w:hAnsi="Century Schoolbook"/>
          <w:sz w:val="27"/>
          <w:szCs w:val="27"/>
        </w:rPr>
        <w:t>the first paragraph on</w:t>
      </w:r>
      <w:r w:rsidRPr="005161D8" w:rsidR="0097492F">
        <w:rPr>
          <w:rFonts w:ascii="Century Schoolbook" w:hAnsi="Century Schoolbook"/>
          <w:sz w:val="27"/>
          <w:szCs w:val="27"/>
        </w:rPr>
        <w:t> </w:t>
      </w:r>
      <w:r>
        <w:rPr>
          <w:rFonts w:ascii="Century Schoolbook" w:hAnsi="Century Schoolbook"/>
          <w:sz w:val="27"/>
          <w:szCs w:val="27"/>
        </w:rPr>
        <w:t xml:space="preserve">page </w:t>
      </w:r>
      <w:r w:rsidRPr="005161D8" w:rsidR="0097492F">
        <w:rPr>
          <w:rFonts w:ascii="Century Schoolbook" w:hAnsi="Century Schoolbook"/>
          <w:sz w:val="27"/>
          <w:szCs w:val="27"/>
        </w:rPr>
        <w:t xml:space="preserve">1006, delete </w:t>
      </w:r>
      <w:r w:rsidRPr="005161D8">
        <w:rPr>
          <w:rFonts w:ascii="Century Schoolbook" w:hAnsi="Century Schoolbook"/>
          <w:sz w:val="27"/>
          <w:szCs w:val="27"/>
        </w:rPr>
        <w:t xml:space="preserve">the </w:t>
      </w:r>
      <w:r>
        <w:rPr>
          <w:rFonts w:ascii="Century Schoolbook" w:hAnsi="Century Schoolbook"/>
          <w:sz w:val="27"/>
          <w:szCs w:val="27"/>
        </w:rPr>
        <w:t xml:space="preserve">third full </w:t>
      </w:r>
      <w:r w:rsidRPr="005161D8" w:rsidR="0097492F">
        <w:rPr>
          <w:rFonts w:ascii="Century Schoolbook" w:hAnsi="Century Schoolbook"/>
          <w:sz w:val="27"/>
          <w:szCs w:val="27"/>
        </w:rPr>
        <w:t>sentence reading</w:t>
      </w:r>
      <w:r w:rsidRPr="005161D8" w:rsidR="006C5AB6">
        <w:rPr>
          <w:rFonts w:ascii="Century Schoolbook" w:hAnsi="Century Schoolbook"/>
          <w:sz w:val="27"/>
          <w:szCs w:val="27"/>
        </w:rPr>
        <w:t>,</w:t>
      </w:r>
      <w:r w:rsidRPr="005161D8" w:rsidR="0097492F">
        <w:rPr>
          <w:rFonts w:ascii="Century Schoolbook" w:hAnsi="Century Schoolbook"/>
          <w:sz w:val="27"/>
          <w:szCs w:val="27"/>
        </w:rPr>
        <w:t xml:space="preserve"> “Another letter was sent to Griego in October 2003, in which Renteria again retracted her statements implicating both men, claiming she was on drugs when she made them, ‘not in [her] right state of mind,’ and the statements were not true.”  As modified, the sentence now reads:  </w:t>
      </w:r>
    </w:p>
    <w:p w:rsidR="0097492F" w:rsidRPr="005161D8" w:rsidP="005161D8">
      <w:pPr>
        <w:pStyle w:val="Text"/>
        <w:spacing w:before="240" w:line="240" w:lineRule="auto"/>
        <w:ind w:left="720" w:firstLine="0"/>
        <w:rPr>
          <w:rFonts w:ascii="Century Schoolbook" w:hAnsi="Century Schoolbook"/>
          <w:sz w:val="27"/>
          <w:szCs w:val="27"/>
        </w:rPr>
      </w:pPr>
      <w:r w:rsidRPr="005161D8">
        <w:rPr>
          <w:rFonts w:ascii="Century Schoolbook" w:hAnsi="Century Schoolbook"/>
          <w:sz w:val="27"/>
          <w:szCs w:val="27"/>
        </w:rPr>
        <w:t xml:space="preserve">In an interview with Griego in October 2003, Renteria again retracted her statements implicating both men, claiming she was on drugs when she made them, </w:t>
      </w:r>
      <w:r w:rsidR="00C656B0">
        <w:rPr>
          <w:rFonts w:ascii="Century Schoolbook" w:hAnsi="Century Schoolbook"/>
          <w:sz w:val="27"/>
          <w:szCs w:val="27"/>
        </w:rPr>
        <w:t>“</w:t>
      </w:r>
      <w:r w:rsidRPr="005161D8">
        <w:rPr>
          <w:rFonts w:ascii="Century Schoolbook" w:hAnsi="Century Schoolbook"/>
          <w:sz w:val="27"/>
          <w:szCs w:val="27"/>
        </w:rPr>
        <w:t>not in [her] right state of mind,</w:t>
      </w:r>
      <w:r w:rsidR="00C656B0">
        <w:rPr>
          <w:rFonts w:ascii="Century Schoolbook" w:hAnsi="Century Schoolbook"/>
          <w:sz w:val="27"/>
          <w:szCs w:val="27"/>
        </w:rPr>
        <w:t>”</w:t>
      </w:r>
      <w:r w:rsidRPr="005161D8">
        <w:rPr>
          <w:rFonts w:ascii="Century Schoolbook" w:hAnsi="Century Schoolbook"/>
          <w:sz w:val="27"/>
          <w:szCs w:val="27"/>
        </w:rPr>
        <w:t xml:space="preserve"> and the statements were not true.</w:t>
      </w:r>
    </w:p>
    <w:p w:rsidR="00E029D2" w:rsidP="00E029D2">
      <w:pPr>
        <w:pStyle w:val="Text"/>
        <w:ind w:firstLine="720"/>
        <w:rPr>
          <w:rFonts w:ascii="Century Schoolbook" w:hAnsi="Century Schoolbook"/>
          <w:sz w:val="27"/>
          <w:szCs w:val="27"/>
        </w:rPr>
      </w:pPr>
      <w:r w:rsidRPr="005161D8">
        <w:rPr>
          <w:rFonts w:ascii="Century Schoolbook" w:hAnsi="Century Schoolbook"/>
          <w:sz w:val="27"/>
          <w:szCs w:val="27"/>
        </w:rPr>
        <w:t>2.</w:t>
      </w:r>
      <w:r w:rsidRPr="005161D8">
        <w:rPr>
          <w:rFonts w:ascii="Century Schoolbook" w:hAnsi="Century Schoolbook"/>
          <w:sz w:val="27"/>
          <w:szCs w:val="27"/>
        </w:rPr>
        <w:tab/>
      </w:r>
      <w:r w:rsidRPr="005161D8">
        <w:rPr>
          <w:rFonts w:ascii="Century Schoolbook" w:hAnsi="Century Schoolbook"/>
          <w:sz w:val="27"/>
          <w:szCs w:val="27"/>
        </w:rPr>
        <w:t xml:space="preserve">In at the first paragraph on page 1010, delete the sentence reading, “Renteria’s decision not to testify, upheld by the court, did not deny defendant the right to present a defense.”  As modified, the sentence now reads:  </w:t>
      </w:r>
    </w:p>
    <w:p w:rsidR="00E029D2" w:rsidRPr="005161D8" w:rsidP="00E029D2">
      <w:pPr>
        <w:pStyle w:val="Text"/>
        <w:spacing w:before="240" w:line="240" w:lineRule="auto"/>
        <w:ind w:left="720" w:firstLine="0"/>
        <w:rPr>
          <w:rFonts w:ascii="Century Schoolbook" w:hAnsi="Century Schoolbook"/>
          <w:sz w:val="27"/>
          <w:szCs w:val="27"/>
        </w:rPr>
      </w:pPr>
      <w:r w:rsidRPr="005161D8">
        <w:rPr>
          <w:rFonts w:ascii="Century Schoolbook" w:hAnsi="Century Schoolbook"/>
          <w:sz w:val="27"/>
          <w:szCs w:val="27"/>
        </w:rPr>
        <w:t>Renteria’s decision not to testify, upheld by the court, did not deny defendant the right to present a defense nor his Eighth Amendment right to have the jury hear all mitigating evidence at the penalty phase.</w:t>
      </w:r>
    </w:p>
    <w:p w:rsidR="00C656B0" w:rsidP="006C5AB6">
      <w:pPr>
        <w:pStyle w:val="Text"/>
        <w:ind w:firstLine="720"/>
        <w:rPr>
          <w:rFonts w:ascii="Century Schoolbook" w:hAnsi="Century Schoolbook"/>
          <w:sz w:val="27"/>
          <w:szCs w:val="27"/>
        </w:rPr>
      </w:pPr>
      <w:r>
        <w:rPr>
          <w:rFonts w:ascii="Century Schoolbook" w:hAnsi="Century Schoolbook"/>
          <w:sz w:val="27"/>
          <w:szCs w:val="27"/>
        </w:rPr>
        <w:t>3.</w:t>
      </w:r>
      <w:r>
        <w:rPr>
          <w:rFonts w:ascii="Century Schoolbook" w:hAnsi="Century Schoolbook"/>
          <w:sz w:val="27"/>
          <w:szCs w:val="27"/>
        </w:rPr>
        <w:tab/>
      </w:r>
      <w:r w:rsidRPr="005161D8" w:rsidR="0097492F">
        <w:rPr>
          <w:rFonts w:ascii="Century Schoolbook" w:hAnsi="Century Schoolbook"/>
          <w:sz w:val="27"/>
          <w:szCs w:val="27"/>
        </w:rPr>
        <w:t xml:space="preserve">In </w:t>
      </w:r>
      <w:r w:rsidRPr="005161D8" w:rsidR="00DF31C1">
        <w:rPr>
          <w:rFonts w:ascii="Century Schoolbook" w:hAnsi="Century Schoolbook"/>
          <w:sz w:val="27"/>
          <w:szCs w:val="27"/>
        </w:rPr>
        <w:t xml:space="preserve">the first full paragraph on </w:t>
      </w:r>
      <w:r w:rsidRPr="005161D8" w:rsidR="0097492F">
        <w:rPr>
          <w:rFonts w:ascii="Century Schoolbook" w:hAnsi="Century Schoolbook"/>
          <w:sz w:val="27"/>
          <w:szCs w:val="27"/>
        </w:rPr>
        <w:t>p</w:t>
      </w:r>
      <w:r w:rsidRPr="005161D8" w:rsidR="006C5AB6">
        <w:rPr>
          <w:rFonts w:ascii="Century Schoolbook" w:hAnsi="Century Schoolbook"/>
          <w:sz w:val="27"/>
          <w:szCs w:val="27"/>
        </w:rPr>
        <w:t xml:space="preserve">age 1012, delete the </w:t>
      </w:r>
      <w:r w:rsidRPr="005161D8" w:rsidR="00DF31C1">
        <w:rPr>
          <w:rFonts w:ascii="Century Schoolbook" w:hAnsi="Century Schoolbook"/>
          <w:sz w:val="27"/>
          <w:szCs w:val="27"/>
        </w:rPr>
        <w:t xml:space="preserve">fourth </w:t>
      </w:r>
      <w:r w:rsidRPr="005161D8" w:rsidR="006C5AB6">
        <w:rPr>
          <w:rFonts w:ascii="Century Schoolbook" w:hAnsi="Century Schoolbook"/>
          <w:sz w:val="27"/>
          <w:szCs w:val="27"/>
        </w:rPr>
        <w:t xml:space="preserve">sentence reading, “Even though the statute of limitations had passed on Renteria’s initial alleged lie to Detective Griego in 1999, it had not passed when she allegedly lied in her second retraction letter of 2003.”  As modified, the sentence now reads: </w:t>
      </w:r>
    </w:p>
    <w:p w:rsidR="0097492F" w:rsidP="00C656B0">
      <w:pPr>
        <w:pStyle w:val="Text"/>
        <w:spacing w:before="240" w:line="240" w:lineRule="auto"/>
        <w:ind w:left="720" w:firstLine="0"/>
        <w:rPr>
          <w:rFonts w:ascii="Century Schoolbook" w:hAnsi="Century Schoolbook"/>
          <w:sz w:val="27"/>
          <w:szCs w:val="27"/>
        </w:rPr>
      </w:pPr>
      <w:r w:rsidRPr="005161D8">
        <w:rPr>
          <w:rFonts w:ascii="Century Schoolbook" w:hAnsi="Century Schoolbook"/>
          <w:sz w:val="27"/>
          <w:szCs w:val="27"/>
        </w:rPr>
        <w:t>Even though the statute of limitations had passed on Renteria’s initial alleged lie to Detective Griego in 1999, it had not passed when she allegedly lied in her second retraction of 2003.</w:t>
      </w:r>
    </w:p>
    <w:p w:rsidR="000D3039" w:rsidRPr="005161D8" w:rsidP="000D3039">
      <w:pPr>
        <w:pStyle w:val="Text"/>
        <w:ind w:firstLine="0"/>
        <w:rPr>
          <w:rFonts w:ascii="Century Schoolbook" w:hAnsi="Century Schoolbook"/>
          <w:sz w:val="27"/>
          <w:szCs w:val="27"/>
        </w:rPr>
      </w:pPr>
      <w:r w:rsidRPr="005161D8">
        <w:rPr>
          <w:rFonts w:ascii="Century Schoolbook" w:hAnsi="Century Schoolbook"/>
          <w:sz w:val="27"/>
          <w:szCs w:val="27"/>
        </w:rPr>
        <w:tab/>
        <w:t>These modifications do not affect the judgment.</w:t>
      </w:r>
    </w:p>
    <w:p w:rsidR="000D3039" w:rsidRPr="005161D8" w:rsidP="000D3039">
      <w:pPr>
        <w:pStyle w:val="Text"/>
        <w:ind w:firstLine="0"/>
        <w:rPr>
          <w:rFonts w:ascii="Century Schoolbook" w:hAnsi="Century Schoolbook"/>
          <w:sz w:val="27"/>
          <w:szCs w:val="27"/>
        </w:rPr>
      </w:pPr>
      <w:r w:rsidRPr="005161D8">
        <w:rPr>
          <w:rFonts w:ascii="Century Schoolbook" w:hAnsi="Century Schoolbook"/>
          <w:sz w:val="27"/>
          <w:szCs w:val="27"/>
        </w:rPr>
        <w:tab/>
        <w:t>The petition for rehearing is denied.</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800" w:left="1800" w:header="720" w:footer="720" w:gutter="0"/>
      <w:paperSrc w:first="1" w:other="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1)">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1FF">
    <w:pPr>
      <w:spacing w:before="480" w:line="1" w:lineRule="exact"/>
      <w:rPr>
        <w:rFonts w:ascii="Univers (W1)" w:hAnsi="Univers (W1)"/>
      </w:rPr>
    </w:pPr>
  </w:p>
  <w:p w:rsidR="00D461FF">
    <w:pPr>
      <w:tabs>
        <w:tab w:val="center" w:pos="4680"/>
        <w:tab w:val="right" w:pos="9360"/>
      </w:tabs>
    </w:pPr>
    <w:r>
      <w:rPr>
        <w:rFonts w:ascii="Univers (W1)" w:hAnsi="Univers (W1)"/>
      </w:rPr>
      <w:tab/>
    </w:r>
    <w:r>
      <w:fldChar w:fldCharType="begin"/>
    </w:r>
    <w:r>
      <w:instrText>page \* arabic</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1FF">
    <w:pPr>
      <w:spacing w:before="480" w:line="1" w:lineRule="exact"/>
    </w:pPr>
  </w:p>
  <w:p w:rsidR="00D461FF">
    <w:pPr>
      <w:tabs>
        <w:tab w:val="center" w:pos="4680"/>
        <w:tab w:val="right" w:pos="9360"/>
      </w:tabs>
    </w:pPr>
    <w:r>
      <w:tab/>
    </w:r>
    <w:r>
      <w:rPr>
        <w:noProof/>
      </w:rPr>
      <w:fldChar w:fldCharType="begin"/>
    </w:r>
    <w:r>
      <w:rPr>
        <w:noProof/>
      </w:rPr>
      <w:instrText>page \* arabic</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3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7E46BC"/>
    <w:multiLevelType w:val="hybridMultilevel"/>
    <w:tmpl w:val="1C52ED8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CCD366E"/>
    <w:multiLevelType w:val="hybridMultilevel"/>
    <w:tmpl w:val="891A2D2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11165E"/>
    <w:multiLevelType w:val="hybridMultilevel"/>
    <w:tmpl w:val="FC2A92E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uiPriority w:val="99"/>
    <w:rPr>
      <w:b/>
      <w:position w:val="6"/>
      <w:sz w:val="20"/>
    </w:rPr>
  </w:style>
  <w:style w:type="paragraph" w:styleId="FootnoteText">
    <w:name w:val="footnote text"/>
    <w:basedOn w:val="Normal"/>
    <w:link w:val="FootnoteTextChar"/>
    <w:uiPriority w:val="99"/>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basedOn w:val="DefaultParagraphFont"/>
    <w:link w:val="FootnoteText"/>
    <w:uiPriority w:val="99"/>
    <w:rsid w:val="00F343EC"/>
    <w:rPr>
      <w:sz w:val="26"/>
    </w:rPr>
  </w:style>
  <w:style w:type="paragraph" w:customStyle="1" w:styleId="MainText">
    <w:name w:val="Main Text"/>
    <w:basedOn w:val="Summary"/>
    <w:link w:val="MainTextChar"/>
    <w:qFormat/>
    <w:rsid w:val="008B2711"/>
    <w:pPr>
      <w:spacing w:line="480" w:lineRule="atLeast"/>
      <w:ind w:left="0" w:firstLine="720"/>
    </w:pPr>
    <w:rPr>
      <w:color w:val="000000"/>
    </w:rPr>
  </w:style>
  <w:style w:type="character" w:customStyle="1" w:styleId="MainTextChar">
    <w:name w:val="Main Text Char"/>
    <w:basedOn w:val="DefaultParagraphFont"/>
    <w:link w:val="MainText"/>
    <w:rsid w:val="008B2711"/>
    <w:rPr>
      <w:color w:val="000000"/>
      <w:sz w:val="26"/>
    </w:rPr>
  </w:style>
  <w:style w:type="paragraph" w:styleId="ListParagraph">
    <w:name w:val="List Paragraph"/>
    <w:basedOn w:val="Normal"/>
    <w:uiPriority w:val="34"/>
    <w:qFormat/>
    <w:rsid w:val="00A66171"/>
    <w:pPr>
      <w:ind w:left="720"/>
      <w:contextualSpacing/>
    </w:pPr>
  </w:style>
  <w:style w:type="paragraph" w:styleId="BalloonText">
    <w:name w:val="Balloon Text"/>
    <w:basedOn w:val="Normal"/>
    <w:link w:val="BalloonTextChar"/>
    <w:uiPriority w:val="99"/>
    <w:semiHidden/>
    <w:unhideWhenUsed/>
    <w:rsid w:val="00982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2019-10-24T15:51:35Z</dcterms:created>
  <dcterms:modified xsi:type="dcterms:W3CDTF">2019-10-24T15:51:35Z</dcterms:modified>
</cp:coreProperties>
</file>