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A4396" w:rsidP="00B84AF6">
      <w:pPr>
        <w:tabs>
          <w:tab w:val="left" w:leader="underscore" w:pos="4680"/>
        </w:tabs>
        <w:spacing w:after="0"/>
        <w:jc w:val="center"/>
        <w:rPr>
          <w:sz w:val="36"/>
        </w:rPr>
      </w:pPr>
      <w:bookmarkStart w:id="0" w:name="MarkDocLoc"/>
      <w:bookmarkStart w:id="1" w:name="_GoBack"/>
      <w:bookmarkEnd w:id="0"/>
      <w:bookmarkEnd w:id="1"/>
      <w:r>
        <w:rPr>
          <w:b/>
          <w:sz w:val="36"/>
        </w:rPr>
        <w:t>IN THE SUPREME COURT OF CALIFORNIA</w:t>
      </w:r>
    </w:p>
    <w:p w:rsidR="00B84AF6" w:rsidP="00B84AF6">
      <w:pPr>
        <w:tabs>
          <w:tab w:val="left" w:leader="underscore" w:pos="4680"/>
        </w:tabs>
        <w:spacing w:after="0"/>
        <w:jc w:val="center"/>
      </w:pPr>
    </w:p>
    <w:p w:rsidR="00B84AF6" w:rsidP="00B84AF6">
      <w:pPr>
        <w:tabs>
          <w:tab w:val="left" w:leader="underscore" w:pos="4680"/>
        </w:tabs>
        <w:spacing w:after="0"/>
        <w:jc w:val="center"/>
      </w:pPr>
      <w:r>
        <w:t>THE PEOPLE,</w:t>
      </w:r>
    </w:p>
    <w:p w:rsidR="00B84AF6" w:rsidP="00B84AF6">
      <w:pPr>
        <w:tabs>
          <w:tab w:val="left" w:leader="underscore" w:pos="4680"/>
        </w:tabs>
        <w:spacing w:after="0"/>
        <w:jc w:val="center"/>
      </w:pPr>
      <w:r>
        <w:t>Plaintiff and Respondent,</w:t>
      </w:r>
    </w:p>
    <w:p w:rsidR="00B84AF6" w:rsidP="00B84AF6">
      <w:pPr>
        <w:tabs>
          <w:tab w:val="left" w:leader="underscore" w:pos="4680"/>
        </w:tabs>
        <w:spacing w:after="0"/>
        <w:jc w:val="center"/>
      </w:pPr>
      <w:r>
        <w:t>v.</w:t>
      </w:r>
    </w:p>
    <w:p w:rsidR="00B84AF6" w:rsidP="00B84AF6">
      <w:pPr>
        <w:tabs>
          <w:tab w:val="left" w:leader="underscore" w:pos="4680"/>
        </w:tabs>
        <w:spacing w:after="0"/>
        <w:jc w:val="center"/>
      </w:pPr>
      <w:r>
        <w:t>CARL EDWARD MOLANO,</w:t>
      </w:r>
    </w:p>
    <w:p w:rsidR="00B84AF6" w:rsidP="00B84AF6">
      <w:pPr>
        <w:tabs>
          <w:tab w:val="left" w:leader="underscore" w:pos="4680"/>
        </w:tabs>
        <w:spacing w:after="0"/>
        <w:jc w:val="center"/>
      </w:pPr>
      <w:r>
        <w:t>Defendant and Appellant.</w:t>
      </w:r>
    </w:p>
    <w:p w:rsidR="00B84AF6" w:rsidP="00B84AF6">
      <w:pPr>
        <w:tabs>
          <w:tab w:val="left" w:leader="underscore" w:pos="4680"/>
        </w:tabs>
        <w:spacing w:after="0"/>
        <w:jc w:val="center"/>
      </w:pPr>
    </w:p>
    <w:p w:rsidR="00B84AF6" w:rsidP="00B84AF6">
      <w:pPr>
        <w:tabs>
          <w:tab w:val="left" w:leader="underscore" w:pos="4680"/>
        </w:tabs>
        <w:spacing w:after="0"/>
        <w:jc w:val="center"/>
      </w:pPr>
      <w:r>
        <w:t>S161399</w:t>
      </w:r>
    </w:p>
    <w:p w:rsidR="00B84AF6" w:rsidP="00B84AF6">
      <w:pPr>
        <w:tabs>
          <w:tab w:val="left" w:leader="underscore" w:pos="4680"/>
        </w:tabs>
        <w:spacing w:after="0"/>
        <w:jc w:val="center"/>
      </w:pPr>
    </w:p>
    <w:p w:rsidR="00B84AF6" w:rsidP="00B84AF6">
      <w:pPr>
        <w:tabs>
          <w:tab w:val="left" w:leader="underscore" w:pos="4680"/>
        </w:tabs>
        <w:spacing w:after="0"/>
        <w:jc w:val="center"/>
      </w:pPr>
      <w:r>
        <w:t>Alameda</w:t>
      </w:r>
      <w:r>
        <w:t xml:space="preserve"> County Superior Court</w:t>
      </w:r>
    </w:p>
    <w:p w:rsidR="00B84AF6" w:rsidP="00B84AF6">
      <w:pPr>
        <w:tabs>
          <w:tab w:val="left" w:leader="underscore" w:pos="4680"/>
        </w:tabs>
        <w:spacing w:after="0"/>
        <w:jc w:val="center"/>
      </w:pPr>
      <w:r>
        <w:t>H38118</w:t>
      </w:r>
    </w:p>
    <w:p w:rsidR="00B84AF6" w:rsidP="00B84AF6">
      <w:pPr>
        <w:pBdr>
          <w:bottom w:val="single" w:sz="4" w:space="1" w:color="auto"/>
        </w:pBdr>
        <w:tabs>
          <w:tab w:val="left" w:leader="underscore" w:pos="4680"/>
        </w:tabs>
        <w:spacing w:after="0"/>
        <w:jc w:val="center"/>
      </w:pPr>
    </w:p>
    <w:p w:rsidR="00B84AF6" w:rsidP="00B84AF6">
      <w:pPr>
        <w:tabs>
          <w:tab w:val="left" w:leader="underscore" w:pos="4680"/>
        </w:tabs>
        <w:spacing w:after="0"/>
        <w:jc w:val="center"/>
      </w:pPr>
    </w:p>
    <w:p w:rsidR="00B84AF6" w:rsidP="00B84AF6">
      <w:pPr>
        <w:tabs>
          <w:tab w:val="left" w:leader="underscore" w:pos="4680"/>
        </w:tabs>
        <w:spacing w:after="0"/>
        <w:jc w:val="center"/>
      </w:pPr>
      <w:r>
        <w:t>June 27</w:t>
      </w:r>
      <w:r>
        <w:t>, 2019</w:t>
      </w:r>
    </w:p>
    <w:p w:rsidR="00B84AF6" w:rsidP="00B84AF6">
      <w:pPr>
        <w:tabs>
          <w:tab w:val="left" w:leader="underscore" w:pos="4680"/>
        </w:tabs>
        <w:spacing w:after="0"/>
        <w:jc w:val="center"/>
      </w:pPr>
    </w:p>
    <w:p w:rsidR="00B84AF6" w:rsidP="0096746C">
      <w:pPr>
        <w:tabs>
          <w:tab w:val="left" w:leader="underscore" w:pos="4680"/>
        </w:tabs>
        <w:spacing w:after="0"/>
        <w:jc w:val="left"/>
      </w:pPr>
      <w:r>
        <w:t xml:space="preserve">Justice Corrigan authored the opinion of the </w:t>
      </w:r>
      <w:r w:rsidR="006A2BDD">
        <w:t>C</w:t>
      </w:r>
      <w:r>
        <w:t xml:space="preserve">ourt, in which </w:t>
      </w:r>
      <w:r w:rsidR="00EA4AE7">
        <w:t xml:space="preserve">Chief Justice Cantil-Sakauye and Justices Chin, Liu, Cuéllar, Kruger, and Groban </w:t>
      </w:r>
      <w:r>
        <w:t>concurred.</w:t>
      </w:r>
    </w:p>
    <w:p w:rsidR="00B84AF6" w:rsidRPr="00B84AF6" w:rsidP="00B84AF6">
      <w:pPr>
        <w:pBdr>
          <w:bottom w:val="single" w:sz="4" w:space="1" w:color="auto"/>
        </w:pBdr>
        <w:tabs>
          <w:tab w:val="left" w:leader="underscore" w:pos="4680"/>
        </w:tabs>
        <w:spacing w:line="480" w:lineRule="atLeast"/>
        <w:jc w:val="left"/>
      </w:pPr>
      <w:bookmarkStart w:id="2" w:name="Return"/>
      <w:bookmarkEnd w:id="2"/>
    </w:p>
    <w:p w:rsidR="00B84AF6" w:rsidP="001A4396">
      <w:pPr>
        <w:tabs>
          <w:tab w:val="left" w:leader="underscore" w:pos="4680"/>
        </w:tabs>
        <w:spacing w:line="480" w:lineRule="atLeast"/>
        <w:ind w:firstLine="720"/>
        <w:sectPr w:rsidSect="00B84AF6">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B84AF6" w:rsidP="0096746C">
      <w:pPr>
        <w:tabs>
          <w:tab w:val="left" w:leader="underscore" w:pos="4680"/>
        </w:tabs>
        <w:jc w:val="center"/>
      </w:pPr>
      <w:r>
        <w:t>PEOPLE v. MOLANO</w:t>
      </w:r>
    </w:p>
    <w:p w:rsidR="00B84AF6" w:rsidP="0096746C">
      <w:pPr>
        <w:tabs>
          <w:tab w:val="left" w:leader="underscore" w:pos="4680"/>
        </w:tabs>
        <w:jc w:val="center"/>
      </w:pPr>
      <w:r>
        <w:t>S161399</w:t>
      </w:r>
    </w:p>
    <w:p w:rsidR="00B84AF6" w:rsidP="006A2BDD">
      <w:pPr>
        <w:tabs>
          <w:tab w:val="left" w:leader="underscore" w:pos="4680"/>
        </w:tabs>
        <w:jc w:val="center"/>
      </w:pPr>
    </w:p>
    <w:p w:rsidR="00B84AF6" w:rsidP="0096746C">
      <w:pPr>
        <w:tabs>
          <w:tab w:val="left" w:leader="underscore" w:pos="4680"/>
        </w:tabs>
        <w:jc w:val="center"/>
      </w:pPr>
      <w:r>
        <w:t>Opinion of the Court by Corrigan, J.</w:t>
      </w:r>
    </w:p>
    <w:p w:rsidR="00B84AF6" w:rsidRPr="00B84AF6" w:rsidP="006A2BDD">
      <w:pPr>
        <w:tabs>
          <w:tab w:val="left" w:leader="underscore" w:pos="4680"/>
        </w:tabs>
        <w:jc w:val="center"/>
      </w:pPr>
    </w:p>
    <w:p w:rsidR="006B5C81" w:rsidRPr="00B84AF6" w:rsidP="00F03F18">
      <w:pPr>
        <w:tabs>
          <w:tab w:val="left" w:leader="underscore" w:pos="4680"/>
        </w:tabs>
        <w:ind w:firstLine="720"/>
      </w:pPr>
      <w:r w:rsidRPr="00B84AF6">
        <w:t xml:space="preserve">Carl </w:t>
      </w:r>
      <w:r w:rsidRPr="00B84AF6" w:rsidR="005B1F02">
        <w:t>Edward</w:t>
      </w:r>
      <w:r w:rsidRPr="00B84AF6">
        <w:t xml:space="preserve"> </w:t>
      </w:r>
      <w:r w:rsidRPr="00B84AF6" w:rsidR="005B1F02">
        <w:t>Molano</w:t>
      </w:r>
      <w:r w:rsidR="00A33EBC">
        <w:t xml:space="preserve"> was convicted by jury</w:t>
      </w:r>
      <w:r w:rsidRPr="00B84AF6">
        <w:t xml:space="preserve"> of first degree murder, </w:t>
      </w:r>
      <w:r w:rsidRPr="00B84AF6" w:rsidR="00D5610C">
        <w:t>with the special circumstance that the murder was committ</w:t>
      </w:r>
      <w:r w:rsidRPr="00B84AF6" w:rsidR="00ED5EBA">
        <w:t>ed during a rape</w:t>
      </w:r>
      <w:r w:rsidRPr="00B84AF6" w:rsidR="004A5AD9">
        <w:t>.</w:t>
      </w:r>
      <w:r>
        <w:rPr>
          <w:rStyle w:val="FootnoteReference"/>
        </w:rPr>
        <w:footnoteReference w:id="3"/>
      </w:r>
      <w:r w:rsidRPr="00B84AF6" w:rsidR="005D190F">
        <w:t xml:space="preserve">  </w:t>
      </w:r>
      <w:r w:rsidR="00A33EBC">
        <w:t>After he</w:t>
      </w:r>
      <w:r w:rsidRPr="00B84AF6" w:rsidR="00ED5EBA">
        <w:t xml:space="preserve"> waived jury on prior conviction allegations </w:t>
      </w:r>
      <w:r w:rsidR="00A33EBC">
        <w:t>for</w:t>
      </w:r>
      <w:r w:rsidRPr="00B84AF6" w:rsidR="00287CFB">
        <w:t xml:space="preserve"> </w:t>
      </w:r>
      <w:r w:rsidRPr="00B84AF6" w:rsidR="00877E78">
        <w:t xml:space="preserve">spousal abuse with great bodily injury and </w:t>
      </w:r>
      <w:r w:rsidRPr="00B84AF6" w:rsidR="0069142A">
        <w:t>two rapes</w:t>
      </w:r>
      <w:r w:rsidR="00A33EBC">
        <w:t>,</w:t>
      </w:r>
      <w:r w:rsidRPr="00B84AF6" w:rsidR="00ED5EBA">
        <w:t xml:space="preserve"> </w:t>
      </w:r>
      <w:r w:rsidR="00A33EBC">
        <w:t>t</w:t>
      </w:r>
      <w:r w:rsidRPr="00B84AF6" w:rsidR="00D030BD">
        <w:t xml:space="preserve">he court found </w:t>
      </w:r>
      <w:r w:rsidR="00A33EBC">
        <w:t>th</w:t>
      </w:r>
      <w:r w:rsidR="00FA0057">
        <w:t>e</w:t>
      </w:r>
      <w:r w:rsidRPr="00B84AF6" w:rsidR="00ED5EBA">
        <w:t xml:space="preserve"> allegations true.  </w:t>
      </w:r>
      <w:r w:rsidR="00A33EBC">
        <w:t>After</w:t>
      </w:r>
      <w:r w:rsidRPr="00B84AF6" w:rsidR="00294DC9">
        <w:t xml:space="preserve"> the jury returned a verdict of death</w:t>
      </w:r>
      <w:r w:rsidRPr="00B84AF6" w:rsidR="00F377F7">
        <w:t>, t</w:t>
      </w:r>
      <w:r w:rsidRPr="00B84AF6" w:rsidR="00294DC9">
        <w:t>he court imposed that</w:t>
      </w:r>
      <w:r w:rsidRPr="00B84AF6" w:rsidR="00D83605">
        <w:t xml:space="preserve"> sentence</w:t>
      </w:r>
      <w:r w:rsidRPr="00B84AF6" w:rsidR="00564FAD">
        <w:t>.</w:t>
      </w:r>
      <w:r w:rsidRPr="00B84AF6" w:rsidR="00150587">
        <w:t xml:space="preserve">  This appeal is automatic.</w:t>
      </w:r>
      <w:r w:rsidRPr="00B84AF6" w:rsidR="00C8781E">
        <w:t xml:space="preserve">  W</w:t>
      </w:r>
      <w:r w:rsidRPr="00B84AF6" w:rsidR="00603A03">
        <w:t>e affirm the judgment in full.</w:t>
      </w:r>
    </w:p>
    <w:p w:rsidR="000767F7" w:rsidRPr="00B84AF6" w:rsidP="00B84AF6">
      <w:pPr>
        <w:pStyle w:val="Heading1"/>
      </w:pPr>
      <w:bookmarkStart w:id="3" w:name="_Toc527447430"/>
      <w:r w:rsidRPr="00B84AF6">
        <w:t xml:space="preserve">I.  </w:t>
      </w:r>
      <w:r w:rsidRPr="00B84AF6" w:rsidR="00BF4161">
        <w:t>BACKGROUND</w:t>
      </w:r>
      <w:bookmarkEnd w:id="3"/>
    </w:p>
    <w:p w:rsidR="00943FC1" w:rsidRPr="00B84AF6" w:rsidP="00B84AF6">
      <w:pPr>
        <w:pStyle w:val="Heading2"/>
        <w:rPr>
          <w:i/>
        </w:rPr>
      </w:pPr>
      <w:bookmarkStart w:id="4" w:name="_Toc527447431"/>
      <w:r w:rsidRPr="00B84AF6">
        <w:t>A.  Guilt Phase</w:t>
      </w:r>
      <w:bookmarkEnd w:id="4"/>
    </w:p>
    <w:p w:rsidR="00564FAD" w:rsidRPr="00B84AF6" w:rsidP="00B84AF6">
      <w:pPr>
        <w:tabs>
          <w:tab w:val="left" w:pos="1440"/>
        </w:tabs>
        <w:ind w:firstLine="720"/>
      </w:pPr>
      <w:r w:rsidRPr="00B84AF6">
        <w:t xml:space="preserve">On June 16, 1995, friends of Suzanne McKenna </w:t>
      </w:r>
      <w:r w:rsidR="00A33EBC">
        <w:t>had been unable to reach her by phone and went t</w:t>
      </w:r>
      <w:r w:rsidRPr="00B84AF6">
        <w:t xml:space="preserve">o her cottage in Hayward.  Judy </w:t>
      </w:r>
      <w:r w:rsidRPr="00B84AF6" w:rsidR="006121DC">
        <w:t>Luque knocked on the front door</w:t>
      </w:r>
      <w:r w:rsidRPr="00B84AF6">
        <w:t xml:space="preserve"> but </w:t>
      </w:r>
      <w:r w:rsidR="006F3A49">
        <w:t>received</w:t>
      </w:r>
      <w:r w:rsidRPr="00B84AF6">
        <w:t xml:space="preserve"> no response.  Peering through the blinds, she saw a heavy-set man with brown hair standing in McKenna’s kitchen, wearing a blue Pendleton shirt.  </w:t>
      </w:r>
      <w:r w:rsidRPr="00B84AF6" w:rsidR="0057323A">
        <w:t>She</w:t>
      </w:r>
      <w:r w:rsidRPr="00B84AF6">
        <w:t xml:space="preserve"> yelled to her husband, Jeff, as the man left through </w:t>
      </w:r>
      <w:r w:rsidR="006F3A49">
        <w:t>another</w:t>
      </w:r>
      <w:r w:rsidRPr="00B84AF6">
        <w:t xml:space="preserve"> door.  Jeff </w:t>
      </w:r>
      <w:r w:rsidRPr="00B84AF6" w:rsidR="00135324">
        <w:t xml:space="preserve">ran to the side of the cottage and saw a man walking </w:t>
      </w:r>
      <w:r w:rsidRPr="00B84AF6" w:rsidR="00FE76DD">
        <w:t xml:space="preserve">quickly </w:t>
      </w:r>
      <w:r w:rsidRPr="00B84AF6" w:rsidR="00135324">
        <w:t xml:space="preserve">away, carrying something in his </w:t>
      </w:r>
      <w:r w:rsidRPr="00B84AF6" w:rsidR="00FE76DD">
        <w:t>arm</w:t>
      </w:r>
      <w:r w:rsidRPr="00B84AF6" w:rsidR="00135324">
        <w:t>s.</w:t>
      </w:r>
    </w:p>
    <w:p w:rsidR="00135324" w:rsidRPr="00B84AF6" w:rsidP="00B84AF6">
      <w:pPr>
        <w:tabs>
          <w:tab w:val="left" w:pos="1440"/>
        </w:tabs>
        <w:ind w:firstLine="720"/>
      </w:pPr>
      <w:r w:rsidRPr="00B84AF6">
        <w:t>Jeff shouted at</w:t>
      </w:r>
      <w:r w:rsidRPr="00B84AF6" w:rsidR="000521E0">
        <w:t xml:space="preserve"> him</w:t>
      </w:r>
      <w:r w:rsidR="006F3A49">
        <w:t xml:space="preserve"> and</w:t>
      </w:r>
      <w:r w:rsidRPr="00B84AF6" w:rsidR="000521E0">
        <w:t xml:space="preserve"> the man</w:t>
      </w:r>
      <w:r w:rsidRPr="00B84AF6">
        <w:t xml:space="preserve"> began </w:t>
      </w:r>
      <w:r w:rsidR="006F3A49">
        <w:t>to run</w:t>
      </w:r>
      <w:r w:rsidRPr="00B84AF6">
        <w:t xml:space="preserve">.  Jeff gave chase but lost sight of him.  Meanwhile, Judy entered the cottage.  There was garbage all over the kitchen floor and a foul smell.  The living room appeared to have been ransacked.  </w:t>
      </w:r>
      <w:r w:rsidRPr="00B84AF6" w:rsidR="00D030BD">
        <w:t>Judy</w:t>
      </w:r>
      <w:r w:rsidRPr="00B84AF6">
        <w:t xml:space="preserve"> called for McKenna</w:t>
      </w:r>
      <w:r w:rsidR="006F3A49">
        <w:t xml:space="preserve"> but</w:t>
      </w:r>
      <w:r w:rsidRPr="00B84AF6">
        <w:t xml:space="preserve"> </w:t>
      </w:r>
      <w:r w:rsidRPr="00B84AF6" w:rsidR="00877E78">
        <w:t>heard nothing</w:t>
      </w:r>
      <w:r w:rsidR="006F3A49">
        <w:t xml:space="preserve">. </w:t>
      </w:r>
      <w:r w:rsidRPr="00B84AF6" w:rsidR="006121DC">
        <w:t xml:space="preserve"> </w:t>
      </w:r>
      <w:r w:rsidR="006F3A49">
        <w:t>Sh</w:t>
      </w:r>
      <w:r w:rsidRPr="00B84AF6" w:rsidR="000E37A5">
        <w:t>e</w:t>
      </w:r>
      <w:r w:rsidRPr="00B84AF6">
        <w:t xml:space="preserve"> left and a neighbor </w:t>
      </w:r>
      <w:r w:rsidR="006F3A49">
        <w:t>called</w:t>
      </w:r>
      <w:r w:rsidRPr="00B84AF6">
        <w:t xml:space="preserve"> 911.  Alameda County sheriff’s deputies </w:t>
      </w:r>
      <w:r w:rsidRPr="00B84AF6" w:rsidR="006121DC">
        <w:t xml:space="preserve">responded, searched </w:t>
      </w:r>
      <w:r w:rsidRPr="00B84AF6">
        <w:t>unsuccessfully for the fleeing suspec</w:t>
      </w:r>
      <w:r w:rsidRPr="00B84AF6" w:rsidR="006121DC">
        <w:t xml:space="preserve">t, </w:t>
      </w:r>
      <w:r w:rsidRPr="00B84AF6" w:rsidR="000E37A5">
        <w:t xml:space="preserve">then </w:t>
      </w:r>
      <w:r w:rsidRPr="00B84AF6" w:rsidR="006121DC">
        <w:t>entered</w:t>
      </w:r>
      <w:r w:rsidRPr="00B84AF6">
        <w:t xml:space="preserve"> the cottage.  A trail of fecal matter led from the living room to the bathroom, where they </w:t>
      </w:r>
      <w:r w:rsidRPr="00B84AF6" w:rsidR="000E37A5">
        <w:t>found</w:t>
      </w:r>
      <w:r w:rsidRPr="00B84AF6">
        <w:t xml:space="preserve"> McKenna’s </w:t>
      </w:r>
      <w:r w:rsidRPr="00B84AF6" w:rsidR="006121DC">
        <w:t>corpse</w:t>
      </w:r>
      <w:r w:rsidRPr="00B84AF6">
        <w:t>.</w:t>
      </w:r>
      <w:r w:rsidRPr="00B84AF6" w:rsidR="001728D6">
        <w:t xml:space="preserve">  There was a Reebok shoe print on the</w:t>
      </w:r>
      <w:r w:rsidRPr="00B84AF6" w:rsidR="003C1CC2">
        <w:t xml:space="preserve"> bathroom floor.</w:t>
      </w:r>
      <w:r w:rsidRPr="00B84AF6" w:rsidR="001728D6">
        <w:t xml:space="preserve">  </w:t>
      </w:r>
    </w:p>
    <w:p w:rsidR="00135324" w:rsidRPr="00B84AF6" w:rsidP="00B84AF6">
      <w:pPr>
        <w:tabs>
          <w:tab w:val="left" w:pos="1440"/>
        </w:tabs>
        <w:ind w:firstLine="720"/>
      </w:pPr>
      <w:r w:rsidRPr="00B84AF6">
        <w:t>McKenna’s</w:t>
      </w:r>
      <w:r w:rsidRPr="00B84AF6">
        <w:t xml:space="preserve"> face </w:t>
      </w:r>
      <w:r w:rsidRPr="00B84AF6" w:rsidR="00A207C2">
        <w:t xml:space="preserve">was </w:t>
      </w:r>
      <w:r w:rsidRPr="00B84AF6">
        <w:t>purple.  A bra</w:t>
      </w:r>
      <w:r w:rsidRPr="00B84AF6" w:rsidR="00AA777B">
        <w:t xml:space="preserve">, panties, and a </w:t>
      </w:r>
      <w:r w:rsidRPr="00B84AF6" w:rsidR="00352FE2">
        <w:t xml:space="preserve">strip of </w:t>
      </w:r>
      <w:r w:rsidRPr="00B84AF6" w:rsidR="00AA777B">
        <w:t xml:space="preserve">leather were wrapped around her neck.  Rigor mortis had set in.  There was no sign of forced entry.  </w:t>
      </w:r>
      <w:r w:rsidRPr="00B84AF6" w:rsidR="006E5EF6">
        <w:t>Some</w:t>
      </w:r>
      <w:r w:rsidRPr="00B84AF6" w:rsidR="006121DC">
        <w:t xml:space="preserve"> </w:t>
      </w:r>
      <w:r w:rsidRPr="00B84AF6" w:rsidR="00AA777B">
        <w:t>fingerprints were recovered</w:t>
      </w:r>
      <w:r w:rsidRPr="00B84AF6" w:rsidR="006E5EF6">
        <w:t>, but none were useful</w:t>
      </w:r>
      <w:r w:rsidRPr="00B84AF6" w:rsidR="00AA777B">
        <w:t xml:space="preserve">.  The deputies found a tin of condoms, </w:t>
      </w:r>
      <w:r w:rsidRPr="00B84AF6">
        <w:t>as well as an</w:t>
      </w:r>
      <w:r w:rsidRPr="00B84AF6" w:rsidR="008C0E9D">
        <w:t xml:space="preserve"> empty</w:t>
      </w:r>
      <w:r w:rsidRPr="00B84AF6" w:rsidR="00EB53C1">
        <w:t xml:space="preserve"> condom wrapper on the couch. </w:t>
      </w:r>
      <w:r w:rsidRPr="00B84AF6" w:rsidR="00AA777B">
        <w:t xml:space="preserve"> </w:t>
      </w:r>
      <w:r w:rsidRPr="00B84AF6" w:rsidR="00EB53C1">
        <w:t>T</w:t>
      </w:r>
      <w:r w:rsidRPr="00B84AF6" w:rsidR="00AA777B">
        <w:t>wo tubes of personal lubricant</w:t>
      </w:r>
      <w:r w:rsidRPr="00B84AF6">
        <w:t xml:space="preserve"> were found</w:t>
      </w:r>
      <w:r w:rsidR="003D5515">
        <w:t xml:space="preserve"> nearby</w:t>
      </w:r>
      <w:r w:rsidRPr="00B84AF6" w:rsidR="00AA777B">
        <w:t>.  Various items of McKenna’s property</w:t>
      </w:r>
      <w:r w:rsidRPr="00B84AF6" w:rsidR="00F24667">
        <w:t>, along with a pair of Reebok shoes,</w:t>
      </w:r>
      <w:r w:rsidRPr="00B84AF6" w:rsidR="00AA777B">
        <w:t xml:space="preserve"> were </w:t>
      </w:r>
      <w:r w:rsidRPr="00B84AF6" w:rsidR="002110FD">
        <w:t>dis</w:t>
      </w:r>
      <w:r w:rsidRPr="00B84AF6">
        <w:t>covered</w:t>
      </w:r>
      <w:r w:rsidRPr="00B84AF6" w:rsidR="00AA777B">
        <w:t xml:space="preserve"> in the</w:t>
      </w:r>
      <w:r w:rsidRPr="00B84AF6" w:rsidR="006121DC">
        <w:t xml:space="preserve"> surrounding</w:t>
      </w:r>
      <w:r w:rsidRPr="00B84AF6" w:rsidR="00AA777B">
        <w:t xml:space="preserve"> neighborhood.</w:t>
      </w:r>
    </w:p>
    <w:p w:rsidR="00AA777B" w:rsidRPr="00B84AF6" w:rsidP="00B84AF6">
      <w:pPr>
        <w:tabs>
          <w:tab w:val="left" w:pos="1440"/>
        </w:tabs>
        <w:ind w:firstLine="720"/>
      </w:pPr>
      <w:r w:rsidRPr="00B84AF6">
        <w:t xml:space="preserve">The </w:t>
      </w:r>
      <w:r w:rsidRPr="00B84AF6" w:rsidR="00930BAA">
        <w:t>pathologist</w:t>
      </w:r>
      <w:r w:rsidRPr="00B84AF6" w:rsidR="008F71A2">
        <w:t xml:space="preserve"> </w:t>
      </w:r>
      <w:r w:rsidRPr="00B84AF6">
        <w:t>testified</w:t>
      </w:r>
      <w:r w:rsidRPr="00B84AF6" w:rsidR="006121DC">
        <w:t xml:space="preserve"> that </w:t>
      </w:r>
      <w:r w:rsidRPr="00B84AF6">
        <w:t xml:space="preserve">it would have taken “a couple of minutes” for McKenna to lose consciousness when she was </w:t>
      </w:r>
      <w:r w:rsidRPr="00B84AF6" w:rsidR="006121DC">
        <w:t>strangled</w:t>
      </w:r>
      <w:r w:rsidRPr="00B84AF6" w:rsidR="007A1164">
        <w:t>,</w:t>
      </w:r>
      <w:r w:rsidRPr="00B84AF6" w:rsidR="006121DC">
        <w:t xml:space="preserve"> and </w:t>
      </w:r>
      <w:r w:rsidRPr="00B84AF6" w:rsidR="007A3BF5">
        <w:t>anoth</w:t>
      </w:r>
      <w:r w:rsidRPr="00B84AF6">
        <w:t xml:space="preserve">er </w:t>
      </w:r>
      <w:r w:rsidRPr="00B84AF6" w:rsidR="00C93ECA">
        <w:t xml:space="preserve">one or two minutes </w:t>
      </w:r>
      <w:r w:rsidRPr="00B84AF6" w:rsidR="007A1164">
        <w:t>before</w:t>
      </w:r>
      <w:r w:rsidRPr="00B84AF6">
        <w:t xml:space="preserve"> she</w:t>
      </w:r>
      <w:r w:rsidRPr="00B84AF6" w:rsidR="007A1164">
        <w:t xml:space="preserve"> </w:t>
      </w:r>
      <w:r w:rsidRPr="00B84AF6" w:rsidR="006121DC">
        <w:t>d</w:t>
      </w:r>
      <w:r w:rsidRPr="00B84AF6">
        <w:t>ied</w:t>
      </w:r>
      <w:r w:rsidRPr="00B84AF6" w:rsidR="006121DC">
        <w:t xml:space="preserve">.  </w:t>
      </w:r>
      <w:r w:rsidRPr="00B84AF6" w:rsidR="009E275C">
        <w:t xml:space="preserve">The </w:t>
      </w:r>
      <w:r w:rsidR="003D5515">
        <w:t>greatest</w:t>
      </w:r>
      <w:r w:rsidRPr="00B84AF6" w:rsidR="009E275C">
        <w:t xml:space="preserve"> pressure had been applied to the front of her neck.  </w:t>
      </w:r>
      <w:r w:rsidR="003D5515">
        <w:t>O</w:t>
      </w:r>
      <w:r w:rsidRPr="00B84AF6" w:rsidR="009E275C">
        <w:t xml:space="preserve">ne breast </w:t>
      </w:r>
      <w:r w:rsidR="003D5515">
        <w:t xml:space="preserve">bore abrasions </w:t>
      </w:r>
      <w:r w:rsidRPr="00B84AF6" w:rsidR="009E275C">
        <w:t xml:space="preserve">that could have </w:t>
      </w:r>
      <w:r w:rsidRPr="00B84AF6" w:rsidR="000A7EE3">
        <w:t>come from</w:t>
      </w:r>
      <w:r w:rsidRPr="00B84AF6" w:rsidR="009E275C">
        <w:t xml:space="preserve"> a blow or a bite.  There were contusions on her face, </w:t>
      </w:r>
      <w:r w:rsidRPr="00B84AF6" w:rsidR="00D030BD">
        <w:t>which could have been inflicted by</w:t>
      </w:r>
      <w:r w:rsidRPr="00B84AF6" w:rsidR="009E275C">
        <w:t xml:space="preserve"> a fist</w:t>
      </w:r>
      <w:r w:rsidRPr="00B84AF6" w:rsidR="007F3AFB">
        <w:t xml:space="preserve"> or open hand</w:t>
      </w:r>
      <w:r w:rsidRPr="00B84AF6" w:rsidR="009E275C">
        <w:t>.  Abrasions on her</w:t>
      </w:r>
      <w:r w:rsidRPr="00B84AF6" w:rsidR="007F3AFB">
        <w:t xml:space="preserve"> back and </w:t>
      </w:r>
      <w:r w:rsidRPr="00B84AF6" w:rsidR="009E275C">
        <w:t>buttocks were consistent with having been dragged across the floor.  The vagina and anus showed no signs of trauma.</w:t>
      </w:r>
      <w:r>
        <w:rPr>
          <w:rStyle w:val="FootnoteReference"/>
        </w:rPr>
        <w:footnoteReference w:id="4"/>
      </w:r>
      <w:r w:rsidRPr="00B84AF6" w:rsidR="009E275C">
        <w:t xml:space="preserve"> </w:t>
      </w:r>
      <w:r w:rsidRPr="00B84AF6" w:rsidR="003D561B">
        <w:t xml:space="preserve"> </w:t>
      </w:r>
      <w:r w:rsidR="003D5515">
        <w:t>S</w:t>
      </w:r>
      <w:r w:rsidRPr="00B84AF6" w:rsidR="009E275C">
        <w:t xml:space="preserve">perm was detected on </w:t>
      </w:r>
      <w:r w:rsidR="003D5515">
        <w:t>a</w:t>
      </w:r>
      <w:r w:rsidRPr="00B84AF6" w:rsidR="009E275C">
        <w:t xml:space="preserve"> vaginal swab.  A toxicology screen </w:t>
      </w:r>
      <w:r w:rsidR="003D5515">
        <w:t>showed</w:t>
      </w:r>
      <w:r w:rsidRPr="00B84AF6" w:rsidR="009E275C">
        <w:t xml:space="preserve"> a </w:t>
      </w:r>
      <w:r w:rsidRPr="00B84AF6" w:rsidR="009E275C">
        <w:t xml:space="preserve">blood alcohol level of .15 percent, </w:t>
      </w:r>
      <w:r w:rsidR="003D5515">
        <w:t>with</w:t>
      </w:r>
      <w:r w:rsidRPr="00B84AF6" w:rsidR="009E275C">
        <w:t xml:space="preserve"> 40</w:t>
      </w:r>
      <w:r w:rsidRPr="00B84AF6" w:rsidR="0070389F">
        <w:t xml:space="preserve"> </w:t>
      </w:r>
      <w:r w:rsidRPr="00B84AF6" w:rsidR="00C916D9">
        <w:t>micrograms</w:t>
      </w:r>
      <w:r w:rsidRPr="00B84AF6" w:rsidR="0070389F">
        <w:t xml:space="preserve"> per liter of methamphetamine</w:t>
      </w:r>
      <w:r w:rsidR="003D5515">
        <w:t>.</w:t>
      </w:r>
      <w:r w:rsidRPr="00B84AF6" w:rsidR="00796515">
        <w:t xml:space="preserve">  The </w:t>
      </w:r>
      <w:r w:rsidR="003D5515">
        <w:t>lat</w:t>
      </w:r>
      <w:r w:rsidR="003D2119">
        <w:t>t</w:t>
      </w:r>
      <w:r w:rsidR="003D5515">
        <w:t>er</w:t>
      </w:r>
      <w:r w:rsidRPr="00B84AF6" w:rsidR="00796515">
        <w:t xml:space="preserve"> level was considerable, and reflected illicit rather than prescrib</w:t>
      </w:r>
      <w:r w:rsidRPr="00B84AF6" w:rsidR="000F6BB9">
        <w:t>ed usage.</w:t>
      </w:r>
    </w:p>
    <w:p w:rsidR="000A6869" w:rsidRPr="00B84AF6" w:rsidP="00B84AF6">
      <w:pPr>
        <w:tabs>
          <w:tab w:val="left" w:pos="1440"/>
        </w:tabs>
        <w:ind w:firstLine="720"/>
      </w:pPr>
      <w:r>
        <w:t>Biological samples</w:t>
      </w:r>
      <w:r w:rsidRPr="00B84AF6" w:rsidR="000F6BB9">
        <w:t xml:space="preserve"> were preserved.</w:t>
      </w:r>
      <w:r w:rsidRPr="00B84AF6" w:rsidR="00C1565D">
        <w:t xml:space="preserve">  </w:t>
      </w:r>
      <w:r w:rsidRPr="00B84AF6" w:rsidR="000A7EE3">
        <w:t>S</w:t>
      </w:r>
      <w:r w:rsidRPr="00B84AF6" w:rsidR="007A1164">
        <w:t xml:space="preserve">trands of hair </w:t>
      </w:r>
      <w:r w:rsidRPr="00B84AF6" w:rsidR="000A7EE3">
        <w:t xml:space="preserve">were </w:t>
      </w:r>
      <w:r w:rsidR="00AE3AAF">
        <w:t xml:space="preserve">found </w:t>
      </w:r>
      <w:r w:rsidRPr="00B84AF6" w:rsidR="007A1164">
        <w:t>wrapped around the strip of leather used</w:t>
      </w:r>
      <w:r w:rsidRPr="00B84AF6" w:rsidR="000A7EE3">
        <w:t xml:space="preserve"> as the ligature</w:t>
      </w:r>
      <w:r>
        <w:t>.</w:t>
      </w:r>
      <w:r w:rsidRPr="00B84AF6" w:rsidR="007A1164">
        <w:t xml:space="preserve">  In 1995, the crime lab </w:t>
      </w:r>
      <w:r w:rsidRPr="00B84AF6" w:rsidR="002879ED">
        <w:t xml:space="preserve">was not able to do </w:t>
      </w:r>
      <w:r w:rsidRPr="00B84AF6" w:rsidR="007A1164">
        <w:t>DNA testing.  When no leads</w:t>
      </w:r>
      <w:r>
        <w:t xml:space="preserve"> developed,</w:t>
      </w:r>
      <w:r w:rsidRPr="00B84AF6" w:rsidR="007A1164">
        <w:t xml:space="preserve"> the investigation was put on hold.</w:t>
      </w:r>
    </w:p>
    <w:p w:rsidR="007A1164" w:rsidRPr="00B84AF6" w:rsidP="00B84AF6">
      <w:pPr>
        <w:tabs>
          <w:tab w:val="left" w:pos="1440"/>
        </w:tabs>
        <w:ind w:firstLine="720"/>
      </w:pPr>
      <w:r w:rsidRPr="00B84AF6">
        <w:t>I</w:t>
      </w:r>
      <w:r w:rsidRPr="00B84AF6" w:rsidR="00352FE2">
        <w:t>n May 2001, d</w:t>
      </w:r>
      <w:r w:rsidRPr="00B84AF6" w:rsidR="001132DC">
        <w:t xml:space="preserve">efendant’s wife Brenda </w:t>
      </w:r>
      <w:r w:rsidRPr="00B84AF6" w:rsidR="00DF341B">
        <w:t xml:space="preserve">brought their 13-year-old son Robert to the sheriff’s </w:t>
      </w:r>
      <w:r w:rsidR="003D5515">
        <w:t>station</w:t>
      </w:r>
      <w:r w:rsidRPr="00B84AF6" w:rsidR="00DF341B">
        <w:t>.</w:t>
      </w:r>
      <w:r>
        <w:rPr>
          <w:rStyle w:val="FootnoteReference"/>
        </w:rPr>
        <w:footnoteReference w:id="5"/>
      </w:r>
      <w:r w:rsidRPr="00B84AF6" w:rsidR="00DF341B">
        <w:t xml:space="preserve">  Robert had </w:t>
      </w:r>
      <w:r w:rsidRPr="00B84AF6" w:rsidR="00431A3B">
        <w:t>recently</w:t>
      </w:r>
      <w:r w:rsidRPr="00B84AF6">
        <w:t xml:space="preserve"> </w:t>
      </w:r>
      <w:r w:rsidRPr="00B84AF6" w:rsidR="00DF341B">
        <w:t xml:space="preserve">told his mother about an encounter with defendant in 1995, when they lived </w:t>
      </w:r>
      <w:r w:rsidR="003D5515">
        <w:t>near McKenna</w:t>
      </w:r>
      <w:r w:rsidRPr="00B84AF6" w:rsidR="00431A3B">
        <w:t>, and h</w:t>
      </w:r>
      <w:r w:rsidRPr="00B84AF6" w:rsidR="00DF341B">
        <w:t xml:space="preserve">e wanted to tell the police about it.  </w:t>
      </w:r>
      <w:r w:rsidR="003D5515">
        <w:t>W</w:t>
      </w:r>
      <w:r w:rsidRPr="00B84AF6" w:rsidR="00DF341B">
        <w:t xml:space="preserve">hile he and some friends were playing outside, he </w:t>
      </w:r>
      <w:r w:rsidRPr="00B84AF6" w:rsidR="00352FE2">
        <w:t>had seen</w:t>
      </w:r>
      <w:r w:rsidRPr="00B84AF6" w:rsidR="00DF341B">
        <w:t xml:space="preserve"> defendant jogging from the area of the cottages behind the</w:t>
      </w:r>
      <w:r w:rsidR="003D5515">
        <w:t>ir</w:t>
      </w:r>
      <w:r w:rsidRPr="00B84AF6" w:rsidR="00DF341B">
        <w:t xml:space="preserve"> apartment complex.  He knew defendant socializ</w:t>
      </w:r>
      <w:r w:rsidRPr="00B84AF6" w:rsidR="000E37A5">
        <w:t>ed</w:t>
      </w:r>
      <w:r w:rsidRPr="00B84AF6" w:rsidR="00DF341B">
        <w:t xml:space="preserve"> with residents </w:t>
      </w:r>
      <w:r w:rsidR="003D5515">
        <w:t>at the cottages</w:t>
      </w:r>
      <w:r w:rsidRPr="00B84AF6" w:rsidR="00DF341B">
        <w:t xml:space="preserve">.  About 20 minutes later, </w:t>
      </w:r>
      <w:r w:rsidRPr="00B84AF6" w:rsidR="002D6249">
        <w:t>Robert and his friends heard a commotion at the crime scene and decided to</w:t>
      </w:r>
      <w:r w:rsidR="003D5515">
        <w:t xml:space="preserve"> go</w:t>
      </w:r>
      <w:r w:rsidRPr="00B84AF6" w:rsidR="002D6249">
        <w:t xml:space="preserve"> </w:t>
      </w:r>
      <w:r w:rsidRPr="00B84AF6" w:rsidR="00DF341B">
        <w:t xml:space="preserve">see what was happening.  </w:t>
      </w:r>
      <w:r w:rsidRPr="00B84AF6" w:rsidR="00E01ACE">
        <w:t xml:space="preserve">When </w:t>
      </w:r>
      <w:r w:rsidR="003D5515">
        <w:t>he</w:t>
      </w:r>
      <w:r w:rsidRPr="00B84AF6" w:rsidR="00DF341B">
        <w:t xml:space="preserve"> went to </w:t>
      </w:r>
      <w:r w:rsidR="003D5515">
        <w:t>a</w:t>
      </w:r>
      <w:r w:rsidRPr="00B84AF6" w:rsidR="00DF341B">
        <w:t xml:space="preserve"> storage unit to get his b</w:t>
      </w:r>
      <w:r w:rsidRPr="00B84AF6" w:rsidR="000E37A5">
        <w:t>icycle</w:t>
      </w:r>
      <w:r w:rsidRPr="00B84AF6" w:rsidR="00E01ACE">
        <w:t xml:space="preserve">, he found </w:t>
      </w:r>
      <w:r w:rsidRPr="00B84AF6" w:rsidR="00DC69A7">
        <w:t>defendant</w:t>
      </w:r>
      <w:r w:rsidRPr="00B84AF6" w:rsidR="00E01ACE">
        <w:t xml:space="preserve"> inside</w:t>
      </w:r>
      <w:r w:rsidRPr="00B84AF6" w:rsidR="00DC69A7">
        <w:t>, sweatin</w:t>
      </w:r>
      <w:r w:rsidRPr="00B84AF6" w:rsidR="006153AD">
        <w:t xml:space="preserve">g and holding a barbecue fork.  </w:t>
      </w:r>
      <w:r w:rsidRPr="00B84AF6" w:rsidR="00DC69A7">
        <w:t xml:space="preserve">Defendant </w:t>
      </w:r>
      <w:r w:rsidRPr="00B84AF6" w:rsidR="002B0D86">
        <w:t xml:space="preserve">said he would kill </w:t>
      </w:r>
      <w:r w:rsidRPr="00B84AF6" w:rsidR="00DC69A7">
        <w:t xml:space="preserve">Robert </w:t>
      </w:r>
      <w:r w:rsidRPr="00B84AF6" w:rsidR="002B0D86">
        <w:t>i</w:t>
      </w:r>
      <w:r w:rsidRPr="00B84AF6" w:rsidR="00DC69A7">
        <w:t>f he told anyone where he was.  Frightened, Robert returned to his friends.</w:t>
      </w:r>
    </w:p>
    <w:p w:rsidR="00DC69A7" w:rsidRPr="00B84AF6" w:rsidP="00B84AF6">
      <w:pPr>
        <w:tabs>
          <w:tab w:val="left" w:pos="1440"/>
        </w:tabs>
        <w:ind w:firstLine="720"/>
      </w:pPr>
      <w:r w:rsidRPr="00B84AF6">
        <w:t xml:space="preserve">Brenda also gave a statement to the police.  At 7:00 </w:t>
      </w:r>
      <w:r w:rsidRPr="00B84AF6" w:rsidR="00D030BD">
        <w:t>a.m.</w:t>
      </w:r>
      <w:r w:rsidRPr="00B84AF6">
        <w:t xml:space="preserve"> </w:t>
      </w:r>
      <w:r w:rsidRPr="00B84AF6" w:rsidR="00C86F13">
        <w:t>on the day of the investigation</w:t>
      </w:r>
      <w:r w:rsidRPr="00B84AF6">
        <w:t>, she had been getting ready for work</w:t>
      </w:r>
      <w:r w:rsidR="003D5515">
        <w:t xml:space="preserve">. </w:t>
      </w:r>
      <w:r w:rsidRPr="00B84AF6">
        <w:t xml:space="preserve"> </w:t>
      </w:r>
      <w:r w:rsidR="003D5515">
        <w:t>D</w:t>
      </w:r>
      <w:r w:rsidRPr="00B84AF6">
        <w:t>efendant came into the apartment, without hi</w:t>
      </w:r>
      <w:r w:rsidRPr="00B84AF6" w:rsidR="006153AD">
        <w:t>s shoes and appearing nervous.</w:t>
      </w:r>
      <w:r w:rsidRPr="00B84AF6" w:rsidR="00C86F13">
        <w:t xml:space="preserve">  </w:t>
      </w:r>
      <w:r w:rsidRPr="00B84AF6">
        <w:t xml:space="preserve">He </w:t>
      </w:r>
      <w:r w:rsidRPr="00B84AF6" w:rsidR="001A3A75">
        <w:t xml:space="preserve">said that </w:t>
      </w:r>
      <w:r w:rsidRPr="00B84AF6">
        <w:t xml:space="preserve">he had been partying with a </w:t>
      </w:r>
      <w:r w:rsidRPr="00B84AF6" w:rsidR="00FD653E">
        <w:t xml:space="preserve">couple </w:t>
      </w:r>
      <w:r w:rsidRPr="00B84AF6">
        <w:t>in one of the cottages</w:t>
      </w:r>
      <w:r w:rsidRPr="00B84AF6" w:rsidR="00FD653E">
        <w:t>,</w:t>
      </w:r>
      <w:r w:rsidR="003D5515">
        <w:t xml:space="preserve"> when</w:t>
      </w:r>
      <w:r w:rsidRPr="00B84AF6" w:rsidR="00FD653E">
        <w:t xml:space="preserve"> t</w:t>
      </w:r>
      <w:r w:rsidRPr="00B84AF6">
        <w:t xml:space="preserve">he man got into an argument with the woman and </w:t>
      </w:r>
      <w:r w:rsidRPr="00B84AF6" w:rsidR="004812C3">
        <w:t>choked</w:t>
      </w:r>
      <w:r w:rsidRPr="00B84AF6">
        <w:t xml:space="preserve"> her</w:t>
      </w:r>
      <w:r w:rsidRPr="00B84AF6" w:rsidR="004812C3">
        <w:t xml:space="preserve"> to death</w:t>
      </w:r>
      <w:r w:rsidRPr="00B84AF6">
        <w:t xml:space="preserve">.  </w:t>
      </w:r>
      <w:r w:rsidRPr="00B84AF6" w:rsidR="00431A3B">
        <w:t>Brenda</w:t>
      </w:r>
      <w:r w:rsidRPr="00B84AF6" w:rsidR="004812C3">
        <w:t xml:space="preserve"> </w:t>
      </w:r>
      <w:r w:rsidR="003D5515">
        <w:t>told</w:t>
      </w:r>
      <w:r w:rsidRPr="00B84AF6" w:rsidR="004812C3">
        <w:t xml:space="preserve"> defendant to go to the police, but </w:t>
      </w:r>
      <w:r w:rsidRPr="00B84AF6" w:rsidR="00431A3B">
        <w:t>he</w:t>
      </w:r>
      <w:r w:rsidRPr="00B84AF6" w:rsidR="004812C3">
        <w:t xml:space="preserve"> </w:t>
      </w:r>
      <w:r w:rsidR="003D5515">
        <w:t>replied</w:t>
      </w:r>
      <w:r w:rsidRPr="00B84AF6" w:rsidR="00431A3B">
        <w:t xml:space="preserve"> </w:t>
      </w:r>
      <w:r w:rsidR="003D2119">
        <w:t xml:space="preserve">that </w:t>
      </w:r>
      <w:r w:rsidRPr="00B84AF6" w:rsidR="00431A3B">
        <w:t xml:space="preserve">the man </w:t>
      </w:r>
      <w:r w:rsidRPr="00B84AF6" w:rsidR="004C61DD">
        <w:t xml:space="preserve">had </w:t>
      </w:r>
      <w:r w:rsidRPr="00B84AF6">
        <w:t xml:space="preserve">threatened to kill </w:t>
      </w:r>
      <w:r w:rsidR="003D5515">
        <w:t>his family</w:t>
      </w:r>
      <w:r w:rsidRPr="00B84AF6">
        <w:t xml:space="preserve"> if he </w:t>
      </w:r>
      <w:r w:rsidRPr="00B84AF6" w:rsidR="004812C3">
        <w:t>did</w:t>
      </w:r>
      <w:r w:rsidRPr="00B84AF6" w:rsidR="00DC4AE1">
        <w:t xml:space="preserve"> </w:t>
      </w:r>
      <w:r w:rsidR="003D5515">
        <w:t>so</w:t>
      </w:r>
      <w:r w:rsidRPr="00B84AF6">
        <w:t>.  Defe</w:t>
      </w:r>
      <w:r w:rsidRPr="00B84AF6" w:rsidR="00FD653E">
        <w:t xml:space="preserve">ndant </w:t>
      </w:r>
      <w:r w:rsidRPr="00B84AF6" w:rsidR="004812C3">
        <w:t xml:space="preserve">left the apartment, wearing a blue Pendleton shirt.  Brenda </w:t>
      </w:r>
      <w:r w:rsidRPr="00B84AF6" w:rsidR="006153AD">
        <w:t xml:space="preserve">was upset and called in sick.  </w:t>
      </w:r>
      <w:r w:rsidR="004B13C5">
        <w:t>T</w:t>
      </w:r>
      <w:r w:rsidRPr="00B84AF6">
        <w:t xml:space="preserve">hat afternoon, a sheriff’s deputy came to the door and told </w:t>
      </w:r>
      <w:r w:rsidRPr="00B84AF6" w:rsidR="00352FE2">
        <w:t>her</w:t>
      </w:r>
      <w:r w:rsidRPr="00B84AF6">
        <w:t xml:space="preserve"> a suspect had been seen in a neighboring apartment where someone </w:t>
      </w:r>
      <w:r w:rsidRPr="00B84AF6" w:rsidR="004C61DD">
        <w:t>was</w:t>
      </w:r>
      <w:r w:rsidRPr="00B84AF6">
        <w:t xml:space="preserve"> killed.  </w:t>
      </w:r>
      <w:r w:rsidRPr="00B84AF6" w:rsidR="006A0E59">
        <w:t>Defendant returned about three hours later</w:t>
      </w:r>
      <w:r w:rsidR="004B13C5">
        <w:t xml:space="preserve">, and </w:t>
      </w:r>
      <w:r w:rsidRPr="00B84AF6" w:rsidR="00431A3B">
        <w:t>said</w:t>
      </w:r>
      <w:r w:rsidRPr="00B84AF6" w:rsidR="006A0E59">
        <w:t xml:space="preserve"> he had gone back to the cottage to wipe away his fingerprints.  </w:t>
      </w:r>
      <w:r w:rsidRPr="00B84AF6" w:rsidR="009D0B0E">
        <w:t>T</w:t>
      </w:r>
      <w:r w:rsidRPr="00B84AF6" w:rsidR="006A0E59">
        <w:t>he dead woman’s brother had come in and seen him</w:t>
      </w:r>
      <w:r w:rsidRPr="00B84AF6" w:rsidR="00BE0541">
        <w:t xml:space="preserve">.  He ran because he </w:t>
      </w:r>
      <w:r w:rsidRPr="00B84AF6" w:rsidR="009D0B0E">
        <w:t xml:space="preserve">was </w:t>
      </w:r>
      <w:r w:rsidRPr="00B84AF6" w:rsidR="00117385">
        <w:t>anxious</w:t>
      </w:r>
      <w:r w:rsidRPr="00B84AF6" w:rsidR="009D0B0E">
        <w:t xml:space="preserve"> about being seen.  He</w:t>
      </w:r>
      <w:r w:rsidRPr="00B84AF6" w:rsidR="006A0E59">
        <w:t xml:space="preserve"> changed his clothes, cut his hair, and shaved off his mustache.  He and Brenda drove to the San Leandro Marina, where defendant </w:t>
      </w:r>
      <w:r w:rsidR="004B13C5">
        <w:t>threw</w:t>
      </w:r>
      <w:r w:rsidRPr="00B84AF6" w:rsidR="006A0E59">
        <w:t xml:space="preserve"> the </w:t>
      </w:r>
      <w:r w:rsidRPr="00B84AF6" w:rsidR="00431A3B">
        <w:t xml:space="preserve">Pendleton </w:t>
      </w:r>
      <w:r w:rsidRPr="00B84AF6" w:rsidR="009D0B0E">
        <w:t>shirt</w:t>
      </w:r>
      <w:r w:rsidRPr="00B84AF6" w:rsidR="00431A3B">
        <w:t xml:space="preserve"> in the water</w:t>
      </w:r>
      <w:r w:rsidRPr="00B84AF6" w:rsidR="006A0E59">
        <w:t>.</w:t>
      </w:r>
      <w:r w:rsidRPr="00B84AF6" w:rsidR="00596049">
        <w:t xml:space="preserve">  Brenda did not </w:t>
      </w:r>
      <w:r w:rsidRPr="00B84AF6" w:rsidR="0026746A">
        <w:t xml:space="preserve">then </w:t>
      </w:r>
      <w:r w:rsidRPr="00B84AF6" w:rsidR="00596049">
        <w:t xml:space="preserve">suspect </w:t>
      </w:r>
      <w:r w:rsidRPr="00B84AF6" w:rsidR="00431A3B">
        <w:t>he</w:t>
      </w:r>
      <w:r w:rsidRPr="00B84AF6" w:rsidR="00596049">
        <w:t xml:space="preserve"> was the killer.</w:t>
      </w:r>
    </w:p>
    <w:p w:rsidR="00574B02" w:rsidRPr="00B84AF6" w:rsidP="00B84AF6">
      <w:pPr>
        <w:tabs>
          <w:tab w:val="left" w:pos="1440"/>
        </w:tabs>
        <w:ind w:firstLine="720"/>
      </w:pPr>
      <w:r w:rsidRPr="00B84AF6">
        <w:t>The investigation was reopened</w:t>
      </w:r>
      <w:r w:rsidRPr="00B84AF6" w:rsidR="00C96978">
        <w:t xml:space="preserve"> after Brenda and Robert came forward</w:t>
      </w:r>
      <w:r w:rsidRPr="00B84AF6">
        <w:t>.</w:t>
      </w:r>
      <w:r w:rsidRPr="00B84AF6" w:rsidR="00C33F67">
        <w:t xml:space="preserve">  Judy Luque identified defendant in a photograph</w:t>
      </w:r>
      <w:r w:rsidRPr="00B84AF6" w:rsidR="001E0E9D">
        <w:t>ic</w:t>
      </w:r>
      <w:r w:rsidRPr="00B84AF6" w:rsidR="00C33F67">
        <w:t xml:space="preserve"> lineup as the man she had seen.  </w:t>
      </w:r>
      <w:r w:rsidRPr="00B84AF6" w:rsidR="00EB35A8">
        <w:t xml:space="preserve">One of the Reebok shoes found near the cottage tested positive for Brenda’s DNA.  </w:t>
      </w:r>
      <w:r w:rsidRPr="00B84AF6" w:rsidR="00F14B8E">
        <w:t xml:space="preserve">Defendant’s </w:t>
      </w:r>
      <w:r w:rsidRPr="00B84AF6" w:rsidR="00C33F67">
        <w:t xml:space="preserve">DNA was detected on the </w:t>
      </w:r>
      <w:r w:rsidRPr="00B84AF6" w:rsidR="00EE7BC2">
        <w:t>leather ligature</w:t>
      </w:r>
      <w:r w:rsidRPr="00B84AF6" w:rsidR="00C33F67">
        <w:t>.  The analyst was unable to recover a DNA profile</w:t>
      </w:r>
      <w:r w:rsidRPr="00B84AF6" w:rsidR="006153AD">
        <w:t xml:space="preserve"> from the sperm </w:t>
      </w:r>
      <w:r w:rsidR="004B13C5">
        <w:t>sample</w:t>
      </w:r>
      <w:r w:rsidRPr="00B84AF6" w:rsidR="006153AD">
        <w:t>.</w:t>
      </w:r>
      <w:r w:rsidRPr="00B84AF6" w:rsidR="00B358AC">
        <w:t xml:space="preserve">  </w:t>
      </w:r>
    </w:p>
    <w:p w:rsidR="00596049" w:rsidRPr="00B84AF6" w:rsidP="00B84AF6">
      <w:pPr>
        <w:tabs>
          <w:tab w:val="left" w:pos="1440"/>
        </w:tabs>
        <w:ind w:firstLine="720"/>
      </w:pPr>
      <w:r w:rsidRPr="00B84AF6">
        <w:t>Defendant gave a series of stat</w:t>
      </w:r>
      <w:r w:rsidRPr="00B84AF6" w:rsidR="0053763B">
        <w:t>ements to investigating sheriff’s deputies</w:t>
      </w:r>
      <w:r w:rsidRPr="00B84AF6">
        <w:t xml:space="preserve"> and the district attorney, as set out </w:t>
      </w:r>
      <w:r w:rsidRPr="00B84AF6" w:rsidR="00281531">
        <w:t xml:space="preserve">more </w:t>
      </w:r>
      <w:r w:rsidRPr="00B84AF6" w:rsidR="002B4640">
        <w:t xml:space="preserve">fully </w:t>
      </w:r>
      <w:r w:rsidRPr="00B84AF6">
        <w:t>below.</w:t>
      </w:r>
      <w:r w:rsidRPr="00B84AF6" w:rsidR="000D73FE">
        <w:t xml:space="preserve">  </w:t>
      </w:r>
      <w:r w:rsidRPr="00B84AF6" w:rsidR="002B4640">
        <w:t>H</w:t>
      </w:r>
      <w:r w:rsidRPr="00B84AF6" w:rsidR="000D73FE">
        <w:t>e admitted having</w:t>
      </w:r>
      <w:r w:rsidR="004B13C5">
        <w:t xml:space="preserve"> consensual</w:t>
      </w:r>
      <w:r w:rsidRPr="00B84AF6" w:rsidR="000D73FE">
        <w:t xml:space="preserve"> sex with McKenna</w:t>
      </w:r>
      <w:r w:rsidRPr="00B84AF6" w:rsidR="00F5408B">
        <w:t xml:space="preserve"> and claimed </w:t>
      </w:r>
      <w:r w:rsidRPr="00B84AF6" w:rsidR="00281531">
        <w:t>Mc</w:t>
      </w:r>
      <w:r w:rsidRPr="00B84AF6" w:rsidR="00803D13">
        <w:t>Kenna</w:t>
      </w:r>
      <w:r w:rsidR="004B13C5">
        <w:t xml:space="preserve"> had</w:t>
      </w:r>
      <w:r w:rsidRPr="00B84AF6" w:rsidR="00803D13">
        <w:t xml:space="preserve"> asked him to choke her</w:t>
      </w:r>
      <w:r w:rsidR="004B13C5">
        <w:t xml:space="preserve"> during the encounter.  H</w:t>
      </w:r>
      <w:r w:rsidRPr="00B84AF6" w:rsidR="00803D13">
        <w:t>e tied her panties and bra around her neck</w:t>
      </w:r>
      <w:r w:rsidR="004B13C5">
        <w:t xml:space="preserve"> but</w:t>
      </w:r>
      <w:r w:rsidRPr="00B84AF6" w:rsidR="00803D13">
        <w:t xml:space="preserve"> did not intend to kill her</w:t>
      </w:r>
      <w:r w:rsidR="004B13C5">
        <w:t>.  Realizing</w:t>
      </w:r>
      <w:r w:rsidRPr="00B84AF6" w:rsidR="00803D13">
        <w:t xml:space="preserve"> she was dead</w:t>
      </w:r>
      <w:r w:rsidR="004B13C5">
        <w:t>,</w:t>
      </w:r>
      <w:r w:rsidRPr="00B84AF6" w:rsidR="00803D13">
        <w:t xml:space="preserve"> </w:t>
      </w:r>
      <w:r w:rsidR="004B13C5">
        <w:t>h</w:t>
      </w:r>
      <w:r w:rsidRPr="00B84AF6" w:rsidR="00110070">
        <w:t xml:space="preserve">e </w:t>
      </w:r>
      <w:r w:rsidR="004B13C5">
        <w:t xml:space="preserve">panicked, </w:t>
      </w:r>
      <w:r w:rsidRPr="00B84AF6" w:rsidR="00110070">
        <w:t>dragged her body into the bathroom</w:t>
      </w:r>
      <w:r w:rsidR="009A457D">
        <w:t>,</w:t>
      </w:r>
      <w:r w:rsidRPr="00B84AF6" w:rsidR="00110070">
        <w:t xml:space="preserve"> and t</w:t>
      </w:r>
      <w:r w:rsidRPr="00B84AF6" w:rsidR="006153AD">
        <w:t xml:space="preserve">ried to clean up.  </w:t>
      </w:r>
      <w:r w:rsidRPr="00B84AF6" w:rsidR="00110070">
        <w:t>He return</w:t>
      </w:r>
      <w:r w:rsidR="004B13C5">
        <w:t>ed</w:t>
      </w:r>
      <w:r w:rsidRPr="00B84AF6" w:rsidR="00110070">
        <w:t xml:space="preserve"> to McKenna’s cottage the next day to make sure h</w:t>
      </w:r>
      <w:r w:rsidRPr="00B84AF6" w:rsidR="006153AD">
        <w:t>e hadn’t left anything inside.</w:t>
      </w:r>
      <w:r w:rsidRPr="00B84AF6" w:rsidR="000D73FE">
        <w:t xml:space="preserve">  </w:t>
      </w:r>
    </w:p>
    <w:p w:rsidR="004423E2" w:rsidRPr="00B84AF6" w:rsidP="00B84AF6">
      <w:pPr>
        <w:tabs>
          <w:tab w:val="left" w:pos="1440"/>
        </w:tabs>
        <w:ind w:firstLine="720"/>
      </w:pPr>
      <w:r w:rsidRPr="00B84AF6">
        <w:t>The prosecution</w:t>
      </w:r>
      <w:r w:rsidRPr="00B84AF6" w:rsidR="00527F4F">
        <w:t xml:space="preserve"> introduced evidence of defendant’s violence against other women.  </w:t>
      </w:r>
      <w:r w:rsidRPr="00B84AF6" w:rsidR="006262E2">
        <w:t xml:space="preserve">In 1982, </w:t>
      </w:r>
      <w:r w:rsidR="004B13C5">
        <w:t>he</w:t>
      </w:r>
      <w:r w:rsidRPr="00B84AF6" w:rsidR="006262E2">
        <w:t xml:space="preserve"> </w:t>
      </w:r>
      <w:r w:rsidRPr="00B84AF6" w:rsidR="008C7F8A">
        <w:t xml:space="preserve">sexually and </w:t>
      </w:r>
      <w:r w:rsidRPr="00B84AF6" w:rsidR="008C7F8A">
        <w:t xml:space="preserve">physically assaulted </w:t>
      </w:r>
      <w:r w:rsidRPr="00B84AF6" w:rsidR="003A5ED4">
        <w:t xml:space="preserve">19-year-old </w:t>
      </w:r>
      <w:r w:rsidRPr="00B84AF6" w:rsidR="008C7F8A">
        <w:t>Anne H.</w:t>
      </w:r>
      <w:r w:rsidRPr="00B84AF6" w:rsidR="00B31BD1">
        <w:t xml:space="preserve">  </w:t>
      </w:r>
      <w:r w:rsidRPr="00B84AF6" w:rsidR="00BD10F0">
        <w:t xml:space="preserve">Defendant </w:t>
      </w:r>
      <w:r w:rsidR="004B13C5">
        <w:t>vi</w:t>
      </w:r>
      <w:r w:rsidRPr="00B84AF6" w:rsidR="00BD10F0">
        <w:t>sit</w:t>
      </w:r>
      <w:r w:rsidR="004B13C5">
        <w:t>ed</w:t>
      </w:r>
      <w:r w:rsidRPr="00B84AF6" w:rsidR="00BD10F0">
        <w:t xml:space="preserve"> </w:t>
      </w:r>
      <w:r w:rsidRPr="00B84AF6" w:rsidR="00EE7BC2">
        <w:t>Anne</w:t>
      </w:r>
      <w:r w:rsidR="004B13C5">
        <w:t xml:space="preserve"> when her</w:t>
      </w:r>
      <w:r w:rsidRPr="00B84AF6" w:rsidR="00EE7BC2">
        <w:t xml:space="preserve"> </w:t>
      </w:r>
      <w:r w:rsidRPr="00B84AF6" w:rsidR="008C7F8A">
        <w:t xml:space="preserve">husband was out of town.  He was friendly at first, but when Anne resisted his sexual advances, </w:t>
      </w:r>
      <w:r w:rsidR="004B13C5">
        <w:t>he</w:t>
      </w:r>
      <w:r w:rsidRPr="00B84AF6" w:rsidR="008C7F8A">
        <w:t xml:space="preserve"> f</w:t>
      </w:r>
      <w:r w:rsidRPr="00B84AF6" w:rsidR="00BD10F0">
        <w:t>orced himself on her</w:t>
      </w:r>
      <w:r w:rsidR="004B13C5">
        <w:t>,</w:t>
      </w:r>
      <w:r w:rsidRPr="00B84AF6" w:rsidR="008C7F8A">
        <w:t xml:space="preserve"> chok</w:t>
      </w:r>
      <w:r w:rsidR="004B13C5">
        <w:t>ing</w:t>
      </w:r>
      <w:r w:rsidRPr="00B84AF6" w:rsidR="008C7F8A">
        <w:t xml:space="preserve"> and threaten</w:t>
      </w:r>
      <w:r w:rsidR="004B13C5">
        <w:t>ing</w:t>
      </w:r>
      <w:r w:rsidRPr="00B84AF6" w:rsidR="008C7F8A">
        <w:t xml:space="preserve"> to kill her</w:t>
      </w:r>
      <w:r w:rsidR="004B13C5">
        <w:t>.</w:t>
      </w:r>
      <w:r w:rsidRPr="00B84AF6" w:rsidR="008C7F8A">
        <w:t xml:space="preserve">  He </w:t>
      </w:r>
      <w:r w:rsidRPr="00B84AF6" w:rsidR="007C5994">
        <w:t xml:space="preserve">raped and </w:t>
      </w:r>
      <w:r w:rsidRPr="00B84AF6" w:rsidR="008C7F8A">
        <w:t>sodomized</w:t>
      </w:r>
      <w:r w:rsidRPr="00B84AF6" w:rsidR="0088437B">
        <w:t xml:space="preserve"> </w:t>
      </w:r>
      <w:r w:rsidRPr="00B84AF6" w:rsidR="008C7F8A">
        <w:t>her</w:t>
      </w:r>
      <w:r w:rsidRPr="00B84AF6" w:rsidR="0088437B">
        <w:t>,</w:t>
      </w:r>
      <w:r w:rsidRPr="00B84AF6" w:rsidR="008C7F8A">
        <w:t xml:space="preserve"> </w:t>
      </w:r>
      <w:r w:rsidR="004B13C5">
        <w:t>then</w:t>
      </w:r>
      <w:r w:rsidRPr="00B84AF6" w:rsidR="008C7F8A">
        <w:t xml:space="preserve"> forced her to orally copulate him.  </w:t>
      </w:r>
      <w:r w:rsidR="004B13C5">
        <w:t>He</w:t>
      </w:r>
      <w:r w:rsidRPr="00B84AF6" w:rsidR="00BD10F0">
        <w:t xml:space="preserve"> threatened to kill </w:t>
      </w:r>
      <w:r w:rsidR="004B13C5">
        <w:t>her</w:t>
      </w:r>
      <w:r w:rsidRPr="00B84AF6" w:rsidR="00BD10F0">
        <w:t xml:space="preserve"> unless she agreed </w:t>
      </w:r>
      <w:r w:rsidR="004B13C5">
        <w:t>he could visit</w:t>
      </w:r>
      <w:r w:rsidRPr="00B84AF6" w:rsidR="00963A4E">
        <w:t xml:space="preserve"> </w:t>
      </w:r>
      <w:r w:rsidRPr="00B84AF6" w:rsidR="00BD10F0">
        <w:t xml:space="preserve">again.  Anne reported the </w:t>
      </w:r>
      <w:r w:rsidRPr="00B84AF6" w:rsidR="00963A4E">
        <w:t>as</w:t>
      </w:r>
      <w:r w:rsidRPr="00B84AF6" w:rsidR="00BD10F0">
        <w:t xml:space="preserve">sault </w:t>
      </w:r>
      <w:r w:rsidR="004B13C5">
        <w:t>and d</w:t>
      </w:r>
      <w:r w:rsidRPr="00B84AF6" w:rsidR="00963A4E">
        <w:t xml:space="preserve">efendant ultimately </w:t>
      </w:r>
      <w:r w:rsidRPr="00B84AF6" w:rsidR="00BD10F0">
        <w:t>pleade</w:t>
      </w:r>
      <w:r w:rsidRPr="00B84AF6" w:rsidR="001E38C9">
        <w:t>d guilty to one count of rape.</w:t>
      </w:r>
      <w:r w:rsidRPr="00B84AF6">
        <w:t xml:space="preserve">  </w:t>
      </w:r>
    </w:p>
    <w:p w:rsidR="00194D21" w:rsidRPr="00B84AF6" w:rsidP="00B84AF6">
      <w:pPr>
        <w:tabs>
          <w:tab w:val="left" w:pos="1440"/>
        </w:tabs>
        <w:ind w:firstLine="720"/>
      </w:pPr>
      <w:r w:rsidRPr="00B84AF6">
        <w:t xml:space="preserve">In 1987, defendant </w:t>
      </w:r>
      <w:r w:rsidRPr="00B84AF6" w:rsidR="001B2696">
        <w:t>sexually assaulted 60-year-old Mabel L.</w:t>
      </w:r>
      <w:r w:rsidRPr="00B84AF6" w:rsidR="00917892">
        <w:t xml:space="preserve">, whom he had known </w:t>
      </w:r>
      <w:r w:rsidRPr="00B84AF6" w:rsidR="009A5BAA">
        <w:t xml:space="preserve">since </w:t>
      </w:r>
      <w:r w:rsidR="003A588F">
        <w:t>his childhood</w:t>
      </w:r>
      <w:r w:rsidRPr="00B84AF6" w:rsidR="009A5BAA">
        <w:t xml:space="preserve">.  </w:t>
      </w:r>
      <w:r w:rsidRPr="00B84AF6" w:rsidR="00C2580D">
        <w:t>Late o</w:t>
      </w:r>
      <w:r w:rsidRPr="00B84AF6" w:rsidR="009A5BAA">
        <w:t xml:space="preserve">ne night he appeared at her door and asked to use the bathroom.  </w:t>
      </w:r>
      <w:r w:rsidR="003A588F">
        <w:t>In</w:t>
      </w:r>
      <w:r w:rsidRPr="00B84AF6" w:rsidR="009A5BAA">
        <w:t>side, he knocked Mabel to the groun</w:t>
      </w:r>
      <w:r w:rsidRPr="00B84AF6" w:rsidR="001E38C9">
        <w:t xml:space="preserve">d and raped her.  </w:t>
      </w:r>
      <w:r w:rsidR="003A588F">
        <w:t>When</w:t>
      </w:r>
      <w:r w:rsidRPr="00B84AF6" w:rsidR="00C3275A">
        <w:t xml:space="preserve"> </w:t>
      </w:r>
      <w:r w:rsidRPr="00B84AF6" w:rsidR="009A5BAA">
        <w:t>he drew a knife</w:t>
      </w:r>
      <w:r w:rsidR="003A588F">
        <w:t>,</w:t>
      </w:r>
      <w:r w:rsidRPr="00B84AF6" w:rsidR="009A5BAA">
        <w:t xml:space="preserve"> Mabel pleaded for her life and promised not</w:t>
      </w:r>
      <w:r w:rsidR="003A588F">
        <w:t xml:space="preserve"> to</w:t>
      </w:r>
      <w:r w:rsidRPr="00B84AF6" w:rsidR="009A5BAA">
        <w:t xml:space="preserve"> report </w:t>
      </w:r>
      <w:r w:rsidRPr="00B84AF6" w:rsidR="00C3275A">
        <w:t>the attack</w:t>
      </w:r>
      <w:r w:rsidRPr="00B84AF6" w:rsidR="009A5BAA">
        <w:t xml:space="preserve">.  </w:t>
      </w:r>
      <w:r w:rsidR="003A588F">
        <w:t>D</w:t>
      </w:r>
      <w:r w:rsidRPr="00B84AF6" w:rsidR="009A5BAA">
        <w:t xml:space="preserve">efendant </w:t>
      </w:r>
      <w:r w:rsidRPr="00B84AF6" w:rsidR="001D31A3">
        <w:t xml:space="preserve">stabbed </w:t>
      </w:r>
      <w:r w:rsidRPr="00B84AF6" w:rsidR="00C3275A">
        <w:t>her</w:t>
      </w:r>
      <w:r w:rsidRPr="00B84AF6" w:rsidR="001D31A3">
        <w:t xml:space="preserve"> in the back</w:t>
      </w:r>
      <w:r w:rsidR="003A588F">
        <w:t>,</w:t>
      </w:r>
      <w:r w:rsidRPr="00B84AF6" w:rsidR="009A5BAA">
        <w:t xml:space="preserve"> knocked her</w:t>
      </w:r>
      <w:r w:rsidR="003A588F">
        <w:t xml:space="preserve"> down</w:t>
      </w:r>
      <w:r w:rsidR="00983165">
        <w:t>,</w:t>
      </w:r>
      <w:r w:rsidR="003A588F">
        <w:t xml:space="preserve"> </w:t>
      </w:r>
      <w:r w:rsidRPr="00B84AF6" w:rsidR="009A5BAA">
        <w:t xml:space="preserve">and </w:t>
      </w:r>
      <w:r w:rsidR="003A588F">
        <w:t>choked</w:t>
      </w:r>
      <w:r w:rsidRPr="00B84AF6" w:rsidR="009A5BAA">
        <w:t xml:space="preserve"> her.  Mabel </w:t>
      </w:r>
      <w:r w:rsidR="003A588F">
        <w:t>was able to get free and d</w:t>
      </w:r>
      <w:r w:rsidRPr="00B84AF6" w:rsidR="000E03CE">
        <w:t>efendant fled.  Mabel reported the assault</w:t>
      </w:r>
      <w:r w:rsidR="003A588F">
        <w:t>.</w:t>
      </w:r>
      <w:r w:rsidRPr="00B84AF6" w:rsidR="001E38C9">
        <w:t xml:space="preserve">  </w:t>
      </w:r>
      <w:r w:rsidRPr="00B84AF6" w:rsidR="000E03CE">
        <w:t xml:space="preserve">Defendant pleaded guilty to forcible rape </w:t>
      </w:r>
      <w:r w:rsidR="003A588F">
        <w:t>and</w:t>
      </w:r>
      <w:r w:rsidRPr="00B84AF6" w:rsidR="001E38C9">
        <w:t xml:space="preserve"> use of a knife.</w:t>
      </w:r>
    </w:p>
    <w:p w:rsidR="005267A8" w:rsidRPr="00B84AF6" w:rsidP="00B84AF6">
      <w:pPr>
        <w:tabs>
          <w:tab w:val="left" w:pos="1440"/>
        </w:tabs>
        <w:ind w:firstLine="720"/>
      </w:pPr>
      <w:r w:rsidRPr="00B84AF6">
        <w:t>In 1996, defendant physica</w:t>
      </w:r>
      <w:r w:rsidRPr="00B84AF6" w:rsidR="00195B6E">
        <w:t>lly assaulted his wife, Brenda</w:t>
      </w:r>
      <w:r w:rsidRPr="00B84AF6" w:rsidR="0023032F">
        <w:t xml:space="preserve">, </w:t>
      </w:r>
      <w:r w:rsidR="003A588F">
        <w:t>choking</w:t>
      </w:r>
      <w:r w:rsidRPr="00B84AF6">
        <w:t xml:space="preserve"> her to unconsciousness.  She awoke to find her wrists and hands tied and a pillowcase shoved in her mouth</w:t>
      </w:r>
      <w:r w:rsidR="003A588F">
        <w:t>.  D</w:t>
      </w:r>
      <w:r w:rsidRPr="00B84AF6">
        <w:t xml:space="preserve">efendant returned and again choked her.  When she awoke a second time she was no longer bound and defendant </w:t>
      </w:r>
      <w:r w:rsidRPr="00B84AF6" w:rsidR="00336EE2">
        <w:t>was gone</w:t>
      </w:r>
      <w:r w:rsidRPr="00B84AF6" w:rsidR="00025B1C">
        <w:t xml:space="preserve">.  </w:t>
      </w:r>
      <w:r w:rsidRPr="00B84AF6" w:rsidR="00195B6E">
        <w:t xml:space="preserve">It took six months for her voice to return to normal.  </w:t>
      </w:r>
      <w:r w:rsidRPr="00B84AF6">
        <w:t xml:space="preserve">Defendant </w:t>
      </w:r>
      <w:r w:rsidRPr="00B84AF6" w:rsidR="00CD2D0C">
        <w:t>subsequently pleaded guilty to corporal i</w:t>
      </w:r>
      <w:r w:rsidRPr="00B84AF6" w:rsidR="00025B1C">
        <w:t>njury on a spouse</w:t>
      </w:r>
      <w:r w:rsidRPr="00B84AF6" w:rsidR="0051266C">
        <w:t>, admitting</w:t>
      </w:r>
      <w:r w:rsidRPr="00B84AF6">
        <w:t xml:space="preserve"> to a probation officer</w:t>
      </w:r>
      <w:r w:rsidRPr="00B84AF6" w:rsidR="0078135E">
        <w:t>:  “</w:t>
      </w:r>
      <w:r w:rsidRPr="00B84AF6" w:rsidR="00C916D9">
        <w:t> </w:t>
      </w:r>
      <w:r w:rsidRPr="00B84AF6" w:rsidR="0078135E">
        <w:t>I choked my wife.  I was under the influence of crack and I got paranoid.  I thought she was going to call the police.</w:t>
      </w:r>
      <w:r w:rsidRPr="00B84AF6" w:rsidR="00025B1C">
        <w:t>”</w:t>
      </w:r>
      <w:r w:rsidRPr="00B84AF6" w:rsidR="0078135E">
        <w:t xml:space="preserve"> </w:t>
      </w:r>
      <w:r w:rsidRPr="00B84AF6">
        <w:t xml:space="preserve"> </w:t>
      </w:r>
    </w:p>
    <w:p w:rsidR="005267A8" w:rsidRPr="00B84AF6" w:rsidP="00B84AF6">
      <w:pPr>
        <w:tabs>
          <w:tab w:val="left" w:pos="1440"/>
        </w:tabs>
        <w:ind w:firstLine="720"/>
      </w:pPr>
      <w:r w:rsidRPr="00B84AF6">
        <w:t>Defendant presented no evidence in his defense at the guilt phase.</w:t>
      </w:r>
    </w:p>
    <w:p w:rsidR="002B35CA" w:rsidRPr="00B84AF6" w:rsidP="00B84AF6">
      <w:pPr>
        <w:pStyle w:val="Heading2"/>
      </w:pPr>
      <w:bookmarkStart w:id="5" w:name="_Toc527447432"/>
      <w:r w:rsidRPr="00B84AF6">
        <w:t>B.  Penalty Phase</w:t>
      </w:r>
      <w:bookmarkEnd w:id="5"/>
    </w:p>
    <w:p w:rsidR="002B35CA" w:rsidRPr="00B84AF6" w:rsidP="00095513">
      <w:pPr>
        <w:pStyle w:val="Heading3"/>
        <w:numPr>
          <w:ilvl w:val="0"/>
          <w:numId w:val="31"/>
        </w:numPr>
        <w:tabs>
          <w:tab w:val="left" w:pos="1530"/>
          <w:tab w:val="clear" w:pos="1584"/>
        </w:tabs>
        <w:ind w:left="1584" w:hanging="432"/>
      </w:pPr>
      <w:bookmarkStart w:id="6" w:name="_Toc527447433"/>
      <w:r w:rsidRPr="00B84AF6">
        <w:t>Prosecution E</w:t>
      </w:r>
      <w:r w:rsidRPr="00B84AF6" w:rsidR="007B223E">
        <w:t>vidence</w:t>
      </w:r>
      <w:bookmarkEnd w:id="6"/>
    </w:p>
    <w:p w:rsidR="00783A18" w:rsidRPr="00B84AF6" w:rsidP="00B84AF6">
      <w:pPr>
        <w:tabs>
          <w:tab w:val="left" w:pos="1440"/>
        </w:tabs>
        <w:ind w:firstLine="720"/>
      </w:pPr>
      <w:r w:rsidRPr="00B84AF6">
        <w:t>McKenna’s brother, Ronald</w:t>
      </w:r>
      <w:r w:rsidR="00F657C3">
        <w:t xml:space="preserve"> testified he </w:t>
      </w:r>
      <w:r w:rsidRPr="00B84AF6" w:rsidR="00393668">
        <w:t xml:space="preserve">and his children had </w:t>
      </w:r>
      <w:r w:rsidRPr="00B84AF6" w:rsidR="00AA724E">
        <w:t>been close to t</w:t>
      </w:r>
      <w:r w:rsidRPr="00B84AF6" w:rsidR="00393668">
        <w:t xml:space="preserve">he victim.  Her death </w:t>
      </w:r>
      <w:r w:rsidRPr="00B84AF6" w:rsidR="00AA724E">
        <w:t>devastated t</w:t>
      </w:r>
      <w:r w:rsidRPr="00B84AF6" w:rsidR="00393668">
        <w:t>h</w:t>
      </w:r>
      <w:r w:rsidRPr="00B84AF6" w:rsidR="00280187">
        <w:t>e entir</w:t>
      </w:r>
      <w:r w:rsidRPr="00B84AF6" w:rsidR="00025B1C">
        <w:t xml:space="preserve">e family.  </w:t>
      </w:r>
      <w:r w:rsidRPr="00B84AF6" w:rsidR="00393668">
        <w:t xml:space="preserve">McKenna </w:t>
      </w:r>
      <w:r w:rsidRPr="00B84AF6" w:rsidR="00AA724E">
        <w:t xml:space="preserve">had been very supportive of </w:t>
      </w:r>
      <w:r w:rsidRPr="00B84AF6" w:rsidR="00393668">
        <w:t>her sister, Patti</w:t>
      </w:r>
      <w:r w:rsidRPr="00B84AF6" w:rsidR="002A339B">
        <w:t xml:space="preserve"> Dutiot</w:t>
      </w:r>
      <w:r w:rsidRPr="00B84AF6" w:rsidR="00393668">
        <w:t>, who struggle</w:t>
      </w:r>
      <w:r w:rsidRPr="00B84AF6">
        <w:t>d with alcoholism and psychological problems</w:t>
      </w:r>
      <w:r w:rsidRPr="00B84AF6" w:rsidR="00393668">
        <w:t xml:space="preserve">.  </w:t>
      </w:r>
      <w:r w:rsidRPr="00B84AF6" w:rsidR="002A339B">
        <w:t>Dutiot</w:t>
      </w:r>
      <w:r w:rsidRPr="00B84AF6" w:rsidR="00393668">
        <w:t xml:space="preserve"> was a recluse and McKenna was her lifeline to the outside world.  </w:t>
      </w:r>
      <w:r w:rsidRPr="00B84AF6" w:rsidR="002A339B">
        <w:t>Dutoit</w:t>
      </w:r>
      <w:r w:rsidRPr="00B84AF6">
        <w:t xml:space="preserve"> died </w:t>
      </w:r>
      <w:r w:rsidRPr="00B84AF6" w:rsidR="00393668">
        <w:t>in 1996</w:t>
      </w:r>
      <w:r w:rsidRPr="00B84AF6" w:rsidR="00025B1C">
        <w:t xml:space="preserve">.  </w:t>
      </w:r>
      <w:r w:rsidRPr="00B84AF6" w:rsidR="001D6811">
        <w:t>Ronald commented that he “lost two sisters because of this clown,” referri</w:t>
      </w:r>
      <w:r w:rsidRPr="00B84AF6" w:rsidR="00025B1C">
        <w:t xml:space="preserve">ng to defendant.  </w:t>
      </w:r>
      <w:r w:rsidRPr="00B84AF6" w:rsidR="001D6811">
        <w:t xml:space="preserve">McKenna was estranged from her sister Lori, but had a close relationship </w:t>
      </w:r>
      <w:r w:rsidR="00F657C3">
        <w:t>with her</w:t>
      </w:r>
      <w:r w:rsidRPr="00B84AF6" w:rsidR="00D862FD">
        <w:t xml:space="preserve"> 10-year-old</w:t>
      </w:r>
      <w:r w:rsidRPr="00B84AF6" w:rsidR="00025B1C">
        <w:t xml:space="preserve"> </w:t>
      </w:r>
      <w:r w:rsidR="00F657C3">
        <w:t>nephew</w:t>
      </w:r>
      <w:r w:rsidRPr="00B84AF6" w:rsidR="00025B1C">
        <w:t xml:space="preserve">, Michael.  </w:t>
      </w:r>
      <w:r w:rsidRPr="00B84AF6" w:rsidR="00D9230A">
        <w:t xml:space="preserve">After McKenna’s death, Lori had a “breakdown” over </w:t>
      </w:r>
      <w:r w:rsidRPr="00B84AF6" w:rsidR="00D862FD">
        <w:t>the estrangement</w:t>
      </w:r>
      <w:r w:rsidRPr="00B84AF6" w:rsidR="00025B1C">
        <w:t xml:space="preserve">.  </w:t>
      </w:r>
      <w:r w:rsidRPr="00B84AF6" w:rsidR="00D9230A">
        <w:t xml:space="preserve">It was very painful for her to explain McKenna’s death to </w:t>
      </w:r>
      <w:r w:rsidRPr="00B84AF6" w:rsidR="00D862FD">
        <w:t>Michael.</w:t>
      </w:r>
      <w:r w:rsidRPr="00B84AF6" w:rsidR="001D6811">
        <w:t xml:space="preserve">  </w:t>
      </w:r>
    </w:p>
    <w:p w:rsidR="00783A18" w:rsidRPr="00B84AF6" w:rsidP="00095513">
      <w:pPr>
        <w:pStyle w:val="Heading3"/>
        <w:numPr>
          <w:ilvl w:val="0"/>
          <w:numId w:val="31"/>
        </w:numPr>
        <w:ind w:left="1584" w:hanging="432"/>
      </w:pPr>
      <w:bookmarkStart w:id="7" w:name="_Toc527447434"/>
      <w:r w:rsidRPr="00B84AF6">
        <w:t>Defense E</w:t>
      </w:r>
      <w:r w:rsidRPr="00B84AF6">
        <w:t>vidence</w:t>
      </w:r>
      <w:bookmarkEnd w:id="7"/>
    </w:p>
    <w:p w:rsidR="00EE6FD3" w:rsidRPr="00B84AF6" w:rsidP="00B84AF6">
      <w:pPr>
        <w:tabs>
          <w:tab w:val="left" w:pos="1440"/>
        </w:tabs>
        <w:ind w:firstLine="720"/>
      </w:pPr>
      <w:r w:rsidRPr="00B84AF6">
        <w:t>Defendant</w:t>
      </w:r>
      <w:r w:rsidR="00F657C3">
        <w:t>’s</w:t>
      </w:r>
      <w:r w:rsidRPr="00B84AF6">
        <w:t xml:space="preserve"> </w:t>
      </w:r>
      <w:r w:rsidR="00F657C3">
        <w:t>single</w:t>
      </w:r>
      <w:r w:rsidRPr="00B84AF6">
        <w:t xml:space="preserve"> mother raised him and his siblings</w:t>
      </w:r>
      <w:r w:rsidR="00F657C3">
        <w:t>.</w:t>
      </w:r>
      <w:r w:rsidRPr="00B84AF6">
        <w:t xml:space="preserve"> </w:t>
      </w:r>
      <w:r w:rsidR="00F657C3">
        <w:t xml:space="preserve"> His</w:t>
      </w:r>
      <w:r w:rsidRPr="00B84AF6" w:rsidR="00C916D9">
        <w:t xml:space="preserve"> half-brother, Ernest</w:t>
      </w:r>
      <w:r w:rsidRPr="00B84AF6">
        <w:t xml:space="preserve"> Molano, testified that their mother </w:t>
      </w:r>
      <w:r w:rsidR="00F657C3">
        <w:t xml:space="preserve">spanked them with her </w:t>
      </w:r>
      <w:r w:rsidRPr="00B84AF6">
        <w:t>hand, a belt, or anything else she could</w:t>
      </w:r>
      <w:r w:rsidRPr="00B84AF6" w:rsidR="00EF0312">
        <w:t xml:space="preserve"> grab</w:t>
      </w:r>
      <w:r w:rsidRPr="00B84AF6" w:rsidR="00025B1C">
        <w:t xml:space="preserve">.  </w:t>
      </w:r>
      <w:r w:rsidRPr="00B84AF6">
        <w:t>He felt that their mother loved them and only punished th</w:t>
      </w:r>
      <w:r w:rsidRPr="00B84AF6" w:rsidR="00025B1C">
        <w:t xml:space="preserve">em when they deserved it.  </w:t>
      </w:r>
      <w:r w:rsidRPr="00B84AF6">
        <w:t>They always had</w:t>
      </w:r>
      <w:r w:rsidRPr="00B84AF6" w:rsidR="00247941">
        <w:t xml:space="preserve"> food, clothing</w:t>
      </w:r>
      <w:r w:rsidR="00F657C3">
        <w:t xml:space="preserve">, and </w:t>
      </w:r>
      <w:r w:rsidRPr="00B84AF6" w:rsidR="00F657C3">
        <w:t>a roof over their heads</w:t>
      </w:r>
      <w:r w:rsidRPr="00B84AF6" w:rsidR="00247941">
        <w:t>.</w:t>
      </w:r>
    </w:p>
    <w:p w:rsidR="00C80890" w:rsidRPr="00B84AF6" w:rsidP="00B84AF6">
      <w:pPr>
        <w:tabs>
          <w:tab w:val="left" w:pos="1440"/>
        </w:tabs>
        <w:ind w:firstLine="720"/>
      </w:pPr>
      <w:r w:rsidRPr="00B84AF6">
        <w:t>Defendant</w:t>
      </w:r>
      <w:r w:rsidRPr="00B84AF6" w:rsidR="006F78BA">
        <w:t xml:space="preserve">’s </w:t>
      </w:r>
      <w:r w:rsidRPr="00B84AF6" w:rsidR="006A6ECE">
        <w:t xml:space="preserve">former </w:t>
      </w:r>
      <w:r w:rsidRPr="00B84AF6" w:rsidR="00EE6FD3">
        <w:t xml:space="preserve">girlfriend, </w:t>
      </w:r>
      <w:r w:rsidRPr="00B84AF6" w:rsidR="00EF0312">
        <w:t xml:space="preserve">Bonnie Alexis, testified </w:t>
      </w:r>
      <w:r w:rsidR="00F657C3">
        <w:t>he</w:t>
      </w:r>
      <w:r w:rsidRPr="00B84AF6" w:rsidR="00EF0312">
        <w:t xml:space="preserve"> was good with </w:t>
      </w:r>
      <w:r w:rsidRPr="00B84AF6" w:rsidR="002F61E8">
        <w:t xml:space="preserve">young children, including his </w:t>
      </w:r>
      <w:r w:rsidR="00F657C3">
        <w:t xml:space="preserve">own </w:t>
      </w:r>
      <w:r w:rsidRPr="00B84AF6" w:rsidR="002F61E8">
        <w:t xml:space="preserve">niece and Bonnie’s son.  </w:t>
      </w:r>
      <w:r w:rsidRPr="00B84AF6" w:rsidR="00EE6FD3">
        <w:t>Defen</w:t>
      </w:r>
      <w:r w:rsidRPr="00B84AF6" w:rsidR="00726174">
        <w:t>d</w:t>
      </w:r>
      <w:r w:rsidRPr="00B84AF6" w:rsidR="002F61E8">
        <w:t xml:space="preserve">ant </w:t>
      </w:r>
      <w:r w:rsidRPr="00B84AF6" w:rsidR="005644BF">
        <w:t xml:space="preserve">supported </w:t>
      </w:r>
      <w:r w:rsidR="00A41C96">
        <w:t>Bonnie</w:t>
      </w:r>
      <w:r w:rsidRPr="00B84AF6" w:rsidR="00EE6FD3">
        <w:t xml:space="preserve"> and helped her duri</w:t>
      </w:r>
      <w:r w:rsidRPr="00B84AF6" w:rsidR="00247941">
        <w:t xml:space="preserve">ng difficult times.  </w:t>
      </w:r>
      <w:r w:rsidRPr="00B84AF6" w:rsidR="00945F70">
        <w:t>Another friend</w:t>
      </w:r>
      <w:r w:rsidRPr="00B84AF6" w:rsidR="006A6ECE">
        <w:t xml:space="preserve">, Evelyn Horne, </w:t>
      </w:r>
      <w:r w:rsidRPr="00B84AF6" w:rsidR="00F64AB6">
        <w:t>said d</w:t>
      </w:r>
      <w:r w:rsidRPr="00B84AF6" w:rsidR="006F78BA">
        <w:t xml:space="preserve">efendant </w:t>
      </w:r>
      <w:r w:rsidRPr="00B84AF6" w:rsidR="00F64AB6">
        <w:t>w</w:t>
      </w:r>
      <w:r w:rsidRPr="00B84AF6" w:rsidR="006F78BA">
        <w:t xml:space="preserve">as kind </w:t>
      </w:r>
      <w:r w:rsidRPr="00B84AF6" w:rsidR="005A0194">
        <w:t xml:space="preserve">and had helped </w:t>
      </w:r>
      <w:r w:rsidRPr="00B84AF6" w:rsidR="006F78BA">
        <w:t xml:space="preserve">her </w:t>
      </w:r>
      <w:r w:rsidR="00D12D07">
        <w:t xml:space="preserve">leave </w:t>
      </w:r>
      <w:r w:rsidRPr="00B84AF6" w:rsidR="006F78BA">
        <w:t>a</w:t>
      </w:r>
      <w:r w:rsidRPr="00B84AF6" w:rsidR="00247941">
        <w:t xml:space="preserve">n abusive relationship.  </w:t>
      </w:r>
      <w:r w:rsidRPr="00B84AF6" w:rsidR="006F78BA">
        <w:t xml:space="preserve">Other </w:t>
      </w:r>
      <w:r w:rsidRPr="00B84AF6" w:rsidR="0016278B">
        <w:t xml:space="preserve">family members and </w:t>
      </w:r>
      <w:r w:rsidRPr="00B84AF6" w:rsidR="006F78BA">
        <w:t xml:space="preserve">friends likewise described defendant as </w:t>
      </w:r>
      <w:r w:rsidRPr="00B84AF6" w:rsidR="0016278B">
        <w:t xml:space="preserve">a good person </w:t>
      </w:r>
      <w:r w:rsidR="00D12D07">
        <w:t xml:space="preserve">and role model </w:t>
      </w:r>
      <w:r w:rsidRPr="00B84AF6" w:rsidR="0016278B">
        <w:t xml:space="preserve">who was </w:t>
      </w:r>
      <w:r w:rsidRPr="00B84AF6" w:rsidR="006A1818">
        <w:t>close to his family</w:t>
      </w:r>
      <w:r w:rsidR="00D12D07">
        <w:t xml:space="preserve"> and</w:t>
      </w:r>
      <w:r w:rsidRPr="00B84AF6" w:rsidR="006A1818">
        <w:t xml:space="preserve"> </w:t>
      </w:r>
      <w:r w:rsidRPr="00B84AF6" w:rsidR="006F78BA">
        <w:t>helpful</w:t>
      </w:r>
      <w:r w:rsidRPr="00B84AF6" w:rsidR="00247941">
        <w:t xml:space="preserve"> to others</w:t>
      </w:r>
      <w:r w:rsidR="00D12D07">
        <w:t>.</w:t>
      </w:r>
      <w:r w:rsidRPr="00B84AF6" w:rsidR="006F78BA">
        <w:t xml:space="preserve"> </w:t>
      </w:r>
    </w:p>
    <w:p w:rsidR="001E0B8B" w:rsidRPr="00B84AF6" w:rsidP="00B84AF6">
      <w:pPr>
        <w:tabs>
          <w:tab w:val="left" w:pos="1440"/>
        </w:tabs>
        <w:ind w:firstLine="720"/>
      </w:pPr>
      <w:r w:rsidRPr="00B84AF6">
        <w:t xml:space="preserve">Several correctional officers testified about defendant’s behavior </w:t>
      </w:r>
      <w:r w:rsidRPr="00B84AF6">
        <w:t>in prison</w:t>
      </w:r>
      <w:r w:rsidRPr="00B84AF6">
        <w:t xml:space="preserve">.  They </w:t>
      </w:r>
      <w:r w:rsidR="00D12D07">
        <w:t>reported</w:t>
      </w:r>
      <w:r w:rsidRPr="00B84AF6">
        <w:t xml:space="preserve"> that </w:t>
      </w:r>
      <w:r w:rsidRPr="00B84AF6">
        <w:t xml:space="preserve">defendant had a good attitude and work ethic and got </w:t>
      </w:r>
      <w:r w:rsidRPr="00B84AF6" w:rsidR="00247941">
        <w:t>along well with other inmates.</w:t>
      </w:r>
    </w:p>
    <w:p w:rsidR="00680485" w:rsidRPr="00B84AF6" w:rsidP="00B84AF6">
      <w:pPr>
        <w:tabs>
          <w:tab w:val="left" w:pos="1440"/>
        </w:tabs>
        <w:ind w:firstLine="720"/>
      </w:pPr>
      <w:r w:rsidRPr="00B84AF6">
        <w:t>Psychologist</w:t>
      </w:r>
      <w:r w:rsidRPr="00B84AF6" w:rsidR="00073954">
        <w:t xml:space="preserve"> Rahn Minagawa compiled defendant’s social an</w:t>
      </w:r>
      <w:r w:rsidRPr="00B84AF6" w:rsidR="00F76417">
        <w:t xml:space="preserve">d family history.  </w:t>
      </w:r>
      <w:r w:rsidRPr="00B84AF6" w:rsidR="00E132CD">
        <w:t>Defendant’s mother had seven children b</w:t>
      </w:r>
      <w:r w:rsidRPr="00B84AF6" w:rsidR="00F76417">
        <w:t>y different men</w:t>
      </w:r>
      <w:r w:rsidR="00D12D07">
        <w:t>,</w:t>
      </w:r>
      <w:r w:rsidRPr="00B84AF6" w:rsidR="00F76417">
        <w:t xml:space="preserve"> </w:t>
      </w:r>
      <w:r w:rsidR="00D12D07">
        <w:t>and his</w:t>
      </w:r>
      <w:r w:rsidRPr="00B84AF6">
        <w:t xml:space="preserve"> fa</w:t>
      </w:r>
      <w:r w:rsidRPr="00B84AF6" w:rsidR="00F76417">
        <w:t>ther’s identity</w:t>
      </w:r>
      <w:r w:rsidR="00D12D07">
        <w:t xml:space="preserve"> is unknown</w:t>
      </w:r>
      <w:r w:rsidRPr="00B84AF6" w:rsidR="00F76417">
        <w:t xml:space="preserve">.  </w:t>
      </w:r>
      <w:r w:rsidR="00D12D07">
        <w:t>The</w:t>
      </w:r>
      <w:r w:rsidRPr="00B84AF6">
        <w:t xml:space="preserve"> mother </w:t>
      </w:r>
      <w:r w:rsidR="00D12D07">
        <w:t>w</w:t>
      </w:r>
      <w:r w:rsidRPr="00B84AF6">
        <w:t xml:space="preserve">as verbally and physically abusive.  She </w:t>
      </w:r>
      <w:r w:rsidRPr="00B84AF6" w:rsidR="001068E7">
        <w:t xml:space="preserve">whipped </w:t>
      </w:r>
      <w:r w:rsidRPr="00B84AF6">
        <w:t>him</w:t>
      </w:r>
      <w:r w:rsidRPr="00B84AF6" w:rsidR="001068E7">
        <w:t xml:space="preserve">, </w:t>
      </w:r>
      <w:r w:rsidRPr="00B84AF6">
        <w:t>said she hated him</w:t>
      </w:r>
      <w:r w:rsidRPr="00B84AF6" w:rsidR="001068E7">
        <w:t>,</w:t>
      </w:r>
      <w:r w:rsidRPr="00B84AF6">
        <w:t xml:space="preserve"> and wanted to give him</w:t>
      </w:r>
      <w:r w:rsidRPr="00B84AF6" w:rsidR="00F76417">
        <w:t xml:space="preserve"> up for adoption.  </w:t>
      </w:r>
      <w:r w:rsidR="00D12D07">
        <w:t>He</w:t>
      </w:r>
      <w:r w:rsidRPr="00B84AF6">
        <w:t xml:space="preserve"> began drinking when he was 12 years old, and began using cocaine </w:t>
      </w:r>
      <w:r w:rsidRPr="00B84AF6" w:rsidR="00F76417">
        <w:t>in high school.</w:t>
      </w:r>
    </w:p>
    <w:p w:rsidR="00313F5B" w:rsidRPr="00B84AF6" w:rsidP="00B84AF6">
      <w:pPr>
        <w:tabs>
          <w:tab w:val="left" w:pos="1440"/>
        </w:tabs>
        <w:ind w:firstLine="720"/>
      </w:pPr>
      <w:r w:rsidRPr="00B84AF6">
        <w:t xml:space="preserve">Neuropsychologist Myla Young assessed defendant’s IQ to be 85.  His previous test scores were 109 in </w:t>
      </w:r>
      <w:r w:rsidRPr="00B84AF6" w:rsidR="00685C26">
        <w:t>1982 an</w:t>
      </w:r>
      <w:r w:rsidRPr="00B84AF6" w:rsidR="00C916D9">
        <w:t xml:space="preserve">d </w:t>
      </w:r>
      <w:r w:rsidRPr="00B84AF6" w:rsidR="00D12D07">
        <w:t xml:space="preserve">94 </w:t>
      </w:r>
      <w:r w:rsidR="00D12D07">
        <w:t xml:space="preserve">in </w:t>
      </w:r>
      <w:r w:rsidRPr="00B84AF6" w:rsidR="00C916D9">
        <w:t>198</w:t>
      </w:r>
      <w:r w:rsidRPr="00B84AF6" w:rsidR="00F76417">
        <w:t xml:space="preserve">8.  </w:t>
      </w:r>
      <w:r w:rsidR="00D12D07">
        <w:t>He has</w:t>
      </w:r>
      <w:r w:rsidRPr="00B84AF6" w:rsidR="007F6B02">
        <w:t xml:space="preserve"> significantly impaired attention and mild impairment of verbal mem</w:t>
      </w:r>
      <w:r w:rsidRPr="00B84AF6" w:rsidR="00F76417">
        <w:t xml:space="preserve">ory.  </w:t>
      </w:r>
      <w:r w:rsidR="00D12D07">
        <w:t>His</w:t>
      </w:r>
      <w:r w:rsidRPr="00B84AF6" w:rsidR="00B404A4">
        <w:t xml:space="preserve"> cognitive flexibility and executive functioning</w:t>
      </w:r>
      <w:r w:rsidR="00D12D07">
        <w:t xml:space="preserve"> are impaired</w:t>
      </w:r>
      <w:r w:rsidRPr="00B84AF6" w:rsidR="00B404A4">
        <w:t xml:space="preserve">, </w:t>
      </w:r>
      <w:r w:rsidR="00D12D07">
        <w:t>undermining</w:t>
      </w:r>
      <w:r w:rsidRPr="00B84AF6" w:rsidR="00B404A4">
        <w:t xml:space="preserve"> his ability to concept</w:t>
      </w:r>
      <w:r w:rsidRPr="00B84AF6" w:rsidR="00F76417">
        <w:t xml:space="preserve">ualize and plan.  </w:t>
      </w:r>
      <w:r w:rsidR="00D12D07">
        <w:t>N</w:t>
      </w:r>
      <w:r w:rsidRPr="00B84AF6" w:rsidR="00B404A4">
        <w:t xml:space="preserve">europsychological testing and </w:t>
      </w:r>
      <w:r w:rsidR="00E33104">
        <w:t xml:space="preserve">brain </w:t>
      </w:r>
      <w:r w:rsidRPr="00B84AF6" w:rsidR="00B404A4">
        <w:t xml:space="preserve">tomography suggested damage to </w:t>
      </w:r>
      <w:r w:rsidR="00D12D07">
        <w:t>his</w:t>
      </w:r>
      <w:r w:rsidRPr="00B84AF6" w:rsidR="00B404A4">
        <w:t xml:space="preserve"> hippocampus and fro</w:t>
      </w:r>
      <w:r w:rsidRPr="00B84AF6" w:rsidR="00F76417">
        <w:t xml:space="preserve">ntal lobe.  </w:t>
      </w:r>
      <w:r w:rsidRPr="00B84AF6" w:rsidR="00B404A4">
        <w:t xml:space="preserve">Test results </w:t>
      </w:r>
      <w:r w:rsidRPr="00B84AF6">
        <w:t>showed no evidenc</w:t>
      </w:r>
      <w:r w:rsidRPr="00B84AF6" w:rsidR="00F76417">
        <w:t xml:space="preserve">e of malingering.  </w:t>
      </w:r>
      <w:r w:rsidRPr="00B84AF6">
        <w:t>Young opined defendant would function well in a struc</w:t>
      </w:r>
      <w:r w:rsidRPr="00B84AF6" w:rsidR="00F76417">
        <w:t>tured environment.</w:t>
      </w:r>
      <w:r w:rsidRPr="00B84AF6">
        <w:t xml:space="preserve">  </w:t>
      </w:r>
    </w:p>
    <w:p w:rsidR="00313F5B" w:rsidRPr="00B84AF6" w:rsidP="00B84AF6">
      <w:pPr>
        <w:tabs>
          <w:tab w:val="left" w:pos="1440"/>
        </w:tabs>
        <w:ind w:firstLine="720"/>
      </w:pPr>
      <w:r w:rsidRPr="00B84AF6">
        <w:t>Frank Agee</w:t>
      </w:r>
      <w:r w:rsidR="00BC692A">
        <w:t xml:space="preserve">, </w:t>
      </w:r>
      <w:r w:rsidRPr="00B84AF6">
        <w:t>a chaplain at the Santa Rita Jail</w:t>
      </w:r>
      <w:r w:rsidR="00BC692A">
        <w:t>,</w:t>
      </w:r>
      <w:r w:rsidRPr="00B84AF6">
        <w:t xml:space="preserve"> met with defendant weekly for several months </w:t>
      </w:r>
      <w:r w:rsidR="00BC692A">
        <w:t xml:space="preserve">before his </w:t>
      </w:r>
      <w:r w:rsidRPr="00B84AF6">
        <w:t xml:space="preserve">trial.  He described defendant as a born-again Christian </w:t>
      </w:r>
      <w:r w:rsidR="00BC692A">
        <w:t>who had experienced</w:t>
      </w:r>
      <w:r w:rsidRPr="00B84AF6">
        <w:t xml:space="preserve"> genuine s</w:t>
      </w:r>
      <w:r w:rsidRPr="00B84AF6" w:rsidR="00180316">
        <w:t>piritual growth.</w:t>
      </w:r>
      <w:r w:rsidRPr="00B84AF6">
        <w:t xml:space="preserve">  </w:t>
      </w:r>
    </w:p>
    <w:p w:rsidR="000D73FE" w:rsidRPr="00B84AF6" w:rsidP="00B84AF6">
      <w:pPr>
        <w:tabs>
          <w:tab w:val="left" w:pos="1440"/>
        </w:tabs>
        <w:ind w:firstLine="720"/>
      </w:pPr>
      <w:r w:rsidRPr="00B84AF6">
        <w:t>Retired correctional officer Daniel Vasquez testified that people sentenced to life without the possibility of parole do not receive conduct credits and are not allowed outside</w:t>
      </w:r>
      <w:r w:rsidRPr="00B84AF6" w:rsidR="002652CF">
        <w:t xml:space="preserve"> the prison walls.</w:t>
      </w:r>
      <w:r w:rsidRPr="00B84AF6">
        <w:t xml:space="preserve">  </w:t>
      </w:r>
      <w:r w:rsidRPr="00B84AF6" w:rsidR="009F2938">
        <w:t xml:space="preserve">   </w:t>
      </w:r>
      <w:r w:rsidRPr="00B84AF6" w:rsidR="00F72A3C">
        <w:t xml:space="preserve">  </w:t>
      </w:r>
    </w:p>
    <w:p w:rsidR="003A22C2" w:rsidRPr="00B84AF6" w:rsidP="00B84AF6">
      <w:pPr>
        <w:pStyle w:val="Heading1"/>
      </w:pPr>
      <w:bookmarkStart w:id="8" w:name="_Toc527447435"/>
      <w:r w:rsidRPr="00B84AF6">
        <w:t>II.  DISCUSSION</w:t>
      </w:r>
      <w:bookmarkEnd w:id="8"/>
    </w:p>
    <w:p w:rsidR="00E27885" w:rsidRPr="00B84AF6" w:rsidP="007377AA">
      <w:pPr>
        <w:pStyle w:val="Heading2"/>
        <w:numPr>
          <w:ilvl w:val="0"/>
          <w:numId w:val="19"/>
        </w:numPr>
        <w:ind w:left="1170" w:hanging="450"/>
      </w:pPr>
      <w:bookmarkStart w:id="9" w:name="_Toc527447436"/>
      <w:r w:rsidRPr="00B84AF6">
        <w:t>Guilt Phase Issues</w:t>
      </w:r>
      <w:bookmarkEnd w:id="9"/>
    </w:p>
    <w:p w:rsidR="000742A9" w:rsidRPr="00B84AF6" w:rsidP="00B84AF6">
      <w:pPr>
        <w:pStyle w:val="Heading3"/>
        <w:numPr>
          <w:ilvl w:val="0"/>
          <w:numId w:val="20"/>
        </w:numPr>
        <w:ind w:left="1584" w:hanging="432"/>
      </w:pPr>
      <w:bookmarkStart w:id="10" w:name="_Toc527447437"/>
      <w:r w:rsidRPr="00B84AF6">
        <w:t>Admissibility of Defendant’s Statements</w:t>
      </w:r>
      <w:bookmarkEnd w:id="10"/>
    </w:p>
    <w:p w:rsidR="00753112" w:rsidRPr="00B84AF6" w:rsidP="00B84AF6">
      <w:pPr>
        <w:tabs>
          <w:tab w:val="left" w:pos="1440"/>
        </w:tabs>
        <w:ind w:firstLine="720"/>
      </w:pPr>
      <w:r w:rsidRPr="00B84AF6">
        <w:t xml:space="preserve">Defendant </w:t>
      </w:r>
      <w:r w:rsidR="00BC692A">
        <w:t>argued</w:t>
      </w:r>
      <w:r w:rsidRPr="00B84AF6" w:rsidR="00672C37">
        <w:t xml:space="preserve"> his statements to officers and the district attorney </w:t>
      </w:r>
      <w:r w:rsidR="00BC692A">
        <w:t>were</w:t>
      </w:r>
      <w:r w:rsidRPr="00B84AF6" w:rsidR="00672C37">
        <w:t xml:space="preserve"> taken in violation of his right</w:t>
      </w:r>
      <w:r w:rsidR="00BC692A">
        <w:t>s to remain silent and be assisted by counsel</w:t>
      </w:r>
      <w:r w:rsidRPr="00B84AF6" w:rsidR="00672C37">
        <w:t>.  (</w:t>
      </w:r>
      <w:r w:rsidRPr="00B84AF6" w:rsidR="004B0EFD">
        <w:rPr>
          <w:i/>
        </w:rPr>
        <w:t>Miranda v. Arizona</w:t>
      </w:r>
      <w:r w:rsidRPr="00B84AF6" w:rsidR="004B0EFD">
        <w:t xml:space="preserve"> (1966) 384 U.S. 436</w:t>
      </w:r>
      <w:r w:rsidRPr="00B84AF6" w:rsidR="00972B53">
        <w:t xml:space="preserve"> (</w:t>
      </w:r>
      <w:r w:rsidRPr="00B84AF6" w:rsidR="00972B53">
        <w:rPr>
          <w:i/>
        </w:rPr>
        <w:t>Miranda</w:t>
      </w:r>
      <w:r w:rsidRPr="00B84AF6" w:rsidR="00972B53">
        <w:t>)</w:t>
      </w:r>
      <w:r w:rsidRPr="00B84AF6" w:rsidR="004B0EFD">
        <w:t xml:space="preserve">; </w:t>
      </w:r>
      <w:r w:rsidRPr="00B84AF6" w:rsidR="004B0EFD">
        <w:rPr>
          <w:i/>
        </w:rPr>
        <w:t>Edwards v. Arizona</w:t>
      </w:r>
      <w:r w:rsidRPr="00B84AF6" w:rsidR="004B0EFD">
        <w:t xml:space="preserve"> (1981) 451 U.S. 477</w:t>
      </w:r>
      <w:r w:rsidRPr="00B84AF6" w:rsidR="00F05F4B">
        <w:t xml:space="preserve"> (</w:t>
      </w:r>
      <w:r w:rsidRPr="00B84AF6" w:rsidR="00F05F4B">
        <w:rPr>
          <w:i/>
        </w:rPr>
        <w:t>Edwards</w:t>
      </w:r>
      <w:r w:rsidRPr="00B84AF6" w:rsidR="00F05F4B">
        <w:t>)</w:t>
      </w:r>
      <w:r w:rsidRPr="00B84AF6" w:rsidR="004B0EFD">
        <w:t>.</w:t>
      </w:r>
      <w:r w:rsidRPr="00B84AF6" w:rsidR="00672C37">
        <w:t xml:space="preserve">)  On appeal, he challenges the court’s denial of </w:t>
      </w:r>
      <w:r w:rsidR="00BC692A">
        <w:t>his suppression</w:t>
      </w:r>
      <w:r w:rsidRPr="00B84AF6" w:rsidR="00672C37">
        <w:t xml:space="preserve"> motion.  </w:t>
      </w:r>
      <w:r w:rsidRPr="00B84AF6" w:rsidR="000A5C90">
        <w:t>When reviewing</w:t>
      </w:r>
      <w:r w:rsidRPr="00B84AF6" w:rsidR="00424497">
        <w:t xml:space="preserve"> a</w:t>
      </w:r>
      <w:r w:rsidR="00BC692A">
        <w:t xml:space="preserve"> </w:t>
      </w:r>
      <w:r w:rsidR="00BC692A">
        <w:rPr>
          <w:i/>
        </w:rPr>
        <w:t>Miranda</w:t>
      </w:r>
      <w:r w:rsidRPr="00B84AF6" w:rsidR="00424497">
        <w:t xml:space="preserve"> </w:t>
      </w:r>
      <w:r w:rsidRPr="00B84AF6" w:rsidR="00D768AE">
        <w:t>ruling</w:t>
      </w:r>
      <w:r w:rsidR="00BC692A">
        <w:t>,</w:t>
      </w:r>
      <w:r w:rsidRPr="00B84AF6" w:rsidR="00424497">
        <w:t xml:space="preserve"> </w:t>
      </w:r>
      <w:r w:rsidRPr="00B84AF6" w:rsidR="000A5C90">
        <w:t>“</w:t>
      </w:r>
      <w:r w:rsidRPr="00B84AF6" w:rsidR="00424497">
        <w:t xml:space="preserve">we accept the trial court’s determination of disputed facts if supported by substantial evidence, but we independently decide whether the challenged statements were obtained in violation of </w:t>
      </w:r>
      <w:r w:rsidRPr="00B84AF6" w:rsidR="00424497">
        <w:rPr>
          <w:i/>
        </w:rPr>
        <w:t>Miranda</w:t>
      </w:r>
      <w:r w:rsidRPr="00B84AF6" w:rsidR="00424497">
        <w:t>.”  (</w:t>
      </w:r>
      <w:r w:rsidRPr="00B84AF6" w:rsidR="00424497">
        <w:rPr>
          <w:i/>
        </w:rPr>
        <w:t>People v. Davis</w:t>
      </w:r>
      <w:r w:rsidRPr="00B84AF6" w:rsidR="00DF4ED9">
        <w:t xml:space="preserve"> (2009) 46 Cal.4th 539, 586</w:t>
      </w:r>
      <w:r w:rsidRPr="00B84AF6" w:rsidR="00424497">
        <w:t xml:space="preserve">; see </w:t>
      </w:r>
      <w:r w:rsidRPr="00B84AF6" w:rsidR="00424497">
        <w:rPr>
          <w:i/>
        </w:rPr>
        <w:t>People v. Bradford</w:t>
      </w:r>
      <w:r w:rsidRPr="00B84AF6" w:rsidR="00424497">
        <w:t xml:space="preserve"> (1997) </w:t>
      </w:r>
      <w:r w:rsidRPr="00B84AF6" w:rsidR="00C17D14">
        <w:t>15</w:t>
      </w:r>
      <w:r w:rsidRPr="00B84AF6" w:rsidR="00424497">
        <w:t xml:space="preserve"> Cal.4th </w:t>
      </w:r>
      <w:r w:rsidRPr="00B84AF6" w:rsidR="00C17D14">
        <w:t>1229</w:t>
      </w:r>
      <w:r w:rsidRPr="00B84AF6" w:rsidR="00424497">
        <w:t>, 1</w:t>
      </w:r>
      <w:r w:rsidRPr="00B84AF6" w:rsidR="00C17D14">
        <w:t>311</w:t>
      </w:r>
      <w:r w:rsidRPr="00B84AF6" w:rsidR="00BA741D">
        <w:t xml:space="preserve"> (</w:t>
      </w:r>
      <w:r w:rsidRPr="00B84AF6" w:rsidR="00BA741D">
        <w:rPr>
          <w:i/>
        </w:rPr>
        <w:t>Bradford</w:t>
      </w:r>
      <w:r w:rsidRPr="00B84AF6" w:rsidR="00BA741D">
        <w:t>)</w:t>
      </w:r>
      <w:r w:rsidRPr="00B84AF6" w:rsidR="00424497">
        <w:t>.)</w:t>
      </w:r>
    </w:p>
    <w:p w:rsidR="00753112" w:rsidRPr="00B84AF6" w:rsidP="00B84AF6">
      <w:pPr>
        <w:tabs>
          <w:tab w:val="left" w:pos="1440"/>
        </w:tabs>
        <w:ind w:firstLine="720"/>
      </w:pPr>
      <w:r w:rsidRPr="00B84AF6">
        <w:t xml:space="preserve">Defendant gave three taped statements to law enforcement officers.  The first was made at San Quentin State Prison.  The second </w:t>
      </w:r>
      <w:r w:rsidR="00BC692A">
        <w:t>occurred</w:t>
      </w:r>
      <w:r w:rsidRPr="00B84AF6">
        <w:t xml:space="preserve"> in a patrol car while defendant was </w:t>
      </w:r>
      <w:r w:rsidR="00BC692A">
        <w:t>driven</w:t>
      </w:r>
      <w:r w:rsidRPr="00B84AF6">
        <w:t xml:space="preserve"> from </w:t>
      </w:r>
      <w:r w:rsidR="00BC692A">
        <w:t>prison</w:t>
      </w:r>
      <w:r w:rsidRPr="00B84AF6" w:rsidR="002F3800">
        <w:t xml:space="preserve"> to the </w:t>
      </w:r>
      <w:r w:rsidR="00BC692A">
        <w:t>sheriff’s sub</w:t>
      </w:r>
      <w:r w:rsidRPr="00B84AF6" w:rsidR="002F3800">
        <w:t>station</w:t>
      </w:r>
      <w:r w:rsidRPr="00B84AF6">
        <w:t>.  The third was made</w:t>
      </w:r>
      <w:r w:rsidRPr="00B84AF6" w:rsidR="009A6AC4">
        <w:t xml:space="preserve"> the same day </w:t>
      </w:r>
      <w:r w:rsidRPr="00B84AF6">
        <w:t xml:space="preserve">at the </w:t>
      </w:r>
      <w:r w:rsidRPr="00B84AF6" w:rsidR="002F3800">
        <w:t>station</w:t>
      </w:r>
      <w:r w:rsidRPr="00B84AF6">
        <w:t>.  An audiotape of the prison interview and</w:t>
      </w:r>
      <w:r w:rsidRPr="00B84AF6" w:rsidR="002F3800">
        <w:t xml:space="preserve"> a videotape of the </w:t>
      </w:r>
      <w:r w:rsidRPr="00B84AF6">
        <w:t>station interview were played for</w:t>
      </w:r>
      <w:r w:rsidRPr="00B84AF6" w:rsidR="002652CF">
        <w:t xml:space="preserve"> the jury.  </w:t>
      </w:r>
      <w:r w:rsidRPr="00B84AF6">
        <w:t xml:space="preserve">The </w:t>
      </w:r>
      <w:r w:rsidR="00BC692A">
        <w:t>conversation</w:t>
      </w:r>
      <w:r w:rsidRPr="00B84AF6">
        <w:t xml:space="preserve"> in the patrol car was not </w:t>
      </w:r>
      <w:r w:rsidR="00BC692A">
        <w:t>offered</w:t>
      </w:r>
      <w:r w:rsidRPr="00B84AF6">
        <w:t xml:space="preserve"> in evidence.    </w:t>
      </w:r>
    </w:p>
    <w:p w:rsidR="004A005E" w:rsidRPr="00B84AF6" w:rsidP="00B84AF6">
      <w:pPr>
        <w:tabs>
          <w:tab w:val="left" w:pos="1440"/>
        </w:tabs>
        <w:ind w:firstLine="720"/>
      </w:pPr>
      <w:r w:rsidRPr="00B84AF6">
        <w:t>Defendant claims</w:t>
      </w:r>
      <w:r w:rsidRPr="00B84AF6" w:rsidR="0011790D">
        <w:t xml:space="preserve"> he was deceived into waiving his </w:t>
      </w:r>
      <w:r w:rsidRPr="00B84AF6" w:rsidR="0011790D">
        <w:rPr>
          <w:i/>
        </w:rPr>
        <w:t>Miranda</w:t>
      </w:r>
      <w:r w:rsidRPr="00B84AF6" w:rsidR="0011790D">
        <w:t xml:space="preserve"> rights </w:t>
      </w:r>
      <w:r w:rsidRPr="00B84AF6" w:rsidR="00341591">
        <w:t xml:space="preserve">at the outset of the </w:t>
      </w:r>
      <w:r w:rsidRPr="00B84AF6" w:rsidR="000A6869">
        <w:t>San Quentin</w:t>
      </w:r>
      <w:r w:rsidRPr="00B84AF6" w:rsidR="00341591">
        <w:t xml:space="preserve"> interview</w:t>
      </w:r>
      <w:r w:rsidRPr="00B84AF6">
        <w:t xml:space="preserve">.  He </w:t>
      </w:r>
      <w:r w:rsidR="00BC692A">
        <w:t>urges</w:t>
      </w:r>
      <w:r w:rsidRPr="00B84AF6" w:rsidR="00125F8B">
        <w:t xml:space="preserve"> </w:t>
      </w:r>
      <w:r w:rsidRPr="00B84AF6" w:rsidR="00341591">
        <w:t>he</w:t>
      </w:r>
      <w:r w:rsidRPr="00B84AF6" w:rsidR="00125F8B">
        <w:t xml:space="preserve"> did not reinitiate communication with the officers</w:t>
      </w:r>
      <w:r w:rsidRPr="00B84AF6" w:rsidR="00341591">
        <w:t xml:space="preserve"> </w:t>
      </w:r>
      <w:r w:rsidRPr="00B84AF6" w:rsidR="00125F8B">
        <w:t xml:space="preserve">after </w:t>
      </w:r>
      <w:r w:rsidRPr="00B84AF6" w:rsidR="00341591">
        <w:t>invok</w:t>
      </w:r>
      <w:r w:rsidRPr="00B84AF6" w:rsidR="00125F8B">
        <w:t>ing</w:t>
      </w:r>
      <w:r w:rsidRPr="00B84AF6" w:rsidR="00341591">
        <w:t xml:space="preserve"> his </w:t>
      </w:r>
      <w:r w:rsidRPr="00B84AF6" w:rsidR="00341591">
        <w:rPr>
          <w:i/>
        </w:rPr>
        <w:t>Miranda</w:t>
      </w:r>
      <w:r w:rsidRPr="00B84AF6" w:rsidR="00341591">
        <w:t xml:space="preserve"> rights, </w:t>
      </w:r>
      <w:r w:rsidR="00BC692A">
        <w:t>rendering</w:t>
      </w:r>
      <w:r w:rsidRPr="00B84AF6" w:rsidR="00C17AE3">
        <w:t xml:space="preserve"> subsequent statements </w:t>
      </w:r>
      <w:r w:rsidRPr="00B84AF6" w:rsidR="006E1769">
        <w:t xml:space="preserve">inadmissible.  </w:t>
      </w:r>
      <w:r w:rsidR="00BC692A">
        <w:t>He</w:t>
      </w:r>
      <w:r w:rsidRPr="00B84AF6">
        <w:t xml:space="preserve"> </w:t>
      </w:r>
      <w:r w:rsidRPr="00B84AF6" w:rsidR="00125F8B">
        <w:t>argues</w:t>
      </w:r>
      <w:r w:rsidRPr="00B84AF6">
        <w:t xml:space="preserve"> he invoked his right to counsel a second tim</w:t>
      </w:r>
      <w:r w:rsidRPr="00B84AF6" w:rsidR="002F3800">
        <w:t xml:space="preserve">e during the </w:t>
      </w:r>
      <w:r w:rsidR="00BC692A">
        <w:t>drive</w:t>
      </w:r>
      <w:r w:rsidRPr="00B84AF6" w:rsidR="002F3800">
        <w:t xml:space="preserve"> to the </w:t>
      </w:r>
      <w:r w:rsidRPr="00B84AF6">
        <w:t xml:space="preserve">station.  </w:t>
      </w:r>
      <w:r w:rsidR="00BC692A">
        <w:t>H</w:t>
      </w:r>
      <w:r w:rsidR="00C016AE">
        <w:t>e also contends h</w:t>
      </w:r>
      <w:r w:rsidRPr="00B84AF6" w:rsidR="002F3800">
        <w:t xml:space="preserve">is </w:t>
      </w:r>
      <w:r w:rsidR="00BC692A">
        <w:t xml:space="preserve">apparent </w:t>
      </w:r>
      <w:r w:rsidRPr="00B84AF6" w:rsidR="002F3800">
        <w:t xml:space="preserve">waivers of </w:t>
      </w:r>
      <w:r w:rsidRPr="00B84AF6" w:rsidR="002F3800">
        <w:rPr>
          <w:i/>
        </w:rPr>
        <w:t>Miranda</w:t>
      </w:r>
      <w:r w:rsidRPr="00B84AF6" w:rsidR="002F3800">
        <w:t xml:space="preserve"> rights at the station were involuntary</w:t>
      </w:r>
      <w:r w:rsidRPr="00B84AF6" w:rsidR="008A0419">
        <w:t xml:space="preserve"> because the officers disregarded his invocations and attempted to soften him up during the transport.  </w:t>
      </w:r>
      <w:r w:rsidR="00A91078">
        <w:t>We hold to the contrary.</w:t>
      </w:r>
      <w:r w:rsidRPr="00B84AF6" w:rsidR="003A69EF">
        <w:t xml:space="preserve">  </w:t>
      </w:r>
    </w:p>
    <w:p w:rsidR="00F37AAA" w:rsidRPr="00B84AF6" w:rsidP="00086BD0">
      <w:pPr>
        <w:pStyle w:val="Heading4"/>
        <w:numPr>
          <w:ilvl w:val="0"/>
          <w:numId w:val="32"/>
        </w:numPr>
        <w:tabs>
          <w:tab w:val="clear" w:pos="2016"/>
          <w:tab w:val="left" w:pos="2434"/>
        </w:tabs>
        <w:ind w:left="2376"/>
      </w:pPr>
      <w:bookmarkStart w:id="11" w:name="_Toc527447438"/>
      <w:r w:rsidRPr="00B84AF6">
        <w:t>Background</w:t>
      </w:r>
      <w:bookmarkEnd w:id="11"/>
    </w:p>
    <w:p w:rsidR="00EA47B8" w:rsidRPr="00B84AF6" w:rsidP="00086BD0">
      <w:pPr>
        <w:pStyle w:val="Heading5"/>
        <w:numPr>
          <w:ilvl w:val="0"/>
          <w:numId w:val="39"/>
        </w:numPr>
        <w:tabs>
          <w:tab w:val="left" w:pos="2880"/>
        </w:tabs>
        <w:ind w:left="2880"/>
      </w:pPr>
      <w:bookmarkStart w:id="12" w:name="_Toc527447439"/>
      <w:r w:rsidRPr="00B84AF6">
        <w:t>T</w:t>
      </w:r>
      <w:r w:rsidRPr="00B84AF6">
        <w:t>he San Quentin Interview</w:t>
      </w:r>
      <w:bookmarkEnd w:id="12"/>
    </w:p>
    <w:p w:rsidR="00A90FF9" w:rsidRPr="00B84AF6" w:rsidP="00B84AF6">
      <w:pPr>
        <w:tabs>
          <w:tab w:val="left" w:pos="1440"/>
        </w:tabs>
        <w:ind w:firstLine="720"/>
      </w:pPr>
      <w:r w:rsidRPr="00B84AF6">
        <w:t xml:space="preserve">On March 21, 2003, </w:t>
      </w:r>
      <w:r w:rsidR="00A91078">
        <w:t xml:space="preserve">six years after the murder, </w:t>
      </w:r>
      <w:r w:rsidRPr="00B84AF6">
        <w:t xml:space="preserve">Sergeant Scott Dudek and Detective Edward Chicoine went to San Quentin to interview defendant.  They knew he was scheduled to be released from prison </w:t>
      </w:r>
      <w:r w:rsidRPr="00B84AF6" w:rsidR="007E0A96">
        <w:t>in about two weeks</w:t>
      </w:r>
      <w:r w:rsidRPr="00B84AF6" w:rsidR="000963EC">
        <w:t xml:space="preserve">.  </w:t>
      </w:r>
      <w:r w:rsidR="00A91078">
        <w:t>H</w:t>
      </w:r>
      <w:r w:rsidRPr="00B84AF6">
        <w:t>is criminal record</w:t>
      </w:r>
      <w:r w:rsidR="00522662">
        <w:t xml:space="preserve"> </w:t>
      </w:r>
      <w:r w:rsidRPr="00B84AF6">
        <w:t>reflected two prior rape convictions as well as the spousal assault for wh</w:t>
      </w:r>
      <w:r w:rsidRPr="00B84AF6" w:rsidR="000963EC">
        <w:t xml:space="preserve">ich he was then incarcerated.  </w:t>
      </w:r>
      <w:r w:rsidRPr="00B84AF6">
        <w:t>Chicoine testified that he and Dudek concocted a “ruse</w:t>
      </w:r>
      <w:r w:rsidR="00A91078">
        <w:t>,</w:t>
      </w:r>
      <w:r w:rsidRPr="00B84AF6">
        <w:t>” plann</w:t>
      </w:r>
      <w:r w:rsidR="00A91078">
        <w:t>ing</w:t>
      </w:r>
      <w:r w:rsidRPr="00B84AF6">
        <w:t xml:space="preserve"> to present themselves as “290 investigators” looking into defendant’s past sexual offenses before he returned to the community.  (See § 290 et seq. [Sex Offender Registration Act].)</w:t>
      </w:r>
      <w:r w:rsidRPr="00B84AF6" w:rsidR="000963EC">
        <w:t xml:space="preserve">  Although Chico</w:t>
      </w:r>
      <w:r w:rsidR="00F65DE8">
        <w:t>i</w:t>
      </w:r>
      <w:r w:rsidRPr="00B84AF6" w:rsidR="000963EC">
        <w:t xml:space="preserve">ne was in fact responsible for monitoring </w:t>
      </w:r>
      <w:r w:rsidR="00A91078">
        <w:t xml:space="preserve">released </w:t>
      </w:r>
      <w:r w:rsidRPr="00B84AF6" w:rsidR="000963EC">
        <w:t xml:space="preserve">sex offenders, </w:t>
      </w:r>
      <w:r w:rsidRPr="00B84AF6" w:rsidR="00B036B9">
        <w:t xml:space="preserve">he was also a homicide investigator and </w:t>
      </w:r>
      <w:r w:rsidRPr="00B84AF6" w:rsidR="000963EC">
        <w:t xml:space="preserve">his </w:t>
      </w:r>
      <w:r w:rsidRPr="00B84AF6">
        <w:t xml:space="preserve">true </w:t>
      </w:r>
      <w:r w:rsidR="00A91078">
        <w:t>goal</w:t>
      </w:r>
      <w:r w:rsidRPr="00B84AF6">
        <w:t xml:space="preserve"> was to talk about the McKenna case.  </w:t>
      </w:r>
    </w:p>
    <w:p w:rsidR="00EA47B8" w:rsidRPr="00B84AF6" w:rsidP="00B84AF6">
      <w:pPr>
        <w:tabs>
          <w:tab w:val="left" w:pos="1440"/>
        </w:tabs>
        <w:ind w:firstLine="720"/>
      </w:pPr>
      <w:r w:rsidRPr="00B84AF6">
        <w:t xml:space="preserve">The interview was tape recorded, though there was some preliminary conversation before the recording </w:t>
      </w:r>
      <w:r w:rsidR="00A91078">
        <w:t>began</w:t>
      </w:r>
      <w:r w:rsidRPr="00B84AF6">
        <w:t xml:space="preserve">.  </w:t>
      </w:r>
      <w:r w:rsidRPr="00B84AF6" w:rsidR="001D597F">
        <w:t xml:space="preserve">Chicoine and Dudek </w:t>
      </w:r>
      <w:r w:rsidRPr="00B84AF6" w:rsidR="00B47240">
        <w:t xml:space="preserve">identified themselves </w:t>
      </w:r>
      <w:r w:rsidRPr="00B84AF6" w:rsidR="001D597F">
        <w:t xml:space="preserve">as </w:t>
      </w:r>
      <w:r w:rsidRPr="00B84AF6" w:rsidR="00B47240">
        <w:t>deputies with the Alameda County Sheri</w:t>
      </w:r>
      <w:r w:rsidRPr="00B84AF6" w:rsidR="00C738B1">
        <w:t xml:space="preserve">ff’s Department.  </w:t>
      </w:r>
      <w:r w:rsidRPr="00B84AF6">
        <w:t>At the beginning of the tape, Chicoine said:  “Ok.  Carl, like I’ve explained to you before we want to talk to you about some of your past crimes and some of the sex registration laws and things like that.  Before we do that, I had mentioned to you before that we’re going to read y</w:t>
      </w:r>
      <w:r w:rsidRPr="00B84AF6" w:rsidR="00C738B1">
        <w:t xml:space="preserve">ou your rights . . . .”  </w:t>
      </w:r>
      <w:r w:rsidRPr="00B84AF6">
        <w:t xml:space="preserve">Chicoine </w:t>
      </w:r>
      <w:r w:rsidR="00A91078">
        <w:t xml:space="preserve">then recited the </w:t>
      </w:r>
      <w:r w:rsidRPr="00B84AF6">
        <w:rPr>
          <w:i/>
        </w:rPr>
        <w:t>Miranda</w:t>
      </w:r>
      <w:r w:rsidRPr="00B84AF6">
        <w:t xml:space="preserve"> rights.  Defendant said he understood them</w:t>
      </w:r>
      <w:r w:rsidR="00A91078">
        <w:t>,</w:t>
      </w:r>
      <w:r w:rsidRPr="00B84AF6">
        <w:t xml:space="preserve"> was willing to talk</w:t>
      </w:r>
      <w:r w:rsidR="00A91078">
        <w:t>,</w:t>
      </w:r>
      <w:r w:rsidRPr="00B84AF6">
        <w:t xml:space="preserve"> </w:t>
      </w:r>
      <w:bookmarkStart w:id="13" w:name="_Hlk526503662"/>
      <w:r w:rsidR="00A91078">
        <w:t xml:space="preserve">and </w:t>
      </w:r>
      <w:r w:rsidRPr="00B84AF6" w:rsidR="0001080A">
        <w:t>signed a written w</w:t>
      </w:r>
      <w:r w:rsidRPr="00B84AF6" w:rsidR="00280187">
        <w:t xml:space="preserve">aiver.  </w:t>
      </w:r>
      <w:bookmarkEnd w:id="13"/>
      <w:r w:rsidRPr="00B84AF6">
        <w:t>As he was filling out the form</w:t>
      </w:r>
      <w:r w:rsidR="00A91078">
        <w:t>,</w:t>
      </w:r>
      <w:r w:rsidRPr="00B84AF6">
        <w:t xml:space="preserve"> he asked if his parole would be affected “</w:t>
      </w:r>
      <w:r w:rsidRPr="00B84AF6" w:rsidR="003E7C5F">
        <w:t>[</w:t>
      </w:r>
      <w:r w:rsidRPr="00B84AF6">
        <w:t>i</w:t>
      </w:r>
      <w:r w:rsidRPr="00B84AF6" w:rsidR="003E7C5F">
        <w:t>]</w:t>
      </w:r>
      <w:r w:rsidRPr="00B84AF6">
        <w:t>f I don’t answer any of these questions.”  Chicoine replied, “</w:t>
      </w:r>
      <w:r w:rsidRPr="00B84AF6" w:rsidR="003E7C5F">
        <w:t>No, a</w:t>
      </w:r>
      <w:r w:rsidRPr="00B84AF6" w:rsidR="00C738B1">
        <w:t>bsolutely not.”</w:t>
      </w:r>
    </w:p>
    <w:p w:rsidR="00EA47B8" w:rsidRPr="00B84AF6" w:rsidP="00B84AF6">
      <w:pPr>
        <w:tabs>
          <w:tab w:val="left" w:pos="1440"/>
        </w:tabs>
        <w:ind w:firstLine="720"/>
      </w:pPr>
      <w:r>
        <w:t>When d</w:t>
      </w:r>
      <w:r w:rsidRPr="00B84AF6">
        <w:t>efendant asked if “</w:t>
      </w:r>
      <w:r w:rsidRPr="00B84AF6" w:rsidR="003E7C5F">
        <w:t>[</w:t>
      </w:r>
      <w:r w:rsidRPr="00B84AF6">
        <w:t>y</w:t>
      </w:r>
      <w:r w:rsidRPr="00B84AF6" w:rsidR="003E7C5F">
        <w:t>]</w:t>
      </w:r>
      <w:r w:rsidRPr="00B84AF6">
        <w:t xml:space="preserve">ou do that for everybody now?  All the sex registrants?”  Dudek </w:t>
      </w:r>
      <w:r>
        <w:t>replied</w:t>
      </w:r>
      <w:r w:rsidRPr="00B84AF6">
        <w:t xml:space="preserve"> it was “our normal procedure.”  Chicoine </w:t>
      </w:r>
      <w:r w:rsidRPr="00B84AF6">
        <w:t>expla</w:t>
      </w:r>
      <w:r>
        <w:t>ined</w:t>
      </w:r>
      <w:r w:rsidRPr="00B84AF6">
        <w:t>:  “I list every single sex registrant that comes across my desk, I look at</w:t>
      </w:r>
      <w:r w:rsidRPr="00B84AF6" w:rsidR="00DF4ED9">
        <w:t>.”</w:t>
      </w:r>
      <w:r w:rsidRPr="00B84AF6">
        <w:t xml:space="preserve">  </w:t>
      </w:r>
      <w:r w:rsidRPr="00B84AF6" w:rsidR="00DF4ED9">
        <w:t>“</w:t>
      </w:r>
      <w:r w:rsidRPr="00B84AF6">
        <w:t>Every single one and I’m constantly on the phone and I have two files full.”</w:t>
      </w:r>
      <w:r w:rsidRPr="00B84AF6" w:rsidR="00C738B1">
        <w:t xml:space="preserve">  </w:t>
      </w:r>
      <w:r w:rsidRPr="00B84AF6">
        <w:t>Chicoine said, “And here’s, here’s one of the things that I do just so you know, is that, you know, especially when you’re out there your whole goal in life is you want to stay in my file.  I mean you’re g</w:t>
      </w:r>
      <w:r w:rsidRPr="00B84AF6" w:rsidR="003E7C5F">
        <w:t>oing to be there for life anyhow</w:t>
      </w:r>
      <w:r w:rsidRPr="00B84AF6">
        <w:t xml:space="preserve">.”  Defendant echoed that he would </w:t>
      </w:r>
      <w:r w:rsidRPr="00B84AF6" w:rsidR="003E7C5F">
        <w:t xml:space="preserve">be </w:t>
      </w:r>
      <w:r w:rsidRPr="00B84AF6">
        <w:t>“there for life anyway.”  Chicoine said, “</w:t>
      </w:r>
      <w:r w:rsidRPr="00B84AF6" w:rsidR="003E7C5F">
        <w:t>R</w:t>
      </w:r>
      <w:r w:rsidRPr="00B84AF6">
        <w:t xml:space="preserve">ight.  But you want to stay </w:t>
      </w:r>
      <w:r w:rsidRPr="00B84AF6" w:rsidR="003E7C5F">
        <w:t>[</w:t>
      </w:r>
      <w:r w:rsidRPr="00B84AF6">
        <w:t>i</w:t>
      </w:r>
      <w:r w:rsidRPr="00B84AF6" w:rsidR="003E7C5F">
        <w:t>]</w:t>
      </w:r>
      <w:r w:rsidRPr="00B84AF6">
        <w:t>n the fil</w:t>
      </w:r>
      <w:r w:rsidRPr="00B84AF6" w:rsidR="003E7C5F">
        <w:t>ing cabinet.”  Defendant said “Y</w:t>
      </w:r>
      <w:r w:rsidRPr="00B84AF6">
        <w:t>eah.”  Chicoine continued, “</w:t>
      </w:r>
      <w:r w:rsidRPr="00B84AF6" w:rsidR="003E7C5F">
        <w:t>I</w:t>
      </w:r>
      <w:r w:rsidRPr="00B84AF6">
        <w:t xml:space="preserve">f you’re causing a problem or if I’m getting called or whatever else, then it gets put in a red file and it sits on my desk and I have about 4 or 5 of them </w:t>
      </w:r>
      <w:r w:rsidRPr="00B84AF6" w:rsidR="003E7C5F">
        <w:t xml:space="preserve">on my desk </w:t>
      </w:r>
      <w:r w:rsidRPr="00B84AF6">
        <w:t xml:space="preserve">at any time.  And those are the guys </w:t>
      </w:r>
      <w:r w:rsidRPr="00B84AF6" w:rsidR="003E7C5F">
        <w:t xml:space="preserve">that I’m looking for.  Those are the guys </w:t>
      </w:r>
      <w:r w:rsidRPr="00B84AF6">
        <w:t>I’m going after.  So</w:t>
      </w:r>
      <w:r w:rsidRPr="00B84AF6" w:rsidR="00194745">
        <w:t xml:space="preserve">, the goal . . . </w:t>
      </w:r>
      <w:r w:rsidRPr="00B84AF6">
        <w:t>objective is to stay in the file and stay off my desk.</w:t>
      </w:r>
      <w:r w:rsidRPr="00B84AF6" w:rsidR="00194745">
        <w:t xml:space="preserve">  Correct?</w:t>
      </w:r>
      <w:r w:rsidRPr="00B84AF6">
        <w:t>”</w:t>
      </w:r>
      <w:r>
        <w:rPr>
          <w:rStyle w:val="FootnoteReference"/>
        </w:rPr>
        <w:footnoteReference w:id="6"/>
      </w:r>
      <w:r w:rsidRPr="00B84AF6">
        <w:t xml:space="preserve">   Defendant’s response is not audible, but Chicoine followed up with “All right</w:t>
      </w:r>
      <w:r w:rsidRPr="00B84AF6" w:rsidR="003E7C5F">
        <w:t>.</w:t>
      </w:r>
      <w:r w:rsidRPr="00B84AF6" w:rsidR="00C738B1">
        <w:t>”</w:t>
      </w:r>
    </w:p>
    <w:p w:rsidR="00EA47B8" w:rsidRPr="00B84AF6" w:rsidP="00B84AF6">
      <w:pPr>
        <w:tabs>
          <w:tab w:val="left" w:pos="1440"/>
        </w:tabs>
        <w:ind w:firstLine="720"/>
      </w:pPr>
      <w:r w:rsidRPr="00B84AF6">
        <w:t xml:space="preserve">For </w:t>
      </w:r>
      <w:r w:rsidR="00A91078">
        <w:t>about an hour</w:t>
      </w:r>
      <w:r w:rsidRPr="00B84AF6">
        <w:t>, they discussed defendant’s job prospects, family background, substance abuse issue</w:t>
      </w:r>
      <w:r w:rsidRPr="00B84AF6" w:rsidR="00C738B1">
        <w:t xml:space="preserve">s, and prior offenses.  </w:t>
      </w:r>
      <w:r w:rsidRPr="00B84AF6">
        <w:t>After reviewing the assault on Brenda, Chicoine told defendant “we want to look at other things to see if, you know, maybe you have an involvement in, in other situations that were out in that area.”  He asked if defendant remembered “an incident where there was a girl</w:t>
      </w:r>
      <w:r w:rsidRPr="00B84AF6" w:rsidR="00CC2BC4">
        <w:t xml:space="preserve"> that died?”  Defendant said, “M</w:t>
      </w:r>
      <w:r w:rsidRPr="00B84AF6" w:rsidR="00C738B1">
        <w:t xml:space="preserve">y neighbor next door.”  </w:t>
      </w:r>
      <w:r w:rsidRPr="00B84AF6">
        <w:t xml:space="preserve">He did not remember her name, but said he had “a drink at the manager’s house with her and we got high at the manager’s house together.”  Dudek showed defendant a picture of McKenna, and defendant recognized her as “my neighbor.”  Chicoine </w:t>
      </w:r>
      <w:r w:rsidR="004F7436">
        <w:t>gave her</w:t>
      </w:r>
      <w:r w:rsidRPr="00B84AF6">
        <w:t xml:space="preserve"> name “S</w:t>
      </w:r>
      <w:r w:rsidRPr="00B84AF6" w:rsidR="00DF4ED9">
        <w:t xml:space="preserve">usan </w:t>
      </w:r>
      <w:r w:rsidRPr="00B84AF6">
        <w:t>McKenna</w:t>
      </w:r>
      <w:r w:rsidR="004F7436">
        <w:t>,</w:t>
      </w:r>
      <w:r w:rsidRPr="00B84AF6">
        <w:t xml:space="preserve">” </w:t>
      </w:r>
      <w:r w:rsidR="004F7436">
        <w:t>and d</w:t>
      </w:r>
      <w:r w:rsidRPr="00B84AF6">
        <w:t xml:space="preserve">efendant acknowledged “we called her Sue.”  He said </w:t>
      </w:r>
      <w:r w:rsidRPr="00B84AF6" w:rsidR="004F7436">
        <w:t xml:space="preserve">at the time of the murder </w:t>
      </w:r>
      <w:r w:rsidRPr="00B84AF6">
        <w:t>his parole officer had asked him if he knew anything, and h</w:t>
      </w:r>
      <w:r w:rsidRPr="00B84AF6" w:rsidR="0042455D">
        <w:t>e told her “no.”</w:t>
      </w:r>
    </w:p>
    <w:p w:rsidR="00EA47B8" w:rsidRPr="00B84AF6" w:rsidP="00B84AF6">
      <w:pPr>
        <w:tabs>
          <w:tab w:val="left" w:pos="1440"/>
        </w:tabs>
        <w:ind w:firstLine="720"/>
      </w:pPr>
      <w:r>
        <w:t>They talked about</w:t>
      </w:r>
      <w:r w:rsidRPr="00B84AF6">
        <w:t xml:space="preserve"> defendant’s use of drugs with McKenna and asked if he had a sexual relationship with her.  Defendant admitted that he did, saying it was a “hit and run,” a single occasion a day or two before her death.  He was surprised no one had come to see him after she died, “because I know wha</w:t>
      </w:r>
      <w:r w:rsidRPr="00B84AF6" w:rsidR="00DD06FA">
        <w:t xml:space="preserve">t my record looks like.”  </w:t>
      </w:r>
      <w:r w:rsidRPr="00B84AF6">
        <w:t>He said they had had “</w:t>
      </w:r>
      <w:r w:rsidRPr="00B84AF6" w:rsidR="000A2F3D">
        <w:t>[</w:t>
      </w:r>
      <w:r w:rsidRPr="00B84AF6">
        <w:t>r</w:t>
      </w:r>
      <w:r w:rsidRPr="00B84AF6" w:rsidR="000A2F3D">
        <w:t>]</w:t>
      </w:r>
      <w:r w:rsidRPr="00B84AF6">
        <w:t>egular missionary style sex,” and answered “</w:t>
      </w:r>
      <w:r w:rsidRPr="00B84AF6" w:rsidR="000A2F3D">
        <w:t>N</w:t>
      </w:r>
      <w:r w:rsidRPr="00B84AF6">
        <w:t>o” when asked if it was “rough sex.”  He said “it was just spontaneous sex.”  He</w:t>
      </w:r>
      <w:r w:rsidRPr="00B84AF6" w:rsidR="00DD06FA">
        <w:t xml:space="preserve"> denied biting her.</w:t>
      </w:r>
    </w:p>
    <w:p w:rsidR="00EA47B8" w:rsidRPr="00B84AF6" w:rsidP="00B84AF6">
      <w:pPr>
        <w:tabs>
          <w:tab w:val="left" w:pos="1440"/>
        </w:tabs>
        <w:ind w:firstLine="720"/>
      </w:pPr>
      <w:r w:rsidRPr="00B84AF6">
        <w:t>Chicoine asked if anyone had suspected him o</w:t>
      </w:r>
      <w:r w:rsidRPr="00B84AF6" w:rsidR="000A2F3D">
        <w:t>f the murder.  Defendant said</w:t>
      </w:r>
      <w:r w:rsidRPr="00B84AF6" w:rsidR="006D1765">
        <w:t>,</w:t>
      </w:r>
      <w:r w:rsidRPr="00B84AF6" w:rsidR="000A2F3D">
        <w:t xml:space="preserve"> “Y</w:t>
      </w:r>
      <w:r w:rsidRPr="00B84AF6">
        <w:t>es</w:t>
      </w:r>
      <w:r w:rsidR="004F7436">
        <w:t>,</w:t>
      </w:r>
      <w:r w:rsidRPr="00B84AF6">
        <w:t xml:space="preserve">” </w:t>
      </w:r>
      <w:r w:rsidR="004F7436">
        <w:t>even his wife</w:t>
      </w:r>
      <w:r w:rsidRPr="00B84AF6" w:rsidR="00B04D8B">
        <w:t xml:space="preserve"> “</w:t>
      </w:r>
      <w:r w:rsidRPr="00B84AF6">
        <w:t xml:space="preserve">thought so.”  </w:t>
      </w:r>
      <w:r w:rsidR="004F7436">
        <w:t xml:space="preserve">When </w:t>
      </w:r>
      <w:r w:rsidRPr="00B84AF6">
        <w:t>Dudek inquired what he had told his wife</w:t>
      </w:r>
      <w:r w:rsidR="004F7436">
        <w:t>,</w:t>
      </w:r>
      <w:r w:rsidRPr="00B84AF6">
        <w:t xml:space="preserve"> defendant became reticent, and said he needed to go to the bathroom.  He admitted, “I told Brenda I know what happened,” then </w:t>
      </w:r>
      <w:r w:rsidR="004F7436">
        <w:t>again asked to use the restroom</w:t>
      </w:r>
      <w:r w:rsidRPr="00B84AF6">
        <w:t xml:space="preserve">.  Pressed by Chicoine for “the gist of what you told Brenda,” defendant said “It was so long ago, I cannot remember.  I’m not going to bullshit you.”  The tape recorder was turned off </w:t>
      </w:r>
      <w:r w:rsidR="004F7436">
        <w:t>and</w:t>
      </w:r>
      <w:r w:rsidRPr="00B84AF6">
        <w:t xml:space="preserve"> defendant went to the </w:t>
      </w:r>
      <w:r w:rsidR="004F7436">
        <w:t>restroom</w:t>
      </w:r>
      <w:r w:rsidRPr="00B84AF6">
        <w:t xml:space="preserve">.  When he returned, he invoked his </w:t>
      </w:r>
      <w:r w:rsidRPr="00B84AF6">
        <w:rPr>
          <w:i/>
        </w:rPr>
        <w:t>Miranda</w:t>
      </w:r>
      <w:r w:rsidRPr="00B84AF6">
        <w:t xml:space="preserve"> rights.  The officers turned the recorder back on, and said defendant wanted “to tell us something specifically.”  Defendant said,</w:t>
      </w:r>
      <w:r w:rsidRPr="00B84AF6" w:rsidR="00B04D8B">
        <w:t xml:space="preserve"> “N</w:t>
      </w:r>
      <w:r w:rsidRPr="00B84AF6">
        <w:t>o disrespect to both of you gentlemen.  I understand where this is leading to, this conversation and I would rather not say anything else until I have a public de</w:t>
      </w:r>
      <w:r w:rsidRPr="00B84AF6" w:rsidR="00DD06FA">
        <w:t>fender of mine.”</w:t>
      </w:r>
    </w:p>
    <w:p w:rsidR="00EA47B8" w:rsidRPr="00B84AF6" w:rsidP="00B84AF6">
      <w:pPr>
        <w:tabs>
          <w:tab w:val="left" w:pos="1440"/>
        </w:tabs>
        <w:ind w:firstLine="720"/>
      </w:pPr>
      <w:r w:rsidRPr="00B84AF6">
        <w:t xml:space="preserve">The officers stopped the interrogation and </w:t>
      </w:r>
      <w:r w:rsidR="004F7436">
        <w:t>said</w:t>
      </w:r>
      <w:r w:rsidRPr="00B84AF6">
        <w:t xml:space="preserve"> they had a search warrant for blood and buccal swab</w:t>
      </w:r>
      <w:r w:rsidR="004F7436">
        <w:t>s</w:t>
      </w:r>
      <w:r w:rsidRPr="00B84AF6">
        <w:t xml:space="preserve">, dental casts, and his shoes.  They </w:t>
      </w:r>
      <w:r w:rsidR="004F7436">
        <w:t>said</w:t>
      </w:r>
      <w:r w:rsidRPr="00B84AF6">
        <w:t xml:space="preserve"> if he </w:t>
      </w:r>
      <w:r w:rsidRPr="00B84AF6" w:rsidR="00B04D8B">
        <w:t>wanted to talk to them again, “Y</w:t>
      </w:r>
      <w:r w:rsidRPr="00B84AF6">
        <w:t xml:space="preserve">ou have to initiate the contact.”  Defendant said he understood and asked if they had a card.  They each gave him one, and </w:t>
      </w:r>
      <w:r w:rsidR="004F7436">
        <w:t>repeated</w:t>
      </w:r>
      <w:r w:rsidRPr="00B84AF6">
        <w:t xml:space="preserve"> that he needed to initiate contact, telling him to “get ahold of the guards here” and say </w:t>
      </w:r>
      <w:r w:rsidR="004F7436">
        <w:t>“</w:t>
      </w:r>
      <w:r w:rsidRPr="00B84AF6">
        <w:t>I want to talk.”  Defendant responded, “[or] my counselor [or my</w:t>
      </w:r>
      <w:r w:rsidRPr="00B84AF6" w:rsidR="00DD06FA">
        <w:t xml:space="preserve"> captain or something].”</w:t>
      </w:r>
      <w:r w:rsidRPr="00B84AF6">
        <w:t xml:space="preserve">  The tape recor</w:t>
      </w:r>
      <w:r w:rsidR="004F7436">
        <w:t>ding ended</w:t>
      </w:r>
      <w:r w:rsidRPr="00B84AF6">
        <w:t xml:space="preserve">.  Chicoine testified that defendant said he wanted to tell them what happened, but would like to talk to a counselor first, which Chicoine understood to mean a religious counselor.  Defendant said he would call them after he had that </w:t>
      </w:r>
      <w:r w:rsidRPr="00B84AF6" w:rsidR="00DD06FA">
        <w:t>opportunity.</w:t>
      </w:r>
    </w:p>
    <w:p w:rsidR="00EA47B8" w:rsidRPr="00B84AF6" w:rsidP="00B84AF6">
      <w:pPr>
        <w:tabs>
          <w:tab w:val="left" w:pos="1440"/>
        </w:tabs>
        <w:ind w:firstLine="720"/>
      </w:pPr>
      <w:r w:rsidRPr="00B84AF6">
        <w:t xml:space="preserve">Chicoine conceded that defendant’s final statements about wanting to talk after consulting a counselor were not on the tape, or in </w:t>
      </w:r>
      <w:r w:rsidR="004F7436">
        <w:t>his</w:t>
      </w:r>
      <w:r w:rsidRPr="00B84AF6">
        <w:t xml:space="preserve"> police report</w:t>
      </w:r>
      <w:r w:rsidR="004F7436">
        <w:t>,</w:t>
      </w:r>
      <w:r w:rsidRPr="00B84AF6">
        <w:t xml:space="preserve"> </w:t>
      </w:r>
      <w:r w:rsidR="004F7436">
        <w:t>written</w:t>
      </w:r>
      <w:r w:rsidRPr="00B84AF6">
        <w:t xml:space="preserve"> </w:t>
      </w:r>
      <w:r w:rsidRPr="00B84AF6" w:rsidR="00C4646B">
        <w:t>five days later</w:t>
      </w:r>
      <w:r w:rsidRPr="00B84AF6" w:rsidR="00DD06FA">
        <w:t xml:space="preserve">.  </w:t>
      </w:r>
      <w:r w:rsidRPr="00B84AF6">
        <w:t xml:space="preserve">A supplemental report </w:t>
      </w:r>
      <w:r w:rsidR="004F7436">
        <w:t>from</w:t>
      </w:r>
      <w:r w:rsidRPr="00B84AF6">
        <w:t xml:space="preserve"> April 3, however, includes the following summary:  “Molano had previously invoked his right to an attorney during an interview . . . on 3/21/03.  At that time, Molano told us that he intended to call us and tell us everything about his involvement with Suzanne McKenna’s murder, but said he wanted to have a counseling session with his psychologist first.  Dudek explained to Molano that we would not be able to contact him, and that if he wanted to tell us anything regarding the crime, he would hav</w:t>
      </w:r>
      <w:r w:rsidRPr="00B84AF6" w:rsidR="00DD06FA">
        <w:t>e to contact us.”</w:t>
      </w:r>
    </w:p>
    <w:p w:rsidR="00CC79EE" w:rsidRPr="00B84AF6" w:rsidP="00B84AF6">
      <w:pPr>
        <w:tabs>
          <w:tab w:val="left" w:pos="1440"/>
        </w:tabs>
        <w:ind w:firstLine="720"/>
      </w:pPr>
      <w:r>
        <w:t>T</w:t>
      </w:r>
      <w:r w:rsidRPr="00B84AF6" w:rsidR="00EA47B8">
        <w:t xml:space="preserve">he officers finished collecting samples from defendant, </w:t>
      </w:r>
      <w:r w:rsidR="008158CE">
        <w:t>and</w:t>
      </w:r>
      <w:r w:rsidRPr="00B84AF6" w:rsidR="00EA47B8">
        <w:t xml:space="preserve"> informed prison staff of his status as a suspect.  Chicoine said it was understood that he would be placed in a “more secure situation, because of the possibility of [a] criminal complaint coming </w:t>
      </w:r>
      <w:r w:rsidRPr="00B84AF6" w:rsidR="00BD33A4">
        <w:t>down in the future.”</w:t>
      </w:r>
    </w:p>
    <w:p w:rsidR="00EA47B8" w:rsidRPr="00B84AF6" w:rsidP="00086BD0">
      <w:pPr>
        <w:pStyle w:val="Heading5"/>
        <w:numPr>
          <w:ilvl w:val="0"/>
          <w:numId w:val="39"/>
        </w:numPr>
        <w:tabs>
          <w:tab w:val="left" w:pos="2880"/>
        </w:tabs>
        <w:ind w:left="2880"/>
      </w:pPr>
      <w:bookmarkStart w:id="14" w:name="_Toc527447440"/>
      <w:r w:rsidRPr="00B84AF6">
        <w:t>The Conversation in the Car</w:t>
      </w:r>
      <w:bookmarkEnd w:id="14"/>
    </w:p>
    <w:p w:rsidR="00EA47B8" w:rsidRPr="00B84AF6" w:rsidP="00B84AF6">
      <w:pPr>
        <w:tabs>
          <w:tab w:val="left" w:pos="1440"/>
        </w:tabs>
        <w:ind w:firstLine="720"/>
      </w:pPr>
      <w:r w:rsidRPr="00B84AF6">
        <w:t xml:space="preserve">A complaint was filed on March 27, 2003, charging defendant with murder.  An arrest warrant issued, and on March 31, Dudek and Chicoine drove to San Quentin to take defendant </w:t>
      </w:r>
      <w:r w:rsidRPr="00B84AF6" w:rsidR="00BD33A4">
        <w:t xml:space="preserve">into custody.  </w:t>
      </w:r>
      <w:r w:rsidRPr="00B84AF6">
        <w:t xml:space="preserve">They </w:t>
      </w:r>
      <w:r w:rsidR="008158CE">
        <w:t>told</w:t>
      </w:r>
      <w:r w:rsidRPr="00B84AF6">
        <w:t xml:space="preserve"> him he was under arre</w:t>
      </w:r>
      <w:r w:rsidRPr="00B84AF6" w:rsidR="00BD33A4">
        <w:t xml:space="preserve">st for the murder.  </w:t>
      </w:r>
      <w:r w:rsidRPr="00B84AF6">
        <w:t>Chicoine testified that when the officers first encountered defendant in a receiving area at the prison, he told them “that he had been meaning to call us, that he had already talked to a counselor and that he intended to call us.”  There had been no contact with defendant since the last interview, but he said “</w:t>
      </w:r>
      <w:r w:rsidRPr="00B84AF6" w:rsidR="00101157">
        <w:t>[</w:t>
      </w:r>
      <w:r w:rsidRPr="00B84AF6">
        <w:t>h</w:t>
      </w:r>
      <w:r w:rsidRPr="00B84AF6" w:rsidR="00101157">
        <w:t>]</w:t>
      </w:r>
      <w:r w:rsidRPr="00B84AF6">
        <w:t>e knew we’d be coming back.”  Chicoine understood defendant’s statements as a reinitiation of the discussion at the end of the March 21 interview, when he had said “he did want to talk to us, he wanted to explain what was going on.”</w:t>
      </w:r>
      <w:r w:rsidRPr="00B84AF6" w:rsidR="00101157">
        <w:t xml:space="preserve"> </w:t>
      </w:r>
    </w:p>
    <w:p w:rsidR="00EA47B8" w:rsidRPr="00B84AF6" w:rsidP="00B84AF6">
      <w:pPr>
        <w:tabs>
          <w:tab w:val="left" w:pos="1440"/>
        </w:tabs>
        <w:ind w:firstLine="720"/>
      </w:pPr>
      <w:r w:rsidRPr="00B84AF6">
        <w:t>The court asked if that was</w:t>
      </w:r>
      <w:r w:rsidR="008158CE">
        <w:t xml:space="preserve"> only</w:t>
      </w:r>
      <w:r w:rsidRPr="00B84AF6">
        <w:t xml:space="preserve"> what Chicoine thought defendant meant, or if defendant expressly said he wanted to talk</w:t>
      </w:r>
      <w:r w:rsidRPr="00B84AF6" w:rsidR="006D1765">
        <w:t xml:space="preserve"> to them.  Chicoine answered, “I</w:t>
      </w:r>
      <w:r w:rsidRPr="00B84AF6">
        <w:t xml:space="preserve">t sounded to me that that’s exactly what he meant.”  </w:t>
      </w:r>
      <w:r w:rsidRPr="00B84AF6" w:rsidR="006D1765">
        <w:t>The court commented, “B</w:t>
      </w:r>
      <w:r w:rsidRPr="00B84AF6">
        <w:t>ut he didn’t overtly say ‘I want to talk to you</w:t>
      </w:r>
      <w:r w:rsidRPr="00B84AF6" w:rsidR="00101157">
        <w:t xml:space="preserve"> now</w:t>
      </w:r>
      <w:r w:rsidRPr="00B84AF6" w:rsidR="002319A2">
        <w:t>.</w:t>
      </w:r>
      <w:r w:rsidRPr="00B84AF6">
        <w:t>’ ”  Chicoine said, “</w:t>
      </w:r>
      <w:r w:rsidRPr="00B84AF6" w:rsidR="002319A2">
        <w:t>Y</w:t>
      </w:r>
      <w:r w:rsidRPr="00B84AF6">
        <w:t>es, he did.  He said he wanted to talk to us.  He had already talk[ed] to his counselor and that he meant to call us.”  Chicoine told defendant “to wait</w:t>
      </w:r>
      <w:r w:rsidRPr="00B84AF6" w:rsidR="00101157">
        <w:t>” and that “</w:t>
      </w:r>
      <w:r w:rsidRPr="00B84AF6">
        <w:t xml:space="preserve">we would get an opportunity to talk to him later.”  On cross-examination, Chicoine said he could not remember </w:t>
      </w:r>
      <w:r w:rsidR="008158CE">
        <w:t>defendant’s exact words</w:t>
      </w:r>
      <w:r w:rsidRPr="00B84AF6">
        <w:t xml:space="preserve">, “but I know that it was very close to — he said that he wanted to — that he meant or intended to call us, and that he had just wanted to get this over with.”  The court asked whether defendant made this statement before or after </w:t>
      </w:r>
      <w:r w:rsidR="008158CE">
        <w:t>being told</w:t>
      </w:r>
      <w:r w:rsidRPr="00B84AF6">
        <w:t xml:space="preserve"> he was under arrest.  Chicoine could not remember the sequence</w:t>
      </w:r>
      <w:r w:rsidRPr="00B84AF6" w:rsidR="00BD33A4">
        <w:t xml:space="preserve"> of the exchange.</w:t>
      </w:r>
      <w:r>
        <w:rPr>
          <w:rStyle w:val="FootnoteReference"/>
        </w:rPr>
        <w:footnoteReference w:id="7"/>
      </w:r>
      <w:r w:rsidRPr="00B84AF6">
        <w:t xml:space="preserve">  </w:t>
      </w:r>
    </w:p>
    <w:p w:rsidR="00EA47B8" w:rsidRPr="00B84AF6" w:rsidP="00B84AF6">
      <w:pPr>
        <w:tabs>
          <w:tab w:val="left" w:pos="1440"/>
        </w:tabs>
        <w:ind w:firstLine="720"/>
      </w:pPr>
      <w:r w:rsidRPr="00B84AF6">
        <w:t xml:space="preserve">Dudek drove from San Quentin to the </w:t>
      </w:r>
      <w:r w:rsidRPr="00B84AF6" w:rsidR="002F3800">
        <w:t>station</w:t>
      </w:r>
      <w:r w:rsidR="008158CE">
        <w:t>.</w:t>
      </w:r>
      <w:r w:rsidRPr="00B84AF6">
        <w:t xml:space="preserve"> </w:t>
      </w:r>
      <w:r w:rsidR="008158CE">
        <w:t xml:space="preserve"> </w:t>
      </w:r>
      <w:r w:rsidRPr="00B84AF6">
        <w:t xml:space="preserve">Chicoine </w:t>
      </w:r>
      <w:r w:rsidR="008158CE">
        <w:t>sat</w:t>
      </w:r>
      <w:r w:rsidRPr="00B84AF6">
        <w:t xml:space="preserve"> behind him and defendant </w:t>
      </w:r>
      <w:r w:rsidR="008158CE">
        <w:t xml:space="preserve">was </w:t>
      </w:r>
      <w:r w:rsidRPr="00B84AF6">
        <w:t>in the right rear seat.  When they got into the car, Dudek turned on a tape recorder placed on the fr</w:t>
      </w:r>
      <w:r w:rsidRPr="00B84AF6" w:rsidR="00BD33A4">
        <w:t xml:space="preserve">ont passenger seat.  </w:t>
      </w:r>
      <w:r w:rsidRPr="00B84AF6">
        <w:t>At the outset of the ensuing conversation, Dudek asked defendant if he had “any questions or anything.”  Defendant said he wa</w:t>
      </w:r>
      <w:r w:rsidRPr="00B84AF6" w:rsidR="002319A2">
        <w:t>s “in limbo.”  Dudek replied, “Y</w:t>
      </w:r>
      <w:r w:rsidRPr="00B84AF6">
        <w:t>ou’re in limbo?”  “Is that, is that a good thing or a bad thing being in limbo?”  Defendant said he d</w:t>
      </w:r>
      <w:r w:rsidRPr="00B84AF6" w:rsidR="007E6467">
        <w:t>idn’t know.  Dudek asked him, “K</w:t>
      </w:r>
      <w:r w:rsidRPr="00B84AF6">
        <w:t xml:space="preserve">now what’s going on or </w:t>
      </w:r>
      <w:r w:rsidRPr="00B84AF6" w:rsidR="007E6467">
        <w:t>no?”  Defendant replied, “[N</w:t>
      </w:r>
      <w:r w:rsidRPr="00B84AF6">
        <w:t>o,] run it down</w:t>
      </w:r>
      <w:r w:rsidRPr="00B84AF6" w:rsidR="007E6467">
        <w:t>.</w:t>
      </w:r>
      <w:r w:rsidRPr="00B84AF6">
        <w:t>”  Chicoine told defendant he would be arraigned, “hopefully on Wednesday.”  A</w:t>
      </w:r>
      <w:r w:rsidRPr="00B84AF6" w:rsidR="007E6467">
        <w:t>fter a pause, defendant asked</w:t>
      </w:r>
      <w:r w:rsidRPr="00B84AF6" w:rsidR="006D1765">
        <w:t>,</w:t>
      </w:r>
      <w:r w:rsidRPr="00B84AF6" w:rsidR="007E6467">
        <w:t xml:space="preserve"> “W</w:t>
      </w:r>
      <w:r w:rsidRPr="00B84AF6">
        <w:t>hat’s it look like I’m facing?”  Dudek said “obviously we can’t tell one way or the other, but</w:t>
      </w:r>
      <w:r w:rsidRPr="00B84AF6" w:rsidR="007E6467">
        <w:t>,</w:t>
      </w:r>
      <w:r w:rsidRPr="00B84AF6">
        <w:t xml:space="preserve"> I don’t know.  You understand the charge, right?”  Defendant gave an affirmative response, and silence en</w:t>
      </w:r>
      <w:r w:rsidRPr="00B84AF6" w:rsidR="00BD33A4">
        <w:t>sued.</w:t>
      </w:r>
    </w:p>
    <w:p w:rsidR="00EA47B8" w:rsidRPr="00B84AF6" w:rsidP="00B84AF6">
      <w:pPr>
        <w:tabs>
          <w:tab w:val="left" w:pos="1440"/>
        </w:tabs>
        <w:ind w:firstLine="720"/>
      </w:pPr>
      <w:r w:rsidRPr="00B84AF6">
        <w:t>Dudek resumed the conversation, saying “I’ve seen better, I’ve seen worse.  That’s a pretty chicken shit answer but</w:t>
      </w:r>
      <w:r w:rsidRPr="00B84AF6" w:rsidR="00091847">
        <w:t xml:space="preserve"> . . . </w:t>
      </w:r>
      <w:r w:rsidRPr="00B84AF6" w:rsidR="006D1765">
        <w:t>.</w:t>
      </w:r>
      <w:r w:rsidRPr="00B84AF6" w:rsidR="007574B1">
        <w:t>”  “A</w:t>
      </w:r>
      <w:r w:rsidRPr="00B84AF6">
        <w:t>nd obviously we’d like to have an explanation, but we’re not in that position because of what you said the other day, but if you’d like to give an explanation then we’re gonna give you another opportunity once we get to our station.  That’s kind of where we’re at right now.  And obviously, you know, we’re a little bit more at liberty to tell you some things that we didn’t tell you the other day that we can tell you now.  That’ll come out i</w:t>
      </w:r>
      <w:r w:rsidRPr="00B84AF6" w:rsidR="00091847">
        <w:t>f you want it to, but [</w:t>
      </w:r>
      <w:r w:rsidRPr="00B84AF6">
        <w:t>you kind of hold the,] you’re kind of in control here right now to say yeah, go ahead and tell me or I don’t give a shit, I’ll find out sooner or later, s</w:t>
      </w:r>
      <w:r w:rsidRPr="00B84AF6" w:rsidR="00BD33A4">
        <w:t>o . . . .”</w:t>
      </w:r>
    </w:p>
    <w:p w:rsidR="00EA47B8" w:rsidRPr="00B84AF6" w:rsidP="00B84AF6">
      <w:pPr>
        <w:tabs>
          <w:tab w:val="left" w:pos="1440"/>
        </w:tabs>
        <w:ind w:firstLine="720"/>
      </w:pPr>
      <w:r w:rsidRPr="00B84AF6">
        <w:t>Defendant said, “T</w:t>
      </w:r>
      <w:r w:rsidRPr="00B84AF6">
        <w:t>ell me.”  Dudek replie</w:t>
      </w:r>
      <w:r w:rsidRPr="00B84AF6" w:rsidR="00294C86">
        <w:t>d, “A</w:t>
      </w:r>
      <w:r w:rsidRPr="00B84AF6">
        <w:t>lright.  Does that mean you want to talk to us again or does that mean you just wanna</w:t>
      </w:r>
      <w:r w:rsidRPr="00B84AF6" w:rsidR="00294C86">
        <w:t>, l</w:t>
      </w:r>
      <w:r w:rsidRPr="00B84AF6">
        <w:t>et me explain what’s gonna go on now and then maybe [you’ll answer] our questions.  You’re gonna go back, we’re gonna put you in an interview room, we’re gonna read you your rights again, we’re gonna go over the fact that we were out to talk to you a week ago, ten days ago actually it is now, and at that point you talked to us a little bit and you said hey, at this point here you want to talk to your counselor</w:t>
      </w:r>
      <w:r w:rsidRPr="00B84AF6" w:rsidR="003B0D3A">
        <w:t xml:space="preserve">, you wanted to talk to whoever, and, </w:t>
      </w:r>
      <w:r w:rsidRPr="00B84AF6" w:rsidR="006D1765">
        <w:t xml:space="preserve">and, we’ll go over that again </w:t>
      </w:r>
      <w:r w:rsidRPr="00B84AF6">
        <w:t xml:space="preserve">. . . </w:t>
      </w:r>
      <w:r w:rsidRPr="00B84AF6" w:rsidR="003B0D3A">
        <w:t>i</w:t>
      </w:r>
      <w:r w:rsidRPr="00B84AF6">
        <w:t xml:space="preserve">f at that point you say I wanna know a little bit more, I wanna talk to you about it a little bit more then we’ll go from there, and that’s where we’re at, </w:t>
      </w:r>
      <w:r w:rsidRPr="00B84AF6" w:rsidR="006D1765">
        <w:t>OK?”  Defendant said, “[A</w:t>
      </w:r>
      <w:r w:rsidRPr="00B84AF6" w:rsidR="00BD33A4">
        <w:t>ll right].”</w:t>
      </w:r>
    </w:p>
    <w:p w:rsidR="00EA47B8" w:rsidRPr="00B84AF6" w:rsidP="00B84AF6">
      <w:pPr>
        <w:tabs>
          <w:tab w:val="left" w:pos="1440"/>
        </w:tabs>
        <w:ind w:firstLine="720"/>
      </w:pPr>
      <w:r w:rsidRPr="00B84AF6">
        <w:t>Dudek continued, “</w:t>
      </w:r>
      <w:r w:rsidRPr="00B84AF6" w:rsidR="003B0D3A">
        <w:t xml:space="preserve">So, even if it’s one </w:t>
      </w:r>
      <w:r w:rsidRPr="00B84AF6">
        <w:t>sided and you say hey, I want to talk to you and you don’t say nothing, you gotta tell us I want to have th</w:t>
      </w:r>
      <w:r w:rsidRPr="00B84AF6" w:rsidR="003B0D3A">
        <w:t>e conversation be more of a two</w:t>
      </w:r>
      <w:r w:rsidRPr="00B84AF6" w:rsidR="006D1765">
        <w:t>-</w:t>
      </w:r>
      <w:r w:rsidRPr="00B84AF6">
        <w:t>sided conversation.  Cause I think that’s only fair to us and you’ve been in the system, you know what I mean?  I’m not here to clown you, like I told you the other day, you know.  And it’s only right that you say yeah, let’s go ahead and I want to hear what’s up, and then once you give us that, and if you decide at one point again, you know what, I’m hurting enough, and</w:t>
      </w:r>
      <w:r w:rsidRPr="00B84AF6" w:rsidR="00521F32">
        <w:t>, and</w:t>
      </w:r>
      <w:r w:rsidRPr="00B84AF6">
        <w:t xml:space="preserve"> then we stop again</w:t>
      </w:r>
      <w:r w:rsidRPr="00B84AF6" w:rsidR="00521F32">
        <w:t xml:space="preserve">, so.  </w:t>
      </w:r>
      <w:r w:rsidRPr="00B84AF6">
        <w:t>I think truthfully, and you know this too, and you even said it, that</w:t>
      </w:r>
      <w:r w:rsidRPr="00B84AF6" w:rsidR="00521F32">
        <w:t>,</w:t>
      </w:r>
      <w:r w:rsidRPr="00B84AF6">
        <w:t xml:space="preserve"> you know</w:t>
      </w:r>
      <w:r w:rsidRPr="00B84AF6" w:rsidR="00521F32">
        <w:t>,</w:t>
      </w:r>
      <w:r w:rsidRPr="00B84AF6">
        <w:t xml:space="preserve"> you, I think you did want to go on with a little bit more</w:t>
      </w:r>
      <w:r w:rsidRPr="00B84AF6" w:rsidR="00521F32">
        <w:t>,</w:t>
      </w:r>
      <w:r w:rsidRPr="00B84AF6">
        <w:t xml:space="preserve"> and I think there’s probably stuff that you do want to share with us th</w:t>
      </w:r>
      <w:r w:rsidRPr="00B84AF6" w:rsidR="006D1765">
        <w:t>at we may not know about, but . </w:t>
      </w:r>
      <w:r w:rsidRPr="00B84AF6">
        <w:t>.</w:t>
      </w:r>
      <w:r w:rsidRPr="00B84AF6" w:rsidR="006D1765">
        <w:t> </w:t>
      </w:r>
      <w:r w:rsidRPr="00B84AF6">
        <w:t>. </w:t>
      </w:r>
      <w:r w:rsidRPr="00B84AF6" w:rsidR="006D1765">
        <w:t>[¶] . . .</w:t>
      </w:r>
      <w:r w:rsidRPr="00B84AF6" w:rsidR="00521F32">
        <w:t xml:space="preserve"> Now ultimately . . .</w:t>
      </w:r>
      <w:r w:rsidRPr="00B84AF6" w:rsidR="006D1765">
        <w:t> [¶] . . .</w:t>
      </w:r>
      <w:r w:rsidRPr="00B84AF6" w:rsidR="00521F32">
        <w:t xml:space="preserve"> </w:t>
      </w:r>
      <w:r w:rsidRPr="00B84AF6" w:rsidR="006D1765">
        <w:t>Y</w:t>
      </w:r>
      <w:r w:rsidRPr="00B84AF6" w:rsidR="00521F32">
        <w:t>ou know</w:t>
      </w:r>
      <w:r w:rsidRPr="00B84AF6" w:rsidR="006D1765">
        <w:t>, and</w:t>
      </w:r>
      <w:r w:rsidRPr="00B84AF6" w:rsidR="00521F32">
        <w:t xml:space="preserve"> the bottom line is </w:t>
      </w:r>
      <w:r w:rsidRPr="00B84AF6">
        <w:t>too</w:t>
      </w:r>
      <w:r w:rsidRPr="00B84AF6" w:rsidR="00521F32">
        <w:t>,</w:t>
      </w:r>
      <w:r w:rsidRPr="00B84AF6">
        <w:t xml:space="preserve"> is, is</w:t>
      </w:r>
      <w:r w:rsidRPr="00B84AF6" w:rsidR="00521F32">
        <w:t>, is</w:t>
      </w:r>
      <w:r w:rsidRPr="00B84AF6">
        <w:t xml:space="preserve"> ultimately there’s always a story behind everything, and unfortunately when it comes down t</w:t>
      </w:r>
      <w:r w:rsidRPr="00B84AF6" w:rsidR="00521F32">
        <w:t>o the charging part of it, we’re,</w:t>
      </w:r>
      <w:r w:rsidRPr="00B84AF6">
        <w:t xml:space="preserve"> we’re</w:t>
      </w:r>
      <w:r w:rsidRPr="00B84AF6" w:rsidR="00486D52">
        <w:t>,</w:t>
      </w:r>
      <w:r w:rsidRPr="00B84AF6">
        <w:t xml:space="preserve"> this is kind of a one shot deal here.  You get your [opportunity to] say this is where we’re at, or let’s see how it shakes out, and then that’s [a decision </w:t>
      </w:r>
      <w:r w:rsidRPr="00B84AF6" w:rsidR="00486D52">
        <w:t>you,] Carl Molano</w:t>
      </w:r>
      <w:r w:rsidRPr="00B84AF6">
        <w:t xml:space="preserve"> the, the</w:t>
      </w:r>
      <w:r w:rsidRPr="00B84AF6" w:rsidR="00486D52">
        <w:t>, the</w:t>
      </w:r>
      <w:r w:rsidRPr="00B84AF6" w:rsidR="006D1765">
        <w:t xml:space="preserve">, the </w:t>
      </w:r>
      <w:r w:rsidRPr="00B84AF6">
        <w:t>46, 47 year old [dude’s gotta make</w:t>
      </w:r>
      <w:r w:rsidRPr="00B84AF6" w:rsidR="00486D52">
        <w:t>]</w:t>
      </w:r>
      <w:r w:rsidRPr="00B84AF6">
        <w:t>.  I</w:t>
      </w:r>
      <w:r w:rsidRPr="00B84AF6" w:rsidR="00486D52">
        <w:t>, I</w:t>
      </w:r>
      <w:r w:rsidRPr="00B84AF6">
        <w:t xml:space="preserve"> can’t, Scott or Ed can’t do that for you</w:t>
      </w:r>
      <w:r w:rsidRPr="00B84AF6" w:rsidR="00486D52">
        <w:t>.  Y</w:t>
      </w:r>
      <w:r w:rsidRPr="00B84AF6">
        <w:t xml:space="preserve">ou </w:t>
      </w:r>
      <w:r w:rsidRPr="00B84AF6" w:rsidR="00486D52">
        <w:t xml:space="preserve">have to </w:t>
      </w:r>
      <w:r w:rsidRPr="00B84AF6">
        <w:t xml:space="preserve">do it on your own, you </w:t>
      </w:r>
      <w:r w:rsidRPr="00B84AF6" w:rsidR="00BD33A4">
        <w:t>know what I mean?”</w:t>
      </w:r>
    </w:p>
    <w:p w:rsidR="00EA47B8" w:rsidRPr="00B84AF6" w:rsidP="00B84AF6">
      <w:pPr>
        <w:tabs>
          <w:tab w:val="left" w:pos="1440"/>
        </w:tabs>
        <w:ind w:firstLine="720"/>
      </w:pPr>
      <w:r w:rsidRPr="00B84AF6">
        <w:t>At thi</w:t>
      </w:r>
      <w:r w:rsidRPr="00B84AF6" w:rsidR="00486D52">
        <w:t>s point Chicoine interjected, “R</w:t>
      </w:r>
      <w:r w:rsidRPr="00B84AF6">
        <w:t>ight now, there’s a story [that’s being told, but it doesn’t have your side].”  Dudek resumed, “I’ll be more than happy</w:t>
      </w:r>
      <w:r w:rsidRPr="00B84AF6" w:rsidR="00486D52">
        <w:t>,</w:t>
      </w:r>
      <w:r w:rsidRPr="00B84AF6">
        <w:t xml:space="preserve"> and so would Ed, we’</w:t>
      </w:r>
      <w:r w:rsidRPr="00B84AF6" w:rsidR="00625E62">
        <w:t>d</w:t>
      </w:r>
      <w:r w:rsidRPr="00B84AF6">
        <w:t xml:space="preserve"> </w:t>
      </w:r>
      <w:r w:rsidRPr="00B84AF6" w:rsidR="00625E62">
        <w:t>[</w:t>
      </w:r>
      <w:r w:rsidRPr="00B84AF6">
        <w:t>be</w:t>
      </w:r>
      <w:r w:rsidRPr="00B84AF6" w:rsidR="00625E62">
        <w:t>]</w:t>
      </w:r>
      <w:r w:rsidRPr="00B84AF6">
        <w:t xml:space="preserve"> more than happy to share exactly</w:t>
      </w:r>
      <w:r w:rsidRPr="00B84AF6" w:rsidR="00AD4D4B">
        <w:t>,</w:t>
      </w:r>
      <w:r w:rsidRPr="00B84AF6">
        <w:t xml:space="preserve"> you know</w:t>
      </w:r>
      <w:r w:rsidRPr="00B84AF6" w:rsidR="00AD4D4B">
        <w:t>,</w:t>
      </w:r>
      <w:r w:rsidRPr="00B84AF6">
        <w:t xml:space="preserve"> how </w:t>
      </w:r>
      <w:r w:rsidRPr="00B84AF6" w:rsidR="006D1765">
        <w:t>the</w:t>
      </w:r>
      <w:r w:rsidRPr="00B84AF6">
        <w:t xml:space="preserve"> story even started.  Why are we at this point after so many years</w:t>
      </w:r>
      <w:r w:rsidRPr="00B84AF6" w:rsidR="00AD4D4B">
        <w:t>, a</w:t>
      </w:r>
      <w:r w:rsidRPr="00B84AF6">
        <w:t xml:space="preserve">nd, and, </w:t>
      </w:r>
      <w:r w:rsidRPr="00B84AF6" w:rsidR="00AD4D4B">
        <w:t xml:space="preserve">and, </w:t>
      </w:r>
      <w:r w:rsidRPr="00B84AF6">
        <w:t>you know</w:t>
      </w:r>
      <w:r w:rsidRPr="00B84AF6" w:rsidR="00AD4D4B">
        <w:t>,</w:t>
      </w:r>
      <w:r w:rsidRPr="00B84AF6">
        <w:t xml:space="preserve"> a lot of that has to do with, with your family and, and, and</w:t>
      </w:r>
      <w:r w:rsidRPr="00B84AF6" w:rsidR="00AD4D4B">
        <w:t>, and</w:t>
      </w:r>
      <w:r w:rsidRPr="00B84AF6">
        <w:t xml:space="preserve"> it’s only fair that you know that cause you are gonna know and my credibility and Ed’s credibility with you is gonna mean everything as far as this goes.  If you think I’m a big bullshitter, horse’s ass, and you think he is, there’s no sense of us even going any further, you know what I mean?  And you’re gonna find that what we tell you is ultimately, you know, we’re not bullshitting you</w:t>
      </w:r>
      <w:r w:rsidRPr="00B84AF6" w:rsidR="00AD4D4B">
        <w:t>, so</w:t>
      </w:r>
      <w:r w:rsidRPr="00B84AF6" w:rsidR="00BD33A4">
        <w:t>.”</w:t>
      </w:r>
    </w:p>
    <w:p w:rsidR="00EA47B8" w:rsidRPr="00B84AF6" w:rsidP="00B84AF6">
      <w:pPr>
        <w:tabs>
          <w:tab w:val="left" w:pos="1440"/>
        </w:tabs>
        <w:ind w:firstLine="720"/>
      </w:pPr>
      <w:r w:rsidRPr="00B84AF6">
        <w:t>Defendant said, “N</w:t>
      </w:r>
      <w:r w:rsidRPr="00B84AF6">
        <w:t>o, you guys been straight up.”  Dudek replied, “I mean we’re, we</w:t>
      </w:r>
      <w:r w:rsidRPr="00B84AF6" w:rsidR="007B1DF1">
        <w:t>’re</w:t>
      </w:r>
      <w:r w:rsidRPr="00B84AF6">
        <w:t xml:space="preserve"> trying to be that way cause this is what we do.  You, you got to do what you got to do, we got to do want we got to do, you know what I mean, and, and I was up front with you when I said the other day, I said</w:t>
      </w:r>
      <w:r w:rsidRPr="00B84AF6" w:rsidR="007B1DF1">
        <w:t xml:space="preserve"> I</w:t>
      </w:r>
      <w:r w:rsidRPr="00B84AF6">
        <w:t>, I mean, I know Suzy’s not an angel, or wasn’t an angel, you know what I mean, and, and there could be some other factors</w:t>
      </w:r>
      <w:r w:rsidRPr="00B84AF6" w:rsidR="006D1765">
        <w:t>,</w:t>
      </w:r>
      <w:r w:rsidRPr="00B84AF6">
        <w:t xml:space="preserve"> but </w:t>
      </w:r>
      <w:r w:rsidRPr="00B84AF6" w:rsidR="007B1DF1">
        <w:t xml:space="preserve">that, </w:t>
      </w:r>
      <w:r w:rsidRPr="00B84AF6">
        <w:t xml:space="preserve">that’s . . . .”  At this point Dudek evidently </w:t>
      </w:r>
      <w:r w:rsidR="008158CE">
        <w:t>took</w:t>
      </w:r>
      <w:r w:rsidRPr="00B84AF6">
        <w:t xml:space="preserve"> a wrong turn, which interrupted the conversation briefly.  He resumed with, “like Ed said, there’s two sides to every story, you know what I mean?  I mean, you can tell by where we</w:t>
      </w:r>
      <w:r w:rsidRPr="00B84AF6" w:rsidR="00566B60">
        <w:t xml:space="preserve"> were</w:t>
      </w:r>
      <w:r w:rsidRPr="00B84AF6">
        <w:t xml:space="preserve"> going that we obviously talked to a bunch of people and somebody, you know, and, and</w:t>
      </w:r>
      <w:r w:rsidRPr="00B84AF6" w:rsidR="00566B60">
        <w:t>,</w:t>
      </w:r>
      <w:r w:rsidRPr="00B84AF6">
        <w:t xml:space="preserve"> quite frankly,</w:t>
      </w:r>
      <w:r w:rsidRPr="00B84AF6" w:rsidR="009D6ADB">
        <w:t xml:space="preserve"> you know, we talked to your ex </w:t>
      </w:r>
      <w:r w:rsidRPr="00B84AF6">
        <w:t>old lady who told us some stuff and we talked to some other people</w:t>
      </w:r>
      <w:r w:rsidRPr="00B84AF6" w:rsidR="00077E68">
        <w:t>,</w:t>
      </w:r>
      <w:r w:rsidRPr="00B84AF6">
        <w:t xml:space="preserve"> so that’s kind of, that’s kind of where we’re at.”</w:t>
      </w:r>
    </w:p>
    <w:p w:rsidR="00EA47B8" w:rsidRPr="00B84AF6" w:rsidP="00B84AF6">
      <w:pPr>
        <w:tabs>
          <w:tab w:val="left" w:pos="1440"/>
        </w:tabs>
        <w:ind w:firstLine="720"/>
      </w:pPr>
      <w:r w:rsidRPr="00B84AF6">
        <w:t>Defendant said, “I ought to be arraigned Wednesday [and assigned a</w:t>
      </w:r>
      <w:r w:rsidRPr="00B84AF6" w:rsidR="00077E68">
        <w:t>]</w:t>
      </w:r>
      <w:r w:rsidRPr="00B84AF6" w:rsidR="00405432">
        <w:t xml:space="preserve"> (unintelligible).</w:t>
      </w:r>
      <w:r w:rsidRPr="00B84AF6">
        <w:t>”  Dudek told him, “</w:t>
      </w:r>
      <w:r w:rsidRPr="00B84AF6" w:rsidR="00077E68">
        <w:t>[Nuh.]  Y</w:t>
      </w:r>
      <w:r w:rsidRPr="00B84AF6">
        <w:t>ou’ll probably just be arraigned, they’ll ask you your financial status, more than likely you’ll be assigned a PD your next court appearance, but you could get one right off the get go on something like this, I’m</w:t>
      </w:r>
      <w:r w:rsidRPr="00B84AF6" w:rsidR="00077E68">
        <w:t>, I’m</w:t>
      </w:r>
      <w:r w:rsidRPr="00B84AF6">
        <w:t>, probably you wil</w:t>
      </w:r>
      <w:r w:rsidRPr="00B84AF6" w:rsidR="00077E68">
        <w:t>l actually.”  Defendant said, “C</w:t>
      </w:r>
      <w:r w:rsidRPr="00B84AF6">
        <w:t xml:space="preserve">an I ask you </w:t>
      </w:r>
      <w:r w:rsidRPr="00B84AF6" w:rsidR="00077E68">
        <w:t>a question?”  Dudek answered, “Sure.”  Defendant said, “T</w:t>
      </w:r>
      <w:r w:rsidRPr="00B84AF6">
        <w:t>hey assign me a PD, right?”  Dudek said, “</w:t>
      </w:r>
      <w:r w:rsidRPr="00B84AF6" w:rsidR="00675DDB">
        <w:t>R</w:t>
      </w:r>
      <w:r w:rsidRPr="00B84AF6">
        <w:t>ight.”  Defendant said, “I can sit down and talk to my PD first, then talk w</w:t>
      </w:r>
      <w:r w:rsidRPr="00B84AF6" w:rsidR="00675DDB">
        <w:t>ith you all?”  Dudek replied, “Y</w:t>
      </w:r>
      <w:r w:rsidRPr="00B84AF6">
        <w:t>eah.”  Defendant said, “</w:t>
      </w:r>
      <w:r w:rsidRPr="00B84AF6" w:rsidR="00675DDB">
        <w:t>C</w:t>
      </w:r>
      <w:r w:rsidRPr="00B84AF6">
        <w:t>an</w:t>
      </w:r>
      <w:r w:rsidRPr="00B84AF6" w:rsidR="00675DDB">
        <w:t xml:space="preserve"> I do that?”  Dudek told him, “Y</w:t>
      </w:r>
      <w:r w:rsidRPr="00B84AF6">
        <w:t>eah.  I mean, that’s one of your options and that’s why we’re here</w:t>
      </w:r>
      <w:r w:rsidRPr="00B84AF6" w:rsidR="00675DDB">
        <w:t>, you know.”  Defendant said, “T</w:t>
      </w:r>
      <w:r w:rsidRPr="00B84AF6">
        <w:t xml:space="preserve">hat’s, I would, I would </w:t>
      </w:r>
      <w:r w:rsidRPr="00B84AF6" w:rsidR="0077664A">
        <w:t>(unintelligible)</w:t>
      </w:r>
      <w:r w:rsidRPr="00B84AF6">
        <w:t>.”</w:t>
      </w:r>
    </w:p>
    <w:p w:rsidR="00EA47B8" w:rsidRPr="00B84AF6" w:rsidP="00B84AF6">
      <w:pPr>
        <w:tabs>
          <w:tab w:val="left" w:pos="1440"/>
        </w:tabs>
        <w:ind w:firstLine="720"/>
      </w:pPr>
      <w:r w:rsidRPr="00B84AF6">
        <w:t>Dudek responded, “O</w:t>
      </w:r>
      <w:r w:rsidRPr="00B84AF6">
        <w:t>k</w:t>
      </w:r>
      <w:r w:rsidRPr="00B84AF6">
        <w:t>.  I</w:t>
      </w:r>
      <w:r w:rsidRPr="00B84AF6">
        <w:t>f</w:t>
      </w:r>
      <w:r w:rsidRPr="00B84AF6">
        <w:t xml:space="preserve"> you’re [gonna go through] that </w:t>
      </w:r>
      <w:r w:rsidRPr="00B84AF6">
        <w:t>formally when we get to the tape, we’re gonna say Carl Molano, you understand you’re being charged with this, and then</w:t>
      </w:r>
      <w:r w:rsidRPr="00B84AF6">
        <w:t xml:space="preserve">, . . . and then </w:t>
      </w:r>
      <w:r w:rsidRPr="00B84AF6">
        <w:t>we’re gonna go through the rights thing again.  It’s at that time, you know, you can say hey, let me talk to my PD and I’ll talk to you again, but, you know, that’s entirely up to you.  We’re here only to do shit on the up-and-up.  If we don’t do it on the up-and-up then we might as well just throw it away right now, you know what I mean?”</w:t>
      </w:r>
    </w:p>
    <w:p w:rsidR="00EA47B8" w:rsidRPr="00B84AF6" w:rsidP="00B84AF6">
      <w:pPr>
        <w:tabs>
          <w:tab w:val="left" w:pos="1440"/>
        </w:tabs>
        <w:ind w:firstLine="720"/>
      </w:pPr>
      <w:r w:rsidRPr="00B84AF6">
        <w:t>After a pause, Dudek said, “I know I read some of your letters and I know you know I read them, when you were, you were out there the other day with your other daughter, your daughter there, the 4.0 whiz kid there, you know.  I, I can’t think of, Regina, is that her name?”  Defendant</w:t>
      </w:r>
      <w:r w:rsidRPr="00B84AF6" w:rsidR="0047293C">
        <w:t xml:space="preserve"> said, “Jasmine.” Dudek said, “I</w:t>
      </w:r>
      <w:r w:rsidRPr="00B84AF6">
        <w:t>t sounds like you’re starting to, you know, at least head in the right direction there with a relationship with her.  Irregardless whether you talk to us or not</w:t>
      </w:r>
      <w:r w:rsidRPr="00B84AF6" w:rsidR="0049195A">
        <w:t>,</w:t>
      </w:r>
      <w:r w:rsidRPr="00B84AF6">
        <w:t xml:space="preserve"> when we get to our station I think it’s only fair that you know that, </w:t>
      </w:r>
      <w:r w:rsidRPr="00B84AF6" w:rsidR="0049195A">
        <w:t xml:space="preserve">is it Robert?  Robert’s your 17 </w:t>
      </w:r>
      <w:r w:rsidRPr="00B84AF6">
        <w:t>year</w:t>
      </w:r>
      <w:r w:rsidRPr="00B84AF6" w:rsidR="0049195A">
        <w:t xml:space="preserve"> </w:t>
      </w:r>
      <w:r w:rsidRPr="00B84AF6">
        <w:t>old son?  Robert played a fairly key role in this as far as where we’re at right now, and I just don’t want it to be a, a</w:t>
      </w:r>
      <w:r w:rsidRPr="00B84AF6" w:rsidR="0049195A">
        <w:t>, a</w:t>
      </w:r>
      <w:r w:rsidRPr="00B84AF6">
        <w:t xml:space="preserve"> mind blower </w:t>
      </w:r>
      <w:r w:rsidRPr="00B84AF6" w:rsidR="0049195A">
        <w:t>from you when it comes out, ok</w:t>
      </w:r>
      <w:r w:rsidRPr="00B84AF6">
        <w:t>?  So</w:t>
      </w:r>
      <w:r w:rsidRPr="00B84AF6" w:rsidR="00132216">
        <w:t>,</w:t>
      </w:r>
      <w:r w:rsidRPr="00B84AF6">
        <w:t xml:space="preserve"> that’s kind of, you know, you’ve got one relationship by your own admittance you’re trying to get back together when you were talking to us the other day, and</w:t>
      </w:r>
      <w:r w:rsidRPr="00B84AF6" w:rsidR="0049195A">
        <w:t>, and</w:t>
      </w:r>
      <w:r w:rsidRPr="00B84AF6">
        <w:t xml:space="preserve"> really said you hadn’t talked to Robert or your other, was it son, from</w:t>
      </w:r>
      <w:r w:rsidRPr="00B84AF6" w:rsidR="0049195A">
        <w:t>, from</w:t>
      </w:r>
      <w:r w:rsidRPr="00B84AF6">
        <w:t xml:space="preserve"> your</w:t>
      </w:r>
      <w:r w:rsidRPr="00B84AF6" w:rsidR="0049195A">
        <w:t xml:space="preserve"> that wife?”  Defendant said, “Y</w:t>
      </w:r>
      <w:r w:rsidRPr="00B84AF6">
        <w:t>eah.”  Dudek continued, “But I think what I’m asking you probably, from my standpoint [as a dad and stuff</w:t>
      </w:r>
      <w:r w:rsidRPr="00B84AF6" w:rsidR="009E7049">
        <w:t>,</w:t>
      </w:r>
      <w:r w:rsidRPr="00B84AF6" w:rsidR="00BD33A4">
        <w:t xml:space="preserve">] </w:t>
      </w:r>
      <w:r w:rsidRPr="00B84AF6">
        <w:t>that you’ve got to rebuild and don’t take it out on your kids.  They, they had to do what they had to do, so, yo</w:t>
      </w:r>
      <w:r w:rsidRPr="00B84AF6" w:rsidR="00BD33A4">
        <w:t>u know what I mean?”</w:t>
      </w:r>
    </w:p>
    <w:p w:rsidR="00EA47B8" w:rsidRPr="00B84AF6" w:rsidP="00B84AF6">
      <w:pPr>
        <w:tabs>
          <w:tab w:val="left" w:pos="1440"/>
        </w:tabs>
        <w:ind w:firstLine="720"/>
      </w:pPr>
      <w:r w:rsidRPr="00B84AF6">
        <w:t xml:space="preserve">Dudek </w:t>
      </w:r>
      <w:r w:rsidRPr="00B84AF6" w:rsidR="000B3F77">
        <w:t>continued, “Ok</w:t>
      </w:r>
      <w:r w:rsidRPr="00B84AF6">
        <w:t>.  So</w:t>
      </w:r>
      <w:r w:rsidRPr="00B84AF6" w:rsidR="000B3F77">
        <w:t>,</w:t>
      </w:r>
      <w:r w:rsidRPr="00B84AF6">
        <w:t xml:space="preserve"> unfortunately, Robert’s had a lot of problems over the years because of, you know, the stuff and, and Robert felt he had to do what he had to do, and you’ll probably never have a relationship with Robert, but in the scheme of things hopefully you’ll, you’ll view it as Robert’s becoming a man, that type of thing, you know what I mean?  And I think the reason I’m telling you this is because when I first talked to your ex-wife, the first thing was well, of course she’s coming forward because she can’t stand your guts because, you know what I mean?”  Defendant said, “</w:t>
      </w:r>
      <w:r w:rsidRPr="00B84AF6" w:rsidR="00CA3BE3">
        <w:t>Y</w:t>
      </w:r>
      <w:r w:rsidRPr="00B84AF6">
        <w:t>eah I know.”  Dudek said, “</w:t>
      </w:r>
      <w:r w:rsidRPr="00B84AF6" w:rsidR="00CA3BE3">
        <w:t>S</w:t>
      </w:r>
      <w:r w:rsidRPr="00B84AF6">
        <w:t>o that’s something that, that the whole thin</w:t>
      </w:r>
      <w:r w:rsidRPr="00B84AF6" w:rsidR="00BD33A4">
        <w:t>g weighed on, so.”</w:t>
      </w:r>
    </w:p>
    <w:p w:rsidR="00EA47B8" w:rsidRPr="00B84AF6" w:rsidP="00B84AF6">
      <w:pPr>
        <w:tabs>
          <w:tab w:val="left" w:pos="1440"/>
        </w:tabs>
        <w:ind w:firstLine="720"/>
      </w:pPr>
      <w:r w:rsidRPr="00B84AF6">
        <w:t>After an extended pause, Dudek asked about the temperature in the back seat, then opened a new topic:  “Other thing too is, and</w:t>
      </w:r>
      <w:r w:rsidRPr="00B84AF6" w:rsidR="00E22AE3">
        <w:t xml:space="preserve"> then</w:t>
      </w:r>
      <w:r w:rsidRPr="00B84AF6">
        <w:t xml:space="preserve"> this is just kind of [weird], obviously this, this murder occurred in 1995.  It’s gonna be fairly a, a big deal in the newspapers and probably even the media and stuff because it’s, you know, it’s an eight year old homicide, so I’m just kind of preparing you for that.  I don’t know, I mean I know your mom’s not around anymore, but if you think there’s somebody you may want to prepare for it, you may want to let us know that so we can tell them before they hear it on the 7 o’clock news [tonight]</w:t>
      </w:r>
      <w:r w:rsidRPr="00B84AF6" w:rsidR="007B6F66">
        <w:t xml:space="preserve">, </w:t>
      </w:r>
      <w:r w:rsidRPr="00B84AF6">
        <w:t>i.e. your, your daughter, or whoever else</w:t>
      </w:r>
      <w:r w:rsidRPr="00B84AF6" w:rsidR="00796CA6">
        <w:t>, know what I mean?”</w:t>
      </w:r>
    </w:p>
    <w:p w:rsidR="00EA47B8" w:rsidRPr="00B84AF6" w:rsidP="00B84AF6">
      <w:pPr>
        <w:tabs>
          <w:tab w:val="left" w:pos="1440"/>
        </w:tabs>
        <w:ind w:firstLine="720"/>
      </w:pPr>
      <w:r w:rsidRPr="00B84AF6">
        <w:t xml:space="preserve">After a long pause, there was some talk about the art work defendant had done, and </w:t>
      </w:r>
      <w:r w:rsidR="008158CE">
        <w:t xml:space="preserve">his </w:t>
      </w:r>
      <w:r w:rsidRPr="00B84AF6">
        <w:t>life in prison.  After another extended pause, Dudek asked if defendant had told anyone about their previous visit.  Defendant said inmates had seen them, but Dudek said, “I meant family or something, not inmates.”   Defendant asked, “I can give you two numbers to call?”  Dudek said, “I can let you call two numbers, how’s that?  I don’t really like to tell people what’s up.  I’d rather have them hear it from you, or, you know, I mean if you don’t want to do that I understand, but it’s up to you.  That’s a decision you can make from now until the 15</w:t>
      </w:r>
      <w:r w:rsidRPr="00B84AF6" w:rsidR="00796CA6">
        <w:t xml:space="preserve">0th exit, right?”  </w:t>
      </w:r>
      <w:r w:rsidRPr="00B84AF6">
        <w:t>This was a reference</w:t>
      </w:r>
      <w:r w:rsidRPr="00B84AF6" w:rsidR="002F3800">
        <w:t xml:space="preserve"> to the freeway exit for the </w:t>
      </w:r>
      <w:r w:rsidRPr="00B84AF6" w:rsidR="00796CA6">
        <w:t xml:space="preserve">station.  </w:t>
      </w:r>
      <w:r w:rsidRPr="00B84AF6">
        <w:t>Defendant said, “</w:t>
      </w:r>
      <w:r w:rsidRPr="00B84AF6" w:rsidR="007B6F66">
        <w:t>Y</w:t>
      </w:r>
      <w:r w:rsidRPr="00B84AF6">
        <w:t>eah.”  After some further conversation about defendant’s other son who was serving a prison term in New York, there was a long pau</w:t>
      </w:r>
      <w:r w:rsidRPr="00B84AF6" w:rsidR="00A7623F">
        <w:t>se broken by defendant saying</w:t>
      </w:r>
      <w:r w:rsidR="00A42BB3">
        <w:t>,</w:t>
      </w:r>
      <w:r w:rsidRPr="00B84AF6" w:rsidR="00A7623F">
        <w:t xml:space="preserve"> “Hey.”  Dudek replied “[H</w:t>
      </w:r>
      <w:r w:rsidRPr="00B84AF6">
        <w:t>eyo],” and defendant said, “[I have a question,] if I want to get this over with as soon as p</w:t>
      </w:r>
      <w:r w:rsidRPr="00B84AF6" w:rsidR="00A7623F">
        <w:t>ossible, right?”  Dudek said, “Uh-huh.”  Defendant asked, “W</w:t>
      </w:r>
      <w:r w:rsidRPr="00B84AF6">
        <w:t>ho [do I ta</w:t>
      </w:r>
      <w:r w:rsidRPr="00B84AF6" w:rsidR="00796CA6">
        <w:t>lk] to?  [PD?  DA?]”</w:t>
      </w:r>
    </w:p>
    <w:p w:rsidR="00EA47B8" w:rsidRPr="00B84AF6" w:rsidP="00B84AF6">
      <w:pPr>
        <w:tabs>
          <w:tab w:val="left" w:pos="1440"/>
        </w:tabs>
        <w:ind w:firstLine="720"/>
      </w:pPr>
      <w:r w:rsidRPr="00B84AF6">
        <w:t>Dudek said, “Y</w:t>
      </w:r>
      <w:r w:rsidRPr="00B84AF6">
        <w:t>eah, you mean you just wanna plead and get, get on with yo</w:t>
      </w:r>
      <w:r w:rsidRPr="00B84AF6" w:rsidR="00DF74B9">
        <w:t>ur time?”  Defendant said, “Y</w:t>
      </w:r>
      <w:r w:rsidRPr="00B84AF6">
        <w:t>eah.”  He wanted to be “sentenced, you kn</w:t>
      </w:r>
      <w:r w:rsidRPr="00B84AF6" w:rsidR="00E66307">
        <w:t>ow</w:t>
      </w:r>
      <w:r w:rsidRPr="00B84AF6" w:rsidR="00132216">
        <w:t>,</w:t>
      </w:r>
      <w:r w:rsidRPr="00B84AF6" w:rsidR="00E66307">
        <w:t xml:space="preserve"> or whatever.”  Dudek said, “W</w:t>
      </w:r>
      <w:r w:rsidRPr="00B84AF6">
        <w:t>e can, we can let the DA know</w:t>
      </w:r>
      <w:r w:rsidRPr="00B84AF6" w:rsidR="00E66307">
        <w:t xml:space="preserve"> that</w:t>
      </w:r>
      <w:r w:rsidRPr="00B84AF6">
        <w:t xml:space="preserve"> that’s your, your wish</w:t>
      </w:r>
      <w:r w:rsidRPr="00B84AF6" w:rsidR="00E66307">
        <w:t>[es] . . .</w:t>
      </w:r>
      <w:r w:rsidRPr="00B84AF6">
        <w:t xml:space="preserve"> I mean, they’re, they’re gonna go on the guidance of your PD anyway </w:t>
      </w:r>
      <w:r w:rsidRPr="00B84AF6" w:rsidR="00E66307">
        <w:t xml:space="preserve">. . . </w:t>
      </w:r>
      <w:r w:rsidRPr="00B84AF6" w:rsidR="00CD15B3">
        <w:t>.”  Defendant said, “Y</w:t>
      </w:r>
      <w:r w:rsidRPr="00B84AF6">
        <w:t>eah,” and commented, “PD doesn’t</w:t>
      </w:r>
      <w:r w:rsidRPr="00B84AF6" w:rsidR="00CD15B3">
        <w:t xml:space="preserve"> (unintelligible)</w:t>
      </w:r>
      <w:r w:rsidRPr="00B84AF6">
        <w:t>.”  After some discussion about waivin</w:t>
      </w:r>
      <w:r w:rsidRPr="00B84AF6" w:rsidR="00CD15B3">
        <w:t>g time, Dudek told defendant, “I</w:t>
      </w:r>
      <w:r w:rsidRPr="00B84AF6">
        <w:t>t’s going to be up to you.</w:t>
      </w:r>
      <w:r w:rsidRPr="00B84AF6" w:rsidR="007D4D2F">
        <w:t>”  He explained, a defense attorney would be “</w:t>
      </w:r>
      <w:r w:rsidRPr="00B84AF6" w:rsidR="00CD15B3">
        <w:t>[</w:t>
      </w:r>
      <w:r w:rsidRPr="00B84AF6">
        <w:t>t</w:t>
      </w:r>
      <w:r w:rsidRPr="00B84AF6" w:rsidR="00CD15B3">
        <w:t>]</w:t>
      </w:r>
      <w:r w:rsidRPr="00B84AF6">
        <w:t>here to advise you, but you, you’re still in the driver’s seat, you know, it’s your defense.  I mean, he’s there to advise you, but if you say hey, you know, you’re still a young guy, let’s just get on with this so I can</w:t>
      </w:r>
      <w:r w:rsidRPr="00B84AF6" w:rsidR="00CD15B3">
        <w:t xml:space="preserve"> . . .” </w:t>
      </w:r>
      <w:r w:rsidRPr="00B84AF6">
        <w:t xml:space="preserve"> Defendant said, “I’m the only one that [holds it].  I actually, you know, it’s like [at the house?  I have the keys to all the doors].”  Dudek said, “</w:t>
      </w:r>
      <w:r w:rsidRPr="00B84AF6" w:rsidR="00CD15B3">
        <w:t>E</w:t>
      </w:r>
      <w:r w:rsidRPr="00B84AF6" w:rsidR="00796CA6">
        <w:t>xactly.”</w:t>
      </w:r>
    </w:p>
    <w:p w:rsidR="00EA47B8" w:rsidRPr="00B84AF6" w:rsidP="00B84AF6">
      <w:pPr>
        <w:tabs>
          <w:tab w:val="left" w:pos="1440"/>
        </w:tabs>
        <w:ind w:firstLine="720"/>
      </w:pPr>
      <w:r>
        <w:t xml:space="preserve">After a pause </w:t>
      </w:r>
      <w:r w:rsidRPr="00B84AF6">
        <w:t>Dudek said, “</w:t>
      </w:r>
      <w:r w:rsidRPr="00B84AF6" w:rsidR="00CD15B3">
        <w:t>W</w:t>
      </w:r>
      <w:r w:rsidRPr="00B84AF6">
        <w:t>hen we get here it’s a lot easier, let, let us do what we gotta do and then we can talk to you and you can talk to us [and]</w:t>
      </w:r>
      <w:r w:rsidRPr="00B84AF6" w:rsidR="00A226B0">
        <w:t xml:space="preserve">.  </w:t>
      </w:r>
      <w:r w:rsidRPr="00B84AF6">
        <w:t>I mean, I understand what you said before, but let’s just, just get in here and do what we gotta do.”  After anot</w:t>
      </w:r>
      <w:r w:rsidRPr="00B84AF6" w:rsidR="00A226B0">
        <w:t>her pause he asked defendant, “Y</w:t>
      </w:r>
      <w:r w:rsidRPr="00B84AF6">
        <w:t>ou consider yourself institutionalized?  By that</w:t>
      </w:r>
      <w:r w:rsidRPr="00B84AF6" w:rsidR="00A226B0">
        <w:t xml:space="preserve"> (unintelligible)</w:t>
      </w:r>
      <w:r w:rsidRPr="00B84AF6">
        <w:t xml:space="preserve"> talk to a whole bunch of people and some dudes are just kind of reserved to the fact that that’s the way it’s</w:t>
      </w:r>
      <w:r w:rsidRPr="00B84AF6" w:rsidR="001E2155">
        <w:t xml:space="preserve"> always gonna be, and sometimes . . .</w:t>
      </w:r>
      <w:r w:rsidRPr="00B84AF6">
        <w:t xml:space="preserve">” </w:t>
      </w:r>
      <w:r w:rsidRPr="00B84AF6" w:rsidR="001E2155">
        <w:t xml:space="preserve"> </w:t>
      </w:r>
      <w:r w:rsidRPr="00B84AF6">
        <w:t>“</w:t>
      </w:r>
      <w:r w:rsidRPr="00B84AF6" w:rsidR="00014C5B">
        <w:t>I</w:t>
      </w:r>
      <w:r w:rsidRPr="00B84AF6">
        <w:t xml:space="preserve">t’s easier and just do time, or do you consider yourself, I want to get over with this so I can try to make at least, have ten good years or whatever.”  Defendant’s response is </w:t>
      </w:r>
      <w:r w:rsidRPr="00B84AF6" w:rsidR="00014C5B">
        <w:t xml:space="preserve">unintelligible.  </w:t>
      </w:r>
      <w:r w:rsidRPr="00B84AF6">
        <w:t>Dudek concluded the conversation with an exhortation:</w:t>
      </w:r>
    </w:p>
    <w:p w:rsidR="00EA47B8" w:rsidRPr="00B84AF6" w:rsidP="00B84AF6">
      <w:pPr>
        <w:tabs>
          <w:tab w:val="left" w:pos="1440"/>
        </w:tabs>
        <w:ind w:firstLine="720"/>
      </w:pPr>
      <w:r w:rsidRPr="00B84AF6">
        <w:t xml:space="preserve">“It’s </w:t>
      </w:r>
      <w:r w:rsidRPr="00B84AF6" w:rsidR="00E67CD2">
        <w:t>kind of</w:t>
      </w:r>
      <w:r w:rsidRPr="00B84AF6">
        <w:t xml:space="preserve"> unfortunate for you because </w:t>
      </w:r>
      <w:r w:rsidRPr="00B84AF6" w:rsidR="00132216">
        <w:t>. . .</w:t>
      </w:r>
      <w:r w:rsidRPr="00B84AF6">
        <w:t xml:space="preserve"> it seems</w:t>
      </w:r>
      <w:r w:rsidRPr="00B84AF6" w:rsidR="00132216">
        <w:t xml:space="preserve"> like you were at least heading</w:t>
      </w:r>
      <w:r w:rsidRPr="00B84AF6">
        <w:t xml:space="preserve"> in the right direction as far as with the religion, and the making amends with your kids, and stuff like that.  What you can’t do Carl though</w:t>
      </w:r>
      <w:r w:rsidRPr="00B84AF6" w:rsidR="005E194A">
        <w:t>,</w:t>
      </w:r>
      <w:r w:rsidRPr="00B84AF6">
        <w:t xml:space="preserve"> is, is, is, it’s, it’s your heart and it’s your soul, don’t, don’t give up on yourself, alright?  It’s, you know, believe it or not your</w:t>
      </w:r>
      <w:r w:rsidRPr="00B84AF6" w:rsidR="005E194A">
        <w:t>, your, your</w:t>
      </w:r>
      <w:r w:rsidRPr="00B84AF6">
        <w:t xml:space="preserve"> daughter obviously is pissed off at you for not having a relationship [but at least] she’s kind of proud of herself [and] proud of [making amends], [and] you can still do some good, you know what I’m saying, and, and you, you can’t give up on yourself.  Once you give up on yourself then, you know, the healing process has to start with you first</w:t>
      </w:r>
      <w:r w:rsidRPr="00B84AF6" w:rsidR="005E194A">
        <w:t>, you know.”  Defendant said, “Y</w:t>
      </w:r>
      <w:r w:rsidRPr="00B84AF6" w:rsidR="001C6A1C">
        <w:t>eah.”</w:t>
      </w:r>
      <w:r w:rsidRPr="00B84AF6" w:rsidR="005E194A">
        <w:t xml:space="preserve">  </w:t>
      </w:r>
    </w:p>
    <w:p w:rsidR="00EA47B8" w:rsidRPr="00B84AF6" w:rsidP="00B84AF6">
      <w:pPr>
        <w:tabs>
          <w:tab w:val="left" w:pos="1440"/>
        </w:tabs>
        <w:ind w:firstLine="720"/>
      </w:pPr>
      <w:r w:rsidRPr="00B84AF6">
        <w:t xml:space="preserve">Dudek continued:  </w:t>
      </w:r>
      <w:r w:rsidRPr="00B84AF6">
        <w:t>“It does, so I’m not gonna jump into this Bible thumping thing or anything like that, but I’m just telling you don’t give up on yourself, alright?  Cause then you don’t do anybody any good.  Believe it or not, what families want more is, like Ed said, they want to know the why and they want to hear something from your mouth and people, even people that are victims of something terrible, they get over it too, you know what I mean?  So</w:t>
      </w:r>
      <w:r w:rsidRPr="00B84AF6" w:rsidR="005E194A">
        <w:t xml:space="preserve">, </w:t>
      </w:r>
      <w:r w:rsidRPr="00B84AF6">
        <w:t xml:space="preserve">they mainly look at you and, you know </w:t>
      </w:r>
      <w:r w:rsidRPr="00B84AF6">
        <w:t xml:space="preserve">that </w:t>
      </w:r>
      <w:r w:rsidRPr="00B84AF6">
        <w:t>from your previous crimes too though, you know.  Just like that lady that you see walking around.</w:t>
      </w:r>
      <w:r w:rsidRPr="00B84AF6">
        <w:rPr>
          <w:vertAlign w:val="superscript"/>
        </w:rPr>
        <w:t>[</w:t>
      </w:r>
      <w:r>
        <w:rPr>
          <w:rStyle w:val="FootnoteReference"/>
        </w:rPr>
        <w:footnoteReference w:id="8"/>
      </w:r>
      <w:r w:rsidRPr="00B84AF6">
        <w:rPr>
          <w:vertAlign w:val="superscript"/>
        </w:rPr>
        <w:t>]</w:t>
      </w:r>
      <w:r w:rsidRPr="00B84AF6">
        <w:t xml:space="preserve">  You know, that was one of your more powerful moments, was meeting up with her on the streets</w:t>
      </w:r>
      <w:r w:rsidRPr="00B84AF6" w:rsidR="005B3528">
        <w:t>.</w:t>
      </w:r>
      <w:r w:rsidRPr="00B84AF6">
        <w:t xml:space="preserve"> </w:t>
      </w:r>
      <w:r w:rsidRPr="00B84AF6" w:rsidR="005B3528">
        <w:t xml:space="preserve"> </w:t>
      </w:r>
      <w:r w:rsidRPr="00B84AF6">
        <w:t>[</w:t>
      </w:r>
      <w:r w:rsidRPr="00B84AF6" w:rsidR="005B3528">
        <w:t>S</w:t>
      </w:r>
      <w:r w:rsidRPr="00B84AF6">
        <w:t>o, people] get over it</w:t>
      </w:r>
      <w:r w:rsidRPr="00B84AF6" w:rsidR="005F103B">
        <w:t>.  P</w:t>
      </w:r>
      <w:r w:rsidRPr="00B84AF6">
        <w:t xml:space="preserve">eople realize that, you know.  I told you before </w:t>
      </w:r>
      <w:r w:rsidRPr="00B84AF6" w:rsidR="00A73BA3">
        <w:t xml:space="preserve">that before </w:t>
      </w:r>
      <w:r w:rsidRPr="00B84AF6">
        <w:t>I did this I was in, you know, I, I did dope, I was a dope sergeant, you know what I mean, and believe me I know when</w:t>
      </w:r>
      <w:r w:rsidRPr="00B84AF6" w:rsidR="00B26507">
        <w:t>, when</w:t>
      </w:r>
      <w:r w:rsidRPr="00B84AF6">
        <w:t xml:space="preserve"> crack cocaine and, and crank, and everything else does to people.  People, it’s the wors</w:t>
      </w:r>
      <w:r w:rsidRPr="00B84AF6" w:rsidR="00B26507">
        <w:t>[</w:t>
      </w:r>
      <w:r w:rsidRPr="00B84AF6">
        <w:t>t</w:t>
      </w:r>
      <w:r w:rsidRPr="00B84AF6" w:rsidR="00B26507">
        <w:t>]</w:t>
      </w:r>
      <w:r w:rsidRPr="00B84AF6">
        <w:t xml:space="preserve"> thing that they ever had because you take people that have been clean and you could sit there and you could, and trust them and, and you’d, you’d want to have them come around and, and then I see these [fuckin’], more so the girls</w:t>
      </w:r>
      <w:r w:rsidRPr="00B84AF6" w:rsidR="00B26507">
        <w:t xml:space="preserve"> (unintelligible)</w:t>
      </w:r>
      <w:r w:rsidRPr="00B84AF6">
        <w:t xml:space="preserve"> and stuff spun out on the [crank] and shit.  It’s like damn, it’s like how can anybody get to that point, but you understand [how they can</w:t>
      </w:r>
      <w:r w:rsidRPr="00B84AF6" w:rsidR="00B26507">
        <w:t>,</w:t>
      </w:r>
      <w:r w:rsidRPr="00B84AF6">
        <w:t xml:space="preserve"> </w:t>
      </w:r>
      <w:r w:rsidRPr="00B84AF6" w:rsidR="00B26507">
        <w:t>‘</w:t>
      </w:r>
      <w:r w:rsidRPr="00B84AF6">
        <w:t>cause</w:t>
      </w:r>
      <w:r w:rsidRPr="00B84AF6" w:rsidR="00B26507">
        <w:t>,</w:t>
      </w:r>
      <w:r w:rsidRPr="00B84AF6">
        <w:t>] especially with the crack man, it’s just so powerful and stuff you know.  I mean, you gotta realize people are going to do you in one fashion, but only you know what, what Carl’s all about inside, inside your heart.  That pretty much ends my sermon here so that’s whe</w:t>
      </w:r>
      <w:r w:rsidRPr="00B84AF6" w:rsidR="001C6A1C">
        <w:t>re I’m coming from.”</w:t>
      </w:r>
    </w:p>
    <w:p w:rsidR="00F37AAA" w:rsidRPr="00B84AF6" w:rsidP="00B84AF6">
      <w:pPr>
        <w:tabs>
          <w:tab w:val="left" w:pos="1440"/>
        </w:tabs>
        <w:ind w:firstLine="720"/>
      </w:pPr>
      <w:r w:rsidRPr="00B84AF6">
        <w:t>There was a considerable period without conversation before they arrived a</w:t>
      </w:r>
      <w:r w:rsidRPr="00B84AF6">
        <w:t>t the station.</w:t>
      </w:r>
    </w:p>
    <w:p w:rsidR="00EA47B8" w:rsidRPr="00B84AF6" w:rsidP="00086BD0">
      <w:pPr>
        <w:pStyle w:val="Heading5"/>
        <w:numPr>
          <w:ilvl w:val="0"/>
          <w:numId w:val="39"/>
        </w:numPr>
        <w:tabs>
          <w:tab w:val="left" w:pos="2880"/>
        </w:tabs>
        <w:ind w:left="2880"/>
      </w:pPr>
      <w:bookmarkStart w:id="15" w:name="_Toc527447441"/>
      <w:r w:rsidRPr="00B84AF6">
        <w:t>The Statements at the Station</w:t>
      </w:r>
      <w:bookmarkEnd w:id="15"/>
    </w:p>
    <w:p w:rsidR="00EA47B8" w:rsidRPr="00B84AF6" w:rsidP="00B84AF6">
      <w:pPr>
        <w:tabs>
          <w:tab w:val="left" w:pos="1440"/>
        </w:tabs>
        <w:ind w:firstLine="720"/>
      </w:pPr>
      <w:r w:rsidRPr="00B84AF6">
        <w:t>Chicoine testified that at the station, defendant stopped by the rear of the car and said, “</w:t>
      </w:r>
      <w:r w:rsidRPr="00B84AF6" w:rsidR="00132216">
        <w:t> ‘</w:t>
      </w:r>
      <w:r w:rsidRPr="00B84AF6">
        <w:t>I have a question.</w:t>
      </w:r>
      <w:r w:rsidRPr="00B84AF6" w:rsidR="00132216">
        <w:t>’ </w:t>
      </w:r>
      <w:r w:rsidRPr="00B84AF6">
        <w:t>”  Chicoine said</w:t>
      </w:r>
      <w:r w:rsidRPr="00B84AF6" w:rsidR="00132216">
        <w:t>, “ ‘What?’ </w:t>
      </w:r>
      <w:r w:rsidRPr="00B84AF6">
        <w:t>” and defendant told him that he “wanted to get this over with . . . that he had been speaking with inmates in the prison and they told him not to talk to the police.  He said he knows that the public defender would tell him not to talk to the police, but he told me that he had to walk in his shoes, that they don’t have to walk in his shoes.  He just wants to get closure from this, and he just wants to tell the story, and get it over with.”  Chicoine told him to wait until they got into the building, where they would give him another opportunity after readi</w:t>
      </w:r>
      <w:r w:rsidRPr="00B84AF6" w:rsidR="001C6A1C">
        <w:t xml:space="preserve">ng him his rights.  </w:t>
      </w:r>
      <w:r w:rsidRPr="00B84AF6">
        <w:t>Chicoine understood defendant to be saying that he wanted to discuss the McKenna murder.</w:t>
      </w:r>
      <w:r>
        <w:rPr>
          <w:rStyle w:val="FootnoteReference"/>
        </w:rPr>
        <w:footnoteReference w:id="9"/>
      </w:r>
    </w:p>
    <w:p w:rsidR="00EA47B8" w:rsidRPr="00B84AF6" w:rsidP="00B84AF6">
      <w:pPr>
        <w:tabs>
          <w:tab w:val="left" w:pos="1440"/>
        </w:tabs>
        <w:ind w:firstLine="720"/>
      </w:pPr>
      <w:r w:rsidRPr="00B84AF6">
        <w:t>Defendant was taken to an interview room, where the conversation was video</w:t>
      </w:r>
      <w:r w:rsidRPr="00B84AF6" w:rsidR="001C6A1C">
        <w:t xml:space="preserve"> and audiotaped.  </w:t>
      </w:r>
      <w:r w:rsidRPr="00B84AF6">
        <w:t>Dudek began by reciting that 10 days earlier, he and Chicoine had gone to San Quentin and spoken with defendant.  He said, “</w:t>
      </w:r>
      <w:r w:rsidRPr="00B84AF6" w:rsidR="003738CE">
        <w:t>Y</w:t>
      </w:r>
      <w:r w:rsidRPr="00B84AF6">
        <w:t xml:space="preserve">ou were advised of your </w:t>
      </w:r>
      <w:r w:rsidRPr="00B84AF6">
        <w:rPr>
          <w:i/>
        </w:rPr>
        <w:t>Miranda</w:t>
      </w:r>
      <w:r w:rsidRPr="00B84AF6">
        <w:t xml:space="preserve"> rights prior to the interview and at some point in the interview you told us that you wanted to invoke your </w:t>
      </w:r>
      <w:r w:rsidRPr="00B84AF6">
        <w:rPr>
          <w:i/>
        </w:rPr>
        <w:t>Miranda</w:t>
      </w:r>
      <w:r w:rsidRPr="00B84AF6">
        <w:t xml:space="preserve"> rights, and you wanted to consult with an attorney before you talked to us, is that correct?”  Defendant said, “</w:t>
      </w:r>
      <w:r w:rsidRPr="00B84AF6" w:rsidR="003738CE">
        <w:t>C</w:t>
      </w:r>
      <w:r w:rsidRPr="00B84AF6">
        <w:t>orrect.”  Dudek then said, “at some point” during the “transportation from San Quentin,” “you then told us you wanted to talk to us, and, and hear what we had to say, and, and didn’t want your attorney present anymore, correct?’’  Defendant paused and replied, “I didn’t have a</w:t>
      </w:r>
      <w:r w:rsidRPr="00B84AF6" w:rsidR="001C6A1C">
        <w:t>n attorney present.”</w:t>
      </w:r>
    </w:p>
    <w:p w:rsidR="00EA47B8" w:rsidRPr="00B84AF6" w:rsidP="00B84AF6">
      <w:pPr>
        <w:tabs>
          <w:tab w:val="left" w:pos="1440"/>
        </w:tabs>
        <w:ind w:firstLine="720"/>
      </w:pPr>
      <w:r w:rsidRPr="00B84AF6">
        <w:t>Dudek said, “</w:t>
      </w:r>
      <w:r w:rsidRPr="00B84AF6" w:rsidR="00132216">
        <w:t>That’s what I mean</w:t>
      </w:r>
      <w:r w:rsidRPr="00B84AF6" w:rsidR="003738CE">
        <w:t xml:space="preserve"> though, you, y</w:t>
      </w:r>
      <w:r w:rsidRPr="00B84AF6">
        <w:t>ou said you wanted to talk to us and you understood you were now waiving your rights to have an attorney present, is what I meant to say, if I didn’t make that clear.  And, and that’s kinda where we’re at right now</w:t>
      </w:r>
      <w:r w:rsidRPr="00B84AF6" w:rsidR="003738CE">
        <w:t>, if</w:t>
      </w:r>
      <w:r w:rsidRPr="00B84AF6">
        <w:t xml:space="preserve"> that’s correct, then I want to go ahead and re-read you your rights so you understand them again, so at any point you can go ahead and invoke your rights again.  You follow me?”  Defendant answered, “</w:t>
      </w:r>
      <w:r w:rsidRPr="00B84AF6" w:rsidR="0076254A">
        <w:t>O</w:t>
      </w:r>
      <w:r w:rsidRPr="00B84AF6">
        <w:t>h, ok, so I do want to talk to an attorney?”  Dudek repeated that defendant was read his rights on the 21st, and had said he wanted to talk to an attorney.  Defendant said, “</w:t>
      </w:r>
      <w:r w:rsidRPr="00B84AF6" w:rsidR="00255E1C">
        <w:t>R</w:t>
      </w:r>
      <w:r w:rsidRPr="00B84AF6">
        <w:t>ight.”  Dudek said, “</w:t>
      </w:r>
      <w:r w:rsidRPr="00B84AF6" w:rsidR="008500C8">
        <w:t>O</w:t>
      </w:r>
      <w:r w:rsidRPr="00B84AF6">
        <w:t xml:space="preserve">n the trip over here, you said now I want to talk to you for a little while, I want to make sure that’s clear, and then I’m gonna read </w:t>
      </w:r>
      <w:r w:rsidRPr="00B84AF6" w:rsidR="008500C8">
        <w:t>y</w:t>
      </w:r>
      <w:r w:rsidRPr="00B84AF6">
        <w:t>our rights again, so you know we can talk, because you approached us, to talk to us but then at a point, you can always re</w:t>
      </w:r>
      <w:r w:rsidRPr="00B84AF6" w:rsidR="008500C8">
        <w:t xml:space="preserve"> . . . ,  </w:t>
      </w:r>
      <w:r w:rsidRPr="00B84AF6">
        <w:t>you’re not giving up your rights, I’m just gonna re-advise you that at, at this interview point you can again say no, stop.”  Defendant said, “[</w:t>
      </w:r>
      <w:r w:rsidRPr="00B84AF6" w:rsidR="008500C8">
        <w:t>S</w:t>
      </w:r>
      <w:r w:rsidRPr="00B84AF6">
        <w:t>top] if I wanted to.”  Dudek asked if what he had said was accurate, and defendan</w:t>
      </w:r>
      <w:r w:rsidRPr="00B84AF6" w:rsidR="008500C8">
        <w:t>t agreed it was.  Dudek said, “S</w:t>
      </w:r>
      <w:r w:rsidRPr="00B84AF6">
        <w:t>o you’re freely giving up your rights at this point here, and then I’m gonna advise him.  You approached us, is the only thing I’m getting to, is that correct?”  Defendant said, “</w:t>
      </w:r>
      <w:r w:rsidRPr="00B84AF6" w:rsidR="000B614C">
        <w:t>Uh-huh.</w:t>
      </w:r>
      <w:r w:rsidRPr="00B84AF6">
        <w:t>”  Dudek said, “</w:t>
      </w:r>
      <w:r w:rsidRPr="00B84AF6" w:rsidR="008500C8">
        <w:t>W</w:t>
      </w:r>
      <w:r w:rsidRPr="00B84AF6">
        <w:t>ithout any promises from us or anything, correct?”  Defendant said, “</w:t>
      </w:r>
      <w:r w:rsidRPr="00B84AF6" w:rsidR="008500C8">
        <w:t>C</w:t>
      </w:r>
      <w:r w:rsidRPr="00B84AF6" w:rsidR="001C6A1C">
        <w:t>orrect.”</w:t>
      </w:r>
    </w:p>
    <w:p w:rsidR="00EA47B8" w:rsidRPr="00B84AF6" w:rsidP="00B84AF6">
      <w:pPr>
        <w:tabs>
          <w:tab w:val="left" w:pos="1440"/>
        </w:tabs>
        <w:ind w:firstLine="720"/>
      </w:pPr>
      <w:r w:rsidRPr="00B84AF6">
        <w:t xml:space="preserve">Dudek then told defendant “at this point I’m gonna re-advise you of your rights, and then we can start talking again, okay?”  He </w:t>
      </w:r>
      <w:r w:rsidR="00F41F91">
        <w:t>repeated</w:t>
      </w:r>
      <w:r w:rsidRPr="00B84AF6">
        <w:t xml:space="preserve"> the </w:t>
      </w:r>
      <w:r w:rsidRPr="00B84AF6">
        <w:rPr>
          <w:i/>
        </w:rPr>
        <w:t>Miranda</w:t>
      </w:r>
      <w:r w:rsidRPr="00B84AF6">
        <w:t xml:space="preserve"> rights</w:t>
      </w:r>
      <w:r w:rsidR="00F41F91">
        <w:t>;</w:t>
      </w:r>
      <w:r w:rsidRPr="00B84AF6">
        <w:t xml:space="preserve"> defendant acknowledged he understood each one.  The officers began the interrogation by telling him they had spoken with his wife.  Defendant said he knew what she had told them.  They then discussed his son Robert, and the psychological issues he had been dealing with as a result of his interaction with defendant on the da</w:t>
      </w:r>
      <w:r w:rsidRPr="00B84AF6" w:rsidR="001C6A1C">
        <w:t xml:space="preserve">y of the murder.  </w:t>
      </w:r>
      <w:r w:rsidRPr="00B84AF6">
        <w:t>They talked about defendant’s drug habit at the time.  Defendant said it had</w:t>
      </w:r>
      <w:r w:rsidRPr="00B84AF6" w:rsidR="001C6A1C">
        <w:t xml:space="preserve"> been “out of control.”</w:t>
      </w:r>
    </w:p>
    <w:p w:rsidR="00EA47B8" w:rsidRPr="00B84AF6" w:rsidP="00B84AF6">
      <w:pPr>
        <w:tabs>
          <w:tab w:val="left" w:pos="1440"/>
        </w:tabs>
        <w:ind w:firstLine="720"/>
      </w:pPr>
      <w:r w:rsidRPr="00B84AF6">
        <w:t>Dudek brought up the importance of closure, for defendant and for “Susie’s family.”  Defendant agreed this was important.  Chicoine asked, “Carl did things just get out of hand?”  Defendant said, “[</w:t>
      </w:r>
      <w:r w:rsidRPr="00B84AF6" w:rsidR="008E5132">
        <w:t>Neh,] yeah.”  Dudek said, “I</w:t>
      </w:r>
      <w:r w:rsidRPr="00B84AF6">
        <w:t>t’s gonna be painful that it got out of hand, to the point where she died, correct?  And you understand that, right?”  Defendant replied, “I understand.  Can I ask</w:t>
      </w:r>
      <w:r w:rsidRPr="00B84AF6" w:rsidR="008E5132">
        <w:t xml:space="preserve"> you a question?”  Dudek said “S</w:t>
      </w:r>
      <w:r w:rsidRPr="00B84AF6">
        <w:t>ure.”  Defendant said, “I don’t actually want to relive this.”  He affirmed Dudek’s comments that “</w:t>
      </w:r>
      <w:r w:rsidRPr="00B84AF6" w:rsidR="008E5132">
        <w:t>[</w:t>
      </w:r>
      <w:r w:rsidRPr="00B84AF6">
        <w:t>y</w:t>
      </w:r>
      <w:r w:rsidRPr="00B84AF6" w:rsidR="008E5132">
        <w:t>]</w:t>
      </w:r>
      <w:r w:rsidRPr="00B84AF6">
        <w:t>ou know where we’re heading” and “we want to go over every fine detail.”  Defendant then interjected, “my thing is, is this.”  In a series of statements interspersed with brief acknowledgments from the officers, he told them, “if I choose to say what happened, all the way down the whole 411, whatever, right?  I just</w:t>
      </w:r>
      <w:r w:rsidRPr="00B84AF6" w:rsidR="008E5132">
        <w:t xml:space="preserve"> . . . </w:t>
      </w:r>
      <w:r w:rsidRPr="00B84AF6">
        <w:t xml:space="preserve">.”  “I don’t have to live it again after this.”  “If I give this testimony now, I say whatever I have to say now, I don’t want </w:t>
      </w:r>
      <w:r w:rsidRPr="00B84AF6" w:rsidR="001C6A1C">
        <w:t>to live it again.”</w:t>
      </w:r>
    </w:p>
    <w:p w:rsidR="00EA47B8" w:rsidRPr="00B84AF6" w:rsidP="00B84AF6">
      <w:pPr>
        <w:tabs>
          <w:tab w:val="left" w:pos="1440"/>
        </w:tabs>
        <w:ind w:firstLine="720"/>
      </w:pPr>
      <w:r w:rsidRPr="00B84AF6">
        <w:t xml:space="preserve">Dudek </w:t>
      </w:r>
      <w:r w:rsidRPr="00B84AF6" w:rsidR="00E9207B">
        <w:t>told defendant that his having admitted to things getting out of hand was “a step in the right direction.  You have to take it to at least to the part, where you have to give us some of the details.  Whether it’s painful or not, we don’t have to sit her</w:t>
      </w:r>
      <w:r w:rsidRPr="00B84AF6" w:rsidR="004717D6">
        <w:t>e</w:t>
      </w:r>
      <w:r w:rsidRPr="00B84AF6" w:rsidR="00E9207B">
        <w:t xml:space="preserve"> and harp on ya, and say, how come this and how come that? </w:t>
      </w:r>
      <w:r w:rsidRPr="00B84AF6" w:rsidR="00132216">
        <w:t xml:space="preserve"> Go through it.  Once you get it</w:t>
      </w:r>
      <w:r w:rsidRPr="00B84AF6" w:rsidR="00E9207B">
        <w:t xml:space="preserve"> off your chest Carl, it, it’s not gonna be as difficult as you think, and if it does get difficult, we’re not gonna sit here and, and badger you.”  </w:t>
      </w:r>
      <w:r w:rsidRPr="00B84AF6">
        <w:t xml:space="preserve">Defendant asked if what he said would be in the newspaper.  </w:t>
      </w:r>
      <w:r w:rsidRPr="00B84AF6" w:rsidR="000A337E">
        <w:t xml:space="preserve">He continued, </w:t>
      </w:r>
      <w:r w:rsidRPr="00B84AF6">
        <w:t>“</w:t>
      </w:r>
      <w:r w:rsidRPr="00B84AF6" w:rsidR="000A337E">
        <w:t>W</w:t>
      </w:r>
      <w:r w:rsidRPr="00B84AF6">
        <w:t xml:space="preserve">hatever I say I, you know it’s, it’s bad enough that you know like, you know I’ve already fucked up, and I you know, I wanna just, I don’t want it to be in the </w:t>
      </w:r>
      <w:r w:rsidRPr="00B84AF6" w:rsidR="000A337E">
        <w:t>paper and have my kids hurt any</w:t>
      </w:r>
      <w:r w:rsidRPr="00B84AF6">
        <w:t>more than they already are.”  Dudek said the way the information would become public was if there were a trial, and “there’s certain ways</w:t>
      </w:r>
      <w:r w:rsidRPr="00B84AF6" w:rsidR="00C36751">
        <w:t xml:space="preserve"> that</w:t>
      </w:r>
      <w:r w:rsidRPr="00B84AF6">
        <w:t xml:space="preserve"> you can get closure where it may not even go into trial, and that’s a decision </w:t>
      </w:r>
      <w:r w:rsidRPr="00B84AF6" w:rsidR="00C36751">
        <w:t xml:space="preserve">that </w:t>
      </w:r>
      <w:r w:rsidRPr="00B84AF6">
        <w:t>you’re gonna have to make.”  Defendant said “I just want to, I want to get it over.”  He said</w:t>
      </w:r>
      <w:r w:rsidR="00002EA2">
        <w:t>,</w:t>
      </w:r>
      <w:r w:rsidRPr="00B84AF6">
        <w:t xml:space="preserve"> “</w:t>
      </w:r>
      <w:r w:rsidR="00002EA2">
        <w:t>I</w:t>
      </w:r>
      <w:r w:rsidRPr="00B84AF6">
        <w:t>f I can ask you this question,” and “this is the question that c</w:t>
      </w:r>
      <w:r w:rsidRPr="00B84AF6" w:rsidR="001C6A1C">
        <w:t>oncerns me, all right?”</w:t>
      </w:r>
    </w:p>
    <w:p w:rsidR="00EA47B8" w:rsidRPr="00B84AF6" w:rsidP="00B84AF6">
      <w:pPr>
        <w:tabs>
          <w:tab w:val="left" w:pos="1440"/>
        </w:tabs>
        <w:ind w:firstLine="720"/>
      </w:pPr>
      <w:r w:rsidRPr="00B84AF6">
        <w:t>In another series of statements interspersed with acknowledgments from Dudek, defendant said, “</w:t>
      </w:r>
      <w:r w:rsidRPr="00B84AF6" w:rsidR="001E5E23">
        <w:t xml:space="preserve">What </w:t>
      </w:r>
      <w:r w:rsidRPr="00B84AF6">
        <w:t>I would like, you know I can talk to you guys.  I can even talk to the DA.”  “You know, with my Public Defender there or whatever right, and after I say what I have to say, just ask to be sentenced, if I can be sentenced.”  “You know I’m not asking for a jury trial</w:t>
      </w:r>
      <w:r w:rsidR="00425E44">
        <w:t xml:space="preserve"> ’</w:t>
      </w:r>
      <w:r w:rsidRPr="00B84AF6">
        <w:t>cause I don’t want a jury trial.”  “I just want you know, if I can, if what I’m saying, if I can have that, right, I can get this all over with.”  “. . . I understand you thought you guys say you can’t promise me that.”  Dudek told defendan</w:t>
      </w:r>
      <w:r w:rsidRPr="00B84AF6" w:rsidR="00132216">
        <w:t>t he woul</w:t>
      </w:r>
      <w:r w:rsidRPr="00B84AF6">
        <w:t xml:space="preserve">d “be </w:t>
      </w:r>
      <w:r w:rsidRPr="00B84AF6" w:rsidR="00132216">
        <w:t xml:space="preserve">absolutely </w:t>
      </w:r>
      <w:r w:rsidRPr="00B84AF6">
        <w:t xml:space="preserve">lying to you if I told you that, </w:t>
      </w:r>
      <w:r w:rsidR="00425E44">
        <w:t>’</w:t>
      </w:r>
      <w:r w:rsidRPr="00B84AF6">
        <w:t xml:space="preserve">cause that’s just not the way the system works, okay?  But can we let </w:t>
      </w:r>
      <w:r w:rsidR="00425E44">
        <w:t>’</w:t>
      </w:r>
      <w:r w:rsidRPr="00B84AF6">
        <w:t>em, can we let</w:t>
      </w:r>
      <w:r w:rsidR="00425E44">
        <w:t xml:space="preserve"> ’</w:t>
      </w:r>
      <w:r w:rsidRPr="00B84AF6">
        <w:t>em know that that’s your request?  We can let them know verbally and they’re gonna watch this, too.”  Defendant asked if he could “sit down wit</w:t>
      </w:r>
      <w:r w:rsidRPr="00B84AF6" w:rsidR="008F56A1">
        <w:t>’</w:t>
      </w:r>
      <w:r w:rsidRPr="00B84AF6">
        <w:t xml:space="preserve"> you two and the DA</w:t>
      </w:r>
      <w:r w:rsidRPr="00B84AF6" w:rsidR="008F56A1">
        <w:t>, right</w:t>
      </w:r>
      <w:r w:rsidRPr="00B84AF6">
        <w:t>?</w:t>
      </w:r>
      <w:r w:rsidRPr="00B84AF6" w:rsidR="008F56A1">
        <w:t>”</w:t>
      </w:r>
      <w:r w:rsidRPr="00B84AF6">
        <w:t xml:space="preserve">  </w:t>
      </w:r>
      <w:r w:rsidRPr="00B84AF6" w:rsidR="008F56A1">
        <w:t>“</w:t>
      </w:r>
      <w:r w:rsidRPr="00B84AF6">
        <w:t>Can I sit down with the DA?”</w:t>
      </w:r>
    </w:p>
    <w:p w:rsidR="00EA47B8" w:rsidRPr="00B84AF6" w:rsidP="00B84AF6">
      <w:pPr>
        <w:tabs>
          <w:tab w:val="left" w:pos="1440"/>
        </w:tabs>
        <w:ind w:firstLine="720"/>
      </w:pPr>
      <w:r w:rsidRPr="00B84AF6">
        <w:t>Chicoine told him, “Carl after this it’s all over.”  Defendant said, “</w:t>
      </w:r>
      <w:r w:rsidRPr="00B84AF6" w:rsidR="008F56A1">
        <w:t>I</w:t>
      </w:r>
      <w:r w:rsidRPr="00B84AF6">
        <w:t>t’s all in their hands?”  Chicoine said, “</w:t>
      </w:r>
      <w:r w:rsidRPr="00B84AF6" w:rsidR="008F56A1">
        <w:t>I</w:t>
      </w:r>
      <w:r w:rsidRPr="00B84AF6">
        <w:t>t’s all over there.  Right now this is, I’m, I’m the one that has to talk to the family, man.  That’s, that’s my concern, man.  My concern is just making sure everything now is at peace.  Obviously it’s not like peace with you.”  Dudek said, “Carl you’ve already started in the right direction here too, you’ve already said I killed Susan, or Susie.”  Defendant said, “</w:t>
      </w:r>
      <w:r w:rsidRPr="00B84AF6" w:rsidR="008F56A1">
        <w:t>Y</w:t>
      </w:r>
      <w:r w:rsidRPr="00B84AF6">
        <w:t>eah.”  Dudek said, “</w:t>
      </w:r>
      <w:r w:rsidRPr="00B84AF6" w:rsidR="008F56A1">
        <w:t>Ok</w:t>
      </w:r>
      <w:r w:rsidRPr="00B84AF6">
        <w:t xml:space="preserve"> so no matter what you say at this point here is only gonna benefit Carl, because Carl’s gonna be able to tell his</w:t>
      </w:r>
      <w:r w:rsidRPr="00B84AF6" w:rsidR="001C6A1C">
        <w:t xml:space="preserve"> side of the story.”</w:t>
      </w:r>
    </w:p>
    <w:p w:rsidR="00EA47B8" w:rsidRPr="00B84AF6" w:rsidP="00B84AF6">
      <w:pPr>
        <w:tabs>
          <w:tab w:val="left" w:pos="1440"/>
        </w:tabs>
        <w:ind w:firstLine="720"/>
      </w:pPr>
      <w:r w:rsidRPr="00B84AF6">
        <w:t>Chicoine suggested that defendant’s drug habit may have been “the reason,” but that “we need to kinda hear</w:t>
      </w:r>
      <w:r w:rsidRPr="00B84AF6" w:rsidR="004F67A5">
        <w:t xml:space="preserve"> that</w:t>
      </w:r>
      <w:r w:rsidRPr="00B84AF6">
        <w:t xml:space="preserve"> from you</w:t>
      </w:r>
      <w:r w:rsidRPr="00B84AF6" w:rsidR="004F67A5">
        <w:t xml:space="preserve"> though.”  Dudek said, “Y</w:t>
      </w:r>
      <w:r w:rsidRPr="00B84AF6">
        <w:t>ou got to tell us what you’re gonna tell us.  There’s a way actually and they have a DA that’s on stand</w:t>
      </w:r>
      <w:r w:rsidRPr="00B84AF6" w:rsidR="004F67A5">
        <w:t xml:space="preserve"> </w:t>
      </w:r>
      <w:r w:rsidRPr="00B84AF6">
        <w:t>by for murders, and when murder defendants, which you are, okay, start to talk, like you’re starting to talk to us okay, they’ll get a DA up here today, okay?  To, to come back and they’ll come in and they’ll ask you questions too, from the DA, not from the cops’ standpoint.  But we got to know what you’re gonna tell the DA, and that can happen today, okay?  So I, within probably an hour, forty</w:t>
      </w:r>
      <w:r w:rsidRPr="00B84AF6" w:rsidR="004F67A5">
        <w:t xml:space="preserve"> </w:t>
      </w:r>
      <w:r w:rsidRPr="00B84AF6">
        <w:t xml:space="preserve">five minutes we can have a DA up here to say, </w:t>
      </w:r>
      <w:r w:rsidRPr="00B84AF6" w:rsidR="004F67A5">
        <w:t>‘</w:t>
      </w:r>
      <w:r w:rsidRPr="00B84AF6">
        <w:t>hey the cops already told ya, what I did yeah, this is what I want,</w:t>
      </w:r>
      <w:r w:rsidRPr="00B84AF6" w:rsidR="004F67A5">
        <w:t>’</w:t>
      </w:r>
      <w:r w:rsidRPr="00B84AF6">
        <w:t xml:space="preserve"> okay?  And that can, that can happen today okay?  But you know the hardest part is, is you’ve already done it and you know what that is.”  Defendant said, “</w:t>
      </w:r>
      <w:r w:rsidRPr="00B84AF6" w:rsidR="004F67A5">
        <w:t>Ok</w:t>
      </w:r>
      <w:r w:rsidRPr="00B84AF6" w:rsidR="00132216">
        <w:t>.”</w:t>
      </w:r>
      <w:r w:rsidRPr="00B84AF6">
        <w:t xml:space="preserve">  After obtaining assurances that a district attorney would be on the way if</w:t>
      </w:r>
      <w:r w:rsidRPr="00B84AF6" w:rsidR="004F67A5">
        <w:t xml:space="preserve"> they called for one, he said</w:t>
      </w:r>
      <w:r w:rsidR="00156A4C">
        <w:t>,</w:t>
      </w:r>
      <w:r w:rsidRPr="00B84AF6" w:rsidR="004F67A5">
        <w:t xml:space="preserve"> “Y</w:t>
      </w:r>
      <w:r w:rsidRPr="00B84AF6">
        <w:t>ou call them now,” and</w:t>
      </w:r>
      <w:r w:rsidR="00156A4C">
        <w:t>,</w:t>
      </w:r>
      <w:r w:rsidRPr="00B84AF6">
        <w:t xml:space="preserve"> “</w:t>
      </w:r>
      <w:r w:rsidRPr="00B84AF6" w:rsidR="004F67A5">
        <w:t>C</w:t>
      </w:r>
      <w:r w:rsidRPr="00B84AF6">
        <w:t>ome back and we’ll continue</w:t>
      </w:r>
      <w:r w:rsidRPr="00B84AF6" w:rsidR="004F67A5">
        <w:t>.”</w:t>
      </w:r>
    </w:p>
    <w:p w:rsidR="00EA47B8" w:rsidRPr="00B84AF6" w:rsidP="00B84AF6">
      <w:pPr>
        <w:tabs>
          <w:tab w:val="left" w:pos="1440"/>
        </w:tabs>
        <w:ind w:firstLine="720"/>
      </w:pPr>
      <w:r w:rsidRPr="00B84AF6">
        <w:t xml:space="preserve">While Dudek was out calling the district attorney, Chicoine asked </w:t>
      </w:r>
      <w:r w:rsidR="00156A4C">
        <w:t xml:space="preserve">defendant </w:t>
      </w:r>
      <w:r w:rsidRPr="00B84AF6">
        <w:t>whether he “want</w:t>
      </w:r>
      <w:r w:rsidRPr="00B84AF6" w:rsidR="00FB2040">
        <w:t>[</w:t>
      </w:r>
      <w:r w:rsidRPr="00B84AF6">
        <w:t>ed</w:t>
      </w:r>
      <w:r w:rsidRPr="00B84AF6" w:rsidR="00FB2040">
        <w:t>]</w:t>
      </w:r>
      <w:r w:rsidRPr="00B84AF6">
        <w:t xml:space="preserve"> to have everybody here </w:t>
      </w:r>
      <w:r w:rsidRPr="00B84AF6" w:rsidR="005E39D7">
        <w:t xml:space="preserve">all </w:t>
      </w:r>
      <w:r w:rsidRPr="00B84AF6">
        <w:t xml:space="preserve">at once?”  Defendant said he didn’t “wanna live this whole story over,” that “it eats me up more and more </w:t>
      </w:r>
      <w:r w:rsidRPr="00B84AF6" w:rsidR="005E39D7">
        <w:t xml:space="preserve">and more </w:t>
      </w:r>
      <w:r w:rsidRPr="00B84AF6">
        <w:t>and more,” that he was “tired of it,” that he was at peace with God but had to “live with the consequences of what I’ve done,” and “this conversation I only want to say it on</w:t>
      </w:r>
      <w:r w:rsidRPr="00B84AF6" w:rsidR="005E39D7">
        <w:t>e time</w:t>
      </w:r>
      <w:r w:rsidRPr="00B84AF6">
        <w:t>.  The DA comes in, he looks [and] he listens to it, you know, I want to get over with it.”  He added, “I’ve made peace with me, but I it has to come out.”  Dudek returned and said it would take the DA thirty to forty minutes to get there.  He told defendant, “</w:t>
      </w:r>
      <w:r w:rsidRPr="00B84AF6" w:rsidR="007C70D6">
        <w:t>Y</w:t>
      </w:r>
      <w:r w:rsidRPr="00B84AF6">
        <w:t>ou’re not gonna leave here until you talk to him.”  Defendant indicated that he understood, and Dudek proceeded to quest</w:t>
      </w:r>
      <w:r w:rsidRPr="00B84AF6" w:rsidR="00B52832">
        <w:t>ion him.</w:t>
      </w:r>
    </w:p>
    <w:p w:rsidR="00EA47B8" w:rsidRPr="00B84AF6" w:rsidP="00B84AF6">
      <w:pPr>
        <w:tabs>
          <w:tab w:val="left" w:pos="1440"/>
        </w:tabs>
        <w:ind w:firstLine="720"/>
      </w:pPr>
      <w:bookmarkStart w:id="16" w:name="_Hlk523322183"/>
      <w:r w:rsidRPr="00B84AF6">
        <w:t>Defendant described a consensual sexual encounter when he and McKenna were both “loaded.”  They drank</w:t>
      </w:r>
      <w:r w:rsidR="00F41F91">
        <w:t>.  H</w:t>
      </w:r>
      <w:r w:rsidRPr="00B84AF6">
        <w:t>e used crack cocaine</w:t>
      </w:r>
      <w:r w:rsidR="00F41F91">
        <w:t>;</w:t>
      </w:r>
      <w:r w:rsidRPr="00B84AF6">
        <w:t xml:space="preserve"> she methamphetamine.  It became “rough sex” when, during intercourse, “she starts to like hitting me, slapping me.”  Their prior sexual encounter had been </w:t>
      </w:r>
      <w:r w:rsidR="00F41F91">
        <w:t>different</w:t>
      </w:r>
      <w:r w:rsidRPr="00B84AF6">
        <w:t>.  He said it was “possible” that he bit her, and answered “</w:t>
      </w:r>
      <w:r w:rsidRPr="00B84AF6" w:rsidR="007C70D6">
        <w:t>Y</w:t>
      </w:r>
      <w:r w:rsidRPr="00B84AF6">
        <w:t>eah” when Dudek asked whether she asked him to choke her.  He had used her panties or bra, but she said it wasn’t tight enough.  He could not remember what he used to exert more pressure.  The officers told him she was found with a sh</w:t>
      </w:r>
      <w:r w:rsidRPr="00B84AF6" w:rsidR="00B52832">
        <w:t xml:space="preserve">oelace around her neck.  </w:t>
      </w:r>
      <w:r w:rsidRPr="00B84AF6">
        <w:t>Defendant said, “I learned so much here.”  Asked “</w:t>
      </w:r>
      <w:r w:rsidRPr="00B84AF6" w:rsidR="00132216">
        <w:t>Probably from what?</w:t>
      </w:r>
      <w:r w:rsidRPr="00B84AF6">
        <w:t>” he said, “</w:t>
      </w:r>
      <w:r w:rsidRPr="00B84AF6" w:rsidR="00132216">
        <w:t>M</w:t>
      </w:r>
      <w:r w:rsidRPr="00B84AF6">
        <w:t xml:space="preserve">y own shoes.”  He had panicked when he realized she was dead, and dragged her into the bathroom to try to “clean up.” </w:t>
      </w:r>
      <w:bookmarkEnd w:id="16"/>
    </w:p>
    <w:p w:rsidR="00EA47B8" w:rsidRPr="00B84AF6" w:rsidP="00B84AF6">
      <w:pPr>
        <w:tabs>
          <w:tab w:val="left" w:pos="1440"/>
        </w:tabs>
        <w:ind w:firstLine="720"/>
      </w:pPr>
      <w:r w:rsidRPr="00B84AF6">
        <w:t>The next day he went back to make sure he hadn’t left anything in McKenna’s cottage.  Someone knocked on the door and saw him inside, so he ran.  The only thing defendant could remember saying when Robert</w:t>
      </w:r>
      <w:r w:rsidRPr="00B84AF6" w:rsidR="00C53B87">
        <w:t xml:space="preserve"> found him in the storage unit</w:t>
      </w:r>
      <w:r w:rsidRPr="00B84AF6">
        <w:t xml:space="preserve"> was not to tell anyone he was</w:t>
      </w:r>
      <w:bookmarkStart w:id="17" w:name="_Hlk523322200"/>
      <w:r w:rsidRPr="00B84AF6" w:rsidR="00B52832">
        <w:t xml:space="preserve"> there.  </w:t>
      </w:r>
      <w:r w:rsidRPr="00B84AF6">
        <w:t xml:space="preserve">Dudek returned to the circumstances of the killing, asking if McKenna had asked defendant to stop.  </w:t>
      </w:r>
      <w:bookmarkStart w:id="18" w:name="_Hlk523322149"/>
      <w:bookmarkEnd w:id="17"/>
      <w:r w:rsidRPr="00B84AF6">
        <w:t>He said no, and told Dudek</w:t>
      </w:r>
      <w:r w:rsidR="00156A4C">
        <w:t>,</w:t>
      </w:r>
      <w:r w:rsidRPr="00B84AF6">
        <w:t xml:space="preserve"> “I didn’t rape her.”  But he conceded she “may hav</w:t>
      </w:r>
      <w:r w:rsidRPr="00B84AF6" w:rsidR="00EE1C1A">
        <w:t>e” asked him to stop choking, he simply didn’t know</w:t>
      </w:r>
      <w:r w:rsidRPr="00B84AF6">
        <w:t>.</w:t>
      </w:r>
      <w:bookmarkEnd w:id="18"/>
    </w:p>
    <w:p w:rsidR="00EA47B8" w:rsidRPr="00B84AF6" w:rsidP="00B84AF6">
      <w:pPr>
        <w:tabs>
          <w:tab w:val="left" w:pos="1440"/>
        </w:tabs>
        <w:ind w:firstLine="720"/>
      </w:pPr>
      <w:r w:rsidRPr="00B84AF6">
        <w:t xml:space="preserve">When </w:t>
      </w:r>
      <w:r w:rsidR="00577884">
        <w:t>Deputy D</w:t>
      </w:r>
      <w:r w:rsidRPr="00B84AF6">
        <w:t xml:space="preserve">istrict </w:t>
      </w:r>
      <w:r w:rsidR="00577884">
        <w:t>A</w:t>
      </w:r>
      <w:r w:rsidRPr="00B84AF6">
        <w:t>ttorney Andy Sweet arrived, he</w:t>
      </w:r>
      <w:r w:rsidR="00F41F91">
        <w:t xml:space="preserve"> turned</w:t>
      </w:r>
      <w:r w:rsidRPr="00B84AF6">
        <w:t xml:space="preserve"> first </w:t>
      </w:r>
      <w:r w:rsidR="00F41F91">
        <w:t>to</w:t>
      </w:r>
      <w:r w:rsidRPr="00B84AF6">
        <w:t xml:space="preserve"> the circumstances of his statements that day.  Defendant acknowledged that he had previously invoked his </w:t>
      </w:r>
      <w:r w:rsidRPr="00B84AF6">
        <w:rPr>
          <w:i/>
        </w:rPr>
        <w:t>Miranda</w:t>
      </w:r>
      <w:r w:rsidRPr="00B84AF6">
        <w:t xml:space="preserve"> rights, but then wanted to talk.  When asked, “</w:t>
      </w:r>
      <w:r w:rsidRPr="00B84AF6" w:rsidR="00356140">
        <w:t>W</w:t>
      </w:r>
      <w:r w:rsidRPr="00B84AF6">
        <w:t>hat changed from before to now?” defendant said, “I</w:t>
      </w:r>
      <w:r w:rsidRPr="00B84AF6" w:rsidR="00EE3D0C">
        <w:t xml:space="preserve"> </w:t>
      </w:r>
      <w:r w:rsidRPr="00B84AF6">
        <w:t>just</w:t>
      </w:r>
      <w:r w:rsidRPr="00B84AF6" w:rsidR="00356140">
        <w:t xml:space="preserve"> .</w:t>
      </w:r>
      <w:r w:rsidR="00465221">
        <w:t> </w:t>
      </w:r>
      <w:r w:rsidRPr="00B84AF6" w:rsidR="00356140">
        <w:t>.</w:t>
      </w:r>
      <w:r w:rsidR="00465221">
        <w:t> </w:t>
      </w:r>
      <w:r w:rsidRPr="00B84AF6" w:rsidR="00356140">
        <w:t>.  I’m .</w:t>
      </w:r>
      <w:r w:rsidR="00465221">
        <w:t> </w:t>
      </w:r>
      <w:r w:rsidRPr="00B84AF6" w:rsidR="00356140">
        <w:t>.</w:t>
      </w:r>
      <w:r w:rsidR="00465221">
        <w:t> </w:t>
      </w:r>
      <w:r w:rsidRPr="00B84AF6" w:rsidR="00356140">
        <w:t>.  I’m tired.”  Sweet said, “I</w:t>
      </w:r>
      <w:r w:rsidRPr="00B84AF6">
        <w:t>t was your decision to start talking.”  Defendant agreed, saying</w:t>
      </w:r>
      <w:r w:rsidRPr="00B84AF6" w:rsidR="00132216">
        <w:t>,</w:t>
      </w:r>
      <w:r w:rsidRPr="00B84AF6">
        <w:t xml:space="preserve"> “It was my decision.  I’m tired now</w:t>
      </w:r>
      <w:r w:rsidRPr="00B84AF6" w:rsidR="00660849">
        <w:t xml:space="preserve">.”  </w:t>
      </w:r>
      <w:r w:rsidRPr="00B84AF6">
        <w:t>“</w:t>
      </w:r>
      <w:r w:rsidRPr="00B84AF6" w:rsidR="00246DA4">
        <w:t>I</w:t>
      </w:r>
      <w:r w:rsidRPr="00B84AF6">
        <w:t>n my mind, they didn’t press the issue,</w:t>
      </w:r>
      <w:r w:rsidRPr="00B84AF6" w:rsidR="00B52832">
        <w:t xml:space="preserve"> understand me?”  </w:t>
      </w:r>
      <w:r w:rsidRPr="00B84AF6">
        <w:t xml:space="preserve">Sweet turned on a tape recorder, though the conversation was already being recorded, and </w:t>
      </w:r>
      <w:r w:rsidRPr="00B84AF6" w:rsidR="00CB1DED">
        <w:t xml:space="preserve">again </w:t>
      </w:r>
      <w:r w:rsidRPr="00B84AF6">
        <w:t xml:space="preserve">advised defendant of his </w:t>
      </w:r>
      <w:r w:rsidRPr="00B84AF6">
        <w:rPr>
          <w:i/>
        </w:rPr>
        <w:t>Miranda</w:t>
      </w:r>
      <w:r w:rsidRPr="00B84AF6">
        <w:t xml:space="preserve"> rights, obtaining an express waiver.  He</w:t>
      </w:r>
      <w:r w:rsidRPr="00B84AF6" w:rsidR="00CB1DED">
        <w:t xml:space="preserve"> returned to d</w:t>
      </w:r>
      <w:r w:rsidRPr="00B84AF6">
        <w:t>efendant</w:t>
      </w:r>
      <w:r w:rsidRPr="00B84AF6" w:rsidR="00CB1DED">
        <w:t>’s decision t</w:t>
      </w:r>
      <w:r w:rsidRPr="00B84AF6">
        <w:t>o talk, saying</w:t>
      </w:r>
      <w:r w:rsidR="00261412">
        <w:t>,</w:t>
      </w:r>
      <w:r w:rsidRPr="00B84AF6">
        <w:t xml:space="preserve"> “</w:t>
      </w:r>
      <w:r w:rsidRPr="00B84AF6" w:rsidR="00BC7524">
        <w:t>W</w:t>
      </w:r>
      <w:r w:rsidRPr="00B84AF6">
        <w:t xml:space="preserve">hen they came to pick you up today, some place between San Quentin and here, the </w:t>
      </w:r>
      <w:r w:rsidRPr="00B84AF6" w:rsidR="00EE3D0C">
        <w:t>S</w:t>
      </w:r>
      <w:r w:rsidRPr="00B84AF6">
        <w:t xml:space="preserve">heriff’s </w:t>
      </w:r>
      <w:r w:rsidRPr="00B84AF6" w:rsidR="00EE3D0C">
        <w:t>D</w:t>
      </w:r>
      <w:r w:rsidRPr="00B84AF6">
        <w:t>epartment in Alameda County, you started talking to the officers about your case and about what was going on.  Isn’t that true?”  Defendant said, “</w:t>
      </w:r>
      <w:r w:rsidRPr="00B84AF6" w:rsidR="00EE3D0C">
        <w:t xml:space="preserve">That’s </w:t>
      </w:r>
      <w:r w:rsidRPr="00B84AF6">
        <w:t>correct.”  He reaffirmed that he changed his mind because he was “tired and I just want closure,” and that it was “</w:t>
      </w:r>
      <w:r w:rsidRPr="00B84AF6" w:rsidR="00EE3D0C">
        <w:t>[</w:t>
      </w:r>
      <w:r w:rsidRPr="00B84AF6">
        <w:t>m</w:t>
      </w:r>
      <w:r w:rsidRPr="00B84AF6" w:rsidR="00EE3D0C">
        <w:t>]</w:t>
      </w:r>
      <w:r w:rsidRPr="00B84AF6">
        <w:t>y decision.”  He said the officers had not said or done anything that made him think he had to talk to them, adding</w:t>
      </w:r>
      <w:r w:rsidR="00261412">
        <w:t>,</w:t>
      </w:r>
      <w:r w:rsidRPr="00B84AF6">
        <w:t xml:space="preserve"> “I asked them on the way here if I would be able to talk to</w:t>
      </w:r>
      <w:r w:rsidRPr="00B84AF6" w:rsidR="00B52832">
        <w:t xml:space="preserve"> a DA.”</w:t>
      </w:r>
    </w:p>
    <w:p w:rsidR="00EA47B8" w:rsidRPr="00B84AF6" w:rsidP="00B84AF6">
      <w:pPr>
        <w:tabs>
          <w:tab w:val="left" w:pos="1440"/>
        </w:tabs>
        <w:ind w:firstLine="720"/>
      </w:pPr>
      <w:r w:rsidRPr="00B84AF6">
        <w:t>Sweet asked, “</w:t>
      </w:r>
      <w:r w:rsidRPr="00B84AF6" w:rsidR="008524DC">
        <w:t>W</w:t>
      </w:r>
      <w:r w:rsidRPr="00B84AF6">
        <w:t>ould it be a fair statement to say that you reinitiated kind of the discussion about the case?”  Defendant answered, “</w:t>
      </w:r>
      <w:r w:rsidRPr="00B84AF6" w:rsidR="008524DC">
        <w:t>Ok</w:t>
      </w:r>
      <w:r w:rsidRPr="00B84AF6">
        <w:t>.  I, it, that would be fair because I asked like if I will be straight up with you both like I was with them, right.  I understand ok, I don’t have the money for a public defender, blah blah blah.  Right.  But I understand my public defender said well, look you shouldn’t do this you shouldn’t do that because they’re not here.  Ok.  I know what I did.  All right.  And I just want to get it over with.”  He agreed with Sweet’s statement that “</w:t>
      </w:r>
      <w:r w:rsidRPr="00B84AF6" w:rsidR="008524DC">
        <w:t>T</w:t>
      </w:r>
      <w:r w:rsidRPr="00B84AF6">
        <w:t>hey didn’t ask you any questions, you were the one asking them questions to start the conversation going again</w:t>
      </w:r>
      <w:r w:rsidRPr="00B84AF6" w:rsidR="008524DC">
        <w:t>.  Correct?</w:t>
      </w:r>
      <w:r w:rsidRPr="00B84AF6">
        <w:t>”  He said, “</w:t>
      </w:r>
      <w:r w:rsidRPr="00B84AF6" w:rsidR="008524DC">
        <w:t>T</w:t>
      </w:r>
      <w:r w:rsidRPr="00B84AF6">
        <w:t>hey made me no promises or anything.  My only, my main concern was that you w</w:t>
      </w:r>
      <w:r w:rsidRPr="00B84AF6" w:rsidR="00B52832">
        <w:t>ere to come down here.”</w:t>
      </w:r>
    </w:p>
    <w:p w:rsidR="00EA47B8" w:rsidRPr="00B84AF6" w:rsidP="00B84AF6">
      <w:pPr>
        <w:tabs>
          <w:tab w:val="left" w:pos="1440"/>
        </w:tabs>
        <w:ind w:firstLine="720"/>
      </w:pPr>
      <w:r w:rsidRPr="00B84AF6">
        <w:t xml:space="preserve">Defendant gave Sweet essentially the same version of the crime he had just given the officers.  </w:t>
      </w:r>
      <w:bookmarkStart w:id="19" w:name="_Hlk523322255"/>
      <w:r w:rsidRPr="00B84AF6">
        <w:t xml:space="preserve">Under the influence of drugs, he and McKenna had engaged in rough sex, and she asked him to choke her.  He didn’t </w:t>
      </w:r>
      <w:r w:rsidRPr="00B84AF6" w:rsidR="00263620">
        <w:t xml:space="preserve">intend that she </w:t>
      </w:r>
      <w:r w:rsidRPr="00B84AF6" w:rsidR="00B52832">
        <w:t xml:space="preserve">die.  </w:t>
      </w:r>
      <w:r w:rsidRPr="00B84AF6">
        <w:t xml:space="preserve">He said McKenna “was the aggressor that night,” taking off his clothes.  </w:t>
      </w:r>
      <w:r w:rsidRPr="00B84AF6" w:rsidR="00C5681C">
        <w:t xml:space="preserve">He twice emphasized that he did not rape her.  </w:t>
      </w:r>
      <w:r w:rsidRPr="00B84AF6">
        <w:t xml:space="preserve">After the intercourse </w:t>
      </w:r>
      <w:r w:rsidR="00F41F91">
        <w:t>ended</w:t>
      </w:r>
      <w:r w:rsidRPr="00B84AF6">
        <w:t>, he noticed she wasn’t breathing.  He panicked and tried to clean up.  The next day he returned to clean up more,</w:t>
      </w:r>
      <w:r w:rsidR="00261412">
        <w:t xml:space="preserve"> </w:t>
      </w:r>
      <w:r w:rsidRPr="00B84AF6">
        <w:t>and fled when seen.  The only thing he remembered telling his son was not to tell anyone where he was.</w:t>
      </w:r>
      <w:bookmarkEnd w:id="19"/>
    </w:p>
    <w:p w:rsidR="00EA47B8" w:rsidRPr="00B84AF6" w:rsidP="00086BD0">
      <w:pPr>
        <w:pStyle w:val="Heading5"/>
        <w:numPr>
          <w:ilvl w:val="0"/>
          <w:numId w:val="39"/>
        </w:numPr>
        <w:tabs>
          <w:tab w:val="left" w:pos="2880"/>
        </w:tabs>
        <w:ind w:left="2880"/>
      </w:pPr>
      <w:bookmarkStart w:id="20" w:name="_Toc527447442"/>
      <w:r w:rsidRPr="00B84AF6">
        <w:t>The Suppression Hearing</w:t>
      </w:r>
      <w:bookmarkEnd w:id="20"/>
    </w:p>
    <w:p w:rsidR="00EA47B8" w:rsidRPr="00B84AF6" w:rsidP="00B84AF6">
      <w:pPr>
        <w:tabs>
          <w:tab w:val="left" w:pos="1440"/>
        </w:tabs>
        <w:ind w:firstLine="720"/>
      </w:pPr>
      <w:r w:rsidRPr="00B84AF6">
        <w:t>Defendant moved to suppress his statements</w:t>
      </w:r>
      <w:r w:rsidR="00B53FD0">
        <w:t xml:space="preserve">.  </w:t>
      </w:r>
      <w:r w:rsidRPr="00B84AF6" w:rsidR="00535359">
        <w:t>T</w:t>
      </w:r>
      <w:r w:rsidRPr="00B84AF6" w:rsidR="00987B96">
        <w:t>he prosecutor said he was</w:t>
      </w:r>
      <w:r w:rsidR="00B53FD0">
        <w:t xml:space="preserve"> not</w:t>
      </w:r>
      <w:r w:rsidRPr="00B84AF6" w:rsidR="00987B96">
        <w:t xml:space="preserve"> going to offer the conv</w:t>
      </w:r>
      <w:r w:rsidRPr="00B84AF6" w:rsidR="00B52832">
        <w:t xml:space="preserve">ersation in the car.  </w:t>
      </w:r>
      <w:r w:rsidRPr="00B84AF6">
        <w:t>Chicoine testified at length about the circumstances of the statements</w:t>
      </w:r>
      <w:r w:rsidRPr="00B84AF6" w:rsidR="0014372C">
        <w:t xml:space="preserve"> and </w:t>
      </w:r>
      <w:r w:rsidRPr="00B84AF6" w:rsidR="008E3044">
        <w:t xml:space="preserve">the trial court </w:t>
      </w:r>
      <w:r w:rsidR="00B53FD0">
        <w:t>listened to</w:t>
      </w:r>
      <w:r w:rsidRPr="00B84AF6" w:rsidR="0014372C">
        <w:t xml:space="preserve"> the conversation in the car.  On cross-examination, defense counsel </w:t>
      </w:r>
      <w:r w:rsidRPr="00B84AF6">
        <w:t xml:space="preserve">asked Chicoine about his April 3 supplemental police report, which </w:t>
      </w:r>
      <w:r w:rsidRPr="00B84AF6" w:rsidR="00263620">
        <w:t xml:space="preserve">did not mention </w:t>
      </w:r>
      <w:r w:rsidRPr="00B84AF6">
        <w:t xml:space="preserve">defendant’s statements in the San Quentin receiving area </w:t>
      </w:r>
      <w:r w:rsidRPr="00B84AF6" w:rsidR="00263620">
        <w:t xml:space="preserve">about a </w:t>
      </w:r>
      <w:r w:rsidRPr="00B84AF6" w:rsidR="00B52832">
        <w:t xml:space="preserve">willingness to talk.  </w:t>
      </w:r>
      <w:r w:rsidRPr="00B84AF6">
        <w:t>Chicoine acknowledged that he had not reported the conversation, saying</w:t>
      </w:r>
      <w:r w:rsidR="00261412">
        <w:t>,</w:t>
      </w:r>
      <w:r w:rsidRPr="00B84AF6">
        <w:t xml:space="preserve"> “I inadvertently left that out.  At the time, I didn’t realize that that was an</w:t>
      </w:r>
      <w:r w:rsidRPr="00B84AF6" w:rsidR="00B52832">
        <w:t xml:space="preserve"> important issue.”  </w:t>
      </w:r>
      <w:r w:rsidRPr="00B84AF6">
        <w:t xml:space="preserve">He also conceded that when the taped interview began in the </w:t>
      </w:r>
      <w:r w:rsidRPr="00B84AF6" w:rsidR="002F3800">
        <w:t>s</w:t>
      </w:r>
      <w:r w:rsidRPr="00B84AF6">
        <w:t>tation, the officers did not ask defendant about any statements he made after getting ou</w:t>
      </w:r>
      <w:r w:rsidRPr="00B84AF6" w:rsidR="00B52832">
        <w:t xml:space="preserve">t of the car.  </w:t>
      </w:r>
      <w:r w:rsidRPr="00B84AF6">
        <w:t xml:space="preserve">He denied that the reason defendant was brought to the </w:t>
      </w:r>
      <w:r w:rsidRPr="00B84AF6" w:rsidR="002F3800">
        <w:t>s</w:t>
      </w:r>
      <w:r w:rsidRPr="00B84AF6">
        <w:t>tation was to take a statement from him.  He said a variety of procedures had to take place before defendant w</w:t>
      </w:r>
      <w:r w:rsidRPr="00B84AF6" w:rsidR="00B52832">
        <w:t>as taken to jail.</w:t>
      </w:r>
    </w:p>
    <w:p w:rsidR="00EA47B8" w:rsidRPr="00B84AF6" w:rsidP="00B84AF6">
      <w:pPr>
        <w:tabs>
          <w:tab w:val="left" w:pos="1440"/>
        </w:tabs>
        <w:ind w:firstLine="720"/>
      </w:pPr>
      <w:r w:rsidRPr="00B84AF6">
        <w:t>Chicoine agreed that Dudek began the station interview by summarizing the events of the day without mentioning any statements by defendant at San Quentin about wanting to talk t</w:t>
      </w:r>
      <w:r w:rsidRPr="00B84AF6" w:rsidR="00B52832">
        <w:t xml:space="preserve">o the officers.  </w:t>
      </w:r>
      <w:r w:rsidRPr="00B84AF6">
        <w:t xml:space="preserve">He further agreed that Sweet, the district attorney, </w:t>
      </w:r>
      <w:r w:rsidR="00B53FD0">
        <w:t xml:space="preserve">made no </w:t>
      </w:r>
      <w:r w:rsidR="000B2C32">
        <w:t xml:space="preserve">such </w:t>
      </w:r>
      <w:r w:rsidR="00B53FD0">
        <w:t xml:space="preserve">mention </w:t>
      </w:r>
      <w:r w:rsidRPr="00B84AF6">
        <w:t xml:space="preserve">in his </w:t>
      </w:r>
      <w:r w:rsidR="00B53FD0">
        <w:t xml:space="preserve">initial </w:t>
      </w:r>
      <w:r w:rsidRPr="00B84AF6">
        <w:t>summary</w:t>
      </w:r>
      <w:r w:rsidR="00B53FD0">
        <w:t>.</w:t>
      </w:r>
      <w:r w:rsidRPr="00B84AF6">
        <w:t xml:space="preserve"> </w:t>
      </w:r>
      <w:r w:rsidR="00B53FD0">
        <w:t xml:space="preserve"> N</w:t>
      </w:r>
      <w:r w:rsidRPr="00B84AF6">
        <w:t xml:space="preserve">or did Sweet mention any statements by defendant </w:t>
      </w:r>
      <w:r w:rsidR="00B53FD0">
        <w:t>after leaving</w:t>
      </w:r>
      <w:r w:rsidRPr="00B84AF6">
        <w:t xml:space="preserve"> the car </w:t>
      </w:r>
      <w:r w:rsidRPr="00B84AF6" w:rsidR="00B52832">
        <w:t xml:space="preserve">at the station.  </w:t>
      </w:r>
      <w:r w:rsidRPr="00B84AF6">
        <w:t>On redirect, the prosecutor showed that Chicoine had memorialized the unrecorded statement by the car in his supplemental police report.  He also established that Chicoine’s preliminary examination testimony included both that statement and defendant’s earlier statements in the San Quen</w:t>
      </w:r>
      <w:r w:rsidRPr="00B84AF6" w:rsidR="00B52832">
        <w:t xml:space="preserve">tin receiving area.  </w:t>
      </w:r>
      <w:r w:rsidRPr="00B84AF6" w:rsidR="00535359">
        <w:t>Defendant did not testify at the hearing</w:t>
      </w:r>
      <w:r w:rsidR="00B53FD0">
        <w:t>.</w:t>
      </w:r>
      <w:r w:rsidRPr="00B84AF6" w:rsidR="0091020A">
        <w:t xml:space="preserve"> </w:t>
      </w:r>
      <w:r w:rsidR="00B53FD0">
        <w:t xml:space="preserve"> N</w:t>
      </w:r>
      <w:r w:rsidRPr="00B84AF6" w:rsidR="00535359">
        <w:t xml:space="preserve">o </w:t>
      </w:r>
      <w:r w:rsidRPr="00B84AF6" w:rsidR="00962619">
        <w:t xml:space="preserve">direct evidence </w:t>
      </w:r>
      <w:r w:rsidRPr="00B84AF6" w:rsidR="00535359">
        <w:t>contradict</w:t>
      </w:r>
      <w:r w:rsidR="00B53FD0">
        <w:t>ed</w:t>
      </w:r>
      <w:r w:rsidRPr="00B84AF6" w:rsidR="00535359">
        <w:t xml:space="preserve"> Chicoine’s testimony about defendant’s unrecorded statements.  </w:t>
      </w:r>
    </w:p>
    <w:p w:rsidR="00EA47B8" w:rsidRPr="00B84AF6" w:rsidP="00B84AF6">
      <w:pPr>
        <w:tabs>
          <w:tab w:val="left" w:pos="1440"/>
        </w:tabs>
        <w:ind w:firstLine="720"/>
      </w:pPr>
      <w:r w:rsidRPr="00B84AF6">
        <w:t xml:space="preserve">The court denied the motion to suppress the statements.  As to the March 21 statement, it ruled that the “ruse” employed by the officers did not invalidate defendant’s </w:t>
      </w:r>
      <w:r w:rsidRPr="00B84AF6">
        <w:rPr>
          <w:i/>
        </w:rPr>
        <w:t>Miranda</w:t>
      </w:r>
      <w:r w:rsidRPr="00B84AF6">
        <w:t xml:space="preserve"> waiver.  The court noted that</w:t>
      </w:r>
      <w:r w:rsidRPr="00B84AF6" w:rsidR="00703056">
        <w:t>,</w:t>
      </w:r>
      <w:r w:rsidRPr="00B84AF6">
        <w:t xml:space="preserve"> in addition to mentioning the sex offender registration process, Chicoine</w:t>
      </w:r>
      <w:r w:rsidRPr="00B84AF6">
        <w:rPr>
          <w:i/>
        </w:rPr>
        <w:t xml:space="preserve"> </w:t>
      </w:r>
      <w:r w:rsidRPr="00B84AF6">
        <w:t>had told defendant that “they wanted to talk about some of your past crimes which could well have alerted the defendant that this eve</w:t>
      </w:r>
      <w:r w:rsidRPr="00B84AF6" w:rsidR="00B52832">
        <w:t xml:space="preserve">nt was fair game.”  </w:t>
      </w:r>
      <w:r w:rsidR="00B53FD0">
        <w:t>T</w:t>
      </w:r>
      <w:r w:rsidRPr="00B84AF6">
        <w:t>he court found defendant had voluntarily reinitiated contact with the officers</w:t>
      </w:r>
      <w:r w:rsidR="00B53FD0">
        <w:t xml:space="preserve"> on March 31</w:t>
      </w:r>
      <w:r w:rsidRPr="00B84AF6">
        <w:t>.  It relied on “numerous indications in subsequent statements of the defendant and the various interrogations to substantially corroborate the statement under oath of [Chicoine] of the statement that was not recorded at San Quentin, that the defendant basically communicated that he knew that they would be coming back and he meant to call them and that he wanted to talk to them and that he wanted to get the whole thing over with.  And I find that most particularly in the statements . . </w:t>
      </w:r>
      <w:r w:rsidRPr="00B84AF6" w:rsidR="00B52832">
        <w:t>. to Andy Sweet.”</w:t>
      </w:r>
    </w:p>
    <w:p w:rsidR="004E7CEE" w:rsidRPr="00B84AF6" w:rsidP="00B84AF6">
      <w:pPr>
        <w:tabs>
          <w:tab w:val="left" w:pos="1440"/>
        </w:tabs>
        <w:ind w:firstLine="720"/>
      </w:pPr>
      <w:r w:rsidRPr="00B84AF6">
        <w:t>The court further found that “any conduct of Sergeant Dudek in his statements in the trip down from San Quentin to [</w:t>
      </w:r>
      <w:r w:rsidRPr="00B84AF6" w:rsidR="002F3800">
        <w:t xml:space="preserve">the </w:t>
      </w:r>
      <w:r w:rsidRPr="00B84AF6">
        <w:t xml:space="preserve">station] were not so psychologically compelling that they would have overborne Mr. Molano’s free will.  And [that] in fact is belied by the sheriff’s officers preventing Mr. Molano from making his statement until after he had been given his </w:t>
      </w:r>
      <w:r w:rsidRPr="00B84AF6">
        <w:rPr>
          <w:i/>
        </w:rPr>
        <w:t>Miranda</w:t>
      </w:r>
      <w:r w:rsidRPr="00B84AF6">
        <w:t xml:space="preserve"> rights, and he was perfectly free once given those </w:t>
      </w:r>
      <w:r w:rsidRPr="00B84AF6">
        <w:rPr>
          <w:i/>
        </w:rPr>
        <w:t>Miranda</w:t>
      </w:r>
      <w:r w:rsidRPr="00B84AF6">
        <w:t xml:space="preserve"> rights to reaffirm that he wanted an attorney or that he wanted to remain silent.  So under either analysis, under voluntary reinitiation or under [a] voluntariness analysis, I believe that Mr. Molano was given his </w:t>
      </w:r>
      <w:r w:rsidRPr="00B84AF6">
        <w:rPr>
          <w:i/>
        </w:rPr>
        <w:t>Miranda</w:t>
      </w:r>
      <w:r w:rsidRPr="00B84AF6">
        <w:t xml:space="preserve"> rights at [the station] and that by continuing talking . . . he impliedly waived those rights,” making his subsequent statements to the officers and to Sweet “le</w:t>
      </w:r>
      <w:r w:rsidRPr="00B84AF6" w:rsidR="00B52832">
        <w:t>gal and voluntary.”</w:t>
      </w:r>
    </w:p>
    <w:p w:rsidR="005523CA" w:rsidRPr="00B84AF6" w:rsidP="00086BD0">
      <w:pPr>
        <w:pStyle w:val="Heading4"/>
        <w:numPr>
          <w:ilvl w:val="0"/>
          <w:numId w:val="32"/>
        </w:numPr>
        <w:tabs>
          <w:tab w:val="left" w:pos="2434"/>
        </w:tabs>
        <w:ind w:left="2376"/>
      </w:pPr>
      <w:bookmarkStart w:id="21" w:name="_Toc527447443"/>
      <w:bookmarkStart w:id="22" w:name="_Hlk518995839"/>
      <w:r w:rsidRPr="00B84AF6">
        <w:t>V</w:t>
      </w:r>
      <w:r w:rsidRPr="00B84AF6" w:rsidR="00563F5A">
        <w:t xml:space="preserve">alidity </w:t>
      </w:r>
      <w:r w:rsidRPr="00B84AF6">
        <w:t>of Miranda Waiver on March 21st</w:t>
      </w:r>
      <w:bookmarkEnd w:id="21"/>
    </w:p>
    <w:p w:rsidR="00693E43" w:rsidRPr="00B84AF6" w:rsidP="00B84AF6">
      <w:pPr>
        <w:tabs>
          <w:tab w:val="left" w:pos="1440"/>
        </w:tabs>
        <w:ind w:firstLine="720"/>
      </w:pPr>
      <w:bookmarkEnd w:id="22"/>
      <w:r w:rsidRPr="00B84AF6">
        <w:t xml:space="preserve">Defendant claims his </w:t>
      </w:r>
      <w:r w:rsidRPr="00B84AF6" w:rsidR="005523CA">
        <w:t xml:space="preserve">initial </w:t>
      </w:r>
      <w:r w:rsidRPr="00B84AF6" w:rsidR="00F67026">
        <w:rPr>
          <w:i/>
        </w:rPr>
        <w:t>Miranda</w:t>
      </w:r>
      <w:r w:rsidRPr="00B84AF6" w:rsidR="00F67026">
        <w:t xml:space="preserve"> </w:t>
      </w:r>
      <w:r w:rsidRPr="00B84AF6" w:rsidR="005523CA">
        <w:t xml:space="preserve">waiver was </w:t>
      </w:r>
      <w:r w:rsidRPr="00B84AF6" w:rsidR="00563F5A">
        <w:t xml:space="preserve">constitutionally </w:t>
      </w:r>
      <w:r w:rsidRPr="00B84AF6" w:rsidR="005523CA">
        <w:t>invalid because he was deceived into waiving his rights at the outset of the San Quentin interview.</w:t>
      </w:r>
      <w:r w:rsidRPr="00B84AF6" w:rsidR="0034039D">
        <w:t xml:space="preserve">  Specifically, he agreed to</w:t>
      </w:r>
      <w:r w:rsidRPr="00B84AF6" w:rsidR="00717810">
        <w:t xml:space="preserve"> speak to Chicoine </w:t>
      </w:r>
      <w:r w:rsidR="00B53FD0">
        <w:t>because</w:t>
      </w:r>
      <w:r w:rsidRPr="00B84AF6" w:rsidR="0034039D">
        <w:t xml:space="preserve"> </w:t>
      </w:r>
      <w:r w:rsidRPr="00B84AF6" w:rsidR="00717810">
        <w:t>Chico</w:t>
      </w:r>
      <w:r w:rsidRPr="00B84AF6" w:rsidR="00F67026">
        <w:t>i</w:t>
      </w:r>
      <w:r w:rsidRPr="00B84AF6" w:rsidR="00717810">
        <w:t xml:space="preserve">ne </w:t>
      </w:r>
      <w:r w:rsidR="00B53FD0">
        <w:t xml:space="preserve">said he </w:t>
      </w:r>
      <w:r w:rsidRPr="00B84AF6" w:rsidR="0034039D">
        <w:t>was a sex crime investigator conducting a routine pre-release interview of defendant</w:t>
      </w:r>
      <w:r w:rsidR="00261412">
        <w:t>,</w:t>
      </w:r>
      <w:r w:rsidR="00B53FD0">
        <w:t xml:space="preserve"> who would have</w:t>
      </w:r>
      <w:r w:rsidRPr="00B84AF6" w:rsidR="0034039D">
        <w:t xml:space="preserve"> to register as a sex offender under section 290.  According to defendant, </w:t>
      </w:r>
      <w:r w:rsidR="00B53FD0">
        <w:t xml:space="preserve">because of </w:t>
      </w:r>
      <w:r w:rsidRPr="00B84AF6" w:rsidR="0034039D">
        <w:t xml:space="preserve">Chicoine’s deliberate falsehood </w:t>
      </w:r>
      <w:r w:rsidRPr="00B84AF6" w:rsidR="00F67026">
        <w:t xml:space="preserve">the </w:t>
      </w:r>
      <w:r w:rsidRPr="00B84AF6" w:rsidR="0034039D">
        <w:t>waiver</w:t>
      </w:r>
      <w:r w:rsidR="00B53FD0">
        <w:t xml:space="preserve"> was</w:t>
      </w:r>
      <w:r w:rsidRPr="00B84AF6" w:rsidR="0034039D">
        <w:t xml:space="preserve"> </w:t>
      </w:r>
      <w:r w:rsidRPr="00B84AF6" w:rsidR="00563F5A">
        <w:t>not knowing, intelligent, and voluntary</w:t>
      </w:r>
      <w:r w:rsidRPr="00B84AF6" w:rsidR="0034039D">
        <w:t>.</w:t>
      </w:r>
      <w:r w:rsidRPr="00B84AF6" w:rsidR="00C0684A">
        <w:t xml:space="preserve">  </w:t>
      </w:r>
      <w:r w:rsidR="00B53FD0">
        <w:t>The</w:t>
      </w:r>
      <w:r w:rsidRPr="00B84AF6" w:rsidR="00C0684A">
        <w:t xml:space="preserve"> claim </w:t>
      </w:r>
      <w:r w:rsidR="00B53FD0">
        <w:t>fails</w:t>
      </w:r>
      <w:r w:rsidRPr="00B84AF6" w:rsidR="00C0684A">
        <w:t xml:space="preserve">.  </w:t>
      </w:r>
    </w:p>
    <w:p w:rsidR="0034039D" w:rsidRPr="00B84AF6" w:rsidP="00B84AF6">
      <w:pPr>
        <w:tabs>
          <w:tab w:val="left" w:pos="1440"/>
        </w:tabs>
        <w:ind w:firstLine="720"/>
      </w:pPr>
      <w:r w:rsidRPr="00B84AF6">
        <w:t>The governing principles are well established.  Before subjecting suspect</w:t>
      </w:r>
      <w:r w:rsidRPr="00B84AF6" w:rsidR="001003DD">
        <w:t>s</w:t>
      </w:r>
      <w:r w:rsidRPr="00B84AF6">
        <w:t xml:space="preserve"> to custodial interrogation,</w:t>
      </w:r>
      <w:r>
        <w:rPr>
          <w:rStyle w:val="FootnoteReference"/>
        </w:rPr>
        <w:footnoteReference w:id="10"/>
      </w:r>
      <w:r w:rsidRPr="00B84AF6">
        <w:t xml:space="preserve"> the police must inform the</w:t>
      </w:r>
      <w:r w:rsidRPr="00B84AF6" w:rsidR="001003DD">
        <w:t>m of their</w:t>
      </w:r>
      <w:r w:rsidRPr="00B84AF6">
        <w:t xml:space="preserve"> </w:t>
      </w:r>
      <w:r w:rsidRPr="00B84AF6">
        <w:rPr>
          <w:i/>
        </w:rPr>
        <w:t>Miranda</w:t>
      </w:r>
      <w:r w:rsidRPr="00B84AF6">
        <w:t xml:space="preserve"> rights and obtain a</w:t>
      </w:r>
      <w:r w:rsidR="00B53FD0">
        <w:t xml:space="preserve"> waiver that is knowing</w:t>
      </w:r>
      <w:r w:rsidR="00D37318">
        <w:t>,</w:t>
      </w:r>
      <w:r w:rsidRPr="00B84AF6">
        <w:t xml:space="preserve"> voluntary, and intelligent</w:t>
      </w:r>
      <w:r w:rsidR="00D37318">
        <w:t>.</w:t>
      </w:r>
      <w:r w:rsidRPr="00B84AF6">
        <w:t xml:space="preserve">  (</w:t>
      </w:r>
      <w:r w:rsidRPr="00B84AF6">
        <w:rPr>
          <w:i/>
        </w:rPr>
        <w:t>Miranda</w:t>
      </w:r>
      <w:r w:rsidRPr="00B84AF6">
        <w:t>,</w:t>
      </w:r>
      <w:r w:rsidRPr="00B84AF6">
        <w:rPr>
          <w:i/>
        </w:rPr>
        <w:t xml:space="preserve"> supra</w:t>
      </w:r>
      <w:r w:rsidRPr="00B84AF6">
        <w:t xml:space="preserve">, </w:t>
      </w:r>
      <w:r w:rsidRPr="00B84AF6" w:rsidR="003E239D">
        <w:t>384 U.S. a</w:t>
      </w:r>
      <w:r w:rsidRPr="00B84AF6" w:rsidR="00340048">
        <w:t>t pp. 444, 478–</w:t>
      </w:r>
      <w:r w:rsidRPr="00B84AF6" w:rsidR="003E239D">
        <w:t xml:space="preserve">479.)  The test </w:t>
      </w:r>
      <w:r w:rsidR="00D37318">
        <w:t>for</w:t>
      </w:r>
      <w:r w:rsidRPr="00B84AF6" w:rsidR="003E239D">
        <w:t xml:space="preserve"> validity </w:t>
      </w:r>
      <w:r w:rsidRPr="00B84AF6" w:rsidR="00567669">
        <w:t>is as follows.</w:t>
      </w:r>
      <w:r w:rsidRPr="00B84AF6" w:rsidR="003E239D">
        <w:t xml:space="preserve">  “First, the relinquishment of the right must have been voluntary in the sense that it was the product of </w:t>
      </w:r>
      <w:r w:rsidRPr="00B84AF6" w:rsidR="00EB746F">
        <w:t xml:space="preserve">a </w:t>
      </w:r>
      <w:r w:rsidRPr="00B84AF6" w:rsidR="003E239D">
        <w:t xml:space="preserve">free and deliberate choice rather than intimidation, coercion, or deception.  Second, the waiver must have been made with a full awareness of both the nature of the right being abandoned and the consequences of the decision to abandon it.  Only if the ‘totality of the circumstances surrounding the interrogation’ reveals both an uncoerced choice and the requisite level of comprehension may a court properly conclude that the </w:t>
      </w:r>
      <w:r w:rsidRPr="00B84AF6" w:rsidR="003E239D">
        <w:rPr>
          <w:i/>
        </w:rPr>
        <w:t>Miranda</w:t>
      </w:r>
      <w:r w:rsidRPr="00B84AF6" w:rsidR="003E239D">
        <w:t xml:space="preserve"> rights have been waived.”  (</w:t>
      </w:r>
      <w:r w:rsidRPr="00B84AF6" w:rsidR="003E239D">
        <w:rPr>
          <w:i/>
        </w:rPr>
        <w:t>Moran v. Burbine</w:t>
      </w:r>
      <w:r w:rsidRPr="00B84AF6" w:rsidR="003E239D">
        <w:t xml:space="preserve"> (198</w:t>
      </w:r>
      <w:r w:rsidRPr="00B84AF6" w:rsidR="00D94AAC">
        <w:t>6</w:t>
      </w:r>
      <w:r w:rsidRPr="00B84AF6" w:rsidR="003E239D">
        <w:t>) 475 U.S. 412, 421</w:t>
      </w:r>
      <w:r w:rsidRPr="00B84AF6" w:rsidR="005A48F7">
        <w:t xml:space="preserve"> (</w:t>
      </w:r>
      <w:r w:rsidRPr="00B84AF6" w:rsidR="005A48F7">
        <w:rPr>
          <w:i/>
        </w:rPr>
        <w:t>Moran</w:t>
      </w:r>
      <w:r w:rsidRPr="00B84AF6" w:rsidR="005A48F7">
        <w:t>)</w:t>
      </w:r>
      <w:r w:rsidRPr="00B84AF6" w:rsidR="003E239D">
        <w:t>.)</w:t>
      </w:r>
      <w:r w:rsidRPr="00B84AF6" w:rsidR="001003DD">
        <w:t xml:space="preserve">  The prosecution </w:t>
      </w:r>
      <w:r w:rsidRPr="00B84AF6" w:rsidR="00567669">
        <w:t xml:space="preserve">must demonstrate </w:t>
      </w:r>
      <w:r w:rsidRPr="00B84AF6" w:rsidR="001003DD">
        <w:t xml:space="preserve">the validity of </w:t>
      </w:r>
      <w:r w:rsidRPr="00B84AF6" w:rsidR="00EB1B59">
        <w:t>a suspect’s waiver</w:t>
      </w:r>
      <w:r w:rsidR="00D37318">
        <w:t xml:space="preserve"> </w:t>
      </w:r>
      <w:r w:rsidRPr="00B84AF6" w:rsidR="001003DD">
        <w:t>by a preponderance of the evidence.</w:t>
      </w:r>
      <w:r w:rsidRPr="00B84AF6" w:rsidR="00EB1B59">
        <w:t xml:space="preserve">  (</w:t>
      </w:r>
      <w:r w:rsidRPr="00B84AF6" w:rsidR="00EB1B59">
        <w:rPr>
          <w:i/>
        </w:rPr>
        <w:t>Colorado v. Connelly</w:t>
      </w:r>
      <w:r w:rsidRPr="00B84AF6" w:rsidR="00EB1B59">
        <w:t xml:space="preserve"> (1986) 479 U.S. 157, 168–169</w:t>
      </w:r>
      <w:r w:rsidRPr="00B84AF6" w:rsidR="004F444D">
        <w:t xml:space="preserve"> (</w:t>
      </w:r>
      <w:r w:rsidRPr="00B84AF6" w:rsidR="004F444D">
        <w:rPr>
          <w:i/>
        </w:rPr>
        <w:t>Connelly</w:t>
      </w:r>
      <w:r w:rsidRPr="00B84AF6" w:rsidR="004F444D">
        <w:t>)</w:t>
      </w:r>
      <w:r w:rsidRPr="00B84AF6" w:rsidR="00EB1B59">
        <w:t>.)</w:t>
      </w:r>
      <w:r w:rsidRPr="00B84AF6" w:rsidR="001003DD">
        <w:t xml:space="preserve"> </w:t>
      </w:r>
    </w:p>
    <w:p w:rsidR="0034039D" w:rsidRPr="00B84AF6" w:rsidP="00B84AF6">
      <w:pPr>
        <w:tabs>
          <w:tab w:val="left" w:pos="1440"/>
        </w:tabs>
        <w:ind w:firstLine="720"/>
      </w:pPr>
      <w:r w:rsidRPr="00B84AF6">
        <w:t xml:space="preserve">There is no factual dispute </w:t>
      </w:r>
      <w:r w:rsidR="00D37318">
        <w:t>as to</w:t>
      </w:r>
      <w:r w:rsidRPr="00B84AF6">
        <w:t xml:space="preserve"> the circumstances of defendant’s </w:t>
      </w:r>
      <w:r w:rsidRPr="00B84AF6" w:rsidR="004E2471">
        <w:t xml:space="preserve">initial </w:t>
      </w:r>
      <w:r w:rsidRPr="00B84AF6">
        <w:t xml:space="preserve">waiver at San Quentin.  Chicoine testified that he and Dudek came up with a “ruse” to </w:t>
      </w:r>
      <w:r w:rsidRPr="00B84AF6" w:rsidR="00402A06">
        <w:t xml:space="preserve">make </w:t>
      </w:r>
      <w:r w:rsidRPr="00B84AF6">
        <w:t>defendant think they had come to talk to him about sex offender registration</w:t>
      </w:r>
      <w:r w:rsidR="00D37318">
        <w:t xml:space="preserve"> matters</w:t>
      </w:r>
      <w:r w:rsidRPr="00B84AF6">
        <w:t xml:space="preserve">.  Chicoine told defendant that he had “files full” of sex registrants, and that “the objective” was for defendant to stay out of the “red file” on his desk of “the guys I’m going after.” </w:t>
      </w:r>
      <w:bookmarkStart w:id="23" w:name="_Hlk516829455"/>
      <w:r w:rsidRPr="00B84AF6">
        <w:t xml:space="preserve"> </w:t>
      </w:r>
      <w:r w:rsidRPr="00B84AF6" w:rsidR="00423431">
        <w:t xml:space="preserve">Chicoine </w:t>
      </w:r>
      <w:r w:rsidR="00D37318">
        <w:t>did not</w:t>
      </w:r>
      <w:r w:rsidRPr="00B84AF6" w:rsidR="00F323C7">
        <w:t xml:space="preserve"> reveal </w:t>
      </w:r>
      <w:r w:rsidRPr="00B84AF6" w:rsidR="000C08AC">
        <w:t>that he was investigat</w:t>
      </w:r>
      <w:r w:rsidR="00D37318">
        <w:t>ing</w:t>
      </w:r>
      <w:r w:rsidRPr="00B84AF6" w:rsidR="000C08AC">
        <w:t xml:space="preserve"> McKenna’s death.</w:t>
      </w:r>
      <w:r w:rsidRPr="00B84AF6" w:rsidR="00F323C7">
        <w:t xml:space="preserve">  </w:t>
      </w:r>
      <w:bookmarkEnd w:id="23"/>
      <w:r w:rsidRPr="00B84AF6" w:rsidR="00E16FE8">
        <w:t>Nonetheless, h</w:t>
      </w:r>
      <w:r w:rsidRPr="00B84AF6" w:rsidR="00F323C7">
        <w:t xml:space="preserve">e did </w:t>
      </w:r>
      <w:r w:rsidR="00D37318">
        <w:t>say</w:t>
      </w:r>
      <w:r w:rsidRPr="00B84AF6" w:rsidR="004322F3">
        <w:t xml:space="preserve"> that he wanted to talk to </w:t>
      </w:r>
      <w:r w:rsidR="00D37318">
        <w:t>defendant</w:t>
      </w:r>
      <w:r w:rsidRPr="00B84AF6" w:rsidR="00F323C7">
        <w:t xml:space="preserve"> </w:t>
      </w:r>
      <w:r w:rsidRPr="00B84AF6" w:rsidR="004322F3">
        <w:t>“</w:t>
      </w:r>
      <w:r w:rsidRPr="00B84AF6" w:rsidR="00F323C7">
        <w:t xml:space="preserve">about </w:t>
      </w:r>
      <w:r w:rsidRPr="00B84AF6" w:rsidR="00F323C7">
        <w:rPr>
          <w:i/>
        </w:rPr>
        <w:t>some of your past crimes</w:t>
      </w:r>
      <w:r w:rsidRPr="00B84AF6" w:rsidR="00F323C7">
        <w:t xml:space="preserve"> and some of the sex registration laws and things like that.</w:t>
      </w:r>
      <w:r w:rsidRPr="00B84AF6" w:rsidR="00053F03">
        <w:t xml:space="preserve">”  (Italics added.)  </w:t>
      </w:r>
      <w:r w:rsidRPr="00B84AF6">
        <w:t xml:space="preserve">Whether </w:t>
      </w:r>
      <w:r w:rsidRPr="00B84AF6" w:rsidR="00F323C7">
        <w:t>Chicoine’s</w:t>
      </w:r>
      <w:r w:rsidRPr="00B84AF6">
        <w:t xml:space="preserve"> </w:t>
      </w:r>
      <w:r w:rsidRPr="00B84AF6" w:rsidR="00BE2CC2">
        <w:t>statements</w:t>
      </w:r>
      <w:r w:rsidRPr="00B84AF6">
        <w:t xml:space="preserve"> </w:t>
      </w:r>
      <w:r w:rsidR="00D37318">
        <w:t>about</w:t>
      </w:r>
      <w:r w:rsidRPr="00B84AF6">
        <w:t xml:space="preserve"> the purpose of the interrogation</w:t>
      </w:r>
      <w:r w:rsidRPr="00B84AF6" w:rsidR="00053F03">
        <w:t xml:space="preserve"> </w:t>
      </w:r>
      <w:r w:rsidRPr="00B84AF6">
        <w:t xml:space="preserve">invalidated defendant’s </w:t>
      </w:r>
      <w:r w:rsidRPr="00B84AF6">
        <w:rPr>
          <w:i/>
        </w:rPr>
        <w:t>Miranda</w:t>
      </w:r>
      <w:r w:rsidRPr="00B84AF6">
        <w:t xml:space="preserve"> waiver is a legal question subject to our independent review.</w:t>
      </w:r>
    </w:p>
    <w:p w:rsidR="0034039D" w:rsidRPr="00B84AF6" w:rsidP="00B84AF6">
      <w:pPr>
        <w:tabs>
          <w:tab w:val="left" w:pos="1440"/>
        </w:tabs>
        <w:ind w:firstLine="720"/>
      </w:pPr>
      <w:r w:rsidRPr="00B84AF6">
        <w:t xml:space="preserve">The high court has made it clear that merely withholding certain information from a defendant does not </w:t>
      </w:r>
      <w:r w:rsidRPr="00B84AF6" w:rsidR="00BB7F8D">
        <w:t>i</w:t>
      </w:r>
      <w:r w:rsidRPr="00B84AF6">
        <w:t xml:space="preserve">nvalidate a </w:t>
      </w:r>
      <w:r w:rsidRPr="00B84AF6">
        <w:rPr>
          <w:i/>
        </w:rPr>
        <w:t>Miranda</w:t>
      </w:r>
      <w:r w:rsidRPr="00B84AF6" w:rsidR="003E585D">
        <w:t xml:space="preserve"> waiver.  </w:t>
      </w:r>
      <w:r w:rsidRPr="00B84AF6" w:rsidR="00BB7F8D">
        <w:t xml:space="preserve">In </w:t>
      </w:r>
      <w:r w:rsidRPr="00B84AF6" w:rsidR="00114B28">
        <w:rPr>
          <w:i/>
        </w:rPr>
        <w:t>Moran</w:t>
      </w:r>
      <w:r w:rsidRPr="00B84AF6" w:rsidR="00114B28">
        <w:t>,</w:t>
      </w:r>
      <w:r w:rsidRPr="00B84AF6" w:rsidR="00114B28">
        <w:rPr>
          <w:i/>
        </w:rPr>
        <w:t xml:space="preserve"> supra</w:t>
      </w:r>
      <w:r w:rsidRPr="00B84AF6" w:rsidR="00114B28">
        <w:t>,</w:t>
      </w:r>
      <w:r w:rsidRPr="00B84AF6" w:rsidR="00114B28">
        <w:rPr>
          <w:i/>
        </w:rPr>
        <w:t xml:space="preserve"> </w:t>
      </w:r>
      <w:r w:rsidRPr="00B84AF6" w:rsidR="00BB7F8D">
        <w:t>475 U.S. 412</w:t>
      </w:r>
      <w:r w:rsidRPr="00B84AF6">
        <w:t>, a public defender called the police station where the defendant was in custody on a burglary arrest.  She said she would act as his counsel if he were to be interrogated</w:t>
      </w:r>
      <w:r w:rsidR="00D37318">
        <w:t xml:space="preserve"> and </w:t>
      </w:r>
      <w:r w:rsidRPr="00B84AF6">
        <w:t xml:space="preserve">was told he would not be.  However, the defendant’s cohorts in the burglary had implicated him in a murder, and police from a different jurisdiction soon began questioning him about that crime.  The defendant waived his </w:t>
      </w:r>
      <w:r w:rsidRPr="00B84AF6">
        <w:rPr>
          <w:i/>
        </w:rPr>
        <w:t>Miranda</w:t>
      </w:r>
      <w:r w:rsidRPr="00B84AF6">
        <w:t xml:space="preserve"> rights and gave </w:t>
      </w:r>
      <w:r w:rsidR="00D37318">
        <w:t>a</w:t>
      </w:r>
      <w:r w:rsidRPr="00B84AF6">
        <w:t xml:space="preserve"> statement.  (</w:t>
      </w:r>
      <w:r w:rsidRPr="00B84AF6">
        <w:rPr>
          <w:i/>
        </w:rPr>
        <w:t>Moran</w:t>
      </w:r>
      <w:r w:rsidRPr="00B84AF6">
        <w:t>, at p. 417.)  The court affirmed the denial of a suppression motion, holding there was no need for the police to inform the defendant that his attorney was trying to reach him.</w:t>
      </w:r>
    </w:p>
    <w:p w:rsidR="0034039D" w:rsidRPr="00B84AF6" w:rsidP="00B84AF6">
      <w:pPr>
        <w:tabs>
          <w:tab w:val="left" w:pos="1440"/>
        </w:tabs>
        <w:ind w:firstLine="720"/>
      </w:pPr>
      <w:r w:rsidRPr="00B84AF6">
        <w:t xml:space="preserve">Noting there was no question the waiver was voluntary, </w:t>
      </w:r>
      <w:r w:rsidR="00D37318">
        <w:t>and</w:t>
      </w:r>
      <w:r w:rsidRPr="00B84AF6">
        <w:t xml:space="preserve"> that the defendant understood his rights, the </w:t>
      </w:r>
      <w:r w:rsidRPr="00B84AF6">
        <w:rPr>
          <w:i/>
        </w:rPr>
        <w:t>Moran</w:t>
      </w:r>
      <w:r w:rsidRPr="00B84AF6">
        <w:t xml:space="preserve"> court said “[e]vents occurring outside of the presence of the suspect and entirely unknown to him surely can have no bearing on the capacity to comprehend and knowingly relinquish a constitutional right.”  (</w:t>
      </w:r>
      <w:bookmarkStart w:id="24" w:name="_Hlk517428510"/>
      <w:r w:rsidRPr="00B84AF6">
        <w:rPr>
          <w:i/>
        </w:rPr>
        <w:t>Moran</w:t>
      </w:r>
      <w:r w:rsidRPr="00B84AF6">
        <w:t xml:space="preserve">, </w:t>
      </w:r>
      <w:r w:rsidRPr="00B84AF6">
        <w:rPr>
          <w:i/>
        </w:rPr>
        <w:t>supra</w:t>
      </w:r>
      <w:r w:rsidRPr="00B84AF6">
        <w:t xml:space="preserve">, 475 U.S. at p. </w:t>
      </w:r>
      <w:bookmarkEnd w:id="24"/>
      <w:r w:rsidRPr="00B84AF6">
        <w:t>422.)   The court reasoned that</w:t>
      </w:r>
      <w:r w:rsidRPr="00B84AF6" w:rsidR="003E585D">
        <w:t xml:space="preserve"> “</w:t>
      </w:r>
      <w:r w:rsidRPr="00B84AF6">
        <w:t>we have never read the Constitution to require that the police supply a suspect with a flow of information to help him calibrate his self-interest in deciding whether to speak or stand by his rights.  [Citations.]  Once it is determined that a suspect’s decision not to rely on his rights was uncoerced, that he at all times knew he could stand mute and request a lawyer, and that he was aware of the State’s intention to use his statements to secure a conviction, the analysis is complete and the waiver is valid as a matter of law.”  (</w:t>
      </w:r>
      <w:r w:rsidRPr="00B84AF6">
        <w:rPr>
          <w:i/>
        </w:rPr>
        <w:t>Id</w:t>
      </w:r>
      <w:r w:rsidRPr="00B84AF6">
        <w:t>. at pp.</w:t>
      </w:r>
      <w:r w:rsidRPr="00B84AF6" w:rsidR="0026290F">
        <w:t xml:space="preserve"> 422–</w:t>
      </w:r>
      <w:r w:rsidRPr="00B84AF6">
        <w:t>423; see</w:t>
      </w:r>
      <w:r w:rsidRPr="00B84AF6">
        <w:rPr>
          <w:i/>
        </w:rPr>
        <w:t xml:space="preserve"> People v. Suff</w:t>
      </w:r>
      <w:r w:rsidRPr="00B84AF6">
        <w:t xml:space="preserve"> (2014) 58 Cal.4th 1013, 1070 [valid waiver does not require that a defendant be </w:t>
      </w:r>
      <w:r w:rsidR="00D37318">
        <w:t>told</w:t>
      </w:r>
      <w:r w:rsidRPr="00B84AF6">
        <w:t xml:space="preserve"> of the evidence against him, the severity of his predicament, or the chances he will be charged]</w:t>
      </w:r>
      <w:r w:rsidRPr="00B84AF6" w:rsidR="00921C53">
        <w:t xml:space="preserve">; </w:t>
      </w:r>
      <w:r w:rsidRPr="00B84AF6" w:rsidR="00921C53">
        <w:rPr>
          <w:i/>
        </w:rPr>
        <w:t>People v. Boyette</w:t>
      </w:r>
      <w:r w:rsidRPr="00B84AF6" w:rsidR="00921C53">
        <w:t xml:space="preserve"> (2002) 29 Cal.4th 381, 411 [valid waiver does not require that a defendant be </w:t>
      </w:r>
      <w:r w:rsidR="00D37318">
        <w:t>informed</w:t>
      </w:r>
      <w:r w:rsidRPr="00B84AF6" w:rsidR="00921C53">
        <w:t xml:space="preserve"> </w:t>
      </w:r>
      <w:r w:rsidRPr="00B84AF6" w:rsidR="007B06BE">
        <w:t>of an arrest warrant]</w:t>
      </w:r>
      <w:r w:rsidRPr="00B84AF6">
        <w:t>.)</w:t>
      </w:r>
    </w:p>
    <w:p w:rsidR="0034039D" w:rsidRPr="00B84AF6" w:rsidP="00B84AF6">
      <w:pPr>
        <w:tabs>
          <w:tab w:val="left" w:pos="1440"/>
        </w:tabs>
        <w:ind w:firstLine="720"/>
      </w:pPr>
      <w:r w:rsidRPr="00B84AF6">
        <w:t xml:space="preserve">The court returned to the subject of </w:t>
      </w:r>
      <w:r w:rsidRPr="00B84AF6" w:rsidR="00BA791E">
        <w:t xml:space="preserve">withholding information </w:t>
      </w:r>
      <w:r w:rsidRPr="00B84AF6">
        <w:t xml:space="preserve">in </w:t>
      </w:r>
      <w:r w:rsidRPr="00B84AF6">
        <w:rPr>
          <w:i/>
        </w:rPr>
        <w:t>Colorado v. Spring</w:t>
      </w:r>
      <w:r w:rsidRPr="00B84AF6">
        <w:t xml:space="preserve"> (1987) 479 U.S. 564 (</w:t>
      </w:r>
      <w:r w:rsidRPr="00B84AF6">
        <w:rPr>
          <w:i/>
        </w:rPr>
        <w:t>Spring</w:t>
      </w:r>
      <w:r w:rsidRPr="00B84AF6">
        <w:t>).  There</w:t>
      </w:r>
      <w:r w:rsidR="00261412">
        <w:t>,</w:t>
      </w:r>
      <w:r w:rsidRPr="00B84AF6">
        <w:t xml:space="preserve"> an informant told agents of the Bureau of Alcohol, Tobacco, and Firearms (ATF) that </w:t>
      </w:r>
      <w:r w:rsidR="00D37318">
        <w:t>Spring</w:t>
      </w:r>
      <w:r w:rsidRPr="00B84AF6">
        <w:t xml:space="preserve"> was </w:t>
      </w:r>
      <w:r w:rsidR="00D37318">
        <w:t>selling</w:t>
      </w:r>
      <w:r w:rsidRPr="00B84AF6">
        <w:t xml:space="preserve"> stolen firearms, and had spoken of his role in a Colorado killing.  Agents arrested </w:t>
      </w:r>
      <w:r w:rsidR="00D37318">
        <w:t>him</w:t>
      </w:r>
      <w:r w:rsidRPr="00B84AF6">
        <w:t xml:space="preserve"> when </w:t>
      </w:r>
      <w:r w:rsidR="00EB7A93">
        <w:t>Spring</w:t>
      </w:r>
      <w:r w:rsidRPr="00B84AF6">
        <w:t xml:space="preserve"> </w:t>
      </w:r>
      <w:r w:rsidRPr="00B84AF6" w:rsidR="00214392">
        <w:t>tried</w:t>
      </w:r>
      <w:r w:rsidRPr="00B84AF6">
        <w:t xml:space="preserve"> to sell them guns during an undercover operation in Kansas City.  (</w:t>
      </w:r>
      <w:r w:rsidRPr="00B84AF6">
        <w:rPr>
          <w:i/>
        </w:rPr>
        <w:t>Id</w:t>
      </w:r>
      <w:r w:rsidRPr="00B84AF6">
        <w:t xml:space="preserve">. at p. 566.)  He was </w:t>
      </w:r>
      <w:r w:rsidR="00EB7A93">
        <w:t>given</w:t>
      </w:r>
      <w:r w:rsidRPr="00B84AF6">
        <w:t xml:space="preserve"> his </w:t>
      </w:r>
      <w:r w:rsidRPr="00B84AF6">
        <w:rPr>
          <w:i/>
        </w:rPr>
        <w:t>Miranda</w:t>
      </w:r>
      <w:r w:rsidRPr="00B84AF6">
        <w:t xml:space="preserve"> ri</w:t>
      </w:r>
      <w:r w:rsidRPr="00B84AF6" w:rsidR="002D63F8">
        <w:t xml:space="preserve">ghts and signed a waiver form.  </w:t>
      </w:r>
      <w:r w:rsidRPr="00B84AF6">
        <w:t>After questioning about the transactions for which he was arrested, the agents asked if he had a criminal record.  He admitted to a juvenile record for shooting his aunt.  Asked if he had ever shot anyone else, he mumbled</w:t>
      </w:r>
      <w:r w:rsidR="00261412">
        <w:t>,</w:t>
      </w:r>
      <w:r w:rsidRPr="00B84AF6">
        <w:t xml:space="preserve"> “</w:t>
      </w:r>
      <w:r w:rsidRPr="00B84AF6" w:rsidR="004322F3">
        <w:t> ‘</w:t>
      </w:r>
      <w:r w:rsidRPr="00B84AF6">
        <w:t>I shot another guy once.</w:t>
      </w:r>
      <w:r w:rsidRPr="00B84AF6" w:rsidR="004322F3">
        <w:t>’ </w:t>
      </w:r>
      <w:r w:rsidRPr="00B84AF6">
        <w:t xml:space="preserve">”  </w:t>
      </w:r>
      <w:r w:rsidR="00EB7A93">
        <w:t>He went on to deny he</w:t>
      </w:r>
      <w:r w:rsidRPr="00B84AF6">
        <w:t xml:space="preserve"> had </w:t>
      </w:r>
      <w:r w:rsidR="008B18FA">
        <w:t xml:space="preserve">ever </w:t>
      </w:r>
      <w:r w:rsidRPr="00B84AF6">
        <w:t>been to Colorado and denied shooting a man there.  (</w:t>
      </w:r>
      <w:r w:rsidRPr="00B84AF6">
        <w:rPr>
          <w:i/>
        </w:rPr>
        <w:t>Id</w:t>
      </w:r>
      <w:r w:rsidRPr="00B84AF6">
        <w:t>. at p. 567.)</w:t>
      </w:r>
    </w:p>
    <w:p w:rsidR="0034039D" w:rsidRPr="00B84AF6" w:rsidP="00B84AF6">
      <w:pPr>
        <w:tabs>
          <w:tab w:val="left" w:pos="1440"/>
        </w:tabs>
        <w:ind w:firstLine="720"/>
      </w:pPr>
      <w:r w:rsidRPr="00B84AF6">
        <w:t xml:space="preserve">Some two months later, Colorado officers interviewed </w:t>
      </w:r>
      <w:r w:rsidR="00EB7A93">
        <w:t>Spring</w:t>
      </w:r>
      <w:r w:rsidRPr="00B84AF6">
        <w:t xml:space="preserve"> in a Kansas City jail.  </w:t>
      </w:r>
      <w:r w:rsidR="00EB7A93">
        <w:t>Given</w:t>
      </w:r>
      <w:r w:rsidRPr="00B84AF6">
        <w:t xml:space="preserve"> the </w:t>
      </w:r>
      <w:r w:rsidRPr="00B84AF6">
        <w:rPr>
          <w:i/>
        </w:rPr>
        <w:t>Miranda</w:t>
      </w:r>
      <w:r w:rsidRPr="00B84AF6">
        <w:t xml:space="preserve"> warnings</w:t>
      </w:r>
      <w:r w:rsidR="00EB7A93">
        <w:t>,</w:t>
      </w:r>
      <w:r w:rsidRPr="00B84AF6">
        <w:t xml:space="preserve"> </w:t>
      </w:r>
      <w:r w:rsidRPr="00B84AF6" w:rsidR="00EB7A93">
        <w:t xml:space="preserve">he </w:t>
      </w:r>
      <w:r w:rsidRPr="00B84AF6">
        <w:t xml:space="preserve">again signed a waiver.  When they brought up the Colorado homicide, </w:t>
      </w:r>
      <w:r w:rsidR="00EB7A93">
        <w:t xml:space="preserve">Spring </w:t>
      </w:r>
      <w:r w:rsidRPr="00B84AF6">
        <w:t>indicated he was ready to talk, and confessed.  (</w:t>
      </w:r>
      <w:r w:rsidRPr="00B84AF6">
        <w:rPr>
          <w:i/>
        </w:rPr>
        <w:t>Spring</w:t>
      </w:r>
      <w:r w:rsidRPr="00B84AF6">
        <w:t xml:space="preserve">, </w:t>
      </w:r>
      <w:r w:rsidRPr="00B84AF6">
        <w:rPr>
          <w:i/>
        </w:rPr>
        <w:t>supra</w:t>
      </w:r>
      <w:r w:rsidRPr="00B84AF6" w:rsidR="0026290F">
        <w:t>, 479 U.S. at pp. 567–</w:t>
      </w:r>
      <w:r w:rsidRPr="00B84AF6">
        <w:t xml:space="preserve">568.)  The trial court denied a suppression motion, but the Colorado Court of Appeals and Supreme Court held the waiver invalid </w:t>
      </w:r>
      <w:r w:rsidR="00EB7A93">
        <w:t>because the ATF agents had not told Spring he</w:t>
      </w:r>
      <w:r w:rsidRPr="00B84AF6">
        <w:t xml:space="preserve"> would be questioned about the Colorado homicide during his interview.  (</w:t>
      </w:r>
      <w:r w:rsidRPr="00B84AF6">
        <w:rPr>
          <w:i/>
        </w:rPr>
        <w:t>Id</w:t>
      </w:r>
      <w:r w:rsidRPr="00B84AF6" w:rsidR="0026290F">
        <w:t>. at pp. 568–</w:t>
      </w:r>
      <w:r w:rsidRPr="00B84AF6">
        <w:t>570.)  The high court reversed, finding the waiver voluntary, knowing, and intelligent.</w:t>
      </w:r>
      <w:r w:rsidRPr="00B84AF6" w:rsidR="00304E49">
        <w:t xml:space="preserve">  (</w:t>
      </w:r>
      <w:r w:rsidRPr="00B84AF6" w:rsidR="00304E49">
        <w:rPr>
          <w:i/>
        </w:rPr>
        <w:t>Id</w:t>
      </w:r>
      <w:r w:rsidRPr="00B84AF6" w:rsidR="00304E49">
        <w:t>. at pp. 573–577.)</w:t>
      </w:r>
    </w:p>
    <w:p w:rsidR="0034039D" w:rsidRPr="00B84AF6" w:rsidP="00B84AF6">
      <w:pPr>
        <w:tabs>
          <w:tab w:val="left" w:pos="1440"/>
        </w:tabs>
        <w:ind w:firstLine="720"/>
      </w:pPr>
      <w:r w:rsidRPr="00B84AF6">
        <w:t>It was undisputed that “</w:t>
      </w:r>
      <w:r w:rsidRPr="00B84AF6" w:rsidR="004322F3">
        <w:t> ‘</w:t>
      </w:r>
      <w:r w:rsidRPr="00B84AF6">
        <w:t>the agents did not tell [the defendant] that they were going to ask him question</w:t>
      </w:r>
      <w:r w:rsidRPr="00B84AF6" w:rsidR="00E435C0">
        <w:t>s</w:t>
      </w:r>
      <w:r w:rsidRPr="00B84AF6">
        <w:t xml:space="preserve"> about the killing of Walker before [the defendant] made his original decision to waive his </w:t>
      </w:r>
      <w:r w:rsidRPr="00B84AF6">
        <w:rPr>
          <w:i/>
        </w:rPr>
        <w:t>Miranda</w:t>
      </w:r>
      <w:r w:rsidRPr="00B84AF6">
        <w:t xml:space="preserve"> rights.</w:t>
      </w:r>
      <w:r w:rsidRPr="00B84AF6" w:rsidR="004322F3">
        <w:t>’ </w:t>
      </w:r>
      <w:r w:rsidRPr="00B84AF6">
        <w:t>”  (</w:t>
      </w:r>
      <w:r w:rsidRPr="00B84AF6" w:rsidR="00335DC5">
        <w:rPr>
          <w:i/>
        </w:rPr>
        <w:t>Spring</w:t>
      </w:r>
      <w:r w:rsidRPr="00B84AF6" w:rsidR="00335DC5">
        <w:t>,</w:t>
      </w:r>
      <w:r w:rsidRPr="00B84AF6" w:rsidR="00335DC5">
        <w:rPr>
          <w:i/>
        </w:rPr>
        <w:t xml:space="preserve"> supra</w:t>
      </w:r>
      <w:r w:rsidRPr="00B84AF6" w:rsidR="00335DC5">
        <w:t>, 479 U.S.</w:t>
      </w:r>
      <w:r w:rsidRPr="00B84AF6">
        <w:t xml:space="preserve"> at p. 57</w:t>
      </w:r>
      <w:r w:rsidRPr="00B84AF6" w:rsidR="004322F3">
        <w:t>5</w:t>
      </w:r>
      <w:r w:rsidRPr="00B84AF6">
        <w:t>, fn. 7.)  Nonetheless, t</w:t>
      </w:r>
      <w:r w:rsidRPr="00B84AF6">
        <w:t>he court observed that</w:t>
      </w:r>
      <w:r w:rsidRPr="00B84AF6">
        <w:t>,</w:t>
      </w:r>
      <w:r w:rsidRPr="00B84AF6">
        <w:t xml:space="preserve"> under </w:t>
      </w:r>
      <w:r w:rsidRPr="00B84AF6">
        <w:rPr>
          <w:i/>
        </w:rPr>
        <w:t>Moran</w:t>
      </w:r>
      <w:r w:rsidRPr="00B84AF6">
        <w:t xml:space="preserve">, </w:t>
      </w:r>
      <w:r w:rsidRPr="00B84AF6">
        <w:rPr>
          <w:i/>
        </w:rPr>
        <w:t>supra</w:t>
      </w:r>
      <w:r w:rsidRPr="00B84AF6">
        <w:t>, 475 U.S. at p</w:t>
      </w:r>
      <w:r w:rsidRPr="00B84AF6" w:rsidR="006345D9">
        <w:t>age</w:t>
      </w:r>
      <w:r w:rsidRPr="00B84AF6">
        <w:t xml:space="preserve"> 422, </w:t>
      </w:r>
      <w:r w:rsidRPr="00B84AF6" w:rsidR="00E1495B">
        <w:t>“</w:t>
      </w:r>
      <w:r w:rsidRPr="00B84AF6">
        <w:t xml:space="preserve">a valid waiver </w:t>
      </w:r>
      <w:r w:rsidRPr="00B84AF6" w:rsidR="00393D08">
        <w:rPr>
          <w:szCs w:val="26"/>
        </w:rPr>
        <w:t>does not require that an individual be informed of all information ‘useful’ in making his decision or all information that ‘might .</w:t>
      </w:r>
      <w:r w:rsidR="00465221">
        <w:rPr>
          <w:szCs w:val="26"/>
        </w:rPr>
        <w:t> </w:t>
      </w:r>
      <w:r w:rsidRPr="00B84AF6" w:rsidR="00393D08">
        <w:rPr>
          <w:szCs w:val="26"/>
        </w:rPr>
        <w:t>.</w:t>
      </w:r>
      <w:r w:rsidR="00465221">
        <w:rPr>
          <w:szCs w:val="26"/>
        </w:rPr>
        <w:t> </w:t>
      </w:r>
      <w:r w:rsidRPr="00B84AF6" w:rsidR="00393D08">
        <w:rPr>
          <w:szCs w:val="26"/>
        </w:rPr>
        <w:t xml:space="preserve">. </w:t>
      </w:r>
      <w:r w:rsidR="003A07A0">
        <w:rPr>
          <w:szCs w:val="26"/>
        </w:rPr>
        <w:t>[</w:t>
      </w:r>
      <w:r w:rsidRPr="00B84AF6" w:rsidR="00393D08">
        <w:rPr>
          <w:szCs w:val="26"/>
        </w:rPr>
        <w:t>affect] his decision to confess.’</w:t>
      </w:r>
      <w:r w:rsidR="00465221">
        <w:rPr>
          <w:szCs w:val="26"/>
        </w:rPr>
        <w:t> </w:t>
      </w:r>
      <w:r w:rsidRPr="00B84AF6" w:rsidR="00393D08">
        <w:rPr>
          <w:szCs w:val="26"/>
        </w:rPr>
        <w:t>”  (</w:t>
      </w:r>
      <w:r w:rsidRPr="00B84AF6" w:rsidR="00393D08">
        <w:rPr>
          <w:i/>
          <w:szCs w:val="26"/>
        </w:rPr>
        <w:t>Spring</w:t>
      </w:r>
      <w:r w:rsidRPr="00B84AF6" w:rsidR="00393D08">
        <w:rPr>
          <w:szCs w:val="26"/>
        </w:rPr>
        <w:t>, at p. 576</w:t>
      </w:r>
      <w:r w:rsidRPr="00B84AF6">
        <w:t>.)</w:t>
      </w:r>
      <w:r w:rsidRPr="00B84AF6" w:rsidR="00DE274B">
        <w:t xml:space="preserve">  </w:t>
      </w:r>
      <w:r w:rsidRPr="00B84AF6" w:rsidR="00CC57FF">
        <w:t xml:space="preserve">Instead, the essential </w:t>
      </w:r>
      <w:r w:rsidRPr="00B84AF6" w:rsidR="00CC57FF">
        <w:rPr>
          <w:szCs w:val="26"/>
        </w:rPr>
        <w:t xml:space="preserve">requirement of </w:t>
      </w:r>
      <w:r w:rsidRPr="00B84AF6" w:rsidR="00CC57FF">
        <w:rPr>
          <w:i/>
          <w:szCs w:val="26"/>
        </w:rPr>
        <w:t>Miranda</w:t>
      </w:r>
      <w:r w:rsidRPr="00B84AF6" w:rsidR="00CC57FF">
        <w:rPr>
          <w:szCs w:val="26"/>
        </w:rPr>
        <w:t xml:space="preserve"> is that a suspect understand “the nature of his constitutional right—‘his right to refuse to answer any question which might incriminate him.’</w:t>
      </w:r>
      <w:r w:rsidR="00AA5EDC">
        <w:rPr>
          <w:szCs w:val="26"/>
        </w:rPr>
        <w:t> </w:t>
      </w:r>
      <w:r w:rsidRPr="00B84AF6" w:rsidR="00CC57FF">
        <w:rPr>
          <w:szCs w:val="26"/>
        </w:rPr>
        <w:t>”  (</w:t>
      </w:r>
      <w:r w:rsidRPr="00B84AF6" w:rsidR="003D5C48">
        <w:rPr>
          <w:i/>
          <w:szCs w:val="26"/>
        </w:rPr>
        <w:t>I</w:t>
      </w:r>
      <w:r w:rsidR="0074084E">
        <w:rPr>
          <w:i/>
          <w:szCs w:val="26"/>
        </w:rPr>
        <w:t>bid</w:t>
      </w:r>
      <w:r w:rsidRPr="00B84AF6" w:rsidR="00CC57FF">
        <w:rPr>
          <w:szCs w:val="26"/>
        </w:rPr>
        <w:t xml:space="preserve">.)  </w:t>
      </w:r>
      <w:r w:rsidRPr="00B84AF6">
        <w:t xml:space="preserve">The court </w:t>
      </w:r>
      <w:r w:rsidRPr="00B84AF6" w:rsidR="00CC57FF">
        <w:t>explained</w:t>
      </w:r>
      <w:r w:rsidRPr="00B84AF6">
        <w:t xml:space="preserve">:  “This Court’s holding in </w:t>
      </w:r>
      <w:r w:rsidRPr="00B84AF6">
        <w:rPr>
          <w:i/>
        </w:rPr>
        <w:t>Miranda</w:t>
      </w:r>
      <w:r w:rsidRPr="00B84AF6">
        <w:t xml:space="preserve"> specifically required that the police inform a criminal suspect that he has the right to remain silent and that </w:t>
      </w:r>
      <w:r w:rsidRPr="00B84AF6">
        <w:rPr>
          <w:i/>
        </w:rPr>
        <w:t>anything</w:t>
      </w:r>
      <w:r w:rsidRPr="00B84AF6">
        <w:t xml:space="preserve"> he says may be used against him.  There is no qualification of this broad and explicit warning.  The warning, as formulated in </w:t>
      </w:r>
      <w:r w:rsidRPr="00B84AF6">
        <w:rPr>
          <w:i/>
        </w:rPr>
        <w:t>Miranda</w:t>
      </w:r>
      <w:r w:rsidRPr="00B84AF6">
        <w:t>, conveys to a suspect the nature of his constitutional privilege and the consequences of abandoning it.  Accordingly, we hold that a suspect’s awareness of all the possible subjects of questioning in advance of interrogation is not relevant to determining whether the suspect voluntarily, knowingly, and intelligently waived his Fifth Amendment privilege.”  (</w:t>
      </w:r>
      <w:r w:rsidRPr="00B84AF6">
        <w:rPr>
          <w:i/>
        </w:rPr>
        <w:t>Ibid</w:t>
      </w:r>
      <w:r w:rsidRPr="00B84AF6">
        <w:t>.)</w:t>
      </w:r>
    </w:p>
    <w:p w:rsidR="00BC73B7" w:rsidRPr="00B84AF6" w:rsidP="00B84AF6">
      <w:pPr>
        <w:tabs>
          <w:tab w:val="left" w:pos="1440"/>
        </w:tabs>
        <w:ind w:firstLine="720"/>
      </w:pPr>
      <w:r w:rsidRPr="00B84AF6">
        <w:t xml:space="preserve">In </w:t>
      </w:r>
      <w:r w:rsidRPr="00B84AF6">
        <w:rPr>
          <w:i/>
        </w:rPr>
        <w:t>People v. Tate</w:t>
      </w:r>
      <w:r w:rsidRPr="00B84AF6">
        <w:t xml:space="preserve"> (2010) 49 Cal.4th 635 (</w:t>
      </w:r>
      <w:r w:rsidRPr="00B84AF6">
        <w:rPr>
          <w:i/>
        </w:rPr>
        <w:t>Tate</w:t>
      </w:r>
      <w:r w:rsidRPr="00B84AF6">
        <w:t xml:space="preserve">), we </w:t>
      </w:r>
      <w:r w:rsidR="00EB7A93">
        <w:t xml:space="preserve">applied </w:t>
      </w:r>
      <w:r w:rsidRPr="00B84AF6">
        <w:rPr>
          <w:i/>
        </w:rPr>
        <w:t>Spring</w:t>
      </w:r>
      <w:r w:rsidRPr="00B84AF6" w:rsidR="005630FE">
        <w:t>’s ruling</w:t>
      </w:r>
      <w:r w:rsidRPr="00B84AF6">
        <w:rPr>
          <w:i/>
        </w:rPr>
        <w:t xml:space="preserve">.  </w:t>
      </w:r>
      <w:r w:rsidRPr="00B84AF6">
        <w:t>T</w:t>
      </w:r>
      <w:r w:rsidRPr="00B84AF6" w:rsidR="005630FE">
        <w:t xml:space="preserve">ate </w:t>
      </w:r>
      <w:r w:rsidRPr="00B84AF6">
        <w:t>was arrested while driving a murder victim’s car on the day of the murder.  (</w:t>
      </w:r>
      <w:r w:rsidRPr="00B84AF6">
        <w:rPr>
          <w:i/>
        </w:rPr>
        <w:t>Id</w:t>
      </w:r>
      <w:r w:rsidRPr="00B84AF6" w:rsidR="00F8799D">
        <w:t>. at pp. 641–</w:t>
      </w:r>
      <w:r w:rsidRPr="00B84AF6">
        <w:t xml:space="preserve">642.)  </w:t>
      </w:r>
      <w:r w:rsidR="00EB7A93">
        <w:t>B</w:t>
      </w:r>
      <w:r w:rsidRPr="00B84AF6">
        <w:t>rought to the police department’s homicide division, officers told him they were investigating the car because it was stolen and “a lady had been ‘hurt.’ ”  (</w:t>
      </w:r>
      <w:r w:rsidRPr="00B84AF6">
        <w:rPr>
          <w:i/>
        </w:rPr>
        <w:t>Id</w:t>
      </w:r>
      <w:r w:rsidRPr="00B84AF6" w:rsidR="006345D9">
        <w:t xml:space="preserve">. at p. </w:t>
      </w:r>
      <w:r w:rsidRPr="00B84AF6">
        <w:t xml:space="preserve">681.)  They gave the </w:t>
      </w:r>
      <w:r w:rsidRPr="00B84AF6">
        <w:rPr>
          <w:i/>
        </w:rPr>
        <w:t>Miranda</w:t>
      </w:r>
      <w:r w:rsidRPr="00B84AF6">
        <w:t xml:space="preserve"> </w:t>
      </w:r>
      <w:r w:rsidR="00EB7A93">
        <w:t>admonitions</w:t>
      </w:r>
      <w:r w:rsidRPr="00B84AF6">
        <w:t xml:space="preserve"> and </w:t>
      </w:r>
      <w:r w:rsidR="00EB7A93">
        <w:t>Tate</w:t>
      </w:r>
      <w:r w:rsidRPr="00B84AF6">
        <w:t xml:space="preserve"> agreed to talk.  At the beginning of a recorded interview, he asked if he was in the homicide division.  Told that he was, the defendant noted “</w:t>
      </w:r>
      <w:r w:rsidRPr="00B84AF6" w:rsidR="004322F3">
        <w:t> ‘</w:t>
      </w:r>
      <w:r w:rsidR="00586D30">
        <w:t xml:space="preserve"> So </w:t>
      </w:r>
      <w:r w:rsidRPr="00B84AF6">
        <w:t>I’m here for a car that was stolen.</w:t>
      </w:r>
      <w:r w:rsidRPr="00B84AF6" w:rsidR="004322F3">
        <w:t>’ </w:t>
      </w:r>
      <w:r w:rsidRPr="00B84AF6">
        <w:t xml:space="preserve">”  </w:t>
      </w:r>
      <w:r w:rsidR="00586D30">
        <w:t>(</w:t>
      </w:r>
      <w:r w:rsidRPr="00586D30" w:rsidR="00586D30">
        <w:rPr>
          <w:i/>
        </w:rPr>
        <w:t>Ibid</w:t>
      </w:r>
      <w:r w:rsidR="00586D30">
        <w:t xml:space="preserve">.)  </w:t>
      </w:r>
      <w:r w:rsidRPr="00B84AF6">
        <w:t>The interviewing officer said again that “he was investigating an incident in which a car was stolen and a lady was ‘hurt’; and . . . stated that ‘I’m not here to trick you into anything.’  Defendant said, ‘I know you ain’t, just tell me, you just said a car was stolen.’  [The officer] repeated that he was investigating ‘the incident [in] which the car was taken.’  Defendant responded, ‘Whatever you said, okay.’  [The officer] asked if everything was now clear in defendant’s head, and defendant answered, ‘Yeah.’ ”  (</w:t>
      </w:r>
      <w:r w:rsidRPr="00B84AF6">
        <w:rPr>
          <w:i/>
        </w:rPr>
        <w:t>I</w:t>
      </w:r>
      <w:r w:rsidR="00586D30">
        <w:rPr>
          <w:i/>
        </w:rPr>
        <w:t>bi</w:t>
      </w:r>
      <w:r w:rsidRPr="00B84AF6">
        <w:rPr>
          <w:i/>
        </w:rPr>
        <w:t>d</w:t>
      </w:r>
      <w:r w:rsidRPr="00B84AF6">
        <w:t>.)</w:t>
      </w:r>
    </w:p>
    <w:p w:rsidR="00BC73B7" w:rsidRPr="00B84AF6" w:rsidP="00B84AF6">
      <w:pPr>
        <w:tabs>
          <w:tab w:val="left" w:pos="1440"/>
        </w:tabs>
        <w:ind w:firstLine="720"/>
      </w:pPr>
      <w:r w:rsidRPr="00B84AF6">
        <w:t xml:space="preserve">After another </w:t>
      </w:r>
      <w:r w:rsidRPr="00B84AF6">
        <w:rPr>
          <w:i/>
        </w:rPr>
        <w:t>Miranda</w:t>
      </w:r>
      <w:r w:rsidRPr="00B84AF6">
        <w:t xml:space="preserve"> advisement, </w:t>
      </w:r>
      <w:r w:rsidR="00EB7A93">
        <w:t>Tate</w:t>
      </w:r>
      <w:r w:rsidRPr="00B84AF6">
        <w:t xml:space="preserve"> </w:t>
      </w:r>
      <w:r w:rsidRPr="00B84AF6" w:rsidR="00BD37A0">
        <w:t xml:space="preserve">denied </w:t>
      </w:r>
      <w:r w:rsidRPr="00B84AF6">
        <w:t xml:space="preserve">any knowledge of the incident, and </w:t>
      </w:r>
      <w:r w:rsidR="00EB7A93">
        <w:t>lied a</w:t>
      </w:r>
      <w:r w:rsidRPr="00B84AF6">
        <w:t>bout how he obtained the car.  The officers eventually told him the victim was dead</w:t>
      </w:r>
      <w:r w:rsidR="00EB7A93">
        <w:t xml:space="preserve">. </w:t>
      </w:r>
      <w:r w:rsidRPr="00B84AF6">
        <w:t xml:space="preserve"> </w:t>
      </w:r>
      <w:r w:rsidR="00EB7A93">
        <w:t xml:space="preserve">They </w:t>
      </w:r>
      <w:r w:rsidRPr="00B84AF6">
        <w:t xml:space="preserve">confronted him with the implausibility of his story and the facts that he had just been arrested </w:t>
      </w:r>
      <w:r w:rsidR="00EB7A93">
        <w:t>wearing</w:t>
      </w:r>
      <w:r w:rsidRPr="00B84AF6">
        <w:t xml:space="preserve"> bloodstained clothing and in possession of the victim’s car and other property.  Urged to tell the truth, the defendant responded, “ ‘Why should I tell the truth?  Well, what’s in it for me?  I’m going to jail anyway.’ ”  </w:t>
      </w:r>
      <w:r w:rsidRPr="00B84AF6" w:rsidR="00226C8F">
        <w:t>(</w:t>
      </w:r>
      <w:r w:rsidRPr="00B84AF6" w:rsidR="00226C8F">
        <w:rPr>
          <w:i/>
        </w:rPr>
        <w:t>Tate</w:t>
      </w:r>
      <w:r w:rsidRPr="00B84AF6" w:rsidR="00226C8F">
        <w:t>,</w:t>
      </w:r>
      <w:r w:rsidRPr="00B84AF6" w:rsidR="00226C8F">
        <w:rPr>
          <w:i/>
        </w:rPr>
        <w:t xml:space="preserve"> supra</w:t>
      </w:r>
      <w:r w:rsidRPr="00B84AF6" w:rsidR="00226C8F">
        <w:t xml:space="preserve">, 49 Cal.4th at p. 681.)  </w:t>
      </w:r>
      <w:r w:rsidRPr="00B84AF6">
        <w:t xml:space="preserve">The trial court rejected his claim that he had been tricked into waiving his </w:t>
      </w:r>
      <w:r w:rsidRPr="00B84AF6">
        <w:rPr>
          <w:i/>
        </w:rPr>
        <w:t>Miranda</w:t>
      </w:r>
      <w:r w:rsidRPr="00B84AF6">
        <w:t xml:space="preserve"> rights when the officers did not tell him he was suspected of a homicide, saying instead they were investigating a car theft in which a lady got hurt.  The court noted that the defendant knew he was being questioned in the homicide division and must have inferred a killing was involved.  (</w:t>
      </w:r>
      <w:r w:rsidRPr="00B84AF6">
        <w:rPr>
          <w:i/>
        </w:rPr>
        <w:t>Id</w:t>
      </w:r>
      <w:r w:rsidRPr="00B84AF6">
        <w:t>. at p. 682.)</w:t>
      </w:r>
    </w:p>
    <w:p w:rsidR="00BC73B7" w:rsidRPr="00B84AF6" w:rsidP="00B84AF6">
      <w:pPr>
        <w:tabs>
          <w:tab w:val="left" w:pos="1440"/>
        </w:tabs>
        <w:ind w:firstLine="720"/>
      </w:pPr>
      <w:r w:rsidRPr="00B84AF6">
        <w:t>We upheld the ruling</w:t>
      </w:r>
      <w:r w:rsidRPr="00B84AF6" w:rsidR="00CC1B52">
        <w:t xml:space="preserve">.  Summarizing the holding in </w:t>
      </w:r>
      <w:r w:rsidRPr="00B84AF6" w:rsidR="00CC1B52">
        <w:rPr>
          <w:i/>
        </w:rPr>
        <w:t>Spring</w:t>
      </w:r>
      <w:r w:rsidRPr="00B84AF6" w:rsidR="00CC1B52">
        <w:t>, we observed:  “</w:t>
      </w:r>
      <w:r w:rsidR="00D457E6">
        <w:t>T</w:t>
      </w:r>
      <w:r w:rsidRPr="00B84AF6" w:rsidR="00CC1B52">
        <w:t xml:space="preserve">he warnings required by </w:t>
      </w:r>
      <w:r w:rsidRPr="00B84AF6" w:rsidR="00CC1B52">
        <w:rPr>
          <w:i/>
        </w:rPr>
        <w:t>Miranda</w:t>
      </w:r>
      <w:r w:rsidRPr="00B84AF6" w:rsidR="00CC1B52">
        <w:t xml:space="preserve">, </w:t>
      </w:r>
      <w:r w:rsidRPr="00B84AF6" w:rsidR="00CC1B52">
        <w:rPr>
          <w:i/>
        </w:rPr>
        <w:t>supra</w:t>
      </w:r>
      <w:r w:rsidRPr="00B84AF6" w:rsidR="00CC1B52">
        <w:t>, 384 U.S. 436 for a suspect in custody—i.e., that the suspect has the right to refuse to talk, to talk only with counsel present, and to stop talking at any time, and that criminal prosecutorial use will be made of any statements the suspect does utter—are designed fully to protect the knowing, voluntary, and intelligent exercise of the constitutional right against compelled self-incriminat</w:t>
      </w:r>
      <w:r w:rsidRPr="00B84AF6" w:rsidR="006345D9">
        <w:t>ion in that custodial context.  [Citation.]  Thus</w:t>
      </w:r>
      <w:r w:rsidRPr="00B84AF6" w:rsidR="00CC1B52">
        <w:t>, in general, a suspect in custody who, having heard and understood a full explanation of these rights, then makes an uncompelled and uncoerced decision to talk, has thereby knowingly, voluntarily, and intelligently waived them.”  (</w:t>
      </w:r>
      <w:r w:rsidRPr="00B84AF6" w:rsidR="00CC1B52">
        <w:rPr>
          <w:i/>
        </w:rPr>
        <w:t>Tate</w:t>
      </w:r>
      <w:r w:rsidRPr="00B84AF6" w:rsidR="00CC1B52">
        <w:t xml:space="preserve">, </w:t>
      </w:r>
      <w:r w:rsidRPr="00B84AF6" w:rsidR="00AF4A75">
        <w:rPr>
          <w:i/>
        </w:rPr>
        <w:t>supra</w:t>
      </w:r>
      <w:r w:rsidRPr="00B84AF6" w:rsidR="00AF4A75">
        <w:t xml:space="preserve">, 49 Cal.4th </w:t>
      </w:r>
      <w:r w:rsidRPr="00B84AF6" w:rsidR="00CC1B52">
        <w:t xml:space="preserve">at p. 683.)  </w:t>
      </w:r>
      <w:r w:rsidRPr="00B84AF6" w:rsidR="00AA436C">
        <w:t xml:space="preserve">The facts in </w:t>
      </w:r>
      <w:r w:rsidRPr="00B84AF6" w:rsidR="00AA436C">
        <w:rPr>
          <w:i/>
        </w:rPr>
        <w:t>Tate</w:t>
      </w:r>
      <w:r w:rsidRPr="00B84AF6" w:rsidR="00AA436C">
        <w:t xml:space="preserve"> supported a conclusion that d</w:t>
      </w:r>
      <w:r w:rsidRPr="00B84AF6">
        <w:t>efendant understood the serious nature of the investigation.  He did not appear to have been “misled by any ambiguity in the officers’ use of the word ‘hurt’ rather than ‘killed.</w:t>
      </w:r>
      <w:r w:rsidRPr="00B84AF6" w:rsidR="004322F3">
        <w:t>’ </w:t>
      </w:r>
      <w:r w:rsidRPr="00B84AF6">
        <w:t>”  (</w:t>
      </w:r>
      <w:r w:rsidRPr="00B84AF6" w:rsidR="006345D9">
        <w:rPr>
          <w:i/>
        </w:rPr>
        <w:t>Id</w:t>
      </w:r>
      <w:r w:rsidRPr="00B84AF6" w:rsidR="006345D9">
        <w:t xml:space="preserve">. at p. </w:t>
      </w:r>
      <w:r w:rsidRPr="00B84AF6" w:rsidR="004322F3">
        <w:t>682</w:t>
      </w:r>
      <w:r w:rsidRPr="00B84AF6">
        <w:t>.)  He had ascertained that he was in the homicide division, and “must certainly have understood that the injury at issue was fatal.”  (</w:t>
      </w:r>
      <w:r w:rsidRPr="00B84AF6">
        <w:rPr>
          <w:i/>
        </w:rPr>
        <w:t>Id</w:t>
      </w:r>
      <w:r w:rsidRPr="00B84AF6">
        <w:t>. at p. 683.)</w:t>
      </w:r>
      <w:r w:rsidRPr="00B84AF6" w:rsidR="00CC1B52">
        <w:t xml:space="preserve">  We further observed that “[e]ven if this evidence were not present . . . </w:t>
      </w:r>
      <w:r w:rsidRPr="00B84AF6" w:rsidR="004D75BD">
        <w:t>we would not accept defendant’s contention.  We conclude the officers did nothing to invalidate defendant’s two separate waivers of</w:t>
      </w:r>
      <w:r w:rsidRPr="00B84AF6" w:rsidR="004322F3">
        <w:t xml:space="preserve"> his</w:t>
      </w:r>
      <w:r w:rsidRPr="00B84AF6" w:rsidR="004D75BD">
        <w:t xml:space="preserve"> </w:t>
      </w:r>
      <w:r w:rsidRPr="00B84AF6" w:rsidR="004D75BD">
        <w:rPr>
          <w:i/>
        </w:rPr>
        <w:t>Miranda</w:t>
      </w:r>
      <w:r w:rsidRPr="00B84AF6" w:rsidR="004D75BD">
        <w:t xml:space="preserve"> rights.”  (</w:t>
      </w:r>
      <w:r w:rsidRPr="00B84AF6" w:rsidR="00AA436C">
        <w:rPr>
          <w:i/>
        </w:rPr>
        <w:t>Ibid</w:t>
      </w:r>
      <w:r w:rsidRPr="00B84AF6" w:rsidR="00AA436C">
        <w:t xml:space="preserve">.)  This is because </w:t>
      </w:r>
      <w:r w:rsidRPr="00B84AF6">
        <w:t xml:space="preserve">“mere failure by law enforcement officers to advise a custodial suspect of all possible topics of interrogation is not trickery sufficient to vitiate the uncoerced waiver of one who heard and understood the warnings required by </w:t>
      </w:r>
      <w:r w:rsidRPr="00B84AF6">
        <w:rPr>
          <w:i/>
        </w:rPr>
        <w:t>Miranda</w:t>
      </w:r>
      <w:r w:rsidRPr="00B84AF6">
        <w:t>.”  (</w:t>
      </w:r>
      <w:r w:rsidRPr="00B84AF6">
        <w:rPr>
          <w:i/>
        </w:rPr>
        <w:t>I</w:t>
      </w:r>
      <w:r w:rsidRPr="00B84AF6" w:rsidR="00AA436C">
        <w:rPr>
          <w:i/>
        </w:rPr>
        <w:t>bi</w:t>
      </w:r>
      <w:r w:rsidRPr="00B84AF6">
        <w:rPr>
          <w:i/>
        </w:rPr>
        <w:t>d</w:t>
      </w:r>
      <w:r w:rsidRPr="00B84AF6">
        <w:t xml:space="preserve">., citing </w:t>
      </w:r>
      <w:r w:rsidRPr="00B84AF6">
        <w:rPr>
          <w:i/>
        </w:rPr>
        <w:t>Spring</w:t>
      </w:r>
      <w:r w:rsidRPr="00B84AF6">
        <w:t xml:space="preserve">, </w:t>
      </w:r>
      <w:r w:rsidRPr="00B84AF6">
        <w:rPr>
          <w:i/>
        </w:rPr>
        <w:t>supra</w:t>
      </w:r>
      <w:r w:rsidRPr="00B84AF6">
        <w:t>, 479 U.S. at p</w:t>
      </w:r>
      <w:r w:rsidRPr="00B84AF6" w:rsidR="004322F3">
        <w:t>p</w:t>
      </w:r>
      <w:r w:rsidRPr="00B84AF6">
        <w:t xml:space="preserve">. </w:t>
      </w:r>
      <w:r w:rsidRPr="00B84AF6" w:rsidR="004322F3">
        <w:t xml:space="preserve">564, </w:t>
      </w:r>
      <w:r w:rsidRPr="00B84AF6">
        <w:t>576.)</w:t>
      </w:r>
    </w:p>
    <w:p w:rsidR="00047E5D" w:rsidRPr="00B84AF6" w:rsidP="00B84AF6">
      <w:pPr>
        <w:tabs>
          <w:tab w:val="left" w:pos="1440"/>
        </w:tabs>
        <w:ind w:firstLine="720"/>
      </w:pPr>
      <w:r>
        <w:t>Consistent with</w:t>
      </w:r>
      <w:r w:rsidRPr="00B84AF6" w:rsidR="00184BB0">
        <w:t xml:space="preserve"> the</w:t>
      </w:r>
      <w:r w:rsidRPr="00B84AF6" w:rsidR="00BD37A0">
        <w:t>se</w:t>
      </w:r>
      <w:r w:rsidRPr="00B84AF6" w:rsidR="00184BB0">
        <w:t xml:space="preserve"> authorities, </w:t>
      </w:r>
      <w:r w:rsidR="00A41C96">
        <w:t>the court properly concluded</w:t>
      </w:r>
      <w:r w:rsidRPr="00B84AF6" w:rsidR="002C0A68">
        <w:t xml:space="preserve"> </w:t>
      </w:r>
      <w:r w:rsidRPr="00B84AF6" w:rsidR="00184BB0">
        <w:t xml:space="preserve">defendant’s </w:t>
      </w:r>
      <w:r w:rsidRPr="00B84AF6" w:rsidR="00184BB0">
        <w:rPr>
          <w:i/>
        </w:rPr>
        <w:t>Miranda</w:t>
      </w:r>
      <w:r w:rsidRPr="00B84AF6" w:rsidR="002C0A68">
        <w:t xml:space="preserve"> </w:t>
      </w:r>
      <w:r w:rsidRPr="00B84AF6">
        <w:t xml:space="preserve">waiver </w:t>
      </w:r>
      <w:r>
        <w:t xml:space="preserve">was </w:t>
      </w:r>
      <w:r w:rsidRPr="00B84AF6" w:rsidR="00184BB0">
        <w:t>knowing, intelligent, and voluntary</w:t>
      </w:r>
      <w:r>
        <w:t xml:space="preserve">. </w:t>
      </w:r>
      <w:r w:rsidRPr="00B84AF6" w:rsidR="00184BB0">
        <w:t xml:space="preserve"> </w:t>
      </w:r>
      <w:r>
        <w:t>N</w:t>
      </w:r>
      <w:r w:rsidRPr="00B84AF6" w:rsidR="00184BB0">
        <w:t xml:space="preserve">otwithstanding Chicoine’s failure to disclose that he was </w:t>
      </w:r>
      <w:r w:rsidRPr="00B84AF6" w:rsidR="004258AC">
        <w:t>investigating McKenna’s</w:t>
      </w:r>
      <w:r w:rsidRPr="00B84AF6" w:rsidR="00184BB0">
        <w:t xml:space="preserve"> death</w:t>
      </w:r>
      <w:r>
        <w:t>,</w:t>
      </w:r>
      <w:r w:rsidRPr="00B84AF6" w:rsidR="008E147E">
        <w:t xml:space="preserve"> </w:t>
      </w:r>
      <w:r>
        <w:t>d</w:t>
      </w:r>
      <w:r w:rsidRPr="00B84AF6" w:rsidR="00C919DD">
        <w:t xml:space="preserve">efendant was aware that he was speaking with </w:t>
      </w:r>
      <w:r w:rsidRPr="00B84AF6" w:rsidR="00AF4A75">
        <w:t xml:space="preserve">law enforcement </w:t>
      </w:r>
      <w:r w:rsidRPr="00B84AF6" w:rsidR="00C919DD">
        <w:t xml:space="preserve">officers </w:t>
      </w:r>
      <w:r w:rsidRPr="00B84AF6" w:rsidR="00157CAF">
        <w:t>and</w:t>
      </w:r>
      <w:r w:rsidRPr="00B84AF6" w:rsidR="00BF181C">
        <w:t xml:space="preserve"> that</w:t>
      </w:r>
      <w:r w:rsidRPr="00B84AF6" w:rsidR="00157CAF">
        <w:t xml:space="preserve"> </w:t>
      </w:r>
      <w:r w:rsidRPr="00B84AF6" w:rsidR="00C919DD">
        <w:t>the</w:t>
      </w:r>
      <w:r w:rsidRPr="00B84AF6" w:rsidR="00AF4A75">
        <w:t xml:space="preserve"> scope of the </w:t>
      </w:r>
      <w:r w:rsidRPr="00B84AF6" w:rsidR="00C919DD">
        <w:t>interview would include his “past crimes.”</w:t>
      </w:r>
      <w:r w:rsidRPr="00B84AF6" w:rsidR="00AF4A75">
        <w:t xml:space="preserve">  </w:t>
      </w:r>
      <w:r w:rsidRPr="00B84AF6" w:rsidR="00415A89">
        <w:t xml:space="preserve">Having received full and complete </w:t>
      </w:r>
      <w:r w:rsidRPr="00B84AF6" w:rsidR="00415A89">
        <w:rPr>
          <w:i/>
        </w:rPr>
        <w:t>Miranda</w:t>
      </w:r>
      <w:r w:rsidRPr="00B84AF6" w:rsidR="00415A89">
        <w:t xml:space="preserve"> warnings, defendant was </w:t>
      </w:r>
      <w:r w:rsidRPr="00B84AF6" w:rsidR="00AF4A75">
        <w:t xml:space="preserve">also aware that </w:t>
      </w:r>
      <w:r w:rsidRPr="00B84AF6" w:rsidR="00AF4A75">
        <w:rPr>
          <w:i/>
        </w:rPr>
        <w:t>anything</w:t>
      </w:r>
      <w:r w:rsidRPr="00B84AF6" w:rsidR="00AF4A75">
        <w:t xml:space="preserve"> he said </w:t>
      </w:r>
      <w:r w:rsidRPr="00B84AF6" w:rsidR="008627FA">
        <w:t>during the interview</w:t>
      </w:r>
      <w:r w:rsidRPr="00B84AF6" w:rsidR="00AF4A75">
        <w:t xml:space="preserve"> could</w:t>
      </w:r>
      <w:r w:rsidRPr="00B84AF6" w:rsidR="00683703">
        <w:t xml:space="preserve"> </w:t>
      </w:r>
      <w:r w:rsidRPr="00B84AF6" w:rsidR="00AF4A75">
        <w:t xml:space="preserve">be used against him.  </w:t>
      </w:r>
      <w:r w:rsidRPr="00B84AF6" w:rsidR="00BA4D8D">
        <w:t>This “broad and explicit</w:t>
      </w:r>
      <w:r w:rsidRPr="00B84AF6" w:rsidR="00CB2D77">
        <w:t xml:space="preserve"> warning” conveyed to defendant “the nature of his constitutional privilege and the consequences of abandoning it.”  (</w:t>
      </w:r>
      <w:r w:rsidRPr="00B84AF6" w:rsidR="00CB2D77">
        <w:rPr>
          <w:i/>
        </w:rPr>
        <w:t>Spring</w:t>
      </w:r>
      <w:r w:rsidRPr="00B84AF6" w:rsidR="00CB2D77">
        <w:t xml:space="preserve">, </w:t>
      </w:r>
      <w:r w:rsidRPr="00B84AF6" w:rsidR="00CB2D77">
        <w:rPr>
          <w:i/>
        </w:rPr>
        <w:t>supra</w:t>
      </w:r>
      <w:r w:rsidRPr="00B84AF6" w:rsidR="00CB2D77">
        <w:t>, 479 U.S. at p. 577.)</w:t>
      </w:r>
      <w:r w:rsidRPr="00B84AF6" w:rsidR="005E629F">
        <w:t xml:space="preserve">  </w:t>
      </w:r>
      <w:r w:rsidRPr="00B84AF6" w:rsidR="00786667">
        <w:t>“</w:t>
      </w:r>
      <w:r w:rsidRPr="00B84AF6" w:rsidR="00FD0B27">
        <w:t>Thus, in general, a</w:t>
      </w:r>
      <w:r w:rsidRPr="00B84AF6" w:rsidR="00AF4A75">
        <w:t xml:space="preserve"> suspect in custody who, having heard and understood a full explanation of these rights, then makes an uncompelled and uncoerced decision to talk, has thereby knowingly, voluntarily, and intelligently waived them.”  (</w:t>
      </w:r>
      <w:r w:rsidRPr="00B84AF6" w:rsidR="00AF4A75">
        <w:rPr>
          <w:i/>
        </w:rPr>
        <w:t>Tate</w:t>
      </w:r>
      <w:r w:rsidRPr="00B84AF6" w:rsidR="00AF4A75">
        <w:t xml:space="preserve">, </w:t>
      </w:r>
      <w:r w:rsidRPr="00B84AF6" w:rsidR="00041740">
        <w:rPr>
          <w:i/>
        </w:rPr>
        <w:t>supra</w:t>
      </w:r>
      <w:r w:rsidRPr="00B84AF6" w:rsidR="00041740">
        <w:t xml:space="preserve">, 49 Cal.4th </w:t>
      </w:r>
      <w:r w:rsidRPr="00B84AF6" w:rsidR="00AF4A75">
        <w:t>at p. 683.)</w:t>
      </w:r>
      <w:r w:rsidRPr="00B84AF6" w:rsidR="004D1A7F">
        <w:t xml:space="preserve">  </w:t>
      </w:r>
      <w:r w:rsidRPr="00B84AF6" w:rsidR="00157CAF">
        <w:t>A</w:t>
      </w:r>
      <w:r w:rsidRPr="00B84AF6" w:rsidR="00815D2B">
        <w:t xml:space="preserve">s in </w:t>
      </w:r>
      <w:r w:rsidRPr="00B84AF6" w:rsidR="00815D2B">
        <w:rPr>
          <w:i/>
        </w:rPr>
        <w:t>Spring</w:t>
      </w:r>
      <w:r w:rsidRPr="00B84AF6" w:rsidR="00815D2B">
        <w:t xml:space="preserve">, the fact that the officers did not tell defendant they were going to ask him about McKenna’s killing does not invalidate the waiver.  </w:t>
      </w:r>
      <w:r w:rsidRPr="00B84AF6" w:rsidR="004D1A7F">
        <w:t>Defendant’s lack of “awareness of all the possible subjects of questioning in advance of interrogation is not relevant to determining whether [he] voluntarily, knowingly, and intelligently waived his Fifth Amendment privilege.”  (</w:t>
      </w:r>
      <w:r w:rsidRPr="00D457E6" w:rsidR="00D457E6">
        <w:rPr>
          <w:i/>
        </w:rPr>
        <w:t>Spring</w:t>
      </w:r>
      <w:r w:rsidR="00D457E6">
        <w:t>, at p. 577</w:t>
      </w:r>
      <w:r w:rsidRPr="00B84AF6" w:rsidR="004D1A7F">
        <w:t xml:space="preserve">.)  </w:t>
      </w:r>
      <w:r>
        <w:t>T</w:t>
      </w:r>
      <w:r w:rsidRPr="00B84AF6">
        <w:t>he</w:t>
      </w:r>
      <w:r w:rsidRPr="00B84AF6" w:rsidR="00416C49">
        <w:t xml:space="preserve"> officers were not constitutionally required to “supply [defendant] </w:t>
      </w:r>
      <w:r w:rsidRPr="00B84AF6" w:rsidR="009E72D4">
        <w:t>with a flow of information to help him calibrate his self-interest in deciding whether to speak or stand by his rights.</w:t>
      </w:r>
      <w:r w:rsidRPr="00B84AF6">
        <w:t xml:space="preserve">”  </w:t>
      </w:r>
      <w:r w:rsidRPr="00B84AF6" w:rsidR="009E72D4">
        <w:t>(</w:t>
      </w:r>
      <w:r w:rsidRPr="00B84AF6" w:rsidR="00BE3C6C">
        <w:rPr>
          <w:i/>
        </w:rPr>
        <w:t>Moran</w:t>
      </w:r>
      <w:r w:rsidRPr="00B84AF6" w:rsidR="00BE3C6C">
        <w:t xml:space="preserve">, </w:t>
      </w:r>
      <w:r w:rsidRPr="00B84AF6" w:rsidR="00BE3C6C">
        <w:rPr>
          <w:i/>
        </w:rPr>
        <w:t>supra</w:t>
      </w:r>
      <w:r w:rsidRPr="00B84AF6">
        <w:t>, 475 U.S. at p</w:t>
      </w:r>
      <w:r w:rsidRPr="00B84AF6" w:rsidR="00BE3C6C">
        <w:t xml:space="preserve">. </w:t>
      </w:r>
      <w:r w:rsidRPr="00B84AF6" w:rsidR="00416C49">
        <w:t>422</w:t>
      </w:r>
      <w:r w:rsidRPr="00B84AF6" w:rsidR="002D63F8">
        <w:t>.)</w:t>
      </w:r>
      <w:r w:rsidRPr="00B84AF6" w:rsidR="009E72D4">
        <w:t xml:space="preserve"> </w:t>
      </w:r>
      <w:r w:rsidRPr="00B84AF6" w:rsidR="00630A68">
        <w:t xml:space="preserve">  </w:t>
      </w:r>
    </w:p>
    <w:p w:rsidR="00EF4D42" w:rsidRPr="00B84AF6" w:rsidP="00B84AF6">
      <w:pPr>
        <w:tabs>
          <w:tab w:val="left" w:pos="1440"/>
        </w:tabs>
        <w:ind w:firstLine="720"/>
      </w:pPr>
      <w:r w:rsidRPr="00B84AF6">
        <w:t xml:space="preserve">Defendant attempts to distinguish </w:t>
      </w:r>
      <w:r w:rsidRPr="00B84AF6">
        <w:rPr>
          <w:i/>
        </w:rPr>
        <w:t>Moran</w:t>
      </w:r>
      <w:r w:rsidRPr="00B84AF6">
        <w:t xml:space="preserve">, </w:t>
      </w:r>
      <w:r w:rsidRPr="00B84AF6">
        <w:rPr>
          <w:i/>
        </w:rPr>
        <w:t>Spring</w:t>
      </w:r>
      <w:r w:rsidRPr="00B84AF6">
        <w:t xml:space="preserve">, and </w:t>
      </w:r>
      <w:r w:rsidRPr="00B84AF6">
        <w:rPr>
          <w:i/>
        </w:rPr>
        <w:t>Tate</w:t>
      </w:r>
      <w:r w:rsidRPr="00B84AF6">
        <w:t xml:space="preserve"> </w:t>
      </w:r>
      <w:r w:rsidRPr="00B84AF6" w:rsidR="004258AC">
        <w:t xml:space="preserve">because </w:t>
      </w:r>
      <w:r w:rsidRPr="00B84AF6" w:rsidR="008627FA">
        <w:t xml:space="preserve">none of those cases involved affirmative </w:t>
      </w:r>
      <w:r w:rsidR="00EB7A93">
        <w:t>deception</w:t>
      </w:r>
      <w:r w:rsidRPr="00B84AF6" w:rsidR="008627FA">
        <w:t xml:space="preserve">.  (See </w:t>
      </w:r>
      <w:r w:rsidRPr="00B84AF6" w:rsidR="008627FA">
        <w:rPr>
          <w:i/>
        </w:rPr>
        <w:t>Spring</w:t>
      </w:r>
      <w:r w:rsidRPr="00B84AF6" w:rsidR="008627FA">
        <w:t xml:space="preserve">, </w:t>
      </w:r>
      <w:r w:rsidRPr="00B84AF6" w:rsidR="008627FA">
        <w:rPr>
          <w:i/>
        </w:rPr>
        <w:t>supra</w:t>
      </w:r>
      <w:r w:rsidRPr="00B84AF6" w:rsidR="008627FA">
        <w:t>, 479 U.S. at p. 576</w:t>
      </w:r>
      <w:r w:rsidRPr="00B84AF6" w:rsidR="005E629F">
        <w:t xml:space="preserve"> &amp; fn. 8</w:t>
      </w:r>
      <w:r w:rsidRPr="00B84AF6" w:rsidR="008627FA">
        <w:t xml:space="preserve">; </w:t>
      </w:r>
      <w:r w:rsidRPr="00B84AF6" w:rsidR="005E629F">
        <w:rPr>
          <w:i/>
        </w:rPr>
        <w:t>Moran</w:t>
      </w:r>
      <w:r w:rsidRPr="00B84AF6" w:rsidR="005E629F">
        <w:t xml:space="preserve">, </w:t>
      </w:r>
      <w:r w:rsidRPr="00B84AF6" w:rsidR="005E629F">
        <w:rPr>
          <w:i/>
        </w:rPr>
        <w:t>supra</w:t>
      </w:r>
      <w:r w:rsidRPr="00B84AF6" w:rsidR="005E629F">
        <w:t xml:space="preserve">, 475 U.S. at p. 423; </w:t>
      </w:r>
      <w:r w:rsidRPr="00B84AF6" w:rsidR="005E629F">
        <w:rPr>
          <w:i/>
        </w:rPr>
        <w:t>Tate</w:t>
      </w:r>
      <w:r w:rsidRPr="00B84AF6" w:rsidR="005E629F">
        <w:t xml:space="preserve">, </w:t>
      </w:r>
      <w:r w:rsidRPr="00B84AF6" w:rsidR="005E629F">
        <w:rPr>
          <w:i/>
        </w:rPr>
        <w:t>supra</w:t>
      </w:r>
      <w:r w:rsidRPr="00B84AF6" w:rsidR="005E629F">
        <w:t>, 49 Cal.4th at pp. 682–683</w:t>
      </w:r>
      <w:r w:rsidRPr="00B84AF6" w:rsidR="008627FA">
        <w:t xml:space="preserve">.)  Here, </w:t>
      </w:r>
      <w:r w:rsidRPr="00B84AF6" w:rsidR="004914DD">
        <w:t xml:space="preserve">by contrast, </w:t>
      </w:r>
      <w:r w:rsidRPr="00B84AF6" w:rsidR="00041740">
        <w:t xml:space="preserve">defendant argues that </w:t>
      </w:r>
      <w:r w:rsidR="00EB7A93">
        <w:t>misleading him about the purpose of the interview</w:t>
      </w:r>
      <w:r w:rsidRPr="00B84AF6">
        <w:t xml:space="preserve"> “constitute[s] a form of misconduct by officers that society seeks to discourage,” is “likely to overbear the will of suspects and therefore produce involuntary confessions,” and constitutes “a kind of unfairness that shocks the conscience and brings law enforcement and the justice s</w:t>
      </w:r>
      <w:r w:rsidRPr="00B84AF6" w:rsidR="003A4AE5">
        <w:t>ystem into disrepute .</w:t>
      </w:r>
      <w:r w:rsidR="00AA5EDC">
        <w:t> </w:t>
      </w:r>
      <w:r w:rsidRPr="00B84AF6" w:rsidR="003A4AE5">
        <w:t>.</w:t>
      </w:r>
      <w:r w:rsidR="00AA5EDC">
        <w:t> </w:t>
      </w:r>
      <w:r w:rsidRPr="00B84AF6" w:rsidR="003A4AE5">
        <w:t>.</w:t>
      </w:r>
      <w:r w:rsidR="00AA5EDC">
        <w:t> </w:t>
      </w:r>
      <w:r w:rsidRPr="00B84AF6" w:rsidR="003A4AE5">
        <w:t>.”</w:t>
      </w:r>
    </w:p>
    <w:p w:rsidR="008E7252" w:rsidRPr="00B84AF6" w:rsidP="00B84AF6">
      <w:pPr>
        <w:tabs>
          <w:tab w:val="left" w:pos="1440"/>
        </w:tabs>
        <w:ind w:firstLine="720"/>
      </w:pPr>
      <w:r w:rsidRPr="00B84AF6">
        <w:t>Defendant’s arguments are unpersuasive.</w:t>
      </w:r>
      <w:r w:rsidRPr="00B84AF6" w:rsidR="0048266C">
        <w:t xml:space="preserve">  The high court has intimated that </w:t>
      </w:r>
      <w:r w:rsidR="00097AC5">
        <w:t>some circumstances</w:t>
      </w:r>
      <w:r w:rsidRPr="00B84AF6" w:rsidR="0048266C">
        <w:t xml:space="preserve"> may invalidate a waiver.  The </w:t>
      </w:r>
      <w:r w:rsidRPr="00B84AF6" w:rsidR="0048266C">
        <w:rPr>
          <w:i/>
        </w:rPr>
        <w:t>Miranda</w:t>
      </w:r>
      <w:r w:rsidRPr="00B84AF6" w:rsidR="0048266C">
        <w:t xml:space="preserve"> court declared:  “</w:t>
      </w:r>
      <w:r w:rsidR="0067783F">
        <w:t>[A]</w:t>
      </w:r>
      <w:r w:rsidRPr="00B84AF6" w:rsidR="0048266C">
        <w:t xml:space="preserve">ny evidence that the accused was threatened, </w:t>
      </w:r>
      <w:r w:rsidRPr="00B84AF6" w:rsidR="0048266C">
        <w:rPr>
          <w:i/>
        </w:rPr>
        <w:t>tricked</w:t>
      </w:r>
      <w:r w:rsidRPr="00B84AF6" w:rsidR="0048266C">
        <w:t>, or cajoled into a waiver will, of course, show that the defendant did not voluntarily waive his privilege.  The requirement of warnings and waiver of rights is a fundamental with respect to the Fifth Amendment privilege and not simply a preliminary ritual . . . .”  (</w:t>
      </w:r>
      <w:r w:rsidRPr="00B84AF6" w:rsidR="0048266C">
        <w:rPr>
          <w:i/>
        </w:rPr>
        <w:t>Miranda</w:t>
      </w:r>
      <w:r w:rsidRPr="00B84AF6" w:rsidR="0048266C">
        <w:t xml:space="preserve">, </w:t>
      </w:r>
      <w:r w:rsidRPr="00B84AF6" w:rsidR="0048266C">
        <w:rPr>
          <w:i/>
        </w:rPr>
        <w:t>supra</w:t>
      </w:r>
      <w:r w:rsidRPr="00B84AF6" w:rsidR="0048266C">
        <w:t xml:space="preserve">, 384 U.S. at p. 476, italics added.)  In </w:t>
      </w:r>
      <w:r w:rsidRPr="00B84AF6" w:rsidR="0048266C">
        <w:rPr>
          <w:i/>
        </w:rPr>
        <w:t>Berkemer v. McCarty</w:t>
      </w:r>
      <w:r w:rsidRPr="00B84AF6" w:rsidR="0048266C">
        <w:t xml:space="preserve"> (1984) 468 U.S. 420, the court said, “</w:t>
      </w:r>
      <w:r w:rsidR="002D1177">
        <w:t>T</w:t>
      </w:r>
      <w:r w:rsidRPr="00B84AF6" w:rsidR="0048266C">
        <w:t xml:space="preserve">he purposes of the safeguards prescribed by </w:t>
      </w:r>
      <w:r w:rsidRPr="00B84AF6" w:rsidR="0048266C">
        <w:rPr>
          <w:i/>
        </w:rPr>
        <w:t>Miranda</w:t>
      </w:r>
      <w:r w:rsidRPr="00B84AF6" w:rsidR="0048266C">
        <w:t xml:space="preserve"> are to ensure that the police do not coerce </w:t>
      </w:r>
      <w:r w:rsidRPr="00B84AF6" w:rsidR="0048266C">
        <w:rPr>
          <w:i/>
        </w:rPr>
        <w:t>or trick</w:t>
      </w:r>
      <w:r w:rsidRPr="00B84AF6" w:rsidR="0048266C">
        <w:t xml:space="preserve"> captive suspects into confessing .</w:t>
      </w:r>
      <w:r w:rsidR="00AA5EDC">
        <w:t> </w:t>
      </w:r>
      <w:r w:rsidRPr="00B84AF6" w:rsidR="0048266C">
        <w:t>.</w:t>
      </w:r>
      <w:r w:rsidR="00AA5EDC">
        <w:t> </w:t>
      </w:r>
      <w:r w:rsidRPr="00B84AF6" w:rsidR="0048266C">
        <w:t>. .”  (</w:t>
      </w:r>
      <w:r w:rsidRPr="00B84AF6" w:rsidR="00041740">
        <w:rPr>
          <w:i/>
        </w:rPr>
        <w:t>Id</w:t>
      </w:r>
      <w:r w:rsidRPr="00B84AF6" w:rsidR="00041740">
        <w:t>. at p. 433, i</w:t>
      </w:r>
      <w:r w:rsidRPr="00B84AF6" w:rsidR="0048266C">
        <w:t xml:space="preserve">talics added and deleted.)  Similarly, in </w:t>
      </w:r>
      <w:r w:rsidRPr="00B84AF6" w:rsidR="0048266C">
        <w:rPr>
          <w:i/>
        </w:rPr>
        <w:t xml:space="preserve">Moran, supra, </w:t>
      </w:r>
      <w:r w:rsidRPr="00B84AF6" w:rsidR="0048266C">
        <w:t xml:space="preserve">475 U.S. 412, the court stated that “the relinquishment of the right must have been voluntary in the sense that it was the product of a free and deliberate choice rather than intimidation, coercion, </w:t>
      </w:r>
      <w:r w:rsidRPr="00B84AF6" w:rsidR="0048266C">
        <w:rPr>
          <w:i/>
        </w:rPr>
        <w:t>or deception</w:t>
      </w:r>
      <w:r w:rsidRPr="00B84AF6" w:rsidR="0048266C">
        <w:t>.”  (</w:t>
      </w:r>
      <w:r w:rsidRPr="00B84AF6" w:rsidR="0048266C">
        <w:rPr>
          <w:i/>
        </w:rPr>
        <w:t>Id</w:t>
      </w:r>
      <w:r w:rsidRPr="00B84AF6" w:rsidR="0048266C">
        <w:t xml:space="preserve">. at p. 421, italics added; see </w:t>
      </w:r>
      <w:r w:rsidRPr="00B84AF6" w:rsidR="0048266C">
        <w:rPr>
          <w:i/>
        </w:rPr>
        <w:t>Berghuis v. Thompkins</w:t>
      </w:r>
      <w:r w:rsidRPr="00B84AF6" w:rsidR="00041740">
        <w:t xml:space="preserve"> (2010) 560 U.S. 370, 382–</w:t>
      </w:r>
      <w:r w:rsidRPr="00B84AF6" w:rsidR="0048266C">
        <w:t>383.)</w:t>
      </w:r>
      <w:r w:rsidRPr="00B84AF6" w:rsidR="00D056EC">
        <w:t xml:space="preserve">  </w:t>
      </w:r>
    </w:p>
    <w:p w:rsidR="0048266C" w:rsidRPr="00B84AF6" w:rsidP="00B84AF6">
      <w:pPr>
        <w:tabs>
          <w:tab w:val="left" w:pos="1440"/>
        </w:tabs>
        <w:ind w:firstLine="720"/>
      </w:pPr>
      <w:r w:rsidRPr="00B84AF6">
        <w:t xml:space="preserve">The </w:t>
      </w:r>
      <w:r w:rsidRPr="00B84AF6" w:rsidR="001105DA">
        <w:t>Supreme C</w:t>
      </w:r>
      <w:r w:rsidRPr="00B84AF6">
        <w:t xml:space="preserve">ourt has nonetheless </w:t>
      </w:r>
      <w:r w:rsidRPr="00B84AF6" w:rsidR="004B2024">
        <w:t xml:space="preserve">clarified that </w:t>
      </w:r>
      <w:r w:rsidRPr="00B84AF6" w:rsidR="00552005">
        <w:t xml:space="preserve">the </w:t>
      </w:r>
      <w:r w:rsidRPr="00B84AF6" w:rsidR="004B2024">
        <w:t>C</w:t>
      </w:r>
      <w:r w:rsidRPr="00B84AF6" w:rsidR="00552005">
        <w:t xml:space="preserve">onstitution does not punish </w:t>
      </w:r>
      <w:r w:rsidR="00097AC5">
        <w:t>lack of candor</w:t>
      </w:r>
      <w:r w:rsidRPr="00B84AF6" w:rsidR="00552005">
        <w:t xml:space="preserve"> for its own sake.  </w:t>
      </w:r>
      <w:r w:rsidR="00356C14">
        <w:t xml:space="preserve">The </w:t>
      </w:r>
      <w:r w:rsidRPr="00B84AF6" w:rsidR="008E7252">
        <w:rPr>
          <w:i/>
        </w:rPr>
        <w:t>Moran</w:t>
      </w:r>
      <w:r w:rsidR="00097AC5">
        <w:t xml:space="preserve"> </w:t>
      </w:r>
      <w:r w:rsidR="00356C14">
        <w:t xml:space="preserve">court </w:t>
      </w:r>
      <w:r w:rsidR="00097AC5">
        <w:t>explained:</w:t>
      </w:r>
      <w:r w:rsidRPr="00B84AF6" w:rsidR="008E7252">
        <w:t xml:space="preserve">  </w:t>
      </w:r>
      <w:r w:rsidRPr="00B84AF6" w:rsidR="00552005">
        <w:t>“Granting that the ‘deliberate or reckless’ withholding of information is objectionable as a matter of ethics, such conduct is only relevant to the constitutional validity of a waiver if it deprives a defendant of knowledge essential to his ability to understand the nature of his rights and the consequences of abandoning them.”</w:t>
      </w:r>
      <w:r w:rsidRPr="00B84AF6" w:rsidR="008E7252">
        <w:t xml:space="preserve">  (</w:t>
      </w:r>
      <w:r w:rsidRPr="00B84AF6" w:rsidR="00097AC5">
        <w:rPr>
          <w:i/>
        </w:rPr>
        <w:t>Moran</w:t>
      </w:r>
      <w:r w:rsidRPr="00B84AF6" w:rsidR="00097AC5">
        <w:t xml:space="preserve">, </w:t>
      </w:r>
      <w:r w:rsidRPr="00B84AF6" w:rsidR="00097AC5">
        <w:rPr>
          <w:i/>
        </w:rPr>
        <w:t>supra</w:t>
      </w:r>
      <w:r w:rsidRPr="00B84AF6" w:rsidR="00097AC5">
        <w:t xml:space="preserve">, 475 U.S. at </w:t>
      </w:r>
      <w:r w:rsidRPr="00B84AF6" w:rsidR="00080CF3">
        <w:t xml:space="preserve">pp. 423–424.)  </w:t>
      </w:r>
      <w:r w:rsidRPr="00B84AF6" w:rsidR="00080CF3">
        <w:rPr>
          <w:i/>
        </w:rPr>
        <w:t>Moran</w:t>
      </w:r>
      <w:r w:rsidRPr="00B84AF6" w:rsidR="00080CF3">
        <w:t xml:space="preserve"> expressly dismissed the idea that the intent of the police to deceive might make a difference.  (</w:t>
      </w:r>
      <w:r w:rsidRPr="00B84AF6" w:rsidR="00080CF3">
        <w:rPr>
          <w:i/>
        </w:rPr>
        <w:t>Ibid</w:t>
      </w:r>
      <w:r w:rsidRPr="00B84AF6" w:rsidR="00080CF3">
        <w:t xml:space="preserve">.)  </w:t>
      </w:r>
      <w:r w:rsidRPr="00B84AF6" w:rsidR="008E7252">
        <w:t xml:space="preserve">And in </w:t>
      </w:r>
      <w:r w:rsidRPr="00B84AF6" w:rsidR="008E7252">
        <w:rPr>
          <w:i/>
        </w:rPr>
        <w:t>Spring</w:t>
      </w:r>
      <w:r w:rsidRPr="00B84AF6" w:rsidR="008E7252">
        <w:t>, the court</w:t>
      </w:r>
      <w:r w:rsidRPr="00B84AF6" w:rsidR="00192B13">
        <w:t xml:space="preserve"> cited </w:t>
      </w:r>
      <w:r w:rsidRPr="00B84AF6" w:rsidR="00DE083F">
        <w:t>examples</w:t>
      </w:r>
      <w:r w:rsidRPr="00B84AF6" w:rsidR="00192B13">
        <w:t xml:space="preserve"> of “certain circumstances” under which the court had previously invalidated Fifth Amendment waivers</w:t>
      </w:r>
      <w:r w:rsidRPr="00B84AF6" w:rsidR="00041740">
        <w:t xml:space="preserve">; those examples all </w:t>
      </w:r>
      <w:r w:rsidRPr="00B84AF6" w:rsidR="00DE083F">
        <w:t xml:space="preserve">involved </w:t>
      </w:r>
      <w:r w:rsidRPr="00B84AF6" w:rsidR="00192B13">
        <w:t xml:space="preserve">misrepresentations </w:t>
      </w:r>
      <w:r w:rsidRPr="00B84AF6" w:rsidR="00522BC4">
        <w:t xml:space="preserve">that were </w:t>
      </w:r>
      <w:r w:rsidRPr="00B84AF6" w:rsidR="00192B13">
        <w:t>coerc</w:t>
      </w:r>
      <w:r w:rsidRPr="00B84AF6">
        <w:t>ive in nature.  (</w:t>
      </w:r>
      <w:r w:rsidRPr="00B84AF6">
        <w:rPr>
          <w:i/>
        </w:rPr>
        <w:t>Spring</w:t>
      </w:r>
      <w:r w:rsidRPr="00B84AF6">
        <w:t xml:space="preserve">, </w:t>
      </w:r>
      <w:r w:rsidRPr="00B84AF6">
        <w:rPr>
          <w:i/>
        </w:rPr>
        <w:t>supra</w:t>
      </w:r>
      <w:r w:rsidRPr="00B84AF6">
        <w:t>, 479 U.S. at p. 576, fn. 8</w:t>
      </w:r>
      <w:r w:rsidRPr="00B84AF6" w:rsidR="00B10F51">
        <w:t xml:space="preserve">, citing </w:t>
      </w:r>
      <w:r w:rsidRPr="00B84AF6" w:rsidR="00B10F51">
        <w:rPr>
          <w:i/>
        </w:rPr>
        <w:t>Lynum</w:t>
      </w:r>
      <w:r w:rsidRPr="00B84AF6" w:rsidR="00607423">
        <w:rPr>
          <w:i/>
        </w:rPr>
        <w:t>n</w:t>
      </w:r>
      <w:r w:rsidRPr="00B84AF6" w:rsidR="00B10F51">
        <w:rPr>
          <w:i/>
        </w:rPr>
        <w:t xml:space="preserve"> v. Illinois</w:t>
      </w:r>
      <w:r w:rsidRPr="00B84AF6" w:rsidR="00B10F51">
        <w:t xml:space="preserve"> (1963) </w:t>
      </w:r>
      <w:r w:rsidRPr="00B84AF6" w:rsidR="00607423">
        <w:t>372 U.S. 528</w:t>
      </w:r>
      <w:r w:rsidRPr="00B84AF6" w:rsidR="00EA0FAD">
        <w:t>, 534–535</w:t>
      </w:r>
      <w:r w:rsidRPr="00B84AF6" w:rsidR="00607423">
        <w:t xml:space="preserve"> [misrepresentation by police officers that suspect would be deprived of state financial aid for her dependent child unless she cooperated]; </w:t>
      </w:r>
      <w:r w:rsidRPr="00B84AF6" w:rsidR="00607423">
        <w:rPr>
          <w:i/>
        </w:rPr>
        <w:t>Spano v. New York</w:t>
      </w:r>
      <w:r w:rsidRPr="00B84AF6" w:rsidR="00607423">
        <w:t xml:space="preserve"> (1959) 360 U.S. 315</w:t>
      </w:r>
      <w:r w:rsidRPr="00B84AF6" w:rsidR="00522BC4">
        <w:t>, 319, 322–324</w:t>
      </w:r>
      <w:r w:rsidRPr="00B84AF6" w:rsidR="00607423">
        <w:t xml:space="preserve"> [misrepresentation by suspect’s friend that friend would lose his job if suspect failed to cooperate]</w:t>
      </w:r>
      <w:r w:rsidRPr="00B84AF6">
        <w:t>.)</w:t>
      </w:r>
      <w:r w:rsidRPr="00B84AF6" w:rsidR="0075764F">
        <w:t xml:space="preserve">  </w:t>
      </w:r>
    </w:p>
    <w:p w:rsidR="00041740" w:rsidRPr="00B84AF6" w:rsidP="00B84AF6">
      <w:pPr>
        <w:tabs>
          <w:tab w:val="left" w:pos="1440"/>
        </w:tabs>
        <w:ind w:firstLine="720"/>
      </w:pPr>
      <w:r w:rsidRPr="00B84AF6">
        <w:t>T</w:t>
      </w:r>
      <w:r w:rsidRPr="00B84AF6" w:rsidR="005B4411">
        <w:t xml:space="preserve">he </w:t>
      </w:r>
      <w:r w:rsidRPr="00B84AF6" w:rsidR="00985308">
        <w:t xml:space="preserve">officers’ </w:t>
      </w:r>
      <w:r w:rsidR="00097AC5">
        <w:t xml:space="preserve">ruse, that their </w:t>
      </w:r>
      <w:r w:rsidRPr="00B84AF6" w:rsidR="00AE56A1">
        <w:t xml:space="preserve">purpose </w:t>
      </w:r>
      <w:r w:rsidRPr="00B84AF6" w:rsidR="00985308">
        <w:t xml:space="preserve">was to interview defendant regarding his </w:t>
      </w:r>
      <w:r w:rsidRPr="00B84AF6" w:rsidR="00124255">
        <w:t xml:space="preserve">sex offender registration </w:t>
      </w:r>
      <w:r w:rsidRPr="00B84AF6" w:rsidR="00985308">
        <w:t>status</w:t>
      </w:r>
      <w:r w:rsidRPr="00B84AF6" w:rsidR="00124255">
        <w:t xml:space="preserve">, </w:t>
      </w:r>
      <w:r w:rsidRPr="00B84AF6" w:rsidR="005B4411">
        <w:t xml:space="preserve">was not </w:t>
      </w:r>
      <w:r w:rsidR="00097AC5">
        <w:t>coercive</w:t>
      </w:r>
      <w:r w:rsidRPr="00B84AF6" w:rsidR="005B4411">
        <w:t>.</w:t>
      </w:r>
      <w:r w:rsidRPr="00B84AF6" w:rsidR="000320A7">
        <w:t xml:space="preserve">  Defendant argues </w:t>
      </w:r>
      <w:r w:rsidRPr="00B84AF6" w:rsidR="0037150F">
        <w:t>that Chicoine’s reference to a</w:t>
      </w:r>
      <w:r w:rsidRPr="00B84AF6" w:rsidR="003A4AE5">
        <w:t xml:space="preserve"> “red file” </w:t>
      </w:r>
      <w:r w:rsidRPr="00B84AF6" w:rsidR="000320A7">
        <w:t>of problem offenders that sits on his desk “plainly implied that there might be consequence for failing to cooperate.”</w:t>
      </w:r>
      <w:r w:rsidRPr="00B84AF6" w:rsidR="003A4AE5">
        <w:t xml:space="preserve">  </w:t>
      </w:r>
      <w:r w:rsidRPr="00B84AF6" w:rsidR="000320A7">
        <w:t xml:space="preserve">The record belies this assertion.  </w:t>
      </w:r>
      <w:r w:rsidRPr="00B84AF6" w:rsidR="00E60BD5">
        <w:t xml:space="preserve">The comment suggested only that defendant should stay out of trouble following his release from prison.  </w:t>
      </w:r>
      <w:r w:rsidRPr="00B84AF6" w:rsidR="004E3116">
        <w:t>Moreover, a</w:t>
      </w:r>
      <w:r w:rsidRPr="00B84AF6" w:rsidR="004037D3">
        <w:t>s he was filling out the waiver form</w:t>
      </w:r>
      <w:r w:rsidR="00097AC5">
        <w:t>,</w:t>
      </w:r>
      <w:r w:rsidRPr="00B84AF6" w:rsidR="004037D3">
        <w:t xml:space="preserve"> defendant asked if his parole would be affected “</w:t>
      </w:r>
      <w:r w:rsidRPr="00B84AF6" w:rsidR="00C476B8">
        <w:t>[</w:t>
      </w:r>
      <w:r w:rsidRPr="00B84AF6" w:rsidR="004037D3">
        <w:t>i</w:t>
      </w:r>
      <w:r w:rsidRPr="00B84AF6" w:rsidR="00C476B8">
        <w:t>]</w:t>
      </w:r>
      <w:r w:rsidRPr="00B84AF6" w:rsidR="004037D3">
        <w:t>f I don’t answer any of these questions.”  Chicoine replied, “</w:t>
      </w:r>
      <w:r w:rsidRPr="00B84AF6" w:rsidR="00C476B8">
        <w:t>No, a</w:t>
      </w:r>
      <w:r w:rsidRPr="00B84AF6" w:rsidR="003A4AE5">
        <w:t>bsolutely not.”</w:t>
      </w:r>
      <w:r w:rsidRPr="00B84AF6" w:rsidR="004037D3">
        <w:t xml:space="preserve">  </w:t>
      </w:r>
    </w:p>
    <w:p w:rsidR="00080CF3" w:rsidRPr="00B84AF6" w:rsidP="00B84AF6">
      <w:pPr>
        <w:tabs>
          <w:tab w:val="left" w:pos="1440"/>
        </w:tabs>
        <w:ind w:firstLine="720"/>
      </w:pPr>
      <w:r w:rsidRPr="00B84AF6">
        <w:t>D</w:t>
      </w:r>
      <w:r w:rsidRPr="00B84AF6" w:rsidR="000320A7">
        <w:t xml:space="preserve">efendant further maintains </w:t>
      </w:r>
      <w:r w:rsidRPr="00B84AF6" w:rsidR="00552005">
        <w:t xml:space="preserve">“it is clear from the record that [he] would </w:t>
      </w:r>
      <w:r w:rsidRPr="00B84AF6" w:rsidR="00552005">
        <w:rPr>
          <w:i/>
        </w:rPr>
        <w:t>not</w:t>
      </w:r>
      <w:r w:rsidRPr="00B84AF6" w:rsidR="00552005">
        <w:t xml:space="preserve"> have waived his </w:t>
      </w:r>
      <w:r w:rsidRPr="00B84AF6" w:rsidR="00552005">
        <w:rPr>
          <w:i/>
        </w:rPr>
        <w:t>Miranda</w:t>
      </w:r>
      <w:r w:rsidRPr="00B84AF6" w:rsidR="00552005">
        <w:t xml:space="preserve"> rights if he had actually been told who the officers were and what they were investigati</w:t>
      </w:r>
      <w:r w:rsidRPr="00B84AF6" w:rsidR="003A4AE5">
        <w:t xml:space="preserve">ng.”  </w:t>
      </w:r>
      <w:r w:rsidRPr="00B84AF6" w:rsidR="001408C4">
        <w:t>D</w:t>
      </w:r>
      <w:r w:rsidRPr="00B84AF6" w:rsidR="00FE5B4B">
        <w:t>efendant reasons</w:t>
      </w:r>
      <w:r w:rsidRPr="00B84AF6" w:rsidR="001408C4">
        <w:t xml:space="preserve"> that </w:t>
      </w:r>
      <w:r w:rsidRPr="00B84AF6" w:rsidR="00FE5B4B">
        <w:t xml:space="preserve">he </w:t>
      </w:r>
      <w:r w:rsidRPr="00B84AF6" w:rsidR="00552005">
        <w:t>promptly invoked his right to an attorney when the officers actually broached th</w:t>
      </w:r>
      <w:r w:rsidRPr="00B84AF6" w:rsidR="003A4AE5">
        <w:t xml:space="preserve">e subject of McKenna’s death.  </w:t>
      </w:r>
      <w:r w:rsidRPr="00B84AF6" w:rsidR="00552005">
        <w:t>But the fact that he did so</w:t>
      </w:r>
      <w:r w:rsidRPr="00B84AF6" w:rsidR="008E7252">
        <w:t xml:space="preserve"> </w:t>
      </w:r>
      <w:r w:rsidRPr="00B84AF6" w:rsidR="00C749E3">
        <w:t xml:space="preserve">only </w:t>
      </w:r>
      <w:r w:rsidRPr="00B84AF6" w:rsidR="008E7252">
        <w:t xml:space="preserve">reinforces the conclusion that </w:t>
      </w:r>
      <w:r w:rsidRPr="00B84AF6" w:rsidR="00562790">
        <w:t xml:space="preserve">he understood his options and </w:t>
      </w:r>
      <w:r w:rsidRPr="00B84AF6" w:rsidR="008E7252">
        <w:t xml:space="preserve">his </w:t>
      </w:r>
      <w:r w:rsidRPr="00B84AF6" w:rsidR="00552005">
        <w:t>will was not overborne.</w:t>
      </w:r>
      <w:r w:rsidRPr="00B84AF6" w:rsidR="00C749E3">
        <w:t xml:space="preserve">  (See </w:t>
      </w:r>
      <w:r w:rsidRPr="00B84AF6" w:rsidR="00C749E3">
        <w:rPr>
          <w:i/>
        </w:rPr>
        <w:t>People v. Williams</w:t>
      </w:r>
      <w:r w:rsidRPr="00B84AF6" w:rsidR="00C749E3">
        <w:t xml:space="preserve"> (2010) 49 Cal.4th 405, 442</w:t>
      </w:r>
      <w:r w:rsidRPr="00B84AF6" w:rsidR="00C91B1E">
        <w:t>, 444</w:t>
      </w:r>
      <w:r w:rsidRPr="00B84AF6" w:rsidR="00C749E3">
        <w:t xml:space="preserve">.)  </w:t>
      </w:r>
    </w:p>
    <w:p w:rsidR="00552005" w:rsidRPr="00B84AF6" w:rsidP="00B84AF6">
      <w:pPr>
        <w:tabs>
          <w:tab w:val="left" w:pos="1440"/>
        </w:tabs>
        <w:ind w:firstLine="720"/>
      </w:pPr>
      <w:r w:rsidRPr="00B84AF6">
        <w:t>For these reasons, defendant’s</w:t>
      </w:r>
      <w:r w:rsidRPr="00B84AF6" w:rsidR="00562790">
        <w:t xml:space="preserve"> initial</w:t>
      </w:r>
      <w:r w:rsidRPr="00B84AF6">
        <w:t xml:space="preserve"> </w:t>
      </w:r>
      <w:r w:rsidRPr="00B84AF6">
        <w:rPr>
          <w:i/>
        </w:rPr>
        <w:t>Miranda</w:t>
      </w:r>
      <w:r w:rsidRPr="00B84AF6">
        <w:t xml:space="preserve"> waiver was knowing, intelligent, and voluntary.</w:t>
      </w:r>
      <w:r>
        <w:rPr>
          <w:rStyle w:val="FootnoteReference"/>
        </w:rPr>
        <w:footnoteReference w:id="11"/>
      </w:r>
    </w:p>
    <w:p w:rsidR="00C52467" w:rsidRPr="00B84AF6" w:rsidP="00086BD0">
      <w:pPr>
        <w:pStyle w:val="Heading4"/>
        <w:numPr>
          <w:ilvl w:val="0"/>
          <w:numId w:val="32"/>
        </w:numPr>
        <w:ind w:left="2376"/>
      </w:pPr>
      <w:bookmarkStart w:id="25" w:name="_Toc527447444"/>
      <w:r w:rsidRPr="00B84AF6">
        <w:t xml:space="preserve">The </w:t>
      </w:r>
      <w:r w:rsidRPr="00B84AF6" w:rsidR="00211594">
        <w:t>Re</w:t>
      </w:r>
      <w:r w:rsidRPr="00B84AF6">
        <w:t>initiation of Questioning</w:t>
      </w:r>
      <w:bookmarkEnd w:id="25"/>
    </w:p>
    <w:p w:rsidR="00A21B1B" w:rsidRPr="00B84AF6" w:rsidP="00B84AF6">
      <w:pPr>
        <w:tabs>
          <w:tab w:val="left" w:pos="1440"/>
        </w:tabs>
        <w:ind w:firstLine="720"/>
      </w:pPr>
      <w:r w:rsidRPr="00B84AF6">
        <w:t>As noted, defendant asserted his right to counsel at the end of the San Quentin interview</w:t>
      </w:r>
      <w:r w:rsidRPr="00B84AF6" w:rsidR="008043B5">
        <w:t xml:space="preserve"> and the officers promptly </w:t>
      </w:r>
      <w:r w:rsidR="00097AC5">
        <w:t>stopped</w:t>
      </w:r>
      <w:r w:rsidRPr="00B84AF6" w:rsidR="008043B5">
        <w:t xml:space="preserve"> their questioning.  </w:t>
      </w:r>
      <w:r w:rsidRPr="00B84AF6" w:rsidR="00C52467">
        <w:t>Defendant contends th</w:t>
      </w:r>
      <w:r w:rsidRPr="00B84AF6" w:rsidR="00460C14">
        <w:t>e officers violated</w:t>
      </w:r>
      <w:r w:rsidRPr="00B84AF6" w:rsidR="00C52467">
        <w:t xml:space="preserve"> his right</w:t>
      </w:r>
      <w:r w:rsidRPr="00B84AF6" w:rsidR="00460C14">
        <w:t xml:space="preserve">s under </w:t>
      </w:r>
      <w:r w:rsidRPr="00B84AF6" w:rsidR="00437DA0">
        <w:rPr>
          <w:i/>
        </w:rPr>
        <w:t>Edwards</w:t>
      </w:r>
      <w:r w:rsidRPr="00B84AF6" w:rsidR="00437DA0">
        <w:t>,</w:t>
      </w:r>
      <w:r w:rsidRPr="00B84AF6" w:rsidR="00437DA0">
        <w:rPr>
          <w:i/>
        </w:rPr>
        <w:t xml:space="preserve"> supra</w:t>
      </w:r>
      <w:r w:rsidRPr="00B84AF6" w:rsidR="00437DA0">
        <w:t>,</w:t>
      </w:r>
      <w:r w:rsidRPr="00B84AF6" w:rsidR="00460C14">
        <w:t xml:space="preserve"> 451 U.S. 477</w:t>
      </w:r>
      <w:r w:rsidRPr="00B84AF6" w:rsidR="00B077F9">
        <w:t>,</w:t>
      </w:r>
      <w:r w:rsidRPr="00B84AF6" w:rsidR="008043B5">
        <w:t xml:space="preserve"> when, 10 days later, </w:t>
      </w:r>
      <w:r w:rsidRPr="00B84AF6" w:rsidR="00460C14">
        <w:t xml:space="preserve">they </w:t>
      </w:r>
      <w:r w:rsidRPr="00B84AF6" w:rsidR="00521D70">
        <w:t>resumed questioning on the</w:t>
      </w:r>
      <w:r w:rsidRPr="00B84AF6" w:rsidR="00530ACD">
        <w:t xml:space="preserve"> car</w:t>
      </w:r>
      <w:r w:rsidRPr="00B84AF6" w:rsidR="00521D70">
        <w:t xml:space="preserve"> trip </w:t>
      </w:r>
      <w:r w:rsidRPr="00B84AF6" w:rsidR="00916818">
        <w:t xml:space="preserve">to </w:t>
      </w:r>
      <w:r w:rsidRPr="00B84AF6" w:rsidR="00530ACD">
        <w:t>the</w:t>
      </w:r>
      <w:r w:rsidRPr="00B84AF6" w:rsidR="00916818">
        <w:t xml:space="preserve"> station</w:t>
      </w:r>
      <w:r w:rsidRPr="00B84AF6" w:rsidR="00521D70">
        <w:t xml:space="preserve"> despite </w:t>
      </w:r>
      <w:r w:rsidRPr="00B84AF6" w:rsidR="008873BF">
        <w:t>his</w:t>
      </w:r>
      <w:r w:rsidRPr="00B84AF6" w:rsidR="00521D70">
        <w:t xml:space="preserve"> </w:t>
      </w:r>
      <w:r w:rsidRPr="00B84AF6" w:rsidR="008043B5">
        <w:t xml:space="preserve">earlier </w:t>
      </w:r>
      <w:r w:rsidRPr="00B84AF6" w:rsidR="00521D70">
        <w:t xml:space="preserve">invocation of </w:t>
      </w:r>
      <w:r w:rsidRPr="00B84AF6" w:rsidR="00521D70">
        <w:rPr>
          <w:i/>
        </w:rPr>
        <w:t>Miranda</w:t>
      </w:r>
      <w:r w:rsidRPr="00B84AF6" w:rsidR="00521D70">
        <w:t xml:space="preserve"> rights</w:t>
      </w:r>
      <w:r w:rsidRPr="00B84AF6" w:rsidR="008043B5">
        <w:t>.</w:t>
      </w:r>
      <w:r w:rsidRPr="00B84AF6" w:rsidR="00521D70">
        <w:t xml:space="preserve">  </w:t>
      </w:r>
      <w:r w:rsidRPr="00B84AF6" w:rsidR="00E2298F">
        <w:t xml:space="preserve">We reject his claim.  Defendant reinitiated further communications with the officers when they arrived at San Quentin to take custody of him, thus allowing for further questioning under </w:t>
      </w:r>
      <w:r w:rsidRPr="00B84AF6" w:rsidR="00E2298F">
        <w:rPr>
          <w:i/>
        </w:rPr>
        <w:t>Edwards</w:t>
      </w:r>
      <w:r w:rsidRPr="00B84AF6" w:rsidR="00E2298F">
        <w:t>.</w:t>
      </w:r>
      <w:r w:rsidRPr="00B84AF6" w:rsidR="00F46266">
        <w:t xml:space="preserve">  (</w:t>
      </w:r>
      <w:r w:rsidRPr="00B84AF6" w:rsidR="00F46266">
        <w:rPr>
          <w:i/>
        </w:rPr>
        <w:t>Edwards</w:t>
      </w:r>
      <w:r w:rsidRPr="00B84AF6" w:rsidR="00F46266">
        <w:t xml:space="preserve">, </w:t>
      </w:r>
      <w:r w:rsidRPr="00B84AF6" w:rsidR="00F46266">
        <w:rPr>
          <w:i/>
        </w:rPr>
        <w:t>supra</w:t>
      </w:r>
      <w:r w:rsidRPr="00B84AF6" w:rsidR="00F46266">
        <w:t>, 451 U.S. at pp. 484-</w:t>
      </w:r>
      <w:r w:rsidR="007C6518">
        <w:t>4</w:t>
      </w:r>
      <w:r w:rsidRPr="00B84AF6" w:rsidR="00F46266">
        <w:t xml:space="preserve">85.)  </w:t>
      </w:r>
    </w:p>
    <w:p w:rsidR="00BF659B" w:rsidRPr="00B84AF6" w:rsidP="00B84AF6">
      <w:pPr>
        <w:tabs>
          <w:tab w:val="left" w:pos="1440"/>
        </w:tabs>
        <w:ind w:firstLine="720"/>
      </w:pPr>
      <w:r w:rsidRPr="00B84AF6">
        <w:t>“</w:t>
      </w:r>
      <w:r w:rsidRPr="00B84AF6" w:rsidR="00896C46">
        <w:t>[W]hen an accused has invoked his right to have counsel present during custodial interrogation, a valid waiver of that right cannot be established by showing only that he responded to further police-initiated custodial interrogation . .</w:t>
      </w:r>
      <w:r w:rsidR="00AA5EDC">
        <w:t> </w:t>
      </w:r>
      <w:r w:rsidRPr="00B84AF6" w:rsidR="00896C46">
        <w:t>.</w:t>
      </w:r>
      <w:r w:rsidR="00AA5EDC">
        <w:t> </w:t>
      </w:r>
      <w:r w:rsidRPr="00B84AF6" w:rsidR="00896C46">
        <w:t>.  [</w:t>
      </w:r>
      <w:r w:rsidR="00097AC5">
        <w:t>There is to be no</w:t>
      </w:r>
      <w:r w:rsidRPr="00B84AF6" w:rsidR="00896C46">
        <w:t>] further interrogation by the authorities until counsel has been made available to him, unless the accused himself initiates further communication, exchanges, or conversations with the police.”</w:t>
      </w:r>
      <w:r w:rsidRPr="00B84AF6">
        <w:t xml:space="preserve">  </w:t>
      </w:r>
      <w:r w:rsidRPr="00B84AF6">
        <w:t>(</w:t>
      </w:r>
      <w:r w:rsidRPr="00B84AF6">
        <w:rPr>
          <w:i/>
        </w:rPr>
        <w:t>Edwards</w:t>
      </w:r>
      <w:r w:rsidRPr="00B84AF6">
        <w:t xml:space="preserve">, </w:t>
      </w:r>
      <w:r w:rsidRPr="00B84AF6">
        <w:rPr>
          <w:i/>
        </w:rPr>
        <w:t>supra</w:t>
      </w:r>
      <w:r w:rsidRPr="00B84AF6">
        <w:t xml:space="preserve">, </w:t>
      </w:r>
      <w:r w:rsidRPr="00B84AF6">
        <w:t xml:space="preserve">451 U.S. </w:t>
      </w:r>
      <w:r w:rsidRPr="00B84AF6" w:rsidR="00AA1A51">
        <w:t>a</w:t>
      </w:r>
      <w:r w:rsidRPr="00B84AF6">
        <w:t>t pp.</w:t>
      </w:r>
      <w:r w:rsidRPr="00B84AF6" w:rsidR="00CD2454">
        <w:t xml:space="preserve"> 484–</w:t>
      </w:r>
      <w:r w:rsidRPr="00B84AF6">
        <w:t>485</w:t>
      </w:r>
      <w:r w:rsidRPr="00B84AF6" w:rsidR="00276B82">
        <w:t xml:space="preserve">; accord, </w:t>
      </w:r>
      <w:r w:rsidRPr="00B84AF6" w:rsidR="00276B82">
        <w:rPr>
          <w:i/>
        </w:rPr>
        <w:t>People v. Gamache</w:t>
      </w:r>
      <w:r w:rsidRPr="00B84AF6" w:rsidR="00276B82">
        <w:t xml:space="preserve"> (2010) 48 Cal.4th 347, 384</w:t>
      </w:r>
      <w:r w:rsidRPr="00B84AF6">
        <w:t xml:space="preserve">.)  </w:t>
      </w:r>
      <w:r w:rsidRPr="00B84AF6" w:rsidR="00BA741D">
        <w:t>“</w:t>
      </w:r>
      <w:r w:rsidRPr="00B84AF6" w:rsidR="00BA741D">
        <w:rPr>
          <w:i/>
        </w:rPr>
        <w:t>Edwards</w:t>
      </w:r>
      <w:r w:rsidRPr="00B84AF6" w:rsidR="00BA741D">
        <w:t xml:space="preserve"> set forth a ‘bright-line rule’ that </w:t>
      </w:r>
      <w:r w:rsidRPr="00B84AF6" w:rsidR="00BA741D">
        <w:rPr>
          <w:i/>
        </w:rPr>
        <w:t>all</w:t>
      </w:r>
      <w:r w:rsidRPr="00B84AF6" w:rsidR="00BA741D">
        <w:t xml:space="preserve"> questioning must cease after an accused requests counsel.  [Citation.]  In the absence of such a bright-line prohibition, the authorities through ‘[badgering]’ or ‘overreaching’ —  explicit or subtle, deliberate or unintentional — might otherwise wear down the accused and persuade him to incriminate himself notwithstanding his earlier request for counsel’s assistance.”  (</w:t>
      </w:r>
      <w:r w:rsidRPr="00B84AF6" w:rsidR="00BA741D">
        <w:rPr>
          <w:i/>
        </w:rPr>
        <w:t>Smith v. Illinois</w:t>
      </w:r>
      <w:r w:rsidRPr="00B84AF6" w:rsidR="00BA741D">
        <w:t xml:space="preserve"> (1984) 469 U.S. 91, 98.)  </w:t>
      </w:r>
      <w:r w:rsidRPr="00B84AF6">
        <w:t>“[I]t is presumed that any subsequent waiver that has come at the authorities’ behest, and not at the suspect’s own instigation, is itself the product of . . . ‘inherently compelling pressures’ and not the purely voluntary choice of the suspect.”  (</w:t>
      </w:r>
      <w:r w:rsidRPr="00B84AF6">
        <w:rPr>
          <w:i/>
        </w:rPr>
        <w:t>Arizona v. Roberson</w:t>
      </w:r>
      <w:r w:rsidRPr="00B84AF6">
        <w:t xml:space="preserve"> (1988) 486 U.S. 675, 681</w:t>
      </w:r>
      <w:r w:rsidRPr="00B84AF6" w:rsidR="002051AA">
        <w:t xml:space="preserve">; </w:t>
      </w:r>
      <w:r w:rsidRPr="00B84AF6" w:rsidR="002051AA">
        <w:rPr>
          <w:i/>
        </w:rPr>
        <w:t>Gamache</w:t>
      </w:r>
      <w:r w:rsidRPr="00B84AF6" w:rsidR="002051AA">
        <w:t>, at p. 385</w:t>
      </w:r>
      <w:r w:rsidRPr="00B84AF6">
        <w:t>.)</w:t>
      </w:r>
      <w:r w:rsidRPr="00B84AF6" w:rsidR="002051AA">
        <w:t xml:space="preserve">  “Thus, the People must show both that the defendant reinitiated discussion</w:t>
      </w:r>
      <w:r w:rsidRPr="00B84AF6" w:rsidR="009B670A">
        <w:t>s</w:t>
      </w:r>
      <w:r w:rsidRPr="00B84AF6" w:rsidR="002051AA">
        <w:t xml:space="preserve"> and that he knowingly and intelligently waived the right he had invoked.”  (</w:t>
      </w:r>
      <w:r w:rsidRPr="00B84AF6" w:rsidR="002051AA">
        <w:rPr>
          <w:i/>
        </w:rPr>
        <w:t>Gamache</w:t>
      </w:r>
      <w:r w:rsidRPr="00B84AF6" w:rsidR="002051AA">
        <w:t xml:space="preserve">, at p. 385.)  </w:t>
      </w:r>
    </w:p>
    <w:p w:rsidR="00120D43" w:rsidRPr="00B84AF6" w:rsidP="00B84AF6">
      <w:pPr>
        <w:tabs>
          <w:tab w:val="left" w:pos="1440"/>
        </w:tabs>
        <w:ind w:firstLine="720"/>
      </w:pPr>
      <w:r w:rsidRPr="00B84AF6">
        <w:t xml:space="preserve">“The </w:t>
      </w:r>
      <w:r w:rsidRPr="00B84AF6">
        <w:rPr>
          <w:i/>
        </w:rPr>
        <w:t>Edwards</w:t>
      </w:r>
      <w:r w:rsidRPr="00B84AF6">
        <w:t xml:space="preserve"> presumption of involuntariness ensures that police will not take advantage of the mounting coercive pressures of ‘prolonged police custody,’ [citation] by repeatedly attempting to question a suspect who previously requested counsel until the suspect is ‘</w:t>
      </w:r>
      <w:r w:rsidRPr="00B84AF6" w:rsidR="00B077F9">
        <w:t>badgered into submission.</w:t>
      </w:r>
      <w:r w:rsidRPr="00B84AF6">
        <w:t>’</w:t>
      </w:r>
      <w:r w:rsidRPr="00B84AF6" w:rsidR="00B077F9">
        <w:t> </w:t>
      </w:r>
      <w:r w:rsidR="007648AF">
        <w:t xml:space="preserve"> [citation.]</w:t>
      </w:r>
      <w:r w:rsidRPr="00B84AF6">
        <w:t>”  (</w:t>
      </w:r>
      <w:r w:rsidRPr="00B84AF6">
        <w:rPr>
          <w:i/>
        </w:rPr>
        <w:t>Shatzer</w:t>
      </w:r>
      <w:r w:rsidRPr="00B84AF6" w:rsidR="00E3688E">
        <w:t>,</w:t>
      </w:r>
      <w:r w:rsidRPr="00B84AF6" w:rsidR="00E3688E">
        <w:rPr>
          <w:i/>
        </w:rPr>
        <w:t xml:space="preserve"> supra</w:t>
      </w:r>
      <w:r w:rsidRPr="00B84AF6" w:rsidR="00E3688E">
        <w:t>,</w:t>
      </w:r>
      <w:r w:rsidRPr="00B84AF6" w:rsidR="00E3688E">
        <w:rPr>
          <w:i/>
        </w:rPr>
        <w:t xml:space="preserve"> </w:t>
      </w:r>
      <w:r w:rsidRPr="00B84AF6">
        <w:t xml:space="preserve">559 U.S. </w:t>
      </w:r>
      <w:r w:rsidRPr="00B84AF6" w:rsidR="00E3688E">
        <w:t xml:space="preserve">at p. </w:t>
      </w:r>
      <w:r w:rsidRPr="00B84AF6">
        <w:t>105.</w:t>
      </w:r>
      <w:r w:rsidRPr="00B84AF6" w:rsidR="00610112">
        <w:t>)</w:t>
      </w:r>
      <w:r w:rsidRPr="00B84AF6">
        <w:t xml:space="preserve">  In </w:t>
      </w:r>
      <w:r w:rsidRPr="00B84AF6">
        <w:rPr>
          <w:i/>
        </w:rPr>
        <w:t>Shatzer</w:t>
      </w:r>
      <w:r w:rsidRPr="00B84AF6">
        <w:t xml:space="preserve">, the high court </w:t>
      </w:r>
      <w:r w:rsidRPr="00B84AF6" w:rsidR="00B077F9">
        <w:t>considered</w:t>
      </w:r>
      <w:r w:rsidRPr="00B84AF6">
        <w:t xml:space="preserve"> the </w:t>
      </w:r>
      <w:r w:rsidRPr="00B84AF6" w:rsidR="008F1977">
        <w:t xml:space="preserve">temporal </w:t>
      </w:r>
      <w:r w:rsidRPr="00B84AF6">
        <w:t xml:space="preserve">reach of the </w:t>
      </w:r>
      <w:r w:rsidRPr="00B84AF6">
        <w:rPr>
          <w:i/>
        </w:rPr>
        <w:t>Edwards</w:t>
      </w:r>
      <w:r w:rsidRPr="00B84AF6">
        <w:t xml:space="preserve"> </w:t>
      </w:r>
      <w:r w:rsidRPr="00B84AF6" w:rsidR="005C19BC">
        <w:t>presumption</w:t>
      </w:r>
      <w:r w:rsidRPr="00B84AF6">
        <w:t xml:space="preserve">, </w:t>
      </w:r>
      <w:r w:rsidRPr="00B84AF6" w:rsidR="008F1977">
        <w:t xml:space="preserve">noting that without a time limit, “every </w:t>
      </w:r>
      <w:r w:rsidRPr="00B84AF6" w:rsidR="008F1977">
        <w:rPr>
          <w:i/>
        </w:rPr>
        <w:t>Edwards</w:t>
      </w:r>
      <w:r w:rsidRPr="00B84AF6" w:rsidR="008F1977">
        <w:t xml:space="preserve"> prohibition of custodial interrogation of a particular suspect would be eternal.  The prohibition applies, of course, when the subsequent interrogation pertains to a different crime</w:t>
      </w:r>
      <w:r w:rsidR="007648AF">
        <w:t>,</w:t>
      </w:r>
      <w:r w:rsidRPr="00B84AF6" w:rsidR="008F1977">
        <w:t xml:space="preserve"> [citation], when it is conducted by a different law enforcement authority</w:t>
      </w:r>
      <w:r w:rsidR="007648AF">
        <w:t>,</w:t>
      </w:r>
      <w:r w:rsidRPr="00B84AF6" w:rsidR="008F1977">
        <w:t xml:space="preserve"> [citation], and even when the suspect has met with an attorney after the first interrogation.”  (</w:t>
      </w:r>
      <w:r w:rsidRPr="00B84AF6" w:rsidR="008F1977">
        <w:rPr>
          <w:i/>
        </w:rPr>
        <w:t>Id</w:t>
      </w:r>
      <w:r w:rsidRPr="00B84AF6" w:rsidR="008F1977">
        <w:t>. at pp. 108-09.)</w:t>
      </w:r>
      <w:r>
        <w:rPr>
          <w:rStyle w:val="FootnoteReference"/>
        </w:rPr>
        <w:footnoteReference w:id="12"/>
      </w:r>
      <w:r w:rsidRPr="00B84AF6" w:rsidR="005C19BC">
        <w:t xml:space="preserve">  In the course of its discussion, the</w:t>
      </w:r>
      <w:r w:rsidRPr="00B84AF6" w:rsidR="005C19BC">
        <w:rPr>
          <w:i/>
        </w:rPr>
        <w:t xml:space="preserve"> Shatzer</w:t>
      </w:r>
      <w:r w:rsidRPr="00B84AF6" w:rsidR="005C19BC">
        <w:t xml:space="preserve"> court examined the underpinnings of the </w:t>
      </w:r>
      <w:r w:rsidRPr="00B84AF6" w:rsidR="005C19BC">
        <w:rPr>
          <w:i/>
        </w:rPr>
        <w:t>Edwards</w:t>
      </w:r>
      <w:r w:rsidRPr="00B84AF6" w:rsidR="005C19BC">
        <w:t xml:space="preserve"> rule.</w:t>
      </w:r>
    </w:p>
    <w:p w:rsidR="002B0E08" w:rsidRPr="00B84AF6" w:rsidP="00B84AF6">
      <w:pPr>
        <w:tabs>
          <w:tab w:val="left" w:pos="1440"/>
        </w:tabs>
        <w:ind w:firstLine="720"/>
      </w:pPr>
      <w:r w:rsidRPr="00B84AF6">
        <w:t>The court identified the benefits of</w:t>
      </w:r>
      <w:r w:rsidRPr="00B84AF6" w:rsidR="005C19BC">
        <w:t xml:space="preserve"> the rule</w:t>
      </w:r>
      <w:r w:rsidR="00097AC5">
        <w:t>:</w:t>
      </w:r>
      <w:r w:rsidRPr="00B84AF6">
        <w:t xml:space="preserve"> </w:t>
      </w:r>
      <w:r w:rsidR="00097AC5">
        <w:t xml:space="preserve"> </w:t>
      </w:r>
      <w:r w:rsidRPr="00B84AF6">
        <w:t>“</w:t>
      </w:r>
      <w:r w:rsidRPr="00B84AF6">
        <w:rPr>
          <w:i/>
        </w:rPr>
        <w:t>Edwards</w:t>
      </w:r>
      <w:r w:rsidRPr="00B84AF6">
        <w:t>’</w:t>
      </w:r>
      <w:r w:rsidRPr="00B84AF6">
        <w:t xml:space="preserve"> presumption of involuntariness has the incidental effect of </w:t>
      </w:r>
      <w:r w:rsidRPr="00B84AF6">
        <w:t>‘</w:t>
      </w:r>
      <w:r w:rsidRPr="00B84AF6">
        <w:t>conserv[ing] judicial resources which would otherwise be expended in making difficult determinations of voluntariness.</w:t>
      </w:r>
      <w:r w:rsidRPr="00B84AF6">
        <w:t>’  [Citation.]</w:t>
      </w:r>
      <w:r w:rsidRPr="00B84AF6">
        <w:t xml:space="preserve"> </w:t>
      </w:r>
      <w:r w:rsidRPr="00B84AF6">
        <w:t xml:space="preserve"> </w:t>
      </w:r>
      <w:r w:rsidRPr="00B84AF6">
        <w:t xml:space="preserve">Its fundamental purpose, however, is to </w:t>
      </w:r>
      <w:r w:rsidRPr="00B84AF6">
        <w:t>‘</w:t>
      </w:r>
      <w:r w:rsidRPr="00B84AF6">
        <w:t>[p]reserv[e] the integrity of an accused</w:t>
      </w:r>
      <w:r w:rsidRPr="00B84AF6">
        <w:t>’</w:t>
      </w:r>
      <w:r w:rsidRPr="00B84AF6">
        <w:t>s choice to communicate with police only through counsel,</w:t>
      </w:r>
      <w:r w:rsidRPr="00B84AF6">
        <w:t>’</w:t>
      </w:r>
      <w:r w:rsidRPr="00B84AF6">
        <w:t xml:space="preserve"> </w:t>
      </w:r>
      <w:r w:rsidRPr="00B84AF6">
        <w:t>[citation]</w:t>
      </w:r>
      <w:r w:rsidRPr="00B84AF6">
        <w:t xml:space="preserve">, by </w:t>
      </w:r>
      <w:r w:rsidRPr="00B84AF6">
        <w:t>‘</w:t>
      </w:r>
      <w:r w:rsidRPr="00B84AF6">
        <w:t xml:space="preserve">prevent[ing] police from badgering a defendant into waiving his previously asserted </w:t>
      </w:r>
      <w:r w:rsidRPr="00B84AF6">
        <w:rPr>
          <w:i/>
        </w:rPr>
        <w:t>Miranda</w:t>
      </w:r>
      <w:r w:rsidRPr="00B84AF6">
        <w:t xml:space="preserve"> rights,</w:t>
      </w:r>
      <w:r w:rsidRPr="00B84AF6">
        <w:t>’</w:t>
      </w:r>
      <w:r w:rsidRPr="00B84AF6">
        <w:t xml:space="preserve"> </w:t>
      </w:r>
      <w:r w:rsidRPr="00B84AF6">
        <w:t>[citation]</w:t>
      </w:r>
      <w:r w:rsidRPr="00B84AF6">
        <w:t>.</w:t>
      </w:r>
      <w:r w:rsidRPr="00B84AF6">
        <w:t>”  (</w:t>
      </w:r>
      <w:r w:rsidRPr="00B84AF6">
        <w:rPr>
          <w:i/>
        </w:rPr>
        <w:t>Shatzer</w:t>
      </w:r>
      <w:r w:rsidRPr="00B84AF6">
        <w:t xml:space="preserve">, </w:t>
      </w:r>
      <w:r w:rsidRPr="00B84AF6">
        <w:rPr>
          <w:i/>
        </w:rPr>
        <w:t>supra</w:t>
      </w:r>
      <w:r w:rsidRPr="00B84AF6">
        <w:t xml:space="preserve">, 559 U.S. at p. 106.)  These benefits </w:t>
      </w:r>
      <w:r w:rsidRPr="00B84AF6" w:rsidR="00AA4652">
        <w:t xml:space="preserve">are typically realized in </w:t>
      </w:r>
      <w:r w:rsidRPr="00B84AF6">
        <w:t xml:space="preserve">“the paradigm </w:t>
      </w:r>
      <w:r w:rsidRPr="00B84AF6">
        <w:rPr>
          <w:i/>
        </w:rPr>
        <w:t>Edwards</w:t>
      </w:r>
      <w:r w:rsidRPr="00B84AF6">
        <w:t xml:space="preserve"> case.  That is a case in which the suspect has been arrested for a particular crime and is held in uninterrupted pretrial custody while that crime is being actively investigated.  After the initial interrogation, and up to and including the second one, he remains cut off from his normal life and companions, ‘thrust into’ and isolated in an ‘unfamiliar,’ ‘police-dominated atmosphere,’ [citation], where his captors ‘appear to control [his] fate.’</w:t>
      </w:r>
      <w:r w:rsidR="007648AF">
        <w:t xml:space="preserve"> [citation]</w:t>
      </w:r>
      <w:r w:rsidRPr="00B84AF6">
        <w:t>”  (</w:t>
      </w:r>
      <w:r w:rsidRPr="00B84AF6">
        <w:rPr>
          <w:i/>
        </w:rPr>
        <w:t>Ibid</w:t>
      </w:r>
      <w:r w:rsidRPr="00B84AF6">
        <w:t>.)</w:t>
      </w:r>
    </w:p>
    <w:p w:rsidR="002837AD" w:rsidRPr="00B84AF6" w:rsidP="00B84AF6">
      <w:pPr>
        <w:tabs>
          <w:tab w:val="left" w:pos="1440"/>
        </w:tabs>
        <w:ind w:firstLine="720"/>
      </w:pPr>
      <w:r w:rsidRPr="00B84AF6">
        <w:t xml:space="preserve">When, however, “a suspect has been released from his pretrial custody and has returned to his normal life for some time before the later attempted interrogation, there is little reason to think that his change of heart regarding interrogation without counsel has been coerced.  He has no longer been isolated.  He has likely been able to seek advice from an attorney, family members, and friends.  </w:t>
      </w:r>
      <w:r w:rsidRPr="00B84AF6" w:rsidR="00C81010">
        <w:t xml:space="preserve">And he knows from his earlier experience that he need only demand counsel to bring the interrogation to a halt; and that investigative custody does not last indefinitely.  In these circumstances, it is farfetched to think that a police officer’s asking the suspect whether he would like to waive his </w:t>
      </w:r>
      <w:r w:rsidRPr="00B84AF6" w:rsidR="00C81010">
        <w:rPr>
          <w:i/>
        </w:rPr>
        <w:t>Miranda</w:t>
      </w:r>
      <w:r w:rsidRPr="00B84AF6" w:rsidR="00C81010">
        <w:t xml:space="preserve"> rights will any more ‘wear down the accused,’ [citation] than did the first such request at the original attempted interrogation — which is of course not deemed coercive. . . .  </w:t>
      </w:r>
      <w:r w:rsidRPr="00B84AF6">
        <w:t xml:space="preserve">Uncritical extension of </w:t>
      </w:r>
      <w:r w:rsidRPr="00B84AF6">
        <w:rPr>
          <w:i/>
        </w:rPr>
        <w:t>Edwards</w:t>
      </w:r>
      <w:r w:rsidRPr="00B84AF6">
        <w:t xml:space="preserve"> to this situation would not significantly increase the number of genuinely coerced confessions excluded.”  (</w:t>
      </w:r>
      <w:r w:rsidRPr="00B84AF6">
        <w:rPr>
          <w:i/>
        </w:rPr>
        <w:t>Shatzer</w:t>
      </w:r>
      <w:r w:rsidRPr="00B84AF6">
        <w:t xml:space="preserve">, </w:t>
      </w:r>
      <w:r w:rsidRPr="00B84AF6">
        <w:rPr>
          <w:i/>
        </w:rPr>
        <w:t>supra</w:t>
      </w:r>
      <w:r w:rsidRPr="00B84AF6" w:rsidR="00187844">
        <w:t>, 559 U.S. at pp. 107–</w:t>
      </w:r>
      <w:r w:rsidRPr="00B84AF6" w:rsidR="004C2DF6">
        <w:t>108</w:t>
      </w:r>
      <w:r w:rsidRPr="00B84AF6" w:rsidR="00EA79F6">
        <w:t>, fn. omitted</w:t>
      </w:r>
      <w:r w:rsidRPr="00B84AF6" w:rsidR="004C2DF6">
        <w:t xml:space="preserve">.)  The </w:t>
      </w:r>
      <w:r w:rsidRPr="00B84AF6">
        <w:t xml:space="preserve">court considered how </w:t>
      </w:r>
      <w:r w:rsidRPr="00B84AF6" w:rsidR="00B077F9">
        <w:t>long</w:t>
      </w:r>
      <w:r w:rsidRPr="00B84AF6">
        <w:t xml:space="preserve"> </w:t>
      </w:r>
      <w:r w:rsidRPr="00B84AF6" w:rsidR="00762A41">
        <w:t>of “</w:t>
      </w:r>
      <w:r w:rsidRPr="00B84AF6">
        <w:t>a break in custody</w:t>
      </w:r>
      <w:r w:rsidRPr="00B84AF6" w:rsidR="00762A41">
        <w:t>”</w:t>
      </w:r>
      <w:r w:rsidRPr="00B84AF6">
        <w:t xml:space="preserve"> </w:t>
      </w:r>
      <w:r w:rsidRPr="00B84AF6" w:rsidR="00430058">
        <w:t>would be</w:t>
      </w:r>
      <w:r w:rsidRPr="00B84AF6">
        <w:t xml:space="preserve"> sufficient </w:t>
      </w:r>
      <w:r w:rsidRPr="00B84AF6" w:rsidR="00762A41">
        <w:t>“</w:t>
      </w:r>
      <w:r w:rsidRPr="00B84AF6">
        <w:t>to dissipate its coercive effects.”  (</w:t>
      </w:r>
      <w:r w:rsidRPr="00B84AF6">
        <w:rPr>
          <w:i/>
        </w:rPr>
        <w:t>Id</w:t>
      </w:r>
      <w:r w:rsidRPr="00B84AF6">
        <w:t>. at p. 109</w:t>
      </w:r>
      <w:r w:rsidRPr="00B84AF6" w:rsidR="009E425A">
        <w:t>.</w:t>
      </w:r>
      <w:r w:rsidRPr="00B84AF6">
        <w:t>)  It de</w:t>
      </w:r>
      <w:r w:rsidRPr="00B84AF6" w:rsidR="00E00A8F">
        <w:t>termin</w:t>
      </w:r>
      <w:r w:rsidRPr="00B84AF6">
        <w:t>ed that 14 days was the appropriate per</w:t>
      </w:r>
      <w:r w:rsidRPr="00B84AF6" w:rsidR="007A3BF5">
        <w:t>i</w:t>
      </w:r>
      <w:r w:rsidRPr="00B84AF6">
        <w:t>od.  “</w:t>
      </w:r>
      <w:r w:rsidRPr="00B84AF6" w:rsidR="009E425A">
        <w:t>That provides plenty of time for the suspect to get reacclimated to his normal life, to consult with friends and counsel, and to shake off any residual coercive effects of his prior custody.</w:t>
      </w:r>
      <w:r w:rsidRPr="00B84AF6">
        <w:t>”  (</w:t>
      </w:r>
      <w:r w:rsidRPr="00B84AF6">
        <w:rPr>
          <w:i/>
        </w:rPr>
        <w:t>Id</w:t>
      </w:r>
      <w:r w:rsidRPr="00B84AF6">
        <w:t>. at p. 110.)</w:t>
      </w:r>
    </w:p>
    <w:p w:rsidR="00774E12" w:rsidRPr="00B84AF6" w:rsidP="00B84AF6">
      <w:pPr>
        <w:tabs>
          <w:tab w:val="left" w:pos="1440"/>
        </w:tabs>
        <w:ind w:firstLine="720"/>
      </w:pPr>
      <w:r w:rsidRPr="00B84AF6">
        <w:t>Here</w:t>
      </w:r>
      <w:r w:rsidRPr="00B84AF6" w:rsidR="003D25A8">
        <w:t>, d</w:t>
      </w:r>
      <w:r w:rsidRPr="00B84AF6" w:rsidR="009C4147">
        <w:t>efendant was questioned aga</w:t>
      </w:r>
      <w:r w:rsidRPr="00B84AF6" w:rsidR="001E6B01">
        <w:t xml:space="preserve">in </w:t>
      </w:r>
      <w:r w:rsidRPr="00B84AF6" w:rsidR="009C4147">
        <w:t>10 days after his in</w:t>
      </w:r>
      <w:r w:rsidRPr="00B84AF6" w:rsidR="00610112">
        <w:t>i</w:t>
      </w:r>
      <w:r w:rsidRPr="00B84AF6" w:rsidR="009C4147">
        <w:t xml:space="preserve">tial interview, within the </w:t>
      </w:r>
      <w:r w:rsidRPr="00B84AF6" w:rsidR="009C4147">
        <w:rPr>
          <w:i/>
        </w:rPr>
        <w:t>Shatzer</w:t>
      </w:r>
      <w:r w:rsidRPr="00B84AF6" w:rsidR="009C4147">
        <w:t xml:space="preserve"> window period.  </w:t>
      </w:r>
      <w:r w:rsidR="00097AC5">
        <w:t>D</w:t>
      </w:r>
      <w:r w:rsidRPr="00B84AF6" w:rsidR="002B614C">
        <w:t xml:space="preserve">uring the intervening 10 days, defendant did not entirely “return[] to his normal life” </w:t>
      </w:r>
      <w:r w:rsidR="00AA1F96">
        <w:t xml:space="preserve">while </w:t>
      </w:r>
      <w:r w:rsidRPr="00B84AF6" w:rsidR="002B614C">
        <w:t>in prison.  (</w:t>
      </w:r>
      <w:r w:rsidRPr="00B84AF6" w:rsidR="002B614C">
        <w:rPr>
          <w:i/>
        </w:rPr>
        <w:t>Shatzer</w:t>
      </w:r>
      <w:r w:rsidRPr="00B84AF6" w:rsidR="002B614C">
        <w:t xml:space="preserve">, </w:t>
      </w:r>
      <w:r w:rsidRPr="00B84AF6" w:rsidR="002B614C">
        <w:rPr>
          <w:i/>
        </w:rPr>
        <w:t>supra</w:t>
      </w:r>
      <w:r w:rsidRPr="00B84AF6" w:rsidR="002B614C">
        <w:t xml:space="preserve">, 559 U.S. at p. 107.)  When the interview ended, the officers </w:t>
      </w:r>
      <w:r w:rsidR="00097AC5">
        <w:t>took</w:t>
      </w:r>
      <w:r w:rsidRPr="00B84AF6" w:rsidR="002B614C">
        <w:t xml:space="preserve"> blood and buccal swab samples, dental casts, and defendant’s shoes.  They </w:t>
      </w:r>
      <w:r w:rsidR="00097AC5">
        <w:t>told</w:t>
      </w:r>
      <w:r w:rsidRPr="00B84AF6" w:rsidR="002B614C">
        <w:t xml:space="preserve"> prison staff </w:t>
      </w:r>
      <w:r w:rsidR="00097AC5">
        <w:t>that defendant was a</w:t>
      </w:r>
      <w:r w:rsidRPr="00B84AF6" w:rsidR="002B614C">
        <w:t xml:space="preserve"> suspect, and he was subject to an enhanced level of </w:t>
      </w:r>
      <w:r w:rsidR="00097AC5">
        <w:t xml:space="preserve">prison </w:t>
      </w:r>
      <w:r w:rsidRPr="00B84AF6" w:rsidR="002B614C">
        <w:t>security as a result.</w:t>
      </w:r>
      <w:r w:rsidRPr="00B84AF6" w:rsidR="00650BC7">
        <w:t xml:space="preserve">  </w:t>
      </w:r>
      <w:r w:rsidRPr="00B84AF6" w:rsidR="00B63EF7">
        <w:t xml:space="preserve">When </w:t>
      </w:r>
      <w:r w:rsidRPr="00B84AF6" w:rsidR="00650BC7">
        <w:t>defendant</w:t>
      </w:r>
      <w:r w:rsidRPr="00B84AF6" w:rsidR="00B63EF7">
        <w:t xml:space="preserve"> </w:t>
      </w:r>
      <w:r w:rsidR="00097AC5">
        <w:t xml:space="preserve">next </w:t>
      </w:r>
      <w:r w:rsidRPr="00B84AF6" w:rsidR="00C01586">
        <w:t xml:space="preserve">saw the </w:t>
      </w:r>
      <w:r w:rsidRPr="00B84AF6" w:rsidR="00B63EF7">
        <w:t xml:space="preserve">officers, </w:t>
      </w:r>
      <w:r w:rsidRPr="00B84AF6" w:rsidR="00C01586">
        <w:t>t</w:t>
      </w:r>
      <w:r w:rsidRPr="00B84AF6" w:rsidR="00B63EF7">
        <w:t>he</w:t>
      </w:r>
      <w:r w:rsidRPr="00B84AF6" w:rsidR="00C01586">
        <w:t>y</w:t>
      </w:r>
      <w:r w:rsidRPr="00B84AF6" w:rsidR="00B63EF7">
        <w:t xml:space="preserve"> arrested</w:t>
      </w:r>
      <w:r w:rsidR="00AA1F96">
        <w:t xml:space="preserve"> him</w:t>
      </w:r>
      <w:r w:rsidR="00097AC5">
        <w:t>.</w:t>
      </w:r>
      <w:r w:rsidRPr="00B84AF6" w:rsidR="00B63EF7">
        <w:t xml:space="preserve">  Instead</w:t>
      </w:r>
      <w:r w:rsidRPr="00B84AF6" w:rsidR="00FA7FFE">
        <w:t xml:space="preserve"> of </w:t>
      </w:r>
      <w:r w:rsidRPr="00B84AF6" w:rsidR="00610112">
        <w:t>anticipating</w:t>
      </w:r>
      <w:r w:rsidRPr="00B84AF6" w:rsidR="00FA7FFE">
        <w:t xml:space="preserve"> a release from custody</w:t>
      </w:r>
      <w:r w:rsidRPr="00B84AF6" w:rsidR="00857AF8">
        <w:t>,</w:t>
      </w:r>
      <w:r w:rsidRPr="00B84AF6" w:rsidR="00FA7FFE">
        <w:t xml:space="preserve"> as he </w:t>
      </w:r>
      <w:r w:rsidRPr="00B84AF6" w:rsidR="00E6770B">
        <w:t>had been</w:t>
      </w:r>
      <w:r w:rsidRPr="00B84AF6" w:rsidR="00FA7FFE">
        <w:t xml:space="preserve"> </w:t>
      </w:r>
      <w:r w:rsidRPr="00B84AF6" w:rsidR="00921E98">
        <w:t>at the time of</w:t>
      </w:r>
      <w:r w:rsidRPr="00B84AF6" w:rsidR="00FA7FFE">
        <w:t xml:space="preserve"> the first interview</w:t>
      </w:r>
      <w:r w:rsidRPr="00B84AF6" w:rsidR="00B63EF7">
        <w:t>, he faced a new prosecution</w:t>
      </w:r>
      <w:r w:rsidRPr="00B84AF6" w:rsidR="00430058">
        <w:t xml:space="preserve"> on a </w:t>
      </w:r>
      <w:r w:rsidRPr="00B84AF6" w:rsidR="008873BF">
        <w:t xml:space="preserve">very </w:t>
      </w:r>
      <w:r w:rsidRPr="00B84AF6" w:rsidR="00430058">
        <w:t>serious</w:t>
      </w:r>
      <w:r w:rsidRPr="00B84AF6" w:rsidR="00921E98">
        <w:t xml:space="preserve"> charge</w:t>
      </w:r>
      <w:r w:rsidRPr="00B84AF6" w:rsidR="009C4147">
        <w:t xml:space="preserve">.  </w:t>
      </w:r>
      <w:r w:rsidRPr="00B84AF6" w:rsidR="00FA7FFE">
        <w:t xml:space="preserve">Thus, </w:t>
      </w:r>
      <w:r w:rsidRPr="00B84AF6" w:rsidR="00E6770B">
        <w:t xml:space="preserve">he was under </w:t>
      </w:r>
      <w:r w:rsidRPr="00B84AF6" w:rsidR="00FA7FFE">
        <w:t xml:space="preserve">the </w:t>
      </w:r>
      <w:r w:rsidRPr="00B84AF6" w:rsidR="00E6770B">
        <w:t xml:space="preserve">“mounting coercive pressures of ‘prolonged police custody,’ ” identified by the </w:t>
      </w:r>
      <w:r w:rsidRPr="00B84AF6" w:rsidR="00E6770B">
        <w:rPr>
          <w:i/>
        </w:rPr>
        <w:t>Shatzer</w:t>
      </w:r>
      <w:r w:rsidRPr="00B84AF6" w:rsidR="00E6770B">
        <w:t xml:space="preserve"> court as the rationale for the </w:t>
      </w:r>
      <w:r w:rsidRPr="00B84AF6" w:rsidR="00E6770B">
        <w:rPr>
          <w:i/>
        </w:rPr>
        <w:t>Edwards</w:t>
      </w:r>
      <w:r w:rsidRPr="00B84AF6" w:rsidR="00E6770B">
        <w:t xml:space="preserve"> presumption of involuntariness.  (</w:t>
      </w:r>
      <w:r w:rsidRPr="00B84AF6" w:rsidR="003D25A8">
        <w:rPr>
          <w:i/>
        </w:rPr>
        <w:t>Shatzer</w:t>
      </w:r>
      <w:r w:rsidRPr="00B84AF6" w:rsidR="003D25A8">
        <w:t>, at p. 105.)  “</w:t>
      </w:r>
      <w:r w:rsidR="00097AC5">
        <w:t>I</w:t>
      </w:r>
      <w:r w:rsidRPr="00B84AF6" w:rsidR="003D25A8">
        <w:t xml:space="preserve">f further conversations </w:t>
      </w:r>
      <w:r w:rsidRPr="00B84AF6" w:rsidR="00857AF8">
        <w:t>[were]</w:t>
      </w:r>
      <w:r w:rsidRPr="00B84AF6" w:rsidR="003D25A8">
        <w:t xml:space="preserve"> initiated by the police </w:t>
      </w:r>
      <w:r w:rsidRPr="00B84AF6" w:rsidR="00857AF8">
        <w:t>. . . defendant’</w:t>
      </w:r>
      <w:r w:rsidRPr="00B84AF6" w:rsidR="003D25A8">
        <w:t xml:space="preserve">s statements are presumed involuntary and inadmissible as substantive evidence at trial. </w:t>
      </w:r>
      <w:r w:rsidRPr="00B84AF6" w:rsidR="00857AF8">
        <w:t xml:space="preserve"> </w:t>
      </w:r>
      <w:r w:rsidRPr="00B84AF6" w:rsidR="003D25A8">
        <w:t xml:space="preserve">This </w:t>
      </w:r>
      <w:r w:rsidRPr="00B84AF6" w:rsidR="00857AF8">
        <w:t>[would be]</w:t>
      </w:r>
      <w:r w:rsidRPr="00B84AF6" w:rsidR="003D25A8">
        <w:t xml:space="preserve"> true even </w:t>
      </w:r>
      <w:r w:rsidRPr="00B84AF6" w:rsidR="00857AF8">
        <w:t>[if]</w:t>
      </w:r>
      <w:r w:rsidRPr="00B84AF6" w:rsidR="003D25A8">
        <w:t xml:space="preserve"> defendant again waive</w:t>
      </w:r>
      <w:r w:rsidRPr="00B84AF6" w:rsidR="00857AF8">
        <w:t>[d]</w:t>
      </w:r>
      <w:r w:rsidRPr="00B84AF6" w:rsidR="003D25A8">
        <w:t xml:space="preserve"> his </w:t>
      </w:r>
      <w:r w:rsidRPr="00B84AF6" w:rsidR="003D25A8">
        <w:rPr>
          <w:i/>
        </w:rPr>
        <w:t>Miranda</w:t>
      </w:r>
      <w:r w:rsidRPr="00B84AF6" w:rsidR="003D25A8">
        <w:t xml:space="preserve"> rights and his statements </w:t>
      </w:r>
      <w:r w:rsidRPr="00B84AF6" w:rsidR="00857AF8">
        <w:t>[were]</w:t>
      </w:r>
      <w:r w:rsidRPr="00B84AF6" w:rsidR="003D25A8">
        <w:t xml:space="preserve"> voluntary under traditional standards.</w:t>
      </w:r>
      <w:r w:rsidRPr="00B84AF6" w:rsidR="00857AF8">
        <w:t>”  (</w:t>
      </w:r>
      <w:r w:rsidRPr="00B84AF6" w:rsidR="00857AF8">
        <w:rPr>
          <w:i/>
        </w:rPr>
        <w:t>People v. Thomas</w:t>
      </w:r>
      <w:r w:rsidRPr="00B84AF6" w:rsidR="00857AF8">
        <w:t xml:space="preserve"> (2012) 54 Cal.4th 908, 926.)</w:t>
      </w:r>
    </w:p>
    <w:p w:rsidR="00857AF8" w:rsidRPr="00B84AF6" w:rsidP="00B84AF6">
      <w:pPr>
        <w:tabs>
          <w:tab w:val="left" w:pos="1440"/>
        </w:tabs>
        <w:ind w:firstLine="720"/>
      </w:pPr>
      <w:r w:rsidRPr="00B84AF6">
        <w:t>“An accused ‘initiates’</w:t>
      </w:r>
      <w:r w:rsidR="00AA5EDC">
        <w:t> </w:t>
      </w:r>
      <w:r w:rsidRPr="00B84AF6">
        <w:t>” further communicatio</w:t>
      </w:r>
      <w:r w:rsidRPr="00B84AF6" w:rsidR="002771CD">
        <w:t xml:space="preserve">n, </w:t>
      </w:r>
      <w:r w:rsidRPr="00B84AF6">
        <w:t xml:space="preserve">when </w:t>
      </w:r>
      <w:r w:rsidR="00097AC5">
        <w:t>his</w:t>
      </w:r>
      <w:r w:rsidRPr="00B84AF6">
        <w:t xml:space="preserve"> words or conduct </w:t>
      </w:r>
      <w:r w:rsidR="00097AC5">
        <w:t>“</w:t>
      </w:r>
      <w:r w:rsidRPr="00B84AF6">
        <w:t>can be ‘fairly said to represent a desire’ on</w:t>
      </w:r>
      <w:r w:rsidRPr="00B84AF6" w:rsidR="002771CD">
        <w:t xml:space="preserve"> </w:t>
      </w:r>
      <w:r w:rsidRPr="00B84AF6">
        <w:t>his part ‘to open up a more generalized discussion relating directly or indirectly to the investigation.’</w:t>
      </w:r>
      <w:r w:rsidR="00AA5EDC">
        <w:t> </w:t>
      </w:r>
      <w:r w:rsidRPr="00B84AF6">
        <w:t xml:space="preserve">” </w:t>
      </w:r>
      <w:r w:rsidRPr="00B84AF6" w:rsidR="002771CD">
        <w:t xml:space="preserve"> </w:t>
      </w:r>
      <w:r w:rsidRPr="00B84AF6">
        <w:t>(</w:t>
      </w:r>
      <w:r w:rsidRPr="00B84AF6">
        <w:rPr>
          <w:i/>
        </w:rPr>
        <w:t xml:space="preserve">People v. Mickey </w:t>
      </w:r>
      <w:r w:rsidRPr="00B84AF6">
        <w:t>(1991) 54 Cal.3d 612, 64</w:t>
      </w:r>
      <w:r w:rsidR="00F867D8">
        <w:t>8</w:t>
      </w:r>
      <w:r w:rsidRPr="00B84AF6" w:rsidR="002771CD">
        <w:t xml:space="preserve">, quoting </w:t>
      </w:r>
      <w:r w:rsidRPr="00B84AF6" w:rsidR="002771CD">
        <w:rPr>
          <w:i/>
        </w:rPr>
        <w:t xml:space="preserve">Oregon v. Bradshaw </w:t>
      </w:r>
      <w:r w:rsidRPr="00B84AF6" w:rsidR="002771CD">
        <w:t>(1983) 462 U.S. 1039</w:t>
      </w:r>
      <w:r w:rsidRPr="00B84AF6" w:rsidR="003763B4">
        <w:t xml:space="preserve">, </w:t>
      </w:r>
      <w:r w:rsidRPr="00B84AF6" w:rsidR="002771CD">
        <w:t xml:space="preserve">1045 </w:t>
      </w:r>
      <w:r w:rsidRPr="00B84AF6" w:rsidR="00AB2504">
        <w:t>(</w:t>
      </w:r>
      <w:r w:rsidRPr="00B84AF6" w:rsidR="00AB2504">
        <w:rPr>
          <w:i/>
        </w:rPr>
        <w:t>Bradshaw</w:t>
      </w:r>
      <w:r w:rsidRPr="00B84AF6" w:rsidR="00AB2504">
        <w:t xml:space="preserve">) </w:t>
      </w:r>
      <w:r w:rsidRPr="00B84AF6" w:rsidR="002771CD">
        <w:t>(plur. opn. of Rehnquist, J.</w:t>
      </w:r>
      <w:r w:rsidRPr="00B84AF6" w:rsidR="00187844">
        <w:t>)</w:t>
      </w:r>
      <w:r w:rsidRPr="00B84AF6" w:rsidR="002771CD">
        <w:t xml:space="preserve">; see </w:t>
      </w:r>
      <w:r w:rsidRPr="00B84AF6" w:rsidR="002771CD">
        <w:rPr>
          <w:i/>
        </w:rPr>
        <w:t>People v. San Nicolas</w:t>
      </w:r>
      <w:r w:rsidRPr="00B84AF6" w:rsidR="00187844">
        <w:t xml:space="preserve"> (2004) 34 Cal.4th 614, 641–</w:t>
      </w:r>
      <w:r w:rsidRPr="00B84AF6" w:rsidR="002771CD">
        <w:t xml:space="preserve">642.) </w:t>
      </w:r>
      <w:r w:rsidRPr="00B84AF6">
        <w:t xml:space="preserve"> </w:t>
      </w:r>
      <w:r w:rsidRPr="00B84AF6" w:rsidR="003F3B0A">
        <w:t>The trial court found that defendant</w:t>
      </w:r>
      <w:r w:rsidRPr="00B84AF6" w:rsidR="00E435C0">
        <w:t xml:space="preserve"> </w:t>
      </w:r>
      <w:r w:rsidRPr="00B84AF6" w:rsidR="003F3B0A">
        <w:t xml:space="preserve">initiated conversation with the officers in unrecorded statements he made before the car trip began.  </w:t>
      </w:r>
      <w:r w:rsidRPr="00B84AF6" w:rsidR="0042363A">
        <w:t xml:space="preserve">Chicoine testified that </w:t>
      </w:r>
      <w:r w:rsidRPr="00B84AF6" w:rsidR="00FB0BDD">
        <w:t xml:space="preserve">they had contacted </w:t>
      </w:r>
      <w:r w:rsidR="00097AC5">
        <w:t>prison</w:t>
      </w:r>
      <w:r w:rsidRPr="00B84AF6" w:rsidR="00FB0BDD">
        <w:t xml:space="preserve"> staff to coordinate defendant’s transfer to Alameda County custody.  Defendant was in a receiving area when they arrived.  Without </w:t>
      </w:r>
      <w:r w:rsidR="00097AC5">
        <w:t>prompting</w:t>
      </w:r>
      <w:r w:rsidRPr="00B84AF6" w:rsidR="003759F0">
        <w:t>,</w:t>
      </w:r>
      <w:r w:rsidRPr="00B84AF6" w:rsidR="004A12BB">
        <w:t xml:space="preserve"> he </w:t>
      </w:r>
      <w:r w:rsidRPr="00B84AF6" w:rsidR="009F3102">
        <w:t>told them</w:t>
      </w:r>
      <w:r w:rsidRPr="00B84AF6" w:rsidR="004A12BB">
        <w:t xml:space="preserve"> “he had been meaning to call us, that he had already talked to a counselor.”  </w:t>
      </w:r>
      <w:r w:rsidRPr="00B84AF6" w:rsidR="009F3102">
        <w:t>He said “</w:t>
      </w:r>
      <w:r w:rsidRPr="00B84AF6" w:rsidR="004A771A">
        <w:t>[</w:t>
      </w:r>
      <w:r w:rsidRPr="00B84AF6" w:rsidR="009F3102">
        <w:t>h</w:t>
      </w:r>
      <w:r w:rsidRPr="00B84AF6" w:rsidR="004A771A">
        <w:t>]</w:t>
      </w:r>
      <w:r w:rsidRPr="00B84AF6" w:rsidR="009F3102">
        <w:t>e knew we’</w:t>
      </w:r>
      <w:r w:rsidRPr="00B84AF6" w:rsidR="003759F0">
        <w:t>d be coming back</w:t>
      </w:r>
      <w:r w:rsidRPr="00B84AF6" w:rsidR="009F3102">
        <w:t>”</w:t>
      </w:r>
      <w:r w:rsidRPr="00B84AF6" w:rsidR="00530794">
        <w:t xml:space="preserve"> and “he wanted to talk to us.”  Chicoine understood these remarks as “a continuation” of what defendant had said at the end of his first interview, which was that he wanted to talk to them after he had a chance to talk to a counselor.</w:t>
      </w:r>
      <w:r>
        <w:rPr>
          <w:rStyle w:val="FootnoteReference"/>
        </w:rPr>
        <w:footnoteReference w:id="13"/>
      </w:r>
      <w:r w:rsidRPr="00B84AF6" w:rsidR="00530794">
        <w:t xml:space="preserve">  </w:t>
      </w:r>
      <w:r w:rsidRPr="00B84AF6" w:rsidR="005D6FF6">
        <w:t>Chicoine told defendant to wait, and “we would get an opportunity to talk to him later.”</w:t>
      </w:r>
      <w:r w:rsidRPr="00B84AF6" w:rsidR="002B2808">
        <w:t xml:space="preserve">  </w:t>
      </w:r>
      <w:r w:rsidRPr="00B84AF6" w:rsidR="00161D80">
        <w:t>Chicoine also testified that</w:t>
      </w:r>
      <w:r w:rsidR="00BA6376">
        <w:t xml:space="preserve"> while in the receiving area</w:t>
      </w:r>
      <w:r w:rsidRPr="00B84AF6" w:rsidR="00161D80">
        <w:t xml:space="preserve"> they </w:t>
      </w:r>
      <w:r w:rsidR="00BA6376">
        <w:t>told</w:t>
      </w:r>
      <w:r w:rsidRPr="00B84AF6" w:rsidR="00161D80">
        <w:t xml:space="preserve"> defendant </w:t>
      </w:r>
      <w:r w:rsidR="00BA6376">
        <w:t>he was under arrest</w:t>
      </w:r>
      <w:r w:rsidRPr="00B84AF6" w:rsidR="00161D80">
        <w:t xml:space="preserve"> for </w:t>
      </w:r>
      <w:r w:rsidRPr="00B84AF6" w:rsidR="00B061AF">
        <w:t>McKenna’s</w:t>
      </w:r>
      <w:r w:rsidRPr="00B84AF6" w:rsidR="00161D80">
        <w:t xml:space="preserve"> murder.  He</w:t>
      </w:r>
      <w:r w:rsidRPr="00B84AF6" w:rsidR="00A47B1B">
        <w:t xml:space="preserve"> could not remember</w:t>
      </w:r>
      <w:r w:rsidRPr="00B84AF6" w:rsidR="00161D80">
        <w:t xml:space="preserve"> whether this advisement came </w:t>
      </w:r>
      <w:r w:rsidRPr="00B84AF6" w:rsidR="00DC5F95">
        <w:t xml:space="preserve">before or </w:t>
      </w:r>
      <w:r w:rsidRPr="00B84AF6" w:rsidR="00161D80">
        <w:t>after defendant</w:t>
      </w:r>
      <w:r w:rsidR="00BA6376">
        <w:t xml:space="preserve"> said he wanted to talk</w:t>
      </w:r>
      <w:r w:rsidRPr="00B84AF6" w:rsidR="00161D80">
        <w:t>.</w:t>
      </w:r>
      <w:r w:rsidRPr="00B84AF6" w:rsidR="00D97E4D">
        <w:t xml:space="preserve">  </w:t>
      </w:r>
    </w:p>
    <w:p w:rsidR="0091020A" w:rsidRPr="00B84AF6" w:rsidP="00B84AF6">
      <w:pPr>
        <w:tabs>
          <w:tab w:val="left" w:pos="1440"/>
        </w:tabs>
        <w:ind w:firstLine="720"/>
      </w:pPr>
      <w:r w:rsidRPr="00B84AF6">
        <w:t>On appeal, d</w:t>
      </w:r>
      <w:r w:rsidRPr="00B84AF6" w:rsidR="005D6FF6">
        <w:t>efendant challenges Chico</w:t>
      </w:r>
      <w:r w:rsidRPr="00B84AF6" w:rsidR="009A1A0E">
        <w:t>ine’s veracity</w:t>
      </w:r>
      <w:r w:rsidRPr="00B84AF6" w:rsidR="005D6FF6">
        <w:t xml:space="preserve">.  He points out that </w:t>
      </w:r>
      <w:r w:rsidRPr="00B84AF6" w:rsidR="00E00A8F">
        <w:t>the</w:t>
      </w:r>
      <w:r w:rsidRPr="00B84AF6" w:rsidR="00A9462A">
        <w:t xml:space="preserve"> initiation of contact in the receiving area</w:t>
      </w:r>
      <w:r w:rsidRPr="00B84AF6" w:rsidR="009C0812">
        <w:t xml:space="preserve"> was not </w:t>
      </w:r>
      <w:r w:rsidR="00BA6376">
        <w:t>noted</w:t>
      </w:r>
      <w:r w:rsidRPr="00B84AF6" w:rsidR="009C0812">
        <w:t xml:space="preserve"> </w:t>
      </w:r>
      <w:r w:rsidRPr="00B84AF6" w:rsidR="00A9462A">
        <w:t xml:space="preserve">in Chicoine’s police reports.  He argues that the tape of the conversation in the car reflects no </w:t>
      </w:r>
      <w:r w:rsidRPr="00B84AF6" w:rsidR="00C01586">
        <w:t>readiness</w:t>
      </w:r>
      <w:r w:rsidRPr="00B84AF6" w:rsidR="00A9462A">
        <w:t xml:space="preserve"> to talk on </w:t>
      </w:r>
      <w:r w:rsidRPr="00B84AF6" w:rsidR="009C0812">
        <w:t xml:space="preserve">defendant’s </w:t>
      </w:r>
      <w:r w:rsidRPr="00B84AF6" w:rsidR="00A9462A">
        <w:t xml:space="preserve">part, and </w:t>
      </w:r>
      <w:r w:rsidRPr="00B84AF6" w:rsidR="00610112">
        <w:t>no understanding on the officer</w:t>
      </w:r>
      <w:r w:rsidRPr="00B84AF6" w:rsidR="00A9462A">
        <w:t>s</w:t>
      </w:r>
      <w:r w:rsidRPr="00B84AF6" w:rsidR="00610112">
        <w:t>’</w:t>
      </w:r>
      <w:r w:rsidRPr="00B84AF6" w:rsidR="00A9462A">
        <w:t xml:space="preserve"> part that he had reinitiated the conversation. </w:t>
      </w:r>
    </w:p>
    <w:p w:rsidR="00A539CA" w:rsidRPr="00B84AF6" w:rsidP="00B84AF6">
      <w:pPr>
        <w:tabs>
          <w:tab w:val="left" w:pos="1440"/>
        </w:tabs>
        <w:ind w:firstLine="720"/>
      </w:pPr>
      <w:r w:rsidRPr="00B84AF6">
        <w:t>“</w:t>
      </w:r>
      <w:r w:rsidRPr="00B84AF6" w:rsidR="006F2007">
        <w:t>W</w:t>
      </w:r>
      <w:r w:rsidRPr="00B84AF6">
        <w:t>hen the facts are disputed, we must accept the trial court’s resolution of disputed facts and inferences, and its evaluations of credibility, if they are substantially supported.”  (</w:t>
      </w:r>
      <w:r w:rsidRPr="00B84AF6">
        <w:rPr>
          <w:i/>
        </w:rPr>
        <w:t>Bradford</w:t>
      </w:r>
      <w:r w:rsidRPr="00B84AF6">
        <w:t xml:space="preserve">, </w:t>
      </w:r>
      <w:r w:rsidRPr="00B84AF6">
        <w:rPr>
          <w:i/>
        </w:rPr>
        <w:t>supra</w:t>
      </w:r>
      <w:r w:rsidRPr="00B84AF6">
        <w:t xml:space="preserve">, 15 Cal.4th at p. 1311.)  </w:t>
      </w:r>
      <w:r w:rsidR="00BA6376">
        <w:t>A</w:t>
      </w:r>
      <w:r w:rsidRPr="00B84AF6" w:rsidR="00D72C14">
        <w:t xml:space="preserve"> trial court</w:t>
      </w:r>
      <w:r w:rsidR="00BA6376">
        <w:t>’s</w:t>
      </w:r>
      <w:r w:rsidRPr="00B84AF6" w:rsidR="00D72C14">
        <w:t xml:space="preserve"> </w:t>
      </w:r>
      <w:r w:rsidR="00BA6376">
        <w:t>credibility finding</w:t>
      </w:r>
      <w:r w:rsidRPr="00B84AF6" w:rsidR="00D72C14">
        <w:t xml:space="preserve"> will be sustained so long as the account is plausible.  (</w:t>
      </w:r>
      <w:r w:rsidRPr="00B84AF6" w:rsidR="00D72C14">
        <w:rPr>
          <w:i/>
        </w:rPr>
        <w:t>Ibid</w:t>
      </w:r>
      <w:r w:rsidRPr="00B84AF6" w:rsidR="00D72C14">
        <w:t xml:space="preserve">.; </w:t>
      </w:r>
      <w:r w:rsidRPr="00B84AF6" w:rsidR="00D72C14">
        <w:rPr>
          <w:i/>
        </w:rPr>
        <w:t>People v. Waidla</w:t>
      </w:r>
      <w:r w:rsidRPr="00B84AF6" w:rsidR="007C54C7">
        <w:t xml:space="preserve"> (2000) 22 Cal.4th 690, 731–</w:t>
      </w:r>
      <w:r w:rsidRPr="00B84AF6" w:rsidR="00D72C14">
        <w:t xml:space="preserve">732; cf. </w:t>
      </w:r>
      <w:r w:rsidRPr="00B84AF6" w:rsidR="00D72C14">
        <w:rPr>
          <w:i/>
        </w:rPr>
        <w:t>People v. Lewis</w:t>
      </w:r>
      <w:r w:rsidRPr="00B84AF6" w:rsidR="00D72C14">
        <w:t xml:space="preserve"> (2001) 26 Cal.4th 334, 384.)  </w:t>
      </w:r>
    </w:p>
    <w:p w:rsidR="008B58BC" w:rsidRPr="00B84AF6" w:rsidP="00B84AF6">
      <w:pPr>
        <w:tabs>
          <w:tab w:val="left" w:pos="1440"/>
        </w:tabs>
        <w:ind w:firstLine="720"/>
      </w:pPr>
      <w:r w:rsidRPr="00B84AF6">
        <w:t xml:space="preserve">Chicoine’s version of events is </w:t>
      </w:r>
      <w:r w:rsidRPr="00B84AF6" w:rsidR="00A539CA">
        <w:t xml:space="preserve">both plausible </w:t>
      </w:r>
      <w:r w:rsidRPr="00B84AF6" w:rsidR="005B67C0">
        <w:t xml:space="preserve">and </w:t>
      </w:r>
      <w:r w:rsidRPr="00B84AF6" w:rsidR="00A539CA">
        <w:t>corroborated by defendant’s own later recorded statements.</w:t>
      </w:r>
      <w:r w:rsidRPr="00B84AF6" w:rsidR="005B67C0">
        <w:t xml:space="preserve">  W</w:t>
      </w:r>
      <w:r w:rsidRPr="00B84AF6" w:rsidR="000A13EC">
        <w:t xml:space="preserve">hen defendant first invoked his right to counsel </w:t>
      </w:r>
      <w:r w:rsidRPr="00B84AF6" w:rsidR="00BF6CD7">
        <w:t xml:space="preserve">during the March 21 interview, the officers honored that request, stopped the interview, and told defendant that if he wanted to </w:t>
      </w:r>
      <w:r w:rsidRPr="00B84AF6" w:rsidR="009B670A">
        <w:t>talk to them again, “Y</w:t>
      </w:r>
      <w:r w:rsidRPr="00B84AF6" w:rsidR="00BF6CD7">
        <w:t>ou have to initiat</w:t>
      </w:r>
      <w:r w:rsidRPr="00B84AF6" w:rsidR="0072783F">
        <w:t xml:space="preserve">e the contact.”  </w:t>
      </w:r>
      <w:r w:rsidRPr="00B84AF6" w:rsidR="00BF6CD7">
        <w:t xml:space="preserve">When the officers returned to San Quentin on March 27, they did so to execute </w:t>
      </w:r>
      <w:r w:rsidR="00BA6376">
        <w:t>the</w:t>
      </w:r>
      <w:r w:rsidRPr="00B84AF6" w:rsidR="00BF6CD7">
        <w:t xml:space="preserve"> arrest warrant</w:t>
      </w:r>
      <w:r w:rsidRPr="00B84AF6" w:rsidR="006B2564">
        <w:t>.</w:t>
      </w:r>
      <w:r w:rsidRPr="00B84AF6">
        <w:t xml:space="preserve">  </w:t>
      </w:r>
      <w:r w:rsidRPr="00B84AF6" w:rsidR="005A1979">
        <w:t xml:space="preserve">According to </w:t>
      </w:r>
      <w:r w:rsidRPr="00B84AF6" w:rsidR="009E6690">
        <w:t>Chicoine</w:t>
      </w:r>
      <w:r w:rsidRPr="00B84AF6" w:rsidR="005A1979">
        <w:t xml:space="preserve">, defendant volunteered that he had spoken to his counselor and was ready to talk.  </w:t>
      </w:r>
      <w:r w:rsidRPr="00B84AF6" w:rsidR="00023A83">
        <w:t>The 10-day break between the first interview and the officers’ return on March 31</w:t>
      </w:r>
      <w:r w:rsidR="00F867D8">
        <w:t xml:space="preserve"> </w:t>
      </w:r>
      <w:r w:rsidRPr="00B84AF6" w:rsidR="005A1979">
        <w:t xml:space="preserve">would have </w:t>
      </w:r>
      <w:r w:rsidRPr="00B84AF6" w:rsidR="00023A83">
        <w:t xml:space="preserve">given defendant </w:t>
      </w:r>
      <w:r w:rsidRPr="00B84AF6" w:rsidR="005A1979">
        <w:t xml:space="preserve">ample </w:t>
      </w:r>
      <w:r w:rsidRPr="00B84AF6" w:rsidR="00023A83">
        <w:t xml:space="preserve">time to </w:t>
      </w:r>
      <w:r w:rsidR="00BA6376">
        <w:t>seek advice</w:t>
      </w:r>
      <w:r w:rsidRPr="00B84AF6" w:rsidR="00023A83">
        <w:t>.</w:t>
      </w:r>
      <w:r w:rsidRPr="00B84AF6" w:rsidR="006D20A8">
        <w:t xml:space="preserve">  </w:t>
      </w:r>
      <w:r w:rsidR="00BA6376">
        <w:t>Indeed, he does not dispute that he did so.</w:t>
      </w:r>
    </w:p>
    <w:p w:rsidR="00696044" w:rsidRPr="00B84AF6" w:rsidP="00B84AF6">
      <w:pPr>
        <w:tabs>
          <w:tab w:val="left" w:pos="1440"/>
        </w:tabs>
        <w:ind w:firstLine="720"/>
      </w:pPr>
      <w:r w:rsidRPr="00B84AF6">
        <w:t xml:space="preserve">Despite defendant’s </w:t>
      </w:r>
      <w:r w:rsidRPr="00B84AF6" w:rsidR="0053506B">
        <w:t xml:space="preserve">repeated statements about his </w:t>
      </w:r>
      <w:r w:rsidRPr="00B84AF6">
        <w:t>willingness to talk, the officer</w:t>
      </w:r>
      <w:r w:rsidRPr="00B84AF6" w:rsidR="00BF78F0">
        <w:t xml:space="preserve">s did not </w:t>
      </w:r>
      <w:r w:rsidRPr="00B84AF6">
        <w:t>interview him</w:t>
      </w:r>
      <w:r w:rsidRPr="00B84AF6" w:rsidR="00BF78F0">
        <w:t xml:space="preserve"> immediately</w:t>
      </w:r>
      <w:r w:rsidRPr="00B84AF6">
        <w:t xml:space="preserve">.  </w:t>
      </w:r>
      <w:r w:rsidRPr="00B84AF6" w:rsidR="0053506B">
        <w:t xml:space="preserve">Instead, they </w:t>
      </w:r>
      <w:r w:rsidRPr="00B84AF6" w:rsidR="006D20A8">
        <w:t>repeatedly told</w:t>
      </w:r>
      <w:r w:rsidRPr="00B84AF6" w:rsidR="006B2564">
        <w:t xml:space="preserve"> him to </w:t>
      </w:r>
      <w:r w:rsidRPr="00B84AF6" w:rsidR="006D20A8">
        <w:t xml:space="preserve">wait until he was </w:t>
      </w:r>
      <w:r w:rsidRPr="00B84AF6" w:rsidR="005D1E03">
        <w:t>re</w:t>
      </w:r>
      <w:r w:rsidR="00F867D8">
        <w:t>–</w:t>
      </w:r>
      <w:r w:rsidRPr="00B84AF6" w:rsidR="005D1E03">
        <w:rPr>
          <w:i/>
        </w:rPr>
        <w:t>Mirandized</w:t>
      </w:r>
      <w:r w:rsidRPr="00B84AF6" w:rsidR="005D1E03">
        <w:t xml:space="preserve"> at the</w:t>
      </w:r>
      <w:r w:rsidRPr="00B84AF6" w:rsidR="006B2564">
        <w:t xml:space="preserve"> station.  </w:t>
      </w:r>
      <w:r w:rsidRPr="00B84AF6" w:rsidR="0053506B">
        <w:t xml:space="preserve">They </w:t>
      </w:r>
      <w:r w:rsidR="00BA6376">
        <w:t>explained</w:t>
      </w:r>
      <w:r w:rsidRPr="00B84AF6" w:rsidR="0053506B">
        <w:t xml:space="preserve"> that at the station they would take him to an interview </w:t>
      </w:r>
      <w:r w:rsidR="00BA6376">
        <w:t xml:space="preserve">room </w:t>
      </w:r>
      <w:r w:rsidRPr="00B84AF6" w:rsidR="0053506B">
        <w:t>and read him his rights again.  They explicitly</w:t>
      </w:r>
      <w:r w:rsidR="00BA6376">
        <w:t xml:space="preserve"> told him: </w:t>
      </w:r>
      <w:r w:rsidRPr="00B84AF6" w:rsidR="0053506B">
        <w:t xml:space="preserve"> “</w:t>
      </w:r>
      <w:r w:rsidR="00BA6376">
        <w:t>[A]</w:t>
      </w:r>
      <w:r w:rsidRPr="00B84AF6" w:rsidR="0053506B">
        <w:t>t that time</w:t>
      </w:r>
      <w:r w:rsidRPr="00B84AF6" w:rsidR="006C531C">
        <w:t xml:space="preserve">, you know, </w:t>
      </w:r>
      <w:r w:rsidRPr="00B84AF6" w:rsidR="009B670A">
        <w:t>you can say</w:t>
      </w:r>
      <w:r w:rsidRPr="00B84AF6" w:rsidR="0053506B">
        <w:t xml:space="preserve"> hey, let me talk to my PD </w:t>
      </w:r>
      <w:r w:rsidRPr="00B84AF6" w:rsidR="00D57F55">
        <w:t xml:space="preserve">and I’ll talk to you again, but, you know, </w:t>
      </w:r>
      <w:r w:rsidRPr="00B84AF6" w:rsidR="0053506B">
        <w:t>that’</w:t>
      </w:r>
      <w:r w:rsidRPr="00B84AF6" w:rsidR="00C476B8">
        <w:t>s entirely up to you</w:t>
      </w:r>
      <w:r w:rsidRPr="00B84AF6" w:rsidR="00D57F55">
        <w:t>.</w:t>
      </w:r>
      <w:r w:rsidRPr="00B84AF6" w:rsidR="006B2564">
        <w:t>”</w:t>
      </w:r>
    </w:p>
    <w:p w:rsidR="00F73B12" w:rsidRPr="00B84AF6" w:rsidP="00B84AF6">
      <w:pPr>
        <w:tabs>
          <w:tab w:val="left" w:pos="1440"/>
        </w:tabs>
        <w:ind w:firstLine="720"/>
      </w:pPr>
      <w:r w:rsidRPr="00B84AF6">
        <w:t xml:space="preserve">Back on tape at the </w:t>
      </w:r>
      <w:r w:rsidRPr="00B84AF6" w:rsidR="00696044">
        <w:t>station, Dudek clarified</w:t>
      </w:r>
      <w:r w:rsidRPr="00B84AF6" w:rsidR="00D57F55">
        <w:t xml:space="preserve">, </w:t>
      </w:r>
      <w:r w:rsidRPr="00B84AF6" w:rsidR="00696044">
        <w:t>“</w:t>
      </w:r>
      <w:r w:rsidRPr="00B84AF6" w:rsidR="00D57F55">
        <w:t>Yo</w:t>
      </w:r>
      <w:r w:rsidRPr="00B84AF6" w:rsidR="00696044">
        <w:t>u approached us, is the only thing I’m getting to, is that correct?”  Defendant replied, “</w:t>
      </w:r>
      <w:r w:rsidRPr="00B84AF6" w:rsidR="000B614C">
        <w:t>Uh-huh</w:t>
      </w:r>
      <w:r w:rsidRPr="00B84AF6" w:rsidR="006B2564">
        <w:t xml:space="preserve">.”  </w:t>
      </w:r>
      <w:r w:rsidRPr="00B84AF6" w:rsidR="00696044">
        <w:t xml:space="preserve">In a subsequent interview, </w:t>
      </w:r>
      <w:r w:rsidR="00B87E2D">
        <w:t>D</w:t>
      </w:r>
      <w:r w:rsidRPr="00B84AF6" w:rsidR="00696044">
        <w:t xml:space="preserve">eputy </w:t>
      </w:r>
      <w:r w:rsidR="00B87E2D">
        <w:t>D</w:t>
      </w:r>
      <w:r w:rsidRPr="00B84AF6" w:rsidR="00696044">
        <w:t xml:space="preserve">istrict </w:t>
      </w:r>
      <w:r w:rsidR="00B87E2D">
        <w:t>A</w:t>
      </w:r>
      <w:r w:rsidRPr="00B84AF6" w:rsidR="00696044">
        <w:t xml:space="preserve">ttorney </w:t>
      </w:r>
      <w:r w:rsidRPr="00B84AF6" w:rsidR="00E7598C">
        <w:t xml:space="preserve">Andy Sweet </w:t>
      </w:r>
      <w:r w:rsidRPr="00B84AF6">
        <w:t xml:space="preserve">also </w:t>
      </w:r>
      <w:r w:rsidRPr="00B84AF6" w:rsidR="00696044">
        <w:t>explored defendant’s reinitiation of contact in detail.</w:t>
      </w:r>
      <w:r w:rsidRPr="00B84AF6">
        <w:t xml:space="preserve">  Defendant acknowledged that he had previously invoked his </w:t>
      </w:r>
      <w:r w:rsidRPr="00B84AF6">
        <w:rPr>
          <w:i/>
        </w:rPr>
        <w:t>Miranda</w:t>
      </w:r>
      <w:r w:rsidRPr="00B84AF6">
        <w:t xml:space="preserve"> rights</w:t>
      </w:r>
      <w:r w:rsidRPr="00B84AF6" w:rsidR="00625227">
        <w:t xml:space="preserve">.  </w:t>
      </w:r>
      <w:r w:rsidRPr="00B84AF6">
        <w:t>When asked, “</w:t>
      </w:r>
      <w:r w:rsidRPr="00B84AF6" w:rsidR="003C090E">
        <w:t>W</w:t>
      </w:r>
      <w:r w:rsidRPr="00B84AF6">
        <w:t>hat changed from befo</w:t>
      </w:r>
      <w:r w:rsidRPr="00B84AF6" w:rsidR="009B670A">
        <w:t>re to now?” defendant said, “I just . . . I’m . . .</w:t>
      </w:r>
      <w:r w:rsidRPr="00B84AF6">
        <w:t xml:space="preserve"> I’m tired.”  Sweet said, “</w:t>
      </w:r>
      <w:r w:rsidRPr="00B84AF6" w:rsidR="003C090E">
        <w:t>I</w:t>
      </w:r>
      <w:r w:rsidRPr="00B84AF6">
        <w:t>t was your decision to start talking.”  Defendant agreed, saying</w:t>
      </w:r>
      <w:r w:rsidR="00B87E2D">
        <w:t>,</w:t>
      </w:r>
      <w:r w:rsidRPr="00B84AF6">
        <w:t xml:space="preserve"> “It was my decision.  I’m tired now,” and</w:t>
      </w:r>
      <w:r w:rsidR="00B87E2D">
        <w:t>,</w:t>
      </w:r>
      <w:r w:rsidRPr="00B84AF6">
        <w:t xml:space="preserve"> “</w:t>
      </w:r>
      <w:r w:rsidRPr="00B84AF6" w:rsidR="002B014C">
        <w:t>I</w:t>
      </w:r>
      <w:r w:rsidRPr="00B84AF6">
        <w:t>n my mind, they didn’t press the issu</w:t>
      </w:r>
      <w:r w:rsidRPr="00B84AF6" w:rsidR="006B2564">
        <w:t xml:space="preserve">e, understand me?”  </w:t>
      </w:r>
      <w:r w:rsidRPr="00B84AF6">
        <w:t xml:space="preserve">Sweet sought </w:t>
      </w:r>
      <w:r w:rsidRPr="00B84AF6" w:rsidR="00867BD1">
        <w:t>further clarification</w:t>
      </w:r>
      <w:r w:rsidRPr="00B84AF6">
        <w:t>, asking, “</w:t>
      </w:r>
      <w:r w:rsidRPr="00B84AF6" w:rsidR="003C090E">
        <w:t>W</w:t>
      </w:r>
      <w:r w:rsidRPr="00B84AF6">
        <w:t xml:space="preserve">hen they came to pick you up today, some place between San Quentin and here, the </w:t>
      </w:r>
      <w:r w:rsidRPr="00B84AF6" w:rsidR="003C090E">
        <w:t>S</w:t>
      </w:r>
      <w:r w:rsidRPr="00B84AF6">
        <w:t xml:space="preserve">heriff’s </w:t>
      </w:r>
      <w:r w:rsidRPr="00B84AF6" w:rsidR="003C090E">
        <w:t>D</w:t>
      </w:r>
      <w:r w:rsidRPr="00B84AF6">
        <w:t>epartment in Alameda County, you started talking to the officers about your case and about what was going on.  Isn’t that true?”  Defendant said, “</w:t>
      </w:r>
      <w:r w:rsidRPr="00B84AF6" w:rsidR="003C090E">
        <w:t xml:space="preserve">That’s </w:t>
      </w:r>
      <w:r w:rsidRPr="00B84AF6">
        <w:t>correct.”  He reaffirmed that he changed his mind because he was “tired and I just want closure,” and that it was “</w:t>
      </w:r>
      <w:r w:rsidRPr="00B84AF6" w:rsidR="003C090E">
        <w:t>[</w:t>
      </w:r>
      <w:r w:rsidRPr="00B84AF6">
        <w:t>m</w:t>
      </w:r>
      <w:r w:rsidRPr="00B84AF6" w:rsidR="003C090E">
        <w:t>]</w:t>
      </w:r>
      <w:r w:rsidRPr="00B84AF6">
        <w:t>y decision.”  He said the officers had not said or done anything that made him think he had to talk to them, adding</w:t>
      </w:r>
      <w:r w:rsidR="0029472B">
        <w:t>,</w:t>
      </w:r>
      <w:r w:rsidRPr="00B84AF6">
        <w:t xml:space="preserve"> “I asked them on the way here if I would be able to</w:t>
      </w:r>
      <w:r w:rsidRPr="00B84AF6" w:rsidR="006B2564">
        <w:t xml:space="preserve"> talk to a DA.”  </w:t>
      </w:r>
      <w:r w:rsidRPr="00B84AF6">
        <w:t>Sweet then asked, “</w:t>
      </w:r>
      <w:r w:rsidRPr="00B84AF6" w:rsidR="003C090E">
        <w:t>W</w:t>
      </w:r>
      <w:r w:rsidRPr="00B84AF6">
        <w:t>ould it be a fair statement to say that you reinitiated kind of the discussion about the case?”  Defendant answered, “</w:t>
      </w:r>
      <w:r w:rsidRPr="00B84AF6" w:rsidR="003C090E">
        <w:t xml:space="preserve">Ok.  </w:t>
      </w:r>
      <w:r w:rsidRPr="00B84AF6">
        <w:t>I, it, that would be fair because I asked like if I will be straight up with you both like I was with them, right.  I understand ok, I don’t have the money for a public defender, blah blah blah.  Right.  But I understand my public defender said well, look you shouldn’t do this you shouldn’t do that</w:t>
      </w:r>
      <w:r w:rsidRPr="00B84AF6" w:rsidR="003C090E">
        <w:t xml:space="preserve"> because they’re not here.  Ok</w:t>
      </w:r>
      <w:r w:rsidRPr="00B84AF6">
        <w:t>.  I know what I did.  All right.  And I just want to get it over with.”  He agreed with Sweet’s statement that “</w:t>
      </w:r>
      <w:r w:rsidR="0029472B">
        <w:t>[t]</w:t>
      </w:r>
      <w:r w:rsidRPr="00B84AF6">
        <w:t>hey didn’t ask you any questions, you were the one asking them questions to start the conversation going again.</w:t>
      </w:r>
      <w:r w:rsidRPr="00B84AF6" w:rsidR="003C090E">
        <w:t xml:space="preserve">  Correct?</w:t>
      </w:r>
      <w:r w:rsidRPr="00B84AF6">
        <w:t xml:space="preserve">”  He </w:t>
      </w:r>
      <w:r w:rsidRPr="00B84AF6" w:rsidR="003C090E">
        <w:t>volunteered,</w:t>
      </w:r>
      <w:r w:rsidRPr="00B84AF6">
        <w:t xml:space="preserve"> “</w:t>
      </w:r>
      <w:r w:rsidRPr="00B84AF6" w:rsidR="003C090E">
        <w:t>T</w:t>
      </w:r>
      <w:r w:rsidRPr="00B84AF6">
        <w:t xml:space="preserve">hey made me no promises or anything.  My only, my main concern was that you </w:t>
      </w:r>
      <w:r w:rsidRPr="00B84AF6" w:rsidR="00606B99">
        <w:t xml:space="preserve">[the DA] </w:t>
      </w:r>
      <w:r w:rsidRPr="00B84AF6">
        <w:t>wer</w:t>
      </w:r>
      <w:r w:rsidRPr="00B84AF6" w:rsidR="006B2564">
        <w:t>e to come down here.”</w:t>
      </w:r>
    </w:p>
    <w:p w:rsidR="00A539CA" w:rsidRPr="00B84AF6" w:rsidP="00B84AF6">
      <w:pPr>
        <w:tabs>
          <w:tab w:val="left" w:pos="1440"/>
        </w:tabs>
        <w:ind w:firstLine="720"/>
      </w:pPr>
      <w:r w:rsidRPr="00B84AF6">
        <w:t xml:space="preserve">This record amply supports the trial court’s factual finding that defendant reinitiated conversation with the officers at San Quentin before the car trip began.  Accordingly, under </w:t>
      </w:r>
      <w:r w:rsidRPr="00B84AF6">
        <w:rPr>
          <w:i/>
        </w:rPr>
        <w:t>Edwards</w:t>
      </w:r>
      <w:r w:rsidRPr="00B84AF6">
        <w:t xml:space="preserve">, the officers were permitted to </w:t>
      </w:r>
      <w:r w:rsidRPr="00B84AF6" w:rsidR="008130DB">
        <w:t xml:space="preserve">resume their </w:t>
      </w:r>
      <w:r w:rsidRPr="00B84AF6">
        <w:t>question</w:t>
      </w:r>
      <w:r w:rsidRPr="00B84AF6" w:rsidR="008130DB">
        <w:t xml:space="preserve">ing of </w:t>
      </w:r>
      <w:r w:rsidRPr="00B84AF6">
        <w:t>defendant about the McKenna homicide.</w:t>
      </w:r>
      <w:r w:rsidRPr="00B84AF6" w:rsidR="008130DB">
        <w:t xml:space="preserve">  (</w:t>
      </w:r>
      <w:r w:rsidRPr="00B84AF6" w:rsidR="008130DB">
        <w:rPr>
          <w:i/>
        </w:rPr>
        <w:t>Edwards</w:t>
      </w:r>
      <w:r w:rsidRPr="00B84AF6" w:rsidR="008130DB">
        <w:t xml:space="preserve">, </w:t>
      </w:r>
      <w:r w:rsidRPr="00B84AF6" w:rsidR="008130DB">
        <w:rPr>
          <w:i/>
        </w:rPr>
        <w:t>supra</w:t>
      </w:r>
      <w:r w:rsidRPr="00B84AF6" w:rsidR="00280187">
        <w:t>, 451 U.S. 477 at pp. 484-</w:t>
      </w:r>
      <w:r w:rsidRPr="00B84AF6" w:rsidR="008130DB">
        <w:t xml:space="preserve">85.) </w:t>
      </w:r>
      <w:r w:rsidRPr="00B84AF6">
        <w:t xml:space="preserve">   </w:t>
      </w:r>
    </w:p>
    <w:p w:rsidR="00A4090B" w:rsidRPr="00B84AF6" w:rsidP="00086BD0">
      <w:pPr>
        <w:pStyle w:val="Heading4"/>
        <w:numPr>
          <w:ilvl w:val="0"/>
          <w:numId w:val="32"/>
        </w:numPr>
        <w:tabs>
          <w:tab w:val="left" w:pos="2434"/>
        </w:tabs>
        <w:ind w:left="2376"/>
      </w:pPr>
      <w:bookmarkStart w:id="26" w:name="_Toc527447445"/>
      <w:r>
        <w:t>Alleged I</w:t>
      </w:r>
      <w:r w:rsidRPr="00B84AF6">
        <w:t xml:space="preserve">nvocation in the </w:t>
      </w:r>
      <w:r w:rsidRPr="00B84AF6" w:rsidR="002B014C">
        <w:t>C</w:t>
      </w:r>
      <w:r w:rsidRPr="00B84AF6">
        <w:t>ar</w:t>
      </w:r>
      <w:bookmarkEnd w:id="26"/>
    </w:p>
    <w:p w:rsidR="000E2632" w:rsidRPr="00B84AF6" w:rsidP="00B84AF6">
      <w:pPr>
        <w:tabs>
          <w:tab w:val="left" w:pos="1440"/>
        </w:tabs>
        <w:ind w:firstLine="720"/>
      </w:pPr>
      <w:r w:rsidRPr="00B84AF6">
        <w:t xml:space="preserve">Defendant argues that even if </w:t>
      </w:r>
      <w:r w:rsidRPr="00B84AF6" w:rsidR="006A3AB3">
        <w:t>he reinitiated conversations with the officers at San Quentin, he once again invoked his right to counsel durin</w:t>
      </w:r>
      <w:r w:rsidRPr="00B84AF6" w:rsidR="00166EC6">
        <w:t xml:space="preserve">g the </w:t>
      </w:r>
      <w:r w:rsidR="00BA6376">
        <w:t>drive, making</w:t>
      </w:r>
      <w:r w:rsidRPr="00B84AF6" w:rsidR="006A3AB3">
        <w:t xml:space="preserve"> any subsequent waiver at the station involuntary</w:t>
      </w:r>
      <w:r w:rsidRPr="00B84AF6" w:rsidR="009F1F27">
        <w:t xml:space="preserve"> under </w:t>
      </w:r>
      <w:r w:rsidRPr="00B84AF6" w:rsidR="009F1F27">
        <w:rPr>
          <w:i/>
        </w:rPr>
        <w:t>Edwards</w:t>
      </w:r>
      <w:r w:rsidRPr="00B84AF6" w:rsidR="006A3AB3">
        <w:t>.  He cites the following exchange:</w:t>
      </w:r>
      <w:r w:rsidRPr="00B84AF6">
        <w:t xml:space="preserve">  </w:t>
      </w:r>
    </w:p>
    <w:p w:rsidR="000E2632" w:rsidRPr="00B84AF6" w:rsidP="00B84AF6">
      <w:pPr>
        <w:tabs>
          <w:tab w:val="left" w:pos="1440"/>
        </w:tabs>
        <w:ind w:firstLine="720"/>
      </w:pPr>
      <w:r w:rsidRPr="00B84AF6">
        <w:t xml:space="preserve">Defendant:  “Can I ask you a question?”  </w:t>
      </w:r>
    </w:p>
    <w:p w:rsidR="000E2632" w:rsidRPr="00B84AF6" w:rsidP="00B84AF6">
      <w:pPr>
        <w:tabs>
          <w:tab w:val="left" w:pos="1440"/>
        </w:tabs>
        <w:ind w:firstLine="720"/>
      </w:pPr>
      <w:r w:rsidRPr="00B84AF6">
        <w:t xml:space="preserve">Dudek:  “Sure.”  </w:t>
      </w:r>
    </w:p>
    <w:p w:rsidR="000E2632" w:rsidRPr="00B84AF6" w:rsidP="00B84AF6">
      <w:pPr>
        <w:tabs>
          <w:tab w:val="left" w:pos="1440"/>
        </w:tabs>
        <w:ind w:firstLine="720"/>
      </w:pPr>
      <w:r w:rsidRPr="00B84AF6">
        <w:t xml:space="preserve">Defendant:  “They’ll assign me a PD, right?”  </w:t>
      </w:r>
    </w:p>
    <w:p w:rsidR="000E2632" w:rsidRPr="00B84AF6" w:rsidP="00B84AF6">
      <w:pPr>
        <w:tabs>
          <w:tab w:val="left" w:pos="1440"/>
        </w:tabs>
        <w:ind w:firstLine="720"/>
      </w:pPr>
      <w:r w:rsidRPr="00B84AF6">
        <w:t xml:space="preserve">Dudek:  “Right.”  </w:t>
      </w:r>
    </w:p>
    <w:p w:rsidR="000E2632" w:rsidRPr="00B84AF6" w:rsidP="00B84AF6">
      <w:pPr>
        <w:tabs>
          <w:tab w:val="left" w:pos="1440"/>
        </w:tabs>
        <w:ind w:firstLine="720"/>
      </w:pPr>
      <w:r w:rsidRPr="00B84AF6">
        <w:t xml:space="preserve">Defendant:  “I can sit down and talk to my PD first, then talk </w:t>
      </w:r>
      <w:r w:rsidRPr="00B84AF6" w:rsidR="00AB2504">
        <w:t>with you all?</w:t>
      </w:r>
      <w:r w:rsidRPr="00B84AF6">
        <w:t xml:space="preserve">”  </w:t>
      </w:r>
    </w:p>
    <w:p w:rsidR="000E2632" w:rsidRPr="00B84AF6" w:rsidP="00B84AF6">
      <w:pPr>
        <w:tabs>
          <w:tab w:val="left" w:pos="1440"/>
        </w:tabs>
        <w:ind w:firstLine="720"/>
      </w:pPr>
      <w:r w:rsidRPr="00B84AF6">
        <w:t xml:space="preserve">Dudek:  “Yeah.”  </w:t>
      </w:r>
    </w:p>
    <w:p w:rsidR="000E2632" w:rsidRPr="00B84AF6" w:rsidP="00B84AF6">
      <w:pPr>
        <w:tabs>
          <w:tab w:val="left" w:pos="1440"/>
        </w:tabs>
        <w:ind w:firstLine="720"/>
      </w:pPr>
      <w:r w:rsidRPr="00B84AF6">
        <w:t xml:space="preserve">Defendant:  “Can I do that?”  </w:t>
      </w:r>
    </w:p>
    <w:p w:rsidR="000E2632" w:rsidRPr="00B84AF6" w:rsidP="00B84AF6">
      <w:pPr>
        <w:tabs>
          <w:tab w:val="left" w:pos="1440"/>
        </w:tabs>
        <w:ind w:firstLine="720"/>
      </w:pPr>
      <w:r w:rsidRPr="00B84AF6">
        <w:t xml:space="preserve">Dudek:  “Yeah.  I mean, that’s one of your options and that’s why we’re here, you know.”  </w:t>
      </w:r>
    </w:p>
    <w:p w:rsidR="000E2632" w:rsidRPr="00B84AF6" w:rsidP="00DE5EB1">
      <w:pPr>
        <w:tabs>
          <w:tab w:val="left" w:pos="1440"/>
        </w:tabs>
        <w:ind w:firstLine="720"/>
      </w:pPr>
      <w:r w:rsidRPr="00B84AF6">
        <w:t xml:space="preserve">Defendant:  “That’s, I would, I would </w:t>
      </w:r>
      <w:r w:rsidRPr="00B84AF6" w:rsidR="00544BA0">
        <w:t>(</w:t>
      </w:r>
      <w:r w:rsidRPr="00B84AF6" w:rsidR="00125D2A">
        <w:t>unintelligible</w:t>
      </w:r>
      <w:r w:rsidRPr="00B84AF6" w:rsidR="00544BA0">
        <w:t>)</w:t>
      </w:r>
      <w:r w:rsidRPr="00B84AF6">
        <w:t xml:space="preserve">.”  </w:t>
      </w:r>
    </w:p>
    <w:p w:rsidR="009B5B77" w:rsidRPr="00B84AF6" w:rsidP="00B84AF6">
      <w:pPr>
        <w:tabs>
          <w:tab w:val="left" w:pos="1440"/>
        </w:tabs>
        <w:ind w:firstLine="720"/>
      </w:pPr>
      <w:r w:rsidRPr="00B84AF6">
        <w:t>Although the transcript prepared for the suppression hearing identifies the relevant portion of the tape as unintelligible, defendant now argues on appeal that he actually said, I would “</w:t>
      </w:r>
      <w:r w:rsidRPr="00B84AF6">
        <w:rPr>
          <w:i/>
        </w:rPr>
        <w:t>feel more comfortable</w:t>
      </w:r>
      <w:r w:rsidRPr="00B84AF6" w:rsidR="006B2564">
        <w:t xml:space="preserve">.”  </w:t>
      </w:r>
    </w:p>
    <w:p w:rsidR="00662AFF" w:rsidRPr="00B84AF6" w:rsidP="00B84AF6">
      <w:pPr>
        <w:tabs>
          <w:tab w:val="left" w:pos="1440"/>
        </w:tabs>
        <w:ind w:firstLine="720"/>
      </w:pPr>
      <w:r>
        <w:t>T</w:t>
      </w:r>
      <w:r w:rsidRPr="00B84AF6" w:rsidR="0031136F">
        <w:t>he claim</w:t>
      </w:r>
      <w:r>
        <w:t xml:space="preserve"> was</w:t>
      </w:r>
      <w:r w:rsidRPr="00B84AF6" w:rsidR="0031136F">
        <w:t xml:space="preserve"> forfeited.  </w:t>
      </w:r>
      <w:r w:rsidRPr="00B84AF6" w:rsidR="00800BD1">
        <w:t>Defense counsel did not a</w:t>
      </w:r>
      <w:r w:rsidRPr="00B84AF6">
        <w:t xml:space="preserve">dvance this interpretation of the tape during the suppression hearing or ask Chicoine about it.  Nor did she secure a finding of fact from the trial court regarding this portion of the tape, or argue that it amounted to a second invocation of counsel.  </w:t>
      </w:r>
      <w:r w:rsidRPr="00B84AF6" w:rsidR="00800BD1">
        <w:t xml:space="preserve">For his part, the Attorney General states that, because of the poor quality of the tape recording, he cannot </w:t>
      </w:r>
      <w:r w:rsidR="00A177E3">
        <w:t>determine</w:t>
      </w:r>
      <w:r w:rsidRPr="00B84AF6" w:rsidR="00800BD1">
        <w:t xml:space="preserve"> whether defendant actually said </w:t>
      </w:r>
      <w:r w:rsidR="00232FA0">
        <w:t>he</w:t>
      </w:r>
      <w:r w:rsidRPr="00B84AF6" w:rsidR="00800BD1">
        <w:t xml:space="preserve"> would “</w:t>
      </w:r>
      <w:r w:rsidRPr="00B84AF6" w:rsidR="00800BD1">
        <w:rPr>
          <w:i/>
        </w:rPr>
        <w:t>feel more comfortable</w:t>
      </w:r>
      <w:r w:rsidRPr="00B84AF6" w:rsidR="006B2564">
        <w:t xml:space="preserve">.”  We </w:t>
      </w:r>
      <w:r w:rsidRPr="00B84AF6" w:rsidR="009D7E6E">
        <w:t xml:space="preserve">have independently reviewed </w:t>
      </w:r>
      <w:r w:rsidRPr="00B84AF6">
        <w:t xml:space="preserve">the tape recording and </w:t>
      </w:r>
      <w:r w:rsidR="00A177E3">
        <w:t>did not</w:t>
      </w:r>
      <w:r w:rsidRPr="00B84AF6">
        <w:t xml:space="preserve"> make out the wo</w:t>
      </w:r>
      <w:r w:rsidRPr="00B84AF6" w:rsidR="008F2155">
        <w:t>rds “feel more comfortable.”</w:t>
      </w:r>
      <w:r w:rsidRPr="00B84AF6" w:rsidR="00B16F59">
        <w:t xml:space="preserve">  </w:t>
      </w:r>
      <w:r w:rsidRPr="00B84AF6">
        <w:t xml:space="preserve">Because the theory was never litigated and the relevant facts are </w:t>
      </w:r>
      <w:r w:rsidRPr="00B84AF6" w:rsidR="00B03AB8">
        <w:t>subject to dispute,</w:t>
      </w:r>
      <w:r w:rsidRPr="00B84AF6" w:rsidR="00750FC8">
        <w:t xml:space="preserve"> it is not properly raised for the first time on appeal.  </w:t>
      </w:r>
      <w:r w:rsidRPr="00B84AF6">
        <w:t>(</w:t>
      </w:r>
      <w:r w:rsidRPr="00B84AF6">
        <w:rPr>
          <w:i/>
        </w:rPr>
        <w:t>People v. Gurule</w:t>
      </w:r>
      <w:r w:rsidRPr="00B84AF6" w:rsidR="002B014C">
        <w:t xml:space="preserve"> (2002) 28 Cal.4th 557, 602</w:t>
      </w:r>
      <w:r w:rsidRPr="00B84AF6">
        <w:t>.)</w:t>
      </w:r>
    </w:p>
    <w:p w:rsidR="009F7180" w:rsidRPr="00B84AF6" w:rsidP="0074084E">
      <w:pPr>
        <w:tabs>
          <w:tab w:val="left" w:pos="1440"/>
        </w:tabs>
        <w:ind w:firstLine="720"/>
      </w:pPr>
      <w:r>
        <w:t>E</w:t>
      </w:r>
      <w:r w:rsidRPr="00B84AF6" w:rsidR="002C7EB4">
        <w:t xml:space="preserve">ven overlooking forfeiture and </w:t>
      </w:r>
      <w:r w:rsidRPr="00B84AF6" w:rsidR="00750FC8">
        <w:t>assuming,</w:t>
      </w:r>
      <w:r w:rsidRPr="00B84AF6" w:rsidR="00CE7C61">
        <w:t xml:space="preserve"> as defendant asserts, that he said he would “feel more comfortable”</w:t>
      </w:r>
      <w:r w:rsidRPr="00B84AF6" w:rsidR="00BC26CB">
        <w:t xml:space="preserve"> if he spoke to a public defender first,</w:t>
      </w:r>
      <w:r w:rsidRPr="00B84AF6" w:rsidR="00CE7C61">
        <w:t xml:space="preserve"> </w:t>
      </w:r>
      <w:r>
        <w:t>the</w:t>
      </w:r>
      <w:r w:rsidRPr="00B84AF6" w:rsidR="00A36379">
        <w:t xml:space="preserve"> comment did not amount to </w:t>
      </w:r>
      <w:r w:rsidRPr="00B84AF6" w:rsidR="00102FF4">
        <w:t xml:space="preserve">a “clear assertion” of the right to counsel under our high court’s precedent.  </w:t>
      </w:r>
      <w:r w:rsidRPr="00B84AF6" w:rsidR="00EF2BCC">
        <w:t>(</w:t>
      </w:r>
      <w:r w:rsidRPr="00B84AF6">
        <w:rPr>
          <w:i/>
        </w:rPr>
        <w:t>Davis</w:t>
      </w:r>
      <w:r w:rsidRPr="00B84AF6" w:rsidR="003560EE">
        <w:rPr>
          <w:i/>
        </w:rPr>
        <w:t xml:space="preserve"> v. United States</w:t>
      </w:r>
      <w:r w:rsidRPr="00B84AF6" w:rsidR="003560EE">
        <w:t xml:space="preserve"> (1994) </w:t>
      </w:r>
      <w:r w:rsidRPr="00B84AF6" w:rsidR="007A272E">
        <w:t xml:space="preserve">512 U.S. 452, </w:t>
      </w:r>
      <w:r w:rsidRPr="00B84AF6" w:rsidR="00EF2BCC">
        <w:t>460</w:t>
      </w:r>
      <w:r w:rsidRPr="00B84AF6" w:rsidR="00E13C08">
        <w:t xml:space="preserve"> (</w:t>
      </w:r>
      <w:r w:rsidRPr="00B84AF6" w:rsidR="00E13C08">
        <w:rPr>
          <w:i/>
        </w:rPr>
        <w:t>Davis</w:t>
      </w:r>
      <w:r w:rsidRPr="00B84AF6" w:rsidR="00E13C08">
        <w:t>)</w:t>
      </w:r>
      <w:r w:rsidRPr="00B84AF6">
        <w:t xml:space="preserve">.)  </w:t>
      </w:r>
      <w:r w:rsidRPr="00B84AF6" w:rsidR="00102FF4">
        <w:t>“The applicability of the ‘</w:t>
      </w:r>
      <w:r w:rsidR="00AA5EDC">
        <w:t> </w:t>
      </w:r>
      <w:r w:rsidRPr="00B84AF6" w:rsidR="00102FF4">
        <w:t xml:space="preserve">“rigid” prophylactic rule’ of </w:t>
      </w:r>
      <w:r w:rsidRPr="00B84AF6" w:rsidR="00102FF4">
        <w:rPr>
          <w:i/>
        </w:rPr>
        <w:t>Edwards</w:t>
      </w:r>
      <w:r w:rsidRPr="00B84AF6" w:rsidR="00102FF4">
        <w:t xml:space="preserve"> requires courts to ‘determine whether the accused </w:t>
      </w:r>
      <w:r w:rsidRPr="00B84AF6" w:rsidR="00102FF4">
        <w:rPr>
          <w:i/>
        </w:rPr>
        <w:t>actually invoked</w:t>
      </w:r>
      <w:r w:rsidRPr="00B84AF6" w:rsidR="00102FF4">
        <w:t xml:space="preserve"> his right to counsel.’</w:t>
      </w:r>
      <w:r w:rsidR="00AA5EDC">
        <w:t> </w:t>
      </w:r>
      <w:r w:rsidRPr="00B84AF6" w:rsidR="00102FF4">
        <w:t>”  (</w:t>
      </w:r>
      <w:r w:rsidRPr="00B84AF6" w:rsidR="00102FF4">
        <w:rPr>
          <w:i/>
        </w:rPr>
        <w:t>Id</w:t>
      </w:r>
      <w:r w:rsidRPr="00B84AF6" w:rsidR="00102FF4">
        <w:t xml:space="preserve">. at p. 458.)  </w:t>
      </w:r>
      <w:r w:rsidR="006029E2">
        <w:t>A</w:t>
      </w:r>
      <w:r w:rsidRPr="00B84AF6" w:rsidR="00EF2BCC">
        <w:t>mbiguous or equivocal references to an attorney do not require cessation of questioning.  (</w:t>
      </w:r>
      <w:r w:rsidRPr="00B84AF6" w:rsidR="00EF2BCC">
        <w:rPr>
          <w:i/>
        </w:rPr>
        <w:t>Id</w:t>
      </w:r>
      <w:r w:rsidRPr="00B84AF6" w:rsidR="00EF2BCC">
        <w:t>. at pp. 458–459</w:t>
      </w:r>
      <w:r w:rsidR="006734B1">
        <w:t xml:space="preserve">, </w:t>
      </w:r>
      <w:r w:rsidRPr="00B84AF6" w:rsidR="00EF2BCC">
        <w:t xml:space="preserve">462.)  </w:t>
      </w:r>
      <w:r w:rsidRPr="00B84AF6">
        <w:t>As the high court has emphasized, “we are unwilling to create a third layer of prophylaxis</w:t>
      </w:r>
      <w:r w:rsidRPr="00B84AF6" w:rsidR="00915815">
        <w:t xml:space="preserve"> [beyond the </w:t>
      </w:r>
      <w:r w:rsidRPr="00B84AF6" w:rsidR="001D1F75">
        <w:t xml:space="preserve">holdings </w:t>
      </w:r>
      <w:r w:rsidRPr="00B84AF6" w:rsidR="00CA0683">
        <w:t>in</w:t>
      </w:r>
      <w:r w:rsidRPr="00B84AF6" w:rsidR="00915815">
        <w:t xml:space="preserve"> </w:t>
      </w:r>
      <w:r w:rsidRPr="00B84AF6" w:rsidR="00915815">
        <w:rPr>
          <w:i/>
        </w:rPr>
        <w:t>Miranda</w:t>
      </w:r>
      <w:r w:rsidRPr="00B84AF6" w:rsidR="00915815">
        <w:t xml:space="preserve"> and </w:t>
      </w:r>
      <w:r w:rsidRPr="00B84AF6" w:rsidR="00915815">
        <w:rPr>
          <w:i/>
        </w:rPr>
        <w:t>Edwards</w:t>
      </w:r>
      <w:r w:rsidRPr="00B84AF6" w:rsidR="00915815">
        <w:t>]</w:t>
      </w:r>
      <w:r w:rsidRPr="00B84AF6">
        <w:t xml:space="preserve"> to prevent police questioning when the suspect </w:t>
      </w:r>
      <w:r w:rsidRPr="00B84AF6">
        <w:rPr>
          <w:i/>
        </w:rPr>
        <w:t>might</w:t>
      </w:r>
      <w:r w:rsidRPr="00B84AF6">
        <w:t xml:space="preserve"> want a lawyer.  Unless the suspect actually requests an attorney, questioning may continue.”  (</w:t>
      </w:r>
      <w:r w:rsidRPr="00B84AF6">
        <w:rPr>
          <w:i/>
        </w:rPr>
        <w:t>Id</w:t>
      </w:r>
      <w:r w:rsidRPr="00B84AF6">
        <w:t>.</w:t>
      </w:r>
      <w:r w:rsidRPr="00B84AF6" w:rsidR="00EF2BCC">
        <w:t xml:space="preserve"> at p. 462</w:t>
      </w:r>
      <w:r w:rsidR="006734B1">
        <w:t>.</w:t>
      </w:r>
      <w:r w:rsidRPr="00B84AF6">
        <w:t xml:space="preserve">)  </w:t>
      </w:r>
    </w:p>
    <w:p w:rsidR="009F7180" w:rsidRPr="00B84AF6" w:rsidP="00B84AF6">
      <w:pPr>
        <w:ind w:firstLine="720"/>
      </w:pPr>
      <w:r w:rsidRPr="00B84AF6">
        <w:t>Defendant’s first reference to an attorney was phrased in equivocal language.  He asked Dudek, “I can sit down and talk to my PD first, then talk with you all?” and</w:t>
      </w:r>
      <w:r w:rsidR="00232FA0">
        <w:t>,</w:t>
      </w:r>
      <w:r w:rsidRPr="00B84AF6">
        <w:t xml:space="preserve"> “Can I do that?”</w:t>
      </w:r>
      <w:r w:rsidRPr="00B84AF6" w:rsidR="00E13C08">
        <w:t xml:space="preserve">  </w:t>
      </w:r>
      <w:r w:rsidRPr="00B84AF6">
        <w:t xml:space="preserve">Similar statements have been found </w:t>
      </w:r>
      <w:r w:rsidRPr="00B84AF6" w:rsidR="00047D99">
        <w:t xml:space="preserve">not to be a </w:t>
      </w:r>
      <w:r w:rsidRPr="00B84AF6" w:rsidR="00D44B11">
        <w:t xml:space="preserve">clear request for counsel’s assistance.  </w:t>
      </w:r>
      <w:r w:rsidRPr="00B84AF6">
        <w:t>(</w:t>
      </w:r>
      <w:r w:rsidRPr="00B84AF6">
        <w:rPr>
          <w:i/>
        </w:rPr>
        <w:t>Davis, supra</w:t>
      </w:r>
      <w:r w:rsidRPr="00B84AF6">
        <w:t>, 512 U.S. at p</w:t>
      </w:r>
      <w:r w:rsidRPr="00B84AF6" w:rsidR="00915815">
        <w:t>p</w:t>
      </w:r>
      <w:r w:rsidRPr="00B84AF6">
        <w:t>. 455</w:t>
      </w:r>
      <w:r w:rsidR="00D42231">
        <w:t xml:space="preserve">, </w:t>
      </w:r>
      <w:r w:rsidRPr="00B84AF6" w:rsidR="00915815">
        <w:t>46</w:t>
      </w:r>
      <w:r w:rsidRPr="00B84AF6" w:rsidR="00047D99">
        <w:t>2</w:t>
      </w:r>
      <w:r w:rsidR="00D42231">
        <w:t xml:space="preserve"> </w:t>
      </w:r>
      <w:r w:rsidRPr="00B84AF6">
        <w:t>[“</w:t>
      </w:r>
      <w:r w:rsidR="00AA5EDC">
        <w:t> </w:t>
      </w:r>
      <w:r w:rsidRPr="00B84AF6">
        <w:t>‘Maybe I should talk to a lawyer’</w:t>
      </w:r>
      <w:r w:rsidR="00AA5EDC">
        <w:t> </w:t>
      </w:r>
      <w:r w:rsidRPr="00B84AF6">
        <w:t xml:space="preserve">”]; </w:t>
      </w:r>
      <w:r w:rsidRPr="00B84AF6">
        <w:rPr>
          <w:i/>
        </w:rPr>
        <w:t>People v. Bacon</w:t>
      </w:r>
      <w:r w:rsidRPr="00B84AF6">
        <w:t xml:space="preserve"> (2010) 50 Cal.4th 1082, 1105 [“ ‘I think it’d probably be a good idea for me to get an attorney’</w:t>
      </w:r>
      <w:r w:rsidR="00AA5EDC">
        <w:t> </w:t>
      </w:r>
      <w:r w:rsidRPr="00B84AF6">
        <w:t xml:space="preserve">”]; </w:t>
      </w:r>
      <w:r w:rsidRPr="00B84AF6">
        <w:rPr>
          <w:i/>
        </w:rPr>
        <w:t>People v. Stitely</w:t>
      </w:r>
      <w:r w:rsidRPr="00B84AF6">
        <w:t xml:space="preserve"> (2005) 35 Cal.4th 514, 535 [“</w:t>
      </w:r>
      <w:r w:rsidR="00AA5EDC">
        <w:t> </w:t>
      </w:r>
      <w:r w:rsidRPr="00B84AF6">
        <w:t>‘I think it’s about time for me to stop talking’</w:t>
      </w:r>
      <w:r w:rsidR="00AA5EDC">
        <w:t> </w:t>
      </w:r>
      <w:r w:rsidRPr="00B84AF6">
        <w:t xml:space="preserve">”].)  </w:t>
      </w:r>
    </w:p>
    <w:p w:rsidR="009F7180" w:rsidRPr="00B84AF6" w:rsidP="00B84AF6">
      <w:pPr>
        <w:ind w:firstLine="720"/>
      </w:pPr>
      <w:r w:rsidRPr="00B84AF6">
        <w:t xml:space="preserve">When Dudek affirmed that was one of defendant’s options, defendant then allegedly said, “That’s, I would, I would [feel more comfortable].”  Although this statement was not framed in the form of a question, it was also not a clear </w:t>
      </w:r>
      <w:r w:rsidR="004C5323">
        <w:t>invocation of the right to</w:t>
      </w:r>
      <w:r w:rsidRPr="00B84AF6">
        <w:t xml:space="preserve"> an attorney.  Most people would feel more comfortable with a lawyer present during interrogation.  But that </w:t>
      </w:r>
      <w:r w:rsidR="00522662">
        <w:t xml:space="preserve">reality </w:t>
      </w:r>
      <w:r w:rsidRPr="00B84AF6">
        <w:t xml:space="preserve">does not </w:t>
      </w:r>
      <w:r w:rsidR="00522662">
        <w:t>establish</w:t>
      </w:r>
      <w:r w:rsidRPr="00B84AF6">
        <w:t xml:space="preserve"> the converse:  that defendant </w:t>
      </w:r>
      <w:r w:rsidRPr="00B84AF6" w:rsidR="00333475">
        <w:t>was</w:t>
      </w:r>
      <w:r w:rsidRPr="00B84AF6">
        <w:t xml:space="preserve"> unwilling to speak without counsel’s assistance.  </w:t>
      </w:r>
    </w:p>
    <w:p w:rsidR="0060578C" w:rsidRPr="00B84AF6" w:rsidP="00B84AF6">
      <w:pPr>
        <w:ind w:firstLine="720"/>
      </w:pPr>
      <w:r w:rsidRPr="00B84AF6">
        <w:t xml:space="preserve">In some respects, this statement is similar to </w:t>
      </w:r>
      <w:r w:rsidR="009C5CAC">
        <w:t>that</w:t>
      </w:r>
      <w:r w:rsidRPr="00B84AF6">
        <w:t xml:space="preserve"> statement in </w:t>
      </w:r>
      <w:r w:rsidRPr="00B84AF6">
        <w:rPr>
          <w:i/>
        </w:rPr>
        <w:t xml:space="preserve">People v. Sauceda-Contreras </w:t>
      </w:r>
      <w:r w:rsidRPr="00B84AF6">
        <w:t xml:space="preserve">(2012) 55 Cal.4th 203.  There, defendant </w:t>
      </w:r>
      <w:r w:rsidR="00A177E3">
        <w:t xml:space="preserve">was given </w:t>
      </w:r>
      <w:r w:rsidRPr="00B84AF6">
        <w:t xml:space="preserve">his </w:t>
      </w:r>
      <w:r w:rsidRPr="00B84AF6">
        <w:rPr>
          <w:i/>
        </w:rPr>
        <w:t>Miranda</w:t>
      </w:r>
      <w:r w:rsidRPr="00B84AF6">
        <w:t xml:space="preserve"> rights and ask</w:t>
      </w:r>
      <w:r w:rsidR="00A177E3">
        <w:t>ed</w:t>
      </w:r>
      <w:r w:rsidRPr="00B84AF6">
        <w:t xml:space="preserve"> if he would like to speak with the detective</w:t>
      </w:r>
      <w:r w:rsidR="00A177E3">
        <w:t>.  D</w:t>
      </w:r>
      <w:r w:rsidRPr="00B84AF6">
        <w:t xml:space="preserve">efendant </w:t>
      </w:r>
      <w:r w:rsidR="00A177E3">
        <w:t>said</w:t>
      </w:r>
      <w:r w:rsidRPr="00B84AF6">
        <w:t>:  “</w:t>
      </w:r>
      <w:r w:rsidR="00AA5EDC">
        <w:t> </w:t>
      </w:r>
      <w:r w:rsidRPr="00B84AF6">
        <w:t>‘If you can bring me a lawyer, that way I[,] I with who . . . that way I can tell you everything that I know and everything that I need to tell you and someone to represent me.’</w:t>
      </w:r>
      <w:r w:rsidR="00AA5EDC">
        <w:t> </w:t>
      </w:r>
      <w:r w:rsidRPr="00B84AF6">
        <w:t>”  (</w:t>
      </w:r>
      <w:r w:rsidRPr="00B84AF6">
        <w:rPr>
          <w:i/>
        </w:rPr>
        <w:t>Id</w:t>
      </w:r>
      <w:r w:rsidRPr="00B84AF6">
        <w:t xml:space="preserve">. at p. 216.)  We held that </w:t>
      </w:r>
      <w:r w:rsidR="00A177E3">
        <w:t>because</w:t>
      </w:r>
      <w:r w:rsidRPr="00B84AF6">
        <w:t xml:space="preserve"> defendant’s reference to an attorney was </w:t>
      </w:r>
      <w:r w:rsidR="004C5323">
        <w:t>“</w:t>
      </w:r>
      <w:r w:rsidRPr="00B84AF6">
        <w:t>conditional, ambiguous, and equivocal</w:t>
      </w:r>
      <w:r w:rsidR="00A177E3">
        <w:t>,</w:t>
      </w:r>
      <w:r w:rsidR="004C5323">
        <w:t>”</w:t>
      </w:r>
      <w:r w:rsidR="00A177E3">
        <w:t xml:space="preserve"> a</w:t>
      </w:r>
      <w:r w:rsidRPr="00B84AF6">
        <w:t xml:space="preserve"> cessation of questioning</w:t>
      </w:r>
      <w:r w:rsidR="00A177E3">
        <w:t xml:space="preserve"> was not re</w:t>
      </w:r>
      <w:r w:rsidR="00C833A3">
        <w:t>quired</w:t>
      </w:r>
      <w:r w:rsidRPr="00B84AF6">
        <w:t>.  (</w:t>
      </w:r>
      <w:r w:rsidRPr="00B84AF6">
        <w:rPr>
          <w:i/>
        </w:rPr>
        <w:t>Id</w:t>
      </w:r>
      <w:r w:rsidRPr="00B84AF6">
        <w:t xml:space="preserve">. at p. 219; see also </w:t>
      </w:r>
      <w:r w:rsidRPr="00B84AF6">
        <w:rPr>
          <w:i/>
        </w:rPr>
        <w:t>Delashmit v. State</w:t>
      </w:r>
      <w:r w:rsidRPr="00B84AF6">
        <w:t xml:space="preserve"> (Miss. 2008) 991 So.2d 1215, 1219, 1221 [defendant’s statement, “</w:t>
      </w:r>
      <w:r w:rsidR="00AA5EDC">
        <w:t> </w:t>
      </w:r>
      <w:r w:rsidRPr="00B84AF6">
        <w:t>‘I prefer a lawyer’</w:t>
      </w:r>
      <w:r w:rsidR="00AA5EDC">
        <w:t> </w:t>
      </w:r>
      <w:r w:rsidRPr="00B84AF6">
        <w:t xml:space="preserve">” was ambiguous].)  </w:t>
      </w:r>
      <w:r w:rsidRPr="00B84AF6" w:rsidR="00A62EFF">
        <w:t xml:space="preserve">A </w:t>
      </w:r>
      <w:r w:rsidRPr="00B84AF6">
        <w:t>similar conclusion follows here</w:t>
      </w:r>
      <w:r w:rsidR="00A177E3">
        <w:t>,</w:t>
      </w:r>
      <w:r w:rsidRPr="00B84AF6">
        <w:t xml:space="preserve"> </w:t>
      </w:r>
      <w:r w:rsidR="00A177E3">
        <w:t xml:space="preserve">though </w:t>
      </w:r>
      <w:r w:rsidRPr="00B84AF6">
        <w:t xml:space="preserve">in </w:t>
      </w:r>
      <w:r w:rsidRPr="00B84AF6">
        <w:rPr>
          <w:i/>
        </w:rPr>
        <w:t xml:space="preserve">Sauceda-Contreras </w:t>
      </w:r>
      <w:r w:rsidRPr="00B84AF6">
        <w:t xml:space="preserve">and </w:t>
      </w:r>
      <w:r w:rsidRPr="00B84AF6">
        <w:rPr>
          <w:i/>
        </w:rPr>
        <w:t>Delashmit</w:t>
      </w:r>
      <w:r w:rsidRPr="00B84AF6">
        <w:t xml:space="preserve"> the officers asked follow-up questions.  (</w:t>
      </w:r>
      <w:r w:rsidRPr="00B84AF6">
        <w:rPr>
          <w:i/>
        </w:rPr>
        <w:t>Sauceda-Contreras</w:t>
      </w:r>
      <w:r w:rsidRPr="00B84AF6">
        <w:t xml:space="preserve">, at pp. 216, 219–220; </w:t>
      </w:r>
      <w:r w:rsidRPr="00B84AF6">
        <w:rPr>
          <w:i/>
        </w:rPr>
        <w:t>Delashmit</w:t>
      </w:r>
      <w:r w:rsidRPr="00B84AF6">
        <w:t>, at pp. 1219–1221.)  That did not happen here, at least</w:t>
      </w:r>
      <w:r w:rsidR="00A177E3">
        <w:t xml:space="preserve"> in the car</w:t>
      </w:r>
      <w:r w:rsidRPr="00B84AF6">
        <w:t>.  But clarification, while advisable, is not required.  (</w:t>
      </w:r>
      <w:r w:rsidRPr="00B84AF6">
        <w:rPr>
          <w:i/>
        </w:rPr>
        <w:t>Davis, supra</w:t>
      </w:r>
      <w:r w:rsidRPr="00B84AF6">
        <w:t>, 512 U.S. at pp. 461–462.)  “[W]e decline to adopt a rule requiring officers to ask clarifying questions.  If the suspect’s statement is not an unambiguous or unequivocal request for counsel, the officers have no obligation to stop questioning him.”  (</w:t>
      </w:r>
      <w:r w:rsidRPr="00B84AF6">
        <w:rPr>
          <w:i/>
        </w:rPr>
        <w:t>Id</w:t>
      </w:r>
      <w:r w:rsidRPr="00B84AF6">
        <w:t>.</w:t>
      </w:r>
      <w:r w:rsidR="00C833A3">
        <w:t xml:space="preserve"> at p. 461.</w:t>
      </w:r>
      <w:r w:rsidRPr="00B84AF6">
        <w:t xml:space="preserve">) </w:t>
      </w:r>
      <w:r w:rsidRPr="00B84AF6">
        <w:t xml:space="preserve"> </w:t>
      </w:r>
      <w:r w:rsidR="00A177E3">
        <w:t>Further</w:t>
      </w:r>
      <w:r w:rsidRPr="00B84AF6">
        <w:t xml:space="preserve"> c</w:t>
      </w:r>
      <w:r w:rsidRPr="00B84AF6">
        <w:t xml:space="preserve">larification was </w:t>
      </w:r>
      <w:r w:rsidR="00A177E3">
        <w:t xml:space="preserve">ultimately </w:t>
      </w:r>
      <w:r w:rsidRPr="00B84AF6">
        <w:t xml:space="preserve">sought by both the officers and the district attorney once defendant arrived at the police station and was formally </w:t>
      </w:r>
      <w:r w:rsidRPr="00B84AF6">
        <w:rPr>
          <w:i/>
        </w:rPr>
        <w:t>Mirandized</w:t>
      </w:r>
      <w:r w:rsidRPr="00B84AF6">
        <w:t xml:space="preserve">. </w:t>
      </w:r>
    </w:p>
    <w:p w:rsidR="009F7180" w:rsidRPr="00B84AF6" w:rsidP="00B84AF6">
      <w:pPr>
        <w:ind w:firstLine="720"/>
      </w:pPr>
      <w:r w:rsidRPr="00B84AF6">
        <w:t xml:space="preserve">Because defendant reinitiated conversation with the officers at San Quentin, and did not clearly invoke his right to counsel en route to the station, the officers were permitted to resume their questioning of defendant about the McKenna homicide.  </w:t>
      </w:r>
      <w:r w:rsidRPr="00B84AF6" w:rsidR="0060578C">
        <w:t>(</w:t>
      </w:r>
      <w:r w:rsidRPr="00B84AF6" w:rsidR="0060578C">
        <w:rPr>
          <w:i/>
        </w:rPr>
        <w:t>Edwards</w:t>
      </w:r>
      <w:r w:rsidRPr="00B84AF6" w:rsidR="0060578C">
        <w:t xml:space="preserve">, </w:t>
      </w:r>
      <w:r w:rsidRPr="00B84AF6" w:rsidR="0060578C">
        <w:rPr>
          <w:i/>
        </w:rPr>
        <w:t>supra</w:t>
      </w:r>
      <w:r w:rsidRPr="00B84AF6" w:rsidR="0060578C">
        <w:t>, 451 U.S. at pp. 484-</w:t>
      </w:r>
      <w:r w:rsidR="0026286F">
        <w:t>4</w:t>
      </w:r>
      <w:r w:rsidRPr="00B84AF6" w:rsidR="0060578C">
        <w:t>85.)</w:t>
      </w:r>
      <w:r w:rsidRPr="00B84AF6">
        <w:t xml:space="preserve">  </w:t>
      </w:r>
    </w:p>
    <w:p w:rsidR="000661AD" w:rsidRPr="00B84AF6" w:rsidP="00086BD0">
      <w:pPr>
        <w:pStyle w:val="Heading4"/>
        <w:numPr>
          <w:ilvl w:val="0"/>
          <w:numId w:val="32"/>
        </w:numPr>
        <w:tabs>
          <w:tab w:val="left" w:pos="2434"/>
        </w:tabs>
        <w:ind w:left="2376"/>
      </w:pPr>
      <w:bookmarkStart w:id="27" w:name="_Toc527447446"/>
      <w:r w:rsidRPr="00B84AF6">
        <w:t>Voluntariness of Miranda</w:t>
      </w:r>
      <w:r w:rsidRPr="00B84AF6" w:rsidR="00066372">
        <w:t xml:space="preserve"> Waiver on March 3</w:t>
      </w:r>
      <w:r w:rsidRPr="00B84AF6">
        <w:t>1st</w:t>
      </w:r>
      <w:bookmarkEnd w:id="27"/>
    </w:p>
    <w:p w:rsidR="00584236" w:rsidRPr="00B84AF6" w:rsidP="00B84AF6">
      <w:pPr>
        <w:tabs>
          <w:tab w:val="left" w:pos="1440"/>
        </w:tabs>
        <w:ind w:firstLine="720"/>
      </w:pPr>
      <w:r w:rsidRPr="00B84AF6">
        <w:t>Even when a suspect initiates further discussions</w:t>
      </w:r>
      <w:r w:rsidR="00A177E3">
        <w:t>,</w:t>
      </w:r>
      <w:r w:rsidRPr="00B84AF6">
        <w:t xml:space="preserve"> the burden remains on the prosecution to show</w:t>
      </w:r>
      <w:r w:rsidRPr="00B84AF6" w:rsidR="002E3B19">
        <w:t xml:space="preserve"> by a preponderance of the evidence</w:t>
      </w:r>
      <w:r w:rsidRPr="00B84AF6">
        <w:t xml:space="preserve"> that the suspect knowingly, intelligently, and voluntarily waived the right</w:t>
      </w:r>
      <w:r w:rsidR="00A177E3">
        <w:t>s</w:t>
      </w:r>
      <w:r w:rsidRPr="00B84AF6">
        <w:t xml:space="preserve"> he had </w:t>
      </w:r>
      <w:r w:rsidRPr="00B84AF6" w:rsidR="00BB0F31">
        <w:t xml:space="preserve">previously </w:t>
      </w:r>
      <w:r w:rsidRPr="00B84AF6">
        <w:t>invoked.  (</w:t>
      </w:r>
      <w:r w:rsidRPr="00B84AF6">
        <w:rPr>
          <w:i/>
        </w:rPr>
        <w:t>Connecticut v. Barrett</w:t>
      </w:r>
      <w:r w:rsidRPr="00B84AF6">
        <w:t xml:space="preserve"> (1987) 479 U.S. 523, 527;</w:t>
      </w:r>
      <w:r w:rsidRPr="00B84AF6" w:rsidR="002E3B19">
        <w:t xml:space="preserve"> </w:t>
      </w:r>
      <w:r w:rsidRPr="00B84AF6" w:rsidR="002E3B19">
        <w:rPr>
          <w:i/>
        </w:rPr>
        <w:t>Connelly</w:t>
      </w:r>
      <w:r w:rsidRPr="00B84AF6" w:rsidR="004F444D">
        <w:t>,</w:t>
      </w:r>
      <w:r w:rsidRPr="00B84AF6" w:rsidR="004F444D">
        <w:rPr>
          <w:i/>
        </w:rPr>
        <w:t xml:space="preserve"> supra</w:t>
      </w:r>
      <w:r w:rsidRPr="00B84AF6" w:rsidR="004F444D">
        <w:t>,</w:t>
      </w:r>
      <w:r w:rsidRPr="00B84AF6" w:rsidR="004F444D">
        <w:rPr>
          <w:i/>
        </w:rPr>
        <w:t xml:space="preserve"> </w:t>
      </w:r>
      <w:r w:rsidRPr="00B84AF6" w:rsidR="002E3B19">
        <w:t xml:space="preserve">479 U.S. </w:t>
      </w:r>
      <w:r w:rsidRPr="00B84AF6" w:rsidR="004F444D">
        <w:t>at p. 1</w:t>
      </w:r>
      <w:r w:rsidRPr="00B84AF6" w:rsidR="002E3B19">
        <w:t>68;</w:t>
      </w:r>
      <w:r w:rsidRPr="00B84AF6">
        <w:t xml:space="preserve"> </w:t>
      </w:r>
      <w:r w:rsidRPr="00B84AF6" w:rsidR="002E3B19">
        <w:rPr>
          <w:i/>
        </w:rPr>
        <w:t>Bradshaw</w:t>
      </w:r>
      <w:r w:rsidRPr="00B84AF6" w:rsidR="00B8508D">
        <w:rPr>
          <w:i/>
        </w:rPr>
        <w:t xml:space="preserve">, supra, </w:t>
      </w:r>
      <w:r w:rsidRPr="00B84AF6" w:rsidR="002E3B19">
        <w:t xml:space="preserve">462 U.S. </w:t>
      </w:r>
      <w:r w:rsidRPr="00B84AF6" w:rsidR="00B8508D">
        <w:t xml:space="preserve">at p. </w:t>
      </w:r>
      <w:r w:rsidRPr="00B84AF6" w:rsidR="002E3B19">
        <w:t xml:space="preserve">1044, plur. opn. of Rehnquist, J.; </w:t>
      </w:r>
      <w:r w:rsidRPr="00086BD0" w:rsidR="00086BD0">
        <w:rPr>
          <w:i/>
        </w:rPr>
        <w:t xml:space="preserve">People v. </w:t>
      </w:r>
      <w:r w:rsidRPr="00B84AF6">
        <w:rPr>
          <w:i/>
        </w:rPr>
        <w:t>Davis</w:t>
      </w:r>
      <w:r w:rsidRPr="00B84AF6" w:rsidR="00744AB3">
        <w:t>,</w:t>
      </w:r>
      <w:r w:rsidRPr="00B84AF6" w:rsidR="00744AB3">
        <w:rPr>
          <w:i/>
        </w:rPr>
        <w:t xml:space="preserve"> supra</w:t>
      </w:r>
      <w:r w:rsidRPr="00B84AF6" w:rsidR="00744AB3">
        <w:t>,</w:t>
      </w:r>
      <w:r w:rsidRPr="00B84AF6" w:rsidR="00744AB3">
        <w:rPr>
          <w:i/>
        </w:rPr>
        <w:t xml:space="preserve"> </w:t>
      </w:r>
      <w:r w:rsidRPr="00B84AF6">
        <w:t xml:space="preserve">46 Cal.4th </w:t>
      </w:r>
      <w:r w:rsidRPr="00B84AF6" w:rsidR="00744AB3">
        <w:t xml:space="preserve">at p. </w:t>
      </w:r>
      <w:r w:rsidRPr="00B84AF6">
        <w:t xml:space="preserve">596.)  </w:t>
      </w:r>
      <w:r w:rsidRPr="00B84AF6" w:rsidR="00426B87">
        <w:t>We independently review the</w:t>
      </w:r>
      <w:r w:rsidRPr="00B84AF6" w:rsidR="000536A4">
        <w:t xml:space="preserve"> validity of the waiver</w:t>
      </w:r>
      <w:r w:rsidRPr="00B84AF6" w:rsidR="00426B87">
        <w:t xml:space="preserve"> “</w:t>
      </w:r>
      <w:r w:rsidR="00AA5EDC">
        <w:t> </w:t>
      </w:r>
      <w:r w:rsidRPr="00B84AF6" w:rsidR="00426B87">
        <w:t>‘in light of the record in its entirety, including “all the surrounding circumstances—both the characteristics of the accused and the details of the [encounter]” .</w:t>
      </w:r>
      <w:r w:rsidR="00AA5EDC">
        <w:t> </w:t>
      </w:r>
      <w:r w:rsidRPr="00B84AF6" w:rsidR="00426B87">
        <w:t>.</w:t>
      </w:r>
      <w:r w:rsidR="00AA5EDC">
        <w:t> </w:t>
      </w:r>
      <w:r w:rsidRPr="00B84AF6" w:rsidR="00426B87">
        <w:t>.</w:t>
      </w:r>
      <w:r w:rsidR="00AA5EDC">
        <w:t> </w:t>
      </w:r>
      <w:r w:rsidRPr="00B84AF6" w:rsidR="00426B87">
        <w:t>.’</w:t>
      </w:r>
      <w:r w:rsidR="00AA5EDC">
        <w:t> </w:t>
      </w:r>
      <w:r w:rsidRPr="00B84AF6" w:rsidR="00426B87">
        <w:t xml:space="preserve">” </w:t>
      </w:r>
      <w:r w:rsidRPr="00B84AF6" w:rsidR="00E2506E">
        <w:t xml:space="preserve"> </w:t>
      </w:r>
      <w:r w:rsidRPr="00B84AF6" w:rsidR="00426B87">
        <w:t>(</w:t>
      </w:r>
      <w:r w:rsidRPr="00B84AF6" w:rsidR="00426B87">
        <w:rPr>
          <w:i/>
        </w:rPr>
        <w:t>People v. Neal</w:t>
      </w:r>
      <w:r w:rsidRPr="00B84AF6" w:rsidR="002E3B19">
        <w:t xml:space="preserve"> (2003) 31 Cal.4th 63, 80</w:t>
      </w:r>
      <w:r w:rsidRPr="00B84AF6" w:rsidR="00E2506E">
        <w:t>.</w:t>
      </w:r>
      <w:r w:rsidRPr="00B84AF6" w:rsidR="00426B87">
        <w:t>)</w:t>
      </w:r>
      <w:r w:rsidRPr="00B84AF6" w:rsidR="002E3B19">
        <w:t xml:space="preserve"> </w:t>
      </w:r>
    </w:p>
    <w:p w:rsidR="00B81BC9" w:rsidRPr="00B84AF6" w:rsidP="00B84AF6">
      <w:pPr>
        <w:tabs>
          <w:tab w:val="left" w:pos="1440"/>
        </w:tabs>
        <w:ind w:firstLine="720"/>
      </w:pPr>
      <w:r w:rsidRPr="00B84AF6">
        <w:t xml:space="preserve">At the station, Dudek again read </w:t>
      </w:r>
      <w:r w:rsidR="00A177E3">
        <w:t>the</w:t>
      </w:r>
      <w:r w:rsidRPr="00B84AF6">
        <w:t xml:space="preserve"> </w:t>
      </w:r>
      <w:r w:rsidRPr="00B84AF6">
        <w:rPr>
          <w:i/>
        </w:rPr>
        <w:t>Miranda</w:t>
      </w:r>
      <w:r w:rsidRPr="00B84AF6">
        <w:t xml:space="preserve"> rights, and defendant acknowledged that he understood </w:t>
      </w:r>
      <w:r w:rsidRPr="00B84AF6">
        <w:t>them</w:t>
      </w:r>
      <w:r w:rsidRPr="00B84AF6" w:rsidR="00F8681B">
        <w:t xml:space="preserve">.  </w:t>
      </w:r>
      <w:r w:rsidR="00A177E3">
        <w:t>He</w:t>
      </w:r>
      <w:r w:rsidRPr="00B84AF6">
        <w:t xml:space="preserve"> concedes that</w:t>
      </w:r>
      <w:r w:rsidRPr="00B84AF6" w:rsidR="00F3150E">
        <w:t xml:space="preserve"> </w:t>
      </w:r>
      <w:r w:rsidRPr="00B84AF6">
        <w:t>his willingness to talk after affirming that he understood his rights is sufficient to estab</w:t>
      </w:r>
      <w:r w:rsidRPr="00B84AF6" w:rsidR="00F8681B">
        <w:t xml:space="preserve">lish an implied waiver.  </w:t>
      </w:r>
      <w:r w:rsidRPr="00B84AF6">
        <w:t xml:space="preserve">(See </w:t>
      </w:r>
      <w:r w:rsidRPr="00B84AF6">
        <w:rPr>
          <w:i/>
        </w:rPr>
        <w:t>Berghuis v. Thompkins</w:t>
      </w:r>
      <w:r w:rsidRPr="00B84AF6" w:rsidR="00744AB3">
        <w:t>,</w:t>
      </w:r>
      <w:r w:rsidRPr="00B84AF6" w:rsidR="00744AB3">
        <w:rPr>
          <w:i/>
        </w:rPr>
        <w:t xml:space="preserve"> supra</w:t>
      </w:r>
      <w:r w:rsidRPr="00B84AF6" w:rsidR="00744AB3">
        <w:t>,</w:t>
      </w:r>
      <w:r w:rsidRPr="00B84AF6" w:rsidR="00744AB3">
        <w:rPr>
          <w:i/>
        </w:rPr>
        <w:t xml:space="preserve"> </w:t>
      </w:r>
      <w:r w:rsidRPr="00B84AF6" w:rsidR="00C04E2D">
        <w:t xml:space="preserve">560 U.S. </w:t>
      </w:r>
      <w:r w:rsidRPr="00B84AF6" w:rsidR="00744AB3">
        <w:t xml:space="preserve">at pp. </w:t>
      </w:r>
      <w:r w:rsidRPr="00B84AF6" w:rsidR="00C04E2D">
        <w:t>383–385</w:t>
      </w:r>
      <w:r w:rsidRPr="00B84AF6" w:rsidR="00AA7631">
        <w:t xml:space="preserve">; </w:t>
      </w:r>
      <w:r w:rsidRPr="00B84AF6" w:rsidR="00AA7631">
        <w:rPr>
          <w:i/>
        </w:rPr>
        <w:t>North Carolina v. Butler</w:t>
      </w:r>
      <w:r w:rsidRPr="00B84AF6" w:rsidR="00AA7631">
        <w:t xml:space="preserve"> (1979) 441 U.S. 369, 373</w:t>
      </w:r>
      <w:r w:rsidRPr="00B84AF6">
        <w:t>.)</w:t>
      </w:r>
      <w:r w:rsidRPr="00B84AF6">
        <w:t xml:space="preserve">  He argues, however, that his waiver was not voluntary because the officers </w:t>
      </w:r>
      <w:r w:rsidRPr="00B84AF6" w:rsidR="005E016E">
        <w:t xml:space="preserve">lied to obtain </w:t>
      </w:r>
      <w:r w:rsidR="00A177E3">
        <w:t>the</w:t>
      </w:r>
      <w:r w:rsidRPr="00B84AF6" w:rsidR="005E016E">
        <w:t xml:space="preserve"> initial waiver, </w:t>
      </w:r>
      <w:r w:rsidRPr="00B84AF6">
        <w:t xml:space="preserve">disregarded his invocations </w:t>
      </w:r>
      <w:r w:rsidRPr="00B84AF6" w:rsidR="005E016E">
        <w:t xml:space="preserve">of the right to counsel, </w:t>
      </w:r>
      <w:r w:rsidRPr="00B84AF6">
        <w:t>and engaged</w:t>
      </w:r>
      <w:r w:rsidRPr="00B84AF6" w:rsidR="00A25450">
        <w:t xml:space="preserve"> in impermissible softening-up</w:t>
      </w:r>
      <w:r w:rsidRPr="00B84AF6" w:rsidR="00F8681B">
        <w:t xml:space="preserve"> tactics.  </w:t>
      </w:r>
      <w:r w:rsidRPr="00B84AF6">
        <w:t>His arguments are unpersuasive.</w:t>
      </w:r>
    </w:p>
    <w:p w:rsidR="00F81850" w:rsidRPr="00B84AF6" w:rsidP="00B84AF6">
      <w:pPr>
        <w:tabs>
          <w:tab w:val="left" w:pos="1440"/>
        </w:tabs>
        <w:ind w:firstLine="720"/>
      </w:pPr>
      <w:r w:rsidRPr="00B84AF6">
        <w:t xml:space="preserve">As explained, </w:t>
      </w:r>
      <w:r w:rsidRPr="00B84AF6" w:rsidR="00323C6C">
        <w:t xml:space="preserve">the </w:t>
      </w:r>
      <w:r w:rsidRPr="00B84AF6" w:rsidR="002E3B19">
        <w:t xml:space="preserve">officers’ </w:t>
      </w:r>
      <w:r w:rsidRPr="00B84AF6" w:rsidR="00323C6C">
        <w:t>“ruse”</w:t>
      </w:r>
      <w:r w:rsidRPr="00B84AF6" w:rsidR="002E3B19">
        <w:t xml:space="preserve"> d</w:t>
      </w:r>
      <w:r w:rsidRPr="00B84AF6" w:rsidR="00323C6C">
        <w:t xml:space="preserve">id not </w:t>
      </w:r>
      <w:r w:rsidRPr="00B84AF6" w:rsidR="002E3B19">
        <w:t xml:space="preserve">invalidate </w:t>
      </w:r>
      <w:r w:rsidRPr="00B84AF6" w:rsidR="00323C6C">
        <w:t>defendant’s initial waiver</w:t>
      </w:r>
      <w:r w:rsidR="00A177E3">
        <w:t>.</w:t>
      </w:r>
      <w:r w:rsidRPr="00B84AF6" w:rsidR="00323C6C">
        <w:t xml:space="preserve">  </w:t>
      </w:r>
      <w:r w:rsidRPr="00B84AF6" w:rsidR="002E3B19">
        <w:t>Moreover, b</w:t>
      </w:r>
      <w:r w:rsidRPr="00B84AF6" w:rsidR="00323C6C">
        <w:t xml:space="preserve">y the time </w:t>
      </w:r>
      <w:r w:rsidRPr="00B84AF6" w:rsidR="002E3B19">
        <w:t xml:space="preserve">defendant </w:t>
      </w:r>
      <w:r w:rsidRPr="00B84AF6" w:rsidR="00323C6C">
        <w:t>was re</w:t>
      </w:r>
      <w:r w:rsidR="005C5A3B">
        <w:t>–</w:t>
      </w:r>
      <w:r w:rsidRPr="00B84AF6" w:rsidR="00323C6C">
        <w:rPr>
          <w:i/>
        </w:rPr>
        <w:t>Mirandized</w:t>
      </w:r>
      <w:r w:rsidRPr="00B84AF6" w:rsidR="00323C6C">
        <w:t xml:space="preserve"> on March 31, </w:t>
      </w:r>
      <w:r w:rsidR="00A177E3">
        <w:t>he knew</w:t>
      </w:r>
      <w:r w:rsidRPr="00B84AF6" w:rsidR="00323C6C">
        <w:t xml:space="preserve"> that he</w:t>
      </w:r>
      <w:r w:rsidRPr="00B84AF6" w:rsidR="002E3B19">
        <w:t xml:space="preserve"> had been arrested </w:t>
      </w:r>
      <w:r w:rsidRPr="00B84AF6" w:rsidR="00CD096C">
        <w:t xml:space="preserve">for </w:t>
      </w:r>
      <w:r w:rsidRPr="00B84AF6" w:rsidR="00323C6C">
        <w:t xml:space="preserve">McKenna’s homicide.  </w:t>
      </w:r>
      <w:r w:rsidR="00A177E3">
        <w:t>T</w:t>
      </w:r>
      <w:r w:rsidRPr="00B84AF6" w:rsidR="00323C6C">
        <w:t>here is no colorable claim of police deception</w:t>
      </w:r>
      <w:r w:rsidRPr="00B84AF6" w:rsidR="002E3B19">
        <w:t xml:space="preserve"> </w:t>
      </w:r>
      <w:r w:rsidR="00A177E3">
        <w:t>as to</w:t>
      </w:r>
      <w:r w:rsidRPr="00B84AF6" w:rsidR="00CD096C">
        <w:t xml:space="preserve"> </w:t>
      </w:r>
      <w:r w:rsidRPr="00B84AF6" w:rsidR="002E3B19">
        <w:t xml:space="preserve">defendant’s second waiver.  </w:t>
      </w:r>
    </w:p>
    <w:p w:rsidR="00BB0F31" w:rsidRPr="00B84AF6" w:rsidP="00B84AF6">
      <w:pPr>
        <w:tabs>
          <w:tab w:val="left" w:pos="1440"/>
        </w:tabs>
        <w:ind w:firstLine="720"/>
      </w:pPr>
      <w:r w:rsidRPr="00B84AF6">
        <w:t xml:space="preserve">Nor did the officers </w:t>
      </w:r>
      <w:r w:rsidRPr="00B84AF6" w:rsidR="00F33B31">
        <w:t xml:space="preserve">disregard defendant’s invocation of the right to counsel.  </w:t>
      </w:r>
      <w:r w:rsidR="00A177E3">
        <w:t>W</w:t>
      </w:r>
      <w:r w:rsidRPr="00B84AF6" w:rsidR="00CD096C">
        <w:t xml:space="preserve">hen defendant asked for counsel during the San Quentin </w:t>
      </w:r>
      <w:r w:rsidRPr="00B84AF6">
        <w:t xml:space="preserve">questioning, the officers immediately ended the interview.  In the car ride to the station, defendant asked whether he would be assigned a public defender and be allowed to talk to that counsel before questioning.  </w:t>
      </w:r>
      <w:r w:rsidRPr="00B84AF6" w:rsidR="008F7F0B">
        <w:t>In response, Se</w:t>
      </w:r>
      <w:r w:rsidRPr="00B84AF6">
        <w:t xml:space="preserve">rgeant Dudek directly affirmed defendant’s right to </w:t>
      </w:r>
      <w:r w:rsidRPr="00B84AF6" w:rsidR="00B109B8">
        <w:t>the assistance of counsel</w:t>
      </w:r>
      <w:r w:rsidRPr="00B84AF6">
        <w:t>, explained just how to make such a request, and affirmed:  “</w:t>
      </w:r>
      <w:r w:rsidR="003C2EE1">
        <w:t>[T]</w:t>
      </w:r>
      <w:r w:rsidRPr="00B84AF6" w:rsidR="00F8681B">
        <w:t>hat’s entirely up to you.”</w:t>
      </w:r>
      <w:r w:rsidRPr="00B84AF6" w:rsidR="00ED773F">
        <w:t xml:space="preserve">  </w:t>
      </w:r>
      <w:r w:rsidR="00810ECC">
        <w:t>D</w:t>
      </w:r>
      <w:r w:rsidRPr="00B84AF6" w:rsidR="00ED773F">
        <w:t xml:space="preserve">efendant did not make an unequivocal request for counsel at that time.  </w:t>
      </w:r>
      <w:r w:rsidRPr="00B84AF6" w:rsidR="00CD096C">
        <w:t xml:space="preserve"> </w:t>
      </w:r>
    </w:p>
    <w:p w:rsidR="00B215AB" w:rsidRPr="00B84AF6" w:rsidP="00B84AF6">
      <w:pPr>
        <w:tabs>
          <w:tab w:val="left" w:pos="1440"/>
        </w:tabs>
        <w:ind w:firstLine="720"/>
      </w:pPr>
      <w:r w:rsidRPr="00B84AF6">
        <w:t xml:space="preserve">Defendant </w:t>
      </w:r>
      <w:r w:rsidRPr="00B84AF6" w:rsidR="00652492">
        <w:t>argues that</w:t>
      </w:r>
      <w:r w:rsidRPr="00B84AF6">
        <w:t xml:space="preserve"> the officers coerced him into waiving his</w:t>
      </w:r>
      <w:r w:rsidRPr="00B84AF6" w:rsidR="000413A2">
        <w:t xml:space="preserve"> </w:t>
      </w:r>
      <w:r w:rsidRPr="00B84AF6" w:rsidR="000413A2">
        <w:rPr>
          <w:i/>
        </w:rPr>
        <w:t>Miranda</w:t>
      </w:r>
      <w:r w:rsidRPr="00B84AF6" w:rsidR="000413A2">
        <w:t xml:space="preserve"> rights at the station</w:t>
      </w:r>
      <w:r w:rsidRPr="00B84AF6">
        <w:t xml:space="preserve"> by engaging in </w:t>
      </w:r>
      <w:r w:rsidRPr="00B84AF6" w:rsidR="000413A2">
        <w:t xml:space="preserve">improper </w:t>
      </w:r>
      <w:r w:rsidRPr="00B84AF6" w:rsidR="00A25450">
        <w:t>softening-up</w:t>
      </w:r>
      <w:r w:rsidRPr="00B84AF6" w:rsidR="00F33B31">
        <w:t xml:space="preserve"> </w:t>
      </w:r>
      <w:r w:rsidRPr="00B84AF6">
        <w:t xml:space="preserve">techniques.  Specifically, he claims the officers </w:t>
      </w:r>
      <w:r w:rsidRPr="00B84AF6" w:rsidR="00F33B31">
        <w:t>disparag</w:t>
      </w:r>
      <w:r w:rsidRPr="00B84AF6">
        <w:t>ed</w:t>
      </w:r>
      <w:r w:rsidRPr="00B84AF6" w:rsidR="00F33B31">
        <w:t xml:space="preserve"> the victim and appeal</w:t>
      </w:r>
      <w:r w:rsidRPr="00B84AF6">
        <w:t>ed</w:t>
      </w:r>
      <w:r w:rsidRPr="00B84AF6" w:rsidR="00F33B31">
        <w:t xml:space="preserve"> to defendant’s desire to mend his </w:t>
      </w:r>
      <w:r w:rsidRPr="00B84AF6" w:rsidR="00EF5043">
        <w:t>relationship with his children.</w:t>
      </w:r>
      <w:r w:rsidRPr="00B84AF6">
        <w:t xml:space="preserve">  He relies primarily on </w:t>
      </w:r>
      <w:r w:rsidRPr="00B84AF6">
        <w:rPr>
          <w:i/>
        </w:rPr>
        <w:t>People v. Honeycutt</w:t>
      </w:r>
      <w:r w:rsidRPr="00B84AF6">
        <w:t xml:space="preserve"> (1977) 20 Cal.3d 150</w:t>
      </w:r>
      <w:r w:rsidRPr="00B84AF6" w:rsidR="00744AB3">
        <w:t xml:space="preserve"> (</w:t>
      </w:r>
      <w:r w:rsidRPr="00B84AF6" w:rsidR="00744AB3">
        <w:rPr>
          <w:i/>
        </w:rPr>
        <w:t>Honeycutt</w:t>
      </w:r>
      <w:r w:rsidRPr="00B84AF6" w:rsidR="00744AB3">
        <w:t>)</w:t>
      </w:r>
      <w:r w:rsidRPr="00B84AF6">
        <w:t>.  The</w:t>
      </w:r>
      <w:r w:rsidRPr="00B84AF6" w:rsidR="00693F48">
        <w:t>re the</w:t>
      </w:r>
      <w:r w:rsidRPr="00B84AF6">
        <w:t xml:space="preserve"> defendant was </w:t>
      </w:r>
      <w:r w:rsidRPr="00B84AF6" w:rsidR="00693F48">
        <w:t xml:space="preserve">initially </w:t>
      </w:r>
      <w:r w:rsidRPr="00B84AF6">
        <w:t>hostile to one of the interrogating officers.</w:t>
      </w:r>
      <w:r w:rsidRPr="00B84AF6" w:rsidR="00693F48">
        <w:t xml:space="preserve">  </w:t>
      </w:r>
      <w:r w:rsidRPr="00B84AF6" w:rsidR="00693F48">
        <w:rPr>
          <w:i/>
        </w:rPr>
        <w:t>Without administering Miranda warnings</w:t>
      </w:r>
      <w:r w:rsidRPr="00B84AF6" w:rsidR="00693F48">
        <w:t>, a</w:t>
      </w:r>
      <w:r w:rsidRPr="00B84AF6">
        <w:t xml:space="preserve"> different officer who had known </w:t>
      </w:r>
      <w:r w:rsidR="00A177E3">
        <w:t>him</w:t>
      </w:r>
      <w:r w:rsidRPr="00B84AF6">
        <w:t xml:space="preserve"> for about 10 years </w:t>
      </w:r>
      <w:r w:rsidR="00A177E3">
        <w:t>had a 30-minute</w:t>
      </w:r>
      <w:r w:rsidRPr="00B84AF6">
        <w:t xml:space="preserve"> unrecorded discussion </w:t>
      </w:r>
      <w:r w:rsidR="00B25E2F">
        <w:t>with him</w:t>
      </w:r>
      <w:r w:rsidRPr="00B84AF6">
        <w:t>.</w:t>
      </w:r>
      <w:r w:rsidRPr="00B84AF6" w:rsidR="00693F48">
        <w:t xml:space="preserve">  </w:t>
      </w:r>
      <w:r w:rsidRPr="00B84AF6">
        <w:t>(</w:t>
      </w:r>
      <w:r w:rsidRPr="00B84AF6">
        <w:rPr>
          <w:i/>
        </w:rPr>
        <w:t>I</w:t>
      </w:r>
      <w:r w:rsidRPr="00B84AF6" w:rsidR="00693F48">
        <w:rPr>
          <w:i/>
        </w:rPr>
        <w:t>d</w:t>
      </w:r>
      <w:r w:rsidRPr="00B84AF6" w:rsidR="00693F48">
        <w:t xml:space="preserve">. at p. 158.)  </w:t>
      </w:r>
      <w:r w:rsidR="00B25E2F">
        <w:t>They</w:t>
      </w:r>
      <w:r w:rsidRPr="00B84AF6" w:rsidR="00B15AC4">
        <w:t xml:space="preserve"> discussed </w:t>
      </w:r>
      <w:r w:rsidRPr="00B84AF6">
        <w:t xml:space="preserve">past events and former acquaintances, and the officer made disparaging comments about the victim. </w:t>
      </w:r>
      <w:r w:rsidRPr="00B84AF6" w:rsidR="00693F48">
        <w:t xml:space="preserve"> </w:t>
      </w:r>
      <w:r w:rsidRPr="00B84AF6">
        <w:t>(</w:t>
      </w:r>
      <w:r w:rsidRPr="00B84AF6">
        <w:rPr>
          <w:i/>
        </w:rPr>
        <w:t>Ibid</w:t>
      </w:r>
      <w:r w:rsidRPr="00B84AF6">
        <w:t>.)</w:t>
      </w:r>
      <w:r w:rsidRPr="00B84AF6" w:rsidR="00693F48">
        <w:t xml:space="preserve">  The defendant </w:t>
      </w:r>
      <w:r w:rsidRPr="00B84AF6">
        <w:t>“</w:t>
      </w:r>
      <w:r w:rsidR="00510516">
        <w:t> </w:t>
      </w:r>
      <w:r w:rsidRPr="00B84AF6">
        <w:t>‘soften</w:t>
      </w:r>
      <w:r w:rsidRPr="00B84AF6" w:rsidR="00A25450">
        <w:t>[</w:t>
      </w:r>
      <w:r w:rsidRPr="00B84AF6" w:rsidR="00693F48">
        <w:t>ed</w:t>
      </w:r>
      <w:r w:rsidRPr="00B84AF6" w:rsidR="00A25450">
        <w:t>]</w:t>
      </w:r>
      <w:r w:rsidRPr="00B84AF6">
        <w:t xml:space="preserve"> up’</w:t>
      </w:r>
      <w:r w:rsidR="00510516">
        <w:t> </w:t>
      </w:r>
      <w:r w:rsidRPr="00B84AF6">
        <w:t xml:space="preserve">” </w:t>
      </w:r>
      <w:r w:rsidRPr="00B84AF6" w:rsidR="00693F48">
        <w:t xml:space="preserve">and agreed to talk about the underlying offense, </w:t>
      </w:r>
      <w:r w:rsidRPr="00B84AF6" w:rsidR="00693F48">
        <w:rPr>
          <w:i/>
        </w:rPr>
        <w:t>after which</w:t>
      </w:r>
      <w:r w:rsidRPr="00B84AF6" w:rsidR="00693F48">
        <w:t xml:space="preserve"> he was advised of and waived his </w:t>
      </w:r>
      <w:r w:rsidRPr="00B84AF6" w:rsidR="00693F48">
        <w:rPr>
          <w:i/>
        </w:rPr>
        <w:t>Miranda</w:t>
      </w:r>
      <w:r w:rsidRPr="00B84AF6" w:rsidR="00693F48">
        <w:t xml:space="preserve"> rights and confessed to </w:t>
      </w:r>
      <w:r w:rsidRPr="00B84AF6" w:rsidR="0068506E">
        <w:t xml:space="preserve">murdering </w:t>
      </w:r>
      <w:r w:rsidRPr="00B84AF6">
        <w:t xml:space="preserve">the victim. </w:t>
      </w:r>
      <w:r w:rsidRPr="00B84AF6" w:rsidR="00693F48">
        <w:t xml:space="preserve"> </w:t>
      </w:r>
      <w:r w:rsidRPr="00B84AF6">
        <w:t>(</w:t>
      </w:r>
      <w:r w:rsidRPr="00B84AF6">
        <w:rPr>
          <w:i/>
        </w:rPr>
        <w:t>Id</w:t>
      </w:r>
      <w:r w:rsidRPr="00B84AF6">
        <w:t xml:space="preserve">. at p. </w:t>
      </w:r>
      <w:r w:rsidRPr="00B84AF6" w:rsidR="00897B7E">
        <w:t>158</w:t>
      </w:r>
      <w:r w:rsidRPr="00B84AF6">
        <w:t>.)</w:t>
      </w:r>
    </w:p>
    <w:p w:rsidR="00B215AB" w:rsidRPr="00B84AF6" w:rsidP="00B84AF6">
      <w:pPr>
        <w:tabs>
          <w:tab w:val="left" w:pos="1440"/>
        </w:tabs>
        <w:ind w:firstLine="720"/>
      </w:pPr>
      <w:r w:rsidRPr="00B84AF6">
        <w:rPr>
          <w:i/>
        </w:rPr>
        <w:t>Honeycutt</w:t>
      </w:r>
      <w:r w:rsidRPr="00B84AF6" w:rsidR="0068506E">
        <w:t xml:space="preserve"> </w:t>
      </w:r>
      <w:r w:rsidR="00B25E2F">
        <w:t>h</w:t>
      </w:r>
      <w:r w:rsidR="00065819">
        <w:t>eld</w:t>
      </w:r>
      <w:r w:rsidRPr="00B84AF6" w:rsidR="0068506E">
        <w:t xml:space="preserve"> the defendant’</w:t>
      </w:r>
      <w:r w:rsidRPr="00B84AF6">
        <w:t xml:space="preserve">s </w:t>
      </w:r>
      <w:r w:rsidRPr="00B84AF6">
        <w:rPr>
          <w:i/>
        </w:rPr>
        <w:t>Miranda</w:t>
      </w:r>
      <w:r w:rsidRPr="00B84AF6">
        <w:t xml:space="preserve"> waiver involuntary. </w:t>
      </w:r>
      <w:r w:rsidRPr="00B84AF6" w:rsidR="00684286">
        <w:t xml:space="preserve"> </w:t>
      </w:r>
      <w:r w:rsidRPr="00B84AF6">
        <w:t>(</w:t>
      </w:r>
      <w:r w:rsidRPr="00B84AF6">
        <w:rPr>
          <w:i/>
        </w:rPr>
        <w:t>Honeycutt</w:t>
      </w:r>
      <w:r w:rsidRPr="00B84AF6">
        <w:t>,</w:t>
      </w:r>
      <w:r w:rsidRPr="00B84AF6">
        <w:rPr>
          <w:i/>
        </w:rPr>
        <w:t xml:space="preserve"> supra</w:t>
      </w:r>
      <w:r w:rsidRPr="00B84AF6">
        <w:t xml:space="preserve">, 20 Cal.3d at p. 161.) </w:t>
      </w:r>
      <w:r w:rsidRPr="00B84AF6" w:rsidR="00684286">
        <w:t xml:space="preserve"> </w:t>
      </w:r>
      <w:r w:rsidR="00B25E2F">
        <w:t>It framed</w:t>
      </w:r>
      <w:r w:rsidRPr="00B84AF6" w:rsidR="007D678E">
        <w:t xml:space="preserve"> the issue as follows:  “Detective Williams had, prior to explaining the </w:t>
      </w:r>
      <w:r w:rsidRPr="00B84AF6" w:rsidR="007D678E">
        <w:rPr>
          <w:i/>
        </w:rPr>
        <w:t>Miranda</w:t>
      </w:r>
      <w:r w:rsidRPr="00B84AF6" w:rsidR="007D678E">
        <w:t xml:space="preserve"> rights, already succeeded in persuading defendant to waive such rights.  Thus the critical question is what effect failure to give a timely </w:t>
      </w:r>
      <w:r w:rsidRPr="00B84AF6" w:rsidR="007D678E">
        <w:rPr>
          <w:i/>
        </w:rPr>
        <w:t>Miranda</w:t>
      </w:r>
      <w:r w:rsidRPr="00B84AF6" w:rsidR="007D678E">
        <w:t xml:space="preserve"> warning has on the </w:t>
      </w:r>
      <w:r w:rsidRPr="00B84AF6" w:rsidR="008257D0">
        <w:t xml:space="preserve">voluntariness of a decision to waive which is induced prior to the </w:t>
      </w:r>
      <w:r w:rsidRPr="00B84AF6" w:rsidR="008257D0">
        <w:rPr>
          <w:i/>
        </w:rPr>
        <w:t>Miranda</w:t>
      </w:r>
      <w:r w:rsidRPr="00B84AF6" w:rsidR="008257D0">
        <w:t xml:space="preserve"> admonitions.”  (</w:t>
      </w:r>
      <w:r w:rsidRPr="00B84AF6" w:rsidR="00B01A1B">
        <w:rPr>
          <w:i/>
        </w:rPr>
        <w:t>Id</w:t>
      </w:r>
      <w:r w:rsidRPr="00B84AF6" w:rsidR="00B01A1B">
        <w:t xml:space="preserve">. at p. 159.)  </w:t>
      </w:r>
      <w:r w:rsidRPr="00B84AF6" w:rsidR="00B01A1B">
        <w:rPr>
          <w:i/>
        </w:rPr>
        <w:t>Honeycutt</w:t>
      </w:r>
      <w:r w:rsidRPr="00B84AF6" w:rsidR="00A25450">
        <w:t xml:space="preserve"> concluded that, “W</w:t>
      </w:r>
      <w:r w:rsidRPr="00B84AF6">
        <w:t xml:space="preserve">hen the waiver results from a clever softening-up of a defendant through disparagement of the victim and ingratiating conversation, the subsequent decision to waive without a </w:t>
      </w:r>
      <w:r w:rsidRPr="00B84AF6">
        <w:rPr>
          <w:i/>
        </w:rPr>
        <w:t>Miranda</w:t>
      </w:r>
      <w:r w:rsidRPr="00B84AF6">
        <w:t xml:space="preserve"> warning must be deemed to be involuntary for the same reason that an incriminating statement made under police interrogation without a </w:t>
      </w:r>
      <w:r w:rsidRPr="00B84AF6">
        <w:rPr>
          <w:i/>
        </w:rPr>
        <w:t>Miranda</w:t>
      </w:r>
      <w:r w:rsidRPr="00B84AF6">
        <w:t xml:space="preserve"> warning is deemed to be involuntary.” </w:t>
      </w:r>
      <w:r w:rsidRPr="00B84AF6" w:rsidR="00B01A1B">
        <w:t xml:space="preserve"> </w:t>
      </w:r>
      <w:r w:rsidRPr="00B84AF6">
        <w:t>(</w:t>
      </w:r>
      <w:r w:rsidRPr="00B84AF6">
        <w:rPr>
          <w:i/>
        </w:rPr>
        <w:t>Id</w:t>
      </w:r>
      <w:r w:rsidRPr="00B84AF6">
        <w:t>. at pp. 160–161.)</w:t>
      </w:r>
    </w:p>
    <w:p w:rsidR="00683753" w:rsidRPr="00B84AF6" w:rsidP="00B84AF6">
      <w:pPr>
        <w:tabs>
          <w:tab w:val="left" w:pos="1440"/>
        </w:tabs>
        <w:ind w:firstLine="720"/>
      </w:pPr>
      <w:r w:rsidRPr="00B84AF6">
        <w:t>Defendant</w:t>
      </w:r>
      <w:r w:rsidRPr="00B84AF6" w:rsidR="003A6EDD">
        <w:t>’</w:t>
      </w:r>
      <w:r w:rsidRPr="00B84AF6">
        <w:t xml:space="preserve">s reliance on </w:t>
      </w:r>
      <w:r w:rsidRPr="00B84AF6">
        <w:rPr>
          <w:i/>
        </w:rPr>
        <w:t>Honeycutt</w:t>
      </w:r>
      <w:r w:rsidRPr="00B84AF6">
        <w:t xml:space="preserve"> is misplaced. </w:t>
      </w:r>
      <w:r w:rsidRPr="00B84AF6" w:rsidR="00B01A1B">
        <w:t xml:space="preserve"> First, unlike that case, defendant here was well aware of his </w:t>
      </w:r>
      <w:r w:rsidRPr="00B84AF6" w:rsidR="00B01A1B">
        <w:rPr>
          <w:i/>
        </w:rPr>
        <w:t>Miranda</w:t>
      </w:r>
      <w:r w:rsidRPr="00B84AF6" w:rsidR="00B01A1B">
        <w:t xml:space="preserve"> rights, having previously </w:t>
      </w:r>
      <w:r w:rsidRPr="00B84AF6" w:rsidR="00BB0F31">
        <w:t xml:space="preserve">and successfully invoked them.  </w:t>
      </w:r>
      <w:r w:rsidRPr="00B84AF6" w:rsidR="00B01A1B">
        <w:t xml:space="preserve">Dudek affirmed defendant’s right to counsel during the very discussion defendant claims was intended to soften him up.  </w:t>
      </w:r>
      <w:r w:rsidR="00B25E2F">
        <w:t>A</w:t>
      </w:r>
      <w:r w:rsidRPr="00B84AF6" w:rsidR="00B01A1B">
        <w:t xml:space="preserve"> key predicate to the </w:t>
      </w:r>
      <w:r w:rsidRPr="00B84AF6" w:rsidR="00B01A1B">
        <w:rPr>
          <w:i/>
        </w:rPr>
        <w:t>Honeycutt</w:t>
      </w:r>
      <w:r w:rsidRPr="00B84AF6" w:rsidR="00B01A1B">
        <w:t xml:space="preserve"> holding</w:t>
      </w:r>
      <w:r w:rsidR="00B25E2F">
        <w:t xml:space="preserve">, </w:t>
      </w:r>
      <w:r w:rsidRPr="00B84AF6" w:rsidR="00B01A1B">
        <w:t xml:space="preserve">the absence of </w:t>
      </w:r>
      <w:r w:rsidRPr="00B84AF6" w:rsidR="00B01A1B">
        <w:rPr>
          <w:i/>
        </w:rPr>
        <w:t>Miranda</w:t>
      </w:r>
      <w:r w:rsidRPr="00B84AF6" w:rsidR="00B01A1B">
        <w:t xml:space="preserve"> warnings</w:t>
      </w:r>
      <w:r w:rsidR="00B25E2F">
        <w:t xml:space="preserve">, </w:t>
      </w:r>
      <w:r w:rsidRPr="00B84AF6" w:rsidR="005337DE">
        <w:t xml:space="preserve">does not exist here.  </w:t>
      </w:r>
      <w:r w:rsidRPr="00B84AF6" w:rsidR="00B01A1B">
        <w:t>Second,</w:t>
      </w:r>
      <w:r w:rsidRPr="00B84AF6" w:rsidR="008335C9">
        <w:t xml:space="preserve"> </w:t>
      </w:r>
      <w:r w:rsidRPr="00B84AF6" w:rsidR="008839FD">
        <w:t xml:space="preserve">defendant was not hostile to the </w:t>
      </w:r>
      <w:r w:rsidRPr="00B84AF6" w:rsidR="00B03AB8">
        <w:t>officers</w:t>
      </w:r>
      <w:r w:rsidRPr="00B84AF6" w:rsidR="008839FD">
        <w:t xml:space="preserve">, and Dudek did not exploit a personal relationship to encourage </w:t>
      </w:r>
      <w:r w:rsidR="00B25E2F">
        <w:t>his waiver of rights</w:t>
      </w:r>
      <w:r w:rsidRPr="00B84AF6" w:rsidR="008839FD">
        <w:t>.</w:t>
      </w:r>
      <w:r w:rsidRPr="00B84AF6" w:rsidR="00A709BF">
        <w:t xml:space="preserve">  </w:t>
      </w:r>
      <w:r w:rsidRPr="00B84AF6" w:rsidR="00001F50">
        <w:t xml:space="preserve">Third, </w:t>
      </w:r>
      <w:r w:rsidRPr="00B84AF6" w:rsidR="00E33F1A">
        <w:t xml:space="preserve">in his interview with </w:t>
      </w:r>
      <w:r w:rsidR="00B25E2F">
        <w:t>D</w:t>
      </w:r>
      <w:r w:rsidR="0023345A">
        <w:t xml:space="preserve">eputy </w:t>
      </w:r>
      <w:r w:rsidR="00B25E2F">
        <w:t>D</w:t>
      </w:r>
      <w:r w:rsidR="0023345A">
        <w:t xml:space="preserve">istrict </w:t>
      </w:r>
      <w:r w:rsidR="00B25E2F">
        <w:t>A</w:t>
      </w:r>
      <w:r w:rsidR="0023345A">
        <w:t>ttorney</w:t>
      </w:r>
      <w:r w:rsidRPr="00B84AF6" w:rsidR="00E33F1A">
        <w:t xml:space="preserve"> Sweet, defendant confirmed that he waived his rights voluntarily, stating that it was his decision to talk and that “[i]n my mind, [the officers] didn’t press the issue</w:t>
      </w:r>
      <w:r w:rsidRPr="00B84AF6" w:rsidR="00F8681B">
        <w:t xml:space="preserve">, understand me?”  </w:t>
      </w:r>
      <w:r w:rsidRPr="00B84AF6" w:rsidR="00E33F1A">
        <w:t>He affirmed that the officers said</w:t>
      </w:r>
      <w:r w:rsidRPr="00B84AF6" w:rsidR="00FE4B17">
        <w:t xml:space="preserve"> or</w:t>
      </w:r>
      <w:r w:rsidRPr="00B84AF6" w:rsidR="00E33F1A">
        <w:t xml:space="preserve"> did nothing that made him think he </w:t>
      </w:r>
      <w:r w:rsidRPr="00B84AF6" w:rsidR="009B6F84">
        <w:t xml:space="preserve">had </w:t>
      </w:r>
      <w:r w:rsidRPr="00B84AF6" w:rsidR="00E33F1A">
        <w:t>to speak with them.</w:t>
      </w:r>
      <w:r w:rsidRPr="00B84AF6" w:rsidR="00F8681B">
        <w:t xml:space="preserve">  </w:t>
      </w:r>
      <w:r w:rsidRPr="00B84AF6" w:rsidR="002E372F">
        <w:t xml:space="preserve">All of these </w:t>
      </w:r>
      <w:r w:rsidRPr="00B84AF6">
        <w:t>factors weigh heavily against defendant’s argument that his decision to waive his right to counsel and speak with</w:t>
      </w:r>
      <w:r w:rsidRPr="00B84AF6" w:rsidR="00B03AB8">
        <w:t xml:space="preserve"> the officers</w:t>
      </w:r>
      <w:r w:rsidRPr="00B84AF6">
        <w:t xml:space="preserve"> was not voluntary.</w:t>
      </w:r>
    </w:p>
    <w:p w:rsidR="005F5C03" w:rsidRPr="00B84AF6" w:rsidP="00B84AF6">
      <w:pPr>
        <w:tabs>
          <w:tab w:val="left" w:pos="1440"/>
        </w:tabs>
        <w:ind w:firstLine="720"/>
      </w:pPr>
      <w:r w:rsidRPr="00B84AF6">
        <w:t xml:space="preserve">Defendant argues that, </w:t>
      </w:r>
      <w:r w:rsidRPr="00B84AF6" w:rsidR="009B6F84">
        <w:t xml:space="preserve">as </w:t>
      </w:r>
      <w:r w:rsidRPr="00B84AF6">
        <w:t xml:space="preserve">in </w:t>
      </w:r>
      <w:r w:rsidRPr="00B84AF6">
        <w:rPr>
          <w:i/>
        </w:rPr>
        <w:t>Honeycutt</w:t>
      </w:r>
      <w:r w:rsidRPr="00B84AF6">
        <w:t>, the officers here disparaged the victim in an attempt to minimize the crime and ingratiat</w:t>
      </w:r>
      <w:r w:rsidRPr="00B84AF6" w:rsidR="00F8681B">
        <w:t>e themselves</w:t>
      </w:r>
      <w:r w:rsidR="00B25E2F">
        <w:t>.</w:t>
      </w:r>
      <w:r w:rsidRPr="00B84AF6" w:rsidR="00F8681B">
        <w:t xml:space="preserve">  </w:t>
      </w:r>
      <w:r w:rsidRPr="00B84AF6" w:rsidR="00683753">
        <w:t xml:space="preserve">He </w:t>
      </w:r>
      <w:r w:rsidRPr="00B84AF6" w:rsidR="003D1B01">
        <w:t xml:space="preserve">observes that </w:t>
      </w:r>
      <w:r w:rsidRPr="00B84AF6" w:rsidR="00683753">
        <w:t>the officers</w:t>
      </w:r>
      <w:r w:rsidRPr="00B84AF6" w:rsidR="003D1B01">
        <w:t xml:space="preserve"> questioned him about </w:t>
      </w:r>
      <w:r w:rsidRPr="00B84AF6" w:rsidR="007648D0">
        <w:t>M</w:t>
      </w:r>
      <w:r w:rsidRPr="00B84AF6" w:rsidR="00683753">
        <w:t>c</w:t>
      </w:r>
      <w:r w:rsidRPr="00B84AF6" w:rsidR="009F5F1E">
        <w:t>K</w:t>
      </w:r>
      <w:r w:rsidRPr="00B84AF6" w:rsidR="00683753">
        <w:t>enna</w:t>
      </w:r>
      <w:r w:rsidRPr="00B84AF6" w:rsidR="007648D0">
        <w:t xml:space="preserve">’s drug use and </w:t>
      </w:r>
      <w:r w:rsidRPr="00B84AF6" w:rsidR="00683753">
        <w:t xml:space="preserve">whether she </w:t>
      </w:r>
      <w:r w:rsidR="00B25E2F">
        <w:t xml:space="preserve">favored multi-party sex. </w:t>
      </w:r>
      <w:r w:rsidRPr="00B84AF6" w:rsidR="00DC1E2D">
        <w:t xml:space="preserve"> Dudek</w:t>
      </w:r>
      <w:r w:rsidRPr="00B84AF6" w:rsidR="003D1B01">
        <w:t xml:space="preserve"> commented that </w:t>
      </w:r>
      <w:r w:rsidRPr="00B84AF6" w:rsidR="00DC1E2D">
        <w:t>he knew McKenna was not an angel.</w:t>
      </w:r>
      <w:r w:rsidRPr="00B84AF6" w:rsidR="00F8681B">
        <w:t xml:space="preserve">  </w:t>
      </w:r>
      <w:r w:rsidRPr="00B84AF6" w:rsidR="00904881">
        <w:rPr>
          <w:i/>
        </w:rPr>
        <w:t>Honeycutt</w:t>
      </w:r>
      <w:r w:rsidRPr="00B84AF6" w:rsidR="00904881">
        <w:t xml:space="preserve"> did cite the officer’s disparaging comments about the victim </w:t>
      </w:r>
      <w:r w:rsidRPr="00B84AF6" w:rsidR="002A18F3">
        <w:t xml:space="preserve">before any </w:t>
      </w:r>
      <w:r w:rsidRPr="00B84AF6" w:rsidR="002A18F3">
        <w:rPr>
          <w:i/>
        </w:rPr>
        <w:t>Miranda</w:t>
      </w:r>
      <w:r w:rsidRPr="00B84AF6" w:rsidR="002A18F3">
        <w:t xml:space="preserve"> admonition as </w:t>
      </w:r>
      <w:r w:rsidRPr="00B84AF6" w:rsidR="00904881">
        <w:t xml:space="preserve">one of several factors that combined to render the defendant’s waiver involuntary.  </w:t>
      </w:r>
      <w:r w:rsidRPr="00B84AF6" w:rsidR="00F5047A">
        <w:t>(</w:t>
      </w:r>
      <w:r w:rsidRPr="00B84AF6" w:rsidR="00F5047A">
        <w:rPr>
          <w:i/>
        </w:rPr>
        <w:t>Honeycutt</w:t>
      </w:r>
      <w:r w:rsidRPr="00B84AF6" w:rsidR="00F5047A">
        <w:t>,</w:t>
      </w:r>
      <w:r w:rsidRPr="00B84AF6" w:rsidR="00F5047A">
        <w:rPr>
          <w:i/>
        </w:rPr>
        <w:t xml:space="preserve"> supra</w:t>
      </w:r>
      <w:r w:rsidRPr="00B84AF6" w:rsidR="00F5047A">
        <w:t>, 20 Cal.3d at p</w:t>
      </w:r>
      <w:r w:rsidRPr="00B84AF6" w:rsidR="00D42B4F">
        <w:t>p</w:t>
      </w:r>
      <w:r w:rsidRPr="00B84AF6" w:rsidR="00F5047A">
        <w:t xml:space="preserve">. </w:t>
      </w:r>
      <w:r w:rsidRPr="00B84AF6" w:rsidR="00D42B4F">
        <w:t xml:space="preserve">158, </w:t>
      </w:r>
      <w:r w:rsidRPr="00B84AF6" w:rsidR="00F5047A">
        <w:t xml:space="preserve">160.)  </w:t>
      </w:r>
      <w:r w:rsidRPr="00B84AF6" w:rsidR="00904881">
        <w:t>But here, as noted, the other factors were absent:  defendant was not hostile or reluctant to speak</w:t>
      </w:r>
      <w:r w:rsidR="0023345A">
        <w:t>;</w:t>
      </w:r>
      <w:r w:rsidRPr="00B84AF6" w:rsidR="00904881">
        <w:t xml:space="preserve"> the officers did not exploit a </w:t>
      </w:r>
      <w:r w:rsidR="00B25E2F">
        <w:t>long-standing relationship</w:t>
      </w:r>
      <w:r w:rsidR="0064310A">
        <w:t>;</w:t>
      </w:r>
      <w:r w:rsidRPr="00B84AF6" w:rsidR="00904881">
        <w:t xml:space="preserve"> and he was forewarned of his </w:t>
      </w:r>
      <w:r w:rsidRPr="00B84AF6" w:rsidR="00904881">
        <w:rPr>
          <w:i/>
        </w:rPr>
        <w:t>Miranda</w:t>
      </w:r>
      <w:r w:rsidRPr="00B84AF6" w:rsidR="00904881">
        <w:t xml:space="preserve"> rights.  The officers’ brief comments about the victim</w:t>
      </w:r>
      <w:r w:rsidRPr="00B84AF6">
        <w:t>, standing alone,</w:t>
      </w:r>
      <w:r w:rsidRPr="00B84AF6" w:rsidR="00904881">
        <w:t xml:space="preserve"> </w:t>
      </w:r>
      <w:r w:rsidRPr="00B84AF6">
        <w:t xml:space="preserve">did not render defendant’s waiver involuntary. </w:t>
      </w:r>
    </w:p>
    <w:p w:rsidR="00B02697" w:rsidRPr="00B84AF6" w:rsidP="00B84AF6">
      <w:pPr>
        <w:tabs>
          <w:tab w:val="left" w:pos="1440"/>
        </w:tabs>
        <w:ind w:firstLine="720"/>
      </w:pPr>
      <w:r w:rsidRPr="00B84AF6">
        <w:t xml:space="preserve">The same is true of Dudek’s comments to defendant about mending his relationship with his children.  Dudek did not threaten defendant’s children with prosecution or other harm if </w:t>
      </w:r>
      <w:r w:rsidR="00B25E2F">
        <w:t>he</w:t>
      </w:r>
      <w:r w:rsidRPr="00B84AF6">
        <w:t xml:space="preserve"> failed to confess.  (</w:t>
      </w:r>
      <w:r w:rsidRPr="00B84AF6" w:rsidR="00F45605">
        <w:t>See</w:t>
      </w:r>
      <w:r w:rsidRPr="00B84AF6">
        <w:t xml:space="preserve"> </w:t>
      </w:r>
      <w:r w:rsidRPr="00B84AF6" w:rsidR="00D42B4F">
        <w:rPr>
          <w:i/>
        </w:rPr>
        <w:t>Lynumn</w:t>
      </w:r>
      <w:r w:rsidRPr="00B84AF6" w:rsidR="002B3662">
        <w:rPr>
          <w:i/>
        </w:rPr>
        <w:t xml:space="preserve"> v. Illinois</w:t>
      </w:r>
      <w:r w:rsidRPr="00B84AF6" w:rsidR="00D42B4F">
        <w:t>,</w:t>
      </w:r>
      <w:r w:rsidRPr="00B84AF6" w:rsidR="00D42B4F">
        <w:rPr>
          <w:i/>
        </w:rPr>
        <w:t xml:space="preserve"> supra</w:t>
      </w:r>
      <w:r w:rsidRPr="00B84AF6" w:rsidR="00D42B4F">
        <w:t>,</w:t>
      </w:r>
      <w:r w:rsidRPr="00B84AF6" w:rsidR="00897B7E">
        <w:t xml:space="preserve"> 372 U.S. </w:t>
      </w:r>
      <w:r w:rsidRPr="00B84AF6" w:rsidR="00D42B4F">
        <w:t xml:space="preserve">at pp. </w:t>
      </w:r>
      <w:r w:rsidRPr="00B84AF6" w:rsidR="00897B7E">
        <w:t>531–</w:t>
      </w:r>
      <w:r w:rsidRPr="00B84AF6" w:rsidR="002B3662">
        <w:t xml:space="preserve">532; </w:t>
      </w:r>
      <w:r w:rsidRPr="00B84AF6" w:rsidR="00F45605">
        <w:rPr>
          <w:i/>
        </w:rPr>
        <w:t>People v. Steger</w:t>
      </w:r>
      <w:r w:rsidRPr="00B84AF6" w:rsidR="00F45605">
        <w:t xml:space="preserve"> (1976) 16 Cal.3d 539, 550; </w:t>
      </w:r>
      <w:r w:rsidRPr="00B84AF6" w:rsidR="002B3662">
        <w:rPr>
          <w:i/>
        </w:rPr>
        <w:t>In re Shawn D</w:t>
      </w:r>
      <w:r w:rsidRPr="00B84AF6" w:rsidR="002B3662">
        <w:t xml:space="preserve">. (1993) 20 Cal.App.4th 200, 212.)  As </w:t>
      </w:r>
      <w:r w:rsidRPr="00B84AF6">
        <w:t>defendant’s own statements indicate</w:t>
      </w:r>
      <w:r w:rsidRPr="00B84AF6" w:rsidR="002B3662">
        <w:t xml:space="preserve">, he was motivated </w:t>
      </w:r>
      <w:r w:rsidRPr="00B84AF6" w:rsidR="00BF181C">
        <w:t xml:space="preserve">to confess because he was tired of living with the guilt of </w:t>
      </w:r>
      <w:r w:rsidRPr="00B84AF6" w:rsidR="00014D6A">
        <w:t xml:space="preserve">killing </w:t>
      </w:r>
      <w:r w:rsidRPr="00B84AF6" w:rsidR="00F8681B">
        <w:t xml:space="preserve">McKenna.  </w:t>
      </w:r>
      <w:r w:rsidRPr="00B84AF6" w:rsidR="00BF181C">
        <w:t xml:space="preserve">He </w:t>
      </w:r>
      <w:r w:rsidRPr="00B84AF6" w:rsidR="00014D6A">
        <w:t>believed</w:t>
      </w:r>
      <w:r w:rsidRPr="00B84AF6" w:rsidR="00BF181C">
        <w:t xml:space="preserve"> that officers would be coming for him, and emphasized that “if you didn’t come, I would have </w:t>
      </w:r>
      <w:r w:rsidRPr="00B84AF6" w:rsidR="00F8681B">
        <w:t xml:space="preserve">came to you.”  </w:t>
      </w:r>
      <w:r w:rsidRPr="00B84AF6" w:rsidR="00AA136D">
        <w:t xml:space="preserve">He acknowledged that his public defender would tell him not to cooperate, but </w:t>
      </w:r>
      <w:r w:rsidRPr="00B84AF6" w:rsidR="00972C75">
        <w:t xml:space="preserve">commented that </w:t>
      </w:r>
      <w:r w:rsidRPr="00B84AF6" w:rsidR="00AA136D">
        <w:t>“he doesn’t have</w:t>
      </w:r>
      <w:r w:rsidRPr="00B84AF6" w:rsidR="00F8681B">
        <w:t xml:space="preserve"> to wear my shoes.”  </w:t>
      </w:r>
      <w:r w:rsidRPr="00B84AF6" w:rsidR="00AA136D">
        <w:t>Defendant w</w:t>
      </w:r>
      <w:r w:rsidRPr="00B84AF6" w:rsidR="00BF181C">
        <w:t xml:space="preserve">anted </w:t>
      </w:r>
      <w:r w:rsidRPr="00B84AF6" w:rsidR="00014D6A">
        <w:t xml:space="preserve">an expedited resolution, </w:t>
      </w:r>
      <w:r w:rsidRPr="00B84AF6" w:rsidR="005F5C03">
        <w:t xml:space="preserve">perhaps to spare himself and </w:t>
      </w:r>
      <w:r w:rsidRPr="00B84AF6" w:rsidR="002B3662">
        <w:t xml:space="preserve">his family the </w:t>
      </w:r>
      <w:r w:rsidRPr="00B84AF6" w:rsidR="005F5C03">
        <w:t xml:space="preserve">stress of </w:t>
      </w:r>
      <w:r w:rsidRPr="00B84AF6" w:rsidR="002B3662">
        <w:t>a trial</w:t>
      </w:r>
      <w:r w:rsidRPr="00B84AF6">
        <w:t xml:space="preserve">.  </w:t>
      </w:r>
      <w:r w:rsidRPr="00B84AF6" w:rsidR="00C0470F">
        <w:t xml:space="preserve">He commented, “I know what I did.  All right.  And I just want to </w:t>
      </w:r>
      <w:r w:rsidRPr="00B84AF6" w:rsidR="00A26E93">
        <w:t xml:space="preserve">get it over with.”  </w:t>
      </w:r>
      <w:r w:rsidRPr="00B84AF6" w:rsidR="00BF181C">
        <w:t>T</w:t>
      </w:r>
      <w:r w:rsidRPr="00B84AF6" w:rsidR="002B3662">
        <w:t xml:space="preserve">he </w:t>
      </w:r>
      <w:r w:rsidRPr="00B84AF6">
        <w:t>Fifth Amendment is not “concerned with moral and psychological pressures to confess emanating from sources other than official coercion.”  (</w:t>
      </w:r>
      <w:r w:rsidRPr="00B84AF6">
        <w:rPr>
          <w:i/>
        </w:rPr>
        <w:t>Oregon v. Elstad</w:t>
      </w:r>
      <w:r w:rsidRPr="00B84AF6">
        <w:t xml:space="preserve"> </w:t>
      </w:r>
      <w:r w:rsidRPr="00B84AF6" w:rsidR="00D42B4F">
        <w:t xml:space="preserve">(1985) </w:t>
      </w:r>
      <w:r w:rsidRPr="00B84AF6">
        <w:t>470 U</w:t>
      </w:r>
      <w:r w:rsidRPr="00B84AF6" w:rsidR="00897B7E">
        <w:t xml:space="preserve">.S. </w:t>
      </w:r>
      <w:r w:rsidRPr="00B84AF6" w:rsidR="00243CDA">
        <w:t xml:space="preserve">298, </w:t>
      </w:r>
      <w:r w:rsidRPr="00B84AF6" w:rsidR="00897B7E">
        <w:t>304–</w:t>
      </w:r>
      <w:r w:rsidRPr="00B84AF6">
        <w:t>305.)</w:t>
      </w:r>
    </w:p>
    <w:p w:rsidR="00904881" w:rsidRPr="00B84AF6" w:rsidP="00B84AF6">
      <w:pPr>
        <w:tabs>
          <w:tab w:val="left" w:pos="1440"/>
        </w:tabs>
        <w:ind w:firstLine="720"/>
      </w:pPr>
      <w:r w:rsidRPr="00B84AF6">
        <w:t xml:space="preserve">In sum, the </w:t>
      </w:r>
      <w:r w:rsidRPr="00B84AF6" w:rsidR="00436CAB">
        <w:t>conversation during the car ride d</w:t>
      </w:r>
      <w:r w:rsidRPr="00B84AF6" w:rsidR="0073798E">
        <w:t>id not</w:t>
      </w:r>
      <w:r w:rsidRPr="00B84AF6" w:rsidR="002B3662">
        <w:t xml:space="preserve"> </w:t>
      </w:r>
      <w:r w:rsidRPr="00B84AF6">
        <w:t>improperly “soften</w:t>
      </w:r>
      <w:r w:rsidR="00D573C7">
        <w:t>-up</w:t>
      </w:r>
      <w:r w:rsidRPr="00B84AF6">
        <w:t xml:space="preserve">” defendant </w:t>
      </w:r>
      <w:r w:rsidRPr="00B84AF6" w:rsidR="00436CAB">
        <w:t>or render his waivers involuntary</w:t>
      </w:r>
      <w:r w:rsidRPr="00B84AF6">
        <w:t>.</w:t>
      </w:r>
      <w:r w:rsidRPr="00B84AF6" w:rsidR="0073798E">
        <w:t xml:space="preserve">  His statement at the police station was properly admitted.  </w:t>
      </w:r>
    </w:p>
    <w:p w:rsidR="007D37E0" w:rsidRPr="00B84AF6" w:rsidP="00B84AF6">
      <w:pPr>
        <w:pStyle w:val="Heading3"/>
        <w:numPr>
          <w:ilvl w:val="0"/>
          <w:numId w:val="26"/>
        </w:numPr>
        <w:ind w:left="1584" w:hanging="432"/>
      </w:pPr>
      <w:bookmarkStart w:id="28" w:name="_Toc527447447"/>
      <w:r w:rsidRPr="00B84AF6">
        <w:t>Other Crimes Evidence</w:t>
      </w:r>
      <w:bookmarkEnd w:id="28"/>
    </w:p>
    <w:p w:rsidR="005768D3" w:rsidRPr="00B84AF6" w:rsidP="00B84AF6">
      <w:pPr>
        <w:tabs>
          <w:tab w:val="left" w:pos="1440"/>
        </w:tabs>
        <w:ind w:firstLine="720"/>
      </w:pPr>
      <w:r w:rsidRPr="00B84AF6">
        <w:t>As</w:t>
      </w:r>
      <w:r w:rsidRPr="00B84AF6" w:rsidR="00EE3705">
        <w:t xml:space="preserve"> noted</w:t>
      </w:r>
      <w:r w:rsidRPr="00B84AF6">
        <w:t>, t</w:t>
      </w:r>
      <w:r w:rsidRPr="00B84AF6" w:rsidR="003136A0">
        <w:t xml:space="preserve">he prosecutor introduced evidence of three </w:t>
      </w:r>
      <w:r w:rsidR="00B25E2F">
        <w:t>other</w:t>
      </w:r>
      <w:r w:rsidRPr="00B84AF6" w:rsidR="003136A0">
        <w:t xml:space="preserve"> crimes</w:t>
      </w:r>
      <w:r w:rsidRPr="00B84AF6" w:rsidR="00EE3705">
        <w:t xml:space="preserve">:  </w:t>
      </w:r>
      <w:r w:rsidRPr="00B84AF6" w:rsidR="0099374E">
        <w:t xml:space="preserve">two rapes and the </w:t>
      </w:r>
      <w:r w:rsidRPr="00B84AF6" w:rsidR="00EE3705">
        <w:t xml:space="preserve">physical abuse of </w:t>
      </w:r>
      <w:r w:rsidRPr="00B84AF6" w:rsidR="0099374E">
        <w:t>his wife.  Defendant challenged the admissibility of this evidence below, and renews his argumen</w:t>
      </w:r>
      <w:r w:rsidRPr="00B84AF6" w:rsidR="00377893">
        <w:t xml:space="preserve">ts on appeal. </w:t>
      </w:r>
      <w:r w:rsidR="00135A49">
        <w:t xml:space="preserve"> </w:t>
      </w:r>
      <w:r w:rsidR="00B25E2F">
        <w:t>A</w:t>
      </w:r>
      <w:r w:rsidRPr="00B84AF6">
        <w:t>ll three incidents were properly admitted.</w:t>
      </w:r>
    </w:p>
    <w:p w:rsidR="005768D3" w:rsidRPr="00B84AF6" w:rsidP="00086BD0">
      <w:pPr>
        <w:pStyle w:val="Heading4"/>
        <w:numPr>
          <w:ilvl w:val="0"/>
          <w:numId w:val="24"/>
        </w:numPr>
        <w:tabs>
          <w:tab w:val="left" w:pos="2434"/>
        </w:tabs>
        <w:ind w:left="2376"/>
      </w:pPr>
      <w:bookmarkStart w:id="29" w:name="_Toc527447448"/>
      <w:r w:rsidRPr="00B84AF6">
        <w:t>Crimes A</w:t>
      </w:r>
      <w:r w:rsidRPr="00B84AF6">
        <w:t>gainst Anne</w:t>
      </w:r>
      <w:r w:rsidRPr="00B84AF6" w:rsidR="00933942">
        <w:t xml:space="preserve"> H. and Mabel L. (Evid. Code, § </w:t>
      </w:r>
      <w:r w:rsidRPr="00B84AF6">
        <w:t>1108)</w:t>
      </w:r>
      <w:bookmarkEnd w:id="29"/>
    </w:p>
    <w:p w:rsidR="00302E50" w:rsidRPr="00B84AF6" w:rsidP="00B84AF6">
      <w:pPr>
        <w:tabs>
          <w:tab w:val="left" w:pos="1440"/>
        </w:tabs>
        <w:ind w:firstLine="720"/>
      </w:pPr>
      <w:r>
        <w:t>U</w:t>
      </w:r>
      <w:r w:rsidRPr="00B84AF6">
        <w:t>nder Evidence Code section 1108</w:t>
      </w:r>
      <w:r>
        <w:t>, t</w:t>
      </w:r>
      <w:r w:rsidRPr="00B84AF6" w:rsidR="000F0540">
        <w:t xml:space="preserve">he trial court admitted evidence that defendant raped </w:t>
      </w:r>
      <w:r w:rsidRPr="00B84AF6" w:rsidR="005A5FD1">
        <w:t>Anne H. and Mabel L.</w:t>
      </w:r>
      <w:r w:rsidRPr="00B84AF6" w:rsidR="004C129A">
        <w:t xml:space="preserve">  That section carves out an exception to Evidence Code section</w:t>
      </w:r>
      <w:r w:rsidRPr="00B84AF6" w:rsidR="00A3762F">
        <w:t xml:space="preserve"> 1101, subdivision (a)’s ban </w:t>
      </w:r>
      <w:r w:rsidR="00D573C7">
        <w:t xml:space="preserve">on </w:t>
      </w:r>
      <w:r>
        <w:t>character</w:t>
      </w:r>
      <w:r w:rsidRPr="00B84AF6" w:rsidR="00A3762F">
        <w:t xml:space="preserve"> evidence offered to prove a person’s conduct on a particular occasion.  Specifically, </w:t>
      </w:r>
      <w:r w:rsidRPr="00B84AF6">
        <w:t>subdivision (a)</w:t>
      </w:r>
      <w:r w:rsidRPr="00B84AF6" w:rsidR="00A3762F">
        <w:t xml:space="preserve"> of Evidence Code section 1108 </w:t>
      </w:r>
      <w:r w:rsidRPr="00B84AF6" w:rsidR="005A5FD1">
        <w:t>provides:</w:t>
      </w:r>
      <w:r w:rsidRPr="00B84AF6">
        <w:t xml:space="preserve">  “In a criminal action in which the defendant is accused of a sexual offense, evidence of the defendant’s commission of another sexual offense or offenses is not made inadmissible by Section 1101, if the evidence is not inadmissible pursuant to Section 352.”  Evidence Code section 352, in turn, provides that “[t]he court in its discretion may exclude evidence if its probative value is substantially outweighed by the probability that its admission will (a) </w:t>
      </w:r>
      <w:r w:rsidRPr="00B84AF6" w:rsidR="002564DB">
        <w:t>necessitate undue consumption of time or (b) create substantial danger of undue prejudice, of confusing the issues, or of misleading the jury.”</w:t>
      </w:r>
      <w:r w:rsidRPr="00B84AF6" w:rsidR="00773BFB">
        <w:t xml:space="preserve">  In short,</w:t>
      </w:r>
      <w:r w:rsidRPr="00B84AF6" w:rsidR="006D3A5F">
        <w:t xml:space="preserve"> if evidence satisfies section 1108, </w:t>
      </w:r>
      <w:r w:rsidRPr="00B84AF6" w:rsidR="00651122">
        <w:t xml:space="preserve">and is not excluded under section </w:t>
      </w:r>
      <w:r w:rsidRPr="00B84AF6" w:rsidR="006D3A5F">
        <w:t>352, admission of that evidence to prove propensity</w:t>
      </w:r>
      <w:r w:rsidRPr="00B84AF6" w:rsidR="007244F8">
        <w:t xml:space="preserve"> is permitted.  </w:t>
      </w:r>
      <w:r w:rsidRPr="00B84AF6" w:rsidR="006D3A5F">
        <w:t>(</w:t>
      </w:r>
      <w:r w:rsidRPr="00B84AF6" w:rsidR="006D3A5F">
        <w:rPr>
          <w:i/>
        </w:rPr>
        <w:t>People v. Daveggio and Michaud</w:t>
      </w:r>
      <w:r w:rsidRPr="00B84AF6" w:rsidR="001A5569">
        <w:t xml:space="preserve"> (2018) 4 Cal.5</w:t>
      </w:r>
      <w:r w:rsidRPr="00B84AF6" w:rsidR="00FA2E47">
        <w:t>th 790, 823</w:t>
      </w:r>
      <w:r w:rsidRPr="00B84AF6" w:rsidR="006D3A5F">
        <w:t xml:space="preserve">.)  </w:t>
      </w:r>
    </w:p>
    <w:p w:rsidR="00CF334A" w:rsidRPr="00B84AF6" w:rsidP="00B84AF6">
      <w:pPr>
        <w:tabs>
          <w:tab w:val="left" w:pos="1440"/>
        </w:tabs>
        <w:ind w:firstLine="720"/>
      </w:pPr>
      <w:r w:rsidRPr="00B84AF6">
        <w:t xml:space="preserve">Defendant’s </w:t>
      </w:r>
      <w:r w:rsidR="00B25E2F">
        <w:t>earlier rape offen</w:t>
      </w:r>
      <w:r w:rsidR="003B5685">
        <w:t>s</w:t>
      </w:r>
      <w:r w:rsidR="00B25E2F">
        <w:t>es fall under the rule</w:t>
      </w:r>
      <w:r w:rsidRPr="00B84AF6">
        <w:t xml:space="preserve"> </w:t>
      </w:r>
      <w:r w:rsidR="00522662">
        <w:t xml:space="preserve">of </w:t>
      </w:r>
      <w:r w:rsidRPr="00B84AF6">
        <w:t xml:space="preserve">Evidence Code section 1108, subdivision (a).  (See </w:t>
      </w:r>
      <w:r w:rsidRPr="00B84AF6">
        <w:rPr>
          <w:i/>
        </w:rPr>
        <w:t>id</w:t>
      </w:r>
      <w:r w:rsidRPr="00B84AF6" w:rsidR="00C60700">
        <w:t xml:space="preserve">., subd. (d)(1)(A).)  </w:t>
      </w:r>
      <w:r w:rsidR="00B25E2F">
        <w:t>Nevertheless, d</w:t>
      </w:r>
      <w:r w:rsidRPr="00B84AF6" w:rsidR="00092EAF">
        <w:t xml:space="preserve">efendant </w:t>
      </w:r>
      <w:r w:rsidRPr="00B84AF6" w:rsidR="0018006B">
        <w:t>maintains</w:t>
      </w:r>
      <w:r w:rsidR="00B25E2F">
        <w:t xml:space="preserve"> their admission </w:t>
      </w:r>
      <w:r w:rsidRPr="00B84AF6" w:rsidR="00092EAF">
        <w:t xml:space="preserve">violated </w:t>
      </w:r>
      <w:r w:rsidRPr="00B84AF6" w:rsidR="001A521B">
        <w:t>due process under the f</w:t>
      </w:r>
      <w:r w:rsidRPr="00B84AF6" w:rsidR="00092EAF">
        <w:t>ederal Constitution</w:t>
      </w:r>
      <w:r w:rsidRPr="00B84AF6" w:rsidR="00E9219C">
        <w:t>.</w:t>
      </w:r>
      <w:r w:rsidRPr="00B84AF6" w:rsidR="006416C5">
        <w:t xml:space="preserve">  </w:t>
      </w:r>
      <w:r w:rsidRPr="00B84AF6" w:rsidR="0018006B">
        <w:t xml:space="preserve">He concedes that </w:t>
      </w:r>
      <w:r w:rsidRPr="00B84AF6" w:rsidR="006416C5">
        <w:t xml:space="preserve">we rejected this argument nearly two decades ago in </w:t>
      </w:r>
      <w:r w:rsidRPr="00B84AF6" w:rsidR="00367D3E">
        <w:rPr>
          <w:i/>
        </w:rPr>
        <w:t>People v. Falsetta</w:t>
      </w:r>
      <w:r w:rsidRPr="00B84AF6" w:rsidR="00367D3E">
        <w:t xml:space="preserve"> (1999) 21 Cal.4th 903, 907</w:t>
      </w:r>
      <w:r w:rsidRPr="00B84AF6" w:rsidR="0018006B">
        <w:t xml:space="preserve">, but urges us </w:t>
      </w:r>
      <w:r w:rsidRPr="00B84AF6" w:rsidR="001A521B">
        <w:t>to reconsider that holding</w:t>
      </w:r>
      <w:r w:rsidRPr="00B84AF6" w:rsidR="009D7AFF">
        <w:t xml:space="preserve">.  We </w:t>
      </w:r>
      <w:r w:rsidRPr="00B84AF6" w:rsidR="001A521B">
        <w:t>have repeatedly declined to do so</w:t>
      </w:r>
      <w:r w:rsidRPr="00B84AF6" w:rsidR="009D7AFF">
        <w:t>.</w:t>
      </w:r>
      <w:r w:rsidRPr="00B84AF6" w:rsidR="001A521B">
        <w:t xml:space="preserve">  (See </w:t>
      </w:r>
      <w:r w:rsidRPr="00B84AF6" w:rsidR="00C257B5">
        <w:rPr>
          <w:i/>
        </w:rPr>
        <w:t xml:space="preserve">People v. Daveggio and Michaud, supra, </w:t>
      </w:r>
      <w:r w:rsidRPr="00B84AF6" w:rsidR="00CF69E6">
        <w:t>4 Cal.5</w:t>
      </w:r>
      <w:r w:rsidRPr="00B84AF6" w:rsidR="00C257B5">
        <w:t xml:space="preserve">th at p. 827; </w:t>
      </w:r>
      <w:r w:rsidRPr="00B84AF6" w:rsidR="00D54352">
        <w:rPr>
          <w:i/>
        </w:rPr>
        <w:t>People v. Lo</w:t>
      </w:r>
      <w:r w:rsidRPr="00B84AF6" w:rsidR="00DD22D7">
        <w:rPr>
          <w:i/>
        </w:rPr>
        <w:t>y</w:t>
      </w:r>
      <w:r w:rsidRPr="00B84AF6" w:rsidR="00D54352">
        <w:t xml:space="preserve"> (2011) </w:t>
      </w:r>
      <w:r w:rsidRPr="00B84AF6" w:rsidR="00260F07">
        <w:t xml:space="preserve">52 Cal.4th 46, 60–61; </w:t>
      </w:r>
      <w:r w:rsidRPr="00B84AF6" w:rsidR="00CC630B">
        <w:rPr>
          <w:i/>
        </w:rPr>
        <w:t>People v. Lewis</w:t>
      </w:r>
      <w:r w:rsidRPr="00B84AF6" w:rsidR="00CC630B">
        <w:t xml:space="preserve"> (2</w:t>
      </w:r>
      <w:r w:rsidRPr="00B84AF6" w:rsidR="00C257B5">
        <w:t>009) 46 Cal.4th 1255, 1288–1289</w:t>
      </w:r>
      <w:r w:rsidRPr="00B84AF6" w:rsidR="00CC630B">
        <w:t>.)</w:t>
      </w:r>
      <w:r w:rsidRPr="00B84AF6" w:rsidR="009D7AFF">
        <w:t xml:space="preserve">  </w:t>
      </w:r>
      <w:r w:rsidRPr="00B84AF6" w:rsidR="009A1121">
        <w:t xml:space="preserve">He </w:t>
      </w:r>
      <w:r w:rsidRPr="00B84AF6" w:rsidR="00073A48">
        <w:t xml:space="preserve">offers no persuasive reason </w:t>
      </w:r>
      <w:r w:rsidRPr="00B84AF6" w:rsidR="00111A1D">
        <w:t>for reconsideration of this established pr</w:t>
      </w:r>
      <w:r w:rsidRPr="00B84AF6" w:rsidR="00073A48">
        <w:t xml:space="preserve">ecedent.  </w:t>
      </w:r>
      <w:r w:rsidRPr="00B84AF6" w:rsidR="009A1121">
        <w:t xml:space="preserve">Specifically, his argument that </w:t>
      </w:r>
      <w:r w:rsidRPr="00B84AF6" w:rsidR="00073A48">
        <w:t>Evidence Code section 352 does not provide the “</w:t>
      </w:r>
      <w:r w:rsidRPr="00B84AF6" w:rsidR="00397ED0">
        <w:t> </w:t>
      </w:r>
      <w:r w:rsidRPr="00B84AF6" w:rsidR="00073A48">
        <w:t xml:space="preserve">‘safeguard’ ” </w:t>
      </w:r>
      <w:r w:rsidR="00B25E2F">
        <w:t>anticipated</w:t>
      </w:r>
      <w:r w:rsidRPr="00B84AF6" w:rsidR="00073A48">
        <w:t xml:space="preserve"> in </w:t>
      </w:r>
      <w:r w:rsidRPr="00B84AF6" w:rsidR="00073A48">
        <w:rPr>
          <w:i/>
        </w:rPr>
        <w:t>Falsetta</w:t>
      </w:r>
      <w:r w:rsidRPr="00B84AF6" w:rsidR="00073A48">
        <w:t xml:space="preserve"> </w:t>
      </w:r>
      <w:r w:rsidRPr="00B84AF6" w:rsidR="009A1121">
        <w:t>is unpersuasive</w:t>
      </w:r>
      <w:r w:rsidRPr="00B84AF6" w:rsidR="00073A48">
        <w:t xml:space="preserve">.  </w:t>
      </w:r>
      <w:r w:rsidRPr="00B84AF6" w:rsidR="008E50A5">
        <w:t>T</w:t>
      </w:r>
      <w:r w:rsidRPr="00B84AF6" w:rsidR="009A1121">
        <w:t xml:space="preserve">o the contrary, </w:t>
      </w:r>
      <w:r w:rsidRPr="00B84AF6" w:rsidR="00073A48">
        <w:t>the record</w:t>
      </w:r>
      <w:r w:rsidRPr="00B84AF6" w:rsidR="00AC03D9">
        <w:t xml:space="preserve"> here </w:t>
      </w:r>
      <w:r w:rsidRPr="00B84AF6" w:rsidR="00073A48">
        <w:t>demonstrates the trial court’s careful attention to Evidence Code s</w:t>
      </w:r>
      <w:r w:rsidRPr="00B84AF6" w:rsidR="00C60700">
        <w:t>ection 352 factors</w:t>
      </w:r>
      <w:r w:rsidR="00B25E2F">
        <w:t>.</w:t>
      </w:r>
    </w:p>
    <w:p w:rsidR="009A1121" w:rsidRPr="00B84AF6" w:rsidP="00086BD0">
      <w:pPr>
        <w:pStyle w:val="Heading4"/>
        <w:numPr>
          <w:ilvl w:val="0"/>
          <w:numId w:val="38"/>
        </w:numPr>
        <w:tabs>
          <w:tab w:val="left" w:pos="2434"/>
        </w:tabs>
        <w:ind w:left="2376"/>
      </w:pPr>
      <w:bookmarkStart w:id="30" w:name="_Toc527447449"/>
      <w:r w:rsidRPr="00B84AF6">
        <w:t xml:space="preserve">Crimes Against </w:t>
      </w:r>
      <w:r w:rsidRPr="00B84AF6" w:rsidR="006C2660">
        <w:t xml:space="preserve">Defendant’s Wife, </w:t>
      </w:r>
      <w:r w:rsidRPr="00B84AF6">
        <w:t>Brenda</w:t>
      </w:r>
      <w:r w:rsidRPr="00B84AF6" w:rsidR="006C2660">
        <w:t xml:space="preserve"> </w:t>
      </w:r>
      <w:r w:rsidRPr="00B84AF6" w:rsidR="008D4EFD">
        <w:t>(Evid. Code, § </w:t>
      </w:r>
      <w:r w:rsidRPr="00B84AF6">
        <w:t>1101, subd. (b))</w:t>
      </w:r>
      <w:bookmarkEnd w:id="30"/>
    </w:p>
    <w:p w:rsidR="009E7CDE" w:rsidRPr="00B84AF6" w:rsidP="00B84AF6">
      <w:pPr>
        <w:tabs>
          <w:tab w:val="left" w:pos="1440"/>
        </w:tabs>
        <w:ind w:firstLine="720"/>
      </w:pPr>
      <w:r w:rsidRPr="00B84AF6">
        <w:t xml:space="preserve">Defendant challenges </w:t>
      </w:r>
      <w:r w:rsidR="0050592B">
        <w:t xml:space="preserve">the </w:t>
      </w:r>
      <w:r w:rsidRPr="00B84AF6">
        <w:t>admission of evidence that he strangled his wife</w:t>
      </w:r>
      <w:r w:rsidR="009358AB">
        <w:t>, Brenda,</w:t>
      </w:r>
      <w:r w:rsidRPr="00B84AF6">
        <w:t xml:space="preserve"> to unconsciousness</w:t>
      </w:r>
      <w:r w:rsidR="00301D7B">
        <w:t>.</w:t>
      </w:r>
      <w:r w:rsidRPr="00B84AF6">
        <w:t xml:space="preserve">  Evidence Code section 1101, subdivision (b) allows the admission of other crime</w:t>
      </w:r>
      <w:r w:rsidR="009F6672">
        <w:t xml:space="preserve"> evidence</w:t>
      </w:r>
      <w:r w:rsidRPr="00B84AF6">
        <w:t xml:space="preserve"> relevant to prove </w:t>
      </w:r>
      <w:r w:rsidR="00301D7B">
        <w:t>a</w:t>
      </w:r>
      <w:r w:rsidRPr="00B84AF6">
        <w:t xml:space="preserve"> fact at issue, such as intent, common plan, identity, lack of mistake</w:t>
      </w:r>
      <w:r w:rsidR="00301D7B">
        <w:t>,</w:t>
      </w:r>
      <w:r w:rsidRPr="00B84AF6">
        <w:t xml:space="preserve"> or accident.  </w:t>
      </w:r>
      <w:r w:rsidR="00301D7B">
        <w:t>There was</w:t>
      </w:r>
      <w:r w:rsidRPr="00B84AF6">
        <w:t xml:space="preserve"> no abuse of discretion</w:t>
      </w:r>
      <w:r w:rsidR="00301D7B">
        <w:t xml:space="preserve"> here</w:t>
      </w:r>
      <w:r w:rsidRPr="00B84AF6">
        <w:t xml:space="preserve">.  (See </w:t>
      </w:r>
      <w:r w:rsidRPr="00B84AF6">
        <w:rPr>
          <w:i/>
        </w:rPr>
        <w:t>People v. Jones</w:t>
      </w:r>
      <w:r w:rsidRPr="00B84AF6">
        <w:t xml:space="preserve"> (2013) 57 Cal.4th 899, 930.)  </w:t>
      </w:r>
      <w:r w:rsidR="00301D7B">
        <w:t>D</w:t>
      </w:r>
      <w:r w:rsidRPr="00B84AF6" w:rsidR="00177329">
        <w:t xml:space="preserve">efendant’s assault on Brenda was </w:t>
      </w:r>
      <w:r w:rsidR="00301D7B">
        <w:t>relevant</w:t>
      </w:r>
      <w:r w:rsidRPr="00B84AF6" w:rsidR="00177329">
        <w:t xml:space="preserve"> to prove that he intentionally used deadly force on McKenna and to defeat his claim that her death was </w:t>
      </w:r>
      <w:r w:rsidR="00301D7B">
        <w:t>accidental</w:t>
      </w:r>
      <w:r w:rsidRPr="00B84AF6" w:rsidR="00177329">
        <w:t>.  T</w:t>
      </w:r>
      <w:r w:rsidRPr="00B84AF6">
        <w:t xml:space="preserve">he jury was properly instructed on the limitations on </w:t>
      </w:r>
      <w:r w:rsidR="00301D7B">
        <w:t>how</w:t>
      </w:r>
      <w:r w:rsidRPr="00B84AF6">
        <w:t xml:space="preserve"> the evidence</w:t>
      </w:r>
      <w:r w:rsidR="00301D7B">
        <w:t xml:space="preserve"> could be used</w:t>
      </w:r>
      <w:r w:rsidRPr="00B84AF6">
        <w:t>.</w:t>
      </w:r>
      <w:r>
        <w:rPr>
          <w:rStyle w:val="FootnoteReference"/>
        </w:rPr>
        <w:footnoteReference w:id="14"/>
      </w:r>
    </w:p>
    <w:p w:rsidR="00177329" w:rsidRPr="00B84AF6" w:rsidP="00B84AF6">
      <w:pPr>
        <w:tabs>
          <w:tab w:val="left" w:pos="1440"/>
        </w:tabs>
        <w:ind w:firstLine="720"/>
      </w:pPr>
      <w:r>
        <w:t xml:space="preserve">In order to be relevant, the </w:t>
      </w:r>
      <w:r w:rsidRPr="00B84AF6" w:rsidR="00DF27E0">
        <w:t xml:space="preserve">“least degree of similarity (between the uncharged act and the charged offense) is required in order to prove intent.  [Citation.]  ‘[T]he recurrence of a similar result . . . tends (increasingly with each instance) to </w:t>
      </w:r>
      <w:r>
        <w:t>[negate]</w:t>
      </w:r>
      <w:r w:rsidRPr="00B84AF6" w:rsidR="00DF27E0">
        <w:t xml:space="preserve"> accident or inadvertence or self-defense or good faith or other innocent mental state, and tends to establish (provisionally, at least, though not certainly) the presence of the normal, i.e., criminal, intent accompanying such an act .</w:t>
      </w:r>
      <w:r w:rsidR="00510516">
        <w:t> </w:t>
      </w:r>
      <w:r w:rsidRPr="00B84AF6" w:rsidR="00DF27E0">
        <w:t>.</w:t>
      </w:r>
      <w:r w:rsidR="00510516">
        <w:t> </w:t>
      </w:r>
      <w:r w:rsidRPr="00B84AF6" w:rsidR="00DF27E0">
        <w:t>.</w:t>
      </w:r>
      <w:r w:rsidR="00510516">
        <w:t> </w:t>
      </w:r>
      <w:r w:rsidRPr="00B84AF6" w:rsidR="00DF27E0">
        <w:t>.’ [Citation.]  In order to be admissible to prove intent, the uncharged misconduct must be sufficiently similar to support the inference that the defendant ‘</w:t>
      </w:r>
      <w:r w:rsidR="00510516">
        <w:t> </w:t>
      </w:r>
      <w:r w:rsidRPr="00B84AF6" w:rsidR="00DF27E0">
        <w:t>“probably harbor[ed] the same intent in each instance.”</w:t>
      </w:r>
      <w:r w:rsidR="00510516">
        <w:t> </w:t>
      </w:r>
      <w:r w:rsidRPr="00B84AF6" w:rsidR="00DF27E0">
        <w:t>’</w:t>
      </w:r>
      <w:r w:rsidR="00510516">
        <w:t> </w:t>
      </w:r>
      <w:r w:rsidRPr="00B84AF6" w:rsidR="00DF27E0">
        <w:t xml:space="preserve">”  </w:t>
      </w:r>
      <w:r w:rsidRPr="00B84AF6" w:rsidR="00FE6A7F">
        <w:t>(</w:t>
      </w:r>
      <w:r w:rsidRPr="00B84AF6" w:rsidR="00FE6A7F">
        <w:rPr>
          <w:i/>
        </w:rPr>
        <w:t xml:space="preserve">People v. Ewoldt </w:t>
      </w:r>
      <w:r w:rsidRPr="00B84AF6" w:rsidR="00FE6A7F">
        <w:t>(1994) 7 Cal.4th 380, 402 (</w:t>
      </w:r>
      <w:r w:rsidRPr="00B84AF6" w:rsidR="00FE6A7F">
        <w:rPr>
          <w:i/>
        </w:rPr>
        <w:t>Ewoldt</w:t>
      </w:r>
      <w:r w:rsidRPr="00B84AF6" w:rsidR="00FE6A7F">
        <w:t>).)</w:t>
      </w:r>
    </w:p>
    <w:p w:rsidR="00FE6A7F" w:rsidRPr="00B84AF6" w:rsidP="00B84AF6">
      <w:pPr>
        <w:tabs>
          <w:tab w:val="left" w:pos="1440"/>
        </w:tabs>
        <w:ind w:firstLine="720"/>
      </w:pPr>
      <w:r w:rsidRPr="00B84AF6">
        <w:t xml:space="preserve">Defendant argues that </w:t>
      </w:r>
      <w:r w:rsidR="00301D7B">
        <w:t>his</w:t>
      </w:r>
      <w:r w:rsidRPr="00B84AF6">
        <w:t xml:space="preserve"> spousal abuse was so dissimilar from the McKenna strangulation that it was irrelevant to prove intent or demonstrate lack of accident.  He observes that </w:t>
      </w:r>
      <w:r w:rsidRPr="00B84AF6" w:rsidR="00DF27E0">
        <w:t>corporal injury on a spouse</w:t>
      </w:r>
      <w:r w:rsidR="00301D7B">
        <w:t xml:space="preserve"> is</w:t>
      </w:r>
      <w:r w:rsidRPr="00B84AF6" w:rsidR="00DF27E0">
        <w:t xml:space="preserve"> a general intent crime, </w:t>
      </w:r>
      <w:r w:rsidR="00301D7B">
        <w:t>while</w:t>
      </w:r>
      <w:r w:rsidRPr="00B84AF6" w:rsidR="00DF27E0">
        <w:t xml:space="preserve"> the current crime was murder.</w:t>
      </w:r>
      <w:r w:rsidRPr="00B84AF6">
        <w:t xml:space="preserve">  </w:t>
      </w:r>
      <w:r w:rsidRPr="00B84AF6" w:rsidR="00685B89">
        <w:t xml:space="preserve">He argues that the assault on McKenna occurred during a sexual encounter, while the assault on Brenda was prompted by an argument over his drug use and his fear that she would report him to his parole officer.  </w:t>
      </w:r>
      <w:r w:rsidRPr="00B84AF6">
        <w:t>He further contends that there could be no inference of lack of accident from “</w:t>
      </w:r>
      <w:r w:rsidR="00510516">
        <w:t> </w:t>
      </w:r>
      <w:r w:rsidRPr="00B84AF6">
        <w:t>‘the recurrence of a similar result’</w:t>
      </w:r>
      <w:r w:rsidR="00510516">
        <w:t> </w:t>
      </w:r>
      <w:r w:rsidRPr="00B84AF6">
        <w:t>” (</w:t>
      </w:r>
      <w:r w:rsidRPr="00B84AF6">
        <w:rPr>
          <w:i/>
        </w:rPr>
        <w:t>Ewoldt</w:t>
      </w:r>
      <w:r w:rsidRPr="00B84AF6">
        <w:t xml:space="preserve">, </w:t>
      </w:r>
      <w:r w:rsidRPr="00B84AF6">
        <w:rPr>
          <w:i/>
        </w:rPr>
        <w:t>supra</w:t>
      </w:r>
      <w:r w:rsidRPr="00B84AF6">
        <w:t xml:space="preserve">, 7 Cal.4th at p. 402), because here there was no similar result.  McKenna died and Brenda did not.  </w:t>
      </w:r>
    </w:p>
    <w:p w:rsidR="00DF27E0" w:rsidRPr="00B84AF6" w:rsidP="00B84AF6">
      <w:pPr>
        <w:tabs>
          <w:tab w:val="left" w:pos="1440"/>
        </w:tabs>
        <w:ind w:firstLine="720"/>
      </w:pPr>
      <w:r w:rsidRPr="00B84AF6">
        <w:t xml:space="preserve">His arguments miss the mark.  </w:t>
      </w:r>
      <w:r w:rsidRPr="00B84AF6" w:rsidR="00E40593">
        <w:t>D</w:t>
      </w:r>
      <w:r w:rsidRPr="00B84AF6" w:rsidR="001B5005">
        <w:t>efendant</w:t>
      </w:r>
      <w:r w:rsidRPr="00B84AF6" w:rsidR="00D55C99">
        <w:t xml:space="preserve">’s statements to police placed his intent at issue.  He </w:t>
      </w:r>
      <w:r w:rsidRPr="00B84AF6" w:rsidR="001B5005">
        <w:t>claimed that he and McKenna engaged in consensual sex, during which she asked him to strangle her.  He insist</w:t>
      </w:r>
      <w:r w:rsidR="00301D7B">
        <w:t>ed</w:t>
      </w:r>
      <w:r w:rsidRPr="00B84AF6" w:rsidR="001B5005">
        <w:t xml:space="preserve"> that she wanted to be strangled and her death was</w:t>
      </w:r>
      <w:r w:rsidR="00281A02">
        <w:t xml:space="preserve"> </w:t>
      </w:r>
      <w:r w:rsidR="009358AB">
        <w:t>accidental</w:t>
      </w:r>
      <w:r w:rsidRPr="00B84AF6" w:rsidR="001B5005">
        <w:t>.  McKenna’s death prevented her from telling her side of the story</w:t>
      </w:r>
      <w:r w:rsidRPr="00B84AF6" w:rsidR="009A2E71">
        <w:t xml:space="preserve">.  </w:t>
      </w:r>
      <w:r w:rsidR="00301D7B">
        <w:t>However, the assault</w:t>
      </w:r>
      <w:r w:rsidR="00D81541">
        <w:t>s</w:t>
      </w:r>
      <w:r w:rsidR="00301D7B">
        <w:t xml:space="preserve"> on Brenda and McKenna were sufficiently similar to support several inferences related to defendant’s own intent and motive.  In both case</w:t>
      </w:r>
      <w:r w:rsidR="00B71EEB">
        <w:t>s</w:t>
      </w:r>
      <w:r w:rsidR="00301D7B">
        <w:t xml:space="preserve"> defendant strangled women with whom he was intimate.  Brenda was rendered unconscious twice.  The effect on McKenna was lethal</w:t>
      </w:r>
      <w:r w:rsidRPr="00B84AF6" w:rsidR="00A07F60">
        <w:t>.  D</w:t>
      </w:r>
      <w:r w:rsidRPr="00B84AF6">
        <w:t xml:space="preserve">efendant’s </w:t>
      </w:r>
      <w:r w:rsidR="00301D7B">
        <w:t>conduct with</w:t>
      </w:r>
      <w:r w:rsidRPr="00B84AF6">
        <w:t xml:space="preserve"> Brenda could support an inference that he acted with conscious disregard for </w:t>
      </w:r>
      <w:r w:rsidRPr="00B84AF6" w:rsidR="00B34FEA">
        <w:t>the</w:t>
      </w:r>
      <w:r w:rsidRPr="00B84AF6">
        <w:t xml:space="preserve"> danger to</w:t>
      </w:r>
      <w:r w:rsidR="00301D7B">
        <w:t xml:space="preserve"> the li</w:t>
      </w:r>
      <w:r w:rsidR="00F52BB2">
        <w:t>ves</w:t>
      </w:r>
      <w:r w:rsidR="00301D7B">
        <w:t xml:space="preserve"> of both women</w:t>
      </w:r>
      <w:r w:rsidRPr="00B84AF6" w:rsidR="00B34FEA">
        <w:t xml:space="preserve">, and that he intended to dominate </w:t>
      </w:r>
      <w:r w:rsidR="009358AB">
        <w:t>his</w:t>
      </w:r>
      <w:r w:rsidRPr="00B84AF6" w:rsidR="00B34FEA">
        <w:t xml:space="preserve"> intimate partner</w:t>
      </w:r>
      <w:r w:rsidR="009358AB">
        <w:t>s</w:t>
      </w:r>
      <w:r w:rsidRPr="00B84AF6" w:rsidR="00B34FEA">
        <w:t xml:space="preserve"> in that manner</w:t>
      </w:r>
      <w:r w:rsidRPr="00B84AF6">
        <w:t xml:space="preserve">.  The </w:t>
      </w:r>
      <w:r w:rsidRPr="00B84AF6" w:rsidR="00C435C2">
        <w:t xml:space="preserve">fortuity that </w:t>
      </w:r>
      <w:r w:rsidRPr="00B84AF6">
        <w:t xml:space="preserve">Brenda survived the strangulation </w:t>
      </w:r>
      <w:r w:rsidRPr="00B84AF6" w:rsidR="0004038B">
        <w:t>d</w:t>
      </w:r>
      <w:r w:rsidRPr="00B84AF6">
        <w:t xml:space="preserve">oes not diminish the legitimate inference </w:t>
      </w:r>
      <w:r w:rsidRPr="00B84AF6" w:rsidR="00B34FEA">
        <w:t xml:space="preserve">that </w:t>
      </w:r>
      <w:r w:rsidRPr="00B84AF6" w:rsidR="007961B5">
        <w:t xml:space="preserve">defendant harbored a similar intent when he strangled </w:t>
      </w:r>
      <w:r w:rsidRPr="00B84AF6" w:rsidR="00B34FEA">
        <w:t>McKenna</w:t>
      </w:r>
      <w:r w:rsidRPr="00B84AF6" w:rsidR="007961B5">
        <w:t xml:space="preserve">, and that her </w:t>
      </w:r>
      <w:r w:rsidRPr="00B84AF6" w:rsidR="00B34FEA">
        <w:t>death was not accidental</w:t>
      </w:r>
      <w:r w:rsidRPr="00B84AF6">
        <w:t>.</w:t>
      </w:r>
      <w:r w:rsidRPr="00B84AF6" w:rsidR="00D55C99">
        <w:t xml:space="preserve">  </w:t>
      </w:r>
      <w:r w:rsidRPr="00B84AF6">
        <w:t xml:space="preserve"> </w:t>
      </w:r>
    </w:p>
    <w:p w:rsidR="0026218B" w:rsidRPr="00B84AF6" w:rsidP="00B84AF6">
      <w:pPr>
        <w:tabs>
          <w:tab w:val="left" w:pos="1440"/>
        </w:tabs>
        <w:ind w:firstLine="720"/>
      </w:pPr>
      <w:r w:rsidRPr="00B84AF6">
        <w:t xml:space="preserve">Defendant further argues that the trial court erroneously admitted the evidence under a theory of common </w:t>
      </w:r>
      <w:r w:rsidRPr="00B84AF6" w:rsidR="00406B5B">
        <w:t xml:space="preserve">design or plan.  </w:t>
      </w:r>
      <w:r w:rsidRPr="00B84AF6" w:rsidR="00453A72">
        <w:t>(</w:t>
      </w:r>
      <w:r w:rsidRPr="00B84AF6" w:rsidR="001B5005">
        <w:t xml:space="preserve">See </w:t>
      </w:r>
      <w:r w:rsidRPr="00B84AF6" w:rsidR="00453A72">
        <w:rPr>
          <w:i/>
        </w:rPr>
        <w:t>Ewoldt</w:t>
      </w:r>
      <w:r w:rsidRPr="00B84AF6" w:rsidR="00453A72">
        <w:t xml:space="preserve">, </w:t>
      </w:r>
      <w:r w:rsidRPr="00B84AF6" w:rsidR="00453A72">
        <w:rPr>
          <w:i/>
        </w:rPr>
        <w:t>supra</w:t>
      </w:r>
      <w:r w:rsidRPr="00B84AF6" w:rsidR="00453A72">
        <w:t>, 7 Cal.4th at p. 393.)</w:t>
      </w:r>
      <w:r w:rsidRPr="00B84AF6" w:rsidR="001B5005">
        <w:t xml:space="preserve">  </w:t>
      </w:r>
      <w:r w:rsidR="00593795">
        <w:t xml:space="preserve">But </w:t>
      </w:r>
      <w:r w:rsidRPr="00B84AF6" w:rsidR="00685B89">
        <w:t>the jury</w:t>
      </w:r>
      <w:r w:rsidR="006A4D2C">
        <w:t xml:space="preserve"> was instructed it could</w:t>
      </w:r>
      <w:r w:rsidRPr="00B84AF6" w:rsidR="00685B89">
        <w:t xml:space="preserve"> consider </w:t>
      </w:r>
      <w:r w:rsidR="006A4D2C">
        <w:t xml:space="preserve">the </w:t>
      </w:r>
      <w:r w:rsidRPr="00B84AF6" w:rsidR="00685B89">
        <w:t xml:space="preserve">assault on Brenda </w:t>
      </w:r>
      <w:r w:rsidR="006A4D2C">
        <w:t>only on</w:t>
      </w:r>
      <w:r w:rsidRPr="00B84AF6" w:rsidR="006A4D2C">
        <w:t xml:space="preserve"> </w:t>
      </w:r>
      <w:r w:rsidRPr="00B84AF6" w:rsidR="00685B89">
        <w:t xml:space="preserve">the issues of intent, mistake or accident, and whether the defendant reasonably and in good faith believed that McKenna consented.  </w:t>
      </w:r>
      <w:r w:rsidR="00593795">
        <w:t>T</w:t>
      </w:r>
      <w:r w:rsidRPr="00B84AF6" w:rsidR="00685B89">
        <w:t>he jury</w:t>
      </w:r>
      <w:r w:rsidR="00593795">
        <w:t xml:space="preserve"> was expressly </w:t>
      </w:r>
      <w:r w:rsidRPr="00B84AF6" w:rsidR="00593795">
        <w:t>told</w:t>
      </w:r>
      <w:r w:rsidR="00593795">
        <w:t xml:space="preserve">: </w:t>
      </w:r>
      <w:r w:rsidRPr="00B84AF6" w:rsidR="00685B89">
        <w:t xml:space="preserve"> “Do not consider this evidence for any other purpose except for the limited purposes identified above.”</w:t>
      </w:r>
      <w:r w:rsidR="00593795">
        <w:t xml:space="preserve">  </w:t>
      </w:r>
      <w:r w:rsidRPr="006A4D2C" w:rsidR="006A4D2C">
        <w:t>Defendant cites nothing in the record to suggest that the jury was confused about the meaning of th</w:t>
      </w:r>
      <w:r w:rsidR="006A4D2C">
        <w:t xml:space="preserve">is </w:t>
      </w:r>
      <w:r w:rsidRPr="006A4D2C" w:rsidR="006A4D2C">
        <w:t>limiting instruction.</w:t>
      </w:r>
      <w:r w:rsidR="006A4D2C">
        <w:t xml:space="preserve">  </w:t>
      </w:r>
      <w:r w:rsidR="00593795">
        <w:t>We therefore need not decide whether the evidence was also admissible to show a common design or plan.</w:t>
      </w:r>
    </w:p>
    <w:p w:rsidR="00FA73AC" w:rsidRPr="00B84AF6" w:rsidP="00B84AF6">
      <w:pPr>
        <w:tabs>
          <w:tab w:val="left" w:pos="1440"/>
        </w:tabs>
        <w:ind w:firstLine="720"/>
      </w:pPr>
      <w:r w:rsidRPr="00B84AF6">
        <w:t xml:space="preserve">Finally, defendant argues that the trial court abused its discretion by failing to exclude evidence of </w:t>
      </w:r>
      <w:r w:rsidRPr="00B84AF6" w:rsidR="00AC2E6E">
        <w:t xml:space="preserve">the assault against Brenda under </w:t>
      </w:r>
      <w:r w:rsidRPr="00B84AF6">
        <w:t xml:space="preserve">Evidence Code section 352.  </w:t>
      </w:r>
      <w:r w:rsidRPr="00B84AF6" w:rsidR="00717ADE">
        <w:t xml:space="preserve">Not so.  </w:t>
      </w:r>
      <w:r w:rsidRPr="00B84AF6" w:rsidR="00E0192D">
        <w:t>De</w:t>
      </w:r>
      <w:r w:rsidRPr="00B84AF6" w:rsidR="00AD3D98">
        <w:t>fendant’s</w:t>
      </w:r>
      <w:r w:rsidRPr="00B84AF6" w:rsidR="00662F69">
        <w:t xml:space="preserve"> </w:t>
      </w:r>
      <w:r w:rsidRPr="00B84AF6" w:rsidR="00841AC0">
        <w:t xml:space="preserve">denial of criminal intent and his claim of </w:t>
      </w:r>
      <w:r w:rsidRPr="00B84AF6" w:rsidR="00717ADE">
        <w:t>accident m</w:t>
      </w:r>
      <w:r w:rsidRPr="00B84AF6" w:rsidR="00AD3D98">
        <w:t>ade his pri</w:t>
      </w:r>
      <w:r w:rsidRPr="00B84AF6" w:rsidR="00717ADE">
        <w:t>or assaultive conduct particularly probative</w:t>
      </w:r>
      <w:r w:rsidRPr="00B84AF6" w:rsidR="00AD3D98">
        <w:t xml:space="preserve">.  </w:t>
      </w:r>
      <w:r w:rsidRPr="00B84AF6" w:rsidR="00717ADE">
        <w:t>T</w:t>
      </w:r>
      <w:r w:rsidRPr="00B84AF6" w:rsidR="00AD3D98">
        <w:t xml:space="preserve">he </w:t>
      </w:r>
      <w:r w:rsidRPr="00B84AF6" w:rsidR="007E491B">
        <w:t>spousal assault</w:t>
      </w:r>
      <w:r w:rsidRPr="00B84AF6" w:rsidR="000F613F">
        <w:t>, while certainly blameworthy,</w:t>
      </w:r>
      <w:r w:rsidRPr="00B84AF6" w:rsidR="007E491B">
        <w:t xml:space="preserve"> was </w:t>
      </w:r>
      <w:r w:rsidRPr="00B84AF6" w:rsidR="00793E8D">
        <w:t>not unduly inflammatory</w:t>
      </w:r>
      <w:r w:rsidRPr="00B84AF6" w:rsidR="007E491B">
        <w:t xml:space="preserve"> compared</w:t>
      </w:r>
      <w:r w:rsidRPr="00B84AF6" w:rsidR="00AF47B0">
        <w:t xml:space="preserve"> to</w:t>
      </w:r>
      <w:r w:rsidRPr="00B84AF6" w:rsidR="007E491B">
        <w:t xml:space="preserve"> the</w:t>
      </w:r>
      <w:r w:rsidRPr="00B84AF6" w:rsidR="00AF47B0">
        <w:t xml:space="preserve"> gruesome</w:t>
      </w:r>
      <w:r w:rsidRPr="00B84AF6" w:rsidR="007E491B">
        <w:t xml:space="preserve"> murder of McKenna.  </w:t>
      </w:r>
      <w:r w:rsidRPr="00B84AF6" w:rsidR="00717ADE">
        <w:t>Moreover, t</w:t>
      </w:r>
      <w:r w:rsidRPr="00B84AF6" w:rsidR="007E491B">
        <w:t xml:space="preserve">he jury knew </w:t>
      </w:r>
      <w:r w:rsidRPr="00B84AF6" w:rsidR="00E0192D">
        <w:t xml:space="preserve">defendant </w:t>
      </w:r>
      <w:r w:rsidRPr="00B84AF6" w:rsidR="007E491B">
        <w:t xml:space="preserve">had </w:t>
      </w:r>
      <w:r w:rsidRPr="00B84AF6" w:rsidR="009F5F1E">
        <w:t xml:space="preserve">already </w:t>
      </w:r>
      <w:r w:rsidRPr="00B84AF6" w:rsidR="007E491B">
        <w:t xml:space="preserve">served a prison sentence for </w:t>
      </w:r>
      <w:r w:rsidR="00301D7B">
        <w:t>his attack on Brenda</w:t>
      </w:r>
      <w:r w:rsidRPr="00B84AF6" w:rsidR="009F5F1E">
        <w:t xml:space="preserve">.  </w:t>
      </w:r>
      <w:r w:rsidRPr="00B84AF6" w:rsidR="007E491B">
        <w:t xml:space="preserve">(See </w:t>
      </w:r>
      <w:r w:rsidRPr="00B84AF6" w:rsidR="00C27562">
        <w:rPr>
          <w:i/>
        </w:rPr>
        <w:t xml:space="preserve">People v. </w:t>
      </w:r>
      <w:r w:rsidRPr="00B84AF6" w:rsidR="007E491B">
        <w:rPr>
          <w:i/>
        </w:rPr>
        <w:t>Balcom</w:t>
      </w:r>
      <w:r w:rsidRPr="00B84AF6" w:rsidR="00CD574D">
        <w:rPr>
          <w:i/>
        </w:rPr>
        <w:t xml:space="preserve"> </w:t>
      </w:r>
      <w:r w:rsidRPr="00B84AF6" w:rsidR="00C27562">
        <w:t xml:space="preserve">(1994) </w:t>
      </w:r>
      <w:r w:rsidRPr="00B84AF6" w:rsidR="007E491B">
        <w:t xml:space="preserve">7 Cal.4th </w:t>
      </w:r>
      <w:r w:rsidRPr="00B84AF6" w:rsidR="00C27562">
        <w:t xml:space="preserve">414, </w:t>
      </w:r>
      <w:r w:rsidRPr="00B84AF6" w:rsidR="007E491B">
        <w:t>427.)</w:t>
      </w:r>
      <w:r w:rsidRPr="00B84AF6" w:rsidR="00717ADE">
        <w:t xml:space="preserve">  No abuse of discretion appears.</w:t>
      </w:r>
      <w:r w:rsidRPr="00B84AF6" w:rsidR="007E491B">
        <w:t xml:space="preserve">  </w:t>
      </w:r>
    </w:p>
    <w:p w:rsidR="00F52475" w:rsidRPr="00B84AF6" w:rsidP="00086BD0">
      <w:pPr>
        <w:pStyle w:val="Heading3"/>
        <w:numPr>
          <w:ilvl w:val="0"/>
          <w:numId w:val="34"/>
        </w:numPr>
        <w:tabs>
          <w:tab w:val="left" w:pos="2434"/>
        </w:tabs>
        <w:ind w:left="1584" w:hanging="432"/>
      </w:pPr>
      <w:bookmarkStart w:id="31" w:name="_Toc527447450"/>
      <w:r w:rsidRPr="00B84AF6">
        <w:t xml:space="preserve">Unreasonable Belief that the Victim Consented to </w:t>
      </w:r>
      <w:bookmarkEnd w:id="31"/>
      <w:r w:rsidRPr="00B84AF6" w:rsidR="00A97F8A">
        <w:t>Intercourse</w:t>
      </w:r>
    </w:p>
    <w:p w:rsidR="003A3F1E" w:rsidRPr="00B84AF6" w:rsidP="00B84AF6">
      <w:pPr>
        <w:tabs>
          <w:tab w:val="left" w:pos="1440"/>
        </w:tabs>
        <w:ind w:firstLine="720"/>
      </w:pPr>
      <w:r w:rsidRPr="00B84AF6">
        <w:t>The trial court instructed the jury with CALCRIM No. 1000 defining rape.  The instruction, as given, stated in relevant part:  “The defendant is not guilty of rape if he actually and reasonably believed that the woman consented to the intercourse.  The People have the burden of proving beyond a reasonable doubt that the defendant did not actually and reasonably believe that the woman consented.  If the People have not met this burden, you must find the defendant not guilty.”  Two other instructions</w:t>
      </w:r>
      <w:r w:rsidRPr="00B84AF6" w:rsidR="00914073">
        <w:t xml:space="preserve"> also</w:t>
      </w:r>
      <w:r w:rsidRPr="00B84AF6">
        <w:t xml:space="preserve"> referred to a reasonable and good faith belief that the victim consented to intercourse.</w:t>
      </w:r>
      <w:r>
        <w:rPr>
          <w:rStyle w:val="FootnoteReference"/>
        </w:rPr>
        <w:footnoteReference w:id="15"/>
      </w:r>
      <w:r w:rsidRPr="00B84AF6">
        <w:t xml:space="preserve">  </w:t>
      </w:r>
    </w:p>
    <w:p w:rsidR="00B815D6" w:rsidRPr="00B84AF6" w:rsidP="00B84AF6">
      <w:pPr>
        <w:tabs>
          <w:tab w:val="left" w:pos="1440"/>
        </w:tabs>
        <w:ind w:firstLine="720"/>
      </w:pPr>
      <w:r w:rsidRPr="00B84AF6">
        <w:t xml:space="preserve">Defendant </w:t>
      </w:r>
      <w:r w:rsidRPr="00B84AF6" w:rsidR="00DF0E85">
        <w:t xml:space="preserve">requested the relevant language of CALCRIM Nos. 1000 and 1194, </w:t>
      </w:r>
      <w:r w:rsidRPr="00B84AF6" w:rsidR="009B77B1">
        <w:t>and did not object to the language of CALCRIM No. 375</w:t>
      </w:r>
      <w:r w:rsidR="00F52BB2">
        <w:t>,</w:t>
      </w:r>
      <w:r w:rsidRPr="00B84AF6" w:rsidR="009B77B1">
        <w:t xml:space="preserve"> requested by the prosecutor.  </w:t>
      </w:r>
      <w:r w:rsidRPr="00B84AF6" w:rsidR="00237D4E">
        <w:t xml:space="preserve">On </w:t>
      </w:r>
      <w:r w:rsidRPr="00B84AF6" w:rsidR="00422764">
        <w:t>appeal</w:t>
      </w:r>
      <w:r w:rsidRPr="00B84AF6" w:rsidR="008C6CC8">
        <w:t>,</w:t>
      </w:r>
      <w:r w:rsidRPr="00B84AF6" w:rsidR="00422764">
        <w:t xml:space="preserve"> he </w:t>
      </w:r>
      <w:r w:rsidRPr="00B84AF6">
        <w:t>argues that the trial court had a sua sponte duty to modify the instruction</w:t>
      </w:r>
      <w:r w:rsidRPr="00B84AF6">
        <w:t>s</w:t>
      </w:r>
      <w:r w:rsidRPr="00B84AF6">
        <w:t xml:space="preserve"> to </w:t>
      </w:r>
      <w:r w:rsidRPr="00B84AF6" w:rsidR="00A10F24">
        <w:t xml:space="preserve">allow the jury to consider whether </w:t>
      </w:r>
      <w:r w:rsidRPr="00B84AF6" w:rsidR="0067427D">
        <w:t xml:space="preserve">he </w:t>
      </w:r>
      <w:r w:rsidRPr="00B84AF6">
        <w:t xml:space="preserve">harbored a good faith but </w:t>
      </w:r>
      <w:r w:rsidRPr="00B84AF6">
        <w:rPr>
          <w:i/>
        </w:rPr>
        <w:t>unreasonable</w:t>
      </w:r>
      <w:r w:rsidRPr="00B84AF6">
        <w:t xml:space="preserve"> belief that the victim consented to </w:t>
      </w:r>
      <w:r w:rsidRPr="00B84AF6" w:rsidR="00EF014C">
        <w:t>intercourse</w:t>
      </w:r>
      <w:r w:rsidRPr="00B84AF6">
        <w:t xml:space="preserve">.  </w:t>
      </w:r>
      <w:r w:rsidR="00BE2A0F">
        <w:t>D</w:t>
      </w:r>
      <w:r w:rsidRPr="00B84AF6" w:rsidR="009F42F2">
        <w:t>efendant</w:t>
      </w:r>
      <w:r w:rsidR="00BE2A0F">
        <w:t xml:space="preserve"> </w:t>
      </w:r>
      <w:r w:rsidR="00BB1B86">
        <w:t>maintains</w:t>
      </w:r>
      <w:r w:rsidR="002656F4">
        <w:t xml:space="preserve"> </w:t>
      </w:r>
      <w:r w:rsidR="00BE2A0F">
        <w:t>that</w:t>
      </w:r>
      <w:r w:rsidRPr="00B84AF6" w:rsidR="00D56C92">
        <w:t xml:space="preserve"> </w:t>
      </w:r>
      <w:r w:rsidRPr="00B84AF6" w:rsidR="00A04960">
        <w:t xml:space="preserve">rape felony murder and </w:t>
      </w:r>
      <w:r w:rsidRPr="00B84AF6" w:rsidR="00F52475">
        <w:t>the rape</w:t>
      </w:r>
      <w:r w:rsidRPr="00B84AF6" w:rsidR="00B71894">
        <w:t>-murder</w:t>
      </w:r>
      <w:r w:rsidRPr="00B84AF6" w:rsidR="00A04960">
        <w:t xml:space="preserve"> special circumstance require specific intent, as opposed to the general intent required for rape</w:t>
      </w:r>
      <w:r w:rsidRPr="00B84AF6" w:rsidR="00422764">
        <w:t xml:space="preserve">.  </w:t>
      </w:r>
      <w:r w:rsidRPr="00B84AF6" w:rsidR="009F42F2">
        <w:t xml:space="preserve">He reasons </w:t>
      </w:r>
      <w:r w:rsidRPr="00B84AF6" w:rsidR="00D56C92">
        <w:t xml:space="preserve">that </w:t>
      </w:r>
      <w:r w:rsidRPr="00B84AF6" w:rsidR="00F80FF1">
        <w:t xml:space="preserve">the element of specific intent may be negated by an unreasonable mistake of fact, and he was entitled to an instruction that if he </w:t>
      </w:r>
      <w:r w:rsidRPr="00B84AF6" w:rsidR="00B61611">
        <w:t xml:space="preserve">had </w:t>
      </w:r>
      <w:r w:rsidRPr="00B84AF6" w:rsidR="00F80FF1">
        <w:t xml:space="preserve">a bona fide but unreasonable belief that McKenna consented, he </w:t>
      </w:r>
      <w:r w:rsidR="00BE2A0F">
        <w:t>lacked</w:t>
      </w:r>
      <w:r w:rsidRPr="00B84AF6" w:rsidR="00F80FF1">
        <w:t xml:space="preserve"> the requisite intent.</w:t>
      </w:r>
      <w:r w:rsidRPr="00B84AF6" w:rsidR="009F42F2">
        <w:t xml:space="preserve"> </w:t>
      </w:r>
    </w:p>
    <w:p w:rsidR="00711B3E" w:rsidRPr="00257A01" w:rsidP="00B84AF6">
      <w:pPr>
        <w:tabs>
          <w:tab w:val="left" w:pos="1440"/>
        </w:tabs>
        <w:ind w:firstLine="720"/>
      </w:pPr>
      <w:r>
        <w:t>Defendant is correct that</w:t>
      </w:r>
      <w:r w:rsidR="00BE2A0F">
        <w:t xml:space="preserve"> rape is a general intent crime</w:t>
      </w:r>
      <w:r w:rsidRPr="00B84AF6" w:rsidR="00910AFF">
        <w:t xml:space="preserve"> (</w:t>
      </w:r>
      <w:r w:rsidRPr="00B84AF6" w:rsidR="00910AFF">
        <w:rPr>
          <w:i/>
        </w:rPr>
        <w:t xml:space="preserve">People v. Osband </w:t>
      </w:r>
      <w:r w:rsidRPr="00B84AF6" w:rsidR="00910AFF">
        <w:t>(1996) 13 Cal.4th 622, 685)</w:t>
      </w:r>
      <w:r w:rsidRPr="00B84AF6">
        <w:t>,</w:t>
      </w:r>
      <w:r w:rsidR="00F52BB2">
        <w:t xml:space="preserve"> </w:t>
      </w:r>
      <w:r>
        <w:t xml:space="preserve">while </w:t>
      </w:r>
      <w:r w:rsidR="00BB1B86">
        <w:t>we have said that</w:t>
      </w:r>
      <w:r w:rsidRPr="00B84AF6">
        <w:t xml:space="preserve"> </w:t>
      </w:r>
      <w:r w:rsidRPr="00B84AF6" w:rsidR="00910AFF">
        <w:t>rape felony murder requires a specific intent to commit rape.  (</w:t>
      </w:r>
      <w:r w:rsidRPr="00B84AF6" w:rsidR="00910AFF">
        <w:rPr>
          <w:i/>
        </w:rPr>
        <w:t>People v. Haley</w:t>
      </w:r>
      <w:r w:rsidRPr="00B84AF6" w:rsidR="00910AFF">
        <w:t xml:space="preserve"> (2004) 34 Cal.4th 283, 314; </w:t>
      </w:r>
      <w:r w:rsidRPr="00B84AF6" w:rsidR="00910AFF">
        <w:rPr>
          <w:i/>
        </w:rPr>
        <w:t>People v. Jones</w:t>
      </w:r>
      <w:r w:rsidRPr="00B84AF6" w:rsidR="00910AFF">
        <w:t xml:space="preserve"> (2003) 29 Cal.4th 1229, 1256-1257; </w:t>
      </w:r>
      <w:r w:rsidRPr="00B84AF6" w:rsidR="00910AFF">
        <w:rPr>
          <w:i/>
        </w:rPr>
        <w:t>People v. Hernandez</w:t>
      </w:r>
      <w:r w:rsidRPr="00B84AF6" w:rsidR="00910AFF">
        <w:t xml:space="preserve"> (1988) 47 Cal.3d 315, 346.)</w:t>
      </w:r>
      <w:r w:rsidR="00022E99">
        <w:t xml:space="preserve">  </w:t>
      </w:r>
      <w:r w:rsidR="00D15B6B">
        <w:t>Contrary to defendant’s argument, we have also said</w:t>
      </w:r>
      <w:r w:rsidR="00022E99">
        <w:t xml:space="preserve"> that </w:t>
      </w:r>
      <w:r w:rsidR="00BE480A">
        <w:t>a</w:t>
      </w:r>
      <w:r w:rsidR="00022E99">
        <w:t xml:space="preserve"> </w:t>
      </w:r>
      <w:r w:rsidR="00D15B6B">
        <w:t>felony</w:t>
      </w:r>
      <w:r w:rsidR="00022E99">
        <w:t xml:space="preserve">-murder special circumstance </w:t>
      </w:r>
      <w:r w:rsidR="00D15B6B">
        <w:t>does not require</w:t>
      </w:r>
      <w:r w:rsidR="00022E99">
        <w:t xml:space="preserve"> a </w:t>
      </w:r>
      <w:r w:rsidR="00D15B6B">
        <w:t>finding of specific intent</w:t>
      </w:r>
      <w:r w:rsidR="00434B7A">
        <w:t xml:space="preserve"> when the underlying crime is one of general intent.</w:t>
      </w:r>
      <w:r w:rsidR="00022E99">
        <w:t xml:space="preserve">  </w:t>
      </w:r>
      <w:r w:rsidR="00D15B6B">
        <w:t>(</w:t>
      </w:r>
      <w:r w:rsidRPr="00705C83" w:rsidR="00022E99">
        <w:rPr>
          <w:i/>
        </w:rPr>
        <w:t>People v. Davis</w:t>
      </w:r>
      <w:r w:rsidR="00022E99">
        <w:t xml:space="preserve"> (1995) 10 Cal.4th 463, 518-519</w:t>
      </w:r>
      <w:r w:rsidR="001D077B">
        <w:t>;</w:t>
      </w:r>
      <w:r w:rsidR="00022E99">
        <w:t xml:space="preserve"> </w:t>
      </w:r>
      <w:r w:rsidR="00D15B6B">
        <w:t xml:space="preserve">but </w:t>
      </w:r>
      <w:r w:rsidR="00022E99">
        <w:t>see</w:t>
      </w:r>
      <w:r w:rsidR="00257A01">
        <w:t xml:space="preserve"> </w:t>
      </w:r>
      <w:r w:rsidR="00022E99">
        <w:rPr>
          <w:i/>
        </w:rPr>
        <w:t>People v. Hughes</w:t>
      </w:r>
      <w:r w:rsidR="00022E99">
        <w:t xml:space="preserve"> (2002) 27 Cal.4th 287, 342-343</w:t>
      </w:r>
      <w:r w:rsidR="00DF317A">
        <w:t xml:space="preserve">; </w:t>
      </w:r>
      <w:r w:rsidR="00DF317A">
        <w:rPr>
          <w:i/>
        </w:rPr>
        <w:t>People v. Clark</w:t>
      </w:r>
      <w:r w:rsidR="00DF317A">
        <w:t xml:space="preserve"> (1993) 5 Cal.4th 950, 1021.)</w:t>
      </w:r>
    </w:p>
    <w:p w:rsidR="00DA4CC1" w:rsidRPr="00B84AF6" w:rsidP="00B84AF6">
      <w:pPr>
        <w:tabs>
          <w:tab w:val="left" w:pos="1440"/>
        </w:tabs>
        <w:ind w:firstLine="720"/>
      </w:pPr>
      <w:r w:rsidRPr="00B84AF6">
        <w:rPr>
          <w:i/>
        </w:rPr>
        <w:t>People v. Mayberry</w:t>
      </w:r>
      <w:r w:rsidRPr="00B84AF6">
        <w:t xml:space="preserve"> (1975) 15 Cal.3d 143 (</w:t>
      </w:r>
      <w:r w:rsidRPr="00B84AF6">
        <w:rPr>
          <w:i/>
        </w:rPr>
        <w:t>Mayberry</w:t>
      </w:r>
      <w:r w:rsidRPr="00B84AF6">
        <w:t xml:space="preserve">) held that a defendant’s </w:t>
      </w:r>
      <w:r w:rsidRPr="00022E99">
        <w:rPr>
          <w:i/>
        </w:rPr>
        <w:t>reasonable</w:t>
      </w:r>
      <w:r w:rsidRPr="00B84AF6">
        <w:t xml:space="preserve"> and good faith mistake of fact that the victim consented to sexual intercourse is a defense to rape.  (</w:t>
      </w:r>
      <w:r w:rsidRPr="00B84AF6">
        <w:rPr>
          <w:i/>
        </w:rPr>
        <w:t>Id</w:t>
      </w:r>
      <w:r w:rsidRPr="00B84AF6">
        <w:t xml:space="preserve">. at p. 155.)  We have </w:t>
      </w:r>
      <w:r w:rsidRPr="00B84AF6" w:rsidR="00FA2587">
        <w:t xml:space="preserve">not </w:t>
      </w:r>
      <w:r w:rsidRPr="00B84AF6">
        <w:t xml:space="preserve">considered whether the reasonableness component of the </w:t>
      </w:r>
      <w:r w:rsidRPr="00B84AF6">
        <w:rPr>
          <w:i/>
        </w:rPr>
        <w:t>Mayberry</w:t>
      </w:r>
      <w:r w:rsidRPr="00B84AF6">
        <w:t xml:space="preserve"> defense applies </w:t>
      </w:r>
      <w:r w:rsidR="00BE2A0F">
        <w:t>in</w:t>
      </w:r>
      <w:r w:rsidRPr="00B84AF6">
        <w:t xml:space="preserve"> a</w:t>
      </w:r>
      <w:r w:rsidR="00BE2A0F">
        <w:t xml:space="preserve"> </w:t>
      </w:r>
      <w:r w:rsidR="0039539D">
        <w:t xml:space="preserve">case involving </w:t>
      </w:r>
      <w:r w:rsidRPr="00B84AF6">
        <w:t>rape</w:t>
      </w:r>
      <w:r w:rsidR="001D077B">
        <w:t xml:space="preserve"> </w:t>
      </w:r>
      <w:r w:rsidRPr="00B84AF6">
        <w:t>felony</w:t>
      </w:r>
      <w:r w:rsidR="001D077B">
        <w:t xml:space="preserve"> </w:t>
      </w:r>
      <w:r w:rsidRPr="00B84AF6">
        <w:t>murder</w:t>
      </w:r>
      <w:r w:rsidR="00BE2A0F">
        <w:t xml:space="preserve"> </w:t>
      </w:r>
      <w:r w:rsidR="001D077B">
        <w:t>or the rape-murder special circumstance</w:t>
      </w:r>
      <w:r w:rsidRPr="00B84AF6">
        <w:t>.  We need not answer that question here</w:t>
      </w:r>
      <w:r w:rsidRPr="00B84AF6" w:rsidR="00773B28">
        <w:t xml:space="preserve">.  Defendant </w:t>
      </w:r>
      <w:r w:rsidRPr="00B84AF6">
        <w:t>has forfeited his claim of instructional error</w:t>
      </w:r>
      <w:r w:rsidRPr="00B84AF6" w:rsidR="00405653">
        <w:t xml:space="preserve">, and </w:t>
      </w:r>
      <w:r w:rsidRPr="00B84AF6" w:rsidR="00773B28">
        <w:t xml:space="preserve">the alleged error was harmless in any event. </w:t>
      </w:r>
    </w:p>
    <w:p w:rsidR="00773B28" w:rsidRPr="00B84AF6" w:rsidP="0026286F">
      <w:pPr>
        <w:numPr>
          <w:ilvl w:val="0"/>
          <w:numId w:val="29"/>
        </w:numPr>
        <w:tabs>
          <w:tab w:val="left" w:pos="1440"/>
        </w:tabs>
        <w:ind w:left="2376"/>
        <w:outlineLvl w:val="3"/>
        <w:rPr>
          <w:i/>
        </w:rPr>
      </w:pPr>
      <w:r w:rsidRPr="00B84AF6">
        <w:rPr>
          <w:i/>
        </w:rPr>
        <w:t xml:space="preserve"> Forfeiture</w:t>
      </w:r>
      <w:r w:rsidRPr="00B84AF6">
        <w:rPr>
          <w:i/>
        </w:rPr>
        <w:t xml:space="preserve"> </w:t>
      </w:r>
    </w:p>
    <w:p w:rsidR="00C728CF" w:rsidRPr="00B84AF6" w:rsidP="00B84AF6">
      <w:pPr>
        <w:tabs>
          <w:tab w:val="left" w:pos="1440"/>
        </w:tabs>
        <w:ind w:firstLine="720"/>
      </w:pPr>
      <w:r w:rsidRPr="00B84AF6">
        <w:rPr>
          <w:szCs w:val="26"/>
        </w:rPr>
        <w:t>“ ‘</w:t>
      </w:r>
      <w:r w:rsidR="00510516">
        <w:rPr>
          <w:szCs w:val="26"/>
        </w:rPr>
        <w:t> </w:t>
      </w:r>
      <w:r w:rsidRPr="00B84AF6">
        <w:rPr>
          <w:szCs w:val="26"/>
        </w:rPr>
        <w:t>“It is settled that in criminal cases, even in the absence of a request, a trial court must instruct on general principles of law relevant to the issues raised by the evidence”</w:t>
      </w:r>
      <w:r w:rsidR="00510516">
        <w:rPr>
          <w:szCs w:val="26"/>
        </w:rPr>
        <w:t> </w:t>
      </w:r>
      <w:r w:rsidRPr="00B84AF6">
        <w:rPr>
          <w:szCs w:val="26"/>
        </w:rPr>
        <w:t>’ and ‘</w:t>
      </w:r>
      <w:r w:rsidR="00510516">
        <w:rPr>
          <w:szCs w:val="26"/>
        </w:rPr>
        <w:t> </w:t>
      </w:r>
      <w:r w:rsidRPr="00B84AF6">
        <w:rPr>
          <w:szCs w:val="26"/>
        </w:rPr>
        <w:t>“necessary for the jury’s understanding of the</w:t>
      </w:r>
      <w:r w:rsidR="00510516">
        <w:rPr>
          <w:szCs w:val="26"/>
        </w:rPr>
        <w:t xml:space="preserve"> </w:t>
      </w:r>
      <w:r w:rsidRPr="00B84AF6">
        <w:rPr>
          <w:szCs w:val="26"/>
        </w:rPr>
        <w:t>case.”</w:t>
      </w:r>
      <w:r w:rsidR="00510516">
        <w:rPr>
          <w:szCs w:val="26"/>
        </w:rPr>
        <w:t> </w:t>
      </w:r>
      <w:r w:rsidRPr="00B84AF6">
        <w:rPr>
          <w:szCs w:val="26"/>
        </w:rPr>
        <w:t>’ ”  (</w:t>
      </w:r>
      <w:r w:rsidRPr="00B84AF6">
        <w:rPr>
          <w:i/>
          <w:iCs/>
          <w:szCs w:val="26"/>
        </w:rPr>
        <w:t>People v. Brooks</w:t>
      </w:r>
      <w:r w:rsidRPr="00B84AF6">
        <w:rPr>
          <w:szCs w:val="26"/>
        </w:rPr>
        <w:t xml:space="preserve"> (2017) 3 Cal.5th 1, 73.)  </w:t>
      </w:r>
      <w:r w:rsidR="00BE2A0F">
        <w:rPr>
          <w:szCs w:val="26"/>
        </w:rPr>
        <w:t>T</w:t>
      </w:r>
      <w:r w:rsidRPr="00B84AF6">
        <w:t xml:space="preserve">he court has a sua sponte duty to give a </w:t>
      </w:r>
      <w:r w:rsidRPr="00B84AF6">
        <w:rPr>
          <w:i/>
        </w:rPr>
        <w:t>Mayberry</w:t>
      </w:r>
      <w:r w:rsidRPr="00B84AF6">
        <w:t xml:space="preserve"> instruction about good faith and reasonable belief in the victim’s consent “</w:t>
      </w:r>
      <w:r w:rsidR="00510516">
        <w:t> </w:t>
      </w:r>
      <w:r w:rsidRPr="00B84AF6">
        <w:t>‘if it appears .</w:t>
      </w:r>
      <w:r w:rsidR="00510516">
        <w:t> </w:t>
      </w:r>
      <w:r w:rsidRPr="00B84AF6">
        <w:t>.</w:t>
      </w:r>
      <w:r w:rsidR="00510516">
        <w:t> </w:t>
      </w:r>
      <w:r w:rsidRPr="00B84AF6">
        <w:t>. the defendant is relying on such a defense, or if there is substantial evidence supportive of such a defense and the defense is not inconsistent with the defendant’s theory of the case.’</w:t>
      </w:r>
      <w:r w:rsidR="00510516">
        <w:t> </w:t>
      </w:r>
      <w:r w:rsidRPr="00B84AF6">
        <w:t>”  (</w:t>
      </w:r>
      <w:r w:rsidR="0026286F">
        <w:rPr>
          <w:i/>
        </w:rPr>
        <w:t>Ibid.</w:t>
      </w:r>
      <w:r w:rsidRPr="00B84AF6">
        <w:t xml:space="preserve">; accord, </w:t>
      </w:r>
      <w:r w:rsidRPr="00B84AF6">
        <w:rPr>
          <w:i/>
        </w:rPr>
        <w:t>People v. Maury</w:t>
      </w:r>
      <w:r w:rsidRPr="00B84AF6">
        <w:t xml:space="preserve"> (2003) 30 Cal.4th 342, 423–425; </w:t>
      </w:r>
      <w:r w:rsidRPr="00B84AF6">
        <w:rPr>
          <w:i/>
        </w:rPr>
        <w:t>People v. Lujano</w:t>
      </w:r>
      <w:r w:rsidRPr="00B84AF6">
        <w:t xml:space="preserve"> (2017) 15 Cal.App.5th 187, 194; </w:t>
      </w:r>
      <w:r w:rsidRPr="00B84AF6">
        <w:rPr>
          <w:i/>
        </w:rPr>
        <w:t>People v. Burnham</w:t>
      </w:r>
      <w:r w:rsidRPr="00B84AF6">
        <w:t xml:space="preserve"> (1986) 176 Cal.App.3d 1134, 1141–1142.)  </w:t>
      </w:r>
      <w:r w:rsidR="00BE2A0F">
        <w:t>S</w:t>
      </w:r>
      <w:r w:rsidRPr="00B84AF6">
        <w:t xml:space="preserve">ection 1127d, subdivision (a) requires </w:t>
      </w:r>
      <w:r w:rsidR="00BE2A0F">
        <w:t xml:space="preserve">that </w:t>
      </w:r>
      <w:r w:rsidRPr="00B84AF6">
        <w:t xml:space="preserve">the trial court instruct on the permissible use of evidence that the victim consented to sex with the defendant on </w:t>
      </w:r>
      <w:r w:rsidR="0029216B">
        <w:t xml:space="preserve">other </w:t>
      </w:r>
      <w:r w:rsidRPr="00B84AF6">
        <w:t xml:space="preserve">occasions, </w:t>
      </w:r>
      <w:r w:rsidR="00BE2A0F">
        <w:t>and</w:t>
      </w:r>
      <w:r w:rsidRPr="00B84AF6">
        <w:t xml:space="preserve"> that such evidence is relevant to “whether the defendant had a good faith reasonable belief that the victim consented to the [charged] act of sexual intercourse.”</w:t>
      </w:r>
      <w:r w:rsidRPr="00B84AF6">
        <w:t xml:space="preserve">  The trial court</w:t>
      </w:r>
      <w:r w:rsidRPr="00B84AF6" w:rsidR="00826546">
        <w:t xml:space="preserve"> instructed the jury </w:t>
      </w:r>
      <w:r w:rsidR="00BE2A0F">
        <w:t>according to</w:t>
      </w:r>
      <w:r w:rsidRPr="00B84AF6" w:rsidR="00826546">
        <w:t xml:space="preserve"> </w:t>
      </w:r>
      <w:r w:rsidRPr="00B84AF6">
        <w:t>these general principles.</w:t>
      </w:r>
    </w:p>
    <w:p w:rsidR="00305E33" w:rsidRPr="00B84AF6" w:rsidP="00B84AF6">
      <w:pPr>
        <w:tabs>
          <w:tab w:val="left" w:pos="1440"/>
        </w:tabs>
        <w:ind w:firstLine="720"/>
      </w:pPr>
      <w:r w:rsidRPr="00B84AF6">
        <w:t xml:space="preserve">By contrast, </w:t>
      </w:r>
      <w:r w:rsidRPr="00B84AF6" w:rsidR="00B5675A">
        <w:t>at the time of defendant’s trial</w:t>
      </w:r>
      <w:r w:rsidRPr="00B84AF6" w:rsidR="00740699">
        <w:t xml:space="preserve"> in </w:t>
      </w:r>
      <w:r w:rsidRPr="00B84AF6" w:rsidR="000E253A">
        <w:t xml:space="preserve">July </w:t>
      </w:r>
      <w:r w:rsidRPr="00B84AF6" w:rsidR="00740699">
        <w:t>2007</w:t>
      </w:r>
      <w:r w:rsidRPr="00B84AF6" w:rsidR="00B5675A">
        <w:t xml:space="preserve">, no </w:t>
      </w:r>
      <w:r w:rsidR="00B65E75">
        <w:t xml:space="preserve">California </w:t>
      </w:r>
      <w:r w:rsidRPr="00B84AF6" w:rsidR="00B5675A">
        <w:t xml:space="preserve">case had held that a good faith but </w:t>
      </w:r>
      <w:r w:rsidRPr="00B84AF6" w:rsidR="00B5675A">
        <w:rPr>
          <w:i/>
        </w:rPr>
        <w:t>unreasonable</w:t>
      </w:r>
      <w:r w:rsidRPr="00B84AF6" w:rsidR="00B5675A">
        <w:t xml:space="preserve"> belief </w:t>
      </w:r>
      <w:r w:rsidR="00020575">
        <w:t>in consent would negate a</w:t>
      </w:r>
      <w:r w:rsidRPr="00B84AF6" w:rsidR="00B5675A">
        <w:t xml:space="preserve"> specific intent to commit rape.</w:t>
      </w:r>
      <w:r w:rsidRPr="00B84AF6" w:rsidR="000E253A">
        <w:t xml:space="preserve">  Our closest authority at that time was </w:t>
      </w:r>
      <w:r w:rsidRPr="00B84AF6" w:rsidR="000E253A">
        <w:rPr>
          <w:i/>
        </w:rPr>
        <w:t>People v. Stitely</w:t>
      </w:r>
      <w:r w:rsidR="0026286F">
        <w:t xml:space="preserve">, </w:t>
      </w:r>
      <w:r w:rsidR="0026286F">
        <w:rPr>
          <w:i/>
        </w:rPr>
        <w:t>supra</w:t>
      </w:r>
      <w:r w:rsidR="0026286F">
        <w:t>,</w:t>
      </w:r>
      <w:r w:rsidRPr="00B84AF6" w:rsidR="000E253A">
        <w:t xml:space="preserve"> 35 Cal.4th 514.  There the defendant challenged the trial court’s failure to instruct on a </w:t>
      </w:r>
      <w:r w:rsidRPr="00B84AF6" w:rsidR="000E253A">
        <w:rPr>
          <w:i/>
        </w:rPr>
        <w:t>Mayberry</w:t>
      </w:r>
      <w:r w:rsidRPr="00B84AF6" w:rsidR="000E253A">
        <w:t xml:space="preserve"> defense in the context of rape felony murder.  (</w:t>
      </w:r>
      <w:r w:rsidRPr="00B84AF6" w:rsidR="000E253A">
        <w:rPr>
          <w:i/>
        </w:rPr>
        <w:t>Id</w:t>
      </w:r>
      <w:r w:rsidRPr="00B84AF6" w:rsidR="000E253A">
        <w:t>. at pp. 552–554.)  We recited the requirement that the defendant’s subjective belief in the victim’s consent be “ ‘reasonable under the circumstances.’</w:t>
      </w:r>
      <w:r w:rsidR="00510516">
        <w:t> </w:t>
      </w:r>
      <w:r w:rsidRPr="00B84AF6" w:rsidR="000E253A">
        <w:t>”  (</w:t>
      </w:r>
      <w:r w:rsidRPr="00B84AF6" w:rsidR="000E253A">
        <w:rPr>
          <w:i/>
        </w:rPr>
        <w:t>Id</w:t>
      </w:r>
      <w:r w:rsidRPr="00B84AF6" w:rsidR="000E253A">
        <w:t xml:space="preserve">. at p. 554.)  </w:t>
      </w:r>
      <w:r w:rsidR="00BE2A0F">
        <w:t>We went on to note</w:t>
      </w:r>
      <w:r w:rsidRPr="00B84AF6" w:rsidR="000E253A">
        <w:t xml:space="preserve"> that the failure to instruct, if error, was harmless.  (</w:t>
      </w:r>
      <w:r w:rsidR="0026286F">
        <w:rPr>
          <w:i/>
        </w:rPr>
        <w:t>Ibid</w:t>
      </w:r>
      <w:r w:rsidRPr="00B84AF6" w:rsidR="000E253A">
        <w:t>.)  We did not consider the precise claim defendant raises here.</w:t>
      </w:r>
      <w:r w:rsidRPr="00B84AF6" w:rsidR="001E6708">
        <w:t xml:space="preserve">  A</w:t>
      </w:r>
      <w:r w:rsidRPr="00B84AF6" w:rsidR="00C0241D">
        <w:t xml:space="preserve">nd at the time of defendant’s trial at </w:t>
      </w:r>
      <w:r w:rsidRPr="00B84AF6" w:rsidR="0044325D">
        <w:t xml:space="preserve">least one appellate court had assumed </w:t>
      </w:r>
      <w:r w:rsidRPr="00B84AF6" w:rsidR="001E6708">
        <w:t xml:space="preserve">that the </w:t>
      </w:r>
      <w:r w:rsidRPr="00B84AF6" w:rsidR="001E6708">
        <w:rPr>
          <w:i/>
        </w:rPr>
        <w:t>Mayberry</w:t>
      </w:r>
      <w:r w:rsidRPr="00B84AF6" w:rsidR="001E6708">
        <w:t xml:space="preserve"> reasonableness standard applies when the charged sexual offense requires specific intent, such as assault with intent to commit rape.  (</w:t>
      </w:r>
      <w:r w:rsidRPr="00B84AF6" w:rsidR="001E6708">
        <w:rPr>
          <w:i/>
        </w:rPr>
        <w:t>People v. Rivera</w:t>
      </w:r>
      <w:r w:rsidRPr="00B84AF6" w:rsidR="001E6708">
        <w:t xml:space="preserve"> (1984) 157 Cal.App.3d 736, </w:t>
      </w:r>
      <w:r w:rsidRPr="00B84AF6" w:rsidR="0044325D">
        <w:t xml:space="preserve">738, </w:t>
      </w:r>
      <w:r w:rsidRPr="00B84AF6" w:rsidR="001E6708">
        <w:t>741–74</w:t>
      </w:r>
      <w:r w:rsidRPr="00B84AF6" w:rsidR="0044325D">
        <w:t>2</w:t>
      </w:r>
      <w:r w:rsidRPr="00B84AF6" w:rsidR="001E6708">
        <w:t>.)</w:t>
      </w:r>
      <w:r>
        <w:rPr>
          <w:rStyle w:val="FootnoteReference"/>
        </w:rPr>
        <w:footnoteReference w:id="16"/>
      </w:r>
    </w:p>
    <w:p w:rsidR="00457CE0" w:rsidRPr="00B84AF6" w:rsidP="00B84AF6">
      <w:pPr>
        <w:pStyle w:val="PRComments"/>
        <w:spacing w:line="400" w:lineRule="exact"/>
        <w:ind w:right="0" w:firstLine="720"/>
        <w:rPr>
          <w:szCs w:val="26"/>
        </w:rPr>
      </w:pPr>
      <w:r w:rsidRPr="00B84AF6">
        <w:rPr>
          <w:szCs w:val="26"/>
        </w:rPr>
        <w:t>“[A] legal concept that has been referred to only infrequently, and then with ‘inadequate elucidation,’ cannot be considered a general principle of law such that a trial court must include it within jury instructions in the absence of a request.”  (</w:t>
      </w:r>
      <w:r w:rsidRPr="00B84AF6">
        <w:rPr>
          <w:i/>
          <w:iCs/>
          <w:szCs w:val="26"/>
        </w:rPr>
        <w:t xml:space="preserve">People v. Bacigalupo </w:t>
      </w:r>
      <w:r w:rsidRPr="00B84AF6">
        <w:rPr>
          <w:szCs w:val="26"/>
        </w:rPr>
        <w:t>(1991) 1 Cal.4th 103, 126</w:t>
      </w:r>
      <w:r w:rsidR="00C27AE9">
        <w:rPr>
          <w:szCs w:val="26"/>
        </w:rPr>
        <w:t xml:space="preserve"> (</w:t>
      </w:r>
      <w:r w:rsidRPr="00B84AF6" w:rsidR="00C27AE9">
        <w:rPr>
          <w:i/>
          <w:iCs/>
          <w:szCs w:val="26"/>
        </w:rPr>
        <w:t>Bacigalupo</w:t>
      </w:r>
      <w:r w:rsidR="00C27AE9">
        <w:rPr>
          <w:iCs/>
          <w:szCs w:val="26"/>
        </w:rPr>
        <w:t>)</w:t>
      </w:r>
      <w:r w:rsidRPr="00B84AF6">
        <w:rPr>
          <w:szCs w:val="26"/>
        </w:rPr>
        <w:t xml:space="preserve">, judg. vacated and remanded on other grounds </w:t>
      </w:r>
      <w:r w:rsidRPr="00B84AF6">
        <w:rPr>
          <w:i/>
          <w:szCs w:val="26"/>
        </w:rPr>
        <w:t>sub nom</w:t>
      </w:r>
      <w:r w:rsidRPr="00B84AF6">
        <w:rPr>
          <w:szCs w:val="26"/>
        </w:rPr>
        <w:t xml:space="preserve">. </w:t>
      </w:r>
      <w:r w:rsidRPr="00B84AF6">
        <w:rPr>
          <w:i/>
          <w:iCs/>
          <w:szCs w:val="26"/>
        </w:rPr>
        <w:t>Bacigalupo v. California</w:t>
      </w:r>
      <w:r w:rsidRPr="00B84AF6">
        <w:rPr>
          <w:szCs w:val="26"/>
        </w:rPr>
        <w:t xml:space="preserve"> (1992) 506 U.S. 802, quoting </w:t>
      </w:r>
      <w:r w:rsidRPr="00B84AF6">
        <w:rPr>
          <w:i/>
          <w:szCs w:val="26"/>
        </w:rPr>
        <w:t>People v. Flannel</w:t>
      </w:r>
      <w:r w:rsidRPr="00B84AF6">
        <w:rPr>
          <w:szCs w:val="26"/>
        </w:rPr>
        <w:t xml:space="preserve"> (1979) 25 Cal.3d 668, 681</w:t>
      </w:r>
      <w:r w:rsidR="00C27AE9">
        <w:rPr>
          <w:szCs w:val="26"/>
        </w:rPr>
        <w:t xml:space="preserve"> (</w:t>
      </w:r>
      <w:r w:rsidRPr="00B84AF6" w:rsidR="00C27AE9">
        <w:rPr>
          <w:i/>
          <w:szCs w:val="26"/>
        </w:rPr>
        <w:t>Flannel</w:t>
      </w:r>
      <w:r w:rsidR="00C27AE9">
        <w:rPr>
          <w:szCs w:val="26"/>
        </w:rPr>
        <w:t>)</w:t>
      </w:r>
      <w:r w:rsidRPr="00B84AF6">
        <w:rPr>
          <w:szCs w:val="26"/>
        </w:rPr>
        <w:t xml:space="preserve">, superseded on other grounds as stated in </w:t>
      </w:r>
      <w:r w:rsidRPr="00B84AF6" w:rsidR="00344D1A">
        <w:rPr>
          <w:i/>
          <w:szCs w:val="26"/>
        </w:rPr>
        <w:t>In re Christian S.</w:t>
      </w:r>
      <w:r w:rsidRPr="00B84AF6" w:rsidR="00344D1A">
        <w:rPr>
          <w:szCs w:val="26"/>
        </w:rPr>
        <w:t xml:space="preserve"> (1994) 7 Cal.4th </w:t>
      </w:r>
      <w:r w:rsidRPr="00B84AF6" w:rsidR="007E12A8">
        <w:rPr>
          <w:szCs w:val="26"/>
        </w:rPr>
        <w:t>768, 777</w:t>
      </w:r>
      <w:r w:rsidRPr="00B84AF6" w:rsidR="00600607">
        <w:rPr>
          <w:szCs w:val="26"/>
        </w:rPr>
        <w:t xml:space="preserve"> (</w:t>
      </w:r>
      <w:r w:rsidRPr="00B84AF6" w:rsidR="00600607">
        <w:rPr>
          <w:i/>
          <w:szCs w:val="26"/>
        </w:rPr>
        <w:t>Christian S</w:t>
      </w:r>
      <w:r w:rsidRPr="00B84AF6" w:rsidR="00600607">
        <w:rPr>
          <w:szCs w:val="26"/>
        </w:rPr>
        <w:t>.)</w:t>
      </w:r>
      <w:r w:rsidRPr="00B84AF6" w:rsidR="007E12A8">
        <w:rPr>
          <w:szCs w:val="26"/>
        </w:rPr>
        <w:t xml:space="preserve">.)  </w:t>
      </w:r>
      <w:r w:rsidRPr="00B84AF6">
        <w:rPr>
          <w:szCs w:val="26"/>
        </w:rPr>
        <w:t xml:space="preserve">In </w:t>
      </w:r>
      <w:r w:rsidRPr="00B84AF6">
        <w:rPr>
          <w:i/>
          <w:szCs w:val="26"/>
        </w:rPr>
        <w:t>Flannel</w:t>
      </w:r>
      <w:r w:rsidRPr="00B84AF6">
        <w:rPr>
          <w:szCs w:val="26"/>
        </w:rPr>
        <w:t>, we held for the first time that “a genuine but unreasonably held belief [in the need for self-defense] negates the mental state of malice aforethought that is necessary for a murder conviction.”  (</w:t>
      </w:r>
      <w:r w:rsidRPr="006178E3" w:rsidR="006178E3">
        <w:rPr>
          <w:i/>
          <w:szCs w:val="26"/>
        </w:rPr>
        <w:t>Flannel</w:t>
      </w:r>
      <w:r w:rsidR="006178E3">
        <w:rPr>
          <w:szCs w:val="26"/>
        </w:rPr>
        <w:t xml:space="preserve">, </w:t>
      </w:r>
      <w:r w:rsidRPr="00B84AF6">
        <w:rPr>
          <w:szCs w:val="26"/>
        </w:rPr>
        <w:t>at p. 682.)  We also clarified that, going forward, trial courts would have a sua sponte duty to instruct on</w:t>
      </w:r>
      <w:r w:rsidRPr="00B84AF6" w:rsidR="007E12A8">
        <w:rPr>
          <w:szCs w:val="26"/>
        </w:rPr>
        <w:t xml:space="preserve"> unreasonable </w:t>
      </w:r>
      <w:r w:rsidRPr="00B84AF6">
        <w:rPr>
          <w:szCs w:val="26"/>
        </w:rPr>
        <w:t>self</w:t>
      </w:r>
      <w:r w:rsidRPr="00B84AF6">
        <w:rPr>
          <w:szCs w:val="26"/>
        </w:rPr>
        <w:noBreakHyphen/>
        <w:t>defense</w:t>
      </w:r>
      <w:r w:rsidR="00BE2A0F">
        <w:rPr>
          <w:szCs w:val="26"/>
        </w:rPr>
        <w:t>, when warranted by</w:t>
      </w:r>
      <w:r w:rsidRPr="00B84AF6">
        <w:rPr>
          <w:szCs w:val="26"/>
        </w:rPr>
        <w:t xml:space="preserve"> the evidence.  (</w:t>
      </w:r>
      <w:r w:rsidRPr="00B84AF6">
        <w:rPr>
          <w:i/>
          <w:szCs w:val="26"/>
        </w:rPr>
        <w:t>Id.</w:t>
      </w:r>
      <w:r w:rsidR="00860F84">
        <w:rPr>
          <w:szCs w:val="26"/>
        </w:rPr>
        <w:t xml:space="preserve"> at pp. 682–683</w:t>
      </w:r>
      <w:r w:rsidRPr="00B84AF6">
        <w:rPr>
          <w:szCs w:val="26"/>
        </w:rPr>
        <w:t xml:space="preserve">)  But we held that the trial court’s failure to instruct on that theory did not </w:t>
      </w:r>
      <w:r w:rsidR="00BE2A0F">
        <w:rPr>
          <w:szCs w:val="26"/>
        </w:rPr>
        <w:t>require</w:t>
      </w:r>
      <w:r w:rsidRPr="00B84AF6">
        <w:rPr>
          <w:szCs w:val="26"/>
        </w:rPr>
        <w:t xml:space="preserve"> reversal because the theory of </w:t>
      </w:r>
      <w:r w:rsidR="006178E3">
        <w:rPr>
          <w:szCs w:val="26"/>
        </w:rPr>
        <w:t>unreasonable</w:t>
      </w:r>
      <w:r w:rsidRPr="00B84AF6">
        <w:rPr>
          <w:szCs w:val="26"/>
        </w:rPr>
        <w:t xml:space="preserve"> self-defense was not so well</w:t>
      </w:r>
      <w:r w:rsidRPr="00B84AF6">
        <w:rPr>
          <w:szCs w:val="26"/>
        </w:rPr>
        <w:noBreakHyphen/>
        <w:t>established that the trial court could be faulted for failing to instruct sua sponte.  (</w:t>
      </w:r>
      <w:r w:rsidRPr="00B84AF6">
        <w:rPr>
          <w:i/>
          <w:szCs w:val="26"/>
        </w:rPr>
        <w:t>Id.</w:t>
      </w:r>
      <w:r w:rsidRPr="00B84AF6">
        <w:rPr>
          <w:szCs w:val="26"/>
        </w:rPr>
        <w:t xml:space="preserve"> at pp. 675, 681</w:t>
      </w:r>
      <w:r w:rsidRPr="00B84AF6" w:rsidR="007E12A8">
        <w:rPr>
          <w:szCs w:val="26"/>
        </w:rPr>
        <w:t>–</w:t>
      </w:r>
      <w:r w:rsidRPr="00B84AF6">
        <w:rPr>
          <w:szCs w:val="26"/>
        </w:rPr>
        <w:t xml:space="preserve">683.)  </w:t>
      </w:r>
      <w:r w:rsidRPr="00B84AF6" w:rsidR="007E12A8">
        <w:rPr>
          <w:szCs w:val="26"/>
        </w:rPr>
        <w:t xml:space="preserve">This was true </w:t>
      </w:r>
      <w:r w:rsidRPr="00B84AF6">
        <w:rPr>
          <w:szCs w:val="26"/>
        </w:rPr>
        <w:t xml:space="preserve">even though several decisions from the Courts of Appeal had already recognized </w:t>
      </w:r>
      <w:r w:rsidR="006178E3">
        <w:rPr>
          <w:szCs w:val="26"/>
        </w:rPr>
        <w:t>unreasonable</w:t>
      </w:r>
      <w:r w:rsidRPr="00B84AF6">
        <w:rPr>
          <w:szCs w:val="26"/>
        </w:rPr>
        <w:t xml:space="preserve"> self</w:t>
      </w:r>
      <w:r w:rsidRPr="00B84AF6">
        <w:rPr>
          <w:szCs w:val="26"/>
        </w:rPr>
        <w:noBreakHyphen/>
        <w:t>defense — and even though we had previously “affirmed [its] existence” in dicta.  (</w:t>
      </w:r>
      <w:r w:rsidRPr="00B84AF6">
        <w:rPr>
          <w:i/>
          <w:szCs w:val="26"/>
        </w:rPr>
        <w:t>Id.</w:t>
      </w:r>
      <w:r w:rsidRPr="00B84AF6">
        <w:rPr>
          <w:szCs w:val="26"/>
        </w:rPr>
        <w:t xml:space="preserve"> at </w:t>
      </w:r>
      <w:r w:rsidR="006178E3">
        <w:rPr>
          <w:szCs w:val="26"/>
        </w:rPr>
        <w:t>p.</w:t>
      </w:r>
      <w:r w:rsidRPr="00B84AF6">
        <w:rPr>
          <w:szCs w:val="26"/>
        </w:rPr>
        <w:t> 676</w:t>
      </w:r>
      <w:r w:rsidR="006178E3">
        <w:rPr>
          <w:szCs w:val="26"/>
        </w:rPr>
        <w:t xml:space="preserve">; see also </w:t>
      </w:r>
      <w:r w:rsidRPr="006178E3" w:rsidR="006178E3">
        <w:rPr>
          <w:i/>
          <w:szCs w:val="26"/>
        </w:rPr>
        <w:t>id</w:t>
      </w:r>
      <w:r w:rsidR="006178E3">
        <w:rPr>
          <w:szCs w:val="26"/>
        </w:rPr>
        <w:t>. at pp. 675–676</w:t>
      </w:r>
      <w:r w:rsidRPr="00B84AF6">
        <w:rPr>
          <w:szCs w:val="26"/>
        </w:rPr>
        <w:t xml:space="preserve">, citing </w:t>
      </w:r>
      <w:r w:rsidRPr="00B84AF6">
        <w:rPr>
          <w:i/>
          <w:szCs w:val="26"/>
        </w:rPr>
        <w:t>People v. Lewis</w:t>
      </w:r>
      <w:r w:rsidRPr="00B84AF6">
        <w:rPr>
          <w:szCs w:val="26"/>
        </w:rPr>
        <w:t xml:space="preserve"> (1960) 186 Cal.App.2d 585, </w:t>
      </w:r>
      <w:r w:rsidRPr="00B84AF6">
        <w:rPr>
          <w:i/>
          <w:szCs w:val="26"/>
        </w:rPr>
        <w:t xml:space="preserve">People v. Best </w:t>
      </w:r>
      <w:r w:rsidRPr="00B84AF6">
        <w:rPr>
          <w:szCs w:val="26"/>
        </w:rPr>
        <w:t xml:space="preserve">(1936) 13 Cal.App.2d 606, and </w:t>
      </w:r>
      <w:r w:rsidRPr="00B84AF6">
        <w:rPr>
          <w:i/>
          <w:szCs w:val="26"/>
        </w:rPr>
        <w:t>People v. Sedeno</w:t>
      </w:r>
      <w:r w:rsidRPr="00B84AF6">
        <w:rPr>
          <w:szCs w:val="26"/>
        </w:rPr>
        <w:t xml:space="preserve"> (1974) 10 Cal.3d 703</w:t>
      </w:r>
      <w:r w:rsidR="00BE2A0F">
        <w:rPr>
          <w:szCs w:val="26"/>
        </w:rPr>
        <w:t>.  As we explained in</w:t>
      </w:r>
      <w:r w:rsidRPr="00B84AF6">
        <w:rPr>
          <w:szCs w:val="26"/>
        </w:rPr>
        <w:t xml:space="preserve"> </w:t>
      </w:r>
      <w:r w:rsidRPr="00B84AF6">
        <w:rPr>
          <w:i/>
          <w:szCs w:val="26"/>
        </w:rPr>
        <w:t>Bacigalupo</w:t>
      </w:r>
      <w:r w:rsidRPr="00B84AF6">
        <w:rPr>
          <w:szCs w:val="26"/>
        </w:rPr>
        <w:t>, “</w:t>
      </w:r>
      <w:r w:rsidRPr="00B84AF6">
        <w:rPr>
          <w:i/>
          <w:iCs/>
          <w:szCs w:val="26"/>
        </w:rPr>
        <w:t>Flannel</w:t>
      </w:r>
      <w:r w:rsidRPr="00B84AF6">
        <w:rPr>
          <w:szCs w:val="26"/>
        </w:rPr>
        <w:t xml:space="preserve"> does not suggest that . . . acceptance of a legal rule in one intermediate appellate decision” imposes a sua sponte duty to instruct on that rule</w:t>
      </w:r>
      <w:r w:rsidRPr="00B84AF6" w:rsidR="00BE2A0F">
        <w:rPr>
          <w:szCs w:val="26"/>
        </w:rPr>
        <w:t>.</w:t>
      </w:r>
      <w:r w:rsidR="00EE3C6D">
        <w:rPr>
          <w:szCs w:val="26"/>
        </w:rPr>
        <w:t>”</w:t>
      </w:r>
      <w:r w:rsidR="00860F84">
        <w:rPr>
          <w:szCs w:val="26"/>
        </w:rPr>
        <w:t xml:space="preserve">  (</w:t>
      </w:r>
      <w:r w:rsidRPr="00B84AF6" w:rsidR="00860F84">
        <w:rPr>
          <w:szCs w:val="26"/>
        </w:rPr>
        <w:t>1 Cal.4th at p</w:t>
      </w:r>
      <w:r w:rsidR="00860F84">
        <w:rPr>
          <w:szCs w:val="26"/>
        </w:rPr>
        <w:t>p.</w:t>
      </w:r>
      <w:r w:rsidRPr="00B84AF6" w:rsidR="00860F84">
        <w:rPr>
          <w:szCs w:val="26"/>
        </w:rPr>
        <w:t xml:space="preserve"> 126–127, </w:t>
      </w:r>
      <w:r w:rsidR="00860F84">
        <w:rPr>
          <w:szCs w:val="26"/>
        </w:rPr>
        <w:t>fn. 4.)</w:t>
      </w:r>
    </w:p>
    <w:p w:rsidR="00B24DE0" w:rsidRPr="00B84AF6" w:rsidP="00B84AF6">
      <w:pPr>
        <w:tabs>
          <w:tab w:val="left" w:pos="1440"/>
        </w:tabs>
        <w:ind w:firstLine="720"/>
      </w:pPr>
      <w:r w:rsidRPr="00B84AF6">
        <w:t xml:space="preserve">Defendant </w:t>
      </w:r>
      <w:r w:rsidRPr="00B84AF6" w:rsidR="001E16EA">
        <w:t xml:space="preserve">argues </w:t>
      </w:r>
      <w:r w:rsidR="003D54AF">
        <w:t>it is well established that a defendant who genuinely makes an</w:t>
      </w:r>
      <w:r w:rsidRPr="00B84AF6" w:rsidR="007345B6">
        <w:t xml:space="preserve"> </w:t>
      </w:r>
      <w:r w:rsidRPr="00B84AF6" w:rsidR="001E16EA">
        <w:t xml:space="preserve">unreasonable mistake of fact as </w:t>
      </w:r>
      <w:r w:rsidR="003D54AF">
        <w:t>to consent necessarily lacks the</w:t>
      </w:r>
      <w:r w:rsidRPr="00B84AF6" w:rsidR="001E16EA">
        <w:t xml:space="preserve"> specific intent </w:t>
      </w:r>
      <w:r w:rsidR="003D54AF">
        <w:t>to rape</w:t>
      </w:r>
      <w:r w:rsidRPr="00B84AF6">
        <w:t xml:space="preserve">.  </w:t>
      </w:r>
      <w:r w:rsidRPr="00B84AF6" w:rsidR="001E16EA">
        <w:t xml:space="preserve">He </w:t>
      </w:r>
      <w:r w:rsidRPr="00B84AF6">
        <w:t xml:space="preserve">relies by analogy on cases holding that a bona fide belief in a claim of right to property or that the property was abandoned disproves the specific intent requirement for certain theft offenses, even if that belief is unreasonable.  (See, e.g., </w:t>
      </w:r>
      <w:r w:rsidRPr="00B84AF6">
        <w:rPr>
          <w:i/>
        </w:rPr>
        <w:t>People v. Russell</w:t>
      </w:r>
      <w:r w:rsidRPr="00B84AF6">
        <w:t xml:space="preserve"> (2006) 144 Cal.App.4th 1415, 1425–1426; </w:t>
      </w:r>
      <w:r w:rsidRPr="00B84AF6">
        <w:rPr>
          <w:i/>
        </w:rPr>
        <w:t>People v. Navarro</w:t>
      </w:r>
      <w:r w:rsidRPr="00B84AF6">
        <w:t xml:space="preserve"> (1979) 99 Cal.App.3d Supp. 1, 5–6, 10–11; see generally </w:t>
      </w:r>
      <w:r w:rsidRPr="00B84AF6">
        <w:rPr>
          <w:i/>
        </w:rPr>
        <w:t>People v. Tufunga</w:t>
      </w:r>
      <w:r w:rsidRPr="00B84AF6">
        <w:t xml:space="preserve"> (1999) 21 Cal.4th 935, 938.)</w:t>
      </w:r>
      <w:r w:rsidRPr="00B84AF6">
        <w:t xml:space="preserve">  </w:t>
      </w:r>
      <w:r w:rsidR="00D42972">
        <w:t>He</w:t>
      </w:r>
      <w:r w:rsidR="009A74A2">
        <w:t xml:space="preserve"> also </w:t>
      </w:r>
      <w:r w:rsidR="00500C84">
        <w:t xml:space="preserve">relies on our recognition of </w:t>
      </w:r>
      <w:r w:rsidR="00C27AE9">
        <w:t>a</w:t>
      </w:r>
      <w:r w:rsidR="00DE6CB2">
        <w:t xml:space="preserve"> </w:t>
      </w:r>
      <w:r w:rsidR="00582170">
        <w:t xml:space="preserve">defense to </w:t>
      </w:r>
      <w:r w:rsidR="00DE6CB2">
        <w:t xml:space="preserve">malice-murder </w:t>
      </w:r>
      <w:r w:rsidR="00582170">
        <w:t>based on</w:t>
      </w:r>
      <w:r w:rsidR="00DE6CB2">
        <w:t xml:space="preserve"> </w:t>
      </w:r>
      <w:r w:rsidR="00500C84">
        <w:t>an actual but unre</w:t>
      </w:r>
      <w:r w:rsidR="00DE6CB2">
        <w:t>asonable belief in the need for self</w:t>
      </w:r>
      <w:r w:rsidR="00582170">
        <w:t>-</w:t>
      </w:r>
      <w:r w:rsidR="00DE6CB2">
        <w:t>defense.</w:t>
      </w:r>
      <w:r w:rsidR="00582170">
        <w:t xml:space="preserve">  (</w:t>
      </w:r>
      <w:r w:rsidR="00C27AE9">
        <w:t xml:space="preserve">See </w:t>
      </w:r>
      <w:r w:rsidR="00582170">
        <w:rPr>
          <w:i/>
        </w:rPr>
        <w:t>Christian S.</w:t>
      </w:r>
      <w:r w:rsidR="00C27AE9">
        <w:t xml:space="preserve">, </w:t>
      </w:r>
      <w:r w:rsidR="00C27AE9">
        <w:rPr>
          <w:i/>
        </w:rPr>
        <w:t>supra</w:t>
      </w:r>
      <w:r w:rsidR="00C27AE9">
        <w:t xml:space="preserve">, </w:t>
      </w:r>
      <w:r w:rsidR="00582170">
        <w:t xml:space="preserve">7 Cal.4th </w:t>
      </w:r>
      <w:r w:rsidR="00C27AE9">
        <w:t>at pp. </w:t>
      </w:r>
      <w:r w:rsidR="00582170">
        <w:t>778, 783.)</w:t>
      </w:r>
      <w:r w:rsidR="001A5AB8">
        <w:t xml:space="preserve">  </w:t>
      </w:r>
      <w:r w:rsidRPr="00B84AF6" w:rsidR="007345B6">
        <w:t xml:space="preserve">But extension of </w:t>
      </w:r>
      <w:r w:rsidRPr="00B84AF6" w:rsidR="00EF014C">
        <w:t xml:space="preserve">this principle </w:t>
      </w:r>
      <w:r w:rsidRPr="00B84AF6" w:rsidR="007345B6">
        <w:t xml:space="preserve">to </w:t>
      </w:r>
      <w:r w:rsidRPr="00B84AF6" w:rsidR="004C0B83">
        <w:t>sex crimes requiring specific intent</w:t>
      </w:r>
      <w:r w:rsidR="004F057A">
        <w:t xml:space="preserve"> </w:t>
      </w:r>
      <w:r w:rsidRPr="00B610E3" w:rsidR="008F10AF">
        <w:t xml:space="preserve">is not a foregone conclusion. </w:t>
      </w:r>
      <w:r w:rsidR="008F10AF">
        <w:t xml:space="preserve"> </w:t>
      </w:r>
      <w:r w:rsidRPr="00B610E3" w:rsidR="008F10AF">
        <w:t>The issue has not arisen frequently,</w:t>
      </w:r>
      <w:r w:rsidR="008F10AF">
        <w:t xml:space="preserve"> and</w:t>
      </w:r>
      <w:r w:rsidRPr="00B610E3" w:rsidR="008F10AF">
        <w:t xml:space="preserve"> at the time of defendant’s trial no Court of Appeal had squarely addressed the viability of an unreasonable mistake of fact defense in this context. </w:t>
      </w:r>
      <w:r w:rsidR="008F10AF">
        <w:t xml:space="preserve"> </w:t>
      </w:r>
      <w:r w:rsidRPr="00B610E3" w:rsidR="008F10AF">
        <w:t xml:space="preserve">One </w:t>
      </w:r>
      <w:r w:rsidR="008F10AF">
        <w:t>c</w:t>
      </w:r>
      <w:r w:rsidRPr="00B610E3" w:rsidR="008F10AF">
        <w:t>ourt has since issued a decision offer</w:t>
      </w:r>
      <w:r w:rsidR="008F10AF">
        <w:t>ing</w:t>
      </w:r>
      <w:r w:rsidRPr="00B610E3" w:rsidR="008F10AF">
        <w:t xml:space="preserve"> some support for defendant’s position, but that decision was rendered several years after defendant’s trial</w:t>
      </w:r>
      <w:r w:rsidR="008F10AF">
        <w:t xml:space="preserve">. </w:t>
      </w:r>
      <w:r w:rsidRPr="00B610E3" w:rsidR="008F10AF">
        <w:t xml:space="preserve"> (</w:t>
      </w:r>
      <w:r w:rsidR="008F10AF">
        <w:t xml:space="preserve">See </w:t>
      </w:r>
      <w:r w:rsidRPr="00CE2E19" w:rsidR="008F10AF">
        <w:rPr>
          <w:i/>
        </w:rPr>
        <w:t>People v. Braslaw</w:t>
      </w:r>
      <w:r w:rsidRPr="00B610E3" w:rsidR="008F10AF">
        <w:t xml:space="preserve">, </w:t>
      </w:r>
      <w:r w:rsidRPr="00CE2E19" w:rsidR="008F10AF">
        <w:rPr>
          <w:i/>
        </w:rPr>
        <w:t>supra</w:t>
      </w:r>
      <w:r w:rsidRPr="00B610E3" w:rsidR="008F10AF">
        <w:t>, 233 Cal.App.4th at pp.</w:t>
      </w:r>
      <w:r w:rsidR="008F10AF">
        <w:t> </w:t>
      </w:r>
      <w:r w:rsidRPr="00B610E3" w:rsidR="008F10AF">
        <w:t>1247-1249</w:t>
      </w:r>
      <w:r w:rsidR="008F10AF">
        <w:t>.</w:t>
      </w:r>
      <w:r w:rsidRPr="00B610E3" w:rsidR="008F10AF">
        <w:t>)</w:t>
      </w:r>
      <w:r w:rsidR="008F10AF">
        <w:t xml:space="preserve"> </w:t>
      </w:r>
      <w:r w:rsidRPr="00B610E3" w:rsidR="008F10AF">
        <w:t xml:space="preserve"> </w:t>
      </w:r>
      <w:r w:rsidR="008F10AF">
        <w:t>I</w:t>
      </w:r>
      <w:r w:rsidRPr="00B610E3" w:rsidR="008F10AF">
        <w:t>n any event, one appellate decision in support of a legal rule does not “transform[] it into a general principle of law” (</w:t>
      </w:r>
      <w:r w:rsidRPr="00CE2E19" w:rsidR="008F10AF">
        <w:rPr>
          <w:i/>
        </w:rPr>
        <w:t>Bacigalupo</w:t>
      </w:r>
      <w:r w:rsidRPr="00B610E3" w:rsidR="008F10AF">
        <w:t xml:space="preserve">, </w:t>
      </w:r>
      <w:r w:rsidRPr="00CE2E19" w:rsidR="008F10AF">
        <w:rPr>
          <w:i/>
        </w:rPr>
        <w:t>supra</w:t>
      </w:r>
      <w:r w:rsidRPr="00B610E3" w:rsidR="008F10AF">
        <w:t>, 1 Cal.4th at pp.</w:t>
      </w:r>
      <w:r w:rsidR="008F10AF">
        <w:t> </w:t>
      </w:r>
      <w:r w:rsidRPr="00B610E3" w:rsidR="008F10AF">
        <w:t>126-127, fn.</w:t>
      </w:r>
      <w:r w:rsidR="008F10AF">
        <w:t> </w:t>
      </w:r>
      <w:r w:rsidRPr="00B610E3" w:rsidR="008F10AF">
        <w:t>4).</w:t>
      </w:r>
      <w:r w:rsidR="008F10AF">
        <w:t xml:space="preserve"> </w:t>
      </w:r>
      <w:r w:rsidRPr="00B610E3" w:rsidR="008F10AF">
        <w:t xml:space="preserve"> We have never considered, let alone decided, the issue. </w:t>
      </w:r>
      <w:r w:rsidR="008F10AF">
        <w:t xml:space="preserve"> </w:t>
      </w:r>
      <w:r w:rsidR="004F057A">
        <w:t xml:space="preserve"> Under the governing authority of </w:t>
      </w:r>
      <w:r w:rsidR="004F057A">
        <w:rPr>
          <w:i/>
        </w:rPr>
        <w:t>Flannel</w:t>
      </w:r>
      <w:r w:rsidR="004F057A">
        <w:t xml:space="preserve"> and </w:t>
      </w:r>
      <w:r w:rsidR="004F057A">
        <w:rPr>
          <w:i/>
        </w:rPr>
        <w:t>Baciagalupo</w:t>
      </w:r>
      <w:r w:rsidR="004F057A">
        <w:t>,</w:t>
      </w:r>
      <w:r w:rsidRPr="00B610E3" w:rsidR="00B610E3">
        <w:t xml:space="preserve"> defendant’s unreasonable mistake theory falls far short of a well-established rule that would have required a sua sponte instruction. </w:t>
      </w:r>
      <w:r w:rsidRPr="00B84AF6" w:rsidR="00C94FB7">
        <w:t xml:space="preserve">  </w:t>
      </w:r>
      <w:r w:rsidR="004F057A">
        <w:t>Because defendant never requested such an instruction, he has forfeited the issue.</w:t>
      </w:r>
    </w:p>
    <w:p w:rsidR="00DA4CC1" w:rsidRPr="00B84AF6" w:rsidP="004F057A">
      <w:pPr>
        <w:keepNext/>
        <w:numPr>
          <w:ilvl w:val="0"/>
          <w:numId w:val="29"/>
        </w:numPr>
        <w:tabs>
          <w:tab w:val="left" w:pos="1440"/>
        </w:tabs>
        <w:ind w:left="2376"/>
        <w:outlineLvl w:val="3"/>
        <w:rPr>
          <w:i/>
        </w:rPr>
      </w:pPr>
      <w:r w:rsidRPr="00B84AF6">
        <w:rPr>
          <w:i/>
        </w:rPr>
        <w:t>Harmless Error</w:t>
      </w:r>
      <w:r w:rsidRPr="00B84AF6">
        <w:rPr>
          <w:i/>
        </w:rPr>
        <w:t xml:space="preserve"> </w:t>
      </w:r>
    </w:p>
    <w:p w:rsidR="00000261" w:rsidRPr="00B84AF6" w:rsidP="00B84AF6">
      <w:pPr>
        <w:tabs>
          <w:tab w:val="left" w:pos="1440"/>
        </w:tabs>
        <w:ind w:firstLine="720"/>
      </w:pPr>
      <w:r w:rsidRPr="00B84AF6">
        <w:t>N</w:t>
      </w:r>
      <w:r w:rsidRPr="00B84AF6" w:rsidR="00AB431F">
        <w:t xml:space="preserve">otwithstanding forfeiture, and even assuming </w:t>
      </w:r>
      <w:r w:rsidRPr="00B84AF6" w:rsidR="009D2F20">
        <w:t xml:space="preserve">the validity of defendant’s </w:t>
      </w:r>
      <w:r w:rsidRPr="00B84AF6" w:rsidR="00AB431F">
        <w:t xml:space="preserve">unreasonable-belief-in-consent </w:t>
      </w:r>
      <w:r w:rsidRPr="00B84AF6" w:rsidR="009D2F20">
        <w:t xml:space="preserve">theory, </w:t>
      </w:r>
      <w:r w:rsidRPr="00B84AF6" w:rsidR="00AB431F">
        <w:t>the alleged error in failing to instruct on that defense was harmless.</w:t>
      </w:r>
      <w:r w:rsidRPr="00B84AF6" w:rsidR="00BC72DE">
        <w:t xml:space="preserve">  </w:t>
      </w:r>
      <w:r w:rsidRPr="00B84AF6" w:rsidR="00614EBD">
        <w:t>“</w:t>
      </w:r>
      <w:r w:rsidRPr="00B84AF6" w:rsidR="007323A5">
        <w:t>E</w:t>
      </w:r>
      <w:r w:rsidRPr="00B84AF6" w:rsidR="00614EBD">
        <w:t xml:space="preserve">rror in failing to instruct on the mistake-of-fact defense is subject to the harmless error test set forth in </w:t>
      </w:r>
      <w:r w:rsidRPr="00B84AF6" w:rsidR="00614EBD">
        <w:rPr>
          <w:i/>
        </w:rPr>
        <w:t>People v. Watson</w:t>
      </w:r>
      <w:r w:rsidRPr="00B84AF6" w:rsidR="00614EBD">
        <w:t xml:space="preserve"> (1956) 46 Cal.2d 818, 836.”  (</w:t>
      </w:r>
      <w:r w:rsidRPr="00B84AF6" w:rsidR="00614EBD">
        <w:rPr>
          <w:i/>
        </w:rPr>
        <w:t>People v. Russell</w:t>
      </w:r>
      <w:r w:rsidR="0026286F">
        <w:t xml:space="preserve">, </w:t>
      </w:r>
      <w:r w:rsidR="0026286F">
        <w:rPr>
          <w:i/>
        </w:rPr>
        <w:t>supra</w:t>
      </w:r>
      <w:r w:rsidR="0026286F">
        <w:t>,</w:t>
      </w:r>
      <w:r w:rsidRPr="00B84AF6" w:rsidR="00614EBD">
        <w:t xml:space="preserve"> 144 Cal.App.</w:t>
      </w:r>
      <w:r w:rsidR="0026286F">
        <w:t>4</w:t>
      </w:r>
      <w:r w:rsidRPr="0026286F" w:rsidR="0026286F">
        <w:t>th</w:t>
      </w:r>
      <w:r w:rsidR="0026286F">
        <w:t xml:space="preserve"> at p.</w:t>
      </w:r>
      <w:r w:rsidRPr="00B84AF6" w:rsidR="00614EBD">
        <w:t xml:space="preserve"> 1431; accord,</w:t>
      </w:r>
      <w:r w:rsidRPr="00B84AF6" w:rsidR="00D82363">
        <w:t xml:space="preserve"> </w:t>
      </w:r>
      <w:r w:rsidRPr="00B84AF6" w:rsidR="00A4029D">
        <w:rPr>
          <w:i/>
        </w:rPr>
        <w:t>People v. Watt</w:t>
      </w:r>
      <w:r w:rsidRPr="00B84AF6" w:rsidR="00A4029D">
        <w:t xml:space="preserve"> </w:t>
      </w:r>
      <w:r w:rsidR="0026286F">
        <w:t>(</w:t>
      </w:r>
      <w:r w:rsidRPr="00B84AF6" w:rsidR="00A4029D">
        <w:t>2014) 229 Cal.App.4th 1215, 1219</w:t>
      </w:r>
      <w:r w:rsidR="00471468">
        <w:t>–1220</w:t>
      </w:r>
      <w:r w:rsidRPr="00B84AF6" w:rsidR="00A4029D">
        <w:t xml:space="preserve">, and cases cited; </w:t>
      </w:r>
      <w:r w:rsidRPr="00B84AF6" w:rsidR="00A74922">
        <w:rPr>
          <w:i/>
        </w:rPr>
        <w:t>People v. Givan</w:t>
      </w:r>
      <w:r w:rsidRPr="00B84AF6" w:rsidR="00A74922">
        <w:t xml:space="preserve"> (2015) 233 Cal.App.4th 335, 349; </w:t>
      </w:r>
      <w:r w:rsidRPr="00B84AF6" w:rsidR="00D82363">
        <w:rPr>
          <w:i/>
        </w:rPr>
        <w:t>People v. Hanna</w:t>
      </w:r>
      <w:r w:rsidRPr="00B84AF6" w:rsidR="00D82363">
        <w:t xml:space="preserve"> (2013) 218 Cal.App.4th 455, 462–463;</w:t>
      </w:r>
      <w:r w:rsidRPr="00B84AF6" w:rsidR="00614EBD">
        <w:t xml:space="preserve"> </w:t>
      </w:r>
      <w:r w:rsidRPr="00B84AF6" w:rsidR="00D82363">
        <w:rPr>
          <w:i/>
        </w:rPr>
        <w:t>People v. Soika</w:t>
      </w:r>
      <w:r w:rsidR="0026286F">
        <w:t xml:space="preserve">, </w:t>
      </w:r>
      <w:r w:rsidR="0026286F">
        <w:rPr>
          <w:i/>
        </w:rPr>
        <w:t>supra</w:t>
      </w:r>
      <w:r w:rsidR="0026286F">
        <w:t>,</w:t>
      </w:r>
      <w:r w:rsidRPr="00B84AF6" w:rsidR="00D82363">
        <w:t xml:space="preserve"> 196 Cal.App.4th</w:t>
      </w:r>
      <w:r w:rsidR="0026286F">
        <w:t xml:space="preserve"> at p.</w:t>
      </w:r>
      <w:r w:rsidRPr="00B84AF6" w:rsidR="00D82363">
        <w:t xml:space="preserve"> 738.)  Under this standard, a conviction “may be reversed in consequence of this form of error only if, ‘after an examination of the entire cause, including the evidence’ (Cal. Const., art. VI, § 13), it appears ‘reasonably probable’ the defendant would have obtained a more favorable outcome had the error not occurred [citation].”  (</w:t>
      </w:r>
      <w:r w:rsidRPr="00B84AF6" w:rsidR="00D82363">
        <w:rPr>
          <w:i/>
        </w:rPr>
        <w:t>People v. Breverman</w:t>
      </w:r>
      <w:r w:rsidRPr="00B84AF6" w:rsidR="00D82363">
        <w:t xml:space="preserve"> (1998) 19 Cal.4th 142, 178</w:t>
      </w:r>
      <w:r w:rsidR="00EC0E66">
        <w:t>, fn. omitted</w:t>
      </w:r>
      <w:r w:rsidRPr="00B84AF6" w:rsidR="0085072E">
        <w:t xml:space="preserve"> (</w:t>
      </w:r>
      <w:r w:rsidRPr="00B84AF6" w:rsidR="0085072E">
        <w:rPr>
          <w:i/>
        </w:rPr>
        <w:t>Breverman</w:t>
      </w:r>
      <w:r w:rsidRPr="00B84AF6" w:rsidR="0085072E">
        <w:t>)</w:t>
      </w:r>
      <w:r w:rsidRPr="00B84AF6" w:rsidR="00D82363">
        <w:t>.)</w:t>
      </w:r>
      <w:r>
        <w:rPr>
          <w:rStyle w:val="FootnoteReference"/>
        </w:rPr>
        <w:footnoteReference w:id="17"/>
      </w:r>
      <w:r w:rsidRPr="00B84AF6" w:rsidR="00D82363">
        <w:t xml:space="preserve">  </w:t>
      </w:r>
    </w:p>
    <w:p w:rsidR="004C2A38" w:rsidRPr="00B84AF6" w:rsidP="00B84AF6">
      <w:pPr>
        <w:tabs>
          <w:tab w:val="left" w:pos="1440"/>
        </w:tabs>
        <w:ind w:firstLine="720"/>
      </w:pPr>
      <w:r w:rsidRPr="00B84AF6">
        <w:t>There was compelling evidence</w:t>
      </w:r>
      <w:r w:rsidRPr="00B84AF6" w:rsidR="009836FB">
        <w:t xml:space="preserve"> that defendant strangled McKenna to death during an act of rape.  McKenna had contusions and abrasions on her upper torso, mouth, and nose consistent with the use of force.  The pathologist testified that defendant would have had to apply pressure to McKenna’s neck for </w:t>
      </w:r>
      <w:r w:rsidR="001774F0">
        <w:t>“</w:t>
      </w:r>
      <w:r w:rsidRPr="00B84AF6" w:rsidR="009836FB">
        <w:t>a couple of minutes</w:t>
      </w:r>
      <w:r w:rsidR="001774F0">
        <w:t>”</w:t>
      </w:r>
      <w:r w:rsidRPr="00B84AF6" w:rsidR="009836FB">
        <w:t xml:space="preserve"> before she lost consciousness, and then</w:t>
      </w:r>
      <w:r w:rsidR="001774F0">
        <w:t xml:space="preserve"> for</w:t>
      </w:r>
      <w:r w:rsidRPr="00B84AF6" w:rsidR="009836FB">
        <w:t xml:space="preserve"> one or two more minutes </w:t>
      </w:r>
      <w:r w:rsidR="001774F0">
        <w:t>to stop</w:t>
      </w:r>
      <w:r w:rsidRPr="00B84AF6" w:rsidR="009836FB">
        <w:t xml:space="preserve"> her heart.  This evidence strongly supported an inference of premeditated and deliberate intent to kill, and undermined any suggestion that defendant believed in good faith the victim had consented.  Defendant’s</w:t>
      </w:r>
      <w:r w:rsidRPr="00B84AF6" w:rsidR="003A17F3">
        <w:t xml:space="preserve"> </w:t>
      </w:r>
      <w:r w:rsidR="001774F0">
        <w:t xml:space="preserve">two </w:t>
      </w:r>
      <w:r w:rsidRPr="00B84AF6" w:rsidR="003A17F3">
        <w:t>attempt</w:t>
      </w:r>
      <w:r w:rsidR="001774F0">
        <w:t>s</w:t>
      </w:r>
      <w:r w:rsidRPr="00B84AF6" w:rsidR="003A17F3">
        <w:t xml:space="preserve"> to clean up the crime scene and his flight from the apartment </w:t>
      </w:r>
      <w:r w:rsidR="001774F0">
        <w:t>the next day</w:t>
      </w:r>
      <w:r w:rsidRPr="00B84AF6">
        <w:t xml:space="preserve"> also </w:t>
      </w:r>
      <w:r w:rsidR="003D64DC">
        <w:t xml:space="preserve">cast into doubt his description of </w:t>
      </w:r>
      <w:r w:rsidRPr="00B84AF6">
        <w:t xml:space="preserve"> a consensual encounter and accidental death.  Finally, defendant’s forcible rape and strangulation of Anne H. and Mabel L. were strong evidence that he assaulted McKenna in a similar fashion and with similar intent.     </w:t>
      </w:r>
    </w:p>
    <w:p w:rsidR="00110EF3" w:rsidRPr="00B84AF6" w:rsidP="00B84AF6">
      <w:pPr>
        <w:tabs>
          <w:tab w:val="left" w:pos="1440"/>
        </w:tabs>
        <w:ind w:firstLine="720"/>
      </w:pPr>
      <w:r>
        <w:t>T</w:t>
      </w:r>
      <w:r w:rsidRPr="00B84AF6" w:rsidR="003C63EB">
        <w:t>he evidence presented at trial</w:t>
      </w:r>
      <w:r>
        <w:t xml:space="preserve"> and </w:t>
      </w:r>
      <w:r w:rsidRPr="00B84AF6" w:rsidR="003C63EB">
        <w:t>the defense theory of the case</w:t>
      </w:r>
      <w:r>
        <w:t xml:space="preserve"> provided very little support for </w:t>
      </w:r>
      <w:r w:rsidRPr="00B84AF6" w:rsidR="003C63EB">
        <w:t xml:space="preserve">a </w:t>
      </w:r>
      <w:r w:rsidR="001774F0">
        <w:t>claim</w:t>
      </w:r>
      <w:r w:rsidRPr="00B84AF6" w:rsidR="003C63EB">
        <w:t xml:space="preserve"> that defendant </w:t>
      </w:r>
      <w:r w:rsidR="001774F0">
        <w:t xml:space="preserve">mistakenly </w:t>
      </w:r>
      <w:r w:rsidRPr="00B84AF6" w:rsidR="003C63EB">
        <w:t>ha</w:t>
      </w:r>
      <w:r w:rsidRPr="00B84AF6" w:rsidR="004A6087">
        <w:t xml:space="preserve">rbored a good faith but </w:t>
      </w:r>
      <w:r w:rsidRPr="00B84AF6" w:rsidR="003C63EB">
        <w:t xml:space="preserve">unreasonable belief </w:t>
      </w:r>
      <w:r w:rsidR="001774F0">
        <w:t>in</w:t>
      </w:r>
      <w:r w:rsidRPr="00B84AF6" w:rsidR="003C63EB">
        <w:t xml:space="preserve"> McKenna</w:t>
      </w:r>
      <w:r w:rsidR="001774F0">
        <w:t>’s</w:t>
      </w:r>
      <w:r w:rsidRPr="00B84AF6" w:rsidR="003C63EB">
        <w:t xml:space="preserve"> consent.</w:t>
      </w:r>
      <w:r w:rsidRPr="00B84AF6" w:rsidR="00DB7283">
        <w:t xml:space="preserve">  </w:t>
      </w:r>
      <w:r w:rsidRPr="00B84AF6">
        <w:t xml:space="preserve">The defense </w:t>
      </w:r>
      <w:r w:rsidR="001774F0">
        <w:t>argue</w:t>
      </w:r>
      <w:r w:rsidR="000D53C9">
        <w:t>d</w:t>
      </w:r>
      <w:r w:rsidRPr="00B84AF6">
        <w:t xml:space="preserve"> </w:t>
      </w:r>
      <w:r w:rsidRPr="001774F0">
        <w:rPr>
          <w:i/>
        </w:rPr>
        <w:t>actual consent</w:t>
      </w:r>
      <w:r w:rsidRPr="00B84AF6">
        <w:t>:  defendant and McKenna engaged in foreplay, she removed his clothes, and she willingly engaged in intercourse.  Although there were elements of force involved, defendant made clear that McKenna instigated the “rough sex,” enjoyed it, and encouraged him to choke her.</w:t>
      </w:r>
    </w:p>
    <w:p w:rsidR="00321697" w:rsidRPr="00B84AF6" w:rsidP="00B84AF6">
      <w:pPr>
        <w:tabs>
          <w:tab w:val="left" w:pos="1440"/>
        </w:tabs>
        <w:ind w:firstLine="720"/>
      </w:pPr>
      <w:r w:rsidRPr="00B84AF6">
        <w:t xml:space="preserve">According to defendant, this was not their first sexual encounter.  </w:t>
      </w:r>
      <w:r w:rsidRPr="00B84AF6" w:rsidR="00751519">
        <w:t>He claimed that two days before her death, he and McKenna “got high together, we talked, we fooled around, what people call petting, and one thi</w:t>
      </w:r>
      <w:r w:rsidRPr="00B84AF6" w:rsidR="0088063C">
        <w:t>ng led to another, we had sex . . </w:t>
      </w:r>
      <w:r w:rsidRPr="00B84AF6" w:rsidR="00FA2DBD">
        <w:t>.</w:t>
      </w:r>
      <w:r w:rsidR="00510516">
        <w:t> </w:t>
      </w:r>
      <w:r w:rsidRPr="00B84AF6" w:rsidR="00FA2DBD">
        <w:t xml:space="preserve">.”  </w:t>
      </w:r>
      <w:r w:rsidRPr="00B84AF6" w:rsidR="000E20C7">
        <w:t xml:space="preserve">He claimed it was “[r]egular missionary </w:t>
      </w:r>
      <w:r w:rsidRPr="00B84AF6" w:rsidR="00FA2DBD">
        <w:t>style sex</w:t>
      </w:r>
      <w:r w:rsidR="000D53C9">
        <w:t>,</w:t>
      </w:r>
      <w:r w:rsidRPr="00B84AF6" w:rsidR="00FA2DBD">
        <w:t xml:space="preserve">” and </w:t>
      </w:r>
      <w:r w:rsidR="000D53C9">
        <w:t xml:space="preserve">was </w:t>
      </w:r>
      <w:r w:rsidRPr="00B84AF6" w:rsidR="00FA2DBD">
        <w:t xml:space="preserve">not </w:t>
      </w:r>
      <w:r w:rsidR="000D53C9">
        <w:t>violent</w:t>
      </w:r>
      <w:r w:rsidRPr="00B84AF6" w:rsidR="00FA2DBD">
        <w:t xml:space="preserve">.  </w:t>
      </w:r>
      <w:r w:rsidRPr="00B84AF6" w:rsidR="000E20C7">
        <w:t>“[W]e bot</w:t>
      </w:r>
      <w:r w:rsidRPr="00B84AF6" w:rsidR="00FA2DBD">
        <w:t>h wanted sex and we had sex.”</w:t>
      </w:r>
      <w:r w:rsidRPr="00B84AF6">
        <w:t xml:space="preserve">  </w:t>
      </w:r>
    </w:p>
    <w:p w:rsidR="00C0069B" w:rsidRPr="00B84AF6" w:rsidP="00B84AF6">
      <w:pPr>
        <w:tabs>
          <w:tab w:val="left" w:pos="1440"/>
        </w:tabs>
        <w:ind w:firstLine="720"/>
      </w:pPr>
      <w:r w:rsidRPr="00B84AF6">
        <w:t>Defendant said that, o</w:t>
      </w:r>
      <w:r w:rsidRPr="00B84AF6" w:rsidR="00FC70E2">
        <w:t xml:space="preserve">n the day of </w:t>
      </w:r>
      <w:r w:rsidRPr="00B84AF6">
        <w:t>McKenna’s death,</w:t>
      </w:r>
      <w:r w:rsidRPr="00B84AF6" w:rsidR="006C166F">
        <w:t xml:space="preserve"> </w:t>
      </w:r>
      <w:r w:rsidRPr="00B84AF6" w:rsidR="00C51A15">
        <w:t xml:space="preserve">she </w:t>
      </w:r>
      <w:r w:rsidRPr="00B84AF6" w:rsidR="006C166F">
        <w:t>invited defendant to her apartment.  T</w:t>
      </w:r>
      <w:r w:rsidRPr="00B84AF6">
        <w:t xml:space="preserve">he two of them </w:t>
      </w:r>
      <w:r w:rsidRPr="00B84AF6" w:rsidR="00FC70E2">
        <w:t xml:space="preserve">used drugs and drank </w:t>
      </w:r>
      <w:r w:rsidRPr="00B84AF6" w:rsidR="00EF0BCB">
        <w:t>together</w:t>
      </w:r>
      <w:r w:rsidRPr="00B84AF6" w:rsidR="00FA2DBD">
        <w:t xml:space="preserve">.  </w:t>
      </w:r>
      <w:r w:rsidRPr="00B84AF6">
        <w:t xml:space="preserve">They were “fooling around,” </w:t>
      </w:r>
      <w:r w:rsidR="00123F45">
        <w:t xml:space="preserve">she </w:t>
      </w:r>
      <w:r w:rsidRPr="00B84AF6" w:rsidR="009863FD">
        <w:t xml:space="preserve">removed </w:t>
      </w:r>
      <w:r w:rsidR="001774F0">
        <w:t>his</w:t>
      </w:r>
      <w:r w:rsidRPr="00B84AF6" w:rsidR="009863FD">
        <w:t xml:space="preserve"> clothing</w:t>
      </w:r>
      <w:r w:rsidRPr="00B84AF6" w:rsidR="003C1278">
        <w:t>,</w:t>
      </w:r>
      <w:r w:rsidRPr="00B84AF6" w:rsidR="00161D17">
        <w:t xml:space="preserve"> and </w:t>
      </w:r>
      <w:r w:rsidRPr="00B84AF6" w:rsidR="009863FD">
        <w:t>“she was the aggressor that</w:t>
      </w:r>
      <w:r w:rsidRPr="00B84AF6" w:rsidR="00FA2DBD">
        <w:t xml:space="preserve"> night.” </w:t>
      </w:r>
      <w:r w:rsidR="001774F0">
        <w:t xml:space="preserve">During </w:t>
      </w:r>
      <w:r w:rsidRPr="00B84AF6" w:rsidR="00EF0BCB">
        <w:t>intercourse</w:t>
      </w:r>
      <w:r w:rsidR="001774F0">
        <w:t>,</w:t>
      </w:r>
      <w:r w:rsidRPr="00B84AF6" w:rsidR="00E9502C">
        <w:t xml:space="preserve"> McKenna </w:t>
      </w:r>
      <w:r w:rsidRPr="00B84AF6" w:rsidR="0098308D">
        <w:t xml:space="preserve">set the tone </w:t>
      </w:r>
      <w:r w:rsidRPr="00B84AF6" w:rsidR="00E9502C">
        <w:t>by h</w:t>
      </w:r>
      <w:r w:rsidRPr="00B84AF6" w:rsidR="00EF0BCB">
        <w:t>itti</w:t>
      </w:r>
      <w:r w:rsidRPr="00B84AF6" w:rsidR="00FA2DBD">
        <w:t xml:space="preserve">ng, slapping, and biting him.  </w:t>
      </w:r>
      <w:r w:rsidRPr="00B84AF6" w:rsidR="00EF0BCB">
        <w:t xml:space="preserve">Then she </w:t>
      </w:r>
      <w:r w:rsidRPr="00B84AF6" w:rsidR="00FA2DBD">
        <w:t xml:space="preserve">asked </w:t>
      </w:r>
      <w:r w:rsidR="001774F0">
        <w:t>him</w:t>
      </w:r>
      <w:r w:rsidRPr="00B84AF6" w:rsidR="00FA2DBD">
        <w:t xml:space="preserve"> to choke her.  </w:t>
      </w:r>
      <w:r w:rsidRPr="00B84AF6" w:rsidR="00EF0BCB">
        <w:t xml:space="preserve">He used her panties </w:t>
      </w:r>
      <w:r w:rsidRPr="00B84AF6" w:rsidR="004C35F8">
        <w:t xml:space="preserve">or </w:t>
      </w:r>
      <w:r w:rsidRPr="00B84AF6" w:rsidR="007E5981">
        <w:t xml:space="preserve">bra </w:t>
      </w:r>
      <w:r w:rsidRPr="00B84AF6" w:rsidR="00EF0BCB">
        <w:t>to choke her</w:t>
      </w:r>
      <w:r w:rsidRPr="00B84AF6" w:rsidR="00F819F9">
        <w:t xml:space="preserve">, but she </w:t>
      </w:r>
      <w:r w:rsidRPr="00B84AF6" w:rsidR="003C1278">
        <w:t>said it was</w:t>
      </w:r>
      <w:r w:rsidRPr="00B84AF6" w:rsidR="00FA2DBD">
        <w:t xml:space="preserve"> not</w:t>
      </w:r>
      <w:r w:rsidRPr="00B84AF6" w:rsidR="003C1278">
        <w:t xml:space="preserve"> sufficient</w:t>
      </w:r>
      <w:r w:rsidRPr="00B84AF6" w:rsidR="00FA2DBD">
        <w:t xml:space="preserve">.  </w:t>
      </w:r>
      <w:r w:rsidRPr="00B84AF6" w:rsidR="00D8538F">
        <w:t>According to defendant,</w:t>
      </w:r>
      <w:r w:rsidRPr="00B84AF6" w:rsidR="00FA2DBD">
        <w:t xml:space="preserve"> she seemed to enjoy it.  </w:t>
      </w:r>
      <w:r w:rsidRPr="00B84AF6" w:rsidR="00F819F9">
        <w:t xml:space="preserve">He choked </w:t>
      </w:r>
      <w:r w:rsidRPr="00B84AF6" w:rsidR="00571A01">
        <w:t xml:space="preserve">her to unconsciousness, </w:t>
      </w:r>
      <w:r w:rsidRPr="00B84AF6" w:rsidR="00F819F9">
        <w:t xml:space="preserve">and at </w:t>
      </w:r>
      <w:r w:rsidRPr="00B84AF6" w:rsidR="007E5981">
        <w:t xml:space="preserve">some point he realized she was dead.  </w:t>
      </w:r>
      <w:r w:rsidRPr="00B84AF6" w:rsidR="006F7AC1">
        <w:t>He did</w:t>
      </w:r>
      <w:r w:rsidR="00123F45">
        <w:t xml:space="preserve"> not</w:t>
      </w:r>
      <w:r w:rsidRPr="00B84AF6" w:rsidR="006F7AC1">
        <w:t xml:space="preserve"> in</w:t>
      </w:r>
      <w:r w:rsidRPr="00B84AF6" w:rsidR="00FA2DBD">
        <w:t>tend to kill her.</w:t>
      </w:r>
    </w:p>
    <w:p w:rsidR="00CB43E1" w:rsidRPr="00B84AF6" w:rsidP="00B84AF6">
      <w:pPr>
        <w:tabs>
          <w:tab w:val="left" w:pos="1440"/>
        </w:tabs>
        <w:ind w:firstLine="720"/>
      </w:pPr>
      <w:r w:rsidRPr="00B84AF6">
        <w:t xml:space="preserve">When asked if McKenna </w:t>
      </w:r>
      <w:r w:rsidRPr="00B84AF6" w:rsidR="00AB53BE">
        <w:t xml:space="preserve">slapped </w:t>
      </w:r>
      <w:r w:rsidRPr="00B84AF6">
        <w:t xml:space="preserve">defendant </w:t>
      </w:r>
      <w:r w:rsidRPr="00B84AF6" w:rsidR="00CE0C26">
        <w:t xml:space="preserve">during sex </w:t>
      </w:r>
      <w:r w:rsidRPr="00B84AF6">
        <w:t>to f</w:t>
      </w:r>
      <w:r w:rsidRPr="00B84AF6" w:rsidR="0088063C">
        <w:t>ight him off, he responded, “S</w:t>
      </w:r>
      <w:r w:rsidRPr="00B84AF6">
        <w:t>he had no reason to fig</w:t>
      </w:r>
      <w:r w:rsidRPr="00B84AF6" w:rsidR="00FA2DBD">
        <w:t xml:space="preserve">ht me off.”  </w:t>
      </w:r>
      <w:r w:rsidRPr="00B84AF6">
        <w:t>A</w:t>
      </w:r>
      <w:r w:rsidRPr="00B84AF6" w:rsidR="008C27D6">
        <w:t xml:space="preserve">sked if McKenna had told defendant to stop choking her </w:t>
      </w:r>
      <w:r w:rsidRPr="00B84AF6" w:rsidR="00DF59E1">
        <w:t xml:space="preserve">at some point, </w:t>
      </w:r>
      <w:r w:rsidRPr="00B84AF6" w:rsidR="008C27D6">
        <w:t>defendant responded, “she may have</w:t>
      </w:r>
      <w:r w:rsidR="00AC2DA2">
        <w:t>,</w:t>
      </w:r>
      <w:r w:rsidRPr="00B84AF6" w:rsidR="008C27D6">
        <w:t>” and</w:t>
      </w:r>
      <w:r w:rsidR="00AC2DA2">
        <w:t>,</w:t>
      </w:r>
      <w:r w:rsidRPr="00B84AF6" w:rsidR="008C27D6">
        <w:t xml:space="preserve"> “I don’t know.”  </w:t>
      </w:r>
      <w:r w:rsidRPr="00B84AF6" w:rsidR="00000261">
        <w:t xml:space="preserve">But defendant also repeatedly </w:t>
      </w:r>
      <w:r w:rsidRPr="00B84AF6">
        <w:t xml:space="preserve">insisted that he </w:t>
      </w:r>
      <w:r w:rsidRPr="00B84AF6" w:rsidR="00FA2DBD">
        <w:t xml:space="preserve">did not rape </w:t>
      </w:r>
      <w:r w:rsidRPr="00B84AF6" w:rsidR="00000261">
        <w:t>McKenna</w:t>
      </w:r>
      <w:r w:rsidRPr="00B84AF6" w:rsidR="00FA2DBD">
        <w:t>.</w:t>
      </w:r>
      <w:r w:rsidRPr="00B84AF6" w:rsidR="00000261">
        <w:t xml:space="preserve">  </w:t>
      </w:r>
      <w:r w:rsidR="005C3611">
        <w:t>He did not contend</w:t>
      </w:r>
      <w:r w:rsidRPr="00B84AF6">
        <w:t xml:space="preserve"> that McKenna revoked </w:t>
      </w:r>
      <w:r w:rsidR="001774F0">
        <w:t>an initial grant of consent</w:t>
      </w:r>
      <w:r w:rsidRPr="00B84AF6">
        <w:t xml:space="preserve"> </w:t>
      </w:r>
      <w:r w:rsidR="001774F0">
        <w:t>or</w:t>
      </w:r>
      <w:r w:rsidRPr="00B84AF6">
        <w:t xml:space="preserve"> that </w:t>
      </w:r>
      <w:r w:rsidR="00BA0198">
        <w:t>he</w:t>
      </w:r>
      <w:r w:rsidRPr="00B84AF6">
        <w:t xml:space="preserve"> failed to appreciate that fact.  Moreover, such a theory would have been substantially undermined by the length of time it would have taken to</w:t>
      </w:r>
      <w:r w:rsidR="001774F0">
        <w:t xml:space="preserve"> fatally</w:t>
      </w:r>
      <w:r w:rsidRPr="00B84AF6">
        <w:t xml:space="preserve"> strangle McKenna</w:t>
      </w:r>
      <w:r w:rsidR="001774F0">
        <w:t xml:space="preserve">, and by </w:t>
      </w:r>
      <w:r w:rsidR="0064138A">
        <w:t>defendant’s</w:t>
      </w:r>
      <w:r w:rsidR="001774F0">
        <w:t xml:space="preserve"> subsequent conduct on two successive days</w:t>
      </w:r>
      <w:r w:rsidRPr="00B84AF6">
        <w:t xml:space="preserve">.  </w:t>
      </w:r>
    </w:p>
    <w:p w:rsidR="00A64B11" w:rsidP="00B84AF6">
      <w:pPr>
        <w:tabs>
          <w:tab w:val="left" w:pos="1440"/>
        </w:tabs>
        <w:ind w:firstLine="720"/>
      </w:pPr>
      <w:r w:rsidRPr="00B84AF6">
        <w:t xml:space="preserve">Consistent with defendant’s </w:t>
      </w:r>
      <w:r w:rsidR="0064138A">
        <w:t>description of events</w:t>
      </w:r>
      <w:r w:rsidRPr="00B84AF6">
        <w:t xml:space="preserve">, defense counsel argued in closing that the critical issue before the jury was </w:t>
      </w:r>
      <w:r w:rsidRPr="00BA0198">
        <w:t>actual</w:t>
      </w:r>
      <w:r w:rsidRPr="00B84AF6">
        <w:t xml:space="preserve"> consent.  She argued that defendant’s claim of a sexual relationship with McKenna was corroborated by the testimony of Brenda and Robert Molano that they frequently saw defendant at McKenna’s residence.  Counsel noted several circumstances consistent with consensual intercourse.  There were no signs of forced entry into McKenna’s apartment.  A container of condoms, an empty condom wrapper, personal lubricant, and empty wine and beer bottles were found inside the </w:t>
      </w:r>
      <w:r w:rsidR="00AC2DA2">
        <w:t>cottage</w:t>
      </w:r>
      <w:r w:rsidRPr="00B84AF6">
        <w:t xml:space="preserve">.  The autopsy revealed no injuries to McKenna’s </w:t>
      </w:r>
      <w:r w:rsidR="00F520B2">
        <w:t>genital</w:t>
      </w:r>
      <w:r w:rsidR="00B048CE">
        <w:t>ia</w:t>
      </w:r>
      <w:r w:rsidRPr="00B84AF6">
        <w:t>.  Defense counsel argued that this circumstantial evidence, as well as defendant’s</w:t>
      </w:r>
      <w:r w:rsidR="00F520B2">
        <w:t xml:space="preserve"> own</w:t>
      </w:r>
      <w:r w:rsidRPr="00B84AF6">
        <w:t xml:space="preserve"> account, all pointed to consensual sex.</w:t>
      </w:r>
      <w:r w:rsidRPr="00B84AF6" w:rsidR="00CB43E1">
        <w:t xml:space="preserve">  </w:t>
      </w:r>
    </w:p>
    <w:p w:rsidR="00BA0198" w:rsidRPr="00B84AF6" w:rsidP="00B84AF6">
      <w:pPr>
        <w:tabs>
          <w:tab w:val="left" w:pos="1440"/>
        </w:tabs>
        <w:ind w:firstLine="720"/>
      </w:pPr>
      <w:r>
        <w:t xml:space="preserve">But the jury evidently rejected all of this, and instead believed the People’s theory of the case:  that defendant entered McKenna’s home and forcibly raped her from the start of the encounter.  </w:t>
      </w:r>
      <w:r w:rsidR="00EB6F56">
        <w:t xml:space="preserve">Even if defendant had received an instruction permitting him to argue that he genuinely but unreasonably </w:t>
      </w:r>
      <w:r w:rsidR="0090651B">
        <w:t xml:space="preserve">believed McKenna consented, it is not </w:t>
      </w:r>
      <w:r w:rsidR="00F957F2">
        <w:t xml:space="preserve">reasonably probable </w:t>
      </w:r>
      <w:r w:rsidR="0090651B">
        <w:t>that such an instruction would have made a difference on this record.</w:t>
      </w:r>
    </w:p>
    <w:p w:rsidR="00234A8D" w:rsidRPr="00B84AF6" w:rsidP="00B84AF6">
      <w:pPr>
        <w:tabs>
          <w:tab w:val="left" w:pos="1440"/>
        </w:tabs>
        <w:ind w:firstLine="720"/>
      </w:pPr>
      <w:r w:rsidRPr="00B84AF6">
        <w:t>On appeal, defendant argues that he “has a history of unreasonably believing that women with who</w:t>
      </w:r>
      <w:r w:rsidR="0026286F">
        <w:t>m</w:t>
      </w:r>
      <w:r w:rsidRPr="00B84AF6">
        <w:t xml:space="preserve"> he has had sex have consented to do so when in fact they have not done so, particularly when [he] is under the influence of drugs and alcohol or other altered psychological states.”</w:t>
      </w:r>
      <w:r w:rsidRPr="00B84AF6" w:rsidR="0039359F">
        <w:t xml:space="preserve">  </w:t>
      </w:r>
      <w:r w:rsidRPr="00B84AF6" w:rsidR="00453E3C">
        <w:t xml:space="preserve">But nothing about the circumstances as defendant recounted them suggested that he actually misperceived the situation or could not form the specific intent to commit rape due to his intoxication.  On the contrary, </w:t>
      </w:r>
      <w:r w:rsidRPr="00B84AF6">
        <w:t xml:space="preserve">defendant recalled several details about the encounter, suggesting </w:t>
      </w:r>
      <w:r w:rsidRPr="00B84AF6" w:rsidR="0039359F">
        <w:t xml:space="preserve">that </w:t>
      </w:r>
      <w:r w:rsidRPr="00B84AF6">
        <w:t xml:space="preserve">his intoxication did not </w:t>
      </w:r>
      <w:r w:rsidRPr="00B84AF6">
        <w:rPr>
          <w:i/>
        </w:rPr>
        <w:t>in fact</w:t>
      </w:r>
      <w:r w:rsidRPr="00B84AF6">
        <w:t xml:space="preserve"> interfere to a significant degree with his perception.  </w:t>
      </w:r>
      <w:r w:rsidRPr="00B84AF6" w:rsidR="0039359F">
        <w:t>Moreover, t</w:t>
      </w:r>
      <w:r w:rsidRPr="00B84AF6">
        <w:t>he jury was instructed that it could consider defendant’s intoxication in deciding whether he intended to kill, acted with deliberation and premeditation</w:t>
      </w:r>
      <w:r w:rsidRPr="00B84AF6" w:rsidR="0039359F">
        <w:t xml:space="preserve">, </w:t>
      </w:r>
      <w:r w:rsidRPr="00B84AF6">
        <w:t xml:space="preserve">or intended to commit rape.  </w:t>
      </w:r>
      <w:r w:rsidR="0064138A">
        <w:t>Because the jury found</w:t>
      </w:r>
      <w:r w:rsidRPr="00B84AF6" w:rsidR="0039359F">
        <w:t xml:space="preserve"> defendant guilty of first degree murder, </w:t>
      </w:r>
      <w:r w:rsidR="0064138A">
        <w:t>it was unlikely to accept</w:t>
      </w:r>
      <w:r w:rsidRPr="00B84AF6" w:rsidR="0039359F">
        <w:t xml:space="preserve"> a theory of intoxication that would have supported defendant’s argument of a good faith but unreasonable belief in consent.  </w:t>
      </w:r>
    </w:p>
    <w:p w:rsidR="00110EF3" w:rsidRPr="00B84AF6" w:rsidP="00B84AF6">
      <w:pPr>
        <w:tabs>
          <w:tab w:val="left" w:pos="1440"/>
        </w:tabs>
        <w:ind w:firstLine="720"/>
      </w:pPr>
      <w:r w:rsidRPr="00B84AF6">
        <w:t xml:space="preserve">Considering the strength of the prosecution’s case and the lack of evidence </w:t>
      </w:r>
      <w:r w:rsidR="00732AF3">
        <w:t>or argument</w:t>
      </w:r>
      <w:r w:rsidR="00B048CE">
        <w:t xml:space="preserve"> support</w:t>
      </w:r>
      <w:r w:rsidR="00732AF3">
        <w:t>ing</w:t>
      </w:r>
      <w:r w:rsidRPr="00B84AF6">
        <w:t xml:space="preserve"> defendant</w:t>
      </w:r>
      <w:r w:rsidR="00732AF3">
        <w:t>’s</w:t>
      </w:r>
      <w:r w:rsidRPr="00B84AF6">
        <w:t xml:space="preserve"> </w:t>
      </w:r>
      <w:r w:rsidR="00F520B2">
        <w:t xml:space="preserve">belatedly </w:t>
      </w:r>
      <w:r w:rsidR="00732AF3">
        <w:t>advanced theory of mistake of fact</w:t>
      </w:r>
      <w:r w:rsidR="00AC2DA2">
        <w:t>,</w:t>
      </w:r>
      <w:r w:rsidR="00F520B2">
        <w:t xml:space="preserve"> there is</w:t>
      </w:r>
      <w:r w:rsidRPr="00B84AF6">
        <w:t xml:space="preserve"> no reasonable likelihood that the</w:t>
      </w:r>
      <w:r w:rsidRPr="00B84AF6">
        <w:t xml:space="preserve"> jury would have reached a different result had it been instructed in the manner defendant</w:t>
      </w:r>
      <w:r w:rsidR="00F520B2">
        <w:t xml:space="preserve"> now</w:t>
      </w:r>
      <w:r w:rsidRPr="00B84AF6">
        <w:t xml:space="preserve"> suggests.</w:t>
      </w:r>
    </w:p>
    <w:p w:rsidR="00A510B2" w:rsidRPr="00B84AF6" w:rsidP="00B84AF6">
      <w:pPr>
        <w:tabs>
          <w:tab w:val="left" w:pos="1440"/>
        </w:tabs>
        <w:ind w:firstLine="720"/>
      </w:pPr>
      <w:bookmarkStart w:id="32" w:name="_Hlk525719847"/>
      <w:r w:rsidRPr="00B84AF6">
        <w:t xml:space="preserve">For much the same reasons, we reject defendant’s claim that the </w:t>
      </w:r>
      <w:r w:rsidRPr="00B84AF6" w:rsidR="00B9720A">
        <w:t xml:space="preserve">absence of an instruction </w:t>
      </w:r>
      <w:r w:rsidR="00F520B2">
        <w:t>undermined</w:t>
      </w:r>
      <w:r w:rsidRPr="00B84AF6" w:rsidR="00B9720A">
        <w:t xml:space="preserve"> his right to present a complete defense </w:t>
      </w:r>
      <w:r w:rsidR="00F520B2">
        <w:t>implicating</w:t>
      </w:r>
      <w:r w:rsidRPr="00B84AF6" w:rsidR="00B9720A">
        <w:t xml:space="preserve"> due process and </w:t>
      </w:r>
      <w:r w:rsidR="006F333E">
        <w:t>the</w:t>
      </w:r>
      <w:r w:rsidRPr="00B84AF6" w:rsidR="00B9720A">
        <w:t xml:space="preserve"> prejudice</w:t>
      </w:r>
      <w:r w:rsidR="006F333E">
        <w:t xml:space="preserve"> standard</w:t>
      </w:r>
      <w:r w:rsidRPr="00B84AF6" w:rsidR="00B9720A">
        <w:t xml:space="preserve"> articulated in </w:t>
      </w:r>
      <w:r w:rsidRPr="00B84AF6" w:rsidR="00B9720A">
        <w:rPr>
          <w:i/>
        </w:rPr>
        <w:t>Chapman v. California</w:t>
      </w:r>
      <w:r w:rsidRPr="00B84AF6" w:rsidR="00B9720A">
        <w:t xml:space="preserve"> (1967) 386 U.S. 18, 24.  As we explained in </w:t>
      </w:r>
      <w:r w:rsidRPr="00B84AF6" w:rsidR="00B9720A">
        <w:rPr>
          <w:i/>
        </w:rPr>
        <w:t>People v. Rogers</w:t>
      </w:r>
      <w:r w:rsidRPr="00B84AF6" w:rsidR="00B9720A">
        <w:t xml:space="preserve"> (2006) 39 Cal.4th 826: </w:t>
      </w:r>
      <w:r w:rsidRPr="00B84AF6" w:rsidR="001C6085">
        <w:t xml:space="preserve"> “</w:t>
      </w:r>
      <w:r w:rsidRPr="00B84AF6" w:rsidR="00B9720A">
        <w:t>Defendant relies on cases in which federal courts have held that a trial court</w:t>
      </w:r>
      <w:r w:rsidRPr="00B84AF6" w:rsidR="001C6085">
        <w:t>’</w:t>
      </w:r>
      <w:r w:rsidRPr="00B84AF6" w:rsidR="00B9720A">
        <w:t>s failure to give a requested instruction (whether on a lesser included offense, or on some other subject) embodying the defense theory of the case and around which the defendant had built his or her defense, violated the defendant</w:t>
      </w:r>
      <w:r w:rsidRPr="00B84AF6" w:rsidR="001C6085">
        <w:t>’</w:t>
      </w:r>
      <w:r w:rsidRPr="00B84AF6" w:rsidR="00B9720A">
        <w:t>s due process right to present a complete defense.</w:t>
      </w:r>
      <w:r w:rsidRPr="00B84AF6" w:rsidR="001C6085">
        <w:t xml:space="preserve">  [Citations.]  [¶]  </w:t>
      </w:r>
      <w:r w:rsidRPr="00B84AF6" w:rsidR="00B9720A">
        <w:t xml:space="preserve">In these cases, unlike the present one, the instruction at issue was requested by the defense. </w:t>
      </w:r>
      <w:r w:rsidRPr="00B84AF6" w:rsidR="001C6085">
        <w:t xml:space="preserve"> </w:t>
      </w:r>
      <w:r w:rsidRPr="00B84AF6" w:rsidR="00B9720A">
        <w:t>The cases do not support the proposition that a trial court</w:t>
      </w:r>
      <w:r w:rsidRPr="00B84AF6" w:rsidR="001C6085">
        <w:t>’</w:t>
      </w:r>
      <w:r w:rsidRPr="00B84AF6" w:rsidR="00B9720A">
        <w:t xml:space="preserve">s failure to instruct on a lesser included offense sua sponte denies due process. </w:t>
      </w:r>
      <w:r w:rsidRPr="00B84AF6" w:rsidR="001C6085">
        <w:t xml:space="preserve"> </w:t>
      </w:r>
      <w:r w:rsidRPr="00B84AF6" w:rsidR="00B9720A">
        <w:t xml:space="preserve">Further, nothing in the record suggests the trial court would not have given the express malice second degree murder instruction had the defense asked for it. </w:t>
      </w:r>
      <w:r w:rsidRPr="00B84AF6" w:rsidR="001C6085">
        <w:t xml:space="preserve"> </w:t>
      </w:r>
      <w:r w:rsidRPr="00B84AF6" w:rsidR="00B9720A">
        <w:t xml:space="preserve">Nor can it be said that the omitted instruction </w:t>
      </w:r>
      <w:r w:rsidRPr="00B84AF6" w:rsidR="001C6085">
        <w:t>‘</w:t>
      </w:r>
      <w:r w:rsidRPr="00B84AF6" w:rsidR="00B9720A">
        <w:t>embodied the defense theory of the case.</w:t>
      </w:r>
      <w:r w:rsidRPr="00B84AF6" w:rsidR="001C6085">
        <w:t>’</w:t>
      </w:r>
      <w:r w:rsidRPr="00B84AF6" w:rsidR="00B9720A">
        <w:t xml:space="preserve"> </w:t>
      </w:r>
      <w:r w:rsidRPr="00B84AF6" w:rsidR="001C6085">
        <w:t xml:space="preserve"> </w:t>
      </w:r>
      <w:r w:rsidRPr="00B84AF6" w:rsidR="00B9720A">
        <w:t>Rather, in closing argument the only lesser-included-offense verdict that defense counsel asked the jury to return was manslaughter. Although the defense presented evidence of lack of premeditation and deliberation and argued the prosecution</w:t>
      </w:r>
      <w:r w:rsidRPr="00B84AF6" w:rsidR="001C6085">
        <w:t>’</w:t>
      </w:r>
      <w:r w:rsidRPr="00B84AF6" w:rsidR="00B9720A">
        <w:t>s evidence did not support a finding of premeditation, defense counsel did not ask the jury to return a verdict of second degree murder.</w:t>
      </w:r>
      <w:r w:rsidRPr="00B84AF6" w:rsidR="001C6085">
        <w:t xml:space="preserve">  </w:t>
      </w:r>
      <w:r w:rsidRPr="00B84AF6" w:rsidR="00B9720A">
        <w:t>Because defendant was allowed to present the defense he chose, followed by jury instructions he agreed to, he was not denied due process by being deprived of the opportunity to present a complete defense.</w:t>
      </w:r>
      <w:r w:rsidRPr="00B84AF6" w:rsidR="001C6085">
        <w:t>”  (</w:t>
      </w:r>
      <w:r w:rsidRPr="00B84AF6" w:rsidR="001C6085">
        <w:rPr>
          <w:i/>
        </w:rPr>
        <w:t>Id</w:t>
      </w:r>
      <w:r w:rsidRPr="00B84AF6" w:rsidR="001C6085">
        <w:t>. at p. 872,</w:t>
      </w:r>
      <w:r w:rsidRPr="00B84AF6">
        <w:t xml:space="preserve"> fn. omitted</w:t>
      </w:r>
      <w:r w:rsidRPr="00B84AF6" w:rsidR="00902245">
        <w:t xml:space="preserve">; accord </w:t>
      </w:r>
      <w:r w:rsidRPr="00B84AF6" w:rsidR="00902245">
        <w:rPr>
          <w:i/>
        </w:rPr>
        <w:t xml:space="preserve">People v. Humphrey </w:t>
      </w:r>
      <w:r w:rsidRPr="00B84AF6" w:rsidR="00902245">
        <w:t>(</w:t>
      </w:r>
      <w:r w:rsidRPr="00B84AF6" w:rsidR="00D67EAF">
        <w:t>1996) 13 Cal.4th 1073, 1089</w:t>
      </w:r>
      <w:r w:rsidRPr="00B84AF6" w:rsidR="001C6085">
        <w:t>.)</w:t>
      </w:r>
      <w:r w:rsidRPr="00B84AF6">
        <w:t xml:space="preserve">  </w:t>
      </w:r>
    </w:p>
    <w:p w:rsidR="001325C7" w:rsidRPr="00B84AF6" w:rsidP="00B84AF6">
      <w:pPr>
        <w:tabs>
          <w:tab w:val="left" w:pos="1440"/>
        </w:tabs>
        <w:ind w:firstLine="720"/>
      </w:pPr>
      <w:r w:rsidRPr="00B84AF6">
        <w:t>Here, too, defendant did not request an instruction on unreasonable</w:t>
      </w:r>
      <w:r w:rsidR="006F333E">
        <w:t xml:space="preserve"> but good faith</w:t>
      </w:r>
      <w:r w:rsidRPr="00B84AF6">
        <w:t xml:space="preserve"> belief in consent</w:t>
      </w:r>
      <w:r w:rsidR="006F333E">
        <w:t>.</w:t>
      </w:r>
      <w:r w:rsidRPr="00B84AF6">
        <w:t xml:space="preserve"> </w:t>
      </w:r>
      <w:r w:rsidR="006F333E">
        <w:t xml:space="preserve"> T</w:t>
      </w:r>
      <w:r w:rsidRPr="00B84AF6">
        <w:t>hat theory played no role in the defense he chose.  No due process violation appears.</w:t>
      </w:r>
      <w:r w:rsidRPr="00B84AF6" w:rsidR="00453E3C">
        <w:t xml:space="preserve"> </w:t>
      </w:r>
      <w:r w:rsidRPr="00B84AF6" w:rsidR="008A3018">
        <w:t xml:space="preserve">  </w:t>
      </w:r>
    </w:p>
    <w:p w:rsidR="00037C62" w:rsidRPr="00B84AF6" w:rsidP="00B84AF6">
      <w:pPr>
        <w:pStyle w:val="Heading2"/>
      </w:pPr>
      <w:bookmarkStart w:id="33" w:name="_Toc527447451"/>
      <w:bookmarkEnd w:id="32"/>
      <w:r w:rsidRPr="00B84AF6">
        <w:t>B.</w:t>
      </w:r>
      <w:r w:rsidRPr="00B84AF6">
        <w:tab/>
        <w:t>Penalty Phase Issues</w:t>
      </w:r>
      <w:bookmarkEnd w:id="33"/>
    </w:p>
    <w:p w:rsidR="00F80FF1" w:rsidRPr="00B84AF6" w:rsidP="00086BD0">
      <w:pPr>
        <w:pStyle w:val="Heading3"/>
        <w:numPr>
          <w:ilvl w:val="0"/>
          <w:numId w:val="27"/>
        </w:numPr>
        <w:ind w:left="1584" w:hanging="432"/>
      </w:pPr>
      <w:bookmarkStart w:id="34" w:name="_Toc527447452"/>
      <w:r w:rsidRPr="00B84AF6">
        <w:t>Victim Impact Testimony</w:t>
      </w:r>
      <w:bookmarkEnd w:id="34"/>
    </w:p>
    <w:p w:rsidR="00F665B6" w:rsidRPr="00B84AF6" w:rsidP="00B84AF6">
      <w:pPr>
        <w:tabs>
          <w:tab w:val="left" w:pos="1440"/>
        </w:tabs>
        <w:ind w:firstLine="720"/>
      </w:pPr>
      <w:r w:rsidRPr="00B84AF6">
        <w:t>At the penalty phase, McKenna’s brother Ron</w:t>
      </w:r>
      <w:r w:rsidRPr="00B84AF6" w:rsidR="00112DFE">
        <w:t>ald</w:t>
      </w:r>
      <w:r w:rsidRPr="00B84AF6">
        <w:t xml:space="preserve"> testified t</w:t>
      </w:r>
      <w:r w:rsidRPr="00B84AF6" w:rsidR="00433F92">
        <w:t xml:space="preserve">hat his sister Patti Dutoit </w:t>
      </w:r>
      <w:r w:rsidRPr="00B84AF6">
        <w:t>committed suicide after the murder, adding</w:t>
      </w:r>
      <w:r w:rsidR="00AC2DA2">
        <w:t>,</w:t>
      </w:r>
      <w:r w:rsidRPr="00B84AF6">
        <w:t xml:space="preserve"> “I lost two sisters because of this clown.”  The court had earlier ruled that the cause of Dutoit’s death was not to be mentioned before the jury</w:t>
      </w:r>
      <w:r w:rsidRPr="00B84AF6" w:rsidR="00112DFE">
        <w:t xml:space="preserve">.  Consistent with this ruling, it </w:t>
      </w:r>
      <w:r w:rsidRPr="00B84AF6" w:rsidR="002438F5">
        <w:t xml:space="preserve">twice </w:t>
      </w:r>
      <w:r w:rsidRPr="00B84AF6" w:rsidR="00423FC2">
        <w:t xml:space="preserve">admonished the jury to disregard </w:t>
      </w:r>
      <w:r w:rsidRPr="00B84AF6" w:rsidR="008159E2">
        <w:t>Ron</w:t>
      </w:r>
      <w:r w:rsidRPr="00B84AF6" w:rsidR="00112DFE">
        <w:t>ald</w:t>
      </w:r>
      <w:r w:rsidRPr="00B84AF6" w:rsidR="008159E2">
        <w:t xml:space="preserve">’s </w:t>
      </w:r>
      <w:r w:rsidRPr="00B84AF6" w:rsidR="00423FC2">
        <w:t>statement</w:t>
      </w:r>
      <w:r w:rsidRPr="00B84AF6">
        <w:t>.</w:t>
      </w:r>
      <w:r w:rsidRPr="00B84AF6" w:rsidR="00AD44AE">
        <w:t xml:space="preserve">  </w:t>
      </w:r>
      <w:r w:rsidRPr="00B84AF6" w:rsidR="00423FC2">
        <w:t xml:space="preserve">Defendant claims that the prosecutor </w:t>
      </w:r>
      <w:r w:rsidR="006F333E">
        <w:t>improperly</w:t>
      </w:r>
      <w:r w:rsidRPr="00B84AF6" w:rsidR="00423FC2">
        <w:t xml:space="preserve"> elicit</w:t>
      </w:r>
      <w:r w:rsidR="006F333E">
        <w:t>ed</w:t>
      </w:r>
      <w:r w:rsidRPr="00B84AF6" w:rsidR="00423FC2">
        <w:t xml:space="preserve"> evidence in violation of the court’s order and that the court abused its discretion in denying his motions for a mistrial.  He </w:t>
      </w:r>
      <w:r w:rsidRPr="00B84AF6">
        <w:t>argues that admission of Ron</w:t>
      </w:r>
      <w:r w:rsidRPr="00B84AF6" w:rsidR="00112DFE">
        <w:t>ald</w:t>
      </w:r>
      <w:r w:rsidRPr="00B84AF6">
        <w:t>’s testimony was “incurable e</w:t>
      </w:r>
      <w:r w:rsidRPr="00B84AF6" w:rsidR="00AD44AE">
        <w:t xml:space="preserve">rror” </w:t>
      </w:r>
      <w:r w:rsidRPr="00B84AF6">
        <w:t xml:space="preserve">that violated the Fifth, Sixth, Eighth, and Fourteenth Amendments and deprived him of a fair trial and due process, notwithstanding the court’s corrective actions.  </w:t>
      </w:r>
      <w:r w:rsidRPr="00B84AF6" w:rsidR="00AD44AE">
        <w:t>We r</w:t>
      </w:r>
      <w:r w:rsidRPr="00B84AF6">
        <w:t>eject these claims.</w:t>
      </w:r>
    </w:p>
    <w:p w:rsidR="00A01086" w:rsidRPr="00B84AF6" w:rsidP="00B84AF6">
      <w:pPr>
        <w:tabs>
          <w:tab w:val="left" w:pos="1440"/>
        </w:tabs>
        <w:ind w:firstLine="720"/>
      </w:pPr>
      <w:r w:rsidRPr="00B84AF6">
        <w:t>“</w:t>
      </w:r>
      <w:r w:rsidRPr="00B84AF6">
        <w:t xml:space="preserve">To constitute a violation under the federal Constitution, prosecutorial misconduct must </w:t>
      </w:r>
      <w:r w:rsidRPr="00B84AF6">
        <w:t>‘</w:t>
      </w:r>
      <w:r w:rsidRPr="00B84AF6">
        <w:t>so infect[</w:t>
      </w:r>
      <w:r w:rsidR="00EB6373">
        <w:t> </w:t>
      </w:r>
      <w:r w:rsidRPr="00B84AF6">
        <w:t>] the trial with unfairness as to make the resulting conviction a denial of due process.</w:t>
      </w:r>
      <w:r w:rsidRPr="00B84AF6">
        <w:t>’  [Citations.]  ‘</w:t>
      </w:r>
      <w:r w:rsidR="00AC2DA2">
        <w:t>But c</w:t>
      </w:r>
      <w:r w:rsidRPr="00B84AF6">
        <w:t>onduct by a prosecutor that does not render a criminal trial fundamentally unfair is prosecutorial misconduct under state law only if it involves the use of deceptive or reprehensible methods to attempt to persuade either the court or the jury.</w:t>
      </w:r>
      <w:r w:rsidRPr="00B84AF6">
        <w:t>’  [Citation.]  T</w:t>
      </w:r>
      <w:r w:rsidRPr="00B84AF6">
        <w:t xml:space="preserve">o be cognizable on appeal, a defendant </w:t>
      </w:r>
      <w:r w:rsidRPr="00B84AF6">
        <w:t>‘</w:t>
      </w:r>
      <w:r w:rsidR="00510516">
        <w:t> </w:t>
      </w:r>
      <w:r w:rsidRPr="00B84AF6">
        <w:t>“must make a timely objection at trial and request an admonition; otherwise, the [claim of prosecutorial misconduct] is reviewable only if an admonition would not have cured the harm caused by the misconduct.”</w:t>
      </w:r>
      <w:r w:rsidR="00510516">
        <w:t> </w:t>
      </w:r>
      <w:r w:rsidRPr="00B84AF6">
        <w:t>’</w:t>
      </w:r>
      <w:r w:rsidR="00510516">
        <w:t> </w:t>
      </w:r>
      <w:r w:rsidRPr="00B84AF6">
        <w:t>”  (</w:t>
      </w:r>
      <w:r w:rsidRPr="00B84AF6">
        <w:rPr>
          <w:i/>
        </w:rPr>
        <w:t>People v. Valdez</w:t>
      </w:r>
      <w:r w:rsidRPr="00B84AF6">
        <w:t xml:space="preserve"> (2004) 32 Cal.4th 73, 122 (</w:t>
      </w:r>
      <w:r w:rsidRPr="00B84AF6">
        <w:rPr>
          <w:i/>
        </w:rPr>
        <w:t>Valdez</w:t>
      </w:r>
      <w:r w:rsidRPr="00B84AF6">
        <w:t>).)</w:t>
      </w:r>
    </w:p>
    <w:p w:rsidR="000762E8" w:rsidRPr="00B84AF6" w:rsidP="00B84AF6">
      <w:pPr>
        <w:tabs>
          <w:tab w:val="left" w:pos="1440"/>
        </w:tabs>
        <w:ind w:firstLine="720"/>
      </w:pPr>
      <w:r w:rsidRPr="00B84AF6">
        <w:t>Seven months after McKenna’</w:t>
      </w:r>
      <w:r w:rsidRPr="00B84AF6" w:rsidR="00464F33">
        <w:t xml:space="preserve">s </w:t>
      </w:r>
      <w:r w:rsidR="006F333E">
        <w:t>death</w:t>
      </w:r>
      <w:r w:rsidRPr="00B84AF6">
        <w:t xml:space="preserve">, her sister, </w:t>
      </w:r>
      <w:r w:rsidRPr="00B84AF6" w:rsidR="00B9595A">
        <w:t>Dutoit</w:t>
      </w:r>
      <w:r w:rsidRPr="00B84AF6">
        <w:t>,</w:t>
      </w:r>
      <w:r w:rsidRPr="00B84AF6" w:rsidR="00B9595A">
        <w:t xml:space="preserve"> died </w:t>
      </w:r>
      <w:r w:rsidRPr="00B84AF6">
        <w:t xml:space="preserve">as a result of respiratory failure </w:t>
      </w:r>
      <w:r w:rsidR="006F333E">
        <w:t>following a drug overdose</w:t>
      </w:r>
      <w:r w:rsidRPr="00B84AF6" w:rsidR="00AD44AE">
        <w:t xml:space="preserve">.  </w:t>
      </w:r>
      <w:r w:rsidRPr="00B84AF6">
        <w:t>Dutoit’s family members believed her death was a suicide committed in response to McKenna’</w:t>
      </w:r>
      <w:r w:rsidRPr="00B84AF6" w:rsidR="00245BD1">
        <w:t xml:space="preserve">s </w:t>
      </w:r>
      <w:r w:rsidR="006F333E">
        <w:t>murder</w:t>
      </w:r>
      <w:r w:rsidRPr="00B84AF6" w:rsidR="00AD44AE">
        <w:t xml:space="preserve">.  </w:t>
      </w:r>
      <w:r w:rsidRPr="00B84AF6">
        <w:t>The defense moved to exclude any such testimony at t</w:t>
      </w:r>
      <w:r w:rsidRPr="00B84AF6" w:rsidR="00AD44AE">
        <w:t xml:space="preserve">he penalty phase.  </w:t>
      </w:r>
      <w:r w:rsidRPr="00B84AF6" w:rsidR="00BC56F4">
        <w:t xml:space="preserve">The court ruled that family members could testify about </w:t>
      </w:r>
      <w:r w:rsidR="006F333E">
        <w:t>Dutoit’s</w:t>
      </w:r>
      <w:r w:rsidRPr="00B84AF6" w:rsidR="00BC56F4">
        <w:t xml:space="preserve"> death, but not that the cause of the de</w:t>
      </w:r>
      <w:r w:rsidRPr="00B84AF6" w:rsidR="00AD44AE">
        <w:t xml:space="preserve">ath was suicide.  </w:t>
      </w:r>
      <w:r w:rsidRPr="00B84AF6">
        <w:t>The court authorized the prosecutor to “ask surviving family members how Patt[i] reacted to Sue’s murder,” but cautioned the prosecutor to admonish the witnesses not to state that her reaction was to</w:t>
      </w:r>
      <w:r w:rsidRPr="00B84AF6" w:rsidR="00AD44AE">
        <w:t xml:space="preserve"> commit suicide.</w:t>
      </w:r>
      <w:r w:rsidRPr="00B84AF6">
        <w:t xml:space="preserve">  </w:t>
      </w:r>
    </w:p>
    <w:p w:rsidR="00BF04CC" w:rsidRPr="00B84AF6" w:rsidP="00B84AF6">
      <w:pPr>
        <w:tabs>
          <w:tab w:val="left" w:pos="1440"/>
        </w:tabs>
        <w:ind w:firstLine="720"/>
      </w:pPr>
      <w:r w:rsidRPr="00B84AF6">
        <w:t>During the testimony of McKenna’s brother, Ron</w:t>
      </w:r>
      <w:r w:rsidRPr="00B84AF6" w:rsidR="00986442">
        <w:t>ald</w:t>
      </w:r>
      <w:r w:rsidRPr="00B84AF6">
        <w:t xml:space="preserve">, </w:t>
      </w:r>
      <w:r w:rsidRPr="00B84AF6" w:rsidR="0053133B">
        <w:t xml:space="preserve">the prosecutor asked if there was a special bond between </w:t>
      </w:r>
      <w:r w:rsidRPr="00B84AF6" w:rsidR="00986442">
        <w:t xml:space="preserve">Dutoit </w:t>
      </w:r>
      <w:r w:rsidRPr="00B84AF6" w:rsidR="0053133B">
        <w:t>and McKenna.  He replied, “Yes.  They hung out together a lot.  They were pr</w:t>
      </w:r>
      <w:r w:rsidRPr="00B84AF6" w:rsidR="00AD44AE">
        <w:t xml:space="preserve">obably closest.”  </w:t>
      </w:r>
      <w:r w:rsidRPr="00B84AF6" w:rsidR="0053133B">
        <w:t>When the prosecutor asked, “How did Patti</w:t>
      </w:r>
      <w:r w:rsidRPr="00B84AF6" w:rsidR="0088063C">
        <w:t xml:space="preserve"> take the news of Sue’s death?”</w:t>
      </w:r>
      <w:r w:rsidRPr="00B84AF6" w:rsidR="0053133B">
        <w:t xml:space="preserve"> Ron replied, “Very bad.  She committed suicide.  So I lost two sisters becaus</w:t>
      </w:r>
      <w:r w:rsidRPr="00B84AF6" w:rsidR="00AD44AE">
        <w:t>e of this clown.”</w:t>
      </w:r>
      <w:r w:rsidRPr="00B84AF6" w:rsidR="0053133B">
        <w:t xml:space="preserve"> </w:t>
      </w:r>
      <w:r w:rsidRPr="00B84AF6" w:rsidR="00AD44AE">
        <w:t xml:space="preserve"> </w:t>
      </w:r>
      <w:r w:rsidRPr="00B84AF6" w:rsidR="0017620A">
        <w:t>Defense counsel objected to the answer and asked that it be stricken.  In response, the court admonished the jury that “you are not to consider the suicide mentioned as in any way relating to the de</w:t>
      </w:r>
      <w:r w:rsidRPr="00B84AF6" w:rsidR="00AD44AE">
        <w:t xml:space="preserve">fendant Molano.”  </w:t>
      </w:r>
      <w:r w:rsidRPr="00B84AF6" w:rsidR="00130F63">
        <w:t xml:space="preserve">In a discussion outside </w:t>
      </w:r>
      <w:r w:rsidRPr="00B84AF6" w:rsidR="00986442">
        <w:t>of</w:t>
      </w:r>
      <w:r w:rsidRPr="00B84AF6" w:rsidR="00130F63">
        <w:t xml:space="preserve"> the jury’s presence, the prosecutor stated for the record that “I did this morning in no uncertain terms make it very clear to both Yvonne Searle and Ron McKenna that there would be no mention of Patti committing suicide.  I even </w:t>
      </w:r>
      <w:bookmarkStart w:id="35" w:name="_Hlk525828298"/>
      <w:r w:rsidRPr="00B84AF6" w:rsidR="00130F63">
        <w:t>explained the basis of the ruling and discussed the parameters of what could be shared in court</w:t>
      </w:r>
      <w:bookmarkEnd w:id="35"/>
      <w:r w:rsidRPr="00B84AF6" w:rsidR="00130F63">
        <w:t>, and frankly Mr. McKenna wasn’t listening very closely because we were all here when he did make the sta</w:t>
      </w:r>
      <w:r w:rsidRPr="00B84AF6" w:rsidR="00AD44AE">
        <w:t>tement.”</w:t>
      </w:r>
      <w:r w:rsidRPr="00B84AF6" w:rsidR="00130F63">
        <w:t xml:space="preserve">  </w:t>
      </w:r>
    </w:p>
    <w:p w:rsidR="00130F63" w:rsidRPr="00B84AF6" w:rsidP="00B84AF6">
      <w:pPr>
        <w:tabs>
          <w:tab w:val="left" w:pos="1440"/>
        </w:tabs>
        <w:ind w:firstLine="720"/>
      </w:pPr>
      <w:r w:rsidRPr="00B84AF6">
        <w:t xml:space="preserve">Defendant </w:t>
      </w:r>
      <w:r w:rsidRPr="00B84AF6" w:rsidR="004D5F50">
        <w:t xml:space="preserve">twice </w:t>
      </w:r>
      <w:r w:rsidRPr="00B84AF6">
        <w:t>moved for a mistrial on the ground that Ron</w:t>
      </w:r>
      <w:r w:rsidRPr="00B84AF6" w:rsidR="00986442">
        <w:t>ald</w:t>
      </w:r>
      <w:r w:rsidRPr="00B84AF6">
        <w:t xml:space="preserve">’s reference to </w:t>
      </w:r>
      <w:r w:rsidRPr="00B84AF6" w:rsidR="00986442">
        <w:t>Dutoit</w:t>
      </w:r>
      <w:r w:rsidRPr="00B84AF6">
        <w:t xml:space="preserve">’s suicide </w:t>
      </w:r>
      <w:r w:rsidRPr="00B84AF6" w:rsidR="009F1A37">
        <w:t xml:space="preserve">had </w:t>
      </w:r>
      <w:r w:rsidRPr="00B84AF6">
        <w:t xml:space="preserve">resulted in incurable prejudice.  </w:t>
      </w:r>
      <w:r w:rsidRPr="00B84AF6" w:rsidR="004D5F50">
        <w:t xml:space="preserve">The court denied the motions.  </w:t>
      </w:r>
      <w:r w:rsidRPr="00B84AF6" w:rsidR="009F1A37">
        <w:t>At the close of the penalty phase, the court again instructed the jury to disregard Ron</w:t>
      </w:r>
      <w:r w:rsidRPr="00B84AF6" w:rsidR="00986442">
        <w:t>ald</w:t>
      </w:r>
      <w:r w:rsidRPr="00B84AF6" w:rsidR="009F1A37">
        <w:t>’s testimony:  “</w:t>
      </w:r>
      <w:r w:rsidRPr="00B84AF6" w:rsidR="004D5F50">
        <w:t xml:space="preserve">If I ordered testimony stricken from the record, you must disregard it and must not consider that testimony for any purpose.  In this regard, the opinion testimony of the witness Ron McKenna that his sister Patricia Dutoit had committed suicide in reaction to Sue McKenna’s death and that Carl Molano was responsible for Patricia Dutoit’s death </w:t>
      </w:r>
      <w:r w:rsidRPr="006F333E" w:rsidR="004D5F50">
        <w:rPr>
          <w:i/>
        </w:rPr>
        <w:t>has no basis in fact</w:t>
      </w:r>
      <w:r w:rsidRPr="00B84AF6" w:rsidR="004D5F50">
        <w:t>, and that testimony was ordered stricken from the record.  You must not consid</w:t>
      </w:r>
      <w:r w:rsidRPr="00B84AF6" w:rsidR="00AD44AE">
        <w:t xml:space="preserve">er it for any purpose.” </w:t>
      </w:r>
      <w:r w:rsidRPr="00B84AF6" w:rsidR="00A40F3A">
        <w:t xml:space="preserve"> </w:t>
      </w:r>
      <w:r w:rsidR="006F333E">
        <w:t>(Italics added.)</w:t>
      </w:r>
    </w:p>
    <w:p w:rsidR="001C4F06" w:rsidRPr="00B84AF6" w:rsidP="00B84AF6">
      <w:pPr>
        <w:tabs>
          <w:tab w:val="left" w:pos="1440"/>
        </w:tabs>
        <w:ind w:firstLine="720"/>
      </w:pPr>
      <w:r w:rsidRPr="00B84AF6">
        <w:t>Defendant claims that the prosecutor committed misconduct by eliciting</w:t>
      </w:r>
      <w:r w:rsidR="006F333E">
        <w:t xml:space="preserve"> the</w:t>
      </w:r>
      <w:r w:rsidRPr="00B84AF6">
        <w:t xml:space="preserve"> </w:t>
      </w:r>
      <w:r w:rsidRPr="00B84AF6" w:rsidR="00986442">
        <w:t xml:space="preserve">testimony </w:t>
      </w:r>
      <w:r w:rsidR="006F333E">
        <w:t>about suicide</w:t>
      </w:r>
      <w:r w:rsidRPr="00B84AF6">
        <w:t xml:space="preserve">.  </w:t>
      </w:r>
      <w:r w:rsidRPr="00B84AF6" w:rsidR="00AD44AE">
        <w:t xml:space="preserve">Not so.  </w:t>
      </w:r>
      <w:r w:rsidRPr="00B84AF6">
        <w:t>A prosecutor commits misconduct by “</w:t>
      </w:r>
      <w:r w:rsidR="00AC2DA2">
        <w:t xml:space="preserve"> ‘ “ ‘</w:t>
      </w:r>
      <w:r w:rsidRPr="00B84AF6">
        <w:t>intentionally elicit[ing] inadmissible testimony.</w:t>
      </w:r>
      <w:r w:rsidR="00AC2DA2">
        <w:t xml:space="preserve">’ [Citations.]” [Citation.]’ </w:t>
      </w:r>
      <w:r w:rsidRPr="00B84AF6">
        <w:t>”</w:t>
      </w:r>
      <w:r w:rsidRPr="00B84AF6" w:rsidR="002118CD">
        <w:t xml:space="preserve">  (</w:t>
      </w:r>
      <w:r w:rsidRPr="00B84AF6" w:rsidR="002118CD">
        <w:rPr>
          <w:i/>
        </w:rPr>
        <w:t>People v. Tully</w:t>
      </w:r>
      <w:r w:rsidRPr="00B84AF6" w:rsidR="002118CD">
        <w:t xml:space="preserve"> (2012) 54 Cal.4th 952, 1035</w:t>
      </w:r>
      <w:r w:rsidRPr="00B84AF6" w:rsidR="006103BC">
        <w:t xml:space="preserve"> (</w:t>
      </w:r>
      <w:r w:rsidRPr="00B84AF6" w:rsidR="006103BC">
        <w:rPr>
          <w:i/>
        </w:rPr>
        <w:t>Tully</w:t>
      </w:r>
      <w:r w:rsidRPr="00B84AF6" w:rsidR="006103BC">
        <w:t>)</w:t>
      </w:r>
      <w:r w:rsidRPr="00B84AF6" w:rsidR="002118CD">
        <w:t>.)  “However, a prosecutor cannot be faulted for a witness’s nonresponsive answer that the prosecutor neither solicited nor could have anticipated.”  (</w:t>
      </w:r>
      <w:r w:rsidRPr="00B84AF6" w:rsidR="002118CD">
        <w:rPr>
          <w:i/>
        </w:rPr>
        <w:t>Ibid</w:t>
      </w:r>
      <w:r w:rsidRPr="00B84AF6" w:rsidR="002118CD">
        <w:t>.)  Here, the prosecutor directly admonished Ron</w:t>
      </w:r>
      <w:r w:rsidRPr="00B84AF6" w:rsidR="00986442">
        <w:t>ald</w:t>
      </w:r>
      <w:r w:rsidRPr="00B84AF6" w:rsidR="002118CD">
        <w:t xml:space="preserve"> not to mention that </w:t>
      </w:r>
      <w:r w:rsidRPr="00B84AF6" w:rsidR="00986442">
        <w:t xml:space="preserve">Dutoit </w:t>
      </w:r>
      <w:r w:rsidRPr="00B84AF6" w:rsidR="002118CD">
        <w:t>had committed suicide, and further “explained the basis of the ruling and discussed the parameters of what could be</w:t>
      </w:r>
      <w:r w:rsidRPr="00B84AF6" w:rsidR="00AD44AE">
        <w:t xml:space="preserve"> shared in court.”  </w:t>
      </w:r>
      <w:r w:rsidRPr="00B84AF6" w:rsidR="006103BC">
        <w:t xml:space="preserve">The prosecutor’s representation </w:t>
      </w:r>
      <w:r w:rsidRPr="00B84AF6" w:rsidR="00986442">
        <w:t>w</w:t>
      </w:r>
      <w:r w:rsidR="006F333E">
        <w:t>as</w:t>
      </w:r>
      <w:r w:rsidRPr="00B84AF6" w:rsidR="00986442">
        <w:t xml:space="preserve"> </w:t>
      </w:r>
      <w:r w:rsidRPr="00B84AF6" w:rsidR="002118CD">
        <w:t>unchallenged by defense counsel and accepted by the court.</w:t>
      </w:r>
      <w:r w:rsidRPr="00B84AF6" w:rsidR="00B364AA">
        <w:t xml:space="preserve">  Defendant now asserts</w:t>
      </w:r>
      <w:r w:rsidRPr="00B84AF6" w:rsidR="006103BC">
        <w:t xml:space="preserve"> that the prosecutor’s question was in fact “designed” to elicit inadmissible testimony, and that the prosecutor either “failed to admonish [Ron</w:t>
      </w:r>
      <w:r w:rsidRPr="00B84AF6" w:rsidR="00986442">
        <w:t>ald</w:t>
      </w:r>
      <w:r w:rsidRPr="00B84AF6" w:rsidR="006103BC">
        <w:t xml:space="preserve">] at all, or failed to admonish [him] in a manner sufficient to achieve the </w:t>
      </w:r>
      <w:r w:rsidRPr="00B84AF6" w:rsidR="00AD44AE">
        <w:t xml:space="preserve">goal.”  </w:t>
      </w:r>
      <w:r w:rsidRPr="00B84AF6" w:rsidR="00A04307">
        <w:t>His argument “</w:t>
      </w:r>
      <w:r w:rsidRPr="00B84AF6" w:rsidR="006103BC">
        <w:t>is mere conjecture unsupported by the record.”  (</w:t>
      </w:r>
      <w:r w:rsidRPr="00B84AF6" w:rsidR="006103BC">
        <w:rPr>
          <w:i/>
        </w:rPr>
        <w:t>Tully</w:t>
      </w:r>
      <w:r w:rsidRPr="00B84AF6" w:rsidR="006103BC">
        <w:t>,</w:t>
      </w:r>
      <w:r w:rsidRPr="00B84AF6" w:rsidR="006103BC">
        <w:rPr>
          <w:i/>
        </w:rPr>
        <w:t xml:space="preserve"> </w:t>
      </w:r>
      <w:r w:rsidRPr="00B84AF6" w:rsidR="006103BC">
        <w:t xml:space="preserve">at p. 1041, fn. 32.)  </w:t>
      </w:r>
    </w:p>
    <w:p w:rsidR="00B364AA" w:rsidRPr="00B84AF6" w:rsidP="00B84AF6">
      <w:pPr>
        <w:tabs>
          <w:tab w:val="left" w:pos="1440"/>
        </w:tabs>
        <w:ind w:firstLine="720"/>
      </w:pPr>
      <w:r w:rsidRPr="00B84AF6">
        <w:t xml:space="preserve">Citing </w:t>
      </w:r>
      <w:r w:rsidRPr="00B84AF6">
        <w:rPr>
          <w:i/>
        </w:rPr>
        <w:t>People v. Hill</w:t>
      </w:r>
      <w:r w:rsidRPr="00B84AF6" w:rsidR="00CA73A1">
        <w:t xml:space="preserve"> (1998</w:t>
      </w:r>
      <w:r w:rsidRPr="00B84AF6">
        <w:t xml:space="preserve">) 17 Cal.4th 800, defendant </w:t>
      </w:r>
      <w:r w:rsidRPr="00B84AF6" w:rsidR="00986442">
        <w:t xml:space="preserve">further </w:t>
      </w:r>
      <w:r w:rsidRPr="00B84AF6">
        <w:t>counters that “no showing of intentionality or bad faith is required” to establish that a prosecutor committed misconduct by eliciting inadmissible evidence in violation of a cour</w:t>
      </w:r>
      <w:r w:rsidRPr="00B84AF6" w:rsidR="00A04307">
        <w:t xml:space="preserve">t order.  </w:t>
      </w:r>
      <w:r w:rsidRPr="00B84AF6" w:rsidR="00807179">
        <w:rPr>
          <w:i/>
        </w:rPr>
        <w:t>Hill</w:t>
      </w:r>
      <w:r w:rsidRPr="00B84AF6" w:rsidR="00807179">
        <w:t xml:space="preserve"> </w:t>
      </w:r>
      <w:r w:rsidRPr="00B84AF6" w:rsidR="00BB5318">
        <w:t xml:space="preserve">reaffirmed that </w:t>
      </w:r>
      <w:r w:rsidRPr="00B84AF6" w:rsidR="00807179">
        <w:t xml:space="preserve">the prosecutor need not act in bad faith or with intentionality </w:t>
      </w:r>
      <w:r w:rsidRPr="00B84AF6" w:rsidR="00BB5318">
        <w:t xml:space="preserve">in order to commit misconduct of the type involved </w:t>
      </w:r>
      <w:r w:rsidRPr="00B84AF6" w:rsidR="001D329C">
        <w:t>there</w:t>
      </w:r>
      <w:r w:rsidRPr="00B84AF6" w:rsidR="00BB5318">
        <w:t>.  (</w:t>
      </w:r>
      <w:r w:rsidRPr="00B84AF6" w:rsidR="00BB5318">
        <w:rPr>
          <w:i/>
        </w:rPr>
        <w:t>Id</w:t>
      </w:r>
      <w:r w:rsidRPr="00B84AF6" w:rsidR="00BB5318">
        <w:t>. at p</w:t>
      </w:r>
      <w:r w:rsidRPr="00B84AF6" w:rsidR="007C084B">
        <w:t>p</w:t>
      </w:r>
      <w:r w:rsidRPr="00B84AF6" w:rsidR="00BB5318">
        <w:t>. 822–823.</w:t>
      </w:r>
      <w:r w:rsidRPr="00B84AF6" w:rsidR="007C084B">
        <w:t>)</w:t>
      </w:r>
      <w:r w:rsidRPr="00B84AF6" w:rsidR="00001DC4">
        <w:t xml:space="preserve">  </w:t>
      </w:r>
      <w:r w:rsidRPr="00B84AF6" w:rsidR="007C084B">
        <w:rPr>
          <w:i/>
        </w:rPr>
        <w:t>Hill</w:t>
      </w:r>
      <w:r w:rsidRPr="00B84AF6" w:rsidR="007C084B">
        <w:t xml:space="preserve"> i</w:t>
      </w:r>
      <w:r w:rsidRPr="00B84AF6" w:rsidR="00BB5318">
        <w:t>nvolved allegations that the prosecutor had</w:t>
      </w:r>
      <w:r w:rsidRPr="00B84AF6" w:rsidR="000671E5">
        <w:t xml:space="preserve"> misstated the evidence</w:t>
      </w:r>
      <w:r w:rsidRPr="00B84AF6" w:rsidR="00BF5D75">
        <w:t xml:space="preserve"> and the law</w:t>
      </w:r>
      <w:r w:rsidRPr="00B84AF6" w:rsidR="000671E5">
        <w:t>, referred to facts not in evidence,</w:t>
      </w:r>
      <w:r w:rsidRPr="00B84AF6" w:rsidR="007C084B">
        <w:t xml:space="preserve"> made derisive comments about defense counsel, intimidated witnesses, </w:t>
      </w:r>
      <w:r w:rsidRPr="00B84AF6" w:rsidR="00955BDD">
        <w:t xml:space="preserve">and </w:t>
      </w:r>
      <w:r w:rsidRPr="00B84AF6" w:rsidR="007C084B">
        <w:t xml:space="preserve">made improper references to the </w:t>
      </w:r>
      <w:r w:rsidR="00D91778">
        <w:t>B</w:t>
      </w:r>
      <w:r w:rsidRPr="00B84AF6" w:rsidR="007C084B">
        <w:t>ible</w:t>
      </w:r>
      <w:r w:rsidRPr="00B84AF6" w:rsidR="00955BDD">
        <w:t xml:space="preserve">.  </w:t>
      </w:r>
      <w:r w:rsidRPr="00B84AF6" w:rsidR="000671E5">
        <w:t>(</w:t>
      </w:r>
      <w:r w:rsidRPr="00B84AF6" w:rsidR="007C084B">
        <w:rPr>
          <w:i/>
        </w:rPr>
        <w:t>Id</w:t>
      </w:r>
      <w:r w:rsidRPr="00B84AF6" w:rsidR="007C084B">
        <w:t xml:space="preserve">. at pp. </w:t>
      </w:r>
      <w:r w:rsidRPr="00B84AF6" w:rsidR="000671E5">
        <w:t xml:space="preserve">823, 827, </w:t>
      </w:r>
      <w:r w:rsidRPr="00B84AF6" w:rsidR="007C084B">
        <w:t xml:space="preserve">829, 832, 836–838.)  </w:t>
      </w:r>
      <w:r w:rsidRPr="00B84AF6" w:rsidR="00001DC4">
        <w:t xml:space="preserve">Such behavior may be misconduct even if inadvertent.  </w:t>
      </w:r>
      <w:r w:rsidRPr="00B84AF6" w:rsidR="007C084B">
        <w:t xml:space="preserve">Nonetheless, after </w:t>
      </w:r>
      <w:r w:rsidRPr="00B84AF6" w:rsidR="007C084B">
        <w:rPr>
          <w:i/>
        </w:rPr>
        <w:t>Hill</w:t>
      </w:r>
      <w:r w:rsidRPr="00B84AF6" w:rsidR="007C084B">
        <w:t>, we have repeatedly reaffirmed that a claim</w:t>
      </w:r>
      <w:r w:rsidRPr="00B84AF6" w:rsidR="00955BDD">
        <w:t xml:space="preserve"> of misconduct based on allegations that the prosecutor elicited</w:t>
      </w:r>
      <w:r w:rsidRPr="00B84AF6" w:rsidR="007C084B">
        <w:t xml:space="preserve"> </w:t>
      </w:r>
      <w:r w:rsidRPr="00B84AF6" w:rsidR="00955BDD">
        <w:t xml:space="preserve">evidence in violation of </w:t>
      </w:r>
      <w:r w:rsidRPr="00B84AF6" w:rsidR="00511E13">
        <w:t xml:space="preserve">a court </w:t>
      </w:r>
      <w:r w:rsidRPr="00B84AF6" w:rsidR="00955BDD">
        <w:t xml:space="preserve">order </w:t>
      </w:r>
      <w:r w:rsidRPr="00B84AF6" w:rsidR="007C084B">
        <w:t xml:space="preserve">requires </w:t>
      </w:r>
      <w:r w:rsidRPr="00B84AF6" w:rsidR="00955BDD">
        <w:t xml:space="preserve">proof </w:t>
      </w:r>
      <w:r w:rsidRPr="00B84AF6" w:rsidR="007C084B">
        <w:t>that the prosecutor act</w:t>
      </w:r>
      <w:r w:rsidRPr="00B84AF6" w:rsidR="00955BDD">
        <w:t>ed</w:t>
      </w:r>
      <w:r w:rsidRPr="00B84AF6" w:rsidR="007C084B">
        <w:t xml:space="preserve"> deliberately or intentionally.</w:t>
      </w:r>
      <w:r w:rsidRPr="00B84AF6" w:rsidR="00955BDD">
        <w:t xml:space="preserve">  (</w:t>
      </w:r>
      <w:r w:rsidRPr="00B84AF6" w:rsidR="00955BDD">
        <w:rPr>
          <w:i/>
        </w:rPr>
        <w:t>Tully</w:t>
      </w:r>
      <w:r w:rsidRPr="00B84AF6" w:rsidR="00955BDD">
        <w:t>,</w:t>
      </w:r>
      <w:r w:rsidRPr="00B84AF6" w:rsidR="00955BDD">
        <w:rPr>
          <w:i/>
        </w:rPr>
        <w:t xml:space="preserve"> supra</w:t>
      </w:r>
      <w:r w:rsidRPr="00B84AF6" w:rsidR="00955BDD">
        <w:t>, 54 Cal.4th at p. 1035;</w:t>
      </w:r>
      <w:r w:rsidRPr="00B84AF6" w:rsidR="009C5BAB">
        <w:t xml:space="preserve"> </w:t>
      </w:r>
      <w:r w:rsidRPr="00B84AF6" w:rsidR="009C5BAB">
        <w:rPr>
          <w:i/>
        </w:rPr>
        <w:t>People v. Fuiava</w:t>
      </w:r>
      <w:r w:rsidRPr="00B84AF6" w:rsidR="009C5BAB">
        <w:t xml:space="preserve"> (2012) 53 Cal.4th 622, 679; </w:t>
      </w:r>
      <w:r w:rsidRPr="00B84AF6" w:rsidR="009C5BAB">
        <w:rPr>
          <w:i/>
        </w:rPr>
        <w:t>People v. Chatman</w:t>
      </w:r>
      <w:r w:rsidRPr="00B84AF6" w:rsidR="009C5BAB">
        <w:t xml:space="preserve"> (2006) 38 Cal.4th 344, 379–380;</w:t>
      </w:r>
      <w:r w:rsidRPr="00B84AF6" w:rsidR="00955BDD">
        <w:t xml:space="preserve"> </w:t>
      </w:r>
      <w:r w:rsidRPr="00B84AF6" w:rsidR="00955BDD">
        <w:rPr>
          <w:i/>
        </w:rPr>
        <w:t>Valdez</w:t>
      </w:r>
      <w:r w:rsidRPr="00B84AF6" w:rsidR="00B84C6B">
        <w:t>,</w:t>
      </w:r>
      <w:r w:rsidRPr="00B84AF6" w:rsidR="00B84C6B">
        <w:rPr>
          <w:i/>
        </w:rPr>
        <w:t xml:space="preserve"> supra</w:t>
      </w:r>
      <w:r w:rsidRPr="00B84AF6" w:rsidR="00B84C6B">
        <w:t>,</w:t>
      </w:r>
      <w:r w:rsidRPr="00B84AF6" w:rsidR="00B84C6B">
        <w:rPr>
          <w:i/>
        </w:rPr>
        <w:t xml:space="preserve"> </w:t>
      </w:r>
      <w:r w:rsidRPr="00B84AF6" w:rsidR="00955BDD">
        <w:t xml:space="preserve">32 Cal.4th </w:t>
      </w:r>
      <w:r w:rsidRPr="00B84AF6" w:rsidR="00B84C6B">
        <w:t xml:space="preserve">at p. </w:t>
      </w:r>
      <w:r w:rsidRPr="00B84AF6" w:rsidR="00955BDD">
        <w:t xml:space="preserve">125; </w:t>
      </w:r>
      <w:r w:rsidRPr="00B84AF6" w:rsidR="009C5BAB">
        <w:rPr>
          <w:i/>
        </w:rPr>
        <w:t>People v. Smithey</w:t>
      </w:r>
      <w:r w:rsidRPr="00B84AF6" w:rsidR="009C5BAB">
        <w:t xml:space="preserve"> (1999) 20 Cal.4th 936, 960.)  </w:t>
      </w:r>
      <w:r w:rsidRPr="00B84AF6" w:rsidR="00955BDD">
        <w:t xml:space="preserve">Indeed, </w:t>
      </w:r>
      <w:r w:rsidRPr="00B84AF6" w:rsidR="00955BDD">
        <w:rPr>
          <w:i/>
        </w:rPr>
        <w:t>Smithey</w:t>
      </w:r>
      <w:r w:rsidRPr="00B84AF6" w:rsidR="00955BDD">
        <w:t xml:space="preserve"> noted that the lead case for that proposition, </w:t>
      </w:r>
      <w:r w:rsidRPr="00B84AF6" w:rsidR="00955BDD">
        <w:rPr>
          <w:i/>
        </w:rPr>
        <w:t>People v. Bonin</w:t>
      </w:r>
      <w:r w:rsidRPr="00B84AF6" w:rsidR="00955BDD">
        <w:t xml:space="preserve"> (1988) 46 Cal.3d 659, 689, had been overruled by </w:t>
      </w:r>
      <w:r w:rsidRPr="00B84AF6" w:rsidR="00955BDD">
        <w:rPr>
          <w:i/>
        </w:rPr>
        <w:t>Hill</w:t>
      </w:r>
      <w:r w:rsidRPr="00B84AF6" w:rsidR="00955BDD">
        <w:t xml:space="preserve"> on </w:t>
      </w:r>
      <w:r w:rsidRPr="00B84AF6" w:rsidR="00955BDD">
        <w:rPr>
          <w:i/>
        </w:rPr>
        <w:t xml:space="preserve">another </w:t>
      </w:r>
      <w:r w:rsidRPr="00B84AF6" w:rsidR="00955BDD">
        <w:t>point.  (</w:t>
      </w:r>
      <w:r w:rsidRPr="00B84AF6" w:rsidR="00955BDD">
        <w:rPr>
          <w:i/>
        </w:rPr>
        <w:t>Smith</w:t>
      </w:r>
      <w:r w:rsidRPr="00B84AF6" w:rsidR="00CA73A1">
        <w:rPr>
          <w:i/>
        </w:rPr>
        <w:t>e</w:t>
      </w:r>
      <w:r w:rsidRPr="00B84AF6" w:rsidR="00955BDD">
        <w:rPr>
          <w:i/>
        </w:rPr>
        <w:t>y</w:t>
      </w:r>
      <w:r w:rsidRPr="00B84AF6" w:rsidR="00955BDD">
        <w:t xml:space="preserve">, at p. 960, citing </w:t>
      </w:r>
      <w:r w:rsidRPr="00B84AF6" w:rsidR="00955BDD">
        <w:rPr>
          <w:i/>
        </w:rPr>
        <w:t>Hill</w:t>
      </w:r>
      <w:r w:rsidRPr="00B84AF6" w:rsidR="00955BDD">
        <w:t xml:space="preserve">, </w:t>
      </w:r>
      <w:r w:rsidRPr="00B84AF6" w:rsidR="0088063C">
        <w:t xml:space="preserve">at p. </w:t>
      </w:r>
      <w:r w:rsidRPr="00B84AF6" w:rsidR="00955BDD">
        <w:t>800, 823, fn. 1 [overruling</w:t>
      </w:r>
      <w:r w:rsidR="00D91778">
        <w:t xml:space="preserve"> the discussion in </w:t>
      </w:r>
      <w:r w:rsidRPr="00B84AF6" w:rsidR="00955BDD">
        <w:rPr>
          <w:i/>
        </w:rPr>
        <w:t>Bonin</w:t>
      </w:r>
      <w:r w:rsidRPr="00BE252E" w:rsidR="00D91778">
        <w:t>,</w:t>
      </w:r>
      <w:r w:rsidRPr="00B84AF6" w:rsidR="009772E2">
        <w:t xml:space="preserve"> </w:t>
      </w:r>
      <w:r w:rsidRPr="00B84AF6" w:rsidR="0088063C">
        <w:t>46 Cal.3d at p</w:t>
      </w:r>
      <w:r w:rsidR="00D91778">
        <w:t xml:space="preserve">. </w:t>
      </w:r>
      <w:r w:rsidRPr="00B84AF6" w:rsidR="00955BDD">
        <w:t>702 of bad faith regarding the prosecutor’</w:t>
      </w:r>
      <w:r w:rsidRPr="00B84AF6" w:rsidR="009C5BAB">
        <w:t>s argument to the jury].)  As noted, the prosecutor</w:t>
      </w:r>
      <w:r w:rsidR="00A40B51">
        <w:t xml:space="preserve"> asked a question consistent with the court’s direction.  He also</w:t>
      </w:r>
      <w:r w:rsidRPr="00B84AF6" w:rsidR="009C5BAB">
        <w:t xml:space="preserve"> </w:t>
      </w:r>
      <w:r w:rsidRPr="00B84AF6" w:rsidR="00511E13">
        <w:t xml:space="preserve">expressly </w:t>
      </w:r>
      <w:r w:rsidRPr="00B84AF6" w:rsidR="009C5BAB">
        <w:t>admonished Ron</w:t>
      </w:r>
      <w:r w:rsidRPr="00B84AF6" w:rsidR="00986442">
        <w:t>ald</w:t>
      </w:r>
      <w:r w:rsidRPr="00B84AF6" w:rsidR="009C5BAB">
        <w:t xml:space="preserve"> not to mention </w:t>
      </w:r>
      <w:r w:rsidRPr="00B84AF6" w:rsidR="00986442">
        <w:t>Dutoit</w:t>
      </w:r>
      <w:r w:rsidRPr="00B84AF6" w:rsidR="009C5BAB">
        <w:t xml:space="preserve">’s suicide.  </w:t>
      </w:r>
      <w:r w:rsidRPr="00B84AF6" w:rsidR="00511E13">
        <w:t xml:space="preserve">The witness’s </w:t>
      </w:r>
      <w:r w:rsidRPr="00B84AF6" w:rsidR="0058216C">
        <w:t xml:space="preserve">apparent willful refusal </w:t>
      </w:r>
      <w:r w:rsidRPr="00B84AF6" w:rsidR="00511E13">
        <w:t>to abide by this admonishment does not establish misconduct by the prosecutor.</w:t>
      </w:r>
      <w:r w:rsidRPr="00B84AF6" w:rsidR="00CF10FD">
        <w:t xml:space="preserve">  (</w:t>
      </w:r>
      <w:r w:rsidRPr="00B84AF6" w:rsidR="00CF10FD">
        <w:rPr>
          <w:i/>
        </w:rPr>
        <w:t>Valdez</w:t>
      </w:r>
      <w:r w:rsidRPr="00B84AF6" w:rsidR="00CF10FD">
        <w:t>,</w:t>
      </w:r>
      <w:r w:rsidRPr="00B84AF6" w:rsidR="00CF10FD">
        <w:rPr>
          <w:i/>
        </w:rPr>
        <w:t xml:space="preserve"> </w:t>
      </w:r>
      <w:r w:rsidRPr="00B84AF6" w:rsidR="00CF10FD">
        <w:t xml:space="preserve">at p. 125 [no misconduct where </w:t>
      </w:r>
      <w:r w:rsidRPr="00B84AF6" w:rsidR="0058216C">
        <w:t>“the prosecutor did not intentionally solicit, and could not have anticipated,” the witness’s testimony]</w:t>
      </w:r>
      <w:r w:rsidRPr="00B84AF6" w:rsidR="00CF10FD">
        <w:t xml:space="preserve">.)  </w:t>
      </w:r>
      <w:r w:rsidRPr="00B84AF6" w:rsidR="00511E13">
        <w:t xml:space="preserve"> </w:t>
      </w:r>
    </w:p>
    <w:p w:rsidR="00B147F5" w:rsidRPr="00B84AF6" w:rsidP="00B84AF6">
      <w:pPr>
        <w:tabs>
          <w:tab w:val="left" w:pos="1440"/>
        </w:tabs>
        <w:ind w:firstLine="720"/>
      </w:pPr>
      <w:r w:rsidRPr="00B84AF6">
        <w:t xml:space="preserve">Defendant argues </w:t>
      </w:r>
      <w:r w:rsidRPr="00B84AF6" w:rsidR="00A01086">
        <w:t xml:space="preserve">another of the prosecutor’s questions </w:t>
      </w:r>
      <w:r w:rsidRPr="00B84AF6" w:rsidR="006B5A60">
        <w:t xml:space="preserve">contravened the court’s ruling.  </w:t>
      </w:r>
      <w:r w:rsidRPr="00B84AF6" w:rsidR="00CC5874">
        <w:t xml:space="preserve">Specifically, the prosecutor asked </w:t>
      </w:r>
      <w:r w:rsidRPr="00B84AF6" w:rsidR="0058216C">
        <w:t>Ron</w:t>
      </w:r>
      <w:r w:rsidRPr="00B84AF6" w:rsidR="00986442">
        <w:t xml:space="preserve">ald and </w:t>
      </w:r>
      <w:r w:rsidRPr="00B84AF6" w:rsidR="0058216C">
        <w:t>Yvonne Searle</w:t>
      </w:r>
      <w:r w:rsidRPr="00B84AF6" w:rsidR="00986442">
        <w:t xml:space="preserve"> (McKenna’s mother)</w:t>
      </w:r>
      <w:r w:rsidRPr="00B84AF6" w:rsidR="0058216C">
        <w:t xml:space="preserve">, </w:t>
      </w:r>
      <w:r w:rsidRPr="00B84AF6" w:rsidR="00CC5874">
        <w:t xml:space="preserve">whether McKenna was a “lifeline” for </w:t>
      </w:r>
      <w:r w:rsidRPr="00B84AF6" w:rsidR="00986442">
        <w:t>Dutoit.</w:t>
      </w:r>
      <w:r w:rsidRPr="00B84AF6" w:rsidR="00A04307">
        <w:t xml:space="preserve">  </w:t>
      </w:r>
      <w:r w:rsidRPr="00B84AF6" w:rsidR="00972387">
        <w:t xml:space="preserve">There was no objection to </w:t>
      </w:r>
      <w:r w:rsidRPr="00B84AF6" w:rsidR="00A01086">
        <w:t>this questioning</w:t>
      </w:r>
      <w:r w:rsidR="00A40B51">
        <w:t>, rendering</w:t>
      </w:r>
      <w:r w:rsidRPr="00B84AF6" w:rsidR="00972387">
        <w:t xml:space="preserve"> any claim of misconduct forfeit</w:t>
      </w:r>
      <w:r w:rsidR="00E70983">
        <w:t>ed</w:t>
      </w:r>
      <w:r w:rsidRPr="00B84AF6" w:rsidR="00972387">
        <w:t>.  (</w:t>
      </w:r>
      <w:r w:rsidRPr="00B84AF6" w:rsidR="00972387">
        <w:rPr>
          <w:i/>
        </w:rPr>
        <w:t>People v. Samayoa</w:t>
      </w:r>
      <w:r w:rsidRPr="00B84AF6" w:rsidR="00972387">
        <w:t xml:space="preserve"> (1997) 15 Cal.4th 795, 841.)</w:t>
      </w:r>
      <w:r w:rsidRPr="00B84AF6" w:rsidR="00BD7D87">
        <w:t xml:space="preserve">  </w:t>
      </w:r>
      <w:r w:rsidR="00A40B51">
        <w:t xml:space="preserve">Further, </w:t>
      </w:r>
      <w:r w:rsidRPr="00B84AF6" w:rsidR="00BD7D87">
        <w:t>the question</w:t>
      </w:r>
      <w:r w:rsidRPr="00B84AF6" w:rsidR="00EF2A18">
        <w:t xml:space="preserve"> was</w:t>
      </w:r>
      <w:r w:rsidRPr="00B84AF6" w:rsidR="00BD7D87">
        <w:t xml:space="preserve"> not improper.  The trial court ruled that </w:t>
      </w:r>
      <w:r w:rsidRPr="00B84AF6" w:rsidR="00CF10FD">
        <w:t xml:space="preserve">the prosecutor could ask McKenna’s family members about how </w:t>
      </w:r>
      <w:r w:rsidRPr="00B84AF6" w:rsidR="00986442">
        <w:t xml:space="preserve">Dutoit </w:t>
      </w:r>
      <w:r w:rsidRPr="00B84AF6" w:rsidR="00CF10FD">
        <w:t xml:space="preserve">reacted to </w:t>
      </w:r>
      <w:r w:rsidRPr="00B84AF6" w:rsidR="00986442">
        <w:t>McKenna’s</w:t>
      </w:r>
      <w:r w:rsidRPr="00B84AF6" w:rsidR="00CF10FD">
        <w:t xml:space="preserve"> murder so long as he admonished them not to </w:t>
      </w:r>
      <w:r w:rsidR="00A40B51">
        <w:t>say</w:t>
      </w:r>
      <w:r w:rsidRPr="00B84AF6" w:rsidR="00CF10FD">
        <w:t xml:space="preserve"> that her reac</w:t>
      </w:r>
      <w:r w:rsidRPr="00B84AF6" w:rsidR="00A04307">
        <w:t xml:space="preserve">tion was to commit suicide.  </w:t>
      </w:r>
      <w:r w:rsidRPr="00B84AF6" w:rsidR="0058216C">
        <w:t xml:space="preserve">Before questioning the two witnesses, the prosecutor </w:t>
      </w:r>
      <w:r w:rsidRPr="00B84AF6" w:rsidR="00986442">
        <w:t>so admonished them</w:t>
      </w:r>
      <w:r w:rsidRPr="00B84AF6" w:rsidR="00A04307">
        <w:t>.</w:t>
      </w:r>
      <w:r w:rsidRPr="00B84AF6" w:rsidR="003D0D55">
        <w:t xml:space="preserve">  </w:t>
      </w:r>
      <w:r w:rsidRPr="00B84AF6" w:rsidR="00687E3E">
        <w:t>In response to the prosecutor’s question about Mc</w:t>
      </w:r>
      <w:r w:rsidRPr="00B84AF6" w:rsidR="00016F86">
        <w:t>Kenna being a “lifeline” for Dutoit</w:t>
      </w:r>
      <w:r w:rsidRPr="00B84AF6" w:rsidR="00687E3E">
        <w:t xml:space="preserve">, </w:t>
      </w:r>
      <w:r w:rsidRPr="00B84AF6" w:rsidR="00386A2C">
        <w:t>Ron</w:t>
      </w:r>
      <w:r w:rsidRPr="00B84AF6" w:rsidR="00016F86">
        <w:t>ald</w:t>
      </w:r>
      <w:r w:rsidRPr="00B84AF6" w:rsidR="0088063C">
        <w:t xml:space="preserve"> simply answered, “Y</w:t>
      </w:r>
      <w:r w:rsidRPr="00B84AF6" w:rsidR="00A04307">
        <w:t xml:space="preserve">es.”  </w:t>
      </w:r>
      <w:r w:rsidRPr="00B84AF6" w:rsidR="00EF2A18">
        <w:t xml:space="preserve">He had previously explained that McKenna and </w:t>
      </w:r>
      <w:r w:rsidRPr="00B84AF6" w:rsidR="00016F86">
        <w:t xml:space="preserve">Dutoit </w:t>
      </w:r>
      <w:r w:rsidRPr="00B84AF6" w:rsidR="00EF2A18">
        <w:t>“hung out together a lot.  They were pr</w:t>
      </w:r>
      <w:r w:rsidRPr="00B84AF6" w:rsidR="00A04307">
        <w:t xml:space="preserve">obably closest.”  </w:t>
      </w:r>
      <w:r w:rsidRPr="00B84AF6" w:rsidR="00EF2A18">
        <w:t xml:space="preserve">In response to the same question, </w:t>
      </w:r>
      <w:r w:rsidRPr="00B84AF6" w:rsidR="00687E3E">
        <w:t xml:space="preserve">Searle testified that </w:t>
      </w:r>
      <w:r w:rsidRPr="00B84AF6" w:rsidR="00016F86">
        <w:t xml:space="preserve">Dutoit </w:t>
      </w:r>
      <w:r w:rsidRPr="00B84AF6" w:rsidR="00687E3E">
        <w:t>was an alcoholic and a recluse, and that McKenna</w:t>
      </w:r>
      <w:r w:rsidRPr="00B84AF6" w:rsidR="00F5497F">
        <w:t xml:space="preserve"> provided her with </w:t>
      </w:r>
      <w:r w:rsidRPr="00B84AF6" w:rsidR="00A04307">
        <w:t xml:space="preserve">alcohol.  </w:t>
      </w:r>
      <w:r w:rsidRPr="00B84AF6" w:rsidR="007512FF">
        <w:t>The prosecutor’s question was not designed to elicit, nor did it actually elicit, inadmissible testimony in violation of the court’</w:t>
      </w:r>
      <w:r w:rsidRPr="00B84AF6">
        <w:t xml:space="preserve">s order. </w:t>
      </w:r>
    </w:p>
    <w:p w:rsidR="009012A3" w:rsidRPr="00B84AF6" w:rsidP="00B84AF6">
      <w:pPr>
        <w:tabs>
          <w:tab w:val="left" w:pos="1440"/>
        </w:tabs>
        <w:ind w:firstLine="720"/>
      </w:pPr>
      <w:r w:rsidRPr="00B84AF6">
        <w:t xml:space="preserve">We also </w:t>
      </w:r>
      <w:r w:rsidRPr="00B84AF6" w:rsidR="00DF2B6E">
        <w:t>reject defendant’</w:t>
      </w:r>
      <w:r w:rsidRPr="00B84AF6" w:rsidR="0057728E">
        <w:t xml:space="preserve">s claim that the </w:t>
      </w:r>
      <w:r w:rsidRPr="00B84AF6" w:rsidR="00DF2B6E">
        <w:t xml:space="preserve">court </w:t>
      </w:r>
      <w:r w:rsidRPr="00B84AF6" w:rsidR="0057728E">
        <w:t>erred i</w:t>
      </w:r>
      <w:r w:rsidRPr="00B84AF6" w:rsidR="00654F4E">
        <w:t xml:space="preserve">n </w:t>
      </w:r>
      <w:r w:rsidRPr="00B84AF6" w:rsidR="00CD689B">
        <w:t>not granting</w:t>
      </w:r>
      <w:r w:rsidRPr="00B84AF6" w:rsidR="00654F4E">
        <w:t xml:space="preserve"> a mistrial</w:t>
      </w:r>
      <w:r w:rsidRPr="00B84AF6" w:rsidR="00B51586">
        <w:t xml:space="preserve"> based on Ron</w:t>
      </w:r>
      <w:r w:rsidRPr="00B84AF6" w:rsidR="00016F86">
        <w:t>ald</w:t>
      </w:r>
      <w:r w:rsidRPr="00B84AF6" w:rsidR="00B51586">
        <w:t>’s testimony</w:t>
      </w:r>
      <w:r w:rsidRPr="00B84AF6" w:rsidR="00654F4E">
        <w:t>.</w:t>
      </w:r>
      <w:r w:rsidRPr="00B84AF6" w:rsidR="0098399C">
        <w:t xml:space="preserve">  </w:t>
      </w:r>
      <w:r w:rsidR="00A40B51">
        <w:t>When</w:t>
      </w:r>
      <w:r w:rsidRPr="00B84AF6" w:rsidR="009E5E96">
        <w:t xml:space="preserve"> a witness’s volunteered statement</w:t>
      </w:r>
      <w:r w:rsidR="00A40B51">
        <w:t xml:space="preserve"> is</w:t>
      </w:r>
      <w:r w:rsidRPr="00B84AF6" w:rsidR="009E5E96">
        <w:t xml:space="preserve"> </w:t>
      </w:r>
      <w:r w:rsidRPr="00B84AF6" w:rsidR="0098399C">
        <w:t>not attributable to either party, a mistrial is called for only if the misconduct is so inherently prejudicial as to threaten defendant’s right to a fair trial despite admonitions from the court.</w:t>
      </w:r>
      <w:r w:rsidRPr="00B84AF6" w:rsidR="009E5E96">
        <w:t xml:space="preserve">  (</w:t>
      </w:r>
      <w:r w:rsidRPr="00B84AF6" w:rsidR="009E5E96">
        <w:rPr>
          <w:i/>
        </w:rPr>
        <w:t>People v. Dement</w:t>
      </w:r>
      <w:r w:rsidRPr="00B84AF6" w:rsidR="009E5E96">
        <w:t xml:space="preserve"> (2011) 53 Cal.4th 1, 39–40 (</w:t>
      </w:r>
      <w:r w:rsidRPr="00B84AF6" w:rsidR="009E5E96">
        <w:rPr>
          <w:i/>
        </w:rPr>
        <w:t>Dement</w:t>
      </w:r>
      <w:r w:rsidRPr="00B84AF6" w:rsidR="009E5E96">
        <w:t xml:space="preserve">).)  </w:t>
      </w:r>
      <w:r w:rsidRPr="00B84AF6" w:rsidR="00B51586">
        <w:t>“</w:t>
      </w:r>
      <w:r w:rsidR="0014194C">
        <w:t> </w:t>
      </w:r>
      <w:r w:rsidRPr="00B84AF6" w:rsidR="00B51586">
        <w:t>‘</w:t>
      </w:r>
      <w:r w:rsidR="0014194C">
        <w:t> </w:t>
      </w:r>
      <w:r w:rsidRPr="00B84AF6" w:rsidR="00B51586">
        <w:t>“Whether a particular incident is incurably prejudicial is by its nature a speculative matter, and the trial court is vested with considerable discretion in ruling on mistrial motions.</w:t>
      </w:r>
      <w:r w:rsidR="0014194C">
        <w:t> </w:t>
      </w:r>
      <w:r w:rsidRPr="00B84AF6" w:rsidR="00B51586">
        <w:t>.</w:t>
      </w:r>
      <w:r w:rsidR="0014194C">
        <w:t> </w:t>
      </w:r>
      <w:r w:rsidRPr="00B84AF6" w:rsidR="00B51586">
        <w:t>.</w:t>
      </w:r>
      <w:r w:rsidR="0014194C">
        <w:t> </w:t>
      </w:r>
      <w:r w:rsidRPr="00B84AF6" w:rsidR="00B51586">
        <w:t>.”  [Citation.]  A motion for a mistrial should be granted when “</w:t>
      </w:r>
      <w:r w:rsidR="0014194C">
        <w:t> </w:t>
      </w:r>
      <w:r w:rsidRPr="00B84AF6" w:rsidR="00B51586">
        <w:t>‘</w:t>
      </w:r>
      <w:r w:rsidR="0014194C">
        <w:t> </w:t>
      </w:r>
      <w:r w:rsidRPr="00B84AF6" w:rsidR="00B51586">
        <w:t>“a [defendant’s] chances of receiving a fair trial have been irreparably damaged.”</w:t>
      </w:r>
      <w:r w:rsidR="0014194C">
        <w:t> </w:t>
      </w:r>
      <w:r w:rsidRPr="00B84AF6" w:rsidR="00B51586">
        <w:t>’</w:t>
      </w:r>
      <w:r w:rsidR="0014194C">
        <w:t> </w:t>
      </w:r>
      <w:r w:rsidRPr="00B84AF6" w:rsidR="00B51586">
        <w:t>”</w:t>
      </w:r>
      <w:r w:rsidR="0014194C">
        <w:t> </w:t>
      </w:r>
      <w:r w:rsidRPr="00B84AF6" w:rsidR="00B51586">
        <w:t>’</w:t>
      </w:r>
      <w:r w:rsidR="0014194C">
        <w:t> </w:t>
      </w:r>
      <w:r w:rsidRPr="00B84AF6" w:rsidR="00D109DA">
        <w:t xml:space="preserve">”  </w:t>
      </w:r>
      <w:r w:rsidRPr="00B84AF6" w:rsidR="00B51586">
        <w:t>(</w:t>
      </w:r>
      <w:r w:rsidRPr="00B84AF6" w:rsidR="00D109DA">
        <w:rPr>
          <w:i/>
        </w:rPr>
        <w:t>Ibid</w:t>
      </w:r>
      <w:r w:rsidRPr="00B84AF6" w:rsidR="00D109DA">
        <w:t>.)</w:t>
      </w:r>
    </w:p>
    <w:p w:rsidR="009A36B0" w:rsidRPr="00B84AF6" w:rsidP="00B84AF6">
      <w:pPr>
        <w:tabs>
          <w:tab w:val="left" w:pos="1440"/>
        </w:tabs>
        <w:ind w:firstLine="720"/>
      </w:pPr>
      <w:r w:rsidRPr="00B84AF6">
        <w:t>Ron</w:t>
      </w:r>
      <w:r w:rsidRPr="00B84AF6" w:rsidR="00D103A2">
        <w:t>ald</w:t>
      </w:r>
      <w:r w:rsidRPr="00B84AF6">
        <w:t xml:space="preserve">’s </w:t>
      </w:r>
      <w:r w:rsidRPr="00B84AF6" w:rsidR="00B51586">
        <w:t>comment was not “</w:t>
      </w:r>
      <w:r w:rsidR="0014194C">
        <w:t> </w:t>
      </w:r>
      <w:r w:rsidRPr="00B84AF6">
        <w:t>‘</w:t>
      </w:r>
      <w:r w:rsidRPr="00B84AF6" w:rsidR="00B51586">
        <w:t>so incurably prejudicial that a new trial was required.</w:t>
      </w:r>
      <w:r w:rsidRPr="00B84AF6">
        <w:t>’</w:t>
      </w:r>
      <w:r w:rsidR="0014194C">
        <w:t> </w:t>
      </w:r>
      <w:r w:rsidRPr="00B84AF6">
        <w:t>”  (</w:t>
      </w:r>
      <w:r w:rsidRPr="00B84AF6" w:rsidR="00B51586">
        <w:rPr>
          <w:i/>
        </w:rPr>
        <w:t>Dement</w:t>
      </w:r>
      <w:r w:rsidRPr="00B84AF6" w:rsidR="00B51586">
        <w:t>,</w:t>
      </w:r>
      <w:r w:rsidRPr="00B84AF6" w:rsidR="00B51586">
        <w:rPr>
          <w:i/>
        </w:rPr>
        <w:t xml:space="preserve"> </w:t>
      </w:r>
      <w:r w:rsidRPr="00B84AF6">
        <w:rPr>
          <w:i/>
        </w:rPr>
        <w:t>supra</w:t>
      </w:r>
      <w:r w:rsidRPr="00B84AF6">
        <w:t xml:space="preserve">, </w:t>
      </w:r>
      <w:r w:rsidRPr="00B84AF6" w:rsidR="00B51586">
        <w:t xml:space="preserve">53 Cal.4th </w:t>
      </w:r>
      <w:r w:rsidRPr="00B84AF6">
        <w:t xml:space="preserve">at p. </w:t>
      </w:r>
      <w:r w:rsidRPr="00B84AF6" w:rsidR="00B51586">
        <w:t>40</w:t>
      </w:r>
      <w:r w:rsidRPr="00B84AF6">
        <w:t>.)</w:t>
      </w:r>
      <w:r w:rsidRPr="00B84AF6" w:rsidR="003434C0">
        <w:t xml:space="preserve">  </w:t>
      </w:r>
      <w:r w:rsidRPr="00B84AF6">
        <w:t>T</w:t>
      </w:r>
      <w:r w:rsidRPr="00B84AF6" w:rsidR="00497176">
        <w:t xml:space="preserve">he trial court took </w:t>
      </w:r>
      <w:r w:rsidRPr="00B84AF6" w:rsidR="00D103A2">
        <w:t xml:space="preserve">corrective </w:t>
      </w:r>
      <w:r w:rsidRPr="00B84AF6">
        <w:t xml:space="preserve">action by admonishing the jury immediately, and again at the end of the </w:t>
      </w:r>
      <w:r w:rsidRPr="00B84AF6" w:rsidR="00D103A2">
        <w:t>penalty phase</w:t>
      </w:r>
      <w:r w:rsidR="00A40B51">
        <w:t>.</w:t>
      </w:r>
      <w:r w:rsidRPr="00B84AF6">
        <w:t xml:space="preserve">  </w:t>
      </w:r>
      <w:r w:rsidRPr="00B84AF6" w:rsidR="00D103A2">
        <w:t xml:space="preserve">The court’s </w:t>
      </w:r>
      <w:r w:rsidR="00A40B51">
        <w:t>admonition</w:t>
      </w:r>
      <w:r w:rsidRPr="00B84AF6" w:rsidR="00D103A2">
        <w:t xml:space="preserve"> was decisive and clear.  It told the jury that the comment </w:t>
      </w:r>
      <w:r w:rsidRPr="00B84AF6" w:rsidR="005254E9">
        <w:t>“</w:t>
      </w:r>
      <w:r w:rsidRPr="00B84AF6" w:rsidR="00D103A2">
        <w:rPr>
          <w:i/>
        </w:rPr>
        <w:t>ha</w:t>
      </w:r>
      <w:r w:rsidRPr="00B84AF6" w:rsidR="005254E9">
        <w:rPr>
          <w:i/>
        </w:rPr>
        <w:t xml:space="preserve">s </w:t>
      </w:r>
      <w:r w:rsidRPr="00B84AF6" w:rsidR="00D103A2">
        <w:rPr>
          <w:i/>
        </w:rPr>
        <w:t>no basis in fact</w:t>
      </w:r>
      <w:r w:rsidRPr="00B84AF6" w:rsidR="00D103A2">
        <w:t>, and that testimony was ordered stricken from the record.  You must not consider it for any purpose.”</w:t>
      </w:r>
      <w:r w:rsidRPr="00B84AF6" w:rsidR="005254E9">
        <w:t xml:space="preserve">  (Italics added.)</w:t>
      </w:r>
      <w:r w:rsidRPr="00B84AF6" w:rsidR="00A04307">
        <w:t xml:space="preserve">  </w:t>
      </w:r>
      <w:r w:rsidRPr="00B84AF6">
        <w:t>The jurors are presumed to have followed the court’</w:t>
      </w:r>
      <w:r w:rsidRPr="00B84AF6" w:rsidR="006F0319">
        <w:t>s admonishment.  (</w:t>
      </w:r>
      <w:r w:rsidRPr="00B84AF6" w:rsidR="00632C15">
        <w:rPr>
          <w:i/>
        </w:rPr>
        <w:t>People v. Montes</w:t>
      </w:r>
      <w:r w:rsidRPr="00B84AF6" w:rsidR="00632C15">
        <w:t xml:space="preserve"> (2014) 58 Cal.4th 809, 888</w:t>
      </w:r>
      <w:r w:rsidRPr="00B84AF6">
        <w:t xml:space="preserve">.)  </w:t>
      </w:r>
    </w:p>
    <w:p w:rsidR="009B5BF7" w:rsidRPr="00B84AF6" w:rsidP="00B84AF6">
      <w:pPr>
        <w:tabs>
          <w:tab w:val="left" w:pos="1440"/>
        </w:tabs>
        <w:ind w:firstLine="720"/>
      </w:pPr>
      <w:r w:rsidRPr="00B84AF6">
        <w:t xml:space="preserve">Defendant counters that </w:t>
      </w:r>
      <w:r w:rsidR="00A40B51">
        <w:t>Ronald’s</w:t>
      </w:r>
      <w:r w:rsidRPr="00B84AF6">
        <w:t xml:space="preserve"> comment was so inflammatory that no admonishment could undo the damage.  He is incorrect.  </w:t>
      </w:r>
      <w:r w:rsidRPr="00B84AF6" w:rsidR="00E834AE">
        <w:t>Although defendant describes the testimony as “factually baseless, highly improper, and grossly inflamm</w:t>
      </w:r>
      <w:r w:rsidRPr="00B84AF6" w:rsidR="00A04307">
        <w:t>atory</w:t>
      </w:r>
      <w:r w:rsidRPr="00B84AF6" w:rsidR="00E834AE">
        <w:t>,</w:t>
      </w:r>
      <w:r w:rsidRPr="00B84AF6" w:rsidR="00A04307">
        <w:t>”</w:t>
      </w:r>
      <w:r w:rsidRPr="00B84AF6" w:rsidR="00E834AE">
        <w:t xml:space="preserve"> </w:t>
      </w:r>
      <w:r w:rsidRPr="00B84AF6" w:rsidR="00632C15">
        <w:t xml:space="preserve">we have </w:t>
      </w:r>
      <w:r w:rsidRPr="00B84AF6" w:rsidR="00E834AE">
        <w:t xml:space="preserve">in fact </w:t>
      </w:r>
      <w:r w:rsidRPr="00B84AF6" w:rsidR="00632C15">
        <w:t>held that a family m</w:t>
      </w:r>
      <w:r w:rsidRPr="00B84AF6" w:rsidR="009A60BB">
        <w:t xml:space="preserve">ember’s </w:t>
      </w:r>
      <w:r w:rsidRPr="00B84AF6" w:rsidR="00632C15">
        <w:t>attempted suicide as a result of the victim’s death can be proper victim impact evidence.  (</w:t>
      </w:r>
      <w:r w:rsidRPr="00B84AF6" w:rsidR="00632C15">
        <w:rPr>
          <w:i/>
        </w:rPr>
        <w:t xml:space="preserve">People v. Booker </w:t>
      </w:r>
      <w:r w:rsidRPr="00B84AF6" w:rsidR="00632C15">
        <w:t xml:space="preserve">(2011) 51 Cal.4th 141, 154, 193; </w:t>
      </w:r>
      <w:r w:rsidRPr="00B84AF6" w:rsidR="00632C15">
        <w:rPr>
          <w:i/>
        </w:rPr>
        <w:t>People v. Wilson</w:t>
      </w:r>
      <w:r w:rsidRPr="00B84AF6" w:rsidR="00632C15">
        <w:t xml:space="preserve"> (2005) 36 Cal.4th 309, </w:t>
      </w:r>
      <w:r w:rsidRPr="00B84AF6" w:rsidR="00300443">
        <w:t>356–357</w:t>
      </w:r>
      <w:r w:rsidRPr="00B84AF6" w:rsidR="00632C15">
        <w:t xml:space="preserve">.)  </w:t>
      </w:r>
      <w:r w:rsidRPr="00B84AF6" w:rsidR="0091667E">
        <w:t xml:space="preserve">Acting within the scope of its discretion, the court </w:t>
      </w:r>
      <w:r w:rsidR="008D5FC2">
        <w:t xml:space="preserve">here </w:t>
      </w:r>
      <w:r w:rsidR="00A40B51">
        <w:t>ruled</w:t>
      </w:r>
      <w:r w:rsidRPr="00B84AF6" w:rsidR="0091667E">
        <w:t xml:space="preserve"> </w:t>
      </w:r>
      <w:r w:rsidRPr="00B84AF6" w:rsidR="00E834AE">
        <w:t xml:space="preserve">the evidence inadmissible.  But </w:t>
      </w:r>
      <w:r w:rsidRPr="00B84AF6" w:rsidR="00A82E51">
        <w:t>the fact t</w:t>
      </w:r>
      <w:r w:rsidRPr="00B84AF6" w:rsidR="00DE388E">
        <w:t>hat our decision</w:t>
      </w:r>
      <w:r w:rsidRPr="00B84AF6" w:rsidR="00E834AE">
        <w:t>s</w:t>
      </w:r>
      <w:r w:rsidRPr="00B84AF6" w:rsidR="00DE388E">
        <w:t xml:space="preserve"> support a broader </w:t>
      </w:r>
      <w:r w:rsidRPr="00B84AF6" w:rsidR="00073849">
        <w:t>view</w:t>
      </w:r>
      <w:r w:rsidRPr="00B84AF6" w:rsidR="001803FB">
        <w:t xml:space="preserve"> of admissibility</w:t>
      </w:r>
      <w:r w:rsidRPr="00B84AF6" w:rsidR="00DE388E">
        <w:t xml:space="preserve"> “must certainly factor into any prejudice analysis.”  (</w:t>
      </w:r>
      <w:r w:rsidRPr="00B84AF6" w:rsidR="00DE388E">
        <w:rPr>
          <w:i/>
        </w:rPr>
        <w:t>Tully</w:t>
      </w:r>
      <w:r w:rsidRPr="00B84AF6" w:rsidR="00DE388E">
        <w:t>,</w:t>
      </w:r>
      <w:r w:rsidRPr="00B84AF6" w:rsidR="00DE388E">
        <w:rPr>
          <w:i/>
        </w:rPr>
        <w:t xml:space="preserve"> supra</w:t>
      </w:r>
      <w:r w:rsidRPr="00B84AF6" w:rsidR="00DE388E">
        <w:t>, 54 Cal.4t</w:t>
      </w:r>
      <w:r w:rsidRPr="00B84AF6" w:rsidR="00A82E51">
        <w:t>h at p. 1035, fn. 30.)</w:t>
      </w:r>
      <w:r w:rsidRPr="00B84AF6" w:rsidR="00417FBA">
        <w:t xml:space="preserve">  </w:t>
      </w:r>
      <w:r w:rsidRPr="00B84AF6" w:rsidR="00D11181">
        <w:t>On that score, d</w:t>
      </w:r>
      <w:r w:rsidRPr="00B84AF6" w:rsidR="00417FBA">
        <w:t>efendant is incorrect to suggest that ther</w:t>
      </w:r>
      <w:r w:rsidRPr="00B84AF6" w:rsidR="00E834AE">
        <w:t>e was no concrete evidence that Dutoit</w:t>
      </w:r>
      <w:r w:rsidRPr="00B84AF6" w:rsidR="00417FBA">
        <w:t xml:space="preserve"> actually committed suicide because the death certificate did not explicitly </w:t>
      </w:r>
      <w:r w:rsidRPr="00B84AF6" w:rsidR="0091667E">
        <w:t>indicate that cause of death</w:t>
      </w:r>
      <w:r w:rsidRPr="00B84AF6" w:rsidR="00417FBA">
        <w:t xml:space="preserve">.  </w:t>
      </w:r>
      <w:r w:rsidRPr="00B84AF6" w:rsidR="0066554C">
        <w:t>There was evidence before the court that the c</w:t>
      </w:r>
      <w:r w:rsidRPr="00B84AF6" w:rsidR="00417FBA">
        <w:t>ause of death</w:t>
      </w:r>
      <w:r w:rsidRPr="00B84AF6" w:rsidR="0066554C">
        <w:t xml:space="preserve"> was a</w:t>
      </w:r>
      <w:r w:rsidRPr="00B84AF6" w:rsidR="002C2A75">
        <w:t xml:space="preserve"> drug</w:t>
      </w:r>
      <w:r w:rsidRPr="00B84AF6" w:rsidR="0066554C">
        <w:t xml:space="preserve"> overdose</w:t>
      </w:r>
      <w:r w:rsidRPr="00B84AF6" w:rsidR="00C02B7E">
        <w:t xml:space="preserve">, </w:t>
      </w:r>
      <w:r w:rsidRPr="00B84AF6" w:rsidR="0066554C">
        <w:t xml:space="preserve">and that </w:t>
      </w:r>
      <w:r w:rsidRPr="00B84AF6" w:rsidR="00E834AE">
        <w:t>Dutoit</w:t>
      </w:r>
      <w:r w:rsidRPr="00B84AF6" w:rsidR="0066554C">
        <w:t xml:space="preserve"> had expressed a desire to take her own life</w:t>
      </w:r>
      <w:r w:rsidRPr="00B84AF6" w:rsidR="0082687E">
        <w:t xml:space="preserve"> after McKenna was murdered</w:t>
      </w:r>
      <w:r w:rsidRPr="00B84AF6" w:rsidR="0066554C">
        <w:t xml:space="preserve">.  This </w:t>
      </w:r>
      <w:r w:rsidRPr="00B84AF6" w:rsidR="000379B1">
        <w:t>evidence</w:t>
      </w:r>
      <w:r w:rsidR="00A40B51">
        <w:t xml:space="preserve"> could</w:t>
      </w:r>
      <w:r w:rsidRPr="00B84AF6" w:rsidR="000379B1">
        <w:t xml:space="preserve"> </w:t>
      </w:r>
      <w:r w:rsidRPr="00B84AF6" w:rsidR="0066554C">
        <w:t>certainly supp</w:t>
      </w:r>
      <w:r w:rsidRPr="00B84AF6" w:rsidR="00D11181">
        <w:t>ort an inference of suicide.</w:t>
      </w:r>
      <w:r w:rsidRPr="00B84AF6" w:rsidR="001B2576">
        <w:t xml:space="preserve">  </w:t>
      </w:r>
      <w:r w:rsidRPr="00B84AF6" w:rsidR="00A82E51">
        <w:t xml:space="preserve"> </w:t>
      </w:r>
    </w:p>
    <w:p w:rsidR="00F52DC3" w:rsidRPr="00B84AF6" w:rsidP="00B84AF6">
      <w:pPr>
        <w:tabs>
          <w:tab w:val="left" w:pos="1440"/>
        </w:tabs>
        <w:ind w:firstLine="720"/>
      </w:pPr>
      <w:r w:rsidRPr="00B84AF6">
        <w:t>T</w:t>
      </w:r>
      <w:r w:rsidRPr="00B84AF6" w:rsidR="00632C15">
        <w:t>he jury was likely to see Ron</w:t>
      </w:r>
      <w:r w:rsidRPr="00B84AF6" w:rsidR="00E834AE">
        <w:t>ald</w:t>
      </w:r>
      <w:r w:rsidRPr="00B84AF6" w:rsidR="00632C15">
        <w:t>’s statement for what it was:  an opinion by a</w:t>
      </w:r>
      <w:r w:rsidRPr="00B84AF6">
        <w:t xml:space="preserve"> brother</w:t>
      </w:r>
      <w:r w:rsidRPr="00B84AF6" w:rsidR="004A2273">
        <w:t xml:space="preserve"> </w:t>
      </w:r>
      <w:r w:rsidRPr="00B84AF6" w:rsidR="00DA5334">
        <w:t xml:space="preserve">grief </w:t>
      </w:r>
      <w:r w:rsidRPr="00B84AF6" w:rsidR="00D55126">
        <w:t xml:space="preserve">stricken </w:t>
      </w:r>
      <w:r w:rsidRPr="00B84AF6" w:rsidR="004A2273">
        <w:t>over the loss of two sisters.</w:t>
      </w:r>
      <w:r w:rsidRPr="00B84AF6" w:rsidR="0067419E">
        <w:t xml:space="preserve">  </w:t>
      </w:r>
      <w:r w:rsidR="00A40B51">
        <w:t>It</w:t>
      </w:r>
      <w:r w:rsidRPr="00B84AF6" w:rsidR="0067419E">
        <w:t xml:space="preserve"> is qualitatively different from the </w:t>
      </w:r>
      <w:r w:rsidRPr="00B84AF6" w:rsidR="002C4012">
        <w:t xml:space="preserve">cases </w:t>
      </w:r>
      <w:r w:rsidRPr="00B84AF6" w:rsidR="0067419E">
        <w:t xml:space="preserve">defendant cites, where the prosecutor </w:t>
      </w:r>
      <w:r w:rsidRPr="00B84AF6" w:rsidR="00E73BED">
        <w:t>improperly suggest</w:t>
      </w:r>
      <w:r w:rsidRPr="00B84AF6">
        <w:t>ed</w:t>
      </w:r>
      <w:r w:rsidRPr="00B84AF6" w:rsidR="00E73BED">
        <w:t xml:space="preserve"> that the d</w:t>
      </w:r>
      <w:r w:rsidRPr="00B84AF6" w:rsidR="002C4012">
        <w:t xml:space="preserve">efendant had been involved in </w:t>
      </w:r>
      <w:r w:rsidRPr="00B84AF6" w:rsidR="00E73BED">
        <w:t>drug sale</w:t>
      </w:r>
      <w:r w:rsidRPr="00B84AF6" w:rsidR="002C4012">
        <w:t>s</w:t>
      </w:r>
      <w:r w:rsidRPr="00B84AF6" w:rsidR="006E2456">
        <w:t xml:space="preserve"> or that there was a specific description of the assailant that matched the defendant’s appearance.  </w:t>
      </w:r>
      <w:r w:rsidRPr="00B84AF6" w:rsidR="00E73BED">
        <w:t>(See</w:t>
      </w:r>
      <w:r w:rsidRPr="00B84AF6">
        <w:t xml:space="preserve">, e.g., </w:t>
      </w:r>
      <w:r w:rsidRPr="00B84AF6">
        <w:rPr>
          <w:i/>
        </w:rPr>
        <w:t>People v. Wagner</w:t>
      </w:r>
      <w:r w:rsidRPr="00B84AF6">
        <w:t xml:space="preserve"> (1975) 13 Cal.3d 612, 619</w:t>
      </w:r>
      <w:r w:rsidRPr="00B84AF6" w:rsidR="002C4012">
        <w:t>–621</w:t>
      </w:r>
      <w:r w:rsidRPr="00B84AF6">
        <w:t>;</w:t>
      </w:r>
      <w:r w:rsidRPr="00B84AF6" w:rsidR="00C80F21">
        <w:t xml:space="preserve"> </w:t>
      </w:r>
      <w:r w:rsidRPr="00B84AF6" w:rsidR="00C80F21">
        <w:rPr>
          <w:i/>
        </w:rPr>
        <w:t>People v. Evans</w:t>
      </w:r>
      <w:r w:rsidRPr="00B84AF6" w:rsidR="006E2456">
        <w:t xml:space="preserve"> (1952) 39 Cal.2d 242, 248–252</w:t>
      </w:r>
      <w:r w:rsidRPr="00B84AF6" w:rsidR="00A559F4">
        <w:t xml:space="preserve">.)  Moreover, both parties </w:t>
      </w:r>
      <w:r w:rsidR="00A40B51">
        <w:t>elicited</w:t>
      </w:r>
      <w:r w:rsidRPr="00B84AF6" w:rsidR="00A559F4">
        <w:t xml:space="preserve"> evidence that </w:t>
      </w:r>
      <w:r w:rsidRPr="00B84AF6" w:rsidR="00446C3B">
        <w:t>Dutoit</w:t>
      </w:r>
      <w:r w:rsidRPr="00B84AF6" w:rsidR="00A559F4">
        <w:t xml:space="preserve"> </w:t>
      </w:r>
      <w:r w:rsidRPr="00B84AF6" w:rsidR="00FD5EF6">
        <w:t>was a</w:t>
      </w:r>
      <w:r w:rsidR="00A40B51">
        <w:t xml:space="preserve"> reclusive</w:t>
      </w:r>
      <w:r w:rsidRPr="00B84AF6" w:rsidR="00FD5EF6">
        <w:t xml:space="preserve"> alcoholic</w:t>
      </w:r>
      <w:r w:rsidRPr="00B84AF6" w:rsidR="00DB19C7">
        <w:t xml:space="preserve"> and suffered from </w:t>
      </w:r>
      <w:r w:rsidRPr="00B84AF6" w:rsidR="00CF5E48">
        <w:t xml:space="preserve">significant psychological problems </w:t>
      </w:r>
      <w:r w:rsidR="00A40B51">
        <w:t>predating</w:t>
      </w:r>
      <w:r w:rsidRPr="00B84AF6" w:rsidR="00A559F4">
        <w:t xml:space="preserve"> McKenna’s death</w:t>
      </w:r>
      <w:r w:rsidRPr="00B84AF6" w:rsidR="00EA5776">
        <w:t xml:space="preserve">.  </w:t>
      </w:r>
      <w:r w:rsidRPr="00B84AF6" w:rsidR="00C80066">
        <w:t>Dutoit</w:t>
      </w:r>
      <w:r w:rsidRPr="00B84AF6" w:rsidR="00337523">
        <w:t xml:space="preserve"> lived with her mother, </w:t>
      </w:r>
      <w:r w:rsidRPr="00B84AF6" w:rsidR="00C80066">
        <w:t>Yvonne Searle</w:t>
      </w:r>
      <w:r w:rsidRPr="00B84AF6" w:rsidR="00337523">
        <w:t xml:space="preserve">.  Searle described </w:t>
      </w:r>
      <w:r w:rsidRPr="00B84AF6" w:rsidR="00EA5776">
        <w:t>Dutoit</w:t>
      </w:r>
      <w:r w:rsidRPr="00B84AF6" w:rsidR="002D0055">
        <w:t xml:space="preserve"> </w:t>
      </w:r>
      <w:r w:rsidRPr="00B84AF6" w:rsidR="00337523">
        <w:t xml:space="preserve">as a </w:t>
      </w:r>
      <w:r w:rsidRPr="00B84AF6" w:rsidR="00EA5776">
        <w:t>“chronic alcoholic”</w:t>
      </w:r>
      <w:r w:rsidRPr="00B84AF6" w:rsidR="002D0055">
        <w:t xml:space="preserve"> who could not leave the house</w:t>
      </w:r>
      <w:r w:rsidRPr="00B84AF6" w:rsidR="00337523">
        <w:t xml:space="preserve"> and relied on </w:t>
      </w:r>
      <w:r w:rsidRPr="00B84AF6" w:rsidR="00C80066">
        <w:t xml:space="preserve">McKenna </w:t>
      </w:r>
      <w:r w:rsidRPr="00B84AF6" w:rsidR="00337523">
        <w:t>to bring her alcohol</w:t>
      </w:r>
      <w:r w:rsidRPr="00B84AF6" w:rsidR="00C80066">
        <w:t xml:space="preserve">.  </w:t>
      </w:r>
      <w:r w:rsidRPr="00B84AF6" w:rsidR="00EA5776">
        <w:t xml:space="preserve">Both the prosecution and the defense questioned Ronald on these topics, and he admitted as much before the jury.  </w:t>
      </w:r>
      <w:r w:rsidRPr="00B84AF6" w:rsidR="00337523">
        <w:t>Specifically, the prosecutor asked Ronald, “In fairness, it’s true, is it not</w:t>
      </w:r>
      <w:r w:rsidR="0026286F">
        <w:t>,</w:t>
      </w:r>
      <w:r w:rsidRPr="00B84AF6" w:rsidR="00337523">
        <w:t xml:space="preserve"> that Patti had significant psychological problems before Sue was murdered, is that correct?”  Ronald agreed.  </w:t>
      </w:r>
      <w:r w:rsidRPr="00B84AF6" w:rsidR="00EA5776">
        <w:t xml:space="preserve">This evidence countered </w:t>
      </w:r>
      <w:r w:rsidRPr="00B84AF6" w:rsidR="00D96FE5">
        <w:t>any suggestion by Ron</w:t>
      </w:r>
      <w:r w:rsidRPr="00B84AF6" w:rsidR="00446C3B">
        <w:t>ald</w:t>
      </w:r>
      <w:r w:rsidRPr="00B84AF6" w:rsidR="000165D1">
        <w:t xml:space="preserve"> </w:t>
      </w:r>
      <w:r w:rsidRPr="00B84AF6">
        <w:t xml:space="preserve">that defendant’s acts were the </w:t>
      </w:r>
      <w:r w:rsidRPr="00B84AF6" w:rsidR="00D96FE5">
        <w:t xml:space="preserve">sole or even primary </w:t>
      </w:r>
      <w:r w:rsidRPr="00B84AF6">
        <w:t xml:space="preserve">reason </w:t>
      </w:r>
      <w:r w:rsidRPr="00B84AF6" w:rsidR="00446C3B">
        <w:t>Dutoit</w:t>
      </w:r>
      <w:r w:rsidRPr="00B84AF6">
        <w:t xml:space="preserve"> took her own life. </w:t>
      </w:r>
    </w:p>
    <w:p w:rsidR="00CC79EE" w:rsidRPr="00B84AF6" w:rsidP="00B84AF6">
      <w:pPr>
        <w:tabs>
          <w:tab w:val="left" w:pos="1440"/>
        </w:tabs>
        <w:ind w:firstLine="720"/>
      </w:pPr>
      <w:r w:rsidRPr="00B84AF6">
        <w:t>Given the manner in which the evidence was presented, and the trial court’s express admonitions to the jury, Ron</w:t>
      </w:r>
      <w:r w:rsidRPr="00B84AF6" w:rsidR="00446C3B">
        <w:t>ald</w:t>
      </w:r>
      <w:r w:rsidRPr="00B84AF6">
        <w:t xml:space="preserve">’s </w:t>
      </w:r>
      <w:r w:rsidR="00A40B51">
        <w:t>assertion</w:t>
      </w:r>
      <w:r w:rsidRPr="00B84AF6">
        <w:t xml:space="preserve"> that defendant was responsible for </w:t>
      </w:r>
      <w:r w:rsidRPr="00B84AF6" w:rsidR="00446C3B">
        <w:t>Dutoit</w:t>
      </w:r>
      <w:r w:rsidRPr="00B84AF6">
        <w:t>’s suicide was not incurably prejudicial.</w:t>
      </w:r>
      <w:r w:rsidRPr="00B84AF6" w:rsidR="00E8784A">
        <w:t xml:space="preserve">  </w:t>
      </w:r>
      <w:r w:rsidRPr="00B84AF6" w:rsidR="006E3C7C">
        <w:t>T</w:t>
      </w:r>
      <w:r w:rsidRPr="00B84AF6" w:rsidR="00E8784A">
        <w:t>he trial court did not abuse its discretion in denying the motion for mistrial</w:t>
      </w:r>
      <w:r w:rsidRPr="00B84AF6" w:rsidR="006E3C7C">
        <w:t xml:space="preserve">, nor was </w:t>
      </w:r>
      <w:r w:rsidRPr="00B84AF6" w:rsidR="00E8784A">
        <w:t xml:space="preserve">defendant </w:t>
      </w:r>
      <w:r w:rsidRPr="00B84AF6" w:rsidR="006E3C7C">
        <w:t xml:space="preserve">deprived </w:t>
      </w:r>
      <w:r w:rsidRPr="00B84AF6" w:rsidR="00E8784A">
        <w:t xml:space="preserve">of a fundamentally fair trial or due process. </w:t>
      </w:r>
    </w:p>
    <w:p w:rsidR="00CC79EE" w:rsidRPr="00B84AF6" w:rsidP="00086BD0">
      <w:pPr>
        <w:pStyle w:val="Heading3"/>
        <w:numPr>
          <w:ilvl w:val="0"/>
          <w:numId w:val="36"/>
        </w:numPr>
        <w:ind w:left="1584" w:hanging="432"/>
      </w:pPr>
      <w:bookmarkStart w:id="36" w:name="_Toc527447453"/>
      <w:r w:rsidRPr="00B84AF6">
        <w:t>Cumulative Error</w:t>
      </w:r>
      <w:bookmarkEnd w:id="36"/>
    </w:p>
    <w:p w:rsidR="00CC79EE" w:rsidRPr="00B84AF6" w:rsidP="00B84AF6">
      <w:pPr>
        <w:tabs>
          <w:tab w:val="left" w:pos="1440"/>
        </w:tabs>
        <w:ind w:firstLine="720"/>
      </w:pPr>
      <w:r w:rsidRPr="00B84AF6">
        <w:t xml:space="preserve">Defendant contends that the cumulative effect of the asserted guilt and penalty phase errors was prejudicial.  We </w:t>
      </w:r>
      <w:r w:rsidR="00A40B51">
        <w:t>concluded</w:t>
      </w:r>
      <w:r w:rsidRPr="00B84AF6" w:rsidR="001142B5">
        <w:t xml:space="preserve"> </w:t>
      </w:r>
      <w:r w:rsidRPr="00B84AF6">
        <w:t>Ronald</w:t>
      </w:r>
      <w:r w:rsidRPr="00B84AF6" w:rsidR="001142B5">
        <w:t xml:space="preserve"> testified</w:t>
      </w:r>
      <w:r w:rsidR="008D5FC2">
        <w:t xml:space="preserve"> at the penalty phase</w:t>
      </w:r>
      <w:r w:rsidRPr="00B84AF6" w:rsidR="001142B5">
        <w:t xml:space="preserve"> in contravention of a court order, but that </w:t>
      </w:r>
      <w:r w:rsidRPr="00B84AF6" w:rsidR="00684C80">
        <w:t>any prejudice was cured by the trial court</w:t>
      </w:r>
      <w:r w:rsidRPr="00B84AF6">
        <w:t>’s</w:t>
      </w:r>
      <w:r w:rsidRPr="00B84AF6" w:rsidR="00684C80">
        <w:t xml:space="preserve"> admonition and by other evidence tending to </w:t>
      </w:r>
      <w:r w:rsidRPr="00B84AF6" w:rsidR="00F0138D">
        <w:t xml:space="preserve">undermine </w:t>
      </w:r>
      <w:r w:rsidRPr="00B84AF6" w:rsidR="00684C80">
        <w:t xml:space="preserve">the significance of his assertions.  </w:t>
      </w:r>
      <w:r w:rsidRPr="00B84AF6" w:rsidR="00F0138D">
        <w:t xml:space="preserve">We have also </w:t>
      </w:r>
      <w:r w:rsidR="00A40B51">
        <w:t>held</w:t>
      </w:r>
      <w:r w:rsidRPr="00B84AF6" w:rsidR="00F0138D">
        <w:t xml:space="preserve"> that any assumed error in failing to instruct </w:t>
      </w:r>
      <w:r w:rsidR="008D5FC2">
        <w:t xml:space="preserve">at the guilt phase </w:t>
      </w:r>
      <w:r w:rsidRPr="00B84AF6" w:rsidR="00F0138D">
        <w:t>on a good faith but unreasonable belief in consent to intercourse was not prejudicial.  No different conclusion results from considering these two circumstances cumulatively.</w:t>
      </w:r>
    </w:p>
    <w:p w:rsidR="00517807" w:rsidRPr="00B84AF6" w:rsidP="00086BD0">
      <w:pPr>
        <w:pStyle w:val="Heading3"/>
        <w:numPr>
          <w:ilvl w:val="0"/>
          <w:numId w:val="36"/>
        </w:numPr>
        <w:tabs>
          <w:tab w:val="left" w:pos="1530"/>
          <w:tab w:val="clear" w:pos="1584"/>
        </w:tabs>
        <w:ind w:left="1584" w:hanging="432"/>
      </w:pPr>
      <w:bookmarkStart w:id="37" w:name="_Toc527447454"/>
      <w:r w:rsidRPr="00B84AF6">
        <w:t>Challenges to the Death Penalty Statute</w:t>
      </w:r>
      <w:bookmarkEnd w:id="37"/>
    </w:p>
    <w:p w:rsidR="004B3B08" w:rsidRPr="00B84AF6" w:rsidP="00B84AF6">
      <w:pPr>
        <w:tabs>
          <w:tab w:val="left" w:pos="1440"/>
        </w:tabs>
        <w:ind w:firstLine="720"/>
      </w:pPr>
      <w:r w:rsidRPr="00B84AF6">
        <w:t>Defendant raises a series of constitutional challenges to California’s death penalty scheme, all of which we have considered and rejected</w:t>
      </w:r>
      <w:r w:rsidRPr="00B84AF6">
        <w:t xml:space="preserve"> before</w:t>
      </w:r>
      <w:r w:rsidRPr="00B84AF6">
        <w:t>.  Because h</w:t>
      </w:r>
      <w:r w:rsidRPr="00B84AF6">
        <w:t>e offers no compelling reasons</w:t>
      </w:r>
      <w:r w:rsidRPr="00B84AF6">
        <w:t xml:space="preserve"> to reconsider our precedent, </w:t>
      </w:r>
      <w:r w:rsidRPr="00B84AF6">
        <w:t xml:space="preserve">we decline his invitation to do so.  </w:t>
      </w:r>
    </w:p>
    <w:p w:rsidR="004B3B08" w:rsidRPr="00B84AF6" w:rsidP="00B84AF6">
      <w:pPr>
        <w:tabs>
          <w:tab w:val="left" w:pos="1440"/>
        </w:tabs>
        <w:ind w:firstLine="720"/>
      </w:pPr>
      <w:r w:rsidRPr="00B84AF6">
        <w:t>“Section 190.2 adequately narrows the class of murderers subject to the death penalty.”  (</w:t>
      </w:r>
      <w:r w:rsidRPr="00B84AF6">
        <w:rPr>
          <w:i/>
        </w:rPr>
        <w:t>People v. Delgado</w:t>
      </w:r>
      <w:r w:rsidRPr="00B84AF6">
        <w:t xml:space="preserve"> (2017) 2 Cal.5th 544, 591</w:t>
      </w:r>
      <w:r w:rsidRPr="00B84AF6" w:rsidR="004D6E04">
        <w:t xml:space="preserve"> (</w:t>
      </w:r>
      <w:r w:rsidRPr="00B84AF6" w:rsidR="004D6E04">
        <w:rPr>
          <w:i/>
        </w:rPr>
        <w:t>Delgado</w:t>
      </w:r>
      <w:r w:rsidRPr="00B84AF6" w:rsidR="004D6E04">
        <w:t>)</w:t>
      </w:r>
      <w:r w:rsidRPr="00B84AF6">
        <w:t xml:space="preserve">; accord </w:t>
      </w:r>
      <w:r w:rsidRPr="00AD614B" w:rsidR="00AD614B">
        <w:rPr>
          <w:i/>
        </w:rPr>
        <w:t xml:space="preserve">People v. </w:t>
      </w:r>
      <w:r w:rsidRPr="00AD614B" w:rsidR="00F67454">
        <w:rPr>
          <w:i/>
        </w:rPr>
        <w:t>Brooks</w:t>
      </w:r>
      <w:r w:rsidRPr="00B84AF6" w:rsidR="00981070">
        <w:t>,</w:t>
      </w:r>
      <w:r w:rsidRPr="00B84AF6" w:rsidR="00981070">
        <w:rPr>
          <w:i/>
        </w:rPr>
        <w:t xml:space="preserve"> supra</w:t>
      </w:r>
      <w:r w:rsidRPr="00B84AF6" w:rsidR="00981070">
        <w:t>,</w:t>
      </w:r>
      <w:r w:rsidRPr="00B84AF6" w:rsidR="00981070">
        <w:rPr>
          <w:i/>
        </w:rPr>
        <w:t xml:space="preserve"> </w:t>
      </w:r>
      <w:r w:rsidRPr="00B84AF6" w:rsidR="00F67454">
        <w:t xml:space="preserve">3 Cal.5th </w:t>
      </w:r>
      <w:r w:rsidRPr="00B84AF6" w:rsidR="00981070">
        <w:t>at pp. 1</w:t>
      </w:r>
      <w:r w:rsidRPr="00B84AF6" w:rsidR="00F67454">
        <w:t xml:space="preserve">14–115.)  </w:t>
      </w:r>
      <w:r w:rsidRPr="00B84AF6">
        <w:t xml:space="preserve"> </w:t>
      </w:r>
    </w:p>
    <w:p w:rsidR="00F67454" w:rsidRPr="00B84AF6" w:rsidP="00B84AF6">
      <w:pPr>
        <w:tabs>
          <w:tab w:val="left" w:pos="1440"/>
        </w:tabs>
        <w:ind w:firstLine="720"/>
      </w:pPr>
      <w:r w:rsidRPr="00B84AF6">
        <w:t xml:space="preserve">Section 190.3, factor (a) properly permits the jury to consider the circumstances of the crime in deciding the appropriate punishment.  </w:t>
      </w:r>
      <w:r w:rsidRPr="00B84AF6" w:rsidR="001303AF">
        <w:t>(</w:t>
      </w:r>
      <w:r w:rsidRPr="00B84AF6" w:rsidR="001303AF">
        <w:rPr>
          <w:i/>
        </w:rPr>
        <w:t>Tuilaepa v. California</w:t>
      </w:r>
      <w:r w:rsidRPr="00B84AF6" w:rsidR="001303AF">
        <w:t xml:space="preserve"> (1994) 512 U.S. 967, 975–976.)  I</w:t>
      </w:r>
      <w:r w:rsidRPr="00B84AF6">
        <w:t>t does not allow arbitrary and capricious imposition of the death penalty</w:t>
      </w:r>
      <w:r w:rsidRPr="00B84AF6" w:rsidR="001303AF">
        <w:t xml:space="preserve"> as applied</w:t>
      </w:r>
      <w:r w:rsidRPr="00B84AF6">
        <w:t>.  (</w:t>
      </w:r>
      <w:r w:rsidRPr="00B84AF6">
        <w:rPr>
          <w:i/>
        </w:rPr>
        <w:t>People v. Henriquez</w:t>
      </w:r>
      <w:r w:rsidRPr="00B84AF6">
        <w:t xml:space="preserve"> (2017) 4 Cal.5th </w:t>
      </w:r>
      <w:r w:rsidRPr="00B84AF6" w:rsidR="001303AF">
        <w:t xml:space="preserve">1, </w:t>
      </w:r>
      <w:r w:rsidRPr="00B84AF6">
        <w:t>45</w:t>
      </w:r>
      <w:r w:rsidRPr="00B84AF6" w:rsidR="004D6E04">
        <w:t xml:space="preserve"> (</w:t>
      </w:r>
      <w:r w:rsidRPr="00B84AF6" w:rsidR="004D6E04">
        <w:rPr>
          <w:i/>
        </w:rPr>
        <w:t>Henriquez</w:t>
      </w:r>
      <w:r w:rsidRPr="00B84AF6" w:rsidR="004D6E04">
        <w:t>)</w:t>
      </w:r>
      <w:r w:rsidRPr="00B84AF6">
        <w:t xml:space="preserve">; </w:t>
      </w:r>
      <w:r w:rsidRPr="00B84AF6">
        <w:rPr>
          <w:i/>
          <w:iCs/>
          <w:szCs w:val="26"/>
        </w:rPr>
        <w:t>People v. Winbush</w:t>
      </w:r>
      <w:r w:rsidRPr="00B84AF6">
        <w:rPr>
          <w:szCs w:val="26"/>
        </w:rPr>
        <w:t xml:space="preserve"> </w:t>
      </w:r>
      <w:r w:rsidRPr="00B84AF6" w:rsidR="001303AF">
        <w:rPr>
          <w:szCs w:val="26"/>
        </w:rPr>
        <w:t xml:space="preserve">(2017) </w:t>
      </w:r>
      <w:r w:rsidRPr="00B84AF6">
        <w:rPr>
          <w:szCs w:val="26"/>
        </w:rPr>
        <w:t xml:space="preserve">2 Cal.5th </w:t>
      </w:r>
      <w:r w:rsidRPr="00B84AF6" w:rsidR="001303AF">
        <w:rPr>
          <w:szCs w:val="26"/>
        </w:rPr>
        <w:t xml:space="preserve">402, </w:t>
      </w:r>
      <w:r w:rsidRPr="00B84AF6">
        <w:rPr>
          <w:szCs w:val="26"/>
        </w:rPr>
        <w:t>489</w:t>
      </w:r>
      <w:r w:rsidRPr="00B84AF6" w:rsidR="004D6E04">
        <w:rPr>
          <w:szCs w:val="26"/>
        </w:rPr>
        <w:t xml:space="preserve"> (</w:t>
      </w:r>
      <w:r w:rsidRPr="00B84AF6" w:rsidR="004D6E04">
        <w:rPr>
          <w:i/>
          <w:szCs w:val="26"/>
        </w:rPr>
        <w:t>Winbush</w:t>
      </w:r>
      <w:r w:rsidRPr="00B84AF6" w:rsidR="004D6E04">
        <w:rPr>
          <w:szCs w:val="26"/>
        </w:rPr>
        <w:t>)</w:t>
      </w:r>
      <w:r w:rsidRPr="00B84AF6">
        <w:t xml:space="preserve">; </w:t>
      </w:r>
      <w:r w:rsidRPr="00B84AF6">
        <w:rPr>
          <w:i/>
        </w:rPr>
        <w:t>People v. Simon</w:t>
      </w:r>
      <w:r w:rsidRPr="00B84AF6">
        <w:t xml:space="preserve"> (2016) 1 Cal.5th 98, 149</w:t>
      </w:r>
      <w:r w:rsidRPr="00B84AF6" w:rsidR="004D6E04">
        <w:t xml:space="preserve"> (</w:t>
      </w:r>
      <w:r w:rsidRPr="00B84AF6" w:rsidR="004D6E04">
        <w:rPr>
          <w:i/>
        </w:rPr>
        <w:t>Simon</w:t>
      </w:r>
      <w:r w:rsidRPr="00B84AF6" w:rsidR="004D6E04">
        <w:t>)</w:t>
      </w:r>
      <w:r w:rsidRPr="00B84AF6">
        <w:t>.)</w:t>
      </w:r>
      <w:r w:rsidRPr="00B84AF6" w:rsidR="001303AF">
        <w:t xml:space="preserve">  </w:t>
      </w:r>
    </w:p>
    <w:p w:rsidR="0020670C" w:rsidRPr="00B84AF6" w:rsidP="00B84AF6">
      <w:pPr>
        <w:tabs>
          <w:tab w:val="left" w:pos="1440"/>
        </w:tabs>
        <w:ind w:firstLine="720"/>
      </w:pPr>
      <w:r w:rsidRPr="00B84AF6">
        <w:t xml:space="preserve">The </w:t>
      </w:r>
      <w:r w:rsidRPr="00B84AF6" w:rsidR="006E0656">
        <w:t xml:space="preserve">death penalty statute is not unconstitutional </w:t>
      </w:r>
      <w:r w:rsidRPr="00B84AF6" w:rsidR="0027576E">
        <w:t>because it “does not require either unanimity as to the truth of aggravating circumstances or findings beyond a reasonable doubt that an aggravating circumstance (other than Pen. Code, § 190.3, factor (b) or factor (c) evidence) has been proved, that the aggravating factors outweighed the mitigating factors, or that death is the appropriate sentence.”  (</w:t>
      </w:r>
      <w:r w:rsidRPr="00B84AF6" w:rsidR="0027576E">
        <w:rPr>
          <w:i/>
        </w:rPr>
        <w:t>People v. Rangel</w:t>
      </w:r>
      <w:r w:rsidRPr="00B84AF6" w:rsidR="0027576E">
        <w:t xml:space="preserve"> (2016) 62 Cal.4th 1192, 1235; accord,</w:t>
      </w:r>
      <w:r w:rsidRPr="00B84AF6" w:rsidR="0027576E">
        <w:rPr>
          <w:i/>
        </w:rPr>
        <w:t xml:space="preserve"> </w:t>
      </w:r>
      <w:r w:rsidRPr="00B84AF6">
        <w:rPr>
          <w:i/>
        </w:rPr>
        <w:t>Henriquez</w:t>
      </w:r>
      <w:r w:rsidRPr="00B84AF6">
        <w:t xml:space="preserve">, </w:t>
      </w:r>
      <w:r w:rsidRPr="00B84AF6">
        <w:rPr>
          <w:i/>
        </w:rPr>
        <w:t>supra</w:t>
      </w:r>
      <w:r w:rsidRPr="00B84AF6">
        <w:t xml:space="preserve">, 4 Cal.5th at p. 45; </w:t>
      </w:r>
      <w:r w:rsidRPr="00B84AF6">
        <w:rPr>
          <w:i/>
        </w:rPr>
        <w:t>Delgado</w:t>
      </w:r>
      <w:r w:rsidRPr="00B84AF6">
        <w:t>,</w:t>
      </w:r>
      <w:r w:rsidRPr="00B84AF6">
        <w:rPr>
          <w:i/>
        </w:rPr>
        <w:t xml:space="preserve"> supra,</w:t>
      </w:r>
      <w:r w:rsidRPr="00B84AF6">
        <w:t xml:space="preserve"> 2 Cal.5th at p. 591; </w:t>
      </w:r>
      <w:r w:rsidRPr="00B84AF6">
        <w:rPr>
          <w:i/>
          <w:iCs/>
          <w:szCs w:val="26"/>
        </w:rPr>
        <w:t>Winbush</w:t>
      </w:r>
      <w:r w:rsidRPr="00B84AF6">
        <w:rPr>
          <w:szCs w:val="26"/>
        </w:rPr>
        <w:t xml:space="preserve">, </w:t>
      </w:r>
      <w:r w:rsidRPr="00B84AF6">
        <w:rPr>
          <w:i/>
          <w:szCs w:val="26"/>
        </w:rPr>
        <w:t>supra</w:t>
      </w:r>
      <w:r w:rsidRPr="00B84AF6">
        <w:rPr>
          <w:szCs w:val="26"/>
        </w:rPr>
        <w:t>, 2 Cal.5th at p. 489</w:t>
      </w:r>
      <w:r w:rsidRPr="00B84AF6">
        <w:t xml:space="preserve">.)  </w:t>
      </w:r>
      <w:r w:rsidRPr="00B84AF6" w:rsidR="00442DF5">
        <w:rPr>
          <w:i/>
        </w:rPr>
        <w:t>Cunningham v. California</w:t>
      </w:r>
      <w:r w:rsidRPr="00B84AF6" w:rsidR="00442DF5">
        <w:t xml:space="preserve"> (2007) 549 U.S. 270, </w:t>
      </w:r>
      <w:r w:rsidRPr="00B84AF6" w:rsidR="00442DF5">
        <w:rPr>
          <w:i/>
        </w:rPr>
        <w:t>Blakely v. Washington</w:t>
      </w:r>
      <w:r w:rsidRPr="00B84AF6" w:rsidR="00442DF5">
        <w:t xml:space="preserve"> (2004) 542 U.S. 296, </w:t>
      </w:r>
      <w:r w:rsidRPr="00B84AF6">
        <w:rPr>
          <w:i/>
        </w:rPr>
        <w:t>Apprendi v. New Jersey</w:t>
      </w:r>
      <w:r w:rsidRPr="00B84AF6">
        <w:t xml:space="preserve"> (2000) 530 U.S. 466</w:t>
      </w:r>
      <w:r w:rsidRPr="00B84AF6" w:rsidR="00981070">
        <w:t>,</w:t>
      </w:r>
      <w:r w:rsidRPr="00B84AF6">
        <w:t xml:space="preserve"> and </w:t>
      </w:r>
      <w:r w:rsidRPr="00B84AF6">
        <w:rPr>
          <w:i/>
        </w:rPr>
        <w:t>Ring v. Arizona</w:t>
      </w:r>
      <w:r w:rsidRPr="00B84AF6">
        <w:t xml:space="preserve"> (2002) 536 U.S. 584, do not compel a different conclusion.  (</w:t>
      </w:r>
      <w:r w:rsidRPr="00B84AF6">
        <w:rPr>
          <w:i/>
        </w:rPr>
        <w:t>Henriquez</w:t>
      </w:r>
      <w:r w:rsidRPr="00B84AF6">
        <w:t xml:space="preserve">, at p. 45; </w:t>
      </w:r>
      <w:r w:rsidRPr="00B84AF6">
        <w:rPr>
          <w:i/>
        </w:rPr>
        <w:t>Delgado</w:t>
      </w:r>
      <w:r w:rsidRPr="00B84AF6">
        <w:t xml:space="preserve">, at p. 591; </w:t>
      </w:r>
      <w:r w:rsidRPr="00B84AF6">
        <w:rPr>
          <w:i/>
          <w:iCs/>
          <w:szCs w:val="26"/>
        </w:rPr>
        <w:t>Winbush</w:t>
      </w:r>
      <w:r w:rsidRPr="00B84AF6">
        <w:rPr>
          <w:szCs w:val="26"/>
        </w:rPr>
        <w:t>, at p.</w:t>
      </w:r>
      <w:r w:rsidRPr="00B84AF6">
        <w:rPr>
          <w:i/>
          <w:szCs w:val="26"/>
        </w:rPr>
        <w:t> </w:t>
      </w:r>
      <w:r w:rsidRPr="00B84AF6">
        <w:rPr>
          <w:szCs w:val="26"/>
        </w:rPr>
        <w:t>489</w:t>
      </w:r>
      <w:r w:rsidRPr="00B84AF6">
        <w:t>.)</w:t>
      </w:r>
      <w:r w:rsidRPr="00B84AF6" w:rsidR="00442DF5">
        <w:t xml:space="preserve">  </w:t>
      </w:r>
    </w:p>
    <w:p w:rsidR="00EB38CF" w:rsidRPr="00B84AF6" w:rsidP="00B84AF6">
      <w:pPr>
        <w:tabs>
          <w:tab w:val="left" w:pos="1440"/>
        </w:tabs>
        <w:ind w:firstLine="720"/>
      </w:pPr>
      <w:r w:rsidRPr="00B84AF6">
        <w:t>“The death penalty law is not unconstitutional for failing to require that the jury base any death sentence on written findings.”  (</w:t>
      </w:r>
      <w:r w:rsidRPr="00B84AF6">
        <w:rPr>
          <w:i/>
        </w:rPr>
        <w:t>People v. Elliot</w:t>
      </w:r>
      <w:r w:rsidRPr="00B84AF6">
        <w:t xml:space="preserve"> (2005) 37 Cal.4th 453, 488; accord, </w:t>
      </w:r>
      <w:r w:rsidRPr="00B84AF6">
        <w:rPr>
          <w:i/>
        </w:rPr>
        <w:t>Henriquez</w:t>
      </w:r>
      <w:r w:rsidRPr="00B84AF6">
        <w:t xml:space="preserve">, </w:t>
      </w:r>
      <w:r w:rsidRPr="00B84AF6">
        <w:rPr>
          <w:i/>
        </w:rPr>
        <w:t>supra</w:t>
      </w:r>
      <w:r w:rsidRPr="00B84AF6">
        <w:t xml:space="preserve">, 4 Cal.5th at p. 46; </w:t>
      </w:r>
      <w:r w:rsidRPr="00B84AF6">
        <w:rPr>
          <w:i/>
          <w:iCs/>
          <w:szCs w:val="26"/>
        </w:rPr>
        <w:t>Winbush</w:t>
      </w:r>
      <w:r w:rsidRPr="00B84AF6">
        <w:rPr>
          <w:szCs w:val="26"/>
        </w:rPr>
        <w:t xml:space="preserve">, </w:t>
      </w:r>
      <w:r w:rsidRPr="00B84AF6">
        <w:rPr>
          <w:i/>
          <w:szCs w:val="26"/>
        </w:rPr>
        <w:t>supra</w:t>
      </w:r>
      <w:r w:rsidRPr="00B84AF6">
        <w:rPr>
          <w:szCs w:val="26"/>
        </w:rPr>
        <w:t>, 2 Cal.5th at p. 490</w:t>
      </w:r>
      <w:r w:rsidRPr="00B84AF6">
        <w:t>.)  Nor does the federal Constitution require intercase proportionality review.  (</w:t>
      </w:r>
      <w:r w:rsidRPr="00B84AF6">
        <w:rPr>
          <w:i/>
        </w:rPr>
        <w:t>Henriquez</w:t>
      </w:r>
      <w:r w:rsidRPr="00B84AF6">
        <w:t xml:space="preserve">, at p. 46; </w:t>
      </w:r>
      <w:r w:rsidRPr="00B84AF6">
        <w:rPr>
          <w:i/>
          <w:iCs/>
          <w:szCs w:val="26"/>
        </w:rPr>
        <w:t>Winbush</w:t>
      </w:r>
      <w:r w:rsidRPr="00B84AF6">
        <w:rPr>
          <w:szCs w:val="26"/>
        </w:rPr>
        <w:t xml:space="preserve">, at p. 490; </w:t>
      </w:r>
      <w:r w:rsidRPr="00B84AF6">
        <w:rPr>
          <w:i/>
        </w:rPr>
        <w:t>Simon</w:t>
      </w:r>
      <w:r w:rsidRPr="00B84AF6">
        <w:t xml:space="preserve">, </w:t>
      </w:r>
      <w:r w:rsidRPr="00B84AF6">
        <w:rPr>
          <w:i/>
        </w:rPr>
        <w:t>supra</w:t>
      </w:r>
      <w:r w:rsidRPr="00B84AF6">
        <w:t>, 1 Cal.5th at p. 149.)</w:t>
      </w:r>
    </w:p>
    <w:p w:rsidR="00EB38CF" w:rsidRPr="00B84AF6" w:rsidP="00B84AF6">
      <w:pPr>
        <w:tabs>
          <w:tab w:val="left" w:pos="1440"/>
        </w:tabs>
        <w:ind w:firstLine="720"/>
      </w:pPr>
      <w:r w:rsidRPr="00B84AF6">
        <w:t>“Use in the sentencing factors of such adjectives as ‘extreme’ (§ 190.3, factors (d), (g)) and ‘substantial’ (</w:t>
      </w:r>
      <w:r w:rsidRPr="00B84AF6">
        <w:rPr>
          <w:i/>
        </w:rPr>
        <w:t>id</w:t>
      </w:r>
      <w:r w:rsidRPr="00B84AF6">
        <w:t>., factor (g)) does not act as a barrier to the consideration of mitigating evidence in violation of the federal Constitution.” (</w:t>
      </w:r>
      <w:r w:rsidRPr="00B84AF6">
        <w:rPr>
          <w:i/>
        </w:rPr>
        <w:t>People v. Avila</w:t>
      </w:r>
      <w:r w:rsidRPr="00B84AF6" w:rsidR="00D057FC">
        <w:t xml:space="preserve"> (2006) 38 Cal.4th 491, 614–</w:t>
      </w:r>
      <w:r w:rsidRPr="00B84AF6">
        <w:t xml:space="preserve">615; accord, </w:t>
      </w:r>
      <w:r w:rsidRPr="00B84AF6">
        <w:rPr>
          <w:i/>
        </w:rPr>
        <w:t>Delgado</w:t>
      </w:r>
      <w:r w:rsidRPr="00B84AF6">
        <w:t>,</w:t>
      </w:r>
      <w:r w:rsidRPr="00B84AF6">
        <w:rPr>
          <w:i/>
        </w:rPr>
        <w:t xml:space="preserve"> supra</w:t>
      </w:r>
      <w:r w:rsidRPr="00B84AF6">
        <w:t xml:space="preserve">, 2 Cal.5th at pp. </w:t>
      </w:r>
      <w:r w:rsidRPr="00B84AF6" w:rsidR="006B52EF">
        <w:t xml:space="preserve">591–592; </w:t>
      </w:r>
      <w:r w:rsidRPr="00B84AF6" w:rsidR="006B52EF">
        <w:rPr>
          <w:i/>
        </w:rPr>
        <w:t>Simon</w:t>
      </w:r>
      <w:r w:rsidRPr="00B84AF6" w:rsidR="006B52EF">
        <w:t xml:space="preserve">, </w:t>
      </w:r>
      <w:r w:rsidRPr="00B84AF6" w:rsidR="006B52EF">
        <w:rPr>
          <w:i/>
        </w:rPr>
        <w:t>supra</w:t>
      </w:r>
      <w:r w:rsidRPr="00B84AF6" w:rsidR="006B52EF">
        <w:t>, 1 Cal.5th at p. 150.)</w:t>
      </w:r>
    </w:p>
    <w:p w:rsidR="006B52EF" w:rsidRPr="00B84AF6" w:rsidP="00B84AF6">
      <w:pPr>
        <w:tabs>
          <w:tab w:val="left" w:pos="1440"/>
        </w:tabs>
        <w:ind w:firstLine="720"/>
      </w:pPr>
      <w:r w:rsidRPr="00B84AF6">
        <w:t xml:space="preserve">The court was not required to </w:t>
      </w:r>
      <w:r w:rsidRPr="00B84AF6">
        <w:t>instruct the jury that section 190.3, factors (d), (e), (f), (g), (h) and (j) are only rel</w:t>
      </w:r>
      <w:r w:rsidRPr="00B84AF6">
        <w:t>evant as factors in mitigation.  (</w:t>
      </w:r>
      <w:r w:rsidRPr="00B84AF6">
        <w:rPr>
          <w:i/>
        </w:rPr>
        <w:t>Delgado</w:t>
      </w:r>
      <w:r w:rsidRPr="00B84AF6">
        <w:t>,</w:t>
      </w:r>
      <w:r w:rsidRPr="00B84AF6">
        <w:rPr>
          <w:i/>
        </w:rPr>
        <w:t xml:space="preserve"> supra</w:t>
      </w:r>
      <w:r w:rsidRPr="00B84AF6">
        <w:t xml:space="preserve">, 2 Cal.5th at p. 592; </w:t>
      </w:r>
      <w:r w:rsidRPr="00B84AF6">
        <w:rPr>
          <w:i/>
          <w:iCs/>
          <w:szCs w:val="26"/>
        </w:rPr>
        <w:t>Winbush</w:t>
      </w:r>
      <w:r w:rsidRPr="00B84AF6">
        <w:rPr>
          <w:szCs w:val="26"/>
        </w:rPr>
        <w:t xml:space="preserve">, </w:t>
      </w:r>
      <w:r w:rsidRPr="00B84AF6">
        <w:rPr>
          <w:i/>
          <w:szCs w:val="26"/>
        </w:rPr>
        <w:t>supra</w:t>
      </w:r>
      <w:r w:rsidRPr="00B84AF6">
        <w:rPr>
          <w:szCs w:val="26"/>
        </w:rPr>
        <w:t xml:space="preserve">, 2 Cal.5th at p. 490; </w:t>
      </w:r>
      <w:r w:rsidRPr="00B84AF6">
        <w:rPr>
          <w:i/>
        </w:rPr>
        <w:t>Simon</w:t>
      </w:r>
      <w:r w:rsidRPr="00B84AF6">
        <w:t xml:space="preserve">, </w:t>
      </w:r>
      <w:r w:rsidRPr="00B84AF6">
        <w:rPr>
          <w:i/>
        </w:rPr>
        <w:t>supra</w:t>
      </w:r>
      <w:r w:rsidRPr="00B84AF6">
        <w:t>, 1 Cal.5th at p. 150</w:t>
      </w:r>
      <w:r w:rsidRPr="00B84AF6">
        <w:t>.)</w:t>
      </w:r>
    </w:p>
    <w:p w:rsidR="00FC54B7" w:rsidRPr="00B84AF6" w:rsidP="00B84AF6">
      <w:pPr>
        <w:tabs>
          <w:tab w:val="left" w:pos="1440"/>
        </w:tabs>
        <w:ind w:firstLine="720"/>
      </w:pPr>
      <w:r w:rsidRPr="00B84AF6">
        <w:t>The equal protection clause does not require California to include in its capital sentencing scheme the same procedural safeguards provided noncapital defendants.  The two group</w:t>
      </w:r>
      <w:r w:rsidRPr="00B84AF6" w:rsidR="004D6E04">
        <w:t>s are not similarly situated.  (</w:t>
      </w:r>
      <w:r w:rsidRPr="00B84AF6">
        <w:rPr>
          <w:i/>
        </w:rPr>
        <w:t>Henriquez</w:t>
      </w:r>
      <w:r w:rsidRPr="00B84AF6">
        <w:t xml:space="preserve">, </w:t>
      </w:r>
      <w:r w:rsidRPr="00B84AF6">
        <w:rPr>
          <w:i/>
        </w:rPr>
        <w:t>supra</w:t>
      </w:r>
      <w:r w:rsidRPr="00B84AF6">
        <w:t xml:space="preserve">, 4 Cal.5th at p. 45; </w:t>
      </w:r>
      <w:r w:rsidRPr="00B84AF6">
        <w:rPr>
          <w:i/>
        </w:rPr>
        <w:t>People v. Sivongxxay</w:t>
      </w:r>
      <w:r w:rsidRPr="00B84AF6">
        <w:t xml:space="preserve"> (2017) 3 Cal.5th 151, 199</w:t>
      </w:r>
      <w:r w:rsidRPr="00B84AF6" w:rsidR="004D6E04">
        <w:t xml:space="preserve"> (</w:t>
      </w:r>
      <w:r w:rsidRPr="00B84AF6" w:rsidR="004D6E04">
        <w:rPr>
          <w:i/>
        </w:rPr>
        <w:t>Sivongxxay</w:t>
      </w:r>
      <w:r w:rsidRPr="00B84AF6" w:rsidR="004D6E04">
        <w:t>)</w:t>
      </w:r>
      <w:r w:rsidRPr="00B84AF6">
        <w:rPr>
          <w:szCs w:val="26"/>
        </w:rPr>
        <w:t>.)</w:t>
      </w:r>
    </w:p>
    <w:p w:rsidR="00FC54B7" w:rsidRPr="00B84AF6" w:rsidP="00B84AF6">
      <w:pPr>
        <w:tabs>
          <w:tab w:val="left" w:pos="1440"/>
        </w:tabs>
        <w:ind w:firstLine="720"/>
      </w:pPr>
      <w:r w:rsidRPr="00B84AF6">
        <w:t xml:space="preserve">California’s use of the death penalty, as actually implemented in this state, </w:t>
      </w:r>
      <w:r w:rsidRPr="00B84AF6" w:rsidR="00844303">
        <w:t xml:space="preserve">does not </w:t>
      </w:r>
      <w:r w:rsidRPr="00B84AF6">
        <w:t>violate international law and the Eighth Amendment.  (</w:t>
      </w:r>
      <w:r w:rsidRPr="00B84AF6">
        <w:rPr>
          <w:i/>
        </w:rPr>
        <w:t>Sivongxxay</w:t>
      </w:r>
      <w:r w:rsidRPr="00B84AF6">
        <w:t>,</w:t>
      </w:r>
      <w:r w:rsidRPr="00B84AF6">
        <w:rPr>
          <w:i/>
        </w:rPr>
        <w:t xml:space="preserve"> supra</w:t>
      </w:r>
      <w:r w:rsidRPr="00B84AF6">
        <w:t xml:space="preserve">, 3 Cal.5th at p. 199; </w:t>
      </w:r>
      <w:r w:rsidRPr="00B84AF6">
        <w:rPr>
          <w:i/>
        </w:rPr>
        <w:t>People v. Trinh</w:t>
      </w:r>
      <w:r w:rsidRPr="00B84AF6">
        <w:t xml:space="preserve"> </w:t>
      </w:r>
      <w:r w:rsidRPr="00B84AF6" w:rsidR="00844303">
        <w:t xml:space="preserve">(2014) </w:t>
      </w:r>
      <w:r w:rsidRPr="00B84AF6">
        <w:t xml:space="preserve">59 Cal.4th </w:t>
      </w:r>
      <w:r w:rsidRPr="00B84AF6" w:rsidR="00844303">
        <w:t xml:space="preserve">216, </w:t>
      </w:r>
      <w:r w:rsidRPr="00B84AF6">
        <w:t>255.)</w:t>
      </w:r>
    </w:p>
    <w:p w:rsidR="00283BCF" w:rsidRPr="00B84AF6" w:rsidP="00B84AF6">
      <w:pPr>
        <w:tabs>
          <w:tab w:val="left" w:pos="1440"/>
        </w:tabs>
        <w:ind w:firstLine="720"/>
      </w:pPr>
      <w:r w:rsidRPr="00B84AF6">
        <w:t>Finally,</w:t>
      </w:r>
      <w:r w:rsidRPr="00B84AF6" w:rsidR="00D8756D">
        <w:t xml:space="preserve"> we reject defendant’s claim that “the cumulative impact of the alleged deficiencies in California’s capital sentencing scheme render California’s death penalty law constitutionally infirm.  W</w:t>
      </w:r>
      <w:r w:rsidRPr="00B84AF6">
        <w:t>e have individually rejected each of defendant’s challenges to California’s death penalty law, and ‘[s]uch clai</w:t>
      </w:r>
      <w:r w:rsidRPr="00B84AF6" w:rsidR="00CC0AC1">
        <w:t>ms are no more compelling . . .</w:t>
      </w:r>
      <w:r w:rsidRPr="00B84AF6">
        <w:t xml:space="preserve"> when considered together</w:t>
      </w:r>
      <w:r w:rsidR="00510516">
        <w:t xml:space="preserve"> </w:t>
      </w:r>
      <w:r w:rsidRPr="00B84AF6">
        <w:t>.</w:t>
      </w:r>
      <w:r w:rsidR="00510516">
        <w:t> </w:t>
      </w:r>
      <w:r w:rsidRPr="00B84AF6">
        <w:t>.</w:t>
      </w:r>
      <w:r w:rsidR="00510516">
        <w:t> </w:t>
      </w:r>
      <w:r w:rsidRPr="00B84AF6">
        <w:t>.</w:t>
      </w:r>
      <w:r w:rsidR="00510516">
        <w:t> </w:t>
      </w:r>
      <w:r w:rsidRPr="00B84AF6">
        <w:t>.’ [Citation.]”  (</w:t>
      </w:r>
      <w:r w:rsidRPr="00B84AF6">
        <w:rPr>
          <w:i/>
        </w:rPr>
        <w:t>People v. Williams</w:t>
      </w:r>
      <w:r w:rsidRPr="00B84AF6" w:rsidR="00981070">
        <w:rPr>
          <w:i/>
        </w:rPr>
        <w:t xml:space="preserve"> </w:t>
      </w:r>
      <w:r w:rsidR="00FA0057">
        <w:t xml:space="preserve">(2013) </w:t>
      </w:r>
      <w:r w:rsidRPr="00B84AF6">
        <w:t xml:space="preserve">58 Cal.4th </w:t>
      </w:r>
      <w:r w:rsidR="00FA0057">
        <w:t xml:space="preserve">197, </w:t>
      </w:r>
      <w:r w:rsidRPr="00B84AF6">
        <w:t>296.)</w:t>
      </w:r>
    </w:p>
    <w:p w:rsidR="001F2057">
      <w:pPr>
        <w:spacing w:after="0" w:line="240" w:lineRule="auto"/>
        <w:jc w:val="left"/>
        <w:rPr>
          <w:b/>
          <w:smallCaps/>
        </w:rPr>
      </w:pPr>
      <w:bookmarkStart w:id="38" w:name="_Toc527447455"/>
      <w:r>
        <w:br w:type="page"/>
      </w:r>
    </w:p>
    <w:p w:rsidR="006432A6" w:rsidRPr="00B84AF6" w:rsidP="00B84AF6">
      <w:pPr>
        <w:pStyle w:val="Heading1"/>
      </w:pPr>
      <w:r w:rsidRPr="00B84AF6">
        <w:t>III.  DISPOSITION</w:t>
      </w:r>
      <w:bookmarkEnd w:id="38"/>
    </w:p>
    <w:p w:rsidR="0071633A" w:rsidRPr="00B84AF6" w:rsidP="00B84AF6">
      <w:pPr>
        <w:tabs>
          <w:tab w:val="left" w:pos="720"/>
          <w:tab w:val="left" w:pos="1440"/>
        </w:tabs>
      </w:pPr>
      <w:r w:rsidRPr="00B84AF6">
        <w:tab/>
      </w:r>
      <w:r w:rsidRPr="00B84AF6" w:rsidR="00A04307">
        <w:t>W</w:t>
      </w:r>
      <w:r w:rsidRPr="00B84AF6">
        <w:t>e affirm the judgment.</w:t>
      </w:r>
      <w:r w:rsidRPr="00B84AF6">
        <w:t xml:space="preserve"> </w:t>
      </w:r>
    </w:p>
    <w:p w:rsidR="0071633A" w:rsidRPr="00B84AF6" w:rsidP="00B84AF6">
      <w:pPr>
        <w:tabs>
          <w:tab w:val="left" w:pos="720"/>
          <w:tab w:val="left" w:pos="1440"/>
        </w:tabs>
        <w:rPr>
          <w:b/>
        </w:rPr>
      </w:pP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tab/>
      </w:r>
      <w:r w:rsidRPr="00B84AF6">
        <w:rPr>
          <w:b/>
        </w:rPr>
        <w:t>CORRIGAN, J.</w:t>
      </w:r>
    </w:p>
    <w:p w:rsidR="0071633A" w:rsidRPr="00B84AF6" w:rsidP="00B84AF6">
      <w:pPr>
        <w:tabs>
          <w:tab w:val="left" w:pos="720"/>
          <w:tab w:val="left" w:pos="1440"/>
        </w:tabs>
      </w:pPr>
    </w:p>
    <w:p w:rsidR="00A04307" w:rsidRPr="00B84AF6" w:rsidP="00B84AF6">
      <w:pPr>
        <w:tabs>
          <w:tab w:val="left" w:pos="720"/>
          <w:tab w:val="left" w:pos="1440"/>
        </w:tabs>
        <w:rPr>
          <w:b/>
        </w:rPr>
      </w:pPr>
      <w:r w:rsidRPr="00B84AF6">
        <w:rPr>
          <w:b/>
        </w:rPr>
        <w:t>We Concur</w:t>
      </w:r>
      <w:r w:rsidRPr="00B84AF6">
        <w:rPr>
          <w:b/>
        </w:rPr>
        <w:t>:</w:t>
      </w:r>
    </w:p>
    <w:p w:rsidR="00EA4AE7" w:rsidP="00EA4AE7">
      <w:pPr>
        <w:spacing w:after="0" w:line="240" w:lineRule="auto"/>
        <w:rPr>
          <w:rFonts w:ascii="Times New Roman" w:hAnsi="Times New Roman"/>
          <w:b/>
          <w:sz w:val="26"/>
          <w:szCs w:val="26"/>
        </w:rPr>
      </w:pPr>
      <w:r>
        <w:rPr>
          <w:b/>
          <w:szCs w:val="26"/>
        </w:rPr>
        <w:t>CANTIL-SAKAUYE, C. J.</w:t>
      </w:r>
    </w:p>
    <w:p w:rsidR="00EA4AE7" w:rsidP="00EA4AE7">
      <w:pPr>
        <w:spacing w:after="0" w:line="240" w:lineRule="auto"/>
        <w:rPr>
          <w:b/>
          <w:szCs w:val="26"/>
        </w:rPr>
      </w:pPr>
      <w:r>
        <w:rPr>
          <w:b/>
          <w:szCs w:val="26"/>
        </w:rPr>
        <w:t xml:space="preserve">CHIN, J.  </w:t>
      </w:r>
    </w:p>
    <w:p w:rsidR="00EA4AE7" w:rsidP="00EA4AE7">
      <w:pPr>
        <w:spacing w:after="0" w:line="240" w:lineRule="auto"/>
        <w:rPr>
          <w:b/>
          <w:szCs w:val="26"/>
        </w:rPr>
      </w:pPr>
      <w:r>
        <w:rPr>
          <w:b/>
          <w:szCs w:val="26"/>
        </w:rPr>
        <w:t xml:space="preserve">LIU, J.  </w:t>
      </w:r>
    </w:p>
    <w:p w:rsidR="00EA4AE7" w:rsidP="00EA4AE7">
      <w:pPr>
        <w:spacing w:after="0" w:line="240" w:lineRule="auto"/>
        <w:rPr>
          <w:b/>
          <w:szCs w:val="26"/>
        </w:rPr>
      </w:pPr>
      <w:r>
        <w:rPr>
          <w:b/>
          <w:szCs w:val="26"/>
        </w:rPr>
        <w:t>CUÉLLAR, J.</w:t>
      </w:r>
    </w:p>
    <w:p w:rsidR="00EA4AE7" w:rsidP="00EA4AE7">
      <w:pPr>
        <w:spacing w:after="0" w:line="240" w:lineRule="auto"/>
        <w:rPr>
          <w:b/>
        </w:rPr>
      </w:pPr>
      <w:r>
        <w:rPr>
          <w:b/>
        </w:rPr>
        <w:t xml:space="preserve">KRUGER, J.  </w:t>
      </w:r>
    </w:p>
    <w:p w:rsidR="00EA4AE7" w:rsidP="00EA4AE7">
      <w:pPr>
        <w:spacing w:after="0" w:line="240" w:lineRule="auto"/>
        <w:rPr>
          <w:b/>
        </w:rPr>
      </w:pPr>
      <w:r>
        <w:rPr>
          <w:b/>
        </w:rPr>
        <w:t>GROBAN, J.</w:t>
      </w:r>
    </w:p>
    <w:p w:rsidR="008F388D" w:rsidRPr="00B84AF6" w:rsidP="00B84AF6">
      <w:pPr>
        <w:rPr>
          <w:b/>
          <w:caps/>
        </w:rPr>
      </w:pPr>
    </w:p>
    <w:p w:rsidR="00821D3F" w:rsidP="00B84AF6">
      <w:pPr>
        <w:tabs>
          <w:tab w:val="left" w:pos="720"/>
          <w:tab w:val="left" w:pos="1440"/>
        </w:tabs>
        <w:sectPr w:rsidSect="00B84AF6">
          <w:footerReference w:type="first" r:id="rId11"/>
          <w:pgSz w:w="12240" w:h="15840"/>
          <w:pgMar w:top="1800" w:right="2160" w:bottom="1440" w:left="2160" w:header="720" w:footer="720" w:gutter="0"/>
          <w:pgNumType w:start="1"/>
          <w:cols w:space="720"/>
          <w:titlePg/>
          <w:docGrid w:linePitch="367"/>
        </w:sectPr>
      </w:pPr>
    </w:p>
    <w:p w:rsidR="00821D3F" w:rsidRPr="00821D3F" w:rsidP="00821D3F">
      <w:pPr>
        <w:spacing w:after="0" w:line="240" w:lineRule="auto"/>
        <w:jc w:val="left"/>
        <w:rPr>
          <w:rFonts w:ascii="Times New Roman" w:hAnsi="Times New Roman"/>
          <w:i/>
          <w:sz w:val="20"/>
        </w:rPr>
      </w:pPr>
      <w:r w:rsidRPr="00821D3F">
        <w:rPr>
          <w:rFonts w:ascii="Times New Roman" w:hAnsi="Times New Roman"/>
          <w:i/>
          <w:sz w:val="20"/>
        </w:rPr>
        <w:t>See next page for addresses and telephone numbers for counsel who argued in Supreme Court.</w:t>
      </w:r>
    </w:p>
    <w:p w:rsidR="00821D3F" w:rsidRPr="00821D3F" w:rsidP="00821D3F">
      <w:pPr>
        <w:spacing w:after="0" w:line="240" w:lineRule="auto"/>
        <w:jc w:val="left"/>
        <w:rPr>
          <w:rFonts w:ascii="Times New Roman" w:hAnsi="Times New Roman"/>
          <w:i/>
          <w:sz w:val="20"/>
        </w:rPr>
      </w:pPr>
    </w:p>
    <w:p w:rsidR="00821D3F" w:rsidRPr="00821D3F" w:rsidP="00821D3F">
      <w:pPr>
        <w:spacing w:after="0" w:line="240" w:lineRule="auto"/>
        <w:jc w:val="left"/>
        <w:rPr>
          <w:rFonts w:ascii="Times New Roman" w:hAnsi="Times New Roman"/>
          <w:bCs/>
          <w:i/>
          <w:sz w:val="20"/>
        </w:rPr>
      </w:pPr>
      <w:r w:rsidRPr="00821D3F">
        <w:rPr>
          <w:rFonts w:ascii="Times New Roman" w:hAnsi="Times New Roman"/>
          <w:b/>
          <w:sz w:val="20"/>
        </w:rPr>
        <w:t>Name of Opinion</w:t>
      </w:r>
      <w:r w:rsidRPr="00821D3F">
        <w:rPr>
          <w:rFonts w:ascii="Times New Roman" w:hAnsi="Times New Roman"/>
          <w:sz w:val="20"/>
        </w:rPr>
        <w:t xml:space="preserve"> People v. Molano</w:t>
      </w: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__________________________________________________________________________________</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sz w:val="20"/>
        </w:rPr>
      </w:pPr>
      <w:r w:rsidRPr="00821D3F">
        <w:rPr>
          <w:rFonts w:ascii="Times New Roman" w:hAnsi="Times New Roman"/>
          <w:b/>
          <w:sz w:val="20"/>
        </w:rPr>
        <w:t>Unpublished Opinion</w:t>
      </w:r>
    </w:p>
    <w:p w:rsidR="00821D3F" w:rsidRPr="00821D3F" w:rsidP="00821D3F">
      <w:pPr>
        <w:spacing w:after="0" w:line="240" w:lineRule="auto"/>
        <w:jc w:val="left"/>
        <w:rPr>
          <w:rFonts w:ascii="Times New Roman" w:hAnsi="Times New Roman"/>
          <w:sz w:val="20"/>
        </w:rPr>
      </w:pPr>
      <w:r w:rsidRPr="00821D3F">
        <w:rPr>
          <w:rFonts w:ascii="Times New Roman" w:hAnsi="Times New Roman"/>
          <w:b/>
          <w:sz w:val="20"/>
        </w:rPr>
        <w:t>Original Appeal</w:t>
      </w:r>
      <w:r w:rsidRPr="00821D3F">
        <w:rPr>
          <w:rFonts w:ascii="Times New Roman" w:hAnsi="Times New Roman"/>
          <w:sz w:val="20"/>
        </w:rPr>
        <w:t xml:space="preserve"> XXX</w:t>
      </w: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Original Proceeding</w:t>
      </w:r>
    </w:p>
    <w:p w:rsidR="00821D3F" w:rsidRPr="00821D3F" w:rsidP="00821D3F">
      <w:pPr>
        <w:spacing w:after="0" w:line="240" w:lineRule="auto"/>
        <w:jc w:val="left"/>
        <w:rPr>
          <w:rFonts w:ascii="Times New Roman" w:hAnsi="Times New Roman"/>
          <w:sz w:val="20"/>
        </w:rPr>
      </w:pPr>
      <w:r w:rsidRPr="00821D3F">
        <w:rPr>
          <w:rFonts w:ascii="Times New Roman" w:hAnsi="Times New Roman"/>
          <w:b/>
          <w:sz w:val="20"/>
        </w:rPr>
        <w:t>Review Granted</w:t>
      </w: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Rehearing Granted</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__________________________________________________________________________________</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Cs/>
          <w:sz w:val="20"/>
        </w:rPr>
      </w:pPr>
      <w:r w:rsidRPr="00821D3F">
        <w:rPr>
          <w:rFonts w:ascii="Times New Roman" w:hAnsi="Times New Roman"/>
          <w:b/>
          <w:sz w:val="20"/>
        </w:rPr>
        <w:t>Opinion No.</w:t>
      </w:r>
      <w:r w:rsidRPr="00821D3F">
        <w:rPr>
          <w:rFonts w:ascii="Times New Roman" w:hAnsi="Times New Roman"/>
          <w:sz w:val="20"/>
        </w:rPr>
        <w:t xml:space="preserve"> S161399</w:t>
      </w:r>
    </w:p>
    <w:p w:rsidR="00821D3F" w:rsidRPr="00821D3F" w:rsidP="00821D3F">
      <w:pPr>
        <w:spacing w:after="0" w:line="240" w:lineRule="auto"/>
        <w:jc w:val="left"/>
        <w:rPr>
          <w:rFonts w:ascii="Times New Roman" w:hAnsi="Times New Roman"/>
          <w:bCs/>
          <w:sz w:val="20"/>
        </w:rPr>
      </w:pPr>
      <w:r w:rsidRPr="00821D3F">
        <w:rPr>
          <w:rFonts w:ascii="Times New Roman" w:hAnsi="Times New Roman"/>
          <w:b/>
          <w:sz w:val="20"/>
        </w:rPr>
        <w:t>Date Filed:</w:t>
      </w:r>
      <w:r w:rsidRPr="00821D3F">
        <w:rPr>
          <w:rFonts w:ascii="Times New Roman" w:hAnsi="Times New Roman"/>
          <w:sz w:val="20"/>
        </w:rPr>
        <w:t xml:space="preserve"> June 27, 2019</w:t>
      </w: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__________________________________________________________________________________</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bCs/>
          <w:sz w:val="20"/>
        </w:rPr>
      </w:pPr>
      <w:r w:rsidRPr="00821D3F">
        <w:rPr>
          <w:rFonts w:ascii="Times New Roman" w:hAnsi="Times New Roman"/>
          <w:b/>
          <w:sz w:val="20"/>
        </w:rPr>
        <w:t>Court:</w:t>
      </w:r>
      <w:r w:rsidRPr="00821D3F">
        <w:rPr>
          <w:rFonts w:ascii="Times New Roman" w:hAnsi="Times New Roman"/>
          <w:sz w:val="20"/>
        </w:rPr>
        <w:t xml:space="preserve"> Superior</w:t>
      </w:r>
    </w:p>
    <w:p w:rsidR="00821D3F" w:rsidRPr="00821D3F" w:rsidP="00821D3F">
      <w:pPr>
        <w:spacing w:after="0" w:line="240" w:lineRule="auto"/>
        <w:jc w:val="left"/>
        <w:rPr>
          <w:rFonts w:ascii="Times New Roman" w:hAnsi="Times New Roman"/>
          <w:bCs/>
          <w:sz w:val="20"/>
        </w:rPr>
      </w:pPr>
      <w:r w:rsidRPr="00821D3F">
        <w:rPr>
          <w:rFonts w:ascii="Times New Roman" w:hAnsi="Times New Roman"/>
          <w:b/>
          <w:sz w:val="20"/>
        </w:rPr>
        <w:t>County:</w:t>
      </w:r>
      <w:r w:rsidRPr="00821D3F">
        <w:rPr>
          <w:rFonts w:ascii="Times New Roman" w:hAnsi="Times New Roman"/>
          <w:sz w:val="20"/>
        </w:rPr>
        <w:t xml:space="preserve"> Alameda</w:t>
      </w:r>
    </w:p>
    <w:p w:rsidR="00821D3F" w:rsidRPr="00821D3F" w:rsidP="00821D3F">
      <w:pPr>
        <w:spacing w:after="0" w:line="240" w:lineRule="auto"/>
        <w:ind w:left="720" w:hanging="720"/>
        <w:jc w:val="left"/>
        <w:rPr>
          <w:rFonts w:ascii="Times New Roman" w:hAnsi="Times New Roman"/>
          <w:bCs/>
          <w:sz w:val="20"/>
        </w:rPr>
      </w:pPr>
      <w:r w:rsidRPr="00821D3F">
        <w:rPr>
          <w:rFonts w:ascii="Times New Roman" w:hAnsi="Times New Roman"/>
          <w:b/>
          <w:sz w:val="20"/>
        </w:rPr>
        <w:t>Judge:</w:t>
      </w:r>
      <w:r w:rsidRPr="00821D3F">
        <w:rPr>
          <w:rFonts w:ascii="Times New Roman" w:hAnsi="Times New Roman"/>
          <w:sz w:val="20"/>
        </w:rPr>
        <w:t xml:space="preserve"> Allan D. Hymer</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__________________________________________________________________________________</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Counsel:</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Wesley A. Van Winkle, under appointment by the Supreme Court, for Defendant and Appellant.</w:t>
      </w:r>
    </w:p>
    <w:p w:rsidR="00821D3F" w:rsidRPr="00821D3F" w:rsidP="00821D3F">
      <w:pPr>
        <w:spacing w:after="0" w:line="240" w:lineRule="auto"/>
        <w:jc w:val="left"/>
        <w:rPr>
          <w:rFonts w:ascii="Times New Roman" w:hAnsi="Times New Roman"/>
          <w:sz w:val="20"/>
        </w:rPr>
      </w:pPr>
    </w:p>
    <w:p w:rsidR="00821D3F" w:rsidRPr="00821D3F" w:rsidP="00821D3F">
      <w:pPr>
        <w:spacing w:after="0" w:line="240" w:lineRule="auto"/>
        <w:jc w:val="left"/>
        <w:rPr>
          <w:rFonts w:ascii="Times New Roman" w:hAnsi="Times New Roman"/>
          <w:sz w:val="20"/>
        </w:rPr>
      </w:pP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Kamala D. Harris and Xavier Becerra, Attorneys General, Dane R. Gillette, Chief Assistant Attorney General, Gerald A. Engler, Assistant Attorney General, Alice B. Lustre and Juliet B. Haley, Deputy Attorneys General, for Plaintiff and Respondent.</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br w:type="page"/>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b/>
          <w:sz w:val="20"/>
        </w:rPr>
      </w:pPr>
      <w:r w:rsidRPr="00821D3F">
        <w:rPr>
          <w:rFonts w:ascii="Times New Roman" w:hAnsi="Times New Roman"/>
          <w:b/>
          <w:sz w:val="20"/>
        </w:rPr>
        <w:t>Counsel who argued in Supreme Court (not intended for publication with opinion):</w:t>
      </w:r>
    </w:p>
    <w:p w:rsidR="00821D3F" w:rsidRPr="00821D3F" w:rsidP="00821D3F">
      <w:pPr>
        <w:spacing w:after="0" w:line="240" w:lineRule="auto"/>
        <w:jc w:val="left"/>
        <w:rPr>
          <w:rFonts w:ascii="Times New Roman" w:hAnsi="Times New Roman"/>
          <w:b/>
          <w:sz w:val="20"/>
        </w:rPr>
      </w:pP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Wesley A. Van Winkle</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Law Offices of Wesley A. Van Winkle</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P.O. Box 5216</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Berkeley, CA  94705-0216</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(541) 735-3170</w:t>
      </w:r>
    </w:p>
    <w:p w:rsidR="00821D3F" w:rsidRPr="00821D3F" w:rsidP="00821D3F">
      <w:pPr>
        <w:spacing w:after="0" w:line="240" w:lineRule="auto"/>
        <w:jc w:val="left"/>
        <w:rPr>
          <w:rFonts w:ascii="Times New Roman" w:hAnsi="Times New Roman"/>
          <w:sz w:val="20"/>
        </w:rPr>
      </w:pP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Juliet B. Haley</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Deputy Attorney General</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455 Golden Gate Avenue, Suite 11000</w:t>
      </w:r>
    </w:p>
    <w:p w:rsidR="00821D3F" w:rsidRPr="00821D3F" w:rsidP="00821D3F">
      <w:pPr>
        <w:spacing w:after="0" w:line="240" w:lineRule="auto"/>
        <w:jc w:val="left"/>
        <w:rPr>
          <w:rFonts w:ascii="Times New Roman" w:hAnsi="Times New Roman"/>
          <w:sz w:val="20"/>
        </w:rPr>
      </w:pPr>
      <w:r w:rsidRPr="00821D3F">
        <w:rPr>
          <w:rFonts w:ascii="Times New Roman" w:hAnsi="Times New Roman"/>
          <w:sz w:val="20"/>
        </w:rPr>
        <w:t>San Francisco, CA  94102-7004</w:t>
      </w:r>
    </w:p>
    <w:p w:rsidR="00821D3F" w:rsidRPr="00821D3F" w:rsidP="00821D3F">
      <w:pPr>
        <w:spacing w:after="0" w:line="240" w:lineRule="auto"/>
        <w:jc w:val="left"/>
        <w:rPr>
          <w:rFonts w:ascii="Times New Roman" w:hAnsi="Times New Roman"/>
          <w:b/>
          <w:sz w:val="20"/>
        </w:rPr>
      </w:pPr>
      <w:r w:rsidRPr="00821D3F">
        <w:rPr>
          <w:rFonts w:ascii="Times New Roman" w:hAnsi="Times New Roman"/>
          <w:sz w:val="20"/>
        </w:rPr>
        <w:t>(415) 510-3797</w:t>
      </w:r>
    </w:p>
    <w:p w:rsidR="006432A6" w:rsidRPr="00B84AF6" w:rsidP="00B84AF6">
      <w:pPr>
        <w:tabs>
          <w:tab w:val="left" w:pos="720"/>
          <w:tab w:val="left" w:pos="1440"/>
        </w:tabs>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FD0" w:rsidP="00CA5885">
    <w:pPr>
      <w:pStyle w:val="Footer"/>
    </w:pPr>
    <w:r>
      <w:fldChar w:fldCharType="begin"/>
    </w:r>
    <w:r>
      <w:instrText xml:space="preserve"> PAGE   \* MERGEFORMAT </w:instrText>
    </w:r>
    <w:r>
      <w:fldChar w:fldCharType="separate"/>
    </w:r>
    <w:r>
      <w:rPr>
        <w:noProof/>
      </w:rPr>
      <w:t>77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FD0">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2C0">
      <w:r>
        <w:separator/>
      </w:r>
    </w:p>
  </w:footnote>
  <w:footnote w:type="continuationSeparator" w:id="1">
    <w:p w:rsidR="009E52C0">
      <w:pPr>
        <w:rPr>
          <w:sz w:val="22"/>
        </w:rPr>
      </w:pPr>
      <w:r>
        <w:continuationSeparator/>
      </w:r>
    </w:p>
  </w:footnote>
  <w:footnote w:type="continuationNotice" w:id="2">
    <w:p w:rsidR="009E52C0" w:rsidRPr="00EF3B0A" w:rsidP="00EF3B0A">
      <w:pPr>
        <w:pStyle w:val="Footer"/>
      </w:pPr>
    </w:p>
  </w:footnote>
  <w:footnote w:id="3">
    <w:p w:rsidR="00B53FD0" w:rsidP="00B84AF6">
      <w:pPr>
        <w:pStyle w:val="FootnoteText"/>
      </w:pPr>
      <w:r>
        <w:rPr>
          <w:rStyle w:val="FootnoteReference"/>
        </w:rPr>
        <w:footnoteRef/>
      </w:r>
      <w:r>
        <w:t xml:space="preserve"> </w:t>
      </w:r>
      <w:r>
        <w:tab/>
        <w:t>Penal Code, sections 187, subdivision (a), 189, 190.2, subdivision (a)(17)(C).  Further unspecified statutory references are to the Penal Code.</w:t>
      </w:r>
    </w:p>
  </w:footnote>
  <w:footnote w:id="4">
    <w:p w:rsidR="00B53FD0" w:rsidP="00B84AF6">
      <w:pPr>
        <w:pStyle w:val="FootnoteText"/>
      </w:pPr>
      <w:r>
        <w:rPr>
          <w:rStyle w:val="FootnoteReference"/>
        </w:rPr>
        <w:footnoteRef/>
      </w:r>
      <w:r>
        <w:t xml:space="preserve"> </w:t>
      </w:r>
      <w:r>
        <w:tab/>
        <w:t>An expert testified that around 40 percent of rape victims show no sign of genital trauma.</w:t>
      </w:r>
    </w:p>
  </w:footnote>
  <w:footnote w:id="5">
    <w:p w:rsidR="00B53FD0" w:rsidP="00B84AF6">
      <w:pPr>
        <w:pStyle w:val="FootnoteText"/>
      </w:pPr>
      <w:r>
        <w:rPr>
          <w:rStyle w:val="FootnoteReference"/>
        </w:rPr>
        <w:footnoteRef/>
      </w:r>
      <w:r>
        <w:t xml:space="preserve"> </w:t>
      </w:r>
      <w:r>
        <w:tab/>
        <w:t>Both Brenda and Robert testified at trial.</w:t>
      </w:r>
    </w:p>
  </w:footnote>
  <w:footnote w:id="6">
    <w:p w:rsidR="00B53FD0" w:rsidP="00B84AF6">
      <w:pPr>
        <w:pStyle w:val="FootnoteText"/>
      </w:pPr>
      <w:r>
        <w:rPr>
          <w:rStyle w:val="FootnoteReference"/>
        </w:rPr>
        <w:footnoteRef/>
      </w:r>
      <w:r>
        <w:t xml:space="preserve"> </w:t>
      </w:r>
      <w:r>
        <w:tab/>
        <w:t>We have independently reviewed the recorded interviews.  (</w:t>
      </w:r>
      <w:r w:rsidRPr="002F1C62">
        <w:rPr>
          <w:i/>
        </w:rPr>
        <w:t>People v. Wash</w:t>
      </w:r>
      <w:r>
        <w:t xml:space="preserve"> (1993) 6 Cal.4th 215, 238.)  Quotations are from the prosecutor’s transcripts provided to the trial court.  We have not corrected minor typographical and grammatical errors in the original quoted material.  Bracketed words and phrases reflect statements that were deemed unintelligible in the transcripts, but that we have been able to discern from our independent review of the recordings.</w:t>
      </w:r>
    </w:p>
  </w:footnote>
  <w:footnote w:id="7">
    <w:p w:rsidR="00B53FD0" w:rsidP="00B84AF6">
      <w:pPr>
        <w:pStyle w:val="FootnoteText"/>
      </w:pPr>
      <w:r>
        <w:rPr>
          <w:rStyle w:val="FootnoteReference"/>
        </w:rPr>
        <w:footnoteRef/>
      </w:r>
      <w:r>
        <w:tab/>
      </w:r>
      <w:r w:rsidRPr="009C7041">
        <w:t>No mention of th</w:t>
      </w:r>
      <w:r>
        <w:t>e</w:t>
      </w:r>
      <w:r w:rsidRPr="009C7041">
        <w:t xml:space="preserve"> conversation </w:t>
      </w:r>
      <w:r>
        <w:t xml:space="preserve">in the receiving area </w:t>
      </w:r>
      <w:r w:rsidRPr="009C7041">
        <w:t>was included in Chicoine’s April 3 supplemental police report.</w:t>
      </w:r>
    </w:p>
  </w:footnote>
  <w:footnote w:id="8">
    <w:p w:rsidR="00B53FD0" w:rsidP="00B84AF6">
      <w:pPr>
        <w:pStyle w:val="FootnoteText"/>
      </w:pPr>
      <w:r>
        <w:rPr>
          <w:rStyle w:val="FootnoteReference"/>
        </w:rPr>
        <w:footnoteRef/>
      </w:r>
      <w:r>
        <w:t xml:space="preserve"> </w:t>
      </w:r>
      <w:r>
        <w:tab/>
        <w:t>During the San Quentin interview, defendant had described an encounter on a street corner with one of his prior rape victims, a family friend. He had written her to apologize, and she told him she forgave him.</w:t>
      </w:r>
    </w:p>
  </w:footnote>
  <w:footnote w:id="9">
    <w:p w:rsidR="00B53FD0" w:rsidP="00B84AF6">
      <w:pPr>
        <w:pStyle w:val="FootnoteText"/>
      </w:pPr>
      <w:r>
        <w:rPr>
          <w:rStyle w:val="FootnoteReference"/>
        </w:rPr>
        <w:footnoteRef/>
      </w:r>
      <w:r>
        <w:t xml:space="preserve"> </w:t>
      </w:r>
      <w:r>
        <w:tab/>
        <w:t xml:space="preserve">Chicoine’s </w:t>
      </w:r>
      <w:r w:rsidRPr="00881F78">
        <w:t xml:space="preserve">supplemental report </w:t>
      </w:r>
      <w:r>
        <w:t>of April 3 provided a similar account.  It stated</w:t>
      </w:r>
      <w:r w:rsidRPr="00881F78">
        <w:t xml:space="preserve"> that after the recorder was turned off and defendant got out of the car, “he told Dudek and I that he wanted to tell us everything.  He explained that he did not want the court procedure to be a long drawn out ordeal.  Dudek reiterated that he should wait until we got into the station where we would read him h</w:t>
      </w:r>
      <w:r>
        <w:t>is rights again.”</w:t>
      </w:r>
    </w:p>
  </w:footnote>
  <w:footnote w:id="10">
    <w:p w:rsidR="00A41C96" w:rsidP="00A41C96">
      <w:pPr>
        <w:pStyle w:val="FootnoteText"/>
      </w:pPr>
      <w:r>
        <w:rPr>
          <w:rStyle w:val="FootnoteReference"/>
        </w:rPr>
        <w:footnoteRef/>
      </w:r>
      <w:r>
        <w:t xml:space="preserve"> </w:t>
      </w:r>
      <w:r>
        <w:tab/>
      </w:r>
      <w:r w:rsidRPr="00E50AEA">
        <w:t xml:space="preserve">We recognize that </w:t>
      </w:r>
      <w:r>
        <w:t xml:space="preserve">defendant’s incarceration for an unrelated offense does not necessarily </w:t>
      </w:r>
      <w:r w:rsidRPr="00E50AEA">
        <w:t xml:space="preserve">constitute custody for </w:t>
      </w:r>
      <w:r w:rsidRPr="00FC0C53">
        <w:rPr>
          <w:i/>
        </w:rPr>
        <w:t>Miranda</w:t>
      </w:r>
      <w:r w:rsidRPr="00E50AEA">
        <w:t xml:space="preserve"> purposes.  (See </w:t>
      </w:r>
      <w:r w:rsidRPr="00461EBD">
        <w:rPr>
          <w:i/>
        </w:rPr>
        <w:t>Howes v. Fields</w:t>
      </w:r>
      <w:r w:rsidRPr="00E50AEA">
        <w:t xml:space="preserve"> (2012) 565 U.S. 499, </w:t>
      </w:r>
      <w:r>
        <w:t>508–</w:t>
      </w:r>
      <w:r w:rsidRPr="00E50AEA">
        <w:t>5</w:t>
      </w:r>
      <w:r>
        <w:t xml:space="preserve">16; </w:t>
      </w:r>
      <w:r w:rsidRPr="00461EBD">
        <w:rPr>
          <w:i/>
        </w:rPr>
        <w:t>Maryland v. Shatzer</w:t>
      </w:r>
      <w:r w:rsidRPr="00E50AEA">
        <w:t xml:space="preserve"> (2010) 559 U.S. 98, 112</w:t>
      </w:r>
      <w:r>
        <w:t>–114</w:t>
      </w:r>
      <w:r w:rsidRPr="00E50AEA">
        <w:t xml:space="preserve"> (</w:t>
      </w:r>
      <w:r w:rsidRPr="00C473CB">
        <w:rPr>
          <w:i/>
        </w:rPr>
        <w:t>Shatzer</w:t>
      </w:r>
      <w:r w:rsidRPr="00E50AEA">
        <w:t>).)</w:t>
      </w:r>
      <w:r>
        <w:t xml:space="preserve">  However, the People have not contested the point, so we need not further consider it.</w:t>
      </w:r>
    </w:p>
  </w:footnote>
  <w:footnote w:id="11">
    <w:p w:rsidR="00B53FD0" w:rsidP="00B84AF6">
      <w:pPr>
        <w:pStyle w:val="FootnoteText"/>
      </w:pPr>
      <w:r>
        <w:rPr>
          <w:rStyle w:val="FootnoteReference"/>
        </w:rPr>
        <w:footnoteRef/>
      </w:r>
      <w:r>
        <w:t xml:space="preserve"> </w:t>
      </w:r>
      <w:r>
        <w:tab/>
        <w:t xml:space="preserve">Defendant urges us to overrule </w:t>
      </w:r>
      <w:r w:rsidRPr="001105DA">
        <w:rPr>
          <w:i/>
        </w:rPr>
        <w:t>Tate</w:t>
      </w:r>
      <w:r>
        <w:t xml:space="preserve">, </w:t>
      </w:r>
      <w:r w:rsidRPr="001105DA">
        <w:rPr>
          <w:i/>
        </w:rPr>
        <w:t>supra</w:t>
      </w:r>
      <w:r>
        <w:t xml:space="preserve">, 49 Cal.4th 635, to the extent it can be understood to hold that only deception “ ‘ “ ‘ “of a type reasonably likely to procure an untrue statement” ’ ” ’ ” will be said to invalidate a </w:t>
      </w:r>
      <w:r w:rsidRPr="00080CF3">
        <w:rPr>
          <w:i/>
        </w:rPr>
        <w:t>Miranda</w:t>
      </w:r>
      <w:r>
        <w:t xml:space="preserve"> waiver.  (</w:t>
      </w:r>
      <w:r w:rsidRPr="00080CF3">
        <w:rPr>
          <w:i/>
        </w:rPr>
        <w:t>Tate</w:t>
      </w:r>
      <w:r>
        <w:t xml:space="preserve">, at p. 684.)  </w:t>
      </w:r>
    </w:p>
    <w:p w:rsidR="00B53FD0" w:rsidP="00B84AF6">
      <w:pPr>
        <w:pStyle w:val="FootnoteText"/>
        <w:ind w:firstLine="720"/>
      </w:pPr>
      <w:r w:rsidRPr="008A4F08">
        <w:rPr>
          <w:i/>
        </w:rPr>
        <w:t>Tate</w:t>
      </w:r>
      <w:r>
        <w:t xml:space="preserve">’s discussion on that point was in response to the defendant’s argument that “by deceptively minimizing the seriousness of the investigation, the officers </w:t>
      </w:r>
      <w:r w:rsidRPr="001105DA">
        <w:rPr>
          <w:i/>
        </w:rPr>
        <w:t>induced false statements</w:t>
      </w:r>
      <w:r>
        <w:t xml:space="preserve"> that were later used against him.”  (</w:t>
      </w:r>
      <w:r w:rsidRPr="008A4F08">
        <w:rPr>
          <w:i/>
        </w:rPr>
        <w:t>Tate</w:t>
      </w:r>
      <w:r w:rsidRPr="008A4F08">
        <w:t>,</w:t>
      </w:r>
      <w:r w:rsidRPr="008A4F08">
        <w:rPr>
          <w:i/>
        </w:rPr>
        <w:t xml:space="preserve"> supra</w:t>
      </w:r>
      <w:r>
        <w:t xml:space="preserve">, 49 Cal.4th at p. 684, italics added.)  According to defendant, it is unclear whether the holding in </w:t>
      </w:r>
      <w:r w:rsidRPr="001105DA">
        <w:rPr>
          <w:i/>
        </w:rPr>
        <w:t>Tate</w:t>
      </w:r>
      <w:r>
        <w:t xml:space="preserve"> addressed only deception during the interrogation, or also applied to deception used to obtain a waiver of </w:t>
      </w:r>
      <w:r w:rsidRPr="001105DA">
        <w:rPr>
          <w:i/>
        </w:rPr>
        <w:t>Miranda</w:t>
      </w:r>
      <w:r>
        <w:t xml:space="preserve"> rights.  Given our conclusion that defendant’s </w:t>
      </w:r>
      <w:r w:rsidRPr="001105DA">
        <w:rPr>
          <w:i/>
        </w:rPr>
        <w:t>Miranda</w:t>
      </w:r>
      <w:r>
        <w:t xml:space="preserve"> waiver was valid without resort to the deception standard articulated in </w:t>
      </w:r>
      <w:r w:rsidRPr="000C036D">
        <w:rPr>
          <w:i/>
        </w:rPr>
        <w:t>Tate</w:t>
      </w:r>
      <w:r>
        <w:t>, we need not address the scope of that holding.</w:t>
      </w:r>
    </w:p>
  </w:footnote>
  <w:footnote w:id="12">
    <w:p w:rsidR="00B53FD0" w:rsidP="00B84AF6">
      <w:pPr>
        <w:pStyle w:val="FootnoteText"/>
      </w:pPr>
      <w:r>
        <w:rPr>
          <w:rStyle w:val="FootnoteReference"/>
        </w:rPr>
        <w:footnoteRef/>
      </w:r>
      <w:r>
        <w:t xml:space="preserve"> </w:t>
      </w:r>
      <w:r>
        <w:tab/>
        <w:t xml:space="preserve">The significant exception to the bar against resumed interrogation is the one stated </w:t>
      </w:r>
      <w:r w:rsidRPr="00120D43">
        <w:rPr>
          <w:i/>
        </w:rPr>
        <w:t>Edwards</w:t>
      </w:r>
      <w:r>
        <w:t>:  questioning is permitted when “</w:t>
      </w:r>
      <w:r w:rsidRPr="00120D43">
        <w:t>the accused himself initiates further communication, exchanges, or conversations with the police.”  (</w:t>
      </w:r>
      <w:r w:rsidRPr="00120D43">
        <w:rPr>
          <w:i/>
        </w:rPr>
        <w:t>Edwards</w:t>
      </w:r>
      <w:r w:rsidRPr="00120D43">
        <w:t xml:space="preserve">, </w:t>
      </w:r>
      <w:r w:rsidRPr="00120D43">
        <w:rPr>
          <w:i/>
        </w:rPr>
        <w:t>supra</w:t>
      </w:r>
      <w:r w:rsidRPr="00120D43">
        <w:t xml:space="preserve">, 451 U.S. </w:t>
      </w:r>
      <w:r>
        <w:t>at p</w:t>
      </w:r>
      <w:r w:rsidRPr="00120D43">
        <w:t>.</w:t>
      </w:r>
      <w:r>
        <w:t xml:space="preserve"> </w:t>
      </w:r>
      <w:r w:rsidRPr="00120D43">
        <w:t>485.)</w:t>
      </w:r>
    </w:p>
  </w:footnote>
  <w:footnote w:id="13">
    <w:p w:rsidR="00B53FD0" w:rsidP="00B84AF6">
      <w:pPr>
        <w:pStyle w:val="FootnoteText"/>
      </w:pPr>
      <w:r>
        <w:rPr>
          <w:rStyle w:val="FootnoteReference"/>
        </w:rPr>
        <w:footnoteRef/>
      </w:r>
      <w:r>
        <w:t xml:space="preserve"> </w:t>
      </w:r>
      <w:r>
        <w:tab/>
        <w:t>The tape of the first interview included a reference by defendant to his counselor.  When the officers advised him to let a guard know if he decided to talk, defendant responded “[or] my counselor [or my captain or something].”</w:t>
      </w:r>
    </w:p>
  </w:footnote>
  <w:footnote w:id="14">
    <w:p w:rsidR="00B53FD0" w:rsidP="00B84AF6">
      <w:pPr>
        <w:pStyle w:val="FootnoteText"/>
      </w:pPr>
      <w:r>
        <w:rPr>
          <w:rStyle w:val="FootnoteReference"/>
        </w:rPr>
        <w:footnoteRef/>
      </w:r>
      <w:r>
        <w:t xml:space="preserve"> </w:t>
      </w:r>
      <w:r>
        <w:tab/>
        <w:t>Specifically, the jury was told that if it found the uncharged offense to be proved by a preponderance of the evidence, “you may, but are not required to, consider the evidence for the limited purpose of deciding in the charged offense whether or not:  The defendant intended to kill; or the defendant acted with the knowledge that his acts were reckless and that they created a high risk of death or great bodily injury; or, the defendant’s alleged actions were the result of mistake or accident; or, the defendant reasonably and in good faith believed that Suzanne McKenna consented.  Do not consider this evidence for any other purpose except for the limited purpose</w:t>
      </w:r>
      <w:r w:rsidR="00ED01D2">
        <w:t>[</w:t>
      </w:r>
      <w:r>
        <w:t>s</w:t>
      </w:r>
      <w:r w:rsidR="00ED01D2">
        <w:t>]</w:t>
      </w:r>
      <w:r>
        <w:t xml:space="preserve"> identified above.  If you conclude that the defendant committed the uncharged offense, that conclusion is only one factor to consider along with all the other evidence.  It is not sufficient by itself to prove that the defendant is guilty of the charged offense and special circumstance allegation.  The People must still prove each element of the charge beyond a reasonable doubt.”   </w:t>
      </w:r>
    </w:p>
  </w:footnote>
  <w:footnote w:id="15">
    <w:p w:rsidR="00B53FD0" w:rsidP="00B84AF6">
      <w:pPr>
        <w:pStyle w:val="FootnoteText"/>
      </w:pPr>
      <w:r>
        <w:rPr>
          <w:rStyle w:val="FootnoteReference"/>
        </w:rPr>
        <w:footnoteRef/>
      </w:r>
      <w:r>
        <w:t xml:space="preserve"> </w:t>
      </w:r>
      <w:r>
        <w:tab/>
        <w:t>CALCRIM No. 1194, as given, stated:  “You have heard evidence that Suzanne McKenna had consensual sexual intercourse with the defendant before the act that is charged in this case.  You may consider this evidence only to help you decide whether the alleged victim consented to the charged act and whether the defendant reasonably and in good faith believed that Suzanne McKenna consented to the charged act.  Do not consider this evidence for any other purpose.”  Section 1127d, subdivision (a) mandates that this instruction be given when evidence is admitted that the victim consented to sexual intercourse with the defendant before the occurrence of the charged crime.</w:t>
      </w:r>
    </w:p>
    <w:p w:rsidR="00B53FD0" w:rsidP="00B84AF6">
      <w:pPr>
        <w:pStyle w:val="FootnoteText"/>
      </w:pPr>
      <w:r>
        <w:tab/>
        <w:t xml:space="preserve">CALCRIM No. 375, as given, told the jury that it could consider evidence of defendant’s assault on Brenda Molano in deciding, among other things, whether or not defendant “reasonably and in good faith believed that Suzanne McKenna consented.”  </w:t>
      </w:r>
    </w:p>
  </w:footnote>
  <w:footnote w:id="16">
    <w:p w:rsidR="00B53FD0" w:rsidP="00B84AF6">
      <w:pPr>
        <w:pStyle w:val="FootnoteText"/>
      </w:pPr>
      <w:r>
        <w:rPr>
          <w:rStyle w:val="FootnoteReference"/>
        </w:rPr>
        <w:footnoteRef/>
      </w:r>
      <w:r>
        <w:t xml:space="preserve"> </w:t>
      </w:r>
      <w:r>
        <w:tab/>
        <w:t xml:space="preserve">That assumption persists.  (See, e.g., </w:t>
      </w:r>
      <w:r w:rsidRPr="004F1B41">
        <w:rPr>
          <w:i/>
        </w:rPr>
        <w:t>People v. Andrews</w:t>
      </w:r>
      <w:r>
        <w:t xml:space="preserve"> (2015) 234 Cal.App.4th 590, 602–603; </w:t>
      </w:r>
      <w:r>
        <w:rPr>
          <w:i/>
        </w:rPr>
        <w:t>People v. Soj</w:t>
      </w:r>
      <w:r w:rsidRPr="004F1B41">
        <w:rPr>
          <w:i/>
        </w:rPr>
        <w:t>ka</w:t>
      </w:r>
      <w:r>
        <w:t xml:space="preserve"> (2011) 196 Cal.App.4th 733, 736–739; </w:t>
      </w:r>
      <w:r w:rsidRPr="00800C2A">
        <w:rPr>
          <w:i/>
        </w:rPr>
        <w:t>People v. Dillon</w:t>
      </w:r>
      <w:r>
        <w:t xml:space="preserve"> (2009) 174 Cal.App.4th 1367, 1383–1384; but see </w:t>
      </w:r>
      <w:r>
        <w:rPr>
          <w:i/>
        </w:rPr>
        <w:t>P</w:t>
      </w:r>
      <w:r w:rsidRPr="006C6EC9">
        <w:rPr>
          <w:i/>
        </w:rPr>
        <w:t>eople v. Braslaw</w:t>
      </w:r>
      <w:r>
        <w:t xml:space="preserve"> (2015) 233 Cal.App.4th 1239, 1249</w:t>
      </w:r>
      <w:r w:rsidR="00EF5472">
        <w:t>–1250</w:t>
      </w:r>
      <w:r>
        <w:t>.)</w:t>
      </w:r>
    </w:p>
  </w:footnote>
  <w:footnote w:id="17">
    <w:p w:rsidR="00B53FD0" w:rsidP="00B84AF6">
      <w:pPr>
        <w:pStyle w:val="FootnoteText"/>
      </w:pPr>
      <w:r>
        <w:rPr>
          <w:rStyle w:val="FootnoteReference"/>
        </w:rPr>
        <w:footnoteRef/>
      </w:r>
      <w:r>
        <w:t xml:space="preserve"> </w:t>
      </w:r>
      <w:r>
        <w:tab/>
      </w:r>
      <w:r w:rsidRPr="0085072E">
        <w:rPr>
          <w:i/>
        </w:rPr>
        <w:t>Mayberry</w:t>
      </w:r>
      <w:r>
        <w:t xml:space="preserve">, </w:t>
      </w:r>
      <w:r w:rsidRPr="0085072E">
        <w:rPr>
          <w:i/>
        </w:rPr>
        <w:t>supra</w:t>
      </w:r>
      <w:r>
        <w:t>, 15 Cal.3d at pages 157</w:t>
      </w:r>
      <w:r>
        <w:rPr>
          <w:rFonts w:ascii="Times New Roman" w:hAnsi="Times New Roman"/>
        </w:rPr>
        <w:t>‒</w:t>
      </w:r>
      <w:r>
        <w:t xml:space="preserve">158, applied the harmless error standard articulated in </w:t>
      </w:r>
      <w:r w:rsidRPr="0085072E">
        <w:rPr>
          <w:i/>
        </w:rPr>
        <w:t>People v. Modesto</w:t>
      </w:r>
      <w:r>
        <w:t xml:space="preserve"> (1963) 59 Cal.2d 722, 730.  That standard, however, has long since been repudiated.  (</w:t>
      </w:r>
      <w:r w:rsidRPr="0085072E">
        <w:rPr>
          <w:i/>
        </w:rPr>
        <w:t>Breverman</w:t>
      </w:r>
      <w:r>
        <w:t xml:space="preserve">, </w:t>
      </w:r>
      <w:r w:rsidRPr="0085072E">
        <w:rPr>
          <w:i/>
        </w:rPr>
        <w:t>supra</w:t>
      </w:r>
      <w:r>
        <w:t xml:space="preserve">, 19 Cal.4th at pp. 175–176.)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FD0">
    <w:pPr>
      <w:pStyle w:val="Header"/>
    </w:pPr>
    <w:r>
      <w:t>PEOPLE v. MOLANO</w:t>
    </w:r>
  </w:p>
  <w:p w:rsidR="00B53FD0">
    <w:pPr>
      <w:pStyle w:val="Header"/>
    </w:pPr>
    <w:r>
      <w:t>Opinion of the Court by Corrigan, J.</w:t>
    </w:r>
  </w:p>
  <w:p w:rsidR="00B53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C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D0D22"/>
    <w:multiLevelType w:val="hybridMultilevel"/>
    <w:tmpl w:val="04C07BF6"/>
    <w:lvl w:ilvl="0">
      <w:start w:val="2"/>
      <w:numFmt w:val="decimal"/>
      <w:lvlText w:val="%1."/>
      <w:lvlJc w:val="left"/>
      <w:pPr>
        <w:ind w:left="193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701AFE"/>
    <w:multiLevelType w:val="hybridMultilevel"/>
    <w:tmpl w:val="79BED822"/>
    <w:lvl w:ilvl="0">
      <w:start w:val="1"/>
      <w:numFmt w:val="lowerLetter"/>
      <w:lvlText w:val="%1."/>
      <w:lvlJc w:val="left"/>
      <w:pPr>
        <w:ind w:left="1935" w:hanging="360"/>
      </w:pPr>
    </w:lvl>
    <w:lvl w:ilvl="1" w:tentative="1">
      <w:start w:val="1"/>
      <w:numFmt w:val="lowerLetter"/>
      <w:lvlText w:val="%2."/>
      <w:lvlJc w:val="left"/>
      <w:pPr>
        <w:ind w:left="2655" w:hanging="360"/>
      </w:pPr>
    </w:lvl>
    <w:lvl w:ilvl="2" w:tentative="1">
      <w:start w:val="1"/>
      <w:numFmt w:val="lowerRoman"/>
      <w:lvlText w:val="%3."/>
      <w:lvlJc w:val="right"/>
      <w:pPr>
        <w:ind w:left="3375" w:hanging="180"/>
      </w:pPr>
    </w:lvl>
    <w:lvl w:ilvl="3" w:tentative="1">
      <w:start w:val="1"/>
      <w:numFmt w:val="decimal"/>
      <w:lvlText w:val="%4."/>
      <w:lvlJc w:val="left"/>
      <w:pPr>
        <w:ind w:left="4095" w:hanging="360"/>
      </w:pPr>
    </w:lvl>
    <w:lvl w:ilvl="4" w:tentative="1">
      <w:start w:val="1"/>
      <w:numFmt w:val="lowerLetter"/>
      <w:lvlText w:val="%5."/>
      <w:lvlJc w:val="left"/>
      <w:pPr>
        <w:ind w:left="4815" w:hanging="360"/>
      </w:pPr>
    </w:lvl>
    <w:lvl w:ilvl="5" w:tentative="1">
      <w:start w:val="1"/>
      <w:numFmt w:val="lowerRoman"/>
      <w:lvlText w:val="%6."/>
      <w:lvlJc w:val="right"/>
      <w:pPr>
        <w:ind w:left="5535" w:hanging="180"/>
      </w:pPr>
    </w:lvl>
    <w:lvl w:ilvl="6" w:tentative="1">
      <w:start w:val="1"/>
      <w:numFmt w:val="decimal"/>
      <w:lvlText w:val="%7."/>
      <w:lvlJc w:val="left"/>
      <w:pPr>
        <w:ind w:left="6255" w:hanging="360"/>
      </w:pPr>
    </w:lvl>
    <w:lvl w:ilvl="7" w:tentative="1">
      <w:start w:val="1"/>
      <w:numFmt w:val="lowerLetter"/>
      <w:lvlText w:val="%8."/>
      <w:lvlJc w:val="left"/>
      <w:pPr>
        <w:ind w:left="6975" w:hanging="360"/>
      </w:pPr>
    </w:lvl>
    <w:lvl w:ilvl="8" w:tentative="1">
      <w:start w:val="1"/>
      <w:numFmt w:val="lowerRoman"/>
      <w:lvlText w:val="%9."/>
      <w:lvlJc w:val="right"/>
      <w:pPr>
        <w:ind w:left="7695" w:hanging="180"/>
      </w:pPr>
    </w:lvl>
  </w:abstractNum>
  <w:abstractNum w:abstractNumId="2">
    <w:nsid w:val="15C2666B"/>
    <w:multiLevelType w:val="hybridMultilevel"/>
    <w:tmpl w:val="903A704E"/>
    <w:lvl w:ilvl="0">
      <w:start w:val="1"/>
      <w:numFmt w:val="decimal"/>
      <w:lvlText w:val="%1."/>
      <w:lvlJc w:val="left"/>
      <w:pPr>
        <w:ind w:left="2160" w:hanging="360"/>
      </w:pPr>
      <w:rPr>
        <w:rFonts w:hint="default"/>
        <w:i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16766990"/>
    <w:multiLevelType w:val="hybridMultilevel"/>
    <w:tmpl w:val="D9786B4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69332BE"/>
    <w:multiLevelType w:val="hybridMultilevel"/>
    <w:tmpl w:val="79BED822"/>
    <w:lvl w:ilvl="0">
      <w:start w:val="1"/>
      <w:numFmt w:val="lowerLetter"/>
      <w:lvlText w:val="%1."/>
      <w:lvlJc w:val="left"/>
      <w:pPr>
        <w:ind w:left="1935" w:hanging="360"/>
      </w:pPr>
    </w:lvl>
    <w:lvl w:ilvl="1" w:tentative="1">
      <w:start w:val="1"/>
      <w:numFmt w:val="lowerLetter"/>
      <w:lvlText w:val="%2."/>
      <w:lvlJc w:val="left"/>
      <w:pPr>
        <w:ind w:left="2655" w:hanging="360"/>
      </w:pPr>
    </w:lvl>
    <w:lvl w:ilvl="2" w:tentative="1">
      <w:start w:val="1"/>
      <w:numFmt w:val="lowerRoman"/>
      <w:lvlText w:val="%3."/>
      <w:lvlJc w:val="right"/>
      <w:pPr>
        <w:ind w:left="3375" w:hanging="180"/>
      </w:pPr>
    </w:lvl>
    <w:lvl w:ilvl="3" w:tentative="1">
      <w:start w:val="1"/>
      <w:numFmt w:val="decimal"/>
      <w:lvlText w:val="%4."/>
      <w:lvlJc w:val="left"/>
      <w:pPr>
        <w:ind w:left="4095" w:hanging="360"/>
      </w:pPr>
    </w:lvl>
    <w:lvl w:ilvl="4" w:tentative="1">
      <w:start w:val="1"/>
      <w:numFmt w:val="lowerLetter"/>
      <w:lvlText w:val="%5."/>
      <w:lvlJc w:val="left"/>
      <w:pPr>
        <w:ind w:left="4815" w:hanging="360"/>
      </w:pPr>
    </w:lvl>
    <w:lvl w:ilvl="5" w:tentative="1">
      <w:start w:val="1"/>
      <w:numFmt w:val="lowerRoman"/>
      <w:lvlText w:val="%6."/>
      <w:lvlJc w:val="right"/>
      <w:pPr>
        <w:ind w:left="5535" w:hanging="180"/>
      </w:pPr>
    </w:lvl>
    <w:lvl w:ilvl="6" w:tentative="1">
      <w:start w:val="1"/>
      <w:numFmt w:val="decimal"/>
      <w:lvlText w:val="%7."/>
      <w:lvlJc w:val="left"/>
      <w:pPr>
        <w:ind w:left="6255" w:hanging="360"/>
      </w:pPr>
    </w:lvl>
    <w:lvl w:ilvl="7" w:tentative="1">
      <w:start w:val="1"/>
      <w:numFmt w:val="lowerLetter"/>
      <w:lvlText w:val="%8."/>
      <w:lvlJc w:val="left"/>
      <w:pPr>
        <w:ind w:left="6975" w:hanging="360"/>
      </w:pPr>
    </w:lvl>
    <w:lvl w:ilvl="8" w:tentative="1">
      <w:start w:val="1"/>
      <w:numFmt w:val="lowerRoman"/>
      <w:lvlText w:val="%9."/>
      <w:lvlJc w:val="right"/>
      <w:pPr>
        <w:ind w:left="7695" w:hanging="180"/>
      </w:pPr>
    </w:lvl>
  </w:abstractNum>
  <w:abstractNum w:abstractNumId="5">
    <w:nsid w:val="16DD4A47"/>
    <w:multiLevelType w:val="hybridMultilevel"/>
    <w:tmpl w:val="39524B18"/>
    <w:lvl w:ilvl="0">
      <w:start w:val="1"/>
      <w:numFmt w:val="decimal"/>
      <w:lvlText w:val="%1."/>
      <w:lvlJc w:val="left"/>
      <w:pPr>
        <w:ind w:left="180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7776E65"/>
    <w:multiLevelType w:val="hybridMultilevel"/>
    <w:tmpl w:val="36941D3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277E491B"/>
    <w:multiLevelType w:val="hybridMultilevel"/>
    <w:tmpl w:val="1AB27F9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7F77553"/>
    <w:multiLevelType w:val="hybridMultilevel"/>
    <w:tmpl w:val="6400E96A"/>
    <w:lvl w:ilvl="0">
      <w:start w:val="2"/>
      <w:numFmt w:val="lowerLetter"/>
      <w:lvlText w:val="%1."/>
      <w:lvlJc w:val="left"/>
      <w:pPr>
        <w:ind w:left="193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400F74"/>
    <w:multiLevelType w:val="hybridMultilevel"/>
    <w:tmpl w:val="B5BA5120"/>
    <w:lvl w:ilvl="0">
      <w:start w:val="1"/>
      <w:numFmt w:val="lowerRoman"/>
      <w:lvlText w:val="%1."/>
      <w:lvlJc w:val="right"/>
      <w:pPr>
        <w:ind w:left="2736" w:hanging="360"/>
      </w:pPr>
    </w:lvl>
    <w:lvl w:ilvl="1" w:tentative="1">
      <w:start w:val="1"/>
      <w:numFmt w:val="lowerLetter"/>
      <w:lvlText w:val="%2."/>
      <w:lvlJc w:val="left"/>
      <w:pPr>
        <w:ind w:left="3456" w:hanging="360"/>
      </w:pPr>
    </w:lvl>
    <w:lvl w:ilvl="2" w:tentative="1">
      <w:start w:val="1"/>
      <w:numFmt w:val="lowerRoman"/>
      <w:lvlText w:val="%3."/>
      <w:lvlJc w:val="right"/>
      <w:pPr>
        <w:ind w:left="4176" w:hanging="180"/>
      </w:pPr>
    </w:lvl>
    <w:lvl w:ilvl="3" w:tentative="1">
      <w:start w:val="1"/>
      <w:numFmt w:val="decimal"/>
      <w:lvlText w:val="%4."/>
      <w:lvlJc w:val="left"/>
      <w:pPr>
        <w:ind w:left="4896" w:hanging="360"/>
      </w:pPr>
    </w:lvl>
    <w:lvl w:ilvl="4" w:tentative="1">
      <w:start w:val="1"/>
      <w:numFmt w:val="lowerLetter"/>
      <w:lvlText w:val="%5."/>
      <w:lvlJc w:val="left"/>
      <w:pPr>
        <w:ind w:left="5616" w:hanging="360"/>
      </w:pPr>
    </w:lvl>
    <w:lvl w:ilvl="5" w:tentative="1">
      <w:start w:val="1"/>
      <w:numFmt w:val="lowerRoman"/>
      <w:lvlText w:val="%6."/>
      <w:lvlJc w:val="right"/>
      <w:pPr>
        <w:ind w:left="6336" w:hanging="180"/>
      </w:pPr>
    </w:lvl>
    <w:lvl w:ilvl="6" w:tentative="1">
      <w:start w:val="1"/>
      <w:numFmt w:val="decimal"/>
      <w:lvlText w:val="%7."/>
      <w:lvlJc w:val="left"/>
      <w:pPr>
        <w:ind w:left="7056" w:hanging="360"/>
      </w:pPr>
    </w:lvl>
    <w:lvl w:ilvl="7" w:tentative="1">
      <w:start w:val="1"/>
      <w:numFmt w:val="lowerLetter"/>
      <w:lvlText w:val="%8."/>
      <w:lvlJc w:val="left"/>
      <w:pPr>
        <w:ind w:left="7776" w:hanging="360"/>
      </w:pPr>
    </w:lvl>
    <w:lvl w:ilvl="8" w:tentative="1">
      <w:start w:val="1"/>
      <w:numFmt w:val="lowerRoman"/>
      <w:lvlText w:val="%9."/>
      <w:lvlJc w:val="right"/>
      <w:pPr>
        <w:ind w:left="8496" w:hanging="180"/>
      </w:pPr>
    </w:lvl>
  </w:abstractNum>
  <w:abstractNum w:abstractNumId="10">
    <w:nsid w:val="2B296E30"/>
    <w:multiLevelType w:val="hybridMultilevel"/>
    <w:tmpl w:val="E26CCE72"/>
    <w:lvl w:ilvl="0">
      <w:start w:val="1"/>
      <w:numFmt w:val="decimal"/>
      <w:lvlText w:val="%1."/>
      <w:lvlJc w:val="left"/>
      <w:pPr>
        <w:ind w:left="1935" w:hanging="360"/>
      </w:pPr>
    </w:lvl>
    <w:lvl w:ilvl="1" w:tentative="1">
      <w:start w:val="1"/>
      <w:numFmt w:val="lowerLetter"/>
      <w:lvlText w:val="%2."/>
      <w:lvlJc w:val="left"/>
      <w:pPr>
        <w:ind w:left="2655" w:hanging="360"/>
      </w:pPr>
    </w:lvl>
    <w:lvl w:ilvl="2" w:tentative="1">
      <w:start w:val="1"/>
      <w:numFmt w:val="lowerRoman"/>
      <w:lvlText w:val="%3."/>
      <w:lvlJc w:val="right"/>
      <w:pPr>
        <w:ind w:left="3375" w:hanging="180"/>
      </w:pPr>
    </w:lvl>
    <w:lvl w:ilvl="3" w:tentative="1">
      <w:start w:val="1"/>
      <w:numFmt w:val="decimal"/>
      <w:lvlText w:val="%4."/>
      <w:lvlJc w:val="left"/>
      <w:pPr>
        <w:ind w:left="4095" w:hanging="360"/>
      </w:pPr>
    </w:lvl>
    <w:lvl w:ilvl="4" w:tentative="1">
      <w:start w:val="1"/>
      <w:numFmt w:val="lowerLetter"/>
      <w:lvlText w:val="%5."/>
      <w:lvlJc w:val="left"/>
      <w:pPr>
        <w:ind w:left="4815" w:hanging="360"/>
      </w:pPr>
    </w:lvl>
    <w:lvl w:ilvl="5" w:tentative="1">
      <w:start w:val="1"/>
      <w:numFmt w:val="lowerRoman"/>
      <w:lvlText w:val="%6."/>
      <w:lvlJc w:val="right"/>
      <w:pPr>
        <w:ind w:left="5535" w:hanging="180"/>
      </w:pPr>
    </w:lvl>
    <w:lvl w:ilvl="6" w:tentative="1">
      <w:start w:val="1"/>
      <w:numFmt w:val="decimal"/>
      <w:lvlText w:val="%7."/>
      <w:lvlJc w:val="left"/>
      <w:pPr>
        <w:ind w:left="6255" w:hanging="360"/>
      </w:pPr>
    </w:lvl>
    <w:lvl w:ilvl="7" w:tentative="1">
      <w:start w:val="1"/>
      <w:numFmt w:val="lowerLetter"/>
      <w:lvlText w:val="%8."/>
      <w:lvlJc w:val="left"/>
      <w:pPr>
        <w:ind w:left="6975" w:hanging="360"/>
      </w:pPr>
    </w:lvl>
    <w:lvl w:ilvl="8" w:tentative="1">
      <w:start w:val="1"/>
      <w:numFmt w:val="lowerRoman"/>
      <w:lvlText w:val="%9."/>
      <w:lvlJc w:val="right"/>
      <w:pPr>
        <w:ind w:left="7695" w:hanging="180"/>
      </w:pPr>
    </w:lvl>
  </w:abstractNum>
  <w:abstractNum w:abstractNumId="11">
    <w:nsid w:val="2E047D98"/>
    <w:multiLevelType w:val="hybridMultilevel"/>
    <w:tmpl w:val="23224D5A"/>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3E4543"/>
    <w:multiLevelType w:val="hybridMultilevel"/>
    <w:tmpl w:val="D22431C6"/>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3">
    <w:nsid w:val="2F4E08B6"/>
    <w:multiLevelType w:val="hybridMultilevel"/>
    <w:tmpl w:val="4E64C3A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40A24FF"/>
    <w:multiLevelType w:val="hybridMultilevel"/>
    <w:tmpl w:val="382C73F6"/>
    <w:lvl w:ilvl="0">
      <w:start w:val="1"/>
      <w:numFmt w:val="lowerRoman"/>
      <w:lvlText w:val="%1."/>
      <w:lvlJc w:val="right"/>
      <w:pPr>
        <w:ind w:left="2880" w:hanging="360"/>
      </w:pPr>
      <w:rPr>
        <w:rFonts w:hint="default"/>
        <w:i/>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3C4B5C50"/>
    <w:multiLevelType w:val="hybridMultilevel"/>
    <w:tmpl w:val="5AC47F8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385123C"/>
    <w:multiLevelType w:val="hybridMultilevel"/>
    <w:tmpl w:val="36941D3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44412C2A"/>
    <w:multiLevelType w:val="hybridMultilevel"/>
    <w:tmpl w:val="4580AC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45E0841"/>
    <w:multiLevelType w:val="hybridMultilevel"/>
    <w:tmpl w:val="02B076CC"/>
    <w:lvl w:ilvl="0">
      <w:start w:val="1"/>
      <w:numFmt w:val="lowerLetter"/>
      <w:lvlText w:val="%1."/>
      <w:lvlJc w:val="left"/>
      <w:pPr>
        <w:ind w:left="2370" w:hanging="360"/>
      </w:pPr>
      <w:rPr>
        <w:rFonts w:hint="default"/>
      </w:rPr>
    </w:lvl>
    <w:lvl w:ilvl="1" w:tentative="1">
      <w:start w:val="1"/>
      <w:numFmt w:val="lowerLetter"/>
      <w:lvlText w:val="%2."/>
      <w:lvlJc w:val="left"/>
      <w:pPr>
        <w:ind w:left="3090" w:hanging="360"/>
      </w:pPr>
    </w:lvl>
    <w:lvl w:ilvl="2" w:tentative="1">
      <w:start w:val="1"/>
      <w:numFmt w:val="lowerRoman"/>
      <w:lvlText w:val="%3."/>
      <w:lvlJc w:val="right"/>
      <w:pPr>
        <w:ind w:left="3810" w:hanging="180"/>
      </w:pPr>
    </w:lvl>
    <w:lvl w:ilvl="3" w:tentative="1">
      <w:start w:val="1"/>
      <w:numFmt w:val="decimal"/>
      <w:lvlText w:val="%4."/>
      <w:lvlJc w:val="left"/>
      <w:pPr>
        <w:ind w:left="4530" w:hanging="360"/>
      </w:pPr>
    </w:lvl>
    <w:lvl w:ilvl="4" w:tentative="1">
      <w:start w:val="1"/>
      <w:numFmt w:val="lowerLetter"/>
      <w:lvlText w:val="%5."/>
      <w:lvlJc w:val="left"/>
      <w:pPr>
        <w:ind w:left="5250" w:hanging="360"/>
      </w:pPr>
    </w:lvl>
    <w:lvl w:ilvl="5" w:tentative="1">
      <w:start w:val="1"/>
      <w:numFmt w:val="lowerRoman"/>
      <w:lvlText w:val="%6."/>
      <w:lvlJc w:val="right"/>
      <w:pPr>
        <w:ind w:left="5970" w:hanging="180"/>
      </w:pPr>
    </w:lvl>
    <w:lvl w:ilvl="6" w:tentative="1">
      <w:start w:val="1"/>
      <w:numFmt w:val="decimal"/>
      <w:lvlText w:val="%7."/>
      <w:lvlJc w:val="left"/>
      <w:pPr>
        <w:ind w:left="6690" w:hanging="360"/>
      </w:pPr>
    </w:lvl>
    <w:lvl w:ilvl="7" w:tentative="1">
      <w:start w:val="1"/>
      <w:numFmt w:val="lowerLetter"/>
      <w:lvlText w:val="%8."/>
      <w:lvlJc w:val="left"/>
      <w:pPr>
        <w:ind w:left="7410" w:hanging="360"/>
      </w:pPr>
    </w:lvl>
    <w:lvl w:ilvl="8" w:tentative="1">
      <w:start w:val="1"/>
      <w:numFmt w:val="lowerRoman"/>
      <w:lvlText w:val="%9."/>
      <w:lvlJc w:val="right"/>
      <w:pPr>
        <w:ind w:left="8130" w:hanging="180"/>
      </w:pPr>
    </w:lvl>
  </w:abstractNum>
  <w:abstractNum w:abstractNumId="19">
    <w:nsid w:val="475D7A92"/>
    <w:multiLevelType w:val="hybridMultilevel"/>
    <w:tmpl w:val="2860436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487B61B8"/>
    <w:multiLevelType w:val="hybridMultilevel"/>
    <w:tmpl w:val="E648F5E6"/>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B025740"/>
    <w:multiLevelType w:val="hybridMultilevel"/>
    <w:tmpl w:val="3DC03CD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1364E47"/>
    <w:multiLevelType w:val="hybridMultilevel"/>
    <w:tmpl w:val="6DD27FDE"/>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5625A35"/>
    <w:multiLevelType w:val="hybridMultilevel"/>
    <w:tmpl w:val="26305A0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BB86F03"/>
    <w:multiLevelType w:val="hybridMultilevel"/>
    <w:tmpl w:val="44549A0E"/>
    <w:lvl w:ilvl="0">
      <w:start w:val="1"/>
      <w:numFmt w:val="upperLetter"/>
      <w:lvlText w:val="%1."/>
      <w:lvlJc w:val="left"/>
      <w:pPr>
        <w:ind w:left="1110" w:hanging="39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0933571"/>
    <w:multiLevelType w:val="hybridMultilevel"/>
    <w:tmpl w:val="17B830D4"/>
    <w:lvl w:ilvl="0">
      <w:start w:val="1"/>
      <w:numFmt w:val="lowerLetter"/>
      <w:lvlText w:val="%1."/>
      <w:lvlJc w:val="left"/>
      <w:pPr>
        <w:ind w:left="2160" w:hanging="360"/>
      </w:pPr>
      <w:rPr>
        <w:rFonts w:hint="default"/>
        <w:i/>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620F35C0"/>
    <w:multiLevelType w:val="hybridMultilevel"/>
    <w:tmpl w:val="029A2370"/>
    <w:lvl w:ilvl="0">
      <w:start w:val="1"/>
      <w:numFmt w:val="upperLetter"/>
      <w:lvlText w:val="%1."/>
      <w:lvlJc w:val="left"/>
      <w:pPr>
        <w:ind w:left="1104" w:hanging="384"/>
      </w:pPr>
      <w:rPr>
        <w:rFonts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31A1E5D"/>
    <w:multiLevelType w:val="hybridMultilevel"/>
    <w:tmpl w:val="2D545FBA"/>
    <w:lvl w:ilvl="0">
      <w:start w:val="3"/>
      <w:numFmt w:val="decimal"/>
      <w:lvlText w:val="%1."/>
      <w:lvlJc w:val="left"/>
      <w:pPr>
        <w:ind w:left="193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C51F09"/>
    <w:multiLevelType w:val="hybridMultilevel"/>
    <w:tmpl w:val="7CD0981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6B3114C1"/>
    <w:multiLevelType w:val="hybridMultilevel"/>
    <w:tmpl w:val="90D60592"/>
    <w:lvl w:ilvl="0">
      <w:start w:val="1"/>
      <w:numFmt w:val="decimal"/>
      <w:lvlText w:val="%1."/>
      <w:lvlJc w:val="left"/>
      <w:pPr>
        <w:ind w:left="1935" w:hanging="360"/>
      </w:pPr>
    </w:lvl>
    <w:lvl w:ilvl="1" w:tentative="1">
      <w:start w:val="1"/>
      <w:numFmt w:val="lowerLetter"/>
      <w:lvlText w:val="%2."/>
      <w:lvlJc w:val="left"/>
      <w:pPr>
        <w:ind w:left="2655" w:hanging="360"/>
      </w:pPr>
    </w:lvl>
    <w:lvl w:ilvl="2" w:tentative="1">
      <w:start w:val="1"/>
      <w:numFmt w:val="lowerRoman"/>
      <w:lvlText w:val="%3."/>
      <w:lvlJc w:val="right"/>
      <w:pPr>
        <w:ind w:left="3375" w:hanging="180"/>
      </w:pPr>
    </w:lvl>
    <w:lvl w:ilvl="3" w:tentative="1">
      <w:start w:val="1"/>
      <w:numFmt w:val="decimal"/>
      <w:lvlText w:val="%4."/>
      <w:lvlJc w:val="left"/>
      <w:pPr>
        <w:ind w:left="4095" w:hanging="360"/>
      </w:pPr>
    </w:lvl>
    <w:lvl w:ilvl="4" w:tentative="1">
      <w:start w:val="1"/>
      <w:numFmt w:val="lowerLetter"/>
      <w:lvlText w:val="%5."/>
      <w:lvlJc w:val="left"/>
      <w:pPr>
        <w:ind w:left="4815" w:hanging="360"/>
      </w:pPr>
    </w:lvl>
    <w:lvl w:ilvl="5" w:tentative="1">
      <w:start w:val="1"/>
      <w:numFmt w:val="lowerRoman"/>
      <w:lvlText w:val="%6."/>
      <w:lvlJc w:val="right"/>
      <w:pPr>
        <w:ind w:left="5535" w:hanging="180"/>
      </w:pPr>
    </w:lvl>
    <w:lvl w:ilvl="6" w:tentative="1">
      <w:start w:val="1"/>
      <w:numFmt w:val="decimal"/>
      <w:lvlText w:val="%7."/>
      <w:lvlJc w:val="left"/>
      <w:pPr>
        <w:ind w:left="6255" w:hanging="360"/>
      </w:pPr>
    </w:lvl>
    <w:lvl w:ilvl="7" w:tentative="1">
      <w:start w:val="1"/>
      <w:numFmt w:val="lowerLetter"/>
      <w:lvlText w:val="%8."/>
      <w:lvlJc w:val="left"/>
      <w:pPr>
        <w:ind w:left="6975" w:hanging="360"/>
      </w:pPr>
    </w:lvl>
    <w:lvl w:ilvl="8" w:tentative="1">
      <w:start w:val="1"/>
      <w:numFmt w:val="lowerRoman"/>
      <w:lvlText w:val="%9."/>
      <w:lvlJc w:val="right"/>
      <w:pPr>
        <w:ind w:left="7695" w:hanging="180"/>
      </w:pPr>
    </w:lvl>
  </w:abstractNum>
  <w:abstractNum w:abstractNumId="30">
    <w:nsid w:val="6E8C407A"/>
    <w:multiLevelType w:val="hybridMultilevel"/>
    <w:tmpl w:val="2D545FBA"/>
    <w:lvl w:ilvl="0">
      <w:start w:val="3"/>
      <w:numFmt w:val="decimal"/>
      <w:lvlText w:val="%1."/>
      <w:lvlJc w:val="left"/>
      <w:pPr>
        <w:ind w:left="193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83113D"/>
    <w:multiLevelType w:val="hybridMultilevel"/>
    <w:tmpl w:val="1130BE8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0D31210"/>
    <w:multiLevelType w:val="hybridMultilevel"/>
    <w:tmpl w:val="309C583A"/>
    <w:lvl w:ilvl="0">
      <w:start w:val="3"/>
      <w:numFmt w:val="lowerRoman"/>
      <w:lvlText w:val="%1."/>
      <w:lvlJc w:val="left"/>
      <w:pPr>
        <w:ind w:left="3600" w:hanging="720"/>
      </w:pPr>
      <w:rPr>
        <w:rFonts w:hint="default"/>
        <w:i/>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3">
    <w:nsid w:val="79255146"/>
    <w:multiLevelType w:val="hybridMultilevel"/>
    <w:tmpl w:val="86F61D22"/>
    <w:lvl w:ilvl="0">
      <w:start w:val="3"/>
      <w:numFmt w:val="lowerRoman"/>
      <w:lvlText w:val="%1."/>
      <w:lvlJc w:val="left"/>
      <w:pPr>
        <w:ind w:left="2736" w:hanging="360"/>
      </w:pPr>
      <w:rPr>
        <w:rFonts w:hint="default"/>
        <w:i/>
      </w:rPr>
    </w:lvl>
    <w:lvl w:ilvl="1" w:tentative="1">
      <w:start w:val="1"/>
      <w:numFmt w:val="lowerLetter"/>
      <w:lvlText w:val="%2."/>
      <w:lvlJc w:val="left"/>
      <w:pPr>
        <w:ind w:left="3456" w:hanging="360"/>
      </w:pPr>
    </w:lvl>
    <w:lvl w:ilvl="2" w:tentative="1">
      <w:start w:val="1"/>
      <w:numFmt w:val="lowerRoman"/>
      <w:lvlText w:val="%3."/>
      <w:lvlJc w:val="right"/>
      <w:pPr>
        <w:ind w:left="4176" w:hanging="180"/>
      </w:pPr>
    </w:lvl>
    <w:lvl w:ilvl="3" w:tentative="1">
      <w:start w:val="1"/>
      <w:numFmt w:val="decimal"/>
      <w:lvlText w:val="%4."/>
      <w:lvlJc w:val="left"/>
      <w:pPr>
        <w:ind w:left="4896" w:hanging="360"/>
      </w:pPr>
    </w:lvl>
    <w:lvl w:ilvl="4" w:tentative="1">
      <w:start w:val="1"/>
      <w:numFmt w:val="lowerLetter"/>
      <w:lvlText w:val="%5."/>
      <w:lvlJc w:val="left"/>
      <w:pPr>
        <w:ind w:left="5616" w:hanging="360"/>
      </w:pPr>
    </w:lvl>
    <w:lvl w:ilvl="5" w:tentative="1">
      <w:start w:val="1"/>
      <w:numFmt w:val="lowerRoman"/>
      <w:lvlText w:val="%6."/>
      <w:lvlJc w:val="right"/>
      <w:pPr>
        <w:ind w:left="6336" w:hanging="180"/>
      </w:pPr>
    </w:lvl>
    <w:lvl w:ilvl="6" w:tentative="1">
      <w:start w:val="1"/>
      <w:numFmt w:val="decimal"/>
      <w:lvlText w:val="%7."/>
      <w:lvlJc w:val="left"/>
      <w:pPr>
        <w:ind w:left="7056" w:hanging="360"/>
      </w:pPr>
    </w:lvl>
    <w:lvl w:ilvl="7" w:tentative="1">
      <w:start w:val="1"/>
      <w:numFmt w:val="lowerLetter"/>
      <w:lvlText w:val="%8."/>
      <w:lvlJc w:val="left"/>
      <w:pPr>
        <w:ind w:left="7776" w:hanging="360"/>
      </w:pPr>
    </w:lvl>
    <w:lvl w:ilvl="8" w:tentative="1">
      <w:start w:val="1"/>
      <w:numFmt w:val="lowerRoman"/>
      <w:lvlText w:val="%9."/>
      <w:lvlJc w:val="right"/>
      <w:pPr>
        <w:ind w:left="8496" w:hanging="180"/>
      </w:pPr>
    </w:lvl>
  </w:abstractNum>
  <w:abstractNum w:abstractNumId="34">
    <w:nsid w:val="7C8010D8"/>
    <w:multiLevelType w:val="hybridMultilevel"/>
    <w:tmpl w:val="4E64C3A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
    <w:nsid w:val="7F1630DB"/>
    <w:multiLevelType w:val="hybridMultilevel"/>
    <w:tmpl w:val="B518E5C4"/>
    <w:lvl w:ilvl="0">
      <w:start w:val="1"/>
      <w:numFmt w:val="decimal"/>
      <w:lvlText w:val="%1."/>
      <w:lvlJc w:val="left"/>
      <w:pPr>
        <w:ind w:left="1872" w:hanging="360"/>
      </w:p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num w:numId="1">
    <w:abstractNumId w:val="11"/>
  </w:num>
  <w:num w:numId="2">
    <w:abstractNumId w:val="3"/>
  </w:num>
  <w:num w:numId="3">
    <w:abstractNumId w:val="28"/>
  </w:num>
  <w:num w:numId="4">
    <w:abstractNumId w:val="7"/>
  </w:num>
  <w:num w:numId="5">
    <w:abstractNumId w:val="22"/>
  </w:num>
  <w:num w:numId="6">
    <w:abstractNumId w:val="20"/>
  </w:num>
  <w:num w:numId="7">
    <w:abstractNumId w:val="24"/>
  </w:num>
  <w:num w:numId="8">
    <w:abstractNumId w:val="31"/>
  </w:num>
  <w:num w:numId="9">
    <w:abstractNumId w:val="2"/>
  </w:num>
  <w:num w:numId="10">
    <w:abstractNumId w:val="25"/>
  </w:num>
  <w:num w:numId="11">
    <w:abstractNumId w:val="5"/>
  </w:num>
  <w:num w:numId="12">
    <w:abstractNumId w:val="17"/>
  </w:num>
  <w:num w:numId="13">
    <w:abstractNumId w:val="34"/>
  </w:num>
  <w:num w:numId="14">
    <w:abstractNumId w:val="13"/>
  </w:num>
  <w:num w:numId="15">
    <w:abstractNumId w:val="26"/>
  </w:num>
  <w:num w:numId="16">
    <w:abstractNumId w:val="21"/>
  </w:num>
  <w:num w:numId="17">
    <w:abstractNumId w:val="14"/>
  </w:num>
  <w:num w:numId="18">
    <w:abstractNumId w:val="32"/>
  </w:num>
  <w:num w:numId="19">
    <w:abstractNumId w:val="15"/>
  </w:num>
  <w:num w:numId="20">
    <w:abstractNumId w:val="29"/>
  </w:num>
  <w:num w:numId="21">
    <w:abstractNumId w:val="18"/>
  </w:num>
  <w:num w:numId="22">
    <w:abstractNumId w:val="33"/>
  </w:num>
  <w:num w:numId="23">
    <w:abstractNumId w:val="19"/>
  </w:num>
  <w:num w:numId="24">
    <w:abstractNumId w:val="18"/>
    <w:lvlOverride w:ilvl="0">
      <w:startOverride w:val="1"/>
    </w:lvlOverride>
  </w:num>
  <w:num w:numId="25">
    <w:abstractNumId w:val="12"/>
  </w:num>
  <w:num w:numId="26">
    <w:abstractNumId w:val="12"/>
    <w:lvlOverride w:ilvl="0">
      <w:startOverride w:val="2"/>
    </w:lvlOverride>
  </w:num>
  <w:num w:numId="27">
    <w:abstractNumId w:val="12"/>
    <w:lvlOverride w:ilvl="0">
      <w:startOverride w:val="1"/>
    </w:lvlOverride>
  </w:num>
  <w:num w:numId="28">
    <w:abstractNumId w:val="23"/>
  </w:num>
  <w:num w:numId="29">
    <w:abstractNumId w:val="6"/>
  </w:num>
  <w:num w:numId="30">
    <w:abstractNumId w:val="16"/>
  </w:num>
  <w:num w:numId="31">
    <w:abstractNumId w:val="35"/>
  </w:num>
  <w:num w:numId="32">
    <w:abstractNumId w:val="1"/>
  </w:num>
  <w:num w:numId="33">
    <w:abstractNumId w:val="10"/>
  </w:num>
  <w:num w:numId="34">
    <w:abstractNumId w:val="27"/>
  </w:num>
  <w:num w:numId="35">
    <w:abstractNumId w:val="30"/>
  </w:num>
  <w:num w:numId="36">
    <w:abstractNumId w:val="0"/>
  </w:num>
  <w:num w:numId="37">
    <w:abstractNumId w:val="4"/>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stylePaneFormatFilter w:val="9021" w:allStyles="1" w:alternateStyleNames="1" w:clearFormatting="1" w:customStyles="0" w:directFormattingOnNumbering="0" w:directFormattingOnParagraphs="0" w:directFormattingOnRuns="0" w:directFormattingOnTables="0" w:headingStyles="1" w:latentStyles="0" w:numberingStyles="0" w:stylesInUse="0" w:tableStyles="0" w:top3HeadingStyles="0" w:visibleStyles="0"/>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AF6"/>
    <w:pPr>
      <w:spacing w:after="100" w:line="400" w:lineRule="exact"/>
      <w:jc w:val="both"/>
    </w:pPr>
    <w:rPr>
      <w:rFonts w:ascii="Century Schoolbook" w:hAnsi="Century Schoolbook"/>
      <w:sz w:val="27"/>
    </w:rPr>
  </w:style>
  <w:style w:type="paragraph" w:styleId="Heading1">
    <w:name w:val="heading 1"/>
    <w:basedOn w:val="Normal"/>
    <w:next w:val="Normal"/>
    <w:qFormat/>
    <w:rsid w:val="00B84AF6"/>
    <w:pPr>
      <w:keepNext/>
      <w:spacing w:before="140" w:line="240" w:lineRule="atLeast"/>
      <w:jc w:val="center"/>
      <w:outlineLvl w:val="0"/>
    </w:pPr>
    <w:rPr>
      <w:b/>
      <w:smallCaps/>
    </w:rPr>
  </w:style>
  <w:style w:type="paragraph" w:styleId="Heading2">
    <w:name w:val="heading 2"/>
    <w:basedOn w:val="Normal"/>
    <w:next w:val="Normal"/>
    <w:qFormat/>
    <w:rsid w:val="00B84AF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84AF6"/>
    <w:pPr>
      <w:keepNext/>
      <w:tabs>
        <w:tab w:val="left" w:pos="1584"/>
      </w:tabs>
      <w:spacing w:before="140" w:line="240" w:lineRule="atLeast"/>
      <w:ind w:left="1584" w:hanging="432"/>
      <w:jc w:val="left"/>
      <w:outlineLvl w:val="2"/>
    </w:pPr>
    <w:rPr>
      <w:i/>
    </w:rPr>
  </w:style>
  <w:style w:type="paragraph" w:styleId="Heading4">
    <w:name w:val="heading 4"/>
    <w:basedOn w:val="Normal"/>
    <w:rsid w:val="00B84AF6"/>
    <w:pPr>
      <w:keepNext/>
      <w:tabs>
        <w:tab w:val="left" w:pos="2016"/>
      </w:tabs>
      <w:spacing w:before="140" w:line="240" w:lineRule="atLeast"/>
      <w:ind w:left="2016" w:hanging="432"/>
      <w:jc w:val="left"/>
      <w:outlineLvl w:val="3"/>
    </w:pPr>
    <w:rPr>
      <w:i/>
    </w:rPr>
  </w:style>
  <w:style w:type="paragraph" w:styleId="Heading5">
    <w:name w:val="heading 5"/>
    <w:basedOn w:val="Normal"/>
    <w:rsid w:val="00B84AF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84AF6"/>
    <w:pPr>
      <w:ind w:left="720"/>
    </w:pPr>
  </w:style>
  <w:style w:type="paragraph" w:styleId="Footer">
    <w:name w:val="footer"/>
    <w:basedOn w:val="Normal"/>
    <w:link w:val="FooterChar"/>
    <w:qFormat/>
    <w:rsid w:val="00B84AF6"/>
    <w:pPr>
      <w:tabs>
        <w:tab w:val="center" w:pos="3960"/>
        <w:tab w:val="right" w:pos="10080"/>
      </w:tabs>
      <w:spacing w:after="0" w:line="240" w:lineRule="auto"/>
      <w:jc w:val="center"/>
    </w:pPr>
    <w:rPr>
      <w:sz w:val="22"/>
    </w:rPr>
  </w:style>
  <w:style w:type="paragraph" w:styleId="Header">
    <w:name w:val="header"/>
    <w:basedOn w:val="Normal"/>
    <w:qFormat/>
    <w:rsid w:val="00B84AF6"/>
    <w:pPr>
      <w:tabs>
        <w:tab w:val="center" w:pos="3960"/>
        <w:tab w:val="right" w:pos="10080"/>
      </w:tabs>
      <w:spacing w:after="80" w:line="240" w:lineRule="auto"/>
      <w:jc w:val="center"/>
    </w:pPr>
    <w:rPr>
      <w:sz w:val="22"/>
    </w:rPr>
  </w:style>
  <w:style w:type="character" w:styleId="FootnoteReference">
    <w:name w:val="footnote reference"/>
    <w:rsid w:val="00B84AF6"/>
    <w:rPr>
      <w:rFonts w:ascii="Century Schoolbook" w:hAnsi="Century Schoolbook"/>
      <w:b/>
      <w:i w:val="0"/>
      <w:position w:val="4"/>
      <w:sz w:val="27"/>
      <w:vertAlign w:val="superscript"/>
    </w:rPr>
  </w:style>
  <w:style w:type="paragraph" w:styleId="FootnoteText">
    <w:name w:val="footnote text"/>
    <w:basedOn w:val="Normal"/>
    <w:link w:val="FootnoteTextChar"/>
    <w:rsid w:val="00B84AF6"/>
    <w:pPr>
      <w:spacing w:line="300" w:lineRule="exact"/>
    </w:pPr>
  </w:style>
  <w:style w:type="paragraph" w:customStyle="1" w:styleId="Title1">
    <w:name w:val="Title1"/>
    <w:basedOn w:val="Normal"/>
    <w:rsid w:val="00B84AF6"/>
    <w:pPr>
      <w:tabs>
        <w:tab w:val="left" w:pos="5760"/>
        <w:tab w:val="left" w:pos="6480"/>
      </w:tabs>
      <w:spacing w:line="240" w:lineRule="atLeast"/>
    </w:pPr>
  </w:style>
  <w:style w:type="paragraph" w:customStyle="1" w:styleId="Recommend">
    <w:name w:val="Recommend"/>
    <w:basedOn w:val="Normal"/>
    <w:rsid w:val="00B84AF6"/>
  </w:style>
  <w:style w:type="paragraph" w:customStyle="1" w:styleId="Summary">
    <w:name w:val="Summary"/>
    <w:basedOn w:val="Normal"/>
    <w:rsid w:val="00B84AF6"/>
    <w:pPr>
      <w:ind w:left="2160" w:hanging="2160"/>
    </w:pPr>
  </w:style>
  <w:style w:type="paragraph" w:customStyle="1" w:styleId="Text">
    <w:name w:val="Text"/>
    <w:basedOn w:val="Normal"/>
    <w:rsid w:val="00B84AF6"/>
    <w:pPr>
      <w:tabs>
        <w:tab w:val="left" w:pos="720"/>
        <w:tab w:val="left" w:pos="1440"/>
        <w:tab w:val="left" w:pos="2160"/>
        <w:tab w:val="center" w:pos="4320"/>
      </w:tabs>
      <w:spacing w:line="480" w:lineRule="atLeast"/>
      <w:ind w:firstLine="540"/>
    </w:pPr>
  </w:style>
  <w:style w:type="paragraph" w:styleId="Date">
    <w:name w:val="Date"/>
    <w:basedOn w:val="Normal"/>
    <w:semiHidden/>
    <w:rsid w:val="00B84AF6"/>
    <w:pPr>
      <w:jc w:val="right"/>
    </w:pPr>
  </w:style>
  <w:style w:type="character" w:styleId="PageNumber">
    <w:name w:val="page number"/>
    <w:semiHidden/>
    <w:rsid w:val="00B84AF6"/>
  </w:style>
  <w:style w:type="paragraph" w:customStyle="1" w:styleId="subject">
    <w:name w:val="subject"/>
    <w:basedOn w:val="Normal"/>
    <w:rsid w:val="00B84AF6"/>
    <w:pPr>
      <w:tabs>
        <w:tab w:val="left" w:pos="1008"/>
      </w:tabs>
      <w:ind w:left="990" w:hanging="990"/>
    </w:pPr>
    <w:rPr>
      <w:b/>
    </w:rPr>
  </w:style>
  <w:style w:type="paragraph" w:customStyle="1" w:styleId="Titles">
    <w:name w:val="Titles"/>
    <w:basedOn w:val="Normal"/>
    <w:rsid w:val="00B84AF6"/>
    <w:pPr>
      <w:tabs>
        <w:tab w:val="left" w:pos="2160"/>
      </w:tabs>
      <w:ind w:left="2160" w:hanging="2160"/>
    </w:pPr>
    <w:rPr>
      <w:b/>
    </w:rPr>
  </w:style>
  <w:style w:type="paragraph" w:styleId="TOAHeading">
    <w:name w:val="toa heading"/>
    <w:basedOn w:val="Normal"/>
    <w:next w:val="Normal"/>
    <w:semiHidden/>
    <w:rsid w:val="00B84AF6"/>
    <w:pPr>
      <w:spacing w:before="120"/>
    </w:pPr>
    <w:rPr>
      <w:b/>
    </w:rPr>
  </w:style>
  <w:style w:type="paragraph" w:styleId="TOC1">
    <w:name w:val="toc 1"/>
    <w:basedOn w:val="Normal"/>
    <w:next w:val="Normal"/>
    <w:autoRedefine/>
    <w:rsid w:val="00B84AF6"/>
  </w:style>
  <w:style w:type="paragraph" w:styleId="TOC2">
    <w:name w:val="toc 2"/>
    <w:basedOn w:val="Normal"/>
    <w:next w:val="Normal"/>
    <w:autoRedefine/>
    <w:rsid w:val="00B84AF6"/>
    <w:pPr>
      <w:ind w:left="259"/>
    </w:pPr>
  </w:style>
  <w:style w:type="paragraph" w:styleId="TOC3">
    <w:name w:val="toc 3"/>
    <w:basedOn w:val="Normal"/>
    <w:next w:val="Normal"/>
    <w:autoRedefine/>
    <w:rsid w:val="00B84AF6"/>
    <w:pPr>
      <w:ind w:left="520"/>
    </w:pPr>
  </w:style>
  <w:style w:type="paragraph" w:styleId="TOC4">
    <w:name w:val="toc 4"/>
    <w:basedOn w:val="Normal"/>
    <w:next w:val="Normal"/>
    <w:autoRedefine/>
    <w:rsid w:val="00B84AF6"/>
    <w:pPr>
      <w:ind w:left="780"/>
    </w:pPr>
  </w:style>
  <w:style w:type="paragraph" w:styleId="TOC5">
    <w:name w:val="toc 5"/>
    <w:basedOn w:val="Normal"/>
    <w:next w:val="Normal"/>
    <w:autoRedefine/>
    <w:rsid w:val="00B84AF6"/>
    <w:pPr>
      <w:ind w:left="1040"/>
    </w:pPr>
  </w:style>
  <w:style w:type="paragraph" w:styleId="TOC6">
    <w:name w:val="toc 6"/>
    <w:basedOn w:val="Normal"/>
    <w:next w:val="Normal"/>
    <w:autoRedefine/>
    <w:semiHidden/>
    <w:rsid w:val="00B84AF6"/>
    <w:pPr>
      <w:ind w:left="1300"/>
    </w:pPr>
  </w:style>
  <w:style w:type="paragraph" w:styleId="TOC7">
    <w:name w:val="toc 7"/>
    <w:basedOn w:val="Normal"/>
    <w:next w:val="Normal"/>
    <w:autoRedefine/>
    <w:semiHidden/>
    <w:rsid w:val="00B84AF6"/>
    <w:pPr>
      <w:ind w:left="1560"/>
    </w:pPr>
  </w:style>
  <w:style w:type="paragraph" w:styleId="TOC8">
    <w:name w:val="toc 8"/>
    <w:basedOn w:val="Normal"/>
    <w:next w:val="Normal"/>
    <w:autoRedefine/>
    <w:semiHidden/>
    <w:rsid w:val="00B84AF6"/>
    <w:pPr>
      <w:ind w:left="1820"/>
    </w:pPr>
  </w:style>
  <w:style w:type="paragraph" w:styleId="TOC9">
    <w:name w:val="toc 9"/>
    <w:basedOn w:val="Normal"/>
    <w:next w:val="Normal"/>
    <w:autoRedefine/>
    <w:semiHidden/>
    <w:rsid w:val="00B84AF6"/>
    <w:pPr>
      <w:ind w:left="2080"/>
    </w:pPr>
  </w:style>
  <w:style w:type="paragraph" w:customStyle="1" w:styleId="Contents">
    <w:name w:val="Contents"/>
    <w:basedOn w:val="Normal"/>
    <w:rsid w:val="00B84AF6"/>
    <w:pPr>
      <w:jc w:val="center"/>
    </w:pPr>
    <w:rPr>
      <w:b/>
      <w:spacing w:val="100"/>
    </w:rPr>
  </w:style>
  <w:style w:type="character" w:customStyle="1" w:styleId="FooterChar">
    <w:name w:val="Footer Char"/>
    <w:link w:val="Footer"/>
    <w:rsid w:val="000010F8"/>
    <w:rPr>
      <w:rFonts w:ascii="Century Schoolbook" w:hAnsi="Century Schoolbook"/>
      <w:sz w:val="22"/>
    </w:rPr>
  </w:style>
  <w:style w:type="paragraph" w:styleId="ListParagraph">
    <w:name w:val="List Paragraph"/>
    <w:basedOn w:val="Normal"/>
    <w:uiPriority w:val="34"/>
    <w:qFormat/>
    <w:rsid w:val="000742A9"/>
    <w:pPr>
      <w:ind w:left="720"/>
      <w:contextualSpacing/>
    </w:pPr>
  </w:style>
  <w:style w:type="paragraph" w:styleId="BalloonText">
    <w:name w:val="Balloon Text"/>
    <w:basedOn w:val="Normal"/>
    <w:link w:val="BalloonTextChar"/>
    <w:uiPriority w:val="99"/>
    <w:semiHidden/>
    <w:unhideWhenUsed/>
    <w:rsid w:val="005337DE"/>
    <w:rPr>
      <w:rFonts w:ascii="Segoe UI" w:hAnsi="Segoe UI" w:cs="Segoe UI"/>
      <w:sz w:val="18"/>
      <w:szCs w:val="18"/>
    </w:rPr>
  </w:style>
  <w:style w:type="character" w:customStyle="1" w:styleId="BalloonTextChar">
    <w:name w:val="Balloon Text Char"/>
    <w:link w:val="BalloonText"/>
    <w:uiPriority w:val="99"/>
    <w:semiHidden/>
    <w:rsid w:val="005337DE"/>
    <w:rPr>
      <w:rFonts w:ascii="Segoe UI" w:hAnsi="Segoe UI" w:cs="Segoe UI"/>
      <w:sz w:val="18"/>
      <w:szCs w:val="18"/>
    </w:rPr>
  </w:style>
  <w:style w:type="character" w:customStyle="1" w:styleId="FootnoteTextChar">
    <w:name w:val="Footnote Text Char"/>
    <w:link w:val="FootnoteText"/>
    <w:rsid w:val="009E7CDE"/>
    <w:rPr>
      <w:rFonts w:ascii="Century Schoolbook" w:hAnsi="Century Schoolbook"/>
      <w:sz w:val="27"/>
    </w:rPr>
  </w:style>
  <w:style w:type="paragraph" w:customStyle="1" w:styleId="PRComments">
    <w:name w:val="PR Comments"/>
    <w:basedOn w:val="Normal"/>
    <w:rsid w:val="007B435F"/>
    <w:pPr>
      <w:spacing w:line="360" w:lineRule="atLeast"/>
      <w:ind w:right="-360"/>
    </w:pPr>
  </w:style>
  <w:style w:type="paragraph" w:styleId="BodyText">
    <w:name w:val="Body Text"/>
    <w:basedOn w:val="Normal"/>
    <w:link w:val="BodyTextChar"/>
    <w:qFormat/>
    <w:rsid w:val="00B84AF6"/>
  </w:style>
  <w:style w:type="character" w:customStyle="1" w:styleId="BodyTextChar">
    <w:name w:val="Body Text Char"/>
    <w:link w:val="BodyText"/>
    <w:rsid w:val="00B84AF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20714</Words>
  <Characters>118073</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2019-06-27T16:00:56Z</dcterms:created>
  <dcterms:modified xsi:type="dcterms:W3CDTF">2019-06-27T16:00:56Z</dcterms:modified>
</cp:coreProperties>
</file>